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57237B" w:rsidRPr="00AA7200">
        <w:tblPrEx>
          <w:tblCellMar>
            <w:top w:w="0" w:type="dxa"/>
            <w:bottom w:w="0" w:type="dxa"/>
          </w:tblCellMar>
        </w:tblPrEx>
        <w:trPr>
          <w:cantSplit/>
          <w:trHeight w:val="1720"/>
        </w:trPr>
        <w:tc>
          <w:tcPr>
            <w:tcW w:w="6024" w:type="dxa"/>
            <w:gridSpan w:val="2"/>
          </w:tcPr>
          <w:p w:rsidR="0057237B" w:rsidRPr="00AA7200" w:rsidRDefault="0057237B">
            <w:pPr>
              <w:pStyle w:val="HuvudRubrik"/>
            </w:pPr>
            <w:r w:rsidRPr="00AA7200">
              <w:t>Framställning till riksdagen</w:t>
            </w:r>
          </w:p>
          <w:bookmarkStart w:id="0" w:name="BetänkandeNr"/>
          <w:bookmarkEnd w:id="0"/>
          <w:p w:rsidR="0057237B" w:rsidRPr="00AA7200" w:rsidRDefault="0057237B">
            <w:pPr>
              <w:pStyle w:val="HuvudRubrikRad2"/>
            </w:pPr>
            <w:r w:rsidRPr="00AA7200">
              <w:fldChar w:fldCharType="begin" w:fldLock="1"/>
            </w:r>
            <w:r w:rsidRPr="00AA7200">
              <w:instrText xml:space="preserve"> DOCPROPERTY BetänkandeÅr</w:instrText>
            </w:r>
            <w:r w:rsidRPr="00AA7200">
              <w:fldChar w:fldCharType="separate"/>
            </w:r>
            <w:r w:rsidR="00DB4F93" w:rsidRPr="00AA7200">
              <w:t>2011/12</w:t>
            </w:r>
            <w:r w:rsidRPr="00AA7200">
              <w:fldChar w:fldCharType="end"/>
            </w:r>
            <w:r w:rsidRPr="00AA7200">
              <w:t>:</w:t>
            </w:r>
            <w:r w:rsidRPr="00AA7200">
              <w:fldChar w:fldCharType="begin" w:fldLock="1"/>
            </w:r>
            <w:r w:rsidRPr="00AA7200">
              <w:instrText xml:space="preserve"> DOCPROPERTY Utskott</w:instrText>
            </w:r>
            <w:r w:rsidRPr="00AA7200">
              <w:fldChar w:fldCharType="separate"/>
            </w:r>
            <w:r w:rsidR="00DB4F93" w:rsidRPr="00AA7200">
              <w:t>RS</w:t>
            </w:r>
            <w:r w:rsidRPr="00AA7200">
              <w:fldChar w:fldCharType="end"/>
            </w:r>
            <w:r w:rsidRPr="00AA7200">
              <w:fldChar w:fldCharType="begin" w:fldLock="1"/>
            </w:r>
            <w:r w:rsidRPr="00AA7200">
              <w:instrText xml:space="preserve"> DOCPROPERTY BetänkandeNr</w:instrText>
            </w:r>
            <w:r w:rsidRPr="00AA7200">
              <w:fldChar w:fldCharType="separate"/>
            </w:r>
            <w:r w:rsidR="00DB4F93" w:rsidRPr="00AA7200">
              <w:t>1</w:t>
            </w:r>
            <w:r w:rsidRPr="00AA7200">
              <w:fldChar w:fldCharType="end"/>
            </w:r>
          </w:p>
        </w:tc>
        <w:bookmarkStart w:id="1" w:name="_MON_1016526495"/>
        <w:bookmarkStart w:id="2" w:name="_MON_1016526516"/>
        <w:bookmarkStart w:id="3" w:name="_MON_1016527141"/>
        <w:bookmarkStart w:id="4" w:name="_MON_1016527716"/>
        <w:bookmarkStart w:id="5" w:name="_MON_1016527915"/>
        <w:bookmarkStart w:id="6" w:name="_MON_1390974779"/>
        <w:bookmarkStart w:id="7" w:name="_MON_1393761489"/>
        <w:bookmarkEnd w:id="1"/>
        <w:bookmarkEnd w:id="2"/>
        <w:bookmarkEnd w:id="3"/>
        <w:bookmarkEnd w:id="4"/>
        <w:bookmarkEnd w:id="5"/>
        <w:bookmarkEnd w:id="6"/>
        <w:bookmarkEnd w:id="7"/>
        <w:tc>
          <w:tcPr>
            <w:tcW w:w="1418" w:type="dxa"/>
            <w:tcBorders>
              <w:bottom w:val="nil"/>
            </w:tcBorders>
          </w:tcPr>
          <w:p w:rsidR="0057237B" w:rsidRPr="00AA7200" w:rsidRDefault="0057237B">
            <w:pPr>
              <w:spacing w:line="230" w:lineRule="auto"/>
              <w:jc w:val="center"/>
            </w:pPr>
            <w:r w:rsidRPr="00AA7200">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pt;height:32.15pt" o:ole="" fillcolor="window">
                  <v:imagedata r:id="rId7" o:title="" cropleft="42582f"/>
                </v:shape>
                <o:OLEObject Type="Embed" ProgID="Word.Picture.8" ShapeID="_x0000_i1025" DrawAspect="Content" ObjectID="_1827516204" r:id="rId8"/>
              </w:object>
            </w:r>
          </w:p>
          <w:p w:rsidR="0057237B" w:rsidRPr="00AA7200" w:rsidRDefault="0057237B">
            <w:pPr>
              <w:pStyle w:val="Normaltindrag"/>
              <w:jc w:val="center"/>
            </w:pPr>
          </w:p>
          <w:p w:rsidR="0057237B" w:rsidRPr="00AA7200" w:rsidRDefault="0057237B">
            <w:pPr>
              <w:pStyle w:val="StatusSida1"/>
            </w:pPr>
            <w:r w:rsidRPr="00AA7200">
              <w:fldChar w:fldCharType="begin" w:fldLock="1"/>
            </w:r>
            <w:r w:rsidRPr="00AA7200">
              <w:instrText xml:space="preserve"> DOCPR</w:instrText>
            </w:r>
            <w:r w:rsidRPr="00AA7200">
              <w:instrText>O</w:instrText>
            </w:r>
            <w:r w:rsidRPr="00AA7200">
              <w:instrText>PERTY "Status"</w:instrText>
            </w:r>
            <w:r w:rsidRPr="00AA7200">
              <w:fldChar w:fldCharType="end"/>
            </w:r>
          </w:p>
          <w:p w:rsidR="0057237B" w:rsidRPr="00AA7200" w:rsidRDefault="0057237B">
            <w:pPr>
              <w:pStyle w:val="UtskriftsdatumSida1"/>
              <w:framePr w:wrap="around"/>
            </w:pPr>
            <w:r w:rsidRPr="00AA7200">
              <w:fldChar w:fldCharType="begin" w:fldLock="1"/>
            </w:r>
            <w:r w:rsidRPr="00AA7200">
              <w:instrText xml:space="preserve"> if </w:instrText>
            </w:r>
            <w:r w:rsidRPr="00AA7200">
              <w:fldChar w:fldCharType="begin" w:fldLock="1"/>
            </w:r>
            <w:r w:rsidRPr="00AA7200">
              <w:instrText xml:space="preserve"> DOCPROPE</w:instrText>
            </w:r>
            <w:r w:rsidRPr="00AA7200">
              <w:instrText>R</w:instrText>
            </w:r>
            <w:r w:rsidRPr="00AA7200">
              <w:instrText>TY "UtkastD</w:instrText>
            </w:r>
            <w:r w:rsidRPr="00AA7200">
              <w:instrText>a</w:instrText>
            </w:r>
            <w:r w:rsidRPr="00AA7200">
              <w:instrText>tum"</w:instrText>
            </w:r>
            <w:r w:rsidRPr="00AA7200">
              <w:fldChar w:fldCharType="separate"/>
            </w:r>
            <w:r w:rsidR="00DB4F93" w:rsidRPr="00AA7200">
              <w:instrText>Nej</w:instrText>
            </w:r>
            <w:r w:rsidRPr="00AA7200">
              <w:fldChar w:fldCharType="end"/>
            </w:r>
            <w:r w:rsidRPr="00AA7200">
              <w:instrText xml:space="preserve"> = "Ja" "</w:instrText>
            </w:r>
            <w:r w:rsidRPr="00AA7200">
              <w:fldChar w:fldCharType="begin" w:fldLock="1"/>
            </w:r>
            <w:r w:rsidRPr="00AA7200">
              <w:instrText xml:space="preserve"> PRINTDATE \@ "yyyy-MM-dd HH.mm" </w:instrText>
            </w:r>
            <w:r w:rsidRPr="00AA7200">
              <w:fldChar w:fldCharType="separate"/>
            </w:r>
            <w:r w:rsidRPr="00AA7200">
              <w:instrText>2000-08-11 16.42</w:instrText>
            </w:r>
            <w:r w:rsidRPr="00AA7200">
              <w:fldChar w:fldCharType="end"/>
            </w:r>
            <w:r w:rsidRPr="00AA7200">
              <w:instrText xml:space="preserve">" </w:instrText>
            </w:r>
            <w:r w:rsidRPr="00AA7200">
              <w:fldChar w:fldCharType="end"/>
            </w:r>
          </w:p>
        </w:tc>
      </w:tr>
      <w:tr w:rsidR="0057237B" w:rsidRPr="00AA7200">
        <w:tblPrEx>
          <w:tblCellMar>
            <w:top w:w="0" w:type="dxa"/>
            <w:bottom w:w="0" w:type="dxa"/>
          </w:tblCellMar>
        </w:tblPrEx>
        <w:trPr>
          <w:cantSplit/>
        </w:trPr>
        <w:tc>
          <w:tcPr>
            <w:tcW w:w="6024" w:type="dxa"/>
            <w:gridSpan w:val="2"/>
            <w:tcBorders>
              <w:bottom w:val="single" w:sz="4" w:space="0" w:color="auto"/>
            </w:tcBorders>
          </w:tcPr>
          <w:p w:rsidR="0057237B" w:rsidRPr="00AA7200" w:rsidRDefault="0071700B">
            <w:pPr>
              <w:pStyle w:val="DokumentRubrik"/>
              <w:rPr>
                <w:noProof w:val="0"/>
              </w:rPr>
            </w:pPr>
            <w:bookmarkStart w:id="8" w:name="Huvudrubrik"/>
            <w:bookmarkEnd w:id="8"/>
            <w:r w:rsidRPr="00AA7200">
              <w:rPr>
                <w:noProof w:val="0"/>
              </w:rPr>
              <w:t>Ä</w:t>
            </w:r>
            <w:r w:rsidR="0057237B" w:rsidRPr="00AA7200">
              <w:rPr>
                <w:noProof w:val="0"/>
              </w:rPr>
              <w:t>ndringar i riksdagsordningen</w:t>
            </w:r>
            <w:r w:rsidR="0039771D" w:rsidRPr="00AA7200">
              <w:rPr>
                <w:noProof w:val="0"/>
              </w:rPr>
              <w:t xml:space="preserve"> om replikrätten</w:t>
            </w:r>
            <w:r w:rsidRPr="00AA7200">
              <w:rPr>
                <w:noProof w:val="0"/>
              </w:rPr>
              <w:t xml:space="preserve"> m.m.</w:t>
            </w:r>
          </w:p>
        </w:tc>
        <w:tc>
          <w:tcPr>
            <w:tcW w:w="1418" w:type="dxa"/>
            <w:tcBorders>
              <w:bottom w:val="nil"/>
            </w:tcBorders>
          </w:tcPr>
          <w:p w:rsidR="0057237B" w:rsidRPr="00AA7200" w:rsidRDefault="0057237B"/>
        </w:tc>
      </w:tr>
      <w:tr w:rsidR="0057237B" w:rsidRPr="00AA7200">
        <w:tblPrEx>
          <w:tblCellMar>
            <w:top w:w="0" w:type="dxa"/>
            <w:bottom w:w="0" w:type="dxa"/>
          </w:tblCellMar>
        </w:tblPrEx>
        <w:trPr>
          <w:cantSplit/>
          <w:trHeight w:hRule="exact" w:val="360"/>
        </w:trPr>
        <w:tc>
          <w:tcPr>
            <w:tcW w:w="3012" w:type="dxa"/>
          </w:tcPr>
          <w:p w:rsidR="0057237B" w:rsidRPr="00AA7200" w:rsidRDefault="0057237B"/>
        </w:tc>
        <w:tc>
          <w:tcPr>
            <w:tcW w:w="3012" w:type="dxa"/>
          </w:tcPr>
          <w:p w:rsidR="0057237B" w:rsidRPr="00AA7200" w:rsidRDefault="0057237B"/>
        </w:tc>
        <w:tc>
          <w:tcPr>
            <w:tcW w:w="1418" w:type="dxa"/>
          </w:tcPr>
          <w:p w:rsidR="0057237B" w:rsidRPr="00AA7200" w:rsidRDefault="0057237B"/>
        </w:tc>
      </w:tr>
    </w:tbl>
    <w:p w:rsidR="0057237B" w:rsidRPr="00AA7200" w:rsidRDefault="0057237B"/>
    <w:p w:rsidR="0057237B" w:rsidRPr="00AA7200" w:rsidRDefault="0086381E" w:rsidP="0057237B">
      <w:pPr>
        <w:pStyle w:val="Rubrik1"/>
        <w:spacing w:after="180"/>
        <w:rPr>
          <w:noProof w:val="0"/>
        </w:rPr>
      </w:pPr>
      <w:bookmarkStart w:id="9" w:name="_Toc320600595"/>
      <w:r w:rsidRPr="00AA7200">
        <w:rPr>
          <w:noProof w:val="0"/>
        </w:rPr>
        <w:t>Förslagets huvudsakliga innehåll</w:t>
      </w:r>
      <w:bookmarkEnd w:id="9"/>
    </w:p>
    <w:p w:rsidR="000C32EB" w:rsidRPr="00AA7200" w:rsidRDefault="004D7E77" w:rsidP="0057237B">
      <w:bookmarkStart w:id="10" w:name="TextStart"/>
      <w:bookmarkEnd w:id="10"/>
      <w:r w:rsidRPr="00AA7200">
        <w:t>I ärende</w:t>
      </w:r>
      <w:r w:rsidR="0086381E" w:rsidRPr="00AA7200">
        <w:t>t</w:t>
      </w:r>
      <w:r w:rsidRPr="00AA7200">
        <w:t xml:space="preserve"> föreslår riksdagsstyrelsen vissa ändringar i riksdagsordningen. </w:t>
      </w:r>
    </w:p>
    <w:p w:rsidR="007B0643" w:rsidRPr="00AA7200" w:rsidRDefault="0086381E" w:rsidP="00C20CB7">
      <w:pPr>
        <w:pStyle w:val="Normaltindrag"/>
      </w:pPr>
      <w:r w:rsidRPr="00AA7200">
        <w:t>Ändringarna innebär</w:t>
      </w:r>
      <w:r w:rsidR="00A638BB" w:rsidRPr="00AA7200">
        <w:t xml:space="preserve"> </w:t>
      </w:r>
      <w:r w:rsidR="007B0643" w:rsidRPr="00AA7200">
        <w:t>följande.</w:t>
      </w:r>
    </w:p>
    <w:p w:rsidR="0057237B" w:rsidRPr="00AA7200" w:rsidRDefault="007B0643" w:rsidP="00C20CB7">
      <w:pPr>
        <w:pStyle w:val="Normaltindrag"/>
      </w:pPr>
      <w:r w:rsidRPr="00AA7200">
        <w:t>K</w:t>
      </w:r>
      <w:r w:rsidR="0086381E" w:rsidRPr="00AA7200">
        <w:t>riterierna för vad som avses med replik tas bort ur lagstiftningen. G</w:t>
      </w:r>
      <w:r w:rsidR="0086381E" w:rsidRPr="00AA7200">
        <w:t>e</w:t>
      </w:r>
      <w:r w:rsidR="0086381E" w:rsidRPr="00AA7200">
        <w:t>nom att regeln om replikrätten därmed blir mer öppen uppnås en bättre överen</w:t>
      </w:r>
      <w:r w:rsidR="0086381E" w:rsidRPr="00AA7200">
        <w:t>s</w:t>
      </w:r>
      <w:r w:rsidR="0086381E" w:rsidRPr="00AA7200">
        <w:t xml:space="preserve">stämmelse med hur replikrätten numera tillämpas. </w:t>
      </w:r>
      <w:r w:rsidRPr="00AA7200">
        <w:t>D</w:t>
      </w:r>
      <w:r w:rsidR="0086381E" w:rsidRPr="00AA7200">
        <w:t>en pra</w:t>
      </w:r>
      <w:r w:rsidR="0086381E" w:rsidRPr="00AA7200">
        <w:t>x</w:t>
      </w:r>
      <w:r w:rsidR="0086381E" w:rsidRPr="00AA7200">
        <w:t>is som gällt sedan länge att en replik begärs i omedelbar anslutning till anförandet l</w:t>
      </w:r>
      <w:r w:rsidR="00235131" w:rsidRPr="00AA7200">
        <w:t>a</w:t>
      </w:r>
      <w:r w:rsidR="0086381E" w:rsidRPr="00AA7200">
        <w:t>gr</w:t>
      </w:r>
      <w:r w:rsidR="0086381E" w:rsidRPr="00AA7200">
        <w:t>e</w:t>
      </w:r>
      <w:r w:rsidR="0086381E" w:rsidRPr="00AA7200">
        <w:t>gleras.</w:t>
      </w:r>
      <w:r w:rsidR="00235131" w:rsidRPr="00AA7200">
        <w:t xml:space="preserve"> </w:t>
      </w:r>
      <w:r w:rsidR="00D12BBC" w:rsidRPr="00AA7200">
        <w:t>Vidare lagregleras e</w:t>
      </w:r>
      <w:r w:rsidR="0086381E" w:rsidRPr="00AA7200">
        <w:t>n överenskommelse mellan talmannen och grup</w:t>
      </w:r>
      <w:r w:rsidR="0086381E" w:rsidRPr="00AA7200">
        <w:t>p</w:t>
      </w:r>
      <w:r w:rsidR="0086381E" w:rsidRPr="00AA7200">
        <w:t>ledarna om att en talare inte får anmäla sig senare än under andra o</w:t>
      </w:r>
      <w:r w:rsidR="0086381E" w:rsidRPr="00AA7200">
        <w:t>m</w:t>
      </w:r>
      <w:r w:rsidR="0086381E" w:rsidRPr="00AA7200">
        <w:t>gången i</w:t>
      </w:r>
      <w:r w:rsidRPr="00AA7200">
        <w:t xml:space="preserve"> </w:t>
      </w:r>
      <w:r w:rsidR="0086381E" w:rsidRPr="00AA7200">
        <w:t xml:space="preserve">en interpellationsdebatt. </w:t>
      </w:r>
      <w:r w:rsidR="00A8088C" w:rsidRPr="00AA7200">
        <w:t>Ordet omröstningsapparat utmönstras och i</w:t>
      </w:r>
      <w:r w:rsidR="00E434AA" w:rsidRPr="00AA7200">
        <w:t xml:space="preserve"> s</w:t>
      </w:r>
      <w:r w:rsidR="00A8088C" w:rsidRPr="00AA7200">
        <w:t>tället anges att omröstningen i kammaren sker elektroniskt.</w:t>
      </w:r>
      <w:r w:rsidR="00517DD6" w:rsidRPr="00AA7200">
        <w:t xml:space="preserve"> </w:t>
      </w:r>
      <w:r w:rsidR="00C05907" w:rsidRPr="00AA7200">
        <w:t>Regeln om ett statsråds sky</w:t>
      </w:r>
      <w:r w:rsidR="00C05907" w:rsidRPr="00AA7200">
        <w:t>l</w:t>
      </w:r>
      <w:r w:rsidR="00C05907" w:rsidRPr="00AA7200">
        <w:t>dighet att meddela kammarkan</w:t>
      </w:r>
      <w:r w:rsidR="00C05907" w:rsidRPr="00AA7200">
        <w:t>s</w:t>
      </w:r>
      <w:r w:rsidR="00C05907" w:rsidRPr="00AA7200">
        <w:t xml:space="preserve">liet om ett svar på en skriftlig fråga </w:t>
      </w:r>
      <w:r w:rsidR="00D42F8A" w:rsidRPr="00AA7200">
        <w:t>är försenat</w:t>
      </w:r>
      <w:r w:rsidR="00C05907" w:rsidRPr="00AA7200">
        <w:t xml:space="preserve"> eller uteblir förtydligas. </w:t>
      </w:r>
      <w:r w:rsidRPr="00AA7200">
        <w:t xml:space="preserve">Slutligen </w:t>
      </w:r>
      <w:r w:rsidR="005D2324" w:rsidRPr="00AA7200">
        <w:t>a</w:t>
      </w:r>
      <w:r w:rsidR="005D2324" w:rsidRPr="00AA7200">
        <w:t>n</w:t>
      </w:r>
      <w:r w:rsidR="005D2324" w:rsidRPr="00AA7200">
        <w:t xml:space="preserve">passas vissa begrepp när det gäller </w:t>
      </w:r>
      <w:r w:rsidR="00AE6033" w:rsidRPr="00AA7200">
        <w:t xml:space="preserve">främst </w:t>
      </w:r>
      <w:r w:rsidR="000625A0" w:rsidRPr="00AA7200">
        <w:t xml:space="preserve">budgetprocessen </w:t>
      </w:r>
      <w:r w:rsidR="005D2324" w:rsidRPr="00AA7200">
        <w:t>till regeringsformen i dess lydelse fr.o.m. den 1 jan</w:t>
      </w:r>
      <w:r w:rsidR="005D2324" w:rsidRPr="00AA7200">
        <w:t>u</w:t>
      </w:r>
      <w:r w:rsidR="005D2324" w:rsidRPr="00AA7200">
        <w:t>ari 2011.</w:t>
      </w:r>
      <w:r w:rsidRPr="00AA7200">
        <w:t xml:space="preserve">  </w:t>
      </w:r>
    </w:p>
    <w:p w:rsidR="0057237B" w:rsidRPr="00AA7200" w:rsidRDefault="00C20CB7" w:rsidP="00C20CB7">
      <w:pPr>
        <w:pStyle w:val="Normaltindrag"/>
      </w:pPr>
      <w:r w:rsidRPr="00AA7200">
        <w:t>I ärendet föreslår styrelsen också att den s.k. rixlexlagen</w:t>
      </w:r>
      <w:r w:rsidR="002B2F5F" w:rsidRPr="00AA7200">
        <w:t xml:space="preserve"> upphävs</w:t>
      </w:r>
      <w:r w:rsidRPr="00AA7200">
        <w:t xml:space="preserve">. Lagen reglerar </w:t>
      </w:r>
      <w:r w:rsidR="00C016F0" w:rsidRPr="00AA7200">
        <w:t>p</w:t>
      </w:r>
      <w:r w:rsidR="002B2F5F" w:rsidRPr="00AA7200">
        <w:t>ersonregister i riksdagens informationssystem Rixlex som bl.a. ligger till grund för planering av riksdagens ärendehantering och</w:t>
      </w:r>
      <w:r w:rsidR="00D42F8A" w:rsidRPr="00AA7200">
        <w:t xml:space="preserve"> för</w:t>
      </w:r>
      <w:r w:rsidR="002B2F5F" w:rsidRPr="00AA7200">
        <w:t xml:space="preserve"> att til</w:t>
      </w:r>
      <w:r w:rsidR="002B2F5F" w:rsidRPr="00AA7200">
        <w:t>l</w:t>
      </w:r>
      <w:r w:rsidR="002B2F5F" w:rsidRPr="00AA7200">
        <w:t>handahålla information om riksdagens ledamöter. Informationssystemet Ri</w:t>
      </w:r>
      <w:r w:rsidR="002B2F5F" w:rsidRPr="00AA7200">
        <w:t>x</w:t>
      </w:r>
      <w:r w:rsidR="002B2F5F" w:rsidRPr="00AA7200">
        <w:t xml:space="preserve">lex finns inte längre och dess ändamål tillgodoses på annat sätt. </w:t>
      </w:r>
    </w:p>
    <w:p w:rsidR="00815A6E" w:rsidRPr="00AA7200" w:rsidRDefault="00815A6E" w:rsidP="00C20CB7">
      <w:pPr>
        <w:pStyle w:val="Normaltindrag"/>
      </w:pPr>
      <w:r w:rsidRPr="00AA7200">
        <w:t>Lagändringarna föreslås träda i kraft den</w:t>
      </w:r>
      <w:r w:rsidR="003B539E" w:rsidRPr="00AA7200">
        <w:t xml:space="preserve"> 1 augusti 2012.</w:t>
      </w:r>
    </w:p>
    <w:p w:rsidR="0057237B" w:rsidRPr="00AA7200" w:rsidRDefault="0057237B" w:rsidP="0057237B">
      <w:pPr>
        <w:pStyle w:val="Normaltindrag"/>
      </w:pPr>
    </w:p>
    <w:p w:rsidR="0057237B" w:rsidRPr="00AA7200" w:rsidRDefault="0057237B" w:rsidP="0057237B">
      <w:pPr>
        <w:pStyle w:val="Normaltindrag"/>
        <w:sectPr w:rsidR="0057237B" w:rsidRPr="00AA7200">
          <w:headerReference w:type="even" r:id="rId9"/>
          <w:headerReference w:type="default" r:id="rId10"/>
          <w:footerReference w:type="even" r:id="rId11"/>
          <w:footerReference w:type="default" r:id="rId12"/>
          <w:headerReference w:type="first" r:id="rId13"/>
          <w:footerReference w:type="first" r:id="rId14"/>
          <w:pgSz w:w="11906" w:h="16838" w:code="9"/>
          <w:pgMar w:top="907" w:right="4649" w:bottom="4508" w:left="1304" w:header="340" w:footer="227" w:gutter="0"/>
          <w:cols w:space="720"/>
          <w:titlePg/>
        </w:sectPr>
      </w:pPr>
    </w:p>
    <w:p w:rsidR="0057237B" w:rsidRPr="00AA7200" w:rsidRDefault="0057237B" w:rsidP="0057237B">
      <w:pPr>
        <w:pStyle w:val="Rubrik1"/>
        <w:rPr>
          <w:noProof w:val="0"/>
        </w:rPr>
      </w:pPr>
      <w:bookmarkStart w:id="11" w:name="_Toc320600596"/>
      <w:r w:rsidRPr="00AA7200">
        <w:rPr>
          <w:noProof w:val="0"/>
        </w:rPr>
        <w:lastRenderedPageBreak/>
        <w:t>Innehållsförteckning</w:t>
      </w:r>
      <w:bookmarkEnd w:id="11"/>
    </w:p>
    <w:p w:rsidR="00E9078D" w:rsidRPr="00AA7200" w:rsidRDefault="0057237B">
      <w:pPr>
        <w:pStyle w:val="Innehll1"/>
        <w:rPr>
          <w:sz w:val="24"/>
          <w:szCs w:val="24"/>
        </w:rPr>
      </w:pPr>
      <w:r w:rsidRPr="00AA7200">
        <w:fldChar w:fldCharType="begin" w:fldLock="1"/>
      </w:r>
      <w:r w:rsidRPr="00AA7200">
        <w:instrText xml:space="preserve"> TOC \o "1-4" </w:instrText>
      </w:r>
      <w:r w:rsidRPr="00AA7200">
        <w:fldChar w:fldCharType="separate"/>
      </w:r>
      <w:r w:rsidR="00E9078D" w:rsidRPr="00AA7200">
        <w:t>Förslagets huvudsakliga innehåll</w:t>
      </w:r>
      <w:r w:rsidR="00E9078D" w:rsidRPr="00AA7200">
        <w:tab/>
      </w:r>
      <w:r w:rsidR="00E9078D" w:rsidRPr="00AA7200">
        <w:fldChar w:fldCharType="begin" w:fldLock="1"/>
      </w:r>
      <w:r w:rsidR="00E9078D" w:rsidRPr="00AA7200">
        <w:instrText xml:space="preserve"> PAGEREF _Toc320600595 \h </w:instrText>
      </w:r>
      <w:r w:rsidR="00E9078D" w:rsidRPr="00AA7200">
        <w:fldChar w:fldCharType="separate"/>
      </w:r>
      <w:r w:rsidR="003C571B" w:rsidRPr="00AA7200">
        <w:t>1</w:t>
      </w:r>
      <w:r w:rsidR="00E9078D" w:rsidRPr="00AA7200">
        <w:fldChar w:fldCharType="end"/>
      </w:r>
    </w:p>
    <w:p w:rsidR="00E9078D" w:rsidRPr="00AA7200" w:rsidRDefault="00E9078D">
      <w:pPr>
        <w:pStyle w:val="Innehll1"/>
        <w:rPr>
          <w:sz w:val="24"/>
          <w:szCs w:val="24"/>
        </w:rPr>
      </w:pPr>
      <w:r w:rsidRPr="00AA7200">
        <w:t>Innehållsförteckning</w:t>
      </w:r>
      <w:r w:rsidRPr="00AA7200">
        <w:tab/>
      </w:r>
      <w:r w:rsidRPr="00AA7200">
        <w:fldChar w:fldCharType="begin" w:fldLock="1"/>
      </w:r>
      <w:r w:rsidRPr="00AA7200">
        <w:instrText xml:space="preserve"> PAGEREF _Toc320600596 \h </w:instrText>
      </w:r>
      <w:r w:rsidRPr="00AA7200">
        <w:fldChar w:fldCharType="separate"/>
      </w:r>
      <w:r w:rsidR="003C571B" w:rsidRPr="00AA7200">
        <w:t>2</w:t>
      </w:r>
      <w:r w:rsidRPr="00AA7200">
        <w:fldChar w:fldCharType="end"/>
      </w:r>
    </w:p>
    <w:p w:rsidR="00E9078D" w:rsidRPr="00AA7200" w:rsidRDefault="00E9078D">
      <w:pPr>
        <w:pStyle w:val="Innehll1"/>
        <w:rPr>
          <w:sz w:val="24"/>
          <w:szCs w:val="24"/>
        </w:rPr>
      </w:pPr>
      <w:r w:rsidRPr="00AA7200">
        <w:t>1 Förslag till riksdagsbeslut</w:t>
      </w:r>
      <w:r w:rsidRPr="00AA7200">
        <w:tab/>
      </w:r>
      <w:r w:rsidRPr="00AA7200">
        <w:fldChar w:fldCharType="begin" w:fldLock="1"/>
      </w:r>
      <w:r w:rsidRPr="00AA7200">
        <w:instrText xml:space="preserve"> PAGEREF _Toc320600597 \h </w:instrText>
      </w:r>
      <w:r w:rsidRPr="00AA7200">
        <w:fldChar w:fldCharType="separate"/>
      </w:r>
      <w:r w:rsidR="003C571B" w:rsidRPr="00AA7200">
        <w:t>3</w:t>
      </w:r>
      <w:r w:rsidRPr="00AA7200">
        <w:fldChar w:fldCharType="end"/>
      </w:r>
    </w:p>
    <w:p w:rsidR="00E9078D" w:rsidRPr="00AA7200" w:rsidRDefault="00E9078D">
      <w:pPr>
        <w:pStyle w:val="Innehll3"/>
        <w:rPr>
          <w:sz w:val="24"/>
          <w:szCs w:val="24"/>
        </w:rPr>
      </w:pPr>
      <w:r w:rsidRPr="00AA7200">
        <w:t>1. Ändring i riksdagsordningens huvudbestämmelser</w:t>
      </w:r>
      <w:r w:rsidRPr="00AA7200">
        <w:tab/>
      </w:r>
      <w:r w:rsidRPr="00AA7200">
        <w:fldChar w:fldCharType="begin" w:fldLock="1"/>
      </w:r>
      <w:r w:rsidRPr="00AA7200">
        <w:instrText xml:space="preserve"> PAGEREF _Toc320600598 \h </w:instrText>
      </w:r>
      <w:r w:rsidRPr="00AA7200">
        <w:fldChar w:fldCharType="separate"/>
      </w:r>
      <w:r w:rsidR="003C571B" w:rsidRPr="00AA7200">
        <w:t>3</w:t>
      </w:r>
      <w:r w:rsidRPr="00AA7200">
        <w:fldChar w:fldCharType="end"/>
      </w:r>
    </w:p>
    <w:p w:rsidR="00E9078D" w:rsidRPr="00AA7200" w:rsidRDefault="00E9078D">
      <w:pPr>
        <w:pStyle w:val="Innehll3"/>
        <w:rPr>
          <w:sz w:val="24"/>
          <w:szCs w:val="24"/>
        </w:rPr>
      </w:pPr>
      <w:r w:rsidRPr="00AA7200">
        <w:t>2. Ändring i riksdagsordningens tilläggsbestämmelser</w:t>
      </w:r>
      <w:r w:rsidRPr="00AA7200">
        <w:tab/>
      </w:r>
      <w:r w:rsidRPr="00AA7200">
        <w:fldChar w:fldCharType="begin" w:fldLock="1"/>
      </w:r>
      <w:r w:rsidRPr="00AA7200">
        <w:instrText xml:space="preserve"> PAGEREF _Toc320600599 \h </w:instrText>
      </w:r>
      <w:r w:rsidRPr="00AA7200">
        <w:fldChar w:fldCharType="separate"/>
      </w:r>
      <w:r w:rsidR="003C571B" w:rsidRPr="00AA7200">
        <w:t>3</w:t>
      </w:r>
      <w:r w:rsidRPr="00AA7200">
        <w:fldChar w:fldCharType="end"/>
      </w:r>
    </w:p>
    <w:p w:rsidR="00E9078D" w:rsidRPr="00AA7200" w:rsidRDefault="00E9078D">
      <w:pPr>
        <w:pStyle w:val="Innehll3"/>
        <w:rPr>
          <w:sz w:val="24"/>
          <w:szCs w:val="24"/>
        </w:rPr>
      </w:pPr>
      <w:r w:rsidRPr="00AA7200">
        <w:t>3. Upphävande av rixlexlagen</w:t>
      </w:r>
      <w:r w:rsidRPr="00AA7200">
        <w:tab/>
      </w:r>
      <w:r w:rsidRPr="00AA7200">
        <w:fldChar w:fldCharType="begin" w:fldLock="1"/>
      </w:r>
      <w:r w:rsidRPr="00AA7200">
        <w:instrText xml:space="preserve"> PAGEREF _Toc320600600 \h </w:instrText>
      </w:r>
      <w:r w:rsidRPr="00AA7200">
        <w:fldChar w:fldCharType="separate"/>
      </w:r>
      <w:r w:rsidR="003C571B" w:rsidRPr="00AA7200">
        <w:t>3</w:t>
      </w:r>
      <w:r w:rsidRPr="00AA7200">
        <w:fldChar w:fldCharType="end"/>
      </w:r>
    </w:p>
    <w:p w:rsidR="00E9078D" w:rsidRPr="00AA7200" w:rsidRDefault="00E9078D">
      <w:pPr>
        <w:pStyle w:val="Innehll1"/>
        <w:rPr>
          <w:sz w:val="24"/>
          <w:szCs w:val="24"/>
        </w:rPr>
      </w:pPr>
      <w:r w:rsidRPr="00AA7200">
        <w:t>2 Lagtext</w:t>
      </w:r>
      <w:r w:rsidRPr="00AA7200">
        <w:tab/>
      </w:r>
      <w:r w:rsidRPr="00AA7200">
        <w:fldChar w:fldCharType="begin" w:fldLock="1"/>
      </w:r>
      <w:r w:rsidRPr="00AA7200">
        <w:instrText xml:space="preserve"> PAGEREF _Toc320600601 \h </w:instrText>
      </w:r>
      <w:r w:rsidRPr="00AA7200">
        <w:fldChar w:fldCharType="separate"/>
      </w:r>
      <w:r w:rsidR="003C571B" w:rsidRPr="00AA7200">
        <w:t>4</w:t>
      </w:r>
      <w:r w:rsidRPr="00AA7200">
        <w:fldChar w:fldCharType="end"/>
      </w:r>
    </w:p>
    <w:p w:rsidR="00E9078D" w:rsidRPr="00AA7200" w:rsidRDefault="00E9078D">
      <w:pPr>
        <w:pStyle w:val="Innehll2"/>
        <w:rPr>
          <w:sz w:val="24"/>
          <w:szCs w:val="24"/>
        </w:rPr>
      </w:pPr>
      <w:r w:rsidRPr="00AA7200">
        <w:t>2.1 Förslag till lag om ändring i riksdagsordningen</w:t>
      </w:r>
      <w:r w:rsidRPr="00AA7200">
        <w:tab/>
      </w:r>
      <w:r w:rsidRPr="00AA7200">
        <w:fldChar w:fldCharType="begin" w:fldLock="1"/>
      </w:r>
      <w:r w:rsidRPr="00AA7200">
        <w:instrText xml:space="preserve"> PAGEREF _Toc320600602 \h </w:instrText>
      </w:r>
      <w:r w:rsidRPr="00AA7200">
        <w:fldChar w:fldCharType="separate"/>
      </w:r>
      <w:r w:rsidR="003C571B" w:rsidRPr="00AA7200">
        <w:t>4</w:t>
      </w:r>
      <w:r w:rsidRPr="00AA7200">
        <w:fldChar w:fldCharType="end"/>
      </w:r>
    </w:p>
    <w:p w:rsidR="00E9078D" w:rsidRPr="00AA7200" w:rsidRDefault="00E9078D">
      <w:pPr>
        <w:pStyle w:val="Innehll2"/>
        <w:rPr>
          <w:sz w:val="24"/>
          <w:szCs w:val="24"/>
        </w:rPr>
      </w:pPr>
      <w:r w:rsidRPr="00AA7200">
        <w:t>2.2 Förslag till lag om upphävande av lagen (1993:825) om personregister i riksdagens informationssystem Rixlex</w:t>
      </w:r>
      <w:r w:rsidRPr="00AA7200">
        <w:tab/>
      </w:r>
      <w:r w:rsidRPr="00AA7200">
        <w:fldChar w:fldCharType="begin" w:fldLock="1"/>
      </w:r>
      <w:r w:rsidRPr="00AA7200">
        <w:instrText xml:space="preserve"> PAGEREF _Toc320600603 \h </w:instrText>
      </w:r>
      <w:r w:rsidRPr="00AA7200">
        <w:fldChar w:fldCharType="separate"/>
      </w:r>
      <w:r w:rsidR="003C571B" w:rsidRPr="00AA7200">
        <w:t>10</w:t>
      </w:r>
      <w:r w:rsidRPr="00AA7200">
        <w:fldChar w:fldCharType="end"/>
      </w:r>
    </w:p>
    <w:p w:rsidR="00E9078D" w:rsidRPr="00AA7200" w:rsidRDefault="00E9078D">
      <w:pPr>
        <w:pStyle w:val="Innehll1"/>
        <w:rPr>
          <w:sz w:val="24"/>
          <w:szCs w:val="24"/>
        </w:rPr>
      </w:pPr>
      <w:r w:rsidRPr="00AA7200">
        <w:t>3 Ärendet och dess beredning</w:t>
      </w:r>
      <w:r w:rsidRPr="00AA7200">
        <w:tab/>
      </w:r>
      <w:r w:rsidRPr="00AA7200">
        <w:fldChar w:fldCharType="begin" w:fldLock="1"/>
      </w:r>
      <w:r w:rsidRPr="00AA7200">
        <w:instrText xml:space="preserve"> PAGEREF _Toc320600604 \h </w:instrText>
      </w:r>
      <w:r w:rsidRPr="00AA7200">
        <w:fldChar w:fldCharType="separate"/>
      </w:r>
      <w:r w:rsidR="003C571B" w:rsidRPr="00AA7200">
        <w:t>11</w:t>
      </w:r>
      <w:r w:rsidRPr="00AA7200">
        <w:fldChar w:fldCharType="end"/>
      </w:r>
    </w:p>
    <w:p w:rsidR="00E9078D" w:rsidRPr="00AA7200" w:rsidRDefault="00E9078D">
      <w:pPr>
        <w:pStyle w:val="Innehll1"/>
        <w:rPr>
          <w:sz w:val="24"/>
          <w:szCs w:val="24"/>
        </w:rPr>
      </w:pPr>
      <w:r w:rsidRPr="00AA7200">
        <w:t>4 Riksdagsstyrelsens överväganden</w:t>
      </w:r>
      <w:r w:rsidRPr="00AA7200">
        <w:tab/>
      </w:r>
      <w:r w:rsidRPr="00AA7200">
        <w:fldChar w:fldCharType="begin" w:fldLock="1"/>
      </w:r>
      <w:r w:rsidRPr="00AA7200">
        <w:instrText xml:space="preserve"> PAGEREF _Toc320600605 \h </w:instrText>
      </w:r>
      <w:r w:rsidRPr="00AA7200">
        <w:fldChar w:fldCharType="separate"/>
      </w:r>
      <w:r w:rsidR="003C571B" w:rsidRPr="00AA7200">
        <w:t>12</w:t>
      </w:r>
      <w:r w:rsidRPr="00AA7200">
        <w:fldChar w:fldCharType="end"/>
      </w:r>
    </w:p>
    <w:p w:rsidR="00E9078D" w:rsidRPr="00AA7200" w:rsidRDefault="00E9078D">
      <w:pPr>
        <w:pStyle w:val="Innehll2"/>
        <w:rPr>
          <w:sz w:val="24"/>
          <w:szCs w:val="24"/>
        </w:rPr>
      </w:pPr>
      <w:r w:rsidRPr="00AA7200">
        <w:t>Replikrätten</w:t>
      </w:r>
      <w:r w:rsidRPr="00AA7200">
        <w:tab/>
      </w:r>
      <w:r w:rsidRPr="00AA7200">
        <w:fldChar w:fldCharType="begin" w:fldLock="1"/>
      </w:r>
      <w:r w:rsidRPr="00AA7200">
        <w:instrText xml:space="preserve"> PAGEREF _Toc320600606 \h </w:instrText>
      </w:r>
      <w:r w:rsidRPr="00AA7200">
        <w:fldChar w:fldCharType="separate"/>
      </w:r>
      <w:r w:rsidR="003C571B" w:rsidRPr="00AA7200">
        <w:t>12</w:t>
      </w:r>
      <w:r w:rsidRPr="00AA7200">
        <w:fldChar w:fldCharType="end"/>
      </w:r>
    </w:p>
    <w:p w:rsidR="00E9078D" w:rsidRPr="00AA7200" w:rsidRDefault="00E9078D">
      <w:pPr>
        <w:pStyle w:val="Innehll3"/>
        <w:rPr>
          <w:sz w:val="24"/>
          <w:szCs w:val="24"/>
        </w:rPr>
      </w:pPr>
      <w:r w:rsidRPr="00AA7200">
        <w:t>Vad som avses med replik</w:t>
      </w:r>
      <w:r w:rsidRPr="00AA7200">
        <w:tab/>
      </w:r>
      <w:r w:rsidRPr="00AA7200">
        <w:fldChar w:fldCharType="begin" w:fldLock="1"/>
      </w:r>
      <w:r w:rsidRPr="00AA7200">
        <w:instrText xml:space="preserve"> PAGEREF _Toc320600607 \h </w:instrText>
      </w:r>
      <w:r w:rsidRPr="00AA7200">
        <w:fldChar w:fldCharType="separate"/>
      </w:r>
      <w:r w:rsidR="003C571B" w:rsidRPr="00AA7200">
        <w:t>12</w:t>
      </w:r>
      <w:r w:rsidRPr="00AA7200">
        <w:fldChar w:fldCharType="end"/>
      </w:r>
    </w:p>
    <w:p w:rsidR="00E9078D" w:rsidRPr="00AA7200" w:rsidRDefault="00E9078D">
      <w:pPr>
        <w:pStyle w:val="Innehll3"/>
        <w:rPr>
          <w:sz w:val="24"/>
          <w:szCs w:val="24"/>
        </w:rPr>
      </w:pPr>
      <w:r w:rsidRPr="00AA7200">
        <w:t>När replik kan begäras</w:t>
      </w:r>
      <w:r w:rsidRPr="00AA7200">
        <w:tab/>
      </w:r>
      <w:r w:rsidRPr="00AA7200">
        <w:fldChar w:fldCharType="begin" w:fldLock="1"/>
      </w:r>
      <w:r w:rsidRPr="00AA7200">
        <w:instrText xml:space="preserve"> PAGEREF _Toc320600608 \h </w:instrText>
      </w:r>
      <w:r w:rsidRPr="00AA7200">
        <w:fldChar w:fldCharType="separate"/>
      </w:r>
      <w:r w:rsidR="003C571B" w:rsidRPr="00AA7200">
        <w:t>13</w:t>
      </w:r>
      <w:r w:rsidRPr="00AA7200">
        <w:fldChar w:fldCharType="end"/>
      </w:r>
    </w:p>
    <w:p w:rsidR="00E9078D" w:rsidRPr="00AA7200" w:rsidRDefault="00E9078D">
      <w:pPr>
        <w:pStyle w:val="Innehll2"/>
        <w:rPr>
          <w:sz w:val="24"/>
          <w:szCs w:val="24"/>
        </w:rPr>
      </w:pPr>
      <w:r w:rsidRPr="00AA7200">
        <w:t>Omröstning</w:t>
      </w:r>
      <w:r w:rsidRPr="00AA7200">
        <w:tab/>
      </w:r>
      <w:r w:rsidRPr="00AA7200">
        <w:fldChar w:fldCharType="begin" w:fldLock="1"/>
      </w:r>
      <w:r w:rsidRPr="00AA7200">
        <w:instrText xml:space="preserve"> PAGEREF _Toc320600609 \h </w:instrText>
      </w:r>
      <w:r w:rsidRPr="00AA7200">
        <w:fldChar w:fldCharType="separate"/>
      </w:r>
      <w:r w:rsidR="003C571B" w:rsidRPr="00AA7200">
        <w:t>13</w:t>
      </w:r>
      <w:r w:rsidRPr="00AA7200">
        <w:fldChar w:fldCharType="end"/>
      </w:r>
    </w:p>
    <w:p w:rsidR="00E9078D" w:rsidRPr="00AA7200" w:rsidRDefault="00E9078D">
      <w:pPr>
        <w:pStyle w:val="Innehll2"/>
        <w:rPr>
          <w:sz w:val="24"/>
          <w:szCs w:val="24"/>
        </w:rPr>
      </w:pPr>
      <w:r w:rsidRPr="00AA7200">
        <w:t>Talarordningen i interpellationsdebatter</w:t>
      </w:r>
      <w:r w:rsidRPr="00AA7200">
        <w:tab/>
      </w:r>
      <w:r w:rsidRPr="00AA7200">
        <w:fldChar w:fldCharType="begin" w:fldLock="1"/>
      </w:r>
      <w:r w:rsidRPr="00AA7200">
        <w:instrText xml:space="preserve"> PAGEREF _Toc320600610 \h </w:instrText>
      </w:r>
      <w:r w:rsidRPr="00AA7200">
        <w:fldChar w:fldCharType="separate"/>
      </w:r>
      <w:r w:rsidR="003C571B" w:rsidRPr="00AA7200">
        <w:t>13</w:t>
      </w:r>
      <w:r w:rsidRPr="00AA7200">
        <w:fldChar w:fldCharType="end"/>
      </w:r>
    </w:p>
    <w:p w:rsidR="00E9078D" w:rsidRPr="00AA7200" w:rsidRDefault="00E9078D">
      <w:pPr>
        <w:pStyle w:val="Innehll2"/>
        <w:rPr>
          <w:sz w:val="24"/>
          <w:szCs w:val="24"/>
        </w:rPr>
      </w:pPr>
      <w:r w:rsidRPr="00AA7200">
        <w:t>Meddelande om försenat eller uteblivet frågesvar</w:t>
      </w:r>
      <w:r w:rsidRPr="00AA7200">
        <w:tab/>
      </w:r>
      <w:r w:rsidRPr="00AA7200">
        <w:fldChar w:fldCharType="begin" w:fldLock="1"/>
      </w:r>
      <w:r w:rsidRPr="00AA7200">
        <w:instrText xml:space="preserve"> PAGEREF _Toc320600611 \h </w:instrText>
      </w:r>
      <w:r w:rsidRPr="00AA7200">
        <w:fldChar w:fldCharType="separate"/>
      </w:r>
      <w:r w:rsidR="003C571B" w:rsidRPr="00AA7200">
        <w:t>14</w:t>
      </w:r>
      <w:r w:rsidRPr="00AA7200">
        <w:fldChar w:fldCharType="end"/>
      </w:r>
    </w:p>
    <w:p w:rsidR="00E9078D" w:rsidRPr="00AA7200" w:rsidRDefault="00E9078D">
      <w:pPr>
        <w:pStyle w:val="Innehll2"/>
        <w:rPr>
          <w:sz w:val="24"/>
          <w:szCs w:val="24"/>
        </w:rPr>
      </w:pPr>
      <w:r w:rsidRPr="00AA7200">
        <w:t>Anpassning till regeringsformen av begrepp i budgetprocessen</w:t>
      </w:r>
      <w:r w:rsidRPr="00AA7200">
        <w:tab/>
      </w:r>
      <w:r w:rsidRPr="00AA7200">
        <w:fldChar w:fldCharType="begin" w:fldLock="1"/>
      </w:r>
      <w:r w:rsidRPr="00AA7200">
        <w:instrText xml:space="preserve"> PAGEREF _Toc320600612 \h </w:instrText>
      </w:r>
      <w:r w:rsidRPr="00AA7200">
        <w:fldChar w:fldCharType="separate"/>
      </w:r>
      <w:r w:rsidR="003C571B" w:rsidRPr="00AA7200">
        <w:t>14</w:t>
      </w:r>
      <w:r w:rsidRPr="00AA7200">
        <w:fldChar w:fldCharType="end"/>
      </w:r>
    </w:p>
    <w:p w:rsidR="00E9078D" w:rsidRPr="00AA7200" w:rsidRDefault="00E9078D">
      <w:pPr>
        <w:pStyle w:val="Innehll2"/>
        <w:rPr>
          <w:sz w:val="24"/>
          <w:szCs w:val="24"/>
        </w:rPr>
      </w:pPr>
      <w:r w:rsidRPr="00AA7200">
        <w:t>Upphävande av rixlexlagen</w:t>
      </w:r>
      <w:r w:rsidRPr="00AA7200">
        <w:tab/>
      </w:r>
      <w:r w:rsidRPr="00AA7200">
        <w:fldChar w:fldCharType="begin" w:fldLock="1"/>
      </w:r>
      <w:r w:rsidRPr="00AA7200">
        <w:instrText xml:space="preserve"> PAGEREF _Toc320600613 \h </w:instrText>
      </w:r>
      <w:r w:rsidRPr="00AA7200">
        <w:fldChar w:fldCharType="separate"/>
      </w:r>
      <w:r w:rsidR="003C571B" w:rsidRPr="00AA7200">
        <w:t>15</w:t>
      </w:r>
      <w:r w:rsidRPr="00AA7200">
        <w:fldChar w:fldCharType="end"/>
      </w:r>
    </w:p>
    <w:p w:rsidR="0057237B" w:rsidRPr="00AA7200" w:rsidRDefault="0057237B" w:rsidP="0057237B">
      <w:r w:rsidRPr="00AA7200">
        <w:fldChar w:fldCharType="end"/>
      </w:r>
    </w:p>
    <w:p w:rsidR="0057237B" w:rsidRPr="00AA7200" w:rsidRDefault="0057237B" w:rsidP="0057237B">
      <w:pPr>
        <w:pStyle w:val="Normaltindrag"/>
        <w:sectPr w:rsidR="0057237B" w:rsidRPr="00AA7200">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sectPr>
      </w:pPr>
    </w:p>
    <w:p w:rsidR="0071700B" w:rsidRPr="00AA7200" w:rsidRDefault="0071700B" w:rsidP="0071700B">
      <w:pPr>
        <w:pStyle w:val="Rubrik1"/>
        <w:rPr>
          <w:noProof w:val="0"/>
        </w:rPr>
      </w:pPr>
      <w:bookmarkStart w:id="12" w:name="_Toc320600597"/>
      <w:r w:rsidRPr="00AA7200">
        <w:rPr>
          <w:noProof w:val="0"/>
        </w:rPr>
        <w:t>1 Förslag till riksdagsbeslut</w:t>
      </w:r>
      <w:bookmarkEnd w:id="12"/>
    </w:p>
    <w:p w:rsidR="00DC02C9" w:rsidRPr="00AA7200" w:rsidRDefault="00C22559" w:rsidP="002240BD">
      <w:pPr>
        <w:pStyle w:val="Rubrik3"/>
        <w:rPr>
          <w:noProof w:val="0"/>
        </w:rPr>
      </w:pPr>
      <w:bookmarkStart w:id="13" w:name="_Toc320600598"/>
      <w:r w:rsidRPr="00AA7200">
        <w:rPr>
          <w:noProof w:val="0"/>
        </w:rPr>
        <w:t xml:space="preserve">1. </w:t>
      </w:r>
      <w:r w:rsidR="00DC02C9" w:rsidRPr="00AA7200">
        <w:rPr>
          <w:noProof w:val="0"/>
        </w:rPr>
        <w:t>Ändring i riksdagsordningens huvudbestämmelser</w:t>
      </w:r>
      <w:bookmarkEnd w:id="13"/>
    </w:p>
    <w:p w:rsidR="0071700B" w:rsidRPr="00AA7200" w:rsidRDefault="0071700B" w:rsidP="00C22559">
      <w:pPr>
        <w:autoSpaceDE w:val="0"/>
        <w:autoSpaceDN w:val="0"/>
        <w:adjustRightInd w:val="0"/>
        <w:spacing w:before="0" w:line="240" w:lineRule="auto"/>
        <w:jc w:val="left"/>
      </w:pPr>
      <w:r w:rsidRPr="00AA7200">
        <w:t>Riksdagen antar</w:t>
      </w:r>
      <w:r w:rsidR="00C22559" w:rsidRPr="00AA7200">
        <w:t xml:space="preserve"> </w:t>
      </w:r>
      <w:r w:rsidR="00C22559" w:rsidRPr="00AA7200">
        <w:rPr>
          <w:szCs w:val="19"/>
        </w:rPr>
        <w:t>i den ordning som anges i 8 kap. 17 § första stycket andra meningen regeringsformen förslaget till lag om ändring i riksdagsor</w:t>
      </w:r>
      <w:r w:rsidR="00C22559" w:rsidRPr="00AA7200">
        <w:rPr>
          <w:szCs w:val="19"/>
        </w:rPr>
        <w:t>d</w:t>
      </w:r>
      <w:r w:rsidR="00C22559" w:rsidRPr="00AA7200">
        <w:rPr>
          <w:szCs w:val="19"/>
        </w:rPr>
        <w:t xml:space="preserve">ningen </w:t>
      </w:r>
      <w:r w:rsidR="005E3D2D" w:rsidRPr="00AA7200">
        <w:rPr>
          <w:szCs w:val="19"/>
        </w:rPr>
        <w:t xml:space="preserve">i de delar det </w:t>
      </w:r>
      <w:r w:rsidR="00C22559" w:rsidRPr="00AA7200">
        <w:rPr>
          <w:szCs w:val="19"/>
        </w:rPr>
        <w:t>avser huvudbestämmelse</w:t>
      </w:r>
      <w:r w:rsidR="00AE6033" w:rsidRPr="00AA7200">
        <w:rPr>
          <w:szCs w:val="19"/>
        </w:rPr>
        <w:t>r</w:t>
      </w:r>
      <w:r w:rsidR="00C22559" w:rsidRPr="00AA7200">
        <w:rPr>
          <w:szCs w:val="19"/>
        </w:rPr>
        <w:t>n</w:t>
      </w:r>
      <w:r w:rsidR="00AE6033" w:rsidRPr="00AA7200">
        <w:rPr>
          <w:szCs w:val="19"/>
        </w:rPr>
        <w:t>a</w:t>
      </w:r>
      <w:r w:rsidR="00C22559" w:rsidRPr="00AA7200">
        <w:rPr>
          <w:szCs w:val="19"/>
        </w:rPr>
        <w:t>.</w:t>
      </w:r>
      <w:r w:rsidRPr="00AA7200">
        <w:t xml:space="preserve"> </w:t>
      </w:r>
      <w:bookmarkStart w:id="14" w:name="RESPARTI001"/>
      <w:bookmarkEnd w:id="14"/>
    </w:p>
    <w:p w:rsidR="00C22559" w:rsidRPr="00AA7200" w:rsidRDefault="00C22559" w:rsidP="002240BD">
      <w:pPr>
        <w:pStyle w:val="Rubrik3"/>
        <w:rPr>
          <w:noProof w:val="0"/>
        </w:rPr>
      </w:pPr>
      <w:bookmarkStart w:id="15" w:name="_Toc320600599"/>
      <w:r w:rsidRPr="00AA7200">
        <w:rPr>
          <w:noProof w:val="0"/>
        </w:rPr>
        <w:t>2. Ändring i riksdagsordningens tilläggsbestämmelser</w:t>
      </w:r>
      <w:bookmarkEnd w:id="15"/>
    </w:p>
    <w:p w:rsidR="00C22559" w:rsidRPr="00AA7200" w:rsidRDefault="00C22559" w:rsidP="00C22559">
      <w:pPr>
        <w:autoSpaceDE w:val="0"/>
        <w:autoSpaceDN w:val="0"/>
        <w:adjustRightInd w:val="0"/>
        <w:spacing w:before="0" w:line="240" w:lineRule="auto"/>
        <w:jc w:val="left"/>
        <w:rPr>
          <w:szCs w:val="19"/>
        </w:rPr>
      </w:pPr>
      <w:r w:rsidRPr="00AA7200">
        <w:rPr>
          <w:szCs w:val="19"/>
        </w:rPr>
        <w:t xml:space="preserve">Riksdagen antar förslaget till lag om ändring i riksdagsordningen </w:t>
      </w:r>
      <w:r w:rsidR="005E3D2D" w:rsidRPr="00AA7200">
        <w:rPr>
          <w:szCs w:val="19"/>
        </w:rPr>
        <w:t>i de delar det a</w:t>
      </w:r>
      <w:r w:rsidRPr="00AA7200">
        <w:rPr>
          <w:szCs w:val="19"/>
        </w:rPr>
        <w:t>vser tilläggsbestämmelserna.</w:t>
      </w:r>
    </w:p>
    <w:p w:rsidR="00C62D62" w:rsidRPr="00AA7200" w:rsidRDefault="00C62D62" w:rsidP="002240BD">
      <w:pPr>
        <w:pStyle w:val="Rubrik3"/>
        <w:rPr>
          <w:noProof w:val="0"/>
        </w:rPr>
      </w:pPr>
      <w:bookmarkStart w:id="16" w:name="_Toc320600600"/>
      <w:r w:rsidRPr="00AA7200">
        <w:rPr>
          <w:noProof w:val="0"/>
        </w:rPr>
        <w:t>3. Upphävande av rixlexlagen</w:t>
      </w:r>
      <w:bookmarkEnd w:id="16"/>
      <w:r w:rsidRPr="00AA7200">
        <w:rPr>
          <w:noProof w:val="0"/>
        </w:rPr>
        <w:t xml:space="preserve"> </w:t>
      </w:r>
    </w:p>
    <w:p w:rsidR="00C62D62" w:rsidRPr="00AA7200" w:rsidRDefault="00C62D62" w:rsidP="008D4B06">
      <w:pPr>
        <w:spacing w:before="0"/>
      </w:pPr>
      <w:r w:rsidRPr="00AA7200">
        <w:t xml:space="preserve">Riksdagen antar förslaget till lag </w:t>
      </w:r>
      <w:r w:rsidR="009A69EA" w:rsidRPr="00AA7200">
        <w:t xml:space="preserve">om upphävande av lagen (1993:825) </w:t>
      </w:r>
      <w:r w:rsidR="00F64088" w:rsidRPr="00AA7200">
        <w:t xml:space="preserve">om personregister i riksdagens informationssystem Rixlex. </w:t>
      </w:r>
    </w:p>
    <w:p w:rsidR="00E71470" w:rsidRPr="00AA7200" w:rsidRDefault="00E71470" w:rsidP="00E71470">
      <w:pPr>
        <w:spacing w:before="480"/>
      </w:pPr>
      <w:bookmarkStart w:id="17" w:name="Nästa_Hpunkt"/>
      <w:bookmarkEnd w:id="17"/>
      <w:r w:rsidRPr="00AA7200">
        <w:t xml:space="preserve">Stockholm den </w:t>
      </w:r>
      <w:r w:rsidR="008D4B06" w:rsidRPr="00AA7200">
        <w:t>28 mars</w:t>
      </w:r>
      <w:r w:rsidR="007D3971" w:rsidRPr="00AA7200">
        <w:t xml:space="preserve"> 2012</w:t>
      </w:r>
    </w:p>
    <w:p w:rsidR="00E71470" w:rsidRPr="00AA7200" w:rsidRDefault="00E71470" w:rsidP="00E71470">
      <w:pPr>
        <w:spacing w:before="240"/>
      </w:pPr>
      <w:r w:rsidRPr="00AA7200">
        <w:t>På riksdagsstyrelsens vägnar</w:t>
      </w:r>
    </w:p>
    <w:p w:rsidR="00E71470" w:rsidRPr="00AA7200" w:rsidRDefault="00E71470" w:rsidP="00E71470">
      <w:pPr>
        <w:spacing w:before="840"/>
        <w:rPr>
          <w:i/>
        </w:rPr>
      </w:pPr>
      <w:r w:rsidRPr="00AA7200">
        <w:rPr>
          <w:i/>
        </w:rPr>
        <w:t>Per Westerberg</w:t>
      </w:r>
    </w:p>
    <w:p w:rsidR="00E71470" w:rsidRPr="00AA7200" w:rsidRDefault="00E71470" w:rsidP="00E71470">
      <w:pPr>
        <w:pStyle w:val="Normaltindrag"/>
      </w:pPr>
    </w:p>
    <w:p w:rsidR="00E71470" w:rsidRPr="00AA7200" w:rsidRDefault="00E71470" w:rsidP="00E71470">
      <w:pPr>
        <w:rPr>
          <w:i/>
        </w:rPr>
      </w:pPr>
      <w:r w:rsidRPr="00AA7200">
        <w:tab/>
      </w:r>
      <w:r w:rsidRPr="00AA7200">
        <w:tab/>
      </w:r>
      <w:r w:rsidRPr="00AA7200">
        <w:tab/>
      </w:r>
      <w:r w:rsidRPr="00AA7200">
        <w:tab/>
      </w:r>
      <w:r w:rsidRPr="00AA7200">
        <w:tab/>
      </w:r>
      <w:r w:rsidRPr="00AA7200">
        <w:tab/>
      </w:r>
      <w:r w:rsidRPr="00AA7200">
        <w:tab/>
      </w:r>
      <w:r w:rsidRPr="00AA7200">
        <w:rPr>
          <w:i/>
        </w:rPr>
        <w:t>Kathrin Flossing</w:t>
      </w:r>
    </w:p>
    <w:p w:rsidR="003A0A56" w:rsidRPr="00AA7200" w:rsidRDefault="003A0A56" w:rsidP="003A0A56">
      <w:pPr>
        <w:pStyle w:val="Normaltindrag"/>
      </w:pPr>
    </w:p>
    <w:p w:rsidR="003A0A56" w:rsidRPr="00AA7200" w:rsidRDefault="003A0A56" w:rsidP="003A0A56">
      <w:pPr>
        <w:pStyle w:val="Normaltindrag"/>
      </w:pPr>
    </w:p>
    <w:p w:rsidR="003A0A56" w:rsidRPr="00AA7200" w:rsidRDefault="003A0A56" w:rsidP="003A0A56">
      <w:pPr>
        <w:pStyle w:val="Normaltindrag"/>
      </w:pPr>
    </w:p>
    <w:p w:rsidR="003A0A56" w:rsidRPr="00AA7200" w:rsidRDefault="003A0A56" w:rsidP="003A0A56">
      <w:pPr>
        <w:pStyle w:val="Normaltindrag"/>
      </w:pPr>
    </w:p>
    <w:p w:rsidR="003A0A56" w:rsidRPr="00AA7200" w:rsidRDefault="003A0A56" w:rsidP="003A0A56">
      <w:pPr>
        <w:pStyle w:val="Deltagare"/>
        <w:rPr>
          <w:noProof w:val="0"/>
        </w:rPr>
      </w:pPr>
      <w:r w:rsidRPr="00AA7200">
        <w:rPr>
          <w:noProof w:val="0"/>
        </w:rPr>
        <w:t>I beslutet har deltagit: Per Westerberg, ordförande, Mikael Damberg (S), Leif Jakobsson (S), Karin Åström (S), Magdalena Andersson (M), Berit H</w:t>
      </w:r>
      <w:r w:rsidRPr="00AA7200">
        <w:rPr>
          <w:noProof w:val="0"/>
        </w:rPr>
        <w:t>ö</w:t>
      </w:r>
      <w:r w:rsidRPr="00AA7200">
        <w:rPr>
          <w:noProof w:val="0"/>
        </w:rPr>
        <w:t>gman (S), Jan-Evert Rådhstöm (M), Me</w:t>
      </w:r>
      <w:r w:rsidR="00313121" w:rsidRPr="00AA7200">
        <w:rPr>
          <w:noProof w:val="0"/>
        </w:rPr>
        <w:t>h</w:t>
      </w:r>
      <w:r w:rsidRPr="00AA7200">
        <w:rPr>
          <w:noProof w:val="0"/>
        </w:rPr>
        <w:t xml:space="preserve">met Kaplan (MP) och Allan Widman </w:t>
      </w:r>
      <w:r w:rsidR="00313121" w:rsidRPr="00AA7200">
        <w:rPr>
          <w:noProof w:val="0"/>
        </w:rPr>
        <w:t>(</w:t>
      </w:r>
      <w:r w:rsidRPr="00AA7200">
        <w:rPr>
          <w:noProof w:val="0"/>
        </w:rPr>
        <w:t>FP)</w:t>
      </w:r>
      <w:r w:rsidR="00313121" w:rsidRPr="00AA7200">
        <w:rPr>
          <w:noProof w:val="0"/>
        </w:rPr>
        <w:t>.</w:t>
      </w:r>
    </w:p>
    <w:p w:rsidR="00FC5BF3" w:rsidRPr="00AA7200" w:rsidRDefault="00FC5BF3" w:rsidP="00FC5BF3">
      <w:pPr>
        <w:pStyle w:val="Normaltindrag"/>
      </w:pPr>
    </w:p>
    <w:p w:rsidR="00E71470" w:rsidRPr="00AA7200" w:rsidRDefault="00E71470" w:rsidP="0057237B">
      <w:pPr>
        <w:pStyle w:val="Normaltindrag"/>
        <w:sectPr w:rsidR="00E71470" w:rsidRPr="00AA7200">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8" w:left="1304" w:header="340" w:footer="227" w:gutter="0"/>
          <w:cols w:space="720"/>
          <w:titlePg/>
        </w:sectPr>
      </w:pPr>
    </w:p>
    <w:p w:rsidR="00AC35B4" w:rsidRPr="00AA7200" w:rsidRDefault="00AC35B4" w:rsidP="00AC35B4">
      <w:pPr>
        <w:pStyle w:val="Rubrik1"/>
        <w:rPr>
          <w:noProof w:val="0"/>
        </w:rPr>
      </w:pPr>
      <w:bookmarkStart w:id="18" w:name="_Toc320600601"/>
      <w:r w:rsidRPr="00AA7200">
        <w:rPr>
          <w:noProof w:val="0"/>
        </w:rPr>
        <w:t>2 Lagtext</w:t>
      </w:r>
      <w:bookmarkEnd w:id="18"/>
    </w:p>
    <w:p w:rsidR="00E71470" w:rsidRPr="00AA7200" w:rsidRDefault="00E71470" w:rsidP="00AC35B4">
      <w:pPr>
        <w:pStyle w:val="Rubrik2"/>
        <w:spacing w:before="0"/>
      </w:pPr>
      <w:bookmarkStart w:id="19" w:name="_Toc320600602"/>
      <w:r w:rsidRPr="00AA7200">
        <w:t>2.1 Förslag till lag om ändring i riksdagsordningen</w:t>
      </w:r>
      <w:bookmarkEnd w:id="19"/>
    </w:p>
    <w:p w:rsidR="00E71470" w:rsidRPr="00AA7200" w:rsidRDefault="00E71470" w:rsidP="00E71470">
      <w:pPr>
        <w:pStyle w:val="LagtextIndrag"/>
      </w:pPr>
      <w:r w:rsidRPr="00AA7200">
        <w:t xml:space="preserve">Härigenom föreskrivs </w:t>
      </w:r>
      <w:r w:rsidR="00960D10" w:rsidRPr="00AA7200">
        <w:t>att 2 kap. 15 §</w:t>
      </w:r>
      <w:r w:rsidR="00AE6033" w:rsidRPr="00AA7200">
        <w:t>, 3 k</w:t>
      </w:r>
      <w:r w:rsidR="002240BD" w:rsidRPr="00AA7200">
        <w:t xml:space="preserve">ap. 2 §, 4 kap. 5 §, 5 kap. 10 </w:t>
      </w:r>
      <w:r w:rsidR="00AE6033" w:rsidRPr="00AA7200">
        <w:t xml:space="preserve">och 12 </w:t>
      </w:r>
      <w:r w:rsidR="0011523E" w:rsidRPr="00AA7200">
        <w:t>§</w:t>
      </w:r>
      <w:r w:rsidR="00AE6033" w:rsidRPr="00AA7200">
        <w:t>§ och 9 kap. 4 §</w:t>
      </w:r>
      <w:r w:rsidR="001D6285" w:rsidRPr="00AA7200">
        <w:t xml:space="preserve"> </w:t>
      </w:r>
      <w:r w:rsidR="007A26AB" w:rsidRPr="00AA7200">
        <w:t>samt</w:t>
      </w:r>
      <w:r w:rsidR="00960D10" w:rsidRPr="00AA7200">
        <w:t xml:space="preserve"> tilläggsbestämmelse</w:t>
      </w:r>
      <w:r w:rsidR="00960D10" w:rsidRPr="00AA7200">
        <w:t>r</w:t>
      </w:r>
      <w:r w:rsidR="00960D10" w:rsidRPr="00AA7200">
        <w:t>na 2.15.1</w:t>
      </w:r>
      <w:r w:rsidR="009929BA" w:rsidRPr="00AA7200">
        <w:t xml:space="preserve">, </w:t>
      </w:r>
      <w:r w:rsidR="0004591A" w:rsidRPr="00AA7200">
        <w:t xml:space="preserve">4.6.2, </w:t>
      </w:r>
      <w:r w:rsidR="009929BA" w:rsidRPr="00AA7200">
        <w:t>5.6.</w:t>
      </w:r>
      <w:r w:rsidR="0004591A" w:rsidRPr="00AA7200">
        <w:t>1</w:t>
      </w:r>
      <w:r w:rsidR="00933C8A" w:rsidRPr="00AA7200">
        <w:t>,</w:t>
      </w:r>
      <w:r w:rsidR="0004591A" w:rsidRPr="00AA7200">
        <w:t xml:space="preserve"> </w:t>
      </w:r>
      <w:r w:rsidR="007358A8" w:rsidRPr="00AA7200">
        <w:t xml:space="preserve">6.1.3 </w:t>
      </w:r>
      <w:r w:rsidR="0031421F" w:rsidRPr="00AA7200">
        <w:t>o</w:t>
      </w:r>
      <w:r w:rsidR="00933C8A" w:rsidRPr="00AA7200">
        <w:t>ch 6.4.1</w:t>
      </w:r>
      <w:r w:rsidR="0011523E" w:rsidRPr="00AA7200">
        <w:t xml:space="preserve"> i riksdagsordningen </w:t>
      </w:r>
      <w:r w:rsidR="007358A8" w:rsidRPr="00AA7200">
        <w:t>ska ha fö</w:t>
      </w:r>
      <w:r w:rsidR="007358A8" w:rsidRPr="00AA7200">
        <w:t>l</w:t>
      </w:r>
      <w:r w:rsidR="007358A8" w:rsidRPr="00AA7200">
        <w:t>jande lydelse.</w:t>
      </w:r>
    </w:p>
    <w:p w:rsidR="007358A8" w:rsidRPr="00AA7200" w:rsidRDefault="007358A8" w:rsidP="00E71470">
      <w:pPr>
        <w:pStyle w:val="LagtextIndrag"/>
      </w:pPr>
    </w:p>
    <w:p w:rsidR="00FE04B4" w:rsidRPr="00AA7200" w:rsidRDefault="00FE04B4" w:rsidP="004918D2">
      <w:pPr>
        <w:pStyle w:val="LagtextIndrag"/>
        <w:ind w:left="170" w:firstLine="0"/>
        <w:rPr>
          <w:i/>
        </w:rPr>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FE04B4" w:rsidRPr="00AA7200" w:rsidTr="00D02C82">
        <w:trPr>
          <w:tblHeader/>
        </w:trPr>
        <w:tc>
          <w:tcPr>
            <w:tcW w:w="3090" w:type="dxa"/>
          </w:tcPr>
          <w:p w:rsidR="00FE04B4" w:rsidRPr="00AA7200" w:rsidRDefault="00FE04B4">
            <w:pPr>
              <w:pStyle w:val="LagtextRubrik"/>
            </w:pPr>
            <w:r w:rsidRPr="00AA7200">
              <w:t>Nuvarande lydelse</w:t>
            </w:r>
          </w:p>
        </w:tc>
        <w:tc>
          <w:tcPr>
            <w:tcW w:w="3090" w:type="dxa"/>
          </w:tcPr>
          <w:p w:rsidR="00FE04B4" w:rsidRPr="00AA7200" w:rsidRDefault="00FE04B4">
            <w:pPr>
              <w:pStyle w:val="LagtextRubrik"/>
            </w:pPr>
            <w:r w:rsidRPr="00AA7200">
              <w:t>Föreslagen lydelse</w:t>
            </w:r>
          </w:p>
        </w:tc>
      </w:tr>
      <w:tr w:rsidR="00FE04B4" w:rsidRPr="00AA7200" w:rsidTr="00D02C82">
        <w:tc>
          <w:tcPr>
            <w:tcW w:w="6180" w:type="dxa"/>
            <w:gridSpan w:val="2"/>
          </w:tcPr>
          <w:p w:rsidR="00FE04B4" w:rsidRPr="00AA7200" w:rsidRDefault="00FE04B4" w:rsidP="00FC5BF3">
            <w:pPr>
              <w:pStyle w:val="LagtextIndrag"/>
              <w:jc w:val="center"/>
              <w:rPr>
                <w:b/>
              </w:rPr>
            </w:pPr>
            <w:r w:rsidRPr="00AA7200">
              <w:rPr>
                <w:b/>
              </w:rPr>
              <w:t>2 kap.</w:t>
            </w:r>
          </w:p>
          <w:p w:rsidR="00FE04B4" w:rsidRPr="00AA7200" w:rsidRDefault="00FE04B4" w:rsidP="00FC5BF3">
            <w:pPr>
              <w:pStyle w:val="LagtextIndrag"/>
              <w:jc w:val="center"/>
            </w:pPr>
            <w:r w:rsidRPr="00AA7200">
              <w:t>15 §</w:t>
            </w:r>
            <w:r w:rsidR="00315BDE" w:rsidRPr="00AA7200">
              <w:rPr>
                <w:rStyle w:val="Fotnotsreferens"/>
              </w:rPr>
              <w:footnoteReference w:id="1"/>
            </w:r>
          </w:p>
          <w:p w:rsidR="00FE04B4" w:rsidRPr="00AA7200" w:rsidRDefault="00AE6033" w:rsidP="00AE6033">
            <w:pPr>
              <w:pStyle w:val="LagtextIndrag"/>
            </w:pPr>
            <w:r w:rsidRPr="00AA7200">
              <w:t>Tal</w:t>
            </w:r>
            <w:r w:rsidR="00FE04B4" w:rsidRPr="00AA7200">
              <w:t>manne</w:t>
            </w:r>
            <w:r w:rsidRPr="00AA7200">
              <w:t>n</w:t>
            </w:r>
            <w:r w:rsidR="00FE04B4" w:rsidRPr="00AA7200">
              <w:t xml:space="preserve"> bestämmer ordningen mellan dem s</w:t>
            </w:r>
            <w:r w:rsidR="002240BD" w:rsidRPr="00AA7200">
              <w:t>om före överläggningen</w:t>
            </w:r>
            <w:r w:rsidR="00FE04B4" w:rsidRPr="00AA7200">
              <w:t xml:space="preserve"> i en viss fråga har anmält att de vill yttra sig. De som begär ordet under överläg</w:t>
            </w:r>
            <w:r w:rsidR="00FE04B4" w:rsidRPr="00AA7200">
              <w:t>g</w:t>
            </w:r>
            <w:r w:rsidR="00FE04B4" w:rsidRPr="00AA7200">
              <w:t>ningen yttrar sig i anmälningsordning.</w:t>
            </w:r>
          </w:p>
          <w:p w:rsidR="00FE04B4" w:rsidRPr="00AA7200" w:rsidRDefault="00FE04B4" w:rsidP="00FE04B4">
            <w:pPr>
              <w:pStyle w:val="LagtextIndrag"/>
            </w:pPr>
            <w:r w:rsidRPr="00AA7200">
              <w:t>Oberoende av talarordningen och utan förhandsanmälan får talmannen medge att</w:t>
            </w:r>
          </w:p>
          <w:p w:rsidR="00FE04B4" w:rsidRPr="00AA7200" w:rsidRDefault="00FE04B4">
            <w:pPr>
              <w:pStyle w:val="LagtextIndrag"/>
            </w:pPr>
            <w:r w:rsidRPr="00AA7200">
              <w:t>1. ett statsråd som inte tidigare har hållit ett anförande får ordet för ett anf</w:t>
            </w:r>
            <w:r w:rsidRPr="00AA7200">
              <w:t>ö</w:t>
            </w:r>
            <w:r w:rsidRPr="00AA7200">
              <w:t xml:space="preserve">rande och </w:t>
            </w:r>
          </w:p>
        </w:tc>
      </w:tr>
      <w:tr w:rsidR="00FE04B4" w:rsidRPr="00AA7200" w:rsidTr="00D02C82">
        <w:tc>
          <w:tcPr>
            <w:tcW w:w="3090" w:type="dxa"/>
          </w:tcPr>
          <w:p w:rsidR="00FE04B4" w:rsidRPr="00AA7200" w:rsidRDefault="00FE04B4" w:rsidP="002240BD">
            <w:pPr>
              <w:pStyle w:val="LagtextIndrag"/>
              <w:rPr>
                <w:i/>
              </w:rPr>
            </w:pPr>
            <w:r w:rsidRPr="00AA7200">
              <w:t xml:space="preserve">2. ett statsråd eller en ledamot, som redan har hållit ett anförande, får ordet för en replik </w:t>
            </w:r>
            <w:r w:rsidRPr="00AA7200">
              <w:rPr>
                <w:i/>
              </w:rPr>
              <w:t>som innehå</w:t>
            </w:r>
            <w:r w:rsidRPr="00AA7200">
              <w:rPr>
                <w:i/>
              </w:rPr>
              <w:t>l</w:t>
            </w:r>
            <w:r w:rsidRPr="00AA7200">
              <w:rPr>
                <w:i/>
              </w:rPr>
              <w:t>ler upplysning eller rättelse</w:t>
            </w:r>
            <w:r w:rsidRPr="00AA7200">
              <w:t xml:space="preserve"> med anle</w:t>
            </w:r>
            <w:r w:rsidRPr="00AA7200">
              <w:t>d</w:t>
            </w:r>
            <w:r w:rsidRPr="00AA7200">
              <w:t>ning av en föregående talares anf</w:t>
            </w:r>
            <w:r w:rsidRPr="00AA7200">
              <w:t>ö</w:t>
            </w:r>
            <w:r w:rsidRPr="00AA7200">
              <w:t xml:space="preserve">rande </w:t>
            </w:r>
            <w:r w:rsidRPr="00AA7200">
              <w:rPr>
                <w:i/>
              </w:rPr>
              <w:t>eller bemötande av a</w:t>
            </w:r>
            <w:r w:rsidRPr="00AA7200">
              <w:rPr>
                <w:i/>
              </w:rPr>
              <w:t>n</w:t>
            </w:r>
            <w:r w:rsidRPr="00AA7200">
              <w:rPr>
                <w:i/>
              </w:rPr>
              <w:t>grepp från talarens sida</w:t>
            </w:r>
            <w:r w:rsidRPr="00AA7200">
              <w:t>.</w:t>
            </w:r>
            <w:r w:rsidRPr="00AA7200">
              <w:rPr>
                <w:i/>
              </w:rPr>
              <w:t xml:space="preserve"> </w:t>
            </w:r>
          </w:p>
          <w:p w:rsidR="00FE04B4" w:rsidRPr="00AA7200" w:rsidRDefault="00FE04B4">
            <w:pPr>
              <w:pStyle w:val="LagtextIndrag"/>
            </w:pPr>
          </w:p>
        </w:tc>
        <w:tc>
          <w:tcPr>
            <w:tcW w:w="3090" w:type="dxa"/>
          </w:tcPr>
          <w:p w:rsidR="00FE04B4" w:rsidRPr="00AA7200" w:rsidRDefault="00FE04B4" w:rsidP="002240BD">
            <w:pPr>
              <w:pStyle w:val="LagtextIndrag"/>
              <w:rPr>
                <w:i/>
              </w:rPr>
            </w:pPr>
            <w:r w:rsidRPr="00AA7200">
              <w:t>2. ett statsråd eller en ledamot, som redan har hållit ett anförande, får ordet för en replik med anle</w:t>
            </w:r>
            <w:r w:rsidRPr="00AA7200">
              <w:t>d</w:t>
            </w:r>
            <w:r w:rsidRPr="00AA7200">
              <w:t>ning av en föregående talares anföra</w:t>
            </w:r>
            <w:r w:rsidRPr="00AA7200">
              <w:t>n</w:t>
            </w:r>
            <w:r w:rsidRPr="00AA7200">
              <w:t>de.</w:t>
            </w:r>
          </w:p>
          <w:p w:rsidR="00FE04B4" w:rsidRPr="00AA7200" w:rsidRDefault="00FE04B4" w:rsidP="00FE04B4">
            <w:pPr>
              <w:pStyle w:val="LagtextIndrag"/>
            </w:pPr>
          </w:p>
        </w:tc>
      </w:tr>
      <w:tr w:rsidR="00FE04B4" w:rsidRPr="00AA7200" w:rsidTr="00D02C82">
        <w:tc>
          <w:tcPr>
            <w:tcW w:w="6180" w:type="dxa"/>
            <w:gridSpan w:val="2"/>
          </w:tcPr>
          <w:p w:rsidR="00FE04B4" w:rsidRPr="00AA7200" w:rsidRDefault="00FE04B4" w:rsidP="00FC5BF3">
            <w:pPr>
              <w:pStyle w:val="LagtextIndrag"/>
              <w:jc w:val="center"/>
            </w:pPr>
            <w:r w:rsidRPr="00AA7200">
              <w:t>2.15.1</w:t>
            </w:r>
            <w:r w:rsidR="00315BDE" w:rsidRPr="00AA7200">
              <w:rPr>
                <w:rStyle w:val="Fotnotsreferens"/>
              </w:rPr>
              <w:footnoteReference w:id="2"/>
            </w:r>
          </w:p>
          <w:p w:rsidR="00FE04B4" w:rsidRPr="00AA7200" w:rsidRDefault="00FE04B4">
            <w:pPr>
              <w:pStyle w:val="LagtextIndrag"/>
            </w:pPr>
            <w:r w:rsidRPr="00AA7200">
              <w:t xml:space="preserve">Oberoende av talarordningen och utan förhandsanmälan kan ett statsråd som inte tidigare har hållit ett anförande vid överläggningen i en viss fråga få ordet för ett anförande om högst tio minuter. </w:t>
            </w:r>
          </w:p>
        </w:tc>
      </w:tr>
      <w:tr w:rsidR="00FE04B4" w:rsidRPr="00AA7200" w:rsidTr="00D02C82">
        <w:tc>
          <w:tcPr>
            <w:tcW w:w="3090" w:type="dxa"/>
          </w:tcPr>
          <w:p w:rsidR="00FE04B4" w:rsidRPr="00AA7200" w:rsidRDefault="00FE04B4">
            <w:pPr>
              <w:pStyle w:val="LagtextIndrag"/>
            </w:pPr>
          </w:p>
        </w:tc>
        <w:tc>
          <w:tcPr>
            <w:tcW w:w="3090" w:type="dxa"/>
          </w:tcPr>
          <w:p w:rsidR="00FE04B4" w:rsidRPr="00AA7200" w:rsidRDefault="00FE04B4" w:rsidP="002240BD">
            <w:pPr>
              <w:pStyle w:val="LagtextIndrag"/>
            </w:pPr>
            <w:r w:rsidRPr="00AA7200">
              <w:rPr>
                <w:i/>
              </w:rPr>
              <w:t>En replik begärs i omedelbar a</w:t>
            </w:r>
            <w:r w:rsidRPr="00AA7200">
              <w:rPr>
                <w:i/>
              </w:rPr>
              <w:t>n</w:t>
            </w:r>
            <w:r w:rsidRPr="00AA7200">
              <w:rPr>
                <w:i/>
              </w:rPr>
              <w:t>slutning till anförandet</w:t>
            </w:r>
            <w:r w:rsidRPr="00AA7200">
              <w:t>.</w:t>
            </w:r>
          </w:p>
        </w:tc>
      </w:tr>
      <w:tr w:rsidR="00F04EFF" w:rsidRPr="00AA7200" w:rsidTr="00F04EFF">
        <w:tc>
          <w:tcPr>
            <w:tcW w:w="6180" w:type="dxa"/>
            <w:gridSpan w:val="2"/>
          </w:tcPr>
          <w:p w:rsidR="00F04EFF" w:rsidRPr="00AA7200" w:rsidRDefault="00F04EFF" w:rsidP="00F04EFF">
            <w:pPr>
              <w:pStyle w:val="LagtextIndrag"/>
              <w:widowControl w:val="0"/>
            </w:pPr>
            <w:r w:rsidRPr="00AA7200">
              <w:t>Tiden för en replik får inte överstiga två minuter, om inte talmannen av sä</w:t>
            </w:r>
            <w:r w:rsidRPr="00AA7200">
              <w:t>r</w:t>
            </w:r>
            <w:r w:rsidRPr="00AA7200">
              <w:t>skilda skäl medger en utsträckning till fyra minuter. Varje talare kan få avge två repliker på samma huvudanförande. Har talmannen redan beviljat en talare rätt till replik, får talaren yttra sig innan ett statsråd håller ett anförande som bryter talarordningen.</w:t>
            </w:r>
          </w:p>
          <w:p w:rsidR="00F04EFF" w:rsidRPr="00AA7200" w:rsidRDefault="00F04EFF" w:rsidP="00315BDE">
            <w:pPr>
              <w:pStyle w:val="LagtextIndrag"/>
              <w:ind w:firstLine="0"/>
              <w:rPr>
                <w:i/>
              </w:rPr>
            </w:pPr>
          </w:p>
        </w:tc>
      </w:tr>
    </w:tbl>
    <w:p w:rsidR="005F164E" w:rsidRPr="00AA7200" w:rsidRDefault="005F164E"/>
    <w:p w:rsidR="005F164E" w:rsidRPr="00AA7200" w:rsidRDefault="005F164E" w:rsidP="005F164E">
      <w:pPr>
        <w:pStyle w:val="Normaltindrag"/>
      </w:pPr>
    </w:p>
    <w:p w:rsidR="00AC35B4" w:rsidRPr="00AA7200" w:rsidRDefault="00AC35B4" w:rsidP="005F164E">
      <w:pPr>
        <w:pStyle w:val="Normaltindrag"/>
      </w:pPr>
    </w:p>
    <w:p w:rsidR="002240BD" w:rsidRPr="00AA7200" w:rsidRDefault="002240BD" w:rsidP="005F164E">
      <w:pPr>
        <w:pStyle w:val="Normaltindrag"/>
      </w:pPr>
    </w:p>
    <w:p w:rsidR="00AC35B4" w:rsidRPr="00AA7200" w:rsidRDefault="00AC35B4" w:rsidP="005F164E">
      <w:pPr>
        <w:pStyle w:val="Normaltindrag"/>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D33ED8" w:rsidRPr="00AA7200" w:rsidTr="00D33ED8">
        <w:tblPrEx>
          <w:tblCellMar>
            <w:top w:w="0" w:type="dxa"/>
            <w:bottom w:w="0" w:type="dxa"/>
          </w:tblCellMar>
        </w:tblPrEx>
        <w:trPr>
          <w:tblHeader/>
        </w:trPr>
        <w:tc>
          <w:tcPr>
            <w:tcW w:w="3090" w:type="dxa"/>
          </w:tcPr>
          <w:p w:rsidR="00D33ED8" w:rsidRPr="00AA7200" w:rsidRDefault="00D33ED8" w:rsidP="00D33ED8">
            <w:pPr>
              <w:pStyle w:val="LagtextRubrik"/>
            </w:pPr>
            <w:r w:rsidRPr="00AA7200">
              <w:t>Nuvarande lydelse</w:t>
            </w:r>
          </w:p>
        </w:tc>
        <w:tc>
          <w:tcPr>
            <w:tcW w:w="3090" w:type="dxa"/>
          </w:tcPr>
          <w:p w:rsidR="00D33ED8" w:rsidRPr="00AA7200" w:rsidRDefault="00D33ED8" w:rsidP="00D33ED8">
            <w:pPr>
              <w:pStyle w:val="LagtextRubrik"/>
            </w:pPr>
            <w:r w:rsidRPr="00AA7200">
              <w:t>Föreslagen lydelse</w:t>
            </w:r>
          </w:p>
        </w:tc>
      </w:tr>
      <w:tr w:rsidR="00D33ED8" w:rsidRPr="00AA7200" w:rsidTr="00665677">
        <w:tblPrEx>
          <w:tblCellMar>
            <w:top w:w="0" w:type="dxa"/>
            <w:bottom w:w="0" w:type="dxa"/>
          </w:tblCellMar>
        </w:tblPrEx>
        <w:tc>
          <w:tcPr>
            <w:tcW w:w="6180" w:type="dxa"/>
            <w:gridSpan w:val="2"/>
          </w:tcPr>
          <w:p w:rsidR="00D33ED8" w:rsidRPr="00AA7200" w:rsidRDefault="00D33ED8" w:rsidP="00FC5BF3">
            <w:pPr>
              <w:pStyle w:val="LagtextIndrag"/>
              <w:widowControl w:val="0"/>
              <w:jc w:val="center"/>
            </w:pPr>
            <w:r w:rsidRPr="00AA7200">
              <w:rPr>
                <w:b/>
              </w:rPr>
              <w:t>3 kap</w:t>
            </w:r>
            <w:r w:rsidRPr="00AA7200">
              <w:t>.</w:t>
            </w:r>
          </w:p>
          <w:p w:rsidR="00D33ED8" w:rsidRPr="00AA7200" w:rsidRDefault="00D33ED8" w:rsidP="00FC5BF3">
            <w:pPr>
              <w:pStyle w:val="LagtextIndrag"/>
              <w:widowControl w:val="0"/>
              <w:jc w:val="center"/>
            </w:pPr>
            <w:r w:rsidRPr="00AA7200">
              <w:t>2 §</w:t>
            </w:r>
            <w:r w:rsidRPr="00AA7200">
              <w:rPr>
                <w:rStyle w:val="Fotnotsreferens"/>
              </w:rPr>
              <w:footnoteReference w:id="3"/>
            </w:r>
          </w:p>
          <w:p w:rsidR="00D33ED8" w:rsidRPr="00AA7200" w:rsidRDefault="00D33ED8" w:rsidP="00D33ED8">
            <w:pPr>
              <w:pStyle w:val="LagtextIndrag"/>
            </w:pPr>
            <w:r w:rsidRPr="00AA7200">
              <w:t>Budgetåret börjar den 1 januari. Regeringen ska dessförinnan lämna en pr</w:t>
            </w:r>
            <w:r w:rsidRPr="00AA7200">
              <w:t>o</w:t>
            </w:r>
            <w:r w:rsidRPr="00AA7200">
              <w:t>position med förslag till statens inkomster och utgifter för budgetåret (bu</w:t>
            </w:r>
            <w:r w:rsidRPr="00AA7200">
              <w:t>d</w:t>
            </w:r>
            <w:r w:rsidRPr="00AA7200">
              <w:t>getproposition).</w:t>
            </w:r>
            <w:r w:rsidR="00677ADA" w:rsidRPr="00AA7200">
              <w:t xml:space="preserve"> </w:t>
            </w:r>
          </w:p>
        </w:tc>
      </w:tr>
    </w:tbl>
    <w:tbl>
      <w:tblPr>
        <w:tblStyle w:val="Tabellrutnt"/>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081"/>
        <w:gridCol w:w="3092"/>
      </w:tblGrid>
      <w:tr w:rsidR="00D33ED8" w:rsidRPr="00AA7200" w:rsidTr="00C37AFA">
        <w:tc>
          <w:tcPr>
            <w:tcW w:w="3081" w:type="dxa"/>
          </w:tcPr>
          <w:p w:rsidR="00D33ED8" w:rsidRPr="00AA7200" w:rsidRDefault="00D33ED8" w:rsidP="00665677">
            <w:pPr>
              <w:pStyle w:val="LagtextIndrag"/>
            </w:pPr>
            <w:r w:rsidRPr="00AA7200">
              <w:t>Budgetpropositionen ska innehå</w:t>
            </w:r>
            <w:r w:rsidRPr="00AA7200">
              <w:t>l</w:t>
            </w:r>
            <w:r w:rsidRPr="00AA7200">
              <w:t xml:space="preserve">la en finansplan och ett förslag till beslut om </w:t>
            </w:r>
            <w:r w:rsidRPr="00AA7200">
              <w:rPr>
                <w:i/>
              </w:rPr>
              <w:t>statsbudgeten.</w:t>
            </w:r>
            <w:r w:rsidRPr="00AA7200">
              <w:t xml:space="preserve"> Om riksd</w:t>
            </w:r>
            <w:r w:rsidRPr="00AA7200">
              <w:t>a</w:t>
            </w:r>
            <w:r w:rsidRPr="00AA7200">
              <w:t>gen</w:t>
            </w:r>
            <w:r w:rsidR="007A26AB" w:rsidRPr="00AA7200">
              <w:t xml:space="preserve"> med stöd av bestämmelserna i 5 </w:t>
            </w:r>
            <w:r w:rsidRPr="00AA7200">
              <w:t>kap. 12 § har fattat beslut om att hänföra statsutgifterna till utgiftso</w:t>
            </w:r>
            <w:r w:rsidRPr="00AA7200">
              <w:t>m</w:t>
            </w:r>
            <w:r w:rsidRPr="00AA7200">
              <w:t>råden, ska förslaget till statsbu</w:t>
            </w:r>
            <w:r w:rsidRPr="00AA7200">
              <w:t>d</w:t>
            </w:r>
            <w:r w:rsidRPr="00AA7200">
              <w:t>get innehålla en fördelning av a</w:t>
            </w:r>
            <w:r w:rsidRPr="00AA7200">
              <w:t>n</w:t>
            </w:r>
            <w:r w:rsidRPr="00AA7200">
              <w:t xml:space="preserve">slagen på dessa utgiftsområden. </w:t>
            </w:r>
          </w:p>
        </w:tc>
        <w:tc>
          <w:tcPr>
            <w:tcW w:w="3092" w:type="dxa"/>
          </w:tcPr>
          <w:p w:rsidR="00D33ED8" w:rsidRPr="00AA7200" w:rsidRDefault="00D33ED8" w:rsidP="00665677">
            <w:pPr>
              <w:pStyle w:val="LagtextIndrag"/>
              <w:ind w:firstLine="0"/>
            </w:pPr>
            <w:r w:rsidRPr="00AA7200">
              <w:t>Budgetpropositionen ska innehå</w:t>
            </w:r>
            <w:r w:rsidRPr="00AA7200">
              <w:t>l</w:t>
            </w:r>
            <w:r w:rsidRPr="00AA7200">
              <w:t xml:space="preserve">la en finansplan och ett förslag till beslut om </w:t>
            </w:r>
            <w:r w:rsidRPr="00AA7200">
              <w:rPr>
                <w:i/>
              </w:rPr>
              <w:t>statens budget</w:t>
            </w:r>
            <w:r w:rsidRPr="00AA7200">
              <w:t>. Om rik</w:t>
            </w:r>
            <w:r w:rsidRPr="00AA7200">
              <w:t>s</w:t>
            </w:r>
            <w:r w:rsidRPr="00AA7200">
              <w:t>dagen med stöd av bestämme</w:t>
            </w:r>
            <w:r w:rsidRPr="00AA7200">
              <w:t>l</w:t>
            </w:r>
            <w:r w:rsidRPr="00AA7200">
              <w:t>serna i 5 kap. 12 § har fattat beslut om att hänföra statsutgifterna till utgift</w:t>
            </w:r>
            <w:r w:rsidRPr="00AA7200">
              <w:t>s</w:t>
            </w:r>
            <w:r w:rsidRPr="00AA7200">
              <w:t>områden, ska förslaget till statsbu</w:t>
            </w:r>
            <w:r w:rsidRPr="00AA7200">
              <w:t>d</w:t>
            </w:r>
            <w:r w:rsidRPr="00AA7200">
              <w:t>get innehålla en fördelning av a</w:t>
            </w:r>
            <w:r w:rsidRPr="00AA7200">
              <w:t>n</w:t>
            </w:r>
            <w:r w:rsidRPr="00AA7200">
              <w:t>slagen på dessa utgiftsomr</w:t>
            </w:r>
            <w:r w:rsidRPr="00AA7200">
              <w:t>å</w:t>
            </w:r>
            <w:r w:rsidRPr="00AA7200">
              <w:t>den.</w:t>
            </w:r>
            <w:r w:rsidR="00677ADA" w:rsidRPr="00AA7200">
              <w:t xml:space="preserve"> </w:t>
            </w:r>
          </w:p>
        </w:tc>
      </w:tr>
    </w:tbl>
    <w:tbl>
      <w:tblPr>
        <w:tblW w:w="6180" w:type="dxa"/>
        <w:tblLayout w:type="fixed"/>
        <w:tblCellMar>
          <w:left w:w="113" w:type="dxa"/>
          <w:right w:w="113" w:type="dxa"/>
        </w:tblCellMar>
        <w:tblLook w:val="0000" w:firstRow="0" w:lastRow="0" w:firstColumn="0" w:lastColumn="0" w:noHBand="0" w:noVBand="0"/>
      </w:tblPr>
      <w:tblGrid>
        <w:gridCol w:w="6180"/>
      </w:tblGrid>
      <w:tr w:rsidR="00D33ED8" w:rsidRPr="00AA7200" w:rsidTr="00665677">
        <w:tblPrEx>
          <w:tblCellMar>
            <w:top w:w="0" w:type="dxa"/>
            <w:bottom w:w="0" w:type="dxa"/>
          </w:tblCellMar>
        </w:tblPrEx>
        <w:tc>
          <w:tcPr>
            <w:tcW w:w="6180" w:type="dxa"/>
          </w:tcPr>
          <w:p w:rsidR="00D33ED8" w:rsidRPr="00AA7200" w:rsidRDefault="00D33ED8" w:rsidP="00D33ED8">
            <w:pPr>
              <w:pStyle w:val="LagtextIndrag"/>
            </w:pPr>
            <w:r w:rsidRPr="00AA7200">
              <w:t>Endast om regeringen anser att det finns synnerliga ekonomisk-politiska skäl, får en proposition om statens inkomster eller utgifter för det närmast följande budgetåret lämnas efter budgetpropositionen.</w:t>
            </w:r>
          </w:p>
          <w:p w:rsidR="00D33ED8" w:rsidRPr="00AA7200" w:rsidRDefault="00D33ED8" w:rsidP="00D33ED8">
            <w:pPr>
              <w:pStyle w:val="LagtextIndrag"/>
            </w:pPr>
            <w:r w:rsidRPr="00AA7200">
              <w:t>En proposition med förslag om ett nytt eller väsentligen höjt anslag eller om riktlinjer enligt 9 kap. 6 § regeringsformen för statens ver</w:t>
            </w:r>
            <w:r w:rsidRPr="00AA7200">
              <w:t>k</w:t>
            </w:r>
            <w:r w:rsidRPr="00AA7200">
              <w:t>samhet för längre tid än anslaget till verksamheten avser bör innehålla en uppskattning av de framtida kostnaderna för det ändamål som förslaget avser. Om ett fö</w:t>
            </w:r>
            <w:r w:rsidRPr="00AA7200">
              <w:t>r</w:t>
            </w:r>
            <w:r w:rsidRPr="00AA7200">
              <w:t>slag till anslag grundar sig på en plan för en längre tid än den för vilken a</w:t>
            </w:r>
            <w:r w:rsidRPr="00AA7200">
              <w:t>n</w:t>
            </w:r>
            <w:r w:rsidRPr="00AA7200">
              <w:t xml:space="preserve">slaget har beräknats i propositionen, bör planen redovisas. </w:t>
            </w:r>
          </w:p>
          <w:p w:rsidR="00D33ED8" w:rsidRPr="00AA7200" w:rsidRDefault="00D33ED8" w:rsidP="00D33ED8">
            <w:pPr>
              <w:pStyle w:val="LagtextIndrag"/>
            </w:pPr>
          </w:p>
          <w:p w:rsidR="00D33ED8" w:rsidRPr="00AA7200" w:rsidRDefault="00D33ED8" w:rsidP="00FC5BF3">
            <w:pPr>
              <w:pStyle w:val="LagtextIndrag"/>
              <w:jc w:val="center"/>
              <w:rPr>
                <w:b/>
              </w:rPr>
            </w:pPr>
            <w:r w:rsidRPr="00AA7200">
              <w:rPr>
                <w:b/>
              </w:rPr>
              <w:t>4 kap.</w:t>
            </w:r>
          </w:p>
          <w:p w:rsidR="00D33ED8" w:rsidRPr="00AA7200" w:rsidRDefault="00D33ED8" w:rsidP="00FC5BF3">
            <w:pPr>
              <w:pStyle w:val="LagtextIndrag"/>
              <w:jc w:val="center"/>
            </w:pPr>
            <w:r w:rsidRPr="00AA7200">
              <w:t>5 §</w:t>
            </w:r>
            <w:r w:rsidR="00665677" w:rsidRPr="00AA7200">
              <w:rPr>
                <w:rStyle w:val="Fotnotsreferens"/>
              </w:rPr>
              <w:footnoteReference w:id="4"/>
            </w:r>
          </w:p>
        </w:tc>
      </w:tr>
    </w:tbl>
    <w:tbl>
      <w:tblPr>
        <w:tblStyle w:val="Tabellrutnt"/>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081"/>
        <w:gridCol w:w="3092"/>
      </w:tblGrid>
      <w:tr w:rsidR="00665677" w:rsidRPr="00AA7200" w:rsidTr="00C37AFA">
        <w:tc>
          <w:tcPr>
            <w:tcW w:w="3081" w:type="dxa"/>
          </w:tcPr>
          <w:p w:rsidR="00665677" w:rsidRPr="00AA7200" w:rsidRDefault="00665677" w:rsidP="00665677">
            <w:pPr>
              <w:pStyle w:val="LagtextIndrag"/>
            </w:pPr>
            <w:r w:rsidRPr="00AA7200">
              <w:t>Finansutskottet ska bereda äre</w:t>
            </w:r>
            <w:r w:rsidRPr="00AA7200">
              <w:t>n</w:t>
            </w:r>
            <w:r w:rsidRPr="00AA7200">
              <w:t>den om</w:t>
            </w:r>
          </w:p>
          <w:p w:rsidR="00665677" w:rsidRPr="00AA7200" w:rsidRDefault="00665677" w:rsidP="00665677">
            <w:pPr>
              <w:pStyle w:val="LagtextIndrag"/>
            </w:pPr>
            <w:r w:rsidRPr="00AA7200">
              <w:t>1. allmänna riktlinjer för den ek</w:t>
            </w:r>
            <w:r w:rsidRPr="00AA7200">
              <w:t>o</w:t>
            </w:r>
            <w:r w:rsidRPr="00AA7200">
              <w:t xml:space="preserve">nomiska politiken och för </w:t>
            </w:r>
            <w:r w:rsidRPr="00AA7200">
              <w:rPr>
                <w:i/>
              </w:rPr>
              <w:t>budgetr</w:t>
            </w:r>
            <w:r w:rsidRPr="00AA7200">
              <w:rPr>
                <w:i/>
              </w:rPr>
              <w:t>e</w:t>
            </w:r>
            <w:r w:rsidRPr="00AA7200">
              <w:rPr>
                <w:i/>
              </w:rPr>
              <w:t>gleringen</w:t>
            </w:r>
            <w:r w:rsidRPr="00AA7200">
              <w:t xml:space="preserve"> samt</w:t>
            </w:r>
          </w:p>
        </w:tc>
        <w:tc>
          <w:tcPr>
            <w:tcW w:w="3092" w:type="dxa"/>
          </w:tcPr>
          <w:p w:rsidR="00665677" w:rsidRPr="00AA7200" w:rsidRDefault="00665677" w:rsidP="00665677">
            <w:pPr>
              <w:pStyle w:val="LagtextIndrag"/>
            </w:pPr>
            <w:r w:rsidRPr="00AA7200">
              <w:t>Finansutskottet ska bereda äre</w:t>
            </w:r>
            <w:r w:rsidRPr="00AA7200">
              <w:t>n</w:t>
            </w:r>
            <w:r w:rsidRPr="00AA7200">
              <w:t>den om</w:t>
            </w:r>
          </w:p>
          <w:p w:rsidR="00665677" w:rsidRPr="00AA7200" w:rsidRDefault="00665677" w:rsidP="00665677">
            <w:pPr>
              <w:pStyle w:val="LagtextIndrag"/>
            </w:pPr>
            <w:r w:rsidRPr="00AA7200">
              <w:t>1. allmänna riktlinjer för den ek</w:t>
            </w:r>
            <w:r w:rsidRPr="00AA7200">
              <w:t>o</w:t>
            </w:r>
            <w:r w:rsidRPr="00AA7200">
              <w:t xml:space="preserve">nomiska politiken och för </w:t>
            </w:r>
            <w:r w:rsidRPr="00AA7200">
              <w:rPr>
                <w:i/>
              </w:rPr>
              <w:t>beslut om statens budget</w:t>
            </w:r>
            <w:r w:rsidRPr="00AA7200">
              <w:t xml:space="preserve"> samt</w:t>
            </w:r>
          </w:p>
        </w:tc>
      </w:tr>
    </w:tbl>
    <w:tbl>
      <w:tblPr>
        <w:tblW w:w="6180" w:type="dxa"/>
        <w:tblLayout w:type="fixed"/>
        <w:tblCellMar>
          <w:left w:w="113" w:type="dxa"/>
          <w:right w:w="113" w:type="dxa"/>
        </w:tblCellMar>
        <w:tblLook w:val="0000" w:firstRow="0" w:lastRow="0" w:firstColumn="0" w:lastColumn="0" w:noHBand="0" w:noVBand="0"/>
      </w:tblPr>
      <w:tblGrid>
        <w:gridCol w:w="6180"/>
      </w:tblGrid>
      <w:tr w:rsidR="00FC5BF3" w:rsidRPr="00AA7200" w:rsidTr="00FC5BF3">
        <w:tblPrEx>
          <w:tblCellMar>
            <w:top w:w="0" w:type="dxa"/>
            <w:bottom w:w="0" w:type="dxa"/>
          </w:tblCellMar>
        </w:tblPrEx>
        <w:tc>
          <w:tcPr>
            <w:tcW w:w="6180" w:type="dxa"/>
          </w:tcPr>
          <w:p w:rsidR="00FC5BF3" w:rsidRPr="00AA7200" w:rsidRDefault="00FC5BF3" w:rsidP="00FC5BF3">
            <w:pPr>
              <w:pStyle w:val="LagtextIndrag"/>
            </w:pPr>
            <w:r w:rsidRPr="00AA7200">
              <w:t>2. Riksbankens verksamhet.</w:t>
            </w:r>
          </w:p>
          <w:p w:rsidR="00FC5BF3" w:rsidRPr="00AA7200" w:rsidRDefault="00FC5BF3" w:rsidP="00FC5BF3">
            <w:pPr>
              <w:pStyle w:val="LagtextIndrag"/>
            </w:pPr>
            <w:r w:rsidRPr="00AA7200">
              <w:t>Finansutskottet ska dessutom bereda förslagen till utgiftsramar för utgift</w:t>
            </w:r>
            <w:r w:rsidRPr="00AA7200">
              <w:t>s</w:t>
            </w:r>
            <w:r w:rsidRPr="00AA7200">
              <w:t>områden och till beräkning av statens inkomster, om riksdagen har beslutat att hänföra statsutgifterna till utgiftsområden enligt 5 kap. 12 §. Bestämmelser om finansutskottets uppgifter finns också i 9 k</w:t>
            </w:r>
            <w:r w:rsidR="00C37AFA" w:rsidRPr="00AA7200">
              <w:t>ap. 5 § regeringsformen och i 3 </w:t>
            </w:r>
            <w:r w:rsidRPr="00AA7200">
              <w:t>kap. 7 §, 4 kap. 8 §, 9 kap. 8 § samt i tilläggsbestämmelserna 4.6.2, 4.9.1 och 8.7.1 denna lag.</w:t>
            </w:r>
          </w:p>
          <w:p w:rsidR="00FC5BF3" w:rsidRPr="00AA7200" w:rsidRDefault="00FC5BF3" w:rsidP="00FC5BF3">
            <w:pPr>
              <w:pStyle w:val="LagtextIndrag"/>
            </w:pPr>
            <w:r w:rsidRPr="00AA7200">
              <w:t>Skatteutskottet ska bereda ärenden om statliga och kommunala skatter. B</w:t>
            </w:r>
            <w:r w:rsidRPr="00AA7200">
              <w:t>e</w:t>
            </w:r>
            <w:r w:rsidRPr="00AA7200">
              <w:t>stämmelser om skatteutskottets uppgifter finns också i tilläggsbestämmelsen 4.6.3 denna lag.</w:t>
            </w:r>
          </w:p>
          <w:p w:rsidR="00FC5BF3" w:rsidRPr="00AA7200" w:rsidRDefault="00FC5BF3" w:rsidP="00FC5BF3">
            <w:pPr>
              <w:pStyle w:val="LagtextIndrag"/>
            </w:pPr>
          </w:p>
        </w:tc>
      </w:tr>
    </w:tbl>
    <w:p w:rsidR="00FC5BF3" w:rsidRPr="00AA7200" w:rsidRDefault="00FC5BF3" w:rsidP="00FC5BF3"/>
    <w:p w:rsidR="00FC5BF3" w:rsidRPr="00AA7200" w:rsidRDefault="00FC5BF3" w:rsidP="00FC5BF3">
      <w:pPr>
        <w:pStyle w:val="Normaltindrag"/>
      </w:pPr>
    </w:p>
    <w:p w:rsidR="00677ADA" w:rsidRPr="00AA7200" w:rsidRDefault="00677ADA" w:rsidP="00FC5BF3">
      <w:pPr>
        <w:pStyle w:val="Normaltindrag"/>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1266AC" w:rsidRPr="00AA7200" w:rsidTr="001266AC">
        <w:tblPrEx>
          <w:tblCellMar>
            <w:top w:w="0" w:type="dxa"/>
            <w:bottom w:w="0" w:type="dxa"/>
          </w:tblCellMar>
        </w:tblPrEx>
        <w:trPr>
          <w:tblHeader/>
        </w:trPr>
        <w:tc>
          <w:tcPr>
            <w:tcW w:w="3090" w:type="dxa"/>
          </w:tcPr>
          <w:p w:rsidR="001266AC" w:rsidRPr="00AA7200" w:rsidRDefault="001266AC" w:rsidP="001266AC">
            <w:pPr>
              <w:pStyle w:val="LagtextRubrik"/>
            </w:pPr>
            <w:r w:rsidRPr="00AA7200">
              <w:t>Nuvarande lydelse</w:t>
            </w:r>
          </w:p>
        </w:tc>
        <w:tc>
          <w:tcPr>
            <w:tcW w:w="3090" w:type="dxa"/>
          </w:tcPr>
          <w:p w:rsidR="001266AC" w:rsidRPr="00AA7200" w:rsidRDefault="001266AC" w:rsidP="001266AC">
            <w:pPr>
              <w:pStyle w:val="LagtextRubrik"/>
            </w:pPr>
            <w:r w:rsidRPr="00AA7200">
              <w:t>Föreslagen lydelse</w:t>
            </w:r>
          </w:p>
        </w:tc>
      </w:tr>
      <w:tr w:rsidR="00665677" w:rsidRPr="00AA7200" w:rsidTr="00665677">
        <w:tblPrEx>
          <w:tblCellMar>
            <w:top w:w="0" w:type="dxa"/>
            <w:bottom w:w="0" w:type="dxa"/>
          </w:tblCellMar>
        </w:tblPrEx>
        <w:tc>
          <w:tcPr>
            <w:tcW w:w="6180" w:type="dxa"/>
            <w:gridSpan w:val="2"/>
          </w:tcPr>
          <w:p w:rsidR="00665677" w:rsidRPr="00AA7200" w:rsidRDefault="00665677" w:rsidP="00FC5BF3">
            <w:pPr>
              <w:pStyle w:val="LagtextIndrag"/>
              <w:jc w:val="center"/>
            </w:pPr>
            <w:r w:rsidRPr="00AA7200">
              <w:t>4.6.2</w:t>
            </w:r>
            <w:r w:rsidRPr="00AA7200">
              <w:rPr>
                <w:rStyle w:val="Fotnotsreferens"/>
              </w:rPr>
              <w:footnoteReference w:id="5"/>
            </w:r>
          </w:p>
          <w:p w:rsidR="00665677" w:rsidRPr="00AA7200" w:rsidRDefault="00665677" w:rsidP="006B2650">
            <w:pPr>
              <w:pStyle w:val="LagtextIndrag"/>
            </w:pPr>
            <w:r w:rsidRPr="00AA7200">
              <w:t>Finansutskottet ska bereda ärenden om</w:t>
            </w:r>
          </w:p>
          <w:p w:rsidR="00665677" w:rsidRPr="00AA7200" w:rsidRDefault="00665677" w:rsidP="00665677">
            <w:pPr>
              <w:pStyle w:val="LagtextIndrag"/>
            </w:pPr>
            <w:r w:rsidRPr="00AA7200">
              <w:t>1. penning-, kredit-, valuta- och statsskuldspolitiken,</w:t>
            </w:r>
          </w:p>
          <w:p w:rsidR="00665677" w:rsidRPr="00AA7200" w:rsidRDefault="00665677" w:rsidP="00665677">
            <w:pPr>
              <w:pStyle w:val="LagtextIndrag"/>
            </w:pPr>
            <w:r w:rsidRPr="00AA7200">
              <w:t>2. kredit- och fondväsendet,</w:t>
            </w:r>
          </w:p>
          <w:p w:rsidR="00665677" w:rsidRPr="00AA7200" w:rsidRDefault="00665677" w:rsidP="00665677">
            <w:pPr>
              <w:pStyle w:val="LagtextIndrag"/>
            </w:pPr>
            <w:r w:rsidRPr="00AA7200">
              <w:t>3. det affärsmässiga försäkringsväsendet,</w:t>
            </w:r>
          </w:p>
          <w:p w:rsidR="00665677" w:rsidRPr="00AA7200" w:rsidRDefault="00665677" w:rsidP="00665677">
            <w:pPr>
              <w:pStyle w:val="LagtextIndrag"/>
            </w:pPr>
            <w:r w:rsidRPr="00AA7200">
              <w:t>4. Riksrevisionen i den mån ärendena inte tillhör konstitutionsutskottets b</w:t>
            </w:r>
            <w:r w:rsidRPr="00AA7200">
              <w:t>e</w:t>
            </w:r>
            <w:r w:rsidRPr="00AA7200">
              <w:t>redning,</w:t>
            </w:r>
          </w:p>
          <w:p w:rsidR="00665677" w:rsidRPr="00AA7200" w:rsidRDefault="00665677" w:rsidP="00665677">
            <w:pPr>
              <w:pStyle w:val="LagtextIndrag"/>
            </w:pPr>
            <w:r w:rsidRPr="00AA7200">
              <w:t>5. den kommunala ekonomin,</w:t>
            </w:r>
          </w:p>
          <w:p w:rsidR="00665677" w:rsidRPr="00AA7200" w:rsidRDefault="00665677" w:rsidP="00665677">
            <w:pPr>
              <w:pStyle w:val="LagtextIndrag"/>
            </w:pPr>
            <w:r w:rsidRPr="00AA7200">
              <w:t>6. statliga arbetsgivarfrågor, statlig statistik, redovisning, revision och r</w:t>
            </w:r>
            <w:r w:rsidRPr="00AA7200">
              <w:t>a</w:t>
            </w:r>
            <w:r w:rsidRPr="00AA7200">
              <w:t>tion</w:t>
            </w:r>
            <w:r w:rsidRPr="00AA7200">
              <w:t>a</w:t>
            </w:r>
            <w:r w:rsidRPr="00AA7200">
              <w:t>lisering,</w:t>
            </w:r>
          </w:p>
          <w:p w:rsidR="00665677" w:rsidRPr="00AA7200" w:rsidRDefault="00665677" w:rsidP="00665677">
            <w:pPr>
              <w:pStyle w:val="LagtextIndrag"/>
            </w:pPr>
            <w:r w:rsidRPr="00AA7200">
              <w:t>7. statens egendom och upphandling i allmänhet,</w:t>
            </w:r>
          </w:p>
          <w:p w:rsidR="00665677" w:rsidRPr="00AA7200" w:rsidRDefault="00665677" w:rsidP="00665677">
            <w:pPr>
              <w:pStyle w:val="LagtextIndrag"/>
            </w:pPr>
            <w:r w:rsidRPr="00AA7200">
              <w:t>8. förvaltningsekonomiska frågor i övrigt som inte rör enbart ett visst ä</w:t>
            </w:r>
            <w:r w:rsidRPr="00AA7200">
              <w:t>m</w:t>
            </w:r>
            <w:r w:rsidRPr="00AA7200">
              <w:t>nesområde samt</w:t>
            </w:r>
          </w:p>
          <w:p w:rsidR="00665677" w:rsidRPr="00AA7200" w:rsidRDefault="00665677" w:rsidP="00665677">
            <w:pPr>
              <w:pStyle w:val="LagtextIndrag"/>
            </w:pPr>
            <w:r w:rsidRPr="00AA7200">
              <w:t xml:space="preserve">9. budgettekniska frågor. </w:t>
            </w:r>
          </w:p>
        </w:tc>
      </w:tr>
    </w:tbl>
    <w:tbl>
      <w:tblPr>
        <w:tblStyle w:val="Tabellrutnt"/>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081"/>
        <w:gridCol w:w="3092"/>
      </w:tblGrid>
      <w:tr w:rsidR="00665677" w:rsidRPr="00AA7200" w:rsidTr="008666AD">
        <w:tc>
          <w:tcPr>
            <w:tcW w:w="3081" w:type="dxa"/>
          </w:tcPr>
          <w:p w:rsidR="00665677" w:rsidRPr="00AA7200" w:rsidRDefault="00665677" w:rsidP="00665677">
            <w:pPr>
              <w:pStyle w:val="LagtextIndrag"/>
            </w:pPr>
            <w:r w:rsidRPr="00AA7200">
              <w:t>Utskottet ska även granska berä</w:t>
            </w:r>
            <w:r w:rsidRPr="00AA7200">
              <w:t>k</w:t>
            </w:r>
            <w:r w:rsidRPr="00AA7200">
              <w:t>ningen av statens inkomster, sa</w:t>
            </w:r>
            <w:r w:rsidRPr="00AA7200">
              <w:t>m</w:t>
            </w:r>
            <w:r w:rsidRPr="00AA7200">
              <w:t xml:space="preserve">manställa </w:t>
            </w:r>
            <w:r w:rsidRPr="00AA7200">
              <w:rPr>
                <w:i/>
              </w:rPr>
              <w:t>statsbudgeten</w:t>
            </w:r>
            <w:r w:rsidRPr="00AA7200">
              <w:t xml:space="preserve"> och gran</w:t>
            </w:r>
            <w:r w:rsidRPr="00AA7200">
              <w:t>s</w:t>
            </w:r>
            <w:r w:rsidRPr="00AA7200">
              <w:t xml:space="preserve">ka </w:t>
            </w:r>
            <w:r w:rsidRPr="00AA7200">
              <w:rPr>
                <w:i/>
              </w:rPr>
              <w:t xml:space="preserve">årsredovisning </w:t>
            </w:r>
            <w:r w:rsidRPr="00AA7200">
              <w:t>för staten.</w:t>
            </w:r>
          </w:p>
        </w:tc>
        <w:tc>
          <w:tcPr>
            <w:tcW w:w="3092" w:type="dxa"/>
          </w:tcPr>
          <w:p w:rsidR="00665677" w:rsidRPr="00AA7200" w:rsidRDefault="00665677" w:rsidP="00665677">
            <w:pPr>
              <w:pStyle w:val="LagtextIndrag"/>
            </w:pPr>
            <w:r w:rsidRPr="00AA7200">
              <w:t>Utskottet ska även granska berä</w:t>
            </w:r>
            <w:r w:rsidRPr="00AA7200">
              <w:t>k</w:t>
            </w:r>
            <w:r w:rsidRPr="00AA7200">
              <w:t>ningen av statens inkomster, sa</w:t>
            </w:r>
            <w:r w:rsidRPr="00AA7200">
              <w:t>m</w:t>
            </w:r>
            <w:r w:rsidRPr="00AA7200">
              <w:t xml:space="preserve">manställa </w:t>
            </w:r>
            <w:r w:rsidRPr="00AA7200">
              <w:rPr>
                <w:i/>
              </w:rPr>
              <w:t>statens budget</w:t>
            </w:r>
            <w:r w:rsidRPr="00AA7200">
              <w:t xml:space="preserve"> och granska </w:t>
            </w:r>
            <w:r w:rsidRPr="00AA7200">
              <w:rPr>
                <w:i/>
              </w:rPr>
              <w:t>årsredovisningen</w:t>
            </w:r>
            <w:r w:rsidRPr="00AA7200">
              <w:t xml:space="preserve"> för st</w:t>
            </w:r>
            <w:r w:rsidRPr="00AA7200">
              <w:t>a</w:t>
            </w:r>
            <w:r w:rsidRPr="00AA7200">
              <w:t>ten.</w:t>
            </w:r>
          </w:p>
        </w:tc>
      </w:tr>
    </w:tbl>
    <w:tbl>
      <w:tblPr>
        <w:tblW w:w="6180" w:type="dxa"/>
        <w:tblLayout w:type="fixed"/>
        <w:tblCellMar>
          <w:left w:w="113" w:type="dxa"/>
          <w:right w:w="113" w:type="dxa"/>
        </w:tblCellMar>
        <w:tblLook w:val="0000" w:firstRow="0" w:lastRow="0" w:firstColumn="0" w:lastColumn="0" w:noHBand="0" w:noVBand="0"/>
      </w:tblPr>
      <w:tblGrid>
        <w:gridCol w:w="6180"/>
      </w:tblGrid>
      <w:tr w:rsidR="002039C4" w:rsidRPr="00AA7200" w:rsidTr="00DA3A91">
        <w:tblPrEx>
          <w:tblCellMar>
            <w:top w:w="0" w:type="dxa"/>
            <w:bottom w:w="0" w:type="dxa"/>
          </w:tblCellMar>
        </w:tblPrEx>
        <w:tc>
          <w:tcPr>
            <w:tcW w:w="6180" w:type="dxa"/>
          </w:tcPr>
          <w:p w:rsidR="002039C4" w:rsidRPr="00AA7200" w:rsidRDefault="002039C4" w:rsidP="002039C4">
            <w:pPr>
              <w:pStyle w:val="LagtextIndrag"/>
            </w:pPr>
            <w:r w:rsidRPr="00AA7200">
              <w:t>Ärenden om anslag inom utgiftsområdena 2 Samhällsekonomi och finan</w:t>
            </w:r>
            <w:r w:rsidRPr="00AA7200">
              <w:t>s</w:t>
            </w:r>
            <w:r w:rsidRPr="00AA7200">
              <w:t>förvaltning, 25 Allmänna bidrag till kommuner, 26 Statsskuldsräntor m.m. samt 27 Avgiften till Europeiska unionen bereds av finansutskottet.</w:t>
            </w:r>
          </w:p>
          <w:p w:rsidR="002039C4" w:rsidRPr="00AA7200" w:rsidRDefault="00FC5BF3" w:rsidP="002039C4">
            <w:pPr>
              <w:pStyle w:val="LagtextIndrag"/>
            </w:pPr>
            <w:r w:rsidRPr="00AA7200">
              <w:t xml:space="preserve">     </w:t>
            </w:r>
          </w:p>
          <w:p w:rsidR="002039C4" w:rsidRPr="00AA7200" w:rsidRDefault="002039C4" w:rsidP="00FC5BF3">
            <w:pPr>
              <w:pStyle w:val="LagtextIndrag"/>
              <w:jc w:val="center"/>
              <w:rPr>
                <w:b/>
              </w:rPr>
            </w:pPr>
            <w:r w:rsidRPr="00AA7200">
              <w:rPr>
                <w:b/>
              </w:rPr>
              <w:t>5 kap</w:t>
            </w:r>
          </w:p>
          <w:p w:rsidR="002039C4" w:rsidRPr="00AA7200" w:rsidRDefault="002039C4" w:rsidP="00FC5BF3">
            <w:pPr>
              <w:pStyle w:val="LagtextIndrag"/>
              <w:jc w:val="center"/>
            </w:pPr>
            <w:r w:rsidRPr="00AA7200">
              <w:t>5.6.1</w:t>
            </w:r>
            <w:r w:rsidRPr="00AA7200">
              <w:rPr>
                <w:rStyle w:val="Fotnotsreferens"/>
              </w:rPr>
              <w:footnoteReference w:id="6"/>
            </w:r>
          </w:p>
        </w:tc>
      </w:tr>
    </w:tbl>
    <w:tbl>
      <w:tblPr>
        <w:tblStyle w:val="Tabellrutnt"/>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081"/>
        <w:gridCol w:w="3092"/>
      </w:tblGrid>
      <w:tr w:rsidR="002039C4" w:rsidRPr="00AA7200" w:rsidTr="008666AD">
        <w:tc>
          <w:tcPr>
            <w:tcW w:w="3081" w:type="dxa"/>
          </w:tcPr>
          <w:p w:rsidR="002039C4" w:rsidRPr="00AA7200" w:rsidRDefault="002039C4" w:rsidP="00DA3A91">
            <w:pPr>
              <w:pStyle w:val="LagtextIndrag"/>
            </w:pPr>
            <w:r w:rsidRPr="00AA7200">
              <w:t xml:space="preserve">Då en omröstning </w:t>
            </w:r>
            <w:r w:rsidRPr="00AA7200">
              <w:rPr>
                <w:i/>
              </w:rPr>
              <w:t>skall</w:t>
            </w:r>
            <w:r w:rsidRPr="00AA7200">
              <w:t xml:space="preserve"> äga rum, upprättar talmannen en omröstning</w:t>
            </w:r>
            <w:r w:rsidRPr="00AA7200">
              <w:t>s</w:t>
            </w:r>
            <w:r w:rsidRPr="00AA7200">
              <w:t>proposition. Om en särskild beslut</w:t>
            </w:r>
            <w:r w:rsidRPr="00AA7200">
              <w:t>s</w:t>
            </w:r>
            <w:r w:rsidRPr="00AA7200">
              <w:t xml:space="preserve">regel enligt 9 § </w:t>
            </w:r>
            <w:r w:rsidRPr="00AA7200">
              <w:rPr>
                <w:i/>
              </w:rPr>
              <w:t>skall</w:t>
            </w:r>
            <w:r w:rsidRPr="00AA7200">
              <w:t xml:space="preserve"> tillä</w:t>
            </w:r>
            <w:r w:rsidRPr="00AA7200">
              <w:t>m</w:t>
            </w:r>
            <w:r w:rsidRPr="00AA7200">
              <w:t>pas i ett visst fall, anges det i omröstning</w:t>
            </w:r>
            <w:r w:rsidRPr="00AA7200">
              <w:t>s</w:t>
            </w:r>
            <w:r w:rsidRPr="00AA7200">
              <w:t>propositionen.</w:t>
            </w:r>
          </w:p>
        </w:tc>
        <w:tc>
          <w:tcPr>
            <w:tcW w:w="3092" w:type="dxa"/>
          </w:tcPr>
          <w:p w:rsidR="002039C4" w:rsidRPr="00AA7200" w:rsidRDefault="002039C4" w:rsidP="00DA3A91">
            <w:pPr>
              <w:pStyle w:val="LagtextIndrag"/>
            </w:pPr>
            <w:r w:rsidRPr="00AA7200">
              <w:t xml:space="preserve">Då en omröstning </w:t>
            </w:r>
            <w:r w:rsidRPr="00AA7200">
              <w:rPr>
                <w:i/>
              </w:rPr>
              <w:t>ska</w:t>
            </w:r>
            <w:r w:rsidRPr="00AA7200">
              <w:t xml:space="preserve"> äga rum, upprättar talmannen en omröstning</w:t>
            </w:r>
            <w:r w:rsidRPr="00AA7200">
              <w:t>s</w:t>
            </w:r>
            <w:r w:rsidRPr="00AA7200">
              <w:t>proposition. Om en särskild beslut</w:t>
            </w:r>
            <w:r w:rsidRPr="00AA7200">
              <w:t>s</w:t>
            </w:r>
            <w:r w:rsidRPr="00AA7200">
              <w:t xml:space="preserve">regel enligt 9 § </w:t>
            </w:r>
            <w:r w:rsidRPr="00AA7200">
              <w:rPr>
                <w:i/>
              </w:rPr>
              <w:t>ska</w:t>
            </w:r>
            <w:r w:rsidRPr="00AA7200">
              <w:t xml:space="preserve"> tillä</w:t>
            </w:r>
            <w:r w:rsidRPr="00AA7200">
              <w:t>m</w:t>
            </w:r>
            <w:r w:rsidRPr="00AA7200">
              <w:t>pas i ett visst fall, anges det i omröstning</w:t>
            </w:r>
            <w:r w:rsidRPr="00AA7200">
              <w:t>s</w:t>
            </w:r>
            <w:r w:rsidRPr="00AA7200">
              <w:t>propositionen.</w:t>
            </w:r>
          </w:p>
        </w:tc>
      </w:tr>
    </w:tbl>
    <w:tbl>
      <w:tblPr>
        <w:tblW w:w="6180" w:type="dxa"/>
        <w:tblLayout w:type="fixed"/>
        <w:tblCellMar>
          <w:left w:w="113" w:type="dxa"/>
          <w:right w:w="113" w:type="dxa"/>
        </w:tblCellMar>
        <w:tblLook w:val="0000" w:firstRow="0" w:lastRow="0" w:firstColumn="0" w:lastColumn="0" w:noHBand="0" w:noVBand="0"/>
      </w:tblPr>
      <w:tblGrid>
        <w:gridCol w:w="6180"/>
      </w:tblGrid>
      <w:tr w:rsidR="002039C4" w:rsidRPr="00AA7200" w:rsidTr="00DA3A91">
        <w:tblPrEx>
          <w:tblCellMar>
            <w:top w:w="0" w:type="dxa"/>
            <w:bottom w:w="0" w:type="dxa"/>
          </w:tblCellMar>
        </w:tblPrEx>
        <w:tc>
          <w:tcPr>
            <w:tcW w:w="6180" w:type="dxa"/>
          </w:tcPr>
          <w:p w:rsidR="002039C4" w:rsidRPr="00AA7200" w:rsidRDefault="002039C4" w:rsidP="002039C4">
            <w:pPr>
              <w:pStyle w:val="LagtextIndrag"/>
            </w:pPr>
            <w:r w:rsidRPr="00AA7200">
              <w:t>Sedan ledamöterna efter förvarning har intagit sina platser i plenisalen, l</w:t>
            </w:r>
            <w:r w:rsidRPr="00AA7200">
              <w:t>ä</w:t>
            </w:r>
            <w:r w:rsidRPr="00AA7200">
              <w:t>ses omröstningspropositionen upp och underställs kammaren för godkänna</w:t>
            </w:r>
            <w:r w:rsidRPr="00AA7200">
              <w:t>n</w:t>
            </w:r>
            <w:r w:rsidRPr="00AA7200">
              <w:t xml:space="preserve">de. </w:t>
            </w:r>
          </w:p>
        </w:tc>
      </w:tr>
    </w:tbl>
    <w:tbl>
      <w:tblPr>
        <w:tblStyle w:val="Tabellrutnt"/>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081"/>
        <w:gridCol w:w="3092"/>
      </w:tblGrid>
      <w:tr w:rsidR="002039C4" w:rsidRPr="00AA7200" w:rsidTr="008666AD">
        <w:tc>
          <w:tcPr>
            <w:tcW w:w="3081" w:type="dxa"/>
          </w:tcPr>
          <w:p w:rsidR="002039C4" w:rsidRPr="00AA7200" w:rsidRDefault="002039C4" w:rsidP="00DA3A91">
            <w:pPr>
              <w:pStyle w:val="LagtextIndrag"/>
            </w:pPr>
            <w:r w:rsidRPr="00AA7200">
              <w:t xml:space="preserve">En omröstning får förrättas med uppresning. Om talmannen efter omröstning med uppresning tvekar om omröstningens resultat eller en ledamot begär rösträkning, sker en ny omröstning </w:t>
            </w:r>
            <w:r w:rsidRPr="00AA7200">
              <w:rPr>
                <w:i/>
              </w:rPr>
              <w:t>med</w:t>
            </w:r>
            <w:r w:rsidRPr="00AA7200">
              <w:t xml:space="preserve"> </w:t>
            </w:r>
            <w:r w:rsidRPr="00AA7200">
              <w:rPr>
                <w:i/>
              </w:rPr>
              <w:t>omröstningsa</w:t>
            </w:r>
            <w:r w:rsidRPr="00AA7200">
              <w:rPr>
                <w:i/>
              </w:rPr>
              <w:t>p</w:t>
            </w:r>
            <w:r w:rsidRPr="00AA7200">
              <w:rPr>
                <w:i/>
              </w:rPr>
              <w:t xml:space="preserve">parat </w:t>
            </w:r>
            <w:r w:rsidRPr="00AA7200">
              <w:t xml:space="preserve">eller, när det inte kan </w:t>
            </w:r>
            <w:r w:rsidRPr="00AA7200">
              <w:rPr>
                <w:i/>
              </w:rPr>
              <w:t>anvä</w:t>
            </w:r>
            <w:r w:rsidRPr="00AA7200">
              <w:rPr>
                <w:i/>
              </w:rPr>
              <w:t>n</w:t>
            </w:r>
            <w:r w:rsidRPr="00AA7200">
              <w:rPr>
                <w:i/>
              </w:rPr>
              <w:t>das</w:t>
            </w:r>
            <w:r w:rsidRPr="00AA7200">
              <w:t>, med namnupprop.</w:t>
            </w:r>
          </w:p>
        </w:tc>
        <w:tc>
          <w:tcPr>
            <w:tcW w:w="3092" w:type="dxa"/>
          </w:tcPr>
          <w:p w:rsidR="002039C4" w:rsidRPr="00AA7200" w:rsidRDefault="002039C4" w:rsidP="00DA3A91">
            <w:pPr>
              <w:pStyle w:val="LagtextIndrag"/>
            </w:pPr>
            <w:r w:rsidRPr="00AA7200">
              <w:t xml:space="preserve">En omröstning får förrättas med uppresning. Om talmannen efter omröstning med uppresning tvekar om omröstningens resultat eller en ledamot begär rösträkning, sker en ny omröstning </w:t>
            </w:r>
            <w:r w:rsidRPr="00AA7200">
              <w:rPr>
                <w:i/>
              </w:rPr>
              <w:t>elektroniskt</w:t>
            </w:r>
            <w:r w:rsidRPr="00AA7200">
              <w:t xml:space="preserve"> eller, när det inte kan </w:t>
            </w:r>
            <w:r w:rsidRPr="00AA7200">
              <w:rPr>
                <w:i/>
              </w:rPr>
              <w:t>ske</w:t>
            </w:r>
            <w:r w:rsidRPr="00AA7200">
              <w:t>,</w:t>
            </w:r>
            <w:r w:rsidRPr="00AA7200">
              <w:rPr>
                <w:i/>
              </w:rPr>
              <w:t xml:space="preserve"> </w:t>
            </w:r>
            <w:r w:rsidRPr="00AA7200">
              <w:t>med namnup</w:t>
            </w:r>
            <w:r w:rsidRPr="00AA7200">
              <w:t>p</w:t>
            </w:r>
            <w:r w:rsidRPr="00AA7200">
              <w:t>rop.</w:t>
            </w:r>
          </w:p>
        </w:tc>
      </w:tr>
      <w:tr w:rsidR="002039C4" w:rsidRPr="00AA7200" w:rsidTr="008666AD">
        <w:tc>
          <w:tcPr>
            <w:tcW w:w="3081" w:type="dxa"/>
          </w:tcPr>
          <w:p w:rsidR="002039C4" w:rsidRPr="00AA7200" w:rsidRDefault="002039C4" w:rsidP="00DA3A91">
            <w:pPr>
              <w:pStyle w:val="LagtextIndrag"/>
              <w:ind w:firstLine="0"/>
            </w:pPr>
          </w:p>
        </w:tc>
        <w:tc>
          <w:tcPr>
            <w:tcW w:w="3092" w:type="dxa"/>
          </w:tcPr>
          <w:p w:rsidR="002039C4" w:rsidRPr="00AA7200" w:rsidRDefault="002039C4" w:rsidP="00DA3A91">
            <w:pPr>
              <w:pStyle w:val="LagtextIndrag"/>
              <w:ind w:firstLine="0"/>
            </w:pPr>
          </w:p>
        </w:tc>
      </w:tr>
    </w:tbl>
    <w:p w:rsidR="001266AC" w:rsidRPr="00AA7200" w:rsidRDefault="001266AC"/>
    <w:p w:rsidR="001266AC" w:rsidRPr="00AA7200" w:rsidRDefault="001266AC" w:rsidP="001266AC">
      <w:pPr>
        <w:pStyle w:val="Normaltindrag"/>
      </w:pPr>
    </w:p>
    <w:p w:rsidR="001266AC" w:rsidRPr="00AA7200" w:rsidRDefault="001266AC" w:rsidP="001266AC">
      <w:pPr>
        <w:pStyle w:val="Normaltindrag"/>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2039C4" w:rsidRPr="00AA7200" w:rsidTr="002039C4">
        <w:tblPrEx>
          <w:tblCellMar>
            <w:top w:w="0" w:type="dxa"/>
            <w:bottom w:w="0" w:type="dxa"/>
          </w:tblCellMar>
        </w:tblPrEx>
        <w:trPr>
          <w:tblHeader/>
        </w:trPr>
        <w:tc>
          <w:tcPr>
            <w:tcW w:w="3090" w:type="dxa"/>
          </w:tcPr>
          <w:p w:rsidR="002039C4" w:rsidRPr="00AA7200" w:rsidRDefault="002039C4" w:rsidP="002039C4">
            <w:pPr>
              <w:pStyle w:val="LagtextRubrik"/>
            </w:pPr>
            <w:r w:rsidRPr="00AA7200">
              <w:t>Nuvarande lydelse</w:t>
            </w:r>
          </w:p>
        </w:tc>
        <w:tc>
          <w:tcPr>
            <w:tcW w:w="3090" w:type="dxa"/>
          </w:tcPr>
          <w:p w:rsidR="002039C4" w:rsidRPr="00AA7200" w:rsidRDefault="002039C4" w:rsidP="002039C4">
            <w:pPr>
              <w:pStyle w:val="LagtextRubrik"/>
            </w:pPr>
            <w:r w:rsidRPr="00AA7200">
              <w:t>Föreslagen lydelse</w:t>
            </w:r>
          </w:p>
        </w:tc>
      </w:tr>
      <w:tr w:rsidR="002039C4" w:rsidRPr="00AA7200" w:rsidTr="00DA3A91">
        <w:tblPrEx>
          <w:tblCellMar>
            <w:top w:w="0" w:type="dxa"/>
            <w:bottom w:w="0" w:type="dxa"/>
          </w:tblCellMar>
        </w:tblPrEx>
        <w:tc>
          <w:tcPr>
            <w:tcW w:w="6180" w:type="dxa"/>
            <w:gridSpan w:val="2"/>
          </w:tcPr>
          <w:p w:rsidR="001266AC" w:rsidRPr="00AA7200" w:rsidRDefault="001266AC" w:rsidP="001266AC">
            <w:pPr>
              <w:pStyle w:val="LagtextIndrag"/>
              <w:jc w:val="center"/>
            </w:pPr>
            <w:r w:rsidRPr="00AA7200">
              <w:t>10 §</w:t>
            </w:r>
            <w:r w:rsidR="00E354BB" w:rsidRPr="00AA7200">
              <w:rPr>
                <w:rStyle w:val="Fotnotsreferens"/>
              </w:rPr>
              <w:footnoteReference w:id="7"/>
            </w:r>
          </w:p>
          <w:p w:rsidR="002039C4" w:rsidRPr="00AA7200" w:rsidRDefault="002039C4" w:rsidP="002039C4">
            <w:pPr>
              <w:pStyle w:val="LagtextIndrag"/>
            </w:pPr>
            <w:r w:rsidRPr="00AA7200">
              <w:t>Ett ärende bör avgöras under den valperiod då det väckts. Riksdagen får dock medge att behandlingen får uppskjutas till det första riksmötet i nästa valperiod. Behandlingen av ett ärende som väckts under ett uppehåll i ka</w:t>
            </w:r>
            <w:r w:rsidRPr="00AA7200">
              <w:t>m</w:t>
            </w:r>
            <w:r w:rsidRPr="00AA7200">
              <w:t>mararbetet som sträcker sig fram till det första riksmötet i nästa valperiod anses vidare vara uppskjuten till detta riksmöte. Detsamma gäller behandlin</w:t>
            </w:r>
            <w:r w:rsidRPr="00AA7200">
              <w:t>g</w:t>
            </w:r>
            <w:r w:rsidRPr="00AA7200">
              <w:t>en av ett ärende som riksdagen inte har hunnit avgöra då ett uppehåll görs i kammarens arbete med anledning av ett extra val.</w:t>
            </w:r>
            <w:r w:rsidR="00677ADA" w:rsidRPr="00AA7200">
              <w:t xml:space="preserve"> </w:t>
            </w:r>
          </w:p>
        </w:tc>
      </w:tr>
    </w:tbl>
    <w:tbl>
      <w:tblPr>
        <w:tblStyle w:val="Tabellrutnt"/>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081"/>
        <w:gridCol w:w="3092"/>
      </w:tblGrid>
      <w:tr w:rsidR="002039C4" w:rsidRPr="00AA7200" w:rsidTr="00C0013B">
        <w:tc>
          <w:tcPr>
            <w:tcW w:w="3081" w:type="dxa"/>
          </w:tcPr>
          <w:p w:rsidR="002039C4" w:rsidRPr="00AA7200" w:rsidRDefault="002039C4" w:rsidP="00DA3A91">
            <w:pPr>
              <w:pStyle w:val="LagtextIndrag"/>
            </w:pPr>
            <w:r w:rsidRPr="00AA7200">
              <w:t xml:space="preserve">Ärende som gäller </w:t>
            </w:r>
            <w:r w:rsidRPr="00AA7200">
              <w:rPr>
                <w:i/>
              </w:rPr>
              <w:t xml:space="preserve">statsbudgeten </w:t>
            </w:r>
            <w:r w:rsidRPr="00AA7200">
              <w:t xml:space="preserve">för närmast följande budgetår ska avgöras före budgetårets ingång om det inte utan olägenhet för </w:t>
            </w:r>
            <w:r w:rsidRPr="00AA7200">
              <w:rPr>
                <w:i/>
              </w:rPr>
              <w:t>budgetr</w:t>
            </w:r>
            <w:r w:rsidRPr="00AA7200">
              <w:rPr>
                <w:i/>
              </w:rPr>
              <w:t>e</w:t>
            </w:r>
            <w:r w:rsidRPr="00AA7200">
              <w:rPr>
                <w:i/>
              </w:rPr>
              <w:t>gleringen</w:t>
            </w:r>
            <w:r w:rsidRPr="00AA7200">
              <w:t xml:space="preserve"> kan avgöras senare.</w:t>
            </w:r>
          </w:p>
        </w:tc>
        <w:tc>
          <w:tcPr>
            <w:tcW w:w="3092" w:type="dxa"/>
          </w:tcPr>
          <w:p w:rsidR="002039C4" w:rsidRPr="00AA7200" w:rsidRDefault="002039C4" w:rsidP="00DA3A91">
            <w:pPr>
              <w:pStyle w:val="LagtextIndrag"/>
            </w:pPr>
            <w:r w:rsidRPr="00AA7200">
              <w:t xml:space="preserve">Ärende som gäller </w:t>
            </w:r>
            <w:r w:rsidRPr="00AA7200">
              <w:rPr>
                <w:i/>
              </w:rPr>
              <w:t>statens budget</w:t>
            </w:r>
            <w:r w:rsidRPr="00AA7200">
              <w:t xml:space="preserve"> för närmast följande budge</w:t>
            </w:r>
            <w:r w:rsidRPr="00AA7200">
              <w:t>t</w:t>
            </w:r>
            <w:r w:rsidRPr="00AA7200">
              <w:t>år ska avgöras före budge</w:t>
            </w:r>
            <w:r w:rsidRPr="00AA7200">
              <w:t>t</w:t>
            </w:r>
            <w:r w:rsidRPr="00AA7200">
              <w:t xml:space="preserve">årets ingång om det inte utan olägenhet för </w:t>
            </w:r>
            <w:r w:rsidRPr="00AA7200">
              <w:rPr>
                <w:i/>
              </w:rPr>
              <w:t>beslut om statens budget</w:t>
            </w:r>
            <w:r w:rsidRPr="00AA7200">
              <w:t xml:space="preserve"> kan avg</w:t>
            </w:r>
            <w:r w:rsidRPr="00AA7200">
              <w:t>ö</w:t>
            </w:r>
            <w:r w:rsidRPr="00AA7200">
              <w:t>ras senare.</w:t>
            </w:r>
          </w:p>
        </w:tc>
      </w:tr>
    </w:tbl>
    <w:tbl>
      <w:tblPr>
        <w:tblW w:w="6180" w:type="dxa"/>
        <w:tblLayout w:type="fixed"/>
        <w:tblCellMar>
          <w:left w:w="113" w:type="dxa"/>
          <w:right w:w="113" w:type="dxa"/>
        </w:tblCellMar>
        <w:tblLook w:val="0000" w:firstRow="0" w:lastRow="0" w:firstColumn="0" w:lastColumn="0" w:noHBand="0" w:noVBand="0"/>
      </w:tblPr>
      <w:tblGrid>
        <w:gridCol w:w="6180"/>
      </w:tblGrid>
      <w:tr w:rsidR="002039C4" w:rsidRPr="00AA7200" w:rsidTr="00DA3A91">
        <w:tblPrEx>
          <w:tblCellMar>
            <w:top w:w="0" w:type="dxa"/>
            <w:bottom w:w="0" w:type="dxa"/>
          </w:tblCellMar>
        </w:tblPrEx>
        <w:tc>
          <w:tcPr>
            <w:tcW w:w="6180" w:type="dxa"/>
          </w:tcPr>
          <w:p w:rsidR="002039C4" w:rsidRPr="00AA7200" w:rsidRDefault="002039C4" w:rsidP="002039C4">
            <w:pPr>
              <w:pStyle w:val="LagtextIndrag"/>
            </w:pPr>
            <w:r w:rsidRPr="00AA7200">
              <w:t>Ett lagförslag som har vilat i tolv månader enligt 2 kap. 22 § första stycket regeringsformen ska prövas före utgången av kalenderåret därpå. Om ett annat lagförslag har ett nära samband med ett lagförslag som vilar enligt denna bestämmelse, får riksdagen besluta att det ska avgöras inom den tid som gäller för prövningen av det vilande lagförslaget. Om ett ärende som avses i detta stycke till följd av beslut om extra val inte kan avgöras inom föreskriven tid, ska det avgöras snarast möjligt efter det att den nyvalda rik</w:t>
            </w:r>
            <w:r w:rsidRPr="00AA7200">
              <w:t>s</w:t>
            </w:r>
            <w:r w:rsidRPr="00AA7200">
              <w:t>dagen har sammanträtt.</w:t>
            </w:r>
          </w:p>
          <w:p w:rsidR="002039C4" w:rsidRPr="00AA7200" w:rsidRDefault="002039C4" w:rsidP="002039C4">
            <w:pPr>
              <w:pStyle w:val="LagtextIndrag"/>
            </w:pPr>
          </w:p>
          <w:p w:rsidR="002039C4" w:rsidRPr="00AA7200" w:rsidRDefault="002039C4" w:rsidP="002039C4">
            <w:pPr>
              <w:pStyle w:val="LagtextIndrag"/>
              <w:rPr>
                <w:b/>
              </w:rPr>
            </w:pPr>
            <w:r w:rsidRPr="00AA7200">
              <w:t xml:space="preserve">                                                        </w:t>
            </w:r>
          </w:p>
          <w:p w:rsidR="002039C4" w:rsidRPr="00AA7200" w:rsidRDefault="002039C4" w:rsidP="000533D9">
            <w:pPr>
              <w:pStyle w:val="LagtextIndrag"/>
              <w:jc w:val="center"/>
            </w:pPr>
            <w:r w:rsidRPr="00AA7200">
              <w:t>12 §</w:t>
            </w:r>
            <w:r w:rsidRPr="00AA7200">
              <w:rPr>
                <w:rStyle w:val="Fotnotsreferens"/>
              </w:rPr>
              <w:footnoteReference w:id="8"/>
            </w:r>
          </w:p>
          <w:p w:rsidR="002039C4" w:rsidRPr="00AA7200" w:rsidRDefault="002039C4" w:rsidP="002039C4">
            <w:pPr>
              <w:pStyle w:val="LagtextIndrag"/>
            </w:pPr>
            <w:r w:rsidRPr="00AA7200">
              <w:t>Riksdagen får genom lag besluta att hänföra statsutgifterna till utgiftsomr</w:t>
            </w:r>
            <w:r w:rsidRPr="00AA7200">
              <w:t>å</w:t>
            </w:r>
            <w:r w:rsidRPr="00AA7200">
              <w:t>den.</w:t>
            </w:r>
            <w:r w:rsidR="00677ADA" w:rsidRPr="00AA7200">
              <w:t xml:space="preserve"> </w:t>
            </w:r>
          </w:p>
        </w:tc>
      </w:tr>
    </w:tbl>
    <w:tbl>
      <w:tblPr>
        <w:tblStyle w:val="Tabellrutnt"/>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081"/>
        <w:gridCol w:w="3092"/>
      </w:tblGrid>
      <w:tr w:rsidR="002039C4" w:rsidRPr="00AA7200" w:rsidTr="00C0013B">
        <w:tc>
          <w:tcPr>
            <w:tcW w:w="3081" w:type="dxa"/>
          </w:tcPr>
          <w:p w:rsidR="002039C4" w:rsidRPr="00AA7200" w:rsidRDefault="002039C4" w:rsidP="00DA3A91">
            <w:pPr>
              <w:pStyle w:val="LagtextIndrag"/>
            </w:pPr>
            <w:r w:rsidRPr="00AA7200">
              <w:t>Om riksdagen har fattat beslut e</w:t>
            </w:r>
            <w:r w:rsidRPr="00AA7200">
              <w:t>n</w:t>
            </w:r>
            <w:r w:rsidRPr="00AA7200">
              <w:t>ligt första stycket, fastställer riksd</w:t>
            </w:r>
            <w:r w:rsidRPr="00AA7200">
              <w:t>a</w:t>
            </w:r>
            <w:r w:rsidRPr="00AA7200">
              <w:t>gen för det närmast följande budge</w:t>
            </w:r>
            <w:r w:rsidRPr="00AA7200">
              <w:t>t</w:t>
            </w:r>
            <w:r w:rsidRPr="00AA7200">
              <w:t>året genom ett enda beslut</w:t>
            </w:r>
          </w:p>
          <w:p w:rsidR="002039C4" w:rsidRPr="00AA7200" w:rsidRDefault="002039C4" w:rsidP="00DA3A91">
            <w:pPr>
              <w:pStyle w:val="LagtextIndrag"/>
            </w:pPr>
            <w:r w:rsidRPr="00AA7200">
              <w:t>dels för varje utgiftsområde en u</w:t>
            </w:r>
            <w:r w:rsidRPr="00AA7200">
              <w:t>t</w:t>
            </w:r>
            <w:r w:rsidRPr="00AA7200">
              <w:t>giftsram, som anger det belopp till vilket summan av de till utgiftsomr</w:t>
            </w:r>
            <w:r w:rsidRPr="00AA7200">
              <w:t>å</w:t>
            </w:r>
            <w:r w:rsidRPr="00AA7200">
              <w:t>det hörande utgifterna högst får uppgå,</w:t>
            </w:r>
          </w:p>
          <w:p w:rsidR="002039C4" w:rsidRPr="00AA7200" w:rsidRDefault="002039C4" w:rsidP="00DA3A91">
            <w:pPr>
              <w:pStyle w:val="LagtextIndrag"/>
            </w:pPr>
            <w:r w:rsidRPr="00AA7200">
              <w:t xml:space="preserve">dels en beräkning av inkomsterna på </w:t>
            </w:r>
            <w:r w:rsidRPr="00AA7200">
              <w:rPr>
                <w:i/>
              </w:rPr>
              <w:t>statsbudgeten.</w:t>
            </w:r>
          </w:p>
        </w:tc>
        <w:tc>
          <w:tcPr>
            <w:tcW w:w="3092" w:type="dxa"/>
          </w:tcPr>
          <w:p w:rsidR="002039C4" w:rsidRPr="00AA7200" w:rsidRDefault="002039C4" w:rsidP="00DA3A91">
            <w:pPr>
              <w:pStyle w:val="LagtextIndrag"/>
            </w:pPr>
            <w:r w:rsidRPr="00AA7200">
              <w:t>Om riksdagen har fattat beslut e</w:t>
            </w:r>
            <w:r w:rsidRPr="00AA7200">
              <w:t>n</w:t>
            </w:r>
            <w:r w:rsidRPr="00AA7200">
              <w:t>ligt första stycket, fastställer riksd</w:t>
            </w:r>
            <w:r w:rsidRPr="00AA7200">
              <w:t>a</w:t>
            </w:r>
            <w:r w:rsidRPr="00AA7200">
              <w:t>gen för det närmast följande budge</w:t>
            </w:r>
            <w:r w:rsidRPr="00AA7200">
              <w:t>t</w:t>
            </w:r>
            <w:r w:rsidRPr="00AA7200">
              <w:t>året genom ett enda beslut</w:t>
            </w:r>
          </w:p>
          <w:p w:rsidR="002039C4" w:rsidRPr="00AA7200" w:rsidRDefault="002039C4" w:rsidP="00DA3A91">
            <w:pPr>
              <w:pStyle w:val="LagtextIndrag"/>
            </w:pPr>
            <w:r w:rsidRPr="00AA7200">
              <w:t>dels för varje utgiftsområde en u</w:t>
            </w:r>
            <w:r w:rsidRPr="00AA7200">
              <w:t>t</w:t>
            </w:r>
            <w:r w:rsidRPr="00AA7200">
              <w:t>giftsram, som anger det belopp till vilket summan av de till utgiftsomr</w:t>
            </w:r>
            <w:r w:rsidRPr="00AA7200">
              <w:t>å</w:t>
            </w:r>
            <w:r w:rsidRPr="00AA7200">
              <w:t>det hörande utgifterna högst får up</w:t>
            </w:r>
            <w:r w:rsidRPr="00AA7200">
              <w:t>p</w:t>
            </w:r>
            <w:r w:rsidRPr="00AA7200">
              <w:t>gå,</w:t>
            </w:r>
          </w:p>
          <w:p w:rsidR="002039C4" w:rsidRPr="00AA7200" w:rsidRDefault="002039C4" w:rsidP="00DA3A91">
            <w:pPr>
              <w:pStyle w:val="LagtextIndrag"/>
            </w:pPr>
            <w:r w:rsidRPr="00AA7200">
              <w:t xml:space="preserve">dels en beräkning av inkomsterna på </w:t>
            </w:r>
            <w:r w:rsidRPr="00AA7200">
              <w:rPr>
                <w:i/>
              </w:rPr>
              <w:t>statens budget.</w:t>
            </w:r>
          </w:p>
        </w:tc>
      </w:tr>
    </w:tbl>
    <w:tbl>
      <w:tblPr>
        <w:tblW w:w="6180" w:type="dxa"/>
        <w:tblLayout w:type="fixed"/>
        <w:tblCellMar>
          <w:left w:w="113" w:type="dxa"/>
          <w:right w:w="113" w:type="dxa"/>
        </w:tblCellMar>
        <w:tblLook w:val="0000" w:firstRow="0" w:lastRow="0" w:firstColumn="0" w:lastColumn="0" w:noHBand="0" w:noVBand="0"/>
      </w:tblPr>
      <w:tblGrid>
        <w:gridCol w:w="3090"/>
        <w:gridCol w:w="3084"/>
        <w:gridCol w:w="6"/>
      </w:tblGrid>
      <w:tr w:rsidR="00645718" w:rsidRPr="00AA7200" w:rsidTr="002630A1">
        <w:tblPrEx>
          <w:tblCellMar>
            <w:top w:w="0" w:type="dxa"/>
            <w:bottom w:w="0" w:type="dxa"/>
          </w:tblCellMar>
        </w:tblPrEx>
        <w:tc>
          <w:tcPr>
            <w:tcW w:w="6180" w:type="dxa"/>
            <w:gridSpan w:val="3"/>
          </w:tcPr>
          <w:p w:rsidR="00645718" w:rsidRPr="00AA7200" w:rsidRDefault="00645718" w:rsidP="00645718">
            <w:pPr>
              <w:pStyle w:val="LagtextIndrag"/>
            </w:pPr>
            <w:r w:rsidRPr="00AA7200">
              <w:t>Beslut om anslag eller andra utgifter i staten för närmast följande budge</w:t>
            </w:r>
            <w:r w:rsidRPr="00AA7200">
              <w:t>t</w:t>
            </w:r>
            <w:r w:rsidRPr="00AA7200">
              <w:t>år får inte fattas innan ett beslut fattats enligt andra stycket. Anslag eller andra utgifter i staten fastställs för varje utgiftsområde genom ett enda b</w:t>
            </w:r>
            <w:r w:rsidRPr="00AA7200">
              <w:t>e</w:t>
            </w:r>
            <w:r w:rsidRPr="00AA7200">
              <w:t>slut.</w:t>
            </w:r>
          </w:p>
          <w:p w:rsidR="00645718" w:rsidRPr="00AA7200" w:rsidRDefault="00645718" w:rsidP="00645718">
            <w:pPr>
              <w:pStyle w:val="LagtextIndrag"/>
            </w:pPr>
            <w:r w:rsidRPr="00AA7200">
              <w:t>Beslut om anslag för löpande budgetår som innebär att en utgiftsram påve</w:t>
            </w:r>
            <w:r w:rsidRPr="00AA7200">
              <w:t>r</w:t>
            </w:r>
            <w:r w:rsidRPr="00AA7200">
              <w:t>kas får inte fattas innan ett beslut om godkännande av en ändrad utgift</w:t>
            </w:r>
            <w:r w:rsidRPr="00AA7200">
              <w:t>s</w:t>
            </w:r>
            <w:r w:rsidRPr="00AA7200">
              <w:t>ram fattats.</w:t>
            </w:r>
          </w:p>
          <w:p w:rsidR="00645718" w:rsidRPr="00AA7200" w:rsidRDefault="00645718" w:rsidP="00645718">
            <w:pPr>
              <w:pStyle w:val="LagtextIndrag"/>
            </w:pPr>
          </w:p>
        </w:tc>
      </w:tr>
      <w:tr w:rsidR="00677ADA" w:rsidRPr="00AA7200" w:rsidTr="002630A1">
        <w:tblPrEx>
          <w:tblCellMar>
            <w:top w:w="0" w:type="dxa"/>
            <w:bottom w:w="0" w:type="dxa"/>
          </w:tblCellMar>
        </w:tblPrEx>
        <w:tc>
          <w:tcPr>
            <w:tcW w:w="6180" w:type="dxa"/>
            <w:gridSpan w:val="3"/>
          </w:tcPr>
          <w:p w:rsidR="00677ADA" w:rsidRPr="00AA7200" w:rsidRDefault="00677ADA" w:rsidP="00645718">
            <w:pPr>
              <w:pStyle w:val="LagtextIndrag"/>
            </w:pPr>
          </w:p>
          <w:p w:rsidR="007A26AB" w:rsidRPr="00AA7200" w:rsidRDefault="007A26AB" w:rsidP="00645718">
            <w:pPr>
              <w:pStyle w:val="LagtextIndrag"/>
            </w:pPr>
          </w:p>
        </w:tc>
      </w:tr>
      <w:tr w:rsidR="00645718" w:rsidRPr="00AA7200" w:rsidTr="002630A1">
        <w:tblPrEx>
          <w:tblCellMar>
            <w:top w:w="0" w:type="dxa"/>
            <w:bottom w:w="0" w:type="dxa"/>
          </w:tblCellMar>
        </w:tblPrEx>
        <w:trPr>
          <w:tblHeader/>
        </w:trPr>
        <w:tc>
          <w:tcPr>
            <w:tcW w:w="3090" w:type="dxa"/>
          </w:tcPr>
          <w:p w:rsidR="00645718" w:rsidRPr="00AA7200" w:rsidRDefault="00645718" w:rsidP="002630A1">
            <w:pPr>
              <w:pStyle w:val="LagtextRubrik"/>
            </w:pPr>
            <w:r w:rsidRPr="00AA7200">
              <w:t>Nuvarande lydelse</w:t>
            </w:r>
          </w:p>
        </w:tc>
        <w:tc>
          <w:tcPr>
            <w:tcW w:w="3090" w:type="dxa"/>
            <w:gridSpan w:val="2"/>
          </w:tcPr>
          <w:p w:rsidR="00645718" w:rsidRPr="00AA7200" w:rsidRDefault="00645718" w:rsidP="002630A1">
            <w:pPr>
              <w:pStyle w:val="LagtextRubrik"/>
            </w:pPr>
            <w:r w:rsidRPr="00AA7200">
              <w:t>Föreslagen lydelse</w:t>
            </w:r>
          </w:p>
        </w:tc>
      </w:tr>
      <w:tr w:rsidR="00A375EC" w:rsidRPr="00AA7200" w:rsidTr="001572B7">
        <w:tblPrEx>
          <w:tblCellMar>
            <w:top w:w="0" w:type="dxa"/>
            <w:bottom w:w="0" w:type="dxa"/>
          </w:tblCellMar>
        </w:tblPrEx>
        <w:trPr>
          <w:gridAfter w:val="1"/>
          <w:wAfter w:w="6" w:type="dxa"/>
        </w:trPr>
        <w:tc>
          <w:tcPr>
            <w:tcW w:w="6174" w:type="dxa"/>
            <w:gridSpan w:val="2"/>
          </w:tcPr>
          <w:p w:rsidR="00A375EC" w:rsidRPr="00AA7200" w:rsidRDefault="00A375EC" w:rsidP="00645718">
            <w:pPr>
              <w:pStyle w:val="LagtextIndrag"/>
              <w:jc w:val="center"/>
            </w:pPr>
            <w:r w:rsidRPr="00AA7200">
              <w:t>6.1.3</w:t>
            </w:r>
            <w:r w:rsidRPr="00AA7200">
              <w:rPr>
                <w:rStyle w:val="Fotnotsreferens"/>
              </w:rPr>
              <w:footnoteReference w:id="9"/>
            </w:r>
          </w:p>
          <w:p w:rsidR="00A375EC" w:rsidRPr="00AA7200" w:rsidRDefault="00A375EC" w:rsidP="00A375EC">
            <w:pPr>
              <w:pStyle w:val="LagtextIndrag"/>
            </w:pPr>
            <w:r w:rsidRPr="00AA7200">
              <w:t>När ett statsråd besvarar en interpellation får svaret lämnas i ett anf</w:t>
            </w:r>
            <w:r w:rsidRPr="00AA7200">
              <w:t>ö</w:t>
            </w:r>
            <w:r w:rsidRPr="00AA7200">
              <w:t>rande som räcker längst sex minuter. Statsrådet kan därutöver få ordet för ytterlig</w:t>
            </w:r>
            <w:r w:rsidRPr="00AA7200">
              <w:t>a</w:t>
            </w:r>
            <w:r w:rsidRPr="00AA7200">
              <w:t>re tre anföranden, varav de första två får räcka längst fyra min</w:t>
            </w:r>
            <w:r w:rsidRPr="00AA7200">
              <w:t>u</w:t>
            </w:r>
            <w:r w:rsidRPr="00AA7200">
              <w:t>ter vardera och det tredje längst två minuter.</w:t>
            </w:r>
          </w:p>
          <w:p w:rsidR="00A375EC" w:rsidRPr="00AA7200" w:rsidRDefault="00A375EC" w:rsidP="00A375EC">
            <w:pPr>
              <w:pStyle w:val="LagtextIndrag"/>
            </w:pPr>
            <w:r w:rsidRPr="00AA7200">
              <w:t>Interpellanten kan få ordet för högst tre anföranden, varav de första två får räcka längst fyra minuter vardera och det tredje längst två minuter.</w:t>
            </w:r>
          </w:p>
          <w:p w:rsidR="00A375EC" w:rsidRPr="00AA7200" w:rsidRDefault="00A375EC" w:rsidP="00A375EC">
            <w:pPr>
              <w:pStyle w:val="LagtextIndrag"/>
            </w:pPr>
            <w:r w:rsidRPr="00AA7200">
              <w:t>Andra talare kan få ordet för högst två anföranden, varav det första får räcka längst fyra minuter och det andra längst två minuter.</w:t>
            </w:r>
          </w:p>
        </w:tc>
      </w:tr>
      <w:tr w:rsidR="00A375EC" w:rsidRPr="00AA7200" w:rsidTr="00A375EC">
        <w:tblPrEx>
          <w:tblCellMar>
            <w:top w:w="0" w:type="dxa"/>
            <w:bottom w:w="0" w:type="dxa"/>
          </w:tblCellMar>
        </w:tblPrEx>
        <w:tc>
          <w:tcPr>
            <w:tcW w:w="3090" w:type="dxa"/>
          </w:tcPr>
          <w:p w:rsidR="00A375EC" w:rsidRPr="00AA7200" w:rsidRDefault="00A375EC" w:rsidP="00A375EC">
            <w:pPr>
              <w:pStyle w:val="LagtextRubrik"/>
            </w:pPr>
          </w:p>
        </w:tc>
        <w:tc>
          <w:tcPr>
            <w:tcW w:w="3090" w:type="dxa"/>
            <w:gridSpan w:val="2"/>
          </w:tcPr>
          <w:p w:rsidR="00A375EC" w:rsidRPr="00AA7200" w:rsidRDefault="00A375EC" w:rsidP="005821A2">
            <w:pPr>
              <w:pStyle w:val="LagtextRubrik"/>
              <w:spacing w:after="0"/>
            </w:pPr>
            <w:r w:rsidRPr="00AA7200">
              <w:t>En talare får inte anmäla sig sen</w:t>
            </w:r>
            <w:r w:rsidRPr="00AA7200">
              <w:t>a</w:t>
            </w:r>
            <w:r w:rsidRPr="00AA7200">
              <w:t xml:space="preserve">re än under andra omgången. </w:t>
            </w:r>
          </w:p>
          <w:p w:rsidR="006C3DA8" w:rsidRPr="00AA7200" w:rsidRDefault="006C3DA8" w:rsidP="006C3DA8">
            <w:pPr>
              <w:pStyle w:val="LagtextIndrag"/>
            </w:pPr>
          </w:p>
        </w:tc>
      </w:tr>
      <w:tr w:rsidR="005821A2" w:rsidRPr="00AA7200" w:rsidTr="005821A2">
        <w:tblPrEx>
          <w:tblCellMar>
            <w:top w:w="0" w:type="dxa"/>
            <w:bottom w:w="0" w:type="dxa"/>
          </w:tblCellMar>
        </w:tblPrEx>
        <w:tc>
          <w:tcPr>
            <w:tcW w:w="6180" w:type="dxa"/>
            <w:gridSpan w:val="3"/>
          </w:tcPr>
          <w:p w:rsidR="00090F05" w:rsidRPr="00AA7200" w:rsidRDefault="00090F05" w:rsidP="00645718">
            <w:pPr>
              <w:pStyle w:val="LagtextIndrag"/>
              <w:ind w:left="170" w:firstLine="0"/>
              <w:jc w:val="center"/>
            </w:pPr>
            <w:r w:rsidRPr="00AA7200">
              <w:t>6.4.1</w:t>
            </w:r>
            <w:r w:rsidRPr="00AA7200">
              <w:rPr>
                <w:rStyle w:val="Fotnotsreferens"/>
              </w:rPr>
              <w:footnoteReference w:id="10"/>
            </w:r>
          </w:p>
          <w:p w:rsidR="005821A2" w:rsidRPr="00AA7200" w:rsidRDefault="005821A2" w:rsidP="00C0013B">
            <w:pPr>
              <w:pStyle w:val="LagtextIndrag"/>
            </w:pPr>
            <w:r w:rsidRPr="00AA7200">
              <w:t>En skriftlig fråga ges in till kammarkansliet. Talmannen anmäler utan dröjsmål vid ett sammanträde med kammaren beslut att frågan ska eller inte ska få framställas. Om talmannen har medgett att frågan får framställas, l</w:t>
            </w:r>
            <w:r w:rsidRPr="00AA7200">
              <w:t>å</w:t>
            </w:r>
            <w:r w:rsidRPr="00AA7200">
              <w:t>ter talmannen utan dröjsmål statsrådet få del av frågan.</w:t>
            </w:r>
          </w:p>
          <w:p w:rsidR="005821A2" w:rsidRPr="00AA7200" w:rsidRDefault="005821A2" w:rsidP="00C0013B">
            <w:pPr>
              <w:pStyle w:val="LagtextIndrag"/>
            </w:pPr>
            <w:r w:rsidRPr="00AA7200">
              <w:t>Det skriftliga svaret lämnas till kammarkansliet som överlämnar svaret till den ledamot som ställt frågan.</w:t>
            </w:r>
          </w:p>
          <w:p w:rsidR="005821A2" w:rsidRPr="00AA7200" w:rsidRDefault="005821A2" w:rsidP="005821A2">
            <w:pPr>
              <w:pStyle w:val="LagtextIndrag"/>
            </w:pPr>
            <w:r w:rsidRPr="00AA7200">
              <w:t>De skriftliga frågor som under en vecka getts in senast klockan 10 på fr</w:t>
            </w:r>
            <w:r w:rsidRPr="00AA7200">
              <w:t>e</w:t>
            </w:r>
            <w:r w:rsidRPr="00AA7200">
              <w:t>dagen besvaras senast klockan 12 på onsdagen i följande vecka.</w:t>
            </w:r>
            <w:r w:rsidR="00677ADA" w:rsidRPr="00AA7200">
              <w:t xml:space="preserve"> </w:t>
            </w:r>
          </w:p>
        </w:tc>
      </w:tr>
    </w:tbl>
    <w:tbl>
      <w:tblPr>
        <w:tblStyle w:val="Tabellrutnt"/>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081"/>
        <w:gridCol w:w="3092"/>
      </w:tblGrid>
      <w:tr w:rsidR="00090F05" w:rsidRPr="00AA7200" w:rsidTr="00C0013B">
        <w:tc>
          <w:tcPr>
            <w:tcW w:w="3081" w:type="dxa"/>
          </w:tcPr>
          <w:p w:rsidR="00090F05" w:rsidRPr="00AA7200" w:rsidRDefault="00090F05" w:rsidP="00AF6B65">
            <w:pPr>
              <w:pStyle w:val="LagtextIndrag"/>
            </w:pPr>
            <w:r w:rsidRPr="00AA7200">
              <w:t>Under längre uppehåll i kamm</w:t>
            </w:r>
            <w:r w:rsidRPr="00AA7200">
              <w:t>a</w:t>
            </w:r>
            <w:r w:rsidRPr="00AA7200">
              <w:t>rens arbete än en månad får talma</w:t>
            </w:r>
            <w:r w:rsidRPr="00AA7200">
              <w:t>n</w:t>
            </w:r>
            <w:r w:rsidRPr="00AA7200">
              <w:t>nen besluta att svaren lämnas inom fjorton dagar efter det att frågorna framställts. Talmannen fattar sitt beslut efter samråd med de särskilda företrädarna för part</w:t>
            </w:r>
            <w:r w:rsidRPr="00AA7200">
              <w:t>i</w:t>
            </w:r>
            <w:r w:rsidRPr="00AA7200">
              <w:t xml:space="preserve">grupperna. </w:t>
            </w:r>
            <w:r w:rsidRPr="00AA7200">
              <w:rPr>
                <w:i/>
              </w:rPr>
              <w:t>Om ett svar inte lämnas inom de</w:t>
            </w:r>
            <w:r w:rsidRPr="00AA7200">
              <w:rPr>
                <w:i/>
              </w:rPr>
              <w:t>n</w:t>
            </w:r>
            <w:r w:rsidRPr="00AA7200">
              <w:rPr>
                <w:i/>
              </w:rPr>
              <w:t>na tid, ska statsrådet meddela kammarkan</w:t>
            </w:r>
            <w:r w:rsidRPr="00AA7200">
              <w:rPr>
                <w:i/>
              </w:rPr>
              <w:t>s</w:t>
            </w:r>
            <w:r w:rsidRPr="00AA7200">
              <w:rPr>
                <w:i/>
              </w:rPr>
              <w:t>liet när fr</w:t>
            </w:r>
            <w:r w:rsidRPr="00AA7200">
              <w:rPr>
                <w:i/>
              </w:rPr>
              <w:t>å</w:t>
            </w:r>
            <w:r w:rsidRPr="00AA7200">
              <w:rPr>
                <w:i/>
              </w:rPr>
              <w:t>gan kommer att besvaras eller att den inte kommer att besv</w:t>
            </w:r>
            <w:r w:rsidRPr="00AA7200">
              <w:rPr>
                <w:i/>
              </w:rPr>
              <w:t>a</w:t>
            </w:r>
            <w:r w:rsidRPr="00AA7200">
              <w:rPr>
                <w:i/>
              </w:rPr>
              <w:t>ras.</w:t>
            </w:r>
            <w:r w:rsidRPr="00AA7200">
              <w:t xml:space="preserve"> </w:t>
            </w:r>
          </w:p>
        </w:tc>
        <w:tc>
          <w:tcPr>
            <w:tcW w:w="3092" w:type="dxa"/>
          </w:tcPr>
          <w:p w:rsidR="00090F05" w:rsidRPr="00AA7200" w:rsidRDefault="00090F05" w:rsidP="00AF6B65">
            <w:pPr>
              <w:spacing w:before="0" w:line="220" w:lineRule="exact"/>
              <w:ind w:firstLine="170"/>
            </w:pPr>
            <w:r w:rsidRPr="00AA7200">
              <w:t>Under längre uppehåll i kamm</w:t>
            </w:r>
            <w:r w:rsidRPr="00AA7200">
              <w:t>a</w:t>
            </w:r>
            <w:r w:rsidRPr="00AA7200">
              <w:t>rens arbete än en månad får talma</w:t>
            </w:r>
            <w:r w:rsidRPr="00AA7200">
              <w:t>n</w:t>
            </w:r>
            <w:r w:rsidRPr="00AA7200">
              <w:t>nen besluta att svaren lämnas inom fjorton dagar efter det att frågorna framställts. Talmannen fattar sitt beslut efter samråd med de särski</w:t>
            </w:r>
            <w:r w:rsidRPr="00AA7200">
              <w:t>l</w:t>
            </w:r>
            <w:r w:rsidRPr="00AA7200">
              <w:t xml:space="preserve">da företrädarna för partigrupperna. </w:t>
            </w:r>
          </w:p>
          <w:p w:rsidR="00090F05" w:rsidRPr="00AA7200" w:rsidRDefault="00090F05" w:rsidP="00AF6B65">
            <w:pPr>
              <w:pStyle w:val="LagtextIndrag"/>
              <w:ind w:firstLine="0"/>
            </w:pPr>
          </w:p>
        </w:tc>
      </w:tr>
      <w:tr w:rsidR="00090F05" w:rsidRPr="00AA7200" w:rsidTr="00C0013B">
        <w:tc>
          <w:tcPr>
            <w:tcW w:w="3081" w:type="dxa"/>
          </w:tcPr>
          <w:p w:rsidR="00090F05" w:rsidRPr="00AA7200" w:rsidRDefault="00090F05" w:rsidP="00AF6B65">
            <w:pPr>
              <w:pStyle w:val="LagtextIndrag"/>
              <w:ind w:firstLine="0"/>
            </w:pPr>
          </w:p>
        </w:tc>
        <w:tc>
          <w:tcPr>
            <w:tcW w:w="3092" w:type="dxa"/>
          </w:tcPr>
          <w:p w:rsidR="00090F05" w:rsidRPr="00AA7200" w:rsidRDefault="00090F05" w:rsidP="00AF6B65">
            <w:pPr>
              <w:pStyle w:val="LagtextIndrag"/>
              <w:rPr>
                <w:i/>
              </w:rPr>
            </w:pPr>
            <w:r w:rsidRPr="00AA7200">
              <w:rPr>
                <w:i/>
              </w:rPr>
              <w:t>Om ett svar inte lämnas inom de</w:t>
            </w:r>
            <w:r w:rsidRPr="00AA7200">
              <w:rPr>
                <w:i/>
              </w:rPr>
              <w:t>n</w:t>
            </w:r>
            <w:r w:rsidR="00C0013B" w:rsidRPr="00AA7200">
              <w:rPr>
                <w:i/>
              </w:rPr>
              <w:t xml:space="preserve"> tid som anges i tredje</w:t>
            </w:r>
            <w:r w:rsidRPr="00AA7200">
              <w:rPr>
                <w:i/>
              </w:rPr>
              <w:t xml:space="preserve"> eller fjärde styck</w:t>
            </w:r>
            <w:r w:rsidR="00C0013B" w:rsidRPr="00AA7200">
              <w:rPr>
                <w:i/>
              </w:rPr>
              <w:t>et</w:t>
            </w:r>
            <w:r w:rsidRPr="00AA7200">
              <w:rPr>
                <w:i/>
              </w:rPr>
              <w:t>, ska statsrådet meddela ka</w:t>
            </w:r>
            <w:r w:rsidRPr="00AA7200">
              <w:rPr>
                <w:i/>
              </w:rPr>
              <w:t>m</w:t>
            </w:r>
            <w:r w:rsidRPr="00AA7200">
              <w:rPr>
                <w:i/>
              </w:rPr>
              <w:t>markansliet när frågan ko</w:t>
            </w:r>
            <w:r w:rsidRPr="00AA7200">
              <w:rPr>
                <w:i/>
              </w:rPr>
              <w:t>m</w:t>
            </w:r>
            <w:r w:rsidRPr="00AA7200">
              <w:rPr>
                <w:i/>
              </w:rPr>
              <w:t>mer att besvaras eller att den inte ko</w:t>
            </w:r>
            <w:r w:rsidRPr="00AA7200">
              <w:rPr>
                <w:i/>
              </w:rPr>
              <w:t>m</w:t>
            </w:r>
            <w:r w:rsidRPr="00AA7200">
              <w:rPr>
                <w:i/>
              </w:rPr>
              <w:t>mer att besv</w:t>
            </w:r>
            <w:r w:rsidRPr="00AA7200">
              <w:rPr>
                <w:i/>
              </w:rPr>
              <w:t>a</w:t>
            </w:r>
            <w:r w:rsidRPr="00AA7200">
              <w:rPr>
                <w:i/>
              </w:rPr>
              <w:t>ras.</w:t>
            </w:r>
          </w:p>
        </w:tc>
      </w:tr>
    </w:tbl>
    <w:p w:rsidR="00A375EC" w:rsidRPr="00AA7200" w:rsidRDefault="00A375EC" w:rsidP="00A375EC"/>
    <w:p w:rsidR="00645718" w:rsidRPr="00AA7200" w:rsidRDefault="00645718" w:rsidP="00645718">
      <w:pPr>
        <w:pStyle w:val="Normaltindrag"/>
      </w:pPr>
    </w:p>
    <w:p w:rsidR="00677ADA" w:rsidRPr="00AA7200" w:rsidRDefault="00677ADA" w:rsidP="00645718">
      <w:pPr>
        <w:pStyle w:val="Normaltindrag"/>
      </w:pPr>
    </w:p>
    <w:p w:rsidR="00C0013B" w:rsidRPr="00AA7200" w:rsidRDefault="00C0013B" w:rsidP="00645718">
      <w:pPr>
        <w:pStyle w:val="Normaltindrag"/>
      </w:pPr>
    </w:p>
    <w:p w:rsidR="00C0013B" w:rsidRPr="00AA7200" w:rsidRDefault="00C0013B" w:rsidP="00645718">
      <w:pPr>
        <w:pStyle w:val="Normaltindrag"/>
      </w:pPr>
    </w:p>
    <w:p w:rsidR="00C0013B" w:rsidRPr="00AA7200" w:rsidRDefault="00C0013B" w:rsidP="00645718">
      <w:pPr>
        <w:pStyle w:val="Normaltindrag"/>
      </w:pPr>
    </w:p>
    <w:p w:rsidR="00645718" w:rsidRPr="00AA7200" w:rsidRDefault="00645718" w:rsidP="00645718">
      <w:pPr>
        <w:pStyle w:val="Normaltindrag"/>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645718" w:rsidRPr="00AA7200" w:rsidTr="00645718">
        <w:tblPrEx>
          <w:tblCellMar>
            <w:top w:w="0" w:type="dxa"/>
            <w:bottom w:w="0" w:type="dxa"/>
          </w:tblCellMar>
        </w:tblPrEx>
        <w:trPr>
          <w:tblHeader/>
        </w:trPr>
        <w:tc>
          <w:tcPr>
            <w:tcW w:w="3090" w:type="dxa"/>
          </w:tcPr>
          <w:p w:rsidR="00645718" w:rsidRPr="00AA7200" w:rsidRDefault="00645718" w:rsidP="00645718">
            <w:pPr>
              <w:pStyle w:val="LagtextRubrik"/>
            </w:pPr>
            <w:r w:rsidRPr="00AA7200">
              <w:t>Nuvarande lydelse</w:t>
            </w:r>
          </w:p>
        </w:tc>
        <w:tc>
          <w:tcPr>
            <w:tcW w:w="3090" w:type="dxa"/>
          </w:tcPr>
          <w:p w:rsidR="00645718" w:rsidRPr="00AA7200" w:rsidRDefault="00645718" w:rsidP="00645718">
            <w:pPr>
              <w:pStyle w:val="LagtextRubrik"/>
            </w:pPr>
            <w:r w:rsidRPr="00AA7200">
              <w:t>Föreslagen lydelse</w:t>
            </w:r>
          </w:p>
        </w:tc>
      </w:tr>
      <w:tr w:rsidR="00645718" w:rsidRPr="00AA7200" w:rsidTr="002630A1">
        <w:tblPrEx>
          <w:tblCellMar>
            <w:top w:w="0" w:type="dxa"/>
            <w:bottom w:w="0" w:type="dxa"/>
          </w:tblCellMar>
        </w:tblPrEx>
        <w:tc>
          <w:tcPr>
            <w:tcW w:w="6180" w:type="dxa"/>
            <w:gridSpan w:val="2"/>
          </w:tcPr>
          <w:p w:rsidR="00645718" w:rsidRPr="00AA7200" w:rsidRDefault="00645718" w:rsidP="00645718">
            <w:pPr>
              <w:pStyle w:val="LagtextIndrag"/>
              <w:ind w:left="170" w:firstLine="0"/>
              <w:rPr>
                <w:b/>
              </w:rPr>
            </w:pPr>
            <w:r w:rsidRPr="00AA7200">
              <w:t xml:space="preserve">                                                       </w:t>
            </w:r>
            <w:r w:rsidRPr="00AA7200">
              <w:rPr>
                <w:b/>
              </w:rPr>
              <w:t xml:space="preserve">9 kap. </w:t>
            </w:r>
          </w:p>
          <w:p w:rsidR="00645718" w:rsidRPr="00AA7200" w:rsidRDefault="00645718" w:rsidP="00645718">
            <w:pPr>
              <w:pStyle w:val="LagtextIndrag"/>
              <w:ind w:left="170" w:firstLine="0"/>
            </w:pPr>
            <w:r w:rsidRPr="00AA7200">
              <w:t xml:space="preserve">                                                        4 §</w:t>
            </w:r>
            <w:r w:rsidRPr="00AA7200">
              <w:rPr>
                <w:rStyle w:val="Fotnotsreferens"/>
              </w:rPr>
              <w:footnoteReference w:id="11"/>
            </w:r>
          </w:p>
          <w:p w:rsidR="00645718" w:rsidRPr="00AA7200" w:rsidRDefault="00645718" w:rsidP="00645718">
            <w:pPr>
              <w:pStyle w:val="LagtextIndrag"/>
            </w:pPr>
            <w:r w:rsidRPr="00AA7200">
              <w:t>Riksdagsförvaltningen ska, när det gäller riksdagen och riksdagens my</w:t>
            </w:r>
            <w:r w:rsidRPr="00AA7200">
              <w:t>n</w:t>
            </w:r>
            <w:r w:rsidRPr="00AA7200">
              <w:t>digheter, i den omfattning riksdagen bestämmer</w:t>
            </w:r>
          </w:p>
          <w:p w:rsidR="00645718" w:rsidRPr="00AA7200" w:rsidRDefault="00645718" w:rsidP="00645718">
            <w:pPr>
              <w:pStyle w:val="LagtextIndrag"/>
            </w:pPr>
            <w:r w:rsidRPr="00AA7200">
              <w:t>1. handlägga frågor angående förhandlingar om anställnings- och arbet</w:t>
            </w:r>
            <w:r w:rsidRPr="00AA7200">
              <w:t>s</w:t>
            </w:r>
            <w:r w:rsidRPr="00AA7200">
              <w:t>villkor för arbetstagare samt andra personalfrågor,</w:t>
            </w:r>
            <w:r w:rsidR="00677ADA" w:rsidRPr="00AA7200">
              <w:t xml:space="preserve"> </w:t>
            </w:r>
          </w:p>
        </w:tc>
      </w:tr>
    </w:tbl>
    <w:tbl>
      <w:tblPr>
        <w:tblStyle w:val="Tabellrutnt"/>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081"/>
        <w:gridCol w:w="3092"/>
      </w:tblGrid>
      <w:tr w:rsidR="00AF6B65" w:rsidRPr="00AA7200" w:rsidTr="00C0013B">
        <w:tc>
          <w:tcPr>
            <w:tcW w:w="3081" w:type="dxa"/>
          </w:tcPr>
          <w:p w:rsidR="00AF6B65" w:rsidRPr="00AA7200" w:rsidRDefault="00AF6B65" w:rsidP="00AF6B65">
            <w:pPr>
              <w:pStyle w:val="LagtextIndrag"/>
            </w:pPr>
            <w:r w:rsidRPr="00AA7200">
              <w:t xml:space="preserve">2. upprätta förslag till anslag på </w:t>
            </w:r>
            <w:r w:rsidRPr="00AA7200">
              <w:rPr>
                <w:i/>
              </w:rPr>
              <w:t>statsbudgeten</w:t>
            </w:r>
            <w:r w:rsidRPr="00AA7200">
              <w:t>, dock inte för Riksr</w:t>
            </w:r>
            <w:r w:rsidRPr="00AA7200">
              <w:t>e</w:t>
            </w:r>
            <w:r w:rsidRPr="00AA7200">
              <w:t>visionen,</w:t>
            </w:r>
            <w:r w:rsidR="00C0013B" w:rsidRPr="00AA7200">
              <w:t xml:space="preserve"> </w:t>
            </w:r>
          </w:p>
        </w:tc>
        <w:tc>
          <w:tcPr>
            <w:tcW w:w="3092" w:type="dxa"/>
          </w:tcPr>
          <w:p w:rsidR="00AF6B65" w:rsidRPr="00AA7200" w:rsidRDefault="00AF6B65" w:rsidP="00AF6B65">
            <w:pPr>
              <w:pStyle w:val="LagtextIndrag"/>
            </w:pPr>
            <w:r w:rsidRPr="00AA7200">
              <w:t xml:space="preserve">2. upprätta förslag till anslag på </w:t>
            </w:r>
            <w:r w:rsidRPr="00AA7200">
              <w:rPr>
                <w:i/>
              </w:rPr>
              <w:t>statens budget</w:t>
            </w:r>
            <w:r w:rsidRPr="00AA7200">
              <w:t>, dock inte för Riksr</w:t>
            </w:r>
            <w:r w:rsidRPr="00AA7200">
              <w:t>e</w:t>
            </w:r>
            <w:r w:rsidRPr="00AA7200">
              <w:t>visionen,</w:t>
            </w:r>
            <w:r w:rsidR="00C0013B" w:rsidRPr="00AA7200">
              <w:t xml:space="preserve"> </w:t>
            </w:r>
          </w:p>
        </w:tc>
      </w:tr>
    </w:tbl>
    <w:p w:rsidR="00AF6B65" w:rsidRPr="00AA7200" w:rsidRDefault="00AF6B65" w:rsidP="00AF6B65">
      <w:pPr>
        <w:pStyle w:val="LagtextIndrag"/>
      </w:pPr>
      <w:r w:rsidRPr="00AA7200">
        <w:t>3. i övrigt handlägga frågor om förvaltningen inom riksdagen och frågor om förvaltning av ekonomisk natur inom riksdagens my</w:t>
      </w:r>
      <w:r w:rsidRPr="00AA7200">
        <w:t>n</w:t>
      </w:r>
      <w:r w:rsidRPr="00AA7200">
        <w:t>digheter, utom Riksbanken, och</w:t>
      </w:r>
    </w:p>
    <w:p w:rsidR="00AF6B65" w:rsidRPr="00AA7200" w:rsidRDefault="00AF6B65" w:rsidP="00AF6B65">
      <w:pPr>
        <w:pStyle w:val="LagtextIndrag"/>
        <w:ind w:left="170" w:firstLine="0"/>
      </w:pPr>
      <w:r w:rsidRPr="00AA7200">
        <w:t>4. besluta om föreskrifter och rå</w:t>
      </w:r>
      <w:r w:rsidR="00C0013B" w:rsidRPr="00AA7200">
        <w:t>d i sådana frågor som avses i 1–</w:t>
      </w:r>
      <w:r w:rsidRPr="00AA7200">
        <w:t>3.</w:t>
      </w:r>
    </w:p>
    <w:p w:rsidR="00C0013B" w:rsidRPr="00AA7200" w:rsidRDefault="00C0013B" w:rsidP="00AF6B65">
      <w:pPr>
        <w:pStyle w:val="LagtextIndrag"/>
        <w:ind w:left="170" w:firstLine="0"/>
      </w:pPr>
    </w:p>
    <w:p w:rsidR="00AF6B65" w:rsidRPr="00AA7200" w:rsidRDefault="00AF6B65" w:rsidP="007A26AB">
      <w:r w:rsidRPr="00AA7200">
        <w:t>––––––</w:t>
      </w:r>
      <w:r w:rsidR="00C0013B" w:rsidRPr="00AA7200">
        <w:t>––––––––––</w:t>
      </w:r>
    </w:p>
    <w:p w:rsidR="00AF6B65" w:rsidRPr="00AA7200" w:rsidRDefault="00AF6B65" w:rsidP="00AF6B65">
      <w:pPr>
        <w:pStyle w:val="LagtextIndrag"/>
        <w:ind w:left="170" w:firstLine="0"/>
      </w:pPr>
    </w:p>
    <w:p w:rsidR="00AF6B65" w:rsidRPr="00AA7200" w:rsidRDefault="00AF6B65" w:rsidP="00AF6B65">
      <w:pPr>
        <w:pStyle w:val="LagtextIndrag"/>
        <w:ind w:left="170" w:firstLine="0"/>
      </w:pPr>
      <w:r w:rsidRPr="00AA7200">
        <w:t>Denna lag träder i kraft den 1 augusti 2012.</w:t>
      </w:r>
    </w:p>
    <w:p w:rsidR="00F64088" w:rsidRPr="00AA7200" w:rsidRDefault="000B1812" w:rsidP="00AC35B4">
      <w:pPr>
        <w:pStyle w:val="Rubrik2"/>
        <w:spacing w:before="0"/>
      </w:pPr>
      <w:r w:rsidRPr="00AA7200">
        <w:br w:type="page"/>
      </w:r>
      <w:bookmarkStart w:id="20" w:name="_Toc320600603"/>
      <w:r w:rsidR="00F64088" w:rsidRPr="00AA7200">
        <w:t>2.2 Förslag till lag om upphävande av lagen (1993:825) om personregister i riksdagens informationssystem Rixlex</w:t>
      </w:r>
      <w:bookmarkEnd w:id="20"/>
      <w:r w:rsidR="004442ED" w:rsidRPr="00AA7200">
        <w:t xml:space="preserve"> </w:t>
      </w:r>
    </w:p>
    <w:p w:rsidR="00012EBD" w:rsidRPr="00AA7200" w:rsidRDefault="00F64088" w:rsidP="00F64088">
      <w:pPr>
        <w:pStyle w:val="LagtextIndrag"/>
      </w:pPr>
      <w:r w:rsidRPr="00AA7200">
        <w:t xml:space="preserve">Härigenom föreskrivs att lagen (1993:825) om personregister i riksdagens informationssystem Rixlex ska upphöra att gälla vid utgången av </w:t>
      </w:r>
      <w:r w:rsidR="003B539E" w:rsidRPr="00AA7200">
        <w:t>juli 2</w:t>
      </w:r>
      <w:r w:rsidRPr="00AA7200">
        <w:t>012.</w:t>
      </w:r>
    </w:p>
    <w:p w:rsidR="007358A8" w:rsidRPr="00AA7200" w:rsidRDefault="007358A8" w:rsidP="00F64088">
      <w:pPr>
        <w:pStyle w:val="LagtextIndrag"/>
      </w:pPr>
    </w:p>
    <w:p w:rsidR="00012EBD" w:rsidRPr="00AA7200" w:rsidRDefault="00012EBD" w:rsidP="00F64088">
      <w:pPr>
        <w:pStyle w:val="LagtextIndrag"/>
        <w:sectPr w:rsidR="00012EBD" w:rsidRPr="00AA7200" w:rsidSect="00C07BDF">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57237B" w:rsidRPr="00AA7200" w:rsidRDefault="004B4147" w:rsidP="00012EBD">
      <w:pPr>
        <w:pStyle w:val="Rubrik1"/>
        <w:rPr>
          <w:noProof w:val="0"/>
        </w:rPr>
      </w:pPr>
      <w:bookmarkStart w:id="21" w:name="_Toc320600604"/>
      <w:r w:rsidRPr="00AA7200">
        <w:rPr>
          <w:noProof w:val="0"/>
        </w:rPr>
        <w:t xml:space="preserve">3 </w:t>
      </w:r>
      <w:r w:rsidR="00E71470" w:rsidRPr="00AA7200">
        <w:rPr>
          <w:noProof w:val="0"/>
        </w:rPr>
        <w:t>Ä</w:t>
      </w:r>
      <w:r w:rsidR="006409B6" w:rsidRPr="00AA7200">
        <w:rPr>
          <w:noProof w:val="0"/>
        </w:rPr>
        <w:t>rendet och dess beredning</w:t>
      </w:r>
      <w:bookmarkEnd w:id="21"/>
    </w:p>
    <w:p w:rsidR="00517DD6" w:rsidRPr="00AA7200" w:rsidRDefault="00863A42" w:rsidP="004D0B7A">
      <w:r w:rsidRPr="00AA7200">
        <w:t>På talmannens initiativ har vissa ändringar</w:t>
      </w:r>
      <w:r w:rsidR="00517DD6" w:rsidRPr="00AA7200">
        <w:t xml:space="preserve"> i riksdagsordningen (RO) som </w:t>
      </w:r>
      <w:r w:rsidR="000B05FA" w:rsidRPr="00AA7200">
        <w:t xml:space="preserve">främst </w:t>
      </w:r>
      <w:r w:rsidR="00517DD6" w:rsidRPr="00AA7200">
        <w:t>gäller replikrätten</w:t>
      </w:r>
      <w:r w:rsidR="000B05FA" w:rsidRPr="00AA7200">
        <w:t xml:space="preserve"> och </w:t>
      </w:r>
      <w:r w:rsidR="00517DD6" w:rsidRPr="00AA7200">
        <w:t xml:space="preserve">talarordningen i interpellationsdebatter </w:t>
      </w:r>
      <w:r w:rsidR="009769E9" w:rsidRPr="00AA7200">
        <w:t>u</w:t>
      </w:r>
      <w:r w:rsidR="009769E9" w:rsidRPr="00AA7200">
        <w:t>t</w:t>
      </w:r>
      <w:r w:rsidR="009769E9" w:rsidRPr="00AA7200">
        <w:t>retts inom kammarkansliet.</w:t>
      </w:r>
      <w:r w:rsidR="00517DD6" w:rsidRPr="00AA7200">
        <w:t xml:space="preserve"> Förslaget till ändringar har därefter övervägts </w:t>
      </w:r>
      <w:r w:rsidR="00475EA6" w:rsidRPr="00AA7200">
        <w:t xml:space="preserve">av </w:t>
      </w:r>
      <w:r w:rsidR="00517DD6" w:rsidRPr="00AA7200">
        <w:t>ta</w:t>
      </w:r>
      <w:r w:rsidR="00517DD6" w:rsidRPr="00AA7200">
        <w:t>l</w:t>
      </w:r>
      <w:r w:rsidR="00517DD6" w:rsidRPr="00AA7200">
        <w:t>mannen och gruppleda</w:t>
      </w:r>
      <w:r w:rsidR="00517DD6" w:rsidRPr="00AA7200">
        <w:t>r</w:t>
      </w:r>
      <w:r w:rsidR="00517DD6" w:rsidRPr="00AA7200">
        <w:t>na.</w:t>
      </w:r>
    </w:p>
    <w:p w:rsidR="004D0B7A" w:rsidRPr="00AA7200" w:rsidRDefault="00517DD6" w:rsidP="00517DD6">
      <w:pPr>
        <w:pStyle w:val="Normaltindrag"/>
      </w:pPr>
      <w:r w:rsidRPr="00AA7200">
        <w:t xml:space="preserve">I ärendet om en ny budgetlag uttalade konstitutionsutskottet </w:t>
      </w:r>
      <w:r w:rsidR="00D12BBC" w:rsidRPr="00AA7200">
        <w:t xml:space="preserve">våren 2011 </w:t>
      </w:r>
      <w:r w:rsidRPr="00AA7200">
        <w:t xml:space="preserve">att </w:t>
      </w:r>
      <w:r w:rsidR="007A26AB" w:rsidRPr="00AA7200">
        <w:t>det fanns anledning för riksdagsstyrelsen att</w:t>
      </w:r>
      <w:r w:rsidR="00D12BBC" w:rsidRPr="00AA7200">
        <w:t xml:space="preserve"> ta upp frågan om </w:t>
      </w:r>
      <w:r w:rsidR="007A26AB" w:rsidRPr="00AA7200">
        <w:t>att anpa</w:t>
      </w:r>
      <w:r w:rsidR="007A26AB" w:rsidRPr="00AA7200">
        <w:t>s</w:t>
      </w:r>
      <w:r w:rsidR="007A26AB" w:rsidRPr="00AA7200">
        <w:t>sa</w:t>
      </w:r>
      <w:r w:rsidR="00BE02D2" w:rsidRPr="00AA7200">
        <w:t xml:space="preserve"> </w:t>
      </w:r>
      <w:r w:rsidRPr="00AA7200">
        <w:t xml:space="preserve">vissa begrepp i RO rörande budgetprocessen till den nya terminologin i </w:t>
      </w:r>
      <w:r w:rsidR="000B05FA" w:rsidRPr="00AA7200">
        <w:t>rege</w:t>
      </w:r>
      <w:r w:rsidR="000B05FA" w:rsidRPr="00AA7200">
        <w:t>r</w:t>
      </w:r>
      <w:r w:rsidR="000B05FA" w:rsidRPr="00AA7200">
        <w:t xml:space="preserve">ingsformen (RF). </w:t>
      </w:r>
      <w:r w:rsidR="00D12BBC" w:rsidRPr="00AA7200">
        <w:t>F</w:t>
      </w:r>
      <w:r w:rsidR="000B05FA" w:rsidRPr="00AA7200">
        <w:t>råga</w:t>
      </w:r>
      <w:r w:rsidR="00D12BBC" w:rsidRPr="00AA7200">
        <w:t>n</w:t>
      </w:r>
      <w:r w:rsidR="000B05FA" w:rsidRPr="00AA7200">
        <w:t xml:space="preserve"> har </w:t>
      </w:r>
      <w:r w:rsidR="00D12BBC" w:rsidRPr="00AA7200">
        <w:t>b</w:t>
      </w:r>
      <w:r w:rsidR="000B05FA" w:rsidRPr="00AA7200">
        <w:t>eretts inom kammarkansl</w:t>
      </w:r>
      <w:r w:rsidR="000B05FA" w:rsidRPr="00AA7200">
        <w:t>i</w:t>
      </w:r>
      <w:r w:rsidR="000B05FA" w:rsidRPr="00AA7200">
        <w:t>et</w:t>
      </w:r>
      <w:r w:rsidR="00D86249" w:rsidRPr="00AA7200">
        <w:t>.</w:t>
      </w:r>
      <w:r w:rsidR="00DB4F93" w:rsidRPr="00AA7200">
        <w:t xml:space="preserve"> </w:t>
      </w:r>
    </w:p>
    <w:p w:rsidR="00333CB9" w:rsidRPr="00AA7200" w:rsidRDefault="00333CB9" w:rsidP="00333CB9">
      <w:pPr>
        <w:pStyle w:val="Normaltindrag"/>
      </w:pPr>
      <w:r w:rsidRPr="00AA7200">
        <w:t>På talmannens initiativ föreslås också att den s.k. rixlexlagen upphävs e</w:t>
      </w:r>
      <w:r w:rsidRPr="00AA7200">
        <w:t>f</w:t>
      </w:r>
      <w:r w:rsidRPr="00AA7200">
        <w:t>tersom den har förlorat sin aktualitet.</w:t>
      </w:r>
      <w:r w:rsidR="00D86249" w:rsidRPr="00AA7200">
        <w:t xml:space="preserve"> Frågan har beretts inom kammarkansliet och </w:t>
      </w:r>
      <w:r w:rsidR="00D8323D" w:rsidRPr="00AA7200">
        <w:t xml:space="preserve">övriga </w:t>
      </w:r>
      <w:r w:rsidR="003E4E66" w:rsidRPr="00AA7200">
        <w:t>R</w:t>
      </w:r>
      <w:r w:rsidR="00D86249" w:rsidRPr="00AA7200">
        <w:t>iksdagsförvaltningen</w:t>
      </w:r>
      <w:r w:rsidR="004779F9" w:rsidRPr="00AA7200">
        <w:t>.</w:t>
      </w:r>
      <w:r w:rsidR="00D86249" w:rsidRPr="00AA7200">
        <w:t xml:space="preserve"> </w:t>
      </w:r>
    </w:p>
    <w:p w:rsidR="004D0B7A" w:rsidRPr="00AA7200" w:rsidRDefault="004D0B7A" w:rsidP="004D0B7A">
      <w:r w:rsidRPr="00AA7200">
        <w:t xml:space="preserve">      </w:t>
      </w:r>
    </w:p>
    <w:p w:rsidR="004D0B7A" w:rsidRPr="00AA7200" w:rsidRDefault="004D0B7A" w:rsidP="004D0B7A">
      <w:pPr>
        <w:pStyle w:val="Normaltindrag"/>
      </w:pPr>
    </w:p>
    <w:p w:rsidR="002C63CF" w:rsidRPr="00AA7200" w:rsidRDefault="002C63CF" w:rsidP="002C63CF"/>
    <w:p w:rsidR="0057237B" w:rsidRPr="00AA7200" w:rsidRDefault="0057237B" w:rsidP="0057237B"/>
    <w:p w:rsidR="0057237B" w:rsidRPr="00AA7200" w:rsidRDefault="0057237B" w:rsidP="0057237B">
      <w:pPr>
        <w:pStyle w:val="Normaltindrag"/>
        <w:sectPr w:rsidR="0057237B" w:rsidRPr="00AA7200" w:rsidSect="00012EBD">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pPr>
    </w:p>
    <w:p w:rsidR="0057237B" w:rsidRPr="00AA7200" w:rsidRDefault="004B4147" w:rsidP="0057237B">
      <w:pPr>
        <w:pStyle w:val="Rubrik1"/>
        <w:rPr>
          <w:noProof w:val="0"/>
        </w:rPr>
      </w:pPr>
      <w:bookmarkStart w:id="22" w:name="_Toc320600605"/>
      <w:r w:rsidRPr="00AA7200">
        <w:rPr>
          <w:noProof w:val="0"/>
        </w:rPr>
        <w:t>4 Riksdagss</w:t>
      </w:r>
      <w:r w:rsidR="0057237B" w:rsidRPr="00AA7200">
        <w:rPr>
          <w:noProof w:val="0"/>
        </w:rPr>
        <w:t>tyrelsens överväganden</w:t>
      </w:r>
      <w:bookmarkEnd w:id="22"/>
    </w:p>
    <w:p w:rsidR="00A45D60" w:rsidRPr="00AA7200" w:rsidRDefault="00A45D60" w:rsidP="00DB4F93">
      <w:pPr>
        <w:pStyle w:val="Rubrik2"/>
        <w:spacing w:before="0"/>
      </w:pPr>
      <w:bookmarkStart w:id="23" w:name="_Toc320600606"/>
      <w:r w:rsidRPr="00AA7200">
        <w:t>Replikrätten</w:t>
      </w:r>
      <w:bookmarkEnd w:id="23"/>
      <w:r w:rsidRPr="00AA7200">
        <w:t xml:space="preserve"> </w:t>
      </w:r>
    </w:p>
    <w:p w:rsidR="00587DFA" w:rsidRPr="00AA7200" w:rsidRDefault="00587DFA" w:rsidP="00587DFA">
      <w:pPr>
        <w:pStyle w:val="Rubrik3"/>
        <w:rPr>
          <w:noProof w:val="0"/>
        </w:rPr>
      </w:pPr>
      <w:bookmarkStart w:id="24" w:name="_Toc320600607"/>
      <w:r w:rsidRPr="00AA7200">
        <w:rPr>
          <w:noProof w:val="0"/>
        </w:rPr>
        <w:t>Vad som avses med replik</w:t>
      </w:r>
      <w:bookmarkEnd w:id="24"/>
    </w:p>
    <w:p w:rsidR="00A45D60" w:rsidRPr="00AA7200" w:rsidRDefault="00A45D60" w:rsidP="00A45D60">
      <w:r w:rsidRPr="00AA7200">
        <w:t xml:space="preserve">Enligt 2 kap. 15 § andra stycket 2 RO får talmannen medge att </w:t>
      </w:r>
      <w:r w:rsidR="009C1F61" w:rsidRPr="00AA7200">
        <w:t xml:space="preserve">ett statsråd eller </w:t>
      </w:r>
      <w:r w:rsidRPr="00AA7200">
        <w:t>en ledamot, som redan hållit ett anförande, får ordet för en replik som inn</w:t>
      </w:r>
      <w:r w:rsidRPr="00AA7200">
        <w:t>e</w:t>
      </w:r>
      <w:r w:rsidRPr="00AA7200">
        <w:t>håller upplysning eller rättelse med anledning av en föregående talares anf</w:t>
      </w:r>
      <w:r w:rsidRPr="00AA7200">
        <w:t>ö</w:t>
      </w:r>
      <w:r w:rsidRPr="00AA7200">
        <w:t>rande eller bemötande av angrepp från talarens sida.</w:t>
      </w:r>
    </w:p>
    <w:p w:rsidR="00A45D60" w:rsidRPr="00AA7200" w:rsidRDefault="00A45D60" w:rsidP="00A45D60">
      <w:pPr>
        <w:pStyle w:val="Normaltindrag"/>
      </w:pPr>
      <w:r w:rsidRPr="00AA7200">
        <w:t xml:space="preserve">Denna möjlighet till replik gäller endast om den föregående talaren har hållit </w:t>
      </w:r>
      <w:r w:rsidR="00760469" w:rsidRPr="00AA7200">
        <w:t xml:space="preserve">ett huvudanförande. </w:t>
      </w:r>
      <w:r w:rsidRPr="00AA7200">
        <w:t>Tilläggsbestämmelsen 2.15.1 föreskriver en mö</w:t>
      </w:r>
      <w:r w:rsidRPr="00AA7200">
        <w:t>j</w:t>
      </w:r>
      <w:r w:rsidRPr="00AA7200">
        <w:t>lighet för varje talare till två repliker på samma h</w:t>
      </w:r>
      <w:r w:rsidR="00760469" w:rsidRPr="00AA7200">
        <w:t xml:space="preserve">uvudanförande. Det är den s.k. </w:t>
      </w:r>
      <w:r w:rsidRPr="00AA7200">
        <w:t>duellmetoden som tillämpas, dvs.</w:t>
      </w:r>
      <w:r w:rsidR="00760469" w:rsidRPr="00AA7200">
        <w:t xml:space="preserve"> att talaren </w:t>
      </w:r>
      <w:r w:rsidRPr="00AA7200">
        <w:t>i separata replikskiften</w:t>
      </w:r>
      <w:r w:rsidR="00760469" w:rsidRPr="00AA7200">
        <w:t xml:space="preserve"> får</w:t>
      </w:r>
      <w:r w:rsidRPr="00AA7200">
        <w:t xml:space="preserve"> b</w:t>
      </w:r>
      <w:r w:rsidRPr="00AA7200">
        <w:t>e</w:t>
      </w:r>
      <w:r w:rsidRPr="00AA7200">
        <w:t xml:space="preserve">möta var och en som har begärt replik. </w:t>
      </w:r>
    </w:p>
    <w:p w:rsidR="00587DFA" w:rsidRPr="00AA7200" w:rsidRDefault="00587DFA" w:rsidP="00587DFA">
      <w:pPr>
        <w:pStyle w:val="Normaltindrag"/>
      </w:pPr>
      <w:r w:rsidRPr="00AA7200">
        <w:t>Att en replik ska innehålla en upplysning eller rättelse med anledning av en föregående talares anförande eller</w:t>
      </w:r>
      <w:r w:rsidR="00760469" w:rsidRPr="00AA7200">
        <w:t xml:space="preserve"> ett</w:t>
      </w:r>
      <w:r w:rsidRPr="00AA7200">
        <w:t xml:space="preserve"> bemötande av</w:t>
      </w:r>
      <w:r w:rsidR="00760469" w:rsidRPr="00AA7200">
        <w:t xml:space="preserve"> ett</w:t>
      </w:r>
      <w:r w:rsidRPr="00AA7200">
        <w:t xml:space="preserve"> angrepp från tal</w:t>
      </w:r>
      <w:r w:rsidRPr="00AA7200">
        <w:t>a</w:t>
      </w:r>
      <w:r w:rsidRPr="00AA7200">
        <w:t>rens sida fanns med redan i regleringen av genmälesrätten före 1973 års fö</w:t>
      </w:r>
      <w:r w:rsidRPr="00AA7200">
        <w:t>r</w:t>
      </w:r>
      <w:r w:rsidRPr="00AA7200">
        <w:t>fattningsr</w:t>
      </w:r>
      <w:r w:rsidRPr="00AA7200">
        <w:t>e</w:t>
      </w:r>
      <w:r w:rsidRPr="00AA7200">
        <w:t xml:space="preserve">form (se 44 § 1971 års riksdagsstadga). </w:t>
      </w:r>
    </w:p>
    <w:p w:rsidR="00587DFA" w:rsidRPr="00AA7200" w:rsidRDefault="00587DFA" w:rsidP="00587DFA">
      <w:pPr>
        <w:pStyle w:val="Normaltindrag"/>
      </w:pPr>
      <w:r w:rsidRPr="00AA7200">
        <w:t>Det finns tidigare uttalanden i förarbeten och redovisning av praxis som ger vägledning för när replik ska medges. Sålunda angavs i ett tidigt utskott</w:t>
      </w:r>
      <w:r w:rsidRPr="00AA7200">
        <w:t>s</w:t>
      </w:r>
      <w:r w:rsidRPr="00AA7200">
        <w:t>utt</w:t>
      </w:r>
      <w:r w:rsidRPr="00AA7200">
        <w:t>a</w:t>
      </w:r>
      <w:r w:rsidRPr="00AA7200">
        <w:t>lande (SärU 1948:1 s. 41) att</w:t>
      </w:r>
      <w:r w:rsidR="00760469" w:rsidRPr="00AA7200">
        <w:t xml:space="preserve"> en</w:t>
      </w:r>
      <w:r w:rsidRPr="00AA7200">
        <w:t xml:space="preserve"> replik inte bör medges</w:t>
      </w:r>
      <w:r w:rsidR="00760469" w:rsidRPr="00AA7200">
        <w:t xml:space="preserve"> en</w:t>
      </w:r>
      <w:r w:rsidRPr="00AA7200">
        <w:t xml:space="preserve"> ledamot som anser sig utsatt för missuppfattning eller angrepp av</w:t>
      </w:r>
      <w:r w:rsidR="00760469" w:rsidRPr="00AA7200">
        <w:t xml:space="preserve"> en</w:t>
      </w:r>
      <w:r w:rsidRPr="00AA7200">
        <w:t xml:space="preserve"> annan talare som, utan att klart utpeka någon särskild ledamot, uttalat sig om en grupp eller åsikt</w:t>
      </w:r>
      <w:r w:rsidRPr="00AA7200">
        <w:t>s</w:t>
      </w:r>
      <w:r w:rsidRPr="00AA7200">
        <w:t>riktning. Enligt Ben</w:t>
      </w:r>
      <w:r w:rsidR="00760469" w:rsidRPr="00AA7200">
        <w:t>gt Törnells Riksdagspraxis (</w:t>
      </w:r>
      <w:r w:rsidR="00D12BBC" w:rsidRPr="00AA7200">
        <w:t>1996,</w:t>
      </w:r>
      <w:r w:rsidR="00760469" w:rsidRPr="00AA7200">
        <w:t xml:space="preserve"> s. 25)</w:t>
      </w:r>
      <w:r w:rsidRPr="00AA7200">
        <w:t xml:space="preserve"> medges sällan replik enbart för lämnande av upplysning eller rättelse. Rätt till replik</w:t>
      </w:r>
      <w:r w:rsidR="00760469" w:rsidRPr="00AA7200">
        <w:t xml:space="preserve"> har</w:t>
      </w:r>
      <w:r w:rsidRPr="00AA7200">
        <w:t xml:space="preserve"> i allmänhet endast den som har blivit angripen av föregående talare. Som e</w:t>
      </w:r>
      <w:r w:rsidRPr="00AA7200">
        <w:t>x</w:t>
      </w:r>
      <w:r w:rsidRPr="00AA7200">
        <w:t>empel på fall där replikrätten är vidare nämner Törnell den s.k. utskottsru</w:t>
      </w:r>
      <w:r w:rsidRPr="00AA7200">
        <w:t>n</w:t>
      </w:r>
      <w:r w:rsidRPr="00AA7200">
        <w:t>dan i ärendedebatter, dvs. den inledande debatten mellan utskottets företräd</w:t>
      </w:r>
      <w:r w:rsidRPr="00AA7200">
        <w:t>a</w:t>
      </w:r>
      <w:r w:rsidRPr="00AA7200">
        <w:t>re i ett kontroversiellt ärende. Replik medges i dessa fall också för meddela</w:t>
      </w:r>
      <w:r w:rsidRPr="00AA7200">
        <w:t>n</w:t>
      </w:r>
      <w:r w:rsidRPr="00AA7200">
        <w:t>de av upplysning eller rättelse. I vissa andra debatter där partierna uppträder med särskilt utsedda företrädare kan, fortsätter Törnell, en partif</w:t>
      </w:r>
      <w:r w:rsidRPr="00AA7200">
        <w:t>ö</w:t>
      </w:r>
      <w:r w:rsidRPr="00AA7200">
        <w:t>reträdare få replik så snart som hans parti angrips.</w:t>
      </w:r>
    </w:p>
    <w:p w:rsidR="00587DFA" w:rsidRPr="00AA7200" w:rsidRDefault="00587DFA" w:rsidP="00587DFA">
      <w:pPr>
        <w:pStyle w:val="Normaltindrag"/>
      </w:pPr>
      <w:r w:rsidRPr="00AA7200">
        <w:t>Mycket av det som nu redovisats om praxis i</w:t>
      </w:r>
      <w:r w:rsidR="00760469" w:rsidRPr="00AA7200">
        <w:t xml:space="preserve"> </w:t>
      </w:r>
      <w:r w:rsidRPr="00AA7200">
        <w:t>fråga om replikrätten är i h</w:t>
      </w:r>
      <w:r w:rsidRPr="00AA7200">
        <w:t>u</w:t>
      </w:r>
      <w:r w:rsidRPr="00AA7200">
        <w:t>vudsak giltigt även i dag. Allmänt kan sägas att talmannen regelmässigt me</w:t>
      </w:r>
      <w:r w:rsidRPr="00AA7200">
        <w:t>d</w:t>
      </w:r>
      <w:r w:rsidRPr="00AA7200">
        <w:t>ger replikrätt utan särskild prövning och ingriper endast om det visar sig att en talare använ</w:t>
      </w:r>
      <w:r w:rsidR="009C1F61" w:rsidRPr="00AA7200">
        <w:t>der</w:t>
      </w:r>
      <w:r w:rsidRPr="00AA7200">
        <w:t xml:space="preserve"> sin replikrätt till att polemisera mot en annan talare än den närmast föregående eller över huvud taget inte berör något av det som föreg</w:t>
      </w:r>
      <w:r w:rsidRPr="00AA7200">
        <w:t>å</w:t>
      </w:r>
      <w:r w:rsidRPr="00AA7200">
        <w:t xml:space="preserve">ende talare tagit upp i sitt anförande. Replikerna kan numera sägas vara en naturlig del av debatten i ett ärende och syftar till att belysa de olika politiska och sakliga frågeställningarna och motsättningarna. </w:t>
      </w:r>
    </w:p>
    <w:p w:rsidR="00587DFA" w:rsidRPr="00AA7200" w:rsidRDefault="00587DFA" w:rsidP="00587DFA">
      <w:pPr>
        <w:pStyle w:val="Normaltindrag"/>
      </w:pPr>
      <w:r w:rsidRPr="00AA7200">
        <w:t xml:space="preserve">Denna utveckling mot en i princip fri replikrätt – bortsett från att den som begär replik måste ha hållit ett eget anförande och att repliken måste rikta sig mot närmast föregående talares anförande – innebär på sätt och vis att regeln om vad som avses med en replik har förlorat sin giltighet. Det </w:t>
      </w:r>
      <w:r w:rsidR="005E3D2D" w:rsidRPr="00AA7200">
        <w:t xml:space="preserve">finns </w:t>
      </w:r>
      <w:r w:rsidRPr="00AA7200">
        <w:t>dä</w:t>
      </w:r>
      <w:r w:rsidRPr="00AA7200">
        <w:t>r</w:t>
      </w:r>
      <w:r w:rsidRPr="00AA7200">
        <w:t xml:space="preserve">för skäl att </w:t>
      </w:r>
      <w:r w:rsidR="00D8323D" w:rsidRPr="00AA7200">
        <w:t xml:space="preserve">införa </w:t>
      </w:r>
      <w:r w:rsidRPr="00AA7200">
        <w:t>en mer öppen formulering av denna regel som bättre stä</w:t>
      </w:r>
      <w:r w:rsidRPr="00AA7200">
        <w:t>m</w:t>
      </w:r>
      <w:r w:rsidRPr="00AA7200">
        <w:t>mer överens med hur regeln numera tillämpas.</w:t>
      </w:r>
      <w:r w:rsidR="004B4147" w:rsidRPr="00AA7200">
        <w:t xml:space="preserve"> Styrelsen föreslår därför att 2 kap. </w:t>
      </w:r>
      <w:r w:rsidR="00760469" w:rsidRPr="00AA7200">
        <w:t>15 § RO ändras i enlighet med detta</w:t>
      </w:r>
      <w:r w:rsidR="004B4147" w:rsidRPr="00AA7200">
        <w:t xml:space="preserve">. </w:t>
      </w:r>
    </w:p>
    <w:p w:rsidR="00587DFA" w:rsidRPr="00AA7200" w:rsidRDefault="00587DFA" w:rsidP="00587DFA">
      <w:pPr>
        <w:pStyle w:val="Rubrik3"/>
        <w:rPr>
          <w:noProof w:val="0"/>
        </w:rPr>
      </w:pPr>
      <w:bookmarkStart w:id="25" w:name="_Toc320600608"/>
      <w:r w:rsidRPr="00AA7200">
        <w:rPr>
          <w:noProof w:val="0"/>
        </w:rPr>
        <w:t>När replik kan begäras</w:t>
      </w:r>
      <w:bookmarkEnd w:id="25"/>
    </w:p>
    <w:p w:rsidR="00587DFA" w:rsidRPr="00AA7200" w:rsidRDefault="00587DFA" w:rsidP="00587DFA">
      <w:r w:rsidRPr="00AA7200">
        <w:t>Det sägs inte uttryckligen i RO när</w:t>
      </w:r>
      <w:r w:rsidR="00760469" w:rsidRPr="00AA7200">
        <w:t xml:space="preserve"> en</w:t>
      </w:r>
      <w:r w:rsidRPr="00AA7200">
        <w:t xml:space="preserve"> replik kan begäras. Inte heller har något sagts i den saken i förarbeten eller litteratur. En mångårig parlamentarisk praxis är dock att en replik ska begäras i omedelbar anslutning till huvudanf</w:t>
      </w:r>
      <w:r w:rsidRPr="00AA7200">
        <w:t>ö</w:t>
      </w:r>
      <w:r w:rsidRPr="00AA7200">
        <w:t xml:space="preserve">randet. Bakgrunden till detta är att repliken ska gälla detta anförande och inte det som sägs i ett pågående replikskifte efter anförandet. Denna praxis finns dokumenterad i </w:t>
      </w:r>
      <w:r w:rsidR="00D8323D" w:rsidRPr="00AA7200">
        <w:t xml:space="preserve">den parlamentariska </w:t>
      </w:r>
      <w:r w:rsidRPr="00AA7200">
        <w:t>handbok</w:t>
      </w:r>
      <w:r w:rsidR="00D8323D" w:rsidRPr="00AA7200">
        <w:t>en</w:t>
      </w:r>
      <w:r w:rsidRPr="00AA7200">
        <w:t>, som redovisar regler och praxis som gäller för kammaren. Det vanliga är att replik begärs innan huvu</w:t>
      </w:r>
      <w:r w:rsidRPr="00AA7200">
        <w:t>d</w:t>
      </w:r>
      <w:r w:rsidRPr="00AA7200">
        <w:t>anförandet är avslutat. När ett huvudanförande är avslutat meddelar talma</w:t>
      </w:r>
      <w:r w:rsidRPr="00AA7200">
        <w:t>n</w:t>
      </w:r>
      <w:r w:rsidRPr="00AA7200">
        <w:t xml:space="preserve">nen vilka ledamöter som begärt replik. Om då ytterligare talare begär replik medges det av talmannen. Därefter tillåts </w:t>
      </w:r>
      <w:r w:rsidR="00760469" w:rsidRPr="00AA7200">
        <w:t xml:space="preserve">enligt praxis inga fler </w:t>
      </w:r>
      <w:r w:rsidRPr="00AA7200">
        <w:t>anmä</w:t>
      </w:r>
      <w:r w:rsidRPr="00AA7200">
        <w:t>l</w:t>
      </w:r>
      <w:r w:rsidR="00475EA6" w:rsidRPr="00AA7200">
        <w:t>ningar om replik på detta huvudanförande.</w:t>
      </w:r>
    </w:p>
    <w:p w:rsidR="00A45D60" w:rsidRPr="00AA7200" w:rsidRDefault="00587DFA" w:rsidP="00863A42">
      <w:pPr>
        <w:pStyle w:val="Normaltindrag"/>
      </w:pPr>
      <w:r w:rsidRPr="00AA7200">
        <w:t xml:space="preserve">Det finns </w:t>
      </w:r>
      <w:r w:rsidR="00863A42" w:rsidRPr="00AA7200">
        <w:t xml:space="preserve">enligt styrelsen </w:t>
      </w:r>
      <w:r w:rsidRPr="00AA7200">
        <w:t>skäl att nu fo</w:t>
      </w:r>
      <w:r w:rsidR="00760469" w:rsidRPr="00AA7200">
        <w:t>rmulera denna praxis om</w:t>
      </w:r>
      <w:r w:rsidRPr="00AA7200">
        <w:t xml:space="preserve"> när replik ska begäras i en ny bestämmelse.</w:t>
      </w:r>
      <w:r w:rsidR="004B4147" w:rsidRPr="00AA7200">
        <w:t xml:space="preserve"> Styrelsen lämnar därför ett fö</w:t>
      </w:r>
      <w:r w:rsidR="004B4147" w:rsidRPr="00AA7200">
        <w:t>r</w:t>
      </w:r>
      <w:r w:rsidR="004B4147" w:rsidRPr="00AA7200">
        <w:t>slag till en ny tilläggsbestämmelse i 2.15.1</w:t>
      </w:r>
      <w:r w:rsidR="00475EA6" w:rsidRPr="00AA7200">
        <w:t xml:space="preserve"> RO</w:t>
      </w:r>
      <w:r w:rsidR="004B4147" w:rsidRPr="00AA7200">
        <w:t xml:space="preserve">. </w:t>
      </w:r>
    </w:p>
    <w:p w:rsidR="000E628F" w:rsidRPr="00AA7200" w:rsidRDefault="001A5A1D" w:rsidP="000E628F">
      <w:pPr>
        <w:pStyle w:val="Rubrik2"/>
      </w:pPr>
      <w:bookmarkStart w:id="26" w:name="_Toc320600609"/>
      <w:r w:rsidRPr="00AA7200">
        <w:t>Omröstning</w:t>
      </w:r>
      <w:bookmarkEnd w:id="26"/>
    </w:p>
    <w:p w:rsidR="000E628F" w:rsidRPr="00AA7200" w:rsidRDefault="000E628F" w:rsidP="000E628F">
      <w:r w:rsidRPr="00AA7200">
        <w:t>En omröstning i kammaren får förrättas med uppresning (tilläggsbestämmelse 5.6.1</w:t>
      </w:r>
      <w:r w:rsidR="000D1209" w:rsidRPr="00AA7200">
        <w:t xml:space="preserve"> RO</w:t>
      </w:r>
      <w:r w:rsidRPr="00AA7200">
        <w:t>). Om talmannen efter omröstning med uppresning tvekar om o</w:t>
      </w:r>
      <w:r w:rsidRPr="00AA7200">
        <w:t>m</w:t>
      </w:r>
      <w:r w:rsidRPr="00AA7200">
        <w:t>röstningens resultat eller en ledamot begär rösträkning, sker en ny omröstning med omröstningsapparat eller, när den inte kan användas, med namnupprop.</w:t>
      </w:r>
    </w:p>
    <w:p w:rsidR="000E628F" w:rsidRPr="00AA7200" w:rsidRDefault="005D4221" w:rsidP="000E628F">
      <w:pPr>
        <w:pStyle w:val="Normaltindrag"/>
      </w:pPr>
      <w:r w:rsidRPr="00AA7200">
        <w:t>Enligt riksdagsstyrelsens mening bör ordet ”omröstningsapparat” utmöns</w:t>
      </w:r>
      <w:r w:rsidRPr="00AA7200">
        <w:t>t</w:t>
      </w:r>
      <w:r w:rsidRPr="00AA7200">
        <w:t xml:space="preserve">ras ur lagstiftningen. Det återspeglar inte </w:t>
      </w:r>
      <w:r w:rsidR="003661B1" w:rsidRPr="00AA7200">
        <w:t>på ett adekvat sätt att rösträkningen sker på elektronisk väg. Styrelsen föreslår därför en ändring så att detta ty</w:t>
      </w:r>
      <w:r w:rsidR="003661B1" w:rsidRPr="00AA7200">
        <w:t>d</w:t>
      </w:r>
      <w:r w:rsidR="003661B1" w:rsidRPr="00AA7200">
        <w:t>ligt framgår.</w:t>
      </w:r>
    </w:p>
    <w:p w:rsidR="00863A42" w:rsidRPr="00AA7200" w:rsidRDefault="00D81340" w:rsidP="00863A42">
      <w:pPr>
        <w:pStyle w:val="Rubrik2"/>
      </w:pPr>
      <w:bookmarkStart w:id="27" w:name="_Toc320600610"/>
      <w:r w:rsidRPr="00AA7200">
        <w:t>Talarordningen i i</w:t>
      </w:r>
      <w:r w:rsidR="00863A42" w:rsidRPr="00AA7200">
        <w:t>nterpellationsdebatter</w:t>
      </w:r>
      <w:bookmarkEnd w:id="27"/>
    </w:p>
    <w:p w:rsidR="00863A42" w:rsidRPr="00AA7200" w:rsidRDefault="00863A42" w:rsidP="00863A42">
      <w:r w:rsidRPr="00AA7200">
        <w:t>När ett statsråd besvarar en interpellation får svaret lämnas i ett anförande som räcker längst sex minuter. Statsrådet kan därutöver få ordet för ytterligare tre anföranden, varav de första två får räcka längst fyra minuter vardera och det tredje längst två minuter. Interpellanten kan få ordet för högst tre anföra</w:t>
      </w:r>
      <w:r w:rsidRPr="00AA7200">
        <w:t>n</w:t>
      </w:r>
      <w:r w:rsidRPr="00AA7200">
        <w:t>den, varav de första två får räcka längst fyra minuter vardera och det tredje längst två minuter. Andra talare kan få ordet för högst två anföranden, varav det första får räcka längst fyra minuter och det andra längst två minuter. (6.1.</w:t>
      </w:r>
      <w:r w:rsidR="004770BA" w:rsidRPr="00AA7200">
        <w:t>3</w:t>
      </w:r>
      <w:r w:rsidR="002979FE" w:rsidRPr="00AA7200">
        <w:t xml:space="preserve"> RO</w:t>
      </w:r>
      <w:r w:rsidR="00760469" w:rsidRPr="00AA7200">
        <w:t>)</w:t>
      </w:r>
    </w:p>
    <w:p w:rsidR="00863A42" w:rsidRPr="00AA7200" w:rsidRDefault="004770BA" w:rsidP="00863A42">
      <w:pPr>
        <w:pStyle w:val="Normaltindrag"/>
      </w:pPr>
      <w:r w:rsidRPr="00AA7200">
        <w:t xml:space="preserve">Sedan ett antal år </w:t>
      </w:r>
      <w:r w:rsidR="00863A42" w:rsidRPr="00AA7200">
        <w:t>finns en överenskommelse mellan talmannen och grup</w:t>
      </w:r>
      <w:r w:rsidR="00863A42" w:rsidRPr="00AA7200">
        <w:t>p</w:t>
      </w:r>
      <w:r w:rsidR="00863A42" w:rsidRPr="00AA7200">
        <w:t>ledarna om att en talare inte bör anmäla sig till debatten senare än under andra omgången. Därigenom blir det statsrådet som normalt avslutar deba</w:t>
      </w:r>
      <w:r w:rsidR="00863A42" w:rsidRPr="00AA7200">
        <w:t>t</w:t>
      </w:r>
      <w:r w:rsidR="00863A42" w:rsidRPr="00AA7200">
        <w:t xml:space="preserve">ten.  </w:t>
      </w:r>
    </w:p>
    <w:p w:rsidR="001B50AB" w:rsidRPr="00AA7200" w:rsidRDefault="00863A42" w:rsidP="00863A42">
      <w:pPr>
        <w:pStyle w:val="Normaltindrag"/>
      </w:pPr>
      <w:r w:rsidRPr="00AA7200">
        <w:t>Styrelsen anser att överenskommelsen nu bör lagregleras</w:t>
      </w:r>
      <w:r w:rsidR="004B4147" w:rsidRPr="00AA7200">
        <w:t xml:space="preserve"> och föreslår </w:t>
      </w:r>
      <w:r w:rsidR="006B778F" w:rsidRPr="00AA7200">
        <w:t>en ny tilläggsbestämmelse i 6.1.3</w:t>
      </w:r>
      <w:r w:rsidR="00FB5AEF" w:rsidRPr="00AA7200">
        <w:t xml:space="preserve"> med denna innebörd.</w:t>
      </w:r>
      <w:r w:rsidRPr="00AA7200">
        <w:t xml:space="preserve"> </w:t>
      </w:r>
    </w:p>
    <w:p w:rsidR="00937A5B" w:rsidRPr="00AA7200" w:rsidRDefault="005043A8" w:rsidP="00937A5B">
      <w:pPr>
        <w:pStyle w:val="Normaltindrag"/>
      </w:pPr>
      <w:r w:rsidRPr="00AA7200">
        <w:t>199</w:t>
      </w:r>
      <w:r w:rsidR="00937A5B" w:rsidRPr="00AA7200">
        <w:t>8 genomfördes en ändring i reglerna för interpellationsdeba</w:t>
      </w:r>
      <w:r w:rsidR="00937A5B" w:rsidRPr="00AA7200">
        <w:t>t</w:t>
      </w:r>
      <w:r w:rsidR="00937A5B" w:rsidRPr="00AA7200">
        <w:t xml:space="preserve">ter i tilläggsbestämmelsen 6.1.3 som </w:t>
      </w:r>
      <w:r w:rsidRPr="00AA7200">
        <w:t>i</w:t>
      </w:r>
      <w:r w:rsidR="00D80D2B" w:rsidRPr="00AA7200">
        <w:t>nnebar att fjärde stycket utgick</w:t>
      </w:r>
      <w:r w:rsidRPr="00AA7200">
        <w:t>. Det</w:t>
      </w:r>
      <w:r w:rsidR="00937A5B" w:rsidRPr="00AA7200">
        <w:t xml:space="preserve"> innehöll en särskild reglering av tiden för kortare inlägg från statsråd vid interpell</w:t>
      </w:r>
      <w:r w:rsidR="00937A5B" w:rsidRPr="00AA7200">
        <w:t>a</w:t>
      </w:r>
      <w:r w:rsidR="00937A5B" w:rsidRPr="00AA7200">
        <w:t>tionsdebatter och</w:t>
      </w:r>
      <w:r w:rsidRPr="00AA7200">
        <w:t xml:space="preserve"> av</w:t>
      </w:r>
      <w:r w:rsidR="00937A5B" w:rsidRPr="00AA7200">
        <w:t xml:space="preserve"> att det inte fick avges g</w:t>
      </w:r>
      <w:r w:rsidRPr="00AA7200">
        <w:t>enmäle på sådana inlägg</w:t>
      </w:r>
      <w:r w:rsidR="00937A5B" w:rsidRPr="00AA7200">
        <w:t>. R</w:t>
      </w:r>
      <w:r w:rsidR="00937A5B" w:rsidRPr="00AA7200">
        <w:t>e</w:t>
      </w:r>
      <w:r w:rsidR="00937A5B" w:rsidRPr="00AA7200">
        <w:t>gleringen ansågs inte behövas då tiden för kortare inlägg och genmäle kom att generellt regleras i 2.15.1 (1997/98:TK1, KU27).</w:t>
      </w:r>
    </w:p>
    <w:p w:rsidR="00937A5B" w:rsidRPr="00AA7200" w:rsidRDefault="00FB5AEF" w:rsidP="00937A5B">
      <w:pPr>
        <w:pStyle w:val="Normaltindrag"/>
      </w:pPr>
      <w:r w:rsidRPr="00AA7200">
        <w:t xml:space="preserve">Det har sålunda </w:t>
      </w:r>
      <w:r w:rsidR="007E26E3" w:rsidRPr="00AA7200">
        <w:t xml:space="preserve">varit möjligt för talmannen att </w:t>
      </w:r>
      <w:r w:rsidR="00031845" w:rsidRPr="00AA7200">
        <w:t>i en interpellationsdebatt</w:t>
      </w:r>
      <w:r w:rsidR="008D4B06" w:rsidRPr="00AA7200">
        <w:t>,</w:t>
      </w:r>
      <w:r w:rsidR="00031845" w:rsidRPr="00AA7200">
        <w:t xml:space="preserve"> </w:t>
      </w:r>
      <w:r w:rsidRPr="00AA7200">
        <w:t xml:space="preserve">med stöd av den generella regleringen av replikrätten i 2 kap. 15 § RO </w:t>
      </w:r>
      <w:r w:rsidR="00A96B16" w:rsidRPr="00AA7200">
        <w:t>med tilläggsbestämmelser</w:t>
      </w:r>
      <w:r w:rsidR="005043A8" w:rsidRPr="00AA7200">
        <w:t>,</w:t>
      </w:r>
      <w:r w:rsidR="00A96B16" w:rsidRPr="00AA7200">
        <w:t xml:space="preserve"> </w:t>
      </w:r>
      <w:r w:rsidR="00031845" w:rsidRPr="00AA7200">
        <w:t xml:space="preserve">ge en talare rätt till ytterligare ett </w:t>
      </w:r>
      <w:r w:rsidR="007E26E3" w:rsidRPr="00AA7200">
        <w:t xml:space="preserve">inlägg </w:t>
      </w:r>
      <w:r w:rsidR="00031845" w:rsidRPr="00AA7200">
        <w:t>därför att tal</w:t>
      </w:r>
      <w:r w:rsidR="00031845" w:rsidRPr="00AA7200">
        <w:t>a</w:t>
      </w:r>
      <w:r w:rsidR="00031845" w:rsidRPr="00AA7200">
        <w:t>ren blivit a</w:t>
      </w:r>
      <w:r w:rsidR="00031845" w:rsidRPr="00AA7200">
        <w:t>n</w:t>
      </w:r>
      <w:r w:rsidR="00031845" w:rsidRPr="00AA7200">
        <w:t>gripen av statsrådet i dennes avslutande inlägg</w:t>
      </w:r>
      <w:r w:rsidR="007E26E3" w:rsidRPr="00AA7200">
        <w:t xml:space="preserve">. </w:t>
      </w:r>
      <w:r w:rsidRPr="00AA7200">
        <w:t xml:space="preserve">Denna </w:t>
      </w:r>
      <w:r w:rsidR="007E26E3" w:rsidRPr="00AA7200">
        <w:t xml:space="preserve">möjlighet </w:t>
      </w:r>
      <w:r w:rsidRPr="00AA7200">
        <w:t>måste enligt styrelsens mening anses kv</w:t>
      </w:r>
      <w:r w:rsidR="007E26E3" w:rsidRPr="00AA7200">
        <w:t>arstå</w:t>
      </w:r>
      <w:r w:rsidRPr="00AA7200">
        <w:t xml:space="preserve"> </w:t>
      </w:r>
      <w:r w:rsidR="007E26E3" w:rsidRPr="00AA7200">
        <w:t xml:space="preserve">även om, såsom nu föreslås, </w:t>
      </w:r>
      <w:r w:rsidRPr="00AA7200">
        <w:t>krit</w:t>
      </w:r>
      <w:r w:rsidRPr="00AA7200">
        <w:t>e</w:t>
      </w:r>
      <w:r w:rsidRPr="00AA7200">
        <w:t>rierna för vad som avses med en replik tas bort ur</w:t>
      </w:r>
      <w:r w:rsidR="005043A8" w:rsidRPr="00AA7200">
        <w:t xml:space="preserve"> den</w:t>
      </w:r>
      <w:r w:rsidRPr="00AA7200">
        <w:t xml:space="preserve"> nämnda generella reglering</w:t>
      </w:r>
      <w:r w:rsidR="005043A8" w:rsidRPr="00AA7200">
        <w:t>en</w:t>
      </w:r>
      <w:r w:rsidRPr="00AA7200">
        <w:t xml:space="preserve"> av replikrä</w:t>
      </w:r>
      <w:r w:rsidRPr="00AA7200">
        <w:t>t</w:t>
      </w:r>
      <w:r w:rsidRPr="00AA7200">
        <w:t xml:space="preserve">ten. </w:t>
      </w:r>
      <w:r w:rsidR="00FA23A2" w:rsidRPr="00AA7200">
        <w:t>Om en sådan rätt till ytterligare ett inlägg medges</w:t>
      </w:r>
      <w:r w:rsidR="008D4B06" w:rsidRPr="00AA7200">
        <w:t>,</w:t>
      </w:r>
      <w:r w:rsidR="00FA23A2" w:rsidRPr="00AA7200">
        <w:t xml:space="preserve"> torde det dock inte medföra att duellmetoden ti</w:t>
      </w:r>
      <w:r w:rsidR="00FA23A2" w:rsidRPr="00AA7200">
        <w:t>l</w:t>
      </w:r>
      <w:r w:rsidR="00FA23A2" w:rsidRPr="00AA7200">
        <w:t xml:space="preserve">lämpas.  </w:t>
      </w:r>
    </w:p>
    <w:p w:rsidR="00D81340" w:rsidRPr="00AA7200" w:rsidRDefault="00D81340" w:rsidP="00D81340">
      <w:pPr>
        <w:pStyle w:val="Rubrik2"/>
      </w:pPr>
      <w:bookmarkStart w:id="28" w:name="_Toc320600611"/>
      <w:r w:rsidRPr="00AA7200">
        <w:t xml:space="preserve">Meddelande om försenat </w:t>
      </w:r>
      <w:r w:rsidR="00587E76" w:rsidRPr="00AA7200">
        <w:t xml:space="preserve">eller uteblivet </w:t>
      </w:r>
      <w:r w:rsidRPr="00AA7200">
        <w:t>frågesvar</w:t>
      </w:r>
      <w:bookmarkEnd w:id="28"/>
    </w:p>
    <w:p w:rsidR="00D81340" w:rsidRPr="00AA7200" w:rsidRDefault="00D81340" w:rsidP="00D81340">
      <w:r w:rsidRPr="00AA7200">
        <w:t xml:space="preserve">Enligt tilläggsbestämmelse 6.4.1 </w:t>
      </w:r>
      <w:r w:rsidR="00587E76" w:rsidRPr="00AA7200">
        <w:t xml:space="preserve">tredje stycket </w:t>
      </w:r>
      <w:r w:rsidRPr="00AA7200">
        <w:t>R</w:t>
      </w:r>
      <w:r w:rsidR="005043A8" w:rsidRPr="00AA7200">
        <w:t>O ska de skriftliga frågor som under en vecka lämna</w:t>
      </w:r>
      <w:r w:rsidRPr="00AA7200">
        <w:t xml:space="preserve">ts in senast klockan 10 på fredagen besvaras senast klockan 12 på onsdagen i följande vecka. Under längre uppehåll i kammarens arbete än en månad får enligt sista stycket i bestämmelsen </w:t>
      </w:r>
      <w:r w:rsidR="00587E76" w:rsidRPr="00AA7200">
        <w:t xml:space="preserve">talmannen efter samråd med gruppledarna </w:t>
      </w:r>
      <w:r w:rsidRPr="00AA7200">
        <w:t>besluta att svaren lämnas inom fjorton dagar efter det att frågorna framställts. I sa</w:t>
      </w:r>
      <w:r w:rsidRPr="00AA7200">
        <w:t>m</w:t>
      </w:r>
      <w:r w:rsidRPr="00AA7200">
        <w:t xml:space="preserve">ma stycke föreskrivs </w:t>
      </w:r>
      <w:r w:rsidR="00A07A31" w:rsidRPr="00AA7200">
        <w:t>att om ett svar inte lämnas inom denna tid, ska statsrådet meddela ka</w:t>
      </w:r>
      <w:r w:rsidR="00A07A31" w:rsidRPr="00AA7200">
        <w:t>m</w:t>
      </w:r>
      <w:r w:rsidR="00A07A31" w:rsidRPr="00AA7200">
        <w:t>markansliet när frågan kommer att besvaras eller att den inte kommer att besvaras.</w:t>
      </w:r>
      <w:r w:rsidRPr="00AA7200">
        <w:t xml:space="preserve">  </w:t>
      </w:r>
    </w:p>
    <w:p w:rsidR="00A07A31" w:rsidRPr="00AA7200" w:rsidRDefault="00A07A31" w:rsidP="00A07A31">
      <w:pPr>
        <w:pStyle w:val="Normaltindrag"/>
      </w:pPr>
      <w:r w:rsidRPr="00AA7200">
        <w:t xml:space="preserve">Som bestämmelsen 6.4.1 nu är utformad </w:t>
      </w:r>
      <w:r w:rsidR="00D8323D" w:rsidRPr="00AA7200">
        <w:t xml:space="preserve">innebär </w:t>
      </w:r>
      <w:r w:rsidRPr="00AA7200">
        <w:t>den att statsrådets sky</w:t>
      </w:r>
      <w:r w:rsidRPr="00AA7200">
        <w:t>l</w:t>
      </w:r>
      <w:r w:rsidRPr="00AA7200">
        <w:t>dighet att meddela att ett frågesvar är försenat eller ut</w:t>
      </w:r>
      <w:r w:rsidR="005043A8" w:rsidRPr="00AA7200">
        <w:t>eblir endast gäller om</w:t>
      </w:r>
      <w:r w:rsidRPr="00AA7200">
        <w:t xml:space="preserve"> svar ska lämnas inom fjorton dagar på grund av ett längre uppehåll i kamm</w:t>
      </w:r>
      <w:r w:rsidRPr="00AA7200">
        <w:t>a</w:t>
      </w:r>
      <w:r w:rsidRPr="00AA7200">
        <w:t xml:space="preserve">rens arbete, inte för normalfallet att svar ska lämnas inom fem dagar. Detta har aldrig varit avsikten och i praxis har bestämmelsen </w:t>
      </w:r>
      <w:r w:rsidR="00587E76" w:rsidRPr="00AA7200">
        <w:t>oc</w:t>
      </w:r>
      <w:r w:rsidR="00587E76" w:rsidRPr="00AA7200">
        <w:t>k</w:t>
      </w:r>
      <w:r w:rsidR="00587E76" w:rsidRPr="00AA7200">
        <w:t xml:space="preserve">så </w:t>
      </w:r>
      <w:r w:rsidRPr="00AA7200">
        <w:t xml:space="preserve">tillämpats </w:t>
      </w:r>
      <w:r w:rsidR="00587E76" w:rsidRPr="00AA7200">
        <w:t>för båda fallen</w:t>
      </w:r>
      <w:r w:rsidR="00F12FCA" w:rsidRPr="00AA7200">
        <w:t>. Riksdagsstyrelsen föreslår därför ett förtydligande av lagte</w:t>
      </w:r>
      <w:r w:rsidR="00F12FCA" w:rsidRPr="00AA7200">
        <w:t>x</w:t>
      </w:r>
      <w:r w:rsidR="00F12FCA" w:rsidRPr="00AA7200">
        <w:t xml:space="preserve">ten </w:t>
      </w:r>
      <w:r w:rsidR="00587E76" w:rsidRPr="00AA7200">
        <w:t>med denna innebörd</w:t>
      </w:r>
      <w:r w:rsidR="00F12FCA" w:rsidRPr="00AA7200">
        <w:t xml:space="preserve">. </w:t>
      </w:r>
      <w:r w:rsidRPr="00AA7200">
        <w:t xml:space="preserve">  </w:t>
      </w:r>
    </w:p>
    <w:p w:rsidR="00333CB9" w:rsidRPr="00AA7200" w:rsidRDefault="00A71D2B" w:rsidP="005D2324">
      <w:pPr>
        <w:pStyle w:val="Rubrik2"/>
      </w:pPr>
      <w:bookmarkStart w:id="29" w:name="_Toc320600612"/>
      <w:r w:rsidRPr="00AA7200">
        <w:t xml:space="preserve">Anpassning </w:t>
      </w:r>
      <w:r w:rsidR="002979FE" w:rsidRPr="00AA7200">
        <w:t xml:space="preserve">till </w:t>
      </w:r>
      <w:r w:rsidR="005043A8" w:rsidRPr="00AA7200">
        <w:t>regeringsformen</w:t>
      </w:r>
      <w:r w:rsidR="002979FE" w:rsidRPr="00AA7200">
        <w:t xml:space="preserve"> </w:t>
      </w:r>
      <w:r w:rsidRPr="00AA7200">
        <w:t xml:space="preserve">av begrepp </w:t>
      </w:r>
      <w:r w:rsidR="000625A0" w:rsidRPr="00AA7200">
        <w:t>i budgetprocessen</w:t>
      </w:r>
      <w:bookmarkEnd w:id="29"/>
      <w:r w:rsidR="002979FE" w:rsidRPr="00AA7200">
        <w:t xml:space="preserve"> </w:t>
      </w:r>
    </w:p>
    <w:p w:rsidR="003021FF" w:rsidRPr="00AA7200" w:rsidRDefault="002C133A" w:rsidP="005D2324">
      <w:r w:rsidRPr="00AA7200">
        <w:t>T</w:t>
      </w:r>
      <w:r w:rsidR="009B3B0A" w:rsidRPr="00AA7200">
        <w:t xml:space="preserve">illäggsbestämmelse 3.2.3 i RO </w:t>
      </w:r>
      <w:r w:rsidR="005043A8" w:rsidRPr="00AA7200">
        <w:t>hänvisar till budgetlagen (2011:203) där det finns</w:t>
      </w:r>
      <w:r w:rsidR="009B3B0A" w:rsidRPr="00AA7200">
        <w:t xml:space="preserve"> ytterligare bestämm</w:t>
      </w:r>
      <w:r w:rsidR="00D80D2B" w:rsidRPr="00AA7200">
        <w:t>elser om budgetprocessen</w:t>
      </w:r>
      <w:r w:rsidR="000C1D98" w:rsidRPr="00AA7200">
        <w:t xml:space="preserve">. Konstitutionsutskottet </w:t>
      </w:r>
      <w:r w:rsidR="00E2414C" w:rsidRPr="00AA7200">
        <w:t>utt</w:t>
      </w:r>
      <w:r w:rsidR="00E2414C" w:rsidRPr="00AA7200">
        <w:t>a</w:t>
      </w:r>
      <w:r w:rsidR="00E2414C" w:rsidRPr="00AA7200">
        <w:t xml:space="preserve">lade våren 2010 i ärendet om en reformerad grundlag </w:t>
      </w:r>
      <w:r w:rsidR="009B3B0A" w:rsidRPr="00AA7200">
        <w:t xml:space="preserve">att </w:t>
      </w:r>
      <w:r w:rsidR="008D2AF4" w:rsidRPr="00AA7200">
        <w:t xml:space="preserve">behovet av tilläggsbestämmelsen borde övervägas </w:t>
      </w:r>
      <w:r w:rsidR="000C1D98" w:rsidRPr="00AA7200">
        <w:t>mot bakgrund av att en motsvara</w:t>
      </w:r>
      <w:r w:rsidR="000C1D98" w:rsidRPr="00AA7200">
        <w:t>n</w:t>
      </w:r>
      <w:r w:rsidR="000C1D98" w:rsidRPr="00AA7200">
        <w:t xml:space="preserve">de bestämmelse finns i 9 kap. 11 § RF </w:t>
      </w:r>
      <w:r w:rsidR="008D2AF4" w:rsidRPr="00AA7200">
        <w:t>(bet. 2009/10:KU19</w:t>
      </w:r>
      <w:r w:rsidR="005043A8" w:rsidRPr="00AA7200">
        <w:t>). Vad utskottet a</w:t>
      </w:r>
      <w:r w:rsidR="005043A8" w:rsidRPr="00AA7200">
        <w:t>n</w:t>
      </w:r>
      <w:r w:rsidR="005043A8" w:rsidRPr="00AA7200">
        <w:t>förde</w:t>
      </w:r>
      <w:r w:rsidR="00E2414C" w:rsidRPr="00AA7200">
        <w:t xml:space="preserve"> gav riksdagen som sin mening riksdagsstyrelsen till känna (</w:t>
      </w:r>
      <w:r w:rsidR="000C1D98" w:rsidRPr="00AA7200">
        <w:t>rskr. 305).</w:t>
      </w:r>
      <w:r w:rsidR="008D2AF4" w:rsidRPr="00AA7200">
        <w:t xml:space="preserve"> </w:t>
      </w:r>
      <w:r w:rsidR="005043A8" w:rsidRPr="00AA7200">
        <w:t>Riksdagsdirektören gav</w:t>
      </w:r>
      <w:r w:rsidR="001C2921" w:rsidRPr="00AA7200">
        <w:t xml:space="preserve"> den 14 december 2011 i enlighet med riksdagsstyre</w:t>
      </w:r>
      <w:r w:rsidR="001C2921" w:rsidRPr="00AA7200">
        <w:t>l</w:t>
      </w:r>
      <w:r w:rsidR="001C2921" w:rsidRPr="00AA7200">
        <w:t>sens beslut den 12 decem</w:t>
      </w:r>
      <w:r w:rsidR="005043A8" w:rsidRPr="00AA7200">
        <w:t>ber 2011 i uppdrag åt</w:t>
      </w:r>
      <w:r w:rsidR="001C2921" w:rsidRPr="00AA7200">
        <w:t xml:space="preserve"> kanslichefen i finansutskottet att</w:t>
      </w:r>
      <w:r w:rsidR="005043A8" w:rsidRPr="00AA7200">
        <w:t xml:space="preserve"> bl.a.</w:t>
      </w:r>
      <w:r w:rsidR="001C2921" w:rsidRPr="00AA7200">
        <w:t xml:space="preserve"> överväga ett slopande av tilläggsbestämmelse 3.2.3. Uppdraget ska r</w:t>
      </w:r>
      <w:r w:rsidR="001C2921" w:rsidRPr="00AA7200">
        <w:t>e</w:t>
      </w:r>
      <w:r w:rsidR="001C2921" w:rsidRPr="00AA7200">
        <w:t xml:space="preserve">dovisas senast den 12 september 2012. </w:t>
      </w:r>
    </w:p>
    <w:p w:rsidR="00DB5E03" w:rsidRPr="00AA7200" w:rsidRDefault="005D2324" w:rsidP="001C2921">
      <w:pPr>
        <w:pStyle w:val="Normaltindrag"/>
      </w:pPr>
      <w:r w:rsidRPr="00AA7200">
        <w:t xml:space="preserve">I </w:t>
      </w:r>
      <w:r w:rsidR="00DB5E03" w:rsidRPr="00AA7200">
        <w:t xml:space="preserve">den nya </w:t>
      </w:r>
      <w:r w:rsidR="002C133A" w:rsidRPr="00AA7200">
        <w:t>b</w:t>
      </w:r>
      <w:r w:rsidRPr="00AA7200">
        <w:t>udgetlagen</w:t>
      </w:r>
      <w:r w:rsidR="003021FF" w:rsidRPr="00AA7200">
        <w:t xml:space="preserve"> har vissa uttryckssätt anpassats till de ändringar i regeringsformen som trädde </w:t>
      </w:r>
      <w:r w:rsidR="00D80D2B" w:rsidRPr="00AA7200">
        <w:t>i kraft den 1 januari 2011. Bland annat</w:t>
      </w:r>
      <w:r w:rsidR="003021FF" w:rsidRPr="00AA7200">
        <w:t xml:space="preserve"> har </w:t>
      </w:r>
      <w:r w:rsidR="00DB5E03" w:rsidRPr="00AA7200">
        <w:t>b</w:t>
      </w:r>
      <w:r w:rsidR="00DB5E03" w:rsidRPr="00AA7200">
        <w:t>e</w:t>
      </w:r>
      <w:r w:rsidR="00DB5E03" w:rsidRPr="00AA7200">
        <w:t xml:space="preserve">greppet </w:t>
      </w:r>
      <w:r w:rsidR="003021FF" w:rsidRPr="00AA7200">
        <w:t>”statsbudget” ersatts med ”statens budget” och ordet</w:t>
      </w:r>
      <w:r w:rsidR="00DB5E03" w:rsidRPr="00AA7200">
        <w:t xml:space="preserve"> </w:t>
      </w:r>
      <w:r w:rsidR="003021FF" w:rsidRPr="00AA7200">
        <w:t>budgetr</w:t>
      </w:r>
      <w:r w:rsidR="003021FF" w:rsidRPr="00AA7200">
        <w:t>e</w:t>
      </w:r>
      <w:r w:rsidR="003021FF" w:rsidRPr="00AA7200">
        <w:t>glering</w:t>
      </w:r>
      <w:r w:rsidR="00475EA6" w:rsidRPr="00AA7200">
        <w:t xml:space="preserve"> </w:t>
      </w:r>
      <w:r w:rsidR="003021FF" w:rsidRPr="00AA7200">
        <w:t xml:space="preserve">används inte. </w:t>
      </w:r>
      <w:r w:rsidR="002979FE" w:rsidRPr="00AA7200">
        <w:t xml:space="preserve">I </w:t>
      </w:r>
      <w:r w:rsidR="005043A8" w:rsidRPr="00AA7200">
        <w:t>regeringsforman</w:t>
      </w:r>
      <w:r w:rsidR="00DB5E03" w:rsidRPr="00AA7200">
        <w:t xml:space="preserve"> används uttrycket ”beslut om statens budget” i stället för begreppet ”budgetreglering”. </w:t>
      </w:r>
      <w:r w:rsidR="003021FF" w:rsidRPr="00AA7200">
        <w:t>Begreppen ”statsbudget” och</w:t>
      </w:r>
      <w:r w:rsidRPr="00AA7200">
        <w:t xml:space="preserve"> </w:t>
      </w:r>
      <w:r w:rsidR="003021FF" w:rsidRPr="00AA7200">
        <w:t>”bu</w:t>
      </w:r>
      <w:r w:rsidR="003021FF" w:rsidRPr="00AA7200">
        <w:t>d</w:t>
      </w:r>
      <w:r w:rsidR="003021FF" w:rsidRPr="00AA7200">
        <w:t>getr</w:t>
      </w:r>
      <w:r w:rsidR="003021FF" w:rsidRPr="00AA7200">
        <w:t>e</w:t>
      </w:r>
      <w:r w:rsidR="003021FF" w:rsidRPr="00AA7200">
        <w:t xml:space="preserve">glering” finns också i </w:t>
      </w:r>
      <w:r w:rsidR="00D12BBC" w:rsidRPr="00AA7200">
        <w:t>RO</w:t>
      </w:r>
      <w:r w:rsidR="003021FF" w:rsidRPr="00AA7200">
        <w:t xml:space="preserve">. </w:t>
      </w:r>
    </w:p>
    <w:p w:rsidR="001C2921" w:rsidRPr="00AA7200" w:rsidRDefault="003021FF" w:rsidP="001C2921">
      <w:pPr>
        <w:pStyle w:val="Normaltindrag"/>
      </w:pPr>
      <w:r w:rsidRPr="00AA7200">
        <w:t>Konstitutionsutskottet uttalade vid behandlingen av den nya budgetl</w:t>
      </w:r>
      <w:r w:rsidRPr="00AA7200">
        <w:t>a</w:t>
      </w:r>
      <w:r w:rsidRPr="00AA7200">
        <w:t>gen</w:t>
      </w:r>
      <w:r w:rsidR="004F1962" w:rsidRPr="00AA7200">
        <w:t xml:space="preserve"> i februari 2011</w:t>
      </w:r>
      <w:r w:rsidR="007214ED" w:rsidRPr="00AA7200">
        <w:t xml:space="preserve"> att det i samband med den översyn som riksdagen våren 2010 beslutade att</w:t>
      </w:r>
      <w:r w:rsidR="00E2414C" w:rsidRPr="00AA7200">
        <w:t xml:space="preserve"> riksdagsstyrel</w:t>
      </w:r>
      <w:r w:rsidR="007214ED" w:rsidRPr="00AA7200">
        <w:t>sens ska göra</w:t>
      </w:r>
      <w:r w:rsidR="00E2414C" w:rsidRPr="00AA7200">
        <w:t xml:space="preserve"> </w:t>
      </w:r>
      <w:r w:rsidR="001C2921" w:rsidRPr="00AA7200">
        <w:t xml:space="preserve">(se ovan) </w:t>
      </w:r>
      <w:r w:rsidR="00E2414C" w:rsidRPr="00AA7200">
        <w:t>också</w:t>
      </w:r>
      <w:r w:rsidR="007214ED" w:rsidRPr="00AA7200">
        <w:t xml:space="preserve"> finns anledning</w:t>
      </w:r>
      <w:r w:rsidR="00E2414C" w:rsidRPr="00AA7200">
        <w:t xml:space="preserve"> </w:t>
      </w:r>
      <w:r w:rsidR="007214ED" w:rsidRPr="00AA7200">
        <w:t xml:space="preserve">att </w:t>
      </w:r>
      <w:r w:rsidR="00E2414C" w:rsidRPr="00AA7200">
        <w:t xml:space="preserve">ta upp frågan om </w:t>
      </w:r>
      <w:r w:rsidR="00DB5E03" w:rsidRPr="00AA7200">
        <w:t xml:space="preserve">en </w:t>
      </w:r>
      <w:r w:rsidR="00E2414C" w:rsidRPr="00AA7200">
        <w:t>a</w:t>
      </w:r>
      <w:r w:rsidR="00E2414C" w:rsidRPr="00AA7200">
        <w:t>n</w:t>
      </w:r>
      <w:r w:rsidR="00E2414C" w:rsidRPr="00AA7200">
        <w:t>passning till begreppen i regeringsformen (bet. 2010/11:KU14, rskr.</w:t>
      </w:r>
      <w:r w:rsidR="002C133A" w:rsidRPr="00AA7200">
        <w:t xml:space="preserve"> 17</w:t>
      </w:r>
      <w:r w:rsidR="00A71D2B" w:rsidRPr="00AA7200">
        <w:t>8</w:t>
      </w:r>
      <w:r w:rsidR="007214ED" w:rsidRPr="00AA7200">
        <w:t>).</w:t>
      </w:r>
      <w:r w:rsidR="00E2414C" w:rsidRPr="00AA7200">
        <w:t xml:space="preserve"> Konstitutionsutskottet hänvisade till att bestä</w:t>
      </w:r>
      <w:r w:rsidR="00E2414C" w:rsidRPr="00AA7200">
        <w:t>m</w:t>
      </w:r>
      <w:r w:rsidR="00E2414C" w:rsidRPr="00AA7200">
        <w:t>melser om statsbudgeten och budgetr</w:t>
      </w:r>
      <w:r w:rsidR="00E2414C" w:rsidRPr="00AA7200">
        <w:t>e</w:t>
      </w:r>
      <w:r w:rsidR="00E2414C" w:rsidRPr="00AA7200">
        <w:t xml:space="preserve">gleringen finns i 3 kap. 2 §, 4 kap. 5 §, 5 kap. 10 och 12 §§ och 9 kap. 4 § RO samt i tilläggsbestämmelsen 4.6.2. </w:t>
      </w:r>
      <w:r w:rsidR="001C2921" w:rsidRPr="00AA7200">
        <w:t>Konstitutionsutskottet uttalade vid</w:t>
      </w:r>
      <w:r w:rsidR="001C2921" w:rsidRPr="00AA7200">
        <w:t>a</w:t>
      </w:r>
      <w:r w:rsidR="001C2921" w:rsidRPr="00AA7200">
        <w:t>re</w:t>
      </w:r>
      <w:r w:rsidR="007214ED" w:rsidRPr="00AA7200">
        <w:t xml:space="preserve"> att det</w:t>
      </w:r>
      <w:r w:rsidR="001C2921" w:rsidRPr="00AA7200">
        <w:t xml:space="preserve"> särskilt vad gäller 4 </w:t>
      </w:r>
      <w:r w:rsidR="007214ED" w:rsidRPr="00AA7200">
        <w:t>kap. 5 § och 5 kap. 10 §</w:t>
      </w:r>
      <w:r w:rsidR="001C2921" w:rsidRPr="00AA7200">
        <w:t xml:space="preserve"> kunde finnas anledning att även i övrigt se över om lydelse</w:t>
      </w:r>
      <w:r w:rsidR="001C2921" w:rsidRPr="00AA7200">
        <w:t>r</w:t>
      </w:r>
      <w:r w:rsidR="001C2921" w:rsidRPr="00AA7200">
        <w:t>na när det gäller budgetregleringen är ändamålse</w:t>
      </w:r>
      <w:r w:rsidR="001C2921" w:rsidRPr="00AA7200">
        <w:t>n</w:t>
      </w:r>
      <w:r w:rsidR="001C2921" w:rsidRPr="00AA7200">
        <w:t xml:space="preserve">liga. </w:t>
      </w:r>
    </w:p>
    <w:p w:rsidR="00E2414C" w:rsidRPr="00AA7200" w:rsidRDefault="001C2921" w:rsidP="000C1D98">
      <w:pPr>
        <w:pStyle w:val="Normaltindrag"/>
      </w:pPr>
      <w:r w:rsidRPr="00AA7200">
        <w:t xml:space="preserve">Riksdagsstyrelsen behandlar i detta ärende </w:t>
      </w:r>
      <w:r w:rsidR="00DB5E03" w:rsidRPr="00AA7200">
        <w:t xml:space="preserve">endast </w:t>
      </w:r>
      <w:r w:rsidRPr="00AA7200">
        <w:t xml:space="preserve">frågan om anpassning till begreppen i regeringsformen. Styrelsen föreslår </w:t>
      </w:r>
      <w:r w:rsidR="00E2414C" w:rsidRPr="00AA7200">
        <w:t xml:space="preserve">att </w:t>
      </w:r>
      <w:r w:rsidR="00DB5E03" w:rsidRPr="00AA7200">
        <w:t xml:space="preserve">ordet </w:t>
      </w:r>
      <w:r w:rsidR="00E2414C" w:rsidRPr="00AA7200">
        <w:t>”statsbudg</w:t>
      </w:r>
      <w:r w:rsidR="00E2414C" w:rsidRPr="00AA7200">
        <w:t>e</w:t>
      </w:r>
      <w:r w:rsidR="00E2414C" w:rsidRPr="00AA7200">
        <w:t>ten” byts u</w:t>
      </w:r>
      <w:r w:rsidR="007214ED" w:rsidRPr="00AA7200">
        <w:t xml:space="preserve">t mot begreppet ”statens budget” </w:t>
      </w:r>
      <w:r w:rsidR="00E2414C" w:rsidRPr="00AA7200">
        <w:t xml:space="preserve">och </w:t>
      </w:r>
      <w:r w:rsidR="00DB5E03" w:rsidRPr="00AA7200">
        <w:t xml:space="preserve">ordet </w:t>
      </w:r>
      <w:r w:rsidR="00E2414C" w:rsidRPr="00AA7200">
        <w:t>”budgetr</w:t>
      </w:r>
      <w:r w:rsidR="00E2414C" w:rsidRPr="00AA7200">
        <w:t>e</w:t>
      </w:r>
      <w:r w:rsidR="00E2414C" w:rsidRPr="00AA7200">
        <w:t xml:space="preserve">glering” byts ut mot </w:t>
      </w:r>
      <w:r w:rsidR="00DB5E03" w:rsidRPr="00AA7200">
        <w:t xml:space="preserve">uttrycket </w:t>
      </w:r>
      <w:r w:rsidR="00E2414C" w:rsidRPr="00AA7200">
        <w:t xml:space="preserve">”beslut om statens budget” i de </w:t>
      </w:r>
      <w:r w:rsidRPr="00AA7200">
        <w:t xml:space="preserve">berörda </w:t>
      </w:r>
      <w:r w:rsidR="00E2414C" w:rsidRPr="00AA7200">
        <w:t>bestämm</w:t>
      </w:r>
      <w:r w:rsidR="003A7DC4" w:rsidRPr="00AA7200">
        <w:t>e</w:t>
      </w:r>
      <w:r w:rsidR="00E2414C" w:rsidRPr="00AA7200">
        <w:t>l</w:t>
      </w:r>
      <w:r w:rsidR="003A7DC4" w:rsidRPr="00AA7200">
        <w:t>s</w:t>
      </w:r>
      <w:r w:rsidR="00E2414C" w:rsidRPr="00AA7200">
        <w:t>e</w:t>
      </w:r>
      <w:r w:rsidR="00E2414C" w:rsidRPr="00AA7200">
        <w:t>r</w:t>
      </w:r>
      <w:r w:rsidR="00E2414C" w:rsidRPr="00AA7200">
        <w:t xml:space="preserve">na i RO. </w:t>
      </w:r>
    </w:p>
    <w:p w:rsidR="004F1962" w:rsidRPr="00AA7200" w:rsidRDefault="000E628F" w:rsidP="000C1D98">
      <w:pPr>
        <w:pStyle w:val="Normaltindrag"/>
      </w:pPr>
      <w:r w:rsidRPr="00AA7200">
        <w:t>Riksdagsstyrelsen</w:t>
      </w:r>
      <w:r w:rsidR="007214ED" w:rsidRPr="00AA7200">
        <w:t xml:space="preserve"> föreslår också att uttrycket ”</w:t>
      </w:r>
      <w:r w:rsidRPr="00AA7200">
        <w:t>årsredovisning för st</w:t>
      </w:r>
      <w:r w:rsidRPr="00AA7200">
        <w:t>a</w:t>
      </w:r>
      <w:r w:rsidRPr="00AA7200">
        <w:t>te</w:t>
      </w:r>
      <w:r w:rsidR="007214ED" w:rsidRPr="00AA7200">
        <w:t xml:space="preserve">n” i tilläggsbestämmelse 4.6.2 </w:t>
      </w:r>
      <w:r w:rsidRPr="00AA7200">
        <w:t xml:space="preserve">ändras till ”årsredovisningen för staten” eftersom bestämmelser om en sådan redovisning numera finns i RF. </w:t>
      </w:r>
    </w:p>
    <w:p w:rsidR="00333CB9" w:rsidRPr="00AA7200" w:rsidRDefault="00333CB9" w:rsidP="00333CB9">
      <w:pPr>
        <w:pStyle w:val="Rubrik2"/>
      </w:pPr>
      <w:bookmarkStart w:id="30" w:name="_Toc320600613"/>
      <w:r w:rsidRPr="00AA7200">
        <w:t>Upphävande av rixlexlagen</w:t>
      </w:r>
      <w:bookmarkEnd w:id="30"/>
    </w:p>
    <w:p w:rsidR="00C74315" w:rsidRPr="00AA7200" w:rsidRDefault="00C74315" w:rsidP="00C74315">
      <w:pPr>
        <w:rPr>
          <w:szCs w:val="24"/>
        </w:rPr>
      </w:pPr>
      <w:r w:rsidRPr="00AA7200">
        <w:rPr>
          <w:szCs w:val="24"/>
        </w:rPr>
        <w:t>Lagen (1993:825) om personregister i riksdagens informationssystem Rixlex (rixlexlagen) trädde i kraft den 1 juli 1993. Syftet med informationssyst</w:t>
      </w:r>
      <w:r w:rsidRPr="00AA7200">
        <w:rPr>
          <w:szCs w:val="24"/>
        </w:rPr>
        <w:t>e</w:t>
      </w:r>
      <w:r w:rsidRPr="00AA7200">
        <w:rPr>
          <w:szCs w:val="24"/>
        </w:rPr>
        <w:t>met uppgavs i förarbetena (bet.</w:t>
      </w:r>
      <w:r w:rsidR="00D80D2B" w:rsidRPr="00AA7200">
        <w:rPr>
          <w:szCs w:val="24"/>
        </w:rPr>
        <w:t xml:space="preserve"> </w:t>
      </w:r>
      <w:r w:rsidRPr="00AA7200">
        <w:rPr>
          <w:szCs w:val="24"/>
        </w:rPr>
        <w:t>1992/93:KU32) bl.a. vara att informera allmänh</w:t>
      </w:r>
      <w:r w:rsidRPr="00AA7200">
        <w:rPr>
          <w:szCs w:val="24"/>
        </w:rPr>
        <w:t>e</w:t>
      </w:r>
      <w:r w:rsidRPr="00AA7200">
        <w:rPr>
          <w:szCs w:val="24"/>
        </w:rPr>
        <w:t>ten om riksdagens beslut och dess beslutsfattare för att förbättra den demokr</w:t>
      </w:r>
      <w:r w:rsidRPr="00AA7200">
        <w:rPr>
          <w:szCs w:val="24"/>
        </w:rPr>
        <w:t>a</w:t>
      </w:r>
      <w:r w:rsidRPr="00AA7200">
        <w:rPr>
          <w:szCs w:val="24"/>
        </w:rPr>
        <w:t xml:space="preserve">tiska insynen i riksdagens arbete. </w:t>
      </w:r>
    </w:p>
    <w:p w:rsidR="00E73086" w:rsidRPr="00AA7200" w:rsidRDefault="00462C86" w:rsidP="00C74315">
      <w:pPr>
        <w:pStyle w:val="Normaltindrag"/>
      </w:pPr>
      <w:r w:rsidRPr="00AA7200">
        <w:t xml:space="preserve">Informationssystemet </w:t>
      </w:r>
      <w:r w:rsidR="00C74315" w:rsidRPr="00AA7200">
        <w:t>Rixlex finns inte längre kvar som ett sammanhän</w:t>
      </w:r>
      <w:r w:rsidR="00C74315" w:rsidRPr="00AA7200">
        <w:t>g</w:t>
      </w:r>
      <w:r w:rsidR="00C74315" w:rsidRPr="00AA7200">
        <w:t xml:space="preserve">ande informationssystem. </w:t>
      </w:r>
      <w:r w:rsidRPr="00AA7200">
        <w:t>De ändamål med personregistren som anges i ri</w:t>
      </w:r>
      <w:r w:rsidRPr="00AA7200">
        <w:t>x</w:t>
      </w:r>
      <w:r w:rsidRPr="00AA7200">
        <w:t>lexlagen tillgo</w:t>
      </w:r>
      <w:r w:rsidR="007214ED" w:rsidRPr="00AA7200">
        <w:t>doses numera genom</w:t>
      </w:r>
      <w:r w:rsidRPr="00AA7200">
        <w:t xml:space="preserve"> det s.k. P</w:t>
      </w:r>
      <w:r w:rsidR="007214ED" w:rsidRPr="00AA7200">
        <w:t>OPS</w:t>
      </w:r>
      <w:r w:rsidRPr="00AA7200">
        <w:t>-systemet. Behandlin</w:t>
      </w:r>
      <w:r w:rsidRPr="00AA7200">
        <w:t>g</w:t>
      </w:r>
      <w:r w:rsidRPr="00AA7200">
        <w:t>en av de personuppgifter som omnämns i rixlexlagen, och som n</w:t>
      </w:r>
      <w:r w:rsidRPr="00AA7200">
        <w:t>u</w:t>
      </w:r>
      <w:r w:rsidRPr="00AA7200">
        <w:t>mera finns i P</w:t>
      </w:r>
      <w:r w:rsidR="007214ED" w:rsidRPr="00AA7200">
        <w:t>OPS</w:t>
      </w:r>
      <w:r w:rsidRPr="00AA7200">
        <w:t xml:space="preserve">-systemet, sker med stöd av </w:t>
      </w:r>
      <w:r w:rsidR="00E73086" w:rsidRPr="00AA7200">
        <w:t>personuppgiftslagen (1998:204).</w:t>
      </w:r>
      <w:r w:rsidRPr="00AA7200">
        <w:t xml:space="preserve"> Bestä</w:t>
      </w:r>
      <w:r w:rsidRPr="00AA7200">
        <w:t>m</w:t>
      </w:r>
      <w:r w:rsidRPr="00AA7200">
        <w:t xml:space="preserve">melsen om direkt marknadsföring </w:t>
      </w:r>
      <w:r w:rsidR="00E73086" w:rsidRPr="00AA7200">
        <w:t>i rixlexlagen har en motsvarighet i perso</w:t>
      </w:r>
      <w:r w:rsidR="00E73086" w:rsidRPr="00AA7200">
        <w:t>n</w:t>
      </w:r>
      <w:r w:rsidR="00E73086" w:rsidRPr="00AA7200">
        <w:t>uppgift</w:t>
      </w:r>
      <w:r w:rsidR="00E73086" w:rsidRPr="00AA7200">
        <w:t>s</w:t>
      </w:r>
      <w:r w:rsidR="00E73086" w:rsidRPr="00AA7200">
        <w:t>lagen. P</w:t>
      </w:r>
      <w:r w:rsidR="007214ED" w:rsidRPr="00AA7200">
        <w:t>OPS</w:t>
      </w:r>
      <w:r w:rsidR="00E73086" w:rsidRPr="00AA7200">
        <w:t>-systemet har anmälts till förvaltningens förteckning över perso</w:t>
      </w:r>
      <w:r w:rsidR="00E73086" w:rsidRPr="00AA7200">
        <w:t>n</w:t>
      </w:r>
      <w:r w:rsidR="00E73086" w:rsidRPr="00AA7200">
        <w:t xml:space="preserve">uppgiftsbehandlingar. </w:t>
      </w:r>
    </w:p>
    <w:p w:rsidR="00C74315" w:rsidRPr="00AA7200" w:rsidRDefault="009C19C0" w:rsidP="00C74315">
      <w:pPr>
        <w:pStyle w:val="Normaltindrag"/>
      </w:pPr>
      <w:r w:rsidRPr="00AA7200">
        <w:t>Styrelsen kan således</w:t>
      </w:r>
      <w:r w:rsidR="00E73086" w:rsidRPr="00AA7200">
        <w:t xml:space="preserve"> konstatera att rixlexlagen mist sin aktualitet och bör upphävas.  </w:t>
      </w:r>
      <w:r w:rsidR="00462C86" w:rsidRPr="00AA7200">
        <w:t xml:space="preserve"> </w:t>
      </w:r>
    </w:p>
    <w:p w:rsidR="0057237B" w:rsidRPr="00AA7200" w:rsidRDefault="0057237B" w:rsidP="0057237B">
      <w:pPr>
        <w:pStyle w:val="Normaltindrag"/>
      </w:pPr>
    </w:p>
    <w:p w:rsidR="00DB4F93" w:rsidRPr="00AA7200" w:rsidRDefault="00DB4F93" w:rsidP="0057237B">
      <w:pPr>
        <w:pStyle w:val="Normaltindrag"/>
      </w:pPr>
    </w:p>
    <w:p w:rsidR="007D3971" w:rsidRPr="00AA7200" w:rsidRDefault="007D3971" w:rsidP="0057237B">
      <w:pPr>
        <w:pStyle w:val="Normaltindrag"/>
      </w:pPr>
    </w:p>
    <w:p w:rsidR="007D3971" w:rsidRPr="00AA7200" w:rsidRDefault="007D3971" w:rsidP="007D3971">
      <w:pPr>
        <w:pStyle w:val="Tryckort"/>
        <w:framePr w:wrap="around"/>
        <w:jc w:val="right"/>
      </w:pPr>
      <w:r w:rsidRPr="00AA7200">
        <w:t>Elanders Gotab, Stockholm  2012</w:t>
      </w:r>
    </w:p>
    <w:p w:rsidR="00DB4F93" w:rsidRPr="00AA7200" w:rsidRDefault="00DB4F93" w:rsidP="0057237B">
      <w:pPr>
        <w:pStyle w:val="Normaltindrag"/>
      </w:pPr>
    </w:p>
    <w:sectPr w:rsidR="00DB4F93" w:rsidRPr="00AA7200">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603B" w:rsidRPr="00AA7200" w:rsidRDefault="009A603B">
      <w:r w:rsidRPr="00AA7200">
        <w:separator/>
      </w:r>
    </w:p>
  </w:endnote>
  <w:endnote w:type="continuationSeparator" w:id="0">
    <w:p w:rsidR="009A603B" w:rsidRPr="00AA7200" w:rsidRDefault="009A603B">
      <w:r w:rsidRPr="00AA72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121" w:rsidRPr="00AA7200" w:rsidRDefault="00313121">
    <w:pPr>
      <w:pStyle w:val="SidfotV"/>
      <w:framePr w:w="8732" w:h="284" w:hRule="exact" w:hSpace="0" w:vSpace="0" w:wrap="around" w:xAlign="inside" w:y="13042" w:anchorLock="0"/>
    </w:pPr>
    <w:r w:rsidRPr="00AA7200">
      <w:fldChar w:fldCharType="begin" w:fldLock="1"/>
    </w:r>
    <w:r w:rsidRPr="00AA7200">
      <w:instrText xml:space="preserve"> P</w:instrText>
    </w:r>
    <w:r w:rsidRPr="00AA7200">
      <w:instrText>A</w:instrText>
    </w:r>
    <w:r w:rsidRPr="00AA7200">
      <w:instrText xml:space="preserve">GE </w:instrText>
    </w:r>
    <w:r w:rsidRPr="00AA7200">
      <w:fldChar w:fldCharType="separate"/>
    </w:r>
    <w:r w:rsidRPr="00AA7200">
      <w:t>2</w:t>
    </w:r>
    <w:r w:rsidRPr="00AA7200">
      <w:fldChar w:fldCharType="end"/>
    </w:r>
  </w:p>
  <w:p w:rsidR="00313121" w:rsidRPr="00AA7200" w:rsidRDefault="0031312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121" w:rsidRPr="00AA7200" w:rsidRDefault="00313121" w:rsidP="00012EBD">
    <w:pPr>
      <w:pStyle w:val="SidfotV"/>
      <w:framePr w:w="8957" w:h="283" w:hRule="exact" w:hSpace="0" w:vSpace="0" w:wrap="around" w:xAlign="inside" w:y="13040" w:anchorLock="0"/>
    </w:pPr>
    <w:r w:rsidRPr="00AA7200">
      <w:fldChar w:fldCharType="begin" w:fldLock="1"/>
    </w:r>
    <w:r w:rsidRPr="00AA7200">
      <w:instrText xml:space="preserve"> P</w:instrText>
    </w:r>
    <w:r w:rsidRPr="00AA7200">
      <w:instrText>A</w:instrText>
    </w:r>
    <w:r w:rsidRPr="00AA7200">
      <w:instrText xml:space="preserve">GE </w:instrText>
    </w:r>
    <w:r w:rsidRPr="00AA7200">
      <w:fldChar w:fldCharType="separate"/>
    </w:r>
    <w:r w:rsidR="00831B77" w:rsidRPr="00AA7200">
      <w:t>10</w:t>
    </w:r>
    <w:r w:rsidRPr="00AA7200">
      <w:fldChar w:fldCharType="end"/>
    </w:r>
  </w:p>
  <w:p w:rsidR="00313121" w:rsidRPr="00AA7200" w:rsidRDefault="0031312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121" w:rsidRPr="00AA7200" w:rsidRDefault="00313121" w:rsidP="00012EBD">
    <w:pPr>
      <w:pStyle w:val="SidfotH"/>
      <w:framePr w:w="8957" w:h="283" w:hRule="exact" w:hSpace="0" w:vSpace="0" w:wrap="around" w:xAlign="inside" w:y="13040" w:anchorLock="0"/>
    </w:pPr>
    <w:r w:rsidRPr="00AA7200">
      <w:fldChar w:fldCharType="begin" w:fldLock="1"/>
    </w:r>
    <w:r w:rsidRPr="00AA7200">
      <w:instrText xml:space="preserve"> P</w:instrText>
    </w:r>
    <w:r w:rsidRPr="00AA7200">
      <w:instrText>A</w:instrText>
    </w:r>
    <w:r w:rsidRPr="00AA7200">
      <w:instrText xml:space="preserve">GE </w:instrText>
    </w:r>
    <w:r w:rsidRPr="00AA7200">
      <w:fldChar w:fldCharType="separate"/>
    </w:r>
    <w:r w:rsidR="00831B77" w:rsidRPr="00AA7200">
      <w:t>9</w:t>
    </w:r>
    <w:r w:rsidRPr="00AA7200">
      <w:fldChar w:fldCharType="end"/>
    </w:r>
  </w:p>
  <w:p w:rsidR="00313121" w:rsidRPr="00AA7200" w:rsidRDefault="0031312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121" w:rsidRPr="00AA7200" w:rsidRDefault="00313121" w:rsidP="00012EBD">
    <w:pPr>
      <w:pStyle w:val="SidfotV"/>
      <w:framePr w:w="8957" w:h="283" w:hRule="exact" w:hSpace="0" w:vSpace="0" w:wrap="around" w:xAlign="inside" w:y="13040" w:anchorLock="0"/>
    </w:pPr>
    <w:r w:rsidRPr="00AA7200">
      <w:fldChar w:fldCharType="begin" w:fldLock="1"/>
    </w:r>
    <w:r w:rsidRPr="00AA7200">
      <w:instrText xml:space="preserve"> if </w:instrText>
    </w:r>
    <w:r w:rsidRPr="00AA7200">
      <w:fldChar w:fldCharType="begin" w:fldLock="1"/>
    </w:r>
    <w:r w:rsidRPr="00AA7200">
      <w:instrText xml:space="preserve"> = </w:instrText>
    </w:r>
    <w:r w:rsidRPr="00AA7200">
      <w:fldChar w:fldCharType="begin" w:fldLock="1"/>
    </w:r>
    <w:r w:rsidRPr="00AA7200">
      <w:instrText xml:space="preserve"> = </w:instrText>
    </w:r>
    <w:r w:rsidRPr="00AA7200">
      <w:fldChar w:fldCharType="begin" w:fldLock="1"/>
    </w:r>
    <w:r w:rsidRPr="00AA7200">
      <w:instrText xml:space="preserve"> page</w:instrText>
    </w:r>
    <w:r w:rsidRPr="00AA7200">
      <w:fldChar w:fldCharType="separate"/>
    </w:r>
    <w:r w:rsidR="00831B77" w:rsidRPr="00AA7200">
      <w:instrText>4</w:instrText>
    </w:r>
    <w:r w:rsidRPr="00AA7200">
      <w:fldChar w:fldCharType="end"/>
    </w:r>
    <w:r w:rsidRPr="00AA7200">
      <w:instrText xml:space="preserve">/2 </w:instrText>
    </w:r>
    <w:r w:rsidRPr="00AA7200">
      <w:fldChar w:fldCharType="separate"/>
    </w:r>
    <w:r w:rsidR="00831B77" w:rsidRPr="00AA7200">
      <w:instrText>2</w:instrText>
    </w:r>
    <w:r w:rsidRPr="00AA7200">
      <w:fldChar w:fldCharType="end"/>
    </w:r>
    <w:r w:rsidRPr="00AA7200">
      <w:instrText xml:space="preserve"> - </w:instrText>
    </w:r>
    <w:r w:rsidRPr="00AA7200">
      <w:fldChar w:fldCharType="begin" w:fldLock="1"/>
    </w:r>
    <w:r w:rsidRPr="00AA7200">
      <w:instrText xml:space="preserve"> = int(</w:instrText>
    </w:r>
    <w:r w:rsidRPr="00AA7200">
      <w:fldChar w:fldCharType="begin" w:fldLock="1"/>
    </w:r>
    <w:r w:rsidRPr="00AA7200">
      <w:instrText xml:space="preserve"> page</w:instrText>
    </w:r>
    <w:r w:rsidRPr="00AA7200">
      <w:fldChar w:fldCharType="separate"/>
    </w:r>
    <w:r w:rsidR="00831B77" w:rsidRPr="00AA7200">
      <w:instrText>4</w:instrText>
    </w:r>
    <w:r w:rsidRPr="00AA7200">
      <w:fldChar w:fldCharType="end"/>
    </w:r>
    <w:r w:rsidRPr="00AA7200">
      <w:instrText xml:space="preserve">/2) </w:instrText>
    </w:r>
    <w:r w:rsidRPr="00AA7200">
      <w:fldChar w:fldCharType="separate"/>
    </w:r>
    <w:r w:rsidR="00831B77" w:rsidRPr="00AA7200">
      <w:instrText>2</w:instrText>
    </w:r>
    <w:r w:rsidRPr="00AA7200">
      <w:fldChar w:fldCharType="end"/>
    </w:r>
    <w:r w:rsidRPr="00AA7200">
      <w:fldChar w:fldCharType="separate"/>
    </w:r>
    <w:r w:rsidR="00831B77" w:rsidRPr="00AA7200">
      <w:instrText>0</w:instrText>
    </w:r>
    <w:r w:rsidRPr="00AA7200">
      <w:fldChar w:fldCharType="end"/>
    </w:r>
    <w:r w:rsidRPr="00AA7200">
      <w:instrText xml:space="preserve"> = 0 "</w:instrText>
    </w:r>
    <w:r w:rsidRPr="00AA7200">
      <w:fldChar w:fldCharType="begin" w:fldLock="1"/>
    </w:r>
    <w:r w:rsidRPr="00AA7200">
      <w:instrText xml:space="preserve"> P</w:instrText>
    </w:r>
    <w:r w:rsidRPr="00AA7200">
      <w:instrText>A</w:instrText>
    </w:r>
    <w:r w:rsidRPr="00AA7200">
      <w:instrText xml:space="preserve">GE </w:instrText>
    </w:r>
    <w:r w:rsidRPr="00AA7200">
      <w:fldChar w:fldCharType="separate"/>
    </w:r>
    <w:r w:rsidR="00831B77" w:rsidRPr="00AA7200">
      <w:instrText>4</w:instrText>
    </w:r>
    <w:r w:rsidRPr="00AA7200">
      <w:fldChar w:fldCharType="end"/>
    </w:r>
  </w:p>
  <w:p w:rsidR="00831B77" w:rsidRPr="00AA7200" w:rsidRDefault="00313121" w:rsidP="00012EBD">
    <w:pPr>
      <w:pStyle w:val="SidfotV"/>
      <w:framePr w:w="8957" w:h="283" w:hRule="exact" w:hSpace="0" w:vSpace="0" w:wrap="around" w:xAlign="inside" w:y="13040" w:anchorLock="0"/>
    </w:pPr>
    <w:r w:rsidRPr="00AA7200">
      <w:instrText>""</w:instrText>
    </w:r>
    <w:r w:rsidRPr="00AA7200">
      <w:fldChar w:fldCharType="begin" w:fldLock="1"/>
    </w:r>
    <w:r w:rsidRPr="00AA7200">
      <w:instrText xml:space="preserve"> P</w:instrText>
    </w:r>
    <w:r w:rsidRPr="00AA7200">
      <w:instrText>A</w:instrText>
    </w:r>
    <w:r w:rsidRPr="00AA7200">
      <w:instrText xml:space="preserve">GE </w:instrText>
    </w:r>
    <w:r w:rsidRPr="00AA7200">
      <w:fldChar w:fldCharType="separate"/>
    </w:r>
    <w:r w:rsidRPr="00AA7200">
      <w:instrText>11</w:instrText>
    </w:r>
    <w:r w:rsidRPr="00AA7200">
      <w:fldChar w:fldCharType="end"/>
    </w:r>
    <w:r w:rsidRPr="00AA7200">
      <w:instrText>"</w:instrText>
    </w:r>
    <w:r w:rsidRPr="00AA7200">
      <w:fldChar w:fldCharType="separate"/>
    </w:r>
    <w:r w:rsidR="00831B77" w:rsidRPr="00AA7200">
      <w:t>4</w:t>
    </w:r>
  </w:p>
  <w:p w:rsidR="00313121" w:rsidRPr="00AA7200" w:rsidRDefault="00313121" w:rsidP="00012EBD">
    <w:pPr>
      <w:pStyle w:val="SidfotH"/>
      <w:framePr w:w="8957" w:h="283" w:hRule="exact" w:hSpace="0" w:vSpace="0" w:wrap="around" w:xAlign="inside" w:y="13040" w:anchorLock="0"/>
    </w:pPr>
    <w:r w:rsidRPr="00AA7200">
      <w:fldChar w:fldCharType="end"/>
    </w:r>
  </w:p>
  <w:p w:rsidR="00313121" w:rsidRPr="00AA7200" w:rsidRDefault="0031312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121" w:rsidRPr="00AA7200" w:rsidRDefault="00313121">
    <w:pPr>
      <w:pStyle w:val="SidfotV"/>
      <w:framePr w:w="8732" w:h="284" w:hRule="exact" w:hSpace="0" w:vSpace="0" w:wrap="around" w:xAlign="inside" w:y="13042" w:anchorLock="0"/>
    </w:pPr>
    <w:r w:rsidRPr="00AA7200">
      <w:fldChar w:fldCharType="begin" w:fldLock="1"/>
    </w:r>
    <w:r w:rsidRPr="00AA7200">
      <w:instrText xml:space="preserve"> P</w:instrText>
    </w:r>
    <w:r w:rsidRPr="00AA7200">
      <w:instrText>A</w:instrText>
    </w:r>
    <w:r w:rsidRPr="00AA7200">
      <w:instrText xml:space="preserve">GE </w:instrText>
    </w:r>
    <w:r w:rsidRPr="00AA7200">
      <w:fldChar w:fldCharType="separate"/>
    </w:r>
    <w:r w:rsidRPr="00AA7200">
      <w:t>12</w:t>
    </w:r>
    <w:r w:rsidRPr="00AA7200">
      <w:fldChar w:fldCharType="end"/>
    </w:r>
  </w:p>
  <w:p w:rsidR="00313121" w:rsidRPr="00AA7200" w:rsidRDefault="0031312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121" w:rsidRPr="00AA7200" w:rsidRDefault="00313121">
    <w:pPr>
      <w:pStyle w:val="SidfotH"/>
      <w:framePr w:w="8732" w:h="284" w:hRule="exact" w:hSpace="0" w:vSpace="0" w:wrap="around" w:xAlign="inside" w:y="13042" w:anchorLock="0"/>
    </w:pPr>
    <w:r w:rsidRPr="00AA7200">
      <w:fldChar w:fldCharType="begin" w:fldLock="1"/>
    </w:r>
    <w:r w:rsidRPr="00AA7200">
      <w:instrText xml:space="preserve"> P</w:instrText>
    </w:r>
    <w:r w:rsidRPr="00AA7200">
      <w:instrText>A</w:instrText>
    </w:r>
    <w:r w:rsidRPr="00AA7200">
      <w:instrText xml:space="preserve">GE </w:instrText>
    </w:r>
    <w:r w:rsidRPr="00AA7200">
      <w:fldChar w:fldCharType="separate"/>
    </w:r>
    <w:r w:rsidRPr="00AA7200">
      <w:t>11</w:t>
    </w:r>
    <w:r w:rsidRPr="00AA7200">
      <w:fldChar w:fldCharType="end"/>
    </w:r>
  </w:p>
  <w:p w:rsidR="00313121" w:rsidRPr="00AA7200" w:rsidRDefault="0031312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121" w:rsidRPr="00AA7200" w:rsidRDefault="00313121">
    <w:pPr>
      <w:pStyle w:val="SidfotV"/>
      <w:framePr w:w="8732" w:h="284" w:hRule="exact" w:hSpace="0" w:vSpace="0" w:wrap="around" w:xAlign="inside" w:y="13042" w:anchorLock="0"/>
    </w:pPr>
    <w:r w:rsidRPr="00AA7200">
      <w:fldChar w:fldCharType="begin" w:fldLock="1"/>
    </w:r>
    <w:r w:rsidRPr="00AA7200">
      <w:instrText xml:space="preserve"> if </w:instrText>
    </w:r>
    <w:r w:rsidRPr="00AA7200">
      <w:fldChar w:fldCharType="begin" w:fldLock="1"/>
    </w:r>
    <w:r w:rsidRPr="00AA7200">
      <w:instrText xml:space="preserve"> = </w:instrText>
    </w:r>
    <w:r w:rsidRPr="00AA7200">
      <w:fldChar w:fldCharType="begin" w:fldLock="1"/>
    </w:r>
    <w:r w:rsidRPr="00AA7200">
      <w:instrText xml:space="preserve"> = </w:instrText>
    </w:r>
    <w:r w:rsidRPr="00AA7200">
      <w:fldChar w:fldCharType="begin" w:fldLock="1"/>
    </w:r>
    <w:r w:rsidRPr="00AA7200">
      <w:instrText xml:space="preserve"> page</w:instrText>
    </w:r>
    <w:r w:rsidRPr="00AA7200">
      <w:fldChar w:fldCharType="separate"/>
    </w:r>
    <w:r w:rsidR="00831B77" w:rsidRPr="00AA7200">
      <w:instrText>11</w:instrText>
    </w:r>
    <w:r w:rsidRPr="00AA7200">
      <w:fldChar w:fldCharType="end"/>
    </w:r>
    <w:r w:rsidRPr="00AA7200">
      <w:instrText xml:space="preserve">/2 </w:instrText>
    </w:r>
    <w:r w:rsidRPr="00AA7200">
      <w:fldChar w:fldCharType="separate"/>
    </w:r>
    <w:r w:rsidR="00831B77" w:rsidRPr="00AA7200">
      <w:instrText>5,5</w:instrText>
    </w:r>
    <w:r w:rsidRPr="00AA7200">
      <w:fldChar w:fldCharType="end"/>
    </w:r>
    <w:r w:rsidRPr="00AA7200">
      <w:instrText xml:space="preserve"> - </w:instrText>
    </w:r>
    <w:r w:rsidRPr="00AA7200">
      <w:fldChar w:fldCharType="begin" w:fldLock="1"/>
    </w:r>
    <w:r w:rsidRPr="00AA7200">
      <w:instrText xml:space="preserve"> = int(</w:instrText>
    </w:r>
    <w:r w:rsidRPr="00AA7200">
      <w:fldChar w:fldCharType="begin" w:fldLock="1"/>
    </w:r>
    <w:r w:rsidRPr="00AA7200">
      <w:instrText xml:space="preserve"> page</w:instrText>
    </w:r>
    <w:r w:rsidRPr="00AA7200">
      <w:fldChar w:fldCharType="separate"/>
    </w:r>
    <w:r w:rsidR="00831B77" w:rsidRPr="00AA7200">
      <w:instrText>11</w:instrText>
    </w:r>
    <w:r w:rsidRPr="00AA7200">
      <w:fldChar w:fldCharType="end"/>
    </w:r>
    <w:r w:rsidRPr="00AA7200">
      <w:instrText xml:space="preserve">/2) </w:instrText>
    </w:r>
    <w:r w:rsidRPr="00AA7200">
      <w:fldChar w:fldCharType="separate"/>
    </w:r>
    <w:r w:rsidR="00831B77" w:rsidRPr="00AA7200">
      <w:instrText>5</w:instrText>
    </w:r>
    <w:r w:rsidRPr="00AA7200">
      <w:fldChar w:fldCharType="end"/>
    </w:r>
    <w:r w:rsidRPr="00AA7200">
      <w:fldChar w:fldCharType="separate"/>
    </w:r>
    <w:r w:rsidR="00831B77" w:rsidRPr="00AA7200">
      <w:instrText>0,5</w:instrText>
    </w:r>
    <w:r w:rsidRPr="00AA7200">
      <w:fldChar w:fldCharType="end"/>
    </w:r>
    <w:r w:rsidRPr="00AA7200">
      <w:instrText xml:space="preserve"> = 0 "</w:instrText>
    </w:r>
    <w:r w:rsidRPr="00AA7200">
      <w:fldChar w:fldCharType="begin" w:fldLock="1"/>
    </w:r>
    <w:r w:rsidRPr="00AA7200">
      <w:instrText xml:space="preserve"> P</w:instrText>
    </w:r>
    <w:r w:rsidRPr="00AA7200">
      <w:instrText>A</w:instrText>
    </w:r>
    <w:r w:rsidRPr="00AA7200">
      <w:instrText xml:space="preserve">GE </w:instrText>
    </w:r>
    <w:r w:rsidRPr="00AA7200">
      <w:fldChar w:fldCharType="separate"/>
    </w:r>
    <w:r w:rsidRPr="00AA7200">
      <w:instrText>10</w:instrText>
    </w:r>
    <w:r w:rsidRPr="00AA7200">
      <w:fldChar w:fldCharType="end"/>
    </w:r>
  </w:p>
  <w:p w:rsidR="00313121" w:rsidRPr="00AA7200" w:rsidRDefault="00313121">
    <w:pPr>
      <w:pStyle w:val="SidfotH"/>
      <w:framePr w:w="8732" w:h="284" w:hRule="exact" w:hSpace="0" w:vSpace="0" w:wrap="around" w:xAlign="inside" w:y="13042" w:anchorLock="0"/>
    </w:pPr>
    <w:r w:rsidRPr="00AA7200">
      <w:instrText>""</w:instrText>
    </w:r>
    <w:r w:rsidRPr="00AA7200">
      <w:fldChar w:fldCharType="begin" w:fldLock="1"/>
    </w:r>
    <w:r w:rsidRPr="00AA7200">
      <w:instrText xml:space="preserve"> P</w:instrText>
    </w:r>
    <w:r w:rsidRPr="00AA7200">
      <w:instrText>A</w:instrText>
    </w:r>
    <w:r w:rsidRPr="00AA7200">
      <w:instrText xml:space="preserve">GE </w:instrText>
    </w:r>
    <w:r w:rsidRPr="00AA7200">
      <w:fldChar w:fldCharType="separate"/>
    </w:r>
    <w:r w:rsidR="00831B77" w:rsidRPr="00AA7200">
      <w:instrText>11</w:instrText>
    </w:r>
    <w:r w:rsidRPr="00AA7200">
      <w:fldChar w:fldCharType="end"/>
    </w:r>
    <w:r w:rsidRPr="00AA7200">
      <w:instrText>"</w:instrText>
    </w:r>
    <w:r w:rsidRPr="00AA7200">
      <w:fldChar w:fldCharType="separate"/>
    </w:r>
    <w:r w:rsidR="00831B77" w:rsidRPr="00AA7200">
      <w:t>11</w:t>
    </w:r>
    <w:r w:rsidRPr="00AA7200">
      <w:fldChar w:fldCharType="end"/>
    </w:r>
  </w:p>
  <w:p w:rsidR="00313121" w:rsidRPr="00AA7200" w:rsidRDefault="00313121">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121" w:rsidRPr="00AA7200" w:rsidRDefault="00313121">
    <w:pPr>
      <w:pStyle w:val="SidfotV"/>
      <w:framePr w:w="8732" w:h="284" w:hRule="exact" w:hSpace="0" w:vSpace="0" w:wrap="around" w:xAlign="inside" w:y="13042" w:anchorLock="0"/>
    </w:pPr>
    <w:r w:rsidRPr="00AA7200">
      <w:fldChar w:fldCharType="begin" w:fldLock="1"/>
    </w:r>
    <w:r w:rsidRPr="00AA7200">
      <w:instrText xml:space="preserve"> P</w:instrText>
    </w:r>
    <w:r w:rsidRPr="00AA7200">
      <w:instrText>A</w:instrText>
    </w:r>
    <w:r w:rsidRPr="00AA7200">
      <w:instrText xml:space="preserve">GE </w:instrText>
    </w:r>
    <w:r w:rsidRPr="00AA7200">
      <w:fldChar w:fldCharType="separate"/>
    </w:r>
    <w:r w:rsidR="00831B77" w:rsidRPr="00AA7200">
      <w:t>16</w:t>
    </w:r>
    <w:r w:rsidRPr="00AA7200">
      <w:fldChar w:fldCharType="end"/>
    </w:r>
  </w:p>
  <w:p w:rsidR="00313121" w:rsidRPr="00AA7200" w:rsidRDefault="00313121">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121" w:rsidRPr="00AA7200" w:rsidRDefault="00313121">
    <w:pPr>
      <w:pStyle w:val="SidfotH"/>
      <w:framePr w:w="8732" w:h="284" w:hRule="exact" w:hSpace="0" w:vSpace="0" w:wrap="around" w:xAlign="inside" w:y="13042" w:anchorLock="0"/>
    </w:pPr>
    <w:r w:rsidRPr="00AA7200">
      <w:fldChar w:fldCharType="begin" w:fldLock="1"/>
    </w:r>
    <w:r w:rsidRPr="00AA7200">
      <w:instrText xml:space="preserve"> P</w:instrText>
    </w:r>
    <w:r w:rsidRPr="00AA7200">
      <w:instrText>A</w:instrText>
    </w:r>
    <w:r w:rsidRPr="00AA7200">
      <w:instrText xml:space="preserve">GE </w:instrText>
    </w:r>
    <w:r w:rsidRPr="00AA7200">
      <w:fldChar w:fldCharType="separate"/>
    </w:r>
    <w:r w:rsidR="00831B77" w:rsidRPr="00AA7200">
      <w:t>15</w:t>
    </w:r>
    <w:r w:rsidRPr="00AA7200">
      <w:fldChar w:fldCharType="end"/>
    </w:r>
  </w:p>
  <w:p w:rsidR="00313121" w:rsidRPr="00AA7200" w:rsidRDefault="00313121">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121" w:rsidRPr="00AA7200" w:rsidRDefault="00313121">
    <w:pPr>
      <w:pStyle w:val="SidfotV"/>
      <w:framePr w:w="8732" w:h="284" w:hRule="exact" w:hSpace="0" w:vSpace="0" w:wrap="around" w:xAlign="inside" w:y="13042" w:anchorLock="0"/>
    </w:pPr>
    <w:r w:rsidRPr="00AA7200">
      <w:fldChar w:fldCharType="begin" w:fldLock="1"/>
    </w:r>
    <w:r w:rsidRPr="00AA7200">
      <w:instrText xml:space="preserve"> if </w:instrText>
    </w:r>
    <w:r w:rsidRPr="00AA7200">
      <w:fldChar w:fldCharType="begin" w:fldLock="1"/>
    </w:r>
    <w:r w:rsidRPr="00AA7200">
      <w:instrText xml:space="preserve"> = </w:instrText>
    </w:r>
    <w:r w:rsidRPr="00AA7200">
      <w:fldChar w:fldCharType="begin" w:fldLock="1"/>
    </w:r>
    <w:r w:rsidRPr="00AA7200">
      <w:instrText xml:space="preserve"> = </w:instrText>
    </w:r>
    <w:r w:rsidRPr="00AA7200">
      <w:fldChar w:fldCharType="begin" w:fldLock="1"/>
    </w:r>
    <w:r w:rsidRPr="00AA7200">
      <w:instrText xml:space="preserve"> page</w:instrText>
    </w:r>
    <w:r w:rsidRPr="00AA7200">
      <w:fldChar w:fldCharType="separate"/>
    </w:r>
    <w:r w:rsidR="00831B77" w:rsidRPr="00AA7200">
      <w:instrText>12</w:instrText>
    </w:r>
    <w:r w:rsidRPr="00AA7200">
      <w:fldChar w:fldCharType="end"/>
    </w:r>
    <w:r w:rsidRPr="00AA7200">
      <w:instrText xml:space="preserve">/2 </w:instrText>
    </w:r>
    <w:r w:rsidRPr="00AA7200">
      <w:fldChar w:fldCharType="separate"/>
    </w:r>
    <w:r w:rsidR="00831B77" w:rsidRPr="00AA7200">
      <w:instrText>6</w:instrText>
    </w:r>
    <w:r w:rsidRPr="00AA7200">
      <w:fldChar w:fldCharType="end"/>
    </w:r>
    <w:r w:rsidRPr="00AA7200">
      <w:instrText xml:space="preserve"> - </w:instrText>
    </w:r>
    <w:r w:rsidRPr="00AA7200">
      <w:fldChar w:fldCharType="begin" w:fldLock="1"/>
    </w:r>
    <w:r w:rsidRPr="00AA7200">
      <w:instrText xml:space="preserve"> = int(</w:instrText>
    </w:r>
    <w:r w:rsidRPr="00AA7200">
      <w:fldChar w:fldCharType="begin" w:fldLock="1"/>
    </w:r>
    <w:r w:rsidRPr="00AA7200">
      <w:instrText xml:space="preserve"> page</w:instrText>
    </w:r>
    <w:r w:rsidRPr="00AA7200">
      <w:fldChar w:fldCharType="separate"/>
    </w:r>
    <w:r w:rsidR="00831B77" w:rsidRPr="00AA7200">
      <w:instrText>12</w:instrText>
    </w:r>
    <w:r w:rsidRPr="00AA7200">
      <w:fldChar w:fldCharType="end"/>
    </w:r>
    <w:r w:rsidRPr="00AA7200">
      <w:instrText xml:space="preserve">/2) </w:instrText>
    </w:r>
    <w:r w:rsidRPr="00AA7200">
      <w:fldChar w:fldCharType="separate"/>
    </w:r>
    <w:r w:rsidR="00831B77" w:rsidRPr="00AA7200">
      <w:instrText>6</w:instrText>
    </w:r>
    <w:r w:rsidRPr="00AA7200">
      <w:fldChar w:fldCharType="end"/>
    </w:r>
    <w:r w:rsidRPr="00AA7200">
      <w:fldChar w:fldCharType="separate"/>
    </w:r>
    <w:r w:rsidR="00831B77" w:rsidRPr="00AA7200">
      <w:instrText>0</w:instrText>
    </w:r>
    <w:r w:rsidRPr="00AA7200">
      <w:fldChar w:fldCharType="end"/>
    </w:r>
    <w:r w:rsidRPr="00AA7200">
      <w:instrText xml:space="preserve"> = 0 "</w:instrText>
    </w:r>
    <w:r w:rsidRPr="00AA7200">
      <w:fldChar w:fldCharType="begin" w:fldLock="1"/>
    </w:r>
    <w:r w:rsidRPr="00AA7200">
      <w:instrText xml:space="preserve"> P</w:instrText>
    </w:r>
    <w:r w:rsidRPr="00AA7200">
      <w:instrText>A</w:instrText>
    </w:r>
    <w:r w:rsidRPr="00AA7200">
      <w:instrText xml:space="preserve">GE </w:instrText>
    </w:r>
    <w:r w:rsidRPr="00AA7200">
      <w:fldChar w:fldCharType="separate"/>
    </w:r>
    <w:r w:rsidR="00831B77" w:rsidRPr="00AA7200">
      <w:instrText>12</w:instrText>
    </w:r>
    <w:r w:rsidRPr="00AA7200">
      <w:fldChar w:fldCharType="end"/>
    </w:r>
  </w:p>
  <w:p w:rsidR="00831B77" w:rsidRPr="00AA7200" w:rsidRDefault="00313121">
    <w:pPr>
      <w:pStyle w:val="SidfotV"/>
      <w:framePr w:w="8732" w:h="284" w:hRule="exact" w:hSpace="0" w:vSpace="0" w:wrap="around" w:xAlign="inside" w:y="13042" w:anchorLock="0"/>
    </w:pPr>
    <w:r w:rsidRPr="00AA7200">
      <w:instrText>""</w:instrText>
    </w:r>
    <w:r w:rsidRPr="00AA7200">
      <w:fldChar w:fldCharType="begin" w:fldLock="1"/>
    </w:r>
    <w:r w:rsidRPr="00AA7200">
      <w:instrText xml:space="preserve"> P</w:instrText>
    </w:r>
    <w:r w:rsidRPr="00AA7200">
      <w:instrText>A</w:instrText>
    </w:r>
    <w:r w:rsidRPr="00AA7200">
      <w:instrText xml:space="preserve">GE </w:instrText>
    </w:r>
    <w:r w:rsidRPr="00AA7200">
      <w:fldChar w:fldCharType="separate"/>
    </w:r>
    <w:r w:rsidRPr="00AA7200">
      <w:instrText>11</w:instrText>
    </w:r>
    <w:r w:rsidRPr="00AA7200">
      <w:fldChar w:fldCharType="end"/>
    </w:r>
    <w:r w:rsidRPr="00AA7200">
      <w:instrText>"</w:instrText>
    </w:r>
    <w:r w:rsidRPr="00AA7200">
      <w:fldChar w:fldCharType="separate"/>
    </w:r>
    <w:r w:rsidR="00831B77" w:rsidRPr="00AA7200">
      <w:t>12</w:t>
    </w:r>
  </w:p>
  <w:p w:rsidR="00313121" w:rsidRPr="00AA7200" w:rsidRDefault="00313121">
    <w:pPr>
      <w:pStyle w:val="SidfotH"/>
      <w:framePr w:w="8732" w:h="284" w:hRule="exact" w:hSpace="0" w:vSpace="0" w:wrap="around" w:xAlign="inside" w:y="13042" w:anchorLock="0"/>
    </w:pPr>
    <w:r w:rsidRPr="00AA7200">
      <w:fldChar w:fldCharType="end"/>
    </w:r>
  </w:p>
  <w:p w:rsidR="00313121" w:rsidRPr="00AA7200" w:rsidRDefault="0031312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121" w:rsidRPr="00AA7200" w:rsidRDefault="00313121">
    <w:pPr>
      <w:pStyle w:val="SidfotH"/>
      <w:framePr w:w="8732" w:h="284" w:hRule="exact" w:hSpace="0" w:vSpace="0" w:wrap="around" w:xAlign="inside" w:y="13042" w:anchorLock="0"/>
    </w:pPr>
    <w:r w:rsidRPr="00AA7200">
      <w:fldChar w:fldCharType="begin" w:fldLock="1"/>
    </w:r>
    <w:r w:rsidRPr="00AA7200">
      <w:instrText xml:space="preserve"> P</w:instrText>
    </w:r>
    <w:r w:rsidRPr="00AA7200">
      <w:instrText>A</w:instrText>
    </w:r>
    <w:r w:rsidRPr="00AA7200">
      <w:instrText xml:space="preserve">GE </w:instrText>
    </w:r>
    <w:r w:rsidRPr="00AA7200">
      <w:fldChar w:fldCharType="separate"/>
    </w:r>
    <w:r w:rsidRPr="00AA7200">
      <w:t>3</w:t>
    </w:r>
    <w:r w:rsidRPr="00AA7200">
      <w:fldChar w:fldCharType="end"/>
    </w:r>
  </w:p>
  <w:p w:rsidR="00313121" w:rsidRPr="00AA7200" w:rsidRDefault="0031312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121" w:rsidRPr="00AA7200" w:rsidRDefault="00313121">
    <w:pPr>
      <w:pStyle w:val="SidfotV"/>
      <w:framePr w:w="8732" w:h="284" w:hRule="exact" w:hSpace="0" w:vSpace="0" w:wrap="around" w:xAlign="inside" w:y="13042" w:anchorLock="0"/>
    </w:pPr>
    <w:r w:rsidRPr="00AA7200">
      <w:fldChar w:fldCharType="begin" w:fldLock="1"/>
    </w:r>
    <w:r w:rsidRPr="00AA7200">
      <w:instrText xml:space="preserve"> if </w:instrText>
    </w:r>
    <w:r w:rsidRPr="00AA7200">
      <w:fldChar w:fldCharType="begin" w:fldLock="1"/>
    </w:r>
    <w:r w:rsidRPr="00AA7200">
      <w:instrText xml:space="preserve"> = </w:instrText>
    </w:r>
    <w:r w:rsidRPr="00AA7200">
      <w:fldChar w:fldCharType="begin" w:fldLock="1"/>
    </w:r>
    <w:r w:rsidRPr="00AA7200">
      <w:instrText xml:space="preserve"> = </w:instrText>
    </w:r>
    <w:r w:rsidRPr="00AA7200">
      <w:fldChar w:fldCharType="begin" w:fldLock="1"/>
    </w:r>
    <w:r w:rsidRPr="00AA7200">
      <w:instrText xml:space="preserve"> page</w:instrText>
    </w:r>
    <w:r w:rsidRPr="00AA7200">
      <w:fldChar w:fldCharType="separate"/>
    </w:r>
    <w:r w:rsidR="00AA7200">
      <w:rPr>
        <w:noProof/>
      </w:rPr>
      <w:instrText>1</w:instrText>
    </w:r>
    <w:r w:rsidRPr="00AA7200">
      <w:fldChar w:fldCharType="end"/>
    </w:r>
    <w:r w:rsidRPr="00AA7200">
      <w:instrText xml:space="preserve">/2 </w:instrText>
    </w:r>
    <w:r w:rsidRPr="00AA7200">
      <w:fldChar w:fldCharType="separate"/>
    </w:r>
    <w:r w:rsidR="00AA7200">
      <w:rPr>
        <w:noProof/>
      </w:rPr>
      <w:instrText>0,5</w:instrText>
    </w:r>
    <w:r w:rsidRPr="00AA7200">
      <w:fldChar w:fldCharType="end"/>
    </w:r>
    <w:r w:rsidRPr="00AA7200">
      <w:instrText xml:space="preserve"> - </w:instrText>
    </w:r>
    <w:r w:rsidRPr="00AA7200">
      <w:fldChar w:fldCharType="begin" w:fldLock="1"/>
    </w:r>
    <w:r w:rsidRPr="00AA7200">
      <w:instrText xml:space="preserve"> = int(</w:instrText>
    </w:r>
    <w:r w:rsidRPr="00AA7200">
      <w:fldChar w:fldCharType="begin" w:fldLock="1"/>
    </w:r>
    <w:r w:rsidRPr="00AA7200">
      <w:instrText xml:space="preserve"> page</w:instrText>
    </w:r>
    <w:r w:rsidRPr="00AA7200">
      <w:fldChar w:fldCharType="separate"/>
    </w:r>
    <w:r w:rsidR="00AA7200">
      <w:rPr>
        <w:noProof/>
      </w:rPr>
      <w:instrText>1</w:instrText>
    </w:r>
    <w:r w:rsidRPr="00AA7200">
      <w:fldChar w:fldCharType="end"/>
    </w:r>
    <w:r w:rsidRPr="00AA7200">
      <w:instrText xml:space="preserve">/2) </w:instrText>
    </w:r>
    <w:r w:rsidRPr="00AA7200">
      <w:fldChar w:fldCharType="separate"/>
    </w:r>
    <w:r w:rsidR="00AA7200">
      <w:rPr>
        <w:noProof/>
      </w:rPr>
      <w:instrText>0</w:instrText>
    </w:r>
    <w:r w:rsidRPr="00AA7200">
      <w:fldChar w:fldCharType="end"/>
    </w:r>
    <w:r w:rsidRPr="00AA7200">
      <w:fldChar w:fldCharType="separate"/>
    </w:r>
    <w:r w:rsidR="00AA7200">
      <w:rPr>
        <w:noProof/>
      </w:rPr>
      <w:instrText>0,5</w:instrText>
    </w:r>
    <w:r w:rsidRPr="00AA7200">
      <w:fldChar w:fldCharType="end"/>
    </w:r>
    <w:r w:rsidRPr="00AA7200">
      <w:instrText xml:space="preserve"> = 0 "</w:instrText>
    </w:r>
    <w:r w:rsidRPr="00AA7200">
      <w:fldChar w:fldCharType="begin" w:fldLock="1"/>
    </w:r>
    <w:r w:rsidRPr="00AA7200">
      <w:instrText xml:space="preserve"> P</w:instrText>
    </w:r>
    <w:r w:rsidRPr="00AA7200">
      <w:instrText>A</w:instrText>
    </w:r>
    <w:r w:rsidRPr="00AA7200">
      <w:instrText xml:space="preserve">GE </w:instrText>
    </w:r>
    <w:r w:rsidRPr="00AA7200">
      <w:fldChar w:fldCharType="separate"/>
    </w:r>
    <w:r w:rsidRPr="00AA7200">
      <w:instrText>14</w:instrText>
    </w:r>
    <w:r w:rsidRPr="00AA7200">
      <w:fldChar w:fldCharType="end"/>
    </w:r>
  </w:p>
  <w:p w:rsidR="00313121" w:rsidRPr="00AA7200" w:rsidRDefault="00313121">
    <w:pPr>
      <w:pStyle w:val="SidfotH"/>
      <w:framePr w:w="8732" w:h="284" w:hRule="exact" w:hSpace="0" w:vSpace="0" w:wrap="around" w:xAlign="inside" w:y="13042" w:anchorLock="0"/>
    </w:pPr>
    <w:r w:rsidRPr="00AA7200">
      <w:instrText>""</w:instrText>
    </w:r>
    <w:r w:rsidRPr="00AA7200">
      <w:fldChar w:fldCharType="begin" w:fldLock="1"/>
    </w:r>
    <w:r w:rsidRPr="00AA7200">
      <w:instrText xml:space="preserve"> P</w:instrText>
    </w:r>
    <w:r w:rsidRPr="00AA7200">
      <w:instrText>A</w:instrText>
    </w:r>
    <w:r w:rsidRPr="00AA7200">
      <w:instrText xml:space="preserve">GE </w:instrText>
    </w:r>
    <w:r w:rsidRPr="00AA7200">
      <w:fldChar w:fldCharType="separate"/>
    </w:r>
    <w:r w:rsidR="00AA7200">
      <w:rPr>
        <w:noProof/>
      </w:rPr>
      <w:instrText>1</w:instrText>
    </w:r>
    <w:r w:rsidRPr="00AA7200">
      <w:fldChar w:fldCharType="end"/>
    </w:r>
    <w:r w:rsidRPr="00AA7200">
      <w:instrText>"</w:instrText>
    </w:r>
    <w:r w:rsidRPr="00AA7200">
      <w:fldChar w:fldCharType="separate"/>
    </w:r>
    <w:r w:rsidR="00AA7200">
      <w:rPr>
        <w:noProof/>
      </w:rPr>
      <w:t>1</w:t>
    </w:r>
    <w:r w:rsidRPr="00AA7200">
      <w:fldChar w:fldCharType="end"/>
    </w:r>
  </w:p>
  <w:p w:rsidR="00313121" w:rsidRPr="00AA7200" w:rsidRDefault="0031312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121" w:rsidRPr="00AA7200" w:rsidRDefault="00313121">
    <w:pPr>
      <w:pStyle w:val="SidfotV"/>
      <w:framePr w:w="8732" w:h="284" w:hRule="exact" w:hSpace="0" w:vSpace="0" w:wrap="around" w:xAlign="inside" w:y="13042" w:anchorLock="0"/>
    </w:pPr>
    <w:r w:rsidRPr="00AA7200">
      <w:fldChar w:fldCharType="begin" w:fldLock="1"/>
    </w:r>
    <w:r w:rsidRPr="00AA7200">
      <w:instrText xml:space="preserve"> P</w:instrText>
    </w:r>
    <w:r w:rsidRPr="00AA7200">
      <w:instrText>A</w:instrText>
    </w:r>
    <w:r w:rsidRPr="00AA7200">
      <w:instrText xml:space="preserve">GE </w:instrText>
    </w:r>
    <w:r w:rsidRPr="00AA7200">
      <w:fldChar w:fldCharType="separate"/>
    </w:r>
    <w:r w:rsidRPr="00AA7200">
      <w:t>2</w:t>
    </w:r>
    <w:r w:rsidRPr="00AA7200">
      <w:fldChar w:fldCharType="end"/>
    </w:r>
  </w:p>
  <w:p w:rsidR="00313121" w:rsidRPr="00AA7200" w:rsidRDefault="0031312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121" w:rsidRPr="00AA7200" w:rsidRDefault="00313121">
    <w:pPr>
      <w:pStyle w:val="SidfotH"/>
      <w:framePr w:w="8732" w:h="284" w:hRule="exact" w:hSpace="0" w:vSpace="0" w:wrap="around" w:xAlign="inside" w:y="13042" w:anchorLock="0"/>
    </w:pPr>
    <w:r w:rsidRPr="00AA7200">
      <w:fldChar w:fldCharType="begin" w:fldLock="1"/>
    </w:r>
    <w:r w:rsidRPr="00AA7200">
      <w:instrText xml:space="preserve"> P</w:instrText>
    </w:r>
    <w:r w:rsidRPr="00AA7200">
      <w:instrText>A</w:instrText>
    </w:r>
    <w:r w:rsidRPr="00AA7200">
      <w:instrText xml:space="preserve">GE </w:instrText>
    </w:r>
    <w:r w:rsidRPr="00AA7200">
      <w:fldChar w:fldCharType="separate"/>
    </w:r>
    <w:r w:rsidRPr="00AA7200">
      <w:t>3</w:t>
    </w:r>
    <w:r w:rsidRPr="00AA7200">
      <w:fldChar w:fldCharType="end"/>
    </w:r>
  </w:p>
  <w:p w:rsidR="00313121" w:rsidRPr="00AA7200" w:rsidRDefault="0031312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121" w:rsidRPr="00AA7200" w:rsidRDefault="00313121">
    <w:pPr>
      <w:pStyle w:val="SidfotV"/>
      <w:framePr w:w="8732" w:h="284" w:hRule="exact" w:hSpace="0" w:vSpace="0" w:wrap="around" w:xAlign="inside" w:y="13042" w:anchorLock="0"/>
    </w:pPr>
    <w:r w:rsidRPr="00AA7200">
      <w:fldChar w:fldCharType="begin" w:fldLock="1"/>
    </w:r>
    <w:r w:rsidRPr="00AA7200">
      <w:instrText xml:space="preserve"> if </w:instrText>
    </w:r>
    <w:r w:rsidRPr="00AA7200">
      <w:fldChar w:fldCharType="begin" w:fldLock="1"/>
    </w:r>
    <w:r w:rsidRPr="00AA7200">
      <w:instrText xml:space="preserve"> = </w:instrText>
    </w:r>
    <w:r w:rsidRPr="00AA7200">
      <w:fldChar w:fldCharType="begin" w:fldLock="1"/>
    </w:r>
    <w:r w:rsidRPr="00AA7200">
      <w:instrText xml:space="preserve"> = </w:instrText>
    </w:r>
    <w:r w:rsidRPr="00AA7200">
      <w:fldChar w:fldCharType="begin" w:fldLock="1"/>
    </w:r>
    <w:r w:rsidRPr="00AA7200">
      <w:instrText xml:space="preserve"> page</w:instrText>
    </w:r>
    <w:r w:rsidRPr="00AA7200">
      <w:fldChar w:fldCharType="separate"/>
    </w:r>
    <w:r w:rsidR="00831B77" w:rsidRPr="00AA7200">
      <w:instrText>2</w:instrText>
    </w:r>
    <w:r w:rsidRPr="00AA7200">
      <w:fldChar w:fldCharType="end"/>
    </w:r>
    <w:r w:rsidRPr="00AA7200">
      <w:instrText xml:space="preserve">/2 </w:instrText>
    </w:r>
    <w:r w:rsidRPr="00AA7200">
      <w:fldChar w:fldCharType="separate"/>
    </w:r>
    <w:r w:rsidR="00831B77" w:rsidRPr="00AA7200">
      <w:instrText>1</w:instrText>
    </w:r>
    <w:r w:rsidRPr="00AA7200">
      <w:fldChar w:fldCharType="end"/>
    </w:r>
    <w:r w:rsidRPr="00AA7200">
      <w:instrText xml:space="preserve"> - </w:instrText>
    </w:r>
    <w:r w:rsidRPr="00AA7200">
      <w:fldChar w:fldCharType="begin" w:fldLock="1"/>
    </w:r>
    <w:r w:rsidRPr="00AA7200">
      <w:instrText xml:space="preserve"> = int(</w:instrText>
    </w:r>
    <w:r w:rsidRPr="00AA7200">
      <w:fldChar w:fldCharType="begin" w:fldLock="1"/>
    </w:r>
    <w:r w:rsidRPr="00AA7200">
      <w:instrText xml:space="preserve"> page</w:instrText>
    </w:r>
    <w:r w:rsidRPr="00AA7200">
      <w:fldChar w:fldCharType="separate"/>
    </w:r>
    <w:r w:rsidR="00831B77" w:rsidRPr="00AA7200">
      <w:instrText>2</w:instrText>
    </w:r>
    <w:r w:rsidRPr="00AA7200">
      <w:fldChar w:fldCharType="end"/>
    </w:r>
    <w:r w:rsidRPr="00AA7200">
      <w:instrText xml:space="preserve">/2) </w:instrText>
    </w:r>
    <w:r w:rsidRPr="00AA7200">
      <w:fldChar w:fldCharType="separate"/>
    </w:r>
    <w:r w:rsidR="00831B77" w:rsidRPr="00AA7200">
      <w:instrText>1</w:instrText>
    </w:r>
    <w:r w:rsidRPr="00AA7200">
      <w:fldChar w:fldCharType="end"/>
    </w:r>
    <w:r w:rsidRPr="00AA7200">
      <w:fldChar w:fldCharType="separate"/>
    </w:r>
    <w:r w:rsidR="00831B77" w:rsidRPr="00AA7200">
      <w:instrText>0</w:instrText>
    </w:r>
    <w:r w:rsidRPr="00AA7200">
      <w:fldChar w:fldCharType="end"/>
    </w:r>
    <w:r w:rsidRPr="00AA7200">
      <w:instrText xml:space="preserve"> = 0 "</w:instrText>
    </w:r>
    <w:r w:rsidRPr="00AA7200">
      <w:fldChar w:fldCharType="begin" w:fldLock="1"/>
    </w:r>
    <w:r w:rsidRPr="00AA7200">
      <w:instrText xml:space="preserve"> P</w:instrText>
    </w:r>
    <w:r w:rsidRPr="00AA7200">
      <w:instrText>A</w:instrText>
    </w:r>
    <w:r w:rsidRPr="00AA7200">
      <w:instrText xml:space="preserve">GE </w:instrText>
    </w:r>
    <w:r w:rsidRPr="00AA7200">
      <w:fldChar w:fldCharType="separate"/>
    </w:r>
    <w:r w:rsidR="00831B77" w:rsidRPr="00AA7200">
      <w:instrText>2</w:instrText>
    </w:r>
    <w:r w:rsidRPr="00AA7200">
      <w:fldChar w:fldCharType="end"/>
    </w:r>
  </w:p>
  <w:p w:rsidR="00831B77" w:rsidRPr="00AA7200" w:rsidRDefault="00313121">
    <w:pPr>
      <w:pStyle w:val="SidfotV"/>
      <w:framePr w:w="8732" w:h="284" w:hRule="exact" w:hSpace="0" w:vSpace="0" w:wrap="around" w:xAlign="inside" w:y="13042" w:anchorLock="0"/>
    </w:pPr>
    <w:r w:rsidRPr="00AA7200">
      <w:instrText>""</w:instrText>
    </w:r>
    <w:r w:rsidRPr="00AA7200">
      <w:fldChar w:fldCharType="begin" w:fldLock="1"/>
    </w:r>
    <w:r w:rsidRPr="00AA7200">
      <w:instrText xml:space="preserve"> P</w:instrText>
    </w:r>
    <w:r w:rsidRPr="00AA7200">
      <w:instrText>A</w:instrText>
    </w:r>
    <w:r w:rsidRPr="00AA7200">
      <w:instrText xml:space="preserve">GE </w:instrText>
    </w:r>
    <w:r w:rsidRPr="00AA7200">
      <w:fldChar w:fldCharType="separate"/>
    </w:r>
    <w:r w:rsidRPr="00AA7200">
      <w:instrText>3</w:instrText>
    </w:r>
    <w:r w:rsidRPr="00AA7200">
      <w:fldChar w:fldCharType="end"/>
    </w:r>
    <w:r w:rsidRPr="00AA7200">
      <w:instrText>"</w:instrText>
    </w:r>
    <w:r w:rsidRPr="00AA7200">
      <w:fldChar w:fldCharType="separate"/>
    </w:r>
    <w:r w:rsidR="00831B77" w:rsidRPr="00AA7200">
      <w:t>2</w:t>
    </w:r>
  </w:p>
  <w:p w:rsidR="00313121" w:rsidRPr="00AA7200" w:rsidRDefault="00313121">
    <w:pPr>
      <w:pStyle w:val="SidfotH"/>
      <w:framePr w:w="8732" w:h="284" w:hRule="exact" w:hSpace="0" w:vSpace="0" w:wrap="around" w:xAlign="inside" w:y="13042" w:anchorLock="0"/>
    </w:pPr>
    <w:r w:rsidRPr="00AA7200">
      <w:fldChar w:fldCharType="end"/>
    </w:r>
  </w:p>
  <w:p w:rsidR="00313121" w:rsidRPr="00AA7200" w:rsidRDefault="0031312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121" w:rsidRPr="00AA7200" w:rsidRDefault="00313121">
    <w:pPr>
      <w:pStyle w:val="SidfotV"/>
      <w:framePr w:w="8732" w:h="284" w:hRule="exact" w:hSpace="0" w:vSpace="0" w:wrap="around" w:xAlign="inside" w:y="13042" w:anchorLock="0"/>
    </w:pPr>
    <w:r w:rsidRPr="00AA7200">
      <w:fldChar w:fldCharType="begin" w:fldLock="1"/>
    </w:r>
    <w:r w:rsidRPr="00AA7200">
      <w:instrText xml:space="preserve"> P</w:instrText>
    </w:r>
    <w:r w:rsidRPr="00AA7200">
      <w:instrText>A</w:instrText>
    </w:r>
    <w:r w:rsidRPr="00AA7200">
      <w:instrText xml:space="preserve">GE </w:instrText>
    </w:r>
    <w:r w:rsidRPr="00AA7200">
      <w:fldChar w:fldCharType="separate"/>
    </w:r>
    <w:r w:rsidRPr="00AA7200">
      <w:t>2</w:t>
    </w:r>
    <w:r w:rsidRPr="00AA7200">
      <w:fldChar w:fldCharType="end"/>
    </w:r>
  </w:p>
  <w:p w:rsidR="00313121" w:rsidRPr="00AA7200" w:rsidRDefault="0031312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121" w:rsidRPr="00AA7200" w:rsidRDefault="00313121">
    <w:pPr>
      <w:pStyle w:val="SidfotH"/>
      <w:framePr w:w="8732" w:h="284" w:hRule="exact" w:hSpace="0" w:vSpace="0" w:wrap="around" w:xAlign="inside" w:y="13042" w:anchorLock="0"/>
    </w:pPr>
    <w:r w:rsidRPr="00AA7200">
      <w:fldChar w:fldCharType="begin" w:fldLock="1"/>
    </w:r>
    <w:r w:rsidRPr="00AA7200">
      <w:instrText xml:space="preserve"> P</w:instrText>
    </w:r>
    <w:r w:rsidRPr="00AA7200">
      <w:instrText>A</w:instrText>
    </w:r>
    <w:r w:rsidRPr="00AA7200">
      <w:instrText xml:space="preserve">GE </w:instrText>
    </w:r>
    <w:r w:rsidRPr="00AA7200">
      <w:fldChar w:fldCharType="separate"/>
    </w:r>
    <w:r w:rsidRPr="00AA7200">
      <w:t>3</w:t>
    </w:r>
    <w:r w:rsidRPr="00AA7200">
      <w:fldChar w:fldCharType="end"/>
    </w:r>
  </w:p>
  <w:p w:rsidR="00313121" w:rsidRPr="00AA7200" w:rsidRDefault="0031312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121" w:rsidRPr="00AA7200" w:rsidRDefault="00313121">
    <w:pPr>
      <w:pStyle w:val="SidfotV"/>
      <w:framePr w:w="8732" w:h="284" w:hRule="exact" w:hSpace="0" w:vSpace="0" w:wrap="around" w:xAlign="inside" w:y="13042" w:anchorLock="0"/>
    </w:pPr>
    <w:r w:rsidRPr="00AA7200">
      <w:fldChar w:fldCharType="begin" w:fldLock="1"/>
    </w:r>
    <w:r w:rsidRPr="00AA7200">
      <w:instrText xml:space="preserve"> if </w:instrText>
    </w:r>
    <w:r w:rsidRPr="00AA7200">
      <w:fldChar w:fldCharType="begin" w:fldLock="1"/>
    </w:r>
    <w:r w:rsidRPr="00AA7200">
      <w:instrText xml:space="preserve"> = </w:instrText>
    </w:r>
    <w:r w:rsidRPr="00AA7200">
      <w:fldChar w:fldCharType="begin" w:fldLock="1"/>
    </w:r>
    <w:r w:rsidRPr="00AA7200">
      <w:instrText xml:space="preserve"> = </w:instrText>
    </w:r>
    <w:r w:rsidRPr="00AA7200">
      <w:fldChar w:fldCharType="begin" w:fldLock="1"/>
    </w:r>
    <w:r w:rsidRPr="00AA7200">
      <w:instrText xml:space="preserve"> page</w:instrText>
    </w:r>
    <w:r w:rsidRPr="00AA7200">
      <w:fldChar w:fldCharType="separate"/>
    </w:r>
    <w:r w:rsidR="00831B77" w:rsidRPr="00AA7200">
      <w:instrText>3</w:instrText>
    </w:r>
    <w:r w:rsidRPr="00AA7200">
      <w:fldChar w:fldCharType="end"/>
    </w:r>
    <w:r w:rsidRPr="00AA7200">
      <w:instrText xml:space="preserve">/2 </w:instrText>
    </w:r>
    <w:r w:rsidRPr="00AA7200">
      <w:fldChar w:fldCharType="separate"/>
    </w:r>
    <w:r w:rsidR="00831B77" w:rsidRPr="00AA7200">
      <w:instrText>1,5</w:instrText>
    </w:r>
    <w:r w:rsidRPr="00AA7200">
      <w:fldChar w:fldCharType="end"/>
    </w:r>
    <w:r w:rsidRPr="00AA7200">
      <w:instrText xml:space="preserve"> - </w:instrText>
    </w:r>
    <w:r w:rsidRPr="00AA7200">
      <w:fldChar w:fldCharType="begin" w:fldLock="1"/>
    </w:r>
    <w:r w:rsidRPr="00AA7200">
      <w:instrText xml:space="preserve"> = int(</w:instrText>
    </w:r>
    <w:r w:rsidRPr="00AA7200">
      <w:fldChar w:fldCharType="begin" w:fldLock="1"/>
    </w:r>
    <w:r w:rsidRPr="00AA7200">
      <w:instrText xml:space="preserve"> page</w:instrText>
    </w:r>
    <w:r w:rsidRPr="00AA7200">
      <w:fldChar w:fldCharType="separate"/>
    </w:r>
    <w:r w:rsidR="00831B77" w:rsidRPr="00AA7200">
      <w:instrText>3</w:instrText>
    </w:r>
    <w:r w:rsidRPr="00AA7200">
      <w:fldChar w:fldCharType="end"/>
    </w:r>
    <w:r w:rsidRPr="00AA7200">
      <w:instrText xml:space="preserve">/2) </w:instrText>
    </w:r>
    <w:r w:rsidRPr="00AA7200">
      <w:fldChar w:fldCharType="separate"/>
    </w:r>
    <w:r w:rsidR="00831B77" w:rsidRPr="00AA7200">
      <w:instrText>1</w:instrText>
    </w:r>
    <w:r w:rsidRPr="00AA7200">
      <w:fldChar w:fldCharType="end"/>
    </w:r>
    <w:r w:rsidRPr="00AA7200">
      <w:fldChar w:fldCharType="separate"/>
    </w:r>
    <w:r w:rsidR="00831B77" w:rsidRPr="00AA7200">
      <w:instrText>0,5</w:instrText>
    </w:r>
    <w:r w:rsidRPr="00AA7200">
      <w:fldChar w:fldCharType="end"/>
    </w:r>
    <w:r w:rsidRPr="00AA7200">
      <w:instrText xml:space="preserve"> = 0 "</w:instrText>
    </w:r>
    <w:r w:rsidRPr="00AA7200">
      <w:fldChar w:fldCharType="begin" w:fldLock="1"/>
    </w:r>
    <w:r w:rsidRPr="00AA7200">
      <w:instrText xml:space="preserve"> P</w:instrText>
    </w:r>
    <w:r w:rsidRPr="00AA7200">
      <w:instrText>A</w:instrText>
    </w:r>
    <w:r w:rsidRPr="00AA7200">
      <w:instrText xml:space="preserve">GE </w:instrText>
    </w:r>
    <w:r w:rsidRPr="00AA7200">
      <w:fldChar w:fldCharType="separate"/>
    </w:r>
    <w:r w:rsidRPr="00AA7200">
      <w:instrText>2</w:instrText>
    </w:r>
    <w:r w:rsidRPr="00AA7200">
      <w:fldChar w:fldCharType="end"/>
    </w:r>
  </w:p>
  <w:p w:rsidR="00313121" w:rsidRPr="00AA7200" w:rsidRDefault="00313121">
    <w:pPr>
      <w:pStyle w:val="SidfotH"/>
      <w:framePr w:w="8732" w:h="284" w:hRule="exact" w:hSpace="0" w:vSpace="0" w:wrap="around" w:xAlign="inside" w:y="13042" w:anchorLock="0"/>
    </w:pPr>
    <w:r w:rsidRPr="00AA7200">
      <w:instrText>""</w:instrText>
    </w:r>
    <w:r w:rsidRPr="00AA7200">
      <w:fldChar w:fldCharType="begin" w:fldLock="1"/>
    </w:r>
    <w:r w:rsidRPr="00AA7200">
      <w:instrText xml:space="preserve"> P</w:instrText>
    </w:r>
    <w:r w:rsidRPr="00AA7200">
      <w:instrText>A</w:instrText>
    </w:r>
    <w:r w:rsidRPr="00AA7200">
      <w:instrText xml:space="preserve">GE </w:instrText>
    </w:r>
    <w:r w:rsidRPr="00AA7200">
      <w:fldChar w:fldCharType="separate"/>
    </w:r>
    <w:r w:rsidR="00831B77" w:rsidRPr="00AA7200">
      <w:instrText>3</w:instrText>
    </w:r>
    <w:r w:rsidRPr="00AA7200">
      <w:fldChar w:fldCharType="end"/>
    </w:r>
    <w:r w:rsidRPr="00AA7200">
      <w:instrText>"</w:instrText>
    </w:r>
    <w:r w:rsidRPr="00AA7200">
      <w:fldChar w:fldCharType="separate"/>
    </w:r>
    <w:r w:rsidR="00831B77" w:rsidRPr="00AA7200">
      <w:t>3</w:t>
    </w:r>
    <w:r w:rsidRPr="00AA7200">
      <w:fldChar w:fldCharType="end"/>
    </w:r>
  </w:p>
  <w:p w:rsidR="00313121" w:rsidRPr="00AA7200" w:rsidRDefault="003131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603B" w:rsidRPr="00AA7200" w:rsidRDefault="009A603B">
      <w:pPr>
        <w:pStyle w:val="Sidfot"/>
      </w:pPr>
    </w:p>
  </w:footnote>
  <w:footnote w:type="continuationSeparator" w:id="0">
    <w:p w:rsidR="009A603B" w:rsidRPr="00AA7200" w:rsidRDefault="009A603B">
      <w:r w:rsidRPr="00AA7200">
        <w:continuationSeparator/>
      </w:r>
    </w:p>
  </w:footnote>
  <w:footnote w:id="1">
    <w:p w:rsidR="00313121" w:rsidRPr="00AA7200" w:rsidRDefault="00313121">
      <w:pPr>
        <w:pStyle w:val="Fotnotstext"/>
      </w:pPr>
      <w:r w:rsidRPr="00AA7200">
        <w:rPr>
          <w:rStyle w:val="Fotnotsreferens"/>
        </w:rPr>
        <w:footnoteRef/>
      </w:r>
      <w:r w:rsidRPr="00AA7200">
        <w:t xml:space="preserve"> 2003:180.</w:t>
      </w:r>
    </w:p>
  </w:footnote>
  <w:footnote w:id="2">
    <w:p w:rsidR="00313121" w:rsidRPr="00AA7200" w:rsidRDefault="00313121">
      <w:pPr>
        <w:pStyle w:val="Fotnotstext"/>
      </w:pPr>
      <w:r w:rsidRPr="00AA7200">
        <w:rPr>
          <w:rStyle w:val="Fotnotsreferens"/>
        </w:rPr>
        <w:footnoteRef/>
      </w:r>
      <w:r w:rsidRPr="00AA7200">
        <w:t xml:space="preserve"> 2003:180.</w:t>
      </w:r>
    </w:p>
  </w:footnote>
  <w:footnote w:id="3">
    <w:p w:rsidR="00313121" w:rsidRPr="00AA7200" w:rsidRDefault="00313121" w:rsidP="00D33ED8">
      <w:pPr>
        <w:pStyle w:val="Fotnotstext"/>
      </w:pPr>
      <w:r w:rsidRPr="00AA7200">
        <w:rPr>
          <w:rStyle w:val="Fotnotsreferens"/>
        </w:rPr>
        <w:footnoteRef/>
      </w:r>
      <w:r w:rsidRPr="00AA7200">
        <w:t xml:space="preserve"> 2010:1411.</w:t>
      </w:r>
    </w:p>
  </w:footnote>
  <w:footnote w:id="4">
    <w:p w:rsidR="00313121" w:rsidRPr="00AA7200" w:rsidRDefault="00313121">
      <w:pPr>
        <w:pStyle w:val="Fotnotstext"/>
      </w:pPr>
      <w:r w:rsidRPr="00AA7200">
        <w:rPr>
          <w:rStyle w:val="Fotnotsreferens"/>
        </w:rPr>
        <w:footnoteRef/>
      </w:r>
      <w:r w:rsidRPr="00AA7200">
        <w:t xml:space="preserve"> 2010:1411.</w:t>
      </w:r>
    </w:p>
  </w:footnote>
  <w:footnote w:id="5">
    <w:p w:rsidR="00313121" w:rsidRPr="00AA7200" w:rsidRDefault="00313121" w:rsidP="00665677">
      <w:pPr>
        <w:pStyle w:val="Fotnotstext"/>
      </w:pPr>
      <w:r w:rsidRPr="00AA7200">
        <w:rPr>
          <w:rStyle w:val="Fotnotsreferens"/>
        </w:rPr>
        <w:footnoteRef/>
      </w:r>
      <w:r w:rsidRPr="00AA7200">
        <w:t xml:space="preserve"> 2010:1417.</w:t>
      </w:r>
    </w:p>
  </w:footnote>
  <w:footnote w:id="6">
    <w:p w:rsidR="00313121" w:rsidRPr="00AA7200" w:rsidRDefault="00313121" w:rsidP="002039C4">
      <w:pPr>
        <w:pStyle w:val="Fotnotstext"/>
      </w:pPr>
      <w:r w:rsidRPr="00AA7200">
        <w:rPr>
          <w:rStyle w:val="Fotnotsreferens"/>
        </w:rPr>
        <w:footnoteRef/>
      </w:r>
      <w:r w:rsidRPr="00AA7200">
        <w:t xml:space="preserve"> 2003:180.</w:t>
      </w:r>
    </w:p>
  </w:footnote>
  <w:footnote w:id="7">
    <w:p w:rsidR="00313121" w:rsidRPr="00AA7200" w:rsidRDefault="00313121">
      <w:pPr>
        <w:pStyle w:val="Fotnotstext"/>
      </w:pPr>
      <w:r w:rsidRPr="00AA7200">
        <w:rPr>
          <w:rStyle w:val="Fotnotsreferens"/>
        </w:rPr>
        <w:footnoteRef/>
      </w:r>
      <w:r w:rsidRPr="00AA7200">
        <w:t xml:space="preserve"> 2010:1411.</w:t>
      </w:r>
    </w:p>
  </w:footnote>
  <w:footnote w:id="8">
    <w:p w:rsidR="00313121" w:rsidRPr="00AA7200" w:rsidRDefault="00313121" w:rsidP="002039C4">
      <w:pPr>
        <w:pStyle w:val="Fotnotstext"/>
      </w:pPr>
      <w:r w:rsidRPr="00AA7200">
        <w:rPr>
          <w:rStyle w:val="Fotnotsreferens"/>
        </w:rPr>
        <w:footnoteRef/>
      </w:r>
      <w:r w:rsidRPr="00AA7200">
        <w:t xml:space="preserve"> 2003:180.</w:t>
      </w:r>
    </w:p>
  </w:footnote>
  <w:footnote w:id="9">
    <w:p w:rsidR="00313121" w:rsidRPr="00AA7200" w:rsidRDefault="00313121" w:rsidP="00A375EC">
      <w:pPr>
        <w:pStyle w:val="Fotnotstext"/>
      </w:pPr>
      <w:r w:rsidRPr="00AA7200">
        <w:rPr>
          <w:rStyle w:val="Fotnotsreferens"/>
        </w:rPr>
        <w:footnoteRef/>
      </w:r>
      <w:r w:rsidRPr="00AA7200">
        <w:t xml:space="preserve"> 1998:734.</w:t>
      </w:r>
    </w:p>
  </w:footnote>
  <w:footnote w:id="10">
    <w:p w:rsidR="00313121" w:rsidRPr="00AA7200" w:rsidRDefault="00313121" w:rsidP="00090F05">
      <w:pPr>
        <w:pStyle w:val="Fotnotstext"/>
      </w:pPr>
      <w:r w:rsidRPr="00AA7200">
        <w:rPr>
          <w:rStyle w:val="Fotnotsreferens"/>
        </w:rPr>
        <w:footnoteRef/>
      </w:r>
      <w:r w:rsidRPr="00AA7200">
        <w:t xml:space="preserve"> 2009:176.</w:t>
      </w:r>
    </w:p>
  </w:footnote>
  <w:footnote w:id="11">
    <w:p w:rsidR="00313121" w:rsidRPr="00AA7200" w:rsidRDefault="00313121" w:rsidP="00645718">
      <w:pPr>
        <w:pStyle w:val="Fotnotstext"/>
      </w:pPr>
      <w:r w:rsidRPr="00AA7200">
        <w:rPr>
          <w:rStyle w:val="Fotnotsreferens"/>
        </w:rPr>
        <w:footnoteRef/>
      </w:r>
      <w:r w:rsidRPr="00AA7200">
        <w:t xml:space="preserve"> 2010:1417.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121" w:rsidRPr="00AA7200" w:rsidRDefault="00313121">
    <w:pPr>
      <w:pStyle w:val="SidhuvudKantJmn"/>
      <w:framePr w:w="8732" w:h="567" w:hRule="exact" w:vSpace="0" w:wrap="around" w:vAnchor="page" w:y="341" w:anchorLock="0"/>
    </w:pPr>
    <w:r w:rsidRPr="00AA7200">
      <w:rPr>
        <w:rStyle w:val="SidhuvudUtskott"/>
      </w:rPr>
      <w:fldChar w:fldCharType="begin" w:fldLock="1"/>
    </w:r>
    <w:r w:rsidRPr="00AA7200">
      <w:rPr>
        <w:rStyle w:val="SidhuvudUtskott"/>
      </w:rPr>
      <w:instrText xml:space="preserve"> DOCPROPERTY BetänkandeÅr</w:instrText>
    </w:r>
    <w:r w:rsidRPr="00AA7200">
      <w:rPr>
        <w:rStyle w:val="SidhuvudUtskott"/>
      </w:rPr>
      <w:fldChar w:fldCharType="separate"/>
    </w:r>
    <w:r w:rsidR="003C571B" w:rsidRPr="00AA7200">
      <w:rPr>
        <w:rStyle w:val="SidhuvudUtskott"/>
      </w:rPr>
      <w:t>2011/12</w:t>
    </w:r>
    <w:r w:rsidRPr="00AA7200">
      <w:rPr>
        <w:rStyle w:val="SidhuvudUtskott"/>
      </w:rPr>
      <w:fldChar w:fldCharType="end"/>
    </w:r>
    <w:r w:rsidRPr="00AA7200">
      <w:rPr>
        <w:rStyle w:val="SidhuvudUtskott"/>
      </w:rPr>
      <w:t>:</w:t>
    </w:r>
    <w:r w:rsidRPr="00AA7200">
      <w:rPr>
        <w:rStyle w:val="SidhuvudUtskott"/>
      </w:rPr>
      <w:fldChar w:fldCharType="begin" w:fldLock="1"/>
    </w:r>
    <w:r w:rsidRPr="00AA7200">
      <w:rPr>
        <w:rStyle w:val="SidhuvudUtskott"/>
      </w:rPr>
      <w:instrText xml:space="preserve"> DOCPROPERTY Utskott</w:instrText>
    </w:r>
    <w:r w:rsidRPr="00AA7200">
      <w:rPr>
        <w:rStyle w:val="SidhuvudUtskott"/>
      </w:rPr>
      <w:fldChar w:fldCharType="separate"/>
    </w:r>
    <w:r w:rsidR="003C571B" w:rsidRPr="00AA7200">
      <w:rPr>
        <w:rStyle w:val="SidhuvudUtskott"/>
      </w:rPr>
      <w:t>RS</w:t>
    </w:r>
    <w:r w:rsidRPr="00AA7200">
      <w:rPr>
        <w:rStyle w:val="SidhuvudUtskott"/>
      </w:rPr>
      <w:fldChar w:fldCharType="end"/>
    </w:r>
    <w:r w:rsidRPr="00AA7200">
      <w:rPr>
        <w:rStyle w:val="SidhuvudUtskott"/>
      </w:rPr>
      <w:fldChar w:fldCharType="begin" w:fldLock="1"/>
    </w:r>
    <w:r w:rsidRPr="00AA7200">
      <w:rPr>
        <w:rStyle w:val="SidhuvudUtskott"/>
      </w:rPr>
      <w:instrText xml:space="preserve"> DOCPROPERTY BetänkandeNr</w:instrText>
    </w:r>
    <w:r w:rsidRPr="00AA7200">
      <w:rPr>
        <w:rStyle w:val="SidhuvudUtskott"/>
      </w:rPr>
      <w:fldChar w:fldCharType="separate"/>
    </w:r>
    <w:r w:rsidR="003C571B" w:rsidRPr="00AA7200">
      <w:rPr>
        <w:rStyle w:val="SidhuvudUtskott"/>
      </w:rPr>
      <w:t>1</w:t>
    </w:r>
    <w:r w:rsidRPr="00AA7200">
      <w:rPr>
        <w:rStyle w:val="SidhuvudUtskott"/>
      </w:rPr>
      <w:fldChar w:fldCharType="end"/>
    </w:r>
    <w:r w:rsidRPr="00AA7200">
      <w:t xml:space="preserve">     </w:t>
    </w:r>
    <w:r w:rsidRPr="00AA7200">
      <w:rPr>
        <w:rStyle w:val="SidhuvudBilaga"/>
      </w:rPr>
      <w:t xml:space="preserve"> </w:t>
    </w:r>
    <w:r w:rsidRPr="00AA7200">
      <w:rPr>
        <w:rStyle w:val="SidhuvudRubrikReferens"/>
      </w:rPr>
      <w:fldChar w:fldCharType="begin" w:fldLock="1"/>
    </w:r>
    <w:r w:rsidRPr="00AA7200">
      <w:rPr>
        <w:rStyle w:val="SidhuvudRubrikReferens"/>
      </w:rPr>
      <w:instrText xml:space="preserve"> StyleREF "Rubrik 1" </w:instrText>
    </w:r>
    <w:r w:rsidRPr="00AA7200">
      <w:rPr>
        <w:rStyle w:val="SidhuvudRubrikReferens"/>
      </w:rPr>
      <w:fldChar w:fldCharType="separate"/>
    </w:r>
    <w:r w:rsidR="003C571B" w:rsidRPr="00AA7200">
      <w:rPr>
        <w:rStyle w:val="SidhuvudRubrikReferens"/>
      </w:rPr>
      <w:t>Förslagets huvudsakliga innehåll</w:t>
    </w:r>
    <w:r w:rsidRPr="00AA7200">
      <w:rPr>
        <w:rStyle w:val="SidhuvudRubrikReferens"/>
      </w:rPr>
      <w:fldChar w:fldCharType="end"/>
    </w:r>
  </w:p>
  <w:p w:rsidR="00313121" w:rsidRPr="00AA7200" w:rsidRDefault="00313121">
    <w:pPr>
      <w:pStyle w:val="SidhuvudKantJmn"/>
      <w:framePr w:w="8732" w:h="567" w:hRule="exact" w:vSpace="0" w:wrap="around" w:vAnchor="page" w:y="341" w:anchorLock="0"/>
    </w:pPr>
    <w:r w:rsidRPr="00AA7200">
      <w:rPr>
        <w:rStyle w:val="SidhuvudUtskott"/>
      </w:rPr>
      <w:fldChar w:fldCharType="begin" w:fldLock="1"/>
    </w:r>
    <w:r w:rsidRPr="00AA7200">
      <w:rPr>
        <w:rStyle w:val="SidhuvudUtskott"/>
      </w:rPr>
      <w:instrText xml:space="preserve"> DOCPROPERTY Status</w:instrText>
    </w:r>
    <w:r w:rsidRPr="00AA7200">
      <w:rPr>
        <w:rStyle w:val="SidhuvudUtskott"/>
      </w:rPr>
      <w:fldChar w:fldCharType="end"/>
    </w:r>
    <w:r w:rsidRPr="00AA7200">
      <w:rPr>
        <w:rStyle w:val="SidhuvudUtskott"/>
      </w:rPr>
      <w:fldChar w:fldCharType="begin" w:fldLock="1"/>
    </w:r>
    <w:r w:rsidRPr="00AA7200">
      <w:rPr>
        <w:rStyle w:val="SidhuvudUtskott"/>
      </w:rPr>
      <w:instrText xml:space="preserve"> if </w:instrText>
    </w:r>
    <w:r w:rsidRPr="00AA7200">
      <w:rPr>
        <w:rStyle w:val="SidhuvudUtskott"/>
      </w:rPr>
      <w:fldChar w:fldCharType="begin" w:fldLock="1"/>
    </w:r>
    <w:r w:rsidRPr="00AA7200">
      <w:rPr>
        <w:rStyle w:val="SidhuvudUtskott"/>
      </w:rPr>
      <w:instrText xml:space="preserve"> DOCPROPERTY "UtkastDatum"</w:instrText>
    </w:r>
    <w:r w:rsidRPr="00AA7200">
      <w:rPr>
        <w:rStyle w:val="SidhuvudUtskott"/>
      </w:rPr>
      <w:fldChar w:fldCharType="separate"/>
    </w:r>
    <w:r w:rsidR="003C571B" w:rsidRPr="00AA7200">
      <w:rPr>
        <w:rStyle w:val="SidhuvudUtskott"/>
      </w:rPr>
      <w:instrText>Nej</w:instrText>
    </w:r>
    <w:r w:rsidRPr="00AA7200">
      <w:rPr>
        <w:rStyle w:val="SidhuvudUtskott"/>
      </w:rPr>
      <w:fldChar w:fldCharType="end"/>
    </w:r>
    <w:r w:rsidRPr="00AA7200">
      <w:rPr>
        <w:rStyle w:val="SidhuvudUtskott"/>
      </w:rPr>
      <w:instrText xml:space="preserve"> = "Ja" "    </w:instrText>
    </w:r>
    <w:r w:rsidRPr="00AA7200">
      <w:rPr>
        <w:rStyle w:val="SidhuvudUtskott"/>
      </w:rPr>
      <w:fldChar w:fldCharType="begin" w:fldLock="1"/>
    </w:r>
    <w:r w:rsidRPr="00AA7200">
      <w:rPr>
        <w:rStyle w:val="SidhuvudUtskott"/>
      </w:rPr>
      <w:instrText xml:space="preserve"> PRINTDATE \@ "yyyy-MM-dd HH.mm" </w:instrText>
    </w:r>
    <w:r w:rsidRPr="00AA7200">
      <w:rPr>
        <w:rStyle w:val="SidhuvudUtskott"/>
      </w:rPr>
      <w:fldChar w:fldCharType="separate"/>
    </w:r>
    <w:r w:rsidRPr="00AA7200">
      <w:rPr>
        <w:rStyle w:val="SidhuvudUtskott"/>
      </w:rPr>
      <w:instrText>2000-08-11 16.42</w:instrText>
    </w:r>
    <w:r w:rsidRPr="00AA7200">
      <w:rPr>
        <w:rStyle w:val="SidhuvudUtskott"/>
      </w:rPr>
      <w:fldChar w:fldCharType="end"/>
    </w:r>
    <w:r w:rsidRPr="00AA7200">
      <w:rPr>
        <w:rStyle w:val="SidhuvudUtskott"/>
      </w:rPr>
      <w:instrText xml:space="preserve">" </w:instrText>
    </w:r>
    <w:r w:rsidRPr="00AA7200">
      <w:rPr>
        <w:rStyle w:val="SidhuvudUtskott"/>
      </w:rPr>
      <w:fldChar w:fldCharType="end"/>
    </w:r>
  </w:p>
  <w:p w:rsidR="00313121" w:rsidRPr="00AA7200" w:rsidRDefault="0031312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121" w:rsidRPr="00AA7200" w:rsidRDefault="00313121" w:rsidP="00012EBD">
    <w:pPr>
      <w:pStyle w:val="SidhuvudKantJmn"/>
      <w:framePr w:w="8731" w:h="567" w:hRule="exact" w:vSpace="0" w:wrap="around" w:vAnchor="page" w:y="341" w:anchorLock="0"/>
    </w:pPr>
    <w:r w:rsidRPr="00AA7200">
      <w:rPr>
        <w:rStyle w:val="SidhuvudUtskott"/>
      </w:rPr>
      <w:fldChar w:fldCharType="begin" w:fldLock="1"/>
    </w:r>
    <w:r w:rsidRPr="00AA7200">
      <w:rPr>
        <w:rStyle w:val="SidhuvudUtskott"/>
      </w:rPr>
      <w:instrText xml:space="preserve"> DOCPROPERTY BetänkandeÅr</w:instrText>
    </w:r>
    <w:r w:rsidRPr="00AA7200">
      <w:rPr>
        <w:rStyle w:val="SidhuvudUtskott"/>
      </w:rPr>
      <w:fldChar w:fldCharType="separate"/>
    </w:r>
    <w:r w:rsidR="003C571B" w:rsidRPr="00AA7200">
      <w:rPr>
        <w:rStyle w:val="SidhuvudUtskott"/>
      </w:rPr>
      <w:t>2011/12</w:t>
    </w:r>
    <w:r w:rsidRPr="00AA7200">
      <w:rPr>
        <w:rStyle w:val="SidhuvudUtskott"/>
      </w:rPr>
      <w:fldChar w:fldCharType="end"/>
    </w:r>
    <w:r w:rsidRPr="00AA7200">
      <w:rPr>
        <w:rStyle w:val="SidhuvudUtskott"/>
      </w:rPr>
      <w:t>:</w:t>
    </w:r>
    <w:r w:rsidRPr="00AA7200">
      <w:rPr>
        <w:rStyle w:val="SidhuvudUtskott"/>
      </w:rPr>
      <w:fldChar w:fldCharType="begin" w:fldLock="1"/>
    </w:r>
    <w:r w:rsidRPr="00AA7200">
      <w:rPr>
        <w:rStyle w:val="SidhuvudUtskott"/>
      </w:rPr>
      <w:instrText xml:space="preserve"> DOCPROPERTY Utskott</w:instrText>
    </w:r>
    <w:r w:rsidRPr="00AA7200">
      <w:rPr>
        <w:rStyle w:val="SidhuvudUtskott"/>
      </w:rPr>
      <w:fldChar w:fldCharType="separate"/>
    </w:r>
    <w:r w:rsidR="003C571B" w:rsidRPr="00AA7200">
      <w:rPr>
        <w:rStyle w:val="SidhuvudUtskott"/>
      </w:rPr>
      <w:t>RS</w:t>
    </w:r>
    <w:r w:rsidRPr="00AA7200">
      <w:rPr>
        <w:rStyle w:val="SidhuvudUtskott"/>
      </w:rPr>
      <w:fldChar w:fldCharType="end"/>
    </w:r>
    <w:r w:rsidRPr="00AA7200">
      <w:rPr>
        <w:rStyle w:val="SidhuvudUtskott"/>
      </w:rPr>
      <w:fldChar w:fldCharType="begin" w:fldLock="1"/>
    </w:r>
    <w:r w:rsidRPr="00AA7200">
      <w:rPr>
        <w:rStyle w:val="SidhuvudUtskott"/>
      </w:rPr>
      <w:instrText xml:space="preserve"> DOCPROPERTY BetänkandeNr</w:instrText>
    </w:r>
    <w:r w:rsidRPr="00AA7200">
      <w:rPr>
        <w:rStyle w:val="SidhuvudUtskott"/>
      </w:rPr>
      <w:fldChar w:fldCharType="separate"/>
    </w:r>
    <w:r w:rsidR="003C571B" w:rsidRPr="00AA7200">
      <w:rPr>
        <w:rStyle w:val="SidhuvudUtskott"/>
      </w:rPr>
      <w:t>1</w:t>
    </w:r>
    <w:r w:rsidRPr="00AA7200">
      <w:rPr>
        <w:rStyle w:val="SidhuvudUtskott"/>
      </w:rPr>
      <w:fldChar w:fldCharType="end"/>
    </w:r>
    <w:r w:rsidRPr="00AA7200">
      <w:t xml:space="preserve">     </w:t>
    </w:r>
    <w:r w:rsidRPr="00AA7200">
      <w:rPr>
        <w:rStyle w:val="SidhuvudBilaga"/>
      </w:rPr>
      <w:t xml:space="preserve"> </w:t>
    </w:r>
    <w:r w:rsidRPr="00AA7200">
      <w:rPr>
        <w:rStyle w:val="SidhuvudRubrikReferens"/>
      </w:rPr>
      <w:fldChar w:fldCharType="begin" w:fldLock="1"/>
    </w:r>
    <w:r w:rsidRPr="00AA7200">
      <w:rPr>
        <w:rStyle w:val="SidhuvudRubrikReferens"/>
      </w:rPr>
      <w:instrText xml:space="preserve"> StyleREF "Rubrik 1" </w:instrText>
    </w:r>
    <w:r w:rsidRPr="00AA7200">
      <w:rPr>
        <w:rStyle w:val="SidhuvudRubrikReferens"/>
      </w:rPr>
      <w:fldChar w:fldCharType="separate"/>
    </w:r>
    <w:r w:rsidR="00831B77" w:rsidRPr="00AA7200">
      <w:rPr>
        <w:rStyle w:val="SidhuvudRubrikReferens"/>
      </w:rPr>
      <w:t>2 Lagtext</w:t>
    </w:r>
    <w:r w:rsidRPr="00AA7200">
      <w:rPr>
        <w:rStyle w:val="SidhuvudRubrikReferens"/>
      </w:rPr>
      <w:fldChar w:fldCharType="end"/>
    </w:r>
  </w:p>
  <w:p w:rsidR="00313121" w:rsidRPr="00AA7200" w:rsidRDefault="00313121" w:rsidP="00012EBD">
    <w:pPr>
      <w:pStyle w:val="SidhuvudKantJmn"/>
      <w:framePr w:w="8731" w:h="567" w:hRule="exact" w:vSpace="0" w:wrap="around" w:vAnchor="page" w:y="341" w:anchorLock="0"/>
    </w:pPr>
    <w:r w:rsidRPr="00AA7200">
      <w:rPr>
        <w:rStyle w:val="SidhuvudUtskott"/>
      </w:rPr>
      <w:fldChar w:fldCharType="begin" w:fldLock="1"/>
    </w:r>
    <w:r w:rsidRPr="00AA7200">
      <w:rPr>
        <w:rStyle w:val="SidhuvudUtskott"/>
      </w:rPr>
      <w:instrText xml:space="preserve"> DOCPROPERTY Status</w:instrText>
    </w:r>
    <w:r w:rsidRPr="00AA7200">
      <w:rPr>
        <w:rStyle w:val="SidhuvudUtskott"/>
      </w:rPr>
      <w:fldChar w:fldCharType="end"/>
    </w:r>
    <w:r w:rsidRPr="00AA7200">
      <w:rPr>
        <w:rStyle w:val="SidhuvudUtskott"/>
      </w:rPr>
      <w:fldChar w:fldCharType="begin" w:fldLock="1"/>
    </w:r>
    <w:r w:rsidRPr="00AA7200">
      <w:rPr>
        <w:rStyle w:val="SidhuvudUtskott"/>
      </w:rPr>
      <w:instrText xml:space="preserve"> if </w:instrText>
    </w:r>
    <w:r w:rsidRPr="00AA7200">
      <w:rPr>
        <w:rStyle w:val="SidhuvudUtskott"/>
      </w:rPr>
      <w:fldChar w:fldCharType="begin" w:fldLock="1"/>
    </w:r>
    <w:r w:rsidRPr="00AA7200">
      <w:rPr>
        <w:rStyle w:val="SidhuvudUtskott"/>
      </w:rPr>
      <w:instrText xml:space="preserve"> DOCPROPERTY "UtkastDatum"</w:instrText>
    </w:r>
    <w:r w:rsidRPr="00AA7200">
      <w:rPr>
        <w:rStyle w:val="SidhuvudUtskott"/>
      </w:rPr>
      <w:fldChar w:fldCharType="separate"/>
    </w:r>
    <w:r w:rsidR="003C571B" w:rsidRPr="00AA7200">
      <w:rPr>
        <w:rStyle w:val="SidhuvudUtskott"/>
      </w:rPr>
      <w:instrText>Nej</w:instrText>
    </w:r>
    <w:r w:rsidRPr="00AA7200">
      <w:rPr>
        <w:rStyle w:val="SidhuvudUtskott"/>
      </w:rPr>
      <w:fldChar w:fldCharType="end"/>
    </w:r>
    <w:r w:rsidRPr="00AA7200">
      <w:rPr>
        <w:rStyle w:val="SidhuvudUtskott"/>
      </w:rPr>
      <w:instrText xml:space="preserve"> = "Ja" "    </w:instrText>
    </w:r>
    <w:r w:rsidRPr="00AA7200">
      <w:rPr>
        <w:rStyle w:val="SidhuvudUtskott"/>
      </w:rPr>
      <w:fldChar w:fldCharType="begin" w:fldLock="1"/>
    </w:r>
    <w:r w:rsidRPr="00AA7200">
      <w:rPr>
        <w:rStyle w:val="SidhuvudUtskott"/>
      </w:rPr>
      <w:instrText xml:space="preserve"> PRINTDATE \@ "yyyy-MM-dd HH.mm" </w:instrText>
    </w:r>
    <w:r w:rsidRPr="00AA7200">
      <w:rPr>
        <w:rStyle w:val="SidhuvudUtskott"/>
      </w:rPr>
      <w:fldChar w:fldCharType="separate"/>
    </w:r>
    <w:r w:rsidRPr="00AA7200">
      <w:rPr>
        <w:rStyle w:val="SidhuvudUtskott"/>
      </w:rPr>
      <w:instrText>2000-08-11 16.42</w:instrText>
    </w:r>
    <w:r w:rsidRPr="00AA7200">
      <w:rPr>
        <w:rStyle w:val="SidhuvudUtskott"/>
      </w:rPr>
      <w:fldChar w:fldCharType="end"/>
    </w:r>
    <w:r w:rsidRPr="00AA7200">
      <w:rPr>
        <w:rStyle w:val="SidhuvudUtskott"/>
      </w:rPr>
      <w:instrText xml:space="preserve">" </w:instrText>
    </w:r>
    <w:r w:rsidRPr="00AA7200">
      <w:rPr>
        <w:rStyle w:val="SidhuvudUtskott"/>
      </w:rPr>
      <w:fldChar w:fldCharType="end"/>
    </w:r>
  </w:p>
  <w:p w:rsidR="00313121" w:rsidRPr="00AA7200" w:rsidRDefault="0031312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121" w:rsidRPr="00AA7200" w:rsidRDefault="00313121" w:rsidP="00012EBD">
    <w:pPr>
      <w:pStyle w:val="SidhuvudKantUdda"/>
      <w:framePr w:w="8731" w:h="567" w:hRule="exact" w:vSpace="0" w:wrap="around" w:vAnchor="page" w:y="341" w:anchorLock="0"/>
    </w:pPr>
    <w:r w:rsidRPr="00AA7200">
      <w:rPr>
        <w:rStyle w:val="SidhuvudRubrikReferens"/>
      </w:rPr>
      <w:fldChar w:fldCharType="begin" w:fldLock="1"/>
    </w:r>
    <w:r w:rsidRPr="00AA7200">
      <w:rPr>
        <w:rStyle w:val="SidhuvudRubrikReferens"/>
      </w:rPr>
      <w:instrText xml:space="preserve"> StyleREF "Rubrik 1" </w:instrText>
    </w:r>
    <w:r w:rsidRPr="00AA7200">
      <w:rPr>
        <w:rStyle w:val="SidhuvudRubrikReferens"/>
      </w:rPr>
      <w:fldChar w:fldCharType="separate"/>
    </w:r>
    <w:r w:rsidR="00831B77" w:rsidRPr="00AA7200">
      <w:rPr>
        <w:rStyle w:val="SidhuvudRubrikReferens"/>
      </w:rPr>
      <w:t>2 Lagtext</w:t>
    </w:r>
    <w:r w:rsidRPr="00AA7200">
      <w:rPr>
        <w:rStyle w:val="SidhuvudRubrikReferens"/>
      </w:rPr>
      <w:fldChar w:fldCharType="end"/>
    </w:r>
    <w:r w:rsidRPr="00AA7200">
      <w:rPr>
        <w:rStyle w:val="SidhuvudBilaga"/>
      </w:rPr>
      <w:t xml:space="preserve"> </w:t>
    </w:r>
    <w:r w:rsidRPr="00AA7200">
      <w:t xml:space="preserve">     </w:t>
    </w:r>
    <w:r w:rsidRPr="00AA7200">
      <w:rPr>
        <w:rStyle w:val="SidhuvudUtskott"/>
      </w:rPr>
      <w:fldChar w:fldCharType="begin" w:fldLock="1"/>
    </w:r>
    <w:r w:rsidRPr="00AA7200">
      <w:rPr>
        <w:rStyle w:val="SidhuvudUtskott"/>
      </w:rPr>
      <w:instrText xml:space="preserve"> DOCPROPERTY BetänkandeÅr</w:instrText>
    </w:r>
    <w:r w:rsidRPr="00AA7200">
      <w:rPr>
        <w:rStyle w:val="SidhuvudUtskott"/>
      </w:rPr>
      <w:fldChar w:fldCharType="separate"/>
    </w:r>
    <w:r w:rsidR="003C571B" w:rsidRPr="00AA7200">
      <w:rPr>
        <w:rStyle w:val="SidhuvudUtskott"/>
      </w:rPr>
      <w:t>2011/12</w:t>
    </w:r>
    <w:r w:rsidRPr="00AA7200">
      <w:rPr>
        <w:rStyle w:val="SidhuvudUtskott"/>
      </w:rPr>
      <w:fldChar w:fldCharType="end"/>
    </w:r>
    <w:r w:rsidRPr="00AA7200">
      <w:rPr>
        <w:rStyle w:val="SidhuvudUtskott"/>
      </w:rPr>
      <w:t>:</w:t>
    </w:r>
    <w:r w:rsidRPr="00AA7200">
      <w:rPr>
        <w:rStyle w:val="SidhuvudUtskott"/>
      </w:rPr>
      <w:fldChar w:fldCharType="begin" w:fldLock="1"/>
    </w:r>
    <w:r w:rsidRPr="00AA7200">
      <w:rPr>
        <w:rStyle w:val="SidhuvudUtskott"/>
      </w:rPr>
      <w:instrText xml:space="preserve"> DOCPROPERTY</w:instrText>
    </w:r>
    <w:r w:rsidRPr="00AA7200">
      <w:instrText xml:space="preserve"> </w:instrText>
    </w:r>
    <w:r w:rsidRPr="00AA7200">
      <w:rPr>
        <w:rStyle w:val="SidhuvudUtskott"/>
      </w:rPr>
      <w:instrText>Utskott</w:instrText>
    </w:r>
    <w:r w:rsidRPr="00AA7200">
      <w:rPr>
        <w:rStyle w:val="SidhuvudUtskott"/>
      </w:rPr>
      <w:fldChar w:fldCharType="separate"/>
    </w:r>
    <w:r w:rsidR="003C571B" w:rsidRPr="00AA7200">
      <w:rPr>
        <w:rStyle w:val="SidhuvudUtskott"/>
      </w:rPr>
      <w:t>RS</w:t>
    </w:r>
    <w:r w:rsidRPr="00AA7200">
      <w:rPr>
        <w:rStyle w:val="SidhuvudUtskott"/>
      </w:rPr>
      <w:fldChar w:fldCharType="end"/>
    </w:r>
    <w:r w:rsidRPr="00AA7200">
      <w:rPr>
        <w:rStyle w:val="SidhuvudUtskott"/>
      </w:rPr>
      <w:fldChar w:fldCharType="begin" w:fldLock="1"/>
    </w:r>
    <w:r w:rsidRPr="00AA7200">
      <w:rPr>
        <w:rStyle w:val="SidhuvudUtskott"/>
      </w:rPr>
      <w:instrText xml:space="preserve"> DOCPROPERTY Betä</w:instrText>
    </w:r>
    <w:r w:rsidRPr="00AA7200">
      <w:rPr>
        <w:rStyle w:val="SidhuvudUtskott"/>
      </w:rPr>
      <w:instrText>n</w:instrText>
    </w:r>
    <w:r w:rsidRPr="00AA7200">
      <w:rPr>
        <w:rStyle w:val="SidhuvudUtskott"/>
      </w:rPr>
      <w:instrText>kandeNr</w:instrText>
    </w:r>
    <w:r w:rsidRPr="00AA7200">
      <w:rPr>
        <w:rStyle w:val="SidhuvudUtskott"/>
      </w:rPr>
      <w:fldChar w:fldCharType="separate"/>
    </w:r>
    <w:r w:rsidR="003C571B" w:rsidRPr="00AA7200">
      <w:rPr>
        <w:rStyle w:val="SidhuvudUtskott"/>
      </w:rPr>
      <w:t>1</w:t>
    </w:r>
    <w:r w:rsidRPr="00AA7200">
      <w:rPr>
        <w:rStyle w:val="SidhuvudUtskott"/>
      </w:rPr>
      <w:fldChar w:fldCharType="end"/>
    </w:r>
  </w:p>
  <w:p w:rsidR="00313121" w:rsidRPr="00AA7200" w:rsidRDefault="00313121" w:rsidP="00012EBD">
    <w:pPr>
      <w:pStyle w:val="SidhuvudKantUdda"/>
      <w:framePr w:w="8731" w:h="567" w:hRule="exact" w:vSpace="0" w:wrap="around" w:vAnchor="page" w:y="341" w:anchorLock="0"/>
    </w:pPr>
    <w:r w:rsidRPr="00AA7200">
      <w:rPr>
        <w:rStyle w:val="SidhuvudUtskott"/>
      </w:rPr>
      <w:fldChar w:fldCharType="begin" w:fldLock="1"/>
    </w:r>
    <w:r w:rsidRPr="00AA7200">
      <w:rPr>
        <w:rStyle w:val="SidhuvudUtskott"/>
      </w:rPr>
      <w:instrText xml:space="preserve"> if </w:instrText>
    </w:r>
    <w:r w:rsidRPr="00AA7200">
      <w:rPr>
        <w:rStyle w:val="SidhuvudUtskott"/>
      </w:rPr>
      <w:fldChar w:fldCharType="begin" w:fldLock="1"/>
    </w:r>
    <w:r w:rsidRPr="00AA7200">
      <w:rPr>
        <w:rStyle w:val="SidhuvudUtskott"/>
      </w:rPr>
      <w:instrText xml:space="preserve"> DOCPROPERTY "UtkastDatum"</w:instrText>
    </w:r>
    <w:r w:rsidRPr="00AA7200">
      <w:rPr>
        <w:rStyle w:val="SidhuvudUtskott"/>
      </w:rPr>
      <w:fldChar w:fldCharType="separate"/>
    </w:r>
    <w:r w:rsidR="003C571B" w:rsidRPr="00AA7200">
      <w:rPr>
        <w:rStyle w:val="SidhuvudUtskott"/>
      </w:rPr>
      <w:instrText>Nej</w:instrText>
    </w:r>
    <w:r w:rsidRPr="00AA7200">
      <w:rPr>
        <w:rStyle w:val="SidhuvudUtskott"/>
      </w:rPr>
      <w:fldChar w:fldCharType="end"/>
    </w:r>
    <w:r w:rsidRPr="00AA7200">
      <w:rPr>
        <w:rStyle w:val="SidhuvudUtskott"/>
      </w:rPr>
      <w:instrText xml:space="preserve"> = "Ja" "</w:instrText>
    </w:r>
    <w:r w:rsidRPr="00AA7200">
      <w:rPr>
        <w:rStyle w:val="SidhuvudUtskott"/>
      </w:rPr>
      <w:fldChar w:fldCharType="begin" w:fldLock="1"/>
    </w:r>
    <w:r w:rsidRPr="00AA7200">
      <w:rPr>
        <w:rStyle w:val="SidhuvudUtskott"/>
      </w:rPr>
      <w:instrText xml:space="preserve"> PRINTDATE \@ "yyyy-MM-dd HH.mm    " </w:instrText>
    </w:r>
    <w:r w:rsidRPr="00AA7200">
      <w:rPr>
        <w:rStyle w:val="SidhuvudUtskott"/>
      </w:rPr>
      <w:fldChar w:fldCharType="separate"/>
    </w:r>
    <w:r w:rsidRPr="00AA7200">
      <w:rPr>
        <w:rStyle w:val="SidhuvudUtskott"/>
      </w:rPr>
      <w:instrText>2000-08-11 16.42</w:instrText>
    </w:r>
    <w:r w:rsidRPr="00AA7200">
      <w:rPr>
        <w:rStyle w:val="SidhuvudUtskott"/>
      </w:rPr>
      <w:fldChar w:fldCharType="end"/>
    </w:r>
    <w:r w:rsidRPr="00AA7200">
      <w:rPr>
        <w:rStyle w:val="SidhuvudUtskott"/>
      </w:rPr>
      <w:instrText xml:space="preserve">" </w:instrText>
    </w:r>
    <w:r w:rsidRPr="00AA7200">
      <w:rPr>
        <w:rStyle w:val="SidhuvudUtskott"/>
      </w:rPr>
      <w:fldChar w:fldCharType="end"/>
    </w:r>
    <w:r w:rsidRPr="00AA7200">
      <w:rPr>
        <w:rStyle w:val="SidhuvudUtskott"/>
      </w:rPr>
      <w:fldChar w:fldCharType="begin" w:fldLock="1"/>
    </w:r>
    <w:r w:rsidRPr="00AA7200">
      <w:rPr>
        <w:rStyle w:val="SidhuvudUtskott"/>
      </w:rPr>
      <w:instrText xml:space="preserve"> DOCPR</w:instrText>
    </w:r>
    <w:r w:rsidRPr="00AA7200">
      <w:rPr>
        <w:rStyle w:val="SidhuvudUtskott"/>
      </w:rPr>
      <w:instrText>O</w:instrText>
    </w:r>
    <w:r w:rsidRPr="00AA7200">
      <w:rPr>
        <w:rStyle w:val="SidhuvudUtskott"/>
      </w:rPr>
      <w:instrText>PERTY Status</w:instrText>
    </w:r>
    <w:r w:rsidRPr="00AA7200">
      <w:rPr>
        <w:rStyle w:val="SidhuvudUtskott"/>
      </w:rPr>
      <w:fldChar w:fldCharType="end"/>
    </w:r>
  </w:p>
  <w:p w:rsidR="00313121" w:rsidRPr="00AA7200" w:rsidRDefault="0031312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121" w:rsidRPr="00AA7200" w:rsidRDefault="00313121" w:rsidP="00012EBD">
    <w:pPr>
      <w:pStyle w:val="SidhuvudKantJmn"/>
      <w:framePr w:w="8731" w:h="567" w:hRule="exact" w:vSpace="0" w:wrap="around" w:vAnchor="page" w:y="341" w:anchorLock="0"/>
    </w:pPr>
    <w:r w:rsidRPr="00AA7200">
      <w:fldChar w:fldCharType="begin" w:fldLock="1"/>
    </w:r>
    <w:r w:rsidRPr="00AA7200">
      <w:instrText xml:space="preserve"> if </w:instrText>
    </w:r>
    <w:r w:rsidRPr="00AA7200">
      <w:fldChar w:fldCharType="begin" w:fldLock="1"/>
    </w:r>
    <w:r w:rsidRPr="00AA7200">
      <w:instrText xml:space="preserve"> page</w:instrText>
    </w:r>
    <w:r w:rsidRPr="00AA7200">
      <w:fldChar w:fldCharType="separate"/>
    </w:r>
    <w:r w:rsidR="00831B77" w:rsidRPr="00AA7200">
      <w:instrText>4</w:instrText>
    </w:r>
    <w:r w:rsidRPr="00AA7200">
      <w:fldChar w:fldCharType="end"/>
    </w:r>
    <w:r w:rsidRPr="00AA7200">
      <w:instrText xml:space="preserve"> &gt; 1 "</w:instrText>
    </w:r>
    <w:r w:rsidRPr="00AA7200">
      <w:fldChar w:fldCharType="begin" w:fldLock="1"/>
    </w:r>
    <w:r w:rsidRPr="00AA7200">
      <w:instrText xml:space="preserve"> if </w:instrText>
    </w:r>
    <w:r w:rsidRPr="00AA7200">
      <w:fldChar w:fldCharType="begin" w:fldLock="1"/>
    </w:r>
    <w:r w:rsidRPr="00AA7200">
      <w:instrText xml:space="preserve"> = </w:instrText>
    </w:r>
    <w:r w:rsidRPr="00AA7200">
      <w:fldChar w:fldCharType="begin" w:fldLock="1"/>
    </w:r>
    <w:r w:rsidRPr="00AA7200">
      <w:instrText xml:space="preserve"> = </w:instrText>
    </w:r>
    <w:r w:rsidRPr="00AA7200">
      <w:fldChar w:fldCharType="begin" w:fldLock="1"/>
    </w:r>
    <w:r w:rsidRPr="00AA7200">
      <w:instrText xml:space="preserve"> page</w:instrText>
    </w:r>
    <w:r w:rsidRPr="00AA7200">
      <w:fldChar w:fldCharType="separate"/>
    </w:r>
    <w:r w:rsidR="00831B77" w:rsidRPr="00AA7200">
      <w:instrText>4</w:instrText>
    </w:r>
    <w:r w:rsidRPr="00AA7200">
      <w:fldChar w:fldCharType="end"/>
    </w:r>
    <w:r w:rsidRPr="00AA7200">
      <w:instrText xml:space="preserve">/2 </w:instrText>
    </w:r>
    <w:r w:rsidRPr="00AA7200">
      <w:fldChar w:fldCharType="separate"/>
    </w:r>
    <w:r w:rsidR="00831B77" w:rsidRPr="00AA7200">
      <w:instrText>2</w:instrText>
    </w:r>
    <w:r w:rsidRPr="00AA7200">
      <w:fldChar w:fldCharType="end"/>
    </w:r>
    <w:r w:rsidRPr="00AA7200">
      <w:instrText xml:space="preserve"> - </w:instrText>
    </w:r>
    <w:r w:rsidRPr="00AA7200">
      <w:fldChar w:fldCharType="begin" w:fldLock="1"/>
    </w:r>
    <w:r w:rsidRPr="00AA7200">
      <w:instrText xml:space="preserve"> = int(</w:instrText>
    </w:r>
    <w:r w:rsidRPr="00AA7200">
      <w:fldChar w:fldCharType="begin" w:fldLock="1"/>
    </w:r>
    <w:r w:rsidRPr="00AA7200">
      <w:instrText xml:space="preserve"> page</w:instrText>
    </w:r>
    <w:r w:rsidRPr="00AA7200">
      <w:fldChar w:fldCharType="separate"/>
    </w:r>
    <w:r w:rsidR="00831B77" w:rsidRPr="00AA7200">
      <w:instrText>4</w:instrText>
    </w:r>
    <w:r w:rsidRPr="00AA7200">
      <w:fldChar w:fldCharType="end"/>
    </w:r>
    <w:r w:rsidRPr="00AA7200">
      <w:instrText xml:space="preserve">/2) </w:instrText>
    </w:r>
    <w:r w:rsidRPr="00AA7200">
      <w:fldChar w:fldCharType="separate"/>
    </w:r>
    <w:r w:rsidR="00831B77" w:rsidRPr="00AA7200">
      <w:instrText>2</w:instrText>
    </w:r>
    <w:r w:rsidRPr="00AA7200">
      <w:fldChar w:fldCharType="end"/>
    </w:r>
    <w:r w:rsidRPr="00AA7200">
      <w:fldChar w:fldCharType="separate"/>
    </w:r>
    <w:r w:rsidR="00831B77" w:rsidRPr="00AA7200">
      <w:instrText>0</w:instrText>
    </w:r>
    <w:r w:rsidRPr="00AA7200">
      <w:fldChar w:fldCharType="end"/>
    </w:r>
    <w:r w:rsidRPr="00AA7200">
      <w:instrText xml:space="preserve"> = 0 "</w:instrText>
    </w:r>
    <w:r w:rsidRPr="00AA7200">
      <w:rPr>
        <w:rStyle w:val="SidhuvudUtskott"/>
      </w:rPr>
      <w:fldChar w:fldCharType="begin" w:fldLock="1"/>
    </w:r>
    <w:r w:rsidRPr="00AA7200">
      <w:rPr>
        <w:rStyle w:val="SidhuvudUtskott"/>
      </w:rPr>
      <w:instrText xml:space="preserve"> DOCPROPERTY BetänkandeÅr</w:instrText>
    </w:r>
    <w:r w:rsidRPr="00AA7200">
      <w:rPr>
        <w:rStyle w:val="SidhuvudUtskott"/>
      </w:rPr>
      <w:fldChar w:fldCharType="separate"/>
    </w:r>
    <w:r w:rsidR="003C571B" w:rsidRPr="00AA7200">
      <w:rPr>
        <w:rStyle w:val="SidhuvudUtskott"/>
      </w:rPr>
      <w:instrText>2011/12</w:instrText>
    </w:r>
    <w:r w:rsidRPr="00AA7200">
      <w:rPr>
        <w:rStyle w:val="SidhuvudUtskott"/>
      </w:rPr>
      <w:fldChar w:fldCharType="end"/>
    </w:r>
    <w:r w:rsidRPr="00AA7200">
      <w:rPr>
        <w:rStyle w:val="SidhuvudUtskott"/>
      </w:rPr>
      <w:instrText>:</w:instrText>
    </w:r>
    <w:r w:rsidRPr="00AA7200">
      <w:rPr>
        <w:rStyle w:val="SidhuvudUtskott"/>
      </w:rPr>
      <w:fldChar w:fldCharType="begin" w:fldLock="1"/>
    </w:r>
    <w:r w:rsidRPr="00AA7200">
      <w:rPr>
        <w:rStyle w:val="SidhuvudUtskott"/>
      </w:rPr>
      <w:instrText xml:space="preserve"> DOCPR</w:instrText>
    </w:r>
    <w:r w:rsidRPr="00AA7200">
      <w:rPr>
        <w:rStyle w:val="SidhuvudUtskott"/>
      </w:rPr>
      <w:instrText>O</w:instrText>
    </w:r>
    <w:r w:rsidRPr="00AA7200">
      <w:rPr>
        <w:rStyle w:val="SidhuvudUtskott"/>
      </w:rPr>
      <w:instrText>PE</w:instrText>
    </w:r>
    <w:r w:rsidRPr="00AA7200">
      <w:rPr>
        <w:rStyle w:val="SidhuvudUtskott"/>
      </w:rPr>
      <w:instrText>R</w:instrText>
    </w:r>
    <w:r w:rsidRPr="00AA7200">
      <w:rPr>
        <w:rStyle w:val="SidhuvudUtskott"/>
      </w:rPr>
      <w:instrText>TY Utskott</w:instrText>
    </w:r>
    <w:r w:rsidRPr="00AA7200">
      <w:rPr>
        <w:rStyle w:val="SidhuvudUtskott"/>
      </w:rPr>
      <w:fldChar w:fldCharType="separate"/>
    </w:r>
    <w:r w:rsidR="003C571B" w:rsidRPr="00AA7200">
      <w:rPr>
        <w:rStyle w:val="SidhuvudUtskott"/>
      </w:rPr>
      <w:instrText>RS</w:instrText>
    </w:r>
    <w:r w:rsidRPr="00AA7200">
      <w:rPr>
        <w:rStyle w:val="SidhuvudUtskott"/>
      </w:rPr>
      <w:fldChar w:fldCharType="end"/>
    </w:r>
    <w:r w:rsidRPr="00AA7200">
      <w:rPr>
        <w:rStyle w:val="SidhuvudUtskott"/>
      </w:rPr>
      <w:fldChar w:fldCharType="begin" w:fldLock="1"/>
    </w:r>
    <w:r w:rsidRPr="00AA7200">
      <w:rPr>
        <w:rStyle w:val="SidhuvudUtskott"/>
      </w:rPr>
      <w:instrText xml:space="preserve"> DOCPROPERTY BetänkandeNr</w:instrText>
    </w:r>
    <w:r w:rsidRPr="00AA7200">
      <w:rPr>
        <w:rStyle w:val="SidhuvudUtskott"/>
      </w:rPr>
      <w:fldChar w:fldCharType="separate"/>
    </w:r>
    <w:r w:rsidR="003C571B" w:rsidRPr="00AA7200">
      <w:rPr>
        <w:rStyle w:val="SidhuvudUtskott"/>
      </w:rPr>
      <w:instrText>1</w:instrText>
    </w:r>
    <w:r w:rsidRPr="00AA7200">
      <w:rPr>
        <w:rStyle w:val="SidhuvudUtskott"/>
      </w:rPr>
      <w:fldChar w:fldCharType="end"/>
    </w:r>
    <w:r w:rsidRPr="00AA7200">
      <w:instrText xml:space="preserve">    </w:instrText>
    </w:r>
  </w:p>
  <w:p w:rsidR="00313121" w:rsidRPr="00AA7200" w:rsidRDefault="00313121" w:rsidP="00012EBD">
    <w:pPr>
      <w:pStyle w:val="SidhuvudKantJmn"/>
      <w:framePr w:w="8731" w:h="567" w:hRule="exact" w:vSpace="0" w:wrap="around" w:vAnchor="page" w:y="341" w:anchorLock="0"/>
    </w:pPr>
    <w:r w:rsidRPr="00AA7200">
      <w:rPr>
        <w:rStyle w:val="SidhuvudUtskott"/>
      </w:rPr>
      <w:fldChar w:fldCharType="begin" w:fldLock="1"/>
    </w:r>
    <w:r w:rsidRPr="00AA7200">
      <w:rPr>
        <w:rStyle w:val="SidhuvudUtskott"/>
      </w:rPr>
      <w:instrText xml:space="preserve"> DOCPROPERTY Status</w:instrText>
    </w:r>
    <w:r w:rsidRPr="00AA7200">
      <w:rPr>
        <w:rStyle w:val="SidhuvudUtskott"/>
      </w:rPr>
      <w:fldChar w:fldCharType="end"/>
    </w:r>
    <w:r w:rsidRPr="00AA7200">
      <w:rPr>
        <w:rStyle w:val="SidhuvudUtskott"/>
      </w:rPr>
      <w:fldChar w:fldCharType="begin" w:fldLock="1"/>
    </w:r>
    <w:r w:rsidRPr="00AA7200">
      <w:rPr>
        <w:rStyle w:val="SidhuvudUtskott"/>
      </w:rPr>
      <w:instrText xml:space="preserve"> if </w:instrText>
    </w:r>
    <w:r w:rsidRPr="00AA7200">
      <w:rPr>
        <w:rStyle w:val="SidhuvudUtskott"/>
      </w:rPr>
      <w:fldChar w:fldCharType="begin" w:fldLock="1"/>
    </w:r>
    <w:r w:rsidRPr="00AA7200">
      <w:rPr>
        <w:rStyle w:val="SidhuvudUtskott"/>
      </w:rPr>
      <w:instrText xml:space="preserve"> DOCPROPERTY "UtkastDatum"</w:instrText>
    </w:r>
    <w:r w:rsidRPr="00AA7200">
      <w:rPr>
        <w:rStyle w:val="SidhuvudUtskott"/>
      </w:rPr>
      <w:fldChar w:fldCharType="separate"/>
    </w:r>
    <w:r w:rsidR="003C571B" w:rsidRPr="00AA7200">
      <w:rPr>
        <w:rStyle w:val="SidhuvudUtskott"/>
      </w:rPr>
      <w:instrText>Nej</w:instrText>
    </w:r>
    <w:r w:rsidRPr="00AA7200">
      <w:rPr>
        <w:rStyle w:val="SidhuvudUtskott"/>
      </w:rPr>
      <w:fldChar w:fldCharType="end"/>
    </w:r>
    <w:r w:rsidRPr="00AA7200">
      <w:rPr>
        <w:rStyle w:val="SidhuvudUtskott"/>
      </w:rPr>
      <w:instrText xml:space="preserve"> = "Ja" "    </w:instrText>
    </w:r>
    <w:r w:rsidRPr="00AA7200">
      <w:rPr>
        <w:rStyle w:val="SidhuvudUtskott"/>
      </w:rPr>
      <w:fldChar w:fldCharType="begin" w:fldLock="1"/>
    </w:r>
    <w:r w:rsidRPr="00AA7200">
      <w:rPr>
        <w:rStyle w:val="SidhuvudUtskott"/>
      </w:rPr>
      <w:instrText xml:space="preserve"> PRINTDATE \@ "yyyy-MM-dd HH.mm" </w:instrText>
    </w:r>
    <w:r w:rsidRPr="00AA7200">
      <w:rPr>
        <w:rStyle w:val="SidhuvudUtskott"/>
      </w:rPr>
      <w:fldChar w:fldCharType="separate"/>
    </w:r>
    <w:r w:rsidRPr="00AA7200">
      <w:rPr>
        <w:rStyle w:val="SidhuvudUtskott"/>
      </w:rPr>
      <w:instrText>2000-08-11 16.42</w:instrText>
    </w:r>
    <w:r w:rsidRPr="00AA7200">
      <w:rPr>
        <w:rStyle w:val="SidhuvudUtskott"/>
      </w:rPr>
      <w:fldChar w:fldCharType="end"/>
    </w:r>
    <w:r w:rsidRPr="00AA7200">
      <w:rPr>
        <w:rStyle w:val="SidhuvudUtskott"/>
      </w:rPr>
      <w:instrText xml:space="preserve">" </w:instrText>
    </w:r>
    <w:r w:rsidRPr="00AA7200">
      <w:rPr>
        <w:rStyle w:val="SidhuvudUtskott"/>
      </w:rPr>
      <w:fldChar w:fldCharType="end"/>
    </w:r>
  </w:p>
  <w:p w:rsidR="00313121" w:rsidRPr="00AA7200" w:rsidRDefault="00313121" w:rsidP="00012EBD">
    <w:pPr>
      <w:pStyle w:val="SidhuvudKantUdda"/>
      <w:framePr w:w="8731" w:h="567" w:hRule="exact" w:vSpace="0" w:wrap="around" w:vAnchor="page" w:y="341" w:anchorLock="0"/>
    </w:pPr>
    <w:r w:rsidRPr="00AA7200">
      <w:rPr>
        <w:rStyle w:val="SidhuvudRubrikReferens"/>
        <w:smallCaps w:val="0"/>
        <w:spacing w:val="0"/>
        <w:sz w:val="19"/>
      </w:rPr>
      <w:instrText xml:space="preserve"> </w:instrText>
    </w:r>
    <w:r w:rsidRPr="00AA7200">
      <w:instrText xml:space="preserve">"  "  </w:instrText>
    </w:r>
    <w:r w:rsidRPr="00AA7200">
      <w:rPr>
        <w:rStyle w:val="SidhuvudUtskott"/>
      </w:rPr>
      <w:fldChar w:fldCharType="begin" w:fldLock="1"/>
    </w:r>
    <w:r w:rsidRPr="00AA7200">
      <w:rPr>
        <w:rStyle w:val="SidhuvudUtskott"/>
      </w:rPr>
      <w:instrText xml:space="preserve"> DOCPROPERTY BetänkandeÅr</w:instrText>
    </w:r>
    <w:r w:rsidRPr="00AA7200">
      <w:rPr>
        <w:rStyle w:val="SidhuvudUtskott"/>
      </w:rPr>
      <w:fldChar w:fldCharType="separate"/>
    </w:r>
    <w:r w:rsidRPr="00AA7200">
      <w:rPr>
        <w:rStyle w:val="SidhuvudUtskott"/>
      </w:rPr>
      <w:instrText>2011/12</w:instrText>
    </w:r>
    <w:r w:rsidRPr="00AA7200">
      <w:rPr>
        <w:rStyle w:val="SidhuvudUtskott"/>
      </w:rPr>
      <w:fldChar w:fldCharType="end"/>
    </w:r>
    <w:r w:rsidRPr="00AA7200">
      <w:rPr>
        <w:rStyle w:val="SidhuvudUtskott"/>
      </w:rPr>
      <w:instrText>:</w:instrText>
    </w:r>
    <w:r w:rsidRPr="00AA7200">
      <w:rPr>
        <w:rStyle w:val="SidhuvudUtskott"/>
      </w:rPr>
      <w:fldChar w:fldCharType="begin" w:fldLock="1"/>
    </w:r>
    <w:r w:rsidRPr="00AA7200">
      <w:rPr>
        <w:rStyle w:val="SidhuvudUtskott"/>
      </w:rPr>
      <w:instrText xml:space="preserve"> DOCPROPERTY Utskott</w:instrText>
    </w:r>
    <w:r w:rsidRPr="00AA7200">
      <w:rPr>
        <w:rStyle w:val="SidhuvudUtskott"/>
      </w:rPr>
      <w:fldChar w:fldCharType="separate"/>
    </w:r>
    <w:r w:rsidRPr="00AA7200">
      <w:rPr>
        <w:rStyle w:val="SidhuvudUtskott"/>
      </w:rPr>
      <w:instrText>RS</w:instrText>
    </w:r>
    <w:r w:rsidRPr="00AA7200">
      <w:rPr>
        <w:rStyle w:val="SidhuvudUtskott"/>
      </w:rPr>
      <w:fldChar w:fldCharType="end"/>
    </w:r>
    <w:r w:rsidRPr="00AA7200">
      <w:rPr>
        <w:rStyle w:val="SidhuvudUtskott"/>
      </w:rPr>
      <w:fldChar w:fldCharType="begin" w:fldLock="1"/>
    </w:r>
    <w:r w:rsidRPr="00AA7200">
      <w:rPr>
        <w:rStyle w:val="SidhuvudUtskott"/>
      </w:rPr>
      <w:instrText xml:space="preserve"> DOCPROPERTY BetänkandeNr</w:instrText>
    </w:r>
    <w:r w:rsidRPr="00AA7200">
      <w:rPr>
        <w:rStyle w:val="SidhuvudUtskott"/>
      </w:rPr>
      <w:fldChar w:fldCharType="separate"/>
    </w:r>
    <w:r w:rsidRPr="00AA7200">
      <w:rPr>
        <w:rStyle w:val="SidhuvudUtskott"/>
      </w:rPr>
      <w:instrText>100</w:instrText>
    </w:r>
    <w:r w:rsidRPr="00AA7200">
      <w:rPr>
        <w:rStyle w:val="SidhuvudUtskott"/>
      </w:rPr>
      <w:fldChar w:fldCharType="end"/>
    </w:r>
  </w:p>
  <w:p w:rsidR="00831B77" w:rsidRPr="00AA7200" w:rsidRDefault="00313121" w:rsidP="00012EBD">
    <w:pPr>
      <w:pStyle w:val="SidhuvudKantJmn"/>
      <w:framePr w:w="8731" w:h="567" w:hRule="exact" w:vSpace="0" w:wrap="around" w:vAnchor="page" w:y="341" w:anchorLock="0"/>
    </w:pPr>
    <w:r w:rsidRPr="00AA7200">
      <w:rPr>
        <w:rStyle w:val="SidhuvudUtskott"/>
      </w:rPr>
      <w:fldChar w:fldCharType="begin" w:fldLock="1"/>
    </w:r>
    <w:r w:rsidRPr="00AA7200">
      <w:rPr>
        <w:rStyle w:val="SidhuvudUtskott"/>
      </w:rPr>
      <w:instrText xml:space="preserve"> if </w:instrText>
    </w:r>
    <w:r w:rsidRPr="00AA7200">
      <w:rPr>
        <w:rStyle w:val="SidhuvudUtskott"/>
      </w:rPr>
      <w:fldChar w:fldCharType="begin" w:fldLock="1"/>
    </w:r>
    <w:r w:rsidRPr="00AA7200">
      <w:rPr>
        <w:rStyle w:val="SidhuvudUtskott"/>
      </w:rPr>
      <w:instrText xml:space="preserve"> DOCPROPERTY "UtkastDatum"</w:instrText>
    </w:r>
    <w:r w:rsidRPr="00AA7200">
      <w:rPr>
        <w:rStyle w:val="SidhuvudUtskott"/>
      </w:rPr>
      <w:fldChar w:fldCharType="separate"/>
    </w:r>
    <w:r w:rsidRPr="00AA7200">
      <w:rPr>
        <w:rStyle w:val="SidhuvudUtskott"/>
      </w:rPr>
      <w:instrText>Nej</w:instrText>
    </w:r>
    <w:r w:rsidRPr="00AA7200">
      <w:rPr>
        <w:rStyle w:val="SidhuvudUtskott"/>
      </w:rPr>
      <w:fldChar w:fldCharType="end"/>
    </w:r>
    <w:r w:rsidRPr="00AA7200">
      <w:rPr>
        <w:rStyle w:val="SidhuvudUtskott"/>
      </w:rPr>
      <w:instrText xml:space="preserve"> = "Ja" "</w:instrText>
    </w:r>
    <w:r w:rsidRPr="00AA7200">
      <w:rPr>
        <w:rStyle w:val="SidhuvudUtskott"/>
      </w:rPr>
      <w:fldChar w:fldCharType="begin" w:fldLock="1"/>
    </w:r>
    <w:r w:rsidRPr="00AA7200">
      <w:rPr>
        <w:rStyle w:val="SidhuvudUtskott"/>
      </w:rPr>
      <w:instrText xml:space="preserve"> PRINTDATE \@ "yyyy-MM-dd HH.mm    " </w:instrText>
    </w:r>
    <w:r w:rsidRPr="00AA7200">
      <w:rPr>
        <w:rStyle w:val="SidhuvudUtskott"/>
      </w:rPr>
      <w:fldChar w:fldCharType="separate"/>
    </w:r>
    <w:r w:rsidRPr="00AA7200">
      <w:rPr>
        <w:rStyle w:val="SidhuvudUtskott"/>
      </w:rPr>
      <w:instrText>2000-08-11 16.42</w:instrText>
    </w:r>
    <w:r w:rsidRPr="00AA7200">
      <w:rPr>
        <w:rStyle w:val="SidhuvudUtskott"/>
      </w:rPr>
      <w:fldChar w:fldCharType="end"/>
    </w:r>
    <w:r w:rsidRPr="00AA7200">
      <w:rPr>
        <w:rStyle w:val="SidhuvudUtskott"/>
      </w:rPr>
      <w:instrText xml:space="preserve">" </w:instrText>
    </w:r>
    <w:r w:rsidRPr="00AA7200">
      <w:rPr>
        <w:rStyle w:val="SidhuvudUtskott"/>
      </w:rPr>
      <w:fldChar w:fldCharType="end"/>
    </w:r>
    <w:r w:rsidRPr="00AA7200">
      <w:rPr>
        <w:rStyle w:val="SidhuvudUtskott"/>
      </w:rPr>
      <w:fldChar w:fldCharType="begin" w:fldLock="1"/>
    </w:r>
    <w:r w:rsidRPr="00AA7200">
      <w:rPr>
        <w:rStyle w:val="SidhuvudUtskott"/>
      </w:rPr>
      <w:instrText xml:space="preserve"> DOCPR</w:instrText>
    </w:r>
    <w:r w:rsidRPr="00AA7200">
      <w:rPr>
        <w:rStyle w:val="SidhuvudUtskott"/>
      </w:rPr>
      <w:instrText>O</w:instrText>
    </w:r>
    <w:r w:rsidRPr="00AA7200">
      <w:rPr>
        <w:rStyle w:val="SidhuvudUtskott"/>
      </w:rPr>
      <w:instrText>PERTY Status</w:instrText>
    </w:r>
    <w:r w:rsidRPr="00AA7200">
      <w:rPr>
        <w:rStyle w:val="SidhuvudUtskott"/>
      </w:rPr>
      <w:fldChar w:fldCharType="separate"/>
    </w:r>
    <w:r w:rsidRPr="00AA7200">
      <w:rPr>
        <w:rStyle w:val="SidhuvudUtskott"/>
      </w:rPr>
      <w:instrText>Utkast</w:instrText>
    </w:r>
    <w:r w:rsidRPr="00AA7200">
      <w:rPr>
        <w:rStyle w:val="SidhuvudUtskott"/>
      </w:rPr>
      <w:fldChar w:fldCharType="end"/>
    </w:r>
    <w:r w:rsidRPr="00AA7200">
      <w:instrText>"</w:instrText>
    </w:r>
    <w:r w:rsidRPr="00AA7200">
      <w:fldChar w:fldCharType="separate"/>
    </w:r>
    <w:r w:rsidR="00831B77" w:rsidRPr="00AA7200">
      <w:rPr>
        <w:rStyle w:val="SidhuvudUtskott"/>
      </w:rPr>
      <w:instrText>2011/12:RS1</w:instrText>
    </w:r>
    <w:r w:rsidR="00831B77" w:rsidRPr="00AA7200">
      <w:instrText xml:space="preserve">    </w:instrText>
    </w:r>
  </w:p>
  <w:p w:rsidR="00831B77" w:rsidRPr="00AA7200" w:rsidRDefault="00831B77" w:rsidP="00012EBD">
    <w:pPr>
      <w:pStyle w:val="SidhuvudKantJmn"/>
      <w:framePr w:w="8731" w:h="567" w:hRule="exact" w:vSpace="0" w:wrap="around" w:vAnchor="page" w:y="341" w:anchorLock="0"/>
    </w:pPr>
  </w:p>
  <w:p w:rsidR="00831B77" w:rsidRPr="00AA7200" w:rsidRDefault="00831B77" w:rsidP="00012EBD">
    <w:pPr>
      <w:pStyle w:val="SidhuvudKantJmn"/>
      <w:framePr w:w="8731" w:h="567" w:hRule="exact" w:vSpace="0" w:wrap="around" w:vAnchor="page" w:y="341" w:anchorLock="0"/>
    </w:pPr>
    <w:r w:rsidRPr="00AA7200">
      <w:rPr>
        <w:rStyle w:val="SidhuvudRubrikReferens"/>
        <w:smallCaps w:val="0"/>
        <w:spacing w:val="0"/>
        <w:sz w:val="19"/>
      </w:rPr>
      <w:instrText xml:space="preserve"> </w:instrText>
    </w:r>
    <w:r w:rsidR="00313121" w:rsidRPr="00AA7200">
      <w:fldChar w:fldCharType="end"/>
    </w:r>
    <w:r w:rsidR="00313121" w:rsidRPr="00AA7200">
      <w:instrText>" " "</w:instrText>
    </w:r>
    <w:r w:rsidR="00313121" w:rsidRPr="00AA7200">
      <w:fldChar w:fldCharType="separate"/>
    </w:r>
    <w:r w:rsidRPr="00AA7200">
      <w:rPr>
        <w:rStyle w:val="SidhuvudUtskott"/>
      </w:rPr>
      <w:t>2011/12:RS1</w:t>
    </w:r>
    <w:r w:rsidRPr="00AA7200">
      <w:t xml:space="preserve">    </w:t>
    </w:r>
  </w:p>
  <w:p w:rsidR="00831B77" w:rsidRPr="00AA7200" w:rsidRDefault="00831B77" w:rsidP="00012EBD">
    <w:pPr>
      <w:pStyle w:val="SidhuvudKantJmn"/>
      <w:framePr w:w="8731" w:h="567" w:hRule="exact" w:vSpace="0" w:wrap="around" w:vAnchor="page" w:y="341" w:anchorLock="0"/>
    </w:pPr>
  </w:p>
  <w:p w:rsidR="00313121" w:rsidRPr="00AA7200" w:rsidRDefault="00831B77" w:rsidP="00012EBD">
    <w:pPr>
      <w:pStyle w:val="SidhuvudKantUdda"/>
      <w:framePr w:w="8731" w:h="567" w:hRule="exact" w:vSpace="0" w:wrap="around" w:vAnchor="page" w:y="341" w:anchorLock="0"/>
    </w:pPr>
    <w:r w:rsidRPr="00AA7200">
      <w:rPr>
        <w:rStyle w:val="SidhuvudRubrikReferens"/>
        <w:smallCaps w:val="0"/>
        <w:spacing w:val="0"/>
        <w:sz w:val="19"/>
      </w:rPr>
      <w:t xml:space="preserve"> </w:t>
    </w:r>
    <w:r w:rsidR="00313121" w:rsidRPr="00AA7200">
      <w:fldChar w:fldCharType="end"/>
    </w:r>
  </w:p>
  <w:p w:rsidR="00313121" w:rsidRPr="00AA7200" w:rsidRDefault="0031312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121" w:rsidRPr="00AA7200" w:rsidRDefault="00313121">
    <w:pPr>
      <w:pStyle w:val="SidhuvudKantJmn"/>
      <w:framePr w:w="8732" w:h="567" w:hRule="exact" w:vSpace="0" w:wrap="around" w:vAnchor="page" w:y="341" w:anchorLock="0"/>
    </w:pPr>
    <w:r w:rsidRPr="00AA7200">
      <w:rPr>
        <w:rStyle w:val="SidhuvudUtskott"/>
      </w:rPr>
      <w:fldChar w:fldCharType="begin" w:fldLock="1"/>
    </w:r>
    <w:r w:rsidRPr="00AA7200">
      <w:rPr>
        <w:rStyle w:val="SidhuvudUtskott"/>
      </w:rPr>
      <w:instrText xml:space="preserve"> DOCPROPERTY BetänkandeÅr</w:instrText>
    </w:r>
    <w:r w:rsidRPr="00AA7200">
      <w:rPr>
        <w:rStyle w:val="SidhuvudUtskott"/>
      </w:rPr>
      <w:fldChar w:fldCharType="separate"/>
    </w:r>
    <w:r w:rsidR="003C571B" w:rsidRPr="00AA7200">
      <w:rPr>
        <w:rStyle w:val="SidhuvudUtskott"/>
      </w:rPr>
      <w:t>2011/12</w:t>
    </w:r>
    <w:r w:rsidRPr="00AA7200">
      <w:rPr>
        <w:rStyle w:val="SidhuvudUtskott"/>
      </w:rPr>
      <w:fldChar w:fldCharType="end"/>
    </w:r>
    <w:r w:rsidRPr="00AA7200">
      <w:rPr>
        <w:rStyle w:val="SidhuvudUtskott"/>
      </w:rPr>
      <w:t>:</w:t>
    </w:r>
    <w:r w:rsidRPr="00AA7200">
      <w:rPr>
        <w:rStyle w:val="SidhuvudUtskott"/>
      </w:rPr>
      <w:fldChar w:fldCharType="begin" w:fldLock="1"/>
    </w:r>
    <w:r w:rsidRPr="00AA7200">
      <w:rPr>
        <w:rStyle w:val="SidhuvudUtskott"/>
      </w:rPr>
      <w:instrText xml:space="preserve"> DOCPROPERTY Utskott</w:instrText>
    </w:r>
    <w:r w:rsidRPr="00AA7200">
      <w:rPr>
        <w:rStyle w:val="SidhuvudUtskott"/>
      </w:rPr>
      <w:fldChar w:fldCharType="separate"/>
    </w:r>
    <w:r w:rsidR="003C571B" w:rsidRPr="00AA7200">
      <w:rPr>
        <w:rStyle w:val="SidhuvudUtskott"/>
      </w:rPr>
      <w:t>RS</w:t>
    </w:r>
    <w:r w:rsidRPr="00AA7200">
      <w:rPr>
        <w:rStyle w:val="SidhuvudUtskott"/>
      </w:rPr>
      <w:fldChar w:fldCharType="end"/>
    </w:r>
    <w:r w:rsidRPr="00AA7200">
      <w:rPr>
        <w:rStyle w:val="SidhuvudUtskott"/>
      </w:rPr>
      <w:fldChar w:fldCharType="begin" w:fldLock="1"/>
    </w:r>
    <w:r w:rsidRPr="00AA7200">
      <w:rPr>
        <w:rStyle w:val="SidhuvudUtskott"/>
      </w:rPr>
      <w:instrText xml:space="preserve"> DOCPROPERTY BetänkandeNr</w:instrText>
    </w:r>
    <w:r w:rsidRPr="00AA7200">
      <w:rPr>
        <w:rStyle w:val="SidhuvudUtskott"/>
      </w:rPr>
      <w:fldChar w:fldCharType="separate"/>
    </w:r>
    <w:r w:rsidR="003C571B" w:rsidRPr="00AA7200">
      <w:rPr>
        <w:rStyle w:val="SidhuvudUtskott"/>
      </w:rPr>
      <w:t>1</w:t>
    </w:r>
    <w:r w:rsidRPr="00AA7200">
      <w:rPr>
        <w:rStyle w:val="SidhuvudUtskott"/>
      </w:rPr>
      <w:fldChar w:fldCharType="end"/>
    </w:r>
    <w:r w:rsidRPr="00AA7200">
      <w:t xml:space="preserve">     </w:t>
    </w:r>
    <w:r w:rsidRPr="00AA7200">
      <w:rPr>
        <w:rStyle w:val="SidhuvudBilaga"/>
      </w:rPr>
      <w:t xml:space="preserve"> </w:t>
    </w:r>
    <w:r w:rsidRPr="00AA7200">
      <w:rPr>
        <w:rStyle w:val="SidhuvudRubrikReferens"/>
      </w:rPr>
      <w:fldChar w:fldCharType="begin" w:fldLock="1"/>
    </w:r>
    <w:r w:rsidRPr="00AA7200">
      <w:rPr>
        <w:rStyle w:val="SidhuvudRubrikReferens"/>
      </w:rPr>
      <w:instrText xml:space="preserve"> StyleREF "Rubrik 1" </w:instrText>
    </w:r>
    <w:r w:rsidRPr="00AA7200">
      <w:rPr>
        <w:rStyle w:val="SidhuvudRubrikReferens"/>
      </w:rPr>
      <w:fldChar w:fldCharType="separate"/>
    </w:r>
    <w:r w:rsidR="003C571B" w:rsidRPr="00AA7200">
      <w:rPr>
        <w:rStyle w:val="SidhuvudRubrikReferens"/>
      </w:rPr>
      <w:t>2 Lagtext</w:t>
    </w:r>
    <w:r w:rsidRPr="00AA7200">
      <w:rPr>
        <w:rStyle w:val="SidhuvudRubrikReferens"/>
      </w:rPr>
      <w:fldChar w:fldCharType="end"/>
    </w:r>
  </w:p>
  <w:p w:rsidR="00313121" w:rsidRPr="00AA7200" w:rsidRDefault="00313121">
    <w:pPr>
      <w:pStyle w:val="SidhuvudKantJmn"/>
      <w:framePr w:w="8732" w:h="567" w:hRule="exact" w:vSpace="0" w:wrap="around" w:vAnchor="page" w:y="341" w:anchorLock="0"/>
    </w:pPr>
    <w:r w:rsidRPr="00AA7200">
      <w:rPr>
        <w:rStyle w:val="SidhuvudUtskott"/>
      </w:rPr>
      <w:fldChar w:fldCharType="begin" w:fldLock="1"/>
    </w:r>
    <w:r w:rsidRPr="00AA7200">
      <w:rPr>
        <w:rStyle w:val="SidhuvudUtskott"/>
      </w:rPr>
      <w:instrText xml:space="preserve"> DOCPROPERTY Status</w:instrText>
    </w:r>
    <w:r w:rsidRPr="00AA7200">
      <w:rPr>
        <w:rStyle w:val="SidhuvudUtskott"/>
      </w:rPr>
      <w:fldChar w:fldCharType="end"/>
    </w:r>
    <w:r w:rsidRPr="00AA7200">
      <w:rPr>
        <w:rStyle w:val="SidhuvudUtskott"/>
      </w:rPr>
      <w:fldChar w:fldCharType="begin" w:fldLock="1"/>
    </w:r>
    <w:r w:rsidRPr="00AA7200">
      <w:rPr>
        <w:rStyle w:val="SidhuvudUtskott"/>
      </w:rPr>
      <w:instrText xml:space="preserve"> if </w:instrText>
    </w:r>
    <w:r w:rsidRPr="00AA7200">
      <w:rPr>
        <w:rStyle w:val="SidhuvudUtskott"/>
      </w:rPr>
      <w:fldChar w:fldCharType="begin" w:fldLock="1"/>
    </w:r>
    <w:r w:rsidRPr="00AA7200">
      <w:rPr>
        <w:rStyle w:val="SidhuvudUtskott"/>
      </w:rPr>
      <w:instrText xml:space="preserve"> DOCPROPERTY "UtkastDatum"</w:instrText>
    </w:r>
    <w:r w:rsidRPr="00AA7200">
      <w:rPr>
        <w:rStyle w:val="SidhuvudUtskott"/>
      </w:rPr>
      <w:fldChar w:fldCharType="separate"/>
    </w:r>
    <w:r w:rsidR="003C571B" w:rsidRPr="00AA7200">
      <w:rPr>
        <w:rStyle w:val="SidhuvudUtskott"/>
      </w:rPr>
      <w:instrText>Nej</w:instrText>
    </w:r>
    <w:r w:rsidRPr="00AA7200">
      <w:rPr>
        <w:rStyle w:val="SidhuvudUtskott"/>
      </w:rPr>
      <w:fldChar w:fldCharType="end"/>
    </w:r>
    <w:r w:rsidRPr="00AA7200">
      <w:rPr>
        <w:rStyle w:val="SidhuvudUtskott"/>
      </w:rPr>
      <w:instrText xml:space="preserve"> = "Ja" "    </w:instrText>
    </w:r>
    <w:r w:rsidRPr="00AA7200">
      <w:rPr>
        <w:rStyle w:val="SidhuvudUtskott"/>
      </w:rPr>
      <w:fldChar w:fldCharType="begin" w:fldLock="1"/>
    </w:r>
    <w:r w:rsidRPr="00AA7200">
      <w:rPr>
        <w:rStyle w:val="SidhuvudUtskott"/>
      </w:rPr>
      <w:instrText xml:space="preserve"> PRINTDATE \@ "yyyy-MM-dd HH.mm" </w:instrText>
    </w:r>
    <w:r w:rsidRPr="00AA7200">
      <w:rPr>
        <w:rStyle w:val="SidhuvudUtskott"/>
      </w:rPr>
      <w:fldChar w:fldCharType="separate"/>
    </w:r>
    <w:r w:rsidRPr="00AA7200">
      <w:rPr>
        <w:rStyle w:val="SidhuvudUtskott"/>
      </w:rPr>
      <w:instrText>2000-08-11 16.42</w:instrText>
    </w:r>
    <w:r w:rsidRPr="00AA7200">
      <w:rPr>
        <w:rStyle w:val="SidhuvudUtskott"/>
      </w:rPr>
      <w:fldChar w:fldCharType="end"/>
    </w:r>
    <w:r w:rsidRPr="00AA7200">
      <w:rPr>
        <w:rStyle w:val="SidhuvudUtskott"/>
      </w:rPr>
      <w:instrText xml:space="preserve">" </w:instrText>
    </w:r>
    <w:r w:rsidRPr="00AA7200">
      <w:rPr>
        <w:rStyle w:val="SidhuvudUtskott"/>
      </w:rPr>
      <w:fldChar w:fldCharType="end"/>
    </w:r>
  </w:p>
  <w:p w:rsidR="00313121" w:rsidRPr="00AA7200" w:rsidRDefault="0031312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121" w:rsidRPr="00AA7200" w:rsidRDefault="00313121">
    <w:pPr>
      <w:pStyle w:val="SidhuvudKantUdda"/>
      <w:framePr w:w="8732" w:h="567" w:hRule="exact" w:vSpace="0" w:wrap="around" w:vAnchor="page" w:y="341" w:anchorLock="0"/>
    </w:pPr>
    <w:r w:rsidRPr="00AA7200">
      <w:rPr>
        <w:rStyle w:val="SidhuvudRubrikReferens"/>
      </w:rPr>
      <w:fldChar w:fldCharType="begin" w:fldLock="1"/>
    </w:r>
    <w:r w:rsidRPr="00AA7200">
      <w:rPr>
        <w:rStyle w:val="SidhuvudRubrikReferens"/>
      </w:rPr>
      <w:instrText xml:space="preserve"> StyleREF "Rubrik 1" </w:instrText>
    </w:r>
    <w:r w:rsidRPr="00AA7200">
      <w:rPr>
        <w:rStyle w:val="SidhuvudRubrikReferens"/>
      </w:rPr>
      <w:fldChar w:fldCharType="separate"/>
    </w:r>
    <w:r w:rsidR="003C571B" w:rsidRPr="00AA7200">
      <w:rPr>
        <w:rStyle w:val="SidhuvudRubrikReferens"/>
      </w:rPr>
      <w:t>2 Lagtext</w:t>
    </w:r>
    <w:r w:rsidRPr="00AA7200">
      <w:rPr>
        <w:rStyle w:val="SidhuvudRubrikReferens"/>
      </w:rPr>
      <w:fldChar w:fldCharType="end"/>
    </w:r>
    <w:r w:rsidRPr="00AA7200">
      <w:rPr>
        <w:rStyle w:val="SidhuvudBilaga"/>
      </w:rPr>
      <w:t xml:space="preserve"> </w:t>
    </w:r>
    <w:r w:rsidRPr="00AA7200">
      <w:t xml:space="preserve">     </w:t>
    </w:r>
    <w:r w:rsidRPr="00AA7200">
      <w:rPr>
        <w:rStyle w:val="SidhuvudUtskott"/>
      </w:rPr>
      <w:fldChar w:fldCharType="begin" w:fldLock="1"/>
    </w:r>
    <w:r w:rsidRPr="00AA7200">
      <w:rPr>
        <w:rStyle w:val="SidhuvudUtskott"/>
      </w:rPr>
      <w:instrText xml:space="preserve"> DOCPROPERTY BetänkandeÅr</w:instrText>
    </w:r>
    <w:r w:rsidRPr="00AA7200">
      <w:rPr>
        <w:rStyle w:val="SidhuvudUtskott"/>
      </w:rPr>
      <w:fldChar w:fldCharType="separate"/>
    </w:r>
    <w:r w:rsidR="003C571B" w:rsidRPr="00AA7200">
      <w:rPr>
        <w:rStyle w:val="SidhuvudUtskott"/>
      </w:rPr>
      <w:t>2011/12</w:t>
    </w:r>
    <w:r w:rsidRPr="00AA7200">
      <w:rPr>
        <w:rStyle w:val="SidhuvudUtskott"/>
      </w:rPr>
      <w:fldChar w:fldCharType="end"/>
    </w:r>
    <w:r w:rsidRPr="00AA7200">
      <w:rPr>
        <w:rStyle w:val="SidhuvudUtskott"/>
      </w:rPr>
      <w:t>:</w:t>
    </w:r>
    <w:r w:rsidRPr="00AA7200">
      <w:rPr>
        <w:rStyle w:val="SidhuvudUtskott"/>
      </w:rPr>
      <w:fldChar w:fldCharType="begin" w:fldLock="1"/>
    </w:r>
    <w:r w:rsidRPr="00AA7200">
      <w:rPr>
        <w:rStyle w:val="SidhuvudUtskott"/>
      </w:rPr>
      <w:instrText xml:space="preserve"> DOCPROPERTY</w:instrText>
    </w:r>
    <w:r w:rsidRPr="00AA7200">
      <w:instrText xml:space="preserve"> </w:instrText>
    </w:r>
    <w:r w:rsidRPr="00AA7200">
      <w:rPr>
        <w:rStyle w:val="SidhuvudUtskott"/>
      </w:rPr>
      <w:instrText>Utskott</w:instrText>
    </w:r>
    <w:r w:rsidRPr="00AA7200">
      <w:rPr>
        <w:rStyle w:val="SidhuvudUtskott"/>
      </w:rPr>
      <w:fldChar w:fldCharType="separate"/>
    </w:r>
    <w:r w:rsidR="003C571B" w:rsidRPr="00AA7200">
      <w:rPr>
        <w:rStyle w:val="SidhuvudUtskott"/>
      </w:rPr>
      <w:t>RS</w:t>
    </w:r>
    <w:r w:rsidRPr="00AA7200">
      <w:rPr>
        <w:rStyle w:val="SidhuvudUtskott"/>
      </w:rPr>
      <w:fldChar w:fldCharType="end"/>
    </w:r>
    <w:r w:rsidRPr="00AA7200">
      <w:rPr>
        <w:rStyle w:val="SidhuvudUtskott"/>
      </w:rPr>
      <w:fldChar w:fldCharType="begin" w:fldLock="1"/>
    </w:r>
    <w:r w:rsidRPr="00AA7200">
      <w:rPr>
        <w:rStyle w:val="SidhuvudUtskott"/>
      </w:rPr>
      <w:instrText xml:space="preserve"> DOCPROPERTY Betä</w:instrText>
    </w:r>
    <w:r w:rsidRPr="00AA7200">
      <w:rPr>
        <w:rStyle w:val="SidhuvudUtskott"/>
      </w:rPr>
      <w:instrText>n</w:instrText>
    </w:r>
    <w:r w:rsidRPr="00AA7200">
      <w:rPr>
        <w:rStyle w:val="SidhuvudUtskott"/>
      </w:rPr>
      <w:instrText>kandeNr</w:instrText>
    </w:r>
    <w:r w:rsidRPr="00AA7200">
      <w:rPr>
        <w:rStyle w:val="SidhuvudUtskott"/>
      </w:rPr>
      <w:fldChar w:fldCharType="separate"/>
    </w:r>
    <w:r w:rsidR="003C571B" w:rsidRPr="00AA7200">
      <w:rPr>
        <w:rStyle w:val="SidhuvudUtskott"/>
      </w:rPr>
      <w:t>1</w:t>
    </w:r>
    <w:r w:rsidRPr="00AA7200">
      <w:rPr>
        <w:rStyle w:val="SidhuvudUtskott"/>
      </w:rPr>
      <w:fldChar w:fldCharType="end"/>
    </w:r>
  </w:p>
  <w:p w:rsidR="00313121" w:rsidRPr="00AA7200" w:rsidRDefault="00313121">
    <w:pPr>
      <w:pStyle w:val="SidhuvudKantUdda"/>
      <w:framePr w:w="8732" w:h="567" w:hRule="exact" w:vSpace="0" w:wrap="around" w:vAnchor="page" w:y="341" w:anchorLock="0"/>
    </w:pPr>
    <w:r w:rsidRPr="00AA7200">
      <w:rPr>
        <w:rStyle w:val="SidhuvudUtskott"/>
      </w:rPr>
      <w:fldChar w:fldCharType="begin" w:fldLock="1"/>
    </w:r>
    <w:r w:rsidRPr="00AA7200">
      <w:rPr>
        <w:rStyle w:val="SidhuvudUtskott"/>
      </w:rPr>
      <w:instrText xml:space="preserve"> if </w:instrText>
    </w:r>
    <w:r w:rsidRPr="00AA7200">
      <w:rPr>
        <w:rStyle w:val="SidhuvudUtskott"/>
      </w:rPr>
      <w:fldChar w:fldCharType="begin" w:fldLock="1"/>
    </w:r>
    <w:r w:rsidRPr="00AA7200">
      <w:rPr>
        <w:rStyle w:val="SidhuvudUtskott"/>
      </w:rPr>
      <w:instrText xml:space="preserve"> DOCPROPERTY "UtkastDatum"</w:instrText>
    </w:r>
    <w:r w:rsidRPr="00AA7200">
      <w:rPr>
        <w:rStyle w:val="SidhuvudUtskott"/>
      </w:rPr>
      <w:fldChar w:fldCharType="separate"/>
    </w:r>
    <w:r w:rsidR="003C571B" w:rsidRPr="00AA7200">
      <w:rPr>
        <w:rStyle w:val="SidhuvudUtskott"/>
      </w:rPr>
      <w:instrText>Nej</w:instrText>
    </w:r>
    <w:r w:rsidRPr="00AA7200">
      <w:rPr>
        <w:rStyle w:val="SidhuvudUtskott"/>
      </w:rPr>
      <w:fldChar w:fldCharType="end"/>
    </w:r>
    <w:r w:rsidRPr="00AA7200">
      <w:rPr>
        <w:rStyle w:val="SidhuvudUtskott"/>
      </w:rPr>
      <w:instrText xml:space="preserve"> = "Ja" "</w:instrText>
    </w:r>
    <w:r w:rsidRPr="00AA7200">
      <w:rPr>
        <w:rStyle w:val="SidhuvudUtskott"/>
      </w:rPr>
      <w:fldChar w:fldCharType="begin" w:fldLock="1"/>
    </w:r>
    <w:r w:rsidRPr="00AA7200">
      <w:rPr>
        <w:rStyle w:val="SidhuvudUtskott"/>
      </w:rPr>
      <w:instrText xml:space="preserve"> PRINTDATE \@ "yyyy-MM-dd HH.mm    " </w:instrText>
    </w:r>
    <w:r w:rsidRPr="00AA7200">
      <w:rPr>
        <w:rStyle w:val="SidhuvudUtskott"/>
      </w:rPr>
      <w:fldChar w:fldCharType="separate"/>
    </w:r>
    <w:r w:rsidRPr="00AA7200">
      <w:rPr>
        <w:rStyle w:val="SidhuvudUtskott"/>
      </w:rPr>
      <w:instrText>2000-08-11 16.42</w:instrText>
    </w:r>
    <w:r w:rsidRPr="00AA7200">
      <w:rPr>
        <w:rStyle w:val="SidhuvudUtskott"/>
      </w:rPr>
      <w:fldChar w:fldCharType="end"/>
    </w:r>
    <w:r w:rsidRPr="00AA7200">
      <w:rPr>
        <w:rStyle w:val="SidhuvudUtskott"/>
      </w:rPr>
      <w:instrText xml:space="preserve">" </w:instrText>
    </w:r>
    <w:r w:rsidRPr="00AA7200">
      <w:rPr>
        <w:rStyle w:val="SidhuvudUtskott"/>
      </w:rPr>
      <w:fldChar w:fldCharType="end"/>
    </w:r>
    <w:r w:rsidRPr="00AA7200">
      <w:rPr>
        <w:rStyle w:val="SidhuvudUtskott"/>
      </w:rPr>
      <w:fldChar w:fldCharType="begin" w:fldLock="1"/>
    </w:r>
    <w:r w:rsidRPr="00AA7200">
      <w:rPr>
        <w:rStyle w:val="SidhuvudUtskott"/>
      </w:rPr>
      <w:instrText xml:space="preserve"> DOCPR</w:instrText>
    </w:r>
    <w:r w:rsidRPr="00AA7200">
      <w:rPr>
        <w:rStyle w:val="SidhuvudUtskott"/>
      </w:rPr>
      <w:instrText>O</w:instrText>
    </w:r>
    <w:r w:rsidRPr="00AA7200">
      <w:rPr>
        <w:rStyle w:val="SidhuvudUtskott"/>
      </w:rPr>
      <w:instrText>PERTY Status</w:instrText>
    </w:r>
    <w:r w:rsidRPr="00AA7200">
      <w:rPr>
        <w:rStyle w:val="SidhuvudUtskott"/>
      </w:rPr>
      <w:fldChar w:fldCharType="end"/>
    </w:r>
  </w:p>
  <w:p w:rsidR="00313121" w:rsidRPr="00AA7200" w:rsidRDefault="0031312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121" w:rsidRPr="00AA7200" w:rsidRDefault="00313121">
    <w:pPr>
      <w:pStyle w:val="SidhuvudKantJmn"/>
      <w:framePr w:w="8732" w:h="567" w:hRule="exact" w:vSpace="0" w:wrap="around" w:vAnchor="page" w:y="341" w:anchorLock="0"/>
    </w:pPr>
    <w:r w:rsidRPr="00AA7200">
      <w:fldChar w:fldCharType="begin" w:fldLock="1"/>
    </w:r>
    <w:r w:rsidRPr="00AA7200">
      <w:instrText xml:space="preserve"> if </w:instrText>
    </w:r>
    <w:r w:rsidRPr="00AA7200">
      <w:fldChar w:fldCharType="begin" w:fldLock="1"/>
    </w:r>
    <w:r w:rsidRPr="00AA7200">
      <w:instrText xml:space="preserve"> page</w:instrText>
    </w:r>
    <w:r w:rsidRPr="00AA7200">
      <w:fldChar w:fldCharType="separate"/>
    </w:r>
    <w:r w:rsidR="00831B77" w:rsidRPr="00AA7200">
      <w:instrText>11</w:instrText>
    </w:r>
    <w:r w:rsidRPr="00AA7200">
      <w:fldChar w:fldCharType="end"/>
    </w:r>
    <w:r w:rsidRPr="00AA7200">
      <w:instrText xml:space="preserve"> &gt; 1 "</w:instrText>
    </w:r>
    <w:r w:rsidRPr="00AA7200">
      <w:fldChar w:fldCharType="begin" w:fldLock="1"/>
    </w:r>
    <w:r w:rsidRPr="00AA7200">
      <w:instrText xml:space="preserve"> if </w:instrText>
    </w:r>
    <w:r w:rsidRPr="00AA7200">
      <w:fldChar w:fldCharType="begin" w:fldLock="1"/>
    </w:r>
    <w:r w:rsidRPr="00AA7200">
      <w:instrText xml:space="preserve"> = </w:instrText>
    </w:r>
    <w:r w:rsidRPr="00AA7200">
      <w:fldChar w:fldCharType="begin" w:fldLock="1"/>
    </w:r>
    <w:r w:rsidRPr="00AA7200">
      <w:instrText xml:space="preserve"> = </w:instrText>
    </w:r>
    <w:r w:rsidRPr="00AA7200">
      <w:fldChar w:fldCharType="begin" w:fldLock="1"/>
    </w:r>
    <w:r w:rsidRPr="00AA7200">
      <w:instrText xml:space="preserve"> page</w:instrText>
    </w:r>
    <w:r w:rsidRPr="00AA7200">
      <w:fldChar w:fldCharType="separate"/>
    </w:r>
    <w:r w:rsidR="00831B77" w:rsidRPr="00AA7200">
      <w:instrText>11</w:instrText>
    </w:r>
    <w:r w:rsidRPr="00AA7200">
      <w:fldChar w:fldCharType="end"/>
    </w:r>
    <w:r w:rsidRPr="00AA7200">
      <w:instrText xml:space="preserve">/2 </w:instrText>
    </w:r>
    <w:r w:rsidRPr="00AA7200">
      <w:fldChar w:fldCharType="separate"/>
    </w:r>
    <w:r w:rsidR="00831B77" w:rsidRPr="00AA7200">
      <w:instrText>5,5</w:instrText>
    </w:r>
    <w:r w:rsidRPr="00AA7200">
      <w:fldChar w:fldCharType="end"/>
    </w:r>
    <w:r w:rsidRPr="00AA7200">
      <w:instrText xml:space="preserve"> - </w:instrText>
    </w:r>
    <w:r w:rsidRPr="00AA7200">
      <w:fldChar w:fldCharType="begin" w:fldLock="1"/>
    </w:r>
    <w:r w:rsidRPr="00AA7200">
      <w:instrText xml:space="preserve"> = int(</w:instrText>
    </w:r>
    <w:r w:rsidRPr="00AA7200">
      <w:fldChar w:fldCharType="begin" w:fldLock="1"/>
    </w:r>
    <w:r w:rsidRPr="00AA7200">
      <w:instrText xml:space="preserve"> page</w:instrText>
    </w:r>
    <w:r w:rsidRPr="00AA7200">
      <w:fldChar w:fldCharType="separate"/>
    </w:r>
    <w:r w:rsidR="00831B77" w:rsidRPr="00AA7200">
      <w:instrText>11</w:instrText>
    </w:r>
    <w:r w:rsidRPr="00AA7200">
      <w:fldChar w:fldCharType="end"/>
    </w:r>
    <w:r w:rsidRPr="00AA7200">
      <w:instrText xml:space="preserve">/2) </w:instrText>
    </w:r>
    <w:r w:rsidRPr="00AA7200">
      <w:fldChar w:fldCharType="separate"/>
    </w:r>
    <w:r w:rsidR="00831B77" w:rsidRPr="00AA7200">
      <w:instrText>5</w:instrText>
    </w:r>
    <w:r w:rsidRPr="00AA7200">
      <w:fldChar w:fldCharType="end"/>
    </w:r>
    <w:r w:rsidRPr="00AA7200">
      <w:fldChar w:fldCharType="separate"/>
    </w:r>
    <w:r w:rsidR="00831B77" w:rsidRPr="00AA7200">
      <w:instrText>0,5</w:instrText>
    </w:r>
    <w:r w:rsidRPr="00AA7200">
      <w:fldChar w:fldCharType="end"/>
    </w:r>
    <w:r w:rsidRPr="00AA7200">
      <w:instrText xml:space="preserve"> = 0 "</w:instrText>
    </w:r>
    <w:r w:rsidRPr="00AA7200">
      <w:rPr>
        <w:rStyle w:val="SidhuvudUtskott"/>
      </w:rPr>
      <w:fldChar w:fldCharType="begin" w:fldLock="1"/>
    </w:r>
    <w:r w:rsidRPr="00AA7200">
      <w:rPr>
        <w:rStyle w:val="SidhuvudUtskott"/>
      </w:rPr>
      <w:instrText xml:space="preserve"> DOCPROPERTY BetänkandeÅr</w:instrText>
    </w:r>
    <w:r w:rsidRPr="00AA7200">
      <w:rPr>
        <w:rStyle w:val="SidhuvudUtskott"/>
      </w:rPr>
      <w:fldChar w:fldCharType="separate"/>
    </w:r>
    <w:r w:rsidRPr="00AA7200">
      <w:rPr>
        <w:rStyle w:val="SidhuvudUtskott"/>
      </w:rPr>
      <w:instrText>2011/12</w:instrText>
    </w:r>
    <w:r w:rsidRPr="00AA7200">
      <w:rPr>
        <w:rStyle w:val="SidhuvudUtskott"/>
      </w:rPr>
      <w:fldChar w:fldCharType="end"/>
    </w:r>
    <w:r w:rsidRPr="00AA7200">
      <w:rPr>
        <w:rStyle w:val="SidhuvudUtskott"/>
      </w:rPr>
      <w:instrText>:</w:instrText>
    </w:r>
    <w:r w:rsidRPr="00AA7200">
      <w:rPr>
        <w:rStyle w:val="SidhuvudUtskott"/>
      </w:rPr>
      <w:fldChar w:fldCharType="begin" w:fldLock="1"/>
    </w:r>
    <w:r w:rsidRPr="00AA7200">
      <w:rPr>
        <w:rStyle w:val="SidhuvudUtskott"/>
      </w:rPr>
      <w:instrText xml:space="preserve"> DOCPR</w:instrText>
    </w:r>
    <w:r w:rsidRPr="00AA7200">
      <w:rPr>
        <w:rStyle w:val="SidhuvudUtskott"/>
      </w:rPr>
      <w:instrText>O</w:instrText>
    </w:r>
    <w:r w:rsidRPr="00AA7200">
      <w:rPr>
        <w:rStyle w:val="SidhuvudUtskott"/>
      </w:rPr>
      <w:instrText>PE</w:instrText>
    </w:r>
    <w:r w:rsidRPr="00AA7200">
      <w:rPr>
        <w:rStyle w:val="SidhuvudUtskott"/>
      </w:rPr>
      <w:instrText>R</w:instrText>
    </w:r>
    <w:r w:rsidRPr="00AA7200">
      <w:rPr>
        <w:rStyle w:val="SidhuvudUtskott"/>
      </w:rPr>
      <w:instrText>TY Utskott</w:instrText>
    </w:r>
    <w:r w:rsidRPr="00AA7200">
      <w:rPr>
        <w:rStyle w:val="SidhuvudUtskott"/>
      </w:rPr>
      <w:fldChar w:fldCharType="separate"/>
    </w:r>
    <w:r w:rsidRPr="00AA7200">
      <w:rPr>
        <w:rStyle w:val="SidhuvudUtskott"/>
      </w:rPr>
      <w:instrText>RS</w:instrText>
    </w:r>
    <w:r w:rsidRPr="00AA7200">
      <w:rPr>
        <w:rStyle w:val="SidhuvudUtskott"/>
      </w:rPr>
      <w:fldChar w:fldCharType="end"/>
    </w:r>
    <w:r w:rsidRPr="00AA7200">
      <w:rPr>
        <w:rStyle w:val="SidhuvudUtskott"/>
      </w:rPr>
      <w:fldChar w:fldCharType="begin" w:fldLock="1"/>
    </w:r>
    <w:r w:rsidRPr="00AA7200">
      <w:rPr>
        <w:rStyle w:val="SidhuvudUtskott"/>
      </w:rPr>
      <w:instrText xml:space="preserve"> DOCPROPERTY BetänkandeNr</w:instrText>
    </w:r>
    <w:r w:rsidRPr="00AA7200">
      <w:rPr>
        <w:rStyle w:val="SidhuvudUtskott"/>
      </w:rPr>
      <w:fldChar w:fldCharType="separate"/>
    </w:r>
    <w:r w:rsidRPr="00AA7200">
      <w:rPr>
        <w:rStyle w:val="SidhuvudUtskott"/>
      </w:rPr>
      <w:instrText>100</w:instrText>
    </w:r>
    <w:r w:rsidRPr="00AA7200">
      <w:rPr>
        <w:rStyle w:val="SidhuvudUtskott"/>
      </w:rPr>
      <w:fldChar w:fldCharType="end"/>
    </w:r>
    <w:r w:rsidRPr="00AA7200">
      <w:instrText xml:space="preserve">    </w:instrText>
    </w:r>
  </w:p>
  <w:p w:rsidR="00313121" w:rsidRPr="00AA7200" w:rsidRDefault="00313121">
    <w:pPr>
      <w:pStyle w:val="SidhuvudKantJmn"/>
      <w:framePr w:w="8732" w:h="567" w:hRule="exact" w:vSpace="0" w:wrap="around" w:vAnchor="page" w:y="341" w:anchorLock="0"/>
    </w:pPr>
    <w:r w:rsidRPr="00AA7200">
      <w:rPr>
        <w:rStyle w:val="SidhuvudUtskott"/>
      </w:rPr>
      <w:fldChar w:fldCharType="begin" w:fldLock="1"/>
    </w:r>
    <w:r w:rsidRPr="00AA7200">
      <w:rPr>
        <w:rStyle w:val="SidhuvudUtskott"/>
      </w:rPr>
      <w:instrText xml:space="preserve"> DOCPROPERTY Status</w:instrText>
    </w:r>
    <w:r w:rsidRPr="00AA7200">
      <w:rPr>
        <w:rStyle w:val="SidhuvudUtskott"/>
      </w:rPr>
      <w:fldChar w:fldCharType="separate"/>
    </w:r>
    <w:r w:rsidRPr="00AA7200">
      <w:rPr>
        <w:rStyle w:val="SidhuvudUtskott"/>
      </w:rPr>
      <w:instrText>Utkast</w:instrText>
    </w:r>
    <w:r w:rsidRPr="00AA7200">
      <w:rPr>
        <w:rStyle w:val="SidhuvudUtskott"/>
      </w:rPr>
      <w:fldChar w:fldCharType="end"/>
    </w:r>
    <w:r w:rsidRPr="00AA7200">
      <w:rPr>
        <w:rStyle w:val="SidhuvudUtskott"/>
      </w:rPr>
      <w:fldChar w:fldCharType="begin" w:fldLock="1"/>
    </w:r>
    <w:r w:rsidRPr="00AA7200">
      <w:rPr>
        <w:rStyle w:val="SidhuvudUtskott"/>
      </w:rPr>
      <w:instrText xml:space="preserve"> if </w:instrText>
    </w:r>
    <w:r w:rsidRPr="00AA7200">
      <w:rPr>
        <w:rStyle w:val="SidhuvudUtskott"/>
      </w:rPr>
      <w:fldChar w:fldCharType="begin" w:fldLock="1"/>
    </w:r>
    <w:r w:rsidRPr="00AA7200">
      <w:rPr>
        <w:rStyle w:val="SidhuvudUtskott"/>
      </w:rPr>
      <w:instrText xml:space="preserve"> DOCPROPERTY "UtkastDatum"</w:instrText>
    </w:r>
    <w:r w:rsidRPr="00AA7200">
      <w:rPr>
        <w:rStyle w:val="SidhuvudUtskott"/>
      </w:rPr>
      <w:fldChar w:fldCharType="separate"/>
    </w:r>
    <w:r w:rsidRPr="00AA7200">
      <w:rPr>
        <w:rStyle w:val="SidhuvudUtskott"/>
      </w:rPr>
      <w:instrText>Nej</w:instrText>
    </w:r>
    <w:r w:rsidRPr="00AA7200">
      <w:rPr>
        <w:rStyle w:val="SidhuvudUtskott"/>
      </w:rPr>
      <w:fldChar w:fldCharType="end"/>
    </w:r>
    <w:r w:rsidRPr="00AA7200">
      <w:rPr>
        <w:rStyle w:val="SidhuvudUtskott"/>
      </w:rPr>
      <w:instrText xml:space="preserve"> = "Ja" "    </w:instrText>
    </w:r>
    <w:r w:rsidRPr="00AA7200">
      <w:rPr>
        <w:rStyle w:val="SidhuvudUtskott"/>
      </w:rPr>
      <w:fldChar w:fldCharType="begin" w:fldLock="1"/>
    </w:r>
    <w:r w:rsidRPr="00AA7200">
      <w:rPr>
        <w:rStyle w:val="SidhuvudUtskott"/>
      </w:rPr>
      <w:instrText xml:space="preserve"> PRINTDATE \@ "yyyy-MM-dd HH.mm" </w:instrText>
    </w:r>
    <w:r w:rsidRPr="00AA7200">
      <w:rPr>
        <w:rStyle w:val="SidhuvudUtskott"/>
      </w:rPr>
      <w:fldChar w:fldCharType="separate"/>
    </w:r>
    <w:r w:rsidRPr="00AA7200">
      <w:rPr>
        <w:rStyle w:val="SidhuvudUtskott"/>
      </w:rPr>
      <w:instrText>2000-08-11 16.42</w:instrText>
    </w:r>
    <w:r w:rsidRPr="00AA7200">
      <w:rPr>
        <w:rStyle w:val="SidhuvudUtskott"/>
      </w:rPr>
      <w:fldChar w:fldCharType="end"/>
    </w:r>
    <w:r w:rsidRPr="00AA7200">
      <w:rPr>
        <w:rStyle w:val="SidhuvudUtskott"/>
      </w:rPr>
      <w:instrText xml:space="preserve">" </w:instrText>
    </w:r>
    <w:r w:rsidRPr="00AA7200">
      <w:rPr>
        <w:rStyle w:val="SidhuvudUtskott"/>
      </w:rPr>
      <w:fldChar w:fldCharType="end"/>
    </w:r>
  </w:p>
  <w:p w:rsidR="00313121" w:rsidRPr="00AA7200" w:rsidRDefault="00313121">
    <w:pPr>
      <w:pStyle w:val="SidhuvudKantUdda"/>
      <w:framePr w:w="8732" w:h="567" w:hRule="exact" w:vSpace="0" w:wrap="around" w:vAnchor="page" w:y="341" w:anchorLock="0"/>
    </w:pPr>
    <w:r w:rsidRPr="00AA7200">
      <w:rPr>
        <w:rStyle w:val="SidhuvudRubrikReferens"/>
        <w:smallCaps w:val="0"/>
        <w:spacing w:val="0"/>
        <w:sz w:val="19"/>
      </w:rPr>
      <w:instrText xml:space="preserve"> </w:instrText>
    </w:r>
    <w:r w:rsidRPr="00AA7200">
      <w:instrText xml:space="preserve">"  "  </w:instrText>
    </w:r>
    <w:r w:rsidRPr="00AA7200">
      <w:rPr>
        <w:rStyle w:val="SidhuvudUtskott"/>
      </w:rPr>
      <w:fldChar w:fldCharType="begin" w:fldLock="1"/>
    </w:r>
    <w:r w:rsidRPr="00AA7200">
      <w:rPr>
        <w:rStyle w:val="SidhuvudUtskott"/>
      </w:rPr>
      <w:instrText xml:space="preserve"> DOCPROPERTY BetänkandeÅr</w:instrText>
    </w:r>
    <w:r w:rsidRPr="00AA7200">
      <w:rPr>
        <w:rStyle w:val="SidhuvudUtskott"/>
      </w:rPr>
      <w:fldChar w:fldCharType="separate"/>
    </w:r>
    <w:r w:rsidR="003C571B" w:rsidRPr="00AA7200">
      <w:rPr>
        <w:rStyle w:val="SidhuvudUtskott"/>
      </w:rPr>
      <w:instrText>2011/12</w:instrText>
    </w:r>
    <w:r w:rsidRPr="00AA7200">
      <w:rPr>
        <w:rStyle w:val="SidhuvudUtskott"/>
      </w:rPr>
      <w:fldChar w:fldCharType="end"/>
    </w:r>
    <w:r w:rsidRPr="00AA7200">
      <w:rPr>
        <w:rStyle w:val="SidhuvudUtskott"/>
      </w:rPr>
      <w:instrText>:</w:instrText>
    </w:r>
    <w:r w:rsidRPr="00AA7200">
      <w:rPr>
        <w:rStyle w:val="SidhuvudUtskott"/>
      </w:rPr>
      <w:fldChar w:fldCharType="begin" w:fldLock="1"/>
    </w:r>
    <w:r w:rsidRPr="00AA7200">
      <w:rPr>
        <w:rStyle w:val="SidhuvudUtskott"/>
      </w:rPr>
      <w:instrText xml:space="preserve"> DOCPROPERTY Utskott</w:instrText>
    </w:r>
    <w:r w:rsidRPr="00AA7200">
      <w:rPr>
        <w:rStyle w:val="SidhuvudUtskott"/>
      </w:rPr>
      <w:fldChar w:fldCharType="separate"/>
    </w:r>
    <w:r w:rsidR="003C571B" w:rsidRPr="00AA7200">
      <w:rPr>
        <w:rStyle w:val="SidhuvudUtskott"/>
      </w:rPr>
      <w:instrText>RS</w:instrText>
    </w:r>
    <w:r w:rsidRPr="00AA7200">
      <w:rPr>
        <w:rStyle w:val="SidhuvudUtskott"/>
      </w:rPr>
      <w:fldChar w:fldCharType="end"/>
    </w:r>
    <w:r w:rsidRPr="00AA7200">
      <w:rPr>
        <w:rStyle w:val="SidhuvudUtskott"/>
      </w:rPr>
      <w:fldChar w:fldCharType="begin" w:fldLock="1"/>
    </w:r>
    <w:r w:rsidRPr="00AA7200">
      <w:rPr>
        <w:rStyle w:val="SidhuvudUtskott"/>
      </w:rPr>
      <w:instrText xml:space="preserve"> DOCPROPERTY BetänkandeNr</w:instrText>
    </w:r>
    <w:r w:rsidRPr="00AA7200">
      <w:rPr>
        <w:rStyle w:val="SidhuvudUtskott"/>
      </w:rPr>
      <w:fldChar w:fldCharType="separate"/>
    </w:r>
    <w:r w:rsidR="003C571B" w:rsidRPr="00AA7200">
      <w:rPr>
        <w:rStyle w:val="SidhuvudUtskott"/>
      </w:rPr>
      <w:instrText>1</w:instrText>
    </w:r>
    <w:r w:rsidRPr="00AA7200">
      <w:rPr>
        <w:rStyle w:val="SidhuvudUtskott"/>
      </w:rPr>
      <w:fldChar w:fldCharType="end"/>
    </w:r>
  </w:p>
  <w:p w:rsidR="00831B77" w:rsidRPr="00AA7200" w:rsidRDefault="00313121">
    <w:pPr>
      <w:pStyle w:val="SidhuvudKantUdda"/>
      <w:framePr w:w="8732" w:h="567" w:hRule="exact" w:vSpace="0" w:wrap="around" w:vAnchor="page" w:y="341" w:anchorLock="0"/>
    </w:pPr>
    <w:r w:rsidRPr="00AA7200">
      <w:rPr>
        <w:rStyle w:val="SidhuvudUtskott"/>
      </w:rPr>
      <w:fldChar w:fldCharType="begin" w:fldLock="1"/>
    </w:r>
    <w:r w:rsidRPr="00AA7200">
      <w:rPr>
        <w:rStyle w:val="SidhuvudUtskott"/>
      </w:rPr>
      <w:instrText xml:space="preserve"> if </w:instrText>
    </w:r>
    <w:r w:rsidRPr="00AA7200">
      <w:rPr>
        <w:rStyle w:val="SidhuvudUtskott"/>
      </w:rPr>
      <w:fldChar w:fldCharType="begin" w:fldLock="1"/>
    </w:r>
    <w:r w:rsidRPr="00AA7200">
      <w:rPr>
        <w:rStyle w:val="SidhuvudUtskott"/>
      </w:rPr>
      <w:instrText xml:space="preserve"> DOCPROPERTY "UtkastDatum"</w:instrText>
    </w:r>
    <w:r w:rsidRPr="00AA7200">
      <w:rPr>
        <w:rStyle w:val="SidhuvudUtskott"/>
      </w:rPr>
      <w:fldChar w:fldCharType="separate"/>
    </w:r>
    <w:r w:rsidR="003C571B" w:rsidRPr="00AA7200">
      <w:rPr>
        <w:rStyle w:val="SidhuvudUtskott"/>
      </w:rPr>
      <w:instrText>Nej</w:instrText>
    </w:r>
    <w:r w:rsidRPr="00AA7200">
      <w:rPr>
        <w:rStyle w:val="SidhuvudUtskott"/>
      </w:rPr>
      <w:fldChar w:fldCharType="end"/>
    </w:r>
    <w:r w:rsidRPr="00AA7200">
      <w:rPr>
        <w:rStyle w:val="SidhuvudUtskott"/>
      </w:rPr>
      <w:instrText xml:space="preserve"> = "Ja" "</w:instrText>
    </w:r>
    <w:r w:rsidRPr="00AA7200">
      <w:rPr>
        <w:rStyle w:val="SidhuvudUtskott"/>
      </w:rPr>
      <w:fldChar w:fldCharType="begin" w:fldLock="1"/>
    </w:r>
    <w:r w:rsidRPr="00AA7200">
      <w:rPr>
        <w:rStyle w:val="SidhuvudUtskott"/>
      </w:rPr>
      <w:instrText xml:space="preserve"> PRINTDATE \@ "yyyy-MM-dd HH.mm    " </w:instrText>
    </w:r>
    <w:r w:rsidRPr="00AA7200">
      <w:rPr>
        <w:rStyle w:val="SidhuvudUtskott"/>
      </w:rPr>
      <w:fldChar w:fldCharType="separate"/>
    </w:r>
    <w:r w:rsidRPr="00AA7200">
      <w:rPr>
        <w:rStyle w:val="SidhuvudUtskott"/>
      </w:rPr>
      <w:instrText>2000-08-11 16.42</w:instrText>
    </w:r>
    <w:r w:rsidRPr="00AA7200">
      <w:rPr>
        <w:rStyle w:val="SidhuvudUtskott"/>
      </w:rPr>
      <w:fldChar w:fldCharType="end"/>
    </w:r>
    <w:r w:rsidRPr="00AA7200">
      <w:rPr>
        <w:rStyle w:val="SidhuvudUtskott"/>
      </w:rPr>
      <w:instrText xml:space="preserve">" </w:instrText>
    </w:r>
    <w:r w:rsidRPr="00AA7200">
      <w:rPr>
        <w:rStyle w:val="SidhuvudUtskott"/>
      </w:rPr>
      <w:fldChar w:fldCharType="end"/>
    </w:r>
    <w:r w:rsidRPr="00AA7200">
      <w:rPr>
        <w:rStyle w:val="SidhuvudUtskott"/>
      </w:rPr>
      <w:fldChar w:fldCharType="begin" w:fldLock="1"/>
    </w:r>
    <w:r w:rsidRPr="00AA7200">
      <w:rPr>
        <w:rStyle w:val="SidhuvudUtskott"/>
      </w:rPr>
      <w:instrText xml:space="preserve"> DOCPR</w:instrText>
    </w:r>
    <w:r w:rsidRPr="00AA7200">
      <w:rPr>
        <w:rStyle w:val="SidhuvudUtskott"/>
      </w:rPr>
      <w:instrText>O</w:instrText>
    </w:r>
    <w:r w:rsidRPr="00AA7200">
      <w:rPr>
        <w:rStyle w:val="SidhuvudUtskott"/>
      </w:rPr>
      <w:instrText>PERTY Status</w:instrText>
    </w:r>
    <w:r w:rsidRPr="00AA7200">
      <w:rPr>
        <w:rStyle w:val="SidhuvudUtskott"/>
      </w:rPr>
      <w:fldChar w:fldCharType="end"/>
    </w:r>
    <w:r w:rsidRPr="00AA7200">
      <w:instrText>"</w:instrText>
    </w:r>
    <w:r w:rsidRPr="00AA7200">
      <w:fldChar w:fldCharType="separate"/>
    </w:r>
    <w:r w:rsidR="00831B77" w:rsidRPr="00AA7200">
      <w:instrText xml:space="preserve">  </w:instrText>
    </w:r>
    <w:r w:rsidR="00831B77" w:rsidRPr="00AA7200">
      <w:rPr>
        <w:rStyle w:val="SidhuvudUtskott"/>
      </w:rPr>
      <w:instrText>2011/12:RS1</w:instrText>
    </w:r>
  </w:p>
  <w:p w:rsidR="00831B77" w:rsidRPr="00AA7200" w:rsidRDefault="00313121">
    <w:pPr>
      <w:pStyle w:val="SidhuvudKantUdda"/>
      <w:framePr w:w="8732" w:h="567" w:hRule="exact" w:vSpace="0" w:wrap="around" w:vAnchor="page" w:y="341" w:anchorLock="0"/>
    </w:pPr>
    <w:r w:rsidRPr="00AA7200">
      <w:fldChar w:fldCharType="end"/>
    </w:r>
    <w:r w:rsidRPr="00AA7200">
      <w:instrText>" " "</w:instrText>
    </w:r>
    <w:r w:rsidRPr="00AA7200">
      <w:fldChar w:fldCharType="separate"/>
    </w:r>
    <w:r w:rsidR="00831B77" w:rsidRPr="00AA7200">
      <w:t xml:space="preserve">  </w:t>
    </w:r>
    <w:r w:rsidR="00831B77" w:rsidRPr="00AA7200">
      <w:rPr>
        <w:rStyle w:val="SidhuvudUtskott"/>
      </w:rPr>
      <w:t>2011/12:RS1</w:t>
    </w:r>
  </w:p>
  <w:p w:rsidR="00313121" w:rsidRPr="00AA7200" w:rsidRDefault="00313121">
    <w:pPr>
      <w:pStyle w:val="SidhuvudKantUdda"/>
      <w:framePr w:w="8732" w:h="567" w:hRule="exact" w:vSpace="0" w:wrap="around" w:vAnchor="page" w:y="341" w:anchorLock="0"/>
    </w:pPr>
    <w:r w:rsidRPr="00AA7200">
      <w:fldChar w:fldCharType="end"/>
    </w:r>
  </w:p>
  <w:p w:rsidR="00313121" w:rsidRPr="00AA7200" w:rsidRDefault="00313121">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121" w:rsidRPr="00AA7200" w:rsidRDefault="00313121">
    <w:pPr>
      <w:pStyle w:val="SidhuvudKantJmn"/>
      <w:framePr w:w="8732" w:h="567" w:hRule="exact" w:vSpace="0" w:wrap="around" w:vAnchor="page" w:y="341" w:anchorLock="0"/>
    </w:pPr>
    <w:r w:rsidRPr="00AA7200">
      <w:rPr>
        <w:rStyle w:val="SidhuvudUtskott"/>
      </w:rPr>
      <w:fldChar w:fldCharType="begin" w:fldLock="1"/>
    </w:r>
    <w:r w:rsidRPr="00AA7200">
      <w:rPr>
        <w:rStyle w:val="SidhuvudUtskott"/>
      </w:rPr>
      <w:instrText xml:space="preserve"> DOCPROPERTY BetänkandeÅr</w:instrText>
    </w:r>
    <w:r w:rsidRPr="00AA7200">
      <w:rPr>
        <w:rStyle w:val="SidhuvudUtskott"/>
      </w:rPr>
      <w:fldChar w:fldCharType="separate"/>
    </w:r>
    <w:r w:rsidR="003C571B" w:rsidRPr="00AA7200">
      <w:rPr>
        <w:rStyle w:val="SidhuvudUtskott"/>
      </w:rPr>
      <w:t>2011/12</w:t>
    </w:r>
    <w:r w:rsidRPr="00AA7200">
      <w:rPr>
        <w:rStyle w:val="SidhuvudUtskott"/>
      </w:rPr>
      <w:fldChar w:fldCharType="end"/>
    </w:r>
    <w:r w:rsidRPr="00AA7200">
      <w:rPr>
        <w:rStyle w:val="SidhuvudUtskott"/>
      </w:rPr>
      <w:t>:</w:t>
    </w:r>
    <w:r w:rsidRPr="00AA7200">
      <w:rPr>
        <w:rStyle w:val="SidhuvudUtskott"/>
      </w:rPr>
      <w:fldChar w:fldCharType="begin" w:fldLock="1"/>
    </w:r>
    <w:r w:rsidRPr="00AA7200">
      <w:rPr>
        <w:rStyle w:val="SidhuvudUtskott"/>
      </w:rPr>
      <w:instrText xml:space="preserve"> DOCPROPERTY Utskott</w:instrText>
    </w:r>
    <w:r w:rsidRPr="00AA7200">
      <w:rPr>
        <w:rStyle w:val="SidhuvudUtskott"/>
      </w:rPr>
      <w:fldChar w:fldCharType="separate"/>
    </w:r>
    <w:r w:rsidR="003C571B" w:rsidRPr="00AA7200">
      <w:rPr>
        <w:rStyle w:val="SidhuvudUtskott"/>
      </w:rPr>
      <w:t>RS</w:t>
    </w:r>
    <w:r w:rsidRPr="00AA7200">
      <w:rPr>
        <w:rStyle w:val="SidhuvudUtskott"/>
      </w:rPr>
      <w:fldChar w:fldCharType="end"/>
    </w:r>
    <w:r w:rsidRPr="00AA7200">
      <w:rPr>
        <w:rStyle w:val="SidhuvudUtskott"/>
      </w:rPr>
      <w:fldChar w:fldCharType="begin" w:fldLock="1"/>
    </w:r>
    <w:r w:rsidRPr="00AA7200">
      <w:rPr>
        <w:rStyle w:val="SidhuvudUtskott"/>
      </w:rPr>
      <w:instrText xml:space="preserve"> DOCPROPERTY BetänkandeNr</w:instrText>
    </w:r>
    <w:r w:rsidRPr="00AA7200">
      <w:rPr>
        <w:rStyle w:val="SidhuvudUtskott"/>
      </w:rPr>
      <w:fldChar w:fldCharType="separate"/>
    </w:r>
    <w:r w:rsidR="003C571B" w:rsidRPr="00AA7200">
      <w:rPr>
        <w:rStyle w:val="SidhuvudUtskott"/>
      </w:rPr>
      <w:t>1</w:t>
    </w:r>
    <w:r w:rsidRPr="00AA7200">
      <w:rPr>
        <w:rStyle w:val="SidhuvudUtskott"/>
      </w:rPr>
      <w:fldChar w:fldCharType="end"/>
    </w:r>
    <w:r w:rsidRPr="00AA7200">
      <w:t xml:space="preserve">     </w:t>
    </w:r>
    <w:r w:rsidRPr="00AA7200">
      <w:rPr>
        <w:rStyle w:val="SidhuvudBilaga"/>
      </w:rPr>
      <w:t xml:space="preserve"> </w:t>
    </w:r>
    <w:r w:rsidRPr="00AA7200">
      <w:rPr>
        <w:rStyle w:val="SidhuvudRubrikReferens"/>
      </w:rPr>
      <w:fldChar w:fldCharType="begin" w:fldLock="1"/>
    </w:r>
    <w:r w:rsidRPr="00AA7200">
      <w:rPr>
        <w:rStyle w:val="SidhuvudRubrikReferens"/>
      </w:rPr>
      <w:instrText xml:space="preserve"> StyleREF "Rubrik 1" </w:instrText>
    </w:r>
    <w:r w:rsidRPr="00AA7200">
      <w:rPr>
        <w:rStyle w:val="SidhuvudRubrikReferens"/>
      </w:rPr>
      <w:fldChar w:fldCharType="separate"/>
    </w:r>
    <w:r w:rsidR="00831B77" w:rsidRPr="00AA7200">
      <w:rPr>
        <w:rStyle w:val="SidhuvudRubrikReferens"/>
      </w:rPr>
      <w:t>4 Riksdagsstyrelsens överväganden</w:t>
    </w:r>
    <w:r w:rsidRPr="00AA7200">
      <w:rPr>
        <w:rStyle w:val="SidhuvudRubrikReferens"/>
      </w:rPr>
      <w:fldChar w:fldCharType="end"/>
    </w:r>
  </w:p>
  <w:p w:rsidR="00313121" w:rsidRPr="00AA7200" w:rsidRDefault="00313121">
    <w:pPr>
      <w:pStyle w:val="SidhuvudKantJmn"/>
      <w:framePr w:w="8732" w:h="567" w:hRule="exact" w:vSpace="0" w:wrap="around" w:vAnchor="page" w:y="341" w:anchorLock="0"/>
    </w:pPr>
    <w:r w:rsidRPr="00AA7200">
      <w:rPr>
        <w:rStyle w:val="SidhuvudUtskott"/>
      </w:rPr>
      <w:fldChar w:fldCharType="begin" w:fldLock="1"/>
    </w:r>
    <w:r w:rsidRPr="00AA7200">
      <w:rPr>
        <w:rStyle w:val="SidhuvudUtskott"/>
      </w:rPr>
      <w:instrText xml:space="preserve"> DOCPROPERTY Status</w:instrText>
    </w:r>
    <w:r w:rsidRPr="00AA7200">
      <w:rPr>
        <w:rStyle w:val="SidhuvudUtskott"/>
      </w:rPr>
      <w:fldChar w:fldCharType="end"/>
    </w:r>
    <w:r w:rsidRPr="00AA7200">
      <w:rPr>
        <w:rStyle w:val="SidhuvudUtskott"/>
      </w:rPr>
      <w:fldChar w:fldCharType="begin" w:fldLock="1"/>
    </w:r>
    <w:r w:rsidRPr="00AA7200">
      <w:rPr>
        <w:rStyle w:val="SidhuvudUtskott"/>
      </w:rPr>
      <w:instrText xml:space="preserve"> if </w:instrText>
    </w:r>
    <w:r w:rsidRPr="00AA7200">
      <w:rPr>
        <w:rStyle w:val="SidhuvudUtskott"/>
      </w:rPr>
      <w:fldChar w:fldCharType="begin" w:fldLock="1"/>
    </w:r>
    <w:r w:rsidRPr="00AA7200">
      <w:rPr>
        <w:rStyle w:val="SidhuvudUtskott"/>
      </w:rPr>
      <w:instrText xml:space="preserve"> DOCPROPERTY "UtkastDatum"</w:instrText>
    </w:r>
    <w:r w:rsidRPr="00AA7200">
      <w:rPr>
        <w:rStyle w:val="SidhuvudUtskott"/>
      </w:rPr>
      <w:fldChar w:fldCharType="separate"/>
    </w:r>
    <w:r w:rsidR="003C571B" w:rsidRPr="00AA7200">
      <w:rPr>
        <w:rStyle w:val="SidhuvudUtskott"/>
      </w:rPr>
      <w:instrText>Nej</w:instrText>
    </w:r>
    <w:r w:rsidRPr="00AA7200">
      <w:rPr>
        <w:rStyle w:val="SidhuvudUtskott"/>
      </w:rPr>
      <w:fldChar w:fldCharType="end"/>
    </w:r>
    <w:r w:rsidRPr="00AA7200">
      <w:rPr>
        <w:rStyle w:val="SidhuvudUtskott"/>
      </w:rPr>
      <w:instrText xml:space="preserve"> = "Ja" "    </w:instrText>
    </w:r>
    <w:r w:rsidRPr="00AA7200">
      <w:rPr>
        <w:rStyle w:val="SidhuvudUtskott"/>
      </w:rPr>
      <w:fldChar w:fldCharType="begin" w:fldLock="1"/>
    </w:r>
    <w:r w:rsidRPr="00AA7200">
      <w:rPr>
        <w:rStyle w:val="SidhuvudUtskott"/>
      </w:rPr>
      <w:instrText xml:space="preserve"> PRINTDATE \@ "yyyy-MM-dd HH.mm" </w:instrText>
    </w:r>
    <w:r w:rsidRPr="00AA7200">
      <w:rPr>
        <w:rStyle w:val="SidhuvudUtskott"/>
      </w:rPr>
      <w:fldChar w:fldCharType="separate"/>
    </w:r>
    <w:r w:rsidRPr="00AA7200">
      <w:rPr>
        <w:rStyle w:val="SidhuvudUtskott"/>
      </w:rPr>
      <w:instrText>2000-08-11 16.42</w:instrText>
    </w:r>
    <w:r w:rsidRPr="00AA7200">
      <w:rPr>
        <w:rStyle w:val="SidhuvudUtskott"/>
      </w:rPr>
      <w:fldChar w:fldCharType="end"/>
    </w:r>
    <w:r w:rsidRPr="00AA7200">
      <w:rPr>
        <w:rStyle w:val="SidhuvudUtskott"/>
      </w:rPr>
      <w:instrText xml:space="preserve">" </w:instrText>
    </w:r>
    <w:r w:rsidRPr="00AA7200">
      <w:rPr>
        <w:rStyle w:val="SidhuvudUtskott"/>
      </w:rPr>
      <w:fldChar w:fldCharType="end"/>
    </w:r>
  </w:p>
  <w:p w:rsidR="00313121" w:rsidRPr="00AA7200" w:rsidRDefault="00313121">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121" w:rsidRPr="00AA7200" w:rsidRDefault="00313121">
    <w:pPr>
      <w:pStyle w:val="SidhuvudKantUdda"/>
      <w:framePr w:w="8732" w:h="567" w:hRule="exact" w:vSpace="0" w:wrap="around" w:vAnchor="page" w:y="341" w:anchorLock="0"/>
    </w:pPr>
    <w:r w:rsidRPr="00AA7200">
      <w:rPr>
        <w:rStyle w:val="SidhuvudRubrikReferens"/>
      </w:rPr>
      <w:fldChar w:fldCharType="begin" w:fldLock="1"/>
    </w:r>
    <w:r w:rsidRPr="00AA7200">
      <w:rPr>
        <w:rStyle w:val="SidhuvudRubrikReferens"/>
      </w:rPr>
      <w:instrText xml:space="preserve"> StyleREF "Rubrik 1" </w:instrText>
    </w:r>
    <w:r w:rsidRPr="00AA7200">
      <w:rPr>
        <w:rStyle w:val="SidhuvudRubrikReferens"/>
      </w:rPr>
      <w:fldChar w:fldCharType="separate"/>
    </w:r>
    <w:r w:rsidR="00831B77" w:rsidRPr="00AA7200">
      <w:rPr>
        <w:rStyle w:val="SidhuvudRubrikReferens"/>
      </w:rPr>
      <w:t>4 Riksdagsstyrelsens överväganden</w:t>
    </w:r>
    <w:r w:rsidRPr="00AA7200">
      <w:rPr>
        <w:rStyle w:val="SidhuvudRubrikReferens"/>
      </w:rPr>
      <w:fldChar w:fldCharType="end"/>
    </w:r>
    <w:r w:rsidRPr="00AA7200">
      <w:rPr>
        <w:rStyle w:val="SidhuvudBilaga"/>
      </w:rPr>
      <w:t xml:space="preserve"> </w:t>
    </w:r>
    <w:r w:rsidRPr="00AA7200">
      <w:t xml:space="preserve">     </w:t>
    </w:r>
    <w:r w:rsidRPr="00AA7200">
      <w:rPr>
        <w:rStyle w:val="SidhuvudUtskott"/>
      </w:rPr>
      <w:fldChar w:fldCharType="begin" w:fldLock="1"/>
    </w:r>
    <w:r w:rsidRPr="00AA7200">
      <w:rPr>
        <w:rStyle w:val="SidhuvudUtskott"/>
      </w:rPr>
      <w:instrText xml:space="preserve"> DOCPROPERTY BetänkandeÅr</w:instrText>
    </w:r>
    <w:r w:rsidRPr="00AA7200">
      <w:rPr>
        <w:rStyle w:val="SidhuvudUtskott"/>
      </w:rPr>
      <w:fldChar w:fldCharType="separate"/>
    </w:r>
    <w:r w:rsidR="003C571B" w:rsidRPr="00AA7200">
      <w:rPr>
        <w:rStyle w:val="SidhuvudUtskott"/>
      </w:rPr>
      <w:t>2011/12</w:t>
    </w:r>
    <w:r w:rsidRPr="00AA7200">
      <w:rPr>
        <w:rStyle w:val="SidhuvudUtskott"/>
      </w:rPr>
      <w:fldChar w:fldCharType="end"/>
    </w:r>
    <w:r w:rsidRPr="00AA7200">
      <w:rPr>
        <w:rStyle w:val="SidhuvudUtskott"/>
      </w:rPr>
      <w:t>:</w:t>
    </w:r>
    <w:r w:rsidRPr="00AA7200">
      <w:rPr>
        <w:rStyle w:val="SidhuvudUtskott"/>
      </w:rPr>
      <w:fldChar w:fldCharType="begin" w:fldLock="1"/>
    </w:r>
    <w:r w:rsidRPr="00AA7200">
      <w:rPr>
        <w:rStyle w:val="SidhuvudUtskott"/>
      </w:rPr>
      <w:instrText xml:space="preserve"> DOCPROPERTY</w:instrText>
    </w:r>
    <w:r w:rsidRPr="00AA7200">
      <w:instrText xml:space="preserve"> </w:instrText>
    </w:r>
    <w:r w:rsidRPr="00AA7200">
      <w:rPr>
        <w:rStyle w:val="SidhuvudUtskott"/>
      </w:rPr>
      <w:instrText>Utskott</w:instrText>
    </w:r>
    <w:r w:rsidRPr="00AA7200">
      <w:rPr>
        <w:rStyle w:val="SidhuvudUtskott"/>
      </w:rPr>
      <w:fldChar w:fldCharType="separate"/>
    </w:r>
    <w:r w:rsidR="003C571B" w:rsidRPr="00AA7200">
      <w:rPr>
        <w:rStyle w:val="SidhuvudUtskott"/>
      </w:rPr>
      <w:t>RS</w:t>
    </w:r>
    <w:r w:rsidRPr="00AA7200">
      <w:rPr>
        <w:rStyle w:val="SidhuvudUtskott"/>
      </w:rPr>
      <w:fldChar w:fldCharType="end"/>
    </w:r>
    <w:r w:rsidRPr="00AA7200">
      <w:rPr>
        <w:rStyle w:val="SidhuvudUtskott"/>
      </w:rPr>
      <w:fldChar w:fldCharType="begin" w:fldLock="1"/>
    </w:r>
    <w:r w:rsidRPr="00AA7200">
      <w:rPr>
        <w:rStyle w:val="SidhuvudUtskott"/>
      </w:rPr>
      <w:instrText xml:space="preserve"> DOCPROPERTY Betä</w:instrText>
    </w:r>
    <w:r w:rsidRPr="00AA7200">
      <w:rPr>
        <w:rStyle w:val="SidhuvudUtskott"/>
      </w:rPr>
      <w:instrText>n</w:instrText>
    </w:r>
    <w:r w:rsidRPr="00AA7200">
      <w:rPr>
        <w:rStyle w:val="SidhuvudUtskott"/>
      </w:rPr>
      <w:instrText>kandeNr</w:instrText>
    </w:r>
    <w:r w:rsidRPr="00AA7200">
      <w:rPr>
        <w:rStyle w:val="SidhuvudUtskott"/>
      </w:rPr>
      <w:fldChar w:fldCharType="separate"/>
    </w:r>
    <w:r w:rsidR="003C571B" w:rsidRPr="00AA7200">
      <w:rPr>
        <w:rStyle w:val="SidhuvudUtskott"/>
      </w:rPr>
      <w:t>1</w:t>
    </w:r>
    <w:r w:rsidRPr="00AA7200">
      <w:rPr>
        <w:rStyle w:val="SidhuvudUtskott"/>
      </w:rPr>
      <w:fldChar w:fldCharType="end"/>
    </w:r>
  </w:p>
  <w:p w:rsidR="00313121" w:rsidRPr="00AA7200" w:rsidRDefault="00313121">
    <w:pPr>
      <w:pStyle w:val="SidhuvudKantUdda"/>
      <w:framePr w:w="8732" w:h="567" w:hRule="exact" w:vSpace="0" w:wrap="around" w:vAnchor="page" w:y="341" w:anchorLock="0"/>
    </w:pPr>
    <w:r w:rsidRPr="00AA7200">
      <w:rPr>
        <w:rStyle w:val="SidhuvudUtskott"/>
      </w:rPr>
      <w:fldChar w:fldCharType="begin" w:fldLock="1"/>
    </w:r>
    <w:r w:rsidRPr="00AA7200">
      <w:rPr>
        <w:rStyle w:val="SidhuvudUtskott"/>
      </w:rPr>
      <w:instrText xml:space="preserve"> if </w:instrText>
    </w:r>
    <w:r w:rsidRPr="00AA7200">
      <w:rPr>
        <w:rStyle w:val="SidhuvudUtskott"/>
      </w:rPr>
      <w:fldChar w:fldCharType="begin" w:fldLock="1"/>
    </w:r>
    <w:r w:rsidRPr="00AA7200">
      <w:rPr>
        <w:rStyle w:val="SidhuvudUtskott"/>
      </w:rPr>
      <w:instrText xml:space="preserve"> DOCPROPERTY "UtkastDatum"</w:instrText>
    </w:r>
    <w:r w:rsidRPr="00AA7200">
      <w:rPr>
        <w:rStyle w:val="SidhuvudUtskott"/>
      </w:rPr>
      <w:fldChar w:fldCharType="separate"/>
    </w:r>
    <w:r w:rsidR="003C571B" w:rsidRPr="00AA7200">
      <w:rPr>
        <w:rStyle w:val="SidhuvudUtskott"/>
      </w:rPr>
      <w:instrText>Nej</w:instrText>
    </w:r>
    <w:r w:rsidRPr="00AA7200">
      <w:rPr>
        <w:rStyle w:val="SidhuvudUtskott"/>
      </w:rPr>
      <w:fldChar w:fldCharType="end"/>
    </w:r>
    <w:r w:rsidRPr="00AA7200">
      <w:rPr>
        <w:rStyle w:val="SidhuvudUtskott"/>
      </w:rPr>
      <w:instrText xml:space="preserve"> = "Ja" "</w:instrText>
    </w:r>
    <w:r w:rsidRPr="00AA7200">
      <w:rPr>
        <w:rStyle w:val="SidhuvudUtskott"/>
      </w:rPr>
      <w:fldChar w:fldCharType="begin" w:fldLock="1"/>
    </w:r>
    <w:r w:rsidRPr="00AA7200">
      <w:rPr>
        <w:rStyle w:val="SidhuvudUtskott"/>
      </w:rPr>
      <w:instrText xml:space="preserve"> PRINTDATE \@ "yyyy-MM-dd HH.mm    " </w:instrText>
    </w:r>
    <w:r w:rsidRPr="00AA7200">
      <w:rPr>
        <w:rStyle w:val="SidhuvudUtskott"/>
      </w:rPr>
      <w:fldChar w:fldCharType="separate"/>
    </w:r>
    <w:r w:rsidRPr="00AA7200">
      <w:rPr>
        <w:rStyle w:val="SidhuvudUtskott"/>
      </w:rPr>
      <w:instrText>2000-08-11 16.42</w:instrText>
    </w:r>
    <w:r w:rsidRPr="00AA7200">
      <w:rPr>
        <w:rStyle w:val="SidhuvudUtskott"/>
      </w:rPr>
      <w:fldChar w:fldCharType="end"/>
    </w:r>
    <w:r w:rsidRPr="00AA7200">
      <w:rPr>
        <w:rStyle w:val="SidhuvudUtskott"/>
      </w:rPr>
      <w:instrText xml:space="preserve">" </w:instrText>
    </w:r>
    <w:r w:rsidRPr="00AA7200">
      <w:rPr>
        <w:rStyle w:val="SidhuvudUtskott"/>
      </w:rPr>
      <w:fldChar w:fldCharType="end"/>
    </w:r>
    <w:r w:rsidRPr="00AA7200">
      <w:rPr>
        <w:rStyle w:val="SidhuvudUtskott"/>
      </w:rPr>
      <w:fldChar w:fldCharType="begin" w:fldLock="1"/>
    </w:r>
    <w:r w:rsidRPr="00AA7200">
      <w:rPr>
        <w:rStyle w:val="SidhuvudUtskott"/>
      </w:rPr>
      <w:instrText xml:space="preserve"> DOCPR</w:instrText>
    </w:r>
    <w:r w:rsidRPr="00AA7200">
      <w:rPr>
        <w:rStyle w:val="SidhuvudUtskott"/>
      </w:rPr>
      <w:instrText>O</w:instrText>
    </w:r>
    <w:r w:rsidRPr="00AA7200">
      <w:rPr>
        <w:rStyle w:val="SidhuvudUtskott"/>
      </w:rPr>
      <w:instrText>PERTY Status</w:instrText>
    </w:r>
    <w:r w:rsidRPr="00AA7200">
      <w:rPr>
        <w:rStyle w:val="SidhuvudUtskott"/>
      </w:rPr>
      <w:fldChar w:fldCharType="end"/>
    </w:r>
  </w:p>
  <w:p w:rsidR="00313121" w:rsidRPr="00AA7200" w:rsidRDefault="00313121">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121" w:rsidRPr="00AA7200" w:rsidRDefault="00313121">
    <w:pPr>
      <w:pStyle w:val="SidhuvudKantJmn"/>
      <w:framePr w:w="8732" w:h="567" w:hRule="exact" w:vSpace="0" w:wrap="around" w:vAnchor="page" w:y="341" w:anchorLock="0"/>
    </w:pPr>
    <w:r w:rsidRPr="00AA7200">
      <w:fldChar w:fldCharType="begin" w:fldLock="1"/>
    </w:r>
    <w:r w:rsidRPr="00AA7200">
      <w:instrText xml:space="preserve"> if </w:instrText>
    </w:r>
    <w:r w:rsidRPr="00AA7200">
      <w:fldChar w:fldCharType="begin" w:fldLock="1"/>
    </w:r>
    <w:r w:rsidRPr="00AA7200">
      <w:instrText xml:space="preserve"> page</w:instrText>
    </w:r>
    <w:r w:rsidRPr="00AA7200">
      <w:fldChar w:fldCharType="separate"/>
    </w:r>
    <w:r w:rsidR="00831B77" w:rsidRPr="00AA7200">
      <w:instrText>12</w:instrText>
    </w:r>
    <w:r w:rsidRPr="00AA7200">
      <w:fldChar w:fldCharType="end"/>
    </w:r>
    <w:r w:rsidRPr="00AA7200">
      <w:instrText xml:space="preserve"> &gt; 1 "</w:instrText>
    </w:r>
    <w:r w:rsidRPr="00AA7200">
      <w:fldChar w:fldCharType="begin" w:fldLock="1"/>
    </w:r>
    <w:r w:rsidRPr="00AA7200">
      <w:instrText xml:space="preserve"> if </w:instrText>
    </w:r>
    <w:r w:rsidRPr="00AA7200">
      <w:fldChar w:fldCharType="begin" w:fldLock="1"/>
    </w:r>
    <w:r w:rsidRPr="00AA7200">
      <w:instrText xml:space="preserve"> = </w:instrText>
    </w:r>
    <w:r w:rsidRPr="00AA7200">
      <w:fldChar w:fldCharType="begin" w:fldLock="1"/>
    </w:r>
    <w:r w:rsidRPr="00AA7200">
      <w:instrText xml:space="preserve"> = </w:instrText>
    </w:r>
    <w:r w:rsidRPr="00AA7200">
      <w:fldChar w:fldCharType="begin" w:fldLock="1"/>
    </w:r>
    <w:r w:rsidRPr="00AA7200">
      <w:instrText xml:space="preserve"> page</w:instrText>
    </w:r>
    <w:r w:rsidRPr="00AA7200">
      <w:fldChar w:fldCharType="separate"/>
    </w:r>
    <w:r w:rsidR="00831B77" w:rsidRPr="00AA7200">
      <w:instrText>12</w:instrText>
    </w:r>
    <w:r w:rsidRPr="00AA7200">
      <w:fldChar w:fldCharType="end"/>
    </w:r>
    <w:r w:rsidRPr="00AA7200">
      <w:instrText xml:space="preserve">/2 </w:instrText>
    </w:r>
    <w:r w:rsidRPr="00AA7200">
      <w:fldChar w:fldCharType="separate"/>
    </w:r>
    <w:r w:rsidR="00831B77" w:rsidRPr="00AA7200">
      <w:instrText>6</w:instrText>
    </w:r>
    <w:r w:rsidRPr="00AA7200">
      <w:fldChar w:fldCharType="end"/>
    </w:r>
    <w:r w:rsidRPr="00AA7200">
      <w:instrText xml:space="preserve"> - </w:instrText>
    </w:r>
    <w:r w:rsidRPr="00AA7200">
      <w:fldChar w:fldCharType="begin" w:fldLock="1"/>
    </w:r>
    <w:r w:rsidRPr="00AA7200">
      <w:instrText xml:space="preserve"> = int(</w:instrText>
    </w:r>
    <w:r w:rsidRPr="00AA7200">
      <w:fldChar w:fldCharType="begin" w:fldLock="1"/>
    </w:r>
    <w:r w:rsidRPr="00AA7200">
      <w:instrText xml:space="preserve"> page</w:instrText>
    </w:r>
    <w:r w:rsidRPr="00AA7200">
      <w:fldChar w:fldCharType="separate"/>
    </w:r>
    <w:r w:rsidR="00831B77" w:rsidRPr="00AA7200">
      <w:instrText>12</w:instrText>
    </w:r>
    <w:r w:rsidRPr="00AA7200">
      <w:fldChar w:fldCharType="end"/>
    </w:r>
    <w:r w:rsidRPr="00AA7200">
      <w:instrText xml:space="preserve">/2) </w:instrText>
    </w:r>
    <w:r w:rsidRPr="00AA7200">
      <w:fldChar w:fldCharType="separate"/>
    </w:r>
    <w:r w:rsidR="00831B77" w:rsidRPr="00AA7200">
      <w:instrText>6</w:instrText>
    </w:r>
    <w:r w:rsidRPr="00AA7200">
      <w:fldChar w:fldCharType="end"/>
    </w:r>
    <w:r w:rsidRPr="00AA7200">
      <w:fldChar w:fldCharType="separate"/>
    </w:r>
    <w:r w:rsidR="00831B77" w:rsidRPr="00AA7200">
      <w:instrText>0</w:instrText>
    </w:r>
    <w:r w:rsidRPr="00AA7200">
      <w:fldChar w:fldCharType="end"/>
    </w:r>
    <w:r w:rsidRPr="00AA7200">
      <w:instrText xml:space="preserve"> = 0 "</w:instrText>
    </w:r>
    <w:r w:rsidRPr="00AA7200">
      <w:rPr>
        <w:rStyle w:val="SidhuvudUtskott"/>
      </w:rPr>
      <w:fldChar w:fldCharType="begin" w:fldLock="1"/>
    </w:r>
    <w:r w:rsidRPr="00AA7200">
      <w:rPr>
        <w:rStyle w:val="SidhuvudUtskott"/>
      </w:rPr>
      <w:instrText xml:space="preserve"> DOCPROPERTY BetänkandeÅr</w:instrText>
    </w:r>
    <w:r w:rsidRPr="00AA7200">
      <w:rPr>
        <w:rStyle w:val="SidhuvudUtskott"/>
      </w:rPr>
      <w:fldChar w:fldCharType="separate"/>
    </w:r>
    <w:r w:rsidR="003C571B" w:rsidRPr="00AA7200">
      <w:rPr>
        <w:rStyle w:val="SidhuvudUtskott"/>
      </w:rPr>
      <w:instrText>2011/12</w:instrText>
    </w:r>
    <w:r w:rsidRPr="00AA7200">
      <w:rPr>
        <w:rStyle w:val="SidhuvudUtskott"/>
      </w:rPr>
      <w:fldChar w:fldCharType="end"/>
    </w:r>
    <w:r w:rsidRPr="00AA7200">
      <w:rPr>
        <w:rStyle w:val="SidhuvudUtskott"/>
      </w:rPr>
      <w:instrText>:</w:instrText>
    </w:r>
    <w:r w:rsidRPr="00AA7200">
      <w:rPr>
        <w:rStyle w:val="SidhuvudUtskott"/>
      </w:rPr>
      <w:fldChar w:fldCharType="begin" w:fldLock="1"/>
    </w:r>
    <w:r w:rsidRPr="00AA7200">
      <w:rPr>
        <w:rStyle w:val="SidhuvudUtskott"/>
      </w:rPr>
      <w:instrText xml:space="preserve"> DOCPR</w:instrText>
    </w:r>
    <w:r w:rsidRPr="00AA7200">
      <w:rPr>
        <w:rStyle w:val="SidhuvudUtskott"/>
      </w:rPr>
      <w:instrText>O</w:instrText>
    </w:r>
    <w:r w:rsidRPr="00AA7200">
      <w:rPr>
        <w:rStyle w:val="SidhuvudUtskott"/>
      </w:rPr>
      <w:instrText>PE</w:instrText>
    </w:r>
    <w:r w:rsidRPr="00AA7200">
      <w:rPr>
        <w:rStyle w:val="SidhuvudUtskott"/>
      </w:rPr>
      <w:instrText>R</w:instrText>
    </w:r>
    <w:r w:rsidRPr="00AA7200">
      <w:rPr>
        <w:rStyle w:val="SidhuvudUtskott"/>
      </w:rPr>
      <w:instrText>TY Utskott</w:instrText>
    </w:r>
    <w:r w:rsidRPr="00AA7200">
      <w:rPr>
        <w:rStyle w:val="SidhuvudUtskott"/>
      </w:rPr>
      <w:fldChar w:fldCharType="separate"/>
    </w:r>
    <w:r w:rsidR="003C571B" w:rsidRPr="00AA7200">
      <w:rPr>
        <w:rStyle w:val="SidhuvudUtskott"/>
      </w:rPr>
      <w:instrText>RS</w:instrText>
    </w:r>
    <w:r w:rsidRPr="00AA7200">
      <w:rPr>
        <w:rStyle w:val="SidhuvudUtskott"/>
      </w:rPr>
      <w:fldChar w:fldCharType="end"/>
    </w:r>
    <w:r w:rsidRPr="00AA7200">
      <w:rPr>
        <w:rStyle w:val="SidhuvudUtskott"/>
      </w:rPr>
      <w:fldChar w:fldCharType="begin" w:fldLock="1"/>
    </w:r>
    <w:r w:rsidRPr="00AA7200">
      <w:rPr>
        <w:rStyle w:val="SidhuvudUtskott"/>
      </w:rPr>
      <w:instrText xml:space="preserve"> DOCPROPERTY BetänkandeNr</w:instrText>
    </w:r>
    <w:r w:rsidRPr="00AA7200">
      <w:rPr>
        <w:rStyle w:val="SidhuvudUtskott"/>
      </w:rPr>
      <w:fldChar w:fldCharType="separate"/>
    </w:r>
    <w:r w:rsidR="003C571B" w:rsidRPr="00AA7200">
      <w:rPr>
        <w:rStyle w:val="SidhuvudUtskott"/>
      </w:rPr>
      <w:instrText>1</w:instrText>
    </w:r>
    <w:r w:rsidRPr="00AA7200">
      <w:rPr>
        <w:rStyle w:val="SidhuvudUtskott"/>
      </w:rPr>
      <w:fldChar w:fldCharType="end"/>
    </w:r>
    <w:r w:rsidRPr="00AA7200">
      <w:instrText xml:space="preserve">    </w:instrText>
    </w:r>
  </w:p>
  <w:p w:rsidR="00313121" w:rsidRPr="00AA7200" w:rsidRDefault="00313121">
    <w:pPr>
      <w:pStyle w:val="SidhuvudKantJmn"/>
      <w:framePr w:w="8732" w:h="567" w:hRule="exact" w:vSpace="0" w:wrap="around" w:vAnchor="page" w:y="341" w:anchorLock="0"/>
    </w:pPr>
    <w:r w:rsidRPr="00AA7200">
      <w:rPr>
        <w:rStyle w:val="SidhuvudUtskott"/>
      </w:rPr>
      <w:fldChar w:fldCharType="begin" w:fldLock="1"/>
    </w:r>
    <w:r w:rsidRPr="00AA7200">
      <w:rPr>
        <w:rStyle w:val="SidhuvudUtskott"/>
      </w:rPr>
      <w:instrText xml:space="preserve"> DOCPROPERTY Status</w:instrText>
    </w:r>
    <w:r w:rsidRPr="00AA7200">
      <w:rPr>
        <w:rStyle w:val="SidhuvudUtskott"/>
      </w:rPr>
      <w:fldChar w:fldCharType="end"/>
    </w:r>
    <w:r w:rsidRPr="00AA7200">
      <w:rPr>
        <w:rStyle w:val="SidhuvudUtskott"/>
      </w:rPr>
      <w:fldChar w:fldCharType="begin" w:fldLock="1"/>
    </w:r>
    <w:r w:rsidRPr="00AA7200">
      <w:rPr>
        <w:rStyle w:val="SidhuvudUtskott"/>
      </w:rPr>
      <w:instrText xml:space="preserve"> if </w:instrText>
    </w:r>
    <w:r w:rsidRPr="00AA7200">
      <w:rPr>
        <w:rStyle w:val="SidhuvudUtskott"/>
      </w:rPr>
      <w:fldChar w:fldCharType="begin" w:fldLock="1"/>
    </w:r>
    <w:r w:rsidRPr="00AA7200">
      <w:rPr>
        <w:rStyle w:val="SidhuvudUtskott"/>
      </w:rPr>
      <w:instrText xml:space="preserve"> DOCPROPERTY "UtkastDatum"</w:instrText>
    </w:r>
    <w:r w:rsidRPr="00AA7200">
      <w:rPr>
        <w:rStyle w:val="SidhuvudUtskott"/>
      </w:rPr>
      <w:fldChar w:fldCharType="separate"/>
    </w:r>
    <w:r w:rsidR="003C571B" w:rsidRPr="00AA7200">
      <w:rPr>
        <w:rStyle w:val="SidhuvudUtskott"/>
      </w:rPr>
      <w:instrText>Nej</w:instrText>
    </w:r>
    <w:r w:rsidRPr="00AA7200">
      <w:rPr>
        <w:rStyle w:val="SidhuvudUtskott"/>
      </w:rPr>
      <w:fldChar w:fldCharType="end"/>
    </w:r>
    <w:r w:rsidRPr="00AA7200">
      <w:rPr>
        <w:rStyle w:val="SidhuvudUtskott"/>
      </w:rPr>
      <w:instrText xml:space="preserve"> = "Ja" "    </w:instrText>
    </w:r>
    <w:r w:rsidRPr="00AA7200">
      <w:rPr>
        <w:rStyle w:val="SidhuvudUtskott"/>
      </w:rPr>
      <w:fldChar w:fldCharType="begin" w:fldLock="1"/>
    </w:r>
    <w:r w:rsidRPr="00AA7200">
      <w:rPr>
        <w:rStyle w:val="SidhuvudUtskott"/>
      </w:rPr>
      <w:instrText xml:space="preserve"> PRINTDATE \@ "yyyy-MM-dd HH.mm" </w:instrText>
    </w:r>
    <w:r w:rsidRPr="00AA7200">
      <w:rPr>
        <w:rStyle w:val="SidhuvudUtskott"/>
      </w:rPr>
      <w:fldChar w:fldCharType="separate"/>
    </w:r>
    <w:r w:rsidRPr="00AA7200">
      <w:rPr>
        <w:rStyle w:val="SidhuvudUtskott"/>
      </w:rPr>
      <w:instrText>2000-08-11 16.42</w:instrText>
    </w:r>
    <w:r w:rsidRPr="00AA7200">
      <w:rPr>
        <w:rStyle w:val="SidhuvudUtskott"/>
      </w:rPr>
      <w:fldChar w:fldCharType="end"/>
    </w:r>
    <w:r w:rsidRPr="00AA7200">
      <w:rPr>
        <w:rStyle w:val="SidhuvudUtskott"/>
      </w:rPr>
      <w:instrText xml:space="preserve">" </w:instrText>
    </w:r>
    <w:r w:rsidRPr="00AA7200">
      <w:rPr>
        <w:rStyle w:val="SidhuvudUtskott"/>
      </w:rPr>
      <w:fldChar w:fldCharType="end"/>
    </w:r>
  </w:p>
  <w:p w:rsidR="00313121" w:rsidRPr="00AA7200" w:rsidRDefault="00313121">
    <w:pPr>
      <w:pStyle w:val="SidhuvudKantUdda"/>
      <w:framePr w:w="8732" w:h="567" w:hRule="exact" w:vSpace="0" w:wrap="around" w:vAnchor="page" w:y="341" w:anchorLock="0"/>
    </w:pPr>
    <w:r w:rsidRPr="00AA7200">
      <w:rPr>
        <w:rStyle w:val="SidhuvudRubrikReferens"/>
        <w:smallCaps w:val="0"/>
        <w:spacing w:val="0"/>
        <w:sz w:val="19"/>
      </w:rPr>
      <w:instrText xml:space="preserve"> </w:instrText>
    </w:r>
    <w:r w:rsidRPr="00AA7200">
      <w:instrText xml:space="preserve">"  "  </w:instrText>
    </w:r>
    <w:r w:rsidRPr="00AA7200">
      <w:rPr>
        <w:rStyle w:val="SidhuvudUtskott"/>
      </w:rPr>
      <w:fldChar w:fldCharType="begin" w:fldLock="1"/>
    </w:r>
    <w:r w:rsidRPr="00AA7200">
      <w:rPr>
        <w:rStyle w:val="SidhuvudUtskott"/>
      </w:rPr>
      <w:instrText xml:space="preserve"> DOCPROPERTY BetänkandeÅr</w:instrText>
    </w:r>
    <w:r w:rsidRPr="00AA7200">
      <w:rPr>
        <w:rStyle w:val="SidhuvudUtskott"/>
      </w:rPr>
      <w:fldChar w:fldCharType="separate"/>
    </w:r>
    <w:r w:rsidRPr="00AA7200">
      <w:rPr>
        <w:rStyle w:val="SidhuvudUtskott"/>
      </w:rPr>
      <w:instrText>2011/12</w:instrText>
    </w:r>
    <w:r w:rsidRPr="00AA7200">
      <w:rPr>
        <w:rStyle w:val="SidhuvudUtskott"/>
      </w:rPr>
      <w:fldChar w:fldCharType="end"/>
    </w:r>
    <w:r w:rsidRPr="00AA7200">
      <w:rPr>
        <w:rStyle w:val="SidhuvudUtskott"/>
      </w:rPr>
      <w:instrText>:</w:instrText>
    </w:r>
    <w:r w:rsidRPr="00AA7200">
      <w:rPr>
        <w:rStyle w:val="SidhuvudUtskott"/>
      </w:rPr>
      <w:fldChar w:fldCharType="begin" w:fldLock="1"/>
    </w:r>
    <w:r w:rsidRPr="00AA7200">
      <w:rPr>
        <w:rStyle w:val="SidhuvudUtskott"/>
      </w:rPr>
      <w:instrText xml:space="preserve"> DOCPROPERTY Utskott</w:instrText>
    </w:r>
    <w:r w:rsidRPr="00AA7200">
      <w:rPr>
        <w:rStyle w:val="SidhuvudUtskott"/>
      </w:rPr>
      <w:fldChar w:fldCharType="separate"/>
    </w:r>
    <w:r w:rsidRPr="00AA7200">
      <w:rPr>
        <w:rStyle w:val="SidhuvudUtskott"/>
      </w:rPr>
      <w:instrText>RS</w:instrText>
    </w:r>
    <w:r w:rsidRPr="00AA7200">
      <w:rPr>
        <w:rStyle w:val="SidhuvudUtskott"/>
      </w:rPr>
      <w:fldChar w:fldCharType="end"/>
    </w:r>
    <w:r w:rsidRPr="00AA7200">
      <w:rPr>
        <w:rStyle w:val="SidhuvudUtskott"/>
      </w:rPr>
      <w:fldChar w:fldCharType="begin" w:fldLock="1"/>
    </w:r>
    <w:r w:rsidRPr="00AA7200">
      <w:rPr>
        <w:rStyle w:val="SidhuvudUtskott"/>
      </w:rPr>
      <w:instrText xml:space="preserve"> DOCPROPERTY BetänkandeNr</w:instrText>
    </w:r>
    <w:r w:rsidRPr="00AA7200">
      <w:rPr>
        <w:rStyle w:val="SidhuvudUtskott"/>
      </w:rPr>
      <w:fldChar w:fldCharType="separate"/>
    </w:r>
    <w:r w:rsidRPr="00AA7200">
      <w:rPr>
        <w:rStyle w:val="SidhuvudUtskott"/>
      </w:rPr>
      <w:instrText>100</w:instrText>
    </w:r>
    <w:r w:rsidRPr="00AA7200">
      <w:rPr>
        <w:rStyle w:val="SidhuvudUtskott"/>
      </w:rPr>
      <w:fldChar w:fldCharType="end"/>
    </w:r>
  </w:p>
  <w:p w:rsidR="00831B77" w:rsidRPr="00AA7200" w:rsidRDefault="00313121">
    <w:pPr>
      <w:pStyle w:val="SidhuvudKantJmn"/>
      <w:framePr w:w="8732" w:h="567" w:hRule="exact" w:vSpace="0" w:wrap="around" w:vAnchor="page" w:y="341" w:anchorLock="0"/>
    </w:pPr>
    <w:r w:rsidRPr="00AA7200">
      <w:rPr>
        <w:rStyle w:val="SidhuvudUtskott"/>
      </w:rPr>
      <w:fldChar w:fldCharType="begin" w:fldLock="1"/>
    </w:r>
    <w:r w:rsidRPr="00AA7200">
      <w:rPr>
        <w:rStyle w:val="SidhuvudUtskott"/>
      </w:rPr>
      <w:instrText xml:space="preserve"> if </w:instrText>
    </w:r>
    <w:r w:rsidRPr="00AA7200">
      <w:rPr>
        <w:rStyle w:val="SidhuvudUtskott"/>
      </w:rPr>
      <w:fldChar w:fldCharType="begin" w:fldLock="1"/>
    </w:r>
    <w:r w:rsidRPr="00AA7200">
      <w:rPr>
        <w:rStyle w:val="SidhuvudUtskott"/>
      </w:rPr>
      <w:instrText xml:space="preserve"> DOCPROPERTY "UtkastDatum"</w:instrText>
    </w:r>
    <w:r w:rsidRPr="00AA7200">
      <w:rPr>
        <w:rStyle w:val="SidhuvudUtskott"/>
      </w:rPr>
      <w:fldChar w:fldCharType="separate"/>
    </w:r>
    <w:r w:rsidRPr="00AA7200">
      <w:rPr>
        <w:rStyle w:val="SidhuvudUtskott"/>
      </w:rPr>
      <w:instrText>Nej</w:instrText>
    </w:r>
    <w:r w:rsidRPr="00AA7200">
      <w:rPr>
        <w:rStyle w:val="SidhuvudUtskott"/>
      </w:rPr>
      <w:fldChar w:fldCharType="end"/>
    </w:r>
    <w:r w:rsidRPr="00AA7200">
      <w:rPr>
        <w:rStyle w:val="SidhuvudUtskott"/>
      </w:rPr>
      <w:instrText xml:space="preserve"> = "Ja" "</w:instrText>
    </w:r>
    <w:r w:rsidRPr="00AA7200">
      <w:rPr>
        <w:rStyle w:val="SidhuvudUtskott"/>
      </w:rPr>
      <w:fldChar w:fldCharType="begin" w:fldLock="1"/>
    </w:r>
    <w:r w:rsidRPr="00AA7200">
      <w:rPr>
        <w:rStyle w:val="SidhuvudUtskott"/>
      </w:rPr>
      <w:instrText xml:space="preserve"> PRINTDATE \@ "yyyy-MM-dd HH.mm    " </w:instrText>
    </w:r>
    <w:r w:rsidRPr="00AA7200">
      <w:rPr>
        <w:rStyle w:val="SidhuvudUtskott"/>
      </w:rPr>
      <w:fldChar w:fldCharType="separate"/>
    </w:r>
    <w:r w:rsidRPr="00AA7200">
      <w:rPr>
        <w:rStyle w:val="SidhuvudUtskott"/>
      </w:rPr>
      <w:instrText>2000-08-11 16.42</w:instrText>
    </w:r>
    <w:r w:rsidRPr="00AA7200">
      <w:rPr>
        <w:rStyle w:val="SidhuvudUtskott"/>
      </w:rPr>
      <w:fldChar w:fldCharType="end"/>
    </w:r>
    <w:r w:rsidRPr="00AA7200">
      <w:rPr>
        <w:rStyle w:val="SidhuvudUtskott"/>
      </w:rPr>
      <w:instrText xml:space="preserve">" </w:instrText>
    </w:r>
    <w:r w:rsidRPr="00AA7200">
      <w:rPr>
        <w:rStyle w:val="SidhuvudUtskott"/>
      </w:rPr>
      <w:fldChar w:fldCharType="end"/>
    </w:r>
    <w:r w:rsidRPr="00AA7200">
      <w:rPr>
        <w:rStyle w:val="SidhuvudUtskott"/>
      </w:rPr>
      <w:fldChar w:fldCharType="begin" w:fldLock="1"/>
    </w:r>
    <w:r w:rsidRPr="00AA7200">
      <w:rPr>
        <w:rStyle w:val="SidhuvudUtskott"/>
      </w:rPr>
      <w:instrText xml:space="preserve"> DOCPR</w:instrText>
    </w:r>
    <w:r w:rsidRPr="00AA7200">
      <w:rPr>
        <w:rStyle w:val="SidhuvudUtskott"/>
      </w:rPr>
      <w:instrText>O</w:instrText>
    </w:r>
    <w:r w:rsidRPr="00AA7200">
      <w:rPr>
        <w:rStyle w:val="SidhuvudUtskott"/>
      </w:rPr>
      <w:instrText>PERTY Status</w:instrText>
    </w:r>
    <w:r w:rsidRPr="00AA7200">
      <w:rPr>
        <w:rStyle w:val="SidhuvudUtskott"/>
      </w:rPr>
      <w:fldChar w:fldCharType="separate"/>
    </w:r>
    <w:r w:rsidRPr="00AA7200">
      <w:rPr>
        <w:rStyle w:val="SidhuvudUtskott"/>
      </w:rPr>
      <w:instrText>Utkast</w:instrText>
    </w:r>
    <w:r w:rsidRPr="00AA7200">
      <w:rPr>
        <w:rStyle w:val="SidhuvudUtskott"/>
      </w:rPr>
      <w:fldChar w:fldCharType="end"/>
    </w:r>
    <w:r w:rsidRPr="00AA7200">
      <w:instrText>"</w:instrText>
    </w:r>
    <w:r w:rsidRPr="00AA7200">
      <w:fldChar w:fldCharType="separate"/>
    </w:r>
    <w:r w:rsidR="00831B77" w:rsidRPr="00AA7200">
      <w:rPr>
        <w:rStyle w:val="SidhuvudUtskott"/>
      </w:rPr>
      <w:instrText>2011/12:RS1</w:instrText>
    </w:r>
    <w:r w:rsidR="00831B77" w:rsidRPr="00AA7200">
      <w:instrText xml:space="preserve">    </w:instrText>
    </w:r>
  </w:p>
  <w:p w:rsidR="00831B77" w:rsidRPr="00AA7200" w:rsidRDefault="00831B77">
    <w:pPr>
      <w:pStyle w:val="SidhuvudKantJmn"/>
      <w:framePr w:w="8732" w:h="567" w:hRule="exact" w:vSpace="0" w:wrap="around" w:vAnchor="page" w:y="341" w:anchorLock="0"/>
    </w:pPr>
  </w:p>
  <w:p w:rsidR="00831B77" w:rsidRPr="00AA7200" w:rsidRDefault="00831B77">
    <w:pPr>
      <w:pStyle w:val="SidhuvudKantJmn"/>
      <w:framePr w:w="8732" w:h="567" w:hRule="exact" w:vSpace="0" w:wrap="around" w:vAnchor="page" w:y="341" w:anchorLock="0"/>
    </w:pPr>
    <w:r w:rsidRPr="00AA7200">
      <w:rPr>
        <w:rStyle w:val="SidhuvudRubrikReferens"/>
        <w:smallCaps w:val="0"/>
        <w:spacing w:val="0"/>
        <w:sz w:val="19"/>
      </w:rPr>
      <w:instrText xml:space="preserve"> </w:instrText>
    </w:r>
    <w:r w:rsidR="00313121" w:rsidRPr="00AA7200">
      <w:fldChar w:fldCharType="end"/>
    </w:r>
    <w:r w:rsidR="00313121" w:rsidRPr="00AA7200">
      <w:instrText>" " "</w:instrText>
    </w:r>
    <w:r w:rsidR="00313121" w:rsidRPr="00AA7200">
      <w:fldChar w:fldCharType="separate"/>
    </w:r>
    <w:r w:rsidRPr="00AA7200">
      <w:rPr>
        <w:rStyle w:val="SidhuvudUtskott"/>
      </w:rPr>
      <w:t>2011/12:RS1</w:t>
    </w:r>
    <w:r w:rsidRPr="00AA7200">
      <w:t xml:space="preserve">    </w:t>
    </w:r>
  </w:p>
  <w:p w:rsidR="00831B77" w:rsidRPr="00AA7200" w:rsidRDefault="00831B77">
    <w:pPr>
      <w:pStyle w:val="SidhuvudKantJmn"/>
      <w:framePr w:w="8732" w:h="567" w:hRule="exact" w:vSpace="0" w:wrap="around" w:vAnchor="page" w:y="341" w:anchorLock="0"/>
    </w:pPr>
  </w:p>
  <w:p w:rsidR="00313121" w:rsidRPr="00AA7200" w:rsidRDefault="00831B77">
    <w:pPr>
      <w:pStyle w:val="SidhuvudKantUdda"/>
      <w:framePr w:w="8732" w:h="567" w:hRule="exact" w:vSpace="0" w:wrap="around" w:vAnchor="page" w:y="341" w:anchorLock="0"/>
    </w:pPr>
    <w:r w:rsidRPr="00AA7200">
      <w:rPr>
        <w:rStyle w:val="SidhuvudRubrikReferens"/>
        <w:smallCaps w:val="0"/>
        <w:spacing w:val="0"/>
        <w:sz w:val="19"/>
      </w:rPr>
      <w:t xml:space="preserve"> </w:t>
    </w:r>
    <w:r w:rsidR="00313121" w:rsidRPr="00AA7200">
      <w:fldChar w:fldCharType="end"/>
    </w:r>
  </w:p>
  <w:p w:rsidR="00313121" w:rsidRPr="00AA7200" w:rsidRDefault="0031312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121" w:rsidRPr="00AA7200" w:rsidRDefault="00313121">
    <w:pPr>
      <w:pStyle w:val="SidhuvudKantUdda"/>
      <w:framePr w:w="8732" w:h="567" w:hRule="exact" w:vSpace="0" w:wrap="around" w:vAnchor="page" w:y="341" w:anchorLock="0"/>
    </w:pPr>
    <w:r w:rsidRPr="00AA7200">
      <w:rPr>
        <w:rStyle w:val="SidhuvudRubrikReferens"/>
      </w:rPr>
      <w:fldChar w:fldCharType="begin" w:fldLock="1"/>
    </w:r>
    <w:r w:rsidRPr="00AA7200">
      <w:rPr>
        <w:rStyle w:val="SidhuvudRubrikReferens"/>
      </w:rPr>
      <w:instrText xml:space="preserve"> StyleREF "Rubrik 1" </w:instrText>
    </w:r>
    <w:r w:rsidRPr="00AA7200">
      <w:rPr>
        <w:rStyle w:val="SidhuvudRubrikReferens"/>
      </w:rPr>
      <w:fldChar w:fldCharType="separate"/>
    </w:r>
    <w:r w:rsidR="003C571B" w:rsidRPr="00AA7200">
      <w:rPr>
        <w:rStyle w:val="SidhuvudRubrikReferens"/>
      </w:rPr>
      <w:t>Förslagets huvudsakliga innehåll</w:t>
    </w:r>
    <w:r w:rsidRPr="00AA7200">
      <w:rPr>
        <w:rStyle w:val="SidhuvudRubrikReferens"/>
      </w:rPr>
      <w:fldChar w:fldCharType="end"/>
    </w:r>
    <w:r w:rsidRPr="00AA7200">
      <w:rPr>
        <w:rStyle w:val="SidhuvudBilaga"/>
      </w:rPr>
      <w:t xml:space="preserve"> </w:t>
    </w:r>
    <w:r w:rsidRPr="00AA7200">
      <w:t xml:space="preserve">     </w:t>
    </w:r>
    <w:r w:rsidRPr="00AA7200">
      <w:rPr>
        <w:rStyle w:val="SidhuvudUtskott"/>
      </w:rPr>
      <w:fldChar w:fldCharType="begin" w:fldLock="1"/>
    </w:r>
    <w:r w:rsidRPr="00AA7200">
      <w:rPr>
        <w:rStyle w:val="SidhuvudUtskott"/>
      </w:rPr>
      <w:instrText xml:space="preserve"> DOCPROPERTY BetänkandeÅr</w:instrText>
    </w:r>
    <w:r w:rsidRPr="00AA7200">
      <w:rPr>
        <w:rStyle w:val="SidhuvudUtskott"/>
      </w:rPr>
      <w:fldChar w:fldCharType="separate"/>
    </w:r>
    <w:r w:rsidR="003C571B" w:rsidRPr="00AA7200">
      <w:rPr>
        <w:rStyle w:val="SidhuvudUtskott"/>
      </w:rPr>
      <w:t>2011/12</w:t>
    </w:r>
    <w:r w:rsidRPr="00AA7200">
      <w:rPr>
        <w:rStyle w:val="SidhuvudUtskott"/>
      </w:rPr>
      <w:fldChar w:fldCharType="end"/>
    </w:r>
    <w:r w:rsidRPr="00AA7200">
      <w:rPr>
        <w:rStyle w:val="SidhuvudUtskott"/>
      </w:rPr>
      <w:t>:</w:t>
    </w:r>
    <w:r w:rsidRPr="00AA7200">
      <w:rPr>
        <w:rStyle w:val="SidhuvudUtskott"/>
      </w:rPr>
      <w:fldChar w:fldCharType="begin" w:fldLock="1"/>
    </w:r>
    <w:r w:rsidRPr="00AA7200">
      <w:rPr>
        <w:rStyle w:val="SidhuvudUtskott"/>
      </w:rPr>
      <w:instrText xml:space="preserve"> DOCPROPERTY</w:instrText>
    </w:r>
    <w:r w:rsidRPr="00AA7200">
      <w:instrText xml:space="preserve"> </w:instrText>
    </w:r>
    <w:r w:rsidRPr="00AA7200">
      <w:rPr>
        <w:rStyle w:val="SidhuvudUtskott"/>
      </w:rPr>
      <w:instrText>Utskott</w:instrText>
    </w:r>
    <w:r w:rsidRPr="00AA7200">
      <w:rPr>
        <w:rStyle w:val="SidhuvudUtskott"/>
      </w:rPr>
      <w:fldChar w:fldCharType="separate"/>
    </w:r>
    <w:r w:rsidR="003C571B" w:rsidRPr="00AA7200">
      <w:rPr>
        <w:rStyle w:val="SidhuvudUtskott"/>
      </w:rPr>
      <w:t>RS</w:t>
    </w:r>
    <w:r w:rsidRPr="00AA7200">
      <w:rPr>
        <w:rStyle w:val="SidhuvudUtskott"/>
      </w:rPr>
      <w:fldChar w:fldCharType="end"/>
    </w:r>
    <w:r w:rsidRPr="00AA7200">
      <w:rPr>
        <w:rStyle w:val="SidhuvudUtskott"/>
      </w:rPr>
      <w:fldChar w:fldCharType="begin" w:fldLock="1"/>
    </w:r>
    <w:r w:rsidRPr="00AA7200">
      <w:rPr>
        <w:rStyle w:val="SidhuvudUtskott"/>
      </w:rPr>
      <w:instrText xml:space="preserve"> DOCPROPERTY Betä</w:instrText>
    </w:r>
    <w:r w:rsidRPr="00AA7200">
      <w:rPr>
        <w:rStyle w:val="SidhuvudUtskott"/>
      </w:rPr>
      <w:instrText>n</w:instrText>
    </w:r>
    <w:r w:rsidRPr="00AA7200">
      <w:rPr>
        <w:rStyle w:val="SidhuvudUtskott"/>
      </w:rPr>
      <w:instrText>kandeNr</w:instrText>
    </w:r>
    <w:r w:rsidRPr="00AA7200">
      <w:rPr>
        <w:rStyle w:val="SidhuvudUtskott"/>
      </w:rPr>
      <w:fldChar w:fldCharType="separate"/>
    </w:r>
    <w:r w:rsidR="003C571B" w:rsidRPr="00AA7200">
      <w:rPr>
        <w:rStyle w:val="SidhuvudUtskott"/>
      </w:rPr>
      <w:t>1</w:t>
    </w:r>
    <w:r w:rsidRPr="00AA7200">
      <w:rPr>
        <w:rStyle w:val="SidhuvudUtskott"/>
      </w:rPr>
      <w:fldChar w:fldCharType="end"/>
    </w:r>
  </w:p>
  <w:p w:rsidR="00313121" w:rsidRPr="00AA7200" w:rsidRDefault="00313121">
    <w:pPr>
      <w:pStyle w:val="SidhuvudKantUdda"/>
      <w:framePr w:w="8732" w:h="567" w:hRule="exact" w:vSpace="0" w:wrap="around" w:vAnchor="page" w:y="341" w:anchorLock="0"/>
    </w:pPr>
    <w:r w:rsidRPr="00AA7200">
      <w:rPr>
        <w:rStyle w:val="SidhuvudUtskott"/>
      </w:rPr>
      <w:fldChar w:fldCharType="begin" w:fldLock="1"/>
    </w:r>
    <w:r w:rsidRPr="00AA7200">
      <w:rPr>
        <w:rStyle w:val="SidhuvudUtskott"/>
      </w:rPr>
      <w:instrText xml:space="preserve"> if </w:instrText>
    </w:r>
    <w:r w:rsidRPr="00AA7200">
      <w:rPr>
        <w:rStyle w:val="SidhuvudUtskott"/>
      </w:rPr>
      <w:fldChar w:fldCharType="begin" w:fldLock="1"/>
    </w:r>
    <w:r w:rsidRPr="00AA7200">
      <w:rPr>
        <w:rStyle w:val="SidhuvudUtskott"/>
      </w:rPr>
      <w:instrText xml:space="preserve"> DOCPROPERTY "UtkastDatum"</w:instrText>
    </w:r>
    <w:r w:rsidRPr="00AA7200">
      <w:rPr>
        <w:rStyle w:val="SidhuvudUtskott"/>
      </w:rPr>
      <w:fldChar w:fldCharType="separate"/>
    </w:r>
    <w:r w:rsidR="003C571B" w:rsidRPr="00AA7200">
      <w:rPr>
        <w:rStyle w:val="SidhuvudUtskott"/>
      </w:rPr>
      <w:instrText>Nej</w:instrText>
    </w:r>
    <w:r w:rsidRPr="00AA7200">
      <w:rPr>
        <w:rStyle w:val="SidhuvudUtskott"/>
      </w:rPr>
      <w:fldChar w:fldCharType="end"/>
    </w:r>
    <w:r w:rsidRPr="00AA7200">
      <w:rPr>
        <w:rStyle w:val="SidhuvudUtskott"/>
      </w:rPr>
      <w:instrText xml:space="preserve"> = "Ja" "</w:instrText>
    </w:r>
    <w:r w:rsidRPr="00AA7200">
      <w:rPr>
        <w:rStyle w:val="SidhuvudUtskott"/>
      </w:rPr>
      <w:fldChar w:fldCharType="begin" w:fldLock="1"/>
    </w:r>
    <w:r w:rsidRPr="00AA7200">
      <w:rPr>
        <w:rStyle w:val="SidhuvudUtskott"/>
      </w:rPr>
      <w:instrText xml:space="preserve"> PRINTDATE \@ "yyyy-MM-dd HH.mm    " </w:instrText>
    </w:r>
    <w:r w:rsidRPr="00AA7200">
      <w:rPr>
        <w:rStyle w:val="SidhuvudUtskott"/>
      </w:rPr>
      <w:fldChar w:fldCharType="separate"/>
    </w:r>
    <w:r w:rsidRPr="00AA7200">
      <w:rPr>
        <w:rStyle w:val="SidhuvudUtskott"/>
      </w:rPr>
      <w:instrText>2000-08-11 16.42</w:instrText>
    </w:r>
    <w:r w:rsidRPr="00AA7200">
      <w:rPr>
        <w:rStyle w:val="SidhuvudUtskott"/>
      </w:rPr>
      <w:fldChar w:fldCharType="end"/>
    </w:r>
    <w:r w:rsidRPr="00AA7200">
      <w:rPr>
        <w:rStyle w:val="SidhuvudUtskott"/>
      </w:rPr>
      <w:instrText xml:space="preserve">" </w:instrText>
    </w:r>
    <w:r w:rsidRPr="00AA7200">
      <w:rPr>
        <w:rStyle w:val="SidhuvudUtskott"/>
      </w:rPr>
      <w:fldChar w:fldCharType="end"/>
    </w:r>
    <w:r w:rsidRPr="00AA7200">
      <w:rPr>
        <w:rStyle w:val="SidhuvudUtskott"/>
      </w:rPr>
      <w:fldChar w:fldCharType="begin" w:fldLock="1"/>
    </w:r>
    <w:r w:rsidRPr="00AA7200">
      <w:rPr>
        <w:rStyle w:val="SidhuvudUtskott"/>
      </w:rPr>
      <w:instrText xml:space="preserve"> DOCPR</w:instrText>
    </w:r>
    <w:r w:rsidRPr="00AA7200">
      <w:rPr>
        <w:rStyle w:val="SidhuvudUtskott"/>
      </w:rPr>
      <w:instrText>O</w:instrText>
    </w:r>
    <w:r w:rsidRPr="00AA7200">
      <w:rPr>
        <w:rStyle w:val="SidhuvudUtskott"/>
      </w:rPr>
      <w:instrText>PERTY Status</w:instrText>
    </w:r>
    <w:r w:rsidRPr="00AA7200">
      <w:rPr>
        <w:rStyle w:val="SidhuvudUtskott"/>
      </w:rPr>
      <w:fldChar w:fldCharType="end"/>
    </w:r>
  </w:p>
  <w:p w:rsidR="00313121" w:rsidRPr="00AA7200" w:rsidRDefault="0031312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121" w:rsidRPr="00AA7200" w:rsidRDefault="00313121">
    <w:pPr>
      <w:pStyle w:val="SidhuvudKantJmn"/>
      <w:framePr w:w="8732" w:h="567" w:hRule="exact" w:vSpace="0" w:wrap="around" w:vAnchor="page" w:y="341" w:anchorLock="0"/>
    </w:pPr>
    <w:r w:rsidRPr="00AA7200">
      <w:fldChar w:fldCharType="begin" w:fldLock="1"/>
    </w:r>
    <w:r w:rsidRPr="00AA7200">
      <w:instrText xml:space="preserve"> if </w:instrText>
    </w:r>
    <w:r w:rsidRPr="00AA7200">
      <w:fldChar w:fldCharType="begin" w:fldLock="1"/>
    </w:r>
    <w:r w:rsidRPr="00AA7200">
      <w:instrText xml:space="preserve"> page</w:instrText>
    </w:r>
    <w:r w:rsidRPr="00AA7200">
      <w:fldChar w:fldCharType="separate"/>
    </w:r>
    <w:r w:rsidR="00AA7200">
      <w:rPr>
        <w:noProof/>
      </w:rPr>
      <w:instrText>1</w:instrText>
    </w:r>
    <w:r w:rsidRPr="00AA7200">
      <w:fldChar w:fldCharType="end"/>
    </w:r>
    <w:r w:rsidRPr="00AA7200">
      <w:instrText xml:space="preserve"> &gt; 1 "</w:instrText>
    </w:r>
    <w:r w:rsidRPr="00AA7200">
      <w:fldChar w:fldCharType="begin" w:fldLock="1"/>
    </w:r>
    <w:r w:rsidRPr="00AA7200">
      <w:instrText xml:space="preserve"> if </w:instrText>
    </w:r>
    <w:r w:rsidRPr="00AA7200">
      <w:fldChar w:fldCharType="begin" w:fldLock="1"/>
    </w:r>
    <w:r w:rsidRPr="00AA7200">
      <w:instrText xml:space="preserve"> = </w:instrText>
    </w:r>
    <w:r w:rsidRPr="00AA7200">
      <w:fldChar w:fldCharType="begin" w:fldLock="1"/>
    </w:r>
    <w:r w:rsidRPr="00AA7200">
      <w:instrText xml:space="preserve"> = </w:instrText>
    </w:r>
    <w:r w:rsidRPr="00AA7200">
      <w:fldChar w:fldCharType="begin" w:fldLock="1"/>
    </w:r>
    <w:r w:rsidRPr="00AA7200">
      <w:instrText xml:space="preserve"> page</w:instrText>
    </w:r>
    <w:r w:rsidRPr="00AA7200">
      <w:fldChar w:fldCharType="separate"/>
    </w:r>
    <w:r w:rsidRPr="00AA7200">
      <w:instrText>17</w:instrText>
    </w:r>
    <w:r w:rsidRPr="00AA7200">
      <w:fldChar w:fldCharType="end"/>
    </w:r>
    <w:r w:rsidRPr="00AA7200">
      <w:instrText xml:space="preserve">/2 </w:instrText>
    </w:r>
    <w:r w:rsidRPr="00AA7200">
      <w:fldChar w:fldCharType="separate"/>
    </w:r>
    <w:r w:rsidRPr="00AA7200">
      <w:instrText>8,5</w:instrText>
    </w:r>
    <w:r w:rsidRPr="00AA7200">
      <w:fldChar w:fldCharType="end"/>
    </w:r>
    <w:r w:rsidRPr="00AA7200">
      <w:instrText xml:space="preserve"> - </w:instrText>
    </w:r>
    <w:r w:rsidRPr="00AA7200">
      <w:fldChar w:fldCharType="begin" w:fldLock="1"/>
    </w:r>
    <w:r w:rsidRPr="00AA7200">
      <w:instrText xml:space="preserve"> = int(</w:instrText>
    </w:r>
    <w:r w:rsidRPr="00AA7200">
      <w:fldChar w:fldCharType="begin" w:fldLock="1"/>
    </w:r>
    <w:r w:rsidRPr="00AA7200">
      <w:instrText xml:space="preserve"> page</w:instrText>
    </w:r>
    <w:r w:rsidRPr="00AA7200">
      <w:fldChar w:fldCharType="separate"/>
    </w:r>
    <w:r w:rsidRPr="00AA7200">
      <w:instrText>17</w:instrText>
    </w:r>
    <w:r w:rsidRPr="00AA7200">
      <w:fldChar w:fldCharType="end"/>
    </w:r>
    <w:r w:rsidRPr="00AA7200">
      <w:instrText xml:space="preserve">/2) </w:instrText>
    </w:r>
    <w:r w:rsidRPr="00AA7200">
      <w:fldChar w:fldCharType="separate"/>
    </w:r>
    <w:r w:rsidRPr="00AA7200">
      <w:instrText>8</w:instrText>
    </w:r>
    <w:r w:rsidRPr="00AA7200">
      <w:fldChar w:fldCharType="end"/>
    </w:r>
    <w:r w:rsidRPr="00AA7200">
      <w:fldChar w:fldCharType="separate"/>
    </w:r>
    <w:r w:rsidRPr="00AA7200">
      <w:instrText>0,5</w:instrText>
    </w:r>
    <w:r w:rsidRPr="00AA7200">
      <w:fldChar w:fldCharType="end"/>
    </w:r>
    <w:r w:rsidRPr="00AA7200">
      <w:instrText xml:space="preserve"> = 0 "</w:instrText>
    </w:r>
    <w:r w:rsidRPr="00AA7200">
      <w:rPr>
        <w:rStyle w:val="SidhuvudUtskott"/>
      </w:rPr>
      <w:fldChar w:fldCharType="begin" w:fldLock="1"/>
    </w:r>
    <w:r w:rsidRPr="00AA7200">
      <w:rPr>
        <w:rStyle w:val="SidhuvudUtskott"/>
      </w:rPr>
      <w:instrText xml:space="preserve"> DOCPROPERTY BetänkandeÅr</w:instrText>
    </w:r>
    <w:r w:rsidRPr="00AA7200">
      <w:rPr>
        <w:rStyle w:val="SidhuvudUtskott"/>
      </w:rPr>
      <w:fldChar w:fldCharType="separate"/>
    </w:r>
    <w:r w:rsidRPr="00AA7200">
      <w:rPr>
        <w:rStyle w:val="SidhuvudUtskott"/>
      </w:rPr>
      <w:instrText>1999/2000</w:instrText>
    </w:r>
    <w:r w:rsidRPr="00AA7200">
      <w:rPr>
        <w:rStyle w:val="SidhuvudUtskott"/>
      </w:rPr>
      <w:fldChar w:fldCharType="end"/>
    </w:r>
    <w:r w:rsidRPr="00AA7200">
      <w:rPr>
        <w:rStyle w:val="SidhuvudUtskott"/>
      </w:rPr>
      <w:instrText>:</w:instrText>
    </w:r>
    <w:r w:rsidRPr="00AA7200">
      <w:rPr>
        <w:rStyle w:val="SidhuvudUtskott"/>
      </w:rPr>
      <w:fldChar w:fldCharType="begin" w:fldLock="1"/>
    </w:r>
    <w:r w:rsidRPr="00AA7200">
      <w:rPr>
        <w:rStyle w:val="SidhuvudUtskott"/>
      </w:rPr>
      <w:instrText xml:space="preserve"> DOCPR</w:instrText>
    </w:r>
    <w:r w:rsidRPr="00AA7200">
      <w:rPr>
        <w:rStyle w:val="SidhuvudUtskott"/>
      </w:rPr>
      <w:instrText>O</w:instrText>
    </w:r>
    <w:r w:rsidRPr="00AA7200">
      <w:rPr>
        <w:rStyle w:val="SidhuvudUtskott"/>
      </w:rPr>
      <w:instrText>PE</w:instrText>
    </w:r>
    <w:r w:rsidRPr="00AA7200">
      <w:rPr>
        <w:rStyle w:val="SidhuvudUtskott"/>
      </w:rPr>
      <w:instrText>R</w:instrText>
    </w:r>
    <w:r w:rsidRPr="00AA7200">
      <w:rPr>
        <w:rStyle w:val="SidhuvudUtskott"/>
      </w:rPr>
      <w:instrText>TY Utskott</w:instrText>
    </w:r>
    <w:r w:rsidRPr="00AA7200">
      <w:rPr>
        <w:rStyle w:val="SidhuvudUtskott"/>
      </w:rPr>
      <w:fldChar w:fldCharType="separate"/>
    </w:r>
    <w:r w:rsidRPr="00AA7200">
      <w:rPr>
        <w:rStyle w:val="SidhuvudUtskott"/>
      </w:rPr>
      <w:instrText>BoU</w:instrText>
    </w:r>
    <w:r w:rsidRPr="00AA7200">
      <w:rPr>
        <w:rStyle w:val="SidhuvudUtskott"/>
      </w:rPr>
      <w:fldChar w:fldCharType="end"/>
    </w:r>
    <w:r w:rsidRPr="00AA7200">
      <w:rPr>
        <w:rStyle w:val="SidhuvudUtskott"/>
      </w:rPr>
      <w:fldChar w:fldCharType="begin" w:fldLock="1"/>
    </w:r>
    <w:r w:rsidRPr="00AA7200">
      <w:rPr>
        <w:rStyle w:val="SidhuvudUtskott"/>
      </w:rPr>
      <w:instrText xml:space="preserve"> DOCPROPERTY BetänkandeNr</w:instrText>
    </w:r>
    <w:r w:rsidRPr="00AA7200">
      <w:rPr>
        <w:rStyle w:val="SidhuvudUtskott"/>
      </w:rPr>
      <w:fldChar w:fldCharType="separate"/>
    </w:r>
    <w:r w:rsidRPr="00AA7200">
      <w:rPr>
        <w:rStyle w:val="SidhuvudUtskott"/>
      </w:rPr>
      <w:instrText>6678</w:instrText>
    </w:r>
    <w:r w:rsidRPr="00AA7200">
      <w:rPr>
        <w:rStyle w:val="SidhuvudUtskott"/>
      </w:rPr>
      <w:fldChar w:fldCharType="end"/>
    </w:r>
    <w:r w:rsidRPr="00AA7200">
      <w:instrText xml:space="preserve">    </w:instrText>
    </w:r>
  </w:p>
  <w:p w:rsidR="00313121" w:rsidRPr="00AA7200" w:rsidRDefault="00313121">
    <w:pPr>
      <w:pStyle w:val="SidhuvudKantJmn"/>
      <w:framePr w:w="8732" w:h="567" w:hRule="exact" w:vSpace="0" w:wrap="around" w:vAnchor="page" w:y="341" w:anchorLock="0"/>
    </w:pPr>
    <w:r w:rsidRPr="00AA7200">
      <w:rPr>
        <w:rStyle w:val="SidhuvudUtskott"/>
      </w:rPr>
      <w:fldChar w:fldCharType="begin" w:fldLock="1"/>
    </w:r>
    <w:r w:rsidRPr="00AA7200">
      <w:rPr>
        <w:rStyle w:val="SidhuvudUtskott"/>
      </w:rPr>
      <w:instrText xml:space="preserve"> DOCPROPERTY Status</w:instrText>
    </w:r>
    <w:r w:rsidRPr="00AA7200">
      <w:rPr>
        <w:rStyle w:val="SidhuvudUtskott"/>
      </w:rPr>
      <w:fldChar w:fldCharType="separate"/>
    </w:r>
    <w:r w:rsidRPr="00AA7200">
      <w:rPr>
        <w:rStyle w:val="SidhuvudUtskott"/>
      </w:rPr>
      <w:instrText>Utkast</w:instrText>
    </w:r>
    <w:r w:rsidRPr="00AA7200">
      <w:rPr>
        <w:rStyle w:val="SidhuvudUtskott"/>
      </w:rPr>
      <w:fldChar w:fldCharType="end"/>
    </w:r>
    <w:r w:rsidRPr="00AA7200">
      <w:rPr>
        <w:rStyle w:val="SidhuvudUtskott"/>
      </w:rPr>
      <w:fldChar w:fldCharType="begin" w:fldLock="1"/>
    </w:r>
    <w:r w:rsidRPr="00AA7200">
      <w:rPr>
        <w:rStyle w:val="SidhuvudUtskott"/>
      </w:rPr>
      <w:instrText xml:space="preserve"> if </w:instrText>
    </w:r>
    <w:r w:rsidRPr="00AA7200">
      <w:rPr>
        <w:rStyle w:val="SidhuvudUtskott"/>
      </w:rPr>
      <w:fldChar w:fldCharType="begin" w:fldLock="1"/>
    </w:r>
    <w:r w:rsidRPr="00AA7200">
      <w:rPr>
        <w:rStyle w:val="SidhuvudUtskott"/>
      </w:rPr>
      <w:instrText xml:space="preserve"> DOCPROPERTY "UtkastDatum"</w:instrText>
    </w:r>
    <w:r w:rsidRPr="00AA7200">
      <w:rPr>
        <w:rStyle w:val="SidhuvudUtskott"/>
      </w:rPr>
      <w:fldChar w:fldCharType="separate"/>
    </w:r>
    <w:r w:rsidRPr="00AA7200">
      <w:rPr>
        <w:rStyle w:val="SidhuvudUtskott"/>
      </w:rPr>
      <w:instrText>Nej</w:instrText>
    </w:r>
    <w:r w:rsidRPr="00AA7200">
      <w:rPr>
        <w:rStyle w:val="SidhuvudUtskott"/>
      </w:rPr>
      <w:fldChar w:fldCharType="end"/>
    </w:r>
    <w:r w:rsidRPr="00AA7200">
      <w:rPr>
        <w:rStyle w:val="SidhuvudUtskott"/>
      </w:rPr>
      <w:instrText xml:space="preserve"> = "Ja" "    </w:instrText>
    </w:r>
    <w:r w:rsidRPr="00AA7200">
      <w:rPr>
        <w:rStyle w:val="SidhuvudUtskott"/>
      </w:rPr>
      <w:fldChar w:fldCharType="begin" w:fldLock="1"/>
    </w:r>
    <w:r w:rsidRPr="00AA7200">
      <w:rPr>
        <w:rStyle w:val="SidhuvudUtskott"/>
      </w:rPr>
      <w:instrText xml:space="preserve"> PRINTDATE \@ "yyyy-MM-dd HH.mm" </w:instrText>
    </w:r>
    <w:r w:rsidRPr="00AA7200">
      <w:rPr>
        <w:rStyle w:val="SidhuvudUtskott"/>
      </w:rPr>
      <w:fldChar w:fldCharType="separate"/>
    </w:r>
    <w:r w:rsidRPr="00AA7200">
      <w:rPr>
        <w:rStyle w:val="SidhuvudUtskott"/>
      </w:rPr>
      <w:instrText>2000-08-11 16.42</w:instrText>
    </w:r>
    <w:r w:rsidRPr="00AA7200">
      <w:rPr>
        <w:rStyle w:val="SidhuvudUtskott"/>
      </w:rPr>
      <w:fldChar w:fldCharType="end"/>
    </w:r>
    <w:r w:rsidRPr="00AA7200">
      <w:rPr>
        <w:rStyle w:val="SidhuvudUtskott"/>
      </w:rPr>
      <w:instrText xml:space="preserve">" </w:instrText>
    </w:r>
    <w:r w:rsidRPr="00AA7200">
      <w:rPr>
        <w:rStyle w:val="SidhuvudUtskott"/>
      </w:rPr>
      <w:fldChar w:fldCharType="separate"/>
    </w:r>
    <w:r w:rsidRPr="00AA7200">
      <w:rPr>
        <w:rStyle w:val="SidhuvudUtskott"/>
      </w:rPr>
      <w:fldChar w:fldCharType="end"/>
    </w:r>
  </w:p>
  <w:p w:rsidR="00313121" w:rsidRPr="00AA7200" w:rsidRDefault="00313121">
    <w:pPr>
      <w:pStyle w:val="SidhuvudKantUdda"/>
      <w:framePr w:w="8732" w:h="567" w:hRule="exact" w:vSpace="0" w:wrap="around" w:vAnchor="page" w:y="341" w:anchorLock="0"/>
    </w:pPr>
    <w:r w:rsidRPr="00AA7200">
      <w:rPr>
        <w:rStyle w:val="SidhuvudRubrikReferens"/>
        <w:smallCaps w:val="0"/>
        <w:spacing w:val="0"/>
        <w:sz w:val="19"/>
      </w:rPr>
      <w:instrText xml:space="preserve"> </w:instrText>
    </w:r>
    <w:r w:rsidRPr="00AA7200">
      <w:instrText xml:space="preserve">"  "  </w:instrText>
    </w:r>
    <w:r w:rsidRPr="00AA7200">
      <w:rPr>
        <w:rStyle w:val="SidhuvudUtskott"/>
      </w:rPr>
      <w:fldChar w:fldCharType="begin" w:fldLock="1"/>
    </w:r>
    <w:r w:rsidRPr="00AA7200">
      <w:rPr>
        <w:rStyle w:val="SidhuvudUtskott"/>
      </w:rPr>
      <w:instrText xml:space="preserve"> DOCPROPERTY BetänkandeÅr</w:instrText>
    </w:r>
    <w:r w:rsidRPr="00AA7200">
      <w:rPr>
        <w:rStyle w:val="SidhuvudUtskott"/>
      </w:rPr>
      <w:fldChar w:fldCharType="separate"/>
    </w:r>
    <w:r w:rsidRPr="00AA7200">
      <w:rPr>
        <w:rStyle w:val="SidhuvudUtskott"/>
      </w:rPr>
      <w:instrText>1999/2000</w:instrText>
    </w:r>
    <w:r w:rsidRPr="00AA7200">
      <w:rPr>
        <w:rStyle w:val="SidhuvudUtskott"/>
      </w:rPr>
      <w:fldChar w:fldCharType="end"/>
    </w:r>
    <w:r w:rsidRPr="00AA7200">
      <w:rPr>
        <w:rStyle w:val="SidhuvudUtskott"/>
      </w:rPr>
      <w:instrText>:</w:instrText>
    </w:r>
    <w:r w:rsidRPr="00AA7200">
      <w:rPr>
        <w:rStyle w:val="SidhuvudUtskott"/>
      </w:rPr>
      <w:fldChar w:fldCharType="begin" w:fldLock="1"/>
    </w:r>
    <w:r w:rsidRPr="00AA7200">
      <w:rPr>
        <w:rStyle w:val="SidhuvudUtskott"/>
      </w:rPr>
      <w:instrText xml:space="preserve"> DOCPROPERTY Utskott</w:instrText>
    </w:r>
    <w:r w:rsidRPr="00AA7200">
      <w:rPr>
        <w:rStyle w:val="SidhuvudUtskott"/>
      </w:rPr>
      <w:fldChar w:fldCharType="separate"/>
    </w:r>
    <w:r w:rsidRPr="00AA7200">
      <w:rPr>
        <w:rStyle w:val="SidhuvudUtskott"/>
      </w:rPr>
      <w:instrText>BoU</w:instrText>
    </w:r>
    <w:r w:rsidRPr="00AA7200">
      <w:rPr>
        <w:rStyle w:val="SidhuvudUtskott"/>
      </w:rPr>
      <w:fldChar w:fldCharType="end"/>
    </w:r>
    <w:r w:rsidRPr="00AA7200">
      <w:rPr>
        <w:rStyle w:val="SidhuvudUtskott"/>
      </w:rPr>
      <w:fldChar w:fldCharType="begin" w:fldLock="1"/>
    </w:r>
    <w:r w:rsidRPr="00AA7200">
      <w:rPr>
        <w:rStyle w:val="SidhuvudUtskott"/>
      </w:rPr>
      <w:instrText xml:space="preserve"> DOCPROPERTY BetänkandeNr</w:instrText>
    </w:r>
    <w:r w:rsidRPr="00AA7200">
      <w:rPr>
        <w:rStyle w:val="SidhuvudUtskott"/>
      </w:rPr>
      <w:fldChar w:fldCharType="separate"/>
    </w:r>
    <w:r w:rsidRPr="00AA7200">
      <w:rPr>
        <w:rStyle w:val="SidhuvudUtskott"/>
      </w:rPr>
      <w:instrText>6678</w:instrText>
    </w:r>
    <w:r w:rsidRPr="00AA7200">
      <w:rPr>
        <w:rStyle w:val="SidhuvudUtskott"/>
      </w:rPr>
      <w:fldChar w:fldCharType="end"/>
    </w:r>
  </w:p>
  <w:p w:rsidR="00313121" w:rsidRPr="00AA7200" w:rsidRDefault="00313121">
    <w:pPr>
      <w:pStyle w:val="SidhuvudKantUdda"/>
      <w:framePr w:w="8732" w:h="567" w:hRule="exact" w:vSpace="0" w:wrap="around" w:vAnchor="page" w:y="341" w:anchorLock="0"/>
    </w:pPr>
    <w:r w:rsidRPr="00AA7200">
      <w:rPr>
        <w:rStyle w:val="SidhuvudUtskott"/>
      </w:rPr>
      <w:fldChar w:fldCharType="begin" w:fldLock="1"/>
    </w:r>
    <w:r w:rsidRPr="00AA7200">
      <w:rPr>
        <w:rStyle w:val="SidhuvudUtskott"/>
      </w:rPr>
      <w:instrText xml:space="preserve"> if </w:instrText>
    </w:r>
    <w:r w:rsidRPr="00AA7200">
      <w:rPr>
        <w:rStyle w:val="SidhuvudUtskott"/>
      </w:rPr>
      <w:fldChar w:fldCharType="begin" w:fldLock="1"/>
    </w:r>
    <w:r w:rsidRPr="00AA7200">
      <w:rPr>
        <w:rStyle w:val="SidhuvudUtskott"/>
      </w:rPr>
      <w:instrText xml:space="preserve"> DOCPROPERTY "UtkastDatum"</w:instrText>
    </w:r>
    <w:r w:rsidRPr="00AA7200">
      <w:rPr>
        <w:rStyle w:val="SidhuvudUtskott"/>
      </w:rPr>
      <w:fldChar w:fldCharType="separate"/>
    </w:r>
    <w:r w:rsidRPr="00AA7200">
      <w:rPr>
        <w:rStyle w:val="SidhuvudUtskott"/>
      </w:rPr>
      <w:instrText>Nej</w:instrText>
    </w:r>
    <w:r w:rsidRPr="00AA7200">
      <w:rPr>
        <w:rStyle w:val="SidhuvudUtskott"/>
      </w:rPr>
      <w:fldChar w:fldCharType="end"/>
    </w:r>
    <w:r w:rsidRPr="00AA7200">
      <w:rPr>
        <w:rStyle w:val="SidhuvudUtskott"/>
      </w:rPr>
      <w:instrText xml:space="preserve"> = "Ja" "</w:instrText>
    </w:r>
    <w:r w:rsidRPr="00AA7200">
      <w:rPr>
        <w:rStyle w:val="SidhuvudUtskott"/>
      </w:rPr>
      <w:fldChar w:fldCharType="begin" w:fldLock="1"/>
    </w:r>
    <w:r w:rsidRPr="00AA7200">
      <w:rPr>
        <w:rStyle w:val="SidhuvudUtskott"/>
      </w:rPr>
      <w:instrText xml:space="preserve"> PRINTDATE \@ "yyyy-MM-dd HH.mm    " </w:instrText>
    </w:r>
    <w:r w:rsidRPr="00AA7200">
      <w:rPr>
        <w:rStyle w:val="SidhuvudUtskott"/>
      </w:rPr>
      <w:fldChar w:fldCharType="separate"/>
    </w:r>
    <w:r w:rsidRPr="00AA7200">
      <w:rPr>
        <w:rStyle w:val="SidhuvudUtskott"/>
      </w:rPr>
      <w:instrText>2000-08-11 16.42</w:instrText>
    </w:r>
    <w:r w:rsidRPr="00AA7200">
      <w:rPr>
        <w:rStyle w:val="SidhuvudUtskott"/>
      </w:rPr>
      <w:fldChar w:fldCharType="end"/>
    </w:r>
    <w:r w:rsidRPr="00AA7200">
      <w:rPr>
        <w:rStyle w:val="SidhuvudUtskott"/>
      </w:rPr>
      <w:instrText xml:space="preserve">" </w:instrText>
    </w:r>
    <w:r w:rsidRPr="00AA7200">
      <w:rPr>
        <w:rStyle w:val="SidhuvudUtskott"/>
      </w:rPr>
      <w:fldChar w:fldCharType="separate"/>
    </w:r>
    <w:r w:rsidRPr="00AA7200">
      <w:rPr>
        <w:rStyle w:val="SidhuvudUtskott"/>
      </w:rPr>
      <w:fldChar w:fldCharType="end"/>
    </w:r>
    <w:r w:rsidRPr="00AA7200">
      <w:rPr>
        <w:rStyle w:val="SidhuvudUtskott"/>
      </w:rPr>
      <w:fldChar w:fldCharType="begin" w:fldLock="1"/>
    </w:r>
    <w:r w:rsidRPr="00AA7200">
      <w:rPr>
        <w:rStyle w:val="SidhuvudUtskott"/>
      </w:rPr>
      <w:instrText xml:space="preserve"> DOCPR</w:instrText>
    </w:r>
    <w:r w:rsidRPr="00AA7200">
      <w:rPr>
        <w:rStyle w:val="SidhuvudUtskott"/>
      </w:rPr>
      <w:instrText>O</w:instrText>
    </w:r>
    <w:r w:rsidRPr="00AA7200">
      <w:rPr>
        <w:rStyle w:val="SidhuvudUtskott"/>
      </w:rPr>
      <w:instrText>PERTY Status</w:instrText>
    </w:r>
    <w:r w:rsidRPr="00AA7200">
      <w:rPr>
        <w:rStyle w:val="SidhuvudUtskott"/>
      </w:rPr>
      <w:fldChar w:fldCharType="separate"/>
    </w:r>
    <w:r w:rsidRPr="00AA7200">
      <w:rPr>
        <w:rStyle w:val="SidhuvudUtskott"/>
      </w:rPr>
      <w:instrText>Utkast 2</w:instrText>
    </w:r>
    <w:r w:rsidRPr="00AA7200">
      <w:rPr>
        <w:rStyle w:val="SidhuvudUtskott"/>
      </w:rPr>
      <w:fldChar w:fldCharType="end"/>
    </w:r>
    <w:r w:rsidRPr="00AA7200">
      <w:instrText>"</w:instrText>
    </w:r>
    <w:r w:rsidRPr="00AA7200">
      <w:fldChar w:fldCharType="separate"/>
    </w:r>
    <w:r w:rsidRPr="00AA7200">
      <w:rPr>
        <w:position w:val="4"/>
        <w:sz w:val="28"/>
      </w:rPr>
      <w:instrText>|</w:instrText>
    </w:r>
    <w:r w:rsidRPr="00AA7200">
      <w:instrText xml:space="preserve">  </w:instrText>
    </w:r>
    <w:r w:rsidRPr="00AA7200">
      <w:rPr>
        <w:rStyle w:val="SidhuvudUtskott"/>
      </w:rPr>
      <w:fldChar w:fldCharType="begin" w:fldLock="1"/>
    </w:r>
    <w:r w:rsidRPr="00AA7200">
      <w:rPr>
        <w:rStyle w:val="SidhuvudUtskott"/>
      </w:rPr>
      <w:instrText xml:space="preserve"> DOCPROPERTY BetänkandeÅr</w:instrText>
    </w:r>
    <w:r w:rsidRPr="00AA7200">
      <w:rPr>
        <w:rStyle w:val="SidhuvudUtskott"/>
      </w:rPr>
      <w:fldChar w:fldCharType="separate"/>
    </w:r>
    <w:r w:rsidRPr="00AA7200">
      <w:rPr>
        <w:rStyle w:val="SidhuvudUtskott"/>
      </w:rPr>
      <w:instrText>1999/2000</w:instrText>
    </w:r>
    <w:r w:rsidRPr="00AA7200">
      <w:rPr>
        <w:rStyle w:val="SidhuvudUtskott"/>
      </w:rPr>
      <w:fldChar w:fldCharType="end"/>
    </w:r>
    <w:r w:rsidRPr="00AA7200">
      <w:rPr>
        <w:rStyle w:val="SidhuvudUtskott"/>
      </w:rPr>
      <w:instrText>:</w:instrText>
    </w:r>
    <w:r w:rsidRPr="00AA7200">
      <w:rPr>
        <w:rStyle w:val="SidhuvudUtskott"/>
      </w:rPr>
      <w:fldChar w:fldCharType="begin" w:fldLock="1"/>
    </w:r>
    <w:r w:rsidRPr="00AA7200">
      <w:rPr>
        <w:rStyle w:val="SidhuvudUtskott"/>
      </w:rPr>
      <w:instrText xml:space="preserve"> DOCPROPERTY Utskott</w:instrText>
    </w:r>
    <w:r w:rsidRPr="00AA7200">
      <w:rPr>
        <w:rStyle w:val="SidhuvudUtskott"/>
      </w:rPr>
      <w:fldChar w:fldCharType="separate"/>
    </w:r>
    <w:r w:rsidRPr="00AA7200">
      <w:rPr>
        <w:rStyle w:val="SidhuvudUtskott"/>
      </w:rPr>
      <w:instrText>BoU</w:instrText>
    </w:r>
    <w:r w:rsidRPr="00AA7200">
      <w:rPr>
        <w:rStyle w:val="SidhuvudUtskott"/>
      </w:rPr>
      <w:fldChar w:fldCharType="end"/>
    </w:r>
    <w:r w:rsidRPr="00AA7200">
      <w:rPr>
        <w:rStyle w:val="SidhuvudUtskott"/>
      </w:rPr>
      <w:fldChar w:fldCharType="begin" w:fldLock="1"/>
    </w:r>
    <w:r w:rsidRPr="00AA7200">
      <w:rPr>
        <w:rStyle w:val="SidhuvudUtskott"/>
      </w:rPr>
      <w:instrText xml:space="preserve"> DOCPROPERTY BetänkandeNr</w:instrText>
    </w:r>
    <w:r w:rsidRPr="00AA7200">
      <w:rPr>
        <w:rStyle w:val="SidhuvudUtskott"/>
      </w:rPr>
      <w:fldChar w:fldCharType="separate"/>
    </w:r>
    <w:r w:rsidRPr="00AA7200">
      <w:rPr>
        <w:rStyle w:val="SidhuvudUtskott"/>
      </w:rPr>
      <w:instrText>6678</w:instrText>
    </w:r>
    <w:r w:rsidRPr="00AA7200">
      <w:rPr>
        <w:rStyle w:val="SidhuvudUtskott"/>
      </w:rPr>
      <w:fldChar w:fldCharType="end"/>
    </w:r>
  </w:p>
  <w:p w:rsidR="00313121" w:rsidRPr="00AA7200" w:rsidRDefault="00313121">
    <w:pPr>
      <w:pStyle w:val="SidhuvudKantUdda"/>
      <w:framePr w:w="8732" w:h="567" w:hRule="exact" w:vSpace="0" w:wrap="around" w:vAnchor="page" w:y="341" w:anchorLock="0"/>
    </w:pPr>
    <w:r w:rsidRPr="00AA7200">
      <w:rPr>
        <w:rStyle w:val="SidhuvudUtskott"/>
      </w:rPr>
      <w:fldChar w:fldCharType="begin" w:fldLock="1"/>
    </w:r>
    <w:r w:rsidRPr="00AA7200">
      <w:rPr>
        <w:rStyle w:val="SidhuvudUtskott"/>
      </w:rPr>
      <w:instrText xml:space="preserve"> DOCPROPERTY Status</w:instrText>
    </w:r>
    <w:r w:rsidRPr="00AA7200">
      <w:rPr>
        <w:rStyle w:val="SidhuvudUtskott"/>
      </w:rPr>
      <w:fldChar w:fldCharType="separate"/>
    </w:r>
    <w:r w:rsidRPr="00AA7200">
      <w:rPr>
        <w:rStyle w:val="SidhuvudUtskott"/>
      </w:rPr>
      <w:instrText>Utkast 2</w:instrText>
    </w:r>
    <w:r w:rsidRPr="00AA7200">
      <w:rPr>
        <w:rStyle w:val="SidhuvudUtskott"/>
      </w:rPr>
      <w:fldChar w:fldCharType="end"/>
    </w:r>
    <w:r w:rsidRPr="00AA7200">
      <w:fldChar w:fldCharType="end"/>
    </w:r>
    <w:r w:rsidRPr="00AA7200">
      <w:instrText>" " "</w:instrText>
    </w:r>
    <w:r w:rsidRPr="00AA7200">
      <w:fldChar w:fldCharType="separate"/>
    </w:r>
    <w:r w:rsidR="00AA7200" w:rsidRPr="00AA7200">
      <w:rPr>
        <w:noProof/>
      </w:rPr>
      <w:t xml:space="preserve"> </w:t>
    </w:r>
    <w:r w:rsidRPr="00AA7200">
      <w:fldChar w:fldCharType="end"/>
    </w:r>
  </w:p>
  <w:p w:rsidR="00313121" w:rsidRPr="00AA7200" w:rsidRDefault="0031312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121" w:rsidRPr="00AA7200" w:rsidRDefault="00313121">
    <w:pPr>
      <w:pStyle w:val="SidhuvudKantJmn"/>
      <w:framePr w:w="8732" w:h="567" w:hRule="exact" w:vSpace="0" w:wrap="around" w:vAnchor="page" w:y="341" w:anchorLock="0"/>
    </w:pPr>
    <w:r w:rsidRPr="00AA7200">
      <w:rPr>
        <w:rStyle w:val="SidhuvudUtskott"/>
      </w:rPr>
      <w:fldChar w:fldCharType="begin" w:fldLock="1"/>
    </w:r>
    <w:r w:rsidRPr="00AA7200">
      <w:rPr>
        <w:rStyle w:val="SidhuvudUtskott"/>
      </w:rPr>
      <w:instrText xml:space="preserve"> DOCPROPERTY BetänkandeÅr</w:instrText>
    </w:r>
    <w:r w:rsidRPr="00AA7200">
      <w:rPr>
        <w:rStyle w:val="SidhuvudUtskott"/>
      </w:rPr>
      <w:fldChar w:fldCharType="separate"/>
    </w:r>
    <w:r w:rsidR="003C571B" w:rsidRPr="00AA7200">
      <w:rPr>
        <w:rStyle w:val="SidhuvudUtskott"/>
      </w:rPr>
      <w:t>2011/12</w:t>
    </w:r>
    <w:r w:rsidRPr="00AA7200">
      <w:rPr>
        <w:rStyle w:val="SidhuvudUtskott"/>
      </w:rPr>
      <w:fldChar w:fldCharType="end"/>
    </w:r>
    <w:r w:rsidRPr="00AA7200">
      <w:rPr>
        <w:rStyle w:val="SidhuvudUtskott"/>
      </w:rPr>
      <w:t>:</w:t>
    </w:r>
    <w:r w:rsidRPr="00AA7200">
      <w:rPr>
        <w:rStyle w:val="SidhuvudUtskott"/>
      </w:rPr>
      <w:fldChar w:fldCharType="begin" w:fldLock="1"/>
    </w:r>
    <w:r w:rsidRPr="00AA7200">
      <w:rPr>
        <w:rStyle w:val="SidhuvudUtskott"/>
      </w:rPr>
      <w:instrText xml:space="preserve"> DOCPROPERTY Utskott</w:instrText>
    </w:r>
    <w:r w:rsidRPr="00AA7200">
      <w:rPr>
        <w:rStyle w:val="SidhuvudUtskott"/>
      </w:rPr>
      <w:fldChar w:fldCharType="separate"/>
    </w:r>
    <w:r w:rsidR="003C571B" w:rsidRPr="00AA7200">
      <w:rPr>
        <w:rStyle w:val="SidhuvudUtskott"/>
      </w:rPr>
      <w:t>RS</w:t>
    </w:r>
    <w:r w:rsidRPr="00AA7200">
      <w:rPr>
        <w:rStyle w:val="SidhuvudUtskott"/>
      </w:rPr>
      <w:fldChar w:fldCharType="end"/>
    </w:r>
    <w:r w:rsidRPr="00AA7200">
      <w:rPr>
        <w:rStyle w:val="SidhuvudUtskott"/>
      </w:rPr>
      <w:fldChar w:fldCharType="begin" w:fldLock="1"/>
    </w:r>
    <w:r w:rsidRPr="00AA7200">
      <w:rPr>
        <w:rStyle w:val="SidhuvudUtskott"/>
      </w:rPr>
      <w:instrText xml:space="preserve"> DOCPROPERTY BetänkandeNr</w:instrText>
    </w:r>
    <w:r w:rsidRPr="00AA7200">
      <w:rPr>
        <w:rStyle w:val="SidhuvudUtskott"/>
      </w:rPr>
      <w:fldChar w:fldCharType="separate"/>
    </w:r>
    <w:r w:rsidR="003C571B" w:rsidRPr="00AA7200">
      <w:rPr>
        <w:rStyle w:val="SidhuvudUtskott"/>
      </w:rPr>
      <w:t>1</w:t>
    </w:r>
    <w:r w:rsidRPr="00AA7200">
      <w:rPr>
        <w:rStyle w:val="SidhuvudUtskott"/>
      </w:rPr>
      <w:fldChar w:fldCharType="end"/>
    </w:r>
    <w:r w:rsidRPr="00AA7200">
      <w:t xml:space="preserve">     </w:t>
    </w:r>
    <w:r w:rsidRPr="00AA7200">
      <w:rPr>
        <w:rStyle w:val="SidhuvudBilaga"/>
      </w:rPr>
      <w:t xml:space="preserve"> </w:t>
    </w:r>
    <w:r w:rsidRPr="00AA7200">
      <w:rPr>
        <w:rStyle w:val="SidhuvudRubrikReferens"/>
      </w:rPr>
      <w:fldChar w:fldCharType="begin" w:fldLock="1"/>
    </w:r>
    <w:r w:rsidRPr="00AA7200">
      <w:rPr>
        <w:rStyle w:val="SidhuvudRubrikReferens"/>
      </w:rPr>
      <w:instrText xml:space="preserve"> StyleREF "Rubrik 1" </w:instrText>
    </w:r>
    <w:r w:rsidRPr="00AA7200">
      <w:rPr>
        <w:rStyle w:val="SidhuvudRubrikReferens"/>
      </w:rPr>
      <w:fldChar w:fldCharType="separate"/>
    </w:r>
    <w:r w:rsidR="003C571B" w:rsidRPr="00AA7200">
      <w:rPr>
        <w:rStyle w:val="SidhuvudRubrikReferens"/>
      </w:rPr>
      <w:t>Förslagets huvudsakliga innehåll</w:t>
    </w:r>
    <w:r w:rsidRPr="00AA7200">
      <w:rPr>
        <w:rStyle w:val="SidhuvudRubrikReferens"/>
      </w:rPr>
      <w:fldChar w:fldCharType="end"/>
    </w:r>
  </w:p>
  <w:p w:rsidR="00313121" w:rsidRPr="00AA7200" w:rsidRDefault="00313121">
    <w:pPr>
      <w:pStyle w:val="SidhuvudKantJmn"/>
      <w:framePr w:w="8732" w:h="567" w:hRule="exact" w:vSpace="0" w:wrap="around" w:vAnchor="page" w:y="341" w:anchorLock="0"/>
    </w:pPr>
    <w:r w:rsidRPr="00AA7200">
      <w:rPr>
        <w:rStyle w:val="SidhuvudUtskott"/>
      </w:rPr>
      <w:fldChar w:fldCharType="begin" w:fldLock="1"/>
    </w:r>
    <w:r w:rsidRPr="00AA7200">
      <w:rPr>
        <w:rStyle w:val="SidhuvudUtskott"/>
      </w:rPr>
      <w:instrText xml:space="preserve"> DOCPROPERTY Status</w:instrText>
    </w:r>
    <w:r w:rsidRPr="00AA7200">
      <w:rPr>
        <w:rStyle w:val="SidhuvudUtskott"/>
      </w:rPr>
      <w:fldChar w:fldCharType="end"/>
    </w:r>
    <w:r w:rsidRPr="00AA7200">
      <w:rPr>
        <w:rStyle w:val="SidhuvudUtskott"/>
      </w:rPr>
      <w:fldChar w:fldCharType="begin" w:fldLock="1"/>
    </w:r>
    <w:r w:rsidRPr="00AA7200">
      <w:rPr>
        <w:rStyle w:val="SidhuvudUtskott"/>
      </w:rPr>
      <w:instrText xml:space="preserve"> if </w:instrText>
    </w:r>
    <w:r w:rsidRPr="00AA7200">
      <w:rPr>
        <w:rStyle w:val="SidhuvudUtskott"/>
      </w:rPr>
      <w:fldChar w:fldCharType="begin" w:fldLock="1"/>
    </w:r>
    <w:r w:rsidRPr="00AA7200">
      <w:rPr>
        <w:rStyle w:val="SidhuvudUtskott"/>
      </w:rPr>
      <w:instrText xml:space="preserve"> DOCPROPERTY "UtkastDatum"</w:instrText>
    </w:r>
    <w:r w:rsidRPr="00AA7200">
      <w:rPr>
        <w:rStyle w:val="SidhuvudUtskott"/>
      </w:rPr>
      <w:fldChar w:fldCharType="separate"/>
    </w:r>
    <w:r w:rsidR="003C571B" w:rsidRPr="00AA7200">
      <w:rPr>
        <w:rStyle w:val="SidhuvudUtskott"/>
      </w:rPr>
      <w:instrText>Nej</w:instrText>
    </w:r>
    <w:r w:rsidRPr="00AA7200">
      <w:rPr>
        <w:rStyle w:val="SidhuvudUtskott"/>
      </w:rPr>
      <w:fldChar w:fldCharType="end"/>
    </w:r>
    <w:r w:rsidRPr="00AA7200">
      <w:rPr>
        <w:rStyle w:val="SidhuvudUtskott"/>
      </w:rPr>
      <w:instrText xml:space="preserve"> = "Ja" "    </w:instrText>
    </w:r>
    <w:r w:rsidRPr="00AA7200">
      <w:rPr>
        <w:rStyle w:val="SidhuvudUtskott"/>
      </w:rPr>
      <w:fldChar w:fldCharType="begin" w:fldLock="1"/>
    </w:r>
    <w:r w:rsidRPr="00AA7200">
      <w:rPr>
        <w:rStyle w:val="SidhuvudUtskott"/>
      </w:rPr>
      <w:instrText xml:space="preserve"> PRINTDATE \@ "yyyy-MM-dd HH.mm" </w:instrText>
    </w:r>
    <w:r w:rsidRPr="00AA7200">
      <w:rPr>
        <w:rStyle w:val="SidhuvudUtskott"/>
      </w:rPr>
      <w:fldChar w:fldCharType="separate"/>
    </w:r>
    <w:r w:rsidRPr="00AA7200">
      <w:rPr>
        <w:rStyle w:val="SidhuvudUtskott"/>
      </w:rPr>
      <w:instrText>2000-08-11 16.42</w:instrText>
    </w:r>
    <w:r w:rsidRPr="00AA7200">
      <w:rPr>
        <w:rStyle w:val="SidhuvudUtskott"/>
      </w:rPr>
      <w:fldChar w:fldCharType="end"/>
    </w:r>
    <w:r w:rsidRPr="00AA7200">
      <w:rPr>
        <w:rStyle w:val="SidhuvudUtskott"/>
      </w:rPr>
      <w:instrText xml:space="preserve">" </w:instrText>
    </w:r>
    <w:r w:rsidRPr="00AA7200">
      <w:rPr>
        <w:rStyle w:val="SidhuvudUtskott"/>
      </w:rPr>
      <w:fldChar w:fldCharType="end"/>
    </w:r>
  </w:p>
  <w:p w:rsidR="00313121" w:rsidRPr="00AA7200" w:rsidRDefault="0031312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121" w:rsidRPr="00AA7200" w:rsidRDefault="00313121">
    <w:pPr>
      <w:pStyle w:val="SidhuvudKantUdda"/>
      <w:framePr w:w="8732" w:h="567" w:hRule="exact" w:vSpace="0" w:wrap="around" w:vAnchor="page" w:y="341" w:anchorLock="0"/>
    </w:pPr>
    <w:r w:rsidRPr="00AA7200">
      <w:rPr>
        <w:rStyle w:val="SidhuvudRubrikReferens"/>
      </w:rPr>
      <w:fldChar w:fldCharType="begin" w:fldLock="1"/>
    </w:r>
    <w:r w:rsidRPr="00AA7200">
      <w:rPr>
        <w:rStyle w:val="SidhuvudRubrikReferens"/>
      </w:rPr>
      <w:instrText xml:space="preserve"> StyleREF "Rubrik 1" </w:instrText>
    </w:r>
    <w:r w:rsidRPr="00AA7200">
      <w:rPr>
        <w:rStyle w:val="SidhuvudRubrikReferens"/>
      </w:rPr>
      <w:fldChar w:fldCharType="separate"/>
    </w:r>
    <w:r w:rsidR="003C571B" w:rsidRPr="00AA7200">
      <w:rPr>
        <w:rStyle w:val="SidhuvudRubrikReferens"/>
      </w:rPr>
      <w:t>Förslagets huvudsakliga innehåll</w:t>
    </w:r>
    <w:r w:rsidRPr="00AA7200">
      <w:rPr>
        <w:rStyle w:val="SidhuvudRubrikReferens"/>
      </w:rPr>
      <w:fldChar w:fldCharType="end"/>
    </w:r>
    <w:r w:rsidRPr="00AA7200">
      <w:rPr>
        <w:rStyle w:val="SidhuvudBilaga"/>
      </w:rPr>
      <w:t xml:space="preserve"> </w:t>
    </w:r>
    <w:r w:rsidRPr="00AA7200">
      <w:t xml:space="preserve">     </w:t>
    </w:r>
    <w:r w:rsidRPr="00AA7200">
      <w:rPr>
        <w:rStyle w:val="SidhuvudUtskott"/>
      </w:rPr>
      <w:fldChar w:fldCharType="begin" w:fldLock="1"/>
    </w:r>
    <w:r w:rsidRPr="00AA7200">
      <w:rPr>
        <w:rStyle w:val="SidhuvudUtskott"/>
      </w:rPr>
      <w:instrText xml:space="preserve"> DOCPROPERTY BetänkandeÅr</w:instrText>
    </w:r>
    <w:r w:rsidRPr="00AA7200">
      <w:rPr>
        <w:rStyle w:val="SidhuvudUtskott"/>
      </w:rPr>
      <w:fldChar w:fldCharType="separate"/>
    </w:r>
    <w:r w:rsidR="003C571B" w:rsidRPr="00AA7200">
      <w:rPr>
        <w:rStyle w:val="SidhuvudUtskott"/>
      </w:rPr>
      <w:t>2011/12</w:t>
    </w:r>
    <w:r w:rsidRPr="00AA7200">
      <w:rPr>
        <w:rStyle w:val="SidhuvudUtskott"/>
      </w:rPr>
      <w:fldChar w:fldCharType="end"/>
    </w:r>
    <w:r w:rsidRPr="00AA7200">
      <w:rPr>
        <w:rStyle w:val="SidhuvudUtskott"/>
      </w:rPr>
      <w:t>:</w:t>
    </w:r>
    <w:r w:rsidRPr="00AA7200">
      <w:rPr>
        <w:rStyle w:val="SidhuvudUtskott"/>
      </w:rPr>
      <w:fldChar w:fldCharType="begin" w:fldLock="1"/>
    </w:r>
    <w:r w:rsidRPr="00AA7200">
      <w:rPr>
        <w:rStyle w:val="SidhuvudUtskott"/>
      </w:rPr>
      <w:instrText xml:space="preserve"> DOCPROPERTY</w:instrText>
    </w:r>
    <w:r w:rsidRPr="00AA7200">
      <w:instrText xml:space="preserve"> </w:instrText>
    </w:r>
    <w:r w:rsidRPr="00AA7200">
      <w:rPr>
        <w:rStyle w:val="SidhuvudUtskott"/>
      </w:rPr>
      <w:instrText>Utskott</w:instrText>
    </w:r>
    <w:r w:rsidRPr="00AA7200">
      <w:rPr>
        <w:rStyle w:val="SidhuvudUtskott"/>
      </w:rPr>
      <w:fldChar w:fldCharType="separate"/>
    </w:r>
    <w:r w:rsidR="003C571B" w:rsidRPr="00AA7200">
      <w:rPr>
        <w:rStyle w:val="SidhuvudUtskott"/>
      </w:rPr>
      <w:t>RS</w:t>
    </w:r>
    <w:r w:rsidRPr="00AA7200">
      <w:rPr>
        <w:rStyle w:val="SidhuvudUtskott"/>
      </w:rPr>
      <w:fldChar w:fldCharType="end"/>
    </w:r>
    <w:r w:rsidRPr="00AA7200">
      <w:rPr>
        <w:rStyle w:val="SidhuvudUtskott"/>
      </w:rPr>
      <w:fldChar w:fldCharType="begin" w:fldLock="1"/>
    </w:r>
    <w:r w:rsidRPr="00AA7200">
      <w:rPr>
        <w:rStyle w:val="SidhuvudUtskott"/>
      </w:rPr>
      <w:instrText xml:space="preserve"> DOCPROPERTY Betä</w:instrText>
    </w:r>
    <w:r w:rsidRPr="00AA7200">
      <w:rPr>
        <w:rStyle w:val="SidhuvudUtskott"/>
      </w:rPr>
      <w:instrText>n</w:instrText>
    </w:r>
    <w:r w:rsidRPr="00AA7200">
      <w:rPr>
        <w:rStyle w:val="SidhuvudUtskott"/>
      </w:rPr>
      <w:instrText>kandeNr</w:instrText>
    </w:r>
    <w:r w:rsidRPr="00AA7200">
      <w:rPr>
        <w:rStyle w:val="SidhuvudUtskott"/>
      </w:rPr>
      <w:fldChar w:fldCharType="separate"/>
    </w:r>
    <w:r w:rsidR="003C571B" w:rsidRPr="00AA7200">
      <w:rPr>
        <w:rStyle w:val="SidhuvudUtskott"/>
      </w:rPr>
      <w:t>1</w:t>
    </w:r>
    <w:r w:rsidRPr="00AA7200">
      <w:rPr>
        <w:rStyle w:val="SidhuvudUtskott"/>
      </w:rPr>
      <w:fldChar w:fldCharType="end"/>
    </w:r>
  </w:p>
  <w:p w:rsidR="00313121" w:rsidRPr="00AA7200" w:rsidRDefault="00313121">
    <w:pPr>
      <w:pStyle w:val="SidhuvudKantUdda"/>
      <w:framePr w:w="8732" w:h="567" w:hRule="exact" w:vSpace="0" w:wrap="around" w:vAnchor="page" w:y="341" w:anchorLock="0"/>
    </w:pPr>
    <w:r w:rsidRPr="00AA7200">
      <w:rPr>
        <w:rStyle w:val="SidhuvudUtskott"/>
      </w:rPr>
      <w:fldChar w:fldCharType="begin" w:fldLock="1"/>
    </w:r>
    <w:r w:rsidRPr="00AA7200">
      <w:rPr>
        <w:rStyle w:val="SidhuvudUtskott"/>
      </w:rPr>
      <w:instrText xml:space="preserve"> if </w:instrText>
    </w:r>
    <w:r w:rsidRPr="00AA7200">
      <w:rPr>
        <w:rStyle w:val="SidhuvudUtskott"/>
      </w:rPr>
      <w:fldChar w:fldCharType="begin" w:fldLock="1"/>
    </w:r>
    <w:r w:rsidRPr="00AA7200">
      <w:rPr>
        <w:rStyle w:val="SidhuvudUtskott"/>
      </w:rPr>
      <w:instrText xml:space="preserve"> DOCPROPERTY "UtkastDatum"</w:instrText>
    </w:r>
    <w:r w:rsidRPr="00AA7200">
      <w:rPr>
        <w:rStyle w:val="SidhuvudUtskott"/>
      </w:rPr>
      <w:fldChar w:fldCharType="separate"/>
    </w:r>
    <w:r w:rsidR="003C571B" w:rsidRPr="00AA7200">
      <w:rPr>
        <w:rStyle w:val="SidhuvudUtskott"/>
      </w:rPr>
      <w:instrText>Nej</w:instrText>
    </w:r>
    <w:r w:rsidRPr="00AA7200">
      <w:rPr>
        <w:rStyle w:val="SidhuvudUtskott"/>
      </w:rPr>
      <w:fldChar w:fldCharType="end"/>
    </w:r>
    <w:r w:rsidRPr="00AA7200">
      <w:rPr>
        <w:rStyle w:val="SidhuvudUtskott"/>
      </w:rPr>
      <w:instrText xml:space="preserve"> = "Ja" "</w:instrText>
    </w:r>
    <w:r w:rsidRPr="00AA7200">
      <w:rPr>
        <w:rStyle w:val="SidhuvudUtskott"/>
      </w:rPr>
      <w:fldChar w:fldCharType="begin" w:fldLock="1"/>
    </w:r>
    <w:r w:rsidRPr="00AA7200">
      <w:rPr>
        <w:rStyle w:val="SidhuvudUtskott"/>
      </w:rPr>
      <w:instrText xml:space="preserve"> PRINTDATE \@ "yyyy-MM-dd HH.mm    " </w:instrText>
    </w:r>
    <w:r w:rsidRPr="00AA7200">
      <w:rPr>
        <w:rStyle w:val="SidhuvudUtskott"/>
      </w:rPr>
      <w:fldChar w:fldCharType="separate"/>
    </w:r>
    <w:r w:rsidRPr="00AA7200">
      <w:rPr>
        <w:rStyle w:val="SidhuvudUtskott"/>
      </w:rPr>
      <w:instrText>2000-08-11 16.42</w:instrText>
    </w:r>
    <w:r w:rsidRPr="00AA7200">
      <w:rPr>
        <w:rStyle w:val="SidhuvudUtskott"/>
      </w:rPr>
      <w:fldChar w:fldCharType="end"/>
    </w:r>
    <w:r w:rsidRPr="00AA7200">
      <w:rPr>
        <w:rStyle w:val="SidhuvudUtskott"/>
      </w:rPr>
      <w:instrText xml:space="preserve">" </w:instrText>
    </w:r>
    <w:r w:rsidRPr="00AA7200">
      <w:rPr>
        <w:rStyle w:val="SidhuvudUtskott"/>
      </w:rPr>
      <w:fldChar w:fldCharType="end"/>
    </w:r>
    <w:r w:rsidRPr="00AA7200">
      <w:rPr>
        <w:rStyle w:val="SidhuvudUtskott"/>
      </w:rPr>
      <w:fldChar w:fldCharType="begin" w:fldLock="1"/>
    </w:r>
    <w:r w:rsidRPr="00AA7200">
      <w:rPr>
        <w:rStyle w:val="SidhuvudUtskott"/>
      </w:rPr>
      <w:instrText xml:space="preserve"> DOCPR</w:instrText>
    </w:r>
    <w:r w:rsidRPr="00AA7200">
      <w:rPr>
        <w:rStyle w:val="SidhuvudUtskott"/>
      </w:rPr>
      <w:instrText>O</w:instrText>
    </w:r>
    <w:r w:rsidRPr="00AA7200">
      <w:rPr>
        <w:rStyle w:val="SidhuvudUtskott"/>
      </w:rPr>
      <w:instrText>PERTY Status</w:instrText>
    </w:r>
    <w:r w:rsidRPr="00AA7200">
      <w:rPr>
        <w:rStyle w:val="SidhuvudUtskott"/>
      </w:rPr>
      <w:fldChar w:fldCharType="end"/>
    </w:r>
  </w:p>
  <w:p w:rsidR="00313121" w:rsidRPr="00AA7200" w:rsidRDefault="0031312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121" w:rsidRPr="00AA7200" w:rsidRDefault="00313121">
    <w:pPr>
      <w:pStyle w:val="SidhuvudKantJmn"/>
      <w:framePr w:w="8732" w:h="567" w:hRule="exact" w:vSpace="0" w:wrap="around" w:vAnchor="page" w:y="341" w:anchorLock="0"/>
    </w:pPr>
    <w:r w:rsidRPr="00AA7200">
      <w:fldChar w:fldCharType="begin" w:fldLock="1"/>
    </w:r>
    <w:r w:rsidRPr="00AA7200">
      <w:instrText xml:space="preserve"> if </w:instrText>
    </w:r>
    <w:r w:rsidRPr="00AA7200">
      <w:fldChar w:fldCharType="begin" w:fldLock="1"/>
    </w:r>
    <w:r w:rsidRPr="00AA7200">
      <w:instrText xml:space="preserve"> page</w:instrText>
    </w:r>
    <w:r w:rsidRPr="00AA7200">
      <w:fldChar w:fldCharType="separate"/>
    </w:r>
    <w:r w:rsidR="00831B77" w:rsidRPr="00AA7200">
      <w:instrText>2</w:instrText>
    </w:r>
    <w:r w:rsidRPr="00AA7200">
      <w:fldChar w:fldCharType="end"/>
    </w:r>
    <w:r w:rsidRPr="00AA7200">
      <w:instrText xml:space="preserve"> &gt; 1 "</w:instrText>
    </w:r>
    <w:r w:rsidRPr="00AA7200">
      <w:fldChar w:fldCharType="begin" w:fldLock="1"/>
    </w:r>
    <w:r w:rsidRPr="00AA7200">
      <w:instrText xml:space="preserve"> if </w:instrText>
    </w:r>
    <w:r w:rsidRPr="00AA7200">
      <w:fldChar w:fldCharType="begin" w:fldLock="1"/>
    </w:r>
    <w:r w:rsidRPr="00AA7200">
      <w:instrText xml:space="preserve"> = </w:instrText>
    </w:r>
    <w:r w:rsidRPr="00AA7200">
      <w:fldChar w:fldCharType="begin" w:fldLock="1"/>
    </w:r>
    <w:r w:rsidRPr="00AA7200">
      <w:instrText xml:space="preserve"> = </w:instrText>
    </w:r>
    <w:r w:rsidRPr="00AA7200">
      <w:fldChar w:fldCharType="begin" w:fldLock="1"/>
    </w:r>
    <w:r w:rsidRPr="00AA7200">
      <w:instrText xml:space="preserve"> page</w:instrText>
    </w:r>
    <w:r w:rsidRPr="00AA7200">
      <w:fldChar w:fldCharType="separate"/>
    </w:r>
    <w:r w:rsidR="00831B77" w:rsidRPr="00AA7200">
      <w:instrText>2</w:instrText>
    </w:r>
    <w:r w:rsidRPr="00AA7200">
      <w:fldChar w:fldCharType="end"/>
    </w:r>
    <w:r w:rsidRPr="00AA7200">
      <w:instrText xml:space="preserve">/2 </w:instrText>
    </w:r>
    <w:r w:rsidRPr="00AA7200">
      <w:fldChar w:fldCharType="separate"/>
    </w:r>
    <w:r w:rsidR="00831B77" w:rsidRPr="00AA7200">
      <w:instrText>1</w:instrText>
    </w:r>
    <w:r w:rsidRPr="00AA7200">
      <w:fldChar w:fldCharType="end"/>
    </w:r>
    <w:r w:rsidRPr="00AA7200">
      <w:instrText xml:space="preserve"> - </w:instrText>
    </w:r>
    <w:r w:rsidRPr="00AA7200">
      <w:fldChar w:fldCharType="begin" w:fldLock="1"/>
    </w:r>
    <w:r w:rsidRPr="00AA7200">
      <w:instrText xml:space="preserve"> = int(</w:instrText>
    </w:r>
    <w:r w:rsidRPr="00AA7200">
      <w:fldChar w:fldCharType="begin" w:fldLock="1"/>
    </w:r>
    <w:r w:rsidRPr="00AA7200">
      <w:instrText xml:space="preserve"> page</w:instrText>
    </w:r>
    <w:r w:rsidRPr="00AA7200">
      <w:fldChar w:fldCharType="separate"/>
    </w:r>
    <w:r w:rsidR="00831B77" w:rsidRPr="00AA7200">
      <w:instrText>2</w:instrText>
    </w:r>
    <w:r w:rsidRPr="00AA7200">
      <w:fldChar w:fldCharType="end"/>
    </w:r>
    <w:r w:rsidRPr="00AA7200">
      <w:instrText xml:space="preserve">/2) </w:instrText>
    </w:r>
    <w:r w:rsidRPr="00AA7200">
      <w:fldChar w:fldCharType="separate"/>
    </w:r>
    <w:r w:rsidR="00831B77" w:rsidRPr="00AA7200">
      <w:instrText>1</w:instrText>
    </w:r>
    <w:r w:rsidRPr="00AA7200">
      <w:fldChar w:fldCharType="end"/>
    </w:r>
    <w:r w:rsidRPr="00AA7200">
      <w:fldChar w:fldCharType="separate"/>
    </w:r>
    <w:r w:rsidR="00831B77" w:rsidRPr="00AA7200">
      <w:instrText>0</w:instrText>
    </w:r>
    <w:r w:rsidRPr="00AA7200">
      <w:fldChar w:fldCharType="end"/>
    </w:r>
    <w:r w:rsidRPr="00AA7200">
      <w:instrText xml:space="preserve"> = 0 "</w:instrText>
    </w:r>
    <w:r w:rsidRPr="00AA7200">
      <w:rPr>
        <w:rStyle w:val="SidhuvudUtskott"/>
      </w:rPr>
      <w:fldChar w:fldCharType="begin" w:fldLock="1"/>
    </w:r>
    <w:r w:rsidRPr="00AA7200">
      <w:rPr>
        <w:rStyle w:val="SidhuvudUtskott"/>
      </w:rPr>
      <w:instrText xml:space="preserve"> DOCPROPERTY BetänkandeÅr</w:instrText>
    </w:r>
    <w:r w:rsidRPr="00AA7200">
      <w:rPr>
        <w:rStyle w:val="SidhuvudUtskott"/>
      </w:rPr>
      <w:fldChar w:fldCharType="separate"/>
    </w:r>
    <w:r w:rsidR="003C571B" w:rsidRPr="00AA7200">
      <w:rPr>
        <w:rStyle w:val="SidhuvudUtskott"/>
      </w:rPr>
      <w:instrText>2011/12</w:instrText>
    </w:r>
    <w:r w:rsidRPr="00AA7200">
      <w:rPr>
        <w:rStyle w:val="SidhuvudUtskott"/>
      </w:rPr>
      <w:fldChar w:fldCharType="end"/>
    </w:r>
    <w:r w:rsidRPr="00AA7200">
      <w:rPr>
        <w:rStyle w:val="SidhuvudUtskott"/>
      </w:rPr>
      <w:instrText>:</w:instrText>
    </w:r>
    <w:r w:rsidRPr="00AA7200">
      <w:rPr>
        <w:rStyle w:val="SidhuvudUtskott"/>
      </w:rPr>
      <w:fldChar w:fldCharType="begin" w:fldLock="1"/>
    </w:r>
    <w:r w:rsidRPr="00AA7200">
      <w:rPr>
        <w:rStyle w:val="SidhuvudUtskott"/>
      </w:rPr>
      <w:instrText xml:space="preserve"> DOCPR</w:instrText>
    </w:r>
    <w:r w:rsidRPr="00AA7200">
      <w:rPr>
        <w:rStyle w:val="SidhuvudUtskott"/>
      </w:rPr>
      <w:instrText>O</w:instrText>
    </w:r>
    <w:r w:rsidRPr="00AA7200">
      <w:rPr>
        <w:rStyle w:val="SidhuvudUtskott"/>
      </w:rPr>
      <w:instrText>PE</w:instrText>
    </w:r>
    <w:r w:rsidRPr="00AA7200">
      <w:rPr>
        <w:rStyle w:val="SidhuvudUtskott"/>
      </w:rPr>
      <w:instrText>R</w:instrText>
    </w:r>
    <w:r w:rsidRPr="00AA7200">
      <w:rPr>
        <w:rStyle w:val="SidhuvudUtskott"/>
      </w:rPr>
      <w:instrText>TY Utskott</w:instrText>
    </w:r>
    <w:r w:rsidRPr="00AA7200">
      <w:rPr>
        <w:rStyle w:val="SidhuvudUtskott"/>
      </w:rPr>
      <w:fldChar w:fldCharType="separate"/>
    </w:r>
    <w:r w:rsidR="003C571B" w:rsidRPr="00AA7200">
      <w:rPr>
        <w:rStyle w:val="SidhuvudUtskott"/>
      </w:rPr>
      <w:instrText>RS</w:instrText>
    </w:r>
    <w:r w:rsidRPr="00AA7200">
      <w:rPr>
        <w:rStyle w:val="SidhuvudUtskott"/>
      </w:rPr>
      <w:fldChar w:fldCharType="end"/>
    </w:r>
    <w:r w:rsidRPr="00AA7200">
      <w:rPr>
        <w:rStyle w:val="SidhuvudUtskott"/>
      </w:rPr>
      <w:fldChar w:fldCharType="begin" w:fldLock="1"/>
    </w:r>
    <w:r w:rsidRPr="00AA7200">
      <w:rPr>
        <w:rStyle w:val="SidhuvudUtskott"/>
      </w:rPr>
      <w:instrText xml:space="preserve"> DOCPROPERTY BetänkandeNr</w:instrText>
    </w:r>
    <w:r w:rsidRPr="00AA7200">
      <w:rPr>
        <w:rStyle w:val="SidhuvudUtskott"/>
      </w:rPr>
      <w:fldChar w:fldCharType="separate"/>
    </w:r>
    <w:r w:rsidR="003C571B" w:rsidRPr="00AA7200">
      <w:rPr>
        <w:rStyle w:val="SidhuvudUtskott"/>
      </w:rPr>
      <w:instrText>1</w:instrText>
    </w:r>
    <w:r w:rsidRPr="00AA7200">
      <w:rPr>
        <w:rStyle w:val="SidhuvudUtskott"/>
      </w:rPr>
      <w:fldChar w:fldCharType="end"/>
    </w:r>
    <w:r w:rsidRPr="00AA7200">
      <w:instrText xml:space="preserve">    </w:instrText>
    </w:r>
  </w:p>
  <w:p w:rsidR="00313121" w:rsidRPr="00AA7200" w:rsidRDefault="00313121">
    <w:pPr>
      <w:pStyle w:val="SidhuvudKantJmn"/>
      <w:framePr w:w="8732" w:h="567" w:hRule="exact" w:vSpace="0" w:wrap="around" w:vAnchor="page" w:y="341" w:anchorLock="0"/>
    </w:pPr>
    <w:r w:rsidRPr="00AA7200">
      <w:rPr>
        <w:rStyle w:val="SidhuvudUtskott"/>
      </w:rPr>
      <w:fldChar w:fldCharType="begin" w:fldLock="1"/>
    </w:r>
    <w:r w:rsidRPr="00AA7200">
      <w:rPr>
        <w:rStyle w:val="SidhuvudUtskott"/>
      </w:rPr>
      <w:instrText xml:space="preserve"> DOCPROPERTY Status</w:instrText>
    </w:r>
    <w:r w:rsidRPr="00AA7200">
      <w:rPr>
        <w:rStyle w:val="SidhuvudUtskott"/>
      </w:rPr>
      <w:fldChar w:fldCharType="end"/>
    </w:r>
    <w:r w:rsidRPr="00AA7200">
      <w:rPr>
        <w:rStyle w:val="SidhuvudUtskott"/>
      </w:rPr>
      <w:fldChar w:fldCharType="begin" w:fldLock="1"/>
    </w:r>
    <w:r w:rsidRPr="00AA7200">
      <w:rPr>
        <w:rStyle w:val="SidhuvudUtskott"/>
      </w:rPr>
      <w:instrText xml:space="preserve"> if </w:instrText>
    </w:r>
    <w:r w:rsidRPr="00AA7200">
      <w:rPr>
        <w:rStyle w:val="SidhuvudUtskott"/>
      </w:rPr>
      <w:fldChar w:fldCharType="begin" w:fldLock="1"/>
    </w:r>
    <w:r w:rsidRPr="00AA7200">
      <w:rPr>
        <w:rStyle w:val="SidhuvudUtskott"/>
      </w:rPr>
      <w:instrText xml:space="preserve"> DOCPROPERTY "UtkastDatum"</w:instrText>
    </w:r>
    <w:r w:rsidRPr="00AA7200">
      <w:rPr>
        <w:rStyle w:val="SidhuvudUtskott"/>
      </w:rPr>
      <w:fldChar w:fldCharType="separate"/>
    </w:r>
    <w:r w:rsidR="003C571B" w:rsidRPr="00AA7200">
      <w:rPr>
        <w:rStyle w:val="SidhuvudUtskott"/>
      </w:rPr>
      <w:instrText>Nej</w:instrText>
    </w:r>
    <w:r w:rsidRPr="00AA7200">
      <w:rPr>
        <w:rStyle w:val="SidhuvudUtskott"/>
      </w:rPr>
      <w:fldChar w:fldCharType="end"/>
    </w:r>
    <w:r w:rsidRPr="00AA7200">
      <w:rPr>
        <w:rStyle w:val="SidhuvudUtskott"/>
      </w:rPr>
      <w:instrText xml:space="preserve"> = "Ja" "    </w:instrText>
    </w:r>
    <w:r w:rsidRPr="00AA7200">
      <w:rPr>
        <w:rStyle w:val="SidhuvudUtskott"/>
      </w:rPr>
      <w:fldChar w:fldCharType="begin" w:fldLock="1"/>
    </w:r>
    <w:r w:rsidRPr="00AA7200">
      <w:rPr>
        <w:rStyle w:val="SidhuvudUtskott"/>
      </w:rPr>
      <w:instrText xml:space="preserve"> PRINTDATE \@ "yyyy-MM-dd HH.mm" </w:instrText>
    </w:r>
    <w:r w:rsidRPr="00AA7200">
      <w:rPr>
        <w:rStyle w:val="SidhuvudUtskott"/>
      </w:rPr>
      <w:fldChar w:fldCharType="separate"/>
    </w:r>
    <w:r w:rsidRPr="00AA7200">
      <w:rPr>
        <w:rStyle w:val="SidhuvudUtskott"/>
      </w:rPr>
      <w:instrText>2000-08-11 16.42</w:instrText>
    </w:r>
    <w:r w:rsidRPr="00AA7200">
      <w:rPr>
        <w:rStyle w:val="SidhuvudUtskott"/>
      </w:rPr>
      <w:fldChar w:fldCharType="end"/>
    </w:r>
    <w:r w:rsidRPr="00AA7200">
      <w:rPr>
        <w:rStyle w:val="SidhuvudUtskott"/>
      </w:rPr>
      <w:instrText xml:space="preserve">" </w:instrText>
    </w:r>
    <w:r w:rsidRPr="00AA7200">
      <w:rPr>
        <w:rStyle w:val="SidhuvudUtskott"/>
      </w:rPr>
      <w:fldChar w:fldCharType="end"/>
    </w:r>
  </w:p>
  <w:p w:rsidR="00313121" w:rsidRPr="00AA7200" w:rsidRDefault="00313121">
    <w:pPr>
      <w:pStyle w:val="SidhuvudKantUdda"/>
      <w:framePr w:w="8732" w:h="567" w:hRule="exact" w:vSpace="0" w:wrap="around" w:vAnchor="page" w:y="341" w:anchorLock="0"/>
    </w:pPr>
    <w:r w:rsidRPr="00AA7200">
      <w:rPr>
        <w:rStyle w:val="SidhuvudRubrikReferens"/>
        <w:smallCaps w:val="0"/>
        <w:spacing w:val="0"/>
        <w:sz w:val="19"/>
      </w:rPr>
      <w:instrText xml:space="preserve"> </w:instrText>
    </w:r>
    <w:r w:rsidRPr="00AA7200">
      <w:instrText xml:space="preserve">"  "  </w:instrText>
    </w:r>
    <w:r w:rsidRPr="00AA7200">
      <w:rPr>
        <w:rStyle w:val="SidhuvudUtskott"/>
      </w:rPr>
      <w:fldChar w:fldCharType="begin" w:fldLock="1"/>
    </w:r>
    <w:r w:rsidRPr="00AA7200">
      <w:rPr>
        <w:rStyle w:val="SidhuvudUtskott"/>
      </w:rPr>
      <w:instrText xml:space="preserve"> DOCPROPERTY BetänkandeÅr</w:instrText>
    </w:r>
    <w:r w:rsidRPr="00AA7200">
      <w:rPr>
        <w:rStyle w:val="SidhuvudUtskott"/>
      </w:rPr>
      <w:fldChar w:fldCharType="separate"/>
    </w:r>
    <w:r w:rsidRPr="00AA7200">
      <w:rPr>
        <w:rStyle w:val="SidhuvudUtskott"/>
      </w:rPr>
      <w:instrText>1999/2000</w:instrText>
    </w:r>
    <w:r w:rsidRPr="00AA7200">
      <w:rPr>
        <w:rStyle w:val="SidhuvudUtskott"/>
      </w:rPr>
      <w:fldChar w:fldCharType="end"/>
    </w:r>
    <w:r w:rsidRPr="00AA7200">
      <w:rPr>
        <w:rStyle w:val="SidhuvudUtskott"/>
      </w:rPr>
      <w:instrText>:</w:instrText>
    </w:r>
    <w:r w:rsidRPr="00AA7200">
      <w:rPr>
        <w:rStyle w:val="SidhuvudUtskott"/>
      </w:rPr>
      <w:fldChar w:fldCharType="begin" w:fldLock="1"/>
    </w:r>
    <w:r w:rsidRPr="00AA7200">
      <w:rPr>
        <w:rStyle w:val="SidhuvudUtskott"/>
      </w:rPr>
      <w:instrText xml:space="preserve"> DOCPROPERTY Utskott</w:instrText>
    </w:r>
    <w:r w:rsidRPr="00AA7200">
      <w:rPr>
        <w:rStyle w:val="SidhuvudUtskott"/>
      </w:rPr>
      <w:fldChar w:fldCharType="separate"/>
    </w:r>
    <w:r w:rsidRPr="00AA7200">
      <w:rPr>
        <w:rStyle w:val="SidhuvudUtskott"/>
      </w:rPr>
      <w:instrText>BoU</w:instrText>
    </w:r>
    <w:r w:rsidRPr="00AA7200">
      <w:rPr>
        <w:rStyle w:val="SidhuvudUtskott"/>
      </w:rPr>
      <w:fldChar w:fldCharType="end"/>
    </w:r>
    <w:r w:rsidRPr="00AA7200">
      <w:rPr>
        <w:rStyle w:val="SidhuvudUtskott"/>
      </w:rPr>
      <w:fldChar w:fldCharType="begin" w:fldLock="1"/>
    </w:r>
    <w:r w:rsidRPr="00AA7200">
      <w:rPr>
        <w:rStyle w:val="SidhuvudUtskott"/>
      </w:rPr>
      <w:instrText xml:space="preserve"> DOCPROPERTY BetänkandeNr</w:instrText>
    </w:r>
    <w:r w:rsidRPr="00AA7200">
      <w:rPr>
        <w:rStyle w:val="SidhuvudUtskott"/>
      </w:rPr>
      <w:fldChar w:fldCharType="separate"/>
    </w:r>
    <w:r w:rsidRPr="00AA7200">
      <w:rPr>
        <w:rStyle w:val="SidhuvudUtskott"/>
      </w:rPr>
      <w:instrText>6678</w:instrText>
    </w:r>
    <w:r w:rsidRPr="00AA7200">
      <w:rPr>
        <w:rStyle w:val="SidhuvudUtskott"/>
      </w:rPr>
      <w:fldChar w:fldCharType="end"/>
    </w:r>
  </w:p>
  <w:p w:rsidR="00831B77" w:rsidRPr="00AA7200" w:rsidRDefault="00313121">
    <w:pPr>
      <w:pStyle w:val="SidhuvudKantJmn"/>
      <w:framePr w:w="8732" w:h="567" w:hRule="exact" w:vSpace="0" w:wrap="around" w:vAnchor="page" w:y="341" w:anchorLock="0"/>
    </w:pPr>
    <w:r w:rsidRPr="00AA7200">
      <w:rPr>
        <w:rStyle w:val="SidhuvudUtskott"/>
      </w:rPr>
      <w:fldChar w:fldCharType="begin" w:fldLock="1"/>
    </w:r>
    <w:r w:rsidRPr="00AA7200">
      <w:rPr>
        <w:rStyle w:val="SidhuvudUtskott"/>
      </w:rPr>
      <w:instrText xml:space="preserve"> if </w:instrText>
    </w:r>
    <w:r w:rsidRPr="00AA7200">
      <w:rPr>
        <w:rStyle w:val="SidhuvudUtskott"/>
      </w:rPr>
      <w:fldChar w:fldCharType="begin" w:fldLock="1"/>
    </w:r>
    <w:r w:rsidRPr="00AA7200">
      <w:rPr>
        <w:rStyle w:val="SidhuvudUtskott"/>
      </w:rPr>
      <w:instrText xml:space="preserve"> DOCPROPERTY "UtkastDatum"</w:instrText>
    </w:r>
    <w:r w:rsidRPr="00AA7200">
      <w:rPr>
        <w:rStyle w:val="SidhuvudUtskott"/>
      </w:rPr>
      <w:fldChar w:fldCharType="separate"/>
    </w:r>
    <w:r w:rsidRPr="00AA7200">
      <w:rPr>
        <w:rStyle w:val="SidhuvudUtskott"/>
      </w:rPr>
      <w:instrText>Nej</w:instrText>
    </w:r>
    <w:r w:rsidRPr="00AA7200">
      <w:rPr>
        <w:rStyle w:val="SidhuvudUtskott"/>
      </w:rPr>
      <w:fldChar w:fldCharType="end"/>
    </w:r>
    <w:r w:rsidRPr="00AA7200">
      <w:rPr>
        <w:rStyle w:val="SidhuvudUtskott"/>
      </w:rPr>
      <w:instrText xml:space="preserve"> = "Ja" "</w:instrText>
    </w:r>
    <w:r w:rsidRPr="00AA7200">
      <w:rPr>
        <w:rStyle w:val="SidhuvudUtskott"/>
      </w:rPr>
      <w:fldChar w:fldCharType="begin" w:fldLock="1"/>
    </w:r>
    <w:r w:rsidRPr="00AA7200">
      <w:rPr>
        <w:rStyle w:val="SidhuvudUtskott"/>
      </w:rPr>
      <w:instrText xml:space="preserve"> PRINTDATE \@ "yyyy-MM-dd HH.mm    " </w:instrText>
    </w:r>
    <w:r w:rsidRPr="00AA7200">
      <w:rPr>
        <w:rStyle w:val="SidhuvudUtskott"/>
      </w:rPr>
      <w:fldChar w:fldCharType="separate"/>
    </w:r>
    <w:r w:rsidRPr="00AA7200">
      <w:rPr>
        <w:rStyle w:val="SidhuvudUtskott"/>
      </w:rPr>
      <w:instrText>2000-08-11 16.42</w:instrText>
    </w:r>
    <w:r w:rsidRPr="00AA7200">
      <w:rPr>
        <w:rStyle w:val="SidhuvudUtskott"/>
      </w:rPr>
      <w:fldChar w:fldCharType="end"/>
    </w:r>
    <w:r w:rsidRPr="00AA7200">
      <w:rPr>
        <w:rStyle w:val="SidhuvudUtskott"/>
      </w:rPr>
      <w:instrText xml:space="preserve">" </w:instrText>
    </w:r>
    <w:r w:rsidRPr="00AA7200">
      <w:rPr>
        <w:rStyle w:val="SidhuvudUtskott"/>
      </w:rPr>
      <w:fldChar w:fldCharType="end"/>
    </w:r>
    <w:r w:rsidRPr="00AA7200">
      <w:rPr>
        <w:rStyle w:val="SidhuvudUtskott"/>
      </w:rPr>
      <w:fldChar w:fldCharType="begin" w:fldLock="1"/>
    </w:r>
    <w:r w:rsidRPr="00AA7200">
      <w:rPr>
        <w:rStyle w:val="SidhuvudUtskott"/>
      </w:rPr>
      <w:instrText xml:space="preserve"> DOCPR</w:instrText>
    </w:r>
    <w:r w:rsidRPr="00AA7200">
      <w:rPr>
        <w:rStyle w:val="SidhuvudUtskott"/>
      </w:rPr>
      <w:instrText>O</w:instrText>
    </w:r>
    <w:r w:rsidRPr="00AA7200">
      <w:rPr>
        <w:rStyle w:val="SidhuvudUtskott"/>
      </w:rPr>
      <w:instrText>PERTY Status</w:instrText>
    </w:r>
    <w:r w:rsidRPr="00AA7200">
      <w:rPr>
        <w:rStyle w:val="SidhuvudUtskott"/>
      </w:rPr>
      <w:fldChar w:fldCharType="separate"/>
    </w:r>
    <w:r w:rsidRPr="00AA7200">
      <w:rPr>
        <w:rStyle w:val="SidhuvudUtskott"/>
      </w:rPr>
      <w:instrText>Utkast 2</w:instrText>
    </w:r>
    <w:r w:rsidRPr="00AA7200">
      <w:rPr>
        <w:rStyle w:val="SidhuvudUtskott"/>
      </w:rPr>
      <w:fldChar w:fldCharType="end"/>
    </w:r>
    <w:r w:rsidRPr="00AA7200">
      <w:instrText>"</w:instrText>
    </w:r>
    <w:r w:rsidRPr="00AA7200">
      <w:fldChar w:fldCharType="separate"/>
    </w:r>
    <w:r w:rsidR="00831B77" w:rsidRPr="00AA7200">
      <w:rPr>
        <w:rStyle w:val="SidhuvudUtskott"/>
      </w:rPr>
      <w:instrText>2011/12:RS1</w:instrText>
    </w:r>
    <w:r w:rsidR="00831B77" w:rsidRPr="00AA7200">
      <w:instrText xml:space="preserve">    </w:instrText>
    </w:r>
  </w:p>
  <w:p w:rsidR="00831B77" w:rsidRPr="00AA7200" w:rsidRDefault="00831B77">
    <w:pPr>
      <w:pStyle w:val="SidhuvudKantJmn"/>
      <w:framePr w:w="8732" w:h="567" w:hRule="exact" w:vSpace="0" w:wrap="around" w:vAnchor="page" w:y="341" w:anchorLock="0"/>
    </w:pPr>
  </w:p>
  <w:p w:rsidR="00831B77" w:rsidRPr="00AA7200" w:rsidRDefault="00831B77">
    <w:pPr>
      <w:pStyle w:val="SidhuvudKantJmn"/>
      <w:framePr w:w="8732" w:h="567" w:hRule="exact" w:vSpace="0" w:wrap="around" w:vAnchor="page" w:y="341" w:anchorLock="0"/>
    </w:pPr>
    <w:r w:rsidRPr="00AA7200">
      <w:rPr>
        <w:rStyle w:val="SidhuvudRubrikReferens"/>
        <w:smallCaps w:val="0"/>
        <w:spacing w:val="0"/>
        <w:sz w:val="19"/>
      </w:rPr>
      <w:instrText xml:space="preserve"> </w:instrText>
    </w:r>
    <w:r w:rsidR="00313121" w:rsidRPr="00AA7200">
      <w:fldChar w:fldCharType="end"/>
    </w:r>
    <w:r w:rsidR="00313121" w:rsidRPr="00AA7200">
      <w:instrText>" " "</w:instrText>
    </w:r>
    <w:r w:rsidR="00313121" w:rsidRPr="00AA7200">
      <w:fldChar w:fldCharType="separate"/>
    </w:r>
    <w:r w:rsidRPr="00AA7200">
      <w:rPr>
        <w:rStyle w:val="SidhuvudUtskott"/>
      </w:rPr>
      <w:t>2011/12:RS1</w:t>
    </w:r>
    <w:r w:rsidRPr="00AA7200">
      <w:t xml:space="preserve">    </w:t>
    </w:r>
  </w:p>
  <w:p w:rsidR="00831B77" w:rsidRPr="00AA7200" w:rsidRDefault="00831B77">
    <w:pPr>
      <w:pStyle w:val="SidhuvudKantJmn"/>
      <w:framePr w:w="8732" w:h="567" w:hRule="exact" w:vSpace="0" w:wrap="around" w:vAnchor="page" w:y="341" w:anchorLock="0"/>
    </w:pPr>
  </w:p>
  <w:p w:rsidR="00313121" w:rsidRPr="00AA7200" w:rsidRDefault="00831B77">
    <w:pPr>
      <w:pStyle w:val="SidhuvudKantUdda"/>
      <w:framePr w:w="8732" w:h="567" w:hRule="exact" w:vSpace="0" w:wrap="around" w:vAnchor="page" w:y="341" w:anchorLock="0"/>
    </w:pPr>
    <w:r w:rsidRPr="00AA7200">
      <w:rPr>
        <w:rStyle w:val="SidhuvudRubrikReferens"/>
        <w:smallCaps w:val="0"/>
        <w:spacing w:val="0"/>
        <w:sz w:val="19"/>
      </w:rPr>
      <w:t xml:space="preserve"> </w:t>
    </w:r>
    <w:r w:rsidR="00313121" w:rsidRPr="00AA7200">
      <w:fldChar w:fldCharType="end"/>
    </w:r>
  </w:p>
  <w:p w:rsidR="00313121" w:rsidRPr="00AA7200" w:rsidRDefault="0031312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121" w:rsidRPr="00AA7200" w:rsidRDefault="00313121">
    <w:pPr>
      <w:pStyle w:val="SidhuvudKantJmn"/>
      <w:framePr w:w="8732" w:h="567" w:hRule="exact" w:vSpace="0" w:wrap="around" w:vAnchor="page" w:y="341" w:anchorLock="0"/>
    </w:pPr>
    <w:r w:rsidRPr="00AA7200">
      <w:rPr>
        <w:rStyle w:val="SidhuvudUtskott"/>
      </w:rPr>
      <w:fldChar w:fldCharType="begin" w:fldLock="1"/>
    </w:r>
    <w:r w:rsidRPr="00AA7200">
      <w:rPr>
        <w:rStyle w:val="SidhuvudUtskott"/>
      </w:rPr>
      <w:instrText xml:space="preserve"> DOCPROPERTY BetänkandeÅr</w:instrText>
    </w:r>
    <w:r w:rsidRPr="00AA7200">
      <w:rPr>
        <w:rStyle w:val="SidhuvudUtskott"/>
      </w:rPr>
      <w:fldChar w:fldCharType="separate"/>
    </w:r>
    <w:r w:rsidR="003C571B" w:rsidRPr="00AA7200">
      <w:rPr>
        <w:rStyle w:val="SidhuvudUtskott"/>
      </w:rPr>
      <w:t>2011/12</w:t>
    </w:r>
    <w:r w:rsidRPr="00AA7200">
      <w:rPr>
        <w:rStyle w:val="SidhuvudUtskott"/>
      </w:rPr>
      <w:fldChar w:fldCharType="end"/>
    </w:r>
    <w:r w:rsidRPr="00AA7200">
      <w:rPr>
        <w:rStyle w:val="SidhuvudUtskott"/>
      </w:rPr>
      <w:t>:</w:t>
    </w:r>
    <w:r w:rsidRPr="00AA7200">
      <w:rPr>
        <w:rStyle w:val="SidhuvudUtskott"/>
      </w:rPr>
      <w:fldChar w:fldCharType="begin" w:fldLock="1"/>
    </w:r>
    <w:r w:rsidRPr="00AA7200">
      <w:rPr>
        <w:rStyle w:val="SidhuvudUtskott"/>
      </w:rPr>
      <w:instrText xml:space="preserve"> DOCPROPERTY Utskott</w:instrText>
    </w:r>
    <w:r w:rsidRPr="00AA7200">
      <w:rPr>
        <w:rStyle w:val="SidhuvudUtskott"/>
      </w:rPr>
      <w:fldChar w:fldCharType="separate"/>
    </w:r>
    <w:r w:rsidR="003C571B" w:rsidRPr="00AA7200">
      <w:rPr>
        <w:rStyle w:val="SidhuvudUtskott"/>
      </w:rPr>
      <w:t>RS</w:t>
    </w:r>
    <w:r w:rsidRPr="00AA7200">
      <w:rPr>
        <w:rStyle w:val="SidhuvudUtskott"/>
      </w:rPr>
      <w:fldChar w:fldCharType="end"/>
    </w:r>
    <w:r w:rsidRPr="00AA7200">
      <w:rPr>
        <w:rStyle w:val="SidhuvudUtskott"/>
      </w:rPr>
      <w:fldChar w:fldCharType="begin" w:fldLock="1"/>
    </w:r>
    <w:r w:rsidRPr="00AA7200">
      <w:rPr>
        <w:rStyle w:val="SidhuvudUtskott"/>
      </w:rPr>
      <w:instrText xml:space="preserve"> DOCPROPERTY BetänkandeNr</w:instrText>
    </w:r>
    <w:r w:rsidRPr="00AA7200">
      <w:rPr>
        <w:rStyle w:val="SidhuvudUtskott"/>
      </w:rPr>
      <w:fldChar w:fldCharType="separate"/>
    </w:r>
    <w:r w:rsidR="003C571B" w:rsidRPr="00AA7200">
      <w:rPr>
        <w:rStyle w:val="SidhuvudUtskott"/>
      </w:rPr>
      <w:t>1</w:t>
    </w:r>
    <w:r w:rsidRPr="00AA7200">
      <w:rPr>
        <w:rStyle w:val="SidhuvudUtskott"/>
      </w:rPr>
      <w:fldChar w:fldCharType="end"/>
    </w:r>
    <w:r w:rsidRPr="00AA7200">
      <w:t xml:space="preserve">     </w:t>
    </w:r>
    <w:r w:rsidRPr="00AA7200">
      <w:rPr>
        <w:rStyle w:val="SidhuvudBilaga"/>
      </w:rPr>
      <w:t xml:space="preserve"> </w:t>
    </w:r>
    <w:r w:rsidRPr="00AA7200">
      <w:rPr>
        <w:rStyle w:val="SidhuvudRubrikReferens"/>
      </w:rPr>
      <w:fldChar w:fldCharType="begin" w:fldLock="1"/>
    </w:r>
    <w:r w:rsidRPr="00AA7200">
      <w:rPr>
        <w:rStyle w:val="SidhuvudRubrikReferens"/>
      </w:rPr>
      <w:instrText xml:space="preserve"> StyleREF "Rubrik 1" </w:instrText>
    </w:r>
    <w:r w:rsidRPr="00AA7200">
      <w:rPr>
        <w:rStyle w:val="SidhuvudRubrikReferens"/>
      </w:rPr>
      <w:fldChar w:fldCharType="separate"/>
    </w:r>
    <w:r w:rsidR="003C571B" w:rsidRPr="00AA7200">
      <w:rPr>
        <w:rStyle w:val="SidhuvudRubrikReferens"/>
      </w:rPr>
      <w:t>Innehållsförteckning</w:t>
    </w:r>
    <w:r w:rsidRPr="00AA7200">
      <w:rPr>
        <w:rStyle w:val="SidhuvudRubrikReferens"/>
      </w:rPr>
      <w:fldChar w:fldCharType="end"/>
    </w:r>
  </w:p>
  <w:p w:rsidR="00313121" w:rsidRPr="00AA7200" w:rsidRDefault="00313121">
    <w:pPr>
      <w:pStyle w:val="SidhuvudKantJmn"/>
      <w:framePr w:w="8732" w:h="567" w:hRule="exact" w:vSpace="0" w:wrap="around" w:vAnchor="page" w:y="341" w:anchorLock="0"/>
    </w:pPr>
    <w:r w:rsidRPr="00AA7200">
      <w:rPr>
        <w:rStyle w:val="SidhuvudUtskott"/>
      </w:rPr>
      <w:fldChar w:fldCharType="begin" w:fldLock="1"/>
    </w:r>
    <w:r w:rsidRPr="00AA7200">
      <w:rPr>
        <w:rStyle w:val="SidhuvudUtskott"/>
      </w:rPr>
      <w:instrText xml:space="preserve"> DOCPROPERTY Status</w:instrText>
    </w:r>
    <w:r w:rsidRPr="00AA7200">
      <w:rPr>
        <w:rStyle w:val="SidhuvudUtskott"/>
      </w:rPr>
      <w:fldChar w:fldCharType="end"/>
    </w:r>
    <w:r w:rsidRPr="00AA7200">
      <w:rPr>
        <w:rStyle w:val="SidhuvudUtskott"/>
      </w:rPr>
      <w:fldChar w:fldCharType="begin" w:fldLock="1"/>
    </w:r>
    <w:r w:rsidRPr="00AA7200">
      <w:rPr>
        <w:rStyle w:val="SidhuvudUtskott"/>
      </w:rPr>
      <w:instrText xml:space="preserve"> if </w:instrText>
    </w:r>
    <w:r w:rsidRPr="00AA7200">
      <w:rPr>
        <w:rStyle w:val="SidhuvudUtskott"/>
      </w:rPr>
      <w:fldChar w:fldCharType="begin" w:fldLock="1"/>
    </w:r>
    <w:r w:rsidRPr="00AA7200">
      <w:rPr>
        <w:rStyle w:val="SidhuvudUtskott"/>
      </w:rPr>
      <w:instrText xml:space="preserve"> DOCPROPERTY "UtkastDatum"</w:instrText>
    </w:r>
    <w:r w:rsidRPr="00AA7200">
      <w:rPr>
        <w:rStyle w:val="SidhuvudUtskott"/>
      </w:rPr>
      <w:fldChar w:fldCharType="separate"/>
    </w:r>
    <w:r w:rsidR="003C571B" w:rsidRPr="00AA7200">
      <w:rPr>
        <w:rStyle w:val="SidhuvudUtskott"/>
      </w:rPr>
      <w:instrText>Nej</w:instrText>
    </w:r>
    <w:r w:rsidRPr="00AA7200">
      <w:rPr>
        <w:rStyle w:val="SidhuvudUtskott"/>
      </w:rPr>
      <w:fldChar w:fldCharType="end"/>
    </w:r>
    <w:r w:rsidRPr="00AA7200">
      <w:rPr>
        <w:rStyle w:val="SidhuvudUtskott"/>
      </w:rPr>
      <w:instrText xml:space="preserve"> = "Ja" "    </w:instrText>
    </w:r>
    <w:r w:rsidRPr="00AA7200">
      <w:rPr>
        <w:rStyle w:val="SidhuvudUtskott"/>
      </w:rPr>
      <w:fldChar w:fldCharType="begin" w:fldLock="1"/>
    </w:r>
    <w:r w:rsidRPr="00AA7200">
      <w:rPr>
        <w:rStyle w:val="SidhuvudUtskott"/>
      </w:rPr>
      <w:instrText xml:space="preserve"> PRINTDATE \@ "yyyy-MM-dd HH.mm" </w:instrText>
    </w:r>
    <w:r w:rsidRPr="00AA7200">
      <w:rPr>
        <w:rStyle w:val="SidhuvudUtskott"/>
      </w:rPr>
      <w:fldChar w:fldCharType="separate"/>
    </w:r>
    <w:r w:rsidRPr="00AA7200">
      <w:rPr>
        <w:rStyle w:val="SidhuvudUtskott"/>
      </w:rPr>
      <w:instrText>2000-08-11 16.42</w:instrText>
    </w:r>
    <w:r w:rsidRPr="00AA7200">
      <w:rPr>
        <w:rStyle w:val="SidhuvudUtskott"/>
      </w:rPr>
      <w:fldChar w:fldCharType="end"/>
    </w:r>
    <w:r w:rsidRPr="00AA7200">
      <w:rPr>
        <w:rStyle w:val="SidhuvudUtskott"/>
      </w:rPr>
      <w:instrText xml:space="preserve">" </w:instrText>
    </w:r>
    <w:r w:rsidRPr="00AA7200">
      <w:rPr>
        <w:rStyle w:val="SidhuvudUtskott"/>
      </w:rPr>
      <w:fldChar w:fldCharType="end"/>
    </w:r>
  </w:p>
  <w:p w:rsidR="00313121" w:rsidRPr="00AA7200" w:rsidRDefault="0031312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121" w:rsidRPr="00AA7200" w:rsidRDefault="00313121">
    <w:pPr>
      <w:pStyle w:val="SidhuvudKantUdda"/>
      <w:framePr w:w="8732" w:h="567" w:hRule="exact" w:vSpace="0" w:wrap="around" w:vAnchor="page" w:y="341" w:anchorLock="0"/>
    </w:pPr>
    <w:r w:rsidRPr="00AA7200">
      <w:rPr>
        <w:rStyle w:val="SidhuvudRubrikReferens"/>
      </w:rPr>
      <w:fldChar w:fldCharType="begin" w:fldLock="1"/>
    </w:r>
    <w:r w:rsidRPr="00AA7200">
      <w:rPr>
        <w:rStyle w:val="SidhuvudRubrikReferens"/>
      </w:rPr>
      <w:instrText xml:space="preserve"> StyleREF "Rubrik 1" </w:instrText>
    </w:r>
    <w:r w:rsidRPr="00AA7200">
      <w:rPr>
        <w:rStyle w:val="SidhuvudRubrikReferens"/>
      </w:rPr>
      <w:fldChar w:fldCharType="separate"/>
    </w:r>
    <w:r w:rsidR="003C571B" w:rsidRPr="00AA7200">
      <w:rPr>
        <w:rStyle w:val="SidhuvudRubrikReferens"/>
      </w:rPr>
      <w:t>Innehållsförteckning</w:t>
    </w:r>
    <w:r w:rsidRPr="00AA7200">
      <w:rPr>
        <w:rStyle w:val="SidhuvudRubrikReferens"/>
      </w:rPr>
      <w:fldChar w:fldCharType="end"/>
    </w:r>
    <w:r w:rsidRPr="00AA7200">
      <w:rPr>
        <w:rStyle w:val="SidhuvudBilaga"/>
      </w:rPr>
      <w:t xml:space="preserve"> </w:t>
    </w:r>
    <w:r w:rsidRPr="00AA7200">
      <w:t xml:space="preserve">     </w:t>
    </w:r>
    <w:r w:rsidRPr="00AA7200">
      <w:rPr>
        <w:rStyle w:val="SidhuvudUtskott"/>
      </w:rPr>
      <w:fldChar w:fldCharType="begin" w:fldLock="1"/>
    </w:r>
    <w:r w:rsidRPr="00AA7200">
      <w:rPr>
        <w:rStyle w:val="SidhuvudUtskott"/>
      </w:rPr>
      <w:instrText xml:space="preserve"> DOCPROPERTY BetänkandeÅr</w:instrText>
    </w:r>
    <w:r w:rsidRPr="00AA7200">
      <w:rPr>
        <w:rStyle w:val="SidhuvudUtskott"/>
      </w:rPr>
      <w:fldChar w:fldCharType="separate"/>
    </w:r>
    <w:r w:rsidR="003C571B" w:rsidRPr="00AA7200">
      <w:rPr>
        <w:rStyle w:val="SidhuvudUtskott"/>
      </w:rPr>
      <w:t>2011/12</w:t>
    </w:r>
    <w:r w:rsidRPr="00AA7200">
      <w:rPr>
        <w:rStyle w:val="SidhuvudUtskott"/>
      </w:rPr>
      <w:fldChar w:fldCharType="end"/>
    </w:r>
    <w:r w:rsidRPr="00AA7200">
      <w:rPr>
        <w:rStyle w:val="SidhuvudUtskott"/>
      </w:rPr>
      <w:t>:</w:t>
    </w:r>
    <w:r w:rsidRPr="00AA7200">
      <w:rPr>
        <w:rStyle w:val="SidhuvudUtskott"/>
      </w:rPr>
      <w:fldChar w:fldCharType="begin" w:fldLock="1"/>
    </w:r>
    <w:r w:rsidRPr="00AA7200">
      <w:rPr>
        <w:rStyle w:val="SidhuvudUtskott"/>
      </w:rPr>
      <w:instrText xml:space="preserve"> DOCPROPERTY</w:instrText>
    </w:r>
    <w:r w:rsidRPr="00AA7200">
      <w:instrText xml:space="preserve"> </w:instrText>
    </w:r>
    <w:r w:rsidRPr="00AA7200">
      <w:rPr>
        <w:rStyle w:val="SidhuvudUtskott"/>
      </w:rPr>
      <w:instrText>Utskott</w:instrText>
    </w:r>
    <w:r w:rsidRPr="00AA7200">
      <w:rPr>
        <w:rStyle w:val="SidhuvudUtskott"/>
      </w:rPr>
      <w:fldChar w:fldCharType="separate"/>
    </w:r>
    <w:r w:rsidR="003C571B" w:rsidRPr="00AA7200">
      <w:rPr>
        <w:rStyle w:val="SidhuvudUtskott"/>
      </w:rPr>
      <w:t>RS</w:t>
    </w:r>
    <w:r w:rsidRPr="00AA7200">
      <w:rPr>
        <w:rStyle w:val="SidhuvudUtskott"/>
      </w:rPr>
      <w:fldChar w:fldCharType="end"/>
    </w:r>
    <w:r w:rsidRPr="00AA7200">
      <w:rPr>
        <w:rStyle w:val="SidhuvudUtskott"/>
      </w:rPr>
      <w:fldChar w:fldCharType="begin" w:fldLock="1"/>
    </w:r>
    <w:r w:rsidRPr="00AA7200">
      <w:rPr>
        <w:rStyle w:val="SidhuvudUtskott"/>
      </w:rPr>
      <w:instrText xml:space="preserve"> DOCPROPERTY Betä</w:instrText>
    </w:r>
    <w:r w:rsidRPr="00AA7200">
      <w:rPr>
        <w:rStyle w:val="SidhuvudUtskott"/>
      </w:rPr>
      <w:instrText>n</w:instrText>
    </w:r>
    <w:r w:rsidRPr="00AA7200">
      <w:rPr>
        <w:rStyle w:val="SidhuvudUtskott"/>
      </w:rPr>
      <w:instrText>kandeNr</w:instrText>
    </w:r>
    <w:r w:rsidRPr="00AA7200">
      <w:rPr>
        <w:rStyle w:val="SidhuvudUtskott"/>
      </w:rPr>
      <w:fldChar w:fldCharType="separate"/>
    </w:r>
    <w:r w:rsidR="003C571B" w:rsidRPr="00AA7200">
      <w:rPr>
        <w:rStyle w:val="SidhuvudUtskott"/>
      </w:rPr>
      <w:t>1</w:t>
    </w:r>
    <w:r w:rsidRPr="00AA7200">
      <w:rPr>
        <w:rStyle w:val="SidhuvudUtskott"/>
      </w:rPr>
      <w:fldChar w:fldCharType="end"/>
    </w:r>
  </w:p>
  <w:p w:rsidR="00313121" w:rsidRPr="00AA7200" w:rsidRDefault="00313121">
    <w:pPr>
      <w:pStyle w:val="SidhuvudKantUdda"/>
      <w:framePr w:w="8732" w:h="567" w:hRule="exact" w:vSpace="0" w:wrap="around" w:vAnchor="page" w:y="341" w:anchorLock="0"/>
    </w:pPr>
    <w:r w:rsidRPr="00AA7200">
      <w:rPr>
        <w:rStyle w:val="SidhuvudUtskott"/>
      </w:rPr>
      <w:fldChar w:fldCharType="begin" w:fldLock="1"/>
    </w:r>
    <w:r w:rsidRPr="00AA7200">
      <w:rPr>
        <w:rStyle w:val="SidhuvudUtskott"/>
      </w:rPr>
      <w:instrText xml:space="preserve"> if </w:instrText>
    </w:r>
    <w:r w:rsidRPr="00AA7200">
      <w:rPr>
        <w:rStyle w:val="SidhuvudUtskott"/>
      </w:rPr>
      <w:fldChar w:fldCharType="begin" w:fldLock="1"/>
    </w:r>
    <w:r w:rsidRPr="00AA7200">
      <w:rPr>
        <w:rStyle w:val="SidhuvudUtskott"/>
      </w:rPr>
      <w:instrText xml:space="preserve"> DOCPROPERTY "UtkastDatum"</w:instrText>
    </w:r>
    <w:r w:rsidRPr="00AA7200">
      <w:rPr>
        <w:rStyle w:val="SidhuvudUtskott"/>
      </w:rPr>
      <w:fldChar w:fldCharType="separate"/>
    </w:r>
    <w:r w:rsidR="003C571B" w:rsidRPr="00AA7200">
      <w:rPr>
        <w:rStyle w:val="SidhuvudUtskott"/>
      </w:rPr>
      <w:instrText>Nej</w:instrText>
    </w:r>
    <w:r w:rsidRPr="00AA7200">
      <w:rPr>
        <w:rStyle w:val="SidhuvudUtskott"/>
      </w:rPr>
      <w:fldChar w:fldCharType="end"/>
    </w:r>
    <w:r w:rsidRPr="00AA7200">
      <w:rPr>
        <w:rStyle w:val="SidhuvudUtskott"/>
      </w:rPr>
      <w:instrText xml:space="preserve"> = "Ja" "</w:instrText>
    </w:r>
    <w:r w:rsidRPr="00AA7200">
      <w:rPr>
        <w:rStyle w:val="SidhuvudUtskott"/>
      </w:rPr>
      <w:fldChar w:fldCharType="begin" w:fldLock="1"/>
    </w:r>
    <w:r w:rsidRPr="00AA7200">
      <w:rPr>
        <w:rStyle w:val="SidhuvudUtskott"/>
      </w:rPr>
      <w:instrText xml:space="preserve"> PRINTDATE \@ "yyyy-MM-dd HH.mm    " </w:instrText>
    </w:r>
    <w:r w:rsidRPr="00AA7200">
      <w:rPr>
        <w:rStyle w:val="SidhuvudUtskott"/>
      </w:rPr>
      <w:fldChar w:fldCharType="separate"/>
    </w:r>
    <w:r w:rsidRPr="00AA7200">
      <w:rPr>
        <w:rStyle w:val="SidhuvudUtskott"/>
      </w:rPr>
      <w:instrText>2000-08-11 16.42</w:instrText>
    </w:r>
    <w:r w:rsidRPr="00AA7200">
      <w:rPr>
        <w:rStyle w:val="SidhuvudUtskott"/>
      </w:rPr>
      <w:fldChar w:fldCharType="end"/>
    </w:r>
    <w:r w:rsidRPr="00AA7200">
      <w:rPr>
        <w:rStyle w:val="SidhuvudUtskott"/>
      </w:rPr>
      <w:instrText xml:space="preserve">" </w:instrText>
    </w:r>
    <w:r w:rsidRPr="00AA7200">
      <w:rPr>
        <w:rStyle w:val="SidhuvudUtskott"/>
      </w:rPr>
      <w:fldChar w:fldCharType="end"/>
    </w:r>
    <w:r w:rsidRPr="00AA7200">
      <w:rPr>
        <w:rStyle w:val="SidhuvudUtskott"/>
      </w:rPr>
      <w:fldChar w:fldCharType="begin" w:fldLock="1"/>
    </w:r>
    <w:r w:rsidRPr="00AA7200">
      <w:rPr>
        <w:rStyle w:val="SidhuvudUtskott"/>
      </w:rPr>
      <w:instrText xml:space="preserve"> DOCPR</w:instrText>
    </w:r>
    <w:r w:rsidRPr="00AA7200">
      <w:rPr>
        <w:rStyle w:val="SidhuvudUtskott"/>
      </w:rPr>
      <w:instrText>O</w:instrText>
    </w:r>
    <w:r w:rsidRPr="00AA7200">
      <w:rPr>
        <w:rStyle w:val="SidhuvudUtskott"/>
      </w:rPr>
      <w:instrText>PERTY Status</w:instrText>
    </w:r>
    <w:r w:rsidRPr="00AA7200">
      <w:rPr>
        <w:rStyle w:val="SidhuvudUtskott"/>
      </w:rPr>
      <w:fldChar w:fldCharType="end"/>
    </w:r>
  </w:p>
  <w:p w:rsidR="00313121" w:rsidRPr="00AA7200" w:rsidRDefault="0031312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121" w:rsidRPr="00AA7200" w:rsidRDefault="00313121">
    <w:pPr>
      <w:pStyle w:val="SidhuvudKantJmn"/>
      <w:framePr w:w="8732" w:h="567" w:hRule="exact" w:vSpace="0" w:wrap="around" w:vAnchor="page" w:y="341" w:anchorLock="0"/>
    </w:pPr>
    <w:r w:rsidRPr="00AA7200">
      <w:fldChar w:fldCharType="begin" w:fldLock="1"/>
    </w:r>
    <w:r w:rsidRPr="00AA7200">
      <w:instrText xml:space="preserve"> if </w:instrText>
    </w:r>
    <w:r w:rsidRPr="00AA7200">
      <w:fldChar w:fldCharType="begin" w:fldLock="1"/>
    </w:r>
    <w:r w:rsidRPr="00AA7200">
      <w:instrText xml:space="preserve"> page</w:instrText>
    </w:r>
    <w:r w:rsidRPr="00AA7200">
      <w:fldChar w:fldCharType="separate"/>
    </w:r>
    <w:r w:rsidR="00831B77" w:rsidRPr="00AA7200">
      <w:instrText>3</w:instrText>
    </w:r>
    <w:r w:rsidRPr="00AA7200">
      <w:fldChar w:fldCharType="end"/>
    </w:r>
    <w:r w:rsidRPr="00AA7200">
      <w:instrText xml:space="preserve"> &gt; 1 "</w:instrText>
    </w:r>
    <w:r w:rsidRPr="00AA7200">
      <w:fldChar w:fldCharType="begin" w:fldLock="1"/>
    </w:r>
    <w:r w:rsidRPr="00AA7200">
      <w:instrText xml:space="preserve"> if </w:instrText>
    </w:r>
    <w:r w:rsidRPr="00AA7200">
      <w:fldChar w:fldCharType="begin" w:fldLock="1"/>
    </w:r>
    <w:r w:rsidRPr="00AA7200">
      <w:instrText xml:space="preserve"> = </w:instrText>
    </w:r>
    <w:r w:rsidRPr="00AA7200">
      <w:fldChar w:fldCharType="begin" w:fldLock="1"/>
    </w:r>
    <w:r w:rsidRPr="00AA7200">
      <w:instrText xml:space="preserve"> = </w:instrText>
    </w:r>
    <w:r w:rsidRPr="00AA7200">
      <w:fldChar w:fldCharType="begin" w:fldLock="1"/>
    </w:r>
    <w:r w:rsidRPr="00AA7200">
      <w:instrText xml:space="preserve"> page</w:instrText>
    </w:r>
    <w:r w:rsidRPr="00AA7200">
      <w:fldChar w:fldCharType="separate"/>
    </w:r>
    <w:r w:rsidR="00831B77" w:rsidRPr="00AA7200">
      <w:instrText>3</w:instrText>
    </w:r>
    <w:r w:rsidRPr="00AA7200">
      <w:fldChar w:fldCharType="end"/>
    </w:r>
    <w:r w:rsidRPr="00AA7200">
      <w:instrText xml:space="preserve">/2 </w:instrText>
    </w:r>
    <w:r w:rsidRPr="00AA7200">
      <w:fldChar w:fldCharType="separate"/>
    </w:r>
    <w:r w:rsidR="00831B77" w:rsidRPr="00AA7200">
      <w:instrText>1,5</w:instrText>
    </w:r>
    <w:r w:rsidRPr="00AA7200">
      <w:fldChar w:fldCharType="end"/>
    </w:r>
    <w:r w:rsidRPr="00AA7200">
      <w:instrText xml:space="preserve"> - </w:instrText>
    </w:r>
    <w:r w:rsidRPr="00AA7200">
      <w:fldChar w:fldCharType="begin" w:fldLock="1"/>
    </w:r>
    <w:r w:rsidRPr="00AA7200">
      <w:instrText xml:space="preserve"> = int(</w:instrText>
    </w:r>
    <w:r w:rsidRPr="00AA7200">
      <w:fldChar w:fldCharType="begin" w:fldLock="1"/>
    </w:r>
    <w:r w:rsidRPr="00AA7200">
      <w:instrText xml:space="preserve"> page</w:instrText>
    </w:r>
    <w:r w:rsidRPr="00AA7200">
      <w:fldChar w:fldCharType="separate"/>
    </w:r>
    <w:r w:rsidR="00831B77" w:rsidRPr="00AA7200">
      <w:instrText>3</w:instrText>
    </w:r>
    <w:r w:rsidRPr="00AA7200">
      <w:fldChar w:fldCharType="end"/>
    </w:r>
    <w:r w:rsidRPr="00AA7200">
      <w:instrText xml:space="preserve">/2) </w:instrText>
    </w:r>
    <w:r w:rsidRPr="00AA7200">
      <w:fldChar w:fldCharType="separate"/>
    </w:r>
    <w:r w:rsidR="00831B77" w:rsidRPr="00AA7200">
      <w:instrText>1</w:instrText>
    </w:r>
    <w:r w:rsidRPr="00AA7200">
      <w:fldChar w:fldCharType="end"/>
    </w:r>
    <w:r w:rsidRPr="00AA7200">
      <w:fldChar w:fldCharType="separate"/>
    </w:r>
    <w:r w:rsidR="00831B77" w:rsidRPr="00AA7200">
      <w:instrText>0,5</w:instrText>
    </w:r>
    <w:r w:rsidRPr="00AA7200">
      <w:fldChar w:fldCharType="end"/>
    </w:r>
    <w:r w:rsidRPr="00AA7200">
      <w:instrText xml:space="preserve"> = 0 "</w:instrText>
    </w:r>
    <w:r w:rsidRPr="00AA7200">
      <w:rPr>
        <w:rStyle w:val="SidhuvudUtskott"/>
      </w:rPr>
      <w:fldChar w:fldCharType="begin" w:fldLock="1"/>
    </w:r>
    <w:r w:rsidRPr="00AA7200">
      <w:rPr>
        <w:rStyle w:val="SidhuvudUtskott"/>
      </w:rPr>
      <w:instrText xml:space="preserve"> DOCPROPERTY BetänkandeÅr</w:instrText>
    </w:r>
    <w:r w:rsidRPr="00AA7200">
      <w:rPr>
        <w:rStyle w:val="SidhuvudUtskott"/>
      </w:rPr>
      <w:fldChar w:fldCharType="separate"/>
    </w:r>
    <w:r w:rsidRPr="00AA7200">
      <w:rPr>
        <w:rStyle w:val="SidhuvudUtskott"/>
      </w:rPr>
      <w:instrText>1999/2000</w:instrText>
    </w:r>
    <w:r w:rsidRPr="00AA7200">
      <w:rPr>
        <w:rStyle w:val="SidhuvudUtskott"/>
      </w:rPr>
      <w:fldChar w:fldCharType="end"/>
    </w:r>
    <w:r w:rsidRPr="00AA7200">
      <w:rPr>
        <w:rStyle w:val="SidhuvudUtskott"/>
      </w:rPr>
      <w:instrText>:</w:instrText>
    </w:r>
    <w:r w:rsidRPr="00AA7200">
      <w:rPr>
        <w:rStyle w:val="SidhuvudUtskott"/>
      </w:rPr>
      <w:fldChar w:fldCharType="begin" w:fldLock="1"/>
    </w:r>
    <w:r w:rsidRPr="00AA7200">
      <w:rPr>
        <w:rStyle w:val="SidhuvudUtskott"/>
      </w:rPr>
      <w:instrText xml:space="preserve"> DOCPR</w:instrText>
    </w:r>
    <w:r w:rsidRPr="00AA7200">
      <w:rPr>
        <w:rStyle w:val="SidhuvudUtskott"/>
      </w:rPr>
      <w:instrText>O</w:instrText>
    </w:r>
    <w:r w:rsidRPr="00AA7200">
      <w:rPr>
        <w:rStyle w:val="SidhuvudUtskott"/>
      </w:rPr>
      <w:instrText>PE</w:instrText>
    </w:r>
    <w:r w:rsidRPr="00AA7200">
      <w:rPr>
        <w:rStyle w:val="SidhuvudUtskott"/>
      </w:rPr>
      <w:instrText>R</w:instrText>
    </w:r>
    <w:r w:rsidRPr="00AA7200">
      <w:rPr>
        <w:rStyle w:val="SidhuvudUtskott"/>
      </w:rPr>
      <w:instrText>TY Utskott</w:instrText>
    </w:r>
    <w:r w:rsidRPr="00AA7200">
      <w:rPr>
        <w:rStyle w:val="SidhuvudUtskott"/>
      </w:rPr>
      <w:fldChar w:fldCharType="separate"/>
    </w:r>
    <w:r w:rsidRPr="00AA7200">
      <w:rPr>
        <w:rStyle w:val="SidhuvudUtskott"/>
      </w:rPr>
      <w:instrText>BoU</w:instrText>
    </w:r>
    <w:r w:rsidRPr="00AA7200">
      <w:rPr>
        <w:rStyle w:val="SidhuvudUtskott"/>
      </w:rPr>
      <w:fldChar w:fldCharType="end"/>
    </w:r>
    <w:r w:rsidRPr="00AA7200">
      <w:rPr>
        <w:rStyle w:val="SidhuvudUtskott"/>
      </w:rPr>
      <w:fldChar w:fldCharType="begin" w:fldLock="1"/>
    </w:r>
    <w:r w:rsidRPr="00AA7200">
      <w:rPr>
        <w:rStyle w:val="SidhuvudUtskott"/>
      </w:rPr>
      <w:instrText xml:space="preserve"> DOCPROPERTY BetänkandeNr</w:instrText>
    </w:r>
    <w:r w:rsidRPr="00AA7200">
      <w:rPr>
        <w:rStyle w:val="SidhuvudUtskott"/>
      </w:rPr>
      <w:fldChar w:fldCharType="separate"/>
    </w:r>
    <w:r w:rsidRPr="00AA7200">
      <w:rPr>
        <w:rStyle w:val="SidhuvudUtskott"/>
      </w:rPr>
      <w:instrText>6678</w:instrText>
    </w:r>
    <w:r w:rsidRPr="00AA7200">
      <w:rPr>
        <w:rStyle w:val="SidhuvudUtskott"/>
      </w:rPr>
      <w:fldChar w:fldCharType="end"/>
    </w:r>
    <w:r w:rsidRPr="00AA7200">
      <w:instrText xml:space="preserve">    </w:instrText>
    </w:r>
  </w:p>
  <w:p w:rsidR="00313121" w:rsidRPr="00AA7200" w:rsidRDefault="00313121">
    <w:pPr>
      <w:pStyle w:val="SidhuvudKantJmn"/>
      <w:framePr w:w="8732" w:h="567" w:hRule="exact" w:vSpace="0" w:wrap="around" w:vAnchor="page" w:y="341" w:anchorLock="0"/>
    </w:pPr>
    <w:r w:rsidRPr="00AA7200">
      <w:rPr>
        <w:rStyle w:val="SidhuvudUtskott"/>
      </w:rPr>
      <w:fldChar w:fldCharType="begin" w:fldLock="1"/>
    </w:r>
    <w:r w:rsidRPr="00AA7200">
      <w:rPr>
        <w:rStyle w:val="SidhuvudUtskott"/>
      </w:rPr>
      <w:instrText xml:space="preserve"> DOCPROPERTY Status</w:instrText>
    </w:r>
    <w:r w:rsidRPr="00AA7200">
      <w:rPr>
        <w:rStyle w:val="SidhuvudUtskott"/>
      </w:rPr>
      <w:fldChar w:fldCharType="separate"/>
    </w:r>
    <w:r w:rsidRPr="00AA7200">
      <w:rPr>
        <w:rStyle w:val="SidhuvudUtskott"/>
      </w:rPr>
      <w:instrText>Utkast</w:instrText>
    </w:r>
    <w:r w:rsidRPr="00AA7200">
      <w:rPr>
        <w:rStyle w:val="SidhuvudUtskott"/>
      </w:rPr>
      <w:fldChar w:fldCharType="end"/>
    </w:r>
    <w:r w:rsidRPr="00AA7200">
      <w:rPr>
        <w:rStyle w:val="SidhuvudUtskott"/>
      </w:rPr>
      <w:fldChar w:fldCharType="begin" w:fldLock="1"/>
    </w:r>
    <w:r w:rsidRPr="00AA7200">
      <w:rPr>
        <w:rStyle w:val="SidhuvudUtskott"/>
      </w:rPr>
      <w:instrText xml:space="preserve"> if </w:instrText>
    </w:r>
    <w:r w:rsidRPr="00AA7200">
      <w:rPr>
        <w:rStyle w:val="SidhuvudUtskott"/>
      </w:rPr>
      <w:fldChar w:fldCharType="begin" w:fldLock="1"/>
    </w:r>
    <w:r w:rsidRPr="00AA7200">
      <w:rPr>
        <w:rStyle w:val="SidhuvudUtskott"/>
      </w:rPr>
      <w:instrText xml:space="preserve"> DOCPROPERTY "UtkastDatum"</w:instrText>
    </w:r>
    <w:r w:rsidRPr="00AA7200">
      <w:rPr>
        <w:rStyle w:val="SidhuvudUtskott"/>
      </w:rPr>
      <w:fldChar w:fldCharType="separate"/>
    </w:r>
    <w:r w:rsidRPr="00AA7200">
      <w:rPr>
        <w:rStyle w:val="SidhuvudUtskott"/>
      </w:rPr>
      <w:instrText>Nej</w:instrText>
    </w:r>
    <w:r w:rsidRPr="00AA7200">
      <w:rPr>
        <w:rStyle w:val="SidhuvudUtskott"/>
      </w:rPr>
      <w:fldChar w:fldCharType="end"/>
    </w:r>
    <w:r w:rsidRPr="00AA7200">
      <w:rPr>
        <w:rStyle w:val="SidhuvudUtskott"/>
      </w:rPr>
      <w:instrText xml:space="preserve"> = "Ja" "    </w:instrText>
    </w:r>
    <w:r w:rsidRPr="00AA7200">
      <w:rPr>
        <w:rStyle w:val="SidhuvudUtskott"/>
      </w:rPr>
      <w:fldChar w:fldCharType="begin" w:fldLock="1"/>
    </w:r>
    <w:r w:rsidRPr="00AA7200">
      <w:rPr>
        <w:rStyle w:val="SidhuvudUtskott"/>
      </w:rPr>
      <w:instrText xml:space="preserve"> PRINTDATE \@ "yyyy-MM-dd HH.mm" </w:instrText>
    </w:r>
    <w:r w:rsidRPr="00AA7200">
      <w:rPr>
        <w:rStyle w:val="SidhuvudUtskott"/>
      </w:rPr>
      <w:fldChar w:fldCharType="separate"/>
    </w:r>
    <w:r w:rsidRPr="00AA7200">
      <w:rPr>
        <w:rStyle w:val="SidhuvudUtskott"/>
      </w:rPr>
      <w:instrText>2000-08-11 16.42</w:instrText>
    </w:r>
    <w:r w:rsidRPr="00AA7200">
      <w:rPr>
        <w:rStyle w:val="SidhuvudUtskott"/>
      </w:rPr>
      <w:fldChar w:fldCharType="end"/>
    </w:r>
    <w:r w:rsidRPr="00AA7200">
      <w:rPr>
        <w:rStyle w:val="SidhuvudUtskott"/>
      </w:rPr>
      <w:instrText xml:space="preserve">" </w:instrText>
    </w:r>
    <w:r w:rsidRPr="00AA7200">
      <w:rPr>
        <w:rStyle w:val="SidhuvudUtskott"/>
      </w:rPr>
      <w:fldChar w:fldCharType="end"/>
    </w:r>
  </w:p>
  <w:p w:rsidR="00313121" w:rsidRPr="00AA7200" w:rsidRDefault="00313121">
    <w:pPr>
      <w:pStyle w:val="SidhuvudKantUdda"/>
      <w:framePr w:w="8732" w:h="567" w:hRule="exact" w:vSpace="0" w:wrap="around" w:vAnchor="page" w:y="341" w:anchorLock="0"/>
    </w:pPr>
    <w:r w:rsidRPr="00AA7200">
      <w:rPr>
        <w:rStyle w:val="SidhuvudRubrikReferens"/>
        <w:smallCaps w:val="0"/>
        <w:spacing w:val="0"/>
        <w:sz w:val="19"/>
      </w:rPr>
      <w:instrText xml:space="preserve"> </w:instrText>
    </w:r>
    <w:r w:rsidRPr="00AA7200">
      <w:instrText xml:space="preserve">"  "  </w:instrText>
    </w:r>
    <w:r w:rsidRPr="00AA7200">
      <w:rPr>
        <w:rStyle w:val="SidhuvudUtskott"/>
      </w:rPr>
      <w:fldChar w:fldCharType="begin" w:fldLock="1"/>
    </w:r>
    <w:r w:rsidRPr="00AA7200">
      <w:rPr>
        <w:rStyle w:val="SidhuvudUtskott"/>
      </w:rPr>
      <w:instrText xml:space="preserve"> DOCPROPERTY BetänkandeÅr</w:instrText>
    </w:r>
    <w:r w:rsidRPr="00AA7200">
      <w:rPr>
        <w:rStyle w:val="SidhuvudUtskott"/>
      </w:rPr>
      <w:fldChar w:fldCharType="separate"/>
    </w:r>
    <w:r w:rsidR="003C571B" w:rsidRPr="00AA7200">
      <w:rPr>
        <w:rStyle w:val="SidhuvudUtskott"/>
      </w:rPr>
      <w:instrText>2011/12</w:instrText>
    </w:r>
    <w:r w:rsidRPr="00AA7200">
      <w:rPr>
        <w:rStyle w:val="SidhuvudUtskott"/>
      </w:rPr>
      <w:fldChar w:fldCharType="end"/>
    </w:r>
    <w:r w:rsidRPr="00AA7200">
      <w:rPr>
        <w:rStyle w:val="SidhuvudUtskott"/>
      </w:rPr>
      <w:instrText>:</w:instrText>
    </w:r>
    <w:r w:rsidRPr="00AA7200">
      <w:rPr>
        <w:rStyle w:val="SidhuvudUtskott"/>
      </w:rPr>
      <w:fldChar w:fldCharType="begin" w:fldLock="1"/>
    </w:r>
    <w:r w:rsidRPr="00AA7200">
      <w:rPr>
        <w:rStyle w:val="SidhuvudUtskott"/>
      </w:rPr>
      <w:instrText xml:space="preserve"> DOCPROPERTY Utskott</w:instrText>
    </w:r>
    <w:r w:rsidRPr="00AA7200">
      <w:rPr>
        <w:rStyle w:val="SidhuvudUtskott"/>
      </w:rPr>
      <w:fldChar w:fldCharType="separate"/>
    </w:r>
    <w:r w:rsidR="003C571B" w:rsidRPr="00AA7200">
      <w:rPr>
        <w:rStyle w:val="SidhuvudUtskott"/>
      </w:rPr>
      <w:instrText>RS</w:instrText>
    </w:r>
    <w:r w:rsidRPr="00AA7200">
      <w:rPr>
        <w:rStyle w:val="SidhuvudUtskott"/>
      </w:rPr>
      <w:fldChar w:fldCharType="end"/>
    </w:r>
    <w:r w:rsidRPr="00AA7200">
      <w:rPr>
        <w:rStyle w:val="SidhuvudUtskott"/>
      </w:rPr>
      <w:fldChar w:fldCharType="begin" w:fldLock="1"/>
    </w:r>
    <w:r w:rsidRPr="00AA7200">
      <w:rPr>
        <w:rStyle w:val="SidhuvudUtskott"/>
      </w:rPr>
      <w:instrText xml:space="preserve"> DOCPROPERTY BetänkandeNr</w:instrText>
    </w:r>
    <w:r w:rsidRPr="00AA7200">
      <w:rPr>
        <w:rStyle w:val="SidhuvudUtskott"/>
      </w:rPr>
      <w:fldChar w:fldCharType="separate"/>
    </w:r>
    <w:r w:rsidR="003C571B" w:rsidRPr="00AA7200">
      <w:rPr>
        <w:rStyle w:val="SidhuvudUtskott"/>
      </w:rPr>
      <w:instrText>1</w:instrText>
    </w:r>
    <w:r w:rsidRPr="00AA7200">
      <w:rPr>
        <w:rStyle w:val="SidhuvudUtskott"/>
      </w:rPr>
      <w:fldChar w:fldCharType="end"/>
    </w:r>
  </w:p>
  <w:p w:rsidR="00831B77" w:rsidRPr="00AA7200" w:rsidRDefault="00313121">
    <w:pPr>
      <w:pStyle w:val="SidhuvudKantUdda"/>
      <w:framePr w:w="8732" w:h="567" w:hRule="exact" w:vSpace="0" w:wrap="around" w:vAnchor="page" w:y="341" w:anchorLock="0"/>
    </w:pPr>
    <w:r w:rsidRPr="00AA7200">
      <w:rPr>
        <w:rStyle w:val="SidhuvudUtskott"/>
      </w:rPr>
      <w:fldChar w:fldCharType="begin" w:fldLock="1"/>
    </w:r>
    <w:r w:rsidRPr="00AA7200">
      <w:rPr>
        <w:rStyle w:val="SidhuvudUtskott"/>
      </w:rPr>
      <w:instrText xml:space="preserve"> if </w:instrText>
    </w:r>
    <w:r w:rsidRPr="00AA7200">
      <w:rPr>
        <w:rStyle w:val="SidhuvudUtskott"/>
      </w:rPr>
      <w:fldChar w:fldCharType="begin" w:fldLock="1"/>
    </w:r>
    <w:r w:rsidRPr="00AA7200">
      <w:rPr>
        <w:rStyle w:val="SidhuvudUtskott"/>
      </w:rPr>
      <w:instrText xml:space="preserve"> DOCPROPERTY "UtkastDatum"</w:instrText>
    </w:r>
    <w:r w:rsidRPr="00AA7200">
      <w:rPr>
        <w:rStyle w:val="SidhuvudUtskott"/>
      </w:rPr>
      <w:fldChar w:fldCharType="separate"/>
    </w:r>
    <w:r w:rsidR="003C571B" w:rsidRPr="00AA7200">
      <w:rPr>
        <w:rStyle w:val="SidhuvudUtskott"/>
      </w:rPr>
      <w:instrText>Nej</w:instrText>
    </w:r>
    <w:r w:rsidRPr="00AA7200">
      <w:rPr>
        <w:rStyle w:val="SidhuvudUtskott"/>
      </w:rPr>
      <w:fldChar w:fldCharType="end"/>
    </w:r>
    <w:r w:rsidRPr="00AA7200">
      <w:rPr>
        <w:rStyle w:val="SidhuvudUtskott"/>
      </w:rPr>
      <w:instrText xml:space="preserve"> = "Ja" "</w:instrText>
    </w:r>
    <w:r w:rsidRPr="00AA7200">
      <w:rPr>
        <w:rStyle w:val="SidhuvudUtskott"/>
      </w:rPr>
      <w:fldChar w:fldCharType="begin" w:fldLock="1"/>
    </w:r>
    <w:r w:rsidRPr="00AA7200">
      <w:rPr>
        <w:rStyle w:val="SidhuvudUtskott"/>
      </w:rPr>
      <w:instrText xml:space="preserve"> PRINTDATE \@ "yyyy-MM-dd HH.mm    " </w:instrText>
    </w:r>
    <w:r w:rsidRPr="00AA7200">
      <w:rPr>
        <w:rStyle w:val="SidhuvudUtskott"/>
      </w:rPr>
      <w:fldChar w:fldCharType="separate"/>
    </w:r>
    <w:r w:rsidRPr="00AA7200">
      <w:rPr>
        <w:rStyle w:val="SidhuvudUtskott"/>
      </w:rPr>
      <w:instrText>2000-08-11 16.42</w:instrText>
    </w:r>
    <w:r w:rsidRPr="00AA7200">
      <w:rPr>
        <w:rStyle w:val="SidhuvudUtskott"/>
      </w:rPr>
      <w:fldChar w:fldCharType="end"/>
    </w:r>
    <w:r w:rsidRPr="00AA7200">
      <w:rPr>
        <w:rStyle w:val="SidhuvudUtskott"/>
      </w:rPr>
      <w:instrText xml:space="preserve">" </w:instrText>
    </w:r>
    <w:r w:rsidRPr="00AA7200">
      <w:rPr>
        <w:rStyle w:val="SidhuvudUtskott"/>
      </w:rPr>
      <w:fldChar w:fldCharType="end"/>
    </w:r>
    <w:r w:rsidRPr="00AA7200">
      <w:rPr>
        <w:rStyle w:val="SidhuvudUtskott"/>
      </w:rPr>
      <w:fldChar w:fldCharType="begin" w:fldLock="1"/>
    </w:r>
    <w:r w:rsidRPr="00AA7200">
      <w:rPr>
        <w:rStyle w:val="SidhuvudUtskott"/>
      </w:rPr>
      <w:instrText xml:space="preserve"> DOCPR</w:instrText>
    </w:r>
    <w:r w:rsidRPr="00AA7200">
      <w:rPr>
        <w:rStyle w:val="SidhuvudUtskott"/>
      </w:rPr>
      <w:instrText>O</w:instrText>
    </w:r>
    <w:r w:rsidRPr="00AA7200">
      <w:rPr>
        <w:rStyle w:val="SidhuvudUtskott"/>
      </w:rPr>
      <w:instrText>PERTY Status</w:instrText>
    </w:r>
    <w:r w:rsidRPr="00AA7200">
      <w:rPr>
        <w:rStyle w:val="SidhuvudUtskott"/>
      </w:rPr>
      <w:fldChar w:fldCharType="end"/>
    </w:r>
    <w:r w:rsidRPr="00AA7200">
      <w:instrText>"</w:instrText>
    </w:r>
    <w:r w:rsidRPr="00AA7200">
      <w:fldChar w:fldCharType="separate"/>
    </w:r>
    <w:r w:rsidR="00831B77" w:rsidRPr="00AA7200">
      <w:instrText xml:space="preserve">  </w:instrText>
    </w:r>
    <w:r w:rsidR="00831B77" w:rsidRPr="00AA7200">
      <w:rPr>
        <w:rStyle w:val="SidhuvudUtskott"/>
      </w:rPr>
      <w:instrText>2011/12:RS1</w:instrText>
    </w:r>
  </w:p>
  <w:p w:rsidR="00831B77" w:rsidRPr="00AA7200" w:rsidRDefault="00313121">
    <w:pPr>
      <w:pStyle w:val="SidhuvudKantUdda"/>
      <w:framePr w:w="8732" w:h="567" w:hRule="exact" w:vSpace="0" w:wrap="around" w:vAnchor="page" w:y="341" w:anchorLock="0"/>
    </w:pPr>
    <w:r w:rsidRPr="00AA7200">
      <w:fldChar w:fldCharType="end"/>
    </w:r>
    <w:r w:rsidRPr="00AA7200">
      <w:instrText>" " "</w:instrText>
    </w:r>
    <w:r w:rsidRPr="00AA7200">
      <w:fldChar w:fldCharType="separate"/>
    </w:r>
    <w:r w:rsidR="00831B77" w:rsidRPr="00AA7200">
      <w:t xml:space="preserve">  </w:t>
    </w:r>
    <w:r w:rsidR="00831B77" w:rsidRPr="00AA7200">
      <w:rPr>
        <w:rStyle w:val="SidhuvudUtskott"/>
      </w:rPr>
      <w:t>2011/12:RS1</w:t>
    </w:r>
  </w:p>
  <w:p w:rsidR="00313121" w:rsidRPr="00AA7200" w:rsidRDefault="00313121">
    <w:pPr>
      <w:pStyle w:val="SidhuvudKantUdda"/>
      <w:framePr w:w="8732" w:h="567" w:hRule="exact" w:vSpace="0" w:wrap="around" w:vAnchor="page" w:y="341" w:anchorLock="0"/>
    </w:pPr>
    <w:r w:rsidRPr="00AA7200">
      <w:fldChar w:fldCharType="end"/>
    </w:r>
  </w:p>
  <w:p w:rsidR="00313121" w:rsidRPr="00AA7200" w:rsidRDefault="0031312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81471A5"/>
    <w:multiLevelType w:val="hybridMultilevel"/>
    <w:tmpl w:val="53B4B4D4"/>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2CAA437D"/>
    <w:multiLevelType w:val="hybridMultilevel"/>
    <w:tmpl w:val="FF06277C"/>
    <w:lvl w:ilvl="0" w:tplc="A7D2A07A">
      <w:start w:val="1"/>
      <w:numFmt w:val="decimal"/>
      <w:lvlText w:val="%1."/>
      <w:lvlJc w:val="left"/>
      <w:pPr>
        <w:tabs>
          <w:tab w:val="num" w:pos="928"/>
        </w:tabs>
        <w:ind w:left="928" w:hanging="360"/>
      </w:pPr>
      <w:rPr>
        <w:rFonts w:hint="default"/>
      </w:rPr>
    </w:lvl>
    <w:lvl w:ilvl="1" w:tplc="041D0019" w:tentative="1">
      <w:start w:val="1"/>
      <w:numFmt w:val="lowerLetter"/>
      <w:lvlText w:val="%2."/>
      <w:lvlJc w:val="left"/>
      <w:pPr>
        <w:tabs>
          <w:tab w:val="num" w:pos="1250"/>
        </w:tabs>
        <w:ind w:left="1250" w:hanging="360"/>
      </w:pPr>
    </w:lvl>
    <w:lvl w:ilvl="2" w:tplc="041D001B" w:tentative="1">
      <w:start w:val="1"/>
      <w:numFmt w:val="lowerRoman"/>
      <w:lvlText w:val="%3."/>
      <w:lvlJc w:val="right"/>
      <w:pPr>
        <w:tabs>
          <w:tab w:val="num" w:pos="1970"/>
        </w:tabs>
        <w:ind w:left="1970" w:hanging="180"/>
      </w:pPr>
    </w:lvl>
    <w:lvl w:ilvl="3" w:tplc="041D000F" w:tentative="1">
      <w:start w:val="1"/>
      <w:numFmt w:val="decimal"/>
      <w:lvlText w:val="%4."/>
      <w:lvlJc w:val="left"/>
      <w:pPr>
        <w:tabs>
          <w:tab w:val="num" w:pos="2690"/>
        </w:tabs>
        <w:ind w:left="2690" w:hanging="360"/>
      </w:pPr>
    </w:lvl>
    <w:lvl w:ilvl="4" w:tplc="041D0019" w:tentative="1">
      <w:start w:val="1"/>
      <w:numFmt w:val="lowerLetter"/>
      <w:lvlText w:val="%5."/>
      <w:lvlJc w:val="left"/>
      <w:pPr>
        <w:tabs>
          <w:tab w:val="num" w:pos="3410"/>
        </w:tabs>
        <w:ind w:left="3410" w:hanging="360"/>
      </w:pPr>
    </w:lvl>
    <w:lvl w:ilvl="5" w:tplc="041D001B" w:tentative="1">
      <w:start w:val="1"/>
      <w:numFmt w:val="lowerRoman"/>
      <w:lvlText w:val="%6."/>
      <w:lvlJc w:val="right"/>
      <w:pPr>
        <w:tabs>
          <w:tab w:val="num" w:pos="4130"/>
        </w:tabs>
        <w:ind w:left="4130" w:hanging="180"/>
      </w:pPr>
    </w:lvl>
    <w:lvl w:ilvl="6" w:tplc="041D000F" w:tentative="1">
      <w:start w:val="1"/>
      <w:numFmt w:val="decimal"/>
      <w:lvlText w:val="%7."/>
      <w:lvlJc w:val="left"/>
      <w:pPr>
        <w:tabs>
          <w:tab w:val="num" w:pos="4850"/>
        </w:tabs>
        <w:ind w:left="4850" w:hanging="360"/>
      </w:pPr>
    </w:lvl>
    <w:lvl w:ilvl="7" w:tplc="041D0019" w:tentative="1">
      <w:start w:val="1"/>
      <w:numFmt w:val="lowerLetter"/>
      <w:lvlText w:val="%8."/>
      <w:lvlJc w:val="left"/>
      <w:pPr>
        <w:tabs>
          <w:tab w:val="num" w:pos="5570"/>
        </w:tabs>
        <w:ind w:left="5570" w:hanging="360"/>
      </w:pPr>
    </w:lvl>
    <w:lvl w:ilvl="8" w:tplc="041D001B" w:tentative="1">
      <w:start w:val="1"/>
      <w:numFmt w:val="lowerRoman"/>
      <w:lvlText w:val="%9."/>
      <w:lvlJc w:val="right"/>
      <w:pPr>
        <w:tabs>
          <w:tab w:val="num" w:pos="6290"/>
        </w:tabs>
        <w:ind w:left="6290" w:hanging="180"/>
      </w:pPr>
    </w:lvl>
  </w:abstractNum>
  <w:abstractNum w:abstractNumId="4" w15:restartNumberingAfterBreak="0">
    <w:nsid w:val="3808439B"/>
    <w:multiLevelType w:val="hybridMultilevel"/>
    <w:tmpl w:val="211EE9B4"/>
    <w:lvl w:ilvl="0" w:tplc="E752BC16">
      <w:start w:val="2"/>
      <w:numFmt w:val="decimal"/>
      <w:lvlText w:val="%1"/>
      <w:lvlJc w:val="left"/>
      <w:pPr>
        <w:tabs>
          <w:tab w:val="num" w:pos="765"/>
        </w:tabs>
        <w:ind w:left="765" w:hanging="405"/>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3ABC7841"/>
    <w:multiLevelType w:val="hybridMultilevel"/>
    <w:tmpl w:val="4B88276C"/>
    <w:lvl w:ilvl="0" w:tplc="016E1AB8">
      <w:start w:val="1"/>
      <w:numFmt w:val="decimal"/>
      <w:lvlText w:val="%1."/>
      <w:lvlJc w:val="left"/>
      <w:pPr>
        <w:tabs>
          <w:tab w:val="num" w:pos="530"/>
        </w:tabs>
        <w:ind w:left="53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6" w15:restartNumberingAfterBreak="0">
    <w:nsid w:val="3BFF6697"/>
    <w:multiLevelType w:val="hybridMultilevel"/>
    <w:tmpl w:val="2A22CF16"/>
    <w:lvl w:ilvl="0" w:tplc="3F66B124">
      <w:start w:val="2"/>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57510B79"/>
    <w:multiLevelType w:val="hybridMultilevel"/>
    <w:tmpl w:val="9E7224C2"/>
    <w:lvl w:ilvl="0" w:tplc="9244C720">
      <w:start w:val="1"/>
      <w:numFmt w:val="decimal"/>
      <w:lvlText w:val="%1."/>
      <w:lvlJc w:val="left"/>
      <w:pPr>
        <w:tabs>
          <w:tab w:val="num" w:pos="530"/>
        </w:tabs>
        <w:ind w:left="530" w:hanging="360"/>
      </w:pPr>
      <w:rPr>
        <w:rFonts w:hint="default"/>
      </w:rPr>
    </w:lvl>
    <w:lvl w:ilvl="1" w:tplc="041D0019" w:tentative="1">
      <w:start w:val="1"/>
      <w:numFmt w:val="lowerLetter"/>
      <w:lvlText w:val="%2."/>
      <w:lvlJc w:val="left"/>
      <w:pPr>
        <w:tabs>
          <w:tab w:val="num" w:pos="1250"/>
        </w:tabs>
        <w:ind w:left="1250" w:hanging="360"/>
      </w:pPr>
    </w:lvl>
    <w:lvl w:ilvl="2" w:tplc="041D001B" w:tentative="1">
      <w:start w:val="1"/>
      <w:numFmt w:val="lowerRoman"/>
      <w:lvlText w:val="%3."/>
      <w:lvlJc w:val="right"/>
      <w:pPr>
        <w:tabs>
          <w:tab w:val="num" w:pos="1970"/>
        </w:tabs>
        <w:ind w:left="1970" w:hanging="180"/>
      </w:pPr>
    </w:lvl>
    <w:lvl w:ilvl="3" w:tplc="041D000F" w:tentative="1">
      <w:start w:val="1"/>
      <w:numFmt w:val="decimal"/>
      <w:lvlText w:val="%4."/>
      <w:lvlJc w:val="left"/>
      <w:pPr>
        <w:tabs>
          <w:tab w:val="num" w:pos="2690"/>
        </w:tabs>
        <w:ind w:left="2690" w:hanging="360"/>
      </w:pPr>
    </w:lvl>
    <w:lvl w:ilvl="4" w:tplc="041D0019" w:tentative="1">
      <w:start w:val="1"/>
      <w:numFmt w:val="lowerLetter"/>
      <w:lvlText w:val="%5."/>
      <w:lvlJc w:val="left"/>
      <w:pPr>
        <w:tabs>
          <w:tab w:val="num" w:pos="3410"/>
        </w:tabs>
        <w:ind w:left="3410" w:hanging="360"/>
      </w:pPr>
    </w:lvl>
    <w:lvl w:ilvl="5" w:tplc="041D001B" w:tentative="1">
      <w:start w:val="1"/>
      <w:numFmt w:val="lowerRoman"/>
      <w:lvlText w:val="%6."/>
      <w:lvlJc w:val="right"/>
      <w:pPr>
        <w:tabs>
          <w:tab w:val="num" w:pos="4130"/>
        </w:tabs>
        <w:ind w:left="4130" w:hanging="180"/>
      </w:pPr>
    </w:lvl>
    <w:lvl w:ilvl="6" w:tplc="041D000F" w:tentative="1">
      <w:start w:val="1"/>
      <w:numFmt w:val="decimal"/>
      <w:lvlText w:val="%7."/>
      <w:lvlJc w:val="left"/>
      <w:pPr>
        <w:tabs>
          <w:tab w:val="num" w:pos="4850"/>
        </w:tabs>
        <w:ind w:left="4850" w:hanging="360"/>
      </w:pPr>
    </w:lvl>
    <w:lvl w:ilvl="7" w:tplc="041D0019" w:tentative="1">
      <w:start w:val="1"/>
      <w:numFmt w:val="lowerLetter"/>
      <w:lvlText w:val="%8."/>
      <w:lvlJc w:val="left"/>
      <w:pPr>
        <w:tabs>
          <w:tab w:val="num" w:pos="5570"/>
        </w:tabs>
        <w:ind w:left="5570" w:hanging="360"/>
      </w:pPr>
    </w:lvl>
    <w:lvl w:ilvl="8" w:tplc="041D001B" w:tentative="1">
      <w:start w:val="1"/>
      <w:numFmt w:val="lowerRoman"/>
      <w:lvlText w:val="%9."/>
      <w:lvlJc w:val="right"/>
      <w:pPr>
        <w:tabs>
          <w:tab w:val="num" w:pos="6290"/>
        </w:tabs>
        <w:ind w:left="6290" w:hanging="180"/>
      </w:pPr>
    </w:lvl>
  </w:abstractNum>
  <w:abstractNum w:abstractNumId="8"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556284348">
    <w:abstractNumId w:val="1"/>
  </w:num>
  <w:num w:numId="2" w16cid:durableId="769087598">
    <w:abstractNumId w:val="8"/>
  </w:num>
  <w:num w:numId="3" w16cid:durableId="821576869">
    <w:abstractNumId w:val="0"/>
  </w:num>
  <w:num w:numId="4" w16cid:durableId="931552112">
    <w:abstractNumId w:val="9"/>
  </w:num>
  <w:num w:numId="5" w16cid:durableId="736514667">
    <w:abstractNumId w:val="4"/>
  </w:num>
  <w:num w:numId="6" w16cid:durableId="676227936">
    <w:abstractNumId w:val="2"/>
  </w:num>
  <w:num w:numId="7" w16cid:durableId="333457575">
    <w:abstractNumId w:val="3"/>
  </w:num>
  <w:num w:numId="8" w16cid:durableId="993802346">
    <w:abstractNumId w:val="7"/>
  </w:num>
  <w:num w:numId="9" w16cid:durableId="536257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72457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1112"/>
  </w:docVars>
  <w:rsids>
    <w:rsidRoot w:val="0057237B"/>
    <w:rsid w:val="00012EBD"/>
    <w:rsid w:val="00031845"/>
    <w:rsid w:val="0004591A"/>
    <w:rsid w:val="000533D9"/>
    <w:rsid w:val="000625A0"/>
    <w:rsid w:val="00070ADB"/>
    <w:rsid w:val="000758F3"/>
    <w:rsid w:val="00090F05"/>
    <w:rsid w:val="000A0F02"/>
    <w:rsid w:val="000B05FA"/>
    <w:rsid w:val="000B1812"/>
    <w:rsid w:val="000B695D"/>
    <w:rsid w:val="000C1D98"/>
    <w:rsid w:val="000C32EB"/>
    <w:rsid w:val="000D1209"/>
    <w:rsid w:val="000E628F"/>
    <w:rsid w:val="0011523E"/>
    <w:rsid w:val="001266AC"/>
    <w:rsid w:val="001572B7"/>
    <w:rsid w:val="001618FC"/>
    <w:rsid w:val="001839CF"/>
    <w:rsid w:val="001A5A1D"/>
    <w:rsid w:val="001B1AE7"/>
    <w:rsid w:val="001B50AB"/>
    <w:rsid w:val="001C1137"/>
    <w:rsid w:val="001C2921"/>
    <w:rsid w:val="001D6285"/>
    <w:rsid w:val="002039C4"/>
    <w:rsid w:val="0022153D"/>
    <w:rsid w:val="002240BD"/>
    <w:rsid w:val="00235131"/>
    <w:rsid w:val="00245BDE"/>
    <w:rsid w:val="002630A1"/>
    <w:rsid w:val="002939A3"/>
    <w:rsid w:val="002979FE"/>
    <w:rsid w:val="002A3AF4"/>
    <w:rsid w:val="002A6948"/>
    <w:rsid w:val="002B2F5F"/>
    <w:rsid w:val="002C133A"/>
    <w:rsid w:val="002C63CF"/>
    <w:rsid w:val="002F58A3"/>
    <w:rsid w:val="003021FF"/>
    <w:rsid w:val="00313121"/>
    <w:rsid w:val="0031421F"/>
    <w:rsid w:val="00315BDE"/>
    <w:rsid w:val="00333CB9"/>
    <w:rsid w:val="0036531E"/>
    <w:rsid w:val="003661B1"/>
    <w:rsid w:val="0037593C"/>
    <w:rsid w:val="0039771D"/>
    <w:rsid w:val="003A0A56"/>
    <w:rsid w:val="003A7DC4"/>
    <w:rsid w:val="003B1BCA"/>
    <w:rsid w:val="003B539E"/>
    <w:rsid w:val="003C571B"/>
    <w:rsid w:val="003E4E66"/>
    <w:rsid w:val="00443387"/>
    <w:rsid w:val="004442ED"/>
    <w:rsid w:val="00462C86"/>
    <w:rsid w:val="00470BB5"/>
    <w:rsid w:val="00475EA6"/>
    <w:rsid w:val="004770BA"/>
    <w:rsid w:val="004779F9"/>
    <w:rsid w:val="004918D2"/>
    <w:rsid w:val="004A1047"/>
    <w:rsid w:val="004A7395"/>
    <w:rsid w:val="004B4147"/>
    <w:rsid w:val="004C2716"/>
    <w:rsid w:val="004D0B7A"/>
    <w:rsid w:val="004D7E77"/>
    <w:rsid w:val="004F1962"/>
    <w:rsid w:val="004F3804"/>
    <w:rsid w:val="004F7A9E"/>
    <w:rsid w:val="005043A8"/>
    <w:rsid w:val="0051053F"/>
    <w:rsid w:val="00514671"/>
    <w:rsid w:val="00517DD6"/>
    <w:rsid w:val="0053519B"/>
    <w:rsid w:val="00567753"/>
    <w:rsid w:val="0057237B"/>
    <w:rsid w:val="005821A2"/>
    <w:rsid w:val="00585F85"/>
    <w:rsid w:val="00587DFA"/>
    <w:rsid w:val="00587E76"/>
    <w:rsid w:val="005A66F6"/>
    <w:rsid w:val="005B053E"/>
    <w:rsid w:val="005D2324"/>
    <w:rsid w:val="005D4221"/>
    <w:rsid w:val="005E3D2D"/>
    <w:rsid w:val="005F164E"/>
    <w:rsid w:val="005F7DAA"/>
    <w:rsid w:val="00614B77"/>
    <w:rsid w:val="006409B6"/>
    <w:rsid w:val="00645718"/>
    <w:rsid w:val="00665677"/>
    <w:rsid w:val="00677ADA"/>
    <w:rsid w:val="006B2650"/>
    <w:rsid w:val="006B778F"/>
    <w:rsid w:val="006C3DA8"/>
    <w:rsid w:val="006D19E2"/>
    <w:rsid w:val="006D2BFC"/>
    <w:rsid w:val="0071700B"/>
    <w:rsid w:val="007214ED"/>
    <w:rsid w:val="007358A8"/>
    <w:rsid w:val="00760469"/>
    <w:rsid w:val="00760AE1"/>
    <w:rsid w:val="007622A3"/>
    <w:rsid w:val="00763145"/>
    <w:rsid w:val="00774ECE"/>
    <w:rsid w:val="007942D6"/>
    <w:rsid w:val="007A26AB"/>
    <w:rsid w:val="007B0643"/>
    <w:rsid w:val="007D3971"/>
    <w:rsid w:val="007E26E3"/>
    <w:rsid w:val="007E3D18"/>
    <w:rsid w:val="00805B8A"/>
    <w:rsid w:val="00815A6E"/>
    <w:rsid w:val="00817ED6"/>
    <w:rsid w:val="00831B77"/>
    <w:rsid w:val="00854241"/>
    <w:rsid w:val="00856778"/>
    <w:rsid w:val="0086381E"/>
    <w:rsid w:val="00863A42"/>
    <w:rsid w:val="008666AD"/>
    <w:rsid w:val="00894460"/>
    <w:rsid w:val="008C012E"/>
    <w:rsid w:val="008D094C"/>
    <w:rsid w:val="008D2AF4"/>
    <w:rsid w:val="008D4B06"/>
    <w:rsid w:val="008F5B73"/>
    <w:rsid w:val="00900C9F"/>
    <w:rsid w:val="00933C8A"/>
    <w:rsid w:val="00937A5B"/>
    <w:rsid w:val="00960D10"/>
    <w:rsid w:val="009769E9"/>
    <w:rsid w:val="009929BA"/>
    <w:rsid w:val="009A603B"/>
    <w:rsid w:val="009A69EA"/>
    <w:rsid w:val="009B3B0A"/>
    <w:rsid w:val="009C19C0"/>
    <w:rsid w:val="009C1F61"/>
    <w:rsid w:val="009C3620"/>
    <w:rsid w:val="00A07A31"/>
    <w:rsid w:val="00A143CB"/>
    <w:rsid w:val="00A306EB"/>
    <w:rsid w:val="00A375EC"/>
    <w:rsid w:val="00A45BEF"/>
    <w:rsid w:val="00A45D60"/>
    <w:rsid w:val="00A52E79"/>
    <w:rsid w:val="00A638BB"/>
    <w:rsid w:val="00A71D2B"/>
    <w:rsid w:val="00A774A4"/>
    <w:rsid w:val="00A8088C"/>
    <w:rsid w:val="00A96B16"/>
    <w:rsid w:val="00AA7200"/>
    <w:rsid w:val="00AC35B4"/>
    <w:rsid w:val="00AE6033"/>
    <w:rsid w:val="00AF6B65"/>
    <w:rsid w:val="00B03E05"/>
    <w:rsid w:val="00B10B14"/>
    <w:rsid w:val="00B217CD"/>
    <w:rsid w:val="00B4481C"/>
    <w:rsid w:val="00B770F5"/>
    <w:rsid w:val="00BA2068"/>
    <w:rsid w:val="00BB0AFA"/>
    <w:rsid w:val="00BC16DB"/>
    <w:rsid w:val="00BC461D"/>
    <w:rsid w:val="00BC7A19"/>
    <w:rsid w:val="00BE02D2"/>
    <w:rsid w:val="00C0013B"/>
    <w:rsid w:val="00C016F0"/>
    <w:rsid w:val="00C05907"/>
    <w:rsid w:val="00C07BDF"/>
    <w:rsid w:val="00C1457E"/>
    <w:rsid w:val="00C20CB7"/>
    <w:rsid w:val="00C22559"/>
    <w:rsid w:val="00C37AFA"/>
    <w:rsid w:val="00C62D62"/>
    <w:rsid w:val="00C74315"/>
    <w:rsid w:val="00D02C82"/>
    <w:rsid w:val="00D12BBC"/>
    <w:rsid w:val="00D33ED8"/>
    <w:rsid w:val="00D42F8A"/>
    <w:rsid w:val="00D46FED"/>
    <w:rsid w:val="00D80D2B"/>
    <w:rsid w:val="00D81340"/>
    <w:rsid w:val="00D8323D"/>
    <w:rsid w:val="00D86249"/>
    <w:rsid w:val="00D942AA"/>
    <w:rsid w:val="00DA3A91"/>
    <w:rsid w:val="00DB4F93"/>
    <w:rsid w:val="00DB5E03"/>
    <w:rsid w:val="00DC02C9"/>
    <w:rsid w:val="00DC55AA"/>
    <w:rsid w:val="00DC5DA2"/>
    <w:rsid w:val="00DD21C7"/>
    <w:rsid w:val="00DD60C0"/>
    <w:rsid w:val="00E014E7"/>
    <w:rsid w:val="00E01FED"/>
    <w:rsid w:val="00E2414C"/>
    <w:rsid w:val="00E260AB"/>
    <w:rsid w:val="00E354BB"/>
    <w:rsid w:val="00E434AA"/>
    <w:rsid w:val="00E671A0"/>
    <w:rsid w:val="00E71470"/>
    <w:rsid w:val="00E73086"/>
    <w:rsid w:val="00E9078D"/>
    <w:rsid w:val="00ED16E2"/>
    <w:rsid w:val="00F04EFF"/>
    <w:rsid w:val="00F12FCA"/>
    <w:rsid w:val="00F567B3"/>
    <w:rsid w:val="00F64088"/>
    <w:rsid w:val="00F73184"/>
    <w:rsid w:val="00F82914"/>
    <w:rsid w:val="00FA23A2"/>
    <w:rsid w:val="00FA3C78"/>
    <w:rsid w:val="00FA741B"/>
    <w:rsid w:val="00FA7581"/>
    <w:rsid w:val="00FA79F6"/>
    <w:rsid w:val="00FB5AEF"/>
    <w:rsid w:val="00FC35BC"/>
    <w:rsid w:val="00FC5BF3"/>
    <w:rsid w:val="00FE04B4"/>
    <w:rsid w:val="00FF0C1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193183-E2B2-4363-B736-A0F57BE7B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character" w:customStyle="1" w:styleId="NormaltindragChar">
    <w:name w:val="Normalt indrag Char"/>
    <w:basedOn w:val="Standardstycketeckensnitt"/>
    <w:link w:val="Normaltindrag"/>
    <w:rsid w:val="004D0B7A"/>
    <w:rPr>
      <w:sz w:val="19"/>
      <w:lang w:val="sv-SE" w:eastAsia="sv-SE" w:bidi="ar-SA"/>
    </w:rPr>
  </w:style>
  <w:style w:type="paragraph" w:styleId="Ballongtext">
    <w:name w:val="Balloon Text"/>
    <w:basedOn w:val="Normal"/>
    <w:semiHidden/>
    <w:rsid w:val="00E014E7"/>
    <w:rPr>
      <w:rFonts w:ascii="Tahoma" w:hAnsi="Tahoma" w:cs="Tahoma"/>
      <w:sz w:val="16"/>
      <w:szCs w:val="16"/>
    </w:rPr>
  </w:style>
  <w:style w:type="table" w:styleId="Tabellrutnt">
    <w:name w:val="Table Grid"/>
    <w:basedOn w:val="Normaltabell"/>
    <w:rsid w:val="00A306EB"/>
    <w:pPr>
      <w:spacing w:before="62"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252178">
      <w:bodyDiv w:val="1"/>
      <w:marLeft w:val="0"/>
      <w:marRight w:val="0"/>
      <w:marTop w:val="0"/>
      <w:marBottom w:val="0"/>
      <w:divBdr>
        <w:top w:val="none" w:sz="0" w:space="0" w:color="auto"/>
        <w:left w:val="none" w:sz="0" w:space="0" w:color="auto"/>
        <w:bottom w:val="none" w:sz="0" w:space="0" w:color="auto"/>
        <w:right w:val="none" w:sz="0" w:space="0" w:color="auto"/>
      </w:divBdr>
    </w:div>
    <w:div w:id="842672735">
      <w:bodyDiv w:val="1"/>
      <w:marLeft w:val="0"/>
      <w:marRight w:val="0"/>
      <w:marTop w:val="0"/>
      <w:marBottom w:val="0"/>
      <w:divBdr>
        <w:top w:val="none" w:sz="0" w:space="0" w:color="auto"/>
        <w:left w:val="none" w:sz="0" w:space="0" w:color="auto"/>
        <w:bottom w:val="none" w:sz="0" w:space="0" w:color="auto"/>
        <w:right w:val="none" w:sz="0" w:space="0" w:color="auto"/>
      </w:divBdr>
      <w:divsChild>
        <w:div w:id="1216939453">
          <w:marLeft w:val="0"/>
          <w:marRight w:val="0"/>
          <w:marTop w:val="0"/>
          <w:marBottom w:val="0"/>
          <w:divBdr>
            <w:top w:val="none" w:sz="0" w:space="0" w:color="auto"/>
            <w:left w:val="none" w:sz="0" w:space="0" w:color="auto"/>
            <w:bottom w:val="none" w:sz="0" w:space="0" w:color="auto"/>
            <w:right w:val="none" w:sz="0" w:space="0" w:color="auto"/>
          </w:divBdr>
          <w:divsChild>
            <w:div w:id="1608778821">
              <w:marLeft w:val="0"/>
              <w:marRight w:val="0"/>
              <w:marTop w:val="0"/>
              <w:marBottom w:val="0"/>
              <w:divBdr>
                <w:top w:val="none" w:sz="0" w:space="0" w:color="auto"/>
                <w:left w:val="none" w:sz="0" w:space="0" w:color="auto"/>
                <w:bottom w:val="none" w:sz="0" w:space="0" w:color="auto"/>
                <w:right w:val="none" w:sz="0" w:space="0" w:color="auto"/>
              </w:divBdr>
              <w:divsChild>
                <w:div w:id="1258557367">
                  <w:marLeft w:val="0"/>
                  <w:marRight w:val="0"/>
                  <w:marTop w:val="0"/>
                  <w:marBottom w:val="0"/>
                  <w:divBdr>
                    <w:top w:val="none" w:sz="0" w:space="0" w:color="auto"/>
                    <w:left w:val="none" w:sz="0" w:space="0" w:color="auto"/>
                    <w:bottom w:val="none" w:sz="0" w:space="0" w:color="auto"/>
                    <w:right w:val="none" w:sz="0" w:space="0" w:color="auto"/>
                  </w:divBdr>
                  <w:divsChild>
                    <w:div w:id="2032681350">
                      <w:marLeft w:val="0"/>
                      <w:marRight w:val="0"/>
                      <w:marTop w:val="0"/>
                      <w:marBottom w:val="0"/>
                      <w:divBdr>
                        <w:top w:val="none" w:sz="0" w:space="0" w:color="auto"/>
                        <w:left w:val="none" w:sz="0" w:space="0" w:color="auto"/>
                        <w:bottom w:val="none" w:sz="0" w:space="0" w:color="auto"/>
                        <w:right w:val="none" w:sz="0" w:space="0" w:color="auto"/>
                      </w:divBdr>
                      <w:divsChild>
                        <w:div w:id="1687632116">
                          <w:marLeft w:val="0"/>
                          <w:marRight w:val="0"/>
                          <w:marTop w:val="0"/>
                          <w:marBottom w:val="0"/>
                          <w:divBdr>
                            <w:top w:val="none" w:sz="0" w:space="0" w:color="auto"/>
                            <w:left w:val="none" w:sz="0" w:space="0" w:color="auto"/>
                            <w:bottom w:val="none" w:sz="0" w:space="0" w:color="auto"/>
                            <w:right w:val="none" w:sz="0" w:space="0" w:color="auto"/>
                          </w:divBdr>
                          <w:divsChild>
                            <w:div w:id="501970541">
                              <w:marLeft w:val="0"/>
                              <w:marRight w:val="0"/>
                              <w:marTop w:val="0"/>
                              <w:marBottom w:val="0"/>
                              <w:divBdr>
                                <w:top w:val="none" w:sz="0" w:space="0" w:color="auto"/>
                                <w:left w:val="none" w:sz="0" w:space="0" w:color="auto"/>
                                <w:bottom w:val="none" w:sz="0" w:space="0" w:color="auto"/>
                                <w:right w:val="none" w:sz="0" w:space="0" w:color="auto"/>
                              </w:divBdr>
                              <w:divsChild>
                                <w:div w:id="445083586">
                                  <w:marLeft w:val="0"/>
                                  <w:marRight w:val="0"/>
                                  <w:marTop w:val="0"/>
                                  <w:marBottom w:val="0"/>
                                  <w:divBdr>
                                    <w:top w:val="none" w:sz="0" w:space="0" w:color="auto"/>
                                    <w:left w:val="none" w:sz="0" w:space="0" w:color="auto"/>
                                    <w:bottom w:val="none" w:sz="0" w:space="0" w:color="auto"/>
                                    <w:right w:val="none" w:sz="0" w:space="0" w:color="auto"/>
                                  </w:divBdr>
                                  <w:divsChild>
                                    <w:div w:id="1762722033">
                                      <w:marLeft w:val="0"/>
                                      <w:marRight w:val="0"/>
                                      <w:marTop w:val="0"/>
                                      <w:marBottom w:val="0"/>
                                      <w:divBdr>
                                        <w:top w:val="none" w:sz="0" w:space="0" w:color="auto"/>
                                        <w:left w:val="none" w:sz="0" w:space="0" w:color="auto"/>
                                        <w:bottom w:val="none" w:sz="0" w:space="0" w:color="auto"/>
                                        <w:right w:val="none" w:sz="0" w:space="0" w:color="auto"/>
                                      </w:divBdr>
                                      <w:divsChild>
                                        <w:div w:id="1230844394">
                                          <w:marLeft w:val="0"/>
                                          <w:marRight w:val="0"/>
                                          <w:marTop w:val="0"/>
                                          <w:marBottom w:val="0"/>
                                          <w:divBdr>
                                            <w:top w:val="none" w:sz="0" w:space="0" w:color="auto"/>
                                            <w:left w:val="none" w:sz="0" w:space="0" w:color="auto"/>
                                            <w:bottom w:val="none" w:sz="0" w:space="0" w:color="auto"/>
                                            <w:right w:val="none" w:sz="0" w:space="0" w:color="auto"/>
                                          </w:divBdr>
                                          <w:divsChild>
                                            <w:div w:id="534193243">
                                              <w:marLeft w:val="0"/>
                                              <w:marRight w:val="0"/>
                                              <w:marTop w:val="0"/>
                                              <w:marBottom w:val="0"/>
                                              <w:divBdr>
                                                <w:top w:val="none" w:sz="0" w:space="0" w:color="auto"/>
                                                <w:left w:val="none" w:sz="0" w:space="0" w:color="auto"/>
                                                <w:bottom w:val="none" w:sz="0" w:space="0" w:color="auto"/>
                                                <w:right w:val="none" w:sz="0" w:space="0" w:color="auto"/>
                                              </w:divBdr>
                                              <w:divsChild>
                                                <w:div w:id="1647927901">
                                                  <w:marLeft w:val="0"/>
                                                  <w:marRight w:val="0"/>
                                                  <w:marTop w:val="0"/>
                                                  <w:marBottom w:val="0"/>
                                                  <w:divBdr>
                                                    <w:top w:val="none" w:sz="0" w:space="0" w:color="auto"/>
                                                    <w:left w:val="none" w:sz="0" w:space="0" w:color="auto"/>
                                                    <w:bottom w:val="none" w:sz="0" w:space="0" w:color="auto"/>
                                                    <w:right w:val="none" w:sz="0" w:space="0" w:color="auto"/>
                                                  </w:divBdr>
                                                  <w:divsChild>
                                                    <w:div w:id="1924025755">
                                                      <w:marLeft w:val="0"/>
                                                      <w:marRight w:val="0"/>
                                                      <w:marTop w:val="0"/>
                                                      <w:marBottom w:val="0"/>
                                                      <w:divBdr>
                                                        <w:top w:val="none" w:sz="0" w:space="0" w:color="auto"/>
                                                        <w:left w:val="none" w:sz="0" w:space="0" w:color="auto"/>
                                                        <w:bottom w:val="none" w:sz="0" w:space="0" w:color="auto"/>
                                                        <w:right w:val="none" w:sz="0" w:space="0" w:color="auto"/>
                                                      </w:divBdr>
                                                      <w:divsChild>
                                                        <w:div w:id="68459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theme" Target="theme/theme1.xml"/><Relationship Id="rId20" Type="http://schemas.openxmlformats.org/officeDocument/2006/relationships/footer" Target="footer6.xml"/><Relationship Id="rId41" Type="http://schemas.openxmlformats.org/officeDocument/2006/relationships/footer" Target="footer1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4082</Words>
  <Characters>23842</Characters>
  <Application>Microsoft Office Word</Application>
  <DocSecurity>4</DocSecurity>
  <Lines>627</Lines>
  <Paragraphs>219</Paragraphs>
  <ScaleCrop>false</ScaleCrop>
  <HeadingPairs>
    <vt:vector size="4" baseType="variant">
      <vt:variant>
        <vt:lpstr>Rubrik</vt:lpstr>
      </vt:variant>
      <vt:variant>
        <vt:i4>1</vt:i4>
      </vt:variant>
      <vt:variant>
        <vt:lpstr>Rubriker</vt:lpstr>
      </vt:variant>
      <vt:variant>
        <vt:i4>19</vt:i4>
      </vt:variant>
    </vt:vector>
  </HeadingPairs>
  <TitlesOfParts>
    <vt:vector size="20" baseType="lpstr">
      <vt:lpstr>Framställning till riksdagen</vt:lpstr>
      <vt:lpstr>Förslagets huvudsakliga innehåll</vt:lpstr>
      <vt:lpstr>Innehållsförteckning</vt:lpstr>
      <vt:lpstr>1 Förslag till riksdagsbeslut</vt:lpstr>
      <vt:lpstr>        1. Ändring i riksdagsordningens huvudbestämmelser</vt:lpstr>
      <vt:lpstr>        2. Ändring i riksdagsordningens tilläggsbestämmelser</vt:lpstr>
      <vt:lpstr>        3. Upphävande av rixlexlagen </vt:lpstr>
      <vt:lpstr>2 Lagtext</vt:lpstr>
      <vt:lpstr>    2.1 Förslag till lag om ändring i riksdagsordningen</vt:lpstr>
      <vt:lpstr>    2.2 Förslag till lag om upphävande av lagen (1993:825) om personregister i riks</vt:lpstr>
      <vt:lpstr>3 Ärendet och dess beredning</vt:lpstr>
      <vt:lpstr>4 Riksdagsstyrelsens överväganden</vt:lpstr>
      <vt:lpstr>    Replikrätten </vt:lpstr>
      <vt:lpstr>        Vad som avses med replik</vt:lpstr>
      <vt:lpstr>        När replik kan begäras</vt:lpstr>
      <vt:lpstr>    Omröstning</vt:lpstr>
      <vt:lpstr>    Talarordningen i interpellationsdebatter</vt:lpstr>
      <vt:lpstr>    Meddelande om försenat eller uteblivet frågesvar</vt:lpstr>
      <vt:lpstr>    Anpassning till regeringsformen av begrepp i budgetprocessen </vt:lpstr>
      <vt:lpstr>    Upphävande av rixlexlagen</vt:lpstr>
    </vt:vector>
  </TitlesOfParts>
  <Company>Riksdagen</Company>
  <LinksUpToDate>false</LinksUpToDate>
  <CharactersWithSpaces>27705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Framställning till riksdagen</dc:title>
  <dc:subject>Framställning till riksdagen</dc:subject>
  <dc:creator>Riksdagen</dc:creator>
  <cp:keywords>Riksdagen</cp:keywords>
  <dc:description>Anpassad för riksdagsstyrelsen</dc:description>
  <cp:lastModifiedBy>Lars Brink</cp:lastModifiedBy>
  <cp:revision>2</cp:revision>
  <cp:lastPrinted>2012-03-29T11:48:00Z</cp:lastPrinted>
  <dcterms:created xsi:type="dcterms:W3CDTF">2025-12-17T20:58:00Z</dcterms:created>
  <dcterms:modified xsi:type="dcterms:W3CDTF">2025-12-17T20:58:00Z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RS</vt:lpwstr>
  </property>
  <property fmtid="{D5CDD505-2E9C-101B-9397-08002B2CF9AE}" pid="4" name="BetänkandeÅr">
    <vt:lpwstr>2011/12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