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2B6252B6" w14:textId="77777777">
        <w:tc>
          <w:tcPr>
            <w:tcW w:w="2268" w:type="dxa"/>
          </w:tcPr>
          <w:p w14:paraId="23F60A6F" w14:textId="77777777" w:rsidR="006E4E11" w:rsidRDefault="006E4E11" w:rsidP="00751036">
            <w:pPr>
              <w:framePr w:w="5035" w:h="1644" w:wrap="notBeside" w:vAnchor="page" w:hAnchor="page" w:x="6573" w:y="721"/>
              <w:jc w:val="both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30FB1506" w14:textId="77777777" w:rsidR="006E4E11" w:rsidRDefault="006E4E11" w:rsidP="00751036">
            <w:pPr>
              <w:framePr w:w="5035" w:h="1644" w:wrap="notBeside" w:vAnchor="page" w:hAnchor="page" w:x="6573" w:y="721"/>
              <w:jc w:val="both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481431F8" w14:textId="77777777">
        <w:tc>
          <w:tcPr>
            <w:tcW w:w="2268" w:type="dxa"/>
          </w:tcPr>
          <w:p w14:paraId="760BC730" w14:textId="77777777" w:rsidR="006E4E11" w:rsidRDefault="006E4E11" w:rsidP="00751036">
            <w:pPr>
              <w:framePr w:w="5035" w:h="1644" w:wrap="notBeside" w:vAnchor="page" w:hAnchor="page" w:x="6573" w:y="721"/>
              <w:jc w:val="both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3CE569AF" w14:textId="77777777" w:rsidR="006E4E11" w:rsidRDefault="006E4E11" w:rsidP="00751036">
            <w:pPr>
              <w:framePr w:w="5035" w:h="1644" w:wrap="notBeside" w:vAnchor="page" w:hAnchor="page" w:x="6573" w:y="721"/>
              <w:jc w:val="both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6660343B" w14:textId="77777777">
        <w:tc>
          <w:tcPr>
            <w:tcW w:w="3402" w:type="dxa"/>
            <w:gridSpan w:val="2"/>
          </w:tcPr>
          <w:p w14:paraId="49CDD74D" w14:textId="77777777" w:rsidR="006E4E11" w:rsidRDefault="006E4E11" w:rsidP="00751036">
            <w:pPr>
              <w:framePr w:w="5035" w:h="1644" w:wrap="notBeside" w:vAnchor="page" w:hAnchor="page" w:x="6573" w:y="721"/>
              <w:jc w:val="both"/>
            </w:pPr>
          </w:p>
        </w:tc>
        <w:tc>
          <w:tcPr>
            <w:tcW w:w="1865" w:type="dxa"/>
          </w:tcPr>
          <w:p w14:paraId="78C98780" w14:textId="77777777" w:rsidR="006E4E11" w:rsidRDefault="006E4E11" w:rsidP="00751036">
            <w:pPr>
              <w:framePr w:w="5035" w:h="1644" w:wrap="notBeside" w:vAnchor="page" w:hAnchor="page" w:x="6573" w:y="721"/>
              <w:jc w:val="both"/>
            </w:pPr>
          </w:p>
        </w:tc>
      </w:tr>
      <w:tr w:rsidR="006E4E11" w14:paraId="11BC1D51" w14:textId="77777777">
        <w:tc>
          <w:tcPr>
            <w:tcW w:w="2268" w:type="dxa"/>
          </w:tcPr>
          <w:p w14:paraId="13C0A982" w14:textId="77777777" w:rsidR="006E4E11" w:rsidRDefault="006E4E11" w:rsidP="00751036">
            <w:pPr>
              <w:framePr w:w="5035" w:h="1644" w:wrap="notBeside" w:vAnchor="page" w:hAnchor="page" w:x="6573" w:y="721"/>
              <w:jc w:val="both"/>
            </w:pPr>
          </w:p>
        </w:tc>
        <w:tc>
          <w:tcPr>
            <w:tcW w:w="2999" w:type="dxa"/>
            <w:gridSpan w:val="2"/>
          </w:tcPr>
          <w:p w14:paraId="61338D2F" w14:textId="77777777" w:rsidR="006E4E11" w:rsidRPr="00ED583F" w:rsidRDefault="00DD7921" w:rsidP="00751036">
            <w:pPr>
              <w:framePr w:w="5035" w:h="1644" w:wrap="notBeside" w:vAnchor="page" w:hAnchor="page" w:x="6573" w:y="721"/>
              <w:jc w:val="both"/>
              <w:rPr>
                <w:sz w:val="20"/>
              </w:rPr>
            </w:pPr>
            <w:r>
              <w:rPr>
                <w:sz w:val="20"/>
              </w:rPr>
              <w:t>Dnr Ju2014/4981/</w:t>
            </w:r>
            <w:proofErr w:type="spellStart"/>
            <w:r>
              <w:rPr>
                <w:sz w:val="20"/>
              </w:rPr>
              <w:t>Statssekr</w:t>
            </w:r>
            <w:proofErr w:type="spellEnd"/>
          </w:p>
        </w:tc>
      </w:tr>
      <w:tr w:rsidR="006E4E11" w14:paraId="2BB41FA0" w14:textId="77777777">
        <w:tc>
          <w:tcPr>
            <w:tcW w:w="2268" w:type="dxa"/>
          </w:tcPr>
          <w:p w14:paraId="78BD6CB6" w14:textId="77777777" w:rsidR="006E4E11" w:rsidRDefault="006E4E11" w:rsidP="00751036">
            <w:pPr>
              <w:framePr w:w="5035" w:h="1644" w:wrap="notBeside" w:vAnchor="page" w:hAnchor="page" w:x="6573" w:y="721"/>
              <w:jc w:val="both"/>
            </w:pPr>
          </w:p>
        </w:tc>
        <w:tc>
          <w:tcPr>
            <w:tcW w:w="2999" w:type="dxa"/>
            <w:gridSpan w:val="2"/>
          </w:tcPr>
          <w:p w14:paraId="16007C7A" w14:textId="77777777" w:rsidR="006E4E11" w:rsidRDefault="006E4E11" w:rsidP="00751036">
            <w:pPr>
              <w:framePr w:w="5035" w:h="1644" w:wrap="notBeside" w:vAnchor="page" w:hAnchor="page" w:x="6573" w:y="721"/>
              <w:jc w:val="both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589BD147" w14:textId="77777777">
        <w:trPr>
          <w:trHeight w:val="284"/>
        </w:trPr>
        <w:tc>
          <w:tcPr>
            <w:tcW w:w="4911" w:type="dxa"/>
          </w:tcPr>
          <w:p w14:paraId="382E05A8" w14:textId="77777777" w:rsidR="006E4E11" w:rsidRDefault="00DD7921" w:rsidP="00751036">
            <w:pPr>
              <w:pStyle w:val="Avsndare"/>
              <w:framePr w:h="2483" w:wrap="notBeside" w:x="1504"/>
              <w:jc w:val="both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78BD4795" w14:textId="77777777">
        <w:trPr>
          <w:trHeight w:val="284"/>
        </w:trPr>
        <w:tc>
          <w:tcPr>
            <w:tcW w:w="4911" w:type="dxa"/>
          </w:tcPr>
          <w:p w14:paraId="6CB86310" w14:textId="77777777" w:rsidR="006E4E11" w:rsidRDefault="00DD7921" w:rsidP="00751036">
            <w:pPr>
              <w:pStyle w:val="Avsndare"/>
              <w:framePr w:h="2483" w:wrap="notBeside" w:x="1504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Justitieministern</w:t>
            </w:r>
          </w:p>
        </w:tc>
      </w:tr>
      <w:tr w:rsidR="006E4E11" w14:paraId="37831C3B" w14:textId="77777777">
        <w:trPr>
          <w:trHeight w:val="284"/>
        </w:trPr>
        <w:tc>
          <w:tcPr>
            <w:tcW w:w="4911" w:type="dxa"/>
          </w:tcPr>
          <w:p w14:paraId="10701931" w14:textId="77777777" w:rsidR="006E4E11" w:rsidRDefault="006E4E11" w:rsidP="00751036">
            <w:pPr>
              <w:pStyle w:val="Avsndare"/>
              <w:framePr w:h="2483" w:wrap="notBeside" w:x="1504"/>
              <w:jc w:val="both"/>
              <w:rPr>
                <w:bCs/>
                <w:iCs/>
              </w:rPr>
            </w:pPr>
          </w:p>
        </w:tc>
      </w:tr>
      <w:tr w:rsidR="006E4E11" w14:paraId="6FBBF986" w14:textId="77777777">
        <w:trPr>
          <w:trHeight w:val="284"/>
        </w:trPr>
        <w:tc>
          <w:tcPr>
            <w:tcW w:w="4911" w:type="dxa"/>
          </w:tcPr>
          <w:p w14:paraId="3BDEDC73" w14:textId="77777777" w:rsidR="006E4E11" w:rsidRDefault="006E4E11" w:rsidP="00751036">
            <w:pPr>
              <w:pStyle w:val="Avsndare"/>
              <w:framePr w:h="2483" w:wrap="notBeside" w:x="1504"/>
              <w:jc w:val="both"/>
              <w:rPr>
                <w:bCs/>
                <w:iCs/>
              </w:rPr>
            </w:pPr>
          </w:p>
        </w:tc>
      </w:tr>
      <w:tr w:rsidR="006E4E11" w14:paraId="22D0CBBD" w14:textId="77777777">
        <w:trPr>
          <w:trHeight w:val="284"/>
        </w:trPr>
        <w:tc>
          <w:tcPr>
            <w:tcW w:w="4911" w:type="dxa"/>
          </w:tcPr>
          <w:p w14:paraId="19606A0A" w14:textId="77777777" w:rsidR="006E4E11" w:rsidRDefault="006E4E11" w:rsidP="00751036">
            <w:pPr>
              <w:pStyle w:val="Avsndare"/>
              <w:framePr w:h="2483" w:wrap="notBeside" w:x="1504"/>
              <w:jc w:val="both"/>
              <w:rPr>
                <w:bCs/>
                <w:iCs/>
              </w:rPr>
            </w:pPr>
          </w:p>
        </w:tc>
      </w:tr>
      <w:tr w:rsidR="006E4E11" w14:paraId="045D56D8" w14:textId="77777777">
        <w:trPr>
          <w:trHeight w:val="284"/>
        </w:trPr>
        <w:tc>
          <w:tcPr>
            <w:tcW w:w="4911" w:type="dxa"/>
          </w:tcPr>
          <w:p w14:paraId="3F24DDCA" w14:textId="77777777" w:rsidR="006E4E11" w:rsidRDefault="006E4E11" w:rsidP="00751036">
            <w:pPr>
              <w:pStyle w:val="Avsndare"/>
              <w:framePr w:h="2483" w:wrap="notBeside" w:x="1504"/>
              <w:jc w:val="both"/>
              <w:rPr>
                <w:bCs/>
                <w:iCs/>
              </w:rPr>
            </w:pPr>
          </w:p>
        </w:tc>
      </w:tr>
      <w:tr w:rsidR="006E4E11" w14:paraId="28D47FFF" w14:textId="77777777">
        <w:trPr>
          <w:trHeight w:val="284"/>
        </w:trPr>
        <w:tc>
          <w:tcPr>
            <w:tcW w:w="4911" w:type="dxa"/>
          </w:tcPr>
          <w:p w14:paraId="0BD94263" w14:textId="77777777" w:rsidR="006E4E11" w:rsidRDefault="006E4E11" w:rsidP="00751036">
            <w:pPr>
              <w:pStyle w:val="Avsndare"/>
              <w:framePr w:h="2483" w:wrap="notBeside" w:x="1504"/>
              <w:jc w:val="both"/>
              <w:rPr>
                <w:bCs/>
                <w:iCs/>
              </w:rPr>
            </w:pPr>
          </w:p>
        </w:tc>
      </w:tr>
      <w:tr w:rsidR="006E4E11" w14:paraId="3F6226A0" w14:textId="77777777">
        <w:trPr>
          <w:trHeight w:val="284"/>
        </w:trPr>
        <w:tc>
          <w:tcPr>
            <w:tcW w:w="4911" w:type="dxa"/>
          </w:tcPr>
          <w:p w14:paraId="7B3F1DAB" w14:textId="77777777" w:rsidR="006E4E11" w:rsidRDefault="006E4E11" w:rsidP="00751036">
            <w:pPr>
              <w:pStyle w:val="Avsndare"/>
              <w:framePr w:h="2483" w:wrap="notBeside" w:x="1504"/>
              <w:jc w:val="both"/>
              <w:rPr>
                <w:bCs/>
                <w:iCs/>
              </w:rPr>
            </w:pPr>
          </w:p>
        </w:tc>
      </w:tr>
      <w:tr w:rsidR="006E4E11" w14:paraId="047241DA" w14:textId="77777777">
        <w:trPr>
          <w:trHeight w:val="284"/>
        </w:trPr>
        <w:tc>
          <w:tcPr>
            <w:tcW w:w="4911" w:type="dxa"/>
          </w:tcPr>
          <w:p w14:paraId="3370AB8E" w14:textId="77777777" w:rsidR="006E4E11" w:rsidRDefault="006E4E11" w:rsidP="00751036">
            <w:pPr>
              <w:pStyle w:val="Avsndare"/>
              <w:framePr w:h="2483" w:wrap="notBeside" w:x="1504"/>
              <w:jc w:val="both"/>
              <w:rPr>
                <w:bCs/>
                <w:iCs/>
              </w:rPr>
            </w:pPr>
          </w:p>
        </w:tc>
      </w:tr>
    </w:tbl>
    <w:p w14:paraId="2E5504D0" w14:textId="77777777" w:rsidR="006E4E11" w:rsidRDefault="00DD7921" w:rsidP="00751036">
      <w:pPr>
        <w:framePr w:w="4400" w:h="2523" w:wrap="notBeside" w:vAnchor="page" w:hAnchor="page" w:x="6453" w:y="2445"/>
        <w:ind w:left="142"/>
        <w:jc w:val="both"/>
      </w:pPr>
      <w:r>
        <w:t>Till riksdagen</w:t>
      </w:r>
    </w:p>
    <w:p w14:paraId="0EA67762" w14:textId="77777777" w:rsidR="006E4E11" w:rsidRDefault="00DD7921" w:rsidP="00751036">
      <w:pPr>
        <w:pStyle w:val="RKrubrik"/>
        <w:pBdr>
          <w:bottom w:val="single" w:sz="4" w:space="1" w:color="auto"/>
        </w:pBdr>
        <w:spacing w:before="0" w:after="0"/>
        <w:jc w:val="both"/>
      </w:pPr>
      <w:r>
        <w:t xml:space="preserve">Svar på fråga 2013/14:747 av Per-Johan </w:t>
      </w:r>
      <w:proofErr w:type="spellStart"/>
      <w:r>
        <w:t>Emtell</w:t>
      </w:r>
      <w:proofErr w:type="spellEnd"/>
      <w:r>
        <w:t xml:space="preserve"> (MP) Lagen om medling</w:t>
      </w:r>
    </w:p>
    <w:p w14:paraId="233E9995" w14:textId="77777777" w:rsidR="006E4E11" w:rsidRDefault="006E4E11" w:rsidP="00751036">
      <w:pPr>
        <w:pStyle w:val="RKnormal"/>
        <w:jc w:val="both"/>
      </w:pPr>
    </w:p>
    <w:p w14:paraId="3396BEB3" w14:textId="77777777" w:rsidR="006E4E11" w:rsidRDefault="00DD7921" w:rsidP="00751036">
      <w:pPr>
        <w:pStyle w:val="RKnormal"/>
        <w:jc w:val="both"/>
      </w:pPr>
      <w:r>
        <w:t xml:space="preserve">Per-Johan </w:t>
      </w:r>
      <w:proofErr w:type="spellStart"/>
      <w:r>
        <w:t>Emtell</w:t>
      </w:r>
      <w:proofErr w:type="spellEnd"/>
      <w:r>
        <w:t xml:space="preserve"> har frågat mig hur jag ser på mitt och departementets ansvar för att lagen </w:t>
      </w:r>
      <w:r w:rsidR="00111428">
        <w:t xml:space="preserve">(2002:445) </w:t>
      </w:r>
      <w:r>
        <w:t xml:space="preserve">om medling </w:t>
      </w:r>
      <w:r w:rsidR="00751036">
        <w:t xml:space="preserve">med anledning av brott </w:t>
      </w:r>
      <w:r w:rsidR="00111428">
        <w:t xml:space="preserve">(medlingslagen) </w:t>
      </w:r>
      <w:r>
        <w:t xml:space="preserve">ska tillämpas på det sätt som det var tänkt vid lagens tillkomst. </w:t>
      </w:r>
    </w:p>
    <w:p w14:paraId="391E9D23" w14:textId="77777777" w:rsidR="00DD7921" w:rsidRDefault="00DD7921" w:rsidP="00751036">
      <w:pPr>
        <w:pStyle w:val="RKnormal"/>
        <w:jc w:val="both"/>
      </w:pPr>
    </w:p>
    <w:p w14:paraId="667F25D3" w14:textId="553B9B24" w:rsidR="002016EE" w:rsidRDefault="0067671B" w:rsidP="00751036">
      <w:pPr>
        <w:pStyle w:val="RKnormal"/>
        <w:jc w:val="both"/>
      </w:pPr>
      <w:r>
        <w:t xml:space="preserve">Medlingslagen </w:t>
      </w:r>
      <w:r w:rsidR="002016EE">
        <w:t>syftar till att tillgodose kraven på rättssäkerhet när medling anordnas av stat</w:t>
      </w:r>
      <w:r w:rsidR="00061F22">
        <w:t>en</w:t>
      </w:r>
      <w:r w:rsidR="002016EE">
        <w:t xml:space="preserve"> eller </w:t>
      </w:r>
      <w:r w:rsidR="00061F22">
        <w:t xml:space="preserve">en </w:t>
      </w:r>
      <w:r w:rsidR="002016EE">
        <w:t xml:space="preserve">kommun. Syftet </w:t>
      </w:r>
      <w:r w:rsidR="009543D1">
        <w:t xml:space="preserve">med medling </w:t>
      </w:r>
      <w:r w:rsidR="00366EEE">
        <w:t xml:space="preserve">är </w:t>
      </w:r>
      <w:r w:rsidR="002016EE">
        <w:t>att gärningsmannen ska få ökad insikt om brottets konsekvenser och att brottsoffret ska ges en möjlighet att bearbeta sina upplevelser av brottet.</w:t>
      </w:r>
      <w:r w:rsidR="009543D1">
        <w:t xml:space="preserve"> </w:t>
      </w:r>
      <w:r w:rsidR="002016EE">
        <w:t>Sedan 200</w:t>
      </w:r>
      <w:r w:rsidR="00790A43">
        <w:t>8</w:t>
      </w:r>
      <w:r w:rsidR="002016EE">
        <w:t xml:space="preserve"> har kommunerna </w:t>
      </w:r>
      <w:r>
        <w:t>en skyldighet</w:t>
      </w:r>
      <w:r w:rsidR="002016EE">
        <w:t xml:space="preserve"> enligt socialtjänstlagen (2001:45</w:t>
      </w:r>
      <w:r w:rsidR="00906305">
        <w:t>3</w:t>
      </w:r>
      <w:r w:rsidR="002016EE">
        <w:t xml:space="preserve">) att sörja för att </w:t>
      </w:r>
      <w:r w:rsidR="00790A43">
        <w:t xml:space="preserve">medling kommer till stånd när ett brott begåtts av någon som är under 21 år. </w:t>
      </w:r>
      <w:r w:rsidR="00850A8F" w:rsidRPr="00850A8F">
        <w:t>Socialstyrelsen har i allmänna råd och i handboken Barn och unga som begår brott gett rekommendationer om hur kommunerna ska tillhandahålla medling.</w:t>
      </w:r>
    </w:p>
    <w:p w14:paraId="36DAEEE3" w14:textId="77777777" w:rsidR="00790A43" w:rsidRDefault="00790A43" w:rsidP="00751036">
      <w:pPr>
        <w:pStyle w:val="RKnormal"/>
        <w:jc w:val="both"/>
      </w:pPr>
    </w:p>
    <w:p w14:paraId="2CCF1730" w14:textId="5D1B7999" w:rsidR="00850A8F" w:rsidRDefault="0067671B" w:rsidP="00751036">
      <w:pPr>
        <w:pStyle w:val="RKnormal"/>
        <w:jc w:val="both"/>
      </w:pPr>
      <w:r>
        <w:t xml:space="preserve">Socialstyrelsen </w:t>
      </w:r>
      <w:r w:rsidR="009543D1">
        <w:t xml:space="preserve">har </w:t>
      </w:r>
      <w:r w:rsidR="00850A8F">
        <w:t xml:space="preserve">också </w:t>
      </w:r>
      <w:r w:rsidR="009543D1">
        <w:t xml:space="preserve">på regeringens uppdrag </w:t>
      </w:r>
      <w:r>
        <w:t>utvärderat</w:t>
      </w:r>
      <w:r w:rsidR="00523CAC">
        <w:t xml:space="preserve"> hur kommunerna arbetar med medling avseende unga lagöverträdare. I uppdraget ingick att analysera om det finns något behov av åtgärder för att stödja medlingsverksamheten. </w:t>
      </w:r>
      <w:r w:rsidR="009543D1">
        <w:t>Sedan uppdraget redovisades 2012</w:t>
      </w:r>
      <w:r>
        <w:t xml:space="preserve"> har myndigheterna vidtagit ytterligare åtgärder för att bl.a. säkerställa att information om medling verkligen ges. Exempelvis har </w:t>
      </w:r>
      <w:r w:rsidR="00873004">
        <w:t xml:space="preserve">Polisen </w:t>
      </w:r>
      <w:r w:rsidR="00CE392E">
        <w:t>förbättrat rutinerna för att ta reda på om gärningsmannen vill bli kontaktad om medling.</w:t>
      </w:r>
      <w:r>
        <w:t xml:space="preserve"> </w:t>
      </w:r>
      <w:r w:rsidR="00850A8F">
        <w:t>Vidare har en utredare föreslagit att det ska införas en skyldighet för polis och åklagare att informera målsäganden om förutsättningarna för medling enligt medlingslagen (Ds 2014:14). Förslaget är nu ute på remiss.</w:t>
      </w:r>
    </w:p>
    <w:p w14:paraId="25453299" w14:textId="77777777" w:rsidR="00850A8F" w:rsidRDefault="00850A8F" w:rsidP="00751036">
      <w:pPr>
        <w:pStyle w:val="RKnormal"/>
        <w:jc w:val="both"/>
      </w:pPr>
    </w:p>
    <w:p w14:paraId="372EC9A9" w14:textId="3FB27393" w:rsidR="00751036" w:rsidRDefault="0067671B" w:rsidP="00751036">
      <w:pPr>
        <w:pStyle w:val="RKnormal"/>
        <w:jc w:val="both"/>
      </w:pPr>
      <w:r>
        <w:t>Åklagarmyndigheten har också tagit fram en ny</w:t>
      </w:r>
      <w:r w:rsidR="00FB0661">
        <w:t xml:space="preserve"> promemoria om medling vid ungdomsbrott </w:t>
      </w:r>
      <w:r>
        <w:t xml:space="preserve">där bl.a. </w:t>
      </w:r>
      <w:r w:rsidR="00FB0661">
        <w:t>vikten av samverkan både inom och mellan myndigheterna</w:t>
      </w:r>
      <w:r>
        <w:t xml:space="preserve"> betonas</w:t>
      </w:r>
      <w:r w:rsidR="00FB0661">
        <w:t xml:space="preserve">. </w:t>
      </w:r>
      <w:r w:rsidR="007702F2">
        <w:t>I syfte att säkerställa samverkan</w:t>
      </w:r>
      <w:r w:rsidR="00FC45DB">
        <w:t xml:space="preserve"> har regeringen</w:t>
      </w:r>
      <w:r w:rsidR="007702F2">
        <w:t xml:space="preserve"> dessutom</w:t>
      </w:r>
      <w:r w:rsidR="00FC45DB">
        <w:t xml:space="preserve"> i en lagrådsremiss i våras föreslagit </w:t>
      </w:r>
      <w:r>
        <w:t xml:space="preserve">en lagreglering av </w:t>
      </w:r>
      <w:r w:rsidR="00FC45DB">
        <w:t xml:space="preserve">samverkan mellan myndigheter och kommuner som handlägger ärenden om unga lagöverträdare. </w:t>
      </w:r>
    </w:p>
    <w:p w14:paraId="18FB3323" w14:textId="77777777" w:rsidR="0067671B" w:rsidRDefault="0067671B" w:rsidP="00751036">
      <w:pPr>
        <w:pStyle w:val="RKnormal"/>
        <w:jc w:val="both"/>
      </w:pPr>
    </w:p>
    <w:p w14:paraId="77E577EA" w14:textId="79622B4B" w:rsidR="0067671B" w:rsidRDefault="00366EEE" w:rsidP="00751036">
      <w:pPr>
        <w:pStyle w:val="RKnormal"/>
        <w:jc w:val="both"/>
      </w:pPr>
      <w:r>
        <w:lastRenderedPageBreak/>
        <w:t xml:space="preserve">Det är angeläget att lagstiftningen tillämpas på det sätt som lagstiftaren avsett. Först och främst är det emellertid kommunerna och myndigheterna som måste se till att så sker. </w:t>
      </w:r>
      <w:r w:rsidR="0067671B">
        <w:t xml:space="preserve">Jag </w:t>
      </w:r>
      <w:r w:rsidR="006511A3">
        <w:t>fortsätter att</w:t>
      </w:r>
      <w:r w:rsidR="0067671B">
        <w:t xml:space="preserve"> hålla mig informerad om utvecklingen på området.</w:t>
      </w:r>
    </w:p>
    <w:p w14:paraId="393640AC" w14:textId="77777777" w:rsidR="001258A4" w:rsidRDefault="001258A4" w:rsidP="00751036">
      <w:pPr>
        <w:pStyle w:val="RKnormal"/>
        <w:jc w:val="both"/>
      </w:pPr>
    </w:p>
    <w:p w14:paraId="715BD947" w14:textId="77777777" w:rsidR="0067671B" w:rsidRDefault="0067671B" w:rsidP="00751036">
      <w:pPr>
        <w:pStyle w:val="RKnormal"/>
        <w:jc w:val="both"/>
      </w:pPr>
    </w:p>
    <w:p w14:paraId="6BAB6DFA" w14:textId="77777777" w:rsidR="00FC45DB" w:rsidRDefault="00FC45DB" w:rsidP="00751036">
      <w:pPr>
        <w:pStyle w:val="RKnormal"/>
        <w:jc w:val="both"/>
      </w:pPr>
    </w:p>
    <w:p w14:paraId="2AA71352" w14:textId="77777777" w:rsidR="00DD7921" w:rsidRDefault="00DD7921" w:rsidP="00751036">
      <w:pPr>
        <w:pStyle w:val="RKnormal"/>
        <w:jc w:val="both"/>
      </w:pPr>
      <w:r>
        <w:t>Stockholm den 22 augusti 2014</w:t>
      </w:r>
    </w:p>
    <w:p w14:paraId="669D023C" w14:textId="77777777" w:rsidR="00DD7921" w:rsidRDefault="00DD7921" w:rsidP="00751036">
      <w:pPr>
        <w:pStyle w:val="RKnormal"/>
        <w:jc w:val="both"/>
      </w:pPr>
    </w:p>
    <w:p w14:paraId="306BA2A5" w14:textId="77777777" w:rsidR="00DD7921" w:rsidRDefault="00DD7921" w:rsidP="00751036">
      <w:pPr>
        <w:pStyle w:val="RKnormal"/>
        <w:jc w:val="both"/>
      </w:pPr>
    </w:p>
    <w:p w14:paraId="2C4B6E88" w14:textId="77777777" w:rsidR="00DD7921" w:rsidRDefault="00DD7921" w:rsidP="00751036">
      <w:pPr>
        <w:pStyle w:val="RKnormal"/>
        <w:jc w:val="both"/>
      </w:pPr>
      <w:r>
        <w:t>Beatrice Ask</w:t>
      </w:r>
    </w:p>
    <w:p w14:paraId="64DC2208" w14:textId="77777777" w:rsidR="000852E7" w:rsidRDefault="000852E7" w:rsidP="00751036">
      <w:pPr>
        <w:pStyle w:val="RKnormal"/>
        <w:jc w:val="both"/>
      </w:pPr>
    </w:p>
    <w:p w14:paraId="6C1289CF" w14:textId="77777777" w:rsidR="000852E7" w:rsidRDefault="000852E7" w:rsidP="00751036">
      <w:pPr>
        <w:pStyle w:val="RKnormal"/>
        <w:jc w:val="both"/>
      </w:pPr>
    </w:p>
    <w:sectPr w:rsidR="000852E7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9DA81F" w14:textId="77777777" w:rsidR="00DD7921" w:rsidRDefault="00DD7921">
      <w:r>
        <w:separator/>
      </w:r>
    </w:p>
  </w:endnote>
  <w:endnote w:type="continuationSeparator" w:id="0">
    <w:p w14:paraId="0296245E" w14:textId="77777777" w:rsidR="00DD7921" w:rsidRDefault="00DD7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3DC289" w14:textId="77777777" w:rsidR="00DD7921" w:rsidRDefault="00DD7921">
      <w:r>
        <w:separator/>
      </w:r>
    </w:p>
  </w:footnote>
  <w:footnote w:type="continuationSeparator" w:id="0">
    <w:p w14:paraId="7DBE1439" w14:textId="77777777" w:rsidR="00DD7921" w:rsidRDefault="00DD79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D2F8CF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391462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E05B647" w14:textId="77777777">
      <w:trPr>
        <w:cantSplit/>
      </w:trPr>
      <w:tc>
        <w:tcPr>
          <w:tcW w:w="3119" w:type="dxa"/>
        </w:tcPr>
        <w:p w14:paraId="1D9FF3E5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C5C51BD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CB88652" w14:textId="77777777" w:rsidR="00E80146" w:rsidRDefault="00E80146">
          <w:pPr>
            <w:pStyle w:val="Sidhuvud"/>
            <w:ind w:right="360"/>
          </w:pPr>
        </w:p>
      </w:tc>
    </w:tr>
  </w:tbl>
  <w:p w14:paraId="6C2EAE5D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F7A1AF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F489BF5" w14:textId="77777777">
      <w:trPr>
        <w:cantSplit/>
      </w:trPr>
      <w:tc>
        <w:tcPr>
          <w:tcW w:w="3119" w:type="dxa"/>
        </w:tcPr>
        <w:p w14:paraId="62027237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2E4984D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6B38029" w14:textId="77777777" w:rsidR="00E80146" w:rsidRDefault="00E80146">
          <w:pPr>
            <w:pStyle w:val="Sidhuvud"/>
            <w:ind w:right="360"/>
          </w:pPr>
        </w:p>
      </w:tc>
    </w:tr>
  </w:tbl>
  <w:p w14:paraId="6F93D187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D0C46E" w14:textId="77777777" w:rsidR="00DD7921" w:rsidRDefault="00DD7921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1894FF58" wp14:editId="27147FED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40C63F6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A63B074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3D75350C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480DE35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921"/>
    <w:rsid w:val="00061F22"/>
    <w:rsid w:val="000852E7"/>
    <w:rsid w:val="00111428"/>
    <w:rsid w:val="0011286F"/>
    <w:rsid w:val="001258A4"/>
    <w:rsid w:val="00150384"/>
    <w:rsid w:val="00160901"/>
    <w:rsid w:val="001805B7"/>
    <w:rsid w:val="002016EE"/>
    <w:rsid w:val="00366EEE"/>
    <w:rsid w:val="00367B1C"/>
    <w:rsid w:val="00391462"/>
    <w:rsid w:val="004045D6"/>
    <w:rsid w:val="004A328D"/>
    <w:rsid w:val="00523CAC"/>
    <w:rsid w:val="0058762B"/>
    <w:rsid w:val="006511A3"/>
    <w:rsid w:val="0067671B"/>
    <w:rsid w:val="006B38D2"/>
    <w:rsid w:val="006E4E11"/>
    <w:rsid w:val="007242A3"/>
    <w:rsid w:val="00751036"/>
    <w:rsid w:val="007702F2"/>
    <w:rsid w:val="00790A43"/>
    <w:rsid w:val="007A6855"/>
    <w:rsid w:val="00850A8F"/>
    <w:rsid w:val="00873004"/>
    <w:rsid w:val="00906305"/>
    <w:rsid w:val="0092027A"/>
    <w:rsid w:val="009543D1"/>
    <w:rsid w:val="00955E31"/>
    <w:rsid w:val="00992E72"/>
    <w:rsid w:val="009E1AF4"/>
    <w:rsid w:val="00A6588B"/>
    <w:rsid w:val="00AF26D1"/>
    <w:rsid w:val="00CA6C77"/>
    <w:rsid w:val="00CE392E"/>
    <w:rsid w:val="00D133D7"/>
    <w:rsid w:val="00DD7921"/>
    <w:rsid w:val="00E80146"/>
    <w:rsid w:val="00E904D0"/>
    <w:rsid w:val="00EC25F9"/>
    <w:rsid w:val="00ED583F"/>
    <w:rsid w:val="00FB0661"/>
    <w:rsid w:val="00FC4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5449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7510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51036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7510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5103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47d8c5916837a250af363b8fcfdbe05e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5c89beff7960973a6d794252edf4990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c6e529db-53ca-40a3-a24c-a9b53e67516a</RD_Svarsid>
  </documentManagement>
</p:properti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A751AB154EDC8241B5C5D34AED835950" ma:contentTypeVersion="10" ma:contentTypeDescription="Skapa ett nytt dokument." ma:contentTypeScope="" ma:versionID="e7583ec1a3964ad11467fe251654bb1e">
  <xsd:schema xmlns:xsd="http://www.w3.org/2001/XMLSchema" xmlns:xs="http://www.w3.org/2001/XMLSchema" xmlns:p="http://schemas.microsoft.com/office/2006/metadata/properties" xmlns:ns2="359d5793-6e5b-4ed7-8e84-4489ee9bcd4e" xmlns:ns3="d64084d0-5fa4-4990-a8b8-07070fb143ae" targetNamespace="http://schemas.microsoft.com/office/2006/metadata/properties" ma:root="true" ma:fieldsID="f2150e656ba457e47788e2a9c0789f94" ns2:_="" ns3:_="">
    <xsd:import namespace="359d5793-6e5b-4ed7-8e84-4489ee9bcd4e"/>
    <xsd:import namespace="d64084d0-5fa4-4990-a8b8-07070fb143a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9d5793-6e5b-4ed7-8e84-4489ee9bcd4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d965ca67-0a57-47ab-9bf2-3a64fbe3a576}" ma:internalName="TaxCatchAll" ma:showField="CatchAllData" ma:web="359d5793-6e5b-4ed7-8e84-4489ee9bcd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d965ca67-0a57-47ab-9bf2-3a64fbe3a576}" ma:internalName="TaxCatchAllLabel" ma:readOnly="true" ma:showField="CatchAllDataLabel" ma:web="359d5793-6e5b-4ed7-8e84-4489ee9bcd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4084d0-5fa4-4990-a8b8-07070fb143ae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687D1E-E7B1-475F-9C57-D0BDA18E6200}"/>
</file>

<file path=customXml/itemProps2.xml><?xml version="1.0" encoding="utf-8"?>
<ds:datastoreItem xmlns:ds="http://schemas.openxmlformats.org/officeDocument/2006/customXml" ds:itemID="{0E733FE4-411A-429D-A7CE-0F565DFCE6E6}"/>
</file>

<file path=customXml/itemProps3.xml><?xml version="1.0" encoding="utf-8"?>
<ds:datastoreItem xmlns:ds="http://schemas.openxmlformats.org/officeDocument/2006/customXml" ds:itemID="{BCCEEF3F-8FCF-49B8-8EDA-960C65DF1449}"/>
</file>

<file path=customXml/itemProps4.xml><?xml version="1.0" encoding="utf-8"?>
<ds:datastoreItem xmlns:ds="http://schemas.openxmlformats.org/officeDocument/2006/customXml" ds:itemID="{C4FF0A84-8EF8-4821-AFD3-DC60166B5938}"/>
</file>

<file path=customXml/itemProps5.xml><?xml version="1.0" encoding="utf-8"?>
<ds:datastoreItem xmlns:ds="http://schemas.openxmlformats.org/officeDocument/2006/customXml" ds:itemID="{0E733FE4-411A-429D-A7CE-0F565DFCE6E6}"/>
</file>

<file path=customXml/itemProps6.xml><?xml version="1.0" encoding="utf-8"?>
<ds:datastoreItem xmlns:ds="http://schemas.openxmlformats.org/officeDocument/2006/customXml" ds:itemID="{3F5C7785-053D-4353-B115-CFC727A5EAC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2035</Characters>
  <Application>Microsoft Office Word</Application>
  <DocSecurity>4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Walo von Greyerz</dc:creator>
  <cp:lastModifiedBy>Gunilla Hansson-Böe</cp:lastModifiedBy>
  <cp:revision>2</cp:revision>
  <cp:lastPrinted>2014-08-21T11:32:00Z</cp:lastPrinted>
  <dcterms:created xsi:type="dcterms:W3CDTF">2014-08-21T11:33:00Z</dcterms:created>
  <dcterms:modified xsi:type="dcterms:W3CDTF">2014-08-21T11:33:00Z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2;0;0;212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6256dfc5-4f12-4204-a197-6482bbc179d8</vt:lpwstr>
  </property>
</Properties>
</file>