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C00EB" w14:textId="77777777" w:rsidR="00FB32B9" w:rsidRDefault="000B0DD8" w:rsidP="00FB32B9">
      <w:pPr>
        <w:pStyle w:val="UDrubrik"/>
        <w:tabs>
          <w:tab w:val="left" w:pos="1701"/>
          <w:tab w:val="left" w:pos="1985"/>
        </w:tabs>
        <w:rPr>
          <w:rFonts w:cs="Arial"/>
          <w:sz w:val="28"/>
        </w:rPr>
      </w:pPr>
    </w:p>
    <w:p w14:paraId="319C00EC" w14:textId="77777777" w:rsidR="00FB32B9" w:rsidRDefault="000B0DD8" w:rsidP="00FB32B9">
      <w:pPr>
        <w:pStyle w:val="UDrubrik"/>
        <w:tabs>
          <w:tab w:val="left" w:pos="1701"/>
          <w:tab w:val="left" w:pos="1985"/>
        </w:tabs>
        <w:rPr>
          <w:rFonts w:cs="Arial"/>
          <w:sz w:val="28"/>
        </w:rPr>
      </w:pPr>
    </w:p>
    <w:p w14:paraId="319C00ED" w14:textId="77777777" w:rsidR="00FB32B9" w:rsidRDefault="000B0DD8" w:rsidP="00FB32B9">
      <w:pPr>
        <w:pStyle w:val="UDrubrik"/>
        <w:tabs>
          <w:tab w:val="left" w:pos="1701"/>
          <w:tab w:val="left" w:pos="1985"/>
        </w:tabs>
        <w:rPr>
          <w:rFonts w:cs="Arial"/>
          <w:sz w:val="28"/>
        </w:rPr>
      </w:pPr>
    </w:p>
    <w:p w14:paraId="319C00EE" w14:textId="77777777" w:rsidR="00FB32B9" w:rsidRDefault="000B0DD8" w:rsidP="00FB32B9">
      <w:pPr>
        <w:pStyle w:val="UDrubrik"/>
        <w:tabs>
          <w:tab w:val="left" w:pos="1701"/>
          <w:tab w:val="left" w:pos="1985"/>
        </w:tabs>
        <w:rPr>
          <w:rFonts w:cs="Arial"/>
          <w:sz w:val="28"/>
        </w:rPr>
      </w:pPr>
    </w:p>
    <w:p w14:paraId="319C00EF" w14:textId="00F44407" w:rsidR="00FB32B9" w:rsidRDefault="00C513A0" w:rsidP="00FB32B9">
      <w:pPr>
        <w:pStyle w:val="UDrubrik"/>
        <w:tabs>
          <w:tab w:val="left" w:pos="1701"/>
          <w:tab w:val="left" w:pos="1985"/>
        </w:tabs>
        <w:rPr>
          <w:rFonts w:cs="Arial"/>
          <w:sz w:val="28"/>
        </w:rPr>
      </w:pPr>
      <w:r>
        <w:rPr>
          <w:rFonts w:cs="Arial"/>
          <w:sz w:val="28"/>
        </w:rPr>
        <w:t>Troliga A-punkter inför kommande rådsmöten som förväntas godkännas vid Coreper I</w:t>
      </w:r>
      <w:r w:rsidR="00432C9E">
        <w:rPr>
          <w:rFonts w:cs="Arial"/>
          <w:sz w:val="28"/>
        </w:rPr>
        <w:t>I den 19 december 2014, vecka 51.</w:t>
      </w:r>
    </w:p>
    <w:p w14:paraId="319C00F0" w14:textId="77777777" w:rsidR="00FB32B9" w:rsidRDefault="000B0DD8" w:rsidP="00FB32B9">
      <w:pPr>
        <w:pStyle w:val="Brdtext"/>
      </w:pPr>
    </w:p>
    <w:p w14:paraId="319C00F1" w14:textId="25386E82" w:rsidR="00FB32B9" w:rsidRDefault="00C513A0" w:rsidP="00FB32B9">
      <w:pPr>
        <w:pStyle w:val="Brdtext"/>
      </w:pPr>
      <w:r>
        <w:t xml:space="preserve">Överlämnas för skriftligt samråd till </w:t>
      </w:r>
      <w:r w:rsidR="00432C9E">
        <w:t>fredagen den 19 december 2014</w:t>
      </w:r>
      <w:r>
        <w:t xml:space="preserve">, kl </w:t>
      </w:r>
      <w:r w:rsidR="00432C9E">
        <w:t>14.</w:t>
      </w:r>
    </w:p>
    <w:p w14:paraId="319C00F2" w14:textId="77777777" w:rsidR="00FB32B9" w:rsidRDefault="00C513A0">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19C00F3" w14:textId="77777777" w:rsidR="00D957FB" w:rsidRPr="00FB32B9" w:rsidRDefault="00C513A0">
          <w:pPr>
            <w:pStyle w:val="Innehllsfrteckningsrubrik"/>
            <w:rPr>
              <w:color w:val="auto"/>
            </w:rPr>
          </w:pPr>
          <w:r w:rsidRPr="00FB32B9">
            <w:rPr>
              <w:color w:val="auto"/>
            </w:rPr>
            <w:t>Innehållsförteckning</w:t>
          </w:r>
        </w:p>
        <w:p w14:paraId="319C00F4" w14:textId="77777777" w:rsidR="00DA7250" w:rsidRPr="00DA7250" w:rsidRDefault="000B0DD8" w:rsidP="00DA7250">
          <w:pPr>
            <w:rPr>
              <w:lang w:val="en-US" w:eastAsia="ja-JP"/>
            </w:rPr>
          </w:pPr>
        </w:p>
        <w:p w14:paraId="04B685E1" w14:textId="77777777" w:rsidR="00432C9E" w:rsidRDefault="00C513A0">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6675971" w:history="1">
            <w:r w:rsidR="00432C9E" w:rsidRPr="00C7042A">
              <w:rPr>
                <w:rStyle w:val="Hyperlnk"/>
                <w:noProof/>
              </w:rPr>
              <w:t>1.</w:t>
            </w:r>
            <w:r w:rsidR="00432C9E">
              <w:rPr>
                <w:rFonts w:asciiTheme="minorHAnsi" w:eastAsiaTheme="minorEastAsia" w:hAnsiTheme="minorHAnsi" w:cstheme="minorBidi"/>
                <w:noProof/>
                <w:lang w:eastAsia="sv-SE"/>
              </w:rPr>
              <w:tab/>
            </w:r>
            <w:r w:rsidR="00432C9E" w:rsidRPr="00C7042A">
              <w:rPr>
                <w:rStyle w:val="Hyperlnk"/>
                <w:noProof/>
              </w:rPr>
              <w:t>Case before the General Court of the European Union =Case T-765/14 (G. Legakis and Others v. Council of the European Union)</w:t>
            </w:r>
            <w:r w:rsidR="00432C9E">
              <w:rPr>
                <w:noProof/>
                <w:webHidden/>
              </w:rPr>
              <w:tab/>
            </w:r>
            <w:r w:rsidR="00432C9E">
              <w:rPr>
                <w:noProof/>
                <w:webHidden/>
              </w:rPr>
              <w:fldChar w:fldCharType="begin"/>
            </w:r>
            <w:r w:rsidR="00432C9E">
              <w:rPr>
                <w:noProof/>
                <w:webHidden/>
              </w:rPr>
              <w:instrText xml:space="preserve"> PAGEREF _Toc406675971 \h </w:instrText>
            </w:r>
            <w:r w:rsidR="00432C9E">
              <w:rPr>
                <w:noProof/>
                <w:webHidden/>
              </w:rPr>
            </w:r>
            <w:r w:rsidR="00432C9E">
              <w:rPr>
                <w:noProof/>
                <w:webHidden/>
              </w:rPr>
              <w:fldChar w:fldCharType="separate"/>
            </w:r>
            <w:r w:rsidR="00432C9E">
              <w:rPr>
                <w:noProof/>
                <w:webHidden/>
              </w:rPr>
              <w:t>3</w:t>
            </w:r>
            <w:r w:rsidR="00432C9E">
              <w:rPr>
                <w:noProof/>
                <w:webHidden/>
              </w:rPr>
              <w:fldChar w:fldCharType="end"/>
            </w:r>
          </w:hyperlink>
        </w:p>
        <w:p w14:paraId="693AB95D" w14:textId="77777777" w:rsidR="00432C9E" w:rsidRDefault="000B0DD8">
          <w:pPr>
            <w:pStyle w:val="Innehll1"/>
            <w:tabs>
              <w:tab w:val="left" w:pos="440"/>
              <w:tab w:val="right" w:leader="dot" w:pos="9062"/>
            </w:tabs>
            <w:rPr>
              <w:rFonts w:asciiTheme="minorHAnsi" w:eastAsiaTheme="minorEastAsia" w:hAnsiTheme="minorHAnsi" w:cstheme="minorBidi"/>
              <w:noProof/>
              <w:lang w:eastAsia="sv-SE"/>
            </w:rPr>
          </w:pPr>
          <w:hyperlink w:anchor="_Toc406675972" w:history="1">
            <w:r w:rsidR="00432C9E" w:rsidRPr="00C7042A">
              <w:rPr>
                <w:rStyle w:val="Hyperlnk"/>
                <w:noProof/>
              </w:rPr>
              <w:t>2.</w:t>
            </w:r>
            <w:r w:rsidR="00432C9E">
              <w:rPr>
                <w:rFonts w:asciiTheme="minorHAnsi" w:eastAsiaTheme="minorEastAsia" w:hAnsiTheme="minorHAnsi" w:cstheme="minorBidi"/>
                <w:noProof/>
                <w:lang w:eastAsia="sv-SE"/>
              </w:rPr>
              <w:tab/>
            </w:r>
            <w:r w:rsidR="00432C9E" w:rsidRPr="00C7042A">
              <w:rPr>
                <w:rStyle w:val="Hyperlnk"/>
                <w:noProof/>
              </w:rPr>
              <w:t>Council Directive amending Directive 2011/96/EU on the common system of taxation applicable in the case of parent companies and subsidiaries of different Member States</w:t>
            </w:r>
            <w:r w:rsidR="00432C9E">
              <w:rPr>
                <w:noProof/>
                <w:webHidden/>
              </w:rPr>
              <w:tab/>
            </w:r>
            <w:r w:rsidR="00432C9E">
              <w:rPr>
                <w:noProof/>
                <w:webHidden/>
              </w:rPr>
              <w:fldChar w:fldCharType="begin"/>
            </w:r>
            <w:r w:rsidR="00432C9E">
              <w:rPr>
                <w:noProof/>
                <w:webHidden/>
              </w:rPr>
              <w:instrText xml:space="preserve"> PAGEREF _Toc406675972 \h </w:instrText>
            </w:r>
            <w:r w:rsidR="00432C9E">
              <w:rPr>
                <w:noProof/>
                <w:webHidden/>
              </w:rPr>
            </w:r>
            <w:r w:rsidR="00432C9E">
              <w:rPr>
                <w:noProof/>
                <w:webHidden/>
              </w:rPr>
              <w:fldChar w:fldCharType="separate"/>
            </w:r>
            <w:r w:rsidR="00432C9E">
              <w:rPr>
                <w:noProof/>
                <w:webHidden/>
              </w:rPr>
              <w:t>3</w:t>
            </w:r>
            <w:r w:rsidR="00432C9E">
              <w:rPr>
                <w:noProof/>
                <w:webHidden/>
              </w:rPr>
              <w:fldChar w:fldCharType="end"/>
            </w:r>
          </w:hyperlink>
        </w:p>
        <w:p w14:paraId="0CE62092" w14:textId="77777777" w:rsidR="00432C9E" w:rsidRDefault="000B0DD8">
          <w:pPr>
            <w:pStyle w:val="Innehll1"/>
            <w:tabs>
              <w:tab w:val="left" w:pos="440"/>
              <w:tab w:val="right" w:leader="dot" w:pos="9062"/>
            </w:tabs>
            <w:rPr>
              <w:rFonts w:asciiTheme="minorHAnsi" w:eastAsiaTheme="minorEastAsia" w:hAnsiTheme="minorHAnsi" w:cstheme="minorBidi"/>
              <w:noProof/>
              <w:lang w:eastAsia="sv-SE"/>
            </w:rPr>
          </w:pPr>
          <w:hyperlink w:anchor="_Toc406675973" w:history="1">
            <w:r w:rsidR="00432C9E" w:rsidRPr="00C7042A">
              <w:rPr>
                <w:rStyle w:val="Hyperlnk"/>
                <w:noProof/>
              </w:rPr>
              <w:t>3.</w:t>
            </w:r>
            <w:r w:rsidR="00432C9E">
              <w:rPr>
                <w:rFonts w:asciiTheme="minorHAnsi" w:eastAsiaTheme="minorEastAsia" w:hAnsiTheme="minorHAnsi" w:cstheme="minorBidi"/>
                <w:noProof/>
                <w:lang w:eastAsia="sv-SE"/>
              </w:rPr>
              <w:tab/>
            </w:r>
            <w:r w:rsidR="00432C9E" w:rsidRPr="00C7042A">
              <w:rPr>
                <w:rStyle w:val="Hyperlnk"/>
                <w:noProof/>
              </w:rPr>
              <w:t>Council Decision launching the European Union CSDP mission in Mali (EUCAP Sahel Mali) and amending Decision 2014/219/CFSP</w:t>
            </w:r>
            <w:r w:rsidR="00432C9E">
              <w:rPr>
                <w:noProof/>
                <w:webHidden/>
              </w:rPr>
              <w:tab/>
            </w:r>
            <w:r w:rsidR="00432C9E">
              <w:rPr>
                <w:noProof/>
                <w:webHidden/>
              </w:rPr>
              <w:fldChar w:fldCharType="begin"/>
            </w:r>
            <w:r w:rsidR="00432C9E">
              <w:rPr>
                <w:noProof/>
                <w:webHidden/>
              </w:rPr>
              <w:instrText xml:space="preserve"> PAGEREF _Toc406675973 \h </w:instrText>
            </w:r>
            <w:r w:rsidR="00432C9E">
              <w:rPr>
                <w:noProof/>
                <w:webHidden/>
              </w:rPr>
            </w:r>
            <w:r w:rsidR="00432C9E">
              <w:rPr>
                <w:noProof/>
                <w:webHidden/>
              </w:rPr>
              <w:fldChar w:fldCharType="separate"/>
            </w:r>
            <w:r w:rsidR="00432C9E">
              <w:rPr>
                <w:noProof/>
                <w:webHidden/>
              </w:rPr>
              <w:t>4</w:t>
            </w:r>
            <w:r w:rsidR="00432C9E">
              <w:rPr>
                <w:noProof/>
                <w:webHidden/>
              </w:rPr>
              <w:fldChar w:fldCharType="end"/>
            </w:r>
          </w:hyperlink>
        </w:p>
        <w:p w14:paraId="737C3736" w14:textId="77777777" w:rsidR="00432C9E" w:rsidRDefault="000B0DD8">
          <w:pPr>
            <w:pStyle w:val="Innehll1"/>
            <w:tabs>
              <w:tab w:val="left" w:pos="440"/>
              <w:tab w:val="right" w:leader="dot" w:pos="9062"/>
            </w:tabs>
            <w:rPr>
              <w:rFonts w:asciiTheme="minorHAnsi" w:eastAsiaTheme="minorEastAsia" w:hAnsiTheme="minorHAnsi" w:cstheme="minorBidi"/>
              <w:noProof/>
              <w:lang w:eastAsia="sv-SE"/>
            </w:rPr>
          </w:pPr>
          <w:hyperlink w:anchor="_Toc406675974" w:history="1">
            <w:r w:rsidR="00432C9E" w:rsidRPr="00C7042A">
              <w:rPr>
                <w:rStyle w:val="Hyperlnk"/>
                <w:noProof/>
              </w:rPr>
              <w:t>4.</w:t>
            </w:r>
            <w:r w:rsidR="00432C9E">
              <w:rPr>
                <w:rFonts w:asciiTheme="minorHAnsi" w:eastAsiaTheme="minorEastAsia" w:hAnsiTheme="minorHAnsi" w:cstheme="minorBidi"/>
                <w:noProof/>
                <w:lang w:eastAsia="sv-SE"/>
              </w:rPr>
              <w:tab/>
            </w:r>
            <w:r w:rsidR="00432C9E" w:rsidRPr="00C7042A">
              <w:rPr>
                <w:rStyle w:val="Hyperlnk"/>
                <w:noProof/>
              </w:rPr>
              <w:t>Political and Security Committee Decision EUFOR RCA/6/2014 on the appointment of the EU Force Commander for the European Union military operation in the Central African Republic (EUFOR RCA) and repealing Decision EUFOR RCA/1/2014</w:t>
            </w:r>
            <w:r w:rsidR="00432C9E">
              <w:rPr>
                <w:noProof/>
                <w:webHidden/>
              </w:rPr>
              <w:tab/>
            </w:r>
            <w:r w:rsidR="00432C9E">
              <w:rPr>
                <w:noProof/>
                <w:webHidden/>
              </w:rPr>
              <w:fldChar w:fldCharType="begin"/>
            </w:r>
            <w:r w:rsidR="00432C9E">
              <w:rPr>
                <w:noProof/>
                <w:webHidden/>
              </w:rPr>
              <w:instrText xml:space="preserve"> PAGEREF _Toc406675974 \h </w:instrText>
            </w:r>
            <w:r w:rsidR="00432C9E">
              <w:rPr>
                <w:noProof/>
                <w:webHidden/>
              </w:rPr>
            </w:r>
            <w:r w:rsidR="00432C9E">
              <w:rPr>
                <w:noProof/>
                <w:webHidden/>
              </w:rPr>
              <w:fldChar w:fldCharType="separate"/>
            </w:r>
            <w:r w:rsidR="00432C9E">
              <w:rPr>
                <w:noProof/>
                <w:webHidden/>
              </w:rPr>
              <w:t>4</w:t>
            </w:r>
            <w:r w:rsidR="00432C9E">
              <w:rPr>
                <w:noProof/>
                <w:webHidden/>
              </w:rPr>
              <w:fldChar w:fldCharType="end"/>
            </w:r>
          </w:hyperlink>
        </w:p>
        <w:p w14:paraId="7F5EF8F7" w14:textId="77777777" w:rsidR="00432C9E" w:rsidRDefault="000B0DD8">
          <w:pPr>
            <w:pStyle w:val="Innehll1"/>
            <w:tabs>
              <w:tab w:val="left" w:pos="440"/>
              <w:tab w:val="right" w:leader="dot" w:pos="9062"/>
            </w:tabs>
            <w:rPr>
              <w:rFonts w:asciiTheme="minorHAnsi" w:eastAsiaTheme="minorEastAsia" w:hAnsiTheme="minorHAnsi" w:cstheme="minorBidi"/>
              <w:noProof/>
              <w:lang w:eastAsia="sv-SE"/>
            </w:rPr>
          </w:pPr>
          <w:hyperlink w:anchor="_Toc406675975" w:history="1">
            <w:r w:rsidR="00432C9E" w:rsidRPr="00C7042A">
              <w:rPr>
                <w:rStyle w:val="Hyperlnk"/>
                <w:noProof/>
              </w:rPr>
              <w:t>5.</w:t>
            </w:r>
            <w:r w:rsidR="00432C9E">
              <w:rPr>
                <w:rFonts w:asciiTheme="minorHAnsi" w:eastAsiaTheme="minorEastAsia" w:hAnsiTheme="minorHAnsi" w:cstheme="minorBidi"/>
                <w:noProof/>
                <w:lang w:eastAsia="sv-SE"/>
              </w:rPr>
              <w:tab/>
            </w:r>
            <w:r w:rsidR="00432C9E" w:rsidRPr="00C7042A">
              <w:rPr>
                <w:rStyle w:val="Hyperlnk"/>
                <w:noProof/>
              </w:rPr>
              <w:t>Partnership and Cooperation Agreement establishing a partnership between the European Communities and their Member States, of the one part, and Turkmenistan, of the other part</w:t>
            </w:r>
            <w:r w:rsidR="00432C9E">
              <w:rPr>
                <w:noProof/>
                <w:webHidden/>
              </w:rPr>
              <w:tab/>
            </w:r>
            <w:r w:rsidR="00432C9E">
              <w:rPr>
                <w:noProof/>
                <w:webHidden/>
              </w:rPr>
              <w:fldChar w:fldCharType="begin"/>
            </w:r>
            <w:r w:rsidR="00432C9E">
              <w:rPr>
                <w:noProof/>
                <w:webHidden/>
              </w:rPr>
              <w:instrText xml:space="preserve"> PAGEREF _Toc406675975 \h </w:instrText>
            </w:r>
            <w:r w:rsidR="00432C9E">
              <w:rPr>
                <w:noProof/>
                <w:webHidden/>
              </w:rPr>
            </w:r>
            <w:r w:rsidR="00432C9E">
              <w:rPr>
                <w:noProof/>
                <w:webHidden/>
              </w:rPr>
              <w:fldChar w:fldCharType="separate"/>
            </w:r>
            <w:r w:rsidR="00432C9E">
              <w:rPr>
                <w:noProof/>
                <w:webHidden/>
              </w:rPr>
              <w:t>5</w:t>
            </w:r>
            <w:r w:rsidR="00432C9E">
              <w:rPr>
                <w:noProof/>
                <w:webHidden/>
              </w:rPr>
              <w:fldChar w:fldCharType="end"/>
            </w:r>
          </w:hyperlink>
        </w:p>
        <w:p w14:paraId="79822093" w14:textId="77777777" w:rsidR="00432C9E" w:rsidRDefault="000B0DD8">
          <w:pPr>
            <w:pStyle w:val="Innehll1"/>
            <w:tabs>
              <w:tab w:val="left" w:pos="440"/>
              <w:tab w:val="right" w:leader="dot" w:pos="9062"/>
            </w:tabs>
            <w:rPr>
              <w:rFonts w:asciiTheme="minorHAnsi" w:eastAsiaTheme="minorEastAsia" w:hAnsiTheme="minorHAnsi" w:cstheme="minorBidi"/>
              <w:noProof/>
              <w:lang w:eastAsia="sv-SE"/>
            </w:rPr>
          </w:pPr>
          <w:hyperlink w:anchor="_Toc406675976" w:history="1">
            <w:r w:rsidR="00432C9E" w:rsidRPr="00C7042A">
              <w:rPr>
                <w:rStyle w:val="Hyperlnk"/>
                <w:noProof/>
              </w:rPr>
              <w:t>6.</w:t>
            </w:r>
            <w:r w:rsidR="00432C9E">
              <w:rPr>
                <w:rFonts w:asciiTheme="minorHAnsi" w:eastAsiaTheme="minorEastAsia" w:hAnsiTheme="minorHAnsi" w:cstheme="minorBidi"/>
                <w:noProof/>
                <w:lang w:eastAsia="sv-SE"/>
              </w:rPr>
              <w:tab/>
            </w:r>
            <w:r w:rsidR="00432C9E" w:rsidRPr="00C7042A">
              <w:rPr>
                <w:rStyle w:val="Hyperlnk"/>
                <w:noProof/>
              </w:rPr>
              <w:t>Guidelines on methodological steps to be taken to check fundamental rights compatibility at the Council's preparatory bodies</w:t>
            </w:r>
            <w:r w:rsidR="00432C9E">
              <w:rPr>
                <w:noProof/>
                <w:webHidden/>
              </w:rPr>
              <w:tab/>
            </w:r>
            <w:r w:rsidR="00432C9E">
              <w:rPr>
                <w:noProof/>
                <w:webHidden/>
              </w:rPr>
              <w:fldChar w:fldCharType="begin"/>
            </w:r>
            <w:r w:rsidR="00432C9E">
              <w:rPr>
                <w:noProof/>
                <w:webHidden/>
              </w:rPr>
              <w:instrText xml:space="preserve"> PAGEREF _Toc406675976 \h </w:instrText>
            </w:r>
            <w:r w:rsidR="00432C9E">
              <w:rPr>
                <w:noProof/>
                <w:webHidden/>
              </w:rPr>
            </w:r>
            <w:r w:rsidR="00432C9E">
              <w:rPr>
                <w:noProof/>
                <w:webHidden/>
              </w:rPr>
              <w:fldChar w:fldCharType="separate"/>
            </w:r>
            <w:r w:rsidR="00432C9E">
              <w:rPr>
                <w:noProof/>
                <w:webHidden/>
              </w:rPr>
              <w:t>6</w:t>
            </w:r>
            <w:r w:rsidR="00432C9E">
              <w:rPr>
                <w:noProof/>
                <w:webHidden/>
              </w:rPr>
              <w:fldChar w:fldCharType="end"/>
            </w:r>
          </w:hyperlink>
        </w:p>
        <w:p w14:paraId="319C00FB" w14:textId="77777777" w:rsidR="00D957FB" w:rsidRDefault="00C513A0">
          <w:r>
            <w:rPr>
              <w:b/>
              <w:bCs/>
              <w:noProof/>
            </w:rPr>
            <w:fldChar w:fldCharType="end"/>
          </w:r>
        </w:p>
      </w:sdtContent>
    </w:sdt>
    <w:p w14:paraId="319C00FC" w14:textId="77777777" w:rsidR="00D957FB" w:rsidRDefault="00C513A0">
      <w:pPr>
        <w:ind w:left="0"/>
      </w:pPr>
      <w:r>
        <w:br w:type="page"/>
      </w:r>
    </w:p>
    <w:p w14:paraId="319C00FE" w14:textId="77777777" w:rsidR="00643D86" w:rsidRDefault="00C513A0" w:rsidP="00643D86">
      <w:pPr>
        <w:pStyle w:val="Rubrik1"/>
      </w:pPr>
      <w:bookmarkStart w:id="0" w:name="_Toc406675971"/>
      <w:bookmarkStart w:id="1" w:name="_Toc364854645"/>
      <w:r>
        <w:rPr>
          <w:noProof/>
        </w:rPr>
        <w:lastRenderedPageBreak/>
        <w:t>Case before the General Court of the European Union</w:t>
      </w:r>
      <w:r>
        <w:rPr>
          <w:noProof/>
        </w:rPr>
        <w:br/>
        <w:t>=Case T-765/14 (G. Legakis and Others v. Council of the European Union)</w:t>
      </w:r>
      <w:bookmarkEnd w:id="0"/>
    </w:p>
    <w:p w14:paraId="319C00FF" w14:textId="77777777" w:rsidR="00643D86" w:rsidRDefault="00C513A0" w:rsidP="00643D86">
      <w:pPr>
        <w:rPr>
          <w:lang w:val="en-US"/>
        </w:rPr>
      </w:pPr>
      <w:r>
        <w:rPr>
          <w:noProof/>
          <w:lang w:val="en-US"/>
        </w:rPr>
        <w:t>-Information</w:t>
      </w:r>
      <w:r>
        <w:rPr>
          <w:lang w:val="en-US"/>
        </w:rPr>
        <w:t xml:space="preserve"> note for the Permanent Representatives (Part 2)16873/14 JUR 953 ECOFIN 1197 UEM 404</w:t>
      </w:r>
      <w:r>
        <w:rPr>
          <w:lang w:val="en-US"/>
        </w:rPr>
        <w:br/>
      </w:r>
      <w:r>
        <w:rPr>
          <w:noProof/>
          <w:lang w:val="en-US"/>
        </w:rPr>
        <w:t>16873</w:t>
      </w:r>
      <w:r>
        <w:rPr>
          <w:lang w:val="en-US"/>
        </w:rPr>
        <w:t>/14 JUR 953 ECOFIN 1197 UEM 404</w:t>
      </w:r>
    </w:p>
    <w:p w14:paraId="319C0100" w14:textId="77777777" w:rsidR="00643D86" w:rsidRDefault="00C513A0" w:rsidP="00643D86">
      <w:r>
        <w:rPr>
          <w:b/>
        </w:rPr>
        <w:t>Ansvarigt statsråd</w:t>
      </w:r>
      <w:r>
        <w:rPr>
          <w:b/>
        </w:rPr>
        <w:br/>
      </w:r>
      <w:r>
        <w:rPr>
          <w:noProof/>
        </w:rPr>
        <w:t>Margot Wallström</w:t>
      </w:r>
    </w:p>
    <w:p w14:paraId="319C0103" w14:textId="4C361D07" w:rsidR="00643D86" w:rsidRDefault="00C513A0" w:rsidP="00643D86">
      <w:r w:rsidRPr="00B44CE2">
        <w:rPr>
          <w:b/>
        </w:rPr>
        <w:t>Annotering</w:t>
      </w:r>
      <w:r>
        <w:rPr>
          <w:b/>
        </w:rPr>
        <w:br/>
      </w:r>
      <w:r w:rsidR="00432C9E">
        <w:t xml:space="preserve">Föranleder ingen </w:t>
      </w:r>
      <w:r>
        <w:t>annotering.</w:t>
      </w:r>
    </w:p>
    <w:p w14:paraId="319C0104" w14:textId="77777777" w:rsidR="00643D86" w:rsidRDefault="00C513A0" w:rsidP="00643D86">
      <w:pPr>
        <w:pStyle w:val="Rubrik1"/>
      </w:pPr>
      <w:bookmarkStart w:id="2" w:name="_Toc406675972"/>
      <w:r>
        <w:rPr>
          <w:noProof/>
        </w:rPr>
        <w:t>Council Directive amending Directive 2011/96/EU on the common system of taxation applicable in the case of parent companies and subsidiaries of different Member States</w:t>
      </w:r>
      <w:bookmarkEnd w:id="2"/>
    </w:p>
    <w:p w14:paraId="319C0105" w14:textId="77777777" w:rsidR="00643D86" w:rsidRDefault="00C513A0" w:rsidP="00643D86">
      <w:pPr>
        <w:rPr>
          <w:lang w:val="en-US"/>
        </w:rPr>
      </w:pPr>
      <w:r>
        <w:rPr>
          <w:noProof/>
          <w:lang w:val="en-US"/>
        </w:rPr>
        <w:t>-Adoption</w:t>
      </w:r>
      <w:r>
        <w:rPr>
          <w:lang w:val="en-US"/>
        </w:rPr>
        <w:t xml:space="preserve"> of the legislative act (LA + S)16914/14 FISC 235 ECOFIN 1199 + ADD 116633/14 FISC 228 ECOFIN 1179</w:t>
      </w:r>
      <w:r>
        <w:rPr>
          <w:lang w:val="en-US"/>
        </w:rPr>
        <w:br/>
      </w:r>
      <w:r>
        <w:rPr>
          <w:noProof/>
          <w:lang w:val="en-US"/>
        </w:rPr>
        <w:t>16914</w:t>
      </w:r>
      <w:r>
        <w:rPr>
          <w:lang w:val="en-US"/>
        </w:rPr>
        <w:t>/14 FISC 235 ECOFIN 1199 + ADD 116633/14 FISC 228 ECOFIN 1179</w:t>
      </w:r>
    </w:p>
    <w:p w14:paraId="319C0106" w14:textId="77777777" w:rsidR="00643D86" w:rsidRDefault="00C513A0" w:rsidP="00643D86">
      <w:r>
        <w:rPr>
          <w:b/>
        </w:rPr>
        <w:t>Ansvarigt statsråd</w:t>
      </w:r>
      <w:r>
        <w:rPr>
          <w:b/>
        </w:rPr>
        <w:br/>
      </w:r>
      <w:r>
        <w:rPr>
          <w:noProof/>
        </w:rPr>
        <w:t>Magdalena Andersson</w:t>
      </w:r>
    </w:p>
    <w:p w14:paraId="319C0107" w14:textId="77777777" w:rsidR="00643D86" w:rsidRPr="00643D86" w:rsidRDefault="00C513A0" w:rsidP="00643D86">
      <w:r w:rsidRPr="00643D86">
        <w:rPr>
          <w:b/>
        </w:rPr>
        <w:t>Tidigare behandling i riksdagen</w:t>
      </w:r>
      <w:r>
        <w:rPr>
          <w:b/>
        </w:rPr>
        <w:br/>
      </w:r>
      <w:r>
        <w:rPr>
          <w:noProof/>
        </w:rPr>
        <w:t>2014-10-30</w:t>
      </w:r>
    </w:p>
    <w:p w14:paraId="319C0108" w14:textId="77777777" w:rsidR="00643D86" w:rsidRPr="00643D86" w:rsidRDefault="00C513A0" w:rsidP="00643D86">
      <w:r w:rsidRPr="00643D86">
        <w:rPr>
          <w:b/>
        </w:rPr>
        <w:t>Tidigare behandling vid rådsmöte</w:t>
      </w:r>
      <w:r>
        <w:rPr>
          <w:b/>
        </w:rPr>
        <w:br/>
      </w:r>
      <w:r>
        <w:rPr>
          <w:noProof/>
        </w:rPr>
        <w:t>2014-12-08</w:t>
      </w:r>
    </w:p>
    <w:p w14:paraId="319C010A" w14:textId="6FD84BA7" w:rsidR="00BA4713" w:rsidRDefault="00C513A0" w:rsidP="00432C9E">
      <w:r w:rsidRPr="00B44CE2">
        <w:rPr>
          <w:b/>
        </w:rPr>
        <w:t>Annotering</w:t>
      </w:r>
      <w:r>
        <w:rPr>
          <w:b/>
        </w:rPr>
        <w:br/>
      </w:r>
      <w:r>
        <w:rPr>
          <w:b/>
          <w:bCs/>
        </w:rPr>
        <w:t>Avsikt med behandlingen i rådet:</w:t>
      </w:r>
      <w:r>
        <w:t xml:space="preserve"> En politisk överenskommelse om ändringsdirektivet ingicks vid Ekofinrådsmötet den 9 december 2014. Avsikten är att ändringsdirektivet ska antas och att rådets och kommissionens uttalanden ska fogas till protokollet.</w:t>
      </w:r>
      <w:r>
        <w:br/>
      </w:r>
      <w:r>
        <w:br/>
      </w:r>
      <w:r>
        <w:rPr>
          <w:b/>
          <w:bCs/>
        </w:rPr>
        <w:t>Hur regeringen ställer sig till den blivande A-punkten:</w:t>
      </w:r>
      <w:r>
        <w:t xml:space="preserve"> Regeringen avser att rösta ja till att rådet antar rådets direktiv om ändring i moder- och dotterbolagsdirektivet och fogar rådets och kommissionens uttalanden till protokollet. </w:t>
      </w:r>
      <w:r>
        <w:br/>
      </w:r>
      <w:r>
        <w:br/>
      </w:r>
      <w:r>
        <w:rPr>
          <w:b/>
          <w:bCs/>
        </w:rPr>
        <w:t>Bakgrund:</w:t>
      </w:r>
      <w:r>
        <w:t xml:space="preserve"> Syftet med gällande moder- och dotterbolagsdirektiv är att undanta gränsöverskridande utdelningar från beskattning och därmed förhindra dubbelbeskattning. I slutet av förra året lämnade kommissionen förslag på ändringar i direktivet. </w:t>
      </w:r>
      <w:r>
        <w:br/>
      </w:r>
      <w:r>
        <w:br/>
        <w:t xml:space="preserve">Förslaget är uppdelat i två delar. Den ena delen syftar till att förhindra dubbel icke-beskattning vid s.k. hybridlånearrangemenag. Den andra delen syftar till att förhindra skatteundandragande och skattemissbruk genom artificiella arrangemang. En politisk överenskommelse träffades i den delen som avser dubbel icke-beskattning vid Ekofinrådsmötet i juni 2014. Nu aktuellt beslut gäller den andra delen. Ändringen innebär att medlemsstaterna ska vara skyldiga att ha en generell anti-missbruksbestämmelse som når upp till en viss miniminivå. Enligt denna bestämmelse ska medlemsstaterna inte bevilja förmånerna enligt direktivet om ett arrangemang har införts i huvudsakligt syfte att få en skattefördel som motverkar syftet med direktivet och arrangemanget inte har införts av giltiga kommersiella skäl som återspeglar den </w:t>
      </w:r>
      <w:r>
        <w:lastRenderedPageBreak/>
        <w:t xml:space="preserve">ekonomiska verkligheten. Två uttalanden från rådet kommer dessutom att fogas till protokollet. Enligt dessa uttalanden kommer medlemsstaterna för det första att beakta arbetet med anti-missbruksbestämmelsen i moder- och dotterbolagsdirektivet vid arbetet med en sådan bestämmelse i ränte- och royaltydirektivet och för det andra sträva efter att informera varandra vid tillämpningen av bestämmelsen. Härutöver kommer ett uttalande från kommissionen att fogas till protokollet enligt vilket ändringarna i direktivet inte syftar till att påverka tillämpningen av nationella regler om skattebefrielse för mottagna utdelningar inom företagssektorn. </w:t>
      </w:r>
    </w:p>
    <w:p w14:paraId="319C010C" w14:textId="77777777" w:rsidR="00643D86" w:rsidRDefault="00C513A0" w:rsidP="00643D86">
      <w:pPr>
        <w:pStyle w:val="Rubrik1"/>
      </w:pPr>
      <w:bookmarkStart w:id="3" w:name="_Toc406675973"/>
      <w:r>
        <w:rPr>
          <w:noProof/>
        </w:rPr>
        <w:t>Council Decision launching the European Union CSDP mission in Mali (EUCAP Sahel Mali) and amending Decision 2014/219/CFSP</w:t>
      </w:r>
      <w:bookmarkEnd w:id="3"/>
    </w:p>
    <w:p w14:paraId="319C010D" w14:textId="77777777" w:rsidR="00643D86" w:rsidRDefault="00C513A0" w:rsidP="00643D86">
      <w:pPr>
        <w:rPr>
          <w:lang w:val="en-US"/>
        </w:rPr>
      </w:pPr>
      <w:r>
        <w:rPr>
          <w:noProof/>
          <w:lang w:val="en-US"/>
        </w:rPr>
        <w:t>16610</w:t>
      </w:r>
      <w:r>
        <w:rPr>
          <w:lang w:val="en-US"/>
        </w:rPr>
        <w:t>/14 CSDP/PSDC 722 PESC 1297 COAFR 346 RELEX 1036 CONUN 202 CSC 263 EUCAP MALI 1416413/14 CSDP/PSDC 710 PESC 1275 COAFR 336 RELEX 1017 CONUN 198 CSC 260 EUCAP MALI 12</w:t>
      </w:r>
      <w:r>
        <w:rPr>
          <w:lang w:val="en-US"/>
        </w:rPr>
        <w:br/>
      </w:r>
      <w:r>
        <w:rPr>
          <w:noProof/>
          <w:lang w:val="en-US"/>
        </w:rPr>
        <w:t>16610</w:t>
      </w:r>
      <w:r>
        <w:rPr>
          <w:lang w:val="en-US"/>
        </w:rPr>
        <w:t>/14 CSDP/PSDC 722 PESC 1297 COAFR 346 RELEX 1036 CONUN 202 CSC 263 EUCAP MALI 1416413/14 CSDP/PSDC 710 PESC 1275 COAFR 336 RELEX 1017 CONUN 198 CSC 260 EUCAP MALI 12</w:t>
      </w:r>
    </w:p>
    <w:p w14:paraId="319C010E" w14:textId="77777777" w:rsidR="00643D86" w:rsidRDefault="00C513A0" w:rsidP="00643D86">
      <w:r>
        <w:rPr>
          <w:b/>
        </w:rPr>
        <w:t>Ansvarigt statsråd</w:t>
      </w:r>
      <w:r>
        <w:rPr>
          <w:b/>
        </w:rPr>
        <w:br/>
      </w:r>
      <w:r>
        <w:rPr>
          <w:noProof/>
        </w:rPr>
        <w:t>Margot Wallström</w:t>
      </w:r>
    </w:p>
    <w:p w14:paraId="319C0113" w14:textId="7BE49905" w:rsidR="00BA4713" w:rsidRDefault="00C513A0" w:rsidP="00432C9E">
      <w:r w:rsidRPr="00B44CE2">
        <w:rPr>
          <w:b/>
        </w:rPr>
        <w:t>Annotering</w:t>
      </w:r>
      <w:r>
        <w:rPr>
          <w:b/>
        </w:rPr>
        <w:br/>
      </w:r>
      <w:r w:rsidRPr="00432C9E">
        <w:rPr>
          <w:b/>
          <w:bCs/>
        </w:rPr>
        <w:t>Avsikt med behandlingen i rådet:</w:t>
      </w:r>
      <w:r w:rsidR="00432C9E">
        <w:rPr>
          <w:bCs/>
        </w:rPr>
        <w:t xml:space="preserve"> </w:t>
      </w:r>
      <w:r>
        <w:t>Rådet föreslås fatta beslut om inledande av Europeiska unionens GSFP-insats i Mali (EUCAP Sahel Mali). </w:t>
      </w:r>
    </w:p>
    <w:p w14:paraId="319C0115" w14:textId="1F5A7DC5" w:rsidR="00BA4713" w:rsidRDefault="00C513A0">
      <w:pPr>
        <w:spacing w:after="280" w:afterAutospacing="1"/>
      </w:pPr>
      <w:r w:rsidRPr="00432C9E">
        <w:rPr>
          <w:b/>
          <w:bCs/>
        </w:rPr>
        <w:t>Hur regeringen ställer sig till den blivande A-punkten:</w:t>
      </w:r>
      <w:r w:rsidRPr="00432C9E">
        <w:t xml:space="preserve"> </w:t>
      </w:r>
      <w:r>
        <w:t xml:space="preserve">Regeringen avser rösta </w:t>
      </w:r>
      <w:r w:rsidR="00432C9E">
        <w:t>ja</w:t>
      </w:r>
      <w:r>
        <w:t xml:space="preserve">. </w:t>
      </w:r>
    </w:p>
    <w:p w14:paraId="319C0117" w14:textId="0BCF53C0" w:rsidR="00BA4713" w:rsidRDefault="00C513A0">
      <w:pPr>
        <w:spacing w:after="280" w:afterAutospacing="1"/>
      </w:pPr>
      <w:r w:rsidRPr="00432C9E">
        <w:rPr>
          <w:b/>
          <w:bCs/>
        </w:rPr>
        <w:t>Bakgrund:</w:t>
      </w:r>
      <w:r w:rsidR="00432C9E">
        <w:rPr>
          <w:bCs/>
        </w:rPr>
        <w:t xml:space="preserve"> </w:t>
      </w:r>
      <w:r>
        <w:t xml:space="preserve">Som ett komplement till EU:s arbete för att bidra till ökad stabilitet i Sahelregionen etablerades insatsen EUCAP Sahel Mali via rådsbeslut 2014/219/CFSP den 15 april 2014. EUCAP SAHEL Mali har ett mandat vilket löper två år och ska bistå samt ge råd till de interna säkerhetsstyrkornas reformering. Missionen ska komplettera samt verka i nära samarbete med EU:s övriga insatser i regionen: EUCAP Sahel Niger, EUTM Mali samt EUBAM Libyen. </w:t>
      </w:r>
      <w:r>
        <w:br/>
        <w:t> </w:t>
      </w:r>
      <w:r>
        <w:br/>
        <w:t>Insatsen har sedan den etablerades varit under uppbyggnad och förväntas att i januari 2015 bli operativ. Rådet föreslås nu anta beslut om att lansera insatsen.</w:t>
      </w:r>
    </w:p>
    <w:p w14:paraId="319C0119" w14:textId="77777777" w:rsidR="00643D86" w:rsidRDefault="00C513A0" w:rsidP="00643D86">
      <w:pPr>
        <w:pStyle w:val="Rubrik1"/>
      </w:pPr>
      <w:bookmarkStart w:id="4" w:name="_Toc406675974"/>
      <w:r>
        <w:rPr>
          <w:noProof/>
        </w:rPr>
        <w:t>Political and Security Committee Decision EUFOR RCA/6/2014 on the appointment of the EU Force Commander for the European Union military operation in the Central African Republic (EUFOR RCA) and repealing Decision EUFOR RCA/1/2014</w:t>
      </w:r>
      <w:bookmarkEnd w:id="4"/>
    </w:p>
    <w:p w14:paraId="319C011A" w14:textId="77777777" w:rsidR="00643D86" w:rsidRDefault="00C513A0" w:rsidP="00643D86">
      <w:pPr>
        <w:rPr>
          <w:lang w:val="en-US"/>
        </w:rPr>
      </w:pPr>
      <w:r>
        <w:rPr>
          <w:noProof/>
          <w:lang w:val="en-US"/>
        </w:rPr>
        <w:t>-</w:t>
      </w:r>
      <w:r>
        <w:rPr>
          <w:lang w:val="en-US"/>
        </w:rPr>
        <w:t xml:space="preserve"> Authorisation for publication in the Official Journal (°)16634/14 CSDP/PSDC 727 PESC 1302 COAFR 348 RELEX 1041 CONUN 203 CSC 265 EUFOR RCA 50 PSC DEC 57 16588/14 CSDP/PSDC 721 PESC 1293 COAFR 343 RELEX 1030 CONUN 201 CSC 261 EUFOR RCA 49 PSC DEC 55 (PSC Dec.)</w:t>
      </w:r>
      <w:r>
        <w:rPr>
          <w:lang w:val="en-US"/>
        </w:rPr>
        <w:br/>
      </w:r>
      <w:r>
        <w:rPr>
          <w:noProof/>
          <w:lang w:val="en-US"/>
        </w:rPr>
        <w:t>16634</w:t>
      </w:r>
      <w:r>
        <w:rPr>
          <w:lang w:val="en-US"/>
        </w:rPr>
        <w:t>/14 CSDP/PSDC 727 PESC 1302 COAFR 348 RELEX 1041 CONUN 203 CSC 265 EUFOR RCA 50 PSC DEC 57 16588/14 CSDP/PSDC 721 PESC 1293 COAFR 343 RELEX 1030 CONUN 201 CSC 261 EUFOR RCA 49 PSC DEC 55 (PSC Dec.)</w:t>
      </w:r>
    </w:p>
    <w:p w14:paraId="319C011B" w14:textId="77777777" w:rsidR="00643D86" w:rsidRDefault="00C513A0" w:rsidP="00643D86">
      <w:r>
        <w:rPr>
          <w:b/>
        </w:rPr>
        <w:lastRenderedPageBreak/>
        <w:t>Ansvarigt statsråd</w:t>
      </w:r>
      <w:r>
        <w:rPr>
          <w:b/>
        </w:rPr>
        <w:br/>
      </w:r>
      <w:r>
        <w:rPr>
          <w:noProof/>
        </w:rPr>
        <w:t>Margot Wallström</w:t>
      </w:r>
    </w:p>
    <w:p w14:paraId="319C0120" w14:textId="5BD05C49" w:rsidR="00BA4713" w:rsidRDefault="00C513A0" w:rsidP="00432C9E">
      <w:r w:rsidRPr="00B44CE2">
        <w:rPr>
          <w:b/>
        </w:rPr>
        <w:t>Annotering</w:t>
      </w:r>
      <w:r>
        <w:rPr>
          <w:b/>
        </w:rPr>
        <w:br/>
      </w:r>
      <w:r>
        <w:rPr>
          <w:b/>
          <w:bCs/>
        </w:rPr>
        <w:t>Avsikt med behandlingen i rådet:</w:t>
      </w:r>
      <w:r w:rsidR="00432C9E">
        <w:rPr>
          <w:b/>
          <w:bCs/>
        </w:rPr>
        <w:t xml:space="preserve"> </w:t>
      </w:r>
      <w:r>
        <w:t>Rådet föreslås godkänna att KUSP:s beslut om utnämning av Jean-Marc Bacquet som ny befälhavare för Europeiska unionens militära insats i Centralafrikanska republiken (EUFOR RCA) publiceras i EU:s officiella tidning. </w:t>
      </w:r>
    </w:p>
    <w:p w14:paraId="319C0122" w14:textId="4800C045" w:rsidR="00BA4713" w:rsidRDefault="00C513A0">
      <w:pPr>
        <w:spacing w:after="280" w:afterAutospacing="1"/>
      </w:pPr>
      <w:r>
        <w:rPr>
          <w:b/>
          <w:bCs/>
        </w:rPr>
        <w:t>Hur regeringen ställer sig till den blivande A-punkten:</w:t>
      </w:r>
      <w:r>
        <w:t xml:space="preserve"> </w:t>
      </w:r>
      <w:r w:rsidR="00432C9E">
        <w:t xml:space="preserve">Regeringen avser rösta </w:t>
      </w:r>
      <w:r>
        <w:t xml:space="preserve">ja. </w:t>
      </w:r>
    </w:p>
    <w:p w14:paraId="319C0124" w14:textId="02FD73B2" w:rsidR="00BA4713" w:rsidRDefault="00C513A0">
      <w:pPr>
        <w:spacing w:after="280" w:afterAutospacing="1"/>
      </w:pPr>
      <w:r>
        <w:rPr>
          <w:b/>
          <w:bCs/>
        </w:rPr>
        <w:t>Bakgrund:</w:t>
      </w:r>
      <w:r w:rsidR="00432C9E">
        <w:rPr>
          <w:b/>
          <w:bCs/>
        </w:rPr>
        <w:t xml:space="preserve"> </w:t>
      </w:r>
      <w:r>
        <w:t xml:space="preserve">Den 10 februari 2014 antog Europeiska unionens råd ett beslut (2014/73/GUSP) om att inrätta en militär insats, EUFOR RCA, </w:t>
      </w:r>
      <w:r w:rsidR="00432C9E">
        <w:t>i Centralafrikanska</w:t>
      </w:r>
      <w:r>
        <w:t xml:space="preserve"> republiken (CAR) mot bakgrund av krisen i landet. EUFOR RCA utgör en del av det stärkta internationella engagemang som FN:s säkerhetsråd, genom resolutionerna 2127 (2013) och 2134 (2014), har efterlyst för att skydda civilbefolkningen och upprätta en trygg och säker miljö i landet, samt förhindra att krisen sprids och fördjupas.</w:t>
      </w:r>
    </w:p>
    <w:p w14:paraId="319C0125" w14:textId="77777777" w:rsidR="00BA4713" w:rsidRDefault="00C513A0">
      <w:pPr>
        <w:spacing w:after="280" w:afterAutospacing="1"/>
      </w:pPr>
      <w:r>
        <w:t>FN:s säkerhetsråd antog den 21 oktober resolution 2181(2014), i vilken mandatet för de FN-stödda EU-insatserna i Centralafrikanska republiken förlängdes med tre månader till och med den 15 mars 2015. I enlighet med säkerhetsrådsresolutionen förlängde rådet den 7 november 2014 EUFOR RCA:s mandat till och med den 15 mars 2015. Den 25 november 2014 rekommenderade EU:s militära kommitté KUSP att utnämna brigadgeneral Jean-Marc Bacquet till  ny befälhavare för EU-styrkan. Rådet föreslås godkänna att KUSP:s beslut publiceras i EU:s officiella tidning.</w:t>
      </w:r>
    </w:p>
    <w:p w14:paraId="319C0127" w14:textId="77777777" w:rsidR="00643D86" w:rsidRDefault="00C513A0" w:rsidP="00643D86">
      <w:pPr>
        <w:pStyle w:val="Rubrik1"/>
      </w:pPr>
      <w:bookmarkStart w:id="5" w:name="_Toc406675975"/>
      <w:r>
        <w:rPr>
          <w:noProof/>
        </w:rPr>
        <w:t>Partnership and Cooperation Agreement establishing a partnership between the European Communities and their Member States, of the one part, and Turkmenistan, of the other part</w:t>
      </w:r>
      <w:bookmarkEnd w:id="5"/>
    </w:p>
    <w:p w14:paraId="319C0128" w14:textId="77777777" w:rsidR="00643D86" w:rsidRDefault="00C513A0" w:rsidP="00643D86">
      <w:pPr>
        <w:rPr>
          <w:lang w:val="en-US"/>
        </w:rPr>
      </w:pPr>
      <w:r>
        <w:rPr>
          <w:noProof/>
          <w:lang w:val="en-US"/>
        </w:rPr>
        <w:t>=</w:t>
      </w:r>
      <w:r>
        <w:rPr>
          <w:lang w:val="en-US"/>
        </w:rPr>
        <w:t>Updated draft Council and Commission Decision on the conclusion by the European Union and the European Atomic Energy Community as the basis for the request for the consent of the European Parliament16686/14 COEST 457 NIS 55 WTO 32112183/1/11 REV 1 NIS 90 COEST 237 WTO 248</w:t>
      </w:r>
      <w:r>
        <w:rPr>
          <w:lang w:val="en-US"/>
        </w:rPr>
        <w:br/>
      </w:r>
      <w:r>
        <w:rPr>
          <w:noProof/>
          <w:lang w:val="en-US"/>
        </w:rPr>
        <w:t>16686</w:t>
      </w:r>
      <w:r>
        <w:rPr>
          <w:lang w:val="en-US"/>
        </w:rPr>
        <w:t>/14 COEST 457 NIS 55 WTO 32112183/1/11 REV 1 NIS 90 COEST 237 WTO 248</w:t>
      </w:r>
    </w:p>
    <w:p w14:paraId="319C0129" w14:textId="77777777" w:rsidR="00643D86" w:rsidRDefault="00C513A0" w:rsidP="00643D86">
      <w:r>
        <w:rPr>
          <w:b/>
        </w:rPr>
        <w:t>Ansvarigt statsråd</w:t>
      </w:r>
      <w:r>
        <w:rPr>
          <w:b/>
        </w:rPr>
        <w:br/>
      </w:r>
      <w:r>
        <w:rPr>
          <w:noProof/>
        </w:rPr>
        <w:t>Margot Wallström</w:t>
      </w:r>
    </w:p>
    <w:p w14:paraId="319C012D" w14:textId="2013CE10" w:rsidR="00BA4713" w:rsidRDefault="00C513A0" w:rsidP="00432C9E">
      <w:r w:rsidRPr="00B44CE2">
        <w:rPr>
          <w:b/>
        </w:rPr>
        <w:t>Annotering</w:t>
      </w:r>
      <w:r>
        <w:rPr>
          <w:b/>
        </w:rPr>
        <w:br/>
      </w:r>
      <w:r>
        <w:rPr>
          <w:b/>
          <w:bCs/>
        </w:rPr>
        <w:t xml:space="preserve">Avsikt med behandlingen i rådet: </w:t>
      </w:r>
      <w:r>
        <w:t>Rådet föreslås anta det föreliggande utkastet till rådsslutsatser om etableringen av ett partnerskap mellen EU och Turkmenistan genom ett Partenerskaps- och samarbetsavtal, med avsikten att överlämna rådsslutsatserna och medhörande texter som basis för godkännande av avtalet i Europaparlamentet.</w:t>
      </w:r>
    </w:p>
    <w:p w14:paraId="319C012E" w14:textId="77777777" w:rsidR="00BA4713" w:rsidRDefault="00C513A0">
      <w:pPr>
        <w:spacing w:after="280" w:afterAutospacing="1"/>
      </w:pPr>
      <w:r>
        <w:rPr>
          <w:b/>
          <w:bCs/>
        </w:rPr>
        <w:t>Hur regeringen ställer sig till den blivande A-punkten:</w:t>
      </w:r>
      <w:r>
        <w:t xml:space="preserve"> regeringen avser rösta ja.</w:t>
      </w:r>
    </w:p>
    <w:p w14:paraId="319C012F" w14:textId="77777777" w:rsidR="00BA4713" w:rsidRDefault="00C513A0">
      <w:pPr>
        <w:spacing w:after="280" w:afterAutospacing="1"/>
      </w:pPr>
      <w:r>
        <w:rPr>
          <w:b/>
          <w:bCs/>
        </w:rPr>
        <w:t>Bakgrund</w:t>
      </w:r>
      <w:r>
        <w:t xml:space="preserve">: Ett Partnerskaps- och sammarbetsavtal mellan EU och Turkmenistan (TM) förhandlades och skrevs under 1998 och godkändes i Sveriges riksdags 1999.  Men då Europaparlamentet (EP) avsåg avråda från en ratificering av Partnerskaps- och </w:t>
      </w:r>
      <w:r>
        <w:lastRenderedPageBreak/>
        <w:t xml:space="preserve">Samarbetsavtalet (PSA) med Turkmenistan med hänvisning till MR situationen i landet förhandlades istället ett Interim Trade Agreement (ITA) vilket gällt sedan dess.  </w:t>
      </w:r>
    </w:p>
    <w:p w14:paraId="0890E9C4" w14:textId="550BDABD" w:rsidR="00432C9E" w:rsidRDefault="00C513A0">
      <w:pPr>
        <w:spacing w:after="280" w:afterAutospacing="1"/>
        <w:rPr>
          <w:noProof/>
        </w:rPr>
      </w:pPr>
      <w:r>
        <w:t xml:space="preserve">Föreliggande rådsbeslut är en uppdaterad version av det rådsbeslut som skickades till EU-parlamentet 1998. Parlamentet har nu, mot bakgrund av den tid som gått sedan undertecknandet - i väntan på att samtliga EUMS ska godkänna avtalet i sina nationella processer - begärt att få ta ställning till en uppdaterad version av rådsbeslutet. </w:t>
      </w:r>
    </w:p>
    <w:p w14:paraId="319C0132" w14:textId="77777777" w:rsidR="00643D86" w:rsidRDefault="00C513A0" w:rsidP="00643D86">
      <w:pPr>
        <w:pStyle w:val="Rubrik1"/>
      </w:pPr>
      <w:bookmarkStart w:id="6" w:name="_Toc406675976"/>
      <w:r>
        <w:rPr>
          <w:noProof/>
        </w:rPr>
        <w:t>Guidelines on methodological steps to be taken to check fundamental rights compatibility at the Council's preparatory bodies</w:t>
      </w:r>
      <w:bookmarkEnd w:id="6"/>
    </w:p>
    <w:p w14:paraId="3B278F37" w14:textId="1D41856D" w:rsidR="00432C9E" w:rsidRDefault="00C513A0" w:rsidP="00643D86">
      <w:pPr>
        <w:rPr>
          <w:b/>
        </w:rPr>
      </w:pPr>
      <w:r>
        <w:rPr>
          <w:noProof/>
          <w:lang w:val="en-US"/>
        </w:rPr>
        <w:t>16877</w:t>
      </w:r>
      <w:r>
        <w:rPr>
          <w:lang w:val="en-US"/>
        </w:rPr>
        <w:t>/14 FREMP 226 JAI 1012 C</w:t>
      </w:r>
      <w:r w:rsidR="00432C9E">
        <w:rPr>
          <w:lang w:val="en-US"/>
        </w:rPr>
        <w:t>OHOM 180 JURINFO 56 JUSTCIV 324</w:t>
      </w:r>
    </w:p>
    <w:p w14:paraId="319C0134" w14:textId="77ADF610" w:rsidR="00643D86" w:rsidRDefault="00C513A0" w:rsidP="00643D86">
      <w:r>
        <w:rPr>
          <w:b/>
        </w:rPr>
        <w:t>Ansvarigt statsråd</w:t>
      </w:r>
      <w:r>
        <w:rPr>
          <w:b/>
        </w:rPr>
        <w:br/>
      </w:r>
      <w:r>
        <w:rPr>
          <w:noProof/>
        </w:rPr>
        <w:t>Alice Bah Kuhnke</w:t>
      </w:r>
    </w:p>
    <w:p w14:paraId="319C0138" w14:textId="27845E6B" w:rsidR="00BA4713" w:rsidRDefault="00C513A0" w:rsidP="00432C9E">
      <w:r w:rsidRPr="00B44CE2">
        <w:rPr>
          <w:b/>
        </w:rPr>
        <w:t>Annotering</w:t>
      </w:r>
      <w:r>
        <w:rPr>
          <w:b/>
        </w:rPr>
        <w:br/>
      </w:r>
      <w:r>
        <w:t xml:space="preserve">Coreper förslås anta revidering av rådets checklista för att säkra förenlighet med grundläggande rättigheter. </w:t>
      </w:r>
    </w:p>
    <w:p w14:paraId="319C0139" w14:textId="2AFF7C2F" w:rsidR="00BA4713" w:rsidRDefault="00432C9E">
      <w:pPr>
        <w:spacing w:after="280" w:afterAutospacing="1"/>
      </w:pPr>
      <w:r w:rsidRPr="00432C9E">
        <w:t>Sverige</w:t>
      </w:r>
      <w:r w:rsidR="00C513A0" w:rsidRPr="00432C9E">
        <w:t xml:space="preserve"> stödjer att revidering</w:t>
      </w:r>
      <w:r w:rsidR="00C513A0">
        <w:t xml:space="preserve"> görs av rådets checklista i linje med rättspraxis från EU-domstolen.</w:t>
      </w:r>
    </w:p>
    <w:p w14:paraId="319C013A" w14:textId="1C7038F9" w:rsidR="00BA4713" w:rsidRDefault="00C513A0">
      <w:pPr>
        <w:spacing w:after="280" w:afterAutospacing="1"/>
      </w:pPr>
      <w:r>
        <w:t>Stadgan om grundläggande rättigheter blev i och med Lissabonfördraget rättsligt bindande för Unionen och medlemsstaterna. För att säkra att rådet i sitt arbetet efterlever stadgan om grundläggande rättigheter togs det fram en checklista som är icke-bindande råd för att stödja rådets förberedande organ att hantera frågor om grundläggande rättigheter. I enlighet med</w:t>
      </w:r>
      <w:r w:rsidR="000B0DD8">
        <w:t xml:space="preserve"> </w:t>
      </w:r>
      <w:r>
        <w:t>EU-do</w:t>
      </w:r>
      <w:bookmarkStart w:id="7" w:name="_GoBack"/>
      <w:bookmarkEnd w:id="7"/>
      <w:r>
        <w:t xml:space="preserve">mstolens domar (C-293/12 och C-594/12) har en revidering av checklistan gjorts. </w:t>
      </w:r>
    </w:p>
    <w:p w14:paraId="319C013B" w14:textId="77777777" w:rsidR="00BA4713" w:rsidRDefault="00C513A0">
      <w:pPr>
        <w:spacing w:after="280" w:afterAutospacing="1"/>
      </w:pPr>
      <w:r>
        <w:t> </w:t>
      </w:r>
    </w:p>
    <w:p w14:paraId="319C013C" w14:textId="77777777" w:rsidR="00BA4713" w:rsidRDefault="00C513A0">
      <w:pPr>
        <w:spacing w:after="280" w:afterAutospacing="1"/>
      </w:pPr>
      <w:r>
        <w:t> </w:t>
      </w:r>
    </w:p>
    <w:p w14:paraId="319C013D" w14:textId="77777777" w:rsidR="00BA4713" w:rsidRDefault="00C513A0">
      <w:pPr>
        <w:spacing w:after="280" w:afterAutospacing="1"/>
      </w:pPr>
      <w:r>
        <w:t> </w:t>
      </w:r>
    </w:p>
    <w:p w14:paraId="319C013E" w14:textId="77777777" w:rsidR="00BA4713" w:rsidRDefault="00C513A0">
      <w:pPr>
        <w:spacing w:after="280" w:afterAutospacing="1"/>
      </w:pPr>
      <w:r>
        <w:t> </w:t>
      </w:r>
    </w:p>
    <w:p w14:paraId="319C013F" w14:textId="77777777" w:rsidR="00FB32B9" w:rsidRDefault="000B0DD8">
      <w:pPr>
        <w:spacing w:after="280" w:afterAutospacing="1"/>
        <w:rPr>
          <w:noProof/>
        </w:rPr>
      </w:pPr>
    </w:p>
    <w:bookmarkEnd w:id="1"/>
    <w:p w14:paraId="319C0140" w14:textId="77777777" w:rsidR="00643D86" w:rsidRPr="00643D86" w:rsidRDefault="000B0DD8" w:rsidP="00643D86">
      <w:pPr>
        <w:ind w:left="0"/>
        <w:rPr>
          <w:lang w:val="en-US"/>
        </w:rPr>
      </w:pPr>
    </w:p>
    <w:sectPr w:rsidR="00643D86" w:rsidRPr="00643D86" w:rsidSect="006E71D7">
      <w:headerReference w:type="default" r:id="rId15"/>
      <w:footerReference w:type="default" r:id="rId16"/>
      <w:head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C0152" w14:textId="77777777" w:rsidR="007D60A5" w:rsidRDefault="00C513A0">
      <w:pPr>
        <w:spacing w:after="0" w:line="240" w:lineRule="auto"/>
      </w:pPr>
      <w:r>
        <w:separator/>
      </w:r>
    </w:p>
  </w:endnote>
  <w:endnote w:type="continuationSeparator" w:id="0">
    <w:p w14:paraId="319C0154" w14:textId="77777777" w:rsidR="007D60A5" w:rsidRDefault="00C5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367647"/>
      <w:docPartObj>
        <w:docPartGallery w:val="Page Numbers (Bottom of Page)"/>
        <w:docPartUnique/>
      </w:docPartObj>
    </w:sdtPr>
    <w:sdtEndPr/>
    <w:sdtContent>
      <w:p w14:paraId="215E8D77" w14:textId="31DC0D64" w:rsidR="00432C9E" w:rsidRDefault="00432C9E">
        <w:pPr>
          <w:pStyle w:val="Sidfot"/>
          <w:jc w:val="right"/>
        </w:pPr>
        <w:r>
          <w:fldChar w:fldCharType="begin"/>
        </w:r>
        <w:r>
          <w:instrText>PAGE   \* MERGEFORMAT</w:instrText>
        </w:r>
        <w:r>
          <w:fldChar w:fldCharType="separate"/>
        </w:r>
        <w:r w:rsidR="000B0DD8">
          <w:rPr>
            <w:noProof/>
          </w:rPr>
          <w:t>6</w:t>
        </w:r>
        <w:r>
          <w:fldChar w:fldCharType="end"/>
        </w:r>
      </w:p>
    </w:sdtContent>
  </w:sdt>
  <w:p w14:paraId="3C582A82" w14:textId="77777777" w:rsidR="00432C9E" w:rsidRDefault="00432C9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C014E" w14:textId="77777777" w:rsidR="007D60A5" w:rsidRDefault="00C513A0">
      <w:pPr>
        <w:spacing w:after="0" w:line="240" w:lineRule="auto"/>
      </w:pPr>
      <w:r>
        <w:separator/>
      </w:r>
    </w:p>
  </w:footnote>
  <w:footnote w:type="continuationSeparator" w:id="0">
    <w:p w14:paraId="319C0150" w14:textId="77777777" w:rsidR="007D60A5" w:rsidRDefault="00C51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C0141" w14:textId="77777777" w:rsidR="006E71D7" w:rsidRDefault="000B0DD8" w:rsidP="006E71D7">
    <w:pPr>
      <w:pStyle w:val="Sidhuvud"/>
      <w:ind w:left="0"/>
    </w:pPr>
  </w:p>
  <w:p w14:paraId="319C0142" w14:textId="77777777" w:rsidR="006F1C0D" w:rsidRDefault="000B0DD8"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BA4713" w14:paraId="319C0148" w14:textId="77777777" w:rsidTr="006E71D7">
      <w:tc>
        <w:tcPr>
          <w:tcW w:w="4606" w:type="dxa"/>
        </w:tcPr>
        <w:p w14:paraId="319C0143" w14:textId="77777777" w:rsidR="006E71D7" w:rsidRDefault="00C513A0" w:rsidP="00752770">
          <w:pPr>
            <w:pStyle w:val="Sidhuvud"/>
            <w:ind w:left="0"/>
          </w:pPr>
          <w:r>
            <w:rPr>
              <w:noProof/>
              <w:lang w:eastAsia="sv-SE"/>
            </w:rPr>
            <w:drawing>
              <wp:inline distT="0" distB="0" distL="0" distR="0" wp14:anchorId="319C014E" wp14:editId="319C014F">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19C0144" w14:textId="77777777" w:rsidR="00FB32B9" w:rsidRDefault="000B0DD8" w:rsidP="00FB32B9">
          <w:pPr>
            <w:ind w:right="916"/>
            <w:rPr>
              <w:rFonts w:ascii="TradeGothic" w:hAnsi="TradeGothic"/>
              <w:b/>
            </w:rPr>
          </w:pPr>
        </w:p>
        <w:p w14:paraId="319C0145" w14:textId="77777777" w:rsidR="00FB32B9" w:rsidRDefault="00C513A0" w:rsidP="00FB32B9">
          <w:pPr>
            <w:ind w:right="916"/>
          </w:pPr>
          <w:r>
            <w:rPr>
              <w:rFonts w:ascii="TradeGothic" w:hAnsi="TradeGothic"/>
              <w:b/>
            </w:rPr>
            <w:t>Promemoria</w:t>
          </w:r>
        </w:p>
        <w:p w14:paraId="319C0146" w14:textId="77777777" w:rsidR="00FB32B9" w:rsidRDefault="000B0DD8" w:rsidP="00FB32B9">
          <w:pPr>
            <w:jc w:val="right"/>
          </w:pPr>
        </w:p>
        <w:p w14:paraId="319C0147" w14:textId="77777777" w:rsidR="006E71D7" w:rsidRDefault="00C513A0" w:rsidP="00FB32B9">
          <w:pPr>
            <w:ind w:right="916"/>
          </w:pPr>
          <w:r>
            <w:rPr>
              <w:rFonts w:ascii="TradeGothic" w:hAnsi="TradeGothic"/>
              <w:b/>
              <w:noProof/>
            </w:rPr>
            <w:t>2014-12-18</w:t>
          </w:r>
          <w:r w:rsidRPr="00934953">
            <w:t xml:space="preserve"> </w:t>
          </w:r>
        </w:p>
      </w:tc>
    </w:tr>
  </w:tbl>
  <w:p w14:paraId="319C0149" w14:textId="77777777" w:rsidR="00FB32B9" w:rsidRDefault="000B0DD8" w:rsidP="00FB32B9">
    <w:pPr>
      <w:pStyle w:val="Avsndare"/>
      <w:framePr w:w="0" w:hRule="auto" w:hSpace="0" w:wrap="auto" w:vAnchor="margin" w:hAnchor="text" w:xAlign="left" w:yAlign="inline"/>
      <w:rPr>
        <w:b/>
        <w:i w:val="0"/>
        <w:sz w:val="22"/>
      </w:rPr>
    </w:pPr>
  </w:p>
  <w:p w14:paraId="319C014A" w14:textId="77777777" w:rsidR="00FB32B9" w:rsidRDefault="00C513A0" w:rsidP="00FB32B9">
    <w:pPr>
      <w:pStyle w:val="Avsndare"/>
      <w:framePr w:w="0" w:hRule="auto" w:hSpace="0" w:wrap="auto" w:vAnchor="margin" w:hAnchor="text" w:xAlign="left" w:yAlign="inline"/>
      <w:rPr>
        <w:b/>
        <w:i w:val="0"/>
        <w:sz w:val="22"/>
      </w:rPr>
    </w:pPr>
    <w:r>
      <w:rPr>
        <w:b/>
        <w:i w:val="0"/>
        <w:sz w:val="22"/>
      </w:rPr>
      <w:t>Statsrådsberedningen</w:t>
    </w:r>
  </w:p>
  <w:p w14:paraId="319C014B" w14:textId="77777777" w:rsidR="00FB32B9" w:rsidRDefault="000B0DD8" w:rsidP="00FB32B9">
    <w:pPr>
      <w:pStyle w:val="Avsndare"/>
      <w:framePr w:w="0" w:hRule="auto" w:hSpace="0" w:wrap="auto" w:vAnchor="margin" w:hAnchor="text" w:xAlign="left" w:yAlign="inline"/>
    </w:pPr>
  </w:p>
  <w:p w14:paraId="319C014C" w14:textId="77777777" w:rsidR="00FB32B9" w:rsidRDefault="00C513A0" w:rsidP="00FB32B9">
    <w:pPr>
      <w:pStyle w:val="Avsndare"/>
      <w:framePr w:w="0" w:hRule="auto" w:hSpace="0" w:wrap="auto" w:vAnchor="margin" w:hAnchor="text" w:xAlign="left" w:yAlign="inline"/>
    </w:pPr>
    <w:r>
      <w:t>EU-kansliet</w:t>
    </w:r>
  </w:p>
  <w:p w14:paraId="319C014D" w14:textId="77777777" w:rsidR="0012376B" w:rsidRDefault="000B0DD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B658FD5C">
      <w:start w:val="1"/>
      <w:numFmt w:val="decimal"/>
      <w:pStyle w:val="Rubrik1"/>
      <w:lvlText w:val="%1."/>
      <w:lvlJc w:val="left"/>
      <w:pPr>
        <w:ind w:left="720" w:hanging="360"/>
      </w:pPr>
    </w:lvl>
    <w:lvl w:ilvl="1" w:tplc="425AE776" w:tentative="1">
      <w:start w:val="1"/>
      <w:numFmt w:val="lowerLetter"/>
      <w:lvlText w:val="%2."/>
      <w:lvlJc w:val="left"/>
      <w:pPr>
        <w:ind w:left="1440" w:hanging="360"/>
      </w:pPr>
    </w:lvl>
    <w:lvl w:ilvl="2" w:tplc="506253B2" w:tentative="1">
      <w:start w:val="1"/>
      <w:numFmt w:val="lowerRoman"/>
      <w:lvlText w:val="%3."/>
      <w:lvlJc w:val="right"/>
      <w:pPr>
        <w:ind w:left="2160" w:hanging="180"/>
      </w:pPr>
    </w:lvl>
    <w:lvl w:ilvl="3" w:tplc="51C0CC1A" w:tentative="1">
      <w:start w:val="1"/>
      <w:numFmt w:val="decimal"/>
      <w:lvlText w:val="%4."/>
      <w:lvlJc w:val="left"/>
      <w:pPr>
        <w:ind w:left="2880" w:hanging="360"/>
      </w:pPr>
    </w:lvl>
    <w:lvl w:ilvl="4" w:tplc="A592825E" w:tentative="1">
      <w:start w:val="1"/>
      <w:numFmt w:val="lowerLetter"/>
      <w:lvlText w:val="%5."/>
      <w:lvlJc w:val="left"/>
      <w:pPr>
        <w:ind w:left="3600" w:hanging="360"/>
      </w:pPr>
    </w:lvl>
    <w:lvl w:ilvl="5" w:tplc="C35406BE" w:tentative="1">
      <w:start w:val="1"/>
      <w:numFmt w:val="lowerRoman"/>
      <w:lvlText w:val="%6."/>
      <w:lvlJc w:val="right"/>
      <w:pPr>
        <w:ind w:left="4320" w:hanging="180"/>
      </w:pPr>
    </w:lvl>
    <w:lvl w:ilvl="6" w:tplc="FDD8ECAA" w:tentative="1">
      <w:start w:val="1"/>
      <w:numFmt w:val="decimal"/>
      <w:lvlText w:val="%7."/>
      <w:lvlJc w:val="left"/>
      <w:pPr>
        <w:ind w:left="5040" w:hanging="360"/>
      </w:pPr>
    </w:lvl>
    <w:lvl w:ilvl="7" w:tplc="CD4ED3DC" w:tentative="1">
      <w:start w:val="1"/>
      <w:numFmt w:val="lowerLetter"/>
      <w:lvlText w:val="%8."/>
      <w:lvlJc w:val="left"/>
      <w:pPr>
        <w:ind w:left="5760" w:hanging="360"/>
      </w:pPr>
    </w:lvl>
    <w:lvl w:ilvl="8" w:tplc="1A6AD8D4" w:tentative="1">
      <w:start w:val="1"/>
      <w:numFmt w:val="lowerRoman"/>
      <w:lvlText w:val="%9."/>
      <w:lvlJc w:val="right"/>
      <w:pPr>
        <w:ind w:left="6480" w:hanging="180"/>
      </w:pPr>
    </w:lvl>
  </w:abstractNum>
  <w:abstractNum w:abstractNumId="1">
    <w:nsid w:val="73990993"/>
    <w:multiLevelType w:val="hybridMultilevel"/>
    <w:tmpl w:val="3BD822EE"/>
    <w:lvl w:ilvl="0" w:tplc="28C0D21C">
      <w:start w:val="1"/>
      <w:numFmt w:val="decimal"/>
      <w:lvlText w:val="%1."/>
      <w:lvlJc w:val="left"/>
      <w:pPr>
        <w:ind w:left="360" w:hanging="360"/>
      </w:pPr>
      <w:rPr>
        <w:b w:val="0"/>
      </w:rPr>
    </w:lvl>
    <w:lvl w:ilvl="1" w:tplc="2F9A8348" w:tentative="1">
      <w:start w:val="1"/>
      <w:numFmt w:val="lowerLetter"/>
      <w:lvlText w:val="%2."/>
      <w:lvlJc w:val="left"/>
      <w:pPr>
        <w:ind w:left="1080" w:hanging="360"/>
      </w:pPr>
    </w:lvl>
    <w:lvl w:ilvl="2" w:tplc="E0F6F4A2" w:tentative="1">
      <w:start w:val="1"/>
      <w:numFmt w:val="lowerRoman"/>
      <w:lvlText w:val="%3."/>
      <w:lvlJc w:val="right"/>
      <w:pPr>
        <w:ind w:left="1800" w:hanging="180"/>
      </w:pPr>
    </w:lvl>
    <w:lvl w:ilvl="3" w:tplc="70EA651A" w:tentative="1">
      <w:start w:val="1"/>
      <w:numFmt w:val="decimal"/>
      <w:lvlText w:val="%4."/>
      <w:lvlJc w:val="left"/>
      <w:pPr>
        <w:ind w:left="2520" w:hanging="360"/>
      </w:pPr>
    </w:lvl>
    <w:lvl w:ilvl="4" w:tplc="F8C8D31E" w:tentative="1">
      <w:start w:val="1"/>
      <w:numFmt w:val="lowerLetter"/>
      <w:lvlText w:val="%5."/>
      <w:lvlJc w:val="left"/>
      <w:pPr>
        <w:ind w:left="3240" w:hanging="360"/>
      </w:pPr>
    </w:lvl>
    <w:lvl w:ilvl="5" w:tplc="A852CE08" w:tentative="1">
      <w:start w:val="1"/>
      <w:numFmt w:val="lowerRoman"/>
      <w:lvlText w:val="%6."/>
      <w:lvlJc w:val="right"/>
      <w:pPr>
        <w:ind w:left="3960" w:hanging="180"/>
      </w:pPr>
    </w:lvl>
    <w:lvl w:ilvl="6" w:tplc="B4E42C80" w:tentative="1">
      <w:start w:val="1"/>
      <w:numFmt w:val="decimal"/>
      <w:lvlText w:val="%7."/>
      <w:lvlJc w:val="left"/>
      <w:pPr>
        <w:ind w:left="4680" w:hanging="360"/>
      </w:pPr>
    </w:lvl>
    <w:lvl w:ilvl="7" w:tplc="72FCA15A" w:tentative="1">
      <w:start w:val="1"/>
      <w:numFmt w:val="lowerLetter"/>
      <w:lvlText w:val="%8."/>
      <w:lvlJc w:val="left"/>
      <w:pPr>
        <w:ind w:left="5400" w:hanging="360"/>
      </w:pPr>
    </w:lvl>
    <w:lvl w:ilvl="8" w:tplc="8C729A0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713"/>
    <w:rsid w:val="000B0DD8"/>
    <w:rsid w:val="00432C9E"/>
    <w:rsid w:val="0054327A"/>
    <w:rsid w:val="006D6461"/>
    <w:rsid w:val="007D60A5"/>
    <w:rsid w:val="00BA4713"/>
    <w:rsid w:val="00C51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JE6N4JFJXNNF-9-66025</_dlc_DocId>
    <_dlc_DocIdUrl xmlns="8b66ae41-1ec6-402e-b662-35d1932ca064">
      <Url>http://rkdhs-sb/enhet/EUKansli/_layouts/DocIdRedir.aspx?ID=JE6N4JFJXNNF-9-66025</Url>
      <Description>JE6N4JFJXNNF-9-66025</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01894-1B2A-4C3D-A734-87BC5FB29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6849A-BCE5-47C3-AD15-CC5E81896BFD}">
  <ds:schemaRefs>
    <ds:schemaRef ds:uri="http://schemas.microsoft.com/sharepoint/v3/contenttype/forms"/>
  </ds:schemaRefs>
</ds:datastoreItem>
</file>

<file path=customXml/itemProps3.xml><?xml version="1.0" encoding="utf-8"?>
<ds:datastoreItem xmlns:ds="http://schemas.openxmlformats.org/officeDocument/2006/customXml" ds:itemID="{977BB4F4-85F6-4BD4-B8CF-3FBBC7680067}">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e4c0beb7-0294-4d25-9600-346807c0961e"/>
    <ds:schemaRef ds:uri="8b66ae41-1ec6-402e-b662-35d1932ca064"/>
    <ds:schemaRef ds:uri="http://purl.org/dc/elements/1.1/"/>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1F14D3F-8FB1-4C65-833B-9E278BC136D1}">
  <ds:schemaRefs>
    <ds:schemaRef ds:uri="http://schemas.microsoft.com/sharepoint/v3/contenttype/forms/url"/>
  </ds:schemaRefs>
</ds:datastoreItem>
</file>

<file path=customXml/itemProps5.xml><?xml version="1.0" encoding="utf-8"?>
<ds:datastoreItem xmlns:ds="http://schemas.openxmlformats.org/officeDocument/2006/customXml" ds:itemID="{39916045-25AF-4FA7-8628-AC8B51D35300}">
  <ds:schemaRefs>
    <ds:schemaRef ds:uri="http://schemas.microsoft.com/office/2006/metadata/customXsn"/>
  </ds:schemaRefs>
</ds:datastoreItem>
</file>

<file path=customXml/itemProps6.xml><?xml version="1.0" encoding="utf-8"?>
<ds:datastoreItem xmlns:ds="http://schemas.openxmlformats.org/officeDocument/2006/customXml" ds:itemID="{C5C45065-13F1-477C-B6EA-3A53156C41A6}">
  <ds:schemaRefs>
    <ds:schemaRef ds:uri="http://schemas.microsoft.com/sharepoint/events"/>
  </ds:schemaRefs>
</ds:datastoreItem>
</file>

<file path=customXml/itemProps7.xml><?xml version="1.0" encoding="utf-8"?>
<ds:datastoreItem xmlns:ds="http://schemas.openxmlformats.org/officeDocument/2006/customXml" ds:itemID="{9AE4ED8A-D231-4ED2-A706-B56E49FDA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1700</Words>
  <Characters>9012</Characters>
  <Application>Microsoft Office Word</Application>
  <DocSecurity>0</DocSecurity>
  <Lines>75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10691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Sofia Wennerstrand</cp:lastModifiedBy>
  <cp:revision>6</cp:revision>
  <dcterms:created xsi:type="dcterms:W3CDTF">2014-12-18T13:16:00Z</dcterms:created>
  <dcterms:modified xsi:type="dcterms:W3CDTF">2014-12-18T13:53:00Z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sofia.wennerstrand@regeringskansliet.se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2e5e7d94-9e3b-4fae-b7fe-3d3301b6e059</vt:lpwstr>
  </property>
</Properties>
</file>