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14257C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17B4A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45A407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C17B4A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C17B4A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296D09B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1B90">
              <w:rPr>
                <w:sz w:val="22"/>
                <w:szCs w:val="22"/>
              </w:rPr>
              <w:t>9.29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BCE1963" w14:textId="77777777" w:rsidR="00191F0D" w:rsidRDefault="00191F0D" w:rsidP="00191F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2CB0E314" w14:textId="77777777" w:rsidR="00191F0D" w:rsidRPr="0098091F" w:rsidRDefault="00191F0D" w:rsidP="00191F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043056" w14:textId="457E6F66" w:rsidR="00191F0D" w:rsidRPr="0098091F" w:rsidRDefault="00191F0D" w:rsidP="00191F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091F">
              <w:rPr>
                <w:bCs/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98091F">
              <w:rPr>
                <w:bCs/>
                <w:snapToGrid w:val="0"/>
                <w:sz w:val="22"/>
                <w:szCs w:val="22"/>
              </w:rPr>
              <w:t xml:space="preserve">EU-dokument </w:t>
            </w:r>
            <w:proofErr w:type="gramStart"/>
            <w:r w:rsidRPr="0098091F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98091F">
              <w:rPr>
                <w:bCs/>
                <w:snapToGrid w:val="0"/>
                <w:sz w:val="22"/>
                <w:szCs w:val="22"/>
              </w:rPr>
              <w:t>2024) 800 Meddelande från kommissionen till Europaparlamentet, rådet, Europeiska ekonomiska och sociala kommittén samt Regionkommittén 2024 års rapport om rättsstatsprincipen Situationen i fråga om rättsstatsprincipen i EU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191F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30722465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F509A20" w14:textId="77777777" w:rsidR="00C81B90" w:rsidRPr="000E1D29" w:rsidRDefault="00C81B90" w:rsidP="00C81B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D2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2357E97" w14:textId="77777777" w:rsidR="00C81B90" w:rsidRPr="000E1D29" w:rsidRDefault="00C81B90" w:rsidP="00C81B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A2B2D8" w14:textId="77777777" w:rsidR="00191F0D" w:rsidRDefault="00C81B90" w:rsidP="00C81B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E1D29">
              <w:rPr>
                <w:bCs/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C81B90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69473AAB" w:rsidR="00C81B90" w:rsidRPr="00191F0D" w:rsidRDefault="00C81B90" w:rsidP="00C81B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45B7E72A" w14:textId="77777777" w:rsidTr="00A06C23">
        <w:tc>
          <w:tcPr>
            <w:tcW w:w="541" w:type="dxa"/>
          </w:tcPr>
          <w:p w14:paraId="4F361BB9" w14:textId="25EAFACE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1AFECA2" w14:textId="77777777" w:rsidR="0034579E" w:rsidRPr="0034579E" w:rsidRDefault="0034579E" w:rsidP="0034579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4579E">
              <w:rPr>
                <w:b/>
                <w:bCs/>
                <w:snapToGrid w:val="0"/>
                <w:sz w:val="22"/>
                <w:szCs w:val="22"/>
              </w:rPr>
              <w:t>Åtalsärende (dnr 1868–2023/24)</w:t>
            </w:r>
          </w:p>
          <w:p w14:paraId="5515C65C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67AA84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 xml:space="preserve">Konstitutionsutskottet har mottagit skrivelser som innefattar en begäran om omprövning av utskottets beslut om att skrivelser om anmälan mot statsråd för brott inte skulle föranleda någon åtgärd (dnr </w:t>
            </w:r>
            <w:proofErr w:type="gramStart"/>
            <w:r w:rsidRPr="0034579E">
              <w:rPr>
                <w:snapToGrid w:val="0"/>
                <w:sz w:val="22"/>
                <w:szCs w:val="22"/>
              </w:rPr>
              <w:t>686-2023</w:t>
            </w:r>
            <w:proofErr w:type="gramEnd"/>
            <w:r w:rsidRPr="0034579E">
              <w:rPr>
                <w:snapToGrid w:val="0"/>
                <w:sz w:val="22"/>
                <w:szCs w:val="22"/>
              </w:rPr>
              <w:t xml:space="preserve">/24, begäran om omprövning i dnr 917-2023/24). Dessutom finns en begäran om anstånd för att ge in ytterligare underlag i ärendet. </w:t>
            </w:r>
          </w:p>
          <w:p w14:paraId="07055470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84EEED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Ärendet föredrogs.</w:t>
            </w:r>
          </w:p>
          <w:p w14:paraId="70CEFAAC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738CFF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 xml:space="preserve">Utskottet, som konstaterade att anstånd redan beviljats en gång, fann inte anledning att ompröva tidigare beslut. </w:t>
            </w:r>
          </w:p>
          <w:p w14:paraId="1EF4FDDD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D1C3F" w14:textId="77777777" w:rsidR="00E464CF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9D25947" w14:textId="2F71A1E8" w:rsidR="0034579E" w:rsidRPr="00E464CF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4579E" w:rsidRPr="0069143B" w14:paraId="46758C0B" w14:textId="77777777" w:rsidTr="00A06C23">
        <w:tc>
          <w:tcPr>
            <w:tcW w:w="541" w:type="dxa"/>
          </w:tcPr>
          <w:p w14:paraId="6EB3E4F9" w14:textId="42A46895" w:rsidR="0034579E" w:rsidRDefault="0034579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73625D9" w14:textId="77777777" w:rsidR="0034579E" w:rsidRPr="0034579E" w:rsidRDefault="0034579E" w:rsidP="0034579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4579E">
              <w:rPr>
                <w:b/>
                <w:bCs/>
                <w:snapToGrid w:val="0"/>
                <w:sz w:val="22"/>
                <w:szCs w:val="22"/>
              </w:rPr>
              <w:t>Åtalsanmälan (dnr 47–2024/25)</w:t>
            </w:r>
          </w:p>
          <w:p w14:paraId="2356D811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ABBCAC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871EAAD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44C0AC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Ärendet föredrogs.</w:t>
            </w:r>
          </w:p>
          <w:p w14:paraId="39A04773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E1CCC2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5792157" w14:textId="77777777" w:rsidR="0034579E" w:rsidRP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FD6EBF" w14:textId="77777777" w:rsidR="0034579E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6640737" w14:textId="2AF5AD13" w:rsidR="0034579E" w:rsidRPr="0034579E" w:rsidRDefault="0034579E" w:rsidP="0034579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34579E" w:rsidRPr="0069143B" w14:paraId="6732CC93" w14:textId="77777777" w:rsidTr="0095607B">
        <w:tc>
          <w:tcPr>
            <w:tcW w:w="541" w:type="dxa"/>
          </w:tcPr>
          <w:p w14:paraId="5E1C41EC" w14:textId="34B95854" w:rsidR="0034579E" w:rsidRDefault="00DE774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4579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F4C9F6F" w14:textId="77777777" w:rsidR="0089512C" w:rsidRPr="0089512C" w:rsidRDefault="0089512C" w:rsidP="0089512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9512C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89512C">
              <w:rPr>
                <w:b/>
                <w:bCs/>
                <w:snapToGrid w:val="0"/>
                <w:sz w:val="22"/>
                <w:szCs w:val="22"/>
              </w:rPr>
              <w:t>82-2024</w:t>
            </w:r>
            <w:proofErr w:type="gramEnd"/>
            <w:r w:rsidRPr="0089512C">
              <w:rPr>
                <w:b/>
                <w:bCs/>
                <w:snapToGrid w:val="0"/>
                <w:sz w:val="22"/>
                <w:szCs w:val="22"/>
              </w:rPr>
              <w:t>/25)</w:t>
            </w:r>
          </w:p>
          <w:p w14:paraId="698D5EDB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7CE95F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2611DE58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BA120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Ärendet föredrogs.</w:t>
            </w:r>
          </w:p>
          <w:p w14:paraId="05B10339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D556D4" w14:textId="3BAF8CB9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 xml:space="preserve">Utskottet, som endast är behörigt att pröva anmälan mot statsråd för brott i </w:t>
            </w:r>
            <w:r w:rsidRPr="0089512C">
              <w:rPr>
                <w:snapToGrid w:val="0"/>
                <w:sz w:val="22"/>
                <w:szCs w:val="22"/>
              </w:rPr>
              <w:lastRenderedPageBreak/>
              <w:t xml:space="preserve">utövningen av statsrådstjänsten, beslutade att skrivelsen inte skulle föranleda någon åtgärd. </w:t>
            </w:r>
          </w:p>
          <w:p w14:paraId="7D70FAE6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A7A745" w14:textId="77777777" w:rsidR="0034579E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D19F0AB" w14:textId="536F5F4B" w:rsidR="0089512C" w:rsidRPr="0034579E" w:rsidRDefault="0089512C" w:rsidP="0089512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34579E" w:rsidRPr="0069143B" w14:paraId="2FFC0EA5" w14:textId="77777777" w:rsidTr="0095607B">
        <w:tc>
          <w:tcPr>
            <w:tcW w:w="541" w:type="dxa"/>
          </w:tcPr>
          <w:p w14:paraId="28B371E4" w14:textId="58B6581E" w:rsidR="0034579E" w:rsidRDefault="0034579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C491619" w14:textId="77777777" w:rsidR="0089512C" w:rsidRPr="0089512C" w:rsidRDefault="0089512C" w:rsidP="0089512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9512C">
              <w:rPr>
                <w:b/>
                <w:bCs/>
                <w:snapToGrid w:val="0"/>
                <w:sz w:val="22"/>
                <w:szCs w:val="22"/>
              </w:rPr>
              <w:t>Åtalsanmälan (dnr 112–2024/25)</w:t>
            </w:r>
          </w:p>
          <w:p w14:paraId="6AE1865C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EC69FC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Konstitutionsutskottet har mottagit en skrivelse som bl.a. innefattar anmälan mot en av riksdagens ombudsmän (JO) för brott.</w:t>
            </w:r>
          </w:p>
          <w:p w14:paraId="50AADE69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233145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Ärendet föredrogs.</w:t>
            </w:r>
          </w:p>
          <w:p w14:paraId="4F25F6B6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768B5D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 xml:space="preserve">Utskottet, som endast är behörigt att pröva anmälan mot riksdagens ombudsmän för brott i utövningen av uppdraget, beslutade att skrivelsen inte skulle föranleda någon åtgärd. </w:t>
            </w:r>
          </w:p>
          <w:p w14:paraId="24CD7A87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E25DBD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724F5F3" w14:textId="77777777" w:rsidR="0034579E" w:rsidRPr="0089512C" w:rsidRDefault="0034579E" w:rsidP="00345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4579E" w:rsidRPr="0069143B" w14:paraId="3088C04D" w14:textId="77777777" w:rsidTr="0095607B">
        <w:tc>
          <w:tcPr>
            <w:tcW w:w="541" w:type="dxa"/>
          </w:tcPr>
          <w:p w14:paraId="1E34AE40" w14:textId="665F589A" w:rsidR="0034579E" w:rsidRDefault="0034579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7F8EF0A" w14:textId="77777777" w:rsidR="0089512C" w:rsidRPr="0089512C" w:rsidRDefault="0089512C" w:rsidP="0089512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9512C">
              <w:rPr>
                <w:b/>
                <w:bCs/>
                <w:snapToGrid w:val="0"/>
                <w:sz w:val="22"/>
                <w:szCs w:val="22"/>
              </w:rPr>
              <w:t>Åtalsanmälan (dnr 215–2024/25)</w:t>
            </w:r>
          </w:p>
          <w:p w14:paraId="33F73B4F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AB1606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7478B33A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80AA1C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Ärendet föredrogs.</w:t>
            </w:r>
          </w:p>
          <w:p w14:paraId="440ADFB2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47C3D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88F226D" w14:textId="77777777" w:rsidR="0089512C" w:rsidRPr="0089512C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FA41DF" w14:textId="77777777" w:rsidR="0034579E" w:rsidRDefault="0089512C" w:rsidP="008951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12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60D8A8A" w14:textId="7E400B31" w:rsidR="0089512C" w:rsidRPr="0034579E" w:rsidRDefault="0089512C" w:rsidP="0089512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95607B">
        <w:tc>
          <w:tcPr>
            <w:tcW w:w="541" w:type="dxa"/>
          </w:tcPr>
          <w:p w14:paraId="35EA3FDD" w14:textId="72D706C0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95607B">
        <w:tc>
          <w:tcPr>
            <w:tcW w:w="541" w:type="dxa"/>
          </w:tcPr>
          <w:p w14:paraId="179CAEA7" w14:textId="3E2AE8CA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1F7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12F3C50" w14:textId="62C5233C" w:rsidR="00310AD6" w:rsidRDefault="00F52450" w:rsidP="00310AD6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Uppföljning av riksdagens tillämpning av subsidiaritetsprincipen (KU5)</w:t>
            </w:r>
          </w:p>
          <w:p w14:paraId="3FE59E99" w14:textId="77777777" w:rsidR="001432FF" w:rsidRPr="001432FF" w:rsidRDefault="001432FF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AFC1DE" w14:textId="77777777" w:rsidR="002D1F73" w:rsidRPr="001854BB" w:rsidRDefault="002D1F73" w:rsidP="002D1F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</w:t>
            </w:r>
            <w:r w:rsidRPr="001854BB">
              <w:rPr>
                <w:snapToGrid w:val="0"/>
                <w:sz w:val="22"/>
                <w:szCs w:val="22"/>
              </w:rPr>
              <w:t xml:space="preserve"> be</w:t>
            </w:r>
            <w:r>
              <w:rPr>
                <w:snapToGrid w:val="0"/>
                <w:sz w:val="22"/>
                <w:szCs w:val="22"/>
              </w:rPr>
              <w:t>redning</w:t>
            </w:r>
            <w:r w:rsidRPr="001854BB">
              <w:rPr>
                <w:snapToGrid w:val="0"/>
                <w:sz w:val="22"/>
                <w:szCs w:val="22"/>
              </w:rPr>
              <w:t>en av uppföljning av riksdagens tillämpning av subsidiaritetsprincipen.</w:t>
            </w:r>
          </w:p>
          <w:p w14:paraId="0AAD4455" w14:textId="77777777" w:rsidR="002D1F73" w:rsidRPr="001854BB" w:rsidRDefault="002D1F73" w:rsidP="002D1F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232CE6" w14:textId="77777777" w:rsidR="002D1F73" w:rsidRDefault="002D1F73" w:rsidP="002D1F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2D1F73" w:rsidRDefault="00FB43E4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95607B">
        <w:tc>
          <w:tcPr>
            <w:tcW w:w="541" w:type="dxa"/>
          </w:tcPr>
          <w:p w14:paraId="0FB7C1E9" w14:textId="0ED8C4F0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D1F73">
              <w:rPr>
                <w:b/>
                <w:snapToGrid w:val="0"/>
                <w:sz w:val="22"/>
                <w:szCs w:val="22"/>
              </w:rPr>
              <w:t xml:space="preserve"> 10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666F93A3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F52450">
              <w:rPr>
                <w:bCs/>
                <w:snapToGrid w:val="0"/>
                <w:sz w:val="22"/>
                <w:szCs w:val="22"/>
              </w:rPr>
              <w:t>8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95607B">
        <w:trPr>
          <w:gridAfter w:val="1"/>
          <w:wAfter w:w="7" w:type="dxa"/>
        </w:trPr>
        <w:tc>
          <w:tcPr>
            <w:tcW w:w="7342" w:type="dxa"/>
            <w:gridSpan w:val="2"/>
          </w:tcPr>
          <w:p w14:paraId="720F66D4" w14:textId="10660422" w:rsidR="008273F4" w:rsidRPr="0069143B" w:rsidRDefault="00DE774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4EA7E79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5607B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95607B">
              <w:rPr>
                <w:sz w:val="22"/>
                <w:szCs w:val="22"/>
              </w:rPr>
              <w:t>2024-11-21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5E9F6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15597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0C13C35" w:rsidR="005805B8" w:rsidRPr="00AD64E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D64EE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B1ABD8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464CF">
              <w:rPr>
                <w:sz w:val="20"/>
              </w:rPr>
              <w:t>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2E6333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D92D5E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7981910B" w:rsidR="003F5AAA" w:rsidRDefault="00D92D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765B935" w:rsidR="003F5AAA" w:rsidRDefault="00D92D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95B518F" w:rsidR="003F5AAA" w:rsidRDefault="00D92D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1C4E2BF" w:rsidR="003F5AAA" w:rsidRDefault="00D92D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69B79AA" w:rsidR="003F5AAA" w:rsidRDefault="00D92D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5976E1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3EC2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0BBC"/>
    <w:rsid w:val="001432FF"/>
    <w:rsid w:val="00161AA6"/>
    <w:rsid w:val="00164E3D"/>
    <w:rsid w:val="00165461"/>
    <w:rsid w:val="001813E0"/>
    <w:rsid w:val="001828F2"/>
    <w:rsid w:val="00191F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F73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4579E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9512C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607B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64EE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7B4A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1B90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2D5E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749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464CF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2450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4409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2024-11-14T15:03:00Z</cp:lastPrinted>
  <dcterms:created xsi:type="dcterms:W3CDTF">2024-11-26T12:19:00Z</dcterms:created>
  <dcterms:modified xsi:type="dcterms:W3CDTF">2024-11-26T12:20:00Z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