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FE6" w:rsidRPr="00DB707A" w:rsidRDefault="000D4FE6">
      <w:pPr>
        <w:pStyle w:val="Hemstlrubrik"/>
      </w:pPr>
      <w:r w:rsidRPr="00DB707A">
        <w:t>Förslag till riksdagsbeslut</w:t>
      </w:r>
    </w:p>
    <w:p w:rsidR="000D4FE6" w:rsidRPr="00DB707A" w:rsidRDefault="000D4FE6">
      <w:pPr>
        <w:pStyle w:val="Hemstlatt"/>
        <w:numPr>
          <w:ilvl w:val="0"/>
          <w:numId w:val="1"/>
        </w:numPr>
      </w:pPr>
      <w:r w:rsidRPr="00DB707A">
        <w:t>Riksdagen tillkännager för regeringen som sin mening vad som anförs i motionen om Forska &amp; Väx-programmet.</w:t>
      </w:r>
    </w:p>
    <w:p w:rsidR="000D4FE6" w:rsidRPr="00DB707A" w:rsidRDefault="000D4FE6">
      <w:pPr>
        <w:pStyle w:val="Hemstlatt"/>
        <w:numPr>
          <w:ilvl w:val="0"/>
          <w:numId w:val="1"/>
        </w:numPr>
      </w:pPr>
      <w:r w:rsidRPr="00DB707A">
        <w:t>Riksdagen begär att regeringen återkommer med ett lagförslag om FoU-kreditering enligt vad som anförs i moti</w:t>
      </w:r>
      <w:r w:rsidRPr="00DB707A">
        <w:t>o</w:t>
      </w:r>
      <w:r w:rsidRPr="00DB707A">
        <w:t>nen.</w:t>
      </w:r>
    </w:p>
    <w:p w:rsidR="000D4FE6" w:rsidRPr="00DB707A" w:rsidRDefault="000D4FE6">
      <w:pPr>
        <w:pStyle w:val="Rubrik1"/>
      </w:pPr>
      <w:r w:rsidRPr="00DB707A">
        <w:t>Bakgrund</w:t>
      </w:r>
    </w:p>
    <w:p w:rsidR="000D4FE6" w:rsidRPr="00DB707A" w:rsidRDefault="000D4FE6">
      <w:r w:rsidRPr="00DB707A">
        <w:t>Forskning och utveckling (F</w:t>
      </w:r>
      <w:r w:rsidRPr="00DB707A">
        <w:rPr>
          <w:spacing w:val="-2"/>
        </w:rPr>
        <w:t>oU) är två av de viktigaste faktorerna för att ska</w:t>
      </w:r>
      <w:r w:rsidRPr="00DB707A">
        <w:t>pa arbetstillfällen och tillväxt. Det behövs ökade resurser i FoU-kedjan: från tillämpad och behovsmotiverad forskning till utvecklingen av produkter, system och tjänster.</w:t>
      </w:r>
    </w:p>
    <w:p w:rsidR="000D4FE6" w:rsidRPr="00DB707A" w:rsidRDefault="000D4FE6">
      <w:pPr>
        <w:pStyle w:val="Normaltindrag"/>
      </w:pPr>
      <w:r w:rsidRPr="00DB707A">
        <w:t>Innovationer är i de allra flesta fall en följd av många års utveckling, allt oftare med betydande forskningsarbete. I Sverige satsar staten stora resurser på grundforskning och den svenska forskningen håller en hög internationell kvalitet inom många områden. Den behovsmotiverade forskning</w:t>
      </w:r>
      <w:r w:rsidRPr="00DB707A">
        <w:t>en och u</w:t>
      </w:r>
      <w:r w:rsidRPr="00DB707A">
        <w:t>t</w:t>
      </w:r>
      <w:r w:rsidRPr="00DB707A">
        <w:t xml:space="preserve">vecklingen har däremot fått stå tillbaka, vilket har inneburit att avkastningen på satsade forskningsmedel har varit låg. </w:t>
      </w:r>
    </w:p>
    <w:p w:rsidR="000D4FE6" w:rsidRPr="00DB707A" w:rsidRDefault="000D4FE6">
      <w:pPr>
        <w:pStyle w:val="Normaltindrag"/>
      </w:pPr>
      <w:r w:rsidRPr="00DB707A">
        <w:t>Få forskningsresultat har kommersialiserats. Det blir allt mer uppenbart att kommersiella framgångar sällan föds genom forskningsinsatser på högskolor utan oftare av människor med nära relationer till marknadernas problem och behov. Småföretag med utvecklade marknadsrelationer har en stor potential för att identifiera goda utvecklingsidéer, idéer som för kommersialiseringen all</w:t>
      </w:r>
      <w:r w:rsidRPr="00DB707A">
        <w:t>t oftare kräver kvalificerade FoU-insatser, exempelvis för att tillämpa nya tekniska rön.</w:t>
      </w:r>
    </w:p>
    <w:p w:rsidR="000D4FE6" w:rsidRPr="00DB707A" w:rsidRDefault="000D4FE6">
      <w:pPr>
        <w:pStyle w:val="Rubrik1"/>
      </w:pPr>
      <w:r w:rsidRPr="00DB707A">
        <w:lastRenderedPageBreak/>
        <w:t>Forska och väx</w:t>
      </w:r>
    </w:p>
    <w:p w:rsidR="000D4FE6" w:rsidRPr="00DB707A" w:rsidRDefault="000D4FE6">
      <w:r w:rsidRPr="00DB707A">
        <w:t>I budgetpropositionen för 2006 aviserades två olika satsningar för att stimul</w:t>
      </w:r>
      <w:r w:rsidRPr="00DB707A">
        <w:t>e</w:t>
      </w:r>
      <w:r w:rsidRPr="00DB707A">
        <w:t>ra FoU i små och medelstora företag. Den ena satsningen, programmet Forska och väx, öppnades för ansökningar i december 2005. Programmet, som drivs av Vinnova, erbjuder små och medelstora företag bidrag till tre olika typer av FoU-verksamhet:</w:t>
      </w:r>
    </w:p>
    <w:p w:rsidR="000D4FE6" w:rsidRPr="00DB707A" w:rsidRDefault="000D4FE6">
      <w:pPr>
        <w:pStyle w:val="PunktlistaNummer"/>
        <w:tabs>
          <w:tab w:val="clear" w:pos="360"/>
        </w:tabs>
        <w:ind w:left="227" w:hanging="227"/>
      </w:pPr>
      <w:r w:rsidRPr="00DB707A">
        <w:t>Genomförande av FoU-projekt. Bidraget kan uppgå till max 5 mkr och 50 pro</w:t>
      </w:r>
      <w:r w:rsidRPr="00DB707A">
        <w:softHyphen/>
        <w:t>cent medfinansiering krävs.</w:t>
      </w:r>
    </w:p>
    <w:p w:rsidR="000D4FE6" w:rsidRPr="00DB707A" w:rsidRDefault="000D4FE6">
      <w:pPr>
        <w:pStyle w:val="PunktlistaNummer"/>
        <w:tabs>
          <w:tab w:val="clear" w:pos="360"/>
        </w:tabs>
        <w:spacing w:before="0"/>
        <w:ind w:left="227" w:hanging="227"/>
      </w:pPr>
      <w:r w:rsidRPr="00DB707A">
        <w:t>Förstudie inför ett FoU-projekt. Bidraget kan uppgå till max 500 tkr och täcker upp till 100 procent av kostnaden.</w:t>
      </w:r>
    </w:p>
    <w:p w:rsidR="000D4FE6" w:rsidRPr="00DB707A" w:rsidRDefault="000D4FE6">
      <w:pPr>
        <w:pStyle w:val="PunktlistaNummer"/>
        <w:tabs>
          <w:tab w:val="clear" w:pos="360"/>
        </w:tabs>
        <w:spacing w:before="0"/>
        <w:ind w:left="227" w:hanging="227"/>
      </w:pPr>
      <w:r w:rsidRPr="00DB707A">
        <w:t>Behovsindentifiering och analys riktat till företag som saknar FoU-erfarenhet. Bidraget kan uppgå till max 75 tkr och täcka upp till 100 pr</w:t>
      </w:r>
      <w:r w:rsidRPr="00DB707A">
        <w:t>o</w:t>
      </w:r>
      <w:r w:rsidRPr="00DB707A">
        <w:t>cent av kostnaderna.</w:t>
      </w:r>
    </w:p>
    <w:p w:rsidR="000D4FE6" w:rsidRPr="00DB707A" w:rsidRDefault="000D4FE6">
      <w:r w:rsidRPr="00DB707A">
        <w:t>Söktrycket vid första utlysningen var mycket stort. Så har det också fortsatt. I samband med den senaste utlysningen sökte 366 företag över 600 miljoner kronor. Det Vinnova kunde finansiera var endast 39 småföretag med sa</w:t>
      </w:r>
      <w:r w:rsidRPr="00DB707A">
        <w:t>m</w:t>
      </w:r>
      <w:r w:rsidRPr="00DB707A">
        <w:t xml:space="preserve">manlagt 50,5 miljoner kronor. Enligt budgetpropositionen skulle det betyda att endast 17 procent av ansökningarna får finansiering, vilket är långt mindre </w:t>
      </w:r>
      <w:r w:rsidRPr="00DB707A">
        <w:rPr>
          <w:spacing w:val="-2"/>
        </w:rPr>
        <w:t>än t.ex. övriga utlysningar hos Vinnova vilka hamnar på 32 procents beviljande.</w:t>
      </w:r>
    </w:p>
    <w:p w:rsidR="000D4FE6" w:rsidRPr="00DB707A" w:rsidRDefault="000D4FE6">
      <w:pPr>
        <w:pStyle w:val="Normaltindrag"/>
      </w:pPr>
      <w:r w:rsidRPr="00DB707A">
        <w:t>Projekt som ingår i programmet är sådant som elfri värmepump, överva</w:t>
      </w:r>
      <w:r w:rsidRPr="00DB707A">
        <w:t>k</w:t>
      </w:r>
      <w:r w:rsidRPr="00DB707A">
        <w:t>ning av intensivvårdspatienter med hjälp av mikrodialysteknik, separation</w:t>
      </w:r>
      <w:r w:rsidRPr="00DB707A">
        <w:t>s</w:t>
      </w:r>
      <w:r w:rsidRPr="00DB707A">
        <w:t>teknik för bioteknikindustrin m.m. Nästa möjlighet att söka medel kommer att ske våren 2008. Under tiden står mängder av småföretag med mycket goda projekt och stampar i portgången. Det stora söktrycket är en tydlig indikation på ett stort behov av ekonomiskt stöd, men också att 100-tals, kanske 1 000-tals små företag bär på kommersiellt lovande innovationsidéer.</w:t>
      </w:r>
    </w:p>
    <w:p w:rsidR="000D4FE6" w:rsidRPr="00DB707A" w:rsidRDefault="000D4FE6">
      <w:pPr>
        <w:pStyle w:val="Normaltindrag"/>
      </w:pPr>
      <w:r w:rsidRPr="00DB707A">
        <w:t>Vänsterpartiet menar att en ökning av medelstilldelningen bör ske för a</w:t>
      </w:r>
      <w:r w:rsidRPr="00DB707A">
        <w:t>tt öka Forska och väx-programmets möjligheter till att finansiera fler projekt. Vi anslår därför 50 miljoner kronor för 2008, 100 miljoner för 2009 och 100 miljoner för 2010 utöver regeringens förslag. Detta tas upp i en särskild bu</w:t>
      </w:r>
      <w:r w:rsidRPr="00DB707A">
        <w:t>d</w:t>
      </w:r>
      <w:r w:rsidRPr="00DB707A">
        <w:t>getmotion. Det som här har anförts om Forska och väx-programmet bör riks</w:t>
      </w:r>
      <w:r w:rsidRPr="00DB707A">
        <w:softHyphen/>
        <w:t>dagen som sin mening ge regeringen till känna.</w:t>
      </w:r>
    </w:p>
    <w:p w:rsidR="000D4FE6" w:rsidRPr="00DB707A" w:rsidRDefault="000D4FE6">
      <w:pPr>
        <w:pStyle w:val="Rubrik1"/>
      </w:pPr>
      <w:r w:rsidRPr="00DB707A">
        <w:t>Skatteavdrag för FoU</w:t>
      </w:r>
    </w:p>
    <w:p w:rsidR="000D4FE6" w:rsidRPr="00DB707A" w:rsidRDefault="000D4FE6">
      <w:r w:rsidRPr="00DB707A">
        <w:t>Den andra insatsen för FoU i små och medelstora företag i budgetpropositi</w:t>
      </w:r>
      <w:r w:rsidRPr="00DB707A">
        <w:t>o</w:t>
      </w:r>
      <w:r w:rsidRPr="00DB707A">
        <w:t>nen 2006 var att det fr.o.m. 2007 aviserades en satsning på 200 000 tkr/år för skatteavdrag för små och medelstora företag som satsar på forskning, utvec</w:t>
      </w:r>
      <w:r w:rsidRPr="00DB707A">
        <w:t>k</w:t>
      </w:r>
      <w:r w:rsidRPr="00DB707A">
        <w:t>ling och produktutveckling.</w:t>
      </w:r>
    </w:p>
    <w:p w:rsidR="000D4FE6" w:rsidRPr="00DB707A" w:rsidRDefault="000D4FE6">
      <w:pPr>
        <w:pStyle w:val="Normaltindrag"/>
      </w:pPr>
      <w:r w:rsidRPr="00DB707A">
        <w:t>Den här typen av skatteavdrag är inte ovanligt i andra länder. Vårt gran</w:t>
      </w:r>
      <w:r w:rsidRPr="00DB707A">
        <w:t>n</w:t>
      </w:r>
      <w:r w:rsidRPr="00DB707A">
        <w:t>land Norge har t.ex. ett sådant sedan 2001.</w:t>
      </w:r>
    </w:p>
    <w:p w:rsidR="000D4FE6" w:rsidRPr="00DB707A" w:rsidRDefault="000D4FE6">
      <w:pPr>
        <w:pStyle w:val="Normaltindrag"/>
      </w:pPr>
      <w:r w:rsidRPr="00DB707A">
        <w:t>Näringsdepartementet lämnade i ett PM i början av 2006 ett förslag på hur ett sådant stöd skulle kunna utformas:</w:t>
      </w:r>
    </w:p>
    <w:p w:rsidR="000D4FE6" w:rsidRPr="00DB707A" w:rsidRDefault="000D4FE6">
      <w:pPr>
        <w:pStyle w:val="PunktlistaTankstreck"/>
        <w:tabs>
          <w:tab w:val="clear" w:pos="360"/>
        </w:tabs>
      </w:pPr>
      <w:r w:rsidRPr="00DB707A">
        <w:t>Stöd till FoU får tillgodoräknas företag med minst 1 och högst 250 anstäl</w:t>
      </w:r>
      <w:r w:rsidRPr="00DB707A">
        <w:t>l</w:t>
      </w:r>
      <w:r w:rsidRPr="00DB707A">
        <w:t>da genom kreditering på skattekonto</w:t>
      </w:r>
    </w:p>
    <w:p w:rsidR="000D4FE6" w:rsidRPr="00DB707A" w:rsidRDefault="000D4FE6">
      <w:pPr>
        <w:pStyle w:val="PunktlistaTankstreck"/>
        <w:tabs>
          <w:tab w:val="clear" w:pos="360"/>
        </w:tabs>
        <w:spacing w:before="0"/>
      </w:pPr>
      <w:r w:rsidRPr="00DB707A">
        <w:t>Stöd ska kunna ges till FoU och som syftar till att öka företagens konku</w:t>
      </w:r>
      <w:r w:rsidRPr="00DB707A">
        <w:t>r</w:t>
      </w:r>
      <w:r w:rsidRPr="00DB707A">
        <w:t>renskraft och affärsnytta</w:t>
      </w:r>
    </w:p>
    <w:p w:rsidR="000D4FE6" w:rsidRPr="00DB707A" w:rsidRDefault="000D4FE6">
      <w:pPr>
        <w:pStyle w:val="PunktlistaTankstreck"/>
        <w:tabs>
          <w:tab w:val="clear" w:pos="360"/>
        </w:tabs>
        <w:spacing w:before="0"/>
      </w:pPr>
      <w:r w:rsidRPr="00DB707A">
        <w:t>Stödet ska beviljas med högst 35 procent av företagets kostnader för in</w:t>
      </w:r>
      <w:r w:rsidRPr="00DB707A">
        <w:softHyphen/>
        <w:t>vesteringar i FoU, dock högst 2 800 tkr/år i investeringskostnader</w:t>
      </w:r>
    </w:p>
    <w:p w:rsidR="000D4FE6" w:rsidRPr="00DB707A" w:rsidRDefault="000D4FE6">
      <w:pPr>
        <w:pStyle w:val="PunktlistaTankstreck"/>
        <w:tabs>
          <w:tab w:val="clear" w:pos="360"/>
        </w:tabs>
        <w:spacing w:before="0"/>
      </w:pPr>
      <w:r w:rsidRPr="00DB707A">
        <w:t>Ansökan om stöd ska prövas av Vinnova.</w:t>
      </w:r>
    </w:p>
    <w:p w:rsidR="000D4FE6" w:rsidRPr="00DB707A" w:rsidRDefault="000D4FE6">
      <w:r w:rsidRPr="00DB707A">
        <w:t>Vänsterpartiet har i budgetmotion 2007/08:Fi276 avsatt 100 miljoner kronor fr.o.m. 2008 för ändamålet och föreslår med anledning av det ett lagförslag om att det införs möjlighet att kreditera skattekontot för små och medelstora företag som investerar i FoU enligt den modell som Näringsdepartementet föreslår i sitt PM.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07A">
        <w:trPr>
          <w:cantSplit/>
        </w:trPr>
        <w:tc>
          <w:tcPr>
            <w:tcW w:w="3046" w:type="dxa"/>
          </w:tcPr>
          <w:p w:rsidR="000D4FE6" w:rsidRPr="00DB707A" w:rsidRDefault="000D4FE6">
            <w:pPr>
              <w:pStyle w:val="UnderskriftDatum"/>
              <w:spacing w:before="240"/>
            </w:pPr>
            <w:r w:rsidRPr="00DB707A">
              <w:t>Stockholm den 3 oktober 2007</w:t>
            </w:r>
          </w:p>
        </w:tc>
        <w:tc>
          <w:tcPr>
            <w:tcW w:w="3047" w:type="dxa"/>
          </w:tcPr>
          <w:p w:rsidR="000D4FE6" w:rsidRPr="00DB707A" w:rsidRDefault="000D4FE6">
            <w:pPr>
              <w:pStyle w:val="Underskrifter"/>
              <w:spacing w:before="240"/>
            </w:pPr>
          </w:p>
        </w:tc>
      </w:tr>
      <w:tr w:rsidR="00000000" w:rsidRPr="00DB707A">
        <w:trPr>
          <w:cantSplit/>
        </w:trPr>
        <w:tc>
          <w:tcPr>
            <w:tcW w:w="3046" w:type="dxa"/>
          </w:tcPr>
          <w:p w:rsidR="000D4FE6" w:rsidRPr="00DB707A" w:rsidRDefault="000D4FE6">
            <w:pPr>
              <w:pStyle w:val="Underskrifter"/>
            </w:pPr>
            <w:r w:rsidRPr="00DB707A">
              <w:t>Kent Persson (v)</w:t>
            </w:r>
          </w:p>
        </w:tc>
        <w:tc>
          <w:tcPr>
            <w:tcW w:w="3046" w:type="dxa"/>
          </w:tcPr>
          <w:p w:rsidR="000D4FE6" w:rsidRPr="00DB707A" w:rsidRDefault="000D4FE6">
            <w:pPr>
              <w:pStyle w:val="Underskrifter"/>
            </w:pPr>
          </w:p>
        </w:tc>
      </w:tr>
      <w:tr w:rsidR="00000000" w:rsidRPr="00DB707A">
        <w:trPr>
          <w:cantSplit/>
        </w:trPr>
        <w:tc>
          <w:tcPr>
            <w:tcW w:w="3046" w:type="dxa"/>
          </w:tcPr>
          <w:p w:rsidR="000D4FE6" w:rsidRPr="00DB707A" w:rsidRDefault="000D4FE6">
            <w:pPr>
              <w:pStyle w:val="Underskrifter"/>
            </w:pPr>
            <w:r w:rsidRPr="00DB707A">
              <w:t>Ulla Andersson (v)</w:t>
            </w:r>
          </w:p>
        </w:tc>
        <w:tc>
          <w:tcPr>
            <w:tcW w:w="3046" w:type="dxa"/>
          </w:tcPr>
          <w:p w:rsidR="000D4FE6" w:rsidRPr="00DB707A" w:rsidRDefault="000D4FE6">
            <w:pPr>
              <w:pStyle w:val="Underskrifter"/>
            </w:pPr>
            <w:r w:rsidRPr="00DB707A">
              <w:t>Marie Engström (v)</w:t>
            </w:r>
          </w:p>
        </w:tc>
      </w:tr>
      <w:tr w:rsidR="00000000" w:rsidRPr="00DB707A">
        <w:trPr>
          <w:cantSplit/>
        </w:trPr>
        <w:tc>
          <w:tcPr>
            <w:tcW w:w="3046" w:type="dxa"/>
          </w:tcPr>
          <w:p w:rsidR="000D4FE6" w:rsidRPr="00DB707A" w:rsidRDefault="000D4FE6">
            <w:pPr>
              <w:pStyle w:val="Underskrifter"/>
            </w:pPr>
            <w:r w:rsidRPr="00DB707A">
              <w:t>Wiwi-Anne Johansson (v)</w:t>
            </w:r>
          </w:p>
        </w:tc>
        <w:tc>
          <w:tcPr>
            <w:tcW w:w="3046" w:type="dxa"/>
          </w:tcPr>
          <w:p w:rsidR="000D4FE6" w:rsidRPr="00DB707A" w:rsidRDefault="000D4FE6">
            <w:pPr>
              <w:pStyle w:val="Underskrifter"/>
            </w:pPr>
            <w:r w:rsidRPr="00DB707A">
              <w:t>Jacob Johnson (v)</w:t>
            </w:r>
          </w:p>
        </w:tc>
      </w:tr>
      <w:tr w:rsidR="00000000" w:rsidRPr="00DB707A">
        <w:trPr>
          <w:cantSplit/>
        </w:trPr>
        <w:tc>
          <w:tcPr>
            <w:tcW w:w="3046" w:type="dxa"/>
          </w:tcPr>
          <w:p w:rsidR="000D4FE6" w:rsidRPr="00DB707A" w:rsidRDefault="000D4FE6">
            <w:pPr>
              <w:pStyle w:val="Underskrifter"/>
            </w:pPr>
            <w:r w:rsidRPr="00DB707A">
              <w:t>Peter Pedersen (v)</w:t>
            </w:r>
          </w:p>
        </w:tc>
        <w:tc>
          <w:tcPr>
            <w:tcW w:w="3046" w:type="dxa"/>
          </w:tcPr>
          <w:p w:rsidR="000D4FE6" w:rsidRPr="00DB707A" w:rsidRDefault="000D4FE6">
            <w:pPr>
              <w:pStyle w:val="Underskrifter"/>
            </w:pPr>
          </w:p>
        </w:tc>
      </w:tr>
    </w:tbl>
    <w:p w:rsidR="000D4FE6" w:rsidRPr="00DB707A" w:rsidRDefault="000D4FE6">
      <w:pPr>
        <w:pStyle w:val="Normaltindrag"/>
      </w:pPr>
    </w:p>
    <w:sectPr w:rsidR="000D4FE6" w:rsidRPr="00DB70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FE6" w:rsidRPr="00DB707A" w:rsidRDefault="000D4FE6">
      <w:r w:rsidRPr="00DB707A">
        <w:separator/>
      </w:r>
    </w:p>
  </w:endnote>
  <w:endnote w:type="continuationSeparator" w:id="0">
    <w:p w:rsidR="000D4FE6" w:rsidRPr="00DB707A" w:rsidRDefault="000D4FE6">
      <w:r w:rsidRPr="00DB7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FE6" w:rsidRPr="00DB707A" w:rsidRDefault="00DB707A">
    <w:pPr>
      <w:pStyle w:val="Sidfot"/>
    </w:pPr>
    <w:r w:rsidRPr="00DB7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605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FE6" w:rsidRDefault="000D4F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FE6" w:rsidRDefault="000D4F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FE6" w:rsidRPr="00DB707A" w:rsidRDefault="00DB707A">
    <w:pPr>
      <w:pStyle w:val="Sidfot"/>
    </w:pPr>
    <w:r w:rsidRPr="00DB7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867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FE6" w:rsidRDefault="000D4F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FE6" w:rsidRDefault="000D4F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FE6" w:rsidRPr="00DB707A" w:rsidRDefault="00DB707A">
    <w:pPr>
      <w:pStyle w:val="Sidfot"/>
    </w:pPr>
    <w:r w:rsidRPr="00DB7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464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FE6" w:rsidRDefault="000D4F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FE6" w:rsidRDefault="000D4F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FE6" w:rsidRPr="00DB707A" w:rsidRDefault="000D4FE6">
      <w:r w:rsidRPr="00DB707A">
        <w:separator/>
      </w:r>
    </w:p>
  </w:footnote>
  <w:footnote w:type="continuationSeparator" w:id="0">
    <w:p w:rsidR="000D4FE6" w:rsidRPr="00DB707A" w:rsidRDefault="000D4FE6">
      <w:r w:rsidRPr="00DB7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FE6" w:rsidRPr="00DB707A" w:rsidRDefault="00DB707A">
    <w:pPr>
      <w:pStyle w:val="Sidhuvud"/>
    </w:pPr>
    <w:r w:rsidRPr="00DB7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199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FE6" w:rsidRDefault="000D4F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FE6" w:rsidRDefault="000D4F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FE6" w:rsidRPr="00DB707A" w:rsidRDefault="00DB707A">
    <w:pPr>
      <w:pStyle w:val="Sidhuvud"/>
    </w:pPr>
    <w:r w:rsidRPr="00DB7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722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FE6" w:rsidRDefault="000D4F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FE6" w:rsidRDefault="000D4F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FE6" w:rsidRPr="00DB707A" w:rsidRDefault="000D4FE6">
    <w:pPr>
      <w:pStyle w:val="FSHNormal"/>
      <w:tabs>
        <w:tab w:val="right" w:pos="5840"/>
      </w:tabs>
    </w:pPr>
    <w:r w:rsidRPr="00DB707A">
      <w:br/>
    </w:r>
    <w:r w:rsidRPr="00DB707A">
      <w:fldChar w:fldCharType="begin" w:fldLock="1"/>
    </w:r>
    <w:r w:rsidRPr="00DB707A">
      <w:instrText xml:space="preserve"> DOCPROPERTY</w:instrText>
    </w:r>
    <w:r w:rsidRPr="00DB707A">
      <w:rPr>
        <w:sz w:val="18"/>
      </w:rPr>
      <w:instrText xml:space="preserve"> "YearUser" *\charformat </w:instrText>
    </w:r>
    <w:r w:rsidRPr="00DB707A">
      <w:fldChar w:fldCharType="separate"/>
    </w:r>
    <w:r w:rsidRPr="00DB707A">
      <w:t>2007/08</w:t>
    </w:r>
    <w:r w:rsidRPr="00DB707A">
      <w:fldChar w:fldCharType="end"/>
    </w:r>
    <w:r w:rsidRPr="00DB707A">
      <w:t xml:space="preserve"> </w:t>
    </w:r>
    <w:r w:rsidRPr="00DB707A">
      <w:tab/>
      <w:t xml:space="preserve">mnr: </w:t>
    </w:r>
    <w:r w:rsidRPr="00DB707A">
      <w:fldChar w:fldCharType="begin" w:fldLock="1"/>
    </w:r>
    <w:r w:rsidRPr="00DB707A">
      <w:instrText xml:space="preserve"> DOCPROPERTY</w:instrText>
    </w:r>
    <w:r w:rsidRPr="00DB707A">
      <w:rPr>
        <w:sz w:val="18"/>
      </w:rPr>
      <w:instrText xml:space="preserve"> "Motionsnummer" *\charformat </w:instrText>
    </w:r>
    <w:r w:rsidRPr="00DB707A">
      <w:fldChar w:fldCharType="separate"/>
    </w:r>
    <w:r w:rsidRPr="00DB707A">
      <w:t>N288</w:t>
    </w:r>
    <w:r w:rsidRPr="00DB707A">
      <w:fldChar w:fldCharType="end"/>
    </w:r>
    <w:r w:rsidRPr="00DB707A">
      <w:br/>
    </w:r>
    <w:r w:rsidRPr="00DB707A">
      <w:fldChar w:fldCharType="begin" w:fldLock="1"/>
    </w:r>
    <w:r w:rsidRPr="00DB707A">
      <w:instrText xml:space="preserve"> DOCPROPERTY</w:instrText>
    </w:r>
    <w:r w:rsidRPr="00DB707A">
      <w:rPr>
        <w:sz w:val="18"/>
      </w:rPr>
      <w:instrText xml:space="preserve"> "Samling" *\charformat </w:instrText>
    </w:r>
    <w:r w:rsidRPr="00DB707A">
      <w:fldChar w:fldCharType="end"/>
    </w:r>
    <w:r w:rsidRPr="00DB707A">
      <w:tab/>
      <w:t xml:space="preserve">pnr: </w:t>
    </w:r>
    <w:r w:rsidRPr="00DB707A">
      <w:fldChar w:fldCharType="begin" w:fldLock="1"/>
    </w:r>
    <w:r w:rsidRPr="00DB707A">
      <w:instrText xml:space="preserve"> DOCPROPERTY</w:instrText>
    </w:r>
    <w:r w:rsidRPr="00DB707A">
      <w:rPr>
        <w:sz w:val="18"/>
      </w:rPr>
      <w:instrText xml:space="preserve"> "Partinummer" *\charformat </w:instrText>
    </w:r>
    <w:r w:rsidRPr="00DB707A">
      <w:fldChar w:fldCharType="separate"/>
    </w:r>
    <w:r w:rsidRPr="00DB707A">
      <w:t>v976</w:t>
    </w:r>
    <w:r w:rsidRPr="00DB707A">
      <w:fldChar w:fldCharType="end"/>
    </w:r>
  </w:p>
  <w:p w:rsidR="000D4FE6" w:rsidRPr="00DB707A" w:rsidRDefault="000D4FE6">
    <w:pPr>
      <w:pStyle w:val="FSHRub1"/>
    </w:pPr>
    <w:r w:rsidRPr="00DB707A">
      <w:t>Motion till riksdagen</w:t>
    </w:r>
    <w:r w:rsidRPr="00DB707A">
      <w:br/>
    </w:r>
    <w:r w:rsidRPr="00DB707A">
      <w:fldChar w:fldCharType="begin" w:fldLock="1"/>
    </w:r>
    <w:r w:rsidRPr="00DB707A">
      <w:instrText xml:space="preserve"> DOCPROPERTY "YearUser" *\charformat </w:instrText>
    </w:r>
    <w:r w:rsidRPr="00DB707A">
      <w:fldChar w:fldCharType="separate"/>
    </w:r>
    <w:r w:rsidRPr="00DB707A">
      <w:t>2007/08</w:t>
    </w:r>
    <w:r w:rsidRPr="00DB707A">
      <w:fldChar w:fldCharType="end"/>
    </w:r>
    <w:r w:rsidRPr="00DB707A">
      <w:t>:</w:t>
    </w:r>
    <w:r w:rsidRPr="00DB707A">
      <w:fldChar w:fldCharType="begin" w:fldLock="1"/>
    </w:r>
    <w:r w:rsidRPr="00DB707A">
      <w:instrText xml:space="preserve"> DOCPROPERTY "Motionsnummer" *\charformat </w:instrText>
    </w:r>
    <w:r w:rsidRPr="00DB707A">
      <w:fldChar w:fldCharType="separate"/>
    </w:r>
    <w:r w:rsidRPr="00DB707A">
      <w:t>N288</w:t>
    </w:r>
    <w:r w:rsidRPr="00DB707A">
      <w:fldChar w:fldCharType="end"/>
    </w:r>
  </w:p>
  <w:p w:rsidR="000D4FE6" w:rsidRPr="00DB707A" w:rsidRDefault="000D4FE6">
    <w:pPr>
      <w:pStyle w:val="FSHNormalS5"/>
    </w:pPr>
    <w:r w:rsidRPr="00DB707A">
      <w:fldChar w:fldCharType="begin" w:fldLock="1"/>
    </w:r>
    <w:r w:rsidRPr="00DB707A">
      <w:instrText xml:space="preserve"> DOCPROPERTY "MotionarText" *\charformat </w:instrText>
    </w:r>
    <w:r w:rsidRPr="00DB707A">
      <w:fldChar w:fldCharType="separate"/>
    </w:r>
    <w:r w:rsidRPr="00DB707A">
      <w:t>av Kent Persson m.fl. (v)</w:t>
    </w:r>
    <w:r w:rsidRPr="00DB707A">
      <w:fldChar w:fldCharType="end"/>
    </w:r>
    <w:r w:rsidRPr="00DB707A">
      <w:br/>
    </w:r>
    <w:r w:rsidRPr="00DB707A">
      <w:fldChar w:fldCharType="begin" w:fldLock="1"/>
    </w:r>
    <w:r w:rsidRPr="00DB707A">
      <w:instrText xml:space="preserve"> DOCPROPERTY "SvarFrasKort" *\charformat </w:instrText>
    </w:r>
    <w:r w:rsidRPr="00DB707A">
      <w:fldChar w:fldCharType="end"/>
    </w:r>
  </w:p>
  <w:p w:rsidR="000D4FE6" w:rsidRPr="00DB707A" w:rsidRDefault="000D4FE6">
    <w:pPr>
      <w:pStyle w:val="FSHTitel"/>
    </w:pPr>
    <w:r w:rsidRPr="00DB707A">
      <w:fldChar w:fldCharType="begin" w:fldLock="1"/>
    </w:r>
    <w:r w:rsidRPr="00DB707A">
      <w:instrText xml:space="preserve"> DOCPROPERTY</w:instrText>
    </w:r>
    <w:r w:rsidRPr="00DB707A">
      <w:rPr>
        <w:sz w:val="18"/>
      </w:rPr>
      <w:instrText xml:space="preserve"> "RubrikSvar" *\charformat </w:instrText>
    </w:r>
    <w:r w:rsidRPr="00DB707A">
      <w:fldChar w:fldCharType="separate"/>
    </w:r>
    <w:r w:rsidRPr="00DB707A">
      <w:t>Forskningsstöd till små företag</w:t>
    </w:r>
    <w:r w:rsidRPr="00DB707A">
      <w:fldChar w:fldCharType="end"/>
    </w:r>
  </w:p>
  <w:p w:rsidR="000D4FE6" w:rsidRPr="00DB707A" w:rsidRDefault="000D4FE6">
    <w:pPr>
      <w:pStyle w:val="Normal00"/>
    </w:pPr>
  </w:p>
  <w:p w:rsidR="000D4FE6" w:rsidRPr="00DB707A" w:rsidRDefault="000D4F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1F1EBE"/>
    <w:multiLevelType w:val="hybridMultilevel"/>
    <w:tmpl w:val="18B4F530"/>
    <w:lvl w:ilvl="0" w:tplc="A692DA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492E23"/>
    <w:multiLevelType w:val="hybridMultilevel"/>
    <w:tmpl w:val="D97639A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878374">
    <w:abstractNumId w:val="8"/>
  </w:num>
  <w:num w:numId="2" w16cid:durableId="2102409637">
    <w:abstractNumId w:val="9"/>
  </w:num>
  <w:num w:numId="3" w16cid:durableId="974717681">
    <w:abstractNumId w:val="8"/>
  </w:num>
  <w:num w:numId="4" w16cid:durableId="2054184437">
    <w:abstractNumId w:val="9"/>
  </w:num>
  <w:num w:numId="5" w16cid:durableId="1391342740">
    <w:abstractNumId w:val="15"/>
  </w:num>
  <w:num w:numId="6" w16cid:durableId="1111120744">
    <w:abstractNumId w:val="10"/>
  </w:num>
  <w:num w:numId="7" w16cid:durableId="2019966723">
    <w:abstractNumId w:val="12"/>
  </w:num>
  <w:num w:numId="8" w16cid:durableId="532234064">
    <w:abstractNumId w:val="13"/>
  </w:num>
  <w:num w:numId="9" w16cid:durableId="443503791">
    <w:abstractNumId w:val="8"/>
  </w:num>
  <w:num w:numId="10" w16cid:durableId="81920236">
    <w:abstractNumId w:val="3"/>
  </w:num>
  <w:num w:numId="11" w16cid:durableId="5406016">
    <w:abstractNumId w:val="2"/>
  </w:num>
  <w:num w:numId="12" w16cid:durableId="1628970189">
    <w:abstractNumId w:val="1"/>
  </w:num>
  <w:num w:numId="13" w16cid:durableId="640307035">
    <w:abstractNumId w:val="0"/>
  </w:num>
  <w:num w:numId="14" w16cid:durableId="216938332">
    <w:abstractNumId w:val="9"/>
  </w:num>
  <w:num w:numId="15" w16cid:durableId="2062633298">
    <w:abstractNumId w:val="7"/>
  </w:num>
  <w:num w:numId="16" w16cid:durableId="250510498">
    <w:abstractNumId w:val="6"/>
  </w:num>
  <w:num w:numId="17" w16cid:durableId="852911868">
    <w:abstractNumId w:val="5"/>
  </w:num>
  <w:num w:numId="18" w16cid:durableId="314995531">
    <w:abstractNumId w:val="4"/>
  </w:num>
  <w:num w:numId="19" w16cid:durableId="1678117397">
    <w:abstractNumId w:val="14"/>
  </w:num>
  <w:num w:numId="20" w16cid:durableId="2105371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BCE2632-605E-484A-97AC-47C334EA7100},{23C4D0E2-C6F4-49DA-B9C4-BE7D1928143F},{494960E9-BA36-4AC1-BBDB-126FB51B6387},{93F71F64-B3B2-464F-BCC5-C49DA1B8F0E4},{70ED92E7-062B-44F5-98C0-1732E6D079B7},{B0181D35-2F7D-4D23-BD15-5E0324552287}"/>
  </w:docVars>
  <w:rsids>
    <w:rsidRoot w:val="000E0987"/>
    <w:rsid w:val="000D4FE6"/>
    <w:rsid w:val="000E0987"/>
    <w:rsid w:val="00DB7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1BFBA8-E163-46B5-87D5-3E61A30F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4151</Characters>
  <Application>Microsoft Office Word</Application>
  <DocSecurity>4</DocSecurity>
  <Lines>86</Lines>
  <Paragraphs>36</Paragraphs>
  <ScaleCrop>false</ScaleCrop>
  <HeadingPairs>
    <vt:vector size="2" baseType="variant">
      <vt:variant>
        <vt:lpstr>Rubrik</vt:lpstr>
      </vt:variant>
      <vt:variant>
        <vt:i4>1</vt:i4>
      </vt:variant>
    </vt:vector>
  </HeadingPairs>
  <TitlesOfParts>
    <vt:vector size="1" baseType="lpstr">
      <vt:lpstr>v976</vt:lpstr>
    </vt:vector>
  </TitlesOfParts>
  <Company>Riksdagen</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v976</dc:title>
  <dc:subject>v976</dc:subject>
  <dc:creator>Riksdagen</dc:creator>
  <cp:keywords>Riksdagen</cp:keywords>
  <dc:description>TKG-ktrl, MSMQ4mb, PersReg-Distribution mm</dc:description>
  <cp:lastModifiedBy>Lars Brink</cp:lastModifiedBy>
  <cp:revision>2</cp:revision>
  <cp:lastPrinted>2007-10-31T14:32:00Z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Forskningsstöd till små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Forskningsstöd till små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20072008000000000118000009760075</vt:lpwstr>
  </property>
  <property fmtid="{D5CDD505-2E9C-101B-9397-08002B2CF9AE}" pid="47" name="datum">
    <vt:lpwstr>071003</vt:lpwstr>
  </property>
  <property fmtid="{D5CDD505-2E9C-101B-9397-08002B2CF9AE}" pid="48" name="avsändar-e-post">
    <vt:lpwstr/>
  </property>
  <property fmtid="{D5CDD505-2E9C-101B-9397-08002B2CF9AE}" pid="49" name="id">
    <vt:lpwstr>20072008000000000118000009760075</vt:lpwstr>
  </property>
  <property fmtid="{D5CDD505-2E9C-101B-9397-08002B2CF9AE}" pid="50" name="nummer">
    <vt:lpwstr>288</vt:lpwstr>
  </property>
  <property fmtid="{D5CDD505-2E9C-101B-9397-08002B2CF9AE}" pid="51" name="utskottsbeteckning">
    <vt:lpwstr>N</vt:lpwstr>
  </property>
  <property fmtid="{D5CDD505-2E9C-101B-9397-08002B2CF9AE}" pid="52" name="GlobalUID">
    <vt:lpwstr>{713C18E1-E4F4-4B1C-B899-CF7067A0D0C3}</vt:lpwstr>
  </property>
  <property fmtid="{D5CDD505-2E9C-101B-9397-08002B2CF9AE}" pid="53" name="Överföringar">
    <vt:i4>0</vt:i4>
  </property>
  <property fmtid="{D5CDD505-2E9C-101B-9397-08002B2CF9AE}" pid="54" name="Checksum">
    <vt:lpwstr>*1003190650870*</vt:lpwstr>
  </property>
  <property fmtid="{D5CDD505-2E9C-101B-9397-08002B2CF9AE}" pid="55" name="skuggnummer">
    <vt:lpwstr>2013</vt:lpwstr>
  </property>
  <property fmtid="{D5CDD505-2E9C-101B-9397-08002B2CF9AE}" pid="56" name="urixVersion">
    <vt:lpwstr>3.2.0.8</vt:lpwstr>
  </property>
  <property fmtid="{D5CDD505-2E9C-101B-9397-08002B2CF9AE}" pid="57" name="urixOrigin">
    <vt:lpwstr>071128 09:38:12.349</vt:lpwstr>
  </property>
  <property fmtid="{D5CDD505-2E9C-101B-9397-08002B2CF9AE}" pid="58" name="urixGuid">
    <vt:lpwstr>{9CEAA5FA-4F87-4F02-BE95-14C1CCA7046B}</vt:lpwstr>
  </property>
</Properties>
</file>