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23A3D">
        <w:tblPrEx>
          <w:tblCellMar>
            <w:top w:w="0" w:type="dxa"/>
            <w:bottom w:w="0" w:type="dxa"/>
          </w:tblCellMar>
        </w:tblPrEx>
        <w:trPr>
          <w:cantSplit/>
          <w:trHeight w:val="1720"/>
        </w:trPr>
        <w:tc>
          <w:tcPr>
            <w:tcW w:w="6024" w:type="dxa"/>
            <w:gridSpan w:val="2"/>
          </w:tcPr>
          <w:p w:rsidR="006C0E49" w:rsidRPr="00023A3D" w:rsidRDefault="006C0E49">
            <w:pPr>
              <w:pStyle w:val="HuvudRubrik"/>
            </w:pPr>
            <w:r w:rsidRPr="00023A3D">
              <w:t>Finansutskottets betänkande</w:t>
            </w:r>
          </w:p>
          <w:p w:rsidR="006C0E49" w:rsidRPr="00023A3D" w:rsidRDefault="006C0E49">
            <w:pPr>
              <w:pStyle w:val="HuvudRubrikRad2"/>
            </w:pPr>
            <w:bookmarkStart w:id="0" w:name="BetänkandeNr"/>
            <w:bookmarkEnd w:id="0"/>
            <w:r w:rsidRPr="00023A3D">
              <w:t>2001/02:FiU2</w:t>
            </w:r>
          </w:p>
        </w:tc>
        <w:tc>
          <w:tcPr>
            <w:tcW w:w="1418" w:type="dxa"/>
            <w:tcBorders>
              <w:bottom w:val="nil"/>
            </w:tcBorders>
          </w:tcPr>
          <w:p w:rsidR="006C0E49" w:rsidRPr="00023A3D" w:rsidRDefault="00023A3D">
            <w:pPr>
              <w:spacing w:line="230" w:lineRule="auto"/>
              <w:jc w:val="center"/>
            </w:pPr>
            <w:r w:rsidRPr="00023A3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C0E49" w:rsidRPr="00023A3D" w:rsidRDefault="006C0E49">
            <w:pPr>
              <w:pStyle w:val="Normaltindrag"/>
              <w:jc w:val="center"/>
            </w:pPr>
          </w:p>
          <w:p w:rsidR="006C0E49" w:rsidRPr="00023A3D" w:rsidRDefault="006C0E49">
            <w:pPr>
              <w:pStyle w:val="StatusSida1"/>
            </w:pPr>
          </w:p>
          <w:p w:rsidR="006C0E49" w:rsidRPr="00023A3D" w:rsidRDefault="006C0E49">
            <w:pPr>
              <w:pStyle w:val="UtskriftsdatumSida1"/>
              <w:framePr w:wrap="around"/>
            </w:pPr>
          </w:p>
        </w:tc>
      </w:tr>
      <w:tr w:rsidR="00000000" w:rsidRPr="00023A3D">
        <w:tblPrEx>
          <w:tblCellMar>
            <w:top w:w="0" w:type="dxa"/>
            <w:bottom w:w="0" w:type="dxa"/>
          </w:tblCellMar>
        </w:tblPrEx>
        <w:trPr>
          <w:cantSplit/>
        </w:trPr>
        <w:tc>
          <w:tcPr>
            <w:tcW w:w="6024" w:type="dxa"/>
            <w:gridSpan w:val="2"/>
            <w:tcBorders>
              <w:bottom w:val="single" w:sz="4" w:space="0" w:color="auto"/>
            </w:tcBorders>
          </w:tcPr>
          <w:p w:rsidR="006C0E49" w:rsidRPr="00023A3D" w:rsidRDefault="006C0E49">
            <w:pPr>
              <w:pStyle w:val="DokumentRubrik"/>
              <w:rPr>
                <w:noProof w:val="0"/>
              </w:rPr>
            </w:pPr>
            <w:bookmarkStart w:id="1" w:name="Huvudrubrik"/>
            <w:bookmarkEnd w:id="1"/>
            <w:r w:rsidRPr="00023A3D">
              <w:rPr>
                <w:noProof w:val="0"/>
              </w:rPr>
              <w:t>Utgiftsområde 2 Samhällsekonomi och finansförvaltning</w:t>
            </w:r>
          </w:p>
        </w:tc>
        <w:tc>
          <w:tcPr>
            <w:tcW w:w="1418" w:type="dxa"/>
            <w:tcBorders>
              <w:bottom w:val="nil"/>
            </w:tcBorders>
          </w:tcPr>
          <w:p w:rsidR="006C0E49" w:rsidRPr="00023A3D" w:rsidRDefault="006C0E49"/>
        </w:tc>
      </w:tr>
      <w:tr w:rsidR="00000000" w:rsidRPr="00023A3D">
        <w:tblPrEx>
          <w:tblCellMar>
            <w:top w:w="0" w:type="dxa"/>
            <w:bottom w:w="0" w:type="dxa"/>
          </w:tblCellMar>
        </w:tblPrEx>
        <w:trPr>
          <w:cantSplit/>
          <w:trHeight w:hRule="exact" w:val="360"/>
        </w:trPr>
        <w:tc>
          <w:tcPr>
            <w:tcW w:w="3012" w:type="dxa"/>
          </w:tcPr>
          <w:p w:rsidR="006C0E49" w:rsidRPr="00023A3D" w:rsidRDefault="006C0E49"/>
        </w:tc>
        <w:tc>
          <w:tcPr>
            <w:tcW w:w="3012" w:type="dxa"/>
          </w:tcPr>
          <w:p w:rsidR="006C0E49" w:rsidRPr="00023A3D" w:rsidRDefault="006C0E49"/>
        </w:tc>
        <w:tc>
          <w:tcPr>
            <w:tcW w:w="1418" w:type="dxa"/>
          </w:tcPr>
          <w:p w:rsidR="006C0E49" w:rsidRPr="00023A3D" w:rsidRDefault="006C0E49"/>
        </w:tc>
      </w:tr>
    </w:tbl>
    <w:p w:rsidR="006C0E49" w:rsidRPr="00023A3D" w:rsidRDefault="006C0E49"/>
    <w:p w:rsidR="006C0E49" w:rsidRPr="00023A3D" w:rsidRDefault="006C0E49">
      <w:pPr>
        <w:pStyle w:val="Rubrik1"/>
        <w:spacing w:after="180"/>
        <w:rPr>
          <w:noProof w:val="0"/>
        </w:rPr>
      </w:pPr>
      <w:bookmarkStart w:id="2" w:name="_Toc532365461"/>
      <w:r w:rsidRPr="00023A3D">
        <w:rPr>
          <w:noProof w:val="0"/>
        </w:rPr>
        <w:t>Sammanfattning</w:t>
      </w:r>
      <w:bookmarkEnd w:id="2"/>
    </w:p>
    <w:p w:rsidR="006C0E49" w:rsidRPr="00023A3D" w:rsidRDefault="006C0E49">
      <w:bookmarkStart w:id="3" w:name="TextStart"/>
      <w:bookmarkEnd w:id="3"/>
      <w:r w:rsidRPr="00023A3D">
        <w:t>Finansutskottet tillstyrker i betänkandet regeringens förslag till fördelning av utgifter på anslag inom utgiftsområdet. Utskottet biträder också regeringens förslag till investeringsplaner och låneramar för Statens fastighetsverk och Fortifikationsverket liksom förslaget att Premiepensionsmyndigheten skall beviljas en rörlig kredit på 500 miljoner kronor även för 2002. Vidare föreslås bl.a. att Premiepensionsmyndigheten, Insättningsgarantinämnden och Kärna</w:t>
      </w:r>
      <w:r w:rsidRPr="00023A3D">
        <w:t>v</w:t>
      </w:r>
      <w:r w:rsidRPr="00023A3D">
        <w:t>fallsfonden skall ges rätt att göra placeringar även i skuldförbindelser utfärd</w:t>
      </w:r>
      <w:r w:rsidRPr="00023A3D">
        <w:t>a</w:t>
      </w:r>
      <w:r w:rsidRPr="00023A3D">
        <w:t>de av staten.</w:t>
      </w:r>
    </w:p>
    <w:p w:rsidR="006C0E49" w:rsidRPr="00023A3D" w:rsidRDefault="006C0E49">
      <w:pPr>
        <w:pStyle w:val="Normaltindrag"/>
      </w:pPr>
      <w:r w:rsidRPr="00023A3D">
        <w:t>Ett antal motioner med anknytning till utgiftsområdet behandlas också i betänkandet. Motionerna avstyrks.</w:t>
      </w:r>
    </w:p>
    <w:p w:rsidR="006C0E49" w:rsidRPr="00023A3D" w:rsidRDefault="006C0E49">
      <w:pPr>
        <w:pStyle w:val="Normaltindrag"/>
      </w:pPr>
      <w:r w:rsidRPr="00023A3D">
        <w:t>I betänkandet finns fem reservationer och två särskilda yttranden.</w:t>
      </w:r>
    </w:p>
    <w:p w:rsidR="006C0E49" w:rsidRPr="00023A3D" w:rsidRDefault="006C0E49">
      <w:pPr>
        <w:pStyle w:val="Normaltindrag"/>
        <w:sectPr w:rsidR="00000000" w:rsidRPr="00023A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C0E49" w:rsidRPr="00023A3D" w:rsidRDefault="006C0E49">
      <w:pPr>
        <w:pStyle w:val="Rubrik1"/>
        <w:rPr>
          <w:noProof w:val="0"/>
        </w:rPr>
      </w:pPr>
      <w:bookmarkStart w:id="4" w:name="_Toc532365462"/>
      <w:r w:rsidRPr="00023A3D">
        <w:rPr>
          <w:noProof w:val="0"/>
        </w:rPr>
        <w:lastRenderedPageBreak/>
        <w:t>Innehållsförteckning</w:t>
      </w:r>
      <w:bookmarkEnd w:id="4"/>
    </w:p>
    <w:p w:rsidR="006C0E49" w:rsidRPr="00023A3D" w:rsidRDefault="006C0E49">
      <w:pPr>
        <w:pStyle w:val="Innehll1"/>
      </w:pPr>
      <w:r w:rsidRPr="00023A3D">
        <w:t>Sammanfattning</w:t>
      </w:r>
      <w:r w:rsidRPr="00023A3D">
        <w:tab/>
        <w:t>1</w:t>
      </w:r>
    </w:p>
    <w:p w:rsidR="006C0E49" w:rsidRPr="00023A3D" w:rsidRDefault="006C0E49">
      <w:pPr>
        <w:pStyle w:val="Innehll1"/>
      </w:pPr>
      <w:r w:rsidRPr="00023A3D">
        <w:t>Innehållsförteckning</w:t>
      </w:r>
      <w:r w:rsidRPr="00023A3D">
        <w:tab/>
        <w:t>2</w:t>
      </w:r>
    </w:p>
    <w:p w:rsidR="006C0E49" w:rsidRPr="00023A3D" w:rsidRDefault="006C0E49">
      <w:pPr>
        <w:pStyle w:val="Innehll1"/>
      </w:pPr>
      <w:r w:rsidRPr="00023A3D">
        <w:t>Utskottets förslag till riksdagsbeslut</w:t>
      </w:r>
      <w:r w:rsidRPr="00023A3D">
        <w:tab/>
        <w:t>4</w:t>
      </w:r>
    </w:p>
    <w:p w:rsidR="006C0E49" w:rsidRPr="00023A3D" w:rsidRDefault="006C0E49">
      <w:pPr>
        <w:pStyle w:val="Innehll1"/>
      </w:pPr>
      <w:r w:rsidRPr="00023A3D">
        <w:t>Redogörelse för ärendet</w:t>
      </w:r>
      <w:r w:rsidRPr="00023A3D">
        <w:tab/>
        <w:t>8</w:t>
      </w:r>
    </w:p>
    <w:p w:rsidR="006C0E49" w:rsidRPr="00023A3D" w:rsidRDefault="006C0E49">
      <w:pPr>
        <w:pStyle w:val="Innehll2"/>
      </w:pPr>
      <w:r w:rsidRPr="00023A3D">
        <w:t>Ärendet och dess beredning</w:t>
      </w:r>
      <w:r w:rsidRPr="00023A3D">
        <w:tab/>
        <w:t>8</w:t>
      </w:r>
    </w:p>
    <w:p w:rsidR="006C0E49" w:rsidRPr="00023A3D" w:rsidRDefault="006C0E49">
      <w:pPr>
        <w:pStyle w:val="Innehll2"/>
      </w:pPr>
      <w:r w:rsidRPr="00023A3D">
        <w:t>Propositionens huvudsakliga innehåll</w:t>
      </w:r>
      <w:r w:rsidRPr="00023A3D">
        <w:tab/>
        <w:t>8</w:t>
      </w:r>
    </w:p>
    <w:p w:rsidR="006C0E49" w:rsidRPr="00023A3D" w:rsidRDefault="006C0E49">
      <w:pPr>
        <w:pStyle w:val="Innehll1"/>
      </w:pPr>
      <w:r w:rsidRPr="00023A3D">
        <w:t>Utskottets överväganden</w:t>
      </w:r>
      <w:r w:rsidRPr="00023A3D">
        <w:tab/>
        <w:t>9</w:t>
      </w:r>
    </w:p>
    <w:p w:rsidR="006C0E49" w:rsidRPr="00023A3D" w:rsidRDefault="006C0E49">
      <w:pPr>
        <w:pStyle w:val="Innehll2"/>
      </w:pPr>
      <w:r w:rsidRPr="00023A3D">
        <w:t>Ekonomisk styrning inom utgiftsområdet</w:t>
      </w:r>
      <w:r w:rsidRPr="00023A3D">
        <w:tab/>
        <w:t>9</w:t>
      </w:r>
    </w:p>
    <w:p w:rsidR="006C0E49" w:rsidRPr="00023A3D" w:rsidRDefault="006C0E49">
      <w:pPr>
        <w:pStyle w:val="Innehll2"/>
      </w:pPr>
      <w:r w:rsidRPr="00023A3D">
        <w:t>Anslagen för 2002 inom utgiftsområde 2</w:t>
      </w:r>
      <w:r w:rsidRPr="00023A3D">
        <w:tab/>
        <w:t>11</w:t>
      </w:r>
    </w:p>
    <w:p w:rsidR="006C0E49" w:rsidRPr="00023A3D" w:rsidRDefault="006C0E49">
      <w:pPr>
        <w:pStyle w:val="Innehll2"/>
        <w:ind w:left="738"/>
      </w:pPr>
      <w:r w:rsidRPr="00023A3D">
        <w:t>Politikområdet Effektiv statsförvaltning</w:t>
      </w:r>
      <w:r w:rsidRPr="00023A3D">
        <w:tab/>
        <w:t>12</w:t>
      </w:r>
    </w:p>
    <w:p w:rsidR="006C0E49" w:rsidRPr="00023A3D" w:rsidRDefault="006C0E49">
      <w:pPr>
        <w:pStyle w:val="Innehll3"/>
      </w:pPr>
      <w:r w:rsidRPr="00023A3D">
        <w:t>Revisionens iakttagelser</w:t>
      </w:r>
      <w:r w:rsidRPr="00023A3D">
        <w:tab/>
        <w:t>12</w:t>
      </w:r>
    </w:p>
    <w:p w:rsidR="006C0E49" w:rsidRPr="00023A3D" w:rsidRDefault="006C0E49">
      <w:pPr>
        <w:pStyle w:val="Innehll3"/>
      </w:pPr>
      <w:r w:rsidRPr="00023A3D">
        <w:t>Målet för politikområdet</w:t>
      </w:r>
      <w:r w:rsidRPr="00023A3D">
        <w:tab/>
        <w:t>12</w:t>
      </w:r>
    </w:p>
    <w:p w:rsidR="006C0E49" w:rsidRPr="00023A3D" w:rsidRDefault="006C0E49">
      <w:pPr>
        <w:pStyle w:val="Innehll3"/>
      </w:pPr>
      <w:r w:rsidRPr="00023A3D">
        <w:t>Konjunkturinstitutet</w:t>
      </w:r>
      <w:r w:rsidRPr="00023A3D">
        <w:tab/>
        <w:t>13</w:t>
      </w:r>
    </w:p>
    <w:p w:rsidR="006C0E49" w:rsidRPr="00023A3D" w:rsidRDefault="006C0E49">
      <w:pPr>
        <w:pStyle w:val="Innehll3"/>
      </w:pPr>
      <w:r w:rsidRPr="00023A3D">
        <w:t>Riksrevisionsverket</w:t>
      </w:r>
      <w:r w:rsidRPr="00023A3D">
        <w:tab/>
        <w:t>1</w:t>
      </w:r>
      <w:bookmarkStart w:id="5" w:name="_Hlt532367990"/>
      <w:r w:rsidRPr="00023A3D">
        <w:t>4</w:t>
      </w:r>
      <w:bookmarkEnd w:id="5"/>
    </w:p>
    <w:p w:rsidR="006C0E49" w:rsidRPr="00023A3D" w:rsidRDefault="006C0E49">
      <w:pPr>
        <w:pStyle w:val="Innehll3"/>
      </w:pPr>
      <w:r w:rsidRPr="00023A3D">
        <w:t>Ekonomistyrningsverket</w:t>
      </w:r>
      <w:r w:rsidRPr="00023A3D">
        <w:tab/>
        <w:t>14</w:t>
      </w:r>
    </w:p>
    <w:p w:rsidR="006C0E49" w:rsidRPr="00023A3D" w:rsidRDefault="006C0E49">
      <w:pPr>
        <w:pStyle w:val="Innehll3"/>
      </w:pPr>
      <w:r w:rsidRPr="00023A3D">
        <w:t>Statskontoret</w:t>
      </w:r>
      <w:r w:rsidRPr="00023A3D">
        <w:tab/>
        <w:t>15</w:t>
      </w:r>
    </w:p>
    <w:p w:rsidR="006C0E49" w:rsidRPr="00023A3D" w:rsidRDefault="006C0E49">
      <w:pPr>
        <w:pStyle w:val="Innehll3"/>
      </w:pPr>
      <w:r w:rsidRPr="00023A3D">
        <w:t>Täckning av merkostnader för lokaler</w:t>
      </w:r>
      <w:r w:rsidRPr="00023A3D">
        <w:tab/>
        <w:t>15</w:t>
      </w:r>
    </w:p>
    <w:p w:rsidR="006C0E49" w:rsidRPr="00023A3D" w:rsidRDefault="006C0E49">
      <w:pPr>
        <w:pStyle w:val="Innehll3"/>
      </w:pPr>
      <w:r w:rsidRPr="00023A3D">
        <w:t>Statistiska centralbyrån</w:t>
      </w:r>
      <w:r w:rsidRPr="00023A3D">
        <w:tab/>
        <w:t>15</w:t>
      </w:r>
    </w:p>
    <w:p w:rsidR="006C0E49" w:rsidRPr="00023A3D" w:rsidRDefault="006C0E49">
      <w:pPr>
        <w:pStyle w:val="Innehll3"/>
      </w:pPr>
      <w:r w:rsidRPr="00023A3D">
        <w:t>Folk- och bostadsstatistik</w:t>
      </w:r>
      <w:r w:rsidRPr="00023A3D">
        <w:tab/>
        <w:t>16</w:t>
      </w:r>
    </w:p>
    <w:p w:rsidR="006C0E49" w:rsidRPr="00023A3D" w:rsidRDefault="006C0E49">
      <w:pPr>
        <w:pStyle w:val="Innehll3"/>
      </w:pPr>
      <w:r w:rsidRPr="00023A3D">
        <w:t>Kammarkollegiet</w:t>
      </w:r>
      <w:r w:rsidRPr="00023A3D">
        <w:tab/>
        <w:t>17</w:t>
      </w:r>
    </w:p>
    <w:p w:rsidR="006C0E49" w:rsidRPr="00023A3D" w:rsidRDefault="006C0E49">
      <w:pPr>
        <w:pStyle w:val="Innehll3"/>
      </w:pPr>
      <w:r w:rsidRPr="00023A3D">
        <w:t>Nämnden för offentlig upphandling</w:t>
      </w:r>
      <w:r w:rsidRPr="00023A3D">
        <w:tab/>
        <w:t>17</w:t>
      </w:r>
    </w:p>
    <w:p w:rsidR="006C0E49" w:rsidRPr="00023A3D" w:rsidRDefault="006C0E49">
      <w:pPr>
        <w:pStyle w:val="Innehll3"/>
      </w:pPr>
      <w:r w:rsidRPr="00023A3D">
        <w:t>Statens kvalitets- och kompetensråd</w:t>
      </w:r>
      <w:r w:rsidRPr="00023A3D">
        <w:tab/>
        <w:t>1</w:t>
      </w:r>
      <w:bookmarkStart w:id="6" w:name="_Hlt532368009"/>
      <w:r w:rsidRPr="00023A3D">
        <w:t>8</w:t>
      </w:r>
      <w:bookmarkEnd w:id="6"/>
    </w:p>
    <w:p w:rsidR="006C0E49" w:rsidRPr="00023A3D" w:rsidRDefault="006C0E49">
      <w:pPr>
        <w:pStyle w:val="Innehll3"/>
      </w:pPr>
      <w:r w:rsidRPr="00023A3D">
        <w:t>Ekonomiska rådet</w:t>
      </w:r>
      <w:r w:rsidRPr="00023A3D">
        <w:tab/>
        <w:t>18</w:t>
      </w:r>
    </w:p>
    <w:p w:rsidR="006C0E49" w:rsidRPr="00023A3D" w:rsidRDefault="006C0E49">
      <w:pPr>
        <w:pStyle w:val="Innehll3"/>
      </w:pPr>
      <w:r w:rsidRPr="00023A3D">
        <w:t>Utvecklingsarbete</w:t>
      </w:r>
      <w:r w:rsidRPr="00023A3D">
        <w:tab/>
        <w:t>19</w:t>
      </w:r>
    </w:p>
    <w:p w:rsidR="006C0E49" w:rsidRPr="00023A3D" w:rsidRDefault="006C0E49">
      <w:pPr>
        <w:pStyle w:val="Innehll3"/>
      </w:pPr>
      <w:r w:rsidRPr="00023A3D">
        <w:t>Arbetsgivarverket</w:t>
      </w:r>
      <w:r w:rsidRPr="00023A3D">
        <w:tab/>
        <w:t>19</w:t>
      </w:r>
    </w:p>
    <w:p w:rsidR="006C0E49" w:rsidRPr="00023A3D" w:rsidRDefault="006C0E49">
      <w:pPr>
        <w:pStyle w:val="Innehll3"/>
      </w:pPr>
      <w:r w:rsidRPr="00023A3D">
        <w:t>Arbetsgivarpolitiska frågor</w:t>
      </w:r>
      <w:r w:rsidRPr="00023A3D">
        <w:tab/>
        <w:t>19</w:t>
      </w:r>
    </w:p>
    <w:p w:rsidR="006C0E49" w:rsidRPr="00023A3D" w:rsidRDefault="006C0E49">
      <w:pPr>
        <w:pStyle w:val="Innehll3"/>
      </w:pPr>
      <w:r w:rsidRPr="00023A3D">
        <w:t>Statliga tjänstepensioner</w:t>
      </w:r>
      <w:r w:rsidRPr="00023A3D">
        <w:tab/>
        <w:t>20</w:t>
      </w:r>
    </w:p>
    <w:p w:rsidR="006C0E49" w:rsidRPr="00023A3D" w:rsidRDefault="006C0E49">
      <w:pPr>
        <w:pStyle w:val="Innehll2"/>
        <w:ind w:left="738"/>
      </w:pPr>
      <w:r w:rsidRPr="00023A3D">
        <w:t>Politikområdet Finansiella system och tillsyn</w:t>
      </w:r>
      <w:r w:rsidRPr="00023A3D">
        <w:tab/>
      </w:r>
      <w:bookmarkStart w:id="7" w:name="_Hlt532368040"/>
      <w:r w:rsidRPr="00023A3D">
        <w:t>20</w:t>
      </w:r>
      <w:bookmarkEnd w:id="7"/>
    </w:p>
    <w:p w:rsidR="006C0E49" w:rsidRPr="00023A3D" w:rsidRDefault="006C0E49">
      <w:pPr>
        <w:pStyle w:val="Innehll3"/>
      </w:pPr>
      <w:r w:rsidRPr="00023A3D">
        <w:t>Revisionens iakttagelser</w:t>
      </w:r>
      <w:r w:rsidRPr="00023A3D">
        <w:tab/>
        <w:t>20</w:t>
      </w:r>
    </w:p>
    <w:p w:rsidR="006C0E49" w:rsidRPr="00023A3D" w:rsidRDefault="006C0E49">
      <w:pPr>
        <w:pStyle w:val="Innehll3"/>
      </w:pPr>
      <w:r w:rsidRPr="00023A3D">
        <w:t>Målet för politikområdet</w:t>
      </w:r>
      <w:r w:rsidRPr="00023A3D">
        <w:tab/>
        <w:t>20</w:t>
      </w:r>
    </w:p>
    <w:p w:rsidR="006C0E49" w:rsidRPr="00023A3D" w:rsidRDefault="006C0E49">
      <w:pPr>
        <w:pStyle w:val="Innehll3"/>
      </w:pPr>
      <w:r w:rsidRPr="00023A3D">
        <w:t>Finansinspektionen</w:t>
      </w:r>
      <w:r w:rsidRPr="00023A3D">
        <w:tab/>
        <w:t>21</w:t>
      </w:r>
    </w:p>
    <w:p w:rsidR="006C0E49" w:rsidRPr="00023A3D" w:rsidRDefault="006C0E49">
      <w:pPr>
        <w:pStyle w:val="Innehll3"/>
      </w:pPr>
      <w:r w:rsidRPr="00023A3D">
        <w:t>Insättningsgarantinämnden</w:t>
      </w:r>
      <w:r w:rsidRPr="00023A3D">
        <w:tab/>
        <w:t>21</w:t>
      </w:r>
    </w:p>
    <w:p w:rsidR="006C0E49" w:rsidRPr="00023A3D" w:rsidRDefault="006C0E49">
      <w:pPr>
        <w:pStyle w:val="Innehll3"/>
      </w:pPr>
      <w:r w:rsidRPr="00023A3D">
        <w:t>Riksgäldskontorets förvaltningskostnader</w:t>
      </w:r>
      <w:r w:rsidRPr="00023A3D">
        <w:tab/>
        <w:t>22</w:t>
      </w:r>
    </w:p>
    <w:p w:rsidR="006C0E49" w:rsidRPr="00023A3D" w:rsidRDefault="006C0E49">
      <w:pPr>
        <w:pStyle w:val="Innehll3"/>
      </w:pPr>
      <w:r w:rsidRPr="00023A3D">
        <w:t>Bokföringsnämnden</w:t>
      </w:r>
      <w:r w:rsidRPr="00023A3D">
        <w:tab/>
        <w:t>22</w:t>
      </w:r>
    </w:p>
    <w:p w:rsidR="006C0E49" w:rsidRPr="00023A3D" w:rsidRDefault="006C0E49">
      <w:pPr>
        <w:pStyle w:val="Innehll3"/>
      </w:pPr>
      <w:r w:rsidRPr="00023A3D">
        <w:t>Avgift för Stadshypotekskassans grundfond</w:t>
      </w:r>
      <w:r w:rsidRPr="00023A3D">
        <w:tab/>
        <w:t>22</w:t>
      </w:r>
    </w:p>
    <w:p w:rsidR="006C0E49" w:rsidRPr="00023A3D" w:rsidRDefault="006C0E49">
      <w:pPr>
        <w:pStyle w:val="Innehll3"/>
      </w:pPr>
      <w:r w:rsidRPr="00023A3D">
        <w:t>Insatser i internationella finansieringsinstitutioner</w:t>
      </w:r>
      <w:r w:rsidRPr="00023A3D">
        <w:tab/>
        <w:t>23</w:t>
      </w:r>
    </w:p>
    <w:p w:rsidR="006C0E49" w:rsidRPr="00023A3D" w:rsidRDefault="006C0E49">
      <w:pPr>
        <w:pStyle w:val="Innehll3"/>
      </w:pPr>
      <w:r w:rsidRPr="00023A3D">
        <w:t>Avsättning för garantiverksamhet</w:t>
      </w:r>
      <w:r w:rsidRPr="00023A3D">
        <w:tab/>
        <w:t>23</w:t>
      </w:r>
    </w:p>
    <w:p w:rsidR="006C0E49" w:rsidRPr="00023A3D" w:rsidRDefault="006C0E49">
      <w:pPr>
        <w:pStyle w:val="Innehll3"/>
      </w:pPr>
      <w:r w:rsidRPr="00023A3D">
        <w:t>Premiepensionsmyndigheten</w:t>
      </w:r>
      <w:r w:rsidRPr="00023A3D">
        <w:tab/>
        <w:t>24</w:t>
      </w:r>
    </w:p>
    <w:p w:rsidR="006C0E49" w:rsidRPr="00023A3D" w:rsidRDefault="006C0E49">
      <w:pPr>
        <w:pStyle w:val="Innehll2"/>
        <w:ind w:left="738"/>
      </w:pPr>
      <w:r w:rsidRPr="00023A3D">
        <w:t>Ofördelat anslag</w:t>
      </w:r>
      <w:r w:rsidRPr="00023A3D">
        <w:tab/>
        <w:t>24</w:t>
      </w:r>
    </w:p>
    <w:p w:rsidR="006C0E49" w:rsidRPr="00023A3D" w:rsidRDefault="006C0E49">
      <w:pPr>
        <w:pStyle w:val="Innehll3"/>
      </w:pPr>
      <w:r w:rsidRPr="00023A3D">
        <w:t>Målet för området</w:t>
      </w:r>
      <w:r w:rsidRPr="00023A3D">
        <w:tab/>
        <w:t>24</w:t>
      </w:r>
    </w:p>
    <w:p w:rsidR="006C0E49" w:rsidRPr="00023A3D" w:rsidRDefault="006C0E49">
      <w:pPr>
        <w:pStyle w:val="Innehll3"/>
      </w:pPr>
      <w:r w:rsidRPr="00023A3D">
        <w:t>Riksdagens revisorer</w:t>
      </w:r>
      <w:r w:rsidRPr="00023A3D">
        <w:tab/>
        <w:t>24</w:t>
      </w:r>
    </w:p>
    <w:p w:rsidR="006C0E49" w:rsidRPr="00023A3D" w:rsidRDefault="006C0E49">
      <w:pPr>
        <w:pStyle w:val="Innehll2"/>
        <w:ind w:left="624" w:hanging="170"/>
      </w:pPr>
      <w:r w:rsidRPr="00023A3D">
        <w:t>Finansutskottets samlade ställningstagande till anslagen inom utgiftsområde 2</w:t>
      </w:r>
      <w:r w:rsidRPr="00023A3D">
        <w:tab/>
        <w:t>25</w:t>
      </w:r>
    </w:p>
    <w:p w:rsidR="006C0E49" w:rsidRPr="00023A3D" w:rsidRDefault="006C0E49">
      <w:pPr>
        <w:pStyle w:val="Innehll2"/>
      </w:pPr>
      <w:r w:rsidRPr="00023A3D">
        <w:t>Statens fastighetsverk</w:t>
      </w:r>
      <w:r w:rsidRPr="00023A3D">
        <w:tab/>
        <w:t>29</w:t>
      </w:r>
    </w:p>
    <w:p w:rsidR="006C0E49" w:rsidRPr="00023A3D" w:rsidRDefault="006C0E49">
      <w:pPr>
        <w:pStyle w:val="Innehll2"/>
      </w:pPr>
      <w:r w:rsidRPr="00023A3D">
        <w:t>Fortifikationsverket</w:t>
      </w:r>
      <w:r w:rsidRPr="00023A3D">
        <w:tab/>
      </w:r>
      <w:bookmarkStart w:id="8" w:name="_Hlt532368099"/>
      <w:r w:rsidRPr="00023A3D">
        <w:t>29</w:t>
      </w:r>
      <w:bookmarkEnd w:id="8"/>
    </w:p>
    <w:p w:rsidR="006C0E49" w:rsidRPr="00023A3D" w:rsidRDefault="006C0E49">
      <w:pPr>
        <w:pStyle w:val="Innehll2"/>
      </w:pPr>
      <w:r w:rsidRPr="00023A3D">
        <w:t>Rörlig kredit för Premiepensionsmyndigheten</w:t>
      </w:r>
      <w:r w:rsidRPr="00023A3D">
        <w:tab/>
        <w:t>30</w:t>
      </w:r>
    </w:p>
    <w:p w:rsidR="006C0E49" w:rsidRPr="00023A3D" w:rsidRDefault="006C0E49">
      <w:pPr>
        <w:pStyle w:val="Innehll2"/>
      </w:pPr>
      <w:r w:rsidRPr="00023A3D">
        <w:t>Kapitalhöjning i Europarådets utvecklingsbank</w:t>
      </w:r>
      <w:r w:rsidRPr="00023A3D">
        <w:tab/>
        <w:t>31</w:t>
      </w:r>
    </w:p>
    <w:p w:rsidR="006C0E49" w:rsidRPr="00023A3D" w:rsidRDefault="006C0E49">
      <w:pPr>
        <w:pStyle w:val="Innehll2"/>
      </w:pPr>
      <w:r w:rsidRPr="00023A3D">
        <w:t>Tillgångshantering inom Riksgäldskontoret</w:t>
      </w:r>
      <w:r w:rsidRPr="00023A3D">
        <w:tab/>
        <w:t>32</w:t>
      </w:r>
    </w:p>
    <w:p w:rsidR="006C0E49" w:rsidRPr="00023A3D" w:rsidRDefault="006C0E49">
      <w:pPr>
        <w:pStyle w:val="Innehll2"/>
      </w:pPr>
      <w:r w:rsidRPr="00023A3D">
        <w:t>Hantering av äldre garantier till vissa bolag</w:t>
      </w:r>
      <w:r w:rsidRPr="00023A3D">
        <w:tab/>
        <w:t>33</w:t>
      </w:r>
    </w:p>
    <w:p w:rsidR="006C0E49" w:rsidRPr="00023A3D" w:rsidRDefault="006C0E49">
      <w:pPr>
        <w:pStyle w:val="Innehll2"/>
      </w:pPr>
      <w:r w:rsidRPr="00023A3D">
        <w:t>Finansinspektionens finansiering</w:t>
      </w:r>
      <w:r w:rsidRPr="00023A3D">
        <w:tab/>
        <w:t>34</w:t>
      </w:r>
    </w:p>
    <w:p w:rsidR="006C0E49" w:rsidRPr="00023A3D" w:rsidRDefault="006C0E49">
      <w:pPr>
        <w:pStyle w:val="Innehll2"/>
      </w:pPr>
      <w:r w:rsidRPr="00023A3D">
        <w:t>Företagens uppgiftslämnande</w:t>
      </w:r>
      <w:r w:rsidRPr="00023A3D">
        <w:tab/>
        <w:t>35</w:t>
      </w:r>
    </w:p>
    <w:p w:rsidR="006C0E49" w:rsidRPr="00023A3D" w:rsidRDefault="006C0E49">
      <w:pPr>
        <w:pStyle w:val="Innehll2"/>
      </w:pPr>
      <w:r w:rsidRPr="00023A3D">
        <w:t>Generationsräkenskaper</w:t>
      </w:r>
      <w:r w:rsidRPr="00023A3D">
        <w:tab/>
        <w:t>3</w:t>
      </w:r>
      <w:bookmarkStart w:id="9" w:name="_Hlt532368136"/>
      <w:r w:rsidRPr="00023A3D">
        <w:t>6</w:t>
      </w:r>
      <w:bookmarkEnd w:id="9"/>
    </w:p>
    <w:p w:rsidR="006C0E49" w:rsidRPr="00023A3D" w:rsidRDefault="006C0E49">
      <w:pPr>
        <w:pStyle w:val="Innehll1"/>
      </w:pPr>
      <w:r w:rsidRPr="00023A3D">
        <w:t>Reservationer</w:t>
      </w:r>
      <w:r w:rsidRPr="00023A3D">
        <w:tab/>
        <w:t>38</w:t>
      </w:r>
    </w:p>
    <w:p w:rsidR="006C0E49" w:rsidRPr="00023A3D" w:rsidRDefault="006C0E49">
      <w:pPr>
        <w:pStyle w:val="Innehll2"/>
        <w:tabs>
          <w:tab w:val="left" w:pos="568"/>
        </w:tabs>
      </w:pPr>
      <w:r w:rsidRPr="00023A3D">
        <w:t>1.</w:t>
      </w:r>
      <w:r w:rsidRPr="00023A3D">
        <w:tab/>
        <w:t>Anslagen för 2002 inom utgiftsområde 2 – punkt 1 (m)</w:t>
      </w:r>
      <w:r w:rsidRPr="00023A3D">
        <w:tab/>
      </w:r>
      <w:bookmarkStart w:id="10" w:name="_Hlt532368180"/>
      <w:r w:rsidRPr="00023A3D">
        <w:t>38</w:t>
      </w:r>
      <w:bookmarkEnd w:id="10"/>
    </w:p>
    <w:p w:rsidR="006C0E49" w:rsidRPr="00023A3D" w:rsidRDefault="006C0E49">
      <w:pPr>
        <w:pStyle w:val="Innehll2"/>
        <w:tabs>
          <w:tab w:val="left" w:pos="568"/>
        </w:tabs>
      </w:pPr>
      <w:r w:rsidRPr="00023A3D">
        <w:t>2.</w:t>
      </w:r>
      <w:r w:rsidRPr="00023A3D">
        <w:tab/>
        <w:t>Anslagen för 2002 inom utgiftsområde 2 – punkt 1 (c)</w:t>
      </w:r>
      <w:r w:rsidRPr="00023A3D">
        <w:tab/>
        <w:t>40</w:t>
      </w:r>
    </w:p>
    <w:p w:rsidR="006C0E49" w:rsidRPr="00023A3D" w:rsidRDefault="006C0E49">
      <w:pPr>
        <w:pStyle w:val="Innehll2"/>
        <w:tabs>
          <w:tab w:val="left" w:pos="568"/>
        </w:tabs>
      </w:pPr>
      <w:r w:rsidRPr="00023A3D">
        <w:t>3.</w:t>
      </w:r>
      <w:r w:rsidRPr="00023A3D">
        <w:tab/>
        <w:t>Anslagen för 2002 inom utgiftsområde 2 – punkt 1 (fp)</w:t>
      </w:r>
      <w:r w:rsidRPr="00023A3D">
        <w:tab/>
        <w:t>41</w:t>
      </w:r>
    </w:p>
    <w:p w:rsidR="006C0E49" w:rsidRPr="00023A3D" w:rsidRDefault="006C0E49">
      <w:pPr>
        <w:pStyle w:val="Innehll2"/>
        <w:tabs>
          <w:tab w:val="left" w:pos="568"/>
        </w:tabs>
      </w:pPr>
      <w:r w:rsidRPr="00023A3D">
        <w:t>4.</w:t>
      </w:r>
      <w:r w:rsidRPr="00023A3D">
        <w:tab/>
        <w:t>Finansinspektionens finansiering – punkt 8 (kd)</w:t>
      </w:r>
      <w:r w:rsidRPr="00023A3D">
        <w:tab/>
        <w:t>42</w:t>
      </w:r>
    </w:p>
    <w:p w:rsidR="006C0E49" w:rsidRPr="00023A3D" w:rsidRDefault="006C0E49">
      <w:pPr>
        <w:pStyle w:val="Innehll2"/>
        <w:tabs>
          <w:tab w:val="left" w:pos="568"/>
        </w:tabs>
      </w:pPr>
      <w:r w:rsidRPr="00023A3D">
        <w:t>5.</w:t>
      </w:r>
      <w:r w:rsidRPr="00023A3D">
        <w:tab/>
        <w:t>Företagens uppgiftslämnande – punkt 9 (m)</w:t>
      </w:r>
      <w:r w:rsidRPr="00023A3D">
        <w:tab/>
        <w:t>42</w:t>
      </w:r>
    </w:p>
    <w:p w:rsidR="006C0E49" w:rsidRPr="00023A3D" w:rsidRDefault="006C0E49">
      <w:pPr>
        <w:pStyle w:val="Innehll1"/>
      </w:pPr>
      <w:r w:rsidRPr="00023A3D">
        <w:t>Särskilda yttranden</w:t>
      </w:r>
      <w:r w:rsidRPr="00023A3D">
        <w:tab/>
        <w:t>44</w:t>
      </w:r>
    </w:p>
    <w:p w:rsidR="006C0E49" w:rsidRPr="00023A3D" w:rsidRDefault="006C0E49">
      <w:pPr>
        <w:pStyle w:val="Innehll2"/>
        <w:tabs>
          <w:tab w:val="left" w:pos="568"/>
        </w:tabs>
      </w:pPr>
      <w:r w:rsidRPr="00023A3D">
        <w:t>1.</w:t>
      </w:r>
      <w:r w:rsidRPr="00023A3D">
        <w:tab/>
        <w:t>Anslagen för 2002 inom utgiftsområde 2</w:t>
      </w:r>
      <w:r w:rsidRPr="00023A3D">
        <w:tab/>
        <w:t>44</w:t>
      </w:r>
    </w:p>
    <w:p w:rsidR="006C0E49" w:rsidRPr="00023A3D" w:rsidRDefault="006C0E49">
      <w:pPr>
        <w:pStyle w:val="Innehll2"/>
        <w:tabs>
          <w:tab w:val="left" w:pos="568"/>
        </w:tabs>
      </w:pPr>
      <w:r w:rsidRPr="00023A3D">
        <w:t>2.</w:t>
      </w:r>
      <w:r w:rsidRPr="00023A3D">
        <w:tab/>
        <w:t>Anslagen för 2002 inom utgiftsområde 2</w:t>
      </w:r>
      <w:r w:rsidRPr="00023A3D">
        <w:tab/>
        <w:t>44</w:t>
      </w:r>
    </w:p>
    <w:p w:rsidR="006C0E49" w:rsidRPr="00023A3D" w:rsidRDefault="006C0E49">
      <w:pPr>
        <w:pStyle w:val="Innehll1"/>
      </w:pPr>
      <w:r w:rsidRPr="00023A3D">
        <w:t>Förteckning över behandlade förslag</w:t>
      </w:r>
      <w:r w:rsidRPr="00023A3D">
        <w:tab/>
        <w:t>46</w:t>
      </w:r>
    </w:p>
    <w:p w:rsidR="006C0E49" w:rsidRPr="00023A3D" w:rsidRDefault="006C0E49">
      <w:pPr>
        <w:pStyle w:val="Innehll2"/>
      </w:pPr>
      <w:r w:rsidRPr="00023A3D">
        <w:t>Propositionen</w:t>
      </w:r>
      <w:r w:rsidRPr="00023A3D">
        <w:tab/>
        <w:t>46</w:t>
      </w:r>
    </w:p>
    <w:p w:rsidR="006C0E49" w:rsidRPr="00023A3D" w:rsidRDefault="006C0E49">
      <w:pPr>
        <w:pStyle w:val="Innehll2"/>
      </w:pPr>
      <w:r w:rsidRPr="00023A3D">
        <w:t>Motioner från allmänna motionstiden</w:t>
      </w:r>
      <w:r w:rsidRPr="00023A3D">
        <w:tab/>
        <w:t>48</w:t>
      </w:r>
    </w:p>
    <w:p w:rsidR="006C0E49" w:rsidRPr="00023A3D" w:rsidRDefault="006C0E49">
      <w:pPr>
        <w:pStyle w:val="Innehll1"/>
      </w:pPr>
      <w:r w:rsidRPr="00023A3D">
        <w:t>Regeringens lagförslag</w:t>
      </w:r>
      <w:r w:rsidRPr="00023A3D">
        <w:tab/>
        <w:t>51</w:t>
      </w:r>
    </w:p>
    <w:p w:rsidR="006C0E49" w:rsidRPr="00023A3D" w:rsidRDefault="006C0E49">
      <w:pPr>
        <w:pStyle w:val="Innehll2"/>
      </w:pPr>
      <w:r w:rsidRPr="00023A3D">
        <w:t>1      Förslag till lag om ändring i lagen (1992:1537) om finansiering av framtida utgifter för använt kärnbränsle m.m.</w:t>
      </w:r>
      <w:r w:rsidRPr="00023A3D">
        <w:tab/>
        <w:t>51</w:t>
      </w:r>
    </w:p>
    <w:p w:rsidR="006C0E49" w:rsidRPr="00023A3D" w:rsidRDefault="006C0E49">
      <w:pPr>
        <w:pStyle w:val="Innehll2"/>
      </w:pPr>
      <w:r w:rsidRPr="00023A3D">
        <w:t>2      Förslag till lag om ändring i lagen (1998:674) om inkomstgrundad ålderspension</w:t>
      </w:r>
      <w:r w:rsidRPr="00023A3D">
        <w:tab/>
        <w:t>52</w:t>
      </w:r>
    </w:p>
    <w:p w:rsidR="006C0E49" w:rsidRPr="00023A3D" w:rsidRDefault="006C0E49">
      <w:pPr>
        <w:pStyle w:val="Innehll2"/>
      </w:pPr>
      <w:r w:rsidRPr="00023A3D">
        <w:t>3      Förslag till lag om ändring i lagen (2000:981) om fördelning av socialavgifter</w:t>
      </w:r>
      <w:r w:rsidRPr="00023A3D">
        <w:tab/>
        <w:t>55</w:t>
      </w:r>
    </w:p>
    <w:p w:rsidR="006C0E49" w:rsidRPr="00023A3D" w:rsidRDefault="006C0E49">
      <w:pPr>
        <w:pStyle w:val="Innehll2"/>
      </w:pPr>
      <w:r w:rsidRPr="00023A3D">
        <w:t>4      Förslag till lag om ändring i lagen (1995:1571) om insättningsgaranti</w:t>
      </w:r>
      <w:r w:rsidRPr="00023A3D">
        <w:tab/>
        <w:t>56</w:t>
      </w:r>
    </w:p>
    <w:p w:rsidR="006C0E49" w:rsidRPr="00023A3D" w:rsidRDefault="006C0E49">
      <w:pPr>
        <w:pStyle w:val="Innehll2"/>
      </w:pPr>
      <w:r w:rsidRPr="00023A3D">
        <w:t>5      Förslag till lag om ändring i lagen (1999:158) om investerarskydd</w:t>
      </w:r>
      <w:r w:rsidRPr="00023A3D">
        <w:tab/>
        <w:t>57</w:t>
      </w:r>
    </w:p>
    <w:p w:rsidR="006C0E49" w:rsidRPr="00023A3D" w:rsidRDefault="006C0E49"/>
    <w:p w:rsidR="006C0E49" w:rsidRPr="00023A3D" w:rsidRDefault="006C0E49">
      <w:pPr>
        <w:pStyle w:val="Normaltindrag"/>
        <w:sectPr w:rsidR="00000000" w:rsidRPr="00023A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C0E49" w:rsidRPr="00023A3D" w:rsidRDefault="006C0E49">
      <w:pPr>
        <w:pStyle w:val="Rubrik1"/>
        <w:rPr>
          <w:noProof w:val="0"/>
        </w:rPr>
      </w:pPr>
      <w:bookmarkStart w:id="11" w:name="_Toc532365463"/>
      <w:r w:rsidRPr="00023A3D">
        <w:rPr>
          <w:noProof w:val="0"/>
        </w:rPr>
        <w:t>Utskottets förslag till riksdagsbeslut</w:t>
      </w:r>
      <w:bookmarkEnd w:id="11"/>
    </w:p>
    <w:p w:rsidR="006C0E49" w:rsidRPr="00023A3D" w:rsidRDefault="006C0E49">
      <w:pPr>
        <w:pStyle w:val="Frslagspunkt"/>
        <w:rPr>
          <w:noProof w:val="0"/>
        </w:rPr>
      </w:pPr>
      <w:bookmarkStart w:id="12" w:name="Nästa_Hpunkt"/>
      <w:bookmarkEnd w:id="12"/>
      <w:r w:rsidRPr="00023A3D">
        <w:rPr>
          <w:noProof w:val="0"/>
        </w:rPr>
        <w:t>1.</w:t>
      </w:r>
      <w:r w:rsidRPr="00023A3D">
        <w:rPr>
          <w:noProof w:val="0"/>
        </w:rPr>
        <w:tab/>
        <w:t>Anslagen för 2002 inom utgiftsområde 2</w:t>
      </w:r>
    </w:p>
    <w:p w:rsidR="006C0E49" w:rsidRPr="00023A3D" w:rsidRDefault="006C0E49">
      <w:pPr>
        <w:pStyle w:val="Frslagstext"/>
      </w:pPr>
      <w:r w:rsidRPr="00023A3D">
        <w:t xml:space="preserve">Riksdagen anvisar för budgetåret 2002 anslag inom </w:t>
      </w:r>
      <w:r w:rsidRPr="00023A3D">
        <w:rPr>
          <w:i/>
        </w:rPr>
        <w:t>utgiftsområde 2 Samhällsekonomi och finansförvaltning,</w:t>
      </w:r>
      <w:r w:rsidRPr="00023A3D">
        <w:t xml:space="preserve"> enligt efterföljande specifik</w:t>
      </w:r>
      <w:r w:rsidRPr="00023A3D">
        <w:t>a</w:t>
      </w:r>
      <w:r w:rsidRPr="00023A3D">
        <w:t>tion. Därmed bifaller riksdagen proposition 2001/02:1 utgiftsområde 2 punkterna 13 och 14 samt avslår moti</w:t>
      </w:r>
      <w:r w:rsidRPr="00023A3D">
        <w:t>o</w:t>
      </w:r>
      <w:r w:rsidRPr="00023A3D">
        <w:t xml:space="preserve">nerna </w:t>
      </w:r>
    </w:p>
    <w:p w:rsidR="006C0E49" w:rsidRPr="00023A3D" w:rsidRDefault="006C0E49">
      <w:pPr>
        <w:pStyle w:val="Frslagstext"/>
      </w:pPr>
      <w:r w:rsidRPr="00023A3D">
        <w:t>2001/02:Fi220 av förste vice talmannen Anders Björck och Christel A</w:t>
      </w:r>
      <w:r w:rsidRPr="00023A3D">
        <w:t>n</w:t>
      </w:r>
      <w:r w:rsidRPr="00023A3D">
        <w:t xml:space="preserve">derberg (m), </w:t>
      </w:r>
    </w:p>
    <w:p w:rsidR="006C0E49" w:rsidRPr="00023A3D" w:rsidRDefault="006C0E49">
      <w:pPr>
        <w:pStyle w:val="Frslagstext"/>
      </w:pPr>
      <w:r w:rsidRPr="00023A3D">
        <w:t>2001/02:Fi260 av Karin Pilsäter m.fl. (fp),</w:t>
      </w:r>
    </w:p>
    <w:p w:rsidR="006C0E49" w:rsidRPr="00023A3D" w:rsidRDefault="006C0E49">
      <w:pPr>
        <w:pStyle w:val="Frslagstext"/>
      </w:pPr>
      <w:r w:rsidRPr="00023A3D">
        <w:t xml:space="preserve">2001/02:Fi263 av Lena Ek m.fl. (c), </w:t>
      </w:r>
    </w:p>
    <w:p w:rsidR="006C0E49" w:rsidRPr="00023A3D" w:rsidRDefault="006C0E49">
      <w:pPr>
        <w:pStyle w:val="Frslagstext"/>
      </w:pPr>
      <w:r w:rsidRPr="00023A3D">
        <w:t>2001/02:Fi276 av Per Landgren m.fl. (kd) yrkandena 2–4,</w:t>
      </w:r>
    </w:p>
    <w:p w:rsidR="006C0E49" w:rsidRPr="00023A3D" w:rsidRDefault="006C0E49">
      <w:pPr>
        <w:pStyle w:val="Frslagstext"/>
        <w:outlineLvl w:val="0"/>
      </w:pPr>
      <w:r w:rsidRPr="00023A3D">
        <w:t>2001/02:Fi279 av Gunnar Hökmark m.fl. (m),</w:t>
      </w:r>
    </w:p>
    <w:p w:rsidR="006C0E49" w:rsidRPr="00023A3D" w:rsidRDefault="006C0E49">
      <w:pPr>
        <w:pStyle w:val="Frslagstext"/>
      </w:pPr>
      <w:r w:rsidRPr="00023A3D">
        <w:t xml:space="preserve">2001/02:Fi287 av Gunnar Hökmark m.fl. (m) samt </w:t>
      </w:r>
    </w:p>
    <w:p w:rsidR="006C0E49" w:rsidRPr="00023A3D" w:rsidRDefault="006C0E49">
      <w:pPr>
        <w:pStyle w:val="Frslagstext"/>
      </w:pPr>
      <w:r w:rsidRPr="00023A3D">
        <w:t>2001/02:Fi294 av Lars Leijonborg m.fl. (fp) yrkande 10 i denna del.</w:t>
      </w:r>
    </w:p>
    <w:p w:rsidR="006C0E49" w:rsidRPr="00023A3D" w:rsidRDefault="006C0E49">
      <w:pPr>
        <w:pStyle w:val="Reservationshnvisning"/>
      </w:pPr>
      <w:r w:rsidRPr="00023A3D">
        <w:t>Reservation 1 (m)</w:t>
      </w:r>
    </w:p>
    <w:p w:rsidR="006C0E49" w:rsidRPr="00023A3D" w:rsidRDefault="006C0E49">
      <w:pPr>
        <w:pStyle w:val="Reservationshnvisning"/>
      </w:pPr>
      <w:r w:rsidRPr="00023A3D">
        <w:t>Reservation 2 (c)</w:t>
      </w:r>
    </w:p>
    <w:p w:rsidR="006C0E49" w:rsidRPr="00023A3D" w:rsidRDefault="006C0E49">
      <w:pPr>
        <w:pStyle w:val="Reservationshnvisning"/>
      </w:pPr>
      <w:r w:rsidRPr="00023A3D">
        <w:t>Reservation 3 (fp)</w:t>
      </w:r>
      <w:bookmarkStart w:id="13" w:name="RESPARTI001"/>
      <w:bookmarkEnd w:id="13"/>
    </w:p>
    <w:p w:rsidR="006C0E49" w:rsidRPr="00023A3D" w:rsidRDefault="006C0E49">
      <w:pPr>
        <w:pStyle w:val="Frslagspunkt"/>
        <w:rPr>
          <w:noProof w:val="0"/>
        </w:rPr>
      </w:pPr>
      <w:r w:rsidRPr="00023A3D">
        <w:rPr>
          <w:noProof w:val="0"/>
        </w:rPr>
        <w:t>2.</w:t>
      </w:r>
      <w:r w:rsidRPr="00023A3D">
        <w:rPr>
          <w:noProof w:val="0"/>
        </w:rPr>
        <w:tab/>
        <w:t>Statens fastighetsverk</w:t>
      </w:r>
    </w:p>
    <w:p w:rsidR="006C0E49" w:rsidRPr="00023A3D" w:rsidRDefault="006C0E49">
      <w:pPr>
        <w:pStyle w:val="Frslagstext"/>
      </w:pPr>
      <w:r w:rsidRPr="00023A3D">
        <w:t>Riksdagen godkänner regeringens förslag till investeringsplan för Statens fastighetsverk samt bemyndigar regeringen att i enlighet med propositi</w:t>
      </w:r>
      <w:r w:rsidRPr="00023A3D">
        <w:t>o</w:t>
      </w:r>
      <w:r w:rsidRPr="00023A3D">
        <w:t>nens förslag besluta om att Fastighetsverket får ta upp lån inom en ram på högst 7 miljarder kronor i Riksgäldskontoret för investeringar m.m. Därmed bifaller riksdagen proposition 2001/02:1 utgiftsområde 2 pun</w:t>
      </w:r>
      <w:r w:rsidRPr="00023A3D">
        <w:t>k</w:t>
      </w:r>
      <w:r w:rsidRPr="00023A3D">
        <w:t>terna 6 och 8.</w:t>
      </w:r>
      <w:bookmarkStart w:id="14" w:name="RESPARTI002"/>
      <w:bookmarkEnd w:id="14"/>
    </w:p>
    <w:p w:rsidR="006C0E49" w:rsidRPr="00023A3D" w:rsidRDefault="006C0E49">
      <w:pPr>
        <w:pStyle w:val="Frslagspunkt"/>
        <w:rPr>
          <w:noProof w:val="0"/>
        </w:rPr>
      </w:pPr>
      <w:r w:rsidRPr="00023A3D">
        <w:rPr>
          <w:noProof w:val="0"/>
        </w:rPr>
        <w:t>3.</w:t>
      </w:r>
      <w:r w:rsidRPr="00023A3D">
        <w:rPr>
          <w:noProof w:val="0"/>
        </w:rPr>
        <w:tab/>
        <w:t>Fortifikationsverket</w:t>
      </w:r>
    </w:p>
    <w:p w:rsidR="006C0E49" w:rsidRPr="00023A3D" w:rsidRDefault="006C0E49">
      <w:pPr>
        <w:pStyle w:val="Frslagstext"/>
      </w:pPr>
      <w:r w:rsidRPr="00023A3D">
        <w:t>Riksdagen godkänner regeringens förslag till investeringsplan för Fortif</w:t>
      </w:r>
      <w:r w:rsidRPr="00023A3D">
        <w:t>i</w:t>
      </w:r>
      <w:r w:rsidRPr="00023A3D">
        <w:t>kationsverket samt bemyndigar regeringen att i enlighet med propositi</w:t>
      </w:r>
      <w:r w:rsidRPr="00023A3D">
        <w:t>o</w:t>
      </w:r>
      <w:r w:rsidRPr="00023A3D">
        <w:t>nens förslag besluta om att Fortifikationsverket får ta upp lån inom en ram på högst 5 085 miljoner kronor i Riksgäldskontoret för investeringar m.m. Därmed bifaller riksdagen proposition 2001/02:1 utgiftsområde 2 punkterna 7 och 9.</w:t>
      </w:r>
      <w:bookmarkStart w:id="15" w:name="RESPARTI003"/>
      <w:bookmarkEnd w:id="15"/>
    </w:p>
    <w:p w:rsidR="006C0E49" w:rsidRPr="00023A3D" w:rsidRDefault="006C0E49">
      <w:pPr>
        <w:pStyle w:val="Frslagspunkt"/>
        <w:rPr>
          <w:noProof w:val="0"/>
        </w:rPr>
      </w:pPr>
      <w:r w:rsidRPr="00023A3D">
        <w:rPr>
          <w:noProof w:val="0"/>
        </w:rPr>
        <w:t>4.</w:t>
      </w:r>
      <w:r w:rsidRPr="00023A3D">
        <w:rPr>
          <w:noProof w:val="0"/>
        </w:rPr>
        <w:tab/>
        <w:t>Rörlig kredit för Premiepensionsmyndigheten</w:t>
      </w:r>
    </w:p>
    <w:p w:rsidR="006C0E49" w:rsidRPr="00023A3D" w:rsidRDefault="006C0E49">
      <w:pPr>
        <w:pStyle w:val="Frslagstext"/>
      </w:pPr>
      <w:r w:rsidRPr="00023A3D">
        <w:t>Riksdagen bemyndigar regeringen att för 2002 besluta om en rörlig kr</w:t>
      </w:r>
      <w:r w:rsidRPr="00023A3D">
        <w:t>e</w:t>
      </w:r>
      <w:r w:rsidRPr="00023A3D">
        <w:t>dit i Riksgäldskontoret om högst 500 miljoner kronor för att tillgodose Premiepensionsmyndighetens behov av likviditet i handeln med fonda</w:t>
      </w:r>
      <w:r w:rsidRPr="00023A3D">
        <w:t>n</w:t>
      </w:r>
      <w:r w:rsidRPr="00023A3D">
        <w:t xml:space="preserve">delar. Därmed bifaller riksdagen proposition 2001/02:1 utgiftsområde 2 punkt 12.        </w:t>
      </w:r>
      <w:bookmarkStart w:id="16" w:name="RESPARTI004"/>
      <w:bookmarkEnd w:id="16"/>
    </w:p>
    <w:p w:rsidR="006C0E49" w:rsidRPr="00023A3D" w:rsidRDefault="006C0E49">
      <w:pPr>
        <w:pStyle w:val="Frslagspunkt"/>
        <w:rPr>
          <w:noProof w:val="0"/>
        </w:rPr>
      </w:pPr>
      <w:r w:rsidRPr="00023A3D">
        <w:rPr>
          <w:noProof w:val="0"/>
        </w:rPr>
        <w:t>5.</w:t>
      </w:r>
      <w:r w:rsidRPr="00023A3D">
        <w:rPr>
          <w:noProof w:val="0"/>
        </w:rPr>
        <w:tab/>
        <w:t>Kapitalhöjning i Europarådets utvecklingsbank</w:t>
      </w:r>
    </w:p>
    <w:p w:rsidR="006C0E49" w:rsidRPr="00023A3D" w:rsidRDefault="006C0E49">
      <w:pPr>
        <w:pStyle w:val="Frslagstext"/>
      </w:pPr>
      <w:r w:rsidRPr="00023A3D">
        <w:t>Riksdagen godkänner att Sverige medverkar i kapitalhöjning i Europar</w:t>
      </w:r>
      <w:r w:rsidRPr="00023A3D">
        <w:t>å</w:t>
      </w:r>
      <w:r w:rsidRPr="00023A3D">
        <w:t xml:space="preserve">dets utvecklingsbank. Därmed bifaller riksdagen proposition 2001/02:1 utgiftsområde 2 punkt 10.       </w:t>
      </w:r>
      <w:bookmarkStart w:id="17" w:name="RESPARTI005"/>
      <w:bookmarkEnd w:id="17"/>
    </w:p>
    <w:p w:rsidR="006C0E49" w:rsidRPr="00023A3D" w:rsidRDefault="006C0E49">
      <w:pPr>
        <w:pStyle w:val="Frslagspunkt"/>
        <w:rPr>
          <w:noProof w:val="0"/>
        </w:rPr>
      </w:pPr>
      <w:r w:rsidRPr="00023A3D">
        <w:rPr>
          <w:noProof w:val="0"/>
        </w:rPr>
        <w:t>6.</w:t>
      </w:r>
      <w:r w:rsidRPr="00023A3D">
        <w:rPr>
          <w:noProof w:val="0"/>
        </w:rPr>
        <w:tab/>
        <w:t>Tillgångshantering inom Riksgäldskontoret</w:t>
      </w:r>
    </w:p>
    <w:p w:rsidR="006C0E49" w:rsidRPr="00023A3D" w:rsidRDefault="006C0E49">
      <w:pPr>
        <w:pStyle w:val="Frslagstext"/>
        <w:outlineLvl w:val="0"/>
      </w:pPr>
      <w:r w:rsidRPr="00023A3D">
        <w:t>Riksdagen antar de av regeringen framlagda förslagen till</w:t>
      </w:r>
    </w:p>
    <w:p w:rsidR="006C0E49" w:rsidRPr="00023A3D" w:rsidRDefault="006C0E49">
      <w:pPr>
        <w:pStyle w:val="Frslagstext"/>
      </w:pPr>
      <w:r w:rsidRPr="00023A3D">
        <w:t>1. lag om ändring i lagen (1992:1537) om finansiering av framtida utgi</w:t>
      </w:r>
      <w:r w:rsidRPr="00023A3D">
        <w:t>f</w:t>
      </w:r>
      <w:r w:rsidRPr="00023A3D">
        <w:t>ter för använt kärnbränsle m.m.,</w:t>
      </w:r>
    </w:p>
    <w:p w:rsidR="006C0E49" w:rsidRPr="00023A3D" w:rsidRDefault="006C0E49">
      <w:pPr>
        <w:pStyle w:val="Frslagstext"/>
      </w:pPr>
      <w:r w:rsidRPr="00023A3D">
        <w:t>2. lag om ändring i lagen (1998:674) om inkomstgrundad ålderspension,</w:t>
      </w:r>
    </w:p>
    <w:p w:rsidR="006C0E49" w:rsidRPr="00023A3D" w:rsidRDefault="006C0E49">
      <w:pPr>
        <w:pStyle w:val="Frslagstext"/>
      </w:pPr>
      <w:r w:rsidRPr="00023A3D">
        <w:t>3. lag om ändring i lagen (2000:981) om fördelning av socialavgifter,</w:t>
      </w:r>
    </w:p>
    <w:p w:rsidR="006C0E49" w:rsidRPr="00023A3D" w:rsidRDefault="006C0E49">
      <w:pPr>
        <w:pStyle w:val="Frslagstext"/>
        <w:outlineLvl w:val="0"/>
      </w:pPr>
      <w:r w:rsidRPr="00023A3D">
        <w:t>4. lag om ändring i lagen (1995:1571) om insättningsgaranti,</w:t>
      </w:r>
    </w:p>
    <w:p w:rsidR="006C0E49" w:rsidRPr="00023A3D" w:rsidRDefault="006C0E49">
      <w:pPr>
        <w:pStyle w:val="Frslagstext"/>
      </w:pPr>
      <w:r w:rsidRPr="00023A3D">
        <w:t xml:space="preserve">5. lag om ändring i lagen (1999:158) om investerarskydd. </w:t>
      </w:r>
    </w:p>
    <w:p w:rsidR="006C0E49" w:rsidRPr="00023A3D" w:rsidRDefault="006C0E49">
      <w:pPr>
        <w:pStyle w:val="Frslagstext"/>
      </w:pPr>
      <w:r w:rsidRPr="00023A3D">
        <w:t xml:space="preserve">Därmed bifaller riksdagen proposition 2001/02:1 punkterna 1–5.      </w:t>
      </w:r>
      <w:bookmarkStart w:id="18" w:name="RESPARTI006"/>
      <w:bookmarkEnd w:id="18"/>
    </w:p>
    <w:p w:rsidR="006C0E49" w:rsidRPr="00023A3D" w:rsidRDefault="006C0E49">
      <w:pPr>
        <w:pStyle w:val="Frslagspunkt"/>
        <w:rPr>
          <w:noProof w:val="0"/>
        </w:rPr>
      </w:pPr>
      <w:r w:rsidRPr="00023A3D">
        <w:rPr>
          <w:noProof w:val="0"/>
        </w:rPr>
        <w:t>7.</w:t>
      </w:r>
      <w:r w:rsidRPr="00023A3D">
        <w:rPr>
          <w:noProof w:val="0"/>
        </w:rPr>
        <w:tab/>
        <w:t>Hantering av äldre garantier till vissa bolag</w:t>
      </w:r>
    </w:p>
    <w:p w:rsidR="006C0E49" w:rsidRPr="00023A3D" w:rsidRDefault="006C0E49">
      <w:pPr>
        <w:pStyle w:val="Frslagstext"/>
      </w:pPr>
      <w:r w:rsidRPr="00023A3D">
        <w:t>Riksdagen bemyndigar regeringen att ersätta de ekonomiska förpliktelser staten har i form av kapitaltäckningsgaranti till Statens bostadslåneakti</w:t>
      </w:r>
      <w:r w:rsidRPr="00023A3D">
        <w:t>e</w:t>
      </w:r>
      <w:r w:rsidRPr="00023A3D">
        <w:t>bolag och grundfondförbindelse till Statens bostadsfinansieringsaktieb</w:t>
      </w:r>
      <w:r w:rsidRPr="00023A3D">
        <w:t>o</w:t>
      </w:r>
      <w:r w:rsidRPr="00023A3D">
        <w:t>lag, SBAB (publ.), med garantier till SBAB (publ.) intill ett belopp av 10 miljarder kronor med löptiden 10 år. Därmed bifaller riksdagen propos</w:t>
      </w:r>
      <w:r w:rsidRPr="00023A3D">
        <w:t>i</w:t>
      </w:r>
      <w:r w:rsidRPr="00023A3D">
        <w:t xml:space="preserve">tion 2001/02:1 utgiftsområde 2 punkt 11.        </w:t>
      </w:r>
      <w:bookmarkStart w:id="19" w:name="RESPARTI007"/>
      <w:bookmarkEnd w:id="19"/>
    </w:p>
    <w:p w:rsidR="006C0E49" w:rsidRPr="00023A3D" w:rsidRDefault="006C0E49">
      <w:pPr>
        <w:pStyle w:val="Frslagspunkt"/>
        <w:rPr>
          <w:noProof w:val="0"/>
        </w:rPr>
      </w:pPr>
      <w:r w:rsidRPr="00023A3D">
        <w:rPr>
          <w:noProof w:val="0"/>
        </w:rPr>
        <w:t>8.</w:t>
      </w:r>
      <w:r w:rsidRPr="00023A3D">
        <w:rPr>
          <w:noProof w:val="0"/>
        </w:rPr>
        <w:tab/>
        <w:t>Finansinspektionens finansiering</w:t>
      </w:r>
    </w:p>
    <w:p w:rsidR="006C0E49" w:rsidRPr="00023A3D" w:rsidRDefault="006C0E49">
      <w:pPr>
        <w:pStyle w:val="Frslagstext"/>
      </w:pPr>
      <w:r w:rsidRPr="00023A3D">
        <w:t xml:space="preserve">Riksdagen avslår motion </w:t>
      </w:r>
    </w:p>
    <w:p w:rsidR="006C0E49" w:rsidRPr="00023A3D" w:rsidRDefault="006C0E49">
      <w:pPr>
        <w:pStyle w:val="Frslagstext"/>
      </w:pPr>
      <w:r w:rsidRPr="00023A3D">
        <w:t xml:space="preserve">2001/02:Fi276 av Per Landgren m.fl. (kd) yrkande 1.       </w:t>
      </w:r>
    </w:p>
    <w:p w:rsidR="006C0E49" w:rsidRPr="00023A3D" w:rsidRDefault="006C0E49">
      <w:pPr>
        <w:pStyle w:val="Reservationshnvisning"/>
      </w:pPr>
      <w:r w:rsidRPr="00023A3D">
        <w:t>Reservation 4 (kd)</w:t>
      </w:r>
      <w:bookmarkStart w:id="20" w:name="RESPARTI008"/>
      <w:bookmarkEnd w:id="20"/>
    </w:p>
    <w:p w:rsidR="006C0E49" w:rsidRPr="00023A3D" w:rsidRDefault="006C0E49">
      <w:pPr>
        <w:pStyle w:val="Frslagspunkt"/>
        <w:rPr>
          <w:noProof w:val="0"/>
        </w:rPr>
      </w:pPr>
      <w:r w:rsidRPr="00023A3D">
        <w:rPr>
          <w:noProof w:val="0"/>
        </w:rPr>
        <w:t>9.</w:t>
      </w:r>
      <w:r w:rsidRPr="00023A3D">
        <w:rPr>
          <w:noProof w:val="0"/>
        </w:rPr>
        <w:tab/>
        <w:t>Företagens uppgiftslämnande</w:t>
      </w:r>
    </w:p>
    <w:p w:rsidR="006C0E49" w:rsidRPr="00023A3D" w:rsidRDefault="006C0E49">
      <w:pPr>
        <w:pStyle w:val="Frslagstext"/>
      </w:pPr>
      <w:r w:rsidRPr="00023A3D">
        <w:t xml:space="preserve">Riksdagen avslår motion </w:t>
      </w:r>
    </w:p>
    <w:p w:rsidR="006C0E49" w:rsidRPr="00023A3D" w:rsidRDefault="006C0E49">
      <w:pPr>
        <w:pStyle w:val="Frslagstext"/>
      </w:pPr>
      <w:r w:rsidRPr="00023A3D">
        <w:t xml:space="preserve">2001/02:N345 av Ewa Thalén Finné och Leif Carlson (m).       </w:t>
      </w:r>
    </w:p>
    <w:p w:rsidR="006C0E49" w:rsidRPr="00023A3D" w:rsidRDefault="006C0E49">
      <w:pPr>
        <w:pStyle w:val="Reservationshnvisning"/>
      </w:pPr>
      <w:r w:rsidRPr="00023A3D">
        <w:t>Reservation 5 (m)</w:t>
      </w:r>
      <w:bookmarkStart w:id="21" w:name="RESPARTI009"/>
      <w:bookmarkEnd w:id="21"/>
    </w:p>
    <w:p w:rsidR="006C0E49" w:rsidRPr="00023A3D" w:rsidRDefault="006C0E49">
      <w:pPr>
        <w:pStyle w:val="Frslagspunkt"/>
        <w:rPr>
          <w:noProof w:val="0"/>
        </w:rPr>
      </w:pPr>
      <w:r w:rsidRPr="00023A3D">
        <w:rPr>
          <w:noProof w:val="0"/>
        </w:rPr>
        <w:t>10.</w:t>
      </w:r>
      <w:r w:rsidRPr="00023A3D">
        <w:rPr>
          <w:noProof w:val="0"/>
        </w:rPr>
        <w:tab/>
        <w:t>Generationsräkenskaper</w:t>
      </w:r>
    </w:p>
    <w:p w:rsidR="006C0E49" w:rsidRPr="00023A3D" w:rsidRDefault="006C0E49">
      <w:pPr>
        <w:pStyle w:val="Frslagstext"/>
      </w:pPr>
      <w:r w:rsidRPr="00023A3D">
        <w:t xml:space="preserve">Riksdagen avslår motion </w:t>
      </w:r>
    </w:p>
    <w:p w:rsidR="006C0E49" w:rsidRPr="00023A3D" w:rsidRDefault="006C0E49">
      <w:pPr>
        <w:pStyle w:val="Frslagstext"/>
      </w:pPr>
      <w:r w:rsidRPr="00023A3D">
        <w:t xml:space="preserve">2001/02:Fi202 av Amanda Agestav och Magnus Jacobsson (kd).       </w:t>
      </w:r>
      <w:bookmarkStart w:id="22" w:name="RESPARTI010"/>
      <w:bookmarkEnd w:id="22"/>
    </w:p>
    <w:p w:rsidR="006C0E49" w:rsidRPr="00023A3D" w:rsidRDefault="006C0E49">
      <w:pPr>
        <w:pStyle w:val="Normaltindrag"/>
        <w:ind w:firstLine="0"/>
      </w:pPr>
    </w:p>
    <w:p w:rsidR="006C0E49" w:rsidRPr="00023A3D" w:rsidRDefault="006C0E49">
      <w:pPr>
        <w:pStyle w:val="Normaltindrag"/>
      </w:pPr>
    </w:p>
    <w:p w:rsidR="006C0E49" w:rsidRPr="00023A3D" w:rsidRDefault="006C0E49">
      <w:pPr>
        <w:pStyle w:val="Utskriftsdatum"/>
        <w:outlineLvl w:val="0"/>
      </w:pPr>
      <w:r w:rsidRPr="00023A3D">
        <w:br w:type="page"/>
        <w:t>Stockholm den 29 november 2001</w:t>
      </w:r>
    </w:p>
    <w:p w:rsidR="006C0E49" w:rsidRPr="00023A3D" w:rsidRDefault="006C0E49">
      <w:r w:rsidRPr="00023A3D">
        <w:t>På finansutskottets vägnar</w:t>
      </w:r>
    </w:p>
    <w:p w:rsidR="006C0E49" w:rsidRPr="00023A3D" w:rsidRDefault="006C0E49">
      <w:pPr>
        <w:pStyle w:val="Ordfranden"/>
        <w:rPr>
          <w:noProof w:val="0"/>
        </w:rPr>
      </w:pPr>
      <w:bookmarkStart w:id="23" w:name="Ordförande"/>
      <w:bookmarkEnd w:id="23"/>
      <w:r w:rsidRPr="00023A3D">
        <w:rPr>
          <w:noProof w:val="0"/>
        </w:rPr>
        <w:t xml:space="preserve">Jan Bergqvist </w:t>
      </w:r>
    </w:p>
    <w:p w:rsidR="006C0E49" w:rsidRPr="00023A3D" w:rsidRDefault="006C0E49">
      <w:pPr>
        <w:pStyle w:val="Deltagare"/>
        <w:rPr>
          <w:noProof w:val="0"/>
        </w:rPr>
      </w:pPr>
      <w:bookmarkStart w:id="24" w:name="Deltagare"/>
      <w:bookmarkEnd w:id="24"/>
      <w:r w:rsidRPr="00023A3D">
        <w:rPr>
          <w:noProof w:val="0"/>
        </w:rPr>
        <w:t>Följande ledamöter har deltagit i beslutet: Jan Bergqvist (s), Mats Odell (kd), Gunnar Hökmark (m), Bengt Silfverstrand (s), Lisbet Calner (s), Johan Lönnroth (v), Lennart Hedquist (m), Sonia Karlsson (s), Anna Åkerhielm (m), Carin Lundberg (s), Siv Holma (v), Per Landgren (kd), Gunnar Axén (m), Yvonne Ruwaida (mp), Lena Ek (c), Karin Pilsäter (fp) och Tommy Waidelich (s).</w:t>
      </w:r>
    </w:p>
    <w:p w:rsidR="006C0E49" w:rsidRPr="00023A3D" w:rsidRDefault="006C0E49">
      <w:pPr>
        <w:pStyle w:val="R2"/>
      </w:pPr>
      <w:r w:rsidRPr="00023A3D">
        <w:br w:type="page"/>
        <w:t xml:space="preserve">Förslag till beslut om anslag inom utgiftsområde 2  Samhällsekonomi och finansförvaltning  </w:t>
      </w:r>
    </w:p>
    <w:p w:rsidR="006C0E49" w:rsidRPr="00023A3D" w:rsidRDefault="006C0E49">
      <w:r w:rsidRPr="00023A3D">
        <w:t>Utskottets förslag överensstämmer med regeringens förslag till anslagsförde</w:t>
      </w:r>
      <w:r w:rsidRPr="00023A3D">
        <w:t>l</w:t>
      </w:r>
      <w:r w:rsidRPr="00023A3D">
        <w:t>ning.</w:t>
      </w:r>
    </w:p>
    <w:p w:rsidR="006C0E49" w:rsidRPr="00023A3D" w:rsidRDefault="006C0E49"/>
    <w:p w:rsidR="006C0E49" w:rsidRPr="00023A3D" w:rsidRDefault="006C0E49">
      <w:pPr>
        <w:pStyle w:val="Tabelltext"/>
        <w:spacing w:after="60"/>
      </w:pPr>
      <w:r w:rsidRPr="00023A3D">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134"/>
        <w:gridCol w:w="893"/>
        <w:gridCol w:w="851"/>
        <w:gridCol w:w="850"/>
      </w:tblGrid>
      <w:tr w:rsidR="00000000" w:rsidRPr="00023A3D">
        <w:tblPrEx>
          <w:tblCellMar>
            <w:top w:w="0" w:type="dxa"/>
            <w:bottom w:w="0" w:type="dxa"/>
          </w:tblCellMar>
        </w:tblPrEx>
        <w:trPr>
          <w:cantSplit/>
          <w:tblHeader/>
        </w:trPr>
        <w:tc>
          <w:tcPr>
            <w:tcW w:w="283" w:type="dxa"/>
            <w:tcBorders>
              <w:top w:val="single" w:sz="4" w:space="0" w:color="auto"/>
            </w:tcBorders>
          </w:tcPr>
          <w:p w:rsidR="006C0E49" w:rsidRPr="00023A3D" w:rsidRDefault="006C0E49">
            <w:pPr>
              <w:pStyle w:val="SBTabell"/>
              <w:rPr>
                <w:sz w:val="17"/>
              </w:rPr>
            </w:pPr>
          </w:p>
        </w:tc>
        <w:tc>
          <w:tcPr>
            <w:tcW w:w="2835" w:type="dxa"/>
            <w:vMerge w:val="restart"/>
            <w:tcBorders>
              <w:top w:val="single" w:sz="4" w:space="0" w:color="auto"/>
            </w:tcBorders>
          </w:tcPr>
          <w:p w:rsidR="006C0E49" w:rsidRPr="00023A3D" w:rsidRDefault="006C0E49">
            <w:pPr>
              <w:pStyle w:val="SBTabell"/>
              <w:rPr>
                <w:sz w:val="17"/>
              </w:rPr>
            </w:pPr>
            <w:r w:rsidRPr="00023A3D">
              <w:rPr>
                <w:sz w:val="17"/>
              </w:rPr>
              <w:t>Politikområde</w:t>
            </w:r>
          </w:p>
          <w:p w:rsidR="006C0E49" w:rsidRPr="00023A3D" w:rsidRDefault="006C0E49">
            <w:pPr>
              <w:pStyle w:val="SBTabell"/>
              <w:rPr>
                <w:sz w:val="17"/>
              </w:rPr>
            </w:pPr>
          </w:p>
          <w:p w:rsidR="006C0E49" w:rsidRPr="00023A3D" w:rsidRDefault="006C0E49">
            <w:pPr>
              <w:pStyle w:val="SBTabell"/>
              <w:rPr>
                <w:sz w:val="17"/>
              </w:rPr>
            </w:pPr>
            <w:r w:rsidRPr="00023A3D">
              <w:rPr>
                <w:sz w:val="17"/>
              </w:rPr>
              <w:t>Anslag</w:t>
            </w:r>
          </w:p>
        </w:tc>
        <w:tc>
          <w:tcPr>
            <w:tcW w:w="1134" w:type="dxa"/>
            <w:vMerge w:val="restart"/>
            <w:tcBorders>
              <w:top w:val="single" w:sz="4" w:space="0" w:color="auto"/>
            </w:tcBorders>
          </w:tcPr>
          <w:p w:rsidR="006C0E49" w:rsidRPr="00023A3D" w:rsidRDefault="006C0E49">
            <w:pPr>
              <w:pStyle w:val="SBTabell"/>
              <w:rPr>
                <w:sz w:val="17"/>
              </w:rPr>
            </w:pPr>
            <w:r w:rsidRPr="00023A3D">
              <w:rPr>
                <w:sz w:val="17"/>
              </w:rPr>
              <w:t xml:space="preserve">      Utskottets</w:t>
            </w:r>
          </w:p>
          <w:p w:rsidR="006C0E49" w:rsidRPr="00023A3D" w:rsidRDefault="006C0E49">
            <w:pPr>
              <w:pStyle w:val="SBTabell"/>
              <w:rPr>
                <w:sz w:val="17"/>
              </w:rPr>
            </w:pPr>
            <w:r w:rsidRPr="00023A3D">
              <w:rPr>
                <w:sz w:val="17"/>
              </w:rPr>
              <w:t xml:space="preserve">            förslag</w:t>
            </w:r>
          </w:p>
        </w:tc>
        <w:tc>
          <w:tcPr>
            <w:tcW w:w="2594" w:type="dxa"/>
            <w:gridSpan w:val="3"/>
            <w:tcBorders>
              <w:top w:val="single" w:sz="4" w:space="0" w:color="auto"/>
              <w:bottom w:val="single" w:sz="4" w:space="0" w:color="auto"/>
            </w:tcBorders>
          </w:tcPr>
          <w:p w:rsidR="006C0E49" w:rsidRPr="00023A3D" w:rsidRDefault="006C0E49">
            <w:pPr>
              <w:pStyle w:val="SBTabell"/>
              <w:jc w:val="right"/>
              <w:rPr>
                <w:sz w:val="17"/>
              </w:rPr>
            </w:pPr>
            <w:r w:rsidRPr="00023A3D">
              <w:rPr>
                <w:sz w:val="17"/>
              </w:rPr>
              <w:t>Reservanternas förslag i förhållande till utsko</w:t>
            </w:r>
            <w:r w:rsidRPr="00023A3D">
              <w:rPr>
                <w:sz w:val="17"/>
              </w:rPr>
              <w:t>t</w:t>
            </w:r>
            <w:r w:rsidRPr="00023A3D">
              <w:rPr>
                <w:sz w:val="17"/>
              </w:rPr>
              <w:t>tets förslag</w:t>
            </w:r>
          </w:p>
        </w:tc>
      </w:tr>
      <w:tr w:rsidR="00000000" w:rsidRPr="00023A3D">
        <w:tblPrEx>
          <w:tblCellMar>
            <w:top w:w="0" w:type="dxa"/>
            <w:bottom w:w="0" w:type="dxa"/>
          </w:tblCellMar>
        </w:tblPrEx>
        <w:trPr>
          <w:cantSplit/>
          <w:tblHeader/>
        </w:trPr>
        <w:tc>
          <w:tcPr>
            <w:tcW w:w="283" w:type="dxa"/>
            <w:tcBorders>
              <w:bottom w:val="single" w:sz="4" w:space="0" w:color="auto"/>
            </w:tcBorders>
          </w:tcPr>
          <w:p w:rsidR="006C0E49" w:rsidRPr="00023A3D" w:rsidRDefault="006C0E49">
            <w:pPr>
              <w:pStyle w:val="SBTabell"/>
              <w:rPr>
                <w:sz w:val="17"/>
              </w:rPr>
            </w:pPr>
          </w:p>
        </w:tc>
        <w:tc>
          <w:tcPr>
            <w:tcW w:w="2835" w:type="dxa"/>
            <w:vMerge/>
            <w:tcBorders>
              <w:bottom w:val="single" w:sz="4" w:space="0" w:color="auto"/>
            </w:tcBorders>
          </w:tcPr>
          <w:p w:rsidR="006C0E49" w:rsidRPr="00023A3D" w:rsidRDefault="006C0E49">
            <w:pPr>
              <w:pStyle w:val="SBTabell"/>
              <w:rPr>
                <w:sz w:val="17"/>
              </w:rPr>
            </w:pPr>
          </w:p>
        </w:tc>
        <w:tc>
          <w:tcPr>
            <w:tcW w:w="1134" w:type="dxa"/>
            <w:vMerge/>
            <w:tcBorders>
              <w:bottom w:val="single" w:sz="4" w:space="0" w:color="auto"/>
            </w:tcBorders>
          </w:tcPr>
          <w:p w:rsidR="006C0E49" w:rsidRPr="00023A3D" w:rsidRDefault="006C0E49">
            <w:pPr>
              <w:pStyle w:val="SBTabell"/>
              <w:jc w:val="right"/>
              <w:rPr>
                <w:sz w:val="17"/>
              </w:rPr>
            </w:pPr>
          </w:p>
        </w:tc>
        <w:tc>
          <w:tcPr>
            <w:tcW w:w="893" w:type="dxa"/>
            <w:tcBorders>
              <w:bottom w:val="single" w:sz="4" w:space="0" w:color="auto"/>
            </w:tcBorders>
          </w:tcPr>
          <w:p w:rsidR="006C0E49" w:rsidRPr="00023A3D" w:rsidRDefault="006C0E49">
            <w:pPr>
              <w:pStyle w:val="SBTabell"/>
              <w:jc w:val="right"/>
              <w:rPr>
                <w:sz w:val="17"/>
              </w:rPr>
            </w:pPr>
            <w:r w:rsidRPr="00023A3D">
              <w:rPr>
                <w:sz w:val="17"/>
              </w:rPr>
              <w:t xml:space="preserve">Res. 1      </w:t>
            </w:r>
          </w:p>
          <w:p w:rsidR="006C0E49" w:rsidRPr="00023A3D" w:rsidRDefault="006C0E49">
            <w:pPr>
              <w:pStyle w:val="SBTabell"/>
              <w:jc w:val="right"/>
              <w:rPr>
                <w:sz w:val="17"/>
              </w:rPr>
            </w:pPr>
            <w:r w:rsidRPr="00023A3D">
              <w:rPr>
                <w:sz w:val="17"/>
              </w:rPr>
              <w:t xml:space="preserve">         (m)</w:t>
            </w:r>
          </w:p>
        </w:tc>
        <w:tc>
          <w:tcPr>
            <w:tcW w:w="851" w:type="dxa"/>
            <w:tcBorders>
              <w:bottom w:val="single" w:sz="4" w:space="0" w:color="auto"/>
            </w:tcBorders>
          </w:tcPr>
          <w:p w:rsidR="006C0E49" w:rsidRPr="00023A3D" w:rsidRDefault="006C0E49">
            <w:pPr>
              <w:pStyle w:val="SBTabell"/>
              <w:jc w:val="right"/>
              <w:rPr>
                <w:sz w:val="17"/>
              </w:rPr>
            </w:pPr>
            <w:r w:rsidRPr="00023A3D">
              <w:rPr>
                <w:sz w:val="17"/>
              </w:rPr>
              <w:t xml:space="preserve">Res. 2      </w:t>
            </w:r>
          </w:p>
          <w:p w:rsidR="006C0E49" w:rsidRPr="00023A3D" w:rsidRDefault="006C0E49">
            <w:pPr>
              <w:pStyle w:val="SBTabell"/>
              <w:jc w:val="right"/>
              <w:rPr>
                <w:sz w:val="17"/>
              </w:rPr>
            </w:pPr>
            <w:r w:rsidRPr="00023A3D">
              <w:rPr>
                <w:sz w:val="17"/>
              </w:rPr>
              <w:t xml:space="preserve">         (c)</w:t>
            </w:r>
          </w:p>
        </w:tc>
        <w:tc>
          <w:tcPr>
            <w:tcW w:w="850" w:type="dxa"/>
            <w:tcBorders>
              <w:bottom w:val="single" w:sz="4" w:space="0" w:color="auto"/>
            </w:tcBorders>
          </w:tcPr>
          <w:p w:rsidR="006C0E49" w:rsidRPr="00023A3D" w:rsidRDefault="006C0E49">
            <w:pPr>
              <w:pStyle w:val="SBTabell"/>
              <w:jc w:val="right"/>
              <w:rPr>
                <w:sz w:val="17"/>
              </w:rPr>
            </w:pPr>
            <w:r w:rsidRPr="00023A3D">
              <w:rPr>
                <w:sz w:val="17"/>
              </w:rPr>
              <w:t xml:space="preserve">Res. 3      </w:t>
            </w:r>
          </w:p>
          <w:p w:rsidR="006C0E49" w:rsidRPr="00023A3D" w:rsidRDefault="006C0E49">
            <w:pPr>
              <w:pStyle w:val="SBTabell"/>
              <w:jc w:val="right"/>
              <w:rPr>
                <w:sz w:val="17"/>
              </w:rPr>
            </w:pPr>
            <w:r w:rsidRPr="00023A3D">
              <w:rPr>
                <w:sz w:val="17"/>
              </w:rPr>
              <w:t xml:space="preserve">        (fp)</w:t>
            </w:r>
          </w:p>
        </w:tc>
      </w:tr>
      <w:tr w:rsidR="00000000" w:rsidRPr="00023A3D">
        <w:tblPrEx>
          <w:tblCellMar>
            <w:top w:w="0" w:type="dxa"/>
            <w:bottom w:w="0" w:type="dxa"/>
          </w:tblCellMar>
        </w:tblPrEx>
        <w:trPr>
          <w:trHeight w:val="186"/>
          <w:tblHeader/>
        </w:trPr>
        <w:tc>
          <w:tcPr>
            <w:tcW w:w="283" w:type="dxa"/>
          </w:tcPr>
          <w:p w:rsidR="006C0E49" w:rsidRPr="00023A3D" w:rsidRDefault="006C0E49">
            <w:pPr>
              <w:pStyle w:val="SBTabell"/>
              <w:rPr>
                <w:sz w:val="17"/>
              </w:rPr>
            </w:pPr>
          </w:p>
        </w:tc>
        <w:tc>
          <w:tcPr>
            <w:tcW w:w="2835" w:type="dxa"/>
          </w:tcPr>
          <w:p w:rsidR="006C0E49" w:rsidRPr="00023A3D" w:rsidRDefault="006C0E49">
            <w:pPr>
              <w:pStyle w:val="SBTabell"/>
              <w:rPr>
                <w:sz w:val="17"/>
              </w:rPr>
            </w:pPr>
          </w:p>
        </w:tc>
        <w:tc>
          <w:tcPr>
            <w:tcW w:w="1134" w:type="dxa"/>
          </w:tcPr>
          <w:p w:rsidR="006C0E49" w:rsidRPr="00023A3D" w:rsidRDefault="006C0E49">
            <w:pPr>
              <w:pStyle w:val="SBTabell"/>
              <w:rPr>
                <w:sz w:val="17"/>
              </w:rPr>
            </w:pP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rPr>
          <w:cantSplit/>
        </w:trPr>
        <w:tc>
          <w:tcPr>
            <w:tcW w:w="283" w:type="dxa"/>
          </w:tcPr>
          <w:p w:rsidR="006C0E49" w:rsidRPr="00023A3D" w:rsidRDefault="006C0E49">
            <w:pPr>
              <w:pStyle w:val="SBTabell"/>
              <w:rPr>
                <w:sz w:val="18"/>
              </w:rPr>
            </w:pPr>
            <w:r w:rsidRPr="00023A3D">
              <w:rPr>
                <w:b/>
                <w:sz w:val="18"/>
              </w:rPr>
              <w:t>01</w:t>
            </w:r>
          </w:p>
        </w:tc>
        <w:tc>
          <w:tcPr>
            <w:tcW w:w="6563" w:type="dxa"/>
            <w:gridSpan w:val="5"/>
          </w:tcPr>
          <w:p w:rsidR="006C0E49" w:rsidRPr="00023A3D" w:rsidRDefault="006C0E49">
            <w:pPr>
              <w:pStyle w:val="SBTabell"/>
              <w:rPr>
                <w:sz w:val="18"/>
              </w:rPr>
            </w:pPr>
            <w:r w:rsidRPr="00023A3D">
              <w:rPr>
                <w:b/>
                <w:sz w:val="18"/>
              </w:rPr>
              <w:t>Effektiv statsförvaltning</w:t>
            </w: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1</w:t>
            </w:r>
          </w:p>
        </w:tc>
        <w:tc>
          <w:tcPr>
            <w:tcW w:w="2835" w:type="dxa"/>
          </w:tcPr>
          <w:p w:rsidR="006C0E49" w:rsidRPr="00023A3D" w:rsidRDefault="006C0E49">
            <w:pPr>
              <w:pStyle w:val="SBTabell"/>
              <w:rPr>
                <w:sz w:val="17"/>
              </w:rPr>
            </w:pPr>
            <w:r w:rsidRPr="00023A3D">
              <w:rPr>
                <w:sz w:val="17"/>
              </w:rPr>
              <w:t xml:space="preserve">Konjunkturinstitutet </w:t>
            </w:r>
            <w:r w:rsidRPr="00023A3D">
              <w:rPr>
                <w:i/>
                <w:sz w:val="17"/>
              </w:rPr>
              <w:t>(ram)</w:t>
            </w:r>
          </w:p>
        </w:tc>
        <w:tc>
          <w:tcPr>
            <w:tcW w:w="1134" w:type="dxa"/>
          </w:tcPr>
          <w:p w:rsidR="006C0E49" w:rsidRPr="00023A3D" w:rsidRDefault="006C0E49">
            <w:pPr>
              <w:pStyle w:val="SBTabell"/>
              <w:jc w:val="right"/>
              <w:rPr>
                <w:sz w:val="17"/>
              </w:rPr>
            </w:pPr>
            <w:r w:rsidRPr="00023A3D">
              <w:rPr>
                <w:sz w:val="17"/>
              </w:rPr>
              <w:t>45 683</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2</w:t>
            </w:r>
          </w:p>
        </w:tc>
        <w:tc>
          <w:tcPr>
            <w:tcW w:w="2835" w:type="dxa"/>
          </w:tcPr>
          <w:p w:rsidR="006C0E49" w:rsidRPr="00023A3D" w:rsidRDefault="006C0E49">
            <w:pPr>
              <w:pStyle w:val="SBTabell"/>
              <w:rPr>
                <w:sz w:val="17"/>
              </w:rPr>
            </w:pPr>
            <w:r w:rsidRPr="00023A3D">
              <w:rPr>
                <w:sz w:val="17"/>
              </w:rPr>
              <w:t xml:space="preserve">Riksrevisionsverket </w:t>
            </w:r>
            <w:r w:rsidRPr="00023A3D">
              <w:rPr>
                <w:i/>
                <w:sz w:val="17"/>
              </w:rPr>
              <w:t>(ram)</w:t>
            </w:r>
          </w:p>
        </w:tc>
        <w:tc>
          <w:tcPr>
            <w:tcW w:w="1134" w:type="dxa"/>
          </w:tcPr>
          <w:p w:rsidR="006C0E49" w:rsidRPr="00023A3D" w:rsidRDefault="006C0E49">
            <w:pPr>
              <w:pStyle w:val="SBTabell"/>
              <w:jc w:val="right"/>
              <w:rPr>
                <w:sz w:val="17"/>
              </w:rPr>
            </w:pPr>
            <w:r w:rsidRPr="00023A3D">
              <w:rPr>
                <w:sz w:val="17"/>
              </w:rPr>
              <w:t>157 268</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jc w:val="right"/>
              <w:rPr>
                <w:sz w:val="17"/>
              </w:rPr>
            </w:pPr>
            <w:r w:rsidRPr="00023A3D">
              <w:rPr>
                <w:sz w:val="17"/>
              </w:rPr>
              <w:t>-2 000</w:t>
            </w: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3</w:t>
            </w:r>
          </w:p>
        </w:tc>
        <w:tc>
          <w:tcPr>
            <w:tcW w:w="2835" w:type="dxa"/>
          </w:tcPr>
          <w:p w:rsidR="006C0E49" w:rsidRPr="00023A3D" w:rsidRDefault="006C0E49">
            <w:pPr>
              <w:pStyle w:val="SBTabell"/>
              <w:rPr>
                <w:sz w:val="17"/>
              </w:rPr>
            </w:pPr>
            <w:r w:rsidRPr="00023A3D">
              <w:rPr>
                <w:sz w:val="17"/>
              </w:rPr>
              <w:t xml:space="preserve">Ekonomistyrningsverket </w:t>
            </w:r>
            <w:r w:rsidRPr="00023A3D">
              <w:rPr>
                <w:i/>
                <w:sz w:val="17"/>
              </w:rPr>
              <w:t>(ram)</w:t>
            </w:r>
          </w:p>
        </w:tc>
        <w:tc>
          <w:tcPr>
            <w:tcW w:w="1134" w:type="dxa"/>
          </w:tcPr>
          <w:p w:rsidR="006C0E49" w:rsidRPr="00023A3D" w:rsidRDefault="006C0E49">
            <w:pPr>
              <w:pStyle w:val="SBTabell"/>
              <w:jc w:val="right"/>
              <w:rPr>
                <w:sz w:val="17"/>
              </w:rPr>
            </w:pPr>
            <w:r w:rsidRPr="00023A3D">
              <w:rPr>
                <w:sz w:val="17"/>
              </w:rPr>
              <w:t>60 006</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4</w:t>
            </w:r>
          </w:p>
        </w:tc>
        <w:tc>
          <w:tcPr>
            <w:tcW w:w="2835" w:type="dxa"/>
          </w:tcPr>
          <w:p w:rsidR="006C0E49" w:rsidRPr="00023A3D" w:rsidRDefault="006C0E49">
            <w:pPr>
              <w:pStyle w:val="SBTabell"/>
              <w:rPr>
                <w:sz w:val="17"/>
              </w:rPr>
            </w:pPr>
            <w:r w:rsidRPr="00023A3D">
              <w:rPr>
                <w:sz w:val="17"/>
              </w:rPr>
              <w:t xml:space="preserve">Statskontoret </w:t>
            </w:r>
            <w:r w:rsidRPr="00023A3D">
              <w:rPr>
                <w:i/>
                <w:sz w:val="17"/>
              </w:rPr>
              <w:t>(ram)</w:t>
            </w:r>
          </w:p>
        </w:tc>
        <w:tc>
          <w:tcPr>
            <w:tcW w:w="1134" w:type="dxa"/>
          </w:tcPr>
          <w:p w:rsidR="006C0E49" w:rsidRPr="00023A3D" w:rsidRDefault="006C0E49">
            <w:pPr>
              <w:pStyle w:val="SBTabell"/>
              <w:jc w:val="right"/>
              <w:rPr>
                <w:sz w:val="17"/>
              </w:rPr>
            </w:pPr>
            <w:r w:rsidRPr="00023A3D">
              <w:rPr>
                <w:sz w:val="17"/>
              </w:rPr>
              <w:t>71 470</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5</w:t>
            </w:r>
          </w:p>
        </w:tc>
        <w:tc>
          <w:tcPr>
            <w:tcW w:w="2835" w:type="dxa"/>
          </w:tcPr>
          <w:p w:rsidR="006C0E49" w:rsidRPr="00023A3D" w:rsidRDefault="006C0E49">
            <w:pPr>
              <w:pStyle w:val="SBTabell"/>
              <w:rPr>
                <w:sz w:val="17"/>
              </w:rPr>
            </w:pPr>
            <w:r w:rsidRPr="00023A3D">
              <w:rPr>
                <w:sz w:val="17"/>
              </w:rPr>
              <w:t xml:space="preserve">Täckning av merkostnader för lokaler </w:t>
            </w:r>
            <w:r w:rsidRPr="00023A3D">
              <w:rPr>
                <w:i/>
                <w:sz w:val="17"/>
              </w:rPr>
              <w:t>(ram)</w:t>
            </w:r>
          </w:p>
        </w:tc>
        <w:tc>
          <w:tcPr>
            <w:tcW w:w="1134" w:type="dxa"/>
          </w:tcPr>
          <w:p w:rsidR="006C0E49" w:rsidRPr="00023A3D" w:rsidRDefault="006C0E49">
            <w:pPr>
              <w:pStyle w:val="SBTabell"/>
              <w:jc w:val="right"/>
              <w:rPr>
                <w:sz w:val="17"/>
              </w:rPr>
            </w:pPr>
          </w:p>
          <w:p w:rsidR="006C0E49" w:rsidRPr="00023A3D" w:rsidRDefault="006C0E49">
            <w:pPr>
              <w:pStyle w:val="SBTabell"/>
              <w:jc w:val="right"/>
              <w:rPr>
                <w:sz w:val="17"/>
              </w:rPr>
            </w:pPr>
            <w:r w:rsidRPr="00023A3D">
              <w:rPr>
                <w:sz w:val="17"/>
              </w:rPr>
              <w:t>420</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6</w:t>
            </w:r>
          </w:p>
        </w:tc>
        <w:tc>
          <w:tcPr>
            <w:tcW w:w="2835" w:type="dxa"/>
          </w:tcPr>
          <w:p w:rsidR="006C0E49" w:rsidRPr="00023A3D" w:rsidRDefault="006C0E49">
            <w:pPr>
              <w:pStyle w:val="SBTabell"/>
              <w:rPr>
                <w:sz w:val="17"/>
              </w:rPr>
            </w:pPr>
            <w:r w:rsidRPr="00023A3D">
              <w:rPr>
                <w:sz w:val="17"/>
              </w:rPr>
              <w:t xml:space="preserve">Statistiska centralbyrån </w:t>
            </w:r>
            <w:r w:rsidRPr="00023A3D">
              <w:rPr>
                <w:i/>
                <w:sz w:val="17"/>
              </w:rPr>
              <w:t>(ram)</w:t>
            </w:r>
          </w:p>
        </w:tc>
        <w:tc>
          <w:tcPr>
            <w:tcW w:w="1134" w:type="dxa"/>
          </w:tcPr>
          <w:p w:rsidR="006C0E49" w:rsidRPr="00023A3D" w:rsidRDefault="006C0E49">
            <w:pPr>
              <w:pStyle w:val="SBTabell"/>
              <w:jc w:val="right"/>
              <w:rPr>
                <w:sz w:val="17"/>
              </w:rPr>
            </w:pPr>
            <w:r w:rsidRPr="00023A3D">
              <w:rPr>
                <w:sz w:val="17"/>
              </w:rPr>
              <w:t>394 439</w:t>
            </w:r>
          </w:p>
        </w:tc>
        <w:tc>
          <w:tcPr>
            <w:tcW w:w="893" w:type="dxa"/>
          </w:tcPr>
          <w:p w:rsidR="006C0E49" w:rsidRPr="00023A3D" w:rsidRDefault="006C0E49">
            <w:pPr>
              <w:pStyle w:val="SBTabell"/>
              <w:jc w:val="right"/>
              <w:rPr>
                <w:sz w:val="17"/>
              </w:rPr>
            </w:pPr>
            <w:r w:rsidRPr="00023A3D">
              <w:rPr>
                <w:sz w:val="17"/>
              </w:rPr>
              <w:t>-50 000</w:t>
            </w:r>
          </w:p>
        </w:tc>
        <w:tc>
          <w:tcPr>
            <w:tcW w:w="851" w:type="dxa"/>
          </w:tcPr>
          <w:p w:rsidR="006C0E49" w:rsidRPr="00023A3D" w:rsidRDefault="006C0E49">
            <w:pPr>
              <w:pStyle w:val="SBTabell"/>
              <w:jc w:val="right"/>
              <w:rPr>
                <w:sz w:val="17"/>
              </w:rPr>
            </w:pPr>
            <w:r w:rsidRPr="00023A3D">
              <w:rPr>
                <w:sz w:val="17"/>
              </w:rPr>
              <w:t>-12 000</w:t>
            </w: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7</w:t>
            </w:r>
          </w:p>
        </w:tc>
        <w:tc>
          <w:tcPr>
            <w:tcW w:w="2835" w:type="dxa"/>
          </w:tcPr>
          <w:p w:rsidR="006C0E49" w:rsidRPr="00023A3D" w:rsidRDefault="006C0E49">
            <w:pPr>
              <w:pStyle w:val="SBTabell"/>
              <w:rPr>
                <w:sz w:val="17"/>
              </w:rPr>
            </w:pPr>
            <w:r w:rsidRPr="00023A3D">
              <w:rPr>
                <w:sz w:val="17"/>
              </w:rPr>
              <w:t xml:space="preserve">Folk- och bostadsstatistik </w:t>
            </w:r>
            <w:r w:rsidRPr="00023A3D">
              <w:rPr>
                <w:i/>
                <w:sz w:val="17"/>
              </w:rPr>
              <w:t>(res.)</w:t>
            </w:r>
          </w:p>
        </w:tc>
        <w:tc>
          <w:tcPr>
            <w:tcW w:w="1134" w:type="dxa"/>
          </w:tcPr>
          <w:p w:rsidR="006C0E49" w:rsidRPr="00023A3D" w:rsidRDefault="006C0E49">
            <w:pPr>
              <w:pStyle w:val="SBTabell"/>
              <w:jc w:val="right"/>
              <w:rPr>
                <w:sz w:val="17"/>
              </w:rPr>
            </w:pPr>
            <w:r w:rsidRPr="00023A3D">
              <w:rPr>
                <w:sz w:val="17"/>
              </w:rPr>
              <w:t>78 000</w:t>
            </w:r>
          </w:p>
        </w:tc>
        <w:tc>
          <w:tcPr>
            <w:tcW w:w="893" w:type="dxa"/>
          </w:tcPr>
          <w:p w:rsidR="006C0E49" w:rsidRPr="00023A3D" w:rsidRDefault="006C0E49">
            <w:pPr>
              <w:pStyle w:val="SBTabell"/>
              <w:jc w:val="right"/>
              <w:rPr>
                <w:sz w:val="17"/>
              </w:rPr>
            </w:pPr>
            <w:r w:rsidRPr="00023A3D">
              <w:rPr>
                <w:sz w:val="17"/>
              </w:rPr>
              <w:t>-78 000</w:t>
            </w:r>
          </w:p>
        </w:tc>
        <w:tc>
          <w:tcPr>
            <w:tcW w:w="851" w:type="dxa"/>
          </w:tcPr>
          <w:p w:rsidR="006C0E49" w:rsidRPr="00023A3D" w:rsidRDefault="006C0E49">
            <w:pPr>
              <w:pStyle w:val="SBTabell"/>
              <w:jc w:val="right"/>
              <w:rPr>
                <w:sz w:val="17"/>
              </w:rPr>
            </w:pPr>
            <w:r w:rsidRPr="00023A3D">
              <w:rPr>
                <w:sz w:val="17"/>
              </w:rPr>
              <w:t>-45 000</w:t>
            </w:r>
          </w:p>
        </w:tc>
        <w:tc>
          <w:tcPr>
            <w:tcW w:w="850" w:type="dxa"/>
          </w:tcPr>
          <w:p w:rsidR="006C0E49" w:rsidRPr="00023A3D" w:rsidRDefault="006C0E49">
            <w:pPr>
              <w:pStyle w:val="SBTabell"/>
              <w:jc w:val="right"/>
              <w:rPr>
                <w:sz w:val="17"/>
              </w:rPr>
            </w:pPr>
            <w:r w:rsidRPr="00023A3D">
              <w:rPr>
                <w:sz w:val="17"/>
              </w:rPr>
              <w:t>-78 000</w:t>
            </w: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8</w:t>
            </w:r>
          </w:p>
        </w:tc>
        <w:tc>
          <w:tcPr>
            <w:tcW w:w="2835" w:type="dxa"/>
          </w:tcPr>
          <w:p w:rsidR="006C0E49" w:rsidRPr="00023A3D" w:rsidRDefault="006C0E49">
            <w:pPr>
              <w:pStyle w:val="SBTabell"/>
              <w:rPr>
                <w:sz w:val="17"/>
              </w:rPr>
            </w:pPr>
            <w:r w:rsidRPr="00023A3D">
              <w:rPr>
                <w:sz w:val="17"/>
              </w:rPr>
              <w:t xml:space="preserve">Kammarkollegiet </w:t>
            </w:r>
            <w:r w:rsidRPr="00023A3D">
              <w:rPr>
                <w:i/>
                <w:sz w:val="17"/>
              </w:rPr>
              <w:t>(ram)</w:t>
            </w:r>
          </w:p>
        </w:tc>
        <w:tc>
          <w:tcPr>
            <w:tcW w:w="1134" w:type="dxa"/>
          </w:tcPr>
          <w:p w:rsidR="006C0E49" w:rsidRPr="00023A3D" w:rsidRDefault="006C0E49">
            <w:pPr>
              <w:pStyle w:val="SBTabell"/>
              <w:jc w:val="right"/>
              <w:rPr>
                <w:sz w:val="17"/>
              </w:rPr>
            </w:pPr>
            <w:r w:rsidRPr="00023A3D">
              <w:rPr>
                <w:sz w:val="17"/>
              </w:rPr>
              <w:t>26 914</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9</w:t>
            </w:r>
          </w:p>
        </w:tc>
        <w:tc>
          <w:tcPr>
            <w:tcW w:w="2835" w:type="dxa"/>
          </w:tcPr>
          <w:p w:rsidR="006C0E49" w:rsidRPr="00023A3D" w:rsidRDefault="006C0E49">
            <w:pPr>
              <w:pStyle w:val="SBTabell"/>
              <w:rPr>
                <w:sz w:val="17"/>
              </w:rPr>
            </w:pPr>
            <w:r w:rsidRPr="00023A3D">
              <w:rPr>
                <w:sz w:val="17"/>
              </w:rPr>
              <w:t xml:space="preserve">Nämnden för offentlig upphandling </w:t>
            </w:r>
            <w:r w:rsidRPr="00023A3D">
              <w:rPr>
                <w:i/>
                <w:sz w:val="17"/>
              </w:rPr>
              <w:t>(ram)</w:t>
            </w:r>
          </w:p>
        </w:tc>
        <w:tc>
          <w:tcPr>
            <w:tcW w:w="1134" w:type="dxa"/>
          </w:tcPr>
          <w:p w:rsidR="006C0E49" w:rsidRPr="00023A3D" w:rsidRDefault="006C0E49">
            <w:pPr>
              <w:pStyle w:val="SBTabell"/>
              <w:jc w:val="right"/>
              <w:rPr>
                <w:sz w:val="17"/>
              </w:rPr>
            </w:pPr>
          </w:p>
          <w:p w:rsidR="006C0E49" w:rsidRPr="00023A3D" w:rsidRDefault="006C0E49">
            <w:pPr>
              <w:pStyle w:val="SBTabell"/>
              <w:jc w:val="right"/>
              <w:rPr>
                <w:sz w:val="17"/>
              </w:rPr>
            </w:pPr>
            <w:r w:rsidRPr="00023A3D">
              <w:rPr>
                <w:sz w:val="17"/>
              </w:rPr>
              <w:t>7 443</w:t>
            </w:r>
          </w:p>
        </w:tc>
        <w:tc>
          <w:tcPr>
            <w:tcW w:w="893" w:type="dxa"/>
          </w:tcPr>
          <w:p w:rsidR="006C0E49" w:rsidRPr="00023A3D" w:rsidRDefault="006C0E49">
            <w:pPr>
              <w:pStyle w:val="SBTabell"/>
              <w:jc w:val="right"/>
              <w:rPr>
                <w:sz w:val="17"/>
              </w:rPr>
            </w:pPr>
          </w:p>
          <w:p w:rsidR="006C0E49" w:rsidRPr="00023A3D" w:rsidRDefault="006C0E49">
            <w:pPr>
              <w:pStyle w:val="SBTabell"/>
              <w:jc w:val="right"/>
              <w:rPr>
                <w:sz w:val="17"/>
              </w:rPr>
            </w:pPr>
            <w:r w:rsidRPr="00023A3D">
              <w:rPr>
                <w:sz w:val="17"/>
              </w:rPr>
              <w:t>-3 722</w:t>
            </w: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10</w:t>
            </w:r>
          </w:p>
        </w:tc>
        <w:tc>
          <w:tcPr>
            <w:tcW w:w="2835" w:type="dxa"/>
          </w:tcPr>
          <w:p w:rsidR="006C0E49" w:rsidRPr="00023A3D" w:rsidRDefault="006C0E49">
            <w:pPr>
              <w:pStyle w:val="SBTabell"/>
              <w:rPr>
                <w:sz w:val="17"/>
              </w:rPr>
            </w:pPr>
            <w:r w:rsidRPr="00023A3D">
              <w:rPr>
                <w:sz w:val="17"/>
              </w:rPr>
              <w:t xml:space="preserve">Statens kvalitets- och kompetensråd </w:t>
            </w:r>
            <w:r w:rsidRPr="00023A3D">
              <w:rPr>
                <w:i/>
                <w:sz w:val="17"/>
              </w:rPr>
              <w:t>(ram)</w:t>
            </w:r>
          </w:p>
        </w:tc>
        <w:tc>
          <w:tcPr>
            <w:tcW w:w="1134" w:type="dxa"/>
          </w:tcPr>
          <w:p w:rsidR="006C0E49" w:rsidRPr="00023A3D" w:rsidRDefault="006C0E49">
            <w:pPr>
              <w:pStyle w:val="SBTabell"/>
              <w:jc w:val="right"/>
              <w:rPr>
                <w:sz w:val="17"/>
              </w:rPr>
            </w:pPr>
          </w:p>
          <w:p w:rsidR="006C0E49" w:rsidRPr="00023A3D" w:rsidRDefault="006C0E49">
            <w:pPr>
              <w:pStyle w:val="SBTabell"/>
              <w:jc w:val="right"/>
              <w:rPr>
                <w:sz w:val="17"/>
              </w:rPr>
            </w:pPr>
            <w:r w:rsidRPr="00023A3D">
              <w:rPr>
                <w:sz w:val="17"/>
              </w:rPr>
              <w:t>12 057</w:t>
            </w:r>
          </w:p>
        </w:tc>
        <w:tc>
          <w:tcPr>
            <w:tcW w:w="893" w:type="dxa"/>
          </w:tcPr>
          <w:p w:rsidR="006C0E49" w:rsidRPr="00023A3D" w:rsidRDefault="006C0E49">
            <w:pPr>
              <w:pStyle w:val="SBTabell"/>
              <w:jc w:val="right"/>
              <w:rPr>
                <w:sz w:val="17"/>
              </w:rPr>
            </w:pPr>
          </w:p>
          <w:p w:rsidR="006C0E49" w:rsidRPr="00023A3D" w:rsidRDefault="006C0E49">
            <w:pPr>
              <w:pStyle w:val="SBTabell"/>
              <w:jc w:val="right"/>
              <w:rPr>
                <w:sz w:val="17"/>
              </w:rPr>
            </w:pPr>
            <w:r w:rsidRPr="00023A3D">
              <w:rPr>
                <w:sz w:val="17"/>
              </w:rPr>
              <w:t>-6 029</w:t>
            </w:r>
          </w:p>
        </w:tc>
        <w:tc>
          <w:tcPr>
            <w:tcW w:w="851" w:type="dxa"/>
          </w:tcPr>
          <w:p w:rsidR="006C0E49" w:rsidRPr="00023A3D" w:rsidRDefault="006C0E49">
            <w:pPr>
              <w:pStyle w:val="SBTabell"/>
              <w:jc w:val="right"/>
              <w:rPr>
                <w:sz w:val="17"/>
              </w:rPr>
            </w:pPr>
          </w:p>
          <w:p w:rsidR="006C0E49" w:rsidRPr="00023A3D" w:rsidRDefault="006C0E49">
            <w:pPr>
              <w:pStyle w:val="SBTabell"/>
              <w:jc w:val="right"/>
              <w:rPr>
                <w:sz w:val="17"/>
              </w:rPr>
            </w:pPr>
            <w:r w:rsidRPr="00023A3D">
              <w:rPr>
                <w:sz w:val="17"/>
              </w:rPr>
              <w:t>-12 057</w:t>
            </w: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11</w:t>
            </w:r>
          </w:p>
        </w:tc>
        <w:tc>
          <w:tcPr>
            <w:tcW w:w="2835" w:type="dxa"/>
          </w:tcPr>
          <w:p w:rsidR="006C0E49" w:rsidRPr="00023A3D" w:rsidRDefault="006C0E49">
            <w:pPr>
              <w:pStyle w:val="SBTabell"/>
              <w:rPr>
                <w:sz w:val="17"/>
              </w:rPr>
            </w:pPr>
            <w:r w:rsidRPr="00023A3D">
              <w:rPr>
                <w:sz w:val="17"/>
              </w:rPr>
              <w:t xml:space="preserve">Ekonomiska rådet </w:t>
            </w:r>
            <w:r w:rsidRPr="00023A3D">
              <w:rPr>
                <w:i/>
                <w:sz w:val="17"/>
              </w:rPr>
              <w:t>(ram)</w:t>
            </w:r>
          </w:p>
        </w:tc>
        <w:tc>
          <w:tcPr>
            <w:tcW w:w="1134" w:type="dxa"/>
          </w:tcPr>
          <w:p w:rsidR="006C0E49" w:rsidRPr="00023A3D" w:rsidRDefault="006C0E49">
            <w:pPr>
              <w:pStyle w:val="SBTabell"/>
              <w:jc w:val="right"/>
              <w:rPr>
                <w:sz w:val="17"/>
              </w:rPr>
            </w:pPr>
            <w:r w:rsidRPr="00023A3D">
              <w:rPr>
                <w:sz w:val="17"/>
              </w:rPr>
              <w:t>2 285</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12</w:t>
            </w:r>
          </w:p>
        </w:tc>
        <w:tc>
          <w:tcPr>
            <w:tcW w:w="2835" w:type="dxa"/>
          </w:tcPr>
          <w:p w:rsidR="006C0E49" w:rsidRPr="00023A3D" w:rsidRDefault="006C0E49">
            <w:pPr>
              <w:pStyle w:val="SBTabell"/>
              <w:rPr>
                <w:sz w:val="17"/>
              </w:rPr>
            </w:pPr>
            <w:r w:rsidRPr="00023A3D">
              <w:rPr>
                <w:sz w:val="17"/>
              </w:rPr>
              <w:t xml:space="preserve">Utvecklingsarbete </w:t>
            </w:r>
            <w:r w:rsidRPr="00023A3D">
              <w:rPr>
                <w:i/>
                <w:sz w:val="17"/>
              </w:rPr>
              <w:t>(ram)</w:t>
            </w:r>
          </w:p>
        </w:tc>
        <w:tc>
          <w:tcPr>
            <w:tcW w:w="1134" w:type="dxa"/>
          </w:tcPr>
          <w:p w:rsidR="006C0E49" w:rsidRPr="00023A3D" w:rsidRDefault="006C0E49">
            <w:pPr>
              <w:pStyle w:val="SBTabell"/>
              <w:jc w:val="right"/>
              <w:rPr>
                <w:sz w:val="17"/>
              </w:rPr>
            </w:pPr>
            <w:r w:rsidRPr="00023A3D">
              <w:rPr>
                <w:sz w:val="17"/>
              </w:rPr>
              <w:t>17 370</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jc w:val="right"/>
              <w:rPr>
                <w:sz w:val="17"/>
              </w:rPr>
            </w:pPr>
            <w:r w:rsidRPr="00023A3D">
              <w:rPr>
                <w:sz w:val="17"/>
              </w:rPr>
              <w:t>-17 370</w:t>
            </w: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13</w:t>
            </w:r>
          </w:p>
        </w:tc>
        <w:tc>
          <w:tcPr>
            <w:tcW w:w="2835" w:type="dxa"/>
          </w:tcPr>
          <w:p w:rsidR="006C0E49" w:rsidRPr="00023A3D" w:rsidRDefault="006C0E49">
            <w:pPr>
              <w:pStyle w:val="SBTabell"/>
              <w:rPr>
                <w:sz w:val="17"/>
              </w:rPr>
            </w:pPr>
            <w:r w:rsidRPr="00023A3D">
              <w:rPr>
                <w:sz w:val="17"/>
              </w:rPr>
              <w:t xml:space="preserve">Arbetsgivarpolitiska frågor </w:t>
            </w:r>
            <w:r w:rsidRPr="00023A3D">
              <w:rPr>
                <w:i/>
                <w:sz w:val="17"/>
              </w:rPr>
              <w:t>(ram)</w:t>
            </w:r>
          </w:p>
        </w:tc>
        <w:tc>
          <w:tcPr>
            <w:tcW w:w="1134" w:type="dxa"/>
          </w:tcPr>
          <w:p w:rsidR="006C0E49" w:rsidRPr="00023A3D" w:rsidRDefault="006C0E49">
            <w:pPr>
              <w:pStyle w:val="SBTabell"/>
              <w:jc w:val="right"/>
              <w:rPr>
                <w:sz w:val="17"/>
              </w:rPr>
            </w:pPr>
            <w:r w:rsidRPr="00023A3D">
              <w:rPr>
                <w:sz w:val="17"/>
              </w:rPr>
              <w:t>2 458</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14</w:t>
            </w:r>
          </w:p>
        </w:tc>
        <w:tc>
          <w:tcPr>
            <w:tcW w:w="2835" w:type="dxa"/>
          </w:tcPr>
          <w:p w:rsidR="006C0E49" w:rsidRPr="00023A3D" w:rsidRDefault="006C0E49">
            <w:pPr>
              <w:pStyle w:val="SBTabell"/>
              <w:rPr>
                <w:sz w:val="17"/>
              </w:rPr>
            </w:pPr>
            <w:r w:rsidRPr="00023A3D">
              <w:rPr>
                <w:sz w:val="17"/>
              </w:rPr>
              <w:t xml:space="preserve">Statliga tjänstepensioner m.m. </w:t>
            </w:r>
            <w:r w:rsidRPr="00023A3D">
              <w:rPr>
                <w:i/>
                <w:sz w:val="17"/>
              </w:rPr>
              <w:t>(ram)</w:t>
            </w:r>
          </w:p>
        </w:tc>
        <w:tc>
          <w:tcPr>
            <w:tcW w:w="1134" w:type="dxa"/>
          </w:tcPr>
          <w:p w:rsidR="006C0E49" w:rsidRPr="00023A3D" w:rsidRDefault="006C0E49">
            <w:pPr>
              <w:pStyle w:val="SBTabell"/>
              <w:jc w:val="right"/>
              <w:rPr>
                <w:sz w:val="17"/>
              </w:rPr>
            </w:pPr>
            <w:r w:rsidRPr="00023A3D">
              <w:rPr>
                <w:sz w:val="17"/>
              </w:rPr>
              <w:t>7 381 000</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rPr>
          <w:trHeight w:hRule="exact" w:val="120"/>
        </w:trPr>
        <w:tc>
          <w:tcPr>
            <w:tcW w:w="283" w:type="dxa"/>
          </w:tcPr>
          <w:p w:rsidR="006C0E49" w:rsidRPr="00023A3D" w:rsidRDefault="006C0E49">
            <w:pPr>
              <w:pStyle w:val="SBTabell"/>
              <w:rPr>
                <w:sz w:val="17"/>
              </w:rPr>
            </w:pPr>
          </w:p>
        </w:tc>
        <w:tc>
          <w:tcPr>
            <w:tcW w:w="2835" w:type="dxa"/>
          </w:tcPr>
          <w:p w:rsidR="006C0E49" w:rsidRPr="00023A3D" w:rsidRDefault="006C0E49">
            <w:pPr>
              <w:pStyle w:val="SBTabell"/>
              <w:rPr>
                <w:sz w:val="17"/>
              </w:rPr>
            </w:pPr>
          </w:p>
        </w:tc>
        <w:tc>
          <w:tcPr>
            <w:tcW w:w="1134" w:type="dxa"/>
          </w:tcPr>
          <w:p w:rsidR="006C0E49" w:rsidRPr="00023A3D" w:rsidRDefault="006C0E49">
            <w:pPr>
              <w:pStyle w:val="SBTabell"/>
              <w:rPr>
                <w:sz w:val="17"/>
              </w:rPr>
            </w:pP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rPr>
          <w:cantSplit/>
        </w:trPr>
        <w:tc>
          <w:tcPr>
            <w:tcW w:w="283" w:type="dxa"/>
          </w:tcPr>
          <w:p w:rsidR="006C0E49" w:rsidRPr="00023A3D" w:rsidRDefault="006C0E49">
            <w:pPr>
              <w:pStyle w:val="SBTabell"/>
              <w:rPr>
                <w:sz w:val="18"/>
              </w:rPr>
            </w:pPr>
            <w:r w:rsidRPr="00023A3D">
              <w:rPr>
                <w:b/>
                <w:sz w:val="18"/>
              </w:rPr>
              <w:t>02</w:t>
            </w:r>
          </w:p>
        </w:tc>
        <w:tc>
          <w:tcPr>
            <w:tcW w:w="6563" w:type="dxa"/>
            <w:gridSpan w:val="5"/>
          </w:tcPr>
          <w:p w:rsidR="006C0E49" w:rsidRPr="00023A3D" w:rsidRDefault="006C0E49">
            <w:pPr>
              <w:pStyle w:val="SBTabell"/>
              <w:rPr>
                <w:sz w:val="18"/>
              </w:rPr>
            </w:pPr>
            <w:r w:rsidRPr="00023A3D">
              <w:rPr>
                <w:b/>
                <w:sz w:val="18"/>
              </w:rPr>
              <w:t>Finansiella system och tillsyn</w:t>
            </w: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1</w:t>
            </w:r>
          </w:p>
        </w:tc>
        <w:tc>
          <w:tcPr>
            <w:tcW w:w="2835" w:type="dxa"/>
          </w:tcPr>
          <w:p w:rsidR="006C0E49" w:rsidRPr="00023A3D" w:rsidRDefault="006C0E49">
            <w:pPr>
              <w:pStyle w:val="SBTabell"/>
              <w:rPr>
                <w:sz w:val="17"/>
              </w:rPr>
            </w:pPr>
            <w:r w:rsidRPr="00023A3D">
              <w:rPr>
                <w:sz w:val="17"/>
              </w:rPr>
              <w:t xml:space="preserve">Finansinspektionen </w:t>
            </w:r>
            <w:r w:rsidRPr="00023A3D">
              <w:rPr>
                <w:i/>
                <w:sz w:val="17"/>
              </w:rPr>
              <w:t>(ram)</w:t>
            </w:r>
          </w:p>
        </w:tc>
        <w:tc>
          <w:tcPr>
            <w:tcW w:w="1134" w:type="dxa"/>
          </w:tcPr>
          <w:p w:rsidR="006C0E49" w:rsidRPr="00023A3D" w:rsidRDefault="006C0E49">
            <w:pPr>
              <w:pStyle w:val="SBTabell"/>
              <w:jc w:val="right"/>
              <w:rPr>
                <w:sz w:val="17"/>
              </w:rPr>
            </w:pPr>
            <w:r w:rsidRPr="00023A3D">
              <w:rPr>
                <w:sz w:val="17"/>
              </w:rPr>
              <w:t>141 853</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jc w:val="right"/>
              <w:rPr>
                <w:sz w:val="17"/>
              </w:rPr>
            </w:pPr>
            <w:r w:rsidRPr="00023A3D">
              <w:rPr>
                <w:sz w:val="17"/>
              </w:rPr>
              <w:t>-9 000</w:t>
            </w: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2</w:t>
            </w:r>
          </w:p>
        </w:tc>
        <w:tc>
          <w:tcPr>
            <w:tcW w:w="2835" w:type="dxa"/>
          </w:tcPr>
          <w:p w:rsidR="006C0E49" w:rsidRPr="00023A3D" w:rsidRDefault="006C0E49">
            <w:pPr>
              <w:pStyle w:val="SBTabell"/>
              <w:rPr>
                <w:sz w:val="17"/>
              </w:rPr>
            </w:pPr>
            <w:r w:rsidRPr="00023A3D">
              <w:rPr>
                <w:sz w:val="17"/>
              </w:rPr>
              <w:t xml:space="preserve">Insättningsgarantinämnden </w:t>
            </w:r>
            <w:r w:rsidRPr="00023A3D">
              <w:rPr>
                <w:i/>
                <w:sz w:val="17"/>
              </w:rPr>
              <w:t>(ram)</w:t>
            </w:r>
          </w:p>
        </w:tc>
        <w:tc>
          <w:tcPr>
            <w:tcW w:w="1134" w:type="dxa"/>
          </w:tcPr>
          <w:p w:rsidR="006C0E49" w:rsidRPr="00023A3D" w:rsidRDefault="006C0E49">
            <w:pPr>
              <w:pStyle w:val="SBTabell"/>
              <w:jc w:val="right"/>
              <w:rPr>
                <w:sz w:val="17"/>
              </w:rPr>
            </w:pPr>
            <w:r w:rsidRPr="00023A3D">
              <w:rPr>
                <w:sz w:val="17"/>
              </w:rPr>
              <w:t>8 224</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3</w:t>
            </w:r>
          </w:p>
        </w:tc>
        <w:tc>
          <w:tcPr>
            <w:tcW w:w="2835" w:type="dxa"/>
          </w:tcPr>
          <w:p w:rsidR="006C0E49" w:rsidRPr="00023A3D" w:rsidRDefault="006C0E49">
            <w:pPr>
              <w:pStyle w:val="SBTabell"/>
              <w:rPr>
                <w:sz w:val="17"/>
              </w:rPr>
            </w:pPr>
            <w:r w:rsidRPr="00023A3D">
              <w:rPr>
                <w:sz w:val="17"/>
              </w:rPr>
              <w:t>Riksgäldskontoret: Förvaltningskostn</w:t>
            </w:r>
            <w:r w:rsidRPr="00023A3D">
              <w:rPr>
                <w:sz w:val="17"/>
              </w:rPr>
              <w:t>a</w:t>
            </w:r>
            <w:r w:rsidRPr="00023A3D">
              <w:rPr>
                <w:sz w:val="17"/>
              </w:rPr>
              <w:t xml:space="preserve">der </w:t>
            </w:r>
            <w:r w:rsidRPr="00023A3D">
              <w:rPr>
                <w:i/>
                <w:sz w:val="17"/>
              </w:rPr>
              <w:t>(ram)</w:t>
            </w:r>
          </w:p>
        </w:tc>
        <w:tc>
          <w:tcPr>
            <w:tcW w:w="1134" w:type="dxa"/>
          </w:tcPr>
          <w:p w:rsidR="006C0E49" w:rsidRPr="00023A3D" w:rsidRDefault="006C0E49">
            <w:pPr>
              <w:pStyle w:val="SBTabell"/>
              <w:jc w:val="right"/>
              <w:rPr>
                <w:sz w:val="17"/>
              </w:rPr>
            </w:pPr>
          </w:p>
          <w:p w:rsidR="006C0E49" w:rsidRPr="00023A3D" w:rsidRDefault="006C0E49">
            <w:pPr>
              <w:pStyle w:val="SBTabell"/>
              <w:jc w:val="right"/>
              <w:rPr>
                <w:sz w:val="17"/>
              </w:rPr>
            </w:pPr>
            <w:r w:rsidRPr="00023A3D">
              <w:rPr>
                <w:sz w:val="17"/>
              </w:rPr>
              <w:t>252 875</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jc w:val="right"/>
              <w:rPr>
                <w:sz w:val="17"/>
              </w:rPr>
            </w:pPr>
          </w:p>
          <w:p w:rsidR="006C0E49" w:rsidRPr="00023A3D" w:rsidRDefault="006C0E49">
            <w:pPr>
              <w:pStyle w:val="SBTabell"/>
              <w:jc w:val="right"/>
              <w:rPr>
                <w:sz w:val="17"/>
              </w:rPr>
            </w:pPr>
            <w:r w:rsidRPr="00023A3D">
              <w:rPr>
                <w:sz w:val="17"/>
              </w:rPr>
              <w:t>-10 000</w:t>
            </w: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4</w:t>
            </w:r>
          </w:p>
        </w:tc>
        <w:tc>
          <w:tcPr>
            <w:tcW w:w="2835" w:type="dxa"/>
          </w:tcPr>
          <w:p w:rsidR="006C0E49" w:rsidRPr="00023A3D" w:rsidRDefault="006C0E49">
            <w:pPr>
              <w:pStyle w:val="SBTabell"/>
              <w:rPr>
                <w:sz w:val="17"/>
              </w:rPr>
            </w:pPr>
            <w:r w:rsidRPr="00023A3D">
              <w:rPr>
                <w:sz w:val="17"/>
              </w:rPr>
              <w:t xml:space="preserve">Bokföringsnämnden </w:t>
            </w:r>
            <w:r w:rsidRPr="00023A3D">
              <w:rPr>
                <w:i/>
                <w:sz w:val="17"/>
              </w:rPr>
              <w:t>(ram)</w:t>
            </w:r>
          </w:p>
        </w:tc>
        <w:tc>
          <w:tcPr>
            <w:tcW w:w="1134" w:type="dxa"/>
          </w:tcPr>
          <w:p w:rsidR="006C0E49" w:rsidRPr="00023A3D" w:rsidRDefault="006C0E49">
            <w:pPr>
              <w:pStyle w:val="SBTabell"/>
              <w:jc w:val="right"/>
              <w:rPr>
                <w:sz w:val="17"/>
              </w:rPr>
            </w:pPr>
            <w:r w:rsidRPr="00023A3D">
              <w:rPr>
                <w:sz w:val="17"/>
              </w:rPr>
              <w:t>7 521</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5</w:t>
            </w:r>
          </w:p>
        </w:tc>
        <w:tc>
          <w:tcPr>
            <w:tcW w:w="2835" w:type="dxa"/>
          </w:tcPr>
          <w:p w:rsidR="006C0E49" w:rsidRPr="00023A3D" w:rsidRDefault="006C0E49">
            <w:pPr>
              <w:pStyle w:val="SBTabell"/>
              <w:rPr>
                <w:sz w:val="17"/>
              </w:rPr>
            </w:pPr>
            <w:r w:rsidRPr="00023A3D">
              <w:rPr>
                <w:sz w:val="17"/>
              </w:rPr>
              <w:t>Avgift för Stadshypotekskassans grun</w:t>
            </w:r>
            <w:r w:rsidRPr="00023A3D">
              <w:rPr>
                <w:sz w:val="17"/>
              </w:rPr>
              <w:t>d</w:t>
            </w:r>
            <w:r w:rsidRPr="00023A3D">
              <w:rPr>
                <w:sz w:val="17"/>
              </w:rPr>
              <w:t xml:space="preserve">fond </w:t>
            </w:r>
            <w:r w:rsidRPr="00023A3D">
              <w:rPr>
                <w:i/>
                <w:sz w:val="17"/>
              </w:rPr>
              <w:t>(ram)</w:t>
            </w:r>
          </w:p>
        </w:tc>
        <w:tc>
          <w:tcPr>
            <w:tcW w:w="1134" w:type="dxa"/>
          </w:tcPr>
          <w:p w:rsidR="006C0E49" w:rsidRPr="00023A3D" w:rsidRDefault="006C0E49">
            <w:pPr>
              <w:pStyle w:val="SBTabell"/>
              <w:jc w:val="right"/>
              <w:rPr>
                <w:sz w:val="17"/>
              </w:rPr>
            </w:pPr>
          </w:p>
          <w:p w:rsidR="006C0E49" w:rsidRPr="00023A3D" w:rsidRDefault="006C0E49">
            <w:pPr>
              <w:pStyle w:val="SBTabell"/>
              <w:jc w:val="right"/>
              <w:rPr>
                <w:sz w:val="17"/>
              </w:rPr>
            </w:pPr>
            <w:r w:rsidRPr="00023A3D">
              <w:rPr>
                <w:sz w:val="17"/>
              </w:rPr>
              <w:t>0</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6</w:t>
            </w:r>
          </w:p>
        </w:tc>
        <w:tc>
          <w:tcPr>
            <w:tcW w:w="2835" w:type="dxa"/>
          </w:tcPr>
          <w:p w:rsidR="006C0E49" w:rsidRPr="00023A3D" w:rsidRDefault="006C0E49">
            <w:pPr>
              <w:pStyle w:val="SBTabell"/>
              <w:rPr>
                <w:sz w:val="17"/>
              </w:rPr>
            </w:pPr>
            <w:r w:rsidRPr="00023A3D">
              <w:rPr>
                <w:sz w:val="17"/>
              </w:rPr>
              <w:t>Insatser i internationella finansiering</w:t>
            </w:r>
            <w:r w:rsidRPr="00023A3D">
              <w:rPr>
                <w:sz w:val="17"/>
              </w:rPr>
              <w:t>s</w:t>
            </w:r>
            <w:r w:rsidRPr="00023A3D">
              <w:rPr>
                <w:sz w:val="17"/>
              </w:rPr>
              <w:t xml:space="preserve">institutioner </w:t>
            </w:r>
            <w:r w:rsidRPr="00023A3D">
              <w:rPr>
                <w:i/>
                <w:sz w:val="17"/>
              </w:rPr>
              <w:t>(ram)</w:t>
            </w:r>
          </w:p>
        </w:tc>
        <w:tc>
          <w:tcPr>
            <w:tcW w:w="1134" w:type="dxa"/>
          </w:tcPr>
          <w:p w:rsidR="006C0E49" w:rsidRPr="00023A3D" w:rsidRDefault="006C0E49">
            <w:pPr>
              <w:pStyle w:val="SBTabell"/>
              <w:jc w:val="right"/>
              <w:rPr>
                <w:sz w:val="17"/>
              </w:rPr>
            </w:pPr>
          </w:p>
          <w:p w:rsidR="006C0E49" w:rsidRPr="00023A3D" w:rsidRDefault="006C0E49">
            <w:pPr>
              <w:pStyle w:val="SBTabell"/>
              <w:jc w:val="right"/>
              <w:rPr>
                <w:sz w:val="17"/>
              </w:rPr>
            </w:pPr>
            <w:r w:rsidRPr="00023A3D">
              <w:rPr>
                <w:sz w:val="17"/>
              </w:rPr>
              <w:t>60 000</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7</w:t>
            </w:r>
          </w:p>
        </w:tc>
        <w:tc>
          <w:tcPr>
            <w:tcW w:w="2835" w:type="dxa"/>
          </w:tcPr>
          <w:p w:rsidR="006C0E49" w:rsidRPr="00023A3D" w:rsidRDefault="006C0E49">
            <w:pPr>
              <w:pStyle w:val="SBTabell"/>
              <w:rPr>
                <w:sz w:val="17"/>
              </w:rPr>
            </w:pPr>
            <w:r w:rsidRPr="00023A3D">
              <w:rPr>
                <w:sz w:val="17"/>
              </w:rPr>
              <w:t xml:space="preserve">Avsättning för garantiverksamhet </w:t>
            </w:r>
            <w:r w:rsidRPr="00023A3D">
              <w:rPr>
                <w:i/>
                <w:sz w:val="17"/>
              </w:rPr>
              <w:t>(ram)</w:t>
            </w:r>
          </w:p>
        </w:tc>
        <w:tc>
          <w:tcPr>
            <w:tcW w:w="1134" w:type="dxa"/>
          </w:tcPr>
          <w:p w:rsidR="006C0E49" w:rsidRPr="00023A3D" w:rsidRDefault="006C0E49">
            <w:pPr>
              <w:pStyle w:val="SBTabell"/>
              <w:jc w:val="right"/>
              <w:rPr>
                <w:sz w:val="17"/>
              </w:rPr>
            </w:pPr>
            <w:r w:rsidRPr="00023A3D">
              <w:rPr>
                <w:sz w:val="17"/>
              </w:rPr>
              <w:t>0</w:t>
            </w: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rPr>
          <w:trHeight w:hRule="exact" w:val="120"/>
        </w:trPr>
        <w:tc>
          <w:tcPr>
            <w:tcW w:w="283" w:type="dxa"/>
          </w:tcPr>
          <w:p w:rsidR="006C0E49" w:rsidRPr="00023A3D" w:rsidRDefault="006C0E49">
            <w:pPr>
              <w:pStyle w:val="SBTabell"/>
              <w:rPr>
                <w:sz w:val="17"/>
              </w:rPr>
            </w:pPr>
          </w:p>
        </w:tc>
        <w:tc>
          <w:tcPr>
            <w:tcW w:w="2835" w:type="dxa"/>
          </w:tcPr>
          <w:p w:rsidR="006C0E49" w:rsidRPr="00023A3D" w:rsidRDefault="006C0E49">
            <w:pPr>
              <w:pStyle w:val="SBTabell"/>
              <w:rPr>
                <w:sz w:val="17"/>
              </w:rPr>
            </w:pPr>
          </w:p>
        </w:tc>
        <w:tc>
          <w:tcPr>
            <w:tcW w:w="1134" w:type="dxa"/>
          </w:tcPr>
          <w:p w:rsidR="006C0E49" w:rsidRPr="00023A3D" w:rsidRDefault="006C0E49">
            <w:pPr>
              <w:pStyle w:val="SBTabell"/>
              <w:rPr>
                <w:sz w:val="17"/>
              </w:rPr>
            </w:pP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rPr>
          <w:cantSplit/>
        </w:trPr>
        <w:tc>
          <w:tcPr>
            <w:tcW w:w="283" w:type="dxa"/>
          </w:tcPr>
          <w:p w:rsidR="006C0E49" w:rsidRPr="00023A3D" w:rsidRDefault="006C0E49">
            <w:pPr>
              <w:pStyle w:val="SBTabell"/>
              <w:rPr>
                <w:sz w:val="18"/>
              </w:rPr>
            </w:pPr>
            <w:r w:rsidRPr="00023A3D">
              <w:rPr>
                <w:b/>
                <w:sz w:val="18"/>
              </w:rPr>
              <w:t>90</w:t>
            </w:r>
          </w:p>
        </w:tc>
        <w:tc>
          <w:tcPr>
            <w:tcW w:w="6563" w:type="dxa"/>
            <w:gridSpan w:val="5"/>
          </w:tcPr>
          <w:p w:rsidR="006C0E49" w:rsidRPr="00023A3D" w:rsidRDefault="006C0E49">
            <w:pPr>
              <w:pStyle w:val="SBTabell"/>
              <w:rPr>
                <w:sz w:val="18"/>
              </w:rPr>
            </w:pPr>
            <w:r w:rsidRPr="00023A3D">
              <w:rPr>
                <w:b/>
                <w:sz w:val="18"/>
              </w:rPr>
              <w:t>Övrig verksamhet</w:t>
            </w:r>
          </w:p>
        </w:tc>
      </w:tr>
      <w:tr w:rsidR="00000000" w:rsidRPr="00023A3D">
        <w:tblPrEx>
          <w:tblCellMar>
            <w:top w:w="0" w:type="dxa"/>
            <w:bottom w:w="0" w:type="dxa"/>
          </w:tblCellMar>
        </w:tblPrEx>
        <w:tc>
          <w:tcPr>
            <w:tcW w:w="283" w:type="dxa"/>
          </w:tcPr>
          <w:p w:rsidR="006C0E49" w:rsidRPr="00023A3D" w:rsidRDefault="006C0E49">
            <w:pPr>
              <w:pStyle w:val="SBTabell"/>
              <w:rPr>
                <w:sz w:val="17"/>
              </w:rPr>
            </w:pPr>
            <w:r w:rsidRPr="00023A3D">
              <w:rPr>
                <w:sz w:val="17"/>
              </w:rPr>
              <w:t>1</w:t>
            </w:r>
          </w:p>
        </w:tc>
        <w:tc>
          <w:tcPr>
            <w:tcW w:w="2835" w:type="dxa"/>
          </w:tcPr>
          <w:p w:rsidR="006C0E49" w:rsidRPr="00023A3D" w:rsidRDefault="006C0E49">
            <w:pPr>
              <w:pStyle w:val="SBTabell"/>
              <w:rPr>
                <w:sz w:val="17"/>
              </w:rPr>
            </w:pPr>
            <w:r w:rsidRPr="00023A3D">
              <w:rPr>
                <w:sz w:val="17"/>
              </w:rPr>
              <w:t xml:space="preserve">Riksdagens revisorer </w:t>
            </w:r>
            <w:r w:rsidRPr="00023A3D">
              <w:rPr>
                <w:i/>
                <w:sz w:val="17"/>
              </w:rPr>
              <w:t>(ram)</w:t>
            </w:r>
          </w:p>
        </w:tc>
        <w:tc>
          <w:tcPr>
            <w:tcW w:w="1134" w:type="dxa"/>
          </w:tcPr>
          <w:p w:rsidR="006C0E49" w:rsidRPr="00023A3D" w:rsidRDefault="006C0E49">
            <w:pPr>
              <w:pStyle w:val="SBTabell"/>
              <w:jc w:val="right"/>
              <w:rPr>
                <w:sz w:val="17"/>
              </w:rPr>
            </w:pPr>
            <w:r w:rsidRPr="00023A3D">
              <w:rPr>
                <w:sz w:val="17"/>
              </w:rPr>
              <w:t>27 122</w:t>
            </w:r>
          </w:p>
        </w:tc>
        <w:tc>
          <w:tcPr>
            <w:tcW w:w="893" w:type="dxa"/>
          </w:tcPr>
          <w:p w:rsidR="006C0E49" w:rsidRPr="00023A3D" w:rsidRDefault="006C0E49">
            <w:pPr>
              <w:pStyle w:val="SBTabell"/>
              <w:jc w:val="right"/>
              <w:rPr>
                <w:sz w:val="17"/>
              </w:rPr>
            </w:pPr>
            <w:r w:rsidRPr="00023A3D">
              <w:rPr>
                <w:sz w:val="17"/>
              </w:rPr>
              <w:t>-4 000</w:t>
            </w: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7"/>
              </w:rPr>
            </w:pPr>
          </w:p>
        </w:tc>
        <w:tc>
          <w:tcPr>
            <w:tcW w:w="2835" w:type="dxa"/>
          </w:tcPr>
          <w:p w:rsidR="006C0E49" w:rsidRPr="00023A3D" w:rsidRDefault="006C0E49">
            <w:pPr>
              <w:pStyle w:val="SBTabell"/>
              <w:rPr>
                <w:sz w:val="17"/>
              </w:rPr>
            </w:pPr>
          </w:p>
        </w:tc>
        <w:tc>
          <w:tcPr>
            <w:tcW w:w="1134" w:type="dxa"/>
          </w:tcPr>
          <w:p w:rsidR="006C0E49" w:rsidRPr="00023A3D" w:rsidRDefault="006C0E49">
            <w:pPr>
              <w:pStyle w:val="SBTabell"/>
              <w:rPr>
                <w:sz w:val="17"/>
              </w:rPr>
            </w:pPr>
          </w:p>
        </w:tc>
        <w:tc>
          <w:tcPr>
            <w:tcW w:w="89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850" w:type="dxa"/>
          </w:tcPr>
          <w:p w:rsidR="006C0E49" w:rsidRPr="00023A3D" w:rsidRDefault="006C0E49">
            <w:pPr>
              <w:pStyle w:val="SBTabell"/>
              <w:rPr>
                <w:sz w:val="17"/>
              </w:rPr>
            </w:pPr>
          </w:p>
        </w:tc>
      </w:tr>
      <w:tr w:rsidR="00000000" w:rsidRPr="00023A3D">
        <w:tblPrEx>
          <w:tblCellMar>
            <w:top w:w="0" w:type="dxa"/>
            <w:bottom w:w="0" w:type="dxa"/>
          </w:tblCellMar>
        </w:tblPrEx>
        <w:tc>
          <w:tcPr>
            <w:tcW w:w="283" w:type="dxa"/>
          </w:tcPr>
          <w:p w:rsidR="006C0E49" w:rsidRPr="00023A3D" w:rsidRDefault="006C0E49">
            <w:pPr>
              <w:pStyle w:val="SBTabell"/>
              <w:rPr>
                <w:sz w:val="18"/>
              </w:rPr>
            </w:pPr>
          </w:p>
        </w:tc>
        <w:tc>
          <w:tcPr>
            <w:tcW w:w="2835" w:type="dxa"/>
          </w:tcPr>
          <w:p w:rsidR="006C0E49" w:rsidRPr="00023A3D" w:rsidRDefault="006C0E49">
            <w:pPr>
              <w:pStyle w:val="SBTabell"/>
              <w:rPr>
                <w:sz w:val="18"/>
              </w:rPr>
            </w:pPr>
            <w:r w:rsidRPr="00023A3D">
              <w:rPr>
                <w:b/>
                <w:sz w:val="18"/>
              </w:rPr>
              <w:t>Summa för utgiftsområdet</w:t>
            </w:r>
          </w:p>
        </w:tc>
        <w:tc>
          <w:tcPr>
            <w:tcW w:w="1134" w:type="dxa"/>
          </w:tcPr>
          <w:p w:rsidR="006C0E49" w:rsidRPr="00023A3D" w:rsidRDefault="006C0E49">
            <w:pPr>
              <w:pStyle w:val="SBTabell"/>
              <w:jc w:val="right"/>
              <w:rPr>
                <w:sz w:val="18"/>
              </w:rPr>
            </w:pPr>
            <w:r w:rsidRPr="00023A3D">
              <w:rPr>
                <w:b/>
                <w:sz w:val="18"/>
              </w:rPr>
              <w:t>8 754 408</w:t>
            </w:r>
          </w:p>
        </w:tc>
        <w:tc>
          <w:tcPr>
            <w:tcW w:w="893" w:type="dxa"/>
          </w:tcPr>
          <w:p w:rsidR="006C0E49" w:rsidRPr="00023A3D" w:rsidRDefault="006C0E49">
            <w:pPr>
              <w:pStyle w:val="SBTabell"/>
              <w:jc w:val="right"/>
              <w:rPr>
                <w:sz w:val="18"/>
              </w:rPr>
            </w:pPr>
            <w:r w:rsidRPr="00023A3D">
              <w:rPr>
                <w:b/>
                <w:sz w:val="18"/>
              </w:rPr>
              <w:t>-141 751</w:t>
            </w:r>
          </w:p>
        </w:tc>
        <w:tc>
          <w:tcPr>
            <w:tcW w:w="851" w:type="dxa"/>
          </w:tcPr>
          <w:p w:rsidR="006C0E49" w:rsidRPr="00023A3D" w:rsidRDefault="006C0E49">
            <w:pPr>
              <w:pStyle w:val="SBTabell"/>
              <w:jc w:val="right"/>
              <w:rPr>
                <w:sz w:val="18"/>
              </w:rPr>
            </w:pPr>
            <w:r w:rsidRPr="00023A3D">
              <w:rPr>
                <w:b/>
                <w:sz w:val="18"/>
              </w:rPr>
              <w:t>-107 427</w:t>
            </w:r>
          </w:p>
        </w:tc>
        <w:tc>
          <w:tcPr>
            <w:tcW w:w="850" w:type="dxa"/>
          </w:tcPr>
          <w:p w:rsidR="006C0E49" w:rsidRPr="00023A3D" w:rsidRDefault="006C0E49">
            <w:pPr>
              <w:pStyle w:val="SBTabell"/>
              <w:jc w:val="right"/>
              <w:rPr>
                <w:sz w:val="18"/>
              </w:rPr>
            </w:pPr>
            <w:r w:rsidRPr="00023A3D">
              <w:rPr>
                <w:b/>
                <w:sz w:val="18"/>
              </w:rPr>
              <w:t>-78 000</w:t>
            </w:r>
          </w:p>
        </w:tc>
      </w:tr>
      <w:tr w:rsidR="00000000" w:rsidRPr="00023A3D">
        <w:tblPrEx>
          <w:tblCellMar>
            <w:top w:w="0" w:type="dxa"/>
            <w:bottom w:w="0" w:type="dxa"/>
          </w:tblCellMar>
        </w:tblPrEx>
        <w:tc>
          <w:tcPr>
            <w:tcW w:w="283" w:type="dxa"/>
            <w:tcBorders>
              <w:bottom w:val="single" w:sz="4" w:space="0" w:color="auto"/>
            </w:tcBorders>
          </w:tcPr>
          <w:p w:rsidR="006C0E49" w:rsidRPr="00023A3D" w:rsidRDefault="006C0E49">
            <w:pPr>
              <w:pStyle w:val="SBTabell"/>
              <w:rPr>
                <w:sz w:val="17"/>
              </w:rPr>
            </w:pPr>
          </w:p>
        </w:tc>
        <w:tc>
          <w:tcPr>
            <w:tcW w:w="2835" w:type="dxa"/>
            <w:tcBorders>
              <w:bottom w:val="single" w:sz="4" w:space="0" w:color="auto"/>
            </w:tcBorders>
          </w:tcPr>
          <w:p w:rsidR="006C0E49" w:rsidRPr="00023A3D" w:rsidRDefault="006C0E49">
            <w:pPr>
              <w:pStyle w:val="SBTabell"/>
              <w:rPr>
                <w:sz w:val="17"/>
              </w:rPr>
            </w:pPr>
          </w:p>
        </w:tc>
        <w:tc>
          <w:tcPr>
            <w:tcW w:w="1134" w:type="dxa"/>
            <w:tcBorders>
              <w:bottom w:val="single" w:sz="4" w:space="0" w:color="auto"/>
            </w:tcBorders>
          </w:tcPr>
          <w:p w:rsidR="006C0E49" w:rsidRPr="00023A3D" w:rsidRDefault="006C0E49">
            <w:pPr>
              <w:pStyle w:val="SBTabell"/>
              <w:rPr>
                <w:sz w:val="17"/>
              </w:rPr>
            </w:pPr>
          </w:p>
        </w:tc>
        <w:tc>
          <w:tcPr>
            <w:tcW w:w="893" w:type="dxa"/>
            <w:tcBorders>
              <w:bottom w:val="single" w:sz="4" w:space="0" w:color="auto"/>
            </w:tcBorders>
          </w:tcPr>
          <w:p w:rsidR="006C0E49" w:rsidRPr="00023A3D" w:rsidRDefault="006C0E49">
            <w:pPr>
              <w:pStyle w:val="SBTabell"/>
              <w:rPr>
                <w:sz w:val="17"/>
              </w:rPr>
            </w:pPr>
          </w:p>
        </w:tc>
        <w:tc>
          <w:tcPr>
            <w:tcW w:w="851" w:type="dxa"/>
            <w:tcBorders>
              <w:bottom w:val="single" w:sz="4" w:space="0" w:color="auto"/>
            </w:tcBorders>
          </w:tcPr>
          <w:p w:rsidR="006C0E49" w:rsidRPr="00023A3D" w:rsidRDefault="006C0E49">
            <w:pPr>
              <w:pStyle w:val="SBTabell"/>
              <w:rPr>
                <w:sz w:val="17"/>
              </w:rPr>
            </w:pPr>
          </w:p>
        </w:tc>
        <w:tc>
          <w:tcPr>
            <w:tcW w:w="850" w:type="dxa"/>
            <w:tcBorders>
              <w:bottom w:val="single" w:sz="4" w:space="0" w:color="auto"/>
            </w:tcBorders>
          </w:tcPr>
          <w:p w:rsidR="006C0E49" w:rsidRPr="00023A3D" w:rsidRDefault="006C0E49">
            <w:pPr>
              <w:pStyle w:val="SBTabell"/>
              <w:rPr>
                <w:sz w:val="17"/>
              </w:rPr>
            </w:pPr>
          </w:p>
        </w:tc>
      </w:tr>
    </w:tbl>
    <w:p w:rsidR="006C0E49" w:rsidRPr="00023A3D" w:rsidRDefault="006C0E49">
      <w:pPr>
        <w:pStyle w:val="Deltagare"/>
        <w:keepLines w:val="0"/>
        <w:spacing w:before="62" w:line="250" w:lineRule="atLeast"/>
        <w:rPr>
          <w:noProof w:val="0"/>
        </w:rPr>
      </w:pPr>
    </w:p>
    <w:p w:rsidR="006C0E49" w:rsidRPr="00023A3D" w:rsidRDefault="006C0E49">
      <w:pPr>
        <w:pStyle w:val="Normaltindrag"/>
      </w:pPr>
    </w:p>
    <w:p w:rsidR="006C0E49" w:rsidRPr="00023A3D" w:rsidRDefault="006C0E49">
      <w:pPr>
        <w:pStyle w:val="Normaltindrag"/>
      </w:pPr>
    </w:p>
    <w:p w:rsidR="006C0E49" w:rsidRPr="00023A3D" w:rsidRDefault="006C0E49">
      <w:pPr>
        <w:pStyle w:val="Normaltindrag"/>
        <w:sectPr w:rsidR="00000000" w:rsidRPr="00023A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C0E49" w:rsidRPr="00023A3D" w:rsidRDefault="006C0E49">
      <w:pPr>
        <w:pStyle w:val="Rubrik1"/>
        <w:rPr>
          <w:noProof w:val="0"/>
        </w:rPr>
      </w:pPr>
      <w:bookmarkStart w:id="25" w:name="_Toc532365464"/>
      <w:r w:rsidRPr="00023A3D">
        <w:rPr>
          <w:noProof w:val="0"/>
        </w:rPr>
        <w:t>Redogörelse för ärendet</w:t>
      </w:r>
      <w:bookmarkEnd w:id="25"/>
    </w:p>
    <w:p w:rsidR="006C0E49" w:rsidRPr="00023A3D" w:rsidRDefault="006C0E49">
      <w:pPr>
        <w:pStyle w:val="Rubrik2"/>
        <w:spacing w:before="0"/>
      </w:pPr>
      <w:bookmarkStart w:id="26" w:name="_Toc532365465"/>
      <w:r w:rsidRPr="00023A3D">
        <w:t>Ärendet och dess beredning</w:t>
      </w:r>
      <w:bookmarkEnd w:id="26"/>
    </w:p>
    <w:p w:rsidR="006C0E49" w:rsidRPr="00023A3D" w:rsidRDefault="006C0E49">
      <w:r w:rsidRPr="00023A3D">
        <w:t>Riksdagen har tidigare på förslag av finansutskottet beslutat om ramar för vart och ett av de 27 utgiftsområdena. I detta betänkande tar utskottet ställning till hur anslagen på utgiftsområde 2 skall fördelas inom den ram som lagts fast för detta utgiftso</w:t>
      </w:r>
      <w:r w:rsidRPr="00023A3D">
        <w:t>m</w:t>
      </w:r>
      <w:r w:rsidRPr="00023A3D">
        <w:t>råde.</w:t>
      </w:r>
    </w:p>
    <w:p w:rsidR="006C0E49" w:rsidRPr="00023A3D" w:rsidRDefault="006C0E49">
      <w:pPr>
        <w:pStyle w:val="Rubrik2"/>
      </w:pPr>
      <w:bookmarkStart w:id="27" w:name="_Toc532365466"/>
      <w:r w:rsidRPr="00023A3D">
        <w:t>Propositionens huvudsakliga innehåll</w:t>
      </w:r>
      <w:bookmarkEnd w:id="27"/>
    </w:p>
    <w:p w:rsidR="006C0E49" w:rsidRPr="00023A3D" w:rsidRDefault="006C0E49">
      <w:r w:rsidRPr="00023A3D">
        <w:t>I budgetpropositionen föreslår regeringen att riksdagen godkänner den för</w:t>
      </w:r>
      <w:r w:rsidRPr="00023A3D">
        <w:t>e</w:t>
      </w:r>
      <w:r w:rsidRPr="00023A3D">
        <w:t>slagna fördelningen av anslag inom utgiftsområde 2 liksom förslagen till investeringsplaner för Statens fastighetsverk och Fortifikationsverket. Rege</w:t>
      </w:r>
      <w:r w:rsidRPr="00023A3D">
        <w:t>r</w:t>
      </w:r>
      <w:r w:rsidRPr="00023A3D">
        <w:t>ingen inhämtar i detta sammanhang också riksdagens bemyndigande att få besluta om dels låneramar för dessa båda myndigheter, dels en rörlig kredit för Premiepensionsmyndigheten. Vidare föreslår regeringen att riksdagen godkänner att Sverige medverkar i en kapitalhöjning i Europarådets utvec</w:t>
      </w:r>
      <w:r w:rsidRPr="00023A3D">
        <w:t>k</w:t>
      </w:r>
      <w:r w:rsidRPr="00023A3D">
        <w:t>lingsbank (CEB) och antar fem lagförslag som ger Insättningsgarantinä</w:t>
      </w:r>
      <w:r w:rsidRPr="00023A3D">
        <w:t>mnden (IGN), Premiepensionsmyndigheten (PPM) och Kärnavfallsfondens styrelse (KAF) rätt att göra placeringar även i skuldförbindelser utfärdade av staten. Regeringen föreslår slutligen också att den skall bemyndigas att ersätta vissa äldre garantier utfärdade för SBAB och Statens bostadslånebolag med tidsb</w:t>
      </w:r>
      <w:r w:rsidRPr="00023A3D">
        <w:t>e</w:t>
      </w:r>
      <w:r w:rsidRPr="00023A3D">
        <w:t>gränsade garantier anpassade till den nya garantimodell som numera tillä</w:t>
      </w:r>
      <w:r w:rsidRPr="00023A3D">
        <w:t>m</w:t>
      </w:r>
      <w:r w:rsidRPr="00023A3D">
        <w:t>pas.</w:t>
      </w:r>
    </w:p>
    <w:p w:rsidR="006C0E49" w:rsidRPr="00023A3D" w:rsidRDefault="006C0E49">
      <w:pPr>
        <w:pStyle w:val="Normaltindrag"/>
      </w:pPr>
      <w:r w:rsidRPr="00023A3D">
        <w:t>I anslutning till dessa förslag behandlar utskottet också ett antal motioner väckta under allmänna motionstiden.</w:t>
      </w:r>
    </w:p>
    <w:p w:rsidR="006C0E49" w:rsidRPr="00023A3D" w:rsidRDefault="006C0E49">
      <w:pPr>
        <w:pStyle w:val="Normaltindrag"/>
      </w:pPr>
      <w:r w:rsidRPr="00023A3D">
        <w:t xml:space="preserve">Förslagen i propositionen och motionerna återges i </w:t>
      </w:r>
      <w:r w:rsidRPr="00023A3D">
        <w:rPr>
          <w:i/>
        </w:rPr>
        <w:t>bilaga 1</w:t>
      </w:r>
      <w:r w:rsidRPr="00023A3D">
        <w:t>.</w:t>
      </w:r>
    </w:p>
    <w:p w:rsidR="006C0E49" w:rsidRPr="00023A3D" w:rsidRDefault="006C0E49">
      <w:pPr>
        <w:pStyle w:val="Normaltindrag"/>
      </w:pPr>
    </w:p>
    <w:p w:rsidR="006C0E49" w:rsidRPr="00023A3D" w:rsidRDefault="006C0E49">
      <w:pPr>
        <w:pStyle w:val="Normaltindrag"/>
        <w:sectPr w:rsidR="00000000" w:rsidRPr="00023A3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C0E49" w:rsidRPr="00023A3D" w:rsidRDefault="006C0E49">
      <w:pPr>
        <w:pStyle w:val="Rubrik1"/>
        <w:rPr>
          <w:noProof w:val="0"/>
        </w:rPr>
      </w:pPr>
      <w:bookmarkStart w:id="28" w:name="_Toc532365467"/>
      <w:r w:rsidRPr="00023A3D">
        <w:rPr>
          <w:noProof w:val="0"/>
        </w:rPr>
        <w:t>Utskottets överväganden</w:t>
      </w:r>
      <w:bookmarkEnd w:id="28"/>
    </w:p>
    <w:p w:rsidR="006C0E49" w:rsidRPr="00023A3D" w:rsidRDefault="006C0E49">
      <w:pPr>
        <w:pStyle w:val="Utskottetsvervganden-RubrikFrslagspunkt"/>
        <w:spacing w:before="0"/>
        <w:outlineLvl w:val="0"/>
      </w:pPr>
      <w:bookmarkStart w:id="29" w:name="_Toc532365468"/>
      <w:r w:rsidRPr="00023A3D">
        <w:t>Ekonomisk styrning inom utgiftsområdet</w:t>
      </w:r>
      <w:bookmarkEnd w:id="29"/>
    </w:p>
    <w:p w:rsidR="006C0E49" w:rsidRPr="00023A3D" w:rsidRDefault="006C0E49">
      <w:pPr>
        <w:pStyle w:val="Utskottsfrslagikorthet-Rubrik"/>
        <w:outlineLvl w:val="0"/>
        <w:rPr>
          <w:noProof w:val="0"/>
        </w:rPr>
      </w:pPr>
      <w:r w:rsidRPr="00023A3D">
        <w:rPr>
          <w:noProof w:val="0"/>
        </w:rPr>
        <w:t>Utskottets bedömning i korthet</w:t>
      </w:r>
    </w:p>
    <w:p w:rsidR="006C0E49" w:rsidRPr="00023A3D" w:rsidRDefault="006C0E49">
      <w:pPr>
        <w:pStyle w:val="Utskottsfrslagikorthet-Rubrik"/>
        <w:rPr>
          <w:b w:val="0"/>
          <w:noProof w:val="0"/>
        </w:rPr>
      </w:pPr>
      <w:r w:rsidRPr="00023A3D">
        <w:rPr>
          <w:b w:val="0"/>
          <w:noProof w:val="0"/>
        </w:rPr>
        <w:t>Utskottet konstaterar att kvaliteten på redovisningen av mål och resultat för utgiftsområdet har förbättrats i årets budgetproposition. Vissa delmål behöver dock preciseras. Arbetet med att ta fram lämpliga resultatindikatorer bör fortsätta och det är också angeläget att mål- och resultatbedömningar samt budgetförslag kopplas ihop och ses som en int</w:t>
      </w:r>
      <w:r w:rsidRPr="00023A3D">
        <w:rPr>
          <w:b w:val="0"/>
          <w:noProof w:val="0"/>
        </w:rPr>
        <w:t>e</w:t>
      </w:r>
      <w:r w:rsidRPr="00023A3D">
        <w:rPr>
          <w:b w:val="0"/>
          <w:noProof w:val="0"/>
        </w:rPr>
        <w:t>grerad helhet.</w:t>
      </w:r>
    </w:p>
    <w:p w:rsidR="006C0E49" w:rsidRPr="00023A3D" w:rsidRDefault="006C0E49">
      <w:pPr>
        <w:pStyle w:val="R4"/>
        <w:outlineLvl w:val="0"/>
      </w:pPr>
      <w:r w:rsidRPr="00023A3D">
        <w:t>Utskottets bedömning</w:t>
      </w:r>
    </w:p>
    <w:p w:rsidR="006C0E49" w:rsidRPr="00023A3D" w:rsidRDefault="006C0E49">
      <w:pPr>
        <w:spacing w:before="60"/>
      </w:pPr>
      <w:r w:rsidRPr="00023A3D">
        <w:t>Riksdagen beslutade i samband med behandlingen av förra årets budgetpr</w:t>
      </w:r>
      <w:r w:rsidRPr="00023A3D">
        <w:t>o</w:t>
      </w:r>
      <w:r w:rsidRPr="00023A3D">
        <w:t>position om mål för de båda politikområden som ingår i utgiftsområdet, dvs. politikområdena Effektiv statsförvaltning och Finansiella system och tillsyn. Med politikområdesindelningen ville regeringen få till stånd en bättre kop</w:t>
      </w:r>
      <w:r w:rsidRPr="00023A3D">
        <w:t>p</w:t>
      </w:r>
      <w:r w:rsidRPr="00023A3D">
        <w:t xml:space="preserve">ling mellan mål, kostnader och resultat. </w:t>
      </w:r>
    </w:p>
    <w:p w:rsidR="006C0E49" w:rsidRPr="00023A3D" w:rsidRDefault="006C0E49">
      <w:pPr>
        <w:pStyle w:val="Normaltindrag"/>
        <w:rPr>
          <w:snapToGrid w:val="0"/>
          <w:lang w:eastAsia="sv-SE"/>
        </w:rPr>
      </w:pPr>
      <w:r w:rsidRPr="00023A3D">
        <w:t>Finansutskottet erinrade i det sammanhanget om att utskottet</w:t>
      </w:r>
      <w:r w:rsidRPr="00023A3D">
        <w:rPr>
          <w:snapToGrid w:val="0"/>
          <w:lang w:eastAsia="sv-SE"/>
        </w:rPr>
        <w:t xml:space="preserve"> vid upprep</w:t>
      </w:r>
      <w:r w:rsidRPr="00023A3D">
        <w:rPr>
          <w:snapToGrid w:val="0"/>
          <w:lang w:eastAsia="sv-SE"/>
        </w:rPr>
        <w:t>a</w:t>
      </w:r>
      <w:r w:rsidRPr="00023A3D">
        <w:rPr>
          <w:snapToGrid w:val="0"/>
          <w:lang w:eastAsia="sv-SE"/>
        </w:rPr>
        <w:t>de tillfällen slagit fast att målen för en verksamhet måste vara välformulerade, mätbara och uppföljningsbara för att resultatstyrningen skall bli meningsfull och målen skall kunna ställas i relation till kostnaderna. Det var, framhöll utskottet, också av värde om målen uttrycks i sådana termer att de kan bilda utgångspunkt för politiska priorit</w:t>
      </w:r>
      <w:r w:rsidRPr="00023A3D">
        <w:rPr>
          <w:snapToGrid w:val="0"/>
          <w:lang w:eastAsia="sv-SE"/>
        </w:rPr>
        <w:t>e</w:t>
      </w:r>
      <w:r w:rsidRPr="00023A3D">
        <w:rPr>
          <w:snapToGrid w:val="0"/>
          <w:lang w:eastAsia="sv-SE"/>
        </w:rPr>
        <w:t>ringar och diskussioner.</w:t>
      </w:r>
    </w:p>
    <w:p w:rsidR="006C0E49" w:rsidRPr="00023A3D" w:rsidRDefault="006C0E49">
      <w:pPr>
        <w:pStyle w:val="Normaltindrag"/>
        <w:rPr>
          <w:snapToGrid w:val="0"/>
          <w:lang w:eastAsia="sv-SE"/>
        </w:rPr>
      </w:pPr>
      <w:r w:rsidRPr="00023A3D">
        <w:rPr>
          <w:snapToGrid w:val="0"/>
          <w:lang w:eastAsia="sv-SE"/>
        </w:rPr>
        <w:t>Av förra årets budgetproposition framgick också att regeringen hade för avsikt att precisera målen och göra dem mer konkreta, m</w:t>
      </w:r>
      <w:r w:rsidRPr="00023A3D">
        <w:rPr>
          <w:snapToGrid w:val="0"/>
          <w:lang w:eastAsia="sv-SE"/>
        </w:rPr>
        <w:t>ätbara och uppföl</w:t>
      </w:r>
      <w:r w:rsidRPr="00023A3D">
        <w:rPr>
          <w:snapToGrid w:val="0"/>
          <w:lang w:eastAsia="sv-SE"/>
        </w:rPr>
        <w:t>j</w:t>
      </w:r>
      <w:r w:rsidRPr="00023A3D">
        <w:rPr>
          <w:snapToGrid w:val="0"/>
          <w:lang w:eastAsia="sv-SE"/>
        </w:rPr>
        <w:t>ningsbara i samband med att regleringsbreven utformas för myndigheternas verksamheter. Utskottet ansåg emellertid att målen borde formuleras på ett sådant sätt att de är konkreta, mätbara och uppföljningsbara redan när riksd</w:t>
      </w:r>
      <w:r w:rsidRPr="00023A3D">
        <w:rPr>
          <w:snapToGrid w:val="0"/>
          <w:lang w:eastAsia="sv-SE"/>
        </w:rPr>
        <w:t>a</w:t>
      </w:r>
      <w:r w:rsidRPr="00023A3D">
        <w:rPr>
          <w:snapToGrid w:val="0"/>
          <w:lang w:eastAsia="sv-SE"/>
        </w:rPr>
        <w:t>gen skall ta ställning till hur stora resurser som skall tillföras en viss ver</w:t>
      </w:r>
      <w:r w:rsidRPr="00023A3D">
        <w:rPr>
          <w:snapToGrid w:val="0"/>
          <w:lang w:eastAsia="sv-SE"/>
        </w:rPr>
        <w:t>k</w:t>
      </w:r>
      <w:r w:rsidRPr="00023A3D">
        <w:rPr>
          <w:snapToGrid w:val="0"/>
          <w:lang w:eastAsia="sv-SE"/>
        </w:rPr>
        <w:t>samhet. I annat fall framstår det inte som meningsfullt för riksdagen att pröva tilldelningen av resurser mot up</w:t>
      </w:r>
      <w:r w:rsidRPr="00023A3D">
        <w:rPr>
          <w:snapToGrid w:val="0"/>
          <w:lang w:eastAsia="sv-SE"/>
        </w:rPr>
        <w:t>p</w:t>
      </w:r>
      <w:r w:rsidRPr="00023A3D">
        <w:rPr>
          <w:snapToGrid w:val="0"/>
          <w:lang w:eastAsia="sv-SE"/>
        </w:rPr>
        <w:t>ställda mål.</w:t>
      </w:r>
    </w:p>
    <w:p w:rsidR="006C0E49" w:rsidRPr="00023A3D" w:rsidRDefault="006C0E49">
      <w:r w:rsidRPr="00023A3D">
        <w:t>Redovisningen av mål och regeringens bedömning av uppnådda resul</w:t>
      </w:r>
      <w:r w:rsidRPr="00023A3D">
        <w:t>tat har i budgetpropositionen för 2002 byggts ut och förbättrats. I politikområdet Effektiv statsförvaltning ingår verksamheter av vitt skilda slag, och för att ge en bättre överblick har presentationen av politikområdet delats upp i sex olika delområden. För varje delområde görs en genomgång av hur verksamheten inom delområdet skall bidra till att målet för politikområdet uppnås. Polit</w:t>
      </w:r>
      <w:r w:rsidRPr="00023A3D">
        <w:t>i</w:t>
      </w:r>
      <w:r w:rsidRPr="00023A3D">
        <w:t>kens inriktning inom delområdet redovisas liksom de insatser som gjorts inom och utanför delområdet. Vidare görs en bedömn</w:t>
      </w:r>
      <w:r w:rsidRPr="00023A3D">
        <w:t>ing av uppnådda resultat innan genomgången avslutas med en analys och slutsatser. Detta upplägg höjer kvaliteten på framställningen och ger ett fylligare underlag för den ekon</w:t>
      </w:r>
      <w:r w:rsidRPr="00023A3D">
        <w:t>o</w:t>
      </w:r>
      <w:r w:rsidRPr="00023A3D">
        <w:t>miska resultatstyrningen.</w:t>
      </w:r>
    </w:p>
    <w:p w:rsidR="006C0E49" w:rsidRPr="00023A3D" w:rsidRDefault="006C0E49">
      <w:pPr>
        <w:pStyle w:val="Normaltindrag"/>
        <w:rPr>
          <w:snapToGrid w:val="0"/>
          <w:lang w:eastAsia="sv-SE"/>
        </w:rPr>
      </w:pPr>
      <w:r w:rsidRPr="00023A3D">
        <w:rPr>
          <w:snapToGrid w:val="0"/>
          <w:lang w:eastAsia="sv-SE"/>
        </w:rPr>
        <w:t>För riksdagen är det viktigt att mål- och resultatbedömningar kopplas ihop med budgetförslagen och kan ses som en integrerad helhet. Utskottet konst</w:t>
      </w:r>
      <w:r w:rsidRPr="00023A3D">
        <w:rPr>
          <w:snapToGrid w:val="0"/>
          <w:lang w:eastAsia="sv-SE"/>
        </w:rPr>
        <w:t>a</w:t>
      </w:r>
      <w:r w:rsidRPr="00023A3D">
        <w:rPr>
          <w:snapToGrid w:val="0"/>
          <w:lang w:eastAsia="sv-SE"/>
        </w:rPr>
        <w:t>terar emellertid att de anslagsförändringar som regeringen föreslår inte b</w:t>
      </w:r>
      <w:r w:rsidRPr="00023A3D">
        <w:rPr>
          <w:snapToGrid w:val="0"/>
          <w:lang w:eastAsia="sv-SE"/>
        </w:rPr>
        <w:t>e</w:t>
      </w:r>
      <w:r w:rsidRPr="00023A3D">
        <w:rPr>
          <w:snapToGrid w:val="0"/>
          <w:lang w:eastAsia="sv-SE"/>
        </w:rPr>
        <w:t>tingas av eventuella brister som uppdagats i samband med uppföljningen, utan grundas på mer traditionella budgetpolitiska prioriteringar. För att u</w:t>
      </w:r>
      <w:r w:rsidRPr="00023A3D">
        <w:rPr>
          <w:snapToGrid w:val="0"/>
          <w:lang w:eastAsia="sv-SE"/>
        </w:rPr>
        <w:t>n</w:t>
      </w:r>
      <w:r w:rsidRPr="00023A3D">
        <w:rPr>
          <w:snapToGrid w:val="0"/>
          <w:lang w:eastAsia="sv-SE"/>
        </w:rPr>
        <w:t>derlätta en meningsfull uppföljning är det önskvärt att några av delmålen får en tydligare formulering. Detta är en förutsättning för att göra det möjligt för ett parti som vill öka eller minska anslaget att lättare kunna bedöma hur målet bör omformuleras för att en annan viljeinriktning</w:t>
      </w:r>
      <w:r w:rsidRPr="00023A3D">
        <w:rPr>
          <w:snapToGrid w:val="0"/>
          <w:lang w:eastAsia="sv-SE"/>
        </w:rPr>
        <w:t xml:space="preserve"> också skall komma till uttryck i målformuleringen. För delområdet Statliga arbetsgivarfrågor anges exempelvis</w:t>
      </w:r>
      <w:r w:rsidRPr="00023A3D">
        <w:t xml:space="preserve"> målet vara ”en samordnad statlig arbetsgivarpolitik som säke</w:t>
      </w:r>
      <w:r w:rsidRPr="00023A3D">
        <w:t>r</w:t>
      </w:r>
      <w:r w:rsidRPr="00023A3D">
        <w:t>ställer att relevant kompetens finns för att åstadkomma efterfrågat resultat”.</w:t>
      </w:r>
      <w:r w:rsidRPr="00023A3D">
        <w:rPr>
          <w:snapToGrid w:val="0"/>
          <w:lang w:eastAsia="sv-SE"/>
        </w:rPr>
        <w:t xml:space="preserve"> Det vore här önskvärt med en tydligare målformulering och kompletterande mått som gör det möjligt för riksdagen att följa upp målet på ett meningsfullt sätt. </w:t>
      </w:r>
    </w:p>
    <w:p w:rsidR="006C0E49" w:rsidRPr="00023A3D" w:rsidRDefault="006C0E49">
      <w:pPr>
        <w:pStyle w:val="Normaltindrag"/>
        <w:rPr>
          <w:snapToGrid w:val="0"/>
          <w:lang w:eastAsia="sv-SE"/>
        </w:rPr>
      </w:pPr>
      <w:r w:rsidRPr="00023A3D">
        <w:rPr>
          <w:snapToGrid w:val="0"/>
          <w:lang w:eastAsia="sv-SE"/>
        </w:rPr>
        <w:t xml:space="preserve">Redovisningen av mål- och resultatstyrningen inom utgiftsområde 2 är alltså i årets budgetproposition </w:t>
      </w:r>
      <w:r w:rsidRPr="00023A3D">
        <w:rPr>
          <w:snapToGrid w:val="0"/>
          <w:lang w:eastAsia="sv-SE"/>
        </w:rPr>
        <w:t>mer ambitiös och klart bättre än tidigare år. Propositionen är också disponerad på ett sådant sätt att budgetförslaget följer direkt på mål- och resultatbedömningen. Ännu har det dock inte skett en koppling mellan å ena sidan mål- och resultatbedömningen och å andra sidan själva budgetförslaget. Det återstår således åtskilligt arbete för att precisera delmål, ta fram lämpliga resultatindikatorer samt att koppla ihop mål- och resultatbedömningar med bu</w:t>
      </w:r>
      <w:r w:rsidRPr="00023A3D">
        <w:rPr>
          <w:snapToGrid w:val="0"/>
          <w:lang w:eastAsia="sv-SE"/>
        </w:rPr>
        <w:t>d</w:t>
      </w:r>
      <w:r w:rsidRPr="00023A3D">
        <w:rPr>
          <w:snapToGrid w:val="0"/>
          <w:lang w:eastAsia="sv-SE"/>
        </w:rPr>
        <w:t>getförslag.</w:t>
      </w:r>
    </w:p>
    <w:p w:rsidR="006C0E49" w:rsidRPr="00023A3D" w:rsidRDefault="006C0E49">
      <w:pPr>
        <w:rPr>
          <w:snapToGrid w:val="0"/>
          <w:lang w:eastAsia="sv-SE"/>
        </w:rPr>
      </w:pPr>
      <w:r w:rsidRPr="00023A3D">
        <w:t>I propositionen (avsnitten 5.4 och 5.6.2) ko</w:t>
      </w:r>
      <w:r w:rsidRPr="00023A3D">
        <w:t>mmenteras också den fallstudie</w:t>
      </w:r>
      <w:r w:rsidRPr="00023A3D">
        <w:rPr>
          <w:rStyle w:val="Fotnotsreferens"/>
        </w:rPr>
        <w:footnoteReference w:id="1"/>
      </w:r>
      <w:r w:rsidRPr="00023A3D">
        <w:t xml:space="preserve"> om styrningen av Finansinspektionen som finansutskottet redovisade i förra årets betänkande. Av propositionen framgår att regeringen har för avsikt a</w:t>
      </w:r>
      <w:r w:rsidRPr="00023A3D">
        <w:rPr>
          <w:snapToGrid w:val="0"/>
          <w:lang w:eastAsia="sv-SE"/>
        </w:rPr>
        <w:t>tt med ledning av utskottets förslag fortsätta arbetet med att utveckla uppföl</w:t>
      </w:r>
      <w:r w:rsidRPr="00023A3D">
        <w:rPr>
          <w:snapToGrid w:val="0"/>
          <w:lang w:eastAsia="sv-SE"/>
        </w:rPr>
        <w:t>j</w:t>
      </w:r>
      <w:r w:rsidRPr="00023A3D">
        <w:rPr>
          <w:snapToGrid w:val="0"/>
          <w:lang w:eastAsia="sv-SE"/>
        </w:rPr>
        <w:t>ningen av mål och resultat. Syftet är att övergripande mål skall brytas ner i mätbara och uppföljningsbara delmål för att resultatstyrningen skall bli m</w:t>
      </w:r>
      <w:r w:rsidRPr="00023A3D">
        <w:rPr>
          <w:snapToGrid w:val="0"/>
          <w:lang w:eastAsia="sv-SE"/>
        </w:rPr>
        <w:t>e</w:t>
      </w:r>
      <w:r w:rsidRPr="00023A3D">
        <w:rPr>
          <w:snapToGrid w:val="0"/>
          <w:lang w:eastAsia="sv-SE"/>
        </w:rPr>
        <w:t>ningsfull och kunna relateras till kostnade</w:t>
      </w:r>
      <w:r w:rsidRPr="00023A3D">
        <w:rPr>
          <w:snapToGrid w:val="0"/>
          <w:lang w:eastAsia="sv-SE"/>
        </w:rPr>
        <w:t>r</w:t>
      </w:r>
      <w:r w:rsidRPr="00023A3D">
        <w:rPr>
          <w:snapToGrid w:val="0"/>
          <w:lang w:eastAsia="sv-SE"/>
        </w:rPr>
        <w:t xml:space="preserve">na. </w:t>
      </w:r>
    </w:p>
    <w:p w:rsidR="006C0E49" w:rsidRPr="00023A3D" w:rsidRDefault="006C0E49">
      <w:pPr>
        <w:pStyle w:val="Normaltindrag"/>
      </w:pPr>
      <w:r w:rsidRPr="00023A3D">
        <w:rPr>
          <w:snapToGrid w:val="0"/>
          <w:lang w:eastAsia="sv-SE"/>
        </w:rPr>
        <w:t>Utskottet noterar med tillfredställelse det positiva gensvar som utskottets försl</w:t>
      </w:r>
      <w:r w:rsidRPr="00023A3D">
        <w:rPr>
          <w:snapToGrid w:val="0"/>
          <w:lang w:eastAsia="sv-SE"/>
        </w:rPr>
        <w:t xml:space="preserve">ag rönt. </w:t>
      </w:r>
      <w:r w:rsidRPr="00023A3D">
        <w:t>Det hade emellertid varit värdefullt om man i propositionen även redovisat en plan över det fortsatta utvecklingsarbetets inriktning och u</w:t>
      </w:r>
      <w:r w:rsidRPr="00023A3D">
        <w:t>t</w:t>
      </w:r>
      <w:r w:rsidRPr="00023A3D">
        <w:t>sträckning i tiden.</w:t>
      </w:r>
    </w:p>
    <w:p w:rsidR="006C0E49" w:rsidRPr="00023A3D" w:rsidRDefault="006C0E49">
      <w:pPr>
        <w:pStyle w:val="Utskottetsvervganden-RubrikFrslagspunkt"/>
        <w:outlineLvl w:val="0"/>
      </w:pPr>
      <w:r w:rsidRPr="00023A3D">
        <w:br w:type="page"/>
      </w:r>
      <w:bookmarkStart w:id="30" w:name="_Toc532365469"/>
      <w:r w:rsidRPr="00023A3D">
        <w:t>Anslagen för 2002 inom utgiftsområde 2</w:t>
      </w:r>
      <w:bookmarkEnd w:id="30"/>
    </w:p>
    <w:p w:rsidR="006C0E49" w:rsidRPr="00023A3D" w:rsidRDefault="006C0E49">
      <w:pPr>
        <w:pStyle w:val="Utskottsfrslagikorthet-Rubrik"/>
        <w:outlineLvl w:val="0"/>
        <w:rPr>
          <w:noProof w:val="0"/>
        </w:rPr>
      </w:pPr>
      <w:r w:rsidRPr="00023A3D">
        <w:rPr>
          <w:noProof w:val="0"/>
        </w:rPr>
        <w:t>Utskottets förslag i korthet</w:t>
      </w:r>
    </w:p>
    <w:p w:rsidR="006C0E49" w:rsidRPr="00023A3D" w:rsidRDefault="006C0E49">
      <w:pPr>
        <w:pStyle w:val="Utskottsfrslagikorthet-Text"/>
      </w:pPr>
      <w:r w:rsidRPr="00023A3D">
        <w:t>Utskottet föreslår att riksdagen godkänner regeringens förslag till fördelning av anslag inom utgiftsområde 2.</w:t>
      </w:r>
    </w:p>
    <w:p w:rsidR="006C0E49" w:rsidRPr="00023A3D" w:rsidRDefault="006C0E49">
      <w:pPr>
        <w:pStyle w:val="Utskottsfrslagikorthet-Text"/>
      </w:pPr>
      <w:r w:rsidRPr="00023A3D">
        <w:t>De i sammanhanget väckta motionerna avstyrks.</w:t>
      </w:r>
    </w:p>
    <w:p w:rsidR="006C0E49" w:rsidRPr="00023A3D" w:rsidRDefault="006C0E49">
      <w:pPr>
        <w:pStyle w:val="Utskottsfrslagikorthet-Text"/>
        <w:outlineLvl w:val="0"/>
      </w:pPr>
      <w:r w:rsidRPr="00023A3D">
        <w:t>Jämför reservationerna 1–3 och särskilda yttrandena 1 och 2</w:t>
      </w:r>
    </w:p>
    <w:p w:rsidR="006C0E49" w:rsidRPr="00023A3D" w:rsidRDefault="006C0E49">
      <w:pPr>
        <w:pStyle w:val="R4"/>
      </w:pPr>
      <w:r w:rsidRPr="00023A3D">
        <w:t>Propositionen</w:t>
      </w:r>
    </w:p>
    <w:p w:rsidR="006C0E49" w:rsidRPr="00023A3D" w:rsidRDefault="006C0E49">
      <w:r w:rsidRPr="00023A3D">
        <w:t>I utgiftsområde 2 Samhällsekonomi och finansförvaltning ingår de båda pol</w:t>
      </w:r>
      <w:r w:rsidRPr="00023A3D">
        <w:t>i</w:t>
      </w:r>
      <w:r w:rsidRPr="00023A3D">
        <w:t>tikområdena Effektiv statsförvaltning och Finansiella system och tillsyn. Vidare ingår det fristående anslaget 90:1 Riksdagens revisorer, som regerin</w:t>
      </w:r>
      <w:r w:rsidRPr="00023A3D">
        <w:t>g</w:t>
      </w:r>
      <w:r w:rsidRPr="00023A3D">
        <w:t xml:space="preserve">en inte förfogar över. </w:t>
      </w:r>
    </w:p>
    <w:p w:rsidR="006C0E49" w:rsidRPr="00023A3D" w:rsidRDefault="006C0E49">
      <w:pPr>
        <w:pStyle w:val="Normaltindrag"/>
      </w:pPr>
      <w:r w:rsidRPr="00023A3D">
        <w:t>Utgiftsområdet föreslås i budgetpropositionen bli utökat genom att man till det överför verksamhetsområdet Staten som arbetsgivare från utgiftsområde 14 Arbetsliv. Eftersom detta verksamhetsområde bl.a. innefattar anslaget för statliga tjänstepensioner kommer som en följd härav omslutningen på utgift</w:t>
      </w:r>
      <w:r w:rsidRPr="00023A3D">
        <w:t>s</w:t>
      </w:r>
      <w:r w:rsidRPr="00023A3D">
        <w:t>området att öka med 7 383,4 miljoner kronor.</w:t>
      </w:r>
    </w:p>
    <w:p w:rsidR="006C0E49" w:rsidRPr="00023A3D" w:rsidRDefault="006C0E49">
      <w:pPr>
        <w:pStyle w:val="Normaltindrag"/>
      </w:pPr>
      <w:r w:rsidRPr="00023A3D">
        <w:t>Regeringens förslag till medelsanvisning för hela utgiftsområdet uppgår till 8 754,4 miljoner kronor. Nivån motsvarar den av riksdagen fastställda ramen för utgiftsområdet och fördelar sig på anslag på det sätt som framgår av efterföljande tabell (punkterna 13 och 14). Av tabellen framgår också vilka a</w:t>
      </w:r>
      <w:r w:rsidRPr="00023A3D">
        <w:t>l</w:t>
      </w:r>
      <w:r w:rsidRPr="00023A3D">
        <w:t>ternativa anslagsnivåer som förordas av oppositionspartierna.</w:t>
      </w:r>
    </w:p>
    <w:p w:rsidR="006C0E49" w:rsidRPr="00023A3D" w:rsidRDefault="006C0E49">
      <w:pPr>
        <w:pStyle w:val="FiU1tabellrubrik2000"/>
        <w:keepNext/>
        <w:spacing w:before="240" w:line="200" w:lineRule="exact"/>
        <w:outlineLvl w:val="0"/>
      </w:pPr>
      <w:r w:rsidRPr="00023A3D">
        <w:t>Tabell. Förslag till fördelning av utgifter på utgiftsområde 2 Samhällsekonomi och finan</w:t>
      </w:r>
      <w:r w:rsidRPr="00023A3D">
        <w:t>s</w:t>
      </w:r>
      <w:r w:rsidRPr="00023A3D">
        <w:t>förvaltning 2002</w:t>
      </w:r>
    </w:p>
    <w:p w:rsidR="006C0E49" w:rsidRPr="00023A3D" w:rsidRDefault="006C0E49">
      <w:pPr>
        <w:pStyle w:val="Tabell"/>
        <w:keepNext/>
        <w:spacing w:after="40"/>
        <w:outlineLvl w:val="0"/>
        <w:rPr>
          <w:sz w:val="14"/>
        </w:rPr>
      </w:pPr>
      <w:r w:rsidRPr="00023A3D">
        <w:rPr>
          <w:sz w:val="14"/>
        </w:rPr>
        <w:t>Belopp i 1 000-tal kronor</w:t>
      </w:r>
    </w:p>
    <w:p w:rsidR="006C0E49" w:rsidRPr="00023A3D" w:rsidRDefault="00023A3D">
      <w:pPr>
        <w:pStyle w:val="Reservantfrslag"/>
        <w:keepNext/>
      </w:pPr>
      <w:bookmarkStart w:id="31" w:name="_Toc500824826"/>
      <w:r w:rsidRPr="00023A3D">
        <w:rPr>
          <w:noProof/>
        </w:rPr>
        <w:drawing>
          <wp:inline distT="0" distB="0" distL="0" distR="0">
            <wp:extent cx="3777615" cy="27920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7615" cy="2792095"/>
                    </a:xfrm>
                    <a:prstGeom prst="rect">
                      <a:avLst/>
                    </a:prstGeom>
                    <a:noFill/>
                    <a:ln>
                      <a:noFill/>
                    </a:ln>
                  </pic:spPr>
                </pic:pic>
              </a:graphicData>
            </a:graphic>
          </wp:inline>
        </w:drawing>
      </w:r>
    </w:p>
    <w:p w:rsidR="006C0E49" w:rsidRPr="00023A3D" w:rsidRDefault="006C0E49">
      <w:pPr>
        <w:pStyle w:val="Deltagare"/>
        <w:keepLines w:val="0"/>
        <w:spacing w:before="0" w:line="20" w:lineRule="exact"/>
        <w:rPr>
          <w:noProof w:val="0"/>
        </w:rPr>
      </w:pPr>
    </w:p>
    <w:p w:rsidR="006C0E49" w:rsidRPr="00023A3D" w:rsidRDefault="006C0E49">
      <w:r w:rsidRPr="00023A3D">
        <w:t xml:space="preserve">I det följande återges först de förslag i propositionen och motionerna som har effekt på utgiftsområdets medelsbehov varefter utskottet redovisar sin syn på förslagen under rubriken </w:t>
      </w:r>
      <w:r w:rsidRPr="00023A3D">
        <w:rPr>
          <w:i/>
        </w:rPr>
        <w:t>Finansutskottets samlade ställningstagande till anslagen inom utgift</w:t>
      </w:r>
      <w:r w:rsidRPr="00023A3D">
        <w:rPr>
          <w:i/>
        </w:rPr>
        <w:t>s</w:t>
      </w:r>
      <w:r w:rsidRPr="00023A3D">
        <w:rPr>
          <w:i/>
        </w:rPr>
        <w:t>område 2.</w:t>
      </w:r>
    </w:p>
    <w:p w:rsidR="006C0E49" w:rsidRPr="00023A3D" w:rsidRDefault="006C0E49">
      <w:pPr>
        <w:pStyle w:val="Rubrik2"/>
        <w:keepNext w:val="0"/>
        <w:keepLines w:val="0"/>
        <w:rPr>
          <w:sz w:val="24"/>
        </w:rPr>
      </w:pPr>
      <w:bookmarkStart w:id="32" w:name="_Toc532365470"/>
      <w:r w:rsidRPr="00023A3D">
        <w:rPr>
          <w:sz w:val="24"/>
        </w:rPr>
        <w:t>Politikområdet Effektiv statsförvaltning</w:t>
      </w:r>
      <w:bookmarkEnd w:id="31"/>
      <w:bookmarkEnd w:id="32"/>
    </w:p>
    <w:p w:rsidR="006C0E49" w:rsidRPr="00023A3D" w:rsidRDefault="006C0E49">
      <w:r w:rsidRPr="00023A3D">
        <w:t>Verksamheten inom politikområdet syftar till att effektivisera och utveckla statsförvaltningen. Ett tiotal stabs- och servicemyndigheter har detta som sin huvuduppgift.</w:t>
      </w:r>
    </w:p>
    <w:p w:rsidR="006C0E49" w:rsidRPr="00023A3D" w:rsidRDefault="006C0E49">
      <w:pPr>
        <w:pStyle w:val="Normaltindrag"/>
      </w:pPr>
      <w:r w:rsidRPr="00023A3D">
        <w:t>Politikområdet omfattar de helt eller delvis anslagsfinansierade myndi</w:t>
      </w:r>
      <w:r w:rsidRPr="00023A3D">
        <w:t>g</w:t>
      </w:r>
      <w:r w:rsidRPr="00023A3D">
        <w:t>heterna Konjunkturinstitutet, Riksrevisionsverket, Ekonomistyrningsverket, Statskontoret, Kammarkollegiet, Statistiska centralbyrån, Nämnden för o</w:t>
      </w:r>
      <w:r w:rsidRPr="00023A3D">
        <w:t>f</w:t>
      </w:r>
      <w:r w:rsidRPr="00023A3D">
        <w:t>fentlig upphandling samt Statens kvalitets- och kompetensråd. Dessutom ingår de avgiftsfinansierade myndigheterna Statens fastighetsverk, Fortifik</w:t>
      </w:r>
      <w:r w:rsidRPr="00023A3D">
        <w:t>a</w:t>
      </w:r>
      <w:r w:rsidRPr="00023A3D">
        <w:t>tionsverket, Arbetsgivarverket och Statens pensionsverk.</w:t>
      </w:r>
    </w:p>
    <w:p w:rsidR="006C0E49" w:rsidRPr="00023A3D" w:rsidRDefault="006C0E49">
      <w:pPr>
        <w:pStyle w:val="Rubrik3"/>
        <w:rPr>
          <w:noProof w:val="0"/>
        </w:rPr>
      </w:pPr>
      <w:bookmarkStart w:id="33" w:name="_Toc532365471"/>
      <w:r w:rsidRPr="00023A3D">
        <w:rPr>
          <w:noProof w:val="0"/>
        </w:rPr>
        <w:t>Revisionens iakttagelser</w:t>
      </w:r>
      <w:bookmarkEnd w:id="33"/>
    </w:p>
    <w:p w:rsidR="006C0E49" w:rsidRPr="00023A3D" w:rsidRDefault="006C0E49">
      <w:r w:rsidRPr="00023A3D">
        <w:t>Revisionen har inte haft några synpunkter på årsredovisningarna för de my</w:t>
      </w:r>
      <w:r w:rsidRPr="00023A3D">
        <w:t>n</w:t>
      </w:r>
      <w:r w:rsidRPr="00023A3D">
        <w:t>digheter som hör till politikområdet utan bedömt dem i allt väsentligt rät</w:t>
      </w:r>
      <w:r w:rsidRPr="00023A3D">
        <w:t>t</w:t>
      </w:r>
      <w:r w:rsidRPr="00023A3D">
        <w:t xml:space="preserve">visande. </w:t>
      </w:r>
    </w:p>
    <w:p w:rsidR="006C0E49" w:rsidRPr="00023A3D" w:rsidRDefault="006C0E49">
      <w:pPr>
        <w:pStyle w:val="Normaltindrag"/>
      </w:pPr>
      <w:r w:rsidRPr="00023A3D">
        <w:t>RRV har däremot i sin årliga rapport framfört vissa generella och princip</w:t>
      </w:r>
      <w:r w:rsidRPr="00023A3D">
        <w:t>i</w:t>
      </w:r>
      <w:r w:rsidRPr="00023A3D">
        <w:t>ellt viktiga frågor som rör politikområdet och bl.a. pekat på problem i sa</w:t>
      </w:r>
      <w:r w:rsidRPr="00023A3D">
        <w:t>m</w:t>
      </w:r>
      <w:r w:rsidRPr="00023A3D">
        <w:t>band med att myndigheter ombildas eller avvecklas.</w:t>
      </w:r>
    </w:p>
    <w:p w:rsidR="006C0E49" w:rsidRPr="00023A3D" w:rsidRDefault="006C0E49">
      <w:pPr>
        <w:pStyle w:val="Rubrik3"/>
        <w:rPr>
          <w:noProof w:val="0"/>
        </w:rPr>
      </w:pPr>
      <w:bookmarkStart w:id="34" w:name="_Toc532365472"/>
      <w:r w:rsidRPr="00023A3D">
        <w:rPr>
          <w:noProof w:val="0"/>
        </w:rPr>
        <w:t>Målet för politikområdet</w:t>
      </w:r>
      <w:bookmarkEnd w:id="34"/>
    </w:p>
    <w:p w:rsidR="006C0E49" w:rsidRPr="00023A3D" w:rsidRDefault="006C0E49">
      <w:r w:rsidRPr="00023A3D">
        <w:t>Målet för politikområdet fastställdes i samband med behandlingen av budge</w:t>
      </w:r>
      <w:r w:rsidRPr="00023A3D">
        <w:t>t</w:t>
      </w:r>
      <w:r w:rsidRPr="00023A3D">
        <w:t>propositionen för 2001. Det övergripande målet för hela politikområdet är att skapa en effektiv statsförvaltning som i sin helhet kännetecknas av hög pr</w:t>
      </w:r>
      <w:r w:rsidRPr="00023A3D">
        <w:t>o</w:t>
      </w:r>
      <w:r w:rsidRPr="00023A3D">
        <w:t>duktivitet, god kvalitet och bra service till nytta för beslutsfattare, medborgare och näring</w:t>
      </w:r>
      <w:r w:rsidRPr="00023A3D">
        <w:t>s</w:t>
      </w:r>
      <w:r w:rsidRPr="00023A3D">
        <w:t>liv.</w:t>
      </w:r>
    </w:p>
    <w:p w:rsidR="006C0E49" w:rsidRPr="00023A3D" w:rsidRDefault="006C0E49">
      <w:pPr>
        <w:pStyle w:val="Normaltindrag"/>
      </w:pPr>
      <w:r w:rsidRPr="00023A3D">
        <w:t>Politikområdet är indelat i sex delområden och för varje delområde anges i propositionen hur verksamheten inom delområdet skall bidra till att polit</w:t>
      </w:r>
      <w:r w:rsidRPr="00023A3D">
        <w:t>i</w:t>
      </w:r>
      <w:r w:rsidRPr="00023A3D">
        <w:t>k</w:t>
      </w:r>
      <w:r w:rsidRPr="00023A3D">
        <w:softHyphen/>
        <w:t>områdets mål up</w:t>
      </w:r>
      <w:r w:rsidRPr="00023A3D">
        <w:t>p</w:t>
      </w:r>
      <w:r w:rsidRPr="00023A3D">
        <w:t>nås.</w:t>
      </w:r>
    </w:p>
    <w:p w:rsidR="006C0E49" w:rsidRPr="00023A3D" w:rsidRDefault="006C0E49">
      <w:pPr>
        <w:pStyle w:val="Normaltindrag"/>
      </w:pPr>
      <w:r w:rsidRPr="00023A3D">
        <w:t xml:space="preserve">Delområdet </w:t>
      </w:r>
      <w:r w:rsidRPr="00023A3D">
        <w:rPr>
          <w:i/>
        </w:rPr>
        <w:t>Revisionsverksamhet</w:t>
      </w:r>
      <w:r w:rsidRPr="00023A3D">
        <w:t xml:space="preserve"> omfattar den verksamhet som Riksrev</w:t>
      </w:r>
      <w:r w:rsidRPr="00023A3D">
        <w:t>i</w:t>
      </w:r>
      <w:r w:rsidRPr="00023A3D">
        <w:t>sionsverket bedriver. Inom detta delområde gäller att målet för politikområdet uppnås genom granskningar av hög kvalitet och genom beslutsunderlag som bidrar till att förbättra effekt</w:t>
      </w:r>
      <w:r w:rsidRPr="00023A3D">
        <w:t>i</w:t>
      </w:r>
      <w:r w:rsidRPr="00023A3D">
        <w:t>viteten i statligt finansierad verksamhet.</w:t>
      </w:r>
    </w:p>
    <w:p w:rsidR="006C0E49" w:rsidRPr="00023A3D" w:rsidRDefault="006C0E49">
      <w:pPr>
        <w:pStyle w:val="Normaltindrag"/>
      </w:pPr>
      <w:r w:rsidRPr="00023A3D">
        <w:t xml:space="preserve">Delområdet </w:t>
      </w:r>
      <w:r w:rsidRPr="00023A3D">
        <w:rPr>
          <w:i/>
        </w:rPr>
        <w:t>Ekonomisk styrning och utveckling av statsförvaltningen</w:t>
      </w:r>
      <w:r w:rsidRPr="00023A3D">
        <w:t xml:space="preserve"> o</w:t>
      </w:r>
      <w:r w:rsidRPr="00023A3D">
        <w:t>m</w:t>
      </w:r>
      <w:r w:rsidRPr="00023A3D">
        <w:t>fattar verksamhet vid Ekonomistyrningsverket, Statskontoret, Kammarkoll</w:t>
      </w:r>
      <w:r w:rsidRPr="00023A3D">
        <w:t>e</w:t>
      </w:r>
      <w:r w:rsidRPr="00023A3D">
        <w:t>giet, Nämnden för offentlig upphandling samt Statens kvalitets- och komp</w:t>
      </w:r>
      <w:r w:rsidRPr="00023A3D">
        <w:t>e</w:t>
      </w:r>
      <w:r w:rsidRPr="00023A3D">
        <w:t>tensråd. Verksamheten inom delområdet skall bidra till politikområdesmålet genom att ge ett efterfrågestyrt, ändamålsenligt och kostnadseffektivt stöd till Regeringskan</w:t>
      </w:r>
      <w:r w:rsidRPr="00023A3D">
        <w:t>s</w:t>
      </w:r>
      <w:r w:rsidRPr="00023A3D">
        <w:t>liet och statliga myndigheter.</w:t>
      </w:r>
    </w:p>
    <w:p w:rsidR="006C0E49" w:rsidRPr="00023A3D" w:rsidRDefault="006C0E49">
      <w:pPr>
        <w:pStyle w:val="Normaltindrag"/>
      </w:pPr>
      <w:r w:rsidRPr="00023A3D">
        <w:t xml:space="preserve">Delområdet </w:t>
      </w:r>
      <w:r w:rsidRPr="00023A3D">
        <w:rPr>
          <w:i/>
        </w:rPr>
        <w:t>Statliga arbetsgivarfrågor</w:t>
      </w:r>
      <w:r w:rsidRPr="00023A3D">
        <w:t xml:space="preserve"> omfattar Arbetsgivarverket, Statens pensionsverk och vissa nämnder inom det arbetsgivarpolitiska området. Målet för delområdet är en statlig arbetsgivarpolitik som säkerställer att relevant kompetens finns för att åstadkomma efterfrågat resultat.</w:t>
      </w:r>
    </w:p>
    <w:p w:rsidR="006C0E49" w:rsidRPr="00023A3D" w:rsidRDefault="006C0E49">
      <w:pPr>
        <w:pStyle w:val="Normaltindrag"/>
      </w:pPr>
      <w:r w:rsidRPr="00023A3D">
        <w:t xml:space="preserve">Delområdet </w:t>
      </w:r>
      <w:r w:rsidRPr="00023A3D">
        <w:rPr>
          <w:i/>
        </w:rPr>
        <w:t>Statistik</w:t>
      </w:r>
      <w:r w:rsidRPr="00023A3D">
        <w:t xml:space="preserve"> omfattar Statistiska centralbyrån. Målet på statist</w:t>
      </w:r>
      <w:r w:rsidRPr="00023A3D">
        <w:t>i</w:t>
      </w:r>
      <w:r w:rsidRPr="00023A3D">
        <w:t>kens område är lättillgänglig statistik av god kvalitet. Detta mål skall nås samtidigt som uppgiftslämna</w:t>
      </w:r>
      <w:r w:rsidRPr="00023A3D">
        <w:t>n</w:t>
      </w:r>
      <w:r w:rsidRPr="00023A3D">
        <w:t>det hålls nere, produktiviteten i stati</w:t>
      </w:r>
      <w:r w:rsidRPr="00023A3D">
        <w:softHyphen/>
        <w:t>stikproduktionen förbättras och lämnade uppgifter skyddas. I propositionen anges som lämpliga resultatindikatorer för att mäta måluppfyllelsen kvalitet</w:t>
      </w:r>
      <w:r w:rsidRPr="00023A3D">
        <w:t>s</w:t>
      </w:r>
      <w:r w:rsidRPr="00023A3D">
        <w:t>utvecklingen i statistikproduktionen, uppgiftslämnarnas kostnader, produkt</w:t>
      </w:r>
      <w:r w:rsidRPr="00023A3D">
        <w:t>i</w:t>
      </w:r>
      <w:r w:rsidRPr="00023A3D">
        <w:t xml:space="preserve">vitetsutvecklingen, andelen statistikprodukter som kan nås genom Internet och </w:t>
      </w:r>
      <w:r w:rsidRPr="00023A3D">
        <w:t>allmänhetens förtroende för stat</w:t>
      </w:r>
      <w:r w:rsidRPr="00023A3D">
        <w:t>i</w:t>
      </w:r>
      <w:r w:rsidRPr="00023A3D">
        <w:t>stiken.</w:t>
      </w:r>
    </w:p>
    <w:p w:rsidR="006C0E49" w:rsidRPr="00023A3D" w:rsidRDefault="006C0E49">
      <w:pPr>
        <w:pStyle w:val="Normaltindrag"/>
      </w:pPr>
      <w:r w:rsidRPr="00023A3D">
        <w:t xml:space="preserve">Delområdet </w:t>
      </w:r>
      <w:r w:rsidRPr="00023A3D">
        <w:rPr>
          <w:i/>
        </w:rPr>
        <w:t>Prognos- och uppföljningsverksamhet</w:t>
      </w:r>
      <w:r w:rsidRPr="00023A3D">
        <w:t xml:space="preserve"> omfattar Ekonomisty</w:t>
      </w:r>
      <w:r w:rsidRPr="00023A3D">
        <w:t>r</w:t>
      </w:r>
      <w:r w:rsidRPr="00023A3D">
        <w:t>ningsverket, Konjunkturinstitutet och Ekonomiska rådet. Målet för området uppnås genom tillförlitliga och väldokumenterade prognoser och analyser över den samhällsekonomiska och statsfinansiella utvecklingen. I propositi</w:t>
      </w:r>
      <w:r w:rsidRPr="00023A3D">
        <w:t>o</w:t>
      </w:r>
      <w:r w:rsidRPr="00023A3D">
        <w:t>nen anges som lämpliga indikatorer för att bedöma måluppfyllelsen dels mått på prognosernas tillförlitlighet, dels avnämarnas synpunkter på analyserna, progn</w:t>
      </w:r>
      <w:r w:rsidRPr="00023A3D">
        <w:t>o</w:t>
      </w:r>
      <w:r w:rsidRPr="00023A3D">
        <w:t>serna och utfallsredovisningarna.</w:t>
      </w:r>
    </w:p>
    <w:p w:rsidR="006C0E49" w:rsidRPr="00023A3D" w:rsidRDefault="006C0E49">
      <w:pPr>
        <w:pStyle w:val="Normaltindrag"/>
      </w:pPr>
      <w:r w:rsidRPr="00023A3D">
        <w:t xml:space="preserve">Delområdet </w:t>
      </w:r>
      <w:r w:rsidRPr="00023A3D">
        <w:rPr>
          <w:i/>
        </w:rPr>
        <w:t>Fastighetsförvaltning</w:t>
      </w:r>
      <w:r w:rsidRPr="00023A3D">
        <w:t xml:space="preserve"> omfattar Statens fastighetsverk, Fortif</w:t>
      </w:r>
      <w:r w:rsidRPr="00023A3D">
        <w:t>i</w:t>
      </w:r>
      <w:r w:rsidRPr="00023A3D">
        <w:t>kationsverket och Statskontoret. Målet för politikområdet uppnås genom en kostnadseffektiv statlig kapital- och fastighetsförvaltning. Det skall ske med rimligt risktagande samt med likvärdig avkastning och service i jämförelse med andra alternativ. För fastighetsverket gäller som mål att hyresgästerna skall ges ändamålsenliga och konkurrenskraftiga lokaler samt att verket skall uppfattas som en servicei</w:t>
      </w:r>
      <w:r w:rsidRPr="00023A3D">
        <w:t>n</w:t>
      </w:r>
      <w:r w:rsidRPr="00023A3D">
        <w:t>riktad hyresvärd.</w:t>
      </w:r>
    </w:p>
    <w:p w:rsidR="006C0E49" w:rsidRPr="00023A3D" w:rsidRDefault="006C0E49">
      <w:pPr>
        <w:pStyle w:val="Rubrik3"/>
        <w:rPr>
          <w:noProof w:val="0"/>
        </w:rPr>
      </w:pPr>
      <w:bookmarkStart w:id="35" w:name="_Toc532365473"/>
      <w:r w:rsidRPr="00023A3D">
        <w:rPr>
          <w:noProof w:val="0"/>
        </w:rPr>
        <w:t>Konjunkturinstitutet</w:t>
      </w:r>
      <w:bookmarkEnd w:id="35"/>
    </w:p>
    <w:p w:rsidR="006C0E49" w:rsidRPr="00023A3D" w:rsidRDefault="006C0E49">
      <w:pPr>
        <w:pStyle w:val="R4"/>
        <w:outlineLvl w:val="0"/>
      </w:pPr>
      <w:r w:rsidRPr="00023A3D">
        <w:t>Propositionen</w:t>
      </w:r>
    </w:p>
    <w:p w:rsidR="006C0E49" w:rsidRPr="00023A3D" w:rsidRDefault="006C0E49">
      <w:r w:rsidRPr="00023A3D">
        <w:t xml:space="preserve">Regeringen föreslår att ramanslaget </w:t>
      </w:r>
      <w:r w:rsidRPr="00023A3D">
        <w:rPr>
          <w:i/>
        </w:rPr>
        <w:t>1:1 Konjunkturinstitutet</w:t>
      </w:r>
      <w:r w:rsidRPr="00023A3D">
        <w:t xml:space="preserve"> förs upp med 45,7 miljoner kronor för 2002. Anslaget har därvid räknats upp med 1,7 mi</w:t>
      </w:r>
      <w:r w:rsidRPr="00023A3D">
        <w:t>l</w:t>
      </w:r>
      <w:r w:rsidRPr="00023A3D">
        <w:t>joner kronor, varav 0,7 miljoner kronor är pris- och löneomräkning samt 1,0 miljoner kronor är ett resurstillskott för att täcka ökade kostnader för enkä</w:t>
      </w:r>
      <w:r w:rsidRPr="00023A3D">
        <w:t>t</w:t>
      </w:r>
      <w:r w:rsidRPr="00023A3D">
        <w:t>undersökningar och för att säkerställa kvaliteten på Konjunkturinstitutets årliga rapport om de samhällsekonomiska förutsättningarna för lönebildnin</w:t>
      </w:r>
      <w:r w:rsidRPr="00023A3D">
        <w:t>g</w:t>
      </w:r>
      <w:r w:rsidRPr="00023A3D">
        <w:t>en.</w:t>
      </w:r>
    </w:p>
    <w:p w:rsidR="006C0E49" w:rsidRPr="00023A3D" w:rsidRDefault="006C0E49">
      <w:pPr>
        <w:pStyle w:val="Normaltindrag"/>
      </w:pPr>
      <w:r w:rsidRPr="00023A3D">
        <w:t xml:space="preserve">Intäkterna från Konjunkturinstitutets avgiftsbelagda verksamhet beräknas nästa år uppgå till </w:t>
      </w:r>
      <w:r w:rsidRPr="00023A3D">
        <w:t>1,5 miljoner kronor.</w:t>
      </w:r>
    </w:p>
    <w:p w:rsidR="006C0E49" w:rsidRPr="00023A3D" w:rsidRDefault="006C0E49">
      <w:pPr>
        <w:pStyle w:val="Rubrik3"/>
        <w:rPr>
          <w:noProof w:val="0"/>
        </w:rPr>
      </w:pPr>
      <w:bookmarkStart w:id="36" w:name="_Toc532365474"/>
      <w:r w:rsidRPr="00023A3D">
        <w:rPr>
          <w:noProof w:val="0"/>
        </w:rPr>
        <w:t>Riksrevisionsverket</w:t>
      </w:r>
      <w:bookmarkEnd w:id="36"/>
    </w:p>
    <w:p w:rsidR="006C0E49" w:rsidRPr="00023A3D" w:rsidRDefault="006C0E49">
      <w:pPr>
        <w:keepNext/>
        <w:spacing w:before="123"/>
        <w:outlineLvl w:val="0"/>
      </w:pPr>
      <w:r w:rsidRPr="00023A3D">
        <w:rPr>
          <w:i/>
        </w:rPr>
        <w:t>Propositionen</w:t>
      </w:r>
    </w:p>
    <w:p w:rsidR="006C0E49" w:rsidRPr="00023A3D" w:rsidRDefault="006C0E49">
      <w:r w:rsidRPr="00023A3D">
        <w:t xml:space="preserve">Regeringen föreslår att ramanslaget </w:t>
      </w:r>
      <w:r w:rsidRPr="00023A3D">
        <w:rPr>
          <w:i/>
        </w:rPr>
        <w:t>1:2 Riksrevisionsverket</w:t>
      </w:r>
      <w:r w:rsidRPr="00023A3D">
        <w:t xml:space="preserve"> förs upp med 157,3 miljoner kronor för 2002.</w:t>
      </w:r>
    </w:p>
    <w:p w:rsidR="006C0E49" w:rsidRPr="00023A3D" w:rsidRDefault="006C0E49">
      <w:pPr>
        <w:pStyle w:val="Normaltindrag"/>
      </w:pPr>
      <w:r w:rsidRPr="00023A3D">
        <w:t>Till detta kommer intäkterna från Riksrevisionsverkets avgiftsbelagda verksamhet som nästa år beräknas uppgå till 74 miljoner kronor.</w:t>
      </w:r>
    </w:p>
    <w:p w:rsidR="006C0E49" w:rsidRPr="00023A3D" w:rsidRDefault="006C0E49">
      <w:pPr>
        <w:pStyle w:val="R4"/>
        <w:outlineLvl w:val="0"/>
      </w:pPr>
      <w:r w:rsidRPr="00023A3D">
        <w:t>Motionerna</w:t>
      </w:r>
    </w:p>
    <w:p w:rsidR="006C0E49" w:rsidRPr="00023A3D" w:rsidRDefault="006C0E49">
      <w:r w:rsidRPr="00023A3D">
        <w:rPr>
          <w:i/>
        </w:rPr>
        <w:t xml:space="preserve">Kristdemokraterna </w:t>
      </w:r>
      <w:r w:rsidRPr="00023A3D">
        <w:t xml:space="preserve">välkomnar i </w:t>
      </w:r>
      <w:r w:rsidRPr="00023A3D">
        <w:rPr>
          <w:i/>
        </w:rPr>
        <w:t>motion Fi276</w:t>
      </w:r>
      <w:r w:rsidRPr="00023A3D">
        <w:t xml:space="preserve"> att en ny, stark och oberoende revisionsmyndighet inrättas under riksdagen i enlighet med förslaget 1999/2000:RS1 Riksdagen och den statliga revisionen. En successivt högre andel avgiftsfinansiering och den förestående sammanslagningen med Rik</w:t>
      </w:r>
      <w:r w:rsidRPr="00023A3D">
        <w:t>s</w:t>
      </w:r>
      <w:r w:rsidRPr="00023A3D">
        <w:t>dagens revisorer 2004 torde enligt motionärerna kunna leda till besparingar under åren framöver. I motionen förslås att de båda myndigheternas verksa</w:t>
      </w:r>
      <w:r w:rsidRPr="00023A3D">
        <w:t>m</w:t>
      </w:r>
      <w:r w:rsidRPr="00023A3D">
        <w:t>het skall samordnas fr.o.m. andra halvåret 2002 (yrkande 3), och detta väntas tillsammans med</w:t>
      </w:r>
      <w:r w:rsidRPr="00023A3D">
        <w:t xml:space="preserve"> övriga förslag ge en besparing på 7,3 miljoner kronor 2002. Eftersom motionärerna samtidigt föreslår att man till Riksrevisionsverket skall omfördela 13 miljoner kronor från Riksdagens revisorers anslag bör man enligt deras mening räkna upp anslaget med netto (13-7,3=) 5,7 miljoner kronor (yrka</w:t>
      </w:r>
      <w:r w:rsidRPr="00023A3D">
        <w:t>n</w:t>
      </w:r>
      <w:r w:rsidRPr="00023A3D">
        <w:t>de 4).</w:t>
      </w:r>
    </w:p>
    <w:p w:rsidR="006C0E49" w:rsidRPr="00023A3D" w:rsidRDefault="006C0E49">
      <w:pPr>
        <w:pStyle w:val="Normaltindrag"/>
      </w:pPr>
      <w:r w:rsidRPr="00023A3D">
        <w:rPr>
          <w:i/>
        </w:rPr>
        <w:t>Centerpartiet</w:t>
      </w:r>
      <w:r w:rsidRPr="00023A3D">
        <w:t xml:space="preserve"> föreslår i </w:t>
      </w:r>
      <w:r w:rsidRPr="00023A3D">
        <w:rPr>
          <w:i/>
        </w:rPr>
        <w:t>motion Fi263</w:t>
      </w:r>
      <w:r w:rsidRPr="00023A3D">
        <w:t xml:space="preserve"> att anslaget till Riksrevisionsverket skall minskas med 2 miljoner kr</w:t>
      </w:r>
      <w:r w:rsidRPr="00023A3D">
        <w:t>o</w:t>
      </w:r>
      <w:r w:rsidRPr="00023A3D">
        <w:t>nor.</w:t>
      </w:r>
    </w:p>
    <w:p w:rsidR="006C0E49" w:rsidRPr="00023A3D" w:rsidRDefault="006C0E49">
      <w:pPr>
        <w:pStyle w:val="Rubrik3"/>
        <w:rPr>
          <w:noProof w:val="0"/>
        </w:rPr>
      </w:pPr>
      <w:bookmarkStart w:id="37" w:name="_Toc532365475"/>
      <w:r w:rsidRPr="00023A3D">
        <w:rPr>
          <w:noProof w:val="0"/>
        </w:rPr>
        <w:t>Ekonomistyrningsverket</w:t>
      </w:r>
      <w:bookmarkEnd w:id="37"/>
    </w:p>
    <w:p w:rsidR="006C0E49" w:rsidRPr="00023A3D" w:rsidRDefault="006C0E49">
      <w:pPr>
        <w:pStyle w:val="R4"/>
        <w:spacing w:before="123"/>
        <w:outlineLvl w:val="0"/>
      </w:pPr>
      <w:r w:rsidRPr="00023A3D">
        <w:t>Propositionen</w:t>
      </w:r>
    </w:p>
    <w:p w:rsidR="006C0E49" w:rsidRPr="00023A3D" w:rsidRDefault="006C0E49">
      <w:r w:rsidRPr="00023A3D">
        <w:t xml:space="preserve">Ekonomistyrningsverkets verksamhet finansieras dels med anslag, dels med avgifter. </w:t>
      </w:r>
      <w:r w:rsidRPr="00023A3D">
        <w:rPr>
          <w:snapToGrid w:val="0"/>
          <w:lang w:eastAsia="sv-SE"/>
        </w:rPr>
        <w:t xml:space="preserve">Regeringen föreslår att ramanslaget </w:t>
      </w:r>
      <w:r w:rsidRPr="00023A3D">
        <w:rPr>
          <w:i/>
          <w:snapToGrid w:val="0"/>
          <w:lang w:eastAsia="sv-SE"/>
        </w:rPr>
        <w:t>1:3 Ekonomistyrningsverket</w:t>
      </w:r>
      <w:r w:rsidRPr="00023A3D">
        <w:rPr>
          <w:snapToGrid w:val="0"/>
          <w:lang w:eastAsia="sv-SE"/>
        </w:rPr>
        <w:t xml:space="preserve"> skall vara oförändrat och föras upp med 60,0 miljoner kronor för 2002. </w:t>
      </w:r>
      <w:r w:rsidRPr="00023A3D">
        <w:t>Vid beräkningen av anslaget har dock en pris- och löneomräkning gjorts med 1,1 miljoner kronor samt en slutjustering av kompensationen för avtalspensioner med -0,4 miljoner kronor.</w:t>
      </w:r>
    </w:p>
    <w:p w:rsidR="006C0E49" w:rsidRPr="00023A3D" w:rsidRDefault="006C0E49">
      <w:pPr>
        <w:pStyle w:val="Normaltindrag"/>
        <w:rPr>
          <w:snapToGrid w:val="0"/>
          <w:lang w:eastAsia="sv-SE"/>
        </w:rPr>
      </w:pPr>
      <w:r w:rsidRPr="00023A3D">
        <w:rPr>
          <w:snapToGrid w:val="0"/>
          <w:lang w:eastAsia="sv-SE"/>
        </w:rPr>
        <w:t>Med anslagsmedel finansieras huvuddelen av verksamheten som omfattar prognoser, utfall och ekonomisk statistik, utvecklingsarbete kring ekonom</w:t>
      </w:r>
      <w:r w:rsidRPr="00023A3D">
        <w:rPr>
          <w:snapToGrid w:val="0"/>
          <w:lang w:eastAsia="sv-SE"/>
        </w:rPr>
        <w:t>i</w:t>
      </w:r>
      <w:r w:rsidRPr="00023A3D">
        <w:rPr>
          <w:snapToGrid w:val="0"/>
          <w:lang w:eastAsia="sv-SE"/>
        </w:rPr>
        <w:t>styrning, normering, budgetprocessen m.m. samt viss rådgivning och stöd till reg</w:t>
      </w:r>
      <w:r w:rsidRPr="00023A3D">
        <w:rPr>
          <w:snapToGrid w:val="0"/>
          <w:lang w:eastAsia="sv-SE"/>
        </w:rPr>
        <w:t>e</w:t>
      </w:r>
      <w:r w:rsidRPr="00023A3D">
        <w:rPr>
          <w:snapToGrid w:val="0"/>
          <w:lang w:eastAsia="sv-SE"/>
        </w:rPr>
        <w:t>ringen.</w:t>
      </w:r>
    </w:p>
    <w:p w:rsidR="006C0E49" w:rsidRPr="00023A3D" w:rsidRDefault="006C0E49">
      <w:pPr>
        <w:pStyle w:val="Normaltindrag"/>
      </w:pPr>
      <w:r w:rsidRPr="00023A3D">
        <w:t xml:space="preserve">Intäkterna från Ekonomistyrningsverkets uppdragsverksamhet beräknas nästa år uppgå till 140,3 miljoner kronor. </w:t>
      </w:r>
      <w:r w:rsidRPr="00023A3D">
        <w:rPr>
          <w:snapToGrid w:val="0"/>
          <w:lang w:eastAsia="sv-SE"/>
        </w:rPr>
        <w:t>Den avgiftsfinansierade verksa</w:t>
      </w:r>
      <w:r w:rsidRPr="00023A3D">
        <w:rPr>
          <w:snapToGrid w:val="0"/>
          <w:lang w:eastAsia="sv-SE"/>
        </w:rPr>
        <w:t>m</w:t>
      </w:r>
      <w:r w:rsidRPr="00023A3D">
        <w:rPr>
          <w:snapToGrid w:val="0"/>
          <w:lang w:eastAsia="sv-SE"/>
        </w:rPr>
        <w:t>heten avser bl.a. regeringsuppdrag, utbildning och rådgivning, ekonomi- och personaladministrativa system samt internationella uppdrag. Det ekonomiska målet för den avgiftsfinansi</w:t>
      </w:r>
      <w:r w:rsidRPr="00023A3D">
        <w:rPr>
          <w:snapToGrid w:val="0"/>
          <w:lang w:eastAsia="sv-SE"/>
        </w:rPr>
        <w:t>e</w:t>
      </w:r>
      <w:r w:rsidRPr="00023A3D">
        <w:rPr>
          <w:snapToGrid w:val="0"/>
          <w:lang w:eastAsia="sv-SE"/>
        </w:rPr>
        <w:t xml:space="preserve">rade verksamheten är full kostnadstäckning. </w:t>
      </w:r>
    </w:p>
    <w:p w:rsidR="006C0E49" w:rsidRPr="00023A3D" w:rsidRDefault="006C0E49">
      <w:pPr>
        <w:pStyle w:val="Rubrik3"/>
        <w:rPr>
          <w:noProof w:val="0"/>
        </w:rPr>
      </w:pPr>
      <w:bookmarkStart w:id="38" w:name="_Toc532365476"/>
      <w:r w:rsidRPr="00023A3D">
        <w:rPr>
          <w:noProof w:val="0"/>
        </w:rPr>
        <w:t>Statskontoret</w:t>
      </w:r>
      <w:bookmarkEnd w:id="38"/>
    </w:p>
    <w:p w:rsidR="006C0E49" w:rsidRPr="00023A3D" w:rsidRDefault="006C0E49">
      <w:pPr>
        <w:pStyle w:val="R4"/>
        <w:spacing w:before="123"/>
        <w:outlineLvl w:val="0"/>
      </w:pPr>
      <w:r w:rsidRPr="00023A3D">
        <w:t>Propositionen</w:t>
      </w:r>
    </w:p>
    <w:p w:rsidR="006C0E49" w:rsidRPr="00023A3D" w:rsidRDefault="006C0E49">
      <w:r w:rsidRPr="00023A3D">
        <w:t xml:space="preserve">Statskontorets verksamhet finansieras dels med anslag, dels med avgifter. Regeringen föreslår att ramanslaget </w:t>
      </w:r>
      <w:r w:rsidRPr="00023A3D">
        <w:rPr>
          <w:i/>
        </w:rPr>
        <w:t>1:4 Statskontoret</w:t>
      </w:r>
      <w:r w:rsidRPr="00023A3D">
        <w:t xml:space="preserve"> skall vara oförändrat och föras upp med 71,5 miljoner kronor för 2002. Vid beräkningen av ansl</w:t>
      </w:r>
      <w:r w:rsidRPr="00023A3D">
        <w:t>a</w:t>
      </w:r>
      <w:r w:rsidRPr="00023A3D">
        <w:t>get har dock en pris- och löneomräkning gjorts med 1,3 miljoner kronor samt en slutjustering av kompensationen för avtalspensioner med 1,8 miljoner kronor.</w:t>
      </w:r>
    </w:p>
    <w:p w:rsidR="006C0E49" w:rsidRPr="00023A3D" w:rsidRDefault="006C0E49">
      <w:pPr>
        <w:pStyle w:val="Normaltindrag"/>
      </w:pPr>
      <w:r w:rsidRPr="00023A3D">
        <w:t>Intäkterna från Statskontorets avgiftsfinansierade verksamhet beräknas nästa år uppgå till 47,9 miljoner kronor, varav 31,3 miljoner kronor utgör intäkter från uppdragsverksamhet, dvs. intäkter som Statskontoret förfogar över.</w:t>
      </w:r>
    </w:p>
    <w:p w:rsidR="006C0E49" w:rsidRPr="00023A3D" w:rsidRDefault="006C0E49">
      <w:pPr>
        <w:pStyle w:val="R4"/>
        <w:spacing w:before="240"/>
        <w:outlineLvl w:val="0"/>
      </w:pPr>
      <w:r w:rsidRPr="00023A3D">
        <w:t>Motionen</w:t>
      </w:r>
    </w:p>
    <w:p w:rsidR="006C0E49" w:rsidRPr="00023A3D" w:rsidRDefault="006C0E49">
      <w:r w:rsidRPr="00023A3D">
        <w:rPr>
          <w:i/>
        </w:rPr>
        <w:t>Kristdemokraterna</w:t>
      </w:r>
      <w:r w:rsidRPr="00023A3D">
        <w:t xml:space="preserve"> anser i </w:t>
      </w:r>
      <w:r w:rsidRPr="00023A3D">
        <w:rPr>
          <w:i/>
        </w:rPr>
        <w:t>motion Fi276</w:t>
      </w:r>
      <w:r w:rsidRPr="00023A3D">
        <w:t xml:space="preserve"> bl.a. att den del av Statskontorets verksamhet som är inriktad på att effektivisera statsförvaltningen bör ko</w:t>
      </w:r>
      <w:r w:rsidRPr="00023A3D">
        <w:t>n</w:t>
      </w:r>
      <w:r w:rsidRPr="00023A3D">
        <w:t>centreras till RRV och att ett – som motionärerna uttrycker det – vässat Stat</w:t>
      </w:r>
      <w:r w:rsidRPr="00023A3D">
        <w:t>s</w:t>
      </w:r>
      <w:r w:rsidRPr="00023A3D">
        <w:t>kontor borde kunna samordnas med Kammarkollegiet. Motionärerna föreslår därför att anslaget för nästa år minskas med 16,5 miljoner kronor (yrkande 4).</w:t>
      </w:r>
    </w:p>
    <w:p w:rsidR="006C0E49" w:rsidRPr="00023A3D" w:rsidRDefault="006C0E49">
      <w:pPr>
        <w:pStyle w:val="Rubrik3"/>
        <w:rPr>
          <w:noProof w:val="0"/>
        </w:rPr>
      </w:pPr>
      <w:bookmarkStart w:id="39" w:name="_Toc532365477"/>
      <w:r w:rsidRPr="00023A3D">
        <w:rPr>
          <w:noProof w:val="0"/>
        </w:rPr>
        <w:t>Täckning av merkostnader för lokaler</w:t>
      </w:r>
      <w:bookmarkEnd w:id="39"/>
    </w:p>
    <w:p w:rsidR="006C0E49" w:rsidRPr="00023A3D" w:rsidRDefault="006C0E49">
      <w:pPr>
        <w:pStyle w:val="R4"/>
        <w:spacing w:before="123"/>
        <w:outlineLvl w:val="0"/>
      </w:pPr>
      <w:r w:rsidRPr="00023A3D">
        <w:t>Propositionen</w:t>
      </w:r>
    </w:p>
    <w:p w:rsidR="006C0E49" w:rsidRPr="00023A3D" w:rsidRDefault="006C0E49">
      <w:r w:rsidRPr="00023A3D">
        <w:t xml:space="preserve">Regeringen föreslår att anslaget </w:t>
      </w:r>
      <w:r w:rsidRPr="00023A3D">
        <w:rPr>
          <w:i/>
        </w:rPr>
        <w:t xml:space="preserve">1:5 Täckning av merkostnader för lokaler </w:t>
      </w:r>
      <w:r w:rsidRPr="00023A3D">
        <w:t>förs upp med 0,4 miljoner kronor för 2002, dvs. med ett 8,4 miljoner kronor lägre belopp än vad som ursprungligen anvisats i årets statsbudget. På tilläggsbudget för innevarande år har emellertid anslaget därefter minskats från 8,8 till 1,8 miljoner kronor.</w:t>
      </w:r>
    </w:p>
    <w:p w:rsidR="006C0E49" w:rsidRPr="00023A3D" w:rsidRDefault="006C0E49">
      <w:pPr>
        <w:pStyle w:val="Normaltindrag"/>
        <w:rPr>
          <w:snapToGrid w:val="0"/>
          <w:lang w:eastAsia="sv-SE"/>
        </w:rPr>
      </w:pPr>
      <w:r w:rsidRPr="00023A3D">
        <w:rPr>
          <w:snapToGrid w:val="0"/>
          <w:lang w:eastAsia="sv-SE"/>
        </w:rPr>
        <w:t>De utgifter som belastar anslaget är hyror för vissa tomma lokaler för vilka staten har betalningsansvar till dess att avtalen går att avveckla. De huvu</w:t>
      </w:r>
      <w:r w:rsidRPr="00023A3D">
        <w:rPr>
          <w:snapToGrid w:val="0"/>
          <w:lang w:eastAsia="sv-SE"/>
        </w:rPr>
        <w:t>d</w:t>
      </w:r>
      <w:r w:rsidRPr="00023A3D">
        <w:rPr>
          <w:snapToGrid w:val="0"/>
          <w:lang w:eastAsia="sv-SE"/>
        </w:rPr>
        <w:t>sakliga faktorer som styr utgifterna på området är avtalskonstruktionerna samt möjligheterna att hyra ut lokalerna i andra hand. Statskontoret disponerar ansl</w:t>
      </w:r>
      <w:r w:rsidRPr="00023A3D">
        <w:rPr>
          <w:snapToGrid w:val="0"/>
          <w:lang w:eastAsia="sv-SE"/>
        </w:rPr>
        <w:t>a</w:t>
      </w:r>
      <w:r w:rsidRPr="00023A3D">
        <w:rPr>
          <w:snapToGrid w:val="0"/>
          <w:lang w:eastAsia="sv-SE"/>
        </w:rPr>
        <w:t>get.</w:t>
      </w:r>
    </w:p>
    <w:p w:rsidR="006C0E49" w:rsidRPr="00023A3D" w:rsidRDefault="006C0E49">
      <w:pPr>
        <w:pStyle w:val="Rubrik3"/>
        <w:rPr>
          <w:noProof w:val="0"/>
        </w:rPr>
      </w:pPr>
      <w:bookmarkStart w:id="40" w:name="_Toc532365478"/>
      <w:r w:rsidRPr="00023A3D">
        <w:rPr>
          <w:noProof w:val="0"/>
        </w:rPr>
        <w:t>Statistiska centralbyrån</w:t>
      </w:r>
      <w:bookmarkEnd w:id="40"/>
      <w:r w:rsidRPr="00023A3D">
        <w:rPr>
          <w:noProof w:val="0"/>
        </w:rPr>
        <w:t xml:space="preserve"> </w:t>
      </w:r>
    </w:p>
    <w:p w:rsidR="006C0E49" w:rsidRPr="00023A3D" w:rsidRDefault="006C0E49">
      <w:pPr>
        <w:pStyle w:val="R4"/>
        <w:spacing w:before="123"/>
        <w:outlineLvl w:val="0"/>
      </w:pPr>
      <w:r w:rsidRPr="00023A3D">
        <w:t>Propositionen</w:t>
      </w:r>
    </w:p>
    <w:p w:rsidR="006C0E49" w:rsidRPr="00023A3D" w:rsidRDefault="006C0E49">
      <w:r w:rsidRPr="00023A3D">
        <w:t xml:space="preserve">Statistiska centralbyråns (SCB) verksamhet finansieras till knappt hälften av anslag och i övrigt av avgifter. Regeringen föreslår att ramanslaget </w:t>
      </w:r>
      <w:r w:rsidRPr="00023A3D">
        <w:rPr>
          <w:i/>
        </w:rPr>
        <w:t>1:6 Stati</w:t>
      </w:r>
      <w:r w:rsidRPr="00023A3D">
        <w:rPr>
          <w:i/>
        </w:rPr>
        <w:t>s</w:t>
      </w:r>
      <w:r w:rsidRPr="00023A3D">
        <w:rPr>
          <w:i/>
        </w:rPr>
        <w:t>tiska centralbyrån</w:t>
      </w:r>
      <w:r w:rsidRPr="00023A3D">
        <w:t xml:space="preserve"> skall uppgå till 394,4 miljoner kronor för 2002. Vid berä</w:t>
      </w:r>
      <w:r w:rsidRPr="00023A3D">
        <w:t>k</w:t>
      </w:r>
      <w:r w:rsidRPr="00023A3D">
        <w:t>ningen av anslaget har en pris- och löneomräkning gjorts med 6,7 miljoner kronor samt en slutjustering av premierna avtalsförsäkringar med 4,1 miljoner kronor. Därutöver har anslaget tillförts 11,6 miljoner kronor för att påskynda en förstärkning av kvaliteten på välfärdsstatistiken, den ekonomiska statist</w:t>
      </w:r>
      <w:r w:rsidRPr="00023A3D">
        <w:t>i</w:t>
      </w:r>
      <w:r w:rsidRPr="00023A3D">
        <w:t>ken och befolkningsstatistiken.</w:t>
      </w:r>
    </w:p>
    <w:p w:rsidR="006C0E49" w:rsidRPr="00023A3D" w:rsidRDefault="006C0E49">
      <w:pPr>
        <w:pStyle w:val="R4"/>
        <w:outlineLvl w:val="0"/>
      </w:pPr>
      <w:r w:rsidRPr="00023A3D">
        <w:t xml:space="preserve">Motionerna </w:t>
      </w:r>
    </w:p>
    <w:p w:rsidR="006C0E49" w:rsidRPr="00023A3D" w:rsidRDefault="006C0E49">
      <w:r w:rsidRPr="00023A3D">
        <w:rPr>
          <w:i/>
        </w:rPr>
        <w:t>Moderata samlingspartiet</w:t>
      </w:r>
      <w:r w:rsidRPr="00023A3D">
        <w:t xml:space="preserve"> ifrågasätter i </w:t>
      </w:r>
      <w:r w:rsidRPr="00023A3D">
        <w:rPr>
          <w:i/>
        </w:rPr>
        <w:t>motion Fi287</w:t>
      </w:r>
      <w:r w:rsidRPr="00023A3D">
        <w:t xml:space="preserve"> i hur stor utsträckning skattemedel skall avsättas för att finansiera en ökad statistikproduktion. Enligt motionärerna bör SCB:s uppgifter begränsas. För att säkerställa efterfrågan är det enligt motionärernas mening rimligt att eftersträva en ökad grad av a</w:t>
      </w:r>
      <w:r w:rsidRPr="00023A3D">
        <w:t>v</w:t>
      </w:r>
      <w:r w:rsidRPr="00023A3D">
        <w:t>giftsfinansiering. Anslaget bör därför minskas med 50 miljoner kronor nästa år.</w:t>
      </w:r>
    </w:p>
    <w:p w:rsidR="006C0E49" w:rsidRPr="00023A3D" w:rsidRDefault="006C0E49">
      <w:pPr>
        <w:pStyle w:val="Normaltindrag"/>
        <w:rPr>
          <w:snapToGrid w:val="0"/>
          <w:lang w:eastAsia="sv-SE"/>
        </w:rPr>
      </w:pPr>
      <w:r w:rsidRPr="00023A3D">
        <w:rPr>
          <w:i/>
        </w:rPr>
        <w:t xml:space="preserve">Kristdemokraterna </w:t>
      </w:r>
      <w:r w:rsidRPr="00023A3D">
        <w:t xml:space="preserve">föreslår i </w:t>
      </w:r>
      <w:r w:rsidRPr="00023A3D">
        <w:rPr>
          <w:i/>
        </w:rPr>
        <w:t>motion Fi276</w:t>
      </w:r>
      <w:r w:rsidRPr="00023A3D">
        <w:t xml:space="preserve"> att man bör tillsätta en utre</w:t>
      </w:r>
      <w:r w:rsidRPr="00023A3D">
        <w:t>d</w:t>
      </w:r>
      <w:r w:rsidRPr="00023A3D">
        <w:t>ning för att se över SCB:s organisation. Motionärerna vill fullfölja den stat</w:t>
      </w:r>
      <w:r w:rsidRPr="00023A3D">
        <w:t>i</w:t>
      </w:r>
      <w:r w:rsidRPr="00023A3D">
        <w:t>stikreform som beslutades av 1993/94 års riksdag och som innebar att ansv</w:t>
      </w:r>
      <w:r w:rsidRPr="00023A3D">
        <w:t>a</w:t>
      </w:r>
      <w:r w:rsidRPr="00023A3D">
        <w:t>ret för statistikproduktionen i viss utsträckning fördes över på s.k. statistika</w:t>
      </w:r>
      <w:r w:rsidRPr="00023A3D">
        <w:t>n</w:t>
      </w:r>
      <w:r w:rsidRPr="00023A3D">
        <w:t>svariga myndigheter.</w:t>
      </w:r>
      <w:r w:rsidRPr="00023A3D">
        <w:rPr>
          <w:snapToGrid w:val="0"/>
          <w:lang w:eastAsia="sv-SE"/>
        </w:rPr>
        <w:t xml:space="preserve"> En uppdelning av SCB skulle enligt motionärerna kunna innebära att en del ges ansvarar för myndighetsuppgifter, en del ombildas till stabsenhet och ges ansvar för bl.a. databaser och produktion av anslags</w:t>
      </w:r>
      <w:r w:rsidRPr="00023A3D">
        <w:rPr>
          <w:snapToGrid w:val="0"/>
          <w:lang w:eastAsia="sv-SE"/>
        </w:rPr>
        <w:t>fina</w:t>
      </w:r>
      <w:r w:rsidRPr="00023A3D">
        <w:rPr>
          <w:snapToGrid w:val="0"/>
          <w:lang w:eastAsia="sv-SE"/>
        </w:rPr>
        <w:t>n</w:t>
      </w:r>
      <w:r w:rsidRPr="00023A3D">
        <w:rPr>
          <w:snapToGrid w:val="0"/>
          <w:lang w:eastAsia="sv-SE"/>
        </w:rPr>
        <w:t>sierad officiell basstatistik samt att ytterligare en del organiseras som ett fristående statistikbolag. Kristdemokraterna anser också att ett från SCB fristående råd för Sveriges officiella statistik bör bildas. I motionen föreslås att anslaget minskas med 15 miljoner kronor (yrka</w:t>
      </w:r>
      <w:r w:rsidRPr="00023A3D">
        <w:rPr>
          <w:snapToGrid w:val="0"/>
          <w:lang w:eastAsia="sv-SE"/>
        </w:rPr>
        <w:t>n</w:t>
      </w:r>
      <w:r w:rsidRPr="00023A3D">
        <w:rPr>
          <w:snapToGrid w:val="0"/>
          <w:lang w:eastAsia="sv-SE"/>
        </w:rPr>
        <w:t>de 4).</w:t>
      </w:r>
    </w:p>
    <w:p w:rsidR="006C0E49" w:rsidRPr="00023A3D" w:rsidRDefault="006C0E49">
      <w:pPr>
        <w:pStyle w:val="Normaltindrag"/>
      </w:pPr>
      <w:r w:rsidRPr="00023A3D">
        <w:rPr>
          <w:i/>
        </w:rPr>
        <w:t>Centerpartiet</w:t>
      </w:r>
      <w:r w:rsidRPr="00023A3D">
        <w:t xml:space="preserve"> föreslår i </w:t>
      </w:r>
      <w:r w:rsidRPr="00023A3D">
        <w:rPr>
          <w:i/>
        </w:rPr>
        <w:t>motion Fi263</w:t>
      </w:r>
      <w:r w:rsidRPr="00023A3D">
        <w:t xml:space="preserve"> att anslaget till SCB skall minskas med 12 miljoner kronor.</w:t>
      </w:r>
    </w:p>
    <w:p w:rsidR="006C0E49" w:rsidRPr="00023A3D" w:rsidRDefault="006C0E49">
      <w:pPr>
        <w:pStyle w:val="Rubrik3"/>
        <w:rPr>
          <w:noProof w:val="0"/>
        </w:rPr>
      </w:pPr>
      <w:bookmarkStart w:id="41" w:name="_Toc532365479"/>
      <w:r w:rsidRPr="00023A3D">
        <w:rPr>
          <w:noProof w:val="0"/>
        </w:rPr>
        <w:t>Folk- och bostadsstatistik</w:t>
      </w:r>
      <w:bookmarkEnd w:id="41"/>
    </w:p>
    <w:p w:rsidR="006C0E49" w:rsidRPr="00023A3D" w:rsidRDefault="006C0E49">
      <w:pPr>
        <w:pStyle w:val="R4"/>
        <w:spacing w:before="123"/>
        <w:outlineLvl w:val="0"/>
      </w:pPr>
      <w:r w:rsidRPr="00023A3D">
        <w:t>Propositionen</w:t>
      </w:r>
    </w:p>
    <w:p w:rsidR="006C0E49" w:rsidRPr="00023A3D" w:rsidRDefault="006C0E49">
      <w:pPr>
        <w:rPr>
          <w:snapToGrid w:val="0"/>
          <w:lang w:eastAsia="sv-SE"/>
        </w:rPr>
      </w:pPr>
      <w:r w:rsidRPr="00023A3D">
        <w:rPr>
          <w:snapToGrid w:val="0"/>
          <w:lang w:eastAsia="sv-SE"/>
        </w:rPr>
        <w:t xml:space="preserve">Regeringen föreslår att 78 miljoner kronor anvisas på anslaget </w:t>
      </w:r>
      <w:r w:rsidRPr="00023A3D">
        <w:rPr>
          <w:i/>
          <w:snapToGrid w:val="0"/>
          <w:lang w:eastAsia="sv-SE"/>
        </w:rPr>
        <w:t>1:7 Folk- och bostadsstatistik</w:t>
      </w:r>
      <w:r w:rsidRPr="00023A3D">
        <w:rPr>
          <w:snapToGrid w:val="0"/>
          <w:lang w:eastAsia="sv-SE"/>
        </w:rPr>
        <w:t xml:space="preserve"> för 2002. Vid utgången av 2000 fanns på ett särskilt reserv</w:t>
      </w:r>
      <w:r w:rsidRPr="00023A3D">
        <w:rPr>
          <w:snapToGrid w:val="0"/>
          <w:lang w:eastAsia="sv-SE"/>
        </w:rPr>
        <w:t>a</w:t>
      </w:r>
      <w:r w:rsidRPr="00023A3D">
        <w:rPr>
          <w:snapToGrid w:val="0"/>
          <w:lang w:eastAsia="sv-SE"/>
        </w:rPr>
        <w:t>tionsanslag uppfört på statsbudgeten ett anslagssparande på 184 miljoner kronor. Den höga nivån sammanhänger med att förberedelsearbetet har sen</w:t>
      </w:r>
      <w:r w:rsidRPr="00023A3D">
        <w:rPr>
          <w:snapToGrid w:val="0"/>
          <w:lang w:eastAsia="sv-SE"/>
        </w:rPr>
        <w:t>a</w:t>
      </w:r>
      <w:r w:rsidRPr="00023A3D">
        <w:rPr>
          <w:snapToGrid w:val="0"/>
          <w:lang w:eastAsia="sv-SE"/>
        </w:rPr>
        <w:t>relagts.</w:t>
      </w:r>
    </w:p>
    <w:p w:rsidR="006C0E49" w:rsidRPr="00023A3D" w:rsidRDefault="006C0E49">
      <w:pPr>
        <w:pStyle w:val="R4"/>
        <w:spacing w:before="240"/>
        <w:outlineLvl w:val="0"/>
      </w:pPr>
      <w:r w:rsidRPr="00023A3D">
        <w:t>Motionerna</w:t>
      </w:r>
    </w:p>
    <w:p w:rsidR="006C0E49" w:rsidRPr="00023A3D" w:rsidRDefault="006C0E49">
      <w:r w:rsidRPr="00023A3D">
        <w:rPr>
          <w:i/>
        </w:rPr>
        <w:t>Moderata samlingspartiet</w:t>
      </w:r>
      <w:r w:rsidRPr="00023A3D">
        <w:t xml:space="preserve"> motsätter sig i </w:t>
      </w:r>
      <w:r w:rsidRPr="00023A3D">
        <w:rPr>
          <w:i/>
        </w:rPr>
        <w:t>motion Fi287</w:t>
      </w:r>
      <w:r w:rsidRPr="00023A3D">
        <w:t xml:space="preserve"> genomförandet av en registerbaserad folk- och bostadsräkning. Motionärerna anser därför att några medel inte skall anvisas på anslaget.</w:t>
      </w:r>
    </w:p>
    <w:p w:rsidR="006C0E49" w:rsidRPr="00023A3D" w:rsidRDefault="006C0E49">
      <w:pPr>
        <w:pStyle w:val="Normaltindrag"/>
      </w:pPr>
      <w:r w:rsidRPr="00023A3D">
        <w:t xml:space="preserve">I </w:t>
      </w:r>
      <w:r w:rsidRPr="00023A3D">
        <w:rPr>
          <w:i/>
        </w:rPr>
        <w:t>motion Fi279</w:t>
      </w:r>
      <w:r w:rsidRPr="00023A3D">
        <w:t xml:space="preserve"> föreslår samma motionärer att riksdagen skall besluta att inte genomföra någon folk- och bostadsräkning 2005.</w:t>
      </w:r>
    </w:p>
    <w:p w:rsidR="006C0E49" w:rsidRPr="00023A3D" w:rsidRDefault="006C0E49">
      <w:pPr>
        <w:pStyle w:val="Normaltindrag"/>
      </w:pPr>
      <w:r w:rsidRPr="00023A3D">
        <w:t xml:space="preserve">I </w:t>
      </w:r>
      <w:r w:rsidRPr="00023A3D">
        <w:rPr>
          <w:i/>
        </w:rPr>
        <w:t>motion Fi220</w:t>
      </w:r>
      <w:r w:rsidRPr="00023A3D">
        <w:t xml:space="preserve"> föreslår förste vice talmannen Anders Björck och Christel Anderberg (m) att SCB skall lägga ned såväl folk- och bostadsräkningen (yrkande 1) som yrkesregistret (yrkande 3) samt att Lantmäteriverket skall lägga ned sitt riksomfattande lägenhetsregi</w:t>
      </w:r>
      <w:r w:rsidRPr="00023A3D">
        <w:t>s</w:t>
      </w:r>
      <w:r w:rsidRPr="00023A3D">
        <w:t>ter (yrkande 2).</w:t>
      </w:r>
    </w:p>
    <w:p w:rsidR="006C0E49" w:rsidRPr="00023A3D" w:rsidRDefault="006C0E49">
      <w:pPr>
        <w:pStyle w:val="Normaltindrag"/>
      </w:pPr>
      <w:r w:rsidRPr="00023A3D">
        <w:rPr>
          <w:i/>
        </w:rPr>
        <w:t>Kristdemokraterna</w:t>
      </w:r>
      <w:r w:rsidRPr="00023A3D">
        <w:t xml:space="preserve"> framhåller i </w:t>
      </w:r>
      <w:r w:rsidRPr="00023A3D">
        <w:rPr>
          <w:i/>
        </w:rPr>
        <w:t>motion Fi276</w:t>
      </w:r>
      <w:r w:rsidRPr="00023A3D">
        <w:t xml:space="preserve"> att partiet motsatt sig tillv</w:t>
      </w:r>
      <w:r w:rsidRPr="00023A3D">
        <w:t>ä</w:t>
      </w:r>
      <w:r w:rsidRPr="00023A3D">
        <w:t>gagångssättet vad gäller yrkesregister. Motionärerna är även skeptiska till omfattningen av den nu planerade undersökningen och föreslår med hänvi</w:t>
      </w:r>
      <w:r w:rsidRPr="00023A3D">
        <w:t>s</w:t>
      </w:r>
      <w:r w:rsidRPr="00023A3D">
        <w:t>ning härtill att anslaget för 2002 minskas med 30 miljoner kronor (yrkande 4).</w:t>
      </w:r>
    </w:p>
    <w:p w:rsidR="006C0E49" w:rsidRPr="00023A3D" w:rsidRDefault="006C0E49">
      <w:pPr>
        <w:pStyle w:val="Normaltindrag"/>
      </w:pPr>
      <w:r w:rsidRPr="00023A3D">
        <w:rPr>
          <w:i/>
        </w:rPr>
        <w:t>Centerpartiet</w:t>
      </w:r>
      <w:r w:rsidRPr="00023A3D">
        <w:t xml:space="preserve"> anser i </w:t>
      </w:r>
      <w:r w:rsidRPr="00023A3D">
        <w:rPr>
          <w:i/>
        </w:rPr>
        <w:t>motion Fi263</w:t>
      </w:r>
      <w:r w:rsidRPr="00023A3D">
        <w:t xml:space="preserve"> att det bör genomföras en folk- och b</w:t>
      </w:r>
      <w:r w:rsidRPr="00023A3D">
        <w:t>o</w:t>
      </w:r>
      <w:r w:rsidRPr="00023A3D">
        <w:t>stadsräkning. Eftersom denna undersökning har senarelagts har ett stort rese</w:t>
      </w:r>
      <w:r w:rsidRPr="00023A3D">
        <w:t>r</w:t>
      </w:r>
      <w:r w:rsidRPr="00023A3D">
        <w:t>vationsbelopp byggts upp på anslaget. Motionärerna bedömer att de reserv</w:t>
      </w:r>
      <w:r w:rsidRPr="00023A3D">
        <w:t>e</w:t>
      </w:r>
      <w:r w:rsidRPr="00023A3D">
        <w:t>rade och anslagna medlen överstiger anslagsbehovet för att kunna genomföra en registerbaserad folk- och bostadsräkning. De föreslår därför att en e</w:t>
      </w:r>
      <w:r w:rsidRPr="00023A3D">
        <w:t>n</w:t>
      </w:r>
      <w:r w:rsidRPr="00023A3D">
        <w:t>gångsvis indragning på 45 miljoner kronor skall göras på anslaget.</w:t>
      </w:r>
    </w:p>
    <w:p w:rsidR="006C0E49" w:rsidRPr="00023A3D" w:rsidRDefault="006C0E49">
      <w:pPr>
        <w:pStyle w:val="Normaltindrag"/>
      </w:pPr>
      <w:r w:rsidRPr="00023A3D">
        <w:rPr>
          <w:i/>
        </w:rPr>
        <w:t>Folkpartiet</w:t>
      </w:r>
      <w:r w:rsidRPr="00023A3D">
        <w:t xml:space="preserve"> anser i </w:t>
      </w:r>
      <w:r w:rsidRPr="00023A3D">
        <w:rPr>
          <w:i/>
        </w:rPr>
        <w:t>motion Fi260</w:t>
      </w:r>
      <w:r w:rsidRPr="00023A3D">
        <w:t xml:space="preserve"> att planeringen av en folk- och bostad</w:t>
      </w:r>
      <w:r w:rsidRPr="00023A3D">
        <w:t>s</w:t>
      </w:r>
      <w:r w:rsidRPr="00023A3D">
        <w:t xml:space="preserve">räkning bör stoppas (yrkande 1) och att några medel inte bör anvisas för detta ändamål (yrkande 2). Det senare yrkandet framför Folkpartiet också i </w:t>
      </w:r>
      <w:r w:rsidRPr="00023A3D">
        <w:rPr>
          <w:i/>
        </w:rPr>
        <w:t>motion Fi294</w:t>
      </w:r>
      <w:r w:rsidRPr="00023A3D">
        <w:t xml:space="preserve"> (yrkande 10 i denna del).</w:t>
      </w:r>
    </w:p>
    <w:p w:rsidR="006C0E49" w:rsidRPr="00023A3D" w:rsidRDefault="006C0E49">
      <w:pPr>
        <w:pStyle w:val="Rubrik3"/>
        <w:rPr>
          <w:noProof w:val="0"/>
        </w:rPr>
      </w:pPr>
      <w:bookmarkStart w:id="42" w:name="_Toc532365480"/>
      <w:r w:rsidRPr="00023A3D">
        <w:rPr>
          <w:noProof w:val="0"/>
        </w:rPr>
        <w:t>Kammarkollegiet</w:t>
      </w:r>
      <w:bookmarkEnd w:id="42"/>
    </w:p>
    <w:p w:rsidR="006C0E49" w:rsidRPr="00023A3D" w:rsidRDefault="006C0E49">
      <w:pPr>
        <w:pStyle w:val="R4"/>
        <w:spacing w:before="123"/>
        <w:outlineLvl w:val="0"/>
      </w:pPr>
      <w:r w:rsidRPr="00023A3D">
        <w:t>Propositionen</w:t>
      </w:r>
    </w:p>
    <w:p w:rsidR="006C0E49" w:rsidRPr="00023A3D" w:rsidRDefault="006C0E49">
      <w:r w:rsidRPr="00023A3D">
        <w:t>Kammarkollegiets verksamhet finansieras till helt övervägande del med a</w:t>
      </w:r>
      <w:r w:rsidRPr="00023A3D">
        <w:t>v</w:t>
      </w:r>
      <w:r w:rsidRPr="00023A3D">
        <w:t xml:space="preserve">gifter. Regeringen föreslår att ramanslaget </w:t>
      </w:r>
      <w:r w:rsidRPr="00023A3D">
        <w:rPr>
          <w:i/>
        </w:rPr>
        <w:t>1:8 Kammarkollegiet</w:t>
      </w:r>
      <w:r w:rsidRPr="00023A3D">
        <w:t xml:space="preserve"> förs upp med 26,9 miljoner kronor för 2002. Det är efter pris- och löneomräkning m.m. 4 miljoner kronor mindre än i år. Av minskningen skall 3 miljoner kronor delfinansiera verksamheten vid den nybildade Valmyndigheten och 1 miljon kronor bidra till att förstärka kvaliteten i SCB:s befolkningsst</w:t>
      </w:r>
      <w:r w:rsidRPr="00023A3D">
        <w:t>a</w:t>
      </w:r>
      <w:r w:rsidRPr="00023A3D">
        <w:t>tistik.</w:t>
      </w:r>
    </w:p>
    <w:p w:rsidR="006C0E49" w:rsidRPr="00023A3D" w:rsidRDefault="006C0E49">
      <w:pPr>
        <w:pStyle w:val="Normaltindrag"/>
      </w:pPr>
      <w:r w:rsidRPr="00023A3D">
        <w:t>Intäkterna från den avgiftsfinansierade verksamheten beräknas nästa år uppgå till 205,8 miljoner kronor.</w:t>
      </w:r>
    </w:p>
    <w:p w:rsidR="006C0E49" w:rsidRPr="00023A3D" w:rsidRDefault="006C0E49">
      <w:pPr>
        <w:pStyle w:val="R4"/>
        <w:spacing w:before="240"/>
        <w:outlineLvl w:val="0"/>
      </w:pPr>
      <w:r w:rsidRPr="00023A3D">
        <w:t>Motionen</w:t>
      </w:r>
    </w:p>
    <w:p w:rsidR="006C0E49" w:rsidRPr="00023A3D" w:rsidRDefault="006C0E49">
      <w:r w:rsidRPr="00023A3D">
        <w:rPr>
          <w:i/>
        </w:rPr>
        <w:t>Kristdemokraterna</w:t>
      </w:r>
      <w:r w:rsidRPr="00023A3D">
        <w:t xml:space="preserve"> vill i </w:t>
      </w:r>
      <w:r w:rsidRPr="00023A3D">
        <w:rPr>
          <w:i/>
        </w:rPr>
        <w:t>motion Fi276</w:t>
      </w:r>
      <w:r w:rsidRPr="00023A3D">
        <w:t xml:space="preserve"> undersöka om inte kollegiets hantering av arvs-, gåvo- och stämpelskatt kan föras över till Riksskatteverket och om inte en samordning med t.ex. Statskontoret kan ge ytterligare effektivis</w:t>
      </w:r>
      <w:r w:rsidRPr="00023A3D">
        <w:t>e</w:t>
      </w:r>
      <w:r w:rsidRPr="00023A3D">
        <w:t>ringsvinster. Anslaget bör enligt motionärerna minskas med 6,9 miljoner kronor 2002 (yrkande 4).</w:t>
      </w:r>
    </w:p>
    <w:p w:rsidR="006C0E49" w:rsidRPr="00023A3D" w:rsidRDefault="006C0E49">
      <w:pPr>
        <w:pStyle w:val="Rubrik3"/>
        <w:rPr>
          <w:noProof w:val="0"/>
        </w:rPr>
      </w:pPr>
      <w:bookmarkStart w:id="43" w:name="_Toc532365481"/>
      <w:r w:rsidRPr="00023A3D">
        <w:rPr>
          <w:noProof w:val="0"/>
        </w:rPr>
        <w:t>Nämnden för offentlig upphandling</w:t>
      </w:r>
      <w:bookmarkEnd w:id="43"/>
    </w:p>
    <w:p w:rsidR="006C0E49" w:rsidRPr="00023A3D" w:rsidRDefault="006C0E49">
      <w:pPr>
        <w:pStyle w:val="R4"/>
        <w:spacing w:before="123"/>
        <w:outlineLvl w:val="0"/>
      </w:pPr>
      <w:r w:rsidRPr="00023A3D">
        <w:t>Propositionen</w:t>
      </w:r>
    </w:p>
    <w:p w:rsidR="006C0E49" w:rsidRPr="00023A3D" w:rsidRDefault="006C0E49">
      <w:r w:rsidRPr="00023A3D">
        <w:t>Regeringen föreslår att ramanslaget</w:t>
      </w:r>
      <w:r w:rsidRPr="00023A3D">
        <w:rPr>
          <w:i/>
        </w:rPr>
        <w:t xml:space="preserve"> 1:9 Nämnden för offentlig upphandling</w:t>
      </w:r>
      <w:r w:rsidRPr="00023A3D">
        <w:t xml:space="preserve"> förs upp med 7,4 miljoner kronor för 2002.</w:t>
      </w:r>
    </w:p>
    <w:p w:rsidR="006C0E49" w:rsidRPr="00023A3D" w:rsidRDefault="006C0E49">
      <w:pPr>
        <w:pStyle w:val="Normaltindrag"/>
      </w:pPr>
      <w:r w:rsidRPr="00023A3D">
        <w:t>Av propositionen framgår också (avsnitt 4.9.3) att Nämnden för offentlig upphandling (NOU) för närvarande är föremål för översyn. Med hänsyn till den offentliga upphandlingens omfattning och möjligheterna till effektivis</w:t>
      </w:r>
      <w:r w:rsidRPr="00023A3D">
        <w:t>e</w:t>
      </w:r>
      <w:r w:rsidRPr="00023A3D">
        <w:t>ringar är det enligt regeringen viktigt att det finns en ändamålsenlig tillsyn</w:t>
      </w:r>
      <w:r w:rsidRPr="00023A3D">
        <w:t>s</w:t>
      </w:r>
      <w:r w:rsidRPr="00023A3D">
        <w:t>funktion för den offentliga upphandlingen. Regeringen anser att inriktningen och omfattningen av NOU:s verksamhet skall vara oförändrad i avvaktan på regeringens ställningstagande till tillsynens framtida organisation. Detta bet</w:t>
      </w:r>
      <w:r w:rsidRPr="00023A3D">
        <w:t>y</w:t>
      </w:r>
      <w:r w:rsidRPr="00023A3D">
        <w:t>der bl.a. att NOU skall prioritera til</w:t>
      </w:r>
      <w:r w:rsidRPr="00023A3D">
        <w:t>l</w:t>
      </w:r>
      <w:r w:rsidRPr="00023A3D">
        <w:t>synsverksamheten.</w:t>
      </w:r>
    </w:p>
    <w:p w:rsidR="006C0E49" w:rsidRPr="00023A3D" w:rsidRDefault="006C0E49">
      <w:pPr>
        <w:pStyle w:val="R4"/>
        <w:spacing w:before="240"/>
        <w:outlineLvl w:val="0"/>
      </w:pPr>
      <w:r w:rsidRPr="00023A3D">
        <w:t>Motionerna</w:t>
      </w:r>
    </w:p>
    <w:p w:rsidR="006C0E49" w:rsidRPr="00023A3D" w:rsidRDefault="006C0E49">
      <w:r w:rsidRPr="00023A3D">
        <w:rPr>
          <w:i/>
        </w:rPr>
        <w:t>Moderata samlingspartiet</w:t>
      </w:r>
      <w:r w:rsidRPr="00023A3D">
        <w:t xml:space="preserve"> föreslår i </w:t>
      </w:r>
      <w:r w:rsidRPr="00023A3D">
        <w:rPr>
          <w:i/>
        </w:rPr>
        <w:t>motion Fi287</w:t>
      </w:r>
      <w:r w:rsidRPr="00023A3D">
        <w:t xml:space="preserve"> att NOU skall slås samman med Konkurrensverket som ombildas till en ny myndighet benämnd Konku</w:t>
      </w:r>
      <w:r w:rsidRPr="00023A3D">
        <w:t>r</w:t>
      </w:r>
      <w:r w:rsidRPr="00023A3D">
        <w:t>rens- och upphandlingsverket. De samordningsfördelar som uppnås ger enligt motionärerna vissa besparingar. För 2002 föreslår de att anslaget halveras och således min</w:t>
      </w:r>
      <w:r w:rsidRPr="00023A3D">
        <w:t>s</w:t>
      </w:r>
      <w:r w:rsidRPr="00023A3D">
        <w:t>kas med 3,7 miljoner kronor.</w:t>
      </w:r>
    </w:p>
    <w:p w:rsidR="006C0E49" w:rsidRPr="00023A3D" w:rsidRDefault="006C0E49">
      <w:pPr>
        <w:pStyle w:val="Normaltindrag"/>
      </w:pPr>
      <w:r w:rsidRPr="00023A3D">
        <w:rPr>
          <w:i/>
        </w:rPr>
        <w:t>Kristdemokraterna</w:t>
      </w:r>
      <w:r w:rsidRPr="00023A3D">
        <w:t xml:space="preserve"> föreslår i </w:t>
      </w:r>
      <w:r w:rsidRPr="00023A3D">
        <w:rPr>
          <w:i/>
        </w:rPr>
        <w:t>motion Fi276</w:t>
      </w:r>
      <w:r w:rsidRPr="00023A3D">
        <w:t xml:space="preserve"> att NOU vid halvårsskiftet 2002 skall ombildas till en självständig del av Konkurrensverket (yrkande 2). Den av regeringen föreslagna anslagsnivån för 2002 bör enligt motionärerna höjas till 10 miljoner kronor, varav dock 6 miljoner kronor skall överföras till Konkurrensverket. I motionen yrkas emellertid på att anslaget halveras och således förs upp med 3,7 miljoner kronor (yrkande 4).</w:t>
      </w:r>
    </w:p>
    <w:p w:rsidR="006C0E49" w:rsidRPr="00023A3D" w:rsidRDefault="006C0E49">
      <w:pPr>
        <w:pStyle w:val="Rubrik3"/>
        <w:rPr>
          <w:noProof w:val="0"/>
        </w:rPr>
      </w:pPr>
      <w:bookmarkStart w:id="44" w:name="_Toc532365482"/>
      <w:r w:rsidRPr="00023A3D">
        <w:rPr>
          <w:noProof w:val="0"/>
        </w:rPr>
        <w:t>Statens kvalitets- och kompetensråd</w:t>
      </w:r>
      <w:bookmarkEnd w:id="44"/>
    </w:p>
    <w:p w:rsidR="006C0E49" w:rsidRPr="00023A3D" w:rsidRDefault="006C0E49">
      <w:pPr>
        <w:pStyle w:val="R4"/>
        <w:spacing w:before="123"/>
        <w:outlineLvl w:val="0"/>
      </w:pPr>
      <w:r w:rsidRPr="00023A3D">
        <w:t>Propositionen</w:t>
      </w:r>
    </w:p>
    <w:p w:rsidR="006C0E49" w:rsidRPr="00023A3D" w:rsidRDefault="006C0E49">
      <w:r w:rsidRPr="00023A3D">
        <w:t xml:space="preserve">Regeringen föreslår att ramanslaget </w:t>
      </w:r>
      <w:r w:rsidRPr="00023A3D">
        <w:rPr>
          <w:i/>
        </w:rPr>
        <w:t xml:space="preserve">1:10 Statens kvalitets- och kompetensråd </w:t>
      </w:r>
      <w:r w:rsidRPr="00023A3D">
        <w:t>förs upp med 12,1 miljoner kronor för 2002.</w:t>
      </w:r>
    </w:p>
    <w:p w:rsidR="006C0E49" w:rsidRPr="00023A3D" w:rsidRDefault="006C0E49">
      <w:pPr>
        <w:pStyle w:val="Normaltindrag"/>
      </w:pPr>
      <w:r w:rsidRPr="00023A3D">
        <w:t>Statens kvalitets- och kompetensråd skall stödja och stimulera arbetet med kvalitetsutveckling och kompetensförsörjning inom den statliga förvaltnin</w:t>
      </w:r>
      <w:r w:rsidRPr="00023A3D">
        <w:t>g</w:t>
      </w:r>
      <w:r w:rsidRPr="00023A3D">
        <w:t>en. Verksamheten finansieras huvudsakligen med anslag, men till viss del även med avgiftsintäkter.</w:t>
      </w:r>
    </w:p>
    <w:p w:rsidR="006C0E49" w:rsidRPr="00023A3D" w:rsidRDefault="006C0E49">
      <w:pPr>
        <w:pStyle w:val="R4"/>
        <w:spacing w:before="240"/>
        <w:outlineLvl w:val="0"/>
      </w:pPr>
      <w:r w:rsidRPr="00023A3D">
        <w:t>Motionerna</w:t>
      </w:r>
    </w:p>
    <w:p w:rsidR="006C0E49" w:rsidRPr="00023A3D" w:rsidRDefault="006C0E49">
      <w:r w:rsidRPr="00023A3D">
        <w:rPr>
          <w:i/>
        </w:rPr>
        <w:t>Moderata samlingspartiet</w:t>
      </w:r>
      <w:r w:rsidRPr="00023A3D">
        <w:t xml:space="preserve"> anser i </w:t>
      </w:r>
      <w:r w:rsidRPr="00023A3D">
        <w:rPr>
          <w:i/>
        </w:rPr>
        <w:t>motion</w:t>
      </w:r>
      <w:r w:rsidRPr="00023A3D">
        <w:t xml:space="preserve"> </w:t>
      </w:r>
      <w:r w:rsidRPr="00023A3D">
        <w:rPr>
          <w:i/>
        </w:rPr>
        <w:t>Fi287</w:t>
      </w:r>
      <w:r w:rsidRPr="00023A3D">
        <w:t xml:space="preserve"> att rådet bör avvecklas och föreslår att anslaget för 2002 halveras och således minskas med 6,0 miljoner kronor.</w:t>
      </w:r>
    </w:p>
    <w:p w:rsidR="006C0E49" w:rsidRPr="00023A3D" w:rsidRDefault="006C0E49">
      <w:pPr>
        <w:pStyle w:val="Normaltindrag"/>
      </w:pPr>
      <w:r w:rsidRPr="00023A3D">
        <w:rPr>
          <w:i/>
        </w:rPr>
        <w:t>Kristdemokraterna</w:t>
      </w:r>
      <w:r w:rsidRPr="00023A3D">
        <w:t xml:space="preserve"> föreslår i </w:t>
      </w:r>
      <w:r w:rsidRPr="00023A3D">
        <w:rPr>
          <w:i/>
        </w:rPr>
        <w:t>motion Fi276</w:t>
      </w:r>
      <w:r w:rsidRPr="00023A3D">
        <w:t xml:space="preserve"> att hela anslaget till rådet dras in (yrkande 4).</w:t>
      </w:r>
    </w:p>
    <w:p w:rsidR="006C0E49" w:rsidRPr="00023A3D" w:rsidRDefault="006C0E49">
      <w:pPr>
        <w:pStyle w:val="Normaltindrag"/>
      </w:pPr>
      <w:r w:rsidRPr="00023A3D">
        <w:rPr>
          <w:i/>
        </w:rPr>
        <w:t>Centerpartiet</w:t>
      </w:r>
      <w:r w:rsidRPr="00023A3D">
        <w:t xml:space="preserve"> uppger i </w:t>
      </w:r>
      <w:r w:rsidRPr="00023A3D">
        <w:rPr>
          <w:i/>
        </w:rPr>
        <w:t>motion Fi263</w:t>
      </w:r>
      <w:r w:rsidRPr="00023A3D">
        <w:t xml:space="preserve"> att partiet tidigare motsatt sig att rådet inrättats. Motionärerna föreslår därför att anslaget avvecklas.</w:t>
      </w:r>
    </w:p>
    <w:p w:rsidR="006C0E49" w:rsidRPr="00023A3D" w:rsidRDefault="006C0E49">
      <w:pPr>
        <w:pStyle w:val="Rubrik3"/>
        <w:rPr>
          <w:noProof w:val="0"/>
        </w:rPr>
      </w:pPr>
      <w:bookmarkStart w:id="45" w:name="_Toc532365483"/>
      <w:r w:rsidRPr="00023A3D">
        <w:rPr>
          <w:noProof w:val="0"/>
        </w:rPr>
        <w:t>Ekonomiska rådet</w:t>
      </w:r>
      <w:bookmarkEnd w:id="45"/>
    </w:p>
    <w:p w:rsidR="006C0E49" w:rsidRPr="00023A3D" w:rsidRDefault="006C0E49">
      <w:pPr>
        <w:pStyle w:val="R4"/>
        <w:spacing w:before="123"/>
        <w:outlineLvl w:val="0"/>
      </w:pPr>
      <w:r w:rsidRPr="00023A3D">
        <w:t>Propositionen</w:t>
      </w:r>
    </w:p>
    <w:p w:rsidR="006C0E49" w:rsidRPr="00023A3D" w:rsidRDefault="006C0E49">
      <w:r w:rsidRPr="00023A3D">
        <w:t xml:space="preserve">Regeringen föreslår att ramanslaget </w:t>
      </w:r>
      <w:r w:rsidRPr="00023A3D">
        <w:rPr>
          <w:i/>
        </w:rPr>
        <w:t xml:space="preserve">1:11 Ekonomiska rådet </w:t>
      </w:r>
      <w:r w:rsidRPr="00023A3D">
        <w:t>förs upp med 2,3 miljoner kr</w:t>
      </w:r>
      <w:r w:rsidRPr="00023A3D">
        <w:t>o</w:t>
      </w:r>
      <w:r w:rsidRPr="00023A3D">
        <w:t>nor för 2002.</w:t>
      </w:r>
    </w:p>
    <w:p w:rsidR="006C0E49" w:rsidRPr="00023A3D" w:rsidRDefault="006C0E49">
      <w:pPr>
        <w:pStyle w:val="Normaltindrag"/>
      </w:pPr>
      <w:r w:rsidRPr="00023A3D">
        <w:t>Ekonomiska rådet som är knutet till Finansdepartementet består av sex n</w:t>
      </w:r>
      <w:r w:rsidRPr="00023A3D">
        <w:t>a</w:t>
      </w:r>
      <w:r w:rsidRPr="00023A3D">
        <w:t>tionalekonomiska forskare samt Konjunkturinstitutets generaldirektör som adjung</w:t>
      </w:r>
      <w:r w:rsidRPr="00023A3D">
        <w:t>e</w:t>
      </w:r>
      <w:r w:rsidRPr="00023A3D">
        <w:t xml:space="preserve">rad medlem. </w:t>
      </w:r>
    </w:p>
    <w:p w:rsidR="006C0E49" w:rsidRPr="00023A3D" w:rsidRDefault="006C0E49">
      <w:pPr>
        <w:pStyle w:val="R4"/>
        <w:spacing w:before="240"/>
        <w:outlineLvl w:val="0"/>
      </w:pPr>
      <w:r w:rsidRPr="00023A3D">
        <w:t>Motionen</w:t>
      </w:r>
    </w:p>
    <w:p w:rsidR="006C0E49" w:rsidRPr="00023A3D" w:rsidRDefault="006C0E49">
      <w:r w:rsidRPr="00023A3D">
        <w:rPr>
          <w:i/>
        </w:rPr>
        <w:t>Kristdemokraterna</w:t>
      </w:r>
      <w:r w:rsidRPr="00023A3D">
        <w:t xml:space="preserve"> bedömer i </w:t>
      </w:r>
      <w:r w:rsidRPr="00023A3D">
        <w:rPr>
          <w:i/>
        </w:rPr>
        <w:t>motion Fi276</w:t>
      </w:r>
      <w:r w:rsidRPr="00023A3D">
        <w:t xml:space="preserve"> att den typ av insatser som rådet bedriver bör kunna rymmas under andra anslag. Motionärerna föreslår därför att anslaget avvecklas (yrkande 4).</w:t>
      </w:r>
    </w:p>
    <w:p w:rsidR="006C0E49" w:rsidRPr="00023A3D" w:rsidRDefault="006C0E49">
      <w:pPr>
        <w:pStyle w:val="Rubrik3"/>
        <w:rPr>
          <w:noProof w:val="0"/>
        </w:rPr>
      </w:pPr>
      <w:bookmarkStart w:id="46" w:name="_Toc532365484"/>
      <w:r w:rsidRPr="00023A3D">
        <w:rPr>
          <w:noProof w:val="0"/>
        </w:rPr>
        <w:t>Utvecklingsarbete</w:t>
      </w:r>
      <w:bookmarkEnd w:id="46"/>
    </w:p>
    <w:p w:rsidR="006C0E49" w:rsidRPr="00023A3D" w:rsidRDefault="006C0E49">
      <w:pPr>
        <w:pStyle w:val="R4"/>
        <w:spacing w:before="123"/>
        <w:outlineLvl w:val="0"/>
      </w:pPr>
      <w:r w:rsidRPr="00023A3D">
        <w:t>Propositionen</w:t>
      </w:r>
    </w:p>
    <w:p w:rsidR="006C0E49" w:rsidRPr="00023A3D" w:rsidRDefault="006C0E49">
      <w:r w:rsidRPr="00023A3D">
        <w:t xml:space="preserve">Regeringen föreslår att ramanslaget </w:t>
      </w:r>
      <w:r w:rsidRPr="00023A3D">
        <w:rPr>
          <w:i/>
        </w:rPr>
        <w:t>1:12 Utvecklingsarbete</w:t>
      </w:r>
      <w:r w:rsidRPr="00023A3D">
        <w:t xml:space="preserve"> minskas med 2,4 miljoner kronor och förs upp med 17,4 miljoner kr</w:t>
      </w:r>
      <w:r w:rsidRPr="00023A3D">
        <w:t>o</w:t>
      </w:r>
      <w:r w:rsidRPr="00023A3D">
        <w:t>nor för 2002.</w:t>
      </w:r>
    </w:p>
    <w:p w:rsidR="006C0E49" w:rsidRPr="00023A3D" w:rsidRDefault="006C0E49">
      <w:pPr>
        <w:pStyle w:val="Normaltindrag"/>
      </w:pPr>
      <w:r w:rsidRPr="00023A3D">
        <w:t>Anslaget används för att finansiera insatser som avser budget- och ver</w:t>
      </w:r>
      <w:r w:rsidRPr="00023A3D">
        <w:t>k</w:t>
      </w:r>
      <w:r w:rsidRPr="00023A3D">
        <w:t>samhetsutveckling och har på senare år framför allt bekostat det utveckling</w:t>
      </w:r>
      <w:r w:rsidRPr="00023A3D">
        <w:t>s</w:t>
      </w:r>
      <w:r w:rsidRPr="00023A3D">
        <w:t>arbete som bedrivs inom ramen för VESTA (Verktyg för ekonomisk styrning i staten). Syftet med VESTA-projektet är att skapa ett integrerat statligt ko</w:t>
      </w:r>
      <w:r w:rsidRPr="00023A3D">
        <w:t>n</w:t>
      </w:r>
      <w:r w:rsidRPr="00023A3D">
        <w:t>cernsystem för prognos, budgetering, resultatstyrning och betalningsinform</w:t>
      </w:r>
      <w:r w:rsidRPr="00023A3D">
        <w:t>a</w:t>
      </w:r>
      <w:r w:rsidRPr="00023A3D">
        <w:t>tion.</w:t>
      </w:r>
    </w:p>
    <w:p w:rsidR="006C0E49" w:rsidRPr="00023A3D" w:rsidRDefault="006C0E49">
      <w:pPr>
        <w:pStyle w:val="R4"/>
        <w:spacing w:before="240"/>
        <w:outlineLvl w:val="0"/>
      </w:pPr>
      <w:r w:rsidRPr="00023A3D">
        <w:t>Motionerna</w:t>
      </w:r>
    </w:p>
    <w:p w:rsidR="006C0E49" w:rsidRPr="00023A3D" w:rsidRDefault="006C0E49">
      <w:r w:rsidRPr="00023A3D">
        <w:rPr>
          <w:i/>
        </w:rPr>
        <w:t>Kristdemokraterna</w:t>
      </w:r>
      <w:r w:rsidRPr="00023A3D">
        <w:t xml:space="preserve"> erinrar i </w:t>
      </w:r>
      <w:r w:rsidRPr="00023A3D">
        <w:rPr>
          <w:i/>
        </w:rPr>
        <w:t>motion Fi276</w:t>
      </w:r>
      <w:r w:rsidRPr="00023A3D">
        <w:t xml:space="preserve"> om att det utvecklingsarbete som anslaget skall finansiera gäller metoder för styrning och uppföljning av st</w:t>
      </w:r>
      <w:r w:rsidRPr="00023A3D">
        <w:t>a</w:t>
      </w:r>
      <w:r w:rsidRPr="00023A3D">
        <w:t>tens resurser, något som enligt motionärerna nu sköts av t.ex. RRV och ESV. Bland annat med hänvisning härtill föreslås i motionen att anslaget minskas med 10 miljoner kronor 2002 (yrkande 4).</w:t>
      </w:r>
    </w:p>
    <w:p w:rsidR="006C0E49" w:rsidRPr="00023A3D" w:rsidRDefault="006C0E49">
      <w:pPr>
        <w:pStyle w:val="Normaltindrag"/>
      </w:pPr>
      <w:r w:rsidRPr="00023A3D">
        <w:rPr>
          <w:i/>
        </w:rPr>
        <w:t>Centerpartiet</w:t>
      </w:r>
      <w:r w:rsidRPr="00023A3D">
        <w:t xml:space="preserve"> anser i </w:t>
      </w:r>
      <w:r w:rsidRPr="00023A3D">
        <w:rPr>
          <w:i/>
        </w:rPr>
        <w:t>motion Fi263</w:t>
      </w:r>
      <w:r w:rsidRPr="00023A3D">
        <w:t xml:space="preserve"> att verksamhetsutveckling samt u</w:t>
      </w:r>
      <w:r w:rsidRPr="00023A3D">
        <w:t>t</w:t>
      </w:r>
      <w:r w:rsidRPr="00023A3D">
        <w:t>vecklingsinsatser för myndigheternas ledning bör rymmas inom respektive myndighets rama</w:t>
      </w:r>
      <w:r w:rsidRPr="00023A3D">
        <w:t>n</w:t>
      </w:r>
      <w:r w:rsidRPr="00023A3D">
        <w:t>slag. I motionen föreslås därför att anslaget avvecklas.</w:t>
      </w:r>
    </w:p>
    <w:p w:rsidR="006C0E49" w:rsidRPr="00023A3D" w:rsidRDefault="006C0E49">
      <w:pPr>
        <w:pStyle w:val="Rubrik3"/>
        <w:rPr>
          <w:noProof w:val="0"/>
        </w:rPr>
      </w:pPr>
      <w:bookmarkStart w:id="47" w:name="_Toc532365485"/>
      <w:r w:rsidRPr="00023A3D">
        <w:rPr>
          <w:noProof w:val="0"/>
        </w:rPr>
        <w:t>Arbetsgivarverket</w:t>
      </w:r>
      <w:bookmarkEnd w:id="47"/>
    </w:p>
    <w:p w:rsidR="006C0E49" w:rsidRPr="00023A3D" w:rsidRDefault="006C0E49">
      <w:pPr>
        <w:spacing w:before="60"/>
      </w:pPr>
      <w:r w:rsidRPr="00023A3D">
        <w:t>Arbetsgivarverket hör fr.o.m. nästa budgetår till politikområdet. Dess ver</w:t>
      </w:r>
      <w:r w:rsidRPr="00023A3D">
        <w:t>k</w:t>
      </w:r>
      <w:r w:rsidRPr="00023A3D">
        <w:t>samhet är inte anslagsfinansierad. Merparten av verkets inkomster (drygt 90 %) utgörs i stället av medlemsavgifter från myndigheter. Till en del fina</w:t>
      </w:r>
      <w:r w:rsidRPr="00023A3D">
        <w:t>n</w:t>
      </w:r>
      <w:r w:rsidRPr="00023A3D">
        <w:t xml:space="preserve">sieras verksamheten också med vissa direkta avgifter samt från regeringens särskilda anslag </w:t>
      </w:r>
      <w:r w:rsidRPr="00023A3D">
        <w:rPr>
          <w:i/>
        </w:rPr>
        <w:t xml:space="preserve">Arbetsgivarpolitiska frågor. </w:t>
      </w:r>
      <w:r w:rsidRPr="00023A3D">
        <w:t>Medlemsavgiften utgår för nä</w:t>
      </w:r>
      <w:r w:rsidRPr="00023A3D">
        <w:t>r</w:t>
      </w:r>
      <w:r w:rsidRPr="00023A3D">
        <w:t>varande med 0,1 % av medlemsmyndigheternas bruttolönesumma men ko</w:t>
      </w:r>
      <w:r w:rsidRPr="00023A3D">
        <w:t>m</w:t>
      </w:r>
      <w:r w:rsidRPr="00023A3D">
        <w:t>mer nästa år att sänkas till 0,09 %.</w:t>
      </w:r>
    </w:p>
    <w:p w:rsidR="006C0E49" w:rsidRPr="00023A3D" w:rsidRDefault="006C0E49">
      <w:pPr>
        <w:pStyle w:val="Rubrik3"/>
        <w:rPr>
          <w:noProof w:val="0"/>
        </w:rPr>
      </w:pPr>
      <w:bookmarkStart w:id="48" w:name="_Toc532365486"/>
      <w:r w:rsidRPr="00023A3D">
        <w:rPr>
          <w:noProof w:val="0"/>
        </w:rPr>
        <w:t>Arbetsgivarpolitiska frågor</w:t>
      </w:r>
      <w:bookmarkEnd w:id="48"/>
    </w:p>
    <w:p w:rsidR="006C0E49" w:rsidRPr="00023A3D" w:rsidRDefault="006C0E49">
      <w:r w:rsidRPr="00023A3D">
        <w:t xml:space="preserve">Regeringen föreslår att anslaget </w:t>
      </w:r>
      <w:r w:rsidRPr="00023A3D">
        <w:rPr>
          <w:i/>
        </w:rPr>
        <w:t>1:13 Arbetsgivarpolitiska frågor</w:t>
      </w:r>
      <w:r w:rsidRPr="00023A3D">
        <w:t xml:space="preserve"> förs upp med 2,5 miljoner kronor för 2002. Anslaget har fram t.o.m. innevarande budgetår redovisats på utgiftsområde 14 Arbetsliv och där benämnts Sta</w:t>
      </w:r>
      <w:r w:rsidRPr="00023A3D">
        <w:t>b</w:t>
      </w:r>
      <w:r w:rsidRPr="00023A3D">
        <w:t>s</w:t>
      </w:r>
      <w:r w:rsidRPr="00023A3D">
        <w:softHyphen/>
        <w:t>uppgifter vid Arbetsgivarverket. Den nya benämningen motiveras av att r</w:t>
      </w:r>
      <w:r w:rsidRPr="00023A3D">
        <w:t>e</w:t>
      </w:r>
      <w:r w:rsidRPr="00023A3D">
        <w:t>geringen kan komma att efterfråga uppgifter inom det arbetsgivarpolitiska området även från annat håll än Arbetsgivarverket.</w:t>
      </w:r>
    </w:p>
    <w:p w:rsidR="006C0E49" w:rsidRPr="00023A3D" w:rsidRDefault="006C0E49">
      <w:pPr>
        <w:pStyle w:val="Normaltindrag"/>
      </w:pPr>
      <w:r w:rsidRPr="00023A3D">
        <w:t>De utgifter som belastar anslaget är bl.a. arvoden för vissa nämnder, b</w:t>
      </w:r>
      <w:r w:rsidRPr="00023A3D">
        <w:t>e</w:t>
      </w:r>
      <w:r w:rsidRPr="00023A3D">
        <w:t>redskapsuppgifter, medlemsavgifter för vissa samnordiska institutioner samt kostnader för utgivning av Arbetsgivarverkets författningssamling och för utmärkelsen För nit och redlighet i rikets tjänst.</w:t>
      </w:r>
    </w:p>
    <w:p w:rsidR="006C0E49" w:rsidRPr="00023A3D" w:rsidRDefault="006C0E49">
      <w:pPr>
        <w:pStyle w:val="Rubrik3"/>
        <w:rPr>
          <w:noProof w:val="0"/>
        </w:rPr>
      </w:pPr>
      <w:bookmarkStart w:id="49" w:name="_Toc532365487"/>
      <w:r w:rsidRPr="00023A3D">
        <w:rPr>
          <w:noProof w:val="0"/>
        </w:rPr>
        <w:t>Statliga tjänstepensioner</w:t>
      </w:r>
      <w:bookmarkEnd w:id="49"/>
    </w:p>
    <w:p w:rsidR="006C0E49" w:rsidRPr="00023A3D" w:rsidRDefault="006C0E49">
      <w:r w:rsidRPr="00023A3D">
        <w:t xml:space="preserve">Regeringen föreslår att anslaget </w:t>
      </w:r>
      <w:r w:rsidRPr="00023A3D">
        <w:rPr>
          <w:i/>
        </w:rPr>
        <w:t>1:14 Statliga tjänstepensioner m.m.</w:t>
      </w:r>
      <w:r w:rsidRPr="00023A3D">
        <w:t xml:space="preserve"> förs upp med 7 381 miljoner kronor för 2002. Anslaget har fram t.o.m. innevarande budgetår redovisats på utgiftsområde 14 Arbetsliv.</w:t>
      </w:r>
    </w:p>
    <w:p w:rsidR="006C0E49" w:rsidRPr="00023A3D" w:rsidRDefault="006C0E49">
      <w:pPr>
        <w:pStyle w:val="Normaltindrag"/>
      </w:pPr>
      <w:r w:rsidRPr="00023A3D">
        <w:t>Anslaget belastas med utgifter för personalpensionsförmåner och särskild löneskatt på pensionskostnader m.m. Personalpensionsförmånerna styrs av kollektivavtal och medelsbehovet på anslaget av antalet förmånstagare, m</w:t>
      </w:r>
      <w:r w:rsidRPr="00023A3D">
        <w:t>e</w:t>
      </w:r>
      <w:r w:rsidRPr="00023A3D">
        <w:t>delvärdet av den statliga kompletteringspensionen samt av basbeloppets fö</w:t>
      </w:r>
      <w:r w:rsidRPr="00023A3D">
        <w:t>r</w:t>
      </w:r>
      <w:r w:rsidRPr="00023A3D">
        <w:t>ändringar.</w:t>
      </w:r>
    </w:p>
    <w:p w:rsidR="006C0E49" w:rsidRPr="00023A3D" w:rsidRDefault="006C0E49">
      <w:pPr>
        <w:pStyle w:val="Rubrik2"/>
        <w:rPr>
          <w:sz w:val="24"/>
        </w:rPr>
      </w:pPr>
      <w:bookmarkStart w:id="50" w:name="_Toc500824839"/>
      <w:bookmarkStart w:id="51" w:name="_Toc532365488"/>
      <w:r w:rsidRPr="00023A3D">
        <w:rPr>
          <w:sz w:val="24"/>
        </w:rPr>
        <w:t>Politikområdet Finansiella system och tillsyn</w:t>
      </w:r>
      <w:bookmarkEnd w:id="50"/>
      <w:bookmarkEnd w:id="51"/>
    </w:p>
    <w:p w:rsidR="006C0E49" w:rsidRPr="00023A3D" w:rsidRDefault="006C0E49">
      <w:r w:rsidRPr="00023A3D">
        <w:t>Politikområdet omfattar reglering och tillsyn av det finansiella systemet, statsskuldsförvaltning, statliga garantier, insättarskydd, statens in- och utl</w:t>
      </w:r>
      <w:r w:rsidRPr="00023A3D">
        <w:t>å</w:t>
      </w:r>
      <w:r w:rsidRPr="00023A3D">
        <w:t>ning samt kassahållning, premiepensionssystemet, internationellt finansiellt samarbete, kompletterande redovisningsnormer samt tillsyn av spelmarkn</w:t>
      </w:r>
      <w:r w:rsidRPr="00023A3D">
        <w:t>a</w:t>
      </w:r>
      <w:r w:rsidRPr="00023A3D">
        <w:t>den.</w:t>
      </w:r>
    </w:p>
    <w:p w:rsidR="006C0E49" w:rsidRPr="00023A3D" w:rsidRDefault="006C0E49">
      <w:pPr>
        <w:pStyle w:val="Normaltindrag"/>
      </w:pPr>
      <w:r w:rsidRPr="00023A3D">
        <w:t>De myndigheter som ingår i politikområdet är de helt eller delvis anslag</w:t>
      </w:r>
      <w:r w:rsidRPr="00023A3D">
        <w:t>s</w:t>
      </w:r>
      <w:r w:rsidRPr="00023A3D">
        <w:t>finansierade myndigheterna Finansinspektionen, Insättningsgarantinämnden, Riksgäldskontoret och Bokföringsnämnden. Dessutom ingår den avgiftsfina</w:t>
      </w:r>
      <w:r w:rsidRPr="00023A3D">
        <w:t>n</w:t>
      </w:r>
      <w:r w:rsidRPr="00023A3D">
        <w:t>sierade Premiepensionsmyndigheten. Vidare ingår den på utgiftsområde 17 uppförda Lotteriinspe</w:t>
      </w:r>
      <w:r w:rsidRPr="00023A3D">
        <w:t>k</w:t>
      </w:r>
      <w:r w:rsidRPr="00023A3D">
        <w:t xml:space="preserve">tionen. </w:t>
      </w:r>
    </w:p>
    <w:p w:rsidR="006C0E49" w:rsidRPr="00023A3D" w:rsidRDefault="006C0E49">
      <w:pPr>
        <w:pStyle w:val="Rubrik3"/>
        <w:rPr>
          <w:noProof w:val="0"/>
        </w:rPr>
      </w:pPr>
      <w:bookmarkStart w:id="52" w:name="_Toc532365489"/>
      <w:r w:rsidRPr="00023A3D">
        <w:rPr>
          <w:noProof w:val="0"/>
        </w:rPr>
        <w:t>Revisionens iakttagelser</w:t>
      </w:r>
      <w:bookmarkEnd w:id="52"/>
    </w:p>
    <w:p w:rsidR="006C0E49" w:rsidRPr="00023A3D" w:rsidRDefault="006C0E49">
      <w:r w:rsidRPr="00023A3D">
        <w:t>RRV har inte haft några synpunkter på årsredovisningarna för de myndigheter som ingår i politikområdet utan bedömer dem i allt väsentligt som rättvisande. Finansinspektionen, Insättningsgarantinämnden, Premiepensionsmyndigheten och Lotteriinspektionen har fått betyget fullt tillfredsställande i Ekonomisty</w:t>
      </w:r>
      <w:r w:rsidRPr="00023A3D">
        <w:t>r</w:t>
      </w:r>
      <w:r w:rsidRPr="00023A3D">
        <w:t>ningsverkets EA-värdering. Riksgäldskontoret fick EA-omdömet tillfred</w:t>
      </w:r>
      <w:r w:rsidRPr="00023A3D">
        <w:t>s</w:t>
      </w:r>
      <w:r w:rsidRPr="00023A3D">
        <w:t>ställande.</w:t>
      </w:r>
    </w:p>
    <w:p w:rsidR="006C0E49" w:rsidRPr="00023A3D" w:rsidRDefault="006C0E49">
      <w:pPr>
        <w:pStyle w:val="Normaltindrag"/>
      </w:pPr>
      <w:r w:rsidRPr="00023A3D">
        <w:t>De revisionsorgan som granskar Nordiska investeringsbanken (NIB), E</w:t>
      </w:r>
      <w:r w:rsidRPr="00023A3D">
        <w:t>u</w:t>
      </w:r>
      <w:r w:rsidRPr="00023A3D">
        <w:t>ropeiska utvecklingsbanken (ERBD) och Europarådets utvecklingsbank (CEB) har bedömt att dessa institutioners årsredovisningar för 2000 är rät</w:t>
      </w:r>
      <w:r w:rsidRPr="00023A3D">
        <w:t>t</w:t>
      </w:r>
      <w:r w:rsidRPr="00023A3D">
        <w:t>visande.</w:t>
      </w:r>
    </w:p>
    <w:p w:rsidR="006C0E49" w:rsidRPr="00023A3D" w:rsidRDefault="006C0E49">
      <w:pPr>
        <w:pStyle w:val="Rubrik3"/>
        <w:rPr>
          <w:noProof w:val="0"/>
        </w:rPr>
      </w:pPr>
      <w:bookmarkStart w:id="53" w:name="_Toc532365490"/>
      <w:r w:rsidRPr="00023A3D">
        <w:rPr>
          <w:noProof w:val="0"/>
        </w:rPr>
        <w:t>Målet för politikområdet</w:t>
      </w:r>
      <w:bookmarkEnd w:id="53"/>
    </w:p>
    <w:p w:rsidR="006C0E49" w:rsidRPr="00023A3D" w:rsidRDefault="006C0E49">
      <w:pPr>
        <w:pStyle w:val="Brdtext"/>
      </w:pPr>
      <w:r w:rsidRPr="00023A3D">
        <w:t>Målet för politikområdet fastställdes i samband med beslut om budgetprop</w:t>
      </w:r>
      <w:r w:rsidRPr="00023A3D">
        <w:t>o</w:t>
      </w:r>
      <w:r w:rsidRPr="00023A3D">
        <w:t xml:space="preserve">sition för 2001. Målet är </w:t>
      </w:r>
    </w:p>
    <w:p w:rsidR="006C0E49" w:rsidRPr="00023A3D" w:rsidRDefault="006C0E49">
      <w:pPr>
        <w:pStyle w:val="Normaltindrag"/>
        <w:ind w:firstLine="0"/>
      </w:pPr>
      <w:r w:rsidRPr="00023A3D">
        <w:t>– att det finansiella systemet skall vara effektivt och tillgodose såväl samhä</w:t>
      </w:r>
      <w:r w:rsidRPr="00023A3D">
        <w:t>l</w:t>
      </w:r>
      <w:r w:rsidRPr="00023A3D">
        <w:t>lets krav på stabilitet som konsumenternas intre</w:t>
      </w:r>
      <w:r w:rsidRPr="00023A3D">
        <w:t>s</w:t>
      </w:r>
      <w:r w:rsidRPr="00023A3D">
        <w:t>se av ett gott skydd,</w:t>
      </w:r>
    </w:p>
    <w:p w:rsidR="006C0E49" w:rsidRPr="00023A3D" w:rsidRDefault="006C0E49">
      <w:pPr>
        <w:pStyle w:val="Normaltindrag"/>
        <w:ind w:firstLine="0"/>
      </w:pPr>
      <w:r w:rsidRPr="00023A3D">
        <w:t>– att tillsynen skall bedrivas effe</w:t>
      </w:r>
      <w:r w:rsidRPr="00023A3D">
        <w:t>k</w:t>
      </w:r>
      <w:r w:rsidRPr="00023A3D">
        <w:t>tivt,</w:t>
      </w:r>
    </w:p>
    <w:p w:rsidR="006C0E49" w:rsidRPr="00023A3D" w:rsidRDefault="006C0E49">
      <w:pPr>
        <w:pStyle w:val="Normaltindrag"/>
        <w:ind w:firstLine="0"/>
      </w:pPr>
      <w:r w:rsidRPr="00023A3D">
        <w:t>– att kostnaderna för statsskulden långsiktigt minimeras samtidigt som risken beaktas samt</w:t>
      </w:r>
    </w:p>
    <w:p w:rsidR="006C0E49" w:rsidRPr="00023A3D" w:rsidRDefault="006C0E49">
      <w:pPr>
        <w:pStyle w:val="Normaltindrag"/>
        <w:ind w:firstLine="0"/>
      </w:pPr>
      <w:r w:rsidRPr="00023A3D">
        <w:t>– att statens finansförvaltning bedrivs effe</w:t>
      </w:r>
      <w:r w:rsidRPr="00023A3D">
        <w:t>k</w:t>
      </w:r>
      <w:r w:rsidRPr="00023A3D">
        <w:t>tivt.</w:t>
      </w:r>
    </w:p>
    <w:p w:rsidR="006C0E49" w:rsidRPr="00023A3D" w:rsidRDefault="006C0E49">
      <w:pPr>
        <w:pStyle w:val="Rubrik3"/>
        <w:rPr>
          <w:noProof w:val="0"/>
        </w:rPr>
      </w:pPr>
      <w:bookmarkStart w:id="54" w:name="_Toc500824840"/>
      <w:bookmarkStart w:id="55" w:name="_Toc532365491"/>
      <w:r w:rsidRPr="00023A3D">
        <w:rPr>
          <w:noProof w:val="0"/>
        </w:rPr>
        <w:t>Finansinspektionen</w:t>
      </w:r>
      <w:bookmarkEnd w:id="54"/>
      <w:bookmarkEnd w:id="55"/>
    </w:p>
    <w:p w:rsidR="006C0E49" w:rsidRPr="00023A3D" w:rsidRDefault="006C0E49">
      <w:pPr>
        <w:pStyle w:val="R4"/>
        <w:spacing w:before="123"/>
        <w:outlineLvl w:val="0"/>
      </w:pPr>
      <w:r w:rsidRPr="00023A3D">
        <w:t>Propositionen</w:t>
      </w:r>
    </w:p>
    <w:p w:rsidR="006C0E49" w:rsidRPr="00023A3D" w:rsidRDefault="006C0E49">
      <w:r w:rsidRPr="00023A3D">
        <w:t xml:space="preserve">Regeringen föreslår att ramanslaget </w:t>
      </w:r>
      <w:r w:rsidRPr="00023A3D">
        <w:rPr>
          <w:i/>
        </w:rPr>
        <w:t>2:1 Finansinspektionen</w:t>
      </w:r>
      <w:r w:rsidRPr="00023A3D">
        <w:t xml:space="preserve"> förs upp med 141,9 miljoner kronor för 2002. Utöver pris- och löneomräkning motsvarar det ett resurstillskott på 1,9 miljoner kronor. För att kunna förbereda geno</w:t>
      </w:r>
      <w:r w:rsidRPr="00023A3D">
        <w:t>m</w:t>
      </w:r>
      <w:r w:rsidRPr="00023A3D">
        <w:t xml:space="preserve">förandet av de nya kapitaltäckningsreglerna, tillförs Finansinspektionen 8,2 miljoner kronor fr.o.m. 2002. </w:t>
      </w:r>
    </w:p>
    <w:p w:rsidR="006C0E49" w:rsidRPr="00023A3D" w:rsidRDefault="006C0E49">
      <w:pPr>
        <w:pStyle w:val="Normaltindrag"/>
      </w:pPr>
      <w:r w:rsidRPr="00023A3D">
        <w:t>Finansinspektionens verksamhet finansieras med anslag, och baserat på dess storlek tar inspektionen årligen ut en obligatorisk tillsynsavgift samt ansökningsavgifter för prövning av olika typer av ärenden. Inspektionen</w:t>
      </w:r>
      <w:r w:rsidRPr="00023A3D">
        <w:t xml:space="preserve"> tar också ut en avgift för marknadsövervakning. Inkomsterna från avgifterna redovisas på inkomsttitel.</w:t>
      </w:r>
    </w:p>
    <w:p w:rsidR="006C0E49" w:rsidRPr="00023A3D" w:rsidRDefault="006C0E49">
      <w:pPr>
        <w:pStyle w:val="Normaltindrag"/>
      </w:pPr>
      <w:r w:rsidRPr="00023A3D">
        <w:t>Därutöver uppbär Finansinspektionen vissa administrativa avgifter från Bokföringsnämnden och Insättningsgarantinämnden som inte har samband med tillsynsverksamheten och som inspektionen själv får disponera. För nästa år beräknas dessa inkomster uppgå till 8,7 miljoner kr</w:t>
      </w:r>
      <w:r w:rsidRPr="00023A3D">
        <w:t>o</w:t>
      </w:r>
      <w:r w:rsidRPr="00023A3D">
        <w:t>nor.</w:t>
      </w:r>
    </w:p>
    <w:p w:rsidR="006C0E49" w:rsidRPr="00023A3D" w:rsidRDefault="006C0E49">
      <w:pPr>
        <w:pStyle w:val="R4"/>
        <w:spacing w:before="240"/>
        <w:outlineLvl w:val="0"/>
      </w:pPr>
      <w:r w:rsidRPr="00023A3D">
        <w:t>Motionen</w:t>
      </w:r>
    </w:p>
    <w:p w:rsidR="006C0E49" w:rsidRPr="00023A3D" w:rsidRDefault="006C0E49">
      <w:r w:rsidRPr="00023A3D">
        <w:rPr>
          <w:i/>
        </w:rPr>
        <w:t>Centerpartiet</w:t>
      </w:r>
      <w:r w:rsidRPr="00023A3D">
        <w:t xml:space="preserve"> föreslår i </w:t>
      </w:r>
      <w:r w:rsidRPr="00023A3D">
        <w:rPr>
          <w:i/>
        </w:rPr>
        <w:t>motion Fi263</w:t>
      </w:r>
      <w:r w:rsidRPr="00023A3D">
        <w:t xml:space="preserve"> att anslaget till Finansinspektionen skall minskas med 9 miljoner kr</w:t>
      </w:r>
      <w:r w:rsidRPr="00023A3D">
        <w:t>o</w:t>
      </w:r>
      <w:r w:rsidRPr="00023A3D">
        <w:t>nor.</w:t>
      </w:r>
    </w:p>
    <w:p w:rsidR="006C0E49" w:rsidRPr="00023A3D" w:rsidRDefault="006C0E49">
      <w:pPr>
        <w:pStyle w:val="Rubrik3"/>
        <w:rPr>
          <w:noProof w:val="0"/>
        </w:rPr>
      </w:pPr>
      <w:bookmarkStart w:id="56" w:name="_Toc500824841"/>
      <w:bookmarkStart w:id="57" w:name="_Toc532365492"/>
      <w:r w:rsidRPr="00023A3D">
        <w:rPr>
          <w:noProof w:val="0"/>
        </w:rPr>
        <w:t>Insättningsgarantinämnden</w:t>
      </w:r>
      <w:bookmarkEnd w:id="56"/>
      <w:bookmarkEnd w:id="57"/>
    </w:p>
    <w:p w:rsidR="006C0E49" w:rsidRPr="00023A3D" w:rsidRDefault="006C0E49">
      <w:pPr>
        <w:pStyle w:val="R4"/>
        <w:spacing w:before="123"/>
        <w:outlineLvl w:val="0"/>
      </w:pPr>
      <w:r w:rsidRPr="00023A3D">
        <w:t>Propositionen</w:t>
      </w:r>
    </w:p>
    <w:p w:rsidR="006C0E49" w:rsidRPr="00023A3D" w:rsidRDefault="006C0E49">
      <w:r w:rsidRPr="00023A3D">
        <w:t xml:space="preserve">Regeringen föreslår att ramanslaget </w:t>
      </w:r>
      <w:r w:rsidRPr="00023A3D">
        <w:rPr>
          <w:i/>
        </w:rPr>
        <w:t>2:2 Insättningsgarantinämnden</w:t>
      </w:r>
      <w:r w:rsidRPr="00023A3D">
        <w:t xml:space="preserve"> förs upp med 8,2 miljoner kronor för 2002.</w:t>
      </w:r>
    </w:p>
    <w:p w:rsidR="006C0E49" w:rsidRPr="00023A3D" w:rsidRDefault="006C0E49">
      <w:pPr>
        <w:pStyle w:val="Normaltindrag"/>
      </w:pPr>
      <w:r w:rsidRPr="00023A3D">
        <w:t>Insättningsgarantinämnden (IGN) administrerar det statliga insättningsg</w:t>
      </w:r>
      <w:r w:rsidRPr="00023A3D">
        <w:t>a</w:t>
      </w:r>
      <w:r w:rsidRPr="00023A3D">
        <w:t>rantisystemet samt det statliga investerarskyddet. De institut som omfattas av dessa båda system skall också svara för deras finansiering. Avgiftsinkomste</w:t>
      </w:r>
      <w:r w:rsidRPr="00023A3D">
        <w:t>r</w:t>
      </w:r>
      <w:r w:rsidRPr="00023A3D">
        <w:t>na redovisas mot inkomsttitel och ett belopp motsvarande anslaget till IGN avräknas från dessa inkomster. För 2002 beräknas inkomsterna uppgå till 401 miljoner kronor. Överskottet placeras på räntebärande konto i Riksgäldsko</w:t>
      </w:r>
      <w:r w:rsidRPr="00023A3D">
        <w:t>n</w:t>
      </w:r>
      <w:r w:rsidRPr="00023A3D">
        <w:t>toret.</w:t>
      </w:r>
    </w:p>
    <w:p w:rsidR="006C0E49" w:rsidRPr="00023A3D" w:rsidRDefault="006C0E49">
      <w:pPr>
        <w:pStyle w:val="Rubrik3"/>
        <w:rPr>
          <w:noProof w:val="0"/>
        </w:rPr>
      </w:pPr>
      <w:bookmarkStart w:id="58" w:name="_Toc500824843"/>
      <w:bookmarkStart w:id="59" w:name="_Toc500824844"/>
      <w:bookmarkStart w:id="60" w:name="_Toc532365493"/>
      <w:r w:rsidRPr="00023A3D">
        <w:rPr>
          <w:noProof w:val="0"/>
        </w:rPr>
        <w:t>Riksgäldskontorets förvaltningskostnader</w:t>
      </w:r>
      <w:bookmarkEnd w:id="59"/>
      <w:bookmarkEnd w:id="60"/>
    </w:p>
    <w:p w:rsidR="006C0E49" w:rsidRPr="00023A3D" w:rsidRDefault="006C0E49">
      <w:pPr>
        <w:pStyle w:val="R4"/>
        <w:spacing w:before="123"/>
        <w:outlineLvl w:val="0"/>
      </w:pPr>
      <w:r w:rsidRPr="00023A3D">
        <w:t>Propositionen</w:t>
      </w:r>
    </w:p>
    <w:p w:rsidR="006C0E49" w:rsidRPr="00023A3D" w:rsidRDefault="006C0E49">
      <w:r w:rsidRPr="00023A3D">
        <w:t xml:space="preserve">Regeringen föreslår att ramanslaget </w:t>
      </w:r>
      <w:r w:rsidRPr="00023A3D">
        <w:rPr>
          <w:i/>
        </w:rPr>
        <w:t>2:3 Riksgäldskontoret: Förvaltningskos</w:t>
      </w:r>
      <w:r w:rsidRPr="00023A3D">
        <w:rPr>
          <w:i/>
        </w:rPr>
        <w:t>t</w:t>
      </w:r>
      <w:r w:rsidRPr="00023A3D">
        <w:rPr>
          <w:i/>
        </w:rPr>
        <w:t>nader</w:t>
      </w:r>
      <w:r w:rsidRPr="00023A3D">
        <w:t xml:space="preserve"> förs upp med 252,9 miljoner kronor för 2002. </w:t>
      </w:r>
    </w:p>
    <w:p w:rsidR="006C0E49" w:rsidRPr="00023A3D" w:rsidRDefault="006C0E49">
      <w:pPr>
        <w:pStyle w:val="Normaltindrag"/>
      </w:pPr>
      <w:r w:rsidRPr="00023A3D">
        <w:t>Anslaget disponeras för löne-, systemutvecklings-, lokal- och övriga fö</w:t>
      </w:r>
      <w:r w:rsidRPr="00023A3D">
        <w:t>r</w:t>
      </w:r>
      <w:r w:rsidRPr="00023A3D">
        <w:t>valtningskostnader. Anslaget disponeras även för att täcka de omkostnader för upplåning och låneförvaltning samt direkta kostnader för statens betalning</w:t>
      </w:r>
      <w:r w:rsidRPr="00023A3D">
        <w:t>s</w:t>
      </w:r>
      <w:r w:rsidRPr="00023A3D">
        <w:t>system som fram t.o.m. 2000 finansierades via ett särskilt anslag B4 Rik</w:t>
      </w:r>
      <w:r w:rsidRPr="00023A3D">
        <w:t>s</w:t>
      </w:r>
      <w:r w:rsidRPr="00023A3D">
        <w:t xml:space="preserve">gäldskontoret: Vissa kostnader för upplåning och låneförvaltning. </w:t>
      </w:r>
    </w:p>
    <w:p w:rsidR="006C0E49" w:rsidRPr="00023A3D" w:rsidRDefault="006C0E49">
      <w:pPr>
        <w:pStyle w:val="R4"/>
        <w:spacing w:before="240"/>
        <w:outlineLvl w:val="0"/>
      </w:pPr>
      <w:r w:rsidRPr="00023A3D">
        <w:t>Motionen</w:t>
      </w:r>
    </w:p>
    <w:p w:rsidR="006C0E49" w:rsidRPr="00023A3D" w:rsidRDefault="006C0E49">
      <w:r w:rsidRPr="00023A3D">
        <w:rPr>
          <w:i/>
        </w:rPr>
        <w:t xml:space="preserve">Centerpartiet </w:t>
      </w:r>
      <w:r w:rsidRPr="00023A3D">
        <w:t xml:space="preserve"> föreslår i </w:t>
      </w:r>
      <w:r w:rsidRPr="00023A3D">
        <w:rPr>
          <w:i/>
        </w:rPr>
        <w:t>motion Fi263</w:t>
      </w:r>
      <w:r w:rsidRPr="00023A3D">
        <w:t xml:space="preserve"> att anslaget minskas med 10 miljoner kronor. Motionärerna erinrar om att statens kostnader för statsskuldsräntor redovisas vid sidan av utgiftstaket, vilket enligt vad som uppges i motionen däremot inte gäller för Riksgäldskontorets provisionskostnader för kronsku</w:t>
      </w:r>
      <w:r w:rsidRPr="00023A3D">
        <w:t>l</w:t>
      </w:r>
      <w:r w:rsidRPr="00023A3D">
        <w:t>den. Centerpartiet vill i sitt budgetalternativ amortera statsskulden snabbare än regeringen, vilket minskar upplåningsbehovet. Motionärerna anser därför att anslaget kan minskas i den föreslagna omfattnin</w:t>
      </w:r>
      <w:r w:rsidRPr="00023A3D">
        <w:t>g</w:t>
      </w:r>
      <w:r w:rsidRPr="00023A3D">
        <w:t>en.</w:t>
      </w:r>
    </w:p>
    <w:p w:rsidR="006C0E49" w:rsidRPr="00023A3D" w:rsidRDefault="006C0E49">
      <w:pPr>
        <w:pStyle w:val="Rubrik3"/>
        <w:rPr>
          <w:noProof w:val="0"/>
        </w:rPr>
      </w:pPr>
      <w:bookmarkStart w:id="61" w:name="_Toc532365494"/>
      <w:bookmarkEnd w:id="58"/>
      <w:r w:rsidRPr="00023A3D">
        <w:rPr>
          <w:noProof w:val="0"/>
        </w:rPr>
        <w:t>Bokföringsnä</w:t>
      </w:r>
      <w:r w:rsidRPr="00023A3D">
        <w:rPr>
          <w:noProof w:val="0"/>
        </w:rPr>
        <w:t>mnden</w:t>
      </w:r>
      <w:bookmarkEnd w:id="61"/>
    </w:p>
    <w:p w:rsidR="006C0E49" w:rsidRPr="00023A3D" w:rsidRDefault="006C0E49">
      <w:pPr>
        <w:pStyle w:val="R4"/>
        <w:spacing w:before="123"/>
        <w:outlineLvl w:val="0"/>
      </w:pPr>
      <w:r w:rsidRPr="00023A3D">
        <w:t>Propositionen</w:t>
      </w:r>
    </w:p>
    <w:p w:rsidR="006C0E49" w:rsidRPr="00023A3D" w:rsidRDefault="006C0E49">
      <w:r w:rsidRPr="00023A3D">
        <w:t>Regeringen föreslår att ramanslaget</w:t>
      </w:r>
      <w:r w:rsidRPr="00023A3D">
        <w:rPr>
          <w:i/>
        </w:rPr>
        <w:t xml:space="preserve"> 2:4 Bokföringsnämnden</w:t>
      </w:r>
      <w:r w:rsidRPr="00023A3D">
        <w:t xml:space="preserve"> förs upp med 7,5 miljoner kronor för 2002. Nivån är förutom en mindre pris- och löneomrä</w:t>
      </w:r>
      <w:r w:rsidRPr="00023A3D">
        <w:t>k</w:t>
      </w:r>
      <w:r w:rsidRPr="00023A3D">
        <w:t>ning densamma som i år.</w:t>
      </w:r>
    </w:p>
    <w:p w:rsidR="006C0E49" w:rsidRPr="00023A3D" w:rsidRDefault="006C0E49">
      <w:pPr>
        <w:pStyle w:val="Rubrik3"/>
        <w:rPr>
          <w:noProof w:val="0"/>
        </w:rPr>
      </w:pPr>
      <w:bookmarkStart w:id="62" w:name="_Toc532365495"/>
      <w:r w:rsidRPr="00023A3D">
        <w:rPr>
          <w:noProof w:val="0"/>
        </w:rPr>
        <w:t>Avgift för Stadshypotekskassans grundfond</w:t>
      </w:r>
      <w:bookmarkEnd w:id="62"/>
    </w:p>
    <w:p w:rsidR="006C0E49" w:rsidRPr="00023A3D" w:rsidRDefault="006C0E49">
      <w:pPr>
        <w:pStyle w:val="R4"/>
        <w:spacing w:before="123"/>
        <w:outlineLvl w:val="0"/>
      </w:pPr>
      <w:r w:rsidRPr="00023A3D">
        <w:t>Propositionen</w:t>
      </w:r>
    </w:p>
    <w:p w:rsidR="006C0E49" w:rsidRPr="00023A3D" w:rsidRDefault="006C0E49">
      <w:r w:rsidRPr="00023A3D">
        <w:t>Regeringen föreslår att ramanslaget</w:t>
      </w:r>
      <w:r w:rsidRPr="00023A3D">
        <w:rPr>
          <w:i/>
        </w:rPr>
        <w:t xml:space="preserve"> 2:5 Avgift för Stadshypotekskassans grundfond </w:t>
      </w:r>
      <w:r w:rsidRPr="00023A3D">
        <w:t xml:space="preserve"> förs upp med 0 kronor för 2002.</w:t>
      </w:r>
    </w:p>
    <w:p w:rsidR="006C0E49" w:rsidRPr="00023A3D" w:rsidRDefault="006C0E49">
      <w:pPr>
        <w:pStyle w:val="Normaltindrag"/>
      </w:pPr>
      <w:r w:rsidRPr="00023A3D">
        <w:t>I februari 1997 sålde regeringen statens innehav av aktier i Stadshypotek AB till Svenska Handelsbanken. Efter försäljningen har Konungariket Sver</w:t>
      </w:r>
      <w:r w:rsidRPr="00023A3D">
        <w:t>i</w:t>
      </w:r>
      <w:r w:rsidRPr="00023A3D">
        <w:t>ges Stadshypotekskassa haft i uppgift att förvalta en återstående obligation</w:t>
      </w:r>
      <w:r w:rsidRPr="00023A3D">
        <w:t>s</w:t>
      </w:r>
      <w:r w:rsidRPr="00023A3D">
        <w:t>skuld. När skulden är reglerad skall kassan likvideras. För att trygga uteståe</w:t>
      </w:r>
      <w:r w:rsidRPr="00023A3D">
        <w:t>n</w:t>
      </w:r>
      <w:r w:rsidRPr="00023A3D">
        <w:t>de lån finns en grundfond i form av en statlig garantiförbindelse. Staten har åtagit sig att svara för avgiften för denna garantiförbindelse, och för att sy</w:t>
      </w:r>
      <w:r w:rsidRPr="00023A3D">
        <w:t>n</w:t>
      </w:r>
      <w:r w:rsidRPr="00023A3D">
        <w:t>liggöra denna subvention har avgiften förts upp som ett anslag. Avgiften motsvarar 1 % av grundfondens storlek.</w:t>
      </w:r>
    </w:p>
    <w:p w:rsidR="006C0E49" w:rsidRPr="00023A3D" w:rsidRDefault="006C0E49">
      <w:pPr>
        <w:pStyle w:val="Normaltindrag"/>
      </w:pPr>
      <w:r w:rsidRPr="00023A3D">
        <w:t>Den kvarstående upplåningen genom Stadshypotekskassan har minskat i snabbare takt än b</w:t>
      </w:r>
      <w:r w:rsidRPr="00023A3D">
        <w:t>eräknat, vilket slagit igenom på grundfondens och därmed också avgiftens storlek som båda minskat snabbt. Till följd härav har ett a</w:t>
      </w:r>
      <w:r w:rsidRPr="00023A3D">
        <w:t>n</w:t>
      </w:r>
      <w:r w:rsidRPr="00023A3D">
        <w:t>slagssparande byggts upp under flera år, och detta anslagssparandet har bl.a. kunnat användas för att finansiera efterföljande års avgifter för grun</w:t>
      </w:r>
      <w:r w:rsidRPr="00023A3D">
        <w:t>d</w:t>
      </w:r>
      <w:r w:rsidRPr="00023A3D">
        <w:t>fonden.</w:t>
      </w:r>
    </w:p>
    <w:p w:rsidR="006C0E49" w:rsidRPr="00023A3D" w:rsidRDefault="006C0E49">
      <w:pPr>
        <w:pStyle w:val="Rubrik3"/>
        <w:rPr>
          <w:noProof w:val="0"/>
        </w:rPr>
      </w:pPr>
      <w:bookmarkStart w:id="63" w:name="_Toc532365496"/>
      <w:r w:rsidRPr="00023A3D">
        <w:rPr>
          <w:noProof w:val="0"/>
        </w:rPr>
        <w:t>Insatser i internationella finansi</w:t>
      </w:r>
      <w:r w:rsidRPr="00023A3D">
        <w:rPr>
          <w:noProof w:val="0"/>
        </w:rPr>
        <w:t>e</w:t>
      </w:r>
      <w:r w:rsidRPr="00023A3D">
        <w:rPr>
          <w:noProof w:val="0"/>
        </w:rPr>
        <w:t>ringsinstitutioner</w:t>
      </w:r>
      <w:bookmarkEnd w:id="63"/>
      <w:r w:rsidRPr="00023A3D">
        <w:rPr>
          <w:noProof w:val="0"/>
        </w:rPr>
        <w:t xml:space="preserve"> </w:t>
      </w:r>
    </w:p>
    <w:p w:rsidR="006C0E49" w:rsidRPr="00023A3D" w:rsidRDefault="006C0E49">
      <w:pPr>
        <w:outlineLvl w:val="0"/>
      </w:pPr>
      <w:r w:rsidRPr="00023A3D">
        <w:rPr>
          <w:i/>
        </w:rPr>
        <w:t>Propositionen</w:t>
      </w:r>
    </w:p>
    <w:p w:rsidR="006C0E49" w:rsidRPr="00023A3D" w:rsidRDefault="006C0E49">
      <w:r w:rsidRPr="00023A3D">
        <w:t xml:space="preserve">Regeringen föreslår att ramanslaget </w:t>
      </w:r>
      <w:r w:rsidRPr="00023A3D">
        <w:rPr>
          <w:i/>
        </w:rPr>
        <w:t>2:6 Insatser i internationella finansi</w:t>
      </w:r>
      <w:r w:rsidRPr="00023A3D">
        <w:rPr>
          <w:i/>
        </w:rPr>
        <w:t>e</w:t>
      </w:r>
      <w:r w:rsidRPr="00023A3D">
        <w:rPr>
          <w:i/>
        </w:rPr>
        <w:t>ringsinstitutioner</w:t>
      </w:r>
      <w:r w:rsidRPr="00023A3D">
        <w:t xml:space="preserve"> förs upp med oförändrat 60 miljoner kronor för 2002. Fram t.o.m. innevarande år benämndes detta anslag Bidrag till kapitalet i Europei</w:t>
      </w:r>
      <w:r w:rsidRPr="00023A3D">
        <w:t>s</w:t>
      </w:r>
      <w:r w:rsidRPr="00023A3D">
        <w:t>ka utvecklingsbanken. Namnbytet motiveras av att anslaget fått ett vidgat ändamål genom att det numera också används för att finansiera medlemsa</w:t>
      </w:r>
      <w:r w:rsidRPr="00023A3D">
        <w:t>v</w:t>
      </w:r>
      <w:r w:rsidRPr="00023A3D">
        <w:t xml:space="preserve">giften till Europarådets utvecklingsbank (CEB) samt genom att det fr.o.m. 2002 skall kunna belastas om garantier till internationella finansieringsinstitut behöver infrias. </w:t>
      </w:r>
    </w:p>
    <w:p w:rsidR="006C0E49" w:rsidRPr="00023A3D" w:rsidRDefault="006C0E49">
      <w:pPr>
        <w:pStyle w:val="Normaltindrag"/>
      </w:pPr>
      <w:r w:rsidRPr="00023A3D">
        <w:t>Sverige skall enligt tidigare beslut medverka i en höjning av grundkapitalet i Europeiska utvecklingsbanken och teckna andelar motsvarande 228 miljoner euro. Av detta belopp skall sammanlagt 22,5 % betalas in i åtta lika stora poster fördelade på lika många år. Varje sådan årlig post uppgår således till 6,4 miljoner euro, eller 60 miljoner kronor.</w:t>
      </w:r>
    </w:p>
    <w:p w:rsidR="006C0E49" w:rsidRPr="00023A3D" w:rsidRDefault="006C0E49">
      <w:pPr>
        <w:pStyle w:val="Rubrik3"/>
        <w:rPr>
          <w:noProof w:val="0"/>
        </w:rPr>
      </w:pPr>
      <w:bookmarkStart w:id="64" w:name="_Toc532365497"/>
      <w:r w:rsidRPr="00023A3D">
        <w:rPr>
          <w:noProof w:val="0"/>
        </w:rPr>
        <w:t>Avsättning för garantiverksamhet</w:t>
      </w:r>
      <w:bookmarkEnd w:id="64"/>
    </w:p>
    <w:p w:rsidR="006C0E49" w:rsidRPr="00023A3D" w:rsidRDefault="006C0E49">
      <w:r w:rsidRPr="00023A3D">
        <w:t>Sedan 1998 styrs den statliga garantigivningen av nya principer. Omläg</w:t>
      </w:r>
      <w:r w:rsidRPr="00023A3D">
        <w:t>g</w:t>
      </w:r>
      <w:r w:rsidRPr="00023A3D">
        <w:t xml:space="preserve">ningen genomfördes för att kostnaderna för statens garantigivning skulle bli synliga och för att verksamheten långsiktigt skulle bli finansiellt självbärande. I det nya garantisystemet förutsätts avgifterna täcka såväl den förväntade risken för ett infriande av en garanti som de administrativa kostnaderna. Tas inte full avgift ut betraktas mellanskillnaden som en subvention, vilken skall belasta ett anslag på budgeten. Sådana anslagsmedel skall liksom influtna garantiavgifter föras till en garantireserv i </w:t>
      </w:r>
      <w:r w:rsidRPr="00023A3D">
        <w:t>Riksgäldskontoret, och där anvä</w:t>
      </w:r>
      <w:r w:rsidRPr="00023A3D">
        <w:t>n</w:t>
      </w:r>
      <w:r w:rsidRPr="00023A3D">
        <w:t>das för att täcka infriandet av garantier.</w:t>
      </w:r>
    </w:p>
    <w:p w:rsidR="006C0E49" w:rsidRPr="00023A3D" w:rsidRDefault="006C0E49">
      <w:pPr>
        <w:pStyle w:val="Normaltindrag"/>
      </w:pPr>
      <w:r w:rsidRPr="00023A3D">
        <w:t>Kvarstående garantier som utfärdats enligt äldre regler – s.k. äldre garant</w:t>
      </w:r>
      <w:r w:rsidRPr="00023A3D">
        <w:t>i</w:t>
      </w:r>
      <w:r w:rsidRPr="00023A3D">
        <w:t xml:space="preserve">er – har nu invärderats i det nya garantisystemet och avgiftsbelagts i enlighet med de nya principerna. I två fall med anknytning till utgiftsområdet har regeringen ansett att full avgift inte skall tas ut, och på tilläggsbudget för 2001 har riksdagen därför nyligen beslutat att föra upp ett nytt ramanslag – </w:t>
      </w:r>
      <w:r w:rsidRPr="00023A3D">
        <w:rPr>
          <w:i/>
        </w:rPr>
        <w:t>Avsät</w:t>
      </w:r>
      <w:r w:rsidRPr="00023A3D">
        <w:rPr>
          <w:i/>
        </w:rPr>
        <w:t>t</w:t>
      </w:r>
      <w:r w:rsidRPr="00023A3D">
        <w:rPr>
          <w:i/>
        </w:rPr>
        <w:t>ning för garantiverksamhet</w:t>
      </w:r>
      <w:r w:rsidRPr="00023A3D">
        <w:t xml:space="preserve"> – och belasta det med ett belopp motsvarande subventionsinslaget för dessa båda åtaganden.</w:t>
      </w:r>
      <w:r w:rsidRPr="00023A3D">
        <w:rPr>
          <w:rStyle w:val="Fotnotsreferens"/>
        </w:rPr>
        <w:footnoteReference w:id="2"/>
      </w:r>
      <w:r w:rsidRPr="00023A3D">
        <w:t xml:space="preserve"> </w:t>
      </w:r>
    </w:p>
    <w:p w:rsidR="006C0E49" w:rsidRPr="00023A3D" w:rsidRDefault="006C0E49">
      <w:pPr>
        <w:pStyle w:val="R4"/>
        <w:spacing w:before="248"/>
        <w:outlineLvl w:val="0"/>
      </w:pPr>
      <w:r w:rsidRPr="00023A3D">
        <w:t>Propositionen</w:t>
      </w:r>
    </w:p>
    <w:p w:rsidR="006C0E49" w:rsidRPr="00023A3D" w:rsidRDefault="006C0E49">
      <w:r w:rsidRPr="00023A3D">
        <w:t xml:space="preserve">Regeringen föreslår att ramanslaget </w:t>
      </w:r>
      <w:r w:rsidRPr="00023A3D">
        <w:rPr>
          <w:i/>
        </w:rPr>
        <w:t>2:7 Avsättning för garantiverksamhet</w:t>
      </w:r>
      <w:r w:rsidRPr="00023A3D">
        <w:t xml:space="preserve"> förs upp med 0 kr för 2002.</w:t>
      </w:r>
    </w:p>
    <w:p w:rsidR="006C0E49" w:rsidRPr="00023A3D" w:rsidRDefault="006C0E49">
      <w:pPr>
        <w:pStyle w:val="Rubrik3"/>
        <w:rPr>
          <w:noProof w:val="0"/>
        </w:rPr>
      </w:pPr>
      <w:bookmarkStart w:id="65" w:name="_Toc532365498"/>
      <w:r w:rsidRPr="00023A3D">
        <w:rPr>
          <w:noProof w:val="0"/>
        </w:rPr>
        <w:t>Premiepensionsmyndigheten</w:t>
      </w:r>
      <w:bookmarkEnd w:id="65"/>
    </w:p>
    <w:p w:rsidR="006C0E49" w:rsidRPr="00023A3D" w:rsidRDefault="006C0E49">
      <w:pPr>
        <w:keepNext/>
        <w:outlineLvl w:val="0"/>
      </w:pPr>
      <w:r w:rsidRPr="00023A3D">
        <w:rPr>
          <w:i/>
        </w:rPr>
        <w:t>Propositionen</w:t>
      </w:r>
    </w:p>
    <w:p w:rsidR="006C0E49" w:rsidRPr="00023A3D" w:rsidRDefault="006C0E49">
      <w:pPr>
        <w:spacing w:before="60"/>
      </w:pPr>
      <w:r w:rsidRPr="00023A3D">
        <w:t>Premiepensionsmyndigheten (PPM) hör till politikområdet, men dess ver</w:t>
      </w:r>
      <w:r w:rsidRPr="00023A3D">
        <w:t>k</w:t>
      </w:r>
      <w:r w:rsidRPr="00023A3D">
        <w:t>samhet är inte anslagsfinansierad. Sedan oktober 2000 täcks utgifterna för PPM:s administration dels med avgifter som tas ut från pensionsspararnas premiepensionskonton, dels med lån i Riksgäldskontoret för rörelsekapitalb</w:t>
      </w:r>
      <w:r w:rsidRPr="00023A3D">
        <w:t>e</w:t>
      </w:r>
      <w:r w:rsidRPr="00023A3D">
        <w:t>hov och anläggningstillgångar. Avgiften får högst uppgå till 0,3 % per år av de sammanlagda tillgodohavandena på pensionsspararnas konton. Avgiftsi</w:t>
      </w:r>
      <w:r w:rsidRPr="00023A3D">
        <w:t>n</w:t>
      </w:r>
      <w:r w:rsidRPr="00023A3D">
        <w:t>täkterna beräknas uppgå till 305 miljoner kronor 2002.</w:t>
      </w:r>
    </w:p>
    <w:p w:rsidR="006C0E49" w:rsidRPr="00023A3D" w:rsidRDefault="006C0E49">
      <w:pPr>
        <w:pStyle w:val="Rubrik2"/>
        <w:rPr>
          <w:sz w:val="24"/>
        </w:rPr>
      </w:pPr>
      <w:bookmarkStart w:id="66" w:name="_Toc532365499"/>
      <w:r w:rsidRPr="00023A3D">
        <w:rPr>
          <w:sz w:val="24"/>
        </w:rPr>
        <w:t>Ofördelat anslag</w:t>
      </w:r>
      <w:bookmarkEnd w:id="66"/>
    </w:p>
    <w:p w:rsidR="006C0E49" w:rsidRPr="00023A3D" w:rsidRDefault="006C0E49">
      <w:pPr>
        <w:pStyle w:val="Rubrik3"/>
        <w:spacing w:before="115"/>
        <w:rPr>
          <w:noProof w:val="0"/>
        </w:rPr>
      </w:pPr>
      <w:bookmarkStart w:id="67" w:name="_Toc532365500"/>
      <w:r w:rsidRPr="00023A3D">
        <w:rPr>
          <w:noProof w:val="0"/>
        </w:rPr>
        <w:t>Målet för området</w:t>
      </w:r>
      <w:bookmarkEnd w:id="67"/>
    </w:p>
    <w:p w:rsidR="006C0E49" w:rsidRPr="00023A3D" w:rsidRDefault="006C0E49">
      <w:r w:rsidRPr="00023A3D">
        <w:t>I budgetpropositionen redovisas inget mål för Riksdagens revisorers ver</w:t>
      </w:r>
      <w:r w:rsidRPr="00023A3D">
        <w:t>k</w:t>
      </w:r>
      <w:r w:rsidRPr="00023A3D">
        <w:t>samhet 2002.</w:t>
      </w:r>
    </w:p>
    <w:p w:rsidR="006C0E49" w:rsidRPr="00023A3D" w:rsidRDefault="006C0E49">
      <w:pPr>
        <w:pStyle w:val="Rubrik3"/>
        <w:spacing w:before="240"/>
        <w:rPr>
          <w:noProof w:val="0"/>
        </w:rPr>
      </w:pPr>
      <w:bookmarkStart w:id="68" w:name="_Toc532365501"/>
      <w:r w:rsidRPr="00023A3D">
        <w:rPr>
          <w:noProof w:val="0"/>
        </w:rPr>
        <w:t>Riksdagens revisorer</w:t>
      </w:r>
      <w:bookmarkEnd w:id="68"/>
    </w:p>
    <w:p w:rsidR="006C0E49" w:rsidRPr="00023A3D" w:rsidRDefault="006C0E49">
      <w:pPr>
        <w:pStyle w:val="R4"/>
        <w:spacing w:before="125"/>
        <w:outlineLvl w:val="0"/>
      </w:pPr>
      <w:r w:rsidRPr="00023A3D">
        <w:t>Propositionen</w:t>
      </w:r>
    </w:p>
    <w:p w:rsidR="006C0E49" w:rsidRPr="00023A3D" w:rsidRDefault="006C0E49">
      <w:r w:rsidRPr="00023A3D">
        <w:t xml:space="preserve">Riksdagens revisorer har till uppgift att på riksdagens vägnar granska statlig verksamhet. Riksdagsstyrelsen har föreslagit att ramanslaget </w:t>
      </w:r>
      <w:r w:rsidRPr="00023A3D">
        <w:rPr>
          <w:i/>
        </w:rPr>
        <w:t xml:space="preserve">90:1 Riksdagens revisorer </w:t>
      </w:r>
      <w:r w:rsidRPr="00023A3D">
        <w:t>skall föras upp med 27,1 miljoner kronor för 2002.</w:t>
      </w:r>
    </w:p>
    <w:p w:rsidR="006C0E49" w:rsidRPr="00023A3D" w:rsidRDefault="006C0E49">
      <w:pPr>
        <w:pStyle w:val="Normaltindrag"/>
      </w:pPr>
      <w:r w:rsidRPr="00023A3D">
        <w:t>Vid beräkningen av anslaget har en pris- och löneomräkning gjorts med 0,4 miljoner kronor samt en slutjustering för avtalsförsäkringar med –0,9 miljoner kronor. Anslaget har därutöver räknats upp med 1,2 miljoner kronor, men denna ökning finansieras genom en lika stor minskning av det på utgift</w:t>
      </w:r>
      <w:r w:rsidRPr="00023A3D">
        <w:t>s</w:t>
      </w:r>
      <w:r w:rsidRPr="00023A3D">
        <w:t xml:space="preserve">område 1 uppförda anslaget </w:t>
      </w:r>
      <w:r w:rsidRPr="00023A3D">
        <w:rPr>
          <w:i/>
        </w:rPr>
        <w:t xml:space="preserve">90:3 Riksdagens förvaltningskostnader. </w:t>
      </w:r>
    </w:p>
    <w:p w:rsidR="006C0E49" w:rsidRPr="00023A3D" w:rsidRDefault="006C0E49">
      <w:pPr>
        <w:pStyle w:val="R4"/>
        <w:outlineLvl w:val="0"/>
      </w:pPr>
      <w:r w:rsidRPr="00023A3D">
        <w:t>Motionerna</w:t>
      </w:r>
    </w:p>
    <w:p w:rsidR="006C0E49" w:rsidRPr="00023A3D" w:rsidRDefault="006C0E49">
      <w:r w:rsidRPr="00023A3D">
        <w:rPr>
          <w:i/>
        </w:rPr>
        <w:t>Moderata samlingspartiet</w:t>
      </w:r>
      <w:r w:rsidRPr="00023A3D">
        <w:t xml:space="preserve"> erinrar i </w:t>
      </w:r>
      <w:r w:rsidRPr="00023A3D">
        <w:rPr>
          <w:i/>
        </w:rPr>
        <w:t>motion Fi287</w:t>
      </w:r>
      <w:r w:rsidRPr="00023A3D">
        <w:t xml:space="preserve"> om den nya fristående rev</w:t>
      </w:r>
      <w:r w:rsidRPr="00023A3D">
        <w:t>i</w:t>
      </w:r>
      <w:r w:rsidRPr="00023A3D">
        <w:t>sionsmyndighet som skall bildas 2003. De samordningsfördelar som uppnås genom den nya organisationen gör det motiverat att successivt trappa av anslaget till Riksdagens revisorer. Motionärerna föreslår därför att anslaget för 2002 minskas med 4 miljoner kronor.</w:t>
      </w:r>
    </w:p>
    <w:p w:rsidR="006C0E49" w:rsidRPr="00023A3D" w:rsidRDefault="006C0E49">
      <w:pPr>
        <w:pStyle w:val="Normaltindrag"/>
      </w:pPr>
      <w:r w:rsidRPr="00023A3D">
        <w:rPr>
          <w:i/>
        </w:rPr>
        <w:t>Kristdemokraterna</w:t>
      </w:r>
      <w:r w:rsidRPr="00023A3D">
        <w:t xml:space="preserve"> föreslår i </w:t>
      </w:r>
      <w:r w:rsidRPr="00023A3D">
        <w:rPr>
          <w:i/>
        </w:rPr>
        <w:t>motion Fi276</w:t>
      </w:r>
      <w:r w:rsidRPr="00023A3D">
        <w:t xml:space="preserve"> att Riksdagens revisorers ver</w:t>
      </w:r>
      <w:r w:rsidRPr="00023A3D">
        <w:t>k</w:t>
      </w:r>
      <w:r w:rsidRPr="00023A3D">
        <w:t>samhet skall samordnas med Riksrevisionsverkets (RRV) fr.o.m. andra hal</w:t>
      </w:r>
      <w:r w:rsidRPr="00023A3D">
        <w:t>v</w:t>
      </w:r>
      <w:r w:rsidRPr="00023A3D">
        <w:t>året 2002. Som en följd härav föreslår motionärerna att hälften av revisore</w:t>
      </w:r>
      <w:r w:rsidRPr="00023A3D">
        <w:t>r</w:t>
      </w:r>
      <w:r w:rsidRPr="00023A3D">
        <w:t>nas anslag skall överföras till RRV (yrkandena 3 och 4).</w:t>
      </w:r>
    </w:p>
    <w:p w:rsidR="006C0E49" w:rsidRPr="00023A3D" w:rsidRDefault="006C0E49">
      <w:pPr>
        <w:pStyle w:val="Rubrik2"/>
        <w:rPr>
          <w:sz w:val="24"/>
        </w:rPr>
      </w:pPr>
      <w:bookmarkStart w:id="69" w:name="_Toc531196590"/>
      <w:bookmarkStart w:id="70" w:name="_Toc532365502"/>
      <w:r w:rsidRPr="00023A3D">
        <w:rPr>
          <w:sz w:val="24"/>
        </w:rPr>
        <w:t>Finansutskottets samlade ställningstagande till anslagen inom utgiftsområde 2</w:t>
      </w:r>
      <w:bookmarkEnd w:id="69"/>
      <w:bookmarkEnd w:id="70"/>
    </w:p>
    <w:p w:rsidR="006C0E49" w:rsidRPr="00023A3D" w:rsidRDefault="006C0E49">
      <w:r w:rsidRPr="00023A3D">
        <w:t>Utgiftsområde 2 Samhällsekonomi och finansförvaltning omfattar utgifter för ett antal centrala myndigheter, kostnader för vissa garantiåtaganden samt kapitaltillskott till ett internationellt kreditinstitut. Dessutom ingår fr.o.m. nästa år också utgifterna för statliga tjänstepensioner.</w:t>
      </w:r>
    </w:p>
    <w:p w:rsidR="006C0E49" w:rsidRPr="00023A3D" w:rsidRDefault="006C0E49">
      <w:pPr>
        <w:pStyle w:val="Normaltindrag"/>
      </w:pPr>
      <w:r w:rsidRPr="00023A3D">
        <w:t>Av utgiftsområdets 22 anslag fördelar sig 21 på två politikområden. Ett a</w:t>
      </w:r>
      <w:r w:rsidRPr="00023A3D">
        <w:t>n</w:t>
      </w:r>
      <w:r w:rsidRPr="00023A3D">
        <w:t>slag – anslaget till Riksdagens revisorer – har inte hänförts till något polit</w:t>
      </w:r>
      <w:r w:rsidRPr="00023A3D">
        <w:t>i</w:t>
      </w:r>
      <w:r w:rsidRPr="00023A3D">
        <w:t>k</w:t>
      </w:r>
      <w:r w:rsidRPr="00023A3D">
        <w:softHyphen/>
        <w:t>område.</w:t>
      </w:r>
    </w:p>
    <w:p w:rsidR="006C0E49" w:rsidRPr="00023A3D" w:rsidRDefault="006C0E49">
      <w:pPr>
        <w:pStyle w:val="Normaltindrag"/>
      </w:pPr>
      <w:r w:rsidRPr="00023A3D">
        <w:t>De i budgetpropositionen föreslagna anslagen summerar sig till 8 754,4 miljoner kronor, dvs. samma nivå som riksdagen i första steget av budgetpr</w:t>
      </w:r>
      <w:r w:rsidRPr="00023A3D">
        <w:t>o</w:t>
      </w:r>
      <w:r w:rsidRPr="00023A3D">
        <w:t>cessen lagt fast som ram för utgiftsområdet (bet. 2001/02:FiU1).</w:t>
      </w:r>
    </w:p>
    <w:p w:rsidR="006C0E49" w:rsidRPr="00023A3D" w:rsidRDefault="006C0E49">
      <w:pPr>
        <w:pStyle w:val="Normaltindrag"/>
      </w:pPr>
      <w:r w:rsidRPr="00023A3D">
        <w:t>Förslag till alternativa anslagsnivåer har framförts av Moderata samling</w:t>
      </w:r>
      <w:r w:rsidRPr="00023A3D">
        <w:t>s</w:t>
      </w:r>
      <w:r w:rsidRPr="00023A3D">
        <w:t>partiet, Kristdemokraterna, Centerpartiet och Folkpartiet liberalerna. Samtliga dessa alternativ ryms inom den fastställda utgiftsramen och innebär att de samlade utgifterna på utgiftsområdet begränsas med alltifrån 78 till 142 mi</w:t>
      </w:r>
      <w:r w:rsidRPr="00023A3D">
        <w:t>l</w:t>
      </w:r>
      <w:r w:rsidRPr="00023A3D">
        <w:t>joner kronor.</w:t>
      </w:r>
    </w:p>
    <w:p w:rsidR="006C0E49" w:rsidRPr="00023A3D" w:rsidRDefault="006C0E49">
      <w:pPr>
        <w:pStyle w:val="Normaltindrag"/>
      </w:pPr>
      <w:r w:rsidRPr="00023A3D">
        <w:t>Utskottet har på de närmast föregående sidorna redovisat hur regeringen önskar fördela anslagen på utgiftsområdet och vilka av oppositionspartiernas förslag som har effekt på denna fördelning. I motionerna föreslås alternativa nivåer för sammanlagt 12 av utgiftsområ</w:t>
      </w:r>
      <w:r w:rsidRPr="00023A3D">
        <w:t>dets 22 anslag. Utskottet övergår nu till att redovisa sin samlade syn på anslagsfördelningen. Prövningen inriktas i första hand på de förslag där skilda meningar fra</w:t>
      </w:r>
      <w:r w:rsidRPr="00023A3D">
        <w:t>m</w:t>
      </w:r>
      <w:r w:rsidRPr="00023A3D">
        <w:t>kommit.</w:t>
      </w:r>
    </w:p>
    <w:p w:rsidR="006C0E49" w:rsidRPr="00023A3D" w:rsidRDefault="006C0E49">
      <w:r w:rsidRPr="00023A3D">
        <w:t xml:space="preserve">Kristdemokraterna anser att </w:t>
      </w:r>
      <w:r w:rsidRPr="00023A3D">
        <w:rPr>
          <w:i/>
        </w:rPr>
        <w:t>Riksrevisionsverket</w:t>
      </w:r>
      <w:r w:rsidRPr="00023A3D">
        <w:t xml:space="preserve"> bör kunna öka sin avgiftsf</w:t>
      </w:r>
      <w:r w:rsidRPr="00023A3D">
        <w:t>i</w:t>
      </w:r>
      <w:r w:rsidRPr="00023A3D">
        <w:t>nansiering och att den förestående sammanslagningen med Riksdagens rev</w:t>
      </w:r>
      <w:r w:rsidRPr="00023A3D">
        <w:t>i</w:t>
      </w:r>
      <w:r w:rsidRPr="00023A3D">
        <w:t>sorer kan leda till vissa besparingar. Partiet vill därför minska RRV:s och RR:s anslag med sammanlagt 7,3 miljoner kronor nästa år. I motionen anges inte vilken del av RRV:s verksamhet som omfattas av kravet på en ökad avgiftsfinansiering. Dessutom gäller att RRV:s avgiftsbelagda verksamhet i stor utsträckning avser uppdrag som genomförs för regeringens eller andra myndigheters räkning. Und</w:t>
      </w:r>
      <w:r w:rsidRPr="00023A3D">
        <w:t>er 2000 var det mindre än 20 % av RRV:s intäkter som kom från annat håll än staten. En ökad avgiftsfinansiering kan därför möjligen minska belastningen på RRV:s anslag men ger knappast en besp</w:t>
      </w:r>
      <w:r w:rsidRPr="00023A3D">
        <w:t>a</w:t>
      </w:r>
      <w:r w:rsidRPr="00023A3D">
        <w:t>ring på statsbudg</w:t>
      </w:r>
      <w:r w:rsidRPr="00023A3D">
        <w:t>e</w:t>
      </w:r>
      <w:r w:rsidRPr="00023A3D">
        <w:t xml:space="preserve">ten i dess helhet. </w:t>
      </w:r>
    </w:p>
    <w:p w:rsidR="006C0E49" w:rsidRPr="00023A3D" w:rsidRDefault="006C0E49">
      <w:pPr>
        <w:pStyle w:val="Normaltindrag"/>
      </w:pPr>
      <w:r w:rsidRPr="00023A3D">
        <w:t>Riksdagens samtliga partier har enhälligt beslutat att en ny revisionsmy</w:t>
      </w:r>
      <w:r w:rsidRPr="00023A3D">
        <w:t>n</w:t>
      </w:r>
      <w:r w:rsidRPr="00023A3D">
        <w:t>dighet skall inrättas under första halvåret 2003. Tre utredningar har därefter tillsatts för att se över frågor med anknytning till samgåendet, däribland en organisationsutredning som enligt sina direktiv skall utgå ifrån att samgåendet mellan Riksrevisionsverket och Riksdagens revisorer skall genomföras under första halvåret 2003. Organisationsutredningen skall ha slutfört sitt arbete senast den 30 november 2002. På vilken grund Kristdemokraterna anser att man kan tillgodoräkna sig besparingseffekter av e</w:t>
      </w:r>
      <w:r w:rsidRPr="00023A3D">
        <w:t>tt samgående redan innan organisationsutredningen lagt fram sitt betänkande framgår inte.</w:t>
      </w:r>
    </w:p>
    <w:p w:rsidR="006C0E49" w:rsidRPr="00023A3D" w:rsidRDefault="006C0E49">
      <w:pPr>
        <w:pStyle w:val="Normaltindrag"/>
      </w:pPr>
      <w:r w:rsidRPr="00023A3D">
        <w:t>Även Centerpartiet vill minska anslaget till Riksrevisionsverket om än med endast 2 miljoner kronor. Partiet preciserar dock inte närmare sitt förslag.</w:t>
      </w:r>
    </w:p>
    <w:p w:rsidR="006C0E49" w:rsidRPr="00023A3D" w:rsidRDefault="006C0E49">
      <w:pPr>
        <w:pStyle w:val="Normaltindrag"/>
      </w:pPr>
      <w:r w:rsidRPr="00023A3D">
        <w:t>Med hänsyn härtill finner utskottet ingen anledning att frångå regeringens fö</w:t>
      </w:r>
      <w:r w:rsidRPr="00023A3D">
        <w:t>r</w:t>
      </w:r>
      <w:r w:rsidRPr="00023A3D">
        <w:t>slag till medelsanvisning för RRV.</w:t>
      </w:r>
    </w:p>
    <w:p w:rsidR="006C0E49" w:rsidRPr="00023A3D" w:rsidRDefault="006C0E49">
      <w:r w:rsidRPr="00023A3D">
        <w:t xml:space="preserve">Kristdemokraterna föreslår att </w:t>
      </w:r>
      <w:r w:rsidRPr="00023A3D">
        <w:rPr>
          <w:i/>
        </w:rPr>
        <w:t>Statskontorets</w:t>
      </w:r>
      <w:r w:rsidRPr="00023A3D">
        <w:t xml:space="preserve"> anslag för nästa år skall minskas med 16,5 miljoner kronor. Genom att föra över delar av Statskontoret till RRV – som i Kristdemokraternas budgetalternativ redan fått sitt anslag ne</w:t>
      </w:r>
      <w:r w:rsidRPr="00023A3D">
        <w:t>d</w:t>
      </w:r>
      <w:r w:rsidRPr="00023A3D">
        <w:t>skuret med närmare 6 miljoner kronor – och samordna kvarvarande delar med Kammarkollegiet räknar Kristdemokraterna med att kunna begränsa Stat</w:t>
      </w:r>
      <w:r w:rsidRPr="00023A3D">
        <w:t>s</w:t>
      </w:r>
      <w:r w:rsidRPr="00023A3D">
        <w:t xml:space="preserve">kontorets anslag med 23 % nästa år. </w:t>
      </w:r>
    </w:p>
    <w:p w:rsidR="006C0E49" w:rsidRPr="00023A3D" w:rsidRDefault="006C0E49">
      <w:pPr>
        <w:pStyle w:val="Normaltindrag"/>
      </w:pPr>
      <w:r w:rsidRPr="00023A3D">
        <w:t>Utskottet vill med anledning härav erinra om att Statskontoret liksom Riksrevisionsverket och Ekonomistyrningsverket fungerar som reger</w:t>
      </w:r>
      <w:r w:rsidRPr="00023A3D">
        <w:t>ingens stabsmyndigheter. Statskontoret svarar därvid främst för utrednings- och utvärderingsverksamhet. När Riksrevisionsverket om något år går upp i den nya, fristående revisionsmyndigheten kommer detta att få återverkningar även på de båda övriga stabsmyndigheternas arbetsuppgifter. Enligt utskottets mening ter det sig naturligt att man därvid samlat prövar hur stabsmyndigh</w:t>
      </w:r>
      <w:r w:rsidRPr="00023A3D">
        <w:t>e</w:t>
      </w:r>
      <w:r w:rsidRPr="00023A3D">
        <w:t>ternas stöd till regeringen skall vara organiserat i framtiden. Utskottet är med hänsyn härtill inte berett att frångå regeringens fö</w:t>
      </w:r>
      <w:r w:rsidRPr="00023A3D">
        <w:t>rslag till medelsberäkning för Statskontoret.</w:t>
      </w:r>
    </w:p>
    <w:p w:rsidR="006C0E49" w:rsidRPr="00023A3D" w:rsidRDefault="006C0E49">
      <w:r w:rsidRPr="00023A3D">
        <w:t xml:space="preserve">Moderata samlingspartiet, Kristdemokraterna och Centerpartiet föreslår att </w:t>
      </w:r>
      <w:r w:rsidRPr="00023A3D">
        <w:rPr>
          <w:i/>
        </w:rPr>
        <w:t xml:space="preserve">Statistiska centralbyråns </w:t>
      </w:r>
      <w:r w:rsidRPr="00023A3D">
        <w:t>anslag nästa år skall minskas med 50, 15 respektive 12 miljoner kronor. Moderata samlingspartiet är rent generellt kritiskt till att skattemedel i så stor utsträckning används för att finansiera en ökad statisti</w:t>
      </w:r>
      <w:r w:rsidRPr="00023A3D">
        <w:t>k</w:t>
      </w:r>
      <w:r w:rsidRPr="00023A3D">
        <w:t>produktion och vill därför begränsa SCB:s uppgifter samt öka avgiftsfinansi</w:t>
      </w:r>
      <w:r w:rsidRPr="00023A3D">
        <w:t>e</w:t>
      </w:r>
      <w:r w:rsidRPr="00023A3D">
        <w:t>ringen. Kristdemokraterna föreslår att 1993/94 års statistikreform fullföljs och att ansvaret för statistikproduktionen i ökad utsträckning förs över på statist</w:t>
      </w:r>
      <w:r w:rsidRPr="00023A3D">
        <w:t>i</w:t>
      </w:r>
      <w:r w:rsidRPr="00023A3D">
        <w:t>k</w:t>
      </w:r>
      <w:r w:rsidRPr="00023A3D">
        <w:softHyphen/>
        <w:t>ansvariga myndigheter. Centerpartie</w:t>
      </w:r>
      <w:r w:rsidRPr="00023A3D">
        <w:t>t föreslår utan närmare motivering att SCB:s anslag begränsas med 12 miljoner kronor.</w:t>
      </w:r>
    </w:p>
    <w:p w:rsidR="006C0E49" w:rsidRPr="00023A3D" w:rsidRDefault="006C0E49">
      <w:pPr>
        <w:pStyle w:val="Normaltindrag"/>
      </w:pPr>
      <w:r w:rsidRPr="00023A3D">
        <w:t>Enligt utskottets mening fullgör SCB en viktig uppgift genom att på ett opartiskt sätt redovisa tillförlitlig statistik som är ett nödvändigt underlag för statens, kommunernas och näringslivets planering. Utskottet finner för egen del att det i propositionen föreslagna medelstillskottet till SCB är väl avvägt mot bakgrund av de krav som ställs på SCB. Utskottet ser därför ingen anle</w:t>
      </w:r>
      <w:r w:rsidRPr="00023A3D">
        <w:t>d</w:t>
      </w:r>
      <w:r w:rsidRPr="00023A3D">
        <w:t>ning att ompröva förslaget att 394,4 miljoner kronor skall anvisas till SCB för 2002.</w:t>
      </w:r>
    </w:p>
    <w:p w:rsidR="006C0E49" w:rsidRPr="00023A3D" w:rsidRDefault="006C0E49">
      <w:r w:rsidRPr="00023A3D">
        <w:t xml:space="preserve">Moderata samlingspartiet, Kristdemokraterna, Centerpartiet och Folkpartiet vill helt eller delvis begränsa anslaget till </w:t>
      </w:r>
      <w:r w:rsidRPr="00023A3D">
        <w:rPr>
          <w:i/>
        </w:rPr>
        <w:t>Folk- och bostadsstatistik</w:t>
      </w:r>
      <w:r w:rsidRPr="00023A3D">
        <w:t>. Kristd</w:t>
      </w:r>
      <w:r w:rsidRPr="00023A3D">
        <w:t>e</w:t>
      </w:r>
      <w:r w:rsidRPr="00023A3D">
        <w:t>mokraterna vill minska anslaget med 30 miljoner kronor medan Centerpartiet som är för folk- och bostadsstatistik vill göra en engångsindragning från anslaget på 45 miljoner kronor. De båda övriga partierna motsätter sig helt att ett anslag förs upp i bu</w:t>
      </w:r>
      <w:r w:rsidRPr="00023A3D">
        <w:t>d</w:t>
      </w:r>
      <w:r w:rsidRPr="00023A3D">
        <w:t xml:space="preserve">geten. </w:t>
      </w:r>
    </w:p>
    <w:p w:rsidR="006C0E49" w:rsidRPr="00023A3D" w:rsidRDefault="006C0E49">
      <w:pPr>
        <w:pStyle w:val="Normaltindrag"/>
      </w:pPr>
      <w:r w:rsidRPr="00023A3D">
        <w:t>Utskottet tillstyrker regeringens förslag och vill understryka att arbetet med folk- och bostadsstatistik måste läggas upp på ett sådant sätt att indiv</w:t>
      </w:r>
      <w:r w:rsidRPr="00023A3D">
        <w:t>i</w:t>
      </w:r>
      <w:r w:rsidRPr="00023A3D">
        <w:t>dernas integritet skyddas. Inte minst gäller det personer som av olika skäl har berättigade behov av att gömma sig.</w:t>
      </w:r>
    </w:p>
    <w:p w:rsidR="006C0E49" w:rsidRPr="00023A3D" w:rsidRDefault="006C0E49">
      <w:r w:rsidRPr="00023A3D">
        <w:t xml:space="preserve">Kristdemokraterna anser att </w:t>
      </w:r>
      <w:r w:rsidRPr="00023A3D">
        <w:rPr>
          <w:i/>
        </w:rPr>
        <w:t>Kammarkollegiets</w:t>
      </w:r>
      <w:r w:rsidRPr="00023A3D">
        <w:t xml:space="preserve"> hantering av arvs-, gåvo- och stämpelskatt kan föras över till Riksskatteverket och ifrågasätter om inte en samordning med Statskontoret kan ge ytterligare effektivitetsvinster. Kris</w:t>
      </w:r>
      <w:r w:rsidRPr="00023A3D">
        <w:t>t</w:t>
      </w:r>
      <w:r w:rsidRPr="00023A3D">
        <w:t>demokraterna föreslår med denna motivering att Kammarkollegiets anslag skall minskas med en fjärdedel.</w:t>
      </w:r>
    </w:p>
    <w:p w:rsidR="006C0E49" w:rsidRPr="00023A3D" w:rsidRDefault="006C0E49">
      <w:pPr>
        <w:pStyle w:val="Normaltindrag"/>
      </w:pPr>
      <w:r w:rsidRPr="00023A3D">
        <w:t>Finansutskottet avstyrker detta förslag.</w:t>
      </w:r>
    </w:p>
    <w:p w:rsidR="006C0E49" w:rsidRPr="00023A3D" w:rsidRDefault="006C0E49">
      <w:r w:rsidRPr="00023A3D">
        <w:t xml:space="preserve">Moderata samlingspartiet samt Kristdemokraterna föreslår att anslaget till </w:t>
      </w:r>
      <w:r w:rsidRPr="00023A3D">
        <w:rPr>
          <w:i/>
        </w:rPr>
        <w:t>Nämnden för offentlig upphandling</w:t>
      </w:r>
      <w:r w:rsidRPr="00023A3D">
        <w:t xml:space="preserve"> halveras. NOU:s verksamhet är för närv</w:t>
      </w:r>
      <w:r w:rsidRPr="00023A3D">
        <w:t>a</w:t>
      </w:r>
      <w:r w:rsidRPr="00023A3D">
        <w:t>rande föremål för översyn. Regeringen anser att inriktningen och omfattnin</w:t>
      </w:r>
      <w:r w:rsidRPr="00023A3D">
        <w:t>g</w:t>
      </w:r>
      <w:r w:rsidRPr="00023A3D">
        <w:t>en av verksamheten skall vara oförändrad i avvaktan på regeringens stäl</w:t>
      </w:r>
      <w:r w:rsidRPr="00023A3D">
        <w:t>l</w:t>
      </w:r>
      <w:r w:rsidRPr="00023A3D">
        <w:t xml:space="preserve">ningstagande till tillsynens framtida organisation. </w:t>
      </w:r>
    </w:p>
    <w:p w:rsidR="006C0E49" w:rsidRPr="00023A3D" w:rsidRDefault="006C0E49">
      <w:pPr>
        <w:pStyle w:val="Normaltindrag"/>
      </w:pPr>
      <w:r w:rsidRPr="00023A3D">
        <w:t>Utskottet instämmer i regeringens bedömning och avstyrker de båda fö</w:t>
      </w:r>
      <w:r w:rsidRPr="00023A3D">
        <w:t>r</w:t>
      </w:r>
      <w:r w:rsidRPr="00023A3D">
        <w:t xml:space="preserve">slagen. </w:t>
      </w:r>
    </w:p>
    <w:p w:rsidR="006C0E49" w:rsidRPr="00023A3D" w:rsidRDefault="006C0E49">
      <w:r w:rsidRPr="00023A3D">
        <w:t>Moderata samlingspartiet, Kristdemokraterna och Centerpartiet vill alla a</w:t>
      </w:r>
      <w:r w:rsidRPr="00023A3D">
        <w:t>v</w:t>
      </w:r>
      <w:r w:rsidRPr="00023A3D">
        <w:t xml:space="preserve">veckla </w:t>
      </w:r>
      <w:r w:rsidRPr="00023A3D">
        <w:rPr>
          <w:i/>
        </w:rPr>
        <w:t>Statens kvalitets- och kompetensråd.</w:t>
      </w:r>
      <w:r w:rsidRPr="00023A3D">
        <w:t xml:space="preserve"> Moderata samlingspartiet föreslår av denna anledning att anslaget för nästa år halveras. De båda övriga partierna vill däremot helt avskaffa anslaget. </w:t>
      </w:r>
    </w:p>
    <w:p w:rsidR="006C0E49" w:rsidRPr="00023A3D" w:rsidRDefault="006C0E49">
      <w:pPr>
        <w:pStyle w:val="Normaltindrag"/>
      </w:pPr>
      <w:r w:rsidRPr="00023A3D">
        <w:t>Kvalitets- och kompetensrådet har till uppgift att stimulera myndigheternas kompetensförsörjning samt främja kvalitetsarbetet inom förvaltningen. Enligt utskottets mening fyller Kvalitets- och kompetensrådet en uppgift som extern pådrivare och idégivare i frågor som rör kompetensförsörjningen och kvali</w:t>
      </w:r>
      <w:r w:rsidRPr="00023A3D">
        <w:softHyphen/>
        <w:t>tets</w:t>
      </w:r>
      <w:r w:rsidRPr="00023A3D">
        <w:softHyphen/>
        <w:t>arbetet inom den statliga förvaltningen. Kvalitets- och kompetensrådet inrättades i början av 1999 och har således mindre än tre års verksamhet bakom sig. Enligt utskottets mening har rådet en viktig uppgift att fylla, och det har inte framkommit något som skulle ge anledning att krympa eller a</w:t>
      </w:r>
      <w:r w:rsidRPr="00023A3D">
        <w:t>v</w:t>
      </w:r>
      <w:r w:rsidRPr="00023A3D">
        <w:t xml:space="preserve">veckla rådets verksamhet. </w:t>
      </w:r>
    </w:p>
    <w:p w:rsidR="006C0E49" w:rsidRPr="00023A3D" w:rsidRDefault="006C0E49">
      <w:r w:rsidRPr="00023A3D">
        <w:t xml:space="preserve">Kristdemokraterna föreslår att det till Finansdepartementet knutna </w:t>
      </w:r>
      <w:r w:rsidRPr="00023A3D">
        <w:rPr>
          <w:i/>
        </w:rPr>
        <w:t>Ekonomi</w:t>
      </w:r>
      <w:r w:rsidRPr="00023A3D">
        <w:rPr>
          <w:i/>
        </w:rPr>
        <w:t>s</w:t>
      </w:r>
      <w:r w:rsidRPr="00023A3D">
        <w:rPr>
          <w:i/>
        </w:rPr>
        <w:t>ka rådet</w:t>
      </w:r>
      <w:r w:rsidRPr="00023A3D">
        <w:t xml:space="preserve"> avvecklas och att något anslag för detta ändamål inte förs upp i bu</w:t>
      </w:r>
      <w:r w:rsidRPr="00023A3D">
        <w:t>d</w:t>
      </w:r>
      <w:r w:rsidRPr="00023A3D">
        <w:t>geten.</w:t>
      </w:r>
    </w:p>
    <w:p w:rsidR="006C0E49" w:rsidRPr="00023A3D" w:rsidRDefault="006C0E49">
      <w:pPr>
        <w:pStyle w:val="Normaltindrag"/>
      </w:pPr>
      <w:r w:rsidRPr="00023A3D">
        <w:t>Utskottet vill med anledning härav erinra om att Ekonomiska rådet fung</w:t>
      </w:r>
      <w:r w:rsidRPr="00023A3D">
        <w:t>e</w:t>
      </w:r>
      <w:r w:rsidRPr="00023A3D">
        <w:t>rar som initiativtagare till forskning och som en länk mellan Finansdepart</w:t>
      </w:r>
      <w:r w:rsidRPr="00023A3D">
        <w:t>e</w:t>
      </w:r>
      <w:r w:rsidRPr="00023A3D">
        <w:t>mentet respektive Konjunkturinstitutet och den nationalekonomiska fors</w:t>
      </w:r>
      <w:r w:rsidRPr="00023A3D">
        <w:t>k</w:t>
      </w:r>
      <w:r w:rsidRPr="00023A3D">
        <w:t>ningen. De konferenser, seminarier och möten som Ekonomiska rådet ordnar ger enligt regeringen ett gediget underlag för den ekonomiska politikens utformning. Rådet har också en viktig uppgift som rådgivare till Konjunktu</w:t>
      </w:r>
      <w:r w:rsidRPr="00023A3D">
        <w:t>r</w:t>
      </w:r>
      <w:r w:rsidRPr="00023A3D">
        <w:t>institutet i vetenskapliga frågor, särskilt inom området makroekonomi, m</w:t>
      </w:r>
      <w:r w:rsidRPr="00023A3D">
        <w:t>o</w:t>
      </w:r>
      <w:r w:rsidRPr="00023A3D">
        <w:t>dellbyggande och miljöekonomi. Mot bakgrunden härav är utskottet inte b</w:t>
      </w:r>
      <w:r w:rsidRPr="00023A3D">
        <w:t>erett att föreslå någon avveckling av det ekonomiska rådet.</w:t>
      </w:r>
    </w:p>
    <w:p w:rsidR="006C0E49" w:rsidRPr="00023A3D" w:rsidRDefault="006C0E49">
      <w:r w:rsidRPr="00023A3D">
        <w:t xml:space="preserve">Kristdemokraterna och Centerpartiet föreslår att anslaget för </w:t>
      </w:r>
      <w:r w:rsidRPr="00023A3D">
        <w:rPr>
          <w:i/>
        </w:rPr>
        <w:t>Utvecklingsa</w:t>
      </w:r>
      <w:r w:rsidRPr="00023A3D">
        <w:rPr>
          <w:i/>
        </w:rPr>
        <w:t>r</w:t>
      </w:r>
      <w:r w:rsidRPr="00023A3D">
        <w:rPr>
          <w:i/>
        </w:rPr>
        <w:t>bete</w:t>
      </w:r>
      <w:r w:rsidRPr="00023A3D">
        <w:t xml:space="preserve"> minskas med 10 miljoner kronor respektive avvecklas. Det utveckling</w:t>
      </w:r>
      <w:r w:rsidRPr="00023A3D">
        <w:t>s</w:t>
      </w:r>
      <w:r w:rsidRPr="00023A3D">
        <w:t>arbete som anslaget är avsett att finansiera sköts enligt Kristdemokraterna nu av t.ex. RRV och ESV. Centerpartiet hävdar att verksamhetsutveckling samt utvecklingsinsatser för myndigheternas ledning bör rymmas inom respektive my</w:t>
      </w:r>
      <w:r w:rsidRPr="00023A3D">
        <w:t>n</w:t>
      </w:r>
      <w:r w:rsidRPr="00023A3D">
        <w:t>dighets ramanslag.</w:t>
      </w:r>
    </w:p>
    <w:p w:rsidR="006C0E49" w:rsidRPr="00023A3D" w:rsidRDefault="006C0E49">
      <w:pPr>
        <w:pStyle w:val="Normaltindrag"/>
      </w:pPr>
      <w:r w:rsidRPr="00023A3D">
        <w:t>Såsom framgått av den tidigare lämnade redogörelsen är detta anslag inte avsett för generella utvecklingsinsatser utan används i första hand för att finansiera det s.k. VESTA-pr</w:t>
      </w:r>
      <w:r w:rsidRPr="00023A3D">
        <w:t>ojektet, ett brett upplagt projekt som tillkommit för att få till stånd ett integrerat statligt koncernsystem för prognoser, budg</w:t>
      </w:r>
      <w:r w:rsidRPr="00023A3D">
        <w:t>e</w:t>
      </w:r>
      <w:r w:rsidRPr="00023A3D">
        <w:t>tering, resultatstyrning och betalningsinformation. Avsikten är att hela stat</w:t>
      </w:r>
      <w:r w:rsidRPr="00023A3D">
        <w:t>s</w:t>
      </w:r>
      <w:r w:rsidRPr="00023A3D">
        <w:t>förvaltningen skall inordnas i detta system. I projektet har de olika partigru</w:t>
      </w:r>
      <w:r w:rsidRPr="00023A3D">
        <w:t>p</w:t>
      </w:r>
      <w:r w:rsidRPr="00023A3D">
        <w:t>perna i finansutskottet medverkat genom en parlamentarisk referensgrupp som knutits till pr</w:t>
      </w:r>
      <w:r w:rsidRPr="00023A3D">
        <w:t>o</w:t>
      </w:r>
      <w:r w:rsidRPr="00023A3D">
        <w:t>jektet.</w:t>
      </w:r>
    </w:p>
    <w:p w:rsidR="006C0E49" w:rsidRPr="00023A3D" w:rsidRDefault="006C0E49">
      <w:pPr>
        <w:pStyle w:val="Normaltindrag"/>
      </w:pPr>
      <w:r w:rsidRPr="00023A3D">
        <w:t>Finansutskottet har tidigare ställt sig bakom det utvecklingsarbete som b</w:t>
      </w:r>
      <w:r w:rsidRPr="00023A3D">
        <w:t>e</w:t>
      </w:r>
      <w:r w:rsidRPr="00023A3D">
        <w:t>drivs inom VESTA-projektets ram och finner inte anledning att nu ompröva detta ställningstagande. Utskottet biträder därför regeringens förslag till m</w:t>
      </w:r>
      <w:r w:rsidRPr="00023A3D">
        <w:t>e</w:t>
      </w:r>
      <w:r w:rsidRPr="00023A3D">
        <w:t>delsb</w:t>
      </w:r>
      <w:r w:rsidRPr="00023A3D">
        <w:t>e</w:t>
      </w:r>
      <w:r w:rsidRPr="00023A3D">
        <w:t>räkning på anslaget.</w:t>
      </w:r>
    </w:p>
    <w:p w:rsidR="006C0E49" w:rsidRPr="00023A3D" w:rsidRDefault="006C0E49">
      <w:r w:rsidRPr="00023A3D">
        <w:t xml:space="preserve">Centerpartiet föreslår utan närmare motivering att anslaget till </w:t>
      </w:r>
      <w:r w:rsidRPr="00023A3D">
        <w:rPr>
          <w:i/>
        </w:rPr>
        <w:t>Finansinspe</w:t>
      </w:r>
      <w:r w:rsidRPr="00023A3D">
        <w:rPr>
          <w:i/>
        </w:rPr>
        <w:t>k</w:t>
      </w:r>
      <w:r w:rsidRPr="00023A3D">
        <w:rPr>
          <w:i/>
        </w:rPr>
        <w:t>tionen</w:t>
      </w:r>
      <w:r w:rsidRPr="00023A3D">
        <w:t xml:space="preserve"> skall minskas med 9 miljoner kronor.</w:t>
      </w:r>
    </w:p>
    <w:p w:rsidR="006C0E49" w:rsidRPr="00023A3D" w:rsidRDefault="006C0E49">
      <w:pPr>
        <w:pStyle w:val="Normaltindrag"/>
      </w:pPr>
      <w:r w:rsidRPr="00023A3D">
        <w:t>Finansutskottet avstyrker detta förslag.</w:t>
      </w:r>
    </w:p>
    <w:p w:rsidR="006C0E49" w:rsidRPr="00023A3D" w:rsidRDefault="006C0E49">
      <w:r w:rsidRPr="00023A3D">
        <w:t xml:space="preserve">Centerpartiet föreslår att anslaget för </w:t>
      </w:r>
      <w:r w:rsidRPr="00023A3D">
        <w:rPr>
          <w:i/>
        </w:rPr>
        <w:t>Riksgäldskontorets förvaltningskostn</w:t>
      </w:r>
      <w:r w:rsidRPr="00023A3D">
        <w:rPr>
          <w:i/>
        </w:rPr>
        <w:t>a</w:t>
      </w:r>
      <w:r w:rsidRPr="00023A3D">
        <w:rPr>
          <w:i/>
        </w:rPr>
        <w:t>der</w:t>
      </w:r>
      <w:r w:rsidRPr="00023A3D">
        <w:t xml:space="preserve"> skall minskas med 10 miljoner kronor. Motivet härför sägs vara att stat</w:t>
      </w:r>
      <w:r w:rsidRPr="00023A3D">
        <w:t>s</w:t>
      </w:r>
      <w:r w:rsidRPr="00023A3D">
        <w:t>skulden kommer att minska snabbare med Centerpartiets förslag till inriktning av budgetpolitiken, vilket i sin tur begränsar utgifterna för provisioner för kronskulden.</w:t>
      </w:r>
    </w:p>
    <w:p w:rsidR="006C0E49" w:rsidRPr="00023A3D" w:rsidRDefault="006C0E49">
      <w:pPr>
        <w:pStyle w:val="Normaltindrag"/>
      </w:pPr>
      <w:r w:rsidRPr="00023A3D">
        <w:t>Utskottet vill med hänsyn härtill erinra om att provisionskostnaderna för kronskulden belastar utgiftsområde 26 Statsskuldsräntor fr.o.m. 2001. Några provisionskostnader finns således inte längre uppförda bland Riksgäldskont</w:t>
      </w:r>
      <w:r w:rsidRPr="00023A3D">
        <w:t>o</w:t>
      </w:r>
      <w:r w:rsidRPr="00023A3D">
        <w:t>rets förvaltningskostnader. Detta framhöll utskottet redan i förra årets betä</w:t>
      </w:r>
      <w:r w:rsidRPr="00023A3D">
        <w:t>n</w:t>
      </w:r>
      <w:r w:rsidRPr="00023A3D">
        <w:t>kande då Centerpartiet med samma motivering också föreslog att anslaget för Riksgäldsko</w:t>
      </w:r>
      <w:r w:rsidRPr="00023A3D">
        <w:t>n</w:t>
      </w:r>
      <w:r w:rsidRPr="00023A3D">
        <w:t>torets förvaltningskostnader skulle begränsas.</w:t>
      </w:r>
    </w:p>
    <w:p w:rsidR="006C0E49" w:rsidRPr="00023A3D" w:rsidRDefault="006C0E49">
      <w:pPr>
        <w:pStyle w:val="Normaltindrag"/>
        <w:rPr>
          <w:snapToGrid w:val="0"/>
          <w:lang w:eastAsia="sv-SE"/>
        </w:rPr>
      </w:pPr>
      <w:r w:rsidRPr="00023A3D">
        <w:rPr>
          <w:snapToGrid w:val="0"/>
          <w:lang w:eastAsia="sv-SE"/>
        </w:rPr>
        <w:t>Utskottet avstyrker därför än en gång Centerpartiets förslag beträffande detta a</w:t>
      </w:r>
      <w:r w:rsidRPr="00023A3D">
        <w:rPr>
          <w:snapToGrid w:val="0"/>
          <w:lang w:eastAsia="sv-SE"/>
        </w:rPr>
        <w:t>n</w:t>
      </w:r>
      <w:r w:rsidRPr="00023A3D">
        <w:rPr>
          <w:snapToGrid w:val="0"/>
          <w:lang w:eastAsia="sv-SE"/>
        </w:rPr>
        <w:t>slag.</w:t>
      </w:r>
    </w:p>
    <w:p w:rsidR="006C0E49" w:rsidRPr="00023A3D" w:rsidRDefault="006C0E49">
      <w:r w:rsidRPr="00023A3D">
        <w:t xml:space="preserve">Moderata samlingspartiet föreslår att anslaget till </w:t>
      </w:r>
      <w:r w:rsidRPr="00023A3D">
        <w:rPr>
          <w:i/>
        </w:rPr>
        <w:t>Riksdagens revisorer</w:t>
      </w:r>
      <w:r w:rsidRPr="00023A3D">
        <w:t xml:space="preserve"> skall minskas med 4 miljoner kronor. I avvaktan på den förestående sammansla</w:t>
      </w:r>
      <w:r w:rsidRPr="00023A3D">
        <w:t>g</w:t>
      </w:r>
      <w:r w:rsidRPr="00023A3D">
        <w:t>ningen av Riksrevisionsverket och Riksdagens revisorer bör Riksdagens revisorers anslag trappas ned. Kristdemokraterna anser att revisorernas och RRV:s verksamhet bör samordnas fr.o.m. andra halvåret 2002 och föreslår därför att hälften av revisorernas anslag förs över till RRV.</w:t>
      </w:r>
    </w:p>
    <w:p w:rsidR="006C0E49" w:rsidRPr="00023A3D" w:rsidRDefault="006C0E49">
      <w:pPr>
        <w:pStyle w:val="Normaltindrag"/>
      </w:pPr>
      <w:r w:rsidRPr="00023A3D">
        <w:t>Enligt finansutskottets mening kan det vid ett eventuellt samgående mellan RRV och Riksdagens revisorer finnas anledning att se över d</w:t>
      </w:r>
      <w:r w:rsidRPr="00023A3D">
        <w:t>e båda myndi</w:t>
      </w:r>
      <w:r w:rsidRPr="00023A3D">
        <w:t>g</w:t>
      </w:r>
      <w:r w:rsidRPr="00023A3D">
        <w:t>heternas anslagstilldelning. Det bör dock ske först efter det att formerna för ett sådant samgående närmare klarlagts. Såsom tidigare nämnts kommer den organisationsutredning som skall se över dessa frågor att ha slutfört sitt arbete i november 2002, och enligt riksdagens tidigare, enhälliga beslut skall den nya revisionsmyndigheten bildas först under första halvåret 2003.</w:t>
      </w:r>
    </w:p>
    <w:p w:rsidR="006C0E49" w:rsidRPr="00023A3D" w:rsidRDefault="006C0E49">
      <w:pPr>
        <w:pStyle w:val="Normaltindrag"/>
      </w:pPr>
      <w:r w:rsidRPr="00023A3D">
        <w:t>Med hänsyn härtill avstyrker utskottet Moderata samlingspartiets och Kristdemokraternas förslag.</w:t>
      </w:r>
    </w:p>
    <w:p w:rsidR="006C0E49" w:rsidRPr="00023A3D" w:rsidRDefault="006C0E49">
      <w:r w:rsidRPr="00023A3D">
        <w:rPr>
          <w:i/>
        </w:rPr>
        <w:t>Sammanfattningsvis</w:t>
      </w:r>
      <w:r w:rsidRPr="00023A3D">
        <w:t xml:space="preserve"> biträder alltså utskottet regeringens förslag till fördelning av anslagen inom utgiftsområde 2 (punkterna 13 och 14). Samtliga motio</w:t>
      </w:r>
      <w:r w:rsidRPr="00023A3D">
        <w:t>n</w:t>
      </w:r>
      <w:r w:rsidRPr="00023A3D">
        <w:t>s</w:t>
      </w:r>
      <w:r w:rsidRPr="00023A3D">
        <w:softHyphen/>
        <w:t>yrkanden som behandlas i detta sammanhang avstyrks, dvs. motionerna Fi220 (m), Fi260 (fp), Fi263 (c), Fi276 (kd) yrkandena 2–4, Fi279 (m), Fi287 (m) samt Fi294 (fp) yrkande 10 i denna del.</w:t>
      </w:r>
    </w:p>
    <w:p w:rsidR="006C0E49" w:rsidRPr="00023A3D" w:rsidRDefault="006C0E49">
      <w:pPr>
        <w:pStyle w:val="Utskottetsvervganden-RubrikFrslagspunkt"/>
        <w:outlineLvl w:val="0"/>
      </w:pPr>
      <w:bookmarkStart w:id="71" w:name="_Toc532365503"/>
      <w:r w:rsidRPr="00023A3D">
        <w:t>Statens fastighetsverk</w:t>
      </w:r>
      <w:bookmarkEnd w:id="71"/>
    </w:p>
    <w:p w:rsidR="006C0E49" w:rsidRPr="00023A3D" w:rsidRDefault="006C0E49">
      <w:pPr>
        <w:pStyle w:val="Utskottsfrslagikorthet-Rubrik"/>
        <w:outlineLvl w:val="0"/>
        <w:rPr>
          <w:noProof w:val="0"/>
        </w:rPr>
      </w:pPr>
      <w:r w:rsidRPr="00023A3D">
        <w:rPr>
          <w:noProof w:val="0"/>
        </w:rPr>
        <w:t>Utskottets förslag i korthet</w:t>
      </w:r>
    </w:p>
    <w:p w:rsidR="006C0E49" w:rsidRPr="00023A3D" w:rsidRDefault="006C0E49">
      <w:pPr>
        <w:pStyle w:val="Utskottsfrslagikorthet-Text"/>
      </w:pPr>
      <w:r w:rsidRPr="00023A3D">
        <w:t>Utskottet tillstyrker att riksdagen godkänner regeringens förslag till investeringsplan och låneram för Fastighetsverket.</w:t>
      </w:r>
    </w:p>
    <w:p w:rsidR="006C0E49" w:rsidRPr="00023A3D" w:rsidRDefault="006C0E49">
      <w:pPr>
        <w:pStyle w:val="R4"/>
        <w:spacing w:before="123"/>
        <w:outlineLvl w:val="0"/>
      </w:pPr>
      <w:r w:rsidRPr="00023A3D">
        <w:t>Propositionen</w:t>
      </w:r>
    </w:p>
    <w:p w:rsidR="006C0E49" w:rsidRPr="00023A3D" w:rsidRDefault="006C0E49">
      <w:r w:rsidRPr="00023A3D">
        <w:t>Statens fastighetsverk är central förvaltningsmyndighet med uppgift att fö</w:t>
      </w:r>
      <w:r w:rsidRPr="00023A3D">
        <w:t>r</w:t>
      </w:r>
      <w:r w:rsidRPr="00023A3D">
        <w:t>valta det fastighetsbestånd som regeringen bestämmer. Verksamheten finans</w:t>
      </w:r>
      <w:r w:rsidRPr="00023A3D">
        <w:t>i</w:t>
      </w:r>
      <w:r w:rsidRPr="00023A3D">
        <w:t>eras fullt ut med avgiftsintäkter.</w:t>
      </w:r>
    </w:p>
    <w:p w:rsidR="006C0E49" w:rsidRPr="00023A3D" w:rsidRDefault="006C0E49">
      <w:pPr>
        <w:pStyle w:val="Normaltindrag"/>
      </w:pPr>
      <w:r w:rsidRPr="00023A3D">
        <w:t>Regeringen föreslår att riksdagen skall godkänna en i propositionen (a</w:t>
      </w:r>
      <w:r w:rsidRPr="00023A3D">
        <w:t>v</w:t>
      </w:r>
      <w:r w:rsidRPr="00023A3D">
        <w:t>snitt 4.14.15, punkt 8) redovisad investeringsplan för Statens fastighetsverk. Vidare föreslås att Fastighetsverkets låneram i Riksgäldskontoret för inv</w:t>
      </w:r>
      <w:r w:rsidRPr="00023A3D">
        <w:t>e</w:t>
      </w:r>
      <w:r w:rsidRPr="00023A3D">
        <w:t xml:space="preserve">steringar skall vara 7 miljarder kronor även nästa år (punkt 6). </w:t>
      </w:r>
    </w:p>
    <w:p w:rsidR="006C0E49" w:rsidRPr="00023A3D" w:rsidRDefault="006C0E49">
      <w:pPr>
        <w:pStyle w:val="Normaltindrag"/>
      </w:pPr>
      <w:r w:rsidRPr="00023A3D">
        <w:t>I budgetpropositionen redovisas följande investeringsplan för Statens fa</w:t>
      </w:r>
      <w:r w:rsidRPr="00023A3D">
        <w:t>s</w:t>
      </w:r>
      <w:r w:rsidRPr="00023A3D">
        <w:t>tighetsverk.</w:t>
      </w:r>
    </w:p>
    <w:p w:rsidR="006C0E49" w:rsidRPr="00023A3D" w:rsidRDefault="006C0E49">
      <w:pPr>
        <w:pStyle w:val="FiU1tabellrubrik2000"/>
        <w:keepNext/>
        <w:keepLines/>
        <w:spacing w:line="200" w:lineRule="exact"/>
        <w:outlineLvl w:val="0"/>
      </w:pPr>
      <w:r w:rsidRPr="00023A3D">
        <w:t>Investeringsplan för Statens fastighetsverk</w:t>
      </w:r>
    </w:p>
    <w:p w:rsidR="006C0E49" w:rsidRPr="00023A3D" w:rsidRDefault="006C0E49">
      <w:pPr>
        <w:pStyle w:val="Tabelltext"/>
        <w:keepNext/>
        <w:outlineLvl w:val="0"/>
        <w:rPr>
          <w:sz w:val="14"/>
        </w:rPr>
      </w:pPr>
      <w:r w:rsidRPr="00023A3D">
        <w:rPr>
          <w:sz w:val="14"/>
        </w:rPr>
        <w:t>Miljoner kronor</w:t>
      </w:r>
    </w:p>
    <w:tbl>
      <w:tblPr>
        <w:tblW w:w="0" w:type="auto"/>
        <w:tblInd w:w="-28" w:type="dxa"/>
        <w:tblLayout w:type="fixed"/>
        <w:tblCellMar>
          <w:left w:w="28" w:type="dxa"/>
          <w:right w:w="28" w:type="dxa"/>
        </w:tblCellMar>
        <w:tblLook w:val="0000" w:firstRow="0" w:lastRow="0" w:firstColumn="0" w:lastColumn="0" w:noHBand="0" w:noVBand="0"/>
      </w:tblPr>
      <w:tblGrid>
        <w:gridCol w:w="1701"/>
        <w:gridCol w:w="907"/>
        <w:gridCol w:w="794"/>
        <w:gridCol w:w="794"/>
        <w:gridCol w:w="794"/>
        <w:gridCol w:w="794"/>
      </w:tblGrid>
      <w:tr w:rsidR="00000000" w:rsidRPr="00023A3D">
        <w:tblPrEx>
          <w:tblCellMar>
            <w:top w:w="0" w:type="dxa"/>
            <w:bottom w:w="0" w:type="dxa"/>
          </w:tblCellMar>
        </w:tblPrEx>
        <w:tc>
          <w:tcPr>
            <w:tcW w:w="1701" w:type="dxa"/>
            <w:tcBorders>
              <w:top w:val="single" w:sz="4" w:space="0" w:color="auto"/>
              <w:bottom w:val="single" w:sz="4" w:space="0" w:color="auto"/>
            </w:tcBorders>
          </w:tcPr>
          <w:p w:rsidR="006C0E49" w:rsidRPr="00023A3D" w:rsidRDefault="006C0E49">
            <w:pPr>
              <w:pStyle w:val="Normaltindrag"/>
              <w:keepNext/>
              <w:spacing w:line="190" w:lineRule="atLeast"/>
              <w:ind w:firstLine="0"/>
              <w:jc w:val="center"/>
              <w:rPr>
                <w:b/>
                <w:sz w:val="17"/>
              </w:rPr>
            </w:pPr>
          </w:p>
        </w:tc>
        <w:tc>
          <w:tcPr>
            <w:tcW w:w="907" w:type="dxa"/>
            <w:tcBorders>
              <w:top w:val="single" w:sz="4" w:space="0" w:color="auto"/>
              <w:bottom w:val="single" w:sz="4" w:space="0" w:color="auto"/>
            </w:tcBorders>
          </w:tcPr>
          <w:p w:rsidR="006C0E49" w:rsidRPr="00023A3D" w:rsidRDefault="006C0E49">
            <w:pPr>
              <w:pStyle w:val="Normaltindrag"/>
              <w:keepNext/>
              <w:spacing w:line="190" w:lineRule="atLeast"/>
              <w:ind w:firstLine="0"/>
              <w:jc w:val="center"/>
              <w:rPr>
                <w:b/>
                <w:sz w:val="17"/>
              </w:rPr>
            </w:pPr>
            <w:r w:rsidRPr="00023A3D">
              <w:rPr>
                <w:b/>
                <w:sz w:val="17"/>
              </w:rPr>
              <w:t>Anskaffat t.o.m. 2000</w:t>
            </w:r>
          </w:p>
        </w:tc>
        <w:tc>
          <w:tcPr>
            <w:tcW w:w="794" w:type="dxa"/>
            <w:tcBorders>
              <w:top w:val="single" w:sz="4" w:space="0" w:color="auto"/>
              <w:bottom w:val="single" w:sz="4" w:space="0" w:color="auto"/>
            </w:tcBorders>
          </w:tcPr>
          <w:p w:rsidR="006C0E49" w:rsidRPr="00023A3D" w:rsidRDefault="006C0E49">
            <w:pPr>
              <w:pStyle w:val="Normaltindrag"/>
              <w:keepNext/>
              <w:spacing w:line="190" w:lineRule="atLeast"/>
              <w:ind w:firstLine="0"/>
              <w:jc w:val="center"/>
              <w:rPr>
                <w:b/>
                <w:sz w:val="17"/>
              </w:rPr>
            </w:pPr>
            <w:r w:rsidRPr="00023A3D">
              <w:rPr>
                <w:b/>
                <w:sz w:val="17"/>
              </w:rPr>
              <w:t>Prognos 2001</w:t>
            </w:r>
          </w:p>
        </w:tc>
        <w:tc>
          <w:tcPr>
            <w:tcW w:w="794" w:type="dxa"/>
            <w:tcBorders>
              <w:top w:val="single" w:sz="4" w:space="0" w:color="auto"/>
              <w:bottom w:val="single" w:sz="4" w:space="0" w:color="auto"/>
            </w:tcBorders>
          </w:tcPr>
          <w:p w:rsidR="006C0E49" w:rsidRPr="00023A3D" w:rsidRDefault="006C0E49">
            <w:pPr>
              <w:pStyle w:val="Normaltindrag"/>
              <w:keepNext/>
              <w:spacing w:line="190" w:lineRule="atLeast"/>
              <w:ind w:firstLine="0"/>
              <w:jc w:val="center"/>
              <w:rPr>
                <w:b/>
                <w:sz w:val="17"/>
              </w:rPr>
            </w:pPr>
            <w:r w:rsidRPr="00023A3D">
              <w:rPr>
                <w:b/>
                <w:sz w:val="17"/>
              </w:rPr>
              <w:t>Budget 2002</w:t>
            </w:r>
          </w:p>
        </w:tc>
        <w:tc>
          <w:tcPr>
            <w:tcW w:w="794" w:type="dxa"/>
            <w:tcBorders>
              <w:top w:val="single" w:sz="4" w:space="0" w:color="auto"/>
              <w:bottom w:val="single" w:sz="4" w:space="0" w:color="auto"/>
            </w:tcBorders>
          </w:tcPr>
          <w:p w:rsidR="006C0E49" w:rsidRPr="00023A3D" w:rsidRDefault="006C0E49">
            <w:pPr>
              <w:pStyle w:val="Normaltindrag"/>
              <w:keepNext/>
              <w:spacing w:line="190" w:lineRule="atLeast"/>
              <w:ind w:firstLine="0"/>
              <w:jc w:val="center"/>
              <w:rPr>
                <w:b/>
                <w:sz w:val="17"/>
              </w:rPr>
            </w:pPr>
            <w:r w:rsidRPr="00023A3D">
              <w:rPr>
                <w:b/>
                <w:sz w:val="17"/>
              </w:rPr>
              <w:t>Beräknat 2003</w:t>
            </w:r>
          </w:p>
        </w:tc>
        <w:tc>
          <w:tcPr>
            <w:tcW w:w="794" w:type="dxa"/>
            <w:tcBorders>
              <w:top w:val="single" w:sz="4" w:space="0" w:color="auto"/>
              <w:bottom w:val="single" w:sz="4" w:space="0" w:color="auto"/>
            </w:tcBorders>
          </w:tcPr>
          <w:p w:rsidR="006C0E49" w:rsidRPr="00023A3D" w:rsidRDefault="006C0E49">
            <w:pPr>
              <w:pStyle w:val="Normaltindrag"/>
              <w:keepNext/>
              <w:spacing w:line="190" w:lineRule="atLeast"/>
              <w:ind w:firstLine="0"/>
              <w:jc w:val="center"/>
              <w:rPr>
                <w:b/>
                <w:sz w:val="17"/>
              </w:rPr>
            </w:pPr>
            <w:r w:rsidRPr="00023A3D">
              <w:rPr>
                <w:b/>
                <w:sz w:val="17"/>
              </w:rPr>
              <w:t>Beräknat 2004</w:t>
            </w:r>
          </w:p>
        </w:tc>
      </w:tr>
      <w:tr w:rsidR="00000000" w:rsidRPr="00023A3D">
        <w:tblPrEx>
          <w:tblCellMar>
            <w:top w:w="0" w:type="dxa"/>
            <w:bottom w:w="0" w:type="dxa"/>
          </w:tblCellMar>
        </w:tblPrEx>
        <w:trPr>
          <w:trHeight w:val="60"/>
        </w:trPr>
        <w:tc>
          <w:tcPr>
            <w:tcW w:w="1701" w:type="dxa"/>
          </w:tcPr>
          <w:p w:rsidR="006C0E49" w:rsidRPr="00023A3D" w:rsidRDefault="006C0E49">
            <w:pPr>
              <w:pStyle w:val="Normaltindrag"/>
              <w:keepNext/>
              <w:spacing w:line="60" w:lineRule="exact"/>
              <w:ind w:firstLine="0"/>
              <w:rPr>
                <w:sz w:val="17"/>
              </w:rPr>
            </w:pPr>
          </w:p>
        </w:tc>
        <w:tc>
          <w:tcPr>
            <w:tcW w:w="907" w:type="dxa"/>
          </w:tcPr>
          <w:p w:rsidR="006C0E49" w:rsidRPr="00023A3D" w:rsidRDefault="006C0E49">
            <w:pPr>
              <w:pStyle w:val="Normaltindrag"/>
              <w:keepNext/>
              <w:spacing w:line="60" w:lineRule="exact"/>
              <w:ind w:firstLine="0"/>
              <w:rPr>
                <w:sz w:val="17"/>
              </w:rPr>
            </w:pPr>
          </w:p>
        </w:tc>
        <w:tc>
          <w:tcPr>
            <w:tcW w:w="794" w:type="dxa"/>
          </w:tcPr>
          <w:p w:rsidR="006C0E49" w:rsidRPr="00023A3D" w:rsidRDefault="006C0E49">
            <w:pPr>
              <w:pStyle w:val="Normaltindrag"/>
              <w:keepNext/>
              <w:spacing w:line="60" w:lineRule="exact"/>
              <w:ind w:firstLine="0"/>
              <w:rPr>
                <w:sz w:val="17"/>
              </w:rPr>
            </w:pPr>
          </w:p>
        </w:tc>
        <w:tc>
          <w:tcPr>
            <w:tcW w:w="794" w:type="dxa"/>
          </w:tcPr>
          <w:p w:rsidR="006C0E49" w:rsidRPr="00023A3D" w:rsidRDefault="006C0E49">
            <w:pPr>
              <w:pStyle w:val="Normaltindrag"/>
              <w:keepNext/>
              <w:spacing w:line="60" w:lineRule="exact"/>
              <w:ind w:firstLine="0"/>
              <w:rPr>
                <w:sz w:val="17"/>
              </w:rPr>
            </w:pPr>
          </w:p>
        </w:tc>
        <w:tc>
          <w:tcPr>
            <w:tcW w:w="794" w:type="dxa"/>
          </w:tcPr>
          <w:p w:rsidR="006C0E49" w:rsidRPr="00023A3D" w:rsidRDefault="006C0E49">
            <w:pPr>
              <w:pStyle w:val="Normaltindrag"/>
              <w:keepNext/>
              <w:spacing w:line="60" w:lineRule="exact"/>
              <w:ind w:firstLine="0"/>
              <w:rPr>
                <w:sz w:val="17"/>
              </w:rPr>
            </w:pPr>
          </w:p>
        </w:tc>
        <w:tc>
          <w:tcPr>
            <w:tcW w:w="794" w:type="dxa"/>
          </w:tcPr>
          <w:p w:rsidR="006C0E49" w:rsidRPr="00023A3D" w:rsidRDefault="006C0E49">
            <w:pPr>
              <w:pStyle w:val="Normaltindrag"/>
              <w:keepNext/>
              <w:spacing w:line="60" w:lineRule="exact"/>
              <w:ind w:firstLine="0"/>
              <w:rPr>
                <w:sz w:val="17"/>
              </w:rPr>
            </w:pPr>
          </w:p>
        </w:tc>
      </w:tr>
      <w:tr w:rsidR="00000000" w:rsidRPr="00023A3D">
        <w:tblPrEx>
          <w:tblCellMar>
            <w:top w:w="0" w:type="dxa"/>
            <w:bottom w:w="0" w:type="dxa"/>
          </w:tblCellMar>
        </w:tblPrEx>
        <w:tc>
          <w:tcPr>
            <w:tcW w:w="1701" w:type="dxa"/>
          </w:tcPr>
          <w:p w:rsidR="006C0E49" w:rsidRPr="00023A3D" w:rsidRDefault="006C0E49">
            <w:pPr>
              <w:pStyle w:val="Normaltindrag"/>
              <w:keepNext/>
              <w:spacing w:line="180" w:lineRule="exact"/>
              <w:ind w:firstLine="0"/>
              <w:rPr>
                <w:sz w:val="17"/>
              </w:rPr>
            </w:pPr>
            <w:r w:rsidRPr="00023A3D">
              <w:rPr>
                <w:sz w:val="17"/>
              </w:rPr>
              <w:t>Inrikes</w:t>
            </w:r>
          </w:p>
        </w:tc>
        <w:tc>
          <w:tcPr>
            <w:tcW w:w="907" w:type="dxa"/>
          </w:tcPr>
          <w:p w:rsidR="006C0E49" w:rsidRPr="00023A3D" w:rsidRDefault="006C0E49">
            <w:pPr>
              <w:pStyle w:val="Normaltindrag"/>
              <w:keepNext/>
              <w:spacing w:line="180" w:lineRule="exact"/>
              <w:ind w:right="227" w:firstLine="0"/>
              <w:jc w:val="right"/>
              <w:rPr>
                <w:sz w:val="17"/>
              </w:rPr>
            </w:pPr>
            <w:r w:rsidRPr="00023A3D">
              <w:rPr>
                <w:sz w:val="17"/>
              </w:rPr>
              <w:t>529,4</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218,2</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357,9</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357,5</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199,9</w:t>
            </w:r>
          </w:p>
        </w:tc>
      </w:tr>
      <w:tr w:rsidR="00000000" w:rsidRPr="00023A3D">
        <w:tblPrEx>
          <w:tblCellMar>
            <w:top w:w="0" w:type="dxa"/>
            <w:bottom w:w="0" w:type="dxa"/>
          </w:tblCellMar>
        </w:tblPrEx>
        <w:tc>
          <w:tcPr>
            <w:tcW w:w="1701" w:type="dxa"/>
          </w:tcPr>
          <w:p w:rsidR="006C0E49" w:rsidRPr="00023A3D" w:rsidRDefault="006C0E49">
            <w:pPr>
              <w:pStyle w:val="Normaltindrag"/>
              <w:keepNext/>
              <w:spacing w:line="180" w:lineRule="exact"/>
              <w:ind w:firstLine="0"/>
              <w:rPr>
                <w:sz w:val="17"/>
              </w:rPr>
            </w:pPr>
            <w:r w:rsidRPr="00023A3D">
              <w:rPr>
                <w:sz w:val="17"/>
              </w:rPr>
              <w:t>Utrikes</w:t>
            </w:r>
          </w:p>
        </w:tc>
        <w:tc>
          <w:tcPr>
            <w:tcW w:w="907" w:type="dxa"/>
          </w:tcPr>
          <w:p w:rsidR="006C0E49" w:rsidRPr="00023A3D" w:rsidRDefault="006C0E49">
            <w:pPr>
              <w:pStyle w:val="Normaltindrag"/>
              <w:keepNext/>
              <w:spacing w:line="180" w:lineRule="exact"/>
              <w:ind w:right="227" w:firstLine="0"/>
              <w:jc w:val="right"/>
              <w:rPr>
                <w:sz w:val="17"/>
              </w:rPr>
            </w:pPr>
            <w:r w:rsidRPr="00023A3D">
              <w:rPr>
                <w:sz w:val="17"/>
              </w:rPr>
              <w:t>20,9</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20,1</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18,1</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15,0</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10,0</w:t>
            </w:r>
          </w:p>
        </w:tc>
      </w:tr>
      <w:tr w:rsidR="00000000" w:rsidRPr="00023A3D">
        <w:tblPrEx>
          <w:tblCellMar>
            <w:top w:w="0" w:type="dxa"/>
            <w:bottom w:w="0" w:type="dxa"/>
          </w:tblCellMar>
        </w:tblPrEx>
        <w:tc>
          <w:tcPr>
            <w:tcW w:w="1701" w:type="dxa"/>
          </w:tcPr>
          <w:p w:rsidR="006C0E49" w:rsidRPr="00023A3D" w:rsidRDefault="006C0E49">
            <w:pPr>
              <w:pStyle w:val="Normaltindrag"/>
              <w:keepNext/>
              <w:spacing w:line="180" w:lineRule="exact"/>
              <w:ind w:firstLine="0"/>
              <w:rPr>
                <w:sz w:val="17"/>
              </w:rPr>
            </w:pPr>
            <w:r w:rsidRPr="00023A3D">
              <w:rPr>
                <w:sz w:val="17"/>
              </w:rPr>
              <w:t>Mark</w:t>
            </w:r>
          </w:p>
        </w:tc>
        <w:tc>
          <w:tcPr>
            <w:tcW w:w="907" w:type="dxa"/>
          </w:tcPr>
          <w:p w:rsidR="006C0E49" w:rsidRPr="00023A3D" w:rsidRDefault="006C0E49">
            <w:pPr>
              <w:pStyle w:val="Normaltindrag"/>
              <w:keepNext/>
              <w:spacing w:line="180" w:lineRule="exact"/>
              <w:ind w:right="227" w:firstLine="0"/>
              <w:jc w:val="right"/>
              <w:rPr>
                <w:sz w:val="17"/>
              </w:rPr>
            </w:pPr>
            <w:r w:rsidRPr="00023A3D">
              <w:rPr>
                <w:sz w:val="17"/>
              </w:rPr>
              <w:t>8,7</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23,1</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12,4</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6,8</w:t>
            </w:r>
          </w:p>
        </w:tc>
        <w:tc>
          <w:tcPr>
            <w:tcW w:w="794" w:type="dxa"/>
          </w:tcPr>
          <w:p w:rsidR="006C0E49" w:rsidRPr="00023A3D" w:rsidRDefault="006C0E49">
            <w:pPr>
              <w:pStyle w:val="Normaltindrag"/>
              <w:keepNext/>
              <w:spacing w:line="180" w:lineRule="exact"/>
              <w:ind w:right="227" w:firstLine="0"/>
              <w:jc w:val="right"/>
              <w:rPr>
                <w:sz w:val="17"/>
              </w:rPr>
            </w:pPr>
            <w:r w:rsidRPr="00023A3D">
              <w:rPr>
                <w:sz w:val="17"/>
              </w:rPr>
              <w:t>3,5</w:t>
            </w:r>
          </w:p>
        </w:tc>
      </w:tr>
      <w:tr w:rsidR="00000000" w:rsidRPr="00023A3D">
        <w:tblPrEx>
          <w:tblCellMar>
            <w:top w:w="0" w:type="dxa"/>
            <w:bottom w:w="0" w:type="dxa"/>
          </w:tblCellMar>
        </w:tblPrEx>
        <w:tc>
          <w:tcPr>
            <w:tcW w:w="1701" w:type="dxa"/>
          </w:tcPr>
          <w:p w:rsidR="006C0E49" w:rsidRPr="00023A3D" w:rsidRDefault="006C0E49">
            <w:pPr>
              <w:pStyle w:val="Normaltindrag"/>
              <w:keepNext/>
              <w:spacing w:line="180" w:lineRule="exact"/>
              <w:ind w:firstLine="0"/>
              <w:rPr>
                <w:b/>
                <w:sz w:val="17"/>
              </w:rPr>
            </w:pPr>
            <w:r w:rsidRPr="00023A3D">
              <w:rPr>
                <w:b/>
                <w:sz w:val="17"/>
              </w:rPr>
              <w:t>Summa investerin</w:t>
            </w:r>
            <w:r w:rsidRPr="00023A3D">
              <w:rPr>
                <w:b/>
                <w:sz w:val="17"/>
              </w:rPr>
              <w:t>g</w:t>
            </w:r>
            <w:r w:rsidRPr="00023A3D">
              <w:rPr>
                <w:b/>
                <w:sz w:val="17"/>
              </w:rPr>
              <w:t>ar</w:t>
            </w:r>
          </w:p>
        </w:tc>
        <w:tc>
          <w:tcPr>
            <w:tcW w:w="907" w:type="dxa"/>
          </w:tcPr>
          <w:p w:rsidR="006C0E49" w:rsidRPr="00023A3D" w:rsidRDefault="006C0E49">
            <w:pPr>
              <w:pStyle w:val="Normaltindrag"/>
              <w:keepNext/>
              <w:spacing w:line="180" w:lineRule="exact"/>
              <w:ind w:right="227" w:firstLine="0"/>
              <w:jc w:val="right"/>
              <w:rPr>
                <w:b/>
                <w:sz w:val="17"/>
              </w:rPr>
            </w:pPr>
            <w:r w:rsidRPr="00023A3D">
              <w:rPr>
                <w:b/>
                <w:sz w:val="17"/>
              </w:rPr>
              <w:t>559,0</w:t>
            </w:r>
          </w:p>
        </w:tc>
        <w:tc>
          <w:tcPr>
            <w:tcW w:w="794" w:type="dxa"/>
          </w:tcPr>
          <w:p w:rsidR="006C0E49" w:rsidRPr="00023A3D" w:rsidRDefault="006C0E49">
            <w:pPr>
              <w:pStyle w:val="Normaltindrag"/>
              <w:keepNext/>
              <w:spacing w:line="180" w:lineRule="exact"/>
              <w:ind w:right="227" w:firstLine="0"/>
              <w:jc w:val="right"/>
              <w:rPr>
                <w:b/>
                <w:sz w:val="17"/>
              </w:rPr>
            </w:pPr>
            <w:r w:rsidRPr="00023A3D">
              <w:rPr>
                <w:b/>
                <w:sz w:val="17"/>
              </w:rPr>
              <w:t>261,4</w:t>
            </w:r>
          </w:p>
        </w:tc>
        <w:tc>
          <w:tcPr>
            <w:tcW w:w="794" w:type="dxa"/>
          </w:tcPr>
          <w:p w:rsidR="006C0E49" w:rsidRPr="00023A3D" w:rsidRDefault="006C0E49">
            <w:pPr>
              <w:pStyle w:val="Normaltindrag"/>
              <w:keepNext/>
              <w:spacing w:line="180" w:lineRule="exact"/>
              <w:ind w:right="227" w:firstLine="0"/>
              <w:jc w:val="right"/>
              <w:rPr>
                <w:b/>
                <w:sz w:val="17"/>
              </w:rPr>
            </w:pPr>
            <w:r w:rsidRPr="00023A3D">
              <w:rPr>
                <w:b/>
                <w:sz w:val="17"/>
              </w:rPr>
              <w:t>388,4</w:t>
            </w:r>
          </w:p>
        </w:tc>
        <w:tc>
          <w:tcPr>
            <w:tcW w:w="794" w:type="dxa"/>
          </w:tcPr>
          <w:p w:rsidR="006C0E49" w:rsidRPr="00023A3D" w:rsidRDefault="006C0E49">
            <w:pPr>
              <w:pStyle w:val="Normaltindrag"/>
              <w:keepNext/>
              <w:spacing w:line="180" w:lineRule="exact"/>
              <w:ind w:right="227" w:firstLine="0"/>
              <w:jc w:val="right"/>
              <w:rPr>
                <w:b/>
                <w:sz w:val="17"/>
              </w:rPr>
            </w:pPr>
            <w:r w:rsidRPr="00023A3D">
              <w:rPr>
                <w:b/>
                <w:sz w:val="17"/>
              </w:rPr>
              <w:t>379,3</w:t>
            </w:r>
          </w:p>
        </w:tc>
        <w:tc>
          <w:tcPr>
            <w:tcW w:w="794" w:type="dxa"/>
          </w:tcPr>
          <w:p w:rsidR="006C0E49" w:rsidRPr="00023A3D" w:rsidRDefault="006C0E49">
            <w:pPr>
              <w:pStyle w:val="Normaltindrag"/>
              <w:keepNext/>
              <w:spacing w:line="180" w:lineRule="exact"/>
              <w:ind w:right="227" w:firstLine="0"/>
              <w:jc w:val="right"/>
              <w:rPr>
                <w:b/>
                <w:sz w:val="17"/>
              </w:rPr>
            </w:pPr>
            <w:r w:rsidRPr="00023A3D">
              <w:rPr>
                <w:b/>
                <w:sz w:val="17"/>
              </w:rPr>
              <w:t>213,4</w:t>
            </w:r>
          </w:p>
        </w:tc>
      </w:tr>
      <w:tr w:rsidR="00000000" w:rsidRPr="00023A3D">
        <w:tblPrEx>
          <w:tblCellMar>
            <w:top w:w="0" w:type="dxa"/>
            <w:bottom w:w="0" w:type="dxa"/>
          </w:tblCellMar>
        </w:tblPrEx>
        <w:tc>
          <w:tcPr>
            <w:tcW w:w="1701" w:type="dxa"/>
            <w:tcBorders>
              <w:bottom w:val="single" w:sz="4" w:space="0" w:color="auto"/>
            </w:tcBorders>
          </w:tcPr>
          <w:p w:rsidR="006C0E49" w:rsidRPr="00023A3D" w:rsidRDefault="006C0E49">
            <w:pPr>
              <w:pStyle w:val="Normaltindrag"/>
              <w:keepNext/>
              <w:spacing w:line="60" w:lineRule="exact"/>
              <w:ind w:firstLine="0"/>
            </w:pPr>
          </w:p>
        </w:tc>
        <w:tc>
          <w:tcPr>
            <w:tcW w:w="907" w:type="dxa"/>
            <w:tcBorders>
              <w:bottom w:val="single" w:sz="4" w:space="0" w:color="auto"/>
            </w:tcBorders>
          </w:tcPr>
          <w:p w:rsidR="006C0E49" w:rsidRPr="00023A3D" w:rsidRDefault="006C0E49">
            <w:pPr>
              <w:pStyle w:val="Normaltindrag"/>
              <w:keepNext/>
              <w:spacing w:line="60" w:lineRule="exact"/>
              <w:ind w:firstLine="0"/>
            </w:pPr>
          </w:p>
        </w:tc>
        <w:tc>
          <w:tcPr>
            <w:tcW w:w="794" w:type="dxa"/>
            <w:tcBorders>
              <w:bottom w:val="single" w:sz="4" w:space="0" w:color="auto"/>
            </w:tcBorders>
          </w:tcPr>
          <w:p w:rsidR="006C0E49" w:rsidRPr="00023A3D" w:rsidRDefault="006C0E49">
            <w:pPr>
              <w:pStyle w:val="Normaltindrag"/>
              <w:keepNext/>
              <w:spacing w:line="60" w:lineRule="exact"/>
              <w:ind w:firstLine="0"/>
            </w:pPr>
          </w:p>
        </w:tc>
        <w:tc>
          <w:tcPr>
            <w:tcW w:w="794" w:type="dxa"/>
            <w:tcBorders>
              <w:bottom w:val="single" w:sz="4" w:space="0" w:color="auto"/>
            </w:tcBorders>
          </w:tcPr>
          <w:p w:rsidR="006C0E49" w:rsidRPr="00023A3D" w:rsidRDefault="006C0E49">
            <w:pPr>
              <w:pStyle w:val="Normaltindrag"/>
              <w:keepNext/>
              <w:spacing w:line="60" w:lineRule="exact"/>
              <w:ind w:firstLine="0"/>
            </w:pPr>
          </w:p>
        </w:tc>
        <w:tc>
          <w:tcPr>
            <w:tcW w:w="794" w:type="dxa"/>
            <w:tcBorders>
              <w:bottom w:val="single" w:sz="4" w:space="0" w:color="auto"/>
            </w:tcBorders>
          </w:tcPr>
          <w:p w:rsidR="006C0E49" w:rsidRPr="00023A3D" w:rsidRDefault="006C0E49">
            <w:pPr>
              <w:pStyle w:val="Normaltindrag"/>
              <w:keepNext/>
              <w:spacing w:line="60" w:lineRule="exact"/>
              <w:ind w:firstLine="0"/>
            </w:pPr>
          </w:p>
        </w:tc>
        <w:tc>
          <w:tcPr>
            <w:tcW w:w="794" w:type="dxa"/>
            <w:tcBorders>
              <w:bottom w:val="single" w:sz="4" w:space="0" w:color="auto"/>
            </w:tcBorders>
          </w:tcPr>
          <w:p w:rsidR="006C0E49" w:rsidRPr="00023A3D" w:rsidRDefault="006C0E49">
            <w:pPr>
              <w:pStyle w:val="Normaltindrag"/>
              <w:keepNext/>
              <w:spacing w:line="60" w:lineRule="exact"/>
              <w:ind w:firstLine="0"/>
            </w:pPr>
          </w:p>
        </w:tc>
      </w:tr>
    </w:tbl>
    <w:p w:rsidR="006C0E49" w:rsidRPr="00023A3D" w:rsidRDefault="006C0E49">
      <w:pPr>
        <w:pStyle w:val="Normaltindrag"/>
        <w:spacing w:line="40" w:lineRule="exact"/>
      </w:pPr>
    </w:p>
    <w:p w:rsidR="006C0E49" w:rsidRPr="00023A3D" w:rsidRDefault="006C0E49">
      <w:pPr>
        <w:pStyle w:val="R4"/>
        <w:outlineLvl w:val="0"/>
        <w:rPr>
          <w:lang w:eastAsia="sv-SE"/>
        </w:rPr>
      </w:pPr>
      <w:r w:rsidRPr="00023A3D">
        <w:rPr>
          <w:lang w:eastAsia="sv-SE"/>
        </w:rPr>
        <w:t>Finansutskottets ställningstagande</w:t>
      </w:r>
    </w:p>
    <w:p w:rsidR="006C0E49" w:rsidRPr="00023A3D" w:rsidRDefault="006C0E49">
      <w:r w:rsidRPr="00023A3D">
        <w:t>Utskottet biträder regeringens förslag till investeringsplan och låneram för Statens fastighetsverk. Det innebär att utskottet tillstyrker punkterna 6 och 8 i propositionen.</w:t>
      </w:r>
    </w:p>
    <w:p w:rsidR="006C0E49" w:rsidRPr="00023A3D" w:rsidRDefault="006C0E49">
      <w:pPr>
        <w:pStyle w:val="Utskottetsvervganden-RubrikFrslagspunkt"/>
        <w:outlineLvl w:val="0"/>
      </w:pPr>
      <w:bookmarkStart w:id="72" w:name="_Toc532365504"/>
      <w:r w:rsidRPr="00023A3D">
        <w:t>Fortifikationsverket</w:t>
      </w:r>
      <w:bookmarkEnd w:id="72"/>
    </w:p>
    <w:p w:rsidR="006C0E49" w:rsidRPr="00023A3D" w:rsidRDefault="006C0E49">
      <w:pPr>
        <w:pStyle w:val="Utskottsfrslagikorthet-Rubrik"/>
        <w:outlineLvl w:val="0"/>
        <w:rPr>
          <w:noProof w:val="0"/>
        </w:rPr>
      </w:pPr>
      <w:r w:rsidRPr="00023A3D">
        <w:rPr>
          <w:noProof w:val="0"/>
        </w:rPr>
        <w:t>Utskottets förslag i korthet</w:t>
      </w:r>
    </w:p>
    <w:p w:rsidR="006C0E49" w:rsidRPr="00023A3D" w:rsidRDefault="006C0E49">
      <w:pPr>
        <w:pStyle w:val="Utskottsfrslagikorthet-Text"/>
      </w:pPr>
      <w:r w:rsidRPr="00023A3D">
        <w:t>Utskottet tillstyrker att riksdagen godkänner regeringens förslag till investeringsplan och låneram för Fortifikationsverket.</w:t>
      </w:r>
    </w:p>
    <w:p w:rsidR="006C0E49" w:rsidRPr="00023A3D" w:rsidRDefault="006C0E49">
      <w:pPr>
        <w:pStyle w:val="R4"/>
        <w:spacing w:before="123"/>
        <w:outlineLvl w:val="0"/>
      </w:pPr>
      <w:r w:rsidRPr="00023A3D">
        <w:t>Propositionen</w:t>
      </w:r>
    </w:p>
    <w:p w:rsidR="006C0E49" w:rsidRPr="00023A3D" w:rsidRDefault="006C0E49">
      <w:r w:rsidRPr="00023A3D">
        <w:t>Fortifikationsverket är central förvaltningsmyndighet med huvuduppgift att förvalta statens försvarsfastigheter. Verksamheten finansieras fullt ut med avgiftsintäkter.</w:t>
      </w:r>
    </w:p>
    <w:p w:rsidR="006C0E49" w:rsidRPr="00023A3D" w:rsidRDefault="006C0E49">
      <w:pPr>
        <w:pStyle w:val="Normaltindrag"/>
      </w:pPr>
      <w:r w:rsidRPr="00023A3D">
        <w:t>Regeringen föreslår att riksdagen skall godkänna en i propositionen (a</w:t>
      </w:r>
      <w:r w:rsidRPr="00023A3D">
        <w:t>v</w:t>
      </w:r>
      <w:r w:rsidRPr="00023A3D">
        <w:t>snitt 4.14.16, punkt 9) redovisad investeringsplan för Fortifikationsverket. Vidare föreslås att låneramen för Fortifikationsverket i Riksgäldskontoret nästa år skall höjas med ca 1 miljard kronor till 5,1 miljarder kronor. Av den nya låneramen skall 4,9 miljarder kronor få användas för investeringar i mark, anläggningar och lokaler samt 0,2 miljarder kronor för investeringar i anläg</w:t>
      </w:r>
      <w:r w:rsidRPr="00023A3D">
        <w:t>g</w:t>
      </w:r>
      <w:r w:rsidRPr="00023A3D">
        <w:t>ningstillgån</w:t>
      </w:r>
      <w:r w:rsidRPr="00023A3D">
        <w:t>g</w:t>
      </w:r>
      <w:r w:rsidRPr="00023A3D">
        <w:t>ar för förvaltningsändamål (punkt 7).</w:t>
      </w:r>
    </w:p>
    <w:p w:rsidR="006C0E49" w:rsidRPr="00023A3D" w:rsidRDefault="006C0E49">
      <w:pPr>
        <w:pStyle w:val="Normaltindrag"/>
      </w:pPr>
      <w:r w:rsidRPr="00023A3D">
        <w:t>I budgetpropositionen redovisas följande investeringsplan för Fortifik</w:t>
      </w:r>
      <w:r w:rsidRPr="00023A3D">
        <w:t>a</w:t>
      </w:r>
      <w:r w:rsidRPr="00023A3D">
        <w:t>tionsverket.</w:t>
      </w:r>
    </w:p>
    <w:p w:rsidR="006C0E49" w:rsidRPr="00023A3D" w:rsidRDefault="006C0E49">
      <w:pPr>
        <w:pStyle w:val="FiU1tabellrubrik2000"/>
        <w:keepNext/>
        <w:keepLines/>
        <w:spacing w:line="200" w:lineRule="exact"/>
        <w:outlineLvl w:val="0"/>
      </w:pPr>
      <w:r w:rsidRPr="00023A3D">
        <w:t>Investeringsplan för Fortifikationsverket</w:t>
      </w:r>
    </w:p>
    <w:p w:rsidR="006C0E49" w:rsidRPr="00023A3D" w:rsidRDefault="006C0E49">
      <w:pPr>
        <w:pStyle w:val="Tabelltext"/>
        <w:keepNext/>
        <w:outlineLvl w:val="0"/>
        <w:rPr>
          <w:sz w:val="14"/>
        </w:rPr>
      </w:pPr>
      <w:r w:rsidRPr="00023A3D">
        <w:rPr>
          <w:sz w:val="14"/>
        </w:rPr>
        <w:t>Miljoner kronor</w:t>
      </w:r>
    </w:p>
    <w:p w:rsidR="006C0E49" w:rsidRPr="00023A3D" w:rsidRDefault="00023A3D">
      <w:pPr>
        <w:keepNext/>
        <w:spacing w:before="0" w:line="240" w:lineRule="auto"/>
      </w:pPr>
      <w:r w:rsidRPr="00023A3D">
        <w:rPr>
          <w:noProof/>
        </w:rPr>
        <w:drawing>
          <wp:inline distT="0" distB="0" distL="0" distR="0">
            <wp:extent cx="3739515" cy="13011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39515" cy="1301115"/>
                    </a:xfrm>
                    <a:prstGeom prst="rect">
                      <a:avLst/>
                    </a:prstGeom>
                    <a:noFill/>
                    <a:ln>
                      <a:noFill/>
                    </a:ln>
                  </pic:spPr>
                </pic:pic>
              </a:graphicData>
            </a:graphic>
          </wp:inline>
        </w:drawing>
      </w:r>
    </w:p>
    <w:p w:rsidR="006C0E49" w:rsidRPr="00023A3D" w:rsidRDefault="006C0E49">
      <w:pPr>
        <w:pStyle w:val="Normaltindrag"/>
        <w:spacing w:line="40" w:lineRule="exact"/>
      </w:pPr>
    </w:p>
    <w:p w:rsidR="006C0E49" w:rsidRPr="00023A3D" w:rsidRDefault="006C0E49">
      <w:pPr>
        <w:pStyle w:val="R4"/>
        <w:outlineLvl w:val="0"/>
        <w:rPr>
          <w:lang w:eastAsia="sv-SE"/>
        </w:rPr>
      </w:pPr>
      <w:r w:rsidRPr="00023A3D">
        <w:rPr>
          <w:lang w:eastAsia="sv-SE"/>
        </w:rPr>
        <w:t>Finansutskottets ställningstagande</w:t>
      </w:r>
    </w:p>
    <w:p w:rsidR="006C0E49" w:rsidRPr="00023A3D" w:rsidRDefault="006C0E49">
      <w:r w:rsidRPr="00023A3D">
        <w:t>Utskottet biträder regeringens förslag till investeringsplan och låneram för Fortifikationsverket. Det innebär att utskottet tillstyrker punkterna 7 och 9 i propositionen.</w:t>
      </w:r>
    </w:p>
    <w:p w:rsidR="006C0E49" w:rsidRPr="00023A3D" w:rsidRDefault="006C0E49">
      <w:pPr>
        <w:pStyle w:val="Utskottetsvervganden-RubrikFrslagspunkt"/>
        <w:outlineLvl w:val="0"/>
      </w:pPr>
      <w:bookmarkStart w:id="73" w:name="_Toc532365505"/>
      <w:r w:rsidRPr="00023A3D">
        <w:t>Rörlig kredit för Premiepensionsmyndigheten</w:t>
      </w:r>
      <w:bookmarkEnd w:id="73"/>
    </w:p>
    <w:p w:rsidR="006C0E49" w:rsidRPr="00023A3D" w:rsidRDefault="006C0E49">
      <w:pPr>
        <w:pStyle w:val="Utskottsfrslagikorthet-Rubrik"/>
        <w:outlineLvl w:val="0"/>
        <w:rPr>
          <w:noProof w:val="0"/>
        </w:rPr>
      </w:pPr>
      <w:r w:rsidRPr="00023A3D">
        <w:rPr>
          <w:noProof w:val="0"/>
        </w:rPr>
        <w:t>Utskottets förslag i korthet</w:t>
      </w:r>
    </w:p>
    <w:p w:rsidR="006C0E49" w:rsidRPr="00023A3D" w:rsidRDefault="006C0E49">
      <w:pPr>
        <w:pStyle w:val="Utskottsfrslagikorthet-Text"/>
      </w:pPr>
      <w:r w:rsidRPr="00023A3D">
        <w:t>Utskottet tillstyrker att riksdagen godkänner regeringens förslag om en rörlig kredit för Premiepensionsmyndighetens handel med fo</w:t>
      </w:r>
      <w:r w:rsidRPr="00023A3D">
        <w:t>n</w:t>
      </w:r>
      <w:r w:rsidRPr="00023A3D">
        <w:t>d</w:t>
      </w:r>
      <w:r w:rsidRPr="00023A3D">
        <w:softHyphen/>
        <w:t>andelar.</w:t>
      </w:r>
    </w:p>
    <w:p w:rsidR="006C0E49" w:rsidRPr="00023A3D" w:rsidRDefault="006C0E49">
      <w:pPr>
        <w:pStyle w:val="R4"/>
        <w:spacing w:before="123"/>
        <w:outlineLvl w:val="0"/>
      </w:pPr>
      <w:r w:rsidRPr="00023A3D">
        <w:t>Propositionen</w:t>
      </w:r>
    </w:p>
    <w:p w:rsidR="006C0E49" w:rsidRPr="00023A3D" w:rsidRDefault="006C0E49">
      <w:r w:rsidRPr="00023A3D">
        <w:t>I propositionen (avsnitt 5.9.8) föreslås att regeringen även för 2002 skall bemyndigas att tilldela Premiepensionsmyndigheten (PPM) en rörlig kredit i Riksgäldskontoret på högst 500 miljoner kronor. Den rörliga krediten är a</w:t>
      </w:r>
      <w:r w:rsidRPr="00023A3D">
        <w:t>v</w:t>
      </w:r>
      <w:r w:rsidRPr="00023A3D">
        <w:t>sedd att tillgodose PPM:s behov av likviditet vid handeln med fondandelar (punkt 12). Krediten skall täcka ojämna likviditetsflöden vid denna handel. Regeringen har för avsikt att utvärdera det fortsatta behovet av den särskilda kr</w:t>
      </w:r>
      <w:r w:rsidRPr="00023A3D">
        <w:t>e</w:t>
      </w:r>
      <w:r w:rsidRPr="00023A3D">
        <w:t>diten.</w:t>
      </w:r>
    </w:p>
    <w:p w:rsidR="006C0E49" w:rsidRPr="00023A3D" w:rsidRDefault="006C0E49">
      <w:pPr>
        <w:pStyle w:val="R4"/>
        <w:spacing w:before="240"/>
        <w:outlineLvl w:val="0"/>
        <w:rPr>
          <w:lang w:eastAsia="sv-SE"/>
        </w:rPr>
      </w:pPr>
      <w:r w:rsidRPr="00023A3D">
        <w:rPr>
          <w:lang w:eastAsia="sv-SE"/>
        </w:rPr>
        <w:t>Finansutskottets ställningstagande</w:t>
      </w:r>
    </w:p>
    <w:p w:rsidR="006C0E49" w:rsidRPr="00023A3D" w:rsidRDefault="006C0E49">
      <w:r w:rsidRPr="00023A3D">
        <w:t>Utskottet biträder regeringens förslag att Premiepensionsmyndigheten bevi</w:t>
      </w:r>
      <w:r w:rsidRPr="00023A3D">
        <w:t>l</w:t>
      </w:r>
      <w:r w:rsidRPr="00023A3D">
        <w:t>jas en rörlig kredit på 500 miljoner kronor i Riksgäldskontoret även för 2002. Det innebär att utskottet tillstyrker punkt 12 i pr</w:t>
      </w:r>
      <w:r w:rsidRPr="00023A3D">
        <w:t>o</w:t>
      </w:r>
      <w:r w:rsidRPr="00023A3D">
        <w:t>positionen.</w:t>
      </w:r>
    </w:p>
    <w:p w:rsidR="006C0E49" w:rsidRPr="00023A3D" w:rsidRDefault="006C0E49">
      <w:pPr>
        <w:pStyle w:val="Utskottetsvervganden-RubrikFrslagspunkt"/>
        <w:outlineLvl w:val="0"/>
      </w:pPr>
      <w:bookmarkStart w:id="74" w:name="_Toc532365506"/>
      <w:r w:rsidRPr="00023A3D">
        <w:t>Kapitalhöjning i Europarådets utvecklingsbank</w:t>
      </w:r>
      <w:bookmarkEnd w:id="74"/>
    </w:p>
    <w:p w:rsidR="006C0E49" w:rsidRPr="00023A3D" w:rsidRDefault="006C0E49">
      <w:pPr>
        <w:pStyle w:val="Utskottsfrslagikorthet-Rubrik"/>
        <w:outlineLvl w:val="0"/>
        <w:rPr>
          <w:noProof w:val="0"/>
        </w:rPr>
      </w:pPr>
      <w:r w:rsidRPr="00023A3D">
        <w:rPr>
          <w:noProof w:val="0"/>
        </w:rPr>
        <w:t>Utskottets förslag i korthet</w:t>
      </w:r>
    </w:p>
    <w:p w:rsidR="006C0E49" w:rsidRPr="00023A3D" w:rsidRDefault="006C0E49">
      <w:pPr>
        <w:pStyle w:val="Utskottsfrslagikorthet-Text"/>
      </w:pPr>
      <w:r w:rsidRPr="00023A3D">
        <w:t>Utskottet tillstyrker regeringens förslag att riksdagen skall godkä</w:t>
      </w:r>
      <w:r w:rsidRPr="00023A3D">
        <w:t>n</w:t>
      </w:r>
      <w:r w:rsidRPr="00023A3D">
        <w:t>na att Sverige medverkar i en kapitalhöjning i Europarådets u</w:t>
      </w:r>
      <w:r w:rsidRPr="00023A3D">
        <w:t>t</w:t>
      </w:r>
      <w:r w:rsidRPr="00023A3D">
        <w:t>vecklingsbank.</w:t>
      </w:r>
    </w:p>
    <w:p w:rsidR="006C0E49" w:rsidRPr="00023A3D" w:rsidRDefault="006C0E49">
      <w:pPr>
        <w:pStyle w:val="R4"/>
        <w:spacing w:before="123"/>
        <w:outlineLvl w:val="0"/>
      </w:pPr>
      <w:r w:rsidRPr="00023A3D">
        <w:t>Propositionen</w:t>
      </w:r>
    </w:p>
    <w:p w:rsidR="006C0E49" w:rsidRPr="00023A3D" w:rsidRDefault="006C0E49">
      <w:r w:rsidRPr="00023A3D">
        <w:t xml:space="preserve">Regeringen föreslår att riksdagen skall godkänna att Sverige medverkar i en kapitalhöjning i Europarådets utvecklingsbank, CEB (avsnitt 5.5.1, punkt 10). </w:t>
      </w:r>
    </w:p>
    <w:p w:rsidR="006C0E49" w:rsidRPr="00023A3D" w:rsidRDefault="006C0E49">
      <w:pPr>
        <w:pStyle w:val="Normaltindrag"/>
      </w:pPr>
      <w:r w:rsidRPr="00023A3D">
        <w:t>CEB:s styrelse fattade i november 1999 beslut om att höja bankens eget kapital med 1 847 miljoner euro. Efter höjningen uppgår det egna kapitalet därmed till 3 248 mi</w:t>
      </w:r>
      <w:r w:rsidRPr="00023A3D">
        <w:t>l</w:t>
      </w:r>
      <w:r w:rsidRPr="00023A3D">
        <w:t xml:space="preserve">joner euro. </w:t>
      </w:r>
    </w:p>
    <w:p w:rsidR="006C0E49" w:rsidRPr="00023A3D" w:rsidRDefault="006C0E49">
      <w:pPr>
        <w:pStyle w:val="Normaltindrag"/>
      </w:pPr>
      <w:r w:rsidRPr="00023A3D">
        <w:t>Enligt tidigare ordning skall 11,04 % av bankens eget kapital utgöras av direkta överföringar från medlemsländerna. Resterande del täcks av garantier som medlemsländerna har ställt ut. Förhållandet mellan direkta överföringar och garantiåtaganden skall efter den beslutade kapitalhöjningen vara oförän</w:t>
      </w:r>
      <w:r w:rsidRPr="00023A3D">
        <w:t>d</w:t>
      </w:r>
      <w:r w:rsidRPr="00023A3D">
        <w:t>rat.</w:t>
      </w:r>
    </w:p>
    <w:p w:rsidR="006C0E49" w:rsidRPr="00023A3D" w:rsidRDefault="006C0E49">
      <w:pPr>
        <w:pStyle w:val="Normaltindrag"/>
      </w:pPr>
      <w:r w:rsidRPr="00023A3D">
        <w:t>Avsikten är att 11,04 % av den nu föreslagna kapitalhöjningen skall fina</w:t>
      </w:r>
      <w:r w:rsidRPr="00023A3D">
        <w:t>n</w:t>
      </w:r>
      <w:r w:rsidRPr="00023A3D">
        <w:t>sieras genom en överföring från bankens reservfond. Styrelsebeslutet leder således inte till några betalningsförpliktelser för medlemsländerna, endast till ett utökat garantiåtaga</w:t>
      </w:r>
      <w:r w:rsidRPr="00023A3D">
        <w:t>n</w:t>
      </w:r>
      <w:r w:rsidRPr="00023A3D">
        <w:t xml:space="preserve">de. </w:t>
      </w:r>
    </w:p>
    <w:p w:rsidR="006C0E49" w:rsidRPr="00023A3D" w:rsidRDefault="006C0E49">
      <w:pPr>
        <w:pStyle w:val="Normaltindrag"/>
      </w:pPr>
      <w:r w:rsidRPr="00023A3D">
        <w:t>Sveriges kapitalandel i CEB är 2,57 %. Skall vi efter den beslutade hö</w:t>
      </w:r>
      <w:r w:rsidRPr="00023A3D">
        <w:t>j</w:t>
      </w:r>
      <w:r w:rsidRPr="00023A3D">
        <w:t>ningen behålla denna andel bör vi teckna kapital för ytterligare 47,5 miljoner euro. Eftersom 11,04 % härav finansieras på annat sätt räcker det om Sverige utökar sin garanti med 42,3 miljoner euro. Efter kapitalhöjningen kommer i så fall det svenska garantiåtagandet i CEB att uppgå till 74,3 miljoner euro, motsv</w:t>
      </w:r>
      <w:r w:rsidRPr="00023A3D">
        <w:t>a</w:t>
      </w:r>
      <w:r w:rsidRPr="00023A3D">
        <w:t>rande ca 686 miljoner kronor.</w:t>
      </w:r>
    </w:p>
    <w:p w:rsidR="006C0E49" w:rsidRPr="00023A3D" w:rsidRDefault="006C0E49">
      <w:pPr>
        <w:pStyle w:val="R4"/>
        <w:spacing w:before="240"/>
        <w:outlineLvl w:val="0"/>
        <w:rPr>
          <w:lang w:eastAsia="sv-SE"/>
        </w:rPr>
      </w:pPr>
      <w:r w:rsidRPr="00023A3D">
        <w:rPr>
          <w:lang w:eastAsia="sv-SE"/>
        </w:rPr>
        <w:t>Finansutskottets ställningstagande</w:t>
      </w:r>
    </w:p>
    <w:p w:rsidR="006C0E49" w:rsidRPr="00023A3D" w:rsidRDefault="006C0E49">
      <w:r w:rsidRPr="00023A3D">
        <w:t>Utskottet tillstyrker regeringens förslag. Det innebär att utskottet tillstyrker punkt 10 i pr</w:t>
      </w:r>
      <w:r w:rsidRPr="00023A3D">
        <w:t>o</w:t>
      </w:r>
      <w:r w:rsidRPr="00023A3D">
        <w:t>positionen.</w:t>
      </w:r>
    </w:p>
    <w:p w:rsidR="006C0E49" w:rsidRPr="00023A3D" w:rsidRDefault="006C0E49">
      <w:pPr>
        <w:pStyle w:val="Utskottetsvervganden-RubrikFrslagspunkt"/>
        <w:outlineLvl w:val="0"/>
      </w:pPr>
      <w:bookmarkStart w:id="75" w:name="_Toc532365507"/>
      <w:r w:rsidRPr="00023A3D">
        <w:t>Tillgångshantering inom Riksgäldskontoret</w:t>
      </w:r>
      <w:bookmarkEnd w:id="75"/>
    </w:p>
    <w:p w:rsidR="006C0E49" w:rsidRPr="00023A3D" w:rsidRDefault="006C0E49">
      <w:pPr>
        <w:pStyle w:val="Utskottsfrslagikorthet-Rubrik"/>
        <w:outlineLvl w:val="0"/>
        <w:rPr>
          <w:noProof w:val="0"/>
        </w:rPr>
      </w:pPr>
      <w:r w:rsidRPr="00023A3D">
        <w:rPr>
          <w:noProof w:val="0"/>
        </w:rPr>
        <w:t>Utskottets förslag i korthet</w:t>
      </w:r>
    </w:p>
    <w:p w:rsidR="006C0E49" w:rsidRPr="00023A3D" w:rsidRDefault="006C0E49">
      <w:pPr>
        <w:pStyle w:val="Utskottsfrslagikorthet-Text"/>
      </w:pPr>
      <w:r w:rsidRPr="00023A3D">
        <w:t>Utskottet tillstyrker regeringens förslag att Insättningsgarantinäm</w:t>
      </w:r>
      <w:r w:rsidRPr="00023A3D">
        <w:t>n</w:t>
      </w:r>
      <w:r w:rsidRPr="00023A3D">
        <w:t>den, Premiepensionsmyndigheten och Kärnavfallsfonden skall ges rätt att placera i skuldförbindelser utfä</w:t>
      </w:r>
      <w:r w:rsidRPr="00023A3D">
        <w:t>r</w:t>
      </w:r>
      <w:r w:rsidRPr="00023A3D">
        <w:t>dade av staten.</w:t>
      </w:r>
    </w:p>
    <w:p w:rsidR="006C0E49" w:rsidRPr="00023A3D" w:rsidRDefault="006C0E49">
      <w:pPr>
        <w:pStyle w:val="R4"/>
        <w:outlineLvl w:val="0"/>
      </w:pPr>
      <w:r w:rsidRPr="00023A3D">
        <w:t>Propositionen</w:t>
      </w:r>
    </w:p>
    <w:p w:rsidR="006C0E49" w:rsidRPr="00023A3D" w:rsidRDefault="006C0E49">
      <w:r w:rsidRPr="00023A3D">
        <w:t>Insättningsgarantinämnden (IGN), Premiepensionsmyndigheten (PPM) och Kärnavfallsfondens styrelse (KAF) har tillsammans tillgångar på ca 60 mi</w:t>
      </w:r>
      <w:r w:rsidRPr="00023A3D">
        <w:t>l</w:t>
      </w:r>
      <w:r w:rsidRPr="00023A3D">
        <w:t>jarder kronor placerade på räntebärande konto i Riksgäldskontoret. Regerin</w:t>
      </w:r>
      <w:r w:rsidRPr="00023A3D">
        <w:t>g</w:t>
      </w:r>
      <w:r w:rsidRPr="00023A3D">
        <w:t>en föreslår (avsnitt 5.8) att dessa myndigheter, fr.o.m. den 1 juli 2002, skall ges rätt att placera även i skuldförbindelser utfärdade av staten (punkterna 1–5).</w:t>
      </w:r>
    </w:p>
    <w:p w:rsidR="006C0E49" w:rsidRPr="00023A3D" w:rsidRDefault="006C0E49">
      <w:pPr>
        <w:pStyle w:val="Normaltindrag"/>
      </w:pPr>
      <w:r w:rsidRPr="00023A3D">
        <w:t>Riksgäldskontoret fungerar som internbank i statsförvaltningen, vilket i</w:t>
      </w:r>
      <w:r w:rsidRPr="00023A3D">
        <w:t>n</w:t>
      </w:r>
      <w:r w:rsidRPr="00023A3D">
        <w:t xml:space="preserve">nebär att myndigheter är hänvisade till kontoret för lån av medel och för placering av överskott. De tillgodohavanden som Riksgäldskontoret hanterar i detta samanhang är i de flesta fall av begränsad omfattning. </w:t>
      </w:r>
    </w:p>
    <w:p w:rsidR="006C0E49" w:rsidRPr="00023A3D" w:rsidRDefault="006C0E49">
      <w:pPr>
        <w:pStyle w:val="Normaltindrag"/>
      </w:pPr>
      <w:r w:rsidRPr="00023A3D">
        <w:t>De placeringar som IGN, PPM och KAF har i Riksgäldskontoret är dock av en annan karaktär. Gemensamt för dessa myndigheter är dels att de fö</w:t>
      </w:r>
      <w:r w:rsidRPr="00023A3D">
        <w:t>r</w:t>
      </w:r>
      <w:r w:rsidRPr="00023A3D">
        <w:t>valtar medel som samlats in i särskild ordning och som är avsatta för särskilda ändamål vid sidan av statsbudgeten, dels att de hanterar stora belopp. Förval</w:t>
      </w:r>
      <w:r w:rsidRPr="00023A3D">
        <w:t>t</w:t>
      </w:r>
      <w:r w:rsidRPr="00023A3D">
        <w:t>ningsansvaret av medlen ligger antingen hos myndigheten eller hos anlitade externa förvaltare. Myndigheterna kan i det här avseendet anses bedriva en långsiktig tillgångsförvaltning.</w:t>
      </w:r>
    </w:p>
    <w:p w:rsidR="006C0E49" w:rsidRPr="00023A3D" w:rsidRDefault="006C0E49">
      <w:pPr>
        <w:pStyle w:val="Normaltindrag"/>
      </w:pPr>
      <w:r w:rsidRPr="00023A3D">
        <w:t>Enligt regeringens mening är placeringar i Riksgäldskontoret förknippade med problem för myndigheter med omfattande eller aktiv tillgångshantering, främst beroende på det</w:t>
      </w:r>
      <w:r w:rsidRPr="00023A3D">
        <w:t xml:space="preserve"> sätt på vilket Riksgäldskontoret fastställer räntor, vilket kan leda till mindre avvikelser från rådande marknadsräntor. Vid fö</w:t>
      </w:r>
      <w:r w:rsidRPr="00023A3D">
        <w:t>r</w:t>
      </w:r>
      <w:r w:rsidRPr="00023A3D">
        <w:t>valtningen av stora tillgångar kan även små avvikelser från marknadsräntan få stor effekt. Risken för fel prissättning blir särskilt påtaglig vid reala place</w:t>
      </w:r>
      <w:r w:rsidRPr="00023A3D">
        <w:t>r</w:t>
      </w:r>
      <w:r w:rsidRPr="00023A3D">
        <w:t>ingar eftersom realobligationsmarknaden inte har samma likviditet som den nominella marknaden. Problemen ökar ytterligare i det fall en myndighet avser att bedriva en aktiv förvaltning av sina tillgångar och utvärdera sina pl</w:t>
      </w:r>
      <w:r w:rsidRPr="00023A3D">
        <w:t>aceringar mot något mar</w:t>
      </w:r>
      <w:r w:rsidRPr="00023A3D">
        <w:t>k</w:t>
      </w:r>
      <w:r w:rsidRPr="00023A3D">
        <w:t xml:space="preserve">nadsvärdesbaserat riktmärke. </w:t>
      </w:r>
    </w:p>
    <w:p w:rsidR="006C0E49" w:rsidRPr="00023A3D" w:rsidRDefault="006C0E49">
      <w:pPr>
        <w:pStyle w:val="Normaltindrag"/>
      </w:pPr>
      <w:r w:rsidRPr="00023A3D">
        <w:t>IGN, PPM och KAF skiljer sig från övriga myndigheter även i ett princip</w:t>
      </w:r>
      <w:r w:rsidRPr="00023A3D">
        <w:t>i</w:t>
      </w:r>
      <w:r w:rsidRPr="00023A3D">
        <w:t>ellt avseende eftersom eventuella avvikelser i Riksgäldskontorets räntesät</w:t>
      </w:r>
      <w:r w:rsidRPr="00023A3D">
        <w:t>t</w:t>
      </w:r>
      <w:r w:rsidRPr="00023A3D">
        <w:t>ning i slutändan kan sägas vara av betydelse för aktörer utanför staten. I PPM:s fall är det exempelvis premiepensionstagarna som gynnas eller mis</w:t>
      </w:r>
      <w:r w:rsidRPr="00023A3D">
        <w:t>s</w:t>
      </w:r>
      <w:r w:rsidRPr="00023A3D">
        <w:t>gynnas av en icke marknadsmässig avkastning på de tillfälliga placeringarna i Riksgäldskontoret genom högre eller lägre utbetalning av premiepensionsm</w:t>
      </w:r>
      <w:r w:rsidRPr="00023A3D">
        <w:t>e</w:t>
      </w:r>
      <w:r w:rsidRPr="00023A3D">
        <w:t>del. I IGN:s och KAF:s fall är det berörda finansiella institut respektive kär</w:t>
      </w:r>
      <w:r w:rsidRPr="00023A3D">
        <w:t>n</w:t>
      </w:r>
      <w:r w:rsidRPr="00023A3D">
        <w:t>kraftsindustrin och i sista hand elkonsumenterna som gynnas</w:t>
      </w:r>
      <w:r w:rsidRPr="00023A3D">
        <w:t xml:space="preserve"> eller missgy</w:t>
      </w:r>
      <w:r w:rsidRPr="00023A3D">
        <w:t>n</w:t>
      </w:r>
      <w:r w:rsidRPr="00023A3D">
        <w:t>nas. Eventuella felaktiga prissättningar är således inte enbart en fråga om omförde</w:t>
      </w:r>
      <w:r w:rsidRPr="00023A3D">
        <w:t>l</w:t>
      </w:r>
      <w:r w:rsidRPr="00023A3D">
        <w:t>ning eller internprissättning inom staten.</w:t>
      </w:r>
    </w:p>
    <w:p w:rsidR="006C0E49" w:rsidRPr="00023A3D" w:rsidRDefault="006C0E49">
      <w:pPr>
        <w:pStyle w:val="Normaltindrag"/>
      </w:pPr>
      <w:r w:rsidRPr="00023A3D">
        <w:t>Om IGN, PPM och KAF ges rätt att göra placeringar även i statspapper väntas enligt propositionen drygt 40 miljarder kronor komma att omfördelas från placeringar på räntebärande kontor i Riksgäldskontoret till statspapper</w:t>
      </w:r>
      <w:r w:rsidRPr="00023A3D">
        <w:t>s</w:t>
      </w:r>
      <w:r w:rsidRPr="00023A3D">
        <w:t>marknaden. Eftersom placeringarna uteslutande görs i svenska statspapper kommer omläggningen varken att påverka den konsoliderade bruttoskulden enligt EU:s definition eller det finansiella sparandet, ej heller vad som i bu</w:t>
      </w:r>
      <w:r w:rsidRPr="00023A3D">
        <w:t>d</w:t>
      </w:r>
      <w:r w:rsidRPr="00023A3D">
        <w:t>getpropositionen benämns den konsoliderade statsskulden. Däremot kommer den okonsoliderade statsskulden – dvs. statsskulden redovisad enligt Rik</w:t>
      </w:r>
      <w:r w:rsidRPr="00023A3D">
        <w:t>s</w:t>
      </w:r>
      <w:r w:rsidRPr="00023A3D">
        <w:t>gäldskontorets definition – att öka med det belopp som placeringarna omfa</w:t>
      </w:r>
      <w:r w:rsidRPr="00023A3D">
        <w:t>t</w:t>
      </w:r>
      <w:r w:rsidRPr="00023A3D">
        <w:t>tar. Det sammanhänger med att Riksgäldskontorets inlåning från myndig</w:t>
      </w:r>
      <w:r w:rsidRPr="00023A3D">
        <w:t>heter inte ingår i statsskuldsdefinitionen medan däremot statspapper gör det. Skil</w:t>
      </w:r>
      <w:r w:rsidRPr="00023A3D">
        <w:t>l</w:t>
      </w:r>
      <w:r w:rsidRPr="00023A3D">
        <w:t>naden mellan konsoliderad och okonsoliderad statsskuld skulle därmed öka från ca 3 miljarder kronor till ca 43 miljarder kronor. Regeringen har därför för avsikt att i ökad utsträckning använda den konsoliderade statsskulden som det rättvisande måttet på for</w:t>
      </w:r>
      <w:r w:rsidRPr="00023A3D">
        <w:t>d</w:t>
      </w:r>
      <w:r w:rsidRPr="00023A3D">
        <w:t>ringarna på staten.</w:t>
      </w:r>
    </w:p>
    <w:p w:rsidR="006C0E49" w:rsidRPr="00023A3D" w:rsidRDefault="006C0E49">
      <w:pPr>
        <w:pStyle w:val="Normaltindrag"/>
      </w:pPr>
      <w:r w:rsidRPr="00023A3D">
        <w:t>Förändringen kommer inledningsvis inte att påverka statens lånebehov e</w:t>
      </w:r>
      <w:r w:rsidRPr="00023A3D">
        <w:t>l</w:t>
      </w:r>
      <w:r w:rsidRPr="00023A3D">
        <w:t>ler budgetsaldot nämnvärt. Detta beror på att Riksgäldskontorets skuld till dessa myndigheter i allt väsentligt bilateralt byts från en kassaskuld till en värd</w:t>
      </w:r>
      <w:r w:rsidRPr="00023A3D">
        <w:t>e</w:t>
      </w:r>
      <w:r w:rsidRPr="00023A3D">
        <w:t>pappersskuld utan att någon kassatransaktion äger rum.</w:t>
      </w:r>
    </w:p>
    <w:p w:rsidR="006C0E49" w:rsidRPr="00023A3D" w:rsidRDefault="006C0E49">
      <w:pPr>
        <w:pStyle w:val="R4"/>
        <w:outlineLvl w:val="0"/>
      </w:pPr>
      <w:r w:rsidRPr="00023A3D">
        <w:t>Finansutskottets ställningstagande</w:t>
      </w:r>
    </w:p>
    <w:p w:rsidR="006C0E49" w:rsidRPr="00023A3D" w:rsidRDefault="006C0E49">
      <w:r w:rsidRPr="00023A3D">
        <w:t>Utskottet tillstyrker regeringens förslag. Det innebär att utskottet tillstyrker punkterna 1–5 i pr</w:t>
      </w:r>
      <w:r w:rsidRPr="00023A3D">
        <w:t>o</w:t>
      </w:r>
      <w:r w:rsidRPr="00023A3D">
        <w:t>positionen.</w:t>
      </w:r>
    </w:p>
    <w:p w:rsidR="006C0E49" w:rsidRPr="00023A3D" w:rsidRDefault="006C0E49">
      <w:pPr>
        <w:pStyle w:val="Utskottetsvervganden-RubrikFrslagspunkt"/>
        <w:outlineLvl w:val="0"/>
      </w:pPr>
      <w:bookmarkStart w:id="76" w:name="_Toc532365508"/>
      <w:r w:rsidRPr="00023A3D">
        <w:t>Hantering av äldre garantier till vissa bolag</w:t>
      </w:r>
      <w:bookmarkEnd w:id="76"/>
    </w:p>
    <w:p w:rsidR="006C0E49" w:rsidRPr="00023A3D" w:rsidRDefault="006C0E49">
      <w:pPr>
        <w:pStyle w:val="Utskottsfrslagikorthet-Rubrik"/>
        <w:outlineLvl w:val="0"/>
        <w:rPr>
          <w:noProof w:val="0"/>
        </w:rPr>
      </w:pPr>
      <w:r w:rsidRPr="00023A3D">
        <w:rPr>
          <w:noProof w:val="0"/>
        </w:rPr>
        <w:t>Utskottets förslag i korthet</w:t>
      </w:r>
    </w:p>
    <w:p w:rsidR="006C0E49" w:rsidRPr="00023A3D" w:rsidRDefault="006C0E49">
      <w:pPr>
        <w:pStyle w:val="Utskottsfrslagikorthet-Text"/>
      </w:pPr>
      <w:r w:rsidRPr="00023A3D">
        <w:t>Utskottet tillstyrker regeringens förslag att regeringen skall bemy</w:t>
      </w:r>
      <w:r w:rsidRPr="00023A3D">
        <w:t>n</w:t>
      </w:r>
      <w:r w:rsidRPr="00023A3D">
        <w:t>digas att ersätta de ekonomiska förpliktelser staten har i form av kapitaltäckningsgaranti till Statens bostadslåneaktiebolag och grundfondförbindelse till Statens bostadsfinansieringsaktiebolag, SBAB (publ.), med tidsbegränsade garantier till SBAB (publ.).</w:t>
      </w:r>
    </w:p>
    <w:p w:rsidR="006C0E49" w:rsidRPr="00023A3D" w:rsidRDefault="006C0E49">
      <w:pPr>
        <w:pStyle w:val="R4"/>
        <w:outlineLvl w:val="0"/>
      </w:pPr>
      <w:r w:rsidRPr="00023A3D">
        <w:t>Propositionen</w:t>
      </w:r>
    </w:p>
    <w:p w:rsidR="006C0E49" w:rsidRPr="00023A3D" w:rsidRDefault="006C0E49">
      <w:r w:rsidRPr="00023A3D">
        <w:t>Staten har tidigare utfärdat en grundfondförbindelse till Statens bostadsfina</w:t>
      </w:r>
      <w:r w:rsidRPr="00023A3D">
        <w:t>n</w:t>
      </w:r>
      <w:r w:rsidRPr="00023A3D">
        <w:t>sieringsaktiebolag, SBAB (publ.) samt en kapitaltäckningsgaranti till Statens bostadslåneaktiebolag. För att dessa åtaganden skall kunna hanteras i enlighet med den nya garantimodellen föreslår regeringen att den skall bemyndigas att ersätta dem med tidsbegränsade garantier till SBAB på upp till 10 miljarder kronor (avsnitt 5.8, punkt 11). Garantiramen skall varje år minskas med 1 miljard kronor och alltså vara helt avvecklad efter tio år. En riskrelaterad avgift skall tas ut för garantin, och enligt reger</w:t>
      </w:r>
      <w:r w:rsidRPr="00023A3D">
        <w:t>ingen finns det därför ingen anledning att anvisa något anslag motsvarande subventionseffekten. Utfä</w:t>
      </w:r>
      <w:r w:rsidRPr="00023A3D">
        <w:t>r</w:t>
      </w:r>
      <w:r w:rsidRPr="00023A3D">
        <w:t>dande av den nya garantin medför vidare att SBAB kan ändra koncernstruktur utan hinder av nu gällande kapitaltäckningsgara</w:t>
      </w:r>
      <w:r w:rsidRPr="00023A3D">
        <w:t>n</w:t>
      </w:r>
      <w:r w:rsidRPr="00023A3D">
        <w:t>ti.</w:t>
      </w:r>
    </w:p>
    <w:p w:rsidR="006C0E49" w:rsidRPr="00023A3D" w:rsidRDefault="006C0E49">
      <w:pPr>
        <w:pStyle w:val="R4"/>
        <w:outlineLvl w:val="0"/>
      </w:pPr>
      <w:r w:rsidRPr="00023A3D">
        <w:t>Finansutskottets ställningstagande</w:t>
      </w:r>
    </w:p>
    <w:p w:rsidR="006C0E49" w:rsidRPr="00023A3D" w:rsidRDefault="006C0E49">
      <w:r w:rsidRPr="00023A3D">
        <w:t>Utskottet tillstyrker regeringens förslag. Det innebär att utskottet tillstyrker punkt 11 i pr</w:t>
      </w:r>
      <w:r w:rsidRPr="00023A3D">
        <w:t>o</w:t>
      </w:r>
      <w:r w:rsidRPr="00023A3D">
        <w:t>positionen.</w:t>
      </w:r>
    </w:p>
    <w:p w:rsidR="006C0E49" w:rsidRPr="00023A3D" w:rsidRDefault="006C0E49">
      <w:pPr>
        <w:pStyle w:val="Utskottetsvervganden-RubrikFrslagspunkt"/>
        <w:outlineLvl w:val="0"/>
      </w:pPr>
      <w:bookmarkStart w:id="77" w:name="_Toc532365509"/>
      <w:r w:rsidRPr="00023A3D">
        <w:t>Finansinspektionens finansiering</w:t>
      </w:r>
      <w:bookmarkEnd w:id="77"/>
    </w:p>
    <w:p w:rsidR="006C0E49" w:rsidRPr="00023A3D" w:rsidRDefault="006C0E49">
      <w:pPr>
        <w:pStyle w:val="Utskottsfrslagikorthet-Rubrik"/>
        <w:outlineLvl w:val="0"/>
        <w:rPr>
          <w:noProof w:val="0"/>
        </w:rPr>
      </w:pPr>
      <w:r w:rsidRPr="00023A3D">
        <w:rPr>
          <w:noProof w:val="0"/>
        </w:rPr>
        <w:t>Utskottets förslag i korthet</w:t>
      </w:r>
    </w:p>
    <w:p w:rsidR="006C0E49" w:rsidRPr="00023A3D" w:rsidRDefault="006C0E49">
      <w:pPr>
        <w:pStyle w:val="Utskottsfrslagikorthet-Text"/>
      </w:pPr>
      <w:r w:rsidRPr="00023A3D">
        <w:t>I en motion föreslås att Finansinspektionen skall få tillgodogöra sig avgiftsinkomster direkt. Utskottet avstyrker motionen eftersom fö</w:t>
      </w:r>
      <w:r w:rsidRPr="00023A3D">
        <w:t>r</w:t>
      </w:r>
      <w:r w:rsidRPr="00023A3D">
        <w:t>slaget strider mot budgetlagens krav på bruttoredovisning av o</w:t>
      </w:r>
      <w:r w:rsidRPr="00023A3D">
        <w:t>f</w:t>
      </w:r>
      <w:r w:rsidRPr="00023A3D">
        <w:t xml:space="preserve">fentligrättsliga avgifter. </w:t>
      </w:r>
    </w:p>
    <w:p w:rsidR="006C0E49" w:rsidRPr="00023A3D" w:rsidRDefault="006C0E49">
      <w:pPr>
        <w:pStyle w:val="Utskottsfrslagikorthet-Text"/>
        <w:outlineLvl w:val="0"/>
      </w:pPr>
      <w:r w:rsidRPr="00023A3D">
        <w:t>Jämför rese</w:t>
      </w:r>
      <w:r w:rsidRPr="00023A3D">
        <w:t>r</w:t>
      </w:r>
      <w:r w:rsidRPr="00023A3D">
        <w:t>vation 4</w:t>
      </w:r>
    </w:p>
    <w:p w:rsidR="006C0E49" w:rsidRPr="00023A3D" w:rsidRDefault="006C0E49">
      <w:pPr>
        <w:pStyle w:val="R4"/>
      </w:pPr>
      <w:r w:rsidRPr="00023A3D">
        <w:t>Motionen</w:t>
      </w:r>
    </w:p>
    <w:p w:rsidR="006C0E49" w:rsidRPr="00023A3D" w:rsidRDefault="006C0E49">
      <w:r w:rsidRPr="00023A3D">
        <w:rPr>
          <w:i/>
        </w:rPr>
        <w:t>Kristdemokraterna</w:t>
      </w:r>
      <w:r w:rsidRPr="00023A3D">
        <w:t xml:space="preserve"> föreslår i </w:t>
      </w:r>
      <w:r w:rsidRPr="00023A3D">
        <w:rPr>
          <w:i/>
        </w:rPr>
        <w:t>motion Fi276</w:t>
      </w:r>
      <w:r w:rsidRPr="00023A3D">
        <w:t xml:space="preserve"> yrkande 1 att man skall utreda om inte Finansinspektionens verksamhet kan finansieras på ett effektivare sätt. Motionärerna anser att Finansinspektionen som tillsynsmyndighet på sikt bör kunna avgiftsfinansiera sin verksamhet genom att tillåtas debitera finansi</w:t>
      </w:r>
      <w:r w:rsidRPr="00023A3D">
        <w:t>n</w:t>
      </w:r>
      <w:r w:rsidRPr="00023A3D">
        <w:t xml:space="preserve">stituten direkt för sina kostnader. </w:t>
      </w:r>
    </w:p>
    <w:p w:rsidR="006C0E49" w:rsidRPr="00023A3D" w:rsidRDefault="006C0E49">
      <w:pPr>
        <w:pStyle w:val="R4"/>
        <w:outlineLvl w:val="0"/>
      </w:pPr>
      <w:r w:rsidRPr="00023A3D">
        <w:t>Finansutskottets ställningstagande</w:t>
      </w:r>
    </w:p>
    <w:p w:rsidR="006C0E49" w:rsidRPr="00023A3D" w:rsidRDefault="006C0E49">
      <w:r w:rsidRPr="00023A3D">
        <w:t>I propositionen tar regeringen (avsnitt 5.6.2) upp frågan om Finansinspekti</w:t>
      </w:r>
      <w:r w:rsidRPr="00023A3D">
        <w:t>o</w:t>
      </w:r>
      <w:r w:rsidRPr="00023A3D">
        <w:t>nens avgiftssystem. Regeringen skriver där följande:</w:t>
      </w:r>
    </w:p>
    <w:p w:rsidR="006C0E49" w:rsidRPr="00023A3D" w:rsidRDefault="006C0E49">
      <w:pPr>
        <w:pStyle w:val="Citat"/>
        <w:spacing w:before="60"/>
        <w:ind w:left="170"/>
        <w:rPr>
          <w:snapToGrid w:val="0"/>
          <w:lang w:eastAsia="sv-SE"/>
        </w:rPr>
      </w:pPr>
      <w:r w:rsidRPr="00023A3D">
        <w:rPr>
          <w:snapToGrid w:val="0"/>
          <w:lang w:eastAsia="sv-SE"/>
        </w:rPr>
        <w:t>Finansinspektionen tilldelas årligen ett ramanslag över statsbudgeten. Bas</w:t>
      </w:r>
      <w:r w:rsidRPr="00023A3D">
        <w:rPr>
          <w:snapToGrid w:val="0"/>
          <w:lang w:eastAsia="sv-SE"/>
        </w:rPr>
        <w:t>e</w:t>
      </w:r>
      <w:r w:rsidRPr="00023A3D">
        <w:rPr>
          <w:snapToGrid w:val="0"/>
          <w:lang w:eastAsia="sv-SE"/>
        </w:rPr>
        <w:t>rat på anslagets storlek och inbetalade ansökningsavgifter tar inspektionen ut en obligatorisk tillsynsavgift enligt förordningen (1995:1116) om fina</w:t>
      </w:r>
      <w:r w:rsidRPr="00023A3D">
        <w:rPr>
          <w:snapToGrid w:val="0"/>
          <w:lang w:eastAsia="sv-SE"/>
        </w:rPr>
        <w:t>n</w:t>
      </w:r>
      <w:r w:rsidRPr="00023A3D">
        <w:rPr>
          <w:snapToGrid w:val="0"/>
          <w:lang w:eastAsia="sv-SE"/>
        </w:rPr>
        <w:t>siering av Finansinspektionens verksamhet. Ansökningsavgifterna tas ut i enlighet med avgiftsförordningen (1992:191) som gäller för ett stort antal statliga myndigheter. Avgiften för marknadsövervakning tas ut enligt b</w:t>
      </w:r>
      <w:r w:rsidRPr="00023A3D">
        <w:rPr>
          <w:snapToGrid w:val="0"/>
          <w:lang w:eastAsia="sv-SE"/>
        </w:rPr>
        <w:t>e</w:t>
      </w:r>
      <w:r w:rsidRPr="00023A3D">
        <w:rPr>
          <w:snapToGrid w:val="0"/>
          <w:lang w:eastAsia="sv-SE"/>
        </w:rPr>
        <w:t>stämmelserna i lagen (2000:1087) om anmälningsskyldighet för vissa inn</w:t>
      </w:r>
      <w:r w:rsidRPr="00023A3D">
        <w:rPr>
          <w:snapToGrid w:val="0"/>
          <w:lang w:eastAsia="sv-SE"/>
        </w:rPr>
        <w:t>e</w:t>
      </w:r>
      <w:r w:rsidRPr="00023A3D">
        <w:rPr>
          <w:snapToGrid w:val="0"/>
          <w:lang w:eastAsia="sv-SE"/>
        </w:rPr>
        <w:t xml:space="preserve">hav av finansiella instrument. </w:t>
      </w:r>
    </w:p>
    <w:p w:rsidR="006C0E49" w:rsidRPr="00023A3D" w:rsidRDefault="006C0E49">
      <w:pPr>
        <w:pStyle w:val="Citat"/>
        <w:ind w:left="170" w:firstLine="170"/>
      </w:pPr>
      <w:r w:rsidRPr="00023A3D">
        <w:t>Finansinspektionens kostnad för prövnin</w:t>
      </w:r>
      <w:r w:rsidRPr="00023A3D">
        <w:t>gen av vissa ärenden överstiger väsentligt de avgifter som inspektionen tar ut enligt avgiftsförordningen. Inspektionens avgifter bör därför anpassas till aktuell kostnadsnivå och vara skilda från avgiftsförordningens bestämmelser. Finansinspektionen har dä</w:t>
      </w:r>
      <w:r w:rsidRPr="00023A3D">
        <w:t>r</w:t>
      </w:r>
      <w:r w:rsidRPr="00023A3D">
        <w:t>för haft regeringens uppdrag att inkomma med ett förslag om reformering av ansökningsavgifterna. Förslaget redovisas i rapporten Förslag till en ny avgiftsreglering på Finansinspektionens ansvarsområde (Fi2001/1136). Förslaget innebär att en ny förordnin</w:t>
      </w:r>
      <w:r w:rsidRPr="00023A3D">
        <w:t>g utfärdas som reglerar Finansinspe</w:t>
      </w:r>
      <w:r w:rsidRPr="00023A3D">
        <w:t>k</w:t>
      </w:r>
      <w:r w:rsidRPr="00023A3D">
        <w:t>tionens avgifter vid prövning av olika ärenden samt att aktuella bestämme</w:t>
      </w:r>
      <w:r w:rsidRPr="00023A3D">
        <w:t>l</w:t>
      </w:r>
      <w:r w:rsidRPr="00023A3D">
        <w:t>ser i anslutning till avgiftsförordnin</w:t>
      </w:r>
      <w:r w:rsidRPr="00023A3D">
        <w:t>g</w:t>
      </w:r>
      <w:r w:rsidRPr="00023A3D">
        <w:t>en upphävs.</w:t>
      </w:r>
    </w:p>
    <w:p w:rsidR="006C0E49" w:rsidRPr="00023A3D" w:rsidRDefault="006C0E49">
      <w:pPr>
        <w:pStyle w:val="Citat"/>
        <w:ind w:left="170" w:firstLine="170"/>
      </w:pPr>
      <w:r w:rsidRPr="00023A3D">
        <w:t>Förslaget har remissbehandlats. Av de som besvarat remissen har samtl</w:t>
      </w:r>
      <w:r w:rsidRPr="00023A3D">
        <w:t>i</w:t>
      </w:r>
      <w:r w:rsidRPr="00023A3D">
        <w:t>ga tillstyrkt förslaget eller lämnat det utan erinran. Mot denna bakgrund a</w:t>
      </w:r>
      <w:r w:rsidRPr="00023A3D">
        <w:t>v</w:t>
      </w:r>
      <w:r w:rsidRPr="00023A3D">
        <w:t>ser regeringen besluta nya avgiftsregler för Finansinspektionen, som skall träda i kraft från och med 2002.</w:t>
      </w:r>
    </w:p>
    <w:p w:rsidR="006C0E49" w:rsidRPr="00023A3D" w:rsidRDefault="006C0E49">
      <w:r w:rsidRPr="00023A3D">
        <w:t>Motionärerna föreslår att Finansinspektionen på sikt skall få debitera fina</w:t>
      </w:r>
      <w:r w:rsidRPr="00023A3D">
        <w:t>n</w:t>
      </w:r>
      <w:r w:rsidRPr="00023A3D">
        <w:t>s</w:t>
      </w:r>
      <w:r w:rsidRPr="00023A3D">
        <w:softHyphen/>
        <w:t>instituten direkt för sina kostnader. Utskottet behandlade ett likalydande motionsyrkande i betänkande 2000/01:FiU2. På förslag från utskottet avslog riksdagen motionen. I betänkandet konstaterade utskottet att de avgifter som betalas till Finansinspektionen är offentligrättsliga avgifter. Utskottet skrev (s. 34): ”Enligt 9 § i budgetlagen (1996:1059) skall offentligrättsliga avgifter som beräknas av riksdagen redovisas mot inkomsttitlar. I 17 § samma lag föreskrivs att statens inkomster och utgifter ska</w:t>
      </w:r>
      <w:r w:rsidRPr="00023A3D">
        <w:t>ll budgeteras och redovisas brutto på statsbudgeten. Av förarbetena till budgetlagen (prop. 1995/96:220 s. 94) framgår att det inte finns något undantag från bruttoprincipen beträffande inkomster som redovisas mot inkomsttitlar. Sådana inkomster skall därför alltid budgeteras och redovisas brutto.” Utskottet ansåg att motionärernas förslag innebar ett avsteg från budgetlagens krav på bruttoredovisning. U</w:t>
      </w:r>
      <w:r w:rsidRPr="00023A3D">
        <w:t>t</w:t>
      </w:r>
      <w:r w:rsidRPr="00023A3D">
        <w:t>skottet fann ingen a</w:t>
      </w:r>
      <w:r w:rsidRPr="00023A3D">
        <w:t>n</w:t>
      </w:r>
      <w:r w:rsidRPr="00023A3D">
        <w:t>ledning att frångå budgetlagens krav.</w:t>
      </w:r>
    </w:p>
    <w:p w:rsidR="006C0E49" w:rsidRPr="00023A3D" w:rsidRDefault="006C0E49">
      <w:pPr>
        <w:pStyle w:val="Normaltindrag"/>
      </w:pPr>
      <w:r w:rsidRPr="00023A3D">
        <w:t>Utskottet anser inte att det har framkommit n</w:t>
      </w:r>
      <w:r w:rsidRPr="00023A3D">
        <w:t>ågot som föranleder utskottet att frångå sitt tidigare ställningstagande. Motion Fi276 (kd) yrkande 1 a</w:t>
      </w:r>
      <w:r w:rsidRPr="00023A3D">
        <w:t>v</w:t>
      </w:r>
      <w:r w:rsidRPr="00023A3D">
        <w:t>styrks således.</w:t>
      </w:r>
    </w:p>
    <w:p w:rsidR="006C0E49" w:rsidRPr="00023A3D" w:rsidRDefault="006C0E49">
      <w:pPr>
        <w:pStyle w:val="Utskottetsvervganden-RubrikFrslagspunkt"/>
        <w:outlineLvl w:val="0"/>
      </w:pPr>
      <w:bookmarkStart w:id="78" w:name="_Toc532365510"/>
      <w:r w:rsidRPr="00023A3D">
        <w:t>Företagens uppgiftslämnande</w:t>
      </w:r>
      <w:bookmarkEnd w:id="78"/>
    </w:p>
    <w:p w:rsidR="006C0E49" w:rsidRPr="00023A3D" w:rsidRDefault="006C0E49">
      <w:pPr>
        <w:pStyle w:val="Utskottsfrslagikorthet-Rubrik"/>
        <w:outlineLvl w:val="0"/>
        <w:rPr>
          <w:noProof w:val="0"/>
        </w:rPr>
      </w:pPr>
      <w:r w:rsidRPr="00023A3D">
        <w:rPr>
          <w:noProof w:val="0"/>
        </w:rPr>
        <w:t>Utskottets förslag i korthet</w:t>
      </w:r>
    </w:p>
    <w:p w:rsidR="006C0E49" w:rsidRPr="00023A3D" w:rsidRDefault="006C0E49">
      <w:pPr>
        <w:pStyle w:val="Utskottsfrslagikorthet-Text"/>
      </w:pPr>
      <w:r w:rsidRPr="00023A3D">
        <w:t xml:space="preserve">Utskottet föreslår att riksdagen inte gör något tillkännagivande om småföretagens uppgiftslämnande inom Intrastatsystemet eftersom detta regleras på multilateral basis av EU:s ministerråd. </w:t>
      </w:r>
    </w:p>
    <w:p w:rsidR="006C0E49" w:rsidRPr="00023A3D" w:rsidRDefault="006C0E49">
      <w:pPr>
        <w:pStyle w:val="Utskottsfrslagikorthet-Text"/>
      </w:pPr>
      <w:r w:rsidRPr="00023A3D">
        <w:t>Den i frågan väckta motionen avstyrks.</w:t>
      </w:r>
    </w:p>
    <w:p w:rsidR="006C0E49" w:rsidRPr="00023A3D" w:rsidRDefault="006C0E49">
      <w:pPr>
        <w:pStyle w:val="Utskottsfrslagikorthet-Text"/>
      </w:pPr>
      <w:r w:rsidRPr="00023A3D">
        <w:t>Jämför reservation 5</w:t>
      </w:r>
    </w:p>
    <w:p w:rsidR="006C0E49" w:rsidRPr="00023A3D" w:rsidRDefault="006C0E49">
      <w:pPr>
        <w:pStyle w:val="R4"/>
      </w:pPr>
      <w:r w:rsidRPr="00023A3D">
        <w:t>Motionen</w:t>
      </w:r>
    </w:p>
    <w:p w:rsidR="006C0E49" w:rsidRPr="00023A3D" w:rsidRDefault="006C0E49">
      <w:r w:rsidRPr="00023A3D">
        <w:t xml:space="preserve">I </w:t>
      </w:r>
      <w:r w:rsidRPr="00023A3D">
        <w:rPr>
          <w:i/>
        </w:rPr>
        <w:t>motion N345</w:t>
      </w:r>
      <w:r w:rsidRPr="00023A3D">
        <w:t xml:space="preserve"> av Ewa Thalén Finné och Leif Carlson (m) konstateras att kravet på importerande småföretag att lämna statistikuppgifter inom s.k. Intrastat är så detaljerat att det leder till godtyckliga förenklingar av produk</w:t>
      </w:r>
      <w:r w:rsidRPr="00023A3D">
        <w:t>t</w:t>
      </w:r>
      <w:r w:rsidRPr="00023A3D">
        <w:t>beskrivningar hos företagen. Detta medför att statistiken inte blir korrekt. Motionärerna anser att antalet klassificeringar inom Intrastat måste minska till mer generella huvudgrupper. Detta skulle bidra till ett av huvudmålen för företagspolitiken, nämligen att förenkla det administrati</w:t>
      </w:r>
      <w:r w:rsidRPr="00023A3D">
        <w:t>va arbetet för föret</w:t>
      </w:r>
      <w:r w:rsidRPr="00023A3D">
        <w:t>a</w:t>
      </w:r>
      <w:r w:rsidRPr="00023A3D">
        <w:t>gen och göra uppgiftslämnandet relevant.</w:t>
      </w:r>
    </w:p>
    <w:p w:rsidR="006C0E49" w:rsidRPr="00023A3D" w:rsidRDefault="006C0E49">
      <w:pPr>
        <w:pStyle w:val="R4"/>
        <w:outlineLvl w:val="0"/>
      </w:pPr>
      <w:r w:rsidRPr="00023A3D">
        <w:t>Utskottets ställningstagande</w:t>
      </w:r>
    </w:p>
    <w:p w:rsidR="006C0E49" w:rsidRPr="00023A3D" w:rsidRDefault="006C0E49">
      <w:r w:rsidRPr="00023A3D">
        <w:t>I och med medlemskapet i EU upphörde möjligheten att från tulldokument hämta statistiskt underlag för handeln med övriga EU-länder. Inom EU har man som ersättning utvecklat ett statistiksystem – Intrastat – som trädde i kraft 1993 för att i stället direkt från företagen samla in uppgifterna om infö</w:t>
      </w:r>
      <w:r w:rsidRPr="00023A3D">
        <w:t>r</w:t>
      </w:r>
      <w:r w:rsidRPr="00023A3D">
        <w:t>sel och utförsel av varor mellan medlemsländerna. Intrastatsystemet är baserat på grundläggande EU-förordningar som gäller i samtliga EU-länder. Den praktiska tillämpningen skiljer sig dock något me</w:t>
      </w:r>
      <w:r w:rsidRPr="00023A3D">
        <w:t>l</w:t>
      </w:r>
      <w:r w:rsidRPr="00023A3D">
        <w:t>lan medlemsländerna.</w:t>
      </w:r>
    </w:p>
    <w:p w:rsidR="006C0E49" w:rsidRPr="00023A3D" w:rsidRDefault="006C0E49">
      <w:pPr>
        <w:pStyle w:val="Normaltindrag"/>
      </w:pPr>
      <w:r w:rsidRPr="00023A3D">
        <w:t>EU:s ministerråd har konstaterat att information om varuhandeln mellan medlemsländerna är väsentlig för att kunna visa den inre marknadens utvec</w:t>
      </w:r>
      <w:r w:rsidRPr="00023A3D">
        <w:t>k</w:t>
      </w:r>
      <w:r w:rsidRPr="00023A3D">
        <w:t>ling. Informationen måste baseras på detaljerade varuuppgifter för att kunna belysa olika sektorer av näringslivet. I rådets förordning (EEG) 3330/91 r</w:t>
      </w:r>
      <w:r w:rsidRPr="00023A3D">
        <w:t>e</w:t>
      </w:r>
      <w:r w:rsidRPr="00023A3D">
        <w:softHyphen/>
        <w:t>gleras uppgiftslämnandet i Intrastat. Bland annat skall den åttasiffriga koden enligt den kombinerade nomenklaturen (KN) anges för varje typ av vara.  Varje medlemsland skall månadsvis leverera Intrastatuppgifterna på den finaste varunivån till EU:s statistikkontor Euro</w:t>
      </w:r>
      <w:r w:rsidRPr="00023A3D">
        <w:t>s</w:t>
      </w:r>
      <w:r w:rsidRPr="00023A3D">
        <w:t xml:space="preserve">tat. </w:t>
      </w:r>
    </w:p>
    <w:p w:rsidR="006C0E49" w:rsidRPr="00023A3D" w:rsidRDefault="006C0E49">
      <w:pPr>
        <w:pStyle w:val="Normaltindrag"/>
      </w:pPr>
      <w:r w:rsidRPr="00023A3D">
        <w:t>Utskottet har förståelse för att uppgiftslämnararbetet i Intrastat är stort och s</w:t>
      </w:r>
      <w:r w:rsidRPr="00023A3D">
        <w:t>vårigheten att redovisa tillförlitliga uppgifter fördelade på 10 500 varukoder är uppenbar. Kvaliteten i statistiken på den finaste nivån ifrågasätts ibland, men statistiken efterfrågas trots det av många användare, bl.a. inom näringsl</w:t>
      </w:r>
      <w:r w:rsidRPr="00023A3D">
        <w:t>i</w:t>
      </w:r>
      <w:r w:rsidRPr="00023A3D">
        <w:t>vet. Man har på EU-nivån gjort några försök att förenkla varunomenklaturen i Intrastat men inte lyckats med detta. Enskilda medlemsländer har ingen mö</w:t>
      </w:r>
      <w:r w:rsidRPr="00023A3D">
        <w:t>j</w:t>
      </w:r>
      <w:r w:rsidRPr="00023A3D">
        <w:t>lighet att på nationell nivå minska antalet klassificeringar i sin statistikinsa</w:t>
      </w:r>
      <w:r w:rsidRPr="00023A3D">
        <w:t>m</w:t>
      </w:r>
      <w:r w:rsidRPr="00023A3D">
        <w:t>ling så länge EU med stöd av förordning kräv</w:t>
      </w:r>
      <w:r w:rsidRPr="00023A3D">
        <w:t>er in uppgifterna enligt KN:s åttasiffe</w:t>
      </w:r>
      <w:r w:rsidRPr="00023A3D">
        <w:t>r</w:t>
      </w:r>
      <w:r w:rsidRPr="00023A3D">
        <w:t>nivå.</w:t>
      </w:r>
    </w:p>
    <w:p w:rsidR="006C0E49" w:rsidRPr="00023A3D" w:rsidRDefault="006C0E49">
      <w:pPr>
        <w:pStyle w:val="Normaltindrag"/>
      </w:pPr>
      <w:r w:rsidRPr="00023A3D">
        <w:t>Enligt vad utskottet erfarit tillämpas s.k. trösklar för att minska uppgift</w:t>
      </w:r>
      <w:r w:rsidRPr="00023A3D">
        <w:t>s</w:t>
      </w:r>
      <w:r w:rsidRPr="00023A3D">
        <w:t xml:space="preserve">lämnarbördan för de små företagen. De företag vilkas utförsel eller införsel under en 12-månadersperiod överstiger tröskelvärdet är skyldiga att lämna uppgifter. I Sverige är tröskelvärdet 1,5 miljoner kronor sedan 1998, vilket innebär att alla företag med årlig införsel eller utförsel som understiger denna tröskel slipper helt att lämna Intrastatuppgifter. </w:t>
      </w:r>
    </w:p>
    <w:p w:rsidR="006C0E49" w:rsidRPr="00023A3D" w:rsidRDefault="006C0E49">
      <w:pPr>
        <w:pStyle w:val="Normaltindrag"/>
        <w:rPr>
          <w:b/>
        </w:rPr>
      </w:pPr>
      <w:r w:rsidRPr="00023A3D">
        <w:t>Utskottet vill samtidigt erinra om att Statistiska centralbyrån i olika sa</w:t>
      </w:r>
      <w:r w:rsidRPr="00023A3D">
        <w:t>m</w:t>
      </w:r>
      <w:r w:rsidRPr="00023A3D">
        <w:t>manhang föreslagit förenklingar i Intrastat, inklusive ett helt nytt system för statistiken. Förslagen har dock stött på kraftigt motstånd från andra me</w:t>
      </w:r>
      <w:r w:rsidRPr="00023A3D">
        <w:t>d</w:t>
      </w:r>
      <w:r w:rsidRPr="00023A3D">
        <w:t>lemslä</w:t>
      </w:r>
      <w:r w:rsidRPr="00023A3D">
        <w:t>n</w:t>
      </w:r>
      <w:r w:rsidRPr="00023A3D">
        <w:t>der.</w:t>
      </w:r>
    </w:p>
    <w:p w:rsidR="006C0E49" w:rsidRPr="00023A3D" w:rsidRDefault="006C0E49">
      <w:pPr>
        <w:pStyle w:val="Normaltindrag"/>
      </w:pPr>
      <w:r w:rsidRPr="00023A3D">
        <w:t>Med det anförda avstyrker utskottet motion N345 (m).</w:t>
      </w:r>
    </w:p>
    <w:p w:rsidR="006C0E49" w:rsidRPr="00023A3D" w:rsidRDefault="006C0E49">
      <w:pPr>
        <w:pStyle w:val="Utskottetsvervganden-RubrikFrslagspunkt"/>
        <w:outlineLvl w:val="0"/>
      </w:pPr>
      <w:bookmarkStart w:id="79" w:name="_Toc532365511"/>
      <w:r w:rsidRPr="00023A3D">
        <w:t>Generationsräkenskaper</w:t>
      </w:r>
      <w:bookmarkEnd w:id="79"/>
    </w:p>
    <w:p w:rsidR="006C0E49" w:rsidRPr="00023A3D" w:rsidRDefault="006C0E49">
      <w:pPr>
        <w:pStyle w:val="Utskottsfrslagikorthet-Rubrik"/>
        <w:outlineLvl w:val="0"/>
        <w:rPr>
          <w:noProof w:val="0"/>
        </w:rPr>
      </w:pPr>
      <w:r w:rsidRPr="00023A3D">
        <w:rPr>
          <w:noProof w:val="0"/>
        </w:rPr>
        <w:t>Utskottets förslag i korthet</w:t>
      </w:r>
    </w:p>
    <w:p w:rsidR="006C0E49" w:rsidRPr="00023A3D" w:rsidRDefault="006C0E49">
      <w:pPr>
        <w:pStyle w:val="Utskottsfrslagikorthet-Text"/>
      </w:pPr>
      <w:r w:rsidRPr="00023A3D">
        <w:t>Utskottet föreslår att det inte bör införas några årliga generationsr</w:t>
      </w:r>
      <w:r w:rsidRPr="00023A3D">
        <w:t>ä</w:t>
      </w:r>
      <w:r w:rsidRPr="00023A3D">
        <w:t>kenskaper. Den i frågan väckta motionen avstyrks.</w:t>
      </w:r>
    </w:p>
    <w:p w:rsidR="006C0E49" w:rsidRPr="00023A3D" w:rsidRDefault="006C0E49">
      <w:pPr>
        <w:pStyle w:val="R4"/>
        <w:outlineLvl w:val="0"/>
      </w:pPr>
      <w:r w:rsidRPr="00023A3D">
        <w:t>Motionen</w:t>
      </w:r>
    </w:p>
    <w:p w:rsidR="006C0E49" w:rsidRPr="00023A3D" w:rsidRDefault="006C0E49">
      <w:r w:rsidRPr="00023A3D">
        <w:t xml:space="preserve">I </w:t>
      </w:r>
      <w:r w:rsidRPr="00023A3D">
        <w:rPr>
          <w:i/>
        </w:rPr>
        <w:t>motion Fi202</w:t>
      </w:r>
      <w:r w:rsidRPr="00023A3D">
        <w:t xml:space="preserve"> av Amanda Agestav och Magnus Jacobsson (kd) framhålls att det är av stor vikt att samhället ständigt ser över stödet till och inkomsterna från olika generationer. Det är inte rimligt att en generation får ta del av hela kakan och efterföljande generationer får nöja sig med de eventuella smulor som finns kvar. Den samhällsekonomiska målsättningen för ett hållbart sy</w:t>
      </w:r>
      <w:r w:rsidRPr="00023A3D">
        <w:softHyphen/>
        <w:t>stem måste vara att varje generation över en livscykel betalar sina kostnader för de trygghetssystem och de förmåner som medborgare</w:t>
      </w:r>
      <w:r w:rsidRPr="00023A3D">
        <w:t xml:space="preserve"> har. Motionärerna föreslår därför riksdagen att begära hos regeringen en årlig översyn av gen</w:t>
      </w:r>
      <w:r w:rsidRPr="00023A3D">
        <w:t>e</w:t>
      </w:r>
      <w:r w:rsidRPr="00023A3D">
        <w:t>rationsräkenskaperna.</w:t>
      </w:r>
    </w:p>
    <w:p w:rsidR="006C0E49" w:rsidRPr="00023A3D" w:rsidRDefault="006C0E49">
      <w:pPr>
        <w:pStyle w:val="R4"/>
        <w:outlineLvl w:val="0"/>
      </w:pPr>
      <w:r w:rsidRPr="00023A3D">
        <w:t>Utskottets ställningstagande</w:t>
      </w:r>
    </w:p>
    <w:p w:rsidR="006C0E49" w:rsidRPr="00023A3D" w:rsidRDefault="006C0E49">
      <w:r w:rsidRPr="00023A3D">
        <w:t>Finansutskottet har vid flera tillfällen behandlat förslag om generationsräke</w:t>
      </w:r>
      <w:r w:rsidRPr="00023A3D">
        <w:t>n</w:t>
      </w:r>
      <w:r w:rsidRPr="00023A3D">
        <w:t>skaper</w:t>
      </w:r>
      <w:r w:rsidRPr="00023A3D">
        <w:rPr>
          <w:rStyle w:val="Fotnotsreferens"/>
        </w:rPr>
        <w:footnoteReference w:id="3"/>
      </w:r>
      <w:r w:rsidRPr="00023A3D">
        <w:t>. Utskottet vill erinra om att en studie av frågor angående generation</w:t>
      </w:r>
      <w:r w:rsidRPr="00023A3D">
        <w:t>s</w:t>
      </w:r>
      <w:r w:rsidRPr="00023A3D">
        <w:t>räkenskaper har utförts av Konjunkturinstitutet. I institutets rapport Gener</w:t>
      </w:r>
      <w:r w:rsidRPr="00023A3D">
        <w:t>a</w:t>
      </w:r>
      <w:r w:rsidRPr="00023A3D">
        <w:t>tionsräkenskaper (Ds 1995:70) konstaterades att varje försök att värdera hur olika generationer påverkas av sådana faktorer som utlandsskulden, pension</w:t>
      </w:r>
      <w:r w:rsidRPr="00023A3D">
        <w:t>s</w:t>
      </w:r>
      <w:r w:rsidRPr="00023A3D">
        <w:t>skulden, statsskulden, miljöskulden och den sociala skulden stöter på stora principiella och statistiska svårigheter. Särskild uppmärksamhet ägnades åt den s.k. Kotlikoffmodellen för generationsräkenskaper, men i</w:t>
      </w:r>
      <w:r w:rsidRPr="00023A3D">
        <w:t xml:space="preserve"> rapporten red</w:t>
      </w:r>
      <w:r w:rsidRPr="00023A3D">
        <w:t>o</w:t>
      </w:r>
      <w:r w:rsidRPr="00023A3D">
        <w:t>visades också flera invändningar mot de</w:t>
      </w:r>
      <w:r w:rsidRPr="00023A3D">
        <w:t>n</w:t>
      </w:r>
      <w:r w:rsidRPr="00023A3D">
        <w:t>na modell.</w:t>
      </w:r>
    </w:p>
    <w:p w:rsidR="006C0E49" w:rsidRPr="00023A3D" w:rsidRDefault="006C0E49">
      <w:pPr>
        <w:pStyle w:val="Normaltindrag"/>
      </w:pPr>
      <w:r w:rsidRPr="00023A3D">
        <w:t>Utskottet har från Finansdepartementet inhämtat att Konjunkturinstitutets rapport inte lett till något fortsatt utvecklingsarbete för att skapa årliga gen</w:t>
      </w:r>
      <w:r w:rsidRPr="00023A3D">
        <w:t>e</w:t>
      </w:r>
      <w:r w:rsidRPr="00023A3D">
        <w:t>rationsräkenskaper i budgetpropositionen. Det innebär emellertid inte att frågan har förblivit outredd. Långtidsutredningen lade särskild vikt vid den demografiska utvecklingens betydelse för välfärdssystemen, tillväxten och sysselsättningen (SOU 2000:7). I en bilaga ägnas särskild uppmärksamhet åt den åldrande befolkningens konsekvenser för svensk ekonomi (bilaga 9). Pensionsreformen har också inneburit att generationsfrågan kommit upp till belysning. Vidare har Expertgruppen för studier i offentlig ekono</w:t>
      </w:r>
      <w:r w:rsidRPr="00023A3D">
        <w:t>mi, ESO, i rapporten 40-talisternas uttåg (Ds 2000:13) presenterat nya demografiskt baserade pr</w:t>
      </w:r>
      <w:r w:rsidRPr="00023A3D">
        <w:t>o</w:t>
      </w:r>
      <w:r w:rsidRPr="00023A3D">
        <w:t>gnoser för den ekonomiska utvecklingen i Sverige.</w:t>
      </w:r>
    </w:p>
    <w:p w:rsidR="006C0E49" w:rsidRPr="00023A3D" w:rsidRDefault="006C0E49">
      <w:pPr>
        <w:pStyle w:val="Normaltindrag"/>
      </w:pPr>
      <w:r w:rsidRPr="00023A3D">
        <w:t>Ett brett underlag till diskussionen om välfärdspolitikens förutsättningar och dess utmaningar har också överlämnats i Välfärdsbokslutet över 1990-talet från Kommittén Välfärdsbokslut. I kommitténs slutbetänkande (SOU 2001:79) ges en utförlig beskrivning av de demografiska utmaningarna för den svenska socialpol</w:t>
      </w:r>
      <w:r w:rsidRPr="00023A3D">
        <w:t>i</w:t>
      </w:r>
      <w:r w:rsidRPr="00023A3D">
        <w:t>tiska modellens framtida inriktning.</w:t>
      </w:r>
    </w:p>
    <w:p w:rsidR="006C0E49" w:rsidRPr="00023A3D" w:rsidRDefault="006C0E49">
      <w:pPr>
        <w:pStyle w:val="Normaltindrag"/>
      </w:pPr>
      <w:r w:rsidRPr="00023A3D">
        <w:t>Utskottet anser det viktigt att regeringen utförligt och metodiskt analyserar välfärdsfördelningen mellan generationerna. I detta arbete kan generationsr</w:t>
      </w:r>
      <w:r w:rsidRPr="00023A3D">
        <w:t>ä</w:t>
      </w:r>
      <w:r w:rsidRPr="00023A3D">
        <w:t>kenskaperna vara av värde. Utskottet finner det dock inte motiverat att man varje år behöver ta fram sådana räkenskaper. Med hänvisning härtill föreslår u</w:t>
      </w:r>
      <w:r w:rsidRPr="00023A3D">
        <w:t>t</w:t>
      </w:r>
      <w:r w:rsidRPr="00023A3D">
        <w:t>skottet att riksdagen avslår motion Fi202 (kd).</w:t>
      </w:r>
    </w:p>
    <w:p w:rsidR="006C0E49" w:rsidRPr="00023A3D" w:rsidRDefault="006C0E49">
      <w:pPr>
        <w:pStyle w:val="Normaltindrag"/>
        <w:sectPr w:rsidR="00000000" w:rsidRPr="00023A3D">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6C0E49" w:rsidRPr="00023A3D" w:rsidRDefault="006C0E49">
      <w:pPr>
        <w:pStyle w:val="Rubrik1"/>
        <w:rPr>
          <w:noProof w:val="0"/>
        </w:rPr>
      </w:pPr>
      <w:bookmarkStart w:id="80" w:name="_Toc532365512"/>
      <w:r w:rsidRPr="00023A3D">
        <w:rPr>
          <w:noProof w:val="0"/>
        </w:rPr>
        <w:t>Reservationer</w:t>
      </w:r>
      <w:bookmarkEnd w:id="80"/>
    </w:p>
    <w:p w:rsidR="006C0E49" w:rsidRPr="00023A3D" w:rsidRDefault="006C0E49">
      <w:r w:rsidRPr="00023A3D">
        <w:t>Utskottets förslag till riksdagsbeslut och ställningstaganden har föranlett följande reservationer. I rubriken anges inom parentes vilken punkt i utsko</w:t>
      </w:r>
      <w:r w:rsidRPr="00023A3D">
        <w:t>t</w:t>
      </w:r>
      <w:r w:rsidRPr="00023A3D">
        <w:t>tets förslag till riksdagsbeslut som behandlas i avsnittet.</w:t>
      </w:r>
    </w:p>
    <w:p w:rsidR="006C0E49" w:rsidRPr="00023A3D" w:rsidRDefault="006C0E49">
      <w:pPr>
        <w:pStyle w:val="Reservationspunkt"/>
        <w:rPr>
          <w:noProof w:val="0"/>
        </w:rPr>
      </w:pPr>
      <w:bookmarkStart w:id="81" w:name="_Toc532365513"/>
      <w:r w:rsidRPr="00023A3D">
        <w:rPr>
          <w:noProof w:val="0"/>
        </w:rPr>
        <w:t>1.</w:t>
      </w:r>
      <w:r w:rsidRPr="00023A3D">
        <w:rPr>
          <w:noProof w:val="0"/>
        </w:rPr>
        <w:tab/>
        <w:t>Anslagen för 2002 inom utgiftsområde 2 – punkt 1 (m)</w:t>
      </w:r>
      <w:bookmarkEnd w:id="81"/>
    </w:p>
    <w:p w:rsidR="006C0E49" w:rsidRPr="00023A3D" w:rsidRDefault="006C0E49">
      <w:pPr>
        <w:pStyle w:val="Reservanter"/>
      </w:pPr>
      <w:r w:rsidRPr="00023A3D">
        <w:t>av Gunnar Hökmark, Lennart Hedquist, Anna Åkerhielm och Gunnar Axén (alla m).</w:t>
      </w:r>
    </w:p>
    <w:p w:rsidR="006C0E49" w:rsidRPr="00023A3D" w:rsidRDefault="006C0E49">
      <w:pPr>
        <w:pStyle w:val="R4"/>
      </w:pPr>
      <w:r w:rsidRPr="00023A3D">
        <w:t>Förslag till riksdagsbeslut</w:t>
      </w:r>
    </w:p>
    <w:p w:rsidR="006C0E49" w:rsidRPr="00023A3D" w:rsidRDefault="006C0E49">
      <w:r w:rsidRPr="00023A3D">
        <w:t>Vi anser att utskottets förslag under punkt 1 borde ha följande lydelse:</w:t>
      </w:r>
    </w:p>
    <w:p w:rsidR="006C0E49" w:rsidRPr="00023A3D" w:rsidRDefault="006C0E49">
      <w:r w:rsidRPr="00023A3D">
        <w:t>Riksdagen anvisar för budgetåret 2002 anslag inom utgiftsområde 2 Sa</w:t>
      </w:r>
      <w:r w:rsidRPr="00023A3D">
        <w:t>m</w:t>
      </w:r>
      <w:r w:rsidRPr="00023A3D">
        <w:t>hällsekonomi och finansförvaltning på det sätt som framgår av det med rese</w:t>
      </w:r>
      <w:r w:rsidRPr="00023A3D">
        <w:t>r</w:t>
      </w:r>
      <w:r w:rsidRPr="00023A3D">
        <w:t>vation 1 (m) betecknade förslaget i den specifikation som följer efter utsko</w:t>
      </w:r>
      <w:r w:rsidRPr="00023A3D">
        <w:t>t</w:t>
      </w:r>
      <w:r w:rsidRPr="00023A3D">
        <w:t xml:space="preserve">tets förslag till beslut. Därmed bifaller riksdagen motionerna </w:t>
      </w:r>
    </w:p>
    <w:p w:rsidR="006C0E49" w:rsidRPr="00023A3D" w:rsidRDefault="006C0E49">
      <w:pPr>
        <w:spacing w:before="0"/>
      </w:pPr>
      <w:r w:rsidRPr="00023A3D">
        <w:t>2001/02:Fi220 av förste vice talmannen Anders Björck och Christel Ande</w:t>
      </w:r>
      <w:r w:rsidRPr="00023A3D">
        <w:t>r</w:t>
      </w:r>
      <w:r w:rsidRPr="00023A3D">
        <w:t xml:space="preserve">berg (m), </w:t>
      </w:r>
    </w:p>
    <w:p w:rsidR="006C0E49" w:rsidRPr="00023A3D" w:rsidRDefault="006C0E49">
      <w:pPr>
        <w:spacing w:before="0"/>
      </w:pPr>
      <w:r w:rsidRPr="00023A3D">
        <w:t xml:space="preserve">2001/02:Fi260 av Karin Pilsäter m.fl. (fp), </w:t>
      </w:r>
    </w:p>
    <w:p w:rsidR="006C0E49" w:rsidRPr="00023A3D" w:rsidRDefault="006C0E49">
      <w:pPr>
        <w:spacing w:before="0"/>
      </w:pPr>
      <w:r w:rsidRPr="00023A3D">
        <w:t xml:space="preserve">2001/02:Fi279 av Gunnar Hökmark m.fl. (m), </w:t>
      </w:r>
    </w:p>
    <w:p w:rsidR="006C0E49" w:rsidRPr="00023A3D" w:rsidRDefault="006C0E49">
      <w:pPr>
        <w:spacing w:before="0"/>
      </w:pPr>
      <w:r w:rsidRPr="00023A3D">
        <w:t>2001/02:Fi287 av Gunnar Hökmark m.fl. (m)</w:t>
      </w:r>
    </w:p>
    <w:p w:rsidR="006C0E49" w:rsidRPr="00023A3D" w:rsidRDefault="006C0E49">
      <w:pPr>
        <w:pStyle w:val="Reservantfrslag"/>
      </w:pPr>
      <w:r w:rsidRPr="00023A3D">
        <w:t xml:space="preserve">liksom proposition 2001/02:1 utgiftsområde 2 punkterna 13 delvis och 14 delvis samt avslår motionerna </w:t>
      </w:r>
    </w:p>
    <w:p w:rsidR="006C0E49" w:rsidRPr="00023A3D" w:rsidRDefault="006C0E49">
      <w:pPr>
        <w:pStyle w:val="Reservantfrslag"/>
      </w:pPr>
      <w:r w:rsidRPr="00023A3D">
        <w:t xml:space="preserve">2001/02:Fi263 av Lena Ek m.fl. (c), </w:t>
      </w:r>
    </w:p>
    <w:p w:rsidR="006C0E49" w:rsidRPr="00023A3D" w:rsidRDefault="006C0E49">
      <w:pPr>
        <w:spacing w:before="0"/>
      </w:pPr>
      <w:r w:rsidRPr="00023A3D">
        <w:t>2001/02:Fi276 av Per Landgren m.fl. (kd) yrkandena 2–4 och</w:t>
      </w:r>
    </w:p>
    <w:p w:rsidR="006C0E49" w:rsidRPr="00023A3D" w:rsidRDefault="006C0E49">
      <w:pPr>
        <w:spacing w:before="0"/>
      </w:pPr>
      <w:r w:rsidRPr="00023A3D">
        <w:t xml:space="preserve"> 2001/02:Fi294 av Lars Leijonborg m.fl. (fp) yrkande 10 i denna del.</w:t>
      </w:r>
    </w:p>
    <w:p w:rsidR="006C0E49" w:rsidRPr="00023A3D" w:rsidRDefault="006C0E49">
      <w:pPr>
        <w:pStyle w:val="R4"/>
      </w:pPr>
      <w:r w:rsidRPr="00023A3D">
        <w:t>Ställningstagande</w:t>
      </w:r>
    </w:p>
    <w:p w:rsidR="006C0E49" w:rsidRPr="00023A3D" w:rsidRDefault="006C0E49">
      <w:r w:rsidRPr="00023A3D">
        <w:t>Den 21 november 2001 beslöt en majoritet i riksdagen bestående av socia</w:t>
      </w:r>
      <w:r w:rsidRPr="00023A3D">
        <w:t>l</w:t>
      </w:r>
      <w:r w:rsidRPr="00023A3D">
        <w:t>demokrater, vänsterpartister och miljöpartister att för 2002 fastställa såväl nivå för utgiftstaket som ramar för de olika utgiftsområdena. Beslutet inn</w:t>
      </w:r>
      <w:r w:rsidRPr="00023A3D">
        <w:t>e</w:t>
      </w:r>
      <w:r w:rsidRPr="00023A3D">
        <w:t>fattade också en beräkning av statsbudgetens inkomster för 2002 liksom de skatteförändringar som påverkar detta års inkomster.</w:t>
      </w:r>
    </w:p>
    <w:p w:rsidR="006C0E49" w:rsidRPr="00023A3D" w:rsidRDefault="006C0E49">
      <w:pPr>
        <w:pStyle w:val="Normaltindrag"/>
      </w:pPr>
      <w:r w:rsidRPr="00023A3D">
        <w:t>För budgetåret 2002 gäller därmed att de samlade utgifterna på utgiftso</w:t>
      </w:r>
      <w:r w:rsidRPr="00023A3D">
        <w:t>m</w:t>
      </w:r>
      <w:r w:rsidRPr="00023A3D">
        <w:t>råde 2 inte får överstiga 8 754,4 miljoner kronor under riksdagens fortsatta behandling. Moderata samlingspartiets förslag på utgiftsområdet understiger klart denna nivå och kan således tas upp till behandling.</w:t>
      </w:r>
    </w:p>
    <w:p w:rsidR="006C0E49" w:rsidRPr="00023A3D" w:rsidRDefault="006C0E49">
      <w:pPr>
        <w:pStyle w:val="Normaltindrag"/>
      </w:pPr>
      <w:r w:rsidRPr="00023A3D">
        <w:t>Vi vidhåller vår uppfattning och anser att anslagen inom utgiftsområde 2 bör begränsas med sammanlagt 141,8 miljoner kronor på det sätt som framgår av den moderata motionen Fi287.</w:t>
      </w:r>
    </w:p>
    <w:p w:rsidR="006C0E49" w:rsidRPr="00023A3D" w:rsidRDefault="006C0E49">
      <w:pPr>
        <w:pStyle w:val="Normaltindrag"/>
      </w:pPr>
      <w:r w:rsidRPr="00023A3D">
        <w:t>De ständigt höjda anslagen till Statistiska centralbyrån (SCB) fortsätter att öka. Statistikinsamlingen har med åren tenderat att bli ett självändamål. Enligt vår mening bör SCB:s uppgifter minskas och fokuseras på väl avvägda behov. Dessutom bör en större del av verksamheten avgiftsfinansieras för att öka medvetenheten om de verkliga behoven.</w:t>
      </w:r>
    </w:p>
    <w:p w:rsidR="006C0E49" w:rsidRPr="00023A3D" w:rsidRDefault="006C0E49">
      <w:pPr>
        <w:pStyle w:val="Normaltindrag"/>
      </w:pPr>
      <w:r w:rsidRPr="00023A3D">
        <w:t>Vi vill dessutom inte avdela några medel till en folk- och bostadsräkning 2005. Genom åren har vi konsekvent avvisat den registerbaserade folk- och bostadsräkningen eftersom det innebär en risk för att den personliga inte</w:t>
      </w:r>
      <w:r w:rsidRPr="00023A3D">
        <w:softHyphen/>
        <w:t>griteten åsidosätts. Med registerbaserade undersökningar följer också en risk för ”missbruk” av de uppgifter som sammanställs utan att människor kan påverka äktheten i de uppgifter som lämnas. Medborgarnas möjlighet till insyn minskar. Det är vår uppfattning att välfärden för den enskilda männ</w:t>
      </w:r>
      <w:r w:rsidRPr="00023A3D">
        <w:t>i</w:t>
      </w:r>
      <w:r w:rsidRPr="00023A3D">
        <w:t xml:space="preserve">skan i större utsträckning skall bestämmas av den enskildes val och mindre av politikers och myndigheters behov av kontroll över samhällsplaneringen. Det är mot den bakgrunden som vi går emot förslaget och anser att </w:t>
      </w:r>
      <w:r w:rsidRPr="00023A3D">
        <w:t>människors vardag bör styras utifrån tidens egna förutsättningar och behov och mindre utifrån statistik. Riksdagen bör därför besluta att inte genomföra någon folk- och bostadsräkning 2005. Vi tillstyrker de motioner som för fram förslag av detta slag, däribland de båda moderata motionerna Fi287 av Gunnar Hökmark m.fl. och Fi220 av förste vice talmannen Anders Björck och Christel Ande</w:t>
      </w:r>
      <w:r w:rsidRPr="00023A3D">
        <w:t>r</w:t>
      </w:r>
      <w:r w:rsidRPr="00023A3D">
        <w:t>berg.</w:t>
      </w:r>
    </w:p>
    <w:p w:rsidR="006C0E49" w:rsidRPr="00023A3D" w:rsidRDefault="006C0E49">
      <w:pPr>
        <w:pStyle w:val="Normaltindrag"/>
      </w:pPr>
      <w:r w:rsidRPr="00023A3D">
        <w:t>Vidare anser vi att Nämnden för offentlig upphandling bör sammanföras med Konkurrensverket och ombildas till en ny myn</w:t>
      </w:r>
      <w:r w:rsidRPr="00023A3D">
        <w:t>dighet, Konkurrens- och upphandlingsverket, som med större kraft och effektivitet kan svara för en tillfredsställande tillsynsverksamhet. Det gör det samtidigt möjligt att minska anslaget med 3,7 miljoner kronor.</w:t>
      </w:r>
    </w:p>
    <w:p w:rsidR="006C0E49" w:rsidRPr="00023A3D" w:rsidRDefault="006C0E49">
      <w:pPr>
        <w:pStyle w:val="Normaltindrag"/>
      </w:pPr>
      <w:r w:rsidRPr="00023A3D">
        <w:t>Statens kvalitets- och kompetensråd bör enligt vår mening avvecklas, och vidare anser vi att anslaget till Riksdagens revisorer bör minskas med tanke på det förestående samgåendet med Riksrevisionsverket.</w:t>
      </w:r>
    </w:p>
    <w:p w:rsidR="006C0E49" w:rsidRPr="00023A3D" w:rsidRDefault="006C0E49">
      <w:pPr>
        <w:pStyle w:val="Normaltindrag"/>
      </w:pPr>
      <w:r w:rsidRPr="00023A3D">
        <w:t>Vi tillstyrker alltså det moderata förslaget till anslagsfördelning för utgift</w:t>
      </w:r>
      <w:r w:rsidRPr="00023A3D">
        <w:t>s</w:t>
      </w:r>
      <w:r w:rsidRPr="00023A3D">
        <w:t>område 2 som redovisas i motion Fi287 (m) där 5 av de 22 anslag som finns uppförda på utgiftsområdet föreslås bli minskade med sammanlagt 141,8 miljoner kronor enligt följande.</w:t>
      </w:r>
    </w:p>
    <w:p w:rsidR="006C0E49" w:rsidRPr="00023A3D" w:rsidRDefault="006C0E49">
      <w:pPr>
        <w:pStyle w:val="Normaltindrag"/>
      </w:pPr>
      <w:r w:rsidRPr="00023A3D">
        <w:t>Vi avstyrker därmed delvis propositionens förslag och övriga här aktuella motioner.</w:t>
      </w:r>
    </w:p>
    <w:p w:rsidR="006C0E49" w:rsidRPr="00023A3D" w:rsidRDefault="006C0E49">
      <w:pPr>
        <w:pStyle w:val="FiU1tabellrubrik2000"/>
        <w:keepNext/>
        <w:keepLines/>
        <w:spacing w:before="240" w:line="200" w:lineRule="exact"/>
        <w:jc w:val="left"/>
        <w:outlineLvl w:val="0"/>
      </w:pPr>
      <w:r w:rsidRPr="00023A3D">
        <w:t>Tabell. Moderata samlingspartiets förslag till anslagsförändringar på utgiftso</w:t>
      </w:r>
      <w:r w:rsidRPr="00023A3D">
        <w:t>m</w:t>
      </w:r>
      <w:r w:rsidRPr="00023A3D">
        <w:t>råde  2 Samhällsekonomi och finan</w:t>
      </w:r>
      <w:r w:rsidRPr="00023A3D">
        <w:t>s</w:t>
      </w:r>
      <w:r w:rsidRPr="00023A3D">
        <w:t>förvaltning 2002</w:t>
      </w:r>
    </w:p>
    <w:p w:rsidR="006C0E49" w:rsidRPr="00023A3D" w:rsidRDefault="006C0E49">
      <w:pPr>
        <w:pStyle w:val="Tabelltext"/>
        <w:keepNext/>
        <w:spacing w:before="40" w:after="40"/>
      </w:pPr>
      <w:r w:rsidRPr="00023A3D">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019"/>
        <w:gridCol w:w="992"/>
        <w:gridCol w:w="993"/>
      </w:tblGrid>
      <w:tr w:rsidR="00000000" w:rsidRPr="00023A3D">
        <w:tblPrEx>
          <w:tblCellMar>
            <w:top w:w="0" w:type="dxa"/>
            <w:bottom w:w="0" w:type="dxa"/>
          </w:tblCellMar>
        </w:tblPrEx>
        <w:tc>
          <w:tcPr>
            <w:tcW w:w="3019" w:type="dxa"/>
            <w:tcBorders>
              <w:top w:val="single" w:sz="4" w:space="0" w:color="auto"/>
              <w:bottom w:val="single" w:sz="4" w:space="0" w:color="auto"/>
            </w:tcBorders>
          </w:tcPr>
          <w:p w:rsidR="006C0E49" w:rsidRPr="00023A3D" w:rsidRDefault="006C0E49">
            <w:pPr>
              <w:pStyle w:val="SBTabell"/>
              <w:keepNext/>
              <w:rPr>
                <w:b/>
                <w:sz w:val="17"/>
              </w:rPr>
            </w:pPr>
            <w:r w:rsidRPr="00023A3D">
              <w:rPr>
                <w:b/>
                <w:sz w:val="17"/>
              </w:rPr>
              <w:t>Anslag</w:t>
            </w:r>
          </w:p>
        </w:tc>
        <w:tc>
          <w:tcPr>
            <w:tcW w:w="992" w:type="dxa"/>
            <w:tcBorders>
              <w:top w:val="single" w:sz="4" w:space="0" w:color="auto"/>
              <w:bottom w:val="single" w:sz="4" w:space="0" w:color="auto"/>
            </w:tcBorders>
          </w:tcPr>
          <w:p w:rsidR="006C0E49" w:rsidRPr="00023A3D" w:rsidRDefault="006C0E49">
            <w:pPr>
              <w:pStyle w:val="SBTabell"/>
              <w:keepNext/>
              <w:jc w:val="right"/>
              <w:rPr>
                <w:b/>
                <w:sz w:val="17"/>
              </w:rPr>
            </w:pPr>
            <w:r w:rsidRPr="00023A3D">
              <w:rPr>
                <w:b/>
                <w:sz w:val="17"/>
              </w:rPr>
              <w:t>Regeringens</w:t>
            </w:r>
          </w:p>
          <w:p w:rsidR="006C0E49" w:rsidRPr="00023A3D" w:rsidRDefault="006C0E49">
            <w:pPr>
              <w:pStyle w:val="SBTabell"/>
              <w:keepNext/>
              <w:jc w:val="right"/>
              <w:rPr>
                <w:b/>
                <w:sz w:val="17"/>
              </w:rPr>
            </w:pPr>
            <w:r w:rsidRPr="00023A3D">
              <w:rPr>
                <w:b/>
                <w:sz w:val="17"/>
              </w:rPr>
              <w:t>förslag</w:t>
            </w:r>
          </w:p>
        </w:tc>
        <w:tc>
          <w:tcPr>
            <w:tcW w:w="993" w:type="dxa"/>
            <w:tcBorders>
              <w:top w:val="single" w:sz="4" w:space="0" w:color="auto"/>
              <w:bottom w:val="single" w:sz="4" w:space="0" w:color="auto"/>
            </w:tcBorders>
          </w:tcPr>
          <w:p w:rsidR="006C0E49" w:rsidRPr="00023A3D" w:rsidRDefault="006C0E49">
            <w:pPr>
              <w:pStyle w:val="SBTabell"/>
              <w:keepNext/>
              <w:jc w:val="right"/>
              <w:rPr>
                <w:b/>
                <w:sz w:val="17"/>
              </w:rPr>
            </w:pPr>
            <w:r w:rsidRPr="00023A3D">
              <w:rPr>
                <w:b/>
                <w:sz w:val="17"/>
              </w:rPr>
              <w:t>Anslagsför-</w:t>
            </w:r>
          </w:p>
          <w:p w:rsidR="006C0E49" w:rsidRPr="00023A3D" w:rsidRDefault="006C0E49">
            <w:pPr>
              <w:pStyle w:val="SBTabell"/>
              <w:keepNext/>
              <w:jc w:val="right"/>
              <w:rPr>
                <w:b/>
                <w:sz w:val="17"/>
              </w:rPr>
            </w:pPr>
            <w:r w:rsidRPr="00023A3D">
              <w:rPr>
                <w:b/>
                <w:sz w:val="17"/>
              </w:rPr>
              <w:t>ändring (m)</w:t>
            </w:r>
          </w:p>
        </w:tc>
      </w:tr>
      <w:tr w:rsidR="00000000" w:rsidRPr="00023A3D">
        <w:tblPrEx>
          <w:tblCellMar>
            <w:top w:w="0" w:type="dxa"/>
            <w:bottom w:w="0" w:type="dxa"/>
          </w:tblCellMar>
        </w:tblPrEx>
        <w:trPr>
          <w:trHeight w:hRule="exact" w:val="60"/>
        </w:trPr>
        <w:tc>
          <w:tcPr>
            <w:tcW w:w="3019" w:type="dxa"/>
          </w:tcPr>
          <w:p w:rsidR="006C0E49" w:rsidRPr="00023A3D" w:rsidRDefault="006C0E49">
            <w:pPr>
              <w:pStyle w:val="SBTabell"/>
              <w:keepNext/>
              <w:rPr>
                <w:sz w:val="17"/>
              </w:rPr>
            </w:pPr>
          </w:p>
        </w:tc>
        <w:tc>
          <w:tcPr>
            <w:tcW w:w="992" w:type="dxa"/>
          </w:tcPr>
          <w:p w:rsidR="006C0E49" w:rsidRPr="00023A3D" w:rsidRDefault="006C0E49">
            <w:pPr>
              <w:pStyle w:val="SBTabell"/>
              <w:keepNext/>
              <w:jc w:val="right"/>
              <w:rPr>
                <w:sz w:val="17"/>
              </w:rPr>
            </w:pPr>
          </w:p>
        </w:tc>
        <w:tc>
          <w:tcPr>
            <w:tcW w:w="993" w:type="dxa"/>
          </w:tcPr>
          <w:p w:rsidR="006C0E49" w:rsidRPr="00023A3D" w:rsidRDefault="006C0E49">
            <w:pPr>
              <w:pStyle w:val="SBTabell"/>
              <w:keepNext/>
              <w:rPr>
                <w:sz w:val="17"/>
              </w:rPr>
            </w:pPr>
          </w:p>
        </w:tc>
      </w:tr>
      <w:tr w:rsidR="00000000" w:rsidRPr="00023A3D">
        <w:tblPrEx>
          <w:tblCellMar>
            <w:top w:w="0" w:type="dxa"/>
            <w:bottom w:w="0" w:type="dxa"/>
          </w:tblCellMar>
        </w:tblPrEx>
        <w:tc>
          <w:tcPr>
            <w:tcW w:w="3019" w:type="dxa"/>
          </w:tcPr>
          <w:p w:rsidR="006C0E49" w:rsidRPr="00023A3D" w:rsidRDefault="006C0E49">
            <w:pPr>
              <w:pStyle w:val="SBTabell"/>
              <w:keepNext/>
              <w:rPr>
                <w:sz w:val="17"/>
              </w:rPr>
            </w:pPr>
            <w:r w:rsidRPr="00023A3D">
              <w:rPr>
                <w:sz w:val="17"/>
              </w:rPr>
              <w:t>1:6  Statistiska centralbyrån</w:t>
            </w:r>
          </w:p>
        </w:tc>
        <w:tc>
          <w:tcPr>
            <w:tcW w:w="992" w:type="dxa"/>
          </w:tcPr>
          <w:p w:rsidR="006C0E49" w:rsidRPr="00023A3D" w:rsidRDefault="006C0E49">
            <w:pPr>
              <w:pStyle w:val="SBTabell"/>
              <w:keepNext/>
              <w:jc w:val="right"/>
              <w:rPr>
                <w:sz w:val="17"/>
              </w:rPr>
            </w:pPr>
            <w:r w:rsidRPr="00023A3D">
              <w:rPr>
                <w:sz w:val="17"/>
              </w:rPr>
              <w:t xml:space="preserve"> 394 439</w:t>
            </w:r>
          </w:p>
        </w:tc>
        <w:tc>
          <w:tcPr>
            <w:tcW w:w="993" w:type="dxa"/>
          </w:tcPr>
          <w:p w:rsidR="006C0E49" w:rsidRPr="00023A3D" w:rsidRDefault="006C0E49">
            <w:pPr>
              <w:pStyle w:val="SBTabell"/>
              <w:keepNext/>
              <w:jc w:val="right"/>
              <w:rPr>
                <w:sz w:val="17"/>
              </w:rPr>
            </w:pPr>
            <w:r w:rsidRPr="00023A3D">
              <w:rPr>
                <w:sz w:val="17"/>
              </w:rPr>
              <w:t>-50 000</w:t>
            </w:r>
          </w:p>
        </w:tc>
      </w:tr>
      <w:tr w:rsidR="00000000" w:rsidRPr="00023A3D">
        <w:tblPrEx>
          <w:tblCellMar>
            <w:top w:w="0" w:type="dxa"/>
            <w:bottom w:w="0" w:type="dxa"/>
          </w:tblCellMar>
        </w:tblPrEx>
        <w:tc>
          <w:tcPr>
            <w:tcW w:w="3019" w:type="dxa"/>
          </w:tcPr>
          <w:p w:rsidR="006C0E49" w:rsidRPr="00023A3D" w:rsidRDefault="006C0E49">
            <w:pPr>
              <w:pStyle w:val="SBTabell"/>
              <w:keepNext/>
              <w:rPr>
                <w:sz w:val="17"/>
              </w:rPr>
            </w:pPr>
            <w:r w:rsidRPr="00023A3D">
              <w:rPr>
                <w:sz w:val="17"/>
              </w:rPr>
              <w:t>1:7  Folk- och bostadsstatistik</w:t>
            </w:r>
          </w:p>
        </w:tc>
        <w:tc>
          <w:tcPr>
            <w:tcW w:w="992" w:type="dxa"/>
          </w:tcPr>
          <w:p w:rsidR="006C0E49" w:rsidRPr="00023A3D" w:rsidRDefault="006C0E49">
            <w:pPr>
              <w:pStyle w:val="SBTabell"/>
              <w:keepNext/>
              <w:jc w:val="right"/>
              <w:rPr>
                <w:sz w:val="17"/>
              </w:rPr>
            </w:pPr>
            <w:r w:rsidRPr="00023A3D">
              <w:rPr>
                <w:sz w:val="17"/>
              </w:rPr>
              <w:t xml:space="preserve"> 78 000</w:t>
            </w:r>
          </w:p>
        </w:tc>
        <w:tc>
          <w:tcPr>
            <w:tcW w:w="993" w:type="dxa"/>
          </w:tcPr>
          <w:p w:rsidR="006C0E49" w:rsidRPr="00023A3D" w:rsidRDefault="006C0E49">
            <w:pPr>
              <w:pStyle w:val="SBTabell"/>
              <w:keepNext/>
              <w:jc w:val="right"/>
              <w:rPr>
                <w:sz w:val="17"/>
              </w:rPr>
            </w:pPr>
            <w:r w:rsidRPr="00023A3D">
              <w:rPr>
                <w:sz w:val="17"/>
              </w:rPr>
              <w:t>-78 000</w:t>
            </w:r>
          </w:p>
        </w:tc>
      </w:tr>
      <w:tr w:rsidR="00000000" w:rsidRPr="00023A3D">
        <w:tblPrEx>
          <w:tblCellMar>
            <w:top w:w="0" w:type="dxa"/>
            <w:bottom w:w="0" w:type="dxa"/>
          </w:tblCellMar>
        </w:tblPrEx>
        <w:tc>
          <w:tcPr>
            <w:tcW w:w="3019" w:type="dxa"/>
          </w:tcPr>
          <w:p w:rsidR="006C0E49" w:rsidRPr="00023A3D" w:rsidRDefault="006C0E49">
            <w:pPr>
              <w:pStyle w:val="SBTabell"/>
              <w:keepNext/>
              <w:rPr>
                <w:sz w:val="17"/>
              </w:rPr>
            </w:pPr>
            <w:r w:rsidRPr="00023A3D">
              <w:rPr>
                <w:sz w:val="17"/>
              </w:rPr>
              <w:t>1:9  Nämnden för offentlig upphandling</w:t>
            </w:r>
          </w:p>
        </w:tc>
        <w:tc>
          <w:tcPr>
            <w:tcW w:w="992" w:type="dxa"/>
          </w:tcPr>
          <w:p w:rsidR="006C0E49" w:rsidRPr="00023A3D" w:rsidRDefault="006C0E49">
            <w:pPr>
              <w:pStyle w:val="SBTabell"/>
              <w:keepNext/>
              <w:jc w:val="right"/>
              <w:rPr>
                <w:sz w:val="17"/>
              </w:rPr>
            </w:pPr>
            <w:r w:rsidRPr="00023A3D">
              <w:rPr>
                <w:sz w:val="17"/>
              </w:rPr>
              <w:t xml:space="preserve"> 7 443</w:t>
            </w:r>
          </w:p>
        </w:tc>
        <w:tc>
          <w:tcPr>
            <w:tcW w:w="993" w:type="dxa"/>
          </w:tcPr>
          <w:p w:rsidR="006C0E49" w:rsidRPr="00023A3D" w:rsidRDefault="006C0E49">
            <w:pPr>
              <w:pStyle w:val="SBTabell"/>
              <w:keepNext/>
              <w:jc w:val="right"/>
              <w:rPr>
                <w:sz w:val="17"/>
              </w:rPr>
            </w:pPr>
            <w:r w:rsidRPr="00023A3D">
              <w:rPr>
                <w:sz w:val="17"/>
              </w:rPr>
              <w:t>-3 722</w:t>
            </w:r>
          </w:p>
        </w:tc>
      </w:tr>
      <w:tr w:rsidR="00000000" w:rsidRPr="00023A3D">
        <w:tblPrEx>
          <w:tblCellMar>
            <w:top w:w="0" w:type="dxa"/>
            <w:bottom w:w="0" w:type="dxa"/>
          </w:tblCellMar>
        </w:tblPrEx>
        <w:tc>
          <w:tcPr>
            <w:tcW w:w="3019" w:type="dxa"/>
          </w:tcPr>
          <w:p w:rsidR="006C0E49" w:rsidRPr="00023A3D" w:rsidRDefault="006C0E49">
            <w:pPr>
              <w:pStyle w:val="SBTabell"/>
              <w:keepNext/>
              <w:rPr>
                <w:sz w:val="17"/>
              </w:rPr>
            </w:pPr>
            <w:r w:rsidRPr="00023A3D">
              <w:rPr>
                <w:sz w:val="17"/>
              </w:rPr>
              <w:t>1:10 Statens kvalitets- och kompetensråd</w:t>
            </w:r>
          </w:p>
        </w:tc>
        <w:tc>
          <w:tcPr>
            <w:tcW w:w="992" w:type="dxa"/>
          </w:tcPr>
          <w:p w:rsidR="006C0E49" w:rsidRPr="00023A3D" w:rsidRDefault="006C0E49">
            <w:pPr>
              <w:pStyle w:val="SBTabell"/>
              <w:keepNext/>
              <w:jc w:val="right"/>
              <w:rPr>
                <w:sz w:val="17"/>
              </w:rPr>
            </w:pPr>
            <w:r w:rsidRPr="00023A3D">
              <w:rPr>
                <w:sz w:val="17"/>
              </w:rPr>
              <w:t xml:space="preserve"> 12 057</w:t>
            </w:r>
          </w:p>
        </w:tc>
        <w:tc>
          <w:tcPr>
            <w:tcW w:w="993" w:type="dxa"/>
          </w:tcPr>
          <w:p w:rsidR="006C0E49" w:rsidRPr="00023A3D" w:rsidRDefault="006C0E49">
            <w:pPr>
              <w:pStyle w:val="SBTabell"/>
              <w:keepNext/>
              <w:jc w:val="right"/>
              <w:rPr>
                <w:sz w:val="17"/>
              </w:rPr>
            </w:pPr>
            <w:r w:rsidRPr="00023A3D">
              <w:rPr>
                <w:sz w:val="17"/>
              </w:rPr>
              <w:t>-6 029</w:t>
            </w:r>
          </w:p>
        </w:tc>
      </w:tr>
      <w:tr w:rsidR="00000000" w:rsidRPr="00023A3D">
        <w:tblPrEx>
          <w:tblCellMar>
            <w:top w:w="0" w:type="dxa"/>
            <w:bottom w:w="0" w:type="dxa"/>
          </w:tblCellMar>
        </w:tblPrEx>
        <w:tc>
          <w:tcPr>
            <w:tcW w:w="3019" w:type="dxa"/>
          </w:tcPr>
          <w:p w:rsidR="006C0E49" w:rsidRPr="00023A3D" w:rsidRDefault="006C0E49">
            <w:pPr>
              <w:pStyle w:val="SBTabell"/>
              <w:keepNext/>
              <w:rPr>
                <w:sz w:val="17"/>
              </w:rPr>
            </w:pPr>
            <w:r w:rsidRPr="00023A3D">
              <w:rPr>
                <w:sz w:val="17"/>
              </w:rPr>
              <w:t>90:1 Riksdagens revisorer</w:t>
            </w:r>
          </w:p>
        </w:tc>
        <w:tc>
          <w:tcPr>
            <w:tcW w:w="992" w:type="dxa"/>
          </w:tcPr>
          <w:p w:rsidR="006C0E49" w:rsidRPr="00023A3D" w:rsidRDefault="006C0E49">
            <w:pPr>
              <w:pStyle w:val="SBTabell"/>
              <w:keepNext/>
              <w:jc w:val="right"/>
              <w:rPr>
                <w:sz w:val="17"/>
              </w:rPr>
            </w:pPr>
            <w:r w:rsidRPr="00023A3D">
              <w:rPr>
                <w:sz w:val="17"/>
              </w:rPr>
              <w:t xml:space="preserve"> 27 122</w:t>
            </w:r>
          </w:p>
        </w:tc>
        <w:tc>
          <w:tcPr>
            <w:tcW w:w="993" w:type="dxa"/>
          </w:tcPr>
          <w:p w:rsidR="006C0E49" w:rsidRPr="00023A3D" w:rsidRDefault="006C0E49">
            <w:pPr>
              <w:pStyle w:val="SBTabell"/>
              <w:keepNext/>
              <w:jc w:val="right"/>
              <w:rPr>
                <w:sz w:val="17"/>
              </w:rPr>
            </w:pPr>
            <w:r w:rsidRPr="00023A3D">
              <w:rPr>
                <w:sz w:val="17"/>
              </w:rPr>
              <w:t>-4 000</w:t>
            </w:r>
          </w:p>
        </w:tc>
      </w:tr>
      <w:tr w:rsidR="00000000" w:rsidRPr="00023A3D">
        <w:tblPrEx>
          <w:tblCellMar>
            <w:top w:w="0" w:type="dxa"/>
            <w:bottom w:w="0" w:type="dxa"/>
          </w:tblCellMar>
        </w:tblPrEx>
        <w:trPr>
          <w:trHeight w:hRule="exact" w:val="60"/>
        </w:trPr>
        <w:tc>
          <w:tcPr>
            <w:tcW w:w="3019" w:type="dxa"/>
          </w:tcPr>
          <w:p w:rsidR="006C0E49" w:rsidRPr="00023A3D" w:rsidRDefault="006C0E49">
            <w:pPr>
              <w:pStyle w:val="SBTabell"/>
              <w:keepNext/>
              <w:rPr>
                <w:sz w:val="17"/>
              </w:rPr>
            </w:pPr>
          </w:p>
        </w:tc>
        <w:tc>
          <w:tcPr>
            <w:tcW w:w="992" w:type="dxa"/>
          </w:tcPr>
          <w:p w:rsidR="006C0E49" w:rsidRPr="00023A3D" w:rsidRDefault="006C0E49">
            <w:pPr>
              <w:pStyle w:val="SBTabell"/>
              <w:keepNext/>
              <w:jc w:val="right"/>
              <w:rPr>
                <w:sz w:val="17"/>
              </w:rPr>
            </w:pPr>
          </w:p>
        </w:tc>
        <w:tc>
          <w:tcPr>
            <w:tcW w:w="993" w:type="dxa"/>
          </w:tcPr>
          <w:p w:rsidR="006C0E49" w:rsidRPr="00023A3D" w:rsidRDefault="006C0E49">
            <w:pPr>
              <w:pStyle w:val="SBTabell"/>
              <w:keepNext/>
              <w:jc w:val="right"/>
              <w:rPr>
                <w:sz w:val="17"/>
              </w:rPr>
            </w:pPr>
          </w:p>
        </w:tc>
      </w:tr>
      <w:tr w:rsidR="00000000" w:rsidRPr="00023A3D">
        <w:tblPrEx>
          <w:tblCellMar>
            <w:top w:w="0" w:type="dxa"/>
            <w:bottom w:w="0" w:type="dxa"/>
          </w:tblCellMar>
        </w:tblPrEx>
        <w:tc>
          <w:tcPr>
            <w:tcW w:w="3019" w:type="dxa"/>
            <w:tcBorders>
              <w:bottom w:val="single" w:sz="4" w:space="0" w:color="auto"/>
            </w:tcBorders>
          </w:tcPr>
          <w:p w:rsidR="006C0E49" w:rsidRPr="00023A3D" w:rsidRDefault="006C0E49">
            <w:pPr>
              <w:pStyle w:val="SBTabell"/>
              <w:keepNext/>
              <w:rPr>
                <w:b/>
                <w:sz w:val="17"/>
              </w:rPr>
            </w:pPr>
            <w:r w:rsidRPr="00023A3D">
              <w:rPr>
                <w:b/>
                <w:sz w:val="17"/>
              </w:rPr>
              <w:t>Summa</w:t>
            </w:r>
          </w:p>
        </w:tc>
        <w:tc>
          <w:tcPr>
            <w:tcW w:w="992" w:type="dxa"/>
            <w:tcBorders>
              <w:bottom w:val="single" w:sz="4" w:space="0" w:color="auto"/>
            </w:tcBorders>
          </w:tcPr>
          <w:p w:rsidR="006C0E49" w:rsidRPr="00023A3D" w:rsidRDefault="006C0E49">
            <w:pPr>
              <w:pStyle w:val="SBTabell"/>
              <w:keepNext/>
              <w:jc w:val="right"/>
              <w:rPr>
                <w:b/>
                <w:sz w:val="17"/>
              </w:rPr>
            </w:pPr>
            <w:r w:rsidRPr="00023A3D">
              <w:rPr>
                <w:b/>
                <w:sz w:val="17"/>
              </w:rPr>
              <w:t>8 754 408</w:t>
            </w:r>
          </w:p>
        </w:tc>
        <w:tc>
          <w:tcPr>
            <w:tcW w:w="993" w:type="dxa"/>
            <w:tcBorders>
              <w:bottom w:val="single" w:sz="4" w:space="0" w:color="auto"/>
            </w:tcBorders>
          </w:tcPr>
          <w:p w:rsidR="006C0E49" w:rsidRPr="00023A3D" w:rsidRDefault="006C0E49">
            <w:pPr>
              <w:pStyle w:val="SBTabell"/>
              <w:keepNext/>
              <w:jc w:val="right"/>
              <w:rPr>
                <w:b/>
                <w:sz w:val="17"/>
              </w:rPr>
            </w:pPr>
            <w:r w:rsidRPr="00023A3D">
              <w:rPr>
                <w:b/>
                <w:sz w:val="17"/>
              </w:rPr>
              <w:t>-141 751</w:t>
            </w:r>
          </w:p>
        </w:tc>
      </w:tr>
    </w:tbl>
    <w:p w:rsidR="006C0E49" w:rsidRPr="00023A3D" w:rsidRDefault="006C0E49">
      <w:pPr>
        <w:pStyle w:val="Normaltindrag"/>
        <w:spacing w:line="40" w:lineRule="exact"/>
      </w:pPr>
    </w:p>
    <w:p w:rsidR="006C0E49" w:rsidRPr="00023A3D" w:rsidRDefault="006C0E49">
      <w:pPr>
        <w:pStyle w:val="Reservationspunkt"/>
        <w:rPr>
          <w:noProof w:val="0"/>
        </w:rPr>
      </w:pPr>
      <w:bookmarkStart w:id="82" w:name="_Toc532365514"/>
      <w:r w:rsidRPr="00023A3D">
        <w:rPr>
          <w:noProof w:val="0"/>
        </w:rPr>
        <w:t>2.</w:t>
      </w:r>
      <w:r w:rsidRPr="00023A3D">
        <w:rPr>
          <w:noProof w:val="0"/>
        </w:rPr>
        <w:tab/>
        <w:t>Anslagen för 2002 inom utgiftsområde 2 – punkt 1 (c)</w:t>
      </w:r>
      <w:bookmarkEnd w:id="82"/>
    </w:p>
    <w:p w:rsidR="006C0E49" w:rsidRPr="00023A3D" w:rsidRDefault="006C0E49">
      <w:pPr>
        <w:pStyle w:val="Reservanter"/>
        <w:keepNext/>
      </w:pPr>
      <w:r w:rsidRPr="00023A3D">
        <w:t>av Lena Ek (c).</w:t>
      </w:r>
    </w:p>
    <w:p w:rsidR="006C0E49" w:rsidRPr="00023A3D" w:rsidRDefault="006C0E49">
      <w:pPr>
        <w:pStyle w:val="R4"/>
      </w:pPr>
      <w:r w:rsidRPr="00023A3D">
        <w:t>Förslag till riksdagsbeslut</w:t>
      </w:r>
    </w:p>
    <w:p w:rsidR="006C0E49" w:rsidRPr="00023A3D" w:rsidRDefault="006C0E49">
      <w:r w:rsidRPr="00023A3D">
        <w:t>Jag anser att utskottets förslag under punkt 1 borde ha följande lydelse:</w:t>
      </w:r>
    </w:p>
    <w:p w:rsidR="006C0E49" w:rsidRPr="00023A3D" w:rsidRDefault="006C0E49">
      <w:r w:rsidRPr="00023A3D">
        <w:t>Riksdagen anvisar för budgetåret 2002 anslag inom utgiftsområde 2 Sa</w:t>
      </w:r>
      <w:r w:rsidRPr="00023A3D">
        <w:t>m</w:t>
      </w:r>
      <w:r w:rsidRPr="00023A3D">
        <w:t>hällsekonomi och finansförvaltning på det sätt som framgår av det med rese</w:t>
      </w:r>
      <w:r w:rsidRPr="00023A3D">
        <w:t>r</w:t>
      </w:r>
      <w:r w:rsidRPr="00023A3D">
        <w:t xml:space="preserve">vation 2 (c) betecknade förslaget i den specifikation som följer efter utskottets förslag till beslut. Därmed bifaller riksdagen motion </w:t>
      </w:r>
    </w:p>
    <w:p w:rsidR="006C0E49" w:rsidRPr="00023A3D" w:rsidRDefault="006C0E49">
      <w:pPr>
        <w:spacing w:before="0"/>
      </w:pPr>
      <w:r w:rsidRPr="00023A3D">
        <w:t xml:space="preserve">2001/02:Fi263 av Lena Ek m.fl. (c) </w:t>
      </w:r>
    </w:p>
    <w:p w:rsidR="006C0E49" w:rsidRPr="00023A3D" w:rsidRDefault="006C0E49">
      <w:pPr>
        <w:spacing w:before="0"/>
      </w:pPr>
      <w:r w:rsidRPr="00023A3D">
        <w:t xml:space="preserve">liksom proposition 2001/02:1 utgiftsområde 2 punkterna 13 delvis och 14 delvis samt avslår motionerna </w:t>
      </w:r>
    </w:p>
    <w:p w:rsidR="006C0E49" w:rsidRPr="00023A3D" w:rsidRDefault="006C0E49">
      <w:pPr>
        <w:spacing w:before="0"/>
      </w:pPr>
      <w:r w:rsidRPr="00023A3D">
        <w:t>2001/02:Fi220 av förste vice talmannen Anders Björck och Christel Ande</w:t>
      </w:r>
      <w:r w:rsidRPr="00023A3D">
        <w:t>r</w:t>
      </w:r>
      <w:r w:rsidRPr="00023A3D">
        <w:t xml:space="preserve">berg (m), </w:t>
      </w:r>
    </w:p>
    <w:p w:rsidR="006C0E49" w:rsidRPr="00023A3D" w:rsidRDefault="006C0E49">
      <w:pPr>
        <w:spacing w:before="0"/>
      </w:pPr>
      <w:r w:rsidRPr="00023A3D">
        <w:t xml:space="preserve">2001/02:Fi260 av Karin Pilsäter m.fl. (fp), </w:t>
      </w:r>
    </w:p>
    <w:p w:rsidR="006C0E49" w:rsidRPr="00023A3D" w:rsidRDefault="006C0E49">
      <w:pPr>
        <w:pStyle w:val="Reservantfrslag"/>
      </w:pPr>
      <w:r w:rsidRPr="00023A3D">
        <w:t xml:space="preserve">2001/02:Fi276 av Per Landgren m.fl. (kd) yrkandena 2–4, </w:t>
      </w:r>
    </w:p>
    <w:p w:rsidR="006C0E49" w:rsidRPr="00023A3D" w:rsidRDefault="006C0E49">
      <w:pPr>
        <w:spacing w:before="0"/>
      </w:pPr>
      <w:r w:rsidRPr="00023A3D">
        <w:t xml:space="preserve">2001/02:Fi279 av Gunnar Hökmark m.fl. (m), </w:t>
      </w:r>
    </w:p>
    <w:p w:rsidR="006C0E49" w:rsidRPr="00023A3D" w:rsidRDefault="006C0E49">
      <w:pPr>
        <w:spacing w:before="0"/>
      </w:pPr>
      <w:r w:rsidRPr="00023A3D">
        <w:t xml:space="preserve">2001/02:Fi287 av Gunnar Hökmark m.fl. (m) samt </w:t>
      </w:r>
    </w:p>
    <w:p w:rsidR="006C0E49" w:rsidRPr="00023A3D" w:rsidRDefault="006C0E49">
      <w:pPr>
        <w:spacing w:before="0"/>
      </w:pPr>
      <w:r w:rsidRPr="00023A3D">
        <w:t>2001/02:Fi294 av Lars Leijonborg m.fl. (fp) yrkande 10 i denna del.</w:t>
      </w:r>
    </w:p>
    <w:p w:rsidR="006C0E49" w:rsidRPr="00023A3D" w:rsidRDefault="006C0E49">
      <w:pPr>
        <w:pStyle w:val="R4"/>
      </w:pPr>
      <w:r w:rsidRPr="00023A3D">
        <w:t>Ställningstagande</w:t>
      </w:r>
    </w:p>
    <w:p w:rsidR="006C0E49" w:rsidRPr="00023A3D" w:rsidRDefault="006C0E49">
      <w:r w:rsidRPr="00023A3D">
        <w:t>Riksdagen har den 21 november 2001 i första steget av budgetprocessen ställt sig bakom regeringens, Vänsterpartiets och Miljöpartiet de grönas budgetfö</w:t>
      </w:r>
      <w:r w:rsidRPr="00023A3D">
        <w:t>r</w:t>
      </w:r>
      <w:r w:rsidRPr="00023A3D">
        <w:t>slag för år 2002. Det innebär att riksdagen för detta år nu har låst såväl ut</w:t>
      </w:r>
      <w:r w:rsidRPr="00023A3D">
        <w:softHyphen/>
        <w:t xml:space="preserve">giftstak som ramar för de 27 utgiftsområdena samt fattat beslut om de skatte- och avgiftsförändringar som skall träda i kraft nästa år. </w:t>
      </w:r>
    </w:p>
    <w:p w:rsidR="006C0E49" w:rsidRPr="00023A3D" w:rsidRDefault="006C0E49">
      <w:pPr>
        <w:pStyle w:val="Normaltindrag"/>
      </w:pPr>
      <w:r w:rsidRPr="00023A3D">
        <w:t>För budgetåret 2002 gäller därmed att de samlade utgifterna på utgiftso</w:t>
      </w:r>
      <w:r w:rsidRPr="00023A3D">
        <w:t>m</w:t>
      </w:r>
      <w:r w:rsidRPr="00023A3D">
        <w:t>råde 2 inte får överstiga 8 754,4 miljoner kronor under riksdagens fortsatta behandling. Centerpartiets förslag på utgiftsområdet understiger klart denna nivå och kan således tas upp till behandling.</w:t>
      </w:r>
    </w:p>
    <w:p w:rsidR="006C0E49" w:rsidRPr="00023A3D" w:rsidRDefault="006C0E49">
      <w:pPr>
        <w:pStyle w:val="Normaltindrag"/>
      </w:pPr>
      <w:r w:rsidRPr="00023A3D">
        <w:t>Jag anser således att anslagen inom utgiftsområde 2 bör begränsas med 107,4 miljoner kronor på det sätt som framgår av den centerpartistiska moti</w:t>
      </w:r>
      <w:r w:rsidRPr="00023A3D">
        <w:t>o</w:t>
      </w:r>
      <w:r w:rsidRPr="00023A3D">
        <w:t>nen Fi263. Anslagen för Riksrevisionsverket, Statistiska centralbyrån och Finansinspektionen bör alltså minskas med 2, 12 respektive 9 miljoner kr</w:t>
      </w:r>
      <w:r w:rsidRPr="00023A3D">
        <w:t>o</w:t>
      </w:r>
      <w:r w:rsidRPr="00023A3D">
        <w:t xml:space="preserve">nor. Vidare bör enligt min mening Statens kvalitets- och kompetensråd helt avvecklas liksom anslaget för utvecklingsarbete. </w:t>
      </w:r>
    </w:p>
    <w:p w:rsidR="006C0E49" w:rsidRPr="00023A3D" w:rsidRDefault="006C0E49">
      <w:pPr>
        <w:pStyle w:val="Normaltindrag"/>
      </w:pPr>
      <w:r w:rsidRPr="00023A3D">
        <w:t>På utgiftsområdet vill Centerpartiet också minska anslaget till Riksgäld</w:t>
      </w:r>
      <w:r w:rsidRPr="00023A3D">
        <w:t>s</w:t>
      </w:r>
      <w:r w:rsidRPr="00023A3D">
        <w:t>kontorets förvaltningskostnader liksom anslagen till Riksrevisionsverket, Finansinspektionen och Statistiska centralbyrån. En engångsvis indragning från anslaget för Folk- och bostadsstatistik bör enligt vår mening också göras med tanke på den anslagsreserv som byggts upp.</w:t>
      </w:r>
    </w:p>
    <w:p w:rsidR="006C0E49" w:rsidRPr="00023A3D" w:rsidRDefault="006C0E49">
      <w:pPr>
        <w:pStyle w:val="Normaltindrag"/>
      </w:pPr>
      <w:r w:rsidRPr="00023A3D">
        <w:t>Av de 22 anslag som finns uppförda på utgiftsområdet föreslår Centerpa</w:t>
      </w:r>
      <w:r w:rsidRPr="00023A3D">
        <w:t>r</w:t>
      </w:r>
      <w:r w:rsidRPr="00023A3D">
        <w:t>tiet i sammandrag att 7 ändras på följande sätt.</w:t>
      </w:r>
    </w:p>
    <w:p w:rsidR="006C0E49" w:rsidRPr="00023A3D" w:rsidRDefault="006C0E49">
      <w:pPr>
        <w:pStyle w:val="FiU1tabellrubrik2000"/>
        <w:keepNext/>
        <w:keepLines/>
        <w:spacing w:before="240" w:line="200" w:lineRule="exact"/>
        <w:jc w:val="left"/>
        <w:outlineLvl w:val="0"/>
      </w:pPr>
      <w:r w:rsidRPr="00023A3D">
        <w:t xml:space="preserve">Tabell. Centerpartiets förslag till anslagsförändringar på utgiftsområde  2 </w:t>
      </w:r>
      <w:r w:rsidRPr="00023A3D">
        <w:br/>
        <w:t>Samhällsekonomi och finan</w:t>
      </w:r>
      <w:r w:rsidRPr="00023A3D">
        <w:t>s</w:t>
      </w:r>
      <w:r w:rsidRPr="00023A3D">
        <w:t>förvaltning 2002</w:t>
      </w:r>
    </w:p>
    <w:p w:rsidR="006C0E49" w:rsidRPr="00023A3D" w:rsidRDefault="006C0E49">
      <w:pPr>
        <w:pStyle w:val="Tabelltext"/>
        <w:keepNext/>
        <w:spacing w:before="40" w:after="40"/>
      </w:pPr>
      <w:r w:rsidRPr="00023A3D">
        <w:t>Belopp i 1 000 kronor</w:t>
      </w:r>
    </w:p>
    <w:tbl>
      <w:tblPr>
        <w:tblW w:w="0" w:type="auto"/>
        <w:tblInd w:w="-42" w:type="dxa"/>
        <w:tblLayout w:type="fixed"/>
        <w:tblCellMar>
          <w:left w:w="42" w:type="dxa"/>
          <w:right w:w="42" w:type="dxa"/>
        </w:tblCellMar>
        <w:tblLook w:val="0000" w:firstRow="0" w:lastRow="0" w:firstColumn="0" w:lastColumn="0" w:noHBand="0" w:noVBand="0"/>
      </w:tblPr>
      <w:tblGrid>
        <w:gridCol w:w="3360"/>
        <w:gridCol w:w="992"/>
        <w:gridCol w:w="992"/>
      </w:tblGrid>
      <w:tr w:rsidR="00000000" w:rsidRPr="00023A3D">
        <w:tblPrEx>
          <w:tblCellMar>
            <w:top w:w="0" w:type="dxa"/>
            <w:bottom w:w="0" w:type="dxa"/>
          </w:tblCellMar>
        </w:tblPrEx>
        <w:tc>
          <w:tcPr>
            <w:tcW w:w="3360" w:type="dxa"/>
            <w:tcBorders>
              <w:top w:val="single" w:sz="4" w:space="0" w:color="auto"/>
              <w:bottom w:val="single" w:sz="4" w:space="0" w:color="auto"/>
            </w:tcBorders>
          </w:tcPr>
          <w:p w:rsidR="006C0E49" w:rsidRPr="00023A3D" w:rsidRDefault="006C0E49">
            <w:pPr>
              <w:pStyle w:val="SBTabell"/>
              <w:keepNext/>
              <w:rPr>
                <w:b/>
                <w:sz w:val="17"/>
              </w:rPr>
            </w:pPr>
            <w:r w:rsidRPr="00023A3D">
              <w:rPr>
                <w:b/>
                <w:sz w:val="17"/>
              </w:rPr>
              <w:t>Anslag</w:t>
            </w:r>
          </w:p>
        </w:tc>
        <w:tc>
          <w:tcPr>
            <w:tcW w:w="992" w:type="dxa"/>
            <w:tcBorders>
              <w:top w:val="single" w:sz="4" w:space="0" w:color="auto"/>
              <w:bottom w:val="single" w:sz="4" w:space="0" w:color="auto"/>
            </w:tcBorders>
          </w:tcPr>
          <w:p w:rsidR="006C0E49" w:rsidRPr="00023A3D" w:rsidRDefault="006C0E49">
            <w:pPr>
              <w:pStyle w:val="SBTabell"/>
              <w:keepNext/>
              <w:jc w:val="right"/>
              <w:rPr>
                <w:b/>
                <w:sz w:val="17"/>
              </w:rPr>
            </w:pPr>
            <w:r w:rsidRPr="00023A3D">
              <w:rPr>
                <w:b/>
                <w:sz w:val="17"/>
              </w:rPr>
              <w:t>Regeringens förslag</w:t>
            </w:r>
          </w:p>
        </w:tc>
        <w:tc>
          <w:tcPr>
            <w:tcW w:w="992" w:type="dxa"/>
            <w:tcBorders>
              <w:top w:val="single" w:sz="4" w:space="0" w:color="auto"/>
              <w:bottom w:val="single" w:sz="4" w:space="0" w:color="auto"/>
            </w:tcBorders>
          </w:tcPr>
          <w:p w:rsidR="006C0E49" w:rsidRPr="00023A3D" w:rsidRDefault="006C0E49">
            <w:pPr>
              <w:pStyle w:val="SBTabell"/>
              <w:keepNext/>
              <w:jc w:val="right"/>
              <w:rPr>
                <w:b/>
                <w:sz w:val="17"/>
              </w:rPr>
            </w:pPr>
            <w:r w:rsidRPr="00023A3D">
              <w:rPr>
                <w:b/>
                <w:sz w:val="17"/>
              </w:rPr>
              <w:t>Anslag</w:t>
            </w:r>
            <w:r w:rsidRPr="00023A3D">
              <w:rPr>
                <w:b/>
                <w:sz w:val="17"/>
              </w:rPr>
              <w:t>s</w:t>
            </w:r>
            <w:r w:rsidRPr="00023A3D">
              <w:rPr>
                <w:b/>
                <w:sz w:val="17"/>
              </w:rPr>
              <w:t>för-</w:t>
            </w:r>
          </w:p>
          <w:p w:rsidR="006C0E49" w:rsidRPr="00023A3D" w:rsidRDefault="006C0E49">
            <w:pPr>
              <w:pStyle w:val="SBTabell"/>
              <w:keepNext/>
              <w:jc w:val="right"/>
              <w:rPr>
                <w:b/>
                <w:sz w:val="17"/>
              </w:rPr>
            </w:pPr>
            <w:r w:rsidRPr="00023A3D">
              <w:rPr>
                <w:b/>
                <w:sz w:val="17"/>
              </w:rPr>
              <w:t>ändring (c)</w:t>
            </w:r>
          </w:p>
        </w:tc>
      </w:tr>
      <w:tr w:rsidR="00000000" w:rsidRPr="00023A3D">
        <w:tblPrEx>
          <w:tblCellMar>
            <w:top w:w="0" w:type="dxa"/>
            <w:bottom w:w="0" w:type="dxa"/>
          </w:tblCellMar>
        </w:tblPrEx>
        <w:trPr>
          <w:trHeight w:hRule="exact" w:val="60"/>
        </w:trPr>
        <w:tc>
          <w:tcPr>
            <w:tcW w:w="3360" w:type="dxa"/>
          </w:tcPr>
          <w:p w:rsidR="006C0E49" w:rsidRPr="00023A3D" w:rsidRDefault="006C0E49">
            <w:pPr>
              <w:pStyle w:val="SBTabell"/>
              <w:keepNext/>
              <w:rPr>
                <w:sz w:val="17"/>
              </w:rPr>
            </w:pPr>
          </w:p>
        </w:tc>
        <w:tc>
          <w:tcPr>
            <w:tcW w:w="992" w:type="dxa"/>
          </w:tcPr>
          <w:p w:rsidR="006C0E49" w:rsidRPr="00023A3D" w:rsidRDefault="006C0E49">
            <w:pPr>
              <w:pStyle w:val="SBTabell"/>
              <w:keepNext/>
              <w:jc w:val="right"/>
              <w:rPr>
                <w:sz w:val="17"/>
              </w:rPr>
            </w:pPr>
          </w:p>
        </w:tc>
        <w:tc>
          <w:tcPr>
            <w:tcW w:w="992" w:type="dxa"/>
          </w:tcPr>
          <w:p w:rsidR="006C0E49" w:rsidRPr="00023A3D" w:rsidRDefault="006C0E49">
            <w:pPr>
              <w:pStyle w:val="SBTabell"/>
              <w:keepNext/>
              <w:rPr>
                <w:sz w:val="17"/>
              </w:rPr>
            </w:pPr>
          </w:p>
        </w:tc>
      </w:tr>
      <w:tr w:rsidR="00000000" w:rsidRPr="00023A3D">
        <w:tblPrEx>
          <w:tblCellMar>
            <w:top w:w="0" w:type="dxa"/>
            <w:bottom w:w="0" w:type="dxa"/>
          </w:tblCellMar>
        </w:tblPrEx>
        <w:trPr>
          <w:trHeight w:val="197"/>
        </w:trPr>
        <w:tc>
          <w:tcPr>
            <w:tcW w:w="3360" w:type="dxa"/>
          </w:tcPr>
          <w:p w:rsidR="006C0E49" w:rsidRPr="00023A3D" w:rsidRDefault="006C0E49">
            <w:pPr>
              <w:pStyle w:val="SBTabell"/>
              <w:keepNext/>
              <w:rPr>
                <w:sz w:val="17"/>
              </w:rPr>
            </w:pPr>
            <w:r w:rsidRPr="00023A3D">
              <w:rPr>
                <w:sz w:val="17"/>
              </w:rPr>
              <w:t>1:2  Riksrevisionsverket</w:t>
            </w:r>
          </w:p>
        </w:tc>
        <w:tc>
          <w:tcPr>
            <w:tcW w:w="992" w:type="dxa"/>
          </w:tcPr>
          <w:p w:rsidR="006C0E49" w:rsidRPr="00023A3D" w:rsidRDefault="006C0E49">
            <w:pPr>
              <w:pStyle w:val="SBTabell"/>
              <w:keepNext/>
              <w:jc w:val="right"/>
              <w:rPr>
                <w:sz w:val="17"/>
              </w:rPr>
            </w:pPr>
            <w:r w:rsidRPr="00023A3D">
              <w:rPr>
                <w:sz w:val="17"/>
              </w:rPr>
              <w:t xml:space="preserve"> 157 268</w:t>
            </w:r>
          </w:p>
        </w:tc>
        <w:tc>
          <w:tcPr>
            <w:tcW w:w="992" w:type="dxa"/>
          </w:tcPr>
          <w:p w:rsidR="006C0E49" w:rsidRPr="00023A3D" w:rsidRDefault="006C0E49">
            <w:pPr>
              <w:pStyle w:val="SBTabell"/>
              <w:keepNext/>
              <w:jc w:val="right"/>
              <w:rPr>
                <w:sz w:val="17"/>
              </w:rPr>
            </w:pPr>
            <w:r w:rsidRPr="00023A3D">
              <w:rPr>
                <w:sz w:val="17"/>
              </w:rPr>
              <w:t>-2 000</w:t>
            </w:r>
          </w:p>
        </w:tc>
      </w:tr>
      <w:tr w:rsidR="00000000" w:rsidRPr="00023A3D">
        <w:tblPrEx>
          <w:tblCellMar>
            <w:top w:w="0" w:type="dxa"/>
            <w:bottom w:w="0" w:type="dxa"/>
          </w:tblCellMar>
        </w:tblPrEx>
        <w:tc>
          <w:tcPr>
            <w:tcW w:w="3360" w:type="dxa"/>
          </w:tcPr>
          <w:p w:rsidR="006C0E49" w:rsidRPr="00023A3D" w:rsidRDefault="006C0E49">
            <w:pPr>
              <w:pStyle w:val="SBTabell"/>
              <w:keepNext/>
              <w:rPr>
                <w:sz w:val="17"/>
              </w:rPr>
            </w:pPr>
            <w:r w:rsidRPr="00023A3D">
              <w:rPr>
                <w:sz w:val="17"/>
              </w:rPr>
              <w:t>1:6  Statistiska centralbyrån</w:t>
            </w:r>
          </w:p>
        </w:tc>
        <w:tc>
          <w:tcPr>
            <w:tcW w:w="992" w:type="dxa"/>
          </w:tcPr>
          <w:p w:rsidR="006C0E49" w:rsidRPr="00023A3D" w:rsidRDefault="006C0E49">
            <w:pPr>
              <w:pStyle w:val="SBTabell"/>
              <w:keepNext/>
              <w:jc w:val="right"/>
              <w:rPr>
                <w:sz w:val="17"/>
              </w:rPr>
            </w:pPr>
            <w:r w:rsidRPr="00023A3D">
              <w:rPr>
                <w:sz w:val="17"/>
              </w:rPr>
              <w:t xml:space="preserve"> 394 439</w:t>
            </w:r>
          </w:p>
        </w:tc>
        <w:tc>
          <w:tcPr>
            <w:tcW w:w="992" w:type="dxa"/>
          </w:tcPr>
          <w:p w:rsidR="006C0E49" w:rsidRPr="00023A3D" w:rsidRDefault="006C0E49">
            <w:pPr>
              <w:pStyle w:val="SBTabell"/>
              <w:keepNext/>
              <w:jc w:val="right"/>
              <w:rPr>
                <w:sz w:val="17"/>
              </w:rPr>
            </w:pPr>
            <w:r w:rsidRPr="00023A3D">
              <w:rPr>
                <w:sz w:val="17"/>
              </w:rPr>
              <w:t>-12 000</w:t>
            </w:r>
          </w:p>
        </w:tc>
      </w:tr>
      <w:tr w:rsidR="00000000" w:rsidRPr="00023A3D">
        <w:tblPrEx>
          <w:tblCellMar>
            <w:top w:w="0" w:type="dxa"/>
            <w:bottom w:w="0" w:type="dxa"/>
          </w:tblCellMar>
        </w:tblPrEx>
        <w:tc>
          <w:tcPr>
            <w:tcW w:w="3360" w:type="dxa"/>
          </w:tcPr>
          <w:p w:rsidR="006C0E49" w:rsidRPr="00023A3D" w:rsidRDefault="006C0E49">
            <w:pPr>
              <w:pStyle w:val="SBTabell"/>
              <w:keepNext/>
              <w:rPr>
                <w:sz w:val="17"/>
              </w:rPr>
            </w:pPr>
            <w:r w:rsidRPr="00023A3D">
              <w:rPr>
                <w:sz w:val="17"/>
              </w:rPr>
              <w:t>1:7  Folk- och bostadsstatistik</w:t>
            </w:r>
          </w:p>
        </w:tc>
        <w:tc>
          <w:tcPr>
            <w:tcW w:w="992" w:type="dxa"/>
          </w:tcPr>
          <w:p w:rsidR="006C0E49" w:rsidRPr="00023A3D" w:rsidRDefault="006C0E49">
            <w:pPr>
              <w:pStyle w:val="SBTabell"/>
              <w:keepNext/>
              <w:jc w:val="right"/>
              <w:rPr>
                <w:sz w:val="17"/>
              </w:rPr>
            </w:pPr>
            <w:r w:rsidRPr="00023A3D">
              <w:rPr>
                <w:sz w:val="17"/>
              </w:rPr>
              <w:t xml:space="preserve"> 78 000</w:t>
            </w:r>
          </w:p>
        </w:tc>
        <w:tc>
          <w:tcPr>
            <w:tcW w:w="992" w:type="dxa"/>
          </w:tcPr>
          <w:p w:rsidR="006C0E49" w:rsidRPr="00023A3D" w:rsidRDefault="006C0E49">
            <w:pPr>
              <w:pStyle w:val="SBTabell"/>
              <w:keepNext/>
              <w:jc w:val="right"/>
              <w:rPr>
                <w:sz w:val="17"/>
              </w:rPr>
            </w:pPr>
            <w:r w:rsidRPr="00023A3D">
              <w:rPr>
                <w:sz w:val="17"/>
              </w:rPr>
              <w:t>-45 000</w:t>
            </w:r>
          </w:p>
        </w:tc>
      </w:tr>
      <w:tr w:rsidR="00000000" w:rsidRPr="00023A3D">
        <w:tblPrEx>
          <w:tblCellMar>
            <w:top w:w="0" w:type="dxa"/>
            <w:bottom w:w="0" w:type="dxa"/>
          </w:tblCellMar>
        </w:tblPrEx>
        <w:tc>
          <w:tcPr>
            <w:tcW w:w="3360" w:type="dxa"/>
          </w:tcPr>
          <w:p w:rsidR="006C0E49" w:rsidRPr="00023A3D" w:rsidRDefault="006C0E49">
            <w:pPr>
              <w:pStyle w:val="SBTabell"/>
              <w:keepNext/>
              <w:rPr>
                <w:sz w:val="17"/>
              </w:rPr>
            </w:pPr>
            <w:r w:rsidRPr="00023A3D">
              <w:rPr>
                <w:sz w:val="17"/>
              </w:rPr>
              <w:t>1:10 Statens kvalitets- och kompetensråd</w:t>
            </w:r>
          </w:p>
        </w:tc>
        <w:tc>
          <w:tcPr>
            <w:tcW w:w="992" w:type="dxa"/>
          </w:tcPr>
          <w:p w:rsidR="006C0E49" w:rsidRPr="00023A3D" w:rsidRDefault="006C0E49">
            <w:pPr>
              <w:pStyle w:val="SBTabell"/>
              <w:keepNext/>
              <w:jc w:val="right"/>
              <w:rPr>
                <w:sz w:val="17"/>
              </w:rPr>
            </w:pPr>
            <w:r w:rsidRPr="00023A3D">
              <w:rPr>
                <w:sz w:val="17"/>
              </w:rPr>
              <w:t xml:space="preserve"> 12 057</w:t>
            </w:r>
          </w:p>
        </w:tc>
        <w:tc>
          <w:tcPr>
            <w:tcW w:w="992" w:type="dxa"/>
          </w:tcPr>
          <w:p w:rsidR="006C0E49" w:rsidRPr="00023A3D" w:rsidRDefault="006C0E49">
            <w:pPr>
              <w:pStyle w:val="SBTabell"/>
              <w:keepNext/>
              <w:jc w:val="right"/>
              <w:rPr>
                <w:sz w:val="17"/>
              </w:rPr>
            </w:pPr>
            <w:r w:rsidRPr="00023A3D">
              <w:rPr>
                <w:sz w:val="17"/>
              </w:rPr>
              <w:t>-12 057</w:t>
            </w:r>
          </w:p>
        </w:tc>
      </w:tr>
      <w:tr w:rsidR="00000000" w:rsidRPr="00023A3D">
        <w:tblPrEx>
          <w:tblCellMar>
            <w:top w:w="0" w:type="dxa"/>
            <w:bottom w:w="0" w:type="dxa"/>
          </w:tblCellMar>
        </w:tblPrEx>
        <w:tc>
          <w:tcPr>
            <w:tcW w:w="3360" w:type="dxa"/>
          </w:tcPr>
          <w:p w:rsidR="006C0E49" w:rsidRPr="00023A3D" w:rsidRDefault="006C0E49">
            <w:pPr>
              <w:pStyle w:val="SBTabell"/>
              <w:keepNext/>
              <w:rPr>
                <w:sz w:val="17"/>
              </w:rPr>
            </w:pPr>
            <w:r w:rsidRPr="00023A3D">
              <w:rPr>
                <w:sz w:val="17"/>
              </w:rPr>
              <w:t>1:12 Utvecklingsarbete</w:t>
            </w:r>
          </w:p>
        </w:tc>
        <w:tc>
          <w:tcPr>
            <w:tcW w:w="992" w:type="dxa"/>
          </w:tcPr>
          <w:p w:rsidR="006C0E49" w:rsidRPr="00023A3D" w:rsidRDefault="006C0E49">
            <w:pPr>
              <w:pStyle w:val="SBTabell"/>
              <w:keepNext/>
              <w:jc w:val="right"/>
              <w:rPr>
                <w:sz w:val="17"/>
              </w:rPr>
            </w:pPr>
            <w:r w:rsidRPr="00023A3D">
              <w:rPr>
                <w:sz w:val="17"/>
              </w:rPr>
              <w:t xml:space="preserve"> 17 370</w:t>
            </w:r>
          </w:p>
        </w:tc>
        <w:tc>
          <w:tcPr>
            <w:tcW w:w="992" w:type="dxa"/>
          </w:tcPr>
          <w:p w:rsidR="006C0E49" w:rsidRPr="00023A3D" w:rsidRDefault="006C0E49">
            <w:pPr>
              <w:pStyle w:val="SBTabell"/>
              <w:keepNext/>
              <w:jc w:val="right"/>
              <w:rPr>
                <w:sz w:val="17"/>
              </w:rPr>
            </w:pPr>
            <w:r w:rsidRPr="00023A3D">
              <w:rPr>
                <w:sz w:val="17"/>
              </w:rPr>
              <w:t>-17 370</w:t>
            </w:r>
          </w:p>
        </w:tc>
      </w:tr>
      <w:tr w:rsidR="00000000" w:rsidRPr="00023A3D">
        <w:tblPrEx>
          <w:tblCellMar>
            <w:top w:w="0" w:type="dxa"/>
            <w:bottom w:w="0" w:type="dxa"/>
          </w:tblCellMar>
        </w:tblPrEx>
        <w:tc>
          <w:tcPr>
            <w:tcW w:w="3360" w:type="dxa"/>
          </w:tcPr>
          <w:p w:rsidR="006C0E49" w:rsidRPr="00023A3D" w:rsidRDefault="006C0E49">
            <w:pPr>
              <w:pStyle w:val="SBTabell"/>
              <w:keepNext/>
              <w:rPr>
                <w:sz w:val="17"/>
              </w:rPr>
            </w:pPr>
            <w:r w:rsidRPr="00023A3D">
              <w:rPr>
                <w:sz w:val="17"/>
              </w:rPr>
              <w:t>2:1  Finansinspektionen</w:t>
            </w:r>
          </w:p>
        </w:tc>
        <w:tc>
          <w:tcPr>
            <w:tcW w:w="992" w:type="dxa"/>
          </w:tcPr>
          <w:p w:rsidR="006C0E49" w:rsidRPr="00023A3D" w:rsidRDefault="006C0E49">
            <w:pPr>
              <w:pStyle w:val="SBTabell"/>
              <w:keepNext/>
              <w:jc w:val="right"/>
              <w:rPr>
                <w:sz w:val="17"/>
              </w:rPr>
            </w:pPr>
            <w:r w:rsidRPr="00023A3D">
              <w:rPr>
                <w:sz w:val="17"/>
              </w:rPr>
              <w:t xml:space="preserve"> 141 853</w:t>
            </w:r>
          </w:p>
        </w:tc>
        <w:tc>
          <w:tcPr>
            <w:tcW w:w="992" w:type="dxa"/>
          </w:tcPr>
          <w:p w:rsidR="006C0E49" w:rsidRPr="00023A3D" w:rsidRDefault="006C0E49">
            <w:pPr>
              <w:pStyle w:val="SBTabell"/>
              <w:keepNext/>
              <w:jc w:val="right"/>
              <w:rPr>
                <w:sz w:val="17"/>
              </w:rPr>
            </w:pPr>
            <w:r w:rsidRPr="00023A3D">
              <w:rPr>
                <w:sz w:val="17"/>
              </w:rPr>
              <w:t>-9 000</w:t>
            </w:r>
          </w:p>
        </w:tc>
      </w:tr>
      <w:tr w:rsidR="00000000" w:rsidRPr="00023A3D">
        <w:tblPrEx>
          <w:tblCellMar>
            <w:top w:w="0" w:type="dxa"/>
            <w:bottom w:w="0" w:type="dxa"/>
          </w:tblCellMar>
        </w:tblPrEx>
        <w:tc>
          <w:tcPr>
            <w:tcW w:w="3360" w:type="dxa"/>
          </w:tcPr>
          <w:p w:rsidR="006C0E49" w:rsidRPr="00023A3D" w:rsidRDefault="006C0E49">
            <w:pPr>
              <w:pStyle w:val="SBTabell"/>
              <w:keepNext/>
              <w:rPr>
                <w:sz w:val="17"/>
              </w:rPr>
            </w:pPr>
            <w:r w:rsidRPr="00023A3D">
              <w:rPr>
                <w:sz w:val="17"/>
              </w:rPr>
              <w:t>2:3  Riksgäldskontoret: Förvaltningskostn</w:t>
            </w:r>
            <w:r w:rsidRPr="00023A3D">
              <w:rPr>
                <w:sz w:val="17"/>
              </w:rPr>
              <w:t>a</w:t>
            </w:r>
            <w:r w:rsidRPr="00023A3D">
              <w:rPr>
                <w:sz w:val="17"/>
              </w:rPr>
              <w:t>der</w:t>
            </w:r>
          </w:p>
        </w:tc>
        <w:tc>
          <w:tcPr>
            <w:tcW w:w="992" w:type="dxa"/>
          </w:tcPr>
          <w:p w:rsidR="006C0E49" w:rsidRPr="00023A3D" w:rsidRDefault="006C0E49">
            <w:pPr>
              <w:pStyle w:val="SBTabell"/>
              <w:keepNext/>
              <w:jc w:val="right"/>
              <w:rPr>
                <w:sz w:val="17"/>
              </w:rPr>
            </w:pPr>
            <w:r w:rsidRPr="00023A3D">
              <w:rPr>
                <w:sz w:val="17"/>
              </w:rPr>
              <w:t xml:space="preserve"> 252 875</w:t>
            </w:r>
          </w:p>
        </w:tc>
        <w:tc>
          <w:tcPr>
            <w:tcW w:w="992" w:type="dxa"/>
          </w:tcPr>
          <w:p w:rsidR="006C0E49" w:rsidRPr="00023A3D" w:rsidRDefault="006C0E49">
            <w:pPr>
              <w:pStyle w:val="SBTabell"/>
              <w:keepNext/>
              <w:jc w:val="right"/>
              <w:rPr>
                <w:sz w:val="17"/>
              </w:rPr>
            </w:pPr>
            <w:r w:rsidRPr="00023A3D">
              <w:rPr>
                <w:sz w:val="17"/>
              </w:rPr>
              <w:t>-10 000</w:t>
            </w:r>
          </w:p>
        </w:tc>
      </w:tr>
      <w:tr w:rsidR="00000000" w:rsidRPr="00023A3D">
        <w:tblPrEx>
          <w:tblCellMar>
            <w:top w:w="0" w:type="dxa"/>
            <w:bottom w:w="0" w:type="dxa"/>
          </w:tblCellMar>
        </w:tblPrEx>
        <w:trPr>
          <w:trHeight w:hRule="exact" w:val="60"/>
        </w:trPr>
        <w:tc>
          <w:tcPr>
            <w:tcW w:w="3360" w:type="dxa"/>
          </w:tcPr>
          <w:p w:rsidR="006C0E49" w:rsidRPr="00023A3D" w:rsidRDefault="006C0E49">
            <w:pPr>
              <w:pStyle w:val="SBTabell"/>
              <w:keepNext/>
              <w:rPr>
                <w:sz w:val="17"/>
              </w:rPr>
            </w:pPr>
          </w:p>
        </w:tc>
        <w:tc>
          <w:tcPr>
            <w:tcW w:w="992" w:type="dxa"/>
          </w:tcPr>
          <w:p w:rsidR="006C0E49" w:rsidRPr="00023A3D" w:rsidRDefault="006C0E49">
            <w:pPr>
              <w:pStyle w:val="SBTabell"/>
              <w:keepNext/>
              <w:jc w:val="right"/>
              <w:rPr>
                <w:sz w:val="17"/>
              </w:rPr>
            </w:pPr>
          </w:p>
        </w:tc>
        <w:tc>
          <w:tcPr>
            <w:tcW w:w="992" w:type="dxa"/>
          </w:tcPr>
          <w:p w:rsidR="006C0E49" w:rsidRPr="00023A3D" w:rsidRDefault="006C0E49">
            <w:pPr>
              <w:pStyle w:val="SBTabell"/>
              <w:keepNext/>
              <w:jc w:val="right"/>
              <w:rPr>
                <w:sz w:val="17"/>
              </w:rPr>
            </w:pPr>
          </w:p>
        </w:tc>
      </w:tr>
      <w:tr w:rsidR="00000000" w:rsidRPr="00023A3D">
        <w:tblPrEx>
          <w:tblCellMar>
            <w:top w:w="0" w:type="dxa"/>
            <w:bottom w:w="0" w:type="dxa"/>
          </w:tblCellMar>
        </w:tblPrEx>
        <w:tc>
          <w:tcPr>
            <w:tcW w:w="3360" w:type="dxa"/>
            <w:tcBorders>
              <w:bottom w:val="single" w:sz="4" w:space="0" w:color="auto"/>
            </w:tcBorders>
          </w:tcPr>
          <w:p w:rsidR="006C0E49" w:rsidRPr="00023A3D" w:rsidRDefault="006C0E49">
            <w:pPr>
              <w:pStyle w:val="SBTabell"/>
              <w:keepNext/>
              <w:rPr>
                <w:b/>
                <w:sz w:val="17"/>
              </w:rPr>
            </w:pPr>
            <w:r w:rsidRPr="00023A3D">
              <w:rPr>
                <w:b/>
                <w:sz w:val="17"/>
              </w:rPr>
              <w:t>Summa</w:t>
            </w:r>
          </w:p>
        </w:tc>
        <w:tc>
          <w:tcPr>
            <w:tcW w:w="992" w:type="dxa"/>
            <w:tcBorders>
              <w:bottom w:val="single" w:sz="4" w:space="0" w:color="auto"/>
            </w:tcBorders>
          </w:tcPr>
          <w:p w:rsidR="006C0E49" w:rsidRPr="00023A3D" w:rsidRDefault="006C0E49">
            <w:pPr>
              <w:pStyle w:val="SBTabell"/>
              <w:keepNext/>
              <w:jc w:val="right"/>
              <w:rPr>
                <w:b/>
                <w:sz w:val="17"/>
              </w:rPr>
            </w:pPr>
            <w:r w:rsidRPr="00023A3D">
              <w:rPr>
                <w:b/>
                <w:sz w:val="17"/>
              </w:rPr>
              <w:t>8 754 408</w:t>
            </w:r>
          </w:p>
        </w:tc>
        <w:tc>
          <w:tcPr>
            <w:tcW w:w="992" w:type="dxa"/>
            <w:tcBorders>
              <w:bottom w:val="single" w:sz="4" w:space="0" w:color="auto"/>
            </w:tcBorders>
          </w:tcPr>
          <w:p w:rsidR="006C0E49" w:rsidRPr="00023A3D" w:rsidRDefault="006C0E49">
            <w:pPr>
              <w:pStyle w:val="SBTabell"/>
              <w:keepNext/>
              <w:jc w:val="right"/>
              <w:rPr>
                <w:b/>
                <w:sz w:val="17"/>
              </w:rPr>
            </w:pPr>
            <w:r w:rsidRPr="00023A3D">
              <w:rPr>
                <w:b/>
                <w:sz w:val="17"/>
              </w:rPr>
              <w:t>-107 427</w:t>
            </w:r>
          </w:p>
        </w:tc>
      </w:tr>
    </w:tbl>
    <w:p w:rsidR="006C0E49" w:rsidRPr="00023A3D" w:rsidRDefault="006C0E49">
      <w:pPr>
        <w:pStyle w:val="Normaltindrag"/>
        <w:spacing w:line="40" w:lineRule="exact"/>
      </w:pPr>
    </w:p>
    <w:p w:rsidR="006C0E49" w:rsidRPr="00023A3D" w:rsidRDefault="006C0E49">
      <w:pPr>
        <w:pStyle w:val="Reservationspunkt"/>
        <w:rPr>
          <w:noProof w:val="0"/>
        </w:rPr>
      </w:pPr>
      <w:bookmarkStart w:id="83" w:name="_Toc532365515"/>
      <w:r w:rsidRPr="00023A3D">
        <w:rPr>
          <w:noProof w:val="0"/>
        </w:rPr>
        <w:t>3.</w:t>
      </w:r>
      <w:r w:rsidRPr="00023A3D">
        <w:rPr>
          <w:noProof w:val="0"/>
        </w:rPr>
        <w:tab/>
        <w:t>Anslagen för 2002 inom utgiftsområde 2 – punkt 1 (fp)</w:t>
      </w:r>
      <w:bookmarkEnd w:id="83"/>
    </w:p>
    <w:p w:rsidR="006C0E49" w:rsidRPr="00023A3D" w:rsidRDefault="006C0E49">
      <w:pPr>
        <w:pStyle w:val="Reservanter"/>
      </w:pPr>
      <w:r w:rsidRPr="00023A3D">
        <w:t>av Karin Pilsäter (fp).</w:t>
      </w:r>
    </w:p>
    <w:p w:rsidR="006C0E49" w:rsidRPr="00023A3D" w:rsidRDefault="006C0E49">
      <w:pPr>
        <w:pStyle w:val="R4"/>
      </w:pPr>
      <w:r w:rsidRPr="00023A3D">
        <w:t>Förslag till riksdagsbeslut</w:t>
      </w:r>
    </w:p>
    <w:p w:rsidR="006C0E49" w:rsidRPr="00023A3D" w:rsidRDefault="006C0E49">
      <w:r w:rsidRPr="00023A3D">
        <w:t>Jag anser att utskottets förslag under punkt 1 borde ha följande lydelse:</w:t>
      </w:r>
    </w:p>
    <w:p w:rsidR="006C0E49" w:rsidRPr="00023A3D" w:rsidRDefault="006C0E49">
      <w:r w:rsidRPr="00023A3D">
        <w:t>Riksdagen anvisar för budgetåret 2002 anslag inom utgiftsområde 2 Sa</w:t>
      </w:r>
      <w:r w:rsidRPr="00023A3D">
        <w:t>m</w:t>
      </w:r>
      <w:r w:rsidRPr="00023A3D">
        <w:t>hällsekonomi och finansförvaltning på det sätt som framgår av det med rese</w:t>
      </w:r>
      <w:r w:rsidRPr="00023A3D">
        <w:t>r</w:t>
      </w:r>
      <w:r w:rsidRPr="00023A3D">
        <w:t>vation 3 (fp) betecknade förslaget i den specifikation som följer efter utsko</w:t>
      </w:r>
      <w:r w:rsidRPr="00023A3D">
        <w:t>t</w:t>
      </w:r>
      <w:r w:rsidRPr="00023A3D">
        <w:t xml:space="preserve">tets förslag till beslut. Därmed bifaller riksdagen motionerna </w:t>
      </w:r>
    </w:p>
    <w:p w:rsidR="006C0E49" w:rsidRPr="00023A3D" w:rsidRDefault="006C0E49">
      <w:pPr>
        <w:spacing w:before="0"/>
      </w:pPr>
      <w:r w:rsidRPr="00023A3D">
        <w:t>2001/02:Fi220 av förste vice talmannen Anders Björck och Christel Ande</w:t>
      </w:r>
      <w:r w:rsidRPr="00023A3D">
        <w:t>r</w:t>
      </w:r>
      <w:r w:rsidRPr="00023A3D">
        <w:t xml:space="preserve">berg (m), </w:t>
      </w:r>
    </w:p>
    <w:p w:rsidR="006C0E49" w:rsidRPr="00023A3D" w:rsidRDefault="006C0E49">
      <w:pPr>
        <w:spacing w:before="0"/>
      </w:pPr>
      <w:r w:rsidRPr="00023A3D">
        <w:t xml:space="preserve">2001/02:Fi260 av Karin Pilsäter m.fl. (fp), </w:t>
      </w:r>
    </w:p>
    <w:p w:rsidR="006C0E49" w:rsidRPr="00023A3D" w:rsidRDefault="006C0E49">
      <w:pPr>
        <w:spacing w:before="0"/>
      </w:pPr>
      <w:r w:rsidRPr="00023A3D">
        <w:t>2001/02:Fi279 av Gunnar Hökmark m.fl. (m),</w:t>
      </w:r>
    </w:p>
    <w:p w:rsidR="006C0E49" w:rsidRPr="00023A3D" w:rsidRDefault="006C0E49">
      <w:pPr>
        <w:spacing w:before="0"/>
      </w:pPr>
      <w:r w:rsidRPr="00023A3D">
        <w:t xml:space="preserve">2001/02:Fi287 av Gunnar Hökmark m.fl. (m) delvis och </w:t>
      </w:r>
    </w:p>
    <w:p w:rsidR="006C0E49" w:rsidRPr="00023A3D" w:rsidRDefault="006C0E49">
      <w:pPr>
        <w:spacing w:before="0"/>
      </w:pPr>
      <w:r w:rsidRPr="00023A3D">
        <w:t xml:space="preserve">2001/02:Fi294 av Lars Leijonborg m.fl. (fp) yrkande 10 i denna del </w:t>
      </w:r>
    </w:p>
    <w:p w:rsidR="006C0E49" w:rsidRPr="00023A3D" w:rsidRDefault="006C0E49">
      <w:pPr>
        <w:pStyle w:val="Reservantfrslag"/>
      </w:pPr>
      <w:r w:rsidRPr="00023A3D">
        <w:t xml:space="preserve">liksom proposition 2001/02:1 utgiftsområde 2 punkterna 13 delvis och 14 samt avslår motionerna </w:t>
      </w:r>
    </w:p>
    <w:p w:rsidR="006C0E49" w:rsidRPr="00023A3D" w:rsidRDefault="006C0E49">
      <w:pPr>
        <w:spacing w:before="0"/>
      </w:pPr>
      <w:r w:rsidRPr="00023A3D">
        <w:t xml:space="preserve">2001/02:Fi263 av Lena Ek m.fl. (c) och </w:t>
      </w:r>
    </w:p>
    <w:p w:rsidR="006C0E49" w:rsidRPr="00023A3D" w:rsidRDefault="006C0E49">
      <w:pPr>
        <w:spacing w:before="0"/>
      </w:pPr>
      <w:r w:rsidRPr="00023A3D">
        <w:t xml:space="preserve">2001/02:Fi276 av Per Landgren m.fl. (kd) yrkandena 2–4. </w:t>
      </w:r>
    </w:p>
    <w:p w:rsidR="006C0E49" w:rsidRPr="00023A3D" w:rsidRDefault="006C0E49">
      <w:pPr>
        <w:pStyle w:val="R4"/>
      </w:pPr>
      <w:r w:rsidRPr="00023A3D">
        <w:t>Ställningstagande</w:t>
      </w:r>
    </w:p>
    <w:p w:rsidR="006C0E49" w:rsidRPr="00023A3D" w:rsidRDefault="006C0E49">
      <w:r w:rsidRPr="00023A3D">
        <w:t>Jag anser att den planerade folk- och bostadsräkningen inte bör genomföras. Folkpartiet liberalerna har hela tiden motsatt sig planerna på en sådan unde</w:t>
      </w:r>
      <w:r w:rsidRPr="00023A3D">
        <w:t>r</w:t>
      </w:r>
      <w:r w:rsidRPr="00023A3D">
        <w:t>sökning. Allt förberedelsearbete bör omedelbart avbrytas, och reservationsa</w:t>
      </w:r>
      <w:r w:rsidRPr="00023A3D">
        <w:t>n</w:t>
      </w:r>
      <w:r w:rsidRPr="00023A3D">
        <w:t>slaget 1:7 Folk- och bostadsstatistik bör utgå i sin helhet och innestående reservationsmedel</w:t>
      </w:r>
      <w:r w:rsidRPr="00023A3D">
        <w:t>s</w:t>
      </w:r>
      <w:r w:rsidRPr="00023A3D">
        <w:t>behållningar avvecklas.</w:t>
      </w:r>
    </w:p>
    <w:p w:rsidR="006C0E49" w:rsidRPr="00023A3D" w:rsidRDefault="006C0E49">
      <w:pPr>
        <w:pStyle w:val="Normaltindrag"/>
      </w:pPr>
      <w:r w:rsidRPr="00023A3D">
        <w:t>Jag föreslår alltså att riksdagen bifaller de båda folkpartistiska motionerna Fi260 och Fi294 yrkande 10 i denna del.</w:t>
      </w:r>
    </w:p>
    <w:p w:rsidR="006C0E49" w:rsidRPr="00023A3D" w:rsidRDefault="006C0E49">
      <w:pPr>
        <w:pStyle w:val="Reservationspunkt"/>
        <w:rPr>
          <w:noProof w:val="0"/>
        </w:rPr>
      </w:pPr>
      <w:bookmarkStart w:id="84" w:name="_Toc532365516"/>
      <w:r w:rsidRPr="00023A3D">
        <w:rPr>
          <w:noProof w:val="0"/>
        </w:rPr>
        <w:t>4.</w:t>
      </w:r>
      <w:r w:rsidRPr="00023A3D">
        <w:rPr>
          <w:noProof w:val="0"/>
        </w:rPr>
        <w:tab/>
        <w:t>Finansinspektionens finansiering – punkt 8 (kd)</w:t>
      </w:r>
      <w:bookmarkEnd w:id="84"/>
    </w:p>
    <w:p w:rsidR="006C0E49" w:rsidRPr="00023A3D" w:rsidRDefault="006C0E49">
      <w:pPr>
        <w:pStyle w:val="Reservanter"/>
        <w:keepNext/>
      </w:pPr>
      <w:r w:rsidRPr="00023A3D">
        <w:t>av Mats Odell och Per Landgren (båda kd).</w:t>
      </w:r>
    </w:p>
    <w:p w:rsidR="006C0E49" w:rsidRPr="00023A3D" w:rsidRDefault="006C0E49">
      <w:pPr>
        <w:pStyle w:val="R4"/>
      </w:pPr>
      <w:r w:rsidRPr="00023A3D">
        <w:t>Förslag till riksdagsbeslut</w:t>
      </w:r>
    </w:p>
    <w:p w:rsidR="006C0E49" w:rsidRPr="00023A3D" w:rsidRDefault="006C0E49">
      <w:r w:rsidRPr="00023A3D">
        <w:t>Vi anser att utskottets förslag under punkt 8 borde ha följande lydelse:</w:t>
      </w:r>
    </w:p>
    <w:p w:rsidR="006C0E49" w:rsidRPr="00023A3D" w:rsidRDefault="006C0E49">
      <w:r w:rsidRPr="00023A3D">
        <w:t>Riksdagen tillkännager för regeringen som sin mening vad som framförs i reservation 4 om Finansinspektionens finansiering. Riksdagen bifaller därmed m</w:t>
      </w:r>
      <w:r w:rsidRPr="00023A3D">
        <w:t>o</w:t>
      </w:r>
      <w:r w:rsidRPr="00023A3D">
        <w:t>tion 2001/02:Fi276 yrkande 1.</w:t>
      </w:r>
    </w:p>
    <w:p w:rsidR="006C0E49" w:rsidRPr="00023A3D" w:rsidRDefault="006C0E49">
      <w:pPr>
        <w:pStyle w:val="R4"/>
      </w:pPr>
      <w:r w:rsidRPr="00023A3D">
        <w:t>Ställningstagande</w:t>
      </w:r>
    </w:p>
    <w:p w:rsidR="006C0E49" w:rsidRPr="00023A3D" w:rsidRDefault="006C0E49">
      <w:pPr>
        <w:rPr>
          <w:snapToGrid w:val="0"/>
        </w:rPr>
      </w:pPr>
      <w:bookmarkStart w:id="85" w:name="Nästa_Reservation"/>
      <w:bookmarkEnd w:id="85"/>
      <w:r w:rsidRPr="00023A3D">
        <w:t>Finansinspektionens verksamhet är helt avgiftsfinansierad, men inspektionen får inte tillgodogöra sig de avgifter den tar ut. Dessa redovisas i stället mot en inkomsttitel på statsbudgeten och inspektionen tilldelas ett anslag som är lika stort som de samlade avgifterna. Principen är därvid den att det är Finansi</w:t>
      </w:r>
      <w:r w:rsidRPr="00023A3D">
        <w:t>n</w:t>
      </w:r>
      <w:r w:rsidRPr="00023A3D">
        <w:t xml:space="preserve">spektionens samlade anslagsbehov som styr hur stora avgifter som varje år skall tas ut. Får inspektionen </w:t>
      </w:r>
      <w:r w:rsidRPr="00023A3D">
        <w:rPr>
          <w:snapToGrid w:val="0"/>
          <w:color w:val="000000"/>
        </w:rPr>
        <w:t>ett resurstillskott påverkas således inte statska</w:t>
      </w:r>
      <w:r w:rsidRPr="00023A3D">
        <w:rPr>
          <w:snapToGrid w:val="0"/>
          <w:color w:val="000000"/>
        </w:rPr>
        <w:t>s</w:t>
      </w:r>
      <w:r w:rsidRPr="00023A3D">
        <w:rPr>
          <w:snapToGrid w:val="0"/>
          <w:color w:val="000000"/>
        </w:rPr>
        <w:t>san, eftersom ett ökat ramanslag innebär ökade avgifter för institut under tillsyn.</w:t>
      </w:r>
    </w:p>
    <w:p w:rsidR="006C0E49" w:rsidRPr="00023A3D" w:rsidRDefault="006C0E49">
      <w:pPr>
        <w:pStyle w:val="Normaltindrag"/>
      </w:pPr>
      <w:r w:rsidRPr="00023A3D">
        <w:rPr>
          <w:snapToGrid w:val="0"/>
        </w:rPr>
        <w:t>Vi vill starkt ifrågasätta denna rundgång mellan avgifter och anslag. På sikt bör enligt vår mening Finansinspektionen få rätt att själv debitera fina</w:t>
      </w:r>
      <w:r w:rsidRPr="00023A3D">
        <w:rPr>
          <w:snapToGrid w:val="0"/>
        </w:rPr>
        <w:t>n</w:t>
      </w:r>
      <w:r w:rsidRPr="00023A3D">
        <w:rPr>
          <w:snapToGrid w:val="0"/>
        </w:rPr>
        <w:t>s</w:t>
      </w:r>
      <w:r w:rsidRPr="00023A3D">
        <w:rPr>
          <w:snapToGrid w:val="0"/>
        </w:rPr>
        <w:softHyphen/>
        <w:t>instituten direkt för sin verksamhet enligt den modell som tillämpas i Sto</w:t>
      </w:r>
      <w:r w:rsidRPr="00023A3D">
        <w:rPr>
          <w:snapToGrid w:val="0"/>
        </w:rPr>
        <w:t>r</w:t>
      </w:r>
      <w:r w:rsidRPr="00023A3D">
        <w:rPr>
          <w:snapToGrid w:val="0"/>
        </w:rPr>
        <w:t>britannien och som även gäller för annan statlig verksamhet. Utvecklingen inom finansmarknaderna ställer höga krav på alla aktörer, inklusive Finansi</w:t>
      </w:r>
      <w:r w:rsidRPr="00023A3D">
        <w:rPr>
          <w:snapToGrid w:val="0"/>
        </w:rPr>
        <w:t>n</w:t>
      </w:r>
      <w:r w:rsidRPr="00023A3D">
        <w:rPr>
          <w:snapToGrid w:val="0"/>
        </w:rPr>
        <w:t>spektionen.</w:t>
      </w:r>
      <w:r w:rsidRPr="00023A3D">
        <w:t xml:space="preserve"> Om inspektionen själv får förfoga över sina intäkter kan ver</w:t>
      </w:r>
      <w:r w:rsidRPr="00023A3D">
        <w:t>k</w:t>
      </w:r>
      <w:r w:rsidRPr="00023A3D">
        <w:t>samheten snabbt anpassas till uppkomna behov när så är nödvändigt utan att man behöver gå omvägen via statsbudg</w:t>
      </w:r>
      <w:r w:rsidRPr="00023A3D">
        <w:t>e</w:t>
      </w:r>
      <w:r w:rsidRPr="00023A3D">
        <w:t>ten.</w:t>
      </w:r>
    </w:p>
    <w:p w:rsidR="006C0E49" w:rsidRPr="00023A3D" w:rsidRDefault="006C0E49">
      <w:pPr>
        <w:pStyle w:val="Normaltindrag"/>
      </w:pPr>
      <w:r w:rsidRPr="00023A3D">
        <w:t>Enligt vår mening bör regeringen utreda om inte Finansinspektionens verksamhet kan finansieras</w:t>
      </w:r>
      <w:r w:rsidRPr="00023A3D">
        <w:t xml:space="preserve"> på ett mer effektivt sätt än i dag. I första hand tänker vi oss att Finansinspektionen på angivet sätt skall frikopplas från stat</w:t>
      </w:r>
      <w:r w:rsidRPr="00023A3D">
        <w:t>s</w:t>
      </w:r>
      <w:r w:rsidRPr="00023A3D">
        <w:t>budgeten, varvid utgiftstaket självklart får justeras ned med ett belopp mo</w:t>
      </w:r>
      <w:r w:rsidRPr="00023A3D">
        <w:t>t</w:t>
      </w:r>
      <w:r w:rsidRPr="00023A3D">
        <w:t>svarande det nuvarande anslaget.</w:t>
      </w:r>
    </w:p>
    <w:p w:rsidR="006C0E49" w:rsidRPr="00023A3D" w:rsidRDefault="006C0E49">
      <w:pPr>
        <w:pStyle w:val="Normaltindrag"/>
      </w:pPr>
      <w:r w:rsidRPr="00023A3D">
        <w:t>Vi föreslår alltså att riksdagen skall tillkännage för regeringen som sin m</w:t>
      </w:r>
      <w:r w:rsidRPr="00023A3D">
        <w:t>e</w:t>
      </w:r>
      <w:r w:rsidRPr="00023A3D">
        <w:t>ning vad vi har framfört om Finansinspektionens finansiering. Detta innebär att riksdagen bifaller motion Fi276 yrkande 1.</w:t>
      </w:r>
    </w:p>
    <w:p w:rsidR="006C0E49" w:rsidRPr="00023A3D" w:rsidRDefault="006C0E49">
      <w:pPr>
        <w:pStyle w:val="Reservationspunkt"/>
        <w:numPr>
          <w:ilvl w:val="0"/>
          <w:numId w:val="47"/>
        </w:numPr>
        <w:rPr>
          <w:noProof w:val="0"/>
        </w:rPr>
      </w:pPr>
      <w:bookmarkStart w:id="86" w:name="_Toc532365517"/>
      <w:r w:rsidRPr="00023A3D">
        <w:rPr>
          <w:noProof w:val="0"/>
        </w:rPr>
        <w:t>Företagens uppgiftslämnande – punkt 9 (m)</w:t>
      </w:r>
      <w:bookmarkEnd w:id="86"/>
    </w:p>
    <w:p w:rsidR="006C0E49" w:rsidRPr="00023A3D" w:rsidRDefault="006C0E49">
      <w:pPr>
        <w:pStyle w:val="Reservanter"/>
        <w:keepNext/>
      </w:pPr>
      <w:r w:rsidRPr="00023A3D">
        <w:t>av Gunnar Hökmark, Lennart Hedquist, Anna Åkerhielm och Gunnar Axén (alla m).</w:t>
      </w:r>
    </w:p>
    <w:p w:rsidR="006C0E49" w:rsidRPr="00023A3D" w:rsidRDefault="006C0E49">
      <w:pPr>
        <w:pStyle w:val="R4"/>
      </w:pPr>
      <w:bookmarkStart w:id="87" w:name="_Toc532278945"/>
      <w:r w:rsidRPr="00023A3D">
        <w:t>Förslag till riksdagsbeslut</w:t>
      </w:r>
      <w:bookmarkEnd w:id="87"/>
    </w:p>
    <w:p w:rsidR="006C0E49" w:rsidRPr="00023A3D" w:rsidRDefault="006C0E49">
      <w:r w:rsidRPr="00023A3D">
        <w:t>Vi anser att utskottets förslag under punkt 9 borde ha följande betydelse:</w:t>
      </w:r>
    </w:p>
    <w:p w:rsidR="006C0E49" w:rsidRPr="00023A3D" w:rsidRDefault="006C0E49">
      <w:r w:rsidRPr="00023A3D">
        <w:t>Riksdagen tillkännager för regeringen som sin mening att småföretagens uppgiftslämnande inom Intrastatsystemet måste förenklas. Riksdagen bifaller därmed motion 2001/02:N345.</w:t>
      </w:r>
    </w:p>
    <w:p w:rsidR="006C0E49" w:rsidRPr="00023A3D" w:rsidRDefault="006C0E49">
      <w:pPr>
        <w:pStyle w:val="R4"/>
      </w:pPr>
      <w:bookmarkStart w:id="88" w:name="_Toc532278946"/>
      <w:r w:rsidRPr="00023A3D">
        <w:t>Ställningstagande</w:t>
      </w:r>
      <w:bookmarkEnd w:id="88"/>
    </w:p>
    <w:p w:rsidR="006C0E49" w:rsidRPr="00023A3D" w:rsidRDefault="006C0E49">
      <w:r w:rsidRPr="00023A3D">
        <w:t>Företag som importerar är i dag tvingade att lämna statistikuppgifter inom det s.k. Intrastatsystemet. Kraven på dessa statistikuppgifter är så detaljerade att många företag tvingas göra egna förenklingar i beskrivningen av sina pr</w:t>
      </w:r>
      <w:r w:rsidRPr="00023A3D">
        <w:t>o</w:t>
      </w:r>
      <w:r w:rsidRPr="00023A3D">
        <w:t>dukter för att klara av uppgiftslämnandet. Det är således i praktiken inte mö</w:t>
      </w:r>
      <w:r w:rsidRPr="00023A3D">
        <w:t>j</w:t>
      </w:r>
      <w:r w:rsidRPr="00023A3D">
        <w:t>ligt att specificera produkter i den grad som i dag krävs inom Intrastat. Stati</w:t>
      </w:r>
      <w:r w:rsidRPr="00023A3D">
        <w:softHyphen/>
        <w:t>stiken blir därför inte så ko</w:t>
      </w:r>
      <w:r w:rsidRPr="00023A3D">
        <w:t>r</w:t>
      </w:r>
      <w:r w:rsidRPr="00023A3D">
        <w:t xml:space="preserve">rekt som det var tänkt. </w:t>
      </w:r>
    </w:p>
    <w:p w:rsidR="006C0E49" w:rsidRPr="00023A3D" w:rsidRDefault="006C0E49">
      <w:pPr>
        <w:pStyle w:val="Normaltindrag"/>
      </w:pPr>
      <w:r w:rsidRPr="00023A3D">
        <w:t>Vi anser att företagens administration av statistiklämnandet måste fören</w:t>
      </w:r>
      <w:r w:rsidRPr="00023A3D">
        <w:t>k</w:t>
      </w:r>
      <w:r w:rsidRPr="00023A3D">
        <w:t>las. Vi föreslår därför att antalet klassificeringar inom Intrastat minskas till mer generella huvudgrupper som skall utgöra tillräckligt underlag för all sorts statistik som kan behövas. Detta skulle bidra till ett av huvudmålen för för</w:t>
      </w:r>
      <w:r w:rsidRPr="00023A3D">
        <w:t>e</w:t>
      </w:r>
      <w:r w:rsidRPr="00023A3D">
        <w:t>tagspolitiken, att förenkla det administrativa arbetet för företagen och göra uppgiftslämnandet relevant. Enligt vår mening bör regeringen verka för att denna fråga på nytt tas upp på EU-nivån.</w:t>
      </w:r>
    </w:p>
    <w:p w:rsidR="006C0E49" w:rsidRPr="00023A3D" w:rsidRDefault="006C0E49">
      <w:pPr>
        <w:pStyle w:val="Normaltindrag"/>
      </w:pPr>
      <w:r w:rsidRPr="00023A3D">
        <w:t>Vi föreslår alltså att riksdagen bifaller Moderata samlingspartiets motion N345</w:t>
      </w:r>
      <w:r w:rsidRPr="00023A3D">
        <w:t>.</w:t>
      </w:r>
    </w:p>
    <w:p w:rsidR="006C0E49" w:rsidRPr="00023A3D" w:rsidRDefault="006C0E49">
      <w:pPr>
        <w:pStyle w:val="Normaltindrag"/>
      </w:pPr>
    </w:p>
    <w:p w:rsidR="006C0E49" w:rsidRPr="00023A3D" w:rsidRDefault="006C0E49">
      <w:pPr>
        <w:pStyle w:val="Normaltindrag"/>
      </w:pPr>
    </w:p>
    <w:p w:rsidR="006C0E49" w:rsidRPr="00023A3D" w:rsidRDefault="006C0E49">
      <w:pPr>
        <w:pStyle w:val="Normaltindrag"/>
        <w:sectPr w:rsidR="00000000" w:rsidRPr="00023A3D">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pPr>
    </w:p>
    <w:p w:rsidR="006C0E49" w:rsidRPr="00023A3D" w:rsidRDefault="006C0E49">
      <w:pPr>
        <w:pStyle w:val="Rubrik1"/>
        <w:rPr>
          <w:noProof w:val="0"/>
        </w:rPr>
      </w:pPr>
      <w:bookmarkStart w:id="89" w:name="_Toc532365518"/>
      <w:r w:rsidRPr="00023A3D">
        <w:rPr>
          <w:noProof w:val="0"/>
        </w:rPr>
        <w:t>Särskilda yttranden</w:t>
      </w:r>
      <w:bookmarkEnd w:id="89"/>
    </w:p>
    <w:p w:rsidR="006C0E49" w:rsidRPr="00023A3D" w:rsidRDefault="006C0E49">
      <w:r w:rsidRPr="00023A3D">
        <w:t>Utskottets beredning av ärendet har föranlett följande särskilda yttranden. I rubriken anges inom parentes vilken punkt i utskottets förslag till riksdagsb</w:t>
      </w:r>
      <w:r w:rsidRPr="00023A3D">
        <w:t>e</w:t>
      </w:r>
      <w:r w:rsidRPr="00023A3D">
        <w:t>slut som behandlas i avsnittet.</w:t>
      </w:r>
    </w:p>
    <w:p w:rsidR="006C0E49" w:rsidRPr="00023A3D" w:rsidRDefault="006C0E49">
      <w:pPr>
        <w:pStyle w:val="Yttrandepunkt"/>
        <w:rPr>
          <w:noProof w:val="0"/>
        </w:rPr>
      </w:pPr>
      <w:bookmarkStart w:id="90" w:name="_Toc532365519"/>
      <w:r w:rsidRPr="00023A3D">
        <w:rPr>
          <w:noProof w:val="0"/>
        </w:rPr>
        <w:t>1.</w:t>
      </w:r>
      <w:r w:rsidRPr="00023A3D">
        <w:rPr>
          <w:noProof w:val="0"/>
        </w:rPr>
        <w:tab/>
        <w:t>Anslagen för 2002 inom utgiftsområde 2</w:t>
      </w:r>
      <w:bookmarkEnd w:id="90"/>
    </w:p>
    <w:p w:rsidR="006C0E49" w:rsidRPr="00023A3D" w:rsidRDefault="006C0E49">
      <w:pPr>
        <w:pStyle w:val="Reservanter"/>
      </w:pPr>
      <w:r w:rsidRPr="00023A3D">
        <w:t>av Johan Lönnroth och Siv Holma (båda v).</w:t>
      </w:r>
    </w:p>
    <w:p w:rsidR="006C0E49" w:rsidRPr="00023A3D" w:rsidRDefault="006C0E49">
      <w:r w:rsidRPr="00023A3D">
        <w:t>Vår uppfattning är att den ekonomiska expertis som regeringen anser sig behöva bör knytas direkt till Regeringskansliet. Forskningspengar bör ges direkt till universiteten där också prioriteringar av forskningsprojekt skall göras. Ekonomiska rådet, som är knutet till Finansdepartementet och som består av sex nationalekonomiska forskare, är ett avsteg från denna princip. Vi anser därför att Ekonomiska rådet bör avvecklas.</w:t>
      </w:r>
    </w:p>
    <w:p w:rsidR="006C0E49" w:rsidRPr="00023A3D" w:rsidRDefault="006C0E49">
      <w:pPr>
        <w:pStyle w:val="Yttrandepunkt"/>
        <w:rPr>
          <w:noProof w:val="0"/>
        </w:rPr>
      </w:pPr>
      <w:bookmarkStart w:id="91" w:name="_Toc532365520"/>
      <w:r w:rsidRPr="00023A3D">
        <w:rPr>
          <w:noProof w:val="0"/>
        </w:rPr>
        <w:t>2.</w:t>
      </w:r>
      <w:r w:rsidRPr="00023A3D">
        <w:rPr>
          <w:noProof w:val="0"/>
        </w:rPr>
        <w:tab/>
        <w:t>Anslagen för 2002 inom utgiftsområde 2</w:t>
      </w:r>
      <w:bookmarkEnd w:id="91"/>
    </w:p>
    <w:p w:rsidR="006C0E49" w:rsidRPr="00023A3D" w:rsidRDefault="006C0E49">
      <w:pPr>
        <w:pStyle w:val="Reservanter"/>
      </w:pPr>
      <w:r w:rsidRPr="00023A3D">
        <w:t>av Mats Odell och Per Landgren (båda kd).</w:t>
      </w:r>
    </w:p>
    <w:p w:rsidR="006C0E49" w:rsidRPr="00023A3D" w:rsidRDefault="006C0E49">
      <w:r w:rsidRPr="00023A3D">
        <w:t>Riksdagen har den 21 november 2001 i första steget av budgetprocessen ställt sig bakom regeringens, Vänsterpartiets och Miljöpartiet de grönas budgetfö</w:t>
      </w:r>
      <w:r w:rsidRPr="00023A3D">
        <w:t>r</w:t>
      </w:r>
      <w:r w:rsidRPr="00023A3D">
        <w:t>slag för år 2002. Det innebär att riksdagen för detta år nu har låst såväl ut</w:t>
      </w:r>
      <w:r w:rsidRPr="00023A3D">
        <w:softHyphen/>
        <w:t>giftstak som ramar för de 27 utgiftsområdena samt fattat beslut om de skatte- och avgiftsförändringar som skall träda i kraft nästa år.</w:t>
      </w:r>
    </w:p>
    <w:p w:rsidR="006C0E49" w:rsidRPr="00023A3D" w:rsidRDefault="006C0E49">
      <w:pPr>
        <w:pStyle w:val="Normaltindrag"/>
      </w:pPr>
      <w:r w:rsidRPr="00023A3D">
        <w:t>För budgetåret 2002 gäller därmed att de samlade utgifterna på utgiftso</w:t>
      </w:r>
      <w:r w:rsidRPr="00023A3D">
        <w:t>m</w:t>
      </w:r>
      <w:r w:rsidRPr="00023A3D">
        <w:t xml:space="preserve">råde 2 inte får överstiga 8 754,4 miljoner kronor under riksdagens fortsatta behandling. Kristdemokraternas förslag på utgiftsområdet understiger denna nivå och kan således formellt tas upp till behandling. </w:t>
      </w:r>
    </w:p>
    <w:p w:rsidR="006C0E49" w:rsidRPr="00023A3D" w:rsidRDefault="006C0E49">
      <w:pPr>
        <w:pStyle w:val="Normaltindrag"/>
      </w:pPr>
      <w:r w:rsidRPr="00023A3D">
        <w:t>Eftersom riksdagsmajoriteten i första steget av budgetprocessen givit bu</w:t>
      </w:r>
      <w:r w:rsidRPr="00023A3D">
        <w:t>d</w:t>
      </w:r>
      <w:r w:rsidRPr="00023A3D">
        <w:t>getpolitiken en helt annan inriktning än den vi önskat, avstår vi från att red</w:t>
      </w:r>
      <w:r w:rsidRPr="00023A3D">
        <w:t>o</w:t>
      </w:r>
      <w:r w:rsidRPr="00023A3D">
        <w:t>visa något formellt motförslag till anslagsfördelning inom utgiftsområde 2. Vårt budgetalternativ – med våra förslag till utgiftstak, anslagsfördelning och skatteförändringar – bör nämligen ses som ett sammanhållet paket där någon eller några delar inte kan brytas ut och behandlas isolerat från de andra.</w:t>
      </w:r>
    </w:p>
    <w:p w:rsidR="006C0E49" w:rsidRPr="00023A3D" w:rsidRDefault="006C0E49">
      <w:pPr>
        <w:pStyle w:val="Normaltindrag"/>
      </w:pPr>
      <w:r w:rsidRPr="00023A3D">
        <w:t>Vi vidhåller emellertid vår uppfattning och anser att anslagen inom u</w:t>
      </w:r>
      <w:r w:rsidRPr="00023A3D">
        <w:t>t</w:t>
      </w:r>
      <w:r w:rsidRPr="00023A3D">
        <w:t>giftsområde 2 borde ha begränsats med netto 103,7 miljoner kronor på det sätt som framgår av den kristdemokratiska motionen Fi276.</w:t>
      </w:r>
    </w:p>
    <w:p w:rsidR="006C0E49" w:rsidRPr="00023A3D" w:rsidRDefault="006C0E49">
      <w:pPr>
        <w:pStyle w:val="Normaltindrag"/>
      </w:pPr>
      <w:r w:rsidRPr="00023A3D">
        <w:t>I den föreslår vi att såväl Ekonomiska rådet som Statens kvalitets- och kompetensråd avvecklas. Deras uppgifter kan ombesörjas på annat sätt. Vi vill också omfördela Statskontorets och Kammarkollegiets arbetsuppgifter och räknar med att det skall minska budgetbelastningen. Regeringens satsning på utvecklingsarbete vill vi halvera eftersom frågor av detta slag i dag sköts av RRV</w:t>
      </w:r>
      <w:r w:rsidRPr="00023A3D">
        <w:t xml:space="preserve"> och ESV. Även anslaget till folk- och bostadsräkningen vill vi min</w:t>
      </w:r>
      <w:r w:rsidRPr="00023A3D">
        <w:t>s</w:t>
      </w:r>
      <w:r w:rsidRPr="00023A3D">
        <w:t>ka, främst med hänsyn till att vi motsätter oss det sätt på vilket yrkesregistret har hanterats och ställer oss skeptiska till omfattningen av den nu planerade undersökningen. Statistiska centralbyråns verksamhet bör ombildas och stat</w:t>
      </w:r>
      <w:r w:rsidRPr="00023A3D">
        <w:t>i</w:t>
      </w:r>
      <w:r w:rsidRPr="00023A3D">
        <w:t>stikproduktionen bör i viss utsträckning föras över på statistikansvariga my</w:t>
      </w:r>
      <w:r w:rsidRPr="00023A3D">
        <w:t>n</w:t>
      </w:r>
      <w:r w:rsidRPr="00023A3D">
        <w:t>digheter. Det minskar behovet av anslagsmedel. Riksrevisionsverket skall enligt ett utredningsförslag gå samman med Riksdagens revis</w:t>
      </w:r>
      <w:r w:rsidRPr="00023A3D">
        <w:t>orer. Enligt vår mening bör de båda myndigheternas verksamhet samordnas redan fr.o.m. andra halvåret 2002, vilket tillsammans med en ökad avgiftsfinansiering av RRV:s verksamhet kan väntas begränsa medelsbehovet för RRV och RR med sammanlagt 7 miljoner kronor.</w:t>
      </w:r>
    </w:p>
    <w:p w:rsidR="006C0E49" w:rsidRPr="00023A3D" w:rsidRDefault="006C0E49">
      <w:pPr>
        <w:pStyle w:val="Normaltindrag"/>
      </w:pPr>
      <w:r w:rsidRPr="00023A3D">
        <w:t>Med tanke på den mycket omfattande offentliga upphandling som för</w:t>
      </w:r>
      <w:r w:rsidRPr="00023A3D">
        <w:t>e</w:t>
      </w:r>
      <w:r w:rsidRPr="00023A3D">
        <w:t>kommer i Sverige har Nämnden för offentlig upphandling alltför begränsade resurser. Vi ökar därför anslaget till nämnden men föreslår samtidigt att nämnden fr.o.m. andra halvåret 2002 ombildas till en självständig del av Konkurrensverket. Det av oss föreslagna resurstillskottet tillförs därför Ko</w:t>
      </w:r>
      <w:r w:rsidRPr="00023A3D">
        <w:t>n</w:t>
      </w:r>
      <w:r w:rsidRPr="00023A3D">
        <w:t>kurrensverket på utgiftsområde 24 Näringsliv.</w:t>
      </w:r>
    </w:p>
    <w:p w:rsidR="006C0E49" w:rsidRPr="00023A3D" w:rsidRDefault="006C0E49">
      <w:pPr>
        <w:pStyle w:val="Normaltindrag"/>
      </w:pPr>
    </w:p>
    <w:p w:rsidR="006C0E49" w:rsidRPr="00023A3D" w:rsidRDefault="006C0E49">
      <w:pPr>
        <w:pStyle w:val="Normaltindrag"/>
      </w:pPr>
    </w:p>
    <w:p w:rsidR="006C0E49" w:rsidRPr="00023A3D" w:rsidRDefault="006C0E49">
      <w:pPr>
        <w:pStyle w:val="Normaltindrag"/>
        <w:sectPr w:rsidR="00000000" w:rsidRPr="00023A3D">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pPr>
    </w:p>
    <w:p w:rsidR="006C0E49" w:rsidRPr="00023A3D" w:rsidRDefault="006C0E49">
      <w:pPr>
        <w:pStyle w:val="Bilaga"/>
      </w:pPr>
      <w:r w:rsidRPr="00023A3D">
        <w:t>Bilaga 1</w:t>
      </w:r>
    </w:p>
    <w:p w:rsidR="006C0E49" w:rsidRPr="00023A3D" w:rsidRDefault="006C0E49">
      <w:pPr>
        <w:pStyle w:val="Rubrik1"/>
        <w:rPr>
          <w:noProof w:val="0"/>
        </w:rPr>
      </w:pPr>
      <w:bookmarkStart w:id="92" w:name="_Toc532365521"/>
      <w:r w:rsidRPr="00023A3D">
        <w:rPr>
          <w:noProof w:val="0"/>
        </w:rPr>
        <w:t>Förteckning över behandlade förslag</w:t>
      </w:r>
      <w:bookmarkEnd w:id="92"/>
    </w:p>
    <w:p w:rsidR="006C0E49" w:rsidRPr="00023A3D" w:rsidRDefault="006C0E49">
      <w:pPr>
        <w:pStyle w:val="Rubrik2"/>
        <w:spacing w:before="0"/>
      </w:pPr>
      <w:bookmarkStart w:id="93" w:name="_Toc532365522"/>
      <w:r w:rsidRPr="00023A3D">
        <w:t>Propositionen</w:t>
      </w:r>
      <w:bookmarkEnd w:id="93"/>
    </w:p>
    <w:p w:rsidR="006C0E49" w:rsidRPr="00023A3D" w:rsidRDefault="006C0E49">
      <w:r w:rsidRPr="00023A3D">
        <w:t>I proposition 2001/02:1 Budgetpropositionen för 2002 utgiftsområde 2 för</w:t>
      </w:r>
      <w:r w:rsidRPr="00023A3D">
        <w:t>e</w:t>
      </w:r>
      <w:r w:rsidRPr="00023A3D">
        <w:t>slår regeringen</w:t>
      </w:r>
      <w:r w:rsidRPr="00023A3D">
        <w:rPr>
          <w:rStyle w:val="Fotnotsreferens"/>
        </w:rPr>
        <w:footnoteReference w:id="4"/>
      </w:r>
      <w:r w:rsidRPr="00023A3D">
        <w:t xml:space="preserve"> </w:t>
      </w:r>
    </w:p>
    <w:p w:rsidR="006C0E49" w:rsidRPr="00023A3D" w:rsidRDefault="006C0E49">
      <w:pPr>
        <w:pStyle w:val="Yrkanden"/>
      </w:pPr>
      <w:r w:rsidRPr="00023A3D">
        <w:t xml:space="preserve">1. att riksdagen antar regeringens förslag till lag om ändring i lagen (1992:1537) om finansiering av framtida utgifter för använt kärnbränsle m.m. (avsnitten 2.1 och 5.8), </w:t>
      </w:r>
    </w:p>
    <w:p w:rsidR="006C0E49" w:rsidRPr="00023A3D" w:rsidRDefault="006C0E49">
      <w:pPr>
        <w:pStyle w:val="Yrkanden"/>
      </w:pPr>
      <w:r w:rsidRPr="00023A3D">
        <w:t>2. att riksdagen antar regeringens förslag till lag om ändring i lagen (1998:674) om inkomstgrundad ålderspension (a</w:t>
      </w:r>
      <w:r w:rsidRPr="00023A3D">
        <w:t>v</w:t>
      </w:r>
      <w:r w:rsidRPr="00023A3D">
        <w:t xml:space="preserve">snitten 2.2 och 5.8), </w:t>
      </w:r>
    </w:p>
    <w:p w:rsidR="006C0E49" w:rsidRPr="00023A3D" w:rsidRDefault="006C0E49">
      <w:pPr>
        <w:pStyle w:val="Yrkanden"/>
      </w:pPr>
      <w:r w:rsidRPr="00023A3D">
        <w:t xml:space="preserve">3. att riksdagen antar regeringens förslag till lag om ändring i lagen (2000:981) om fördelning av socialavgifter (avsnitten 2.3 och 5.8), </w:t>
      </w:r>
    </w:p>
    <w:p w:rsidR="006C0E49" w:rsidRPr="00023A3D" w:rsidRDefault="006C0E49">
      <w:pPr>
        <w:pStyle w:val="Yrkanden"/>
      </w:pPr>
      <w:r w:rsidRPr="00023A3D">
        <w:t xml:space="preserve">4. att riksdagen antar regeringens förslag till lag om ändring i lagen (1995:1571) om insättningsgaranti (avsnitten 2.4 och 5.8), </w:t>
      </w:r>
    </w:p>
    <w:p w:rsidR="006C0E49" w:rsidRPr="00023A3D" w:rsidRDefault="006C0E49">
      <w:pPr>
        <w:pStyle w:val="Yrkanden"/>
      </w:pPr>
      <w:r w:rsidRPr="00023A3D">
        <w:t xml:space="preserve">5. att riksdagen antar regeringens förslag till lag om ändring i lagen (1999:158) om investerarskydd (avsnitten 2.5 och 5.8), </w:t>
      </w:r>
    </w:p>
    <w:p w:rsidR="006C0E49" w:rsidRPr="00023A3D" w:rsidRDefault="006C0E49">
      <w:pPr>
        <w:pStyle w:val="Yrkanden"/>
      </w:pPr>
      <w:r w:rsidRPr="00023A3D">
        <w:t>6. att riksdagen bemyndigar regeringen att besluta om att Statens fastighet</w:t>
      </w:r>
      <w:r w:rsidRPr="00023A3D">
        <w:t>s</w:t>
      </w:r>
      <w:r w:rsidRPr="00023A3D">
        <w:t>verk får ta upp lån inom en ram av högst 7 000 000 000 kr i Riksgäld</w:t>
      </w:r>
      <w:r w:rsidRPr="00023A3D">
        <w:t>s</w:t>
      </w:r>
      <w:r w:rsidRPr="00023A3D">
        <w:t xml:space="preserve">kontoret för investeringar m.m. i enlighet med vad regeringen förordar (avsnitt 4.14.15), </w:t>
      </w:r>
    </w:p>
    <w:p w:rsidR="006C0E49" w:rsidRPr="00023A3D" w:rsidRDefault="006C0E49">
      <w:pPr>
        <w:pStyle w:val="Yrkanden"/>
      </w:pPr>
      <w:r w:rsidRPr="00023A3D">
        <w:t xml:space="preserve">7. att riksdagen bemyndigar regeringen att besluta om att Fortifikationsverket får ta upp lån inom en ram av högst 5 085 000 000 kr i Riksgäldskontoret för investeringar m.m. i enlighet med vad regeringen förordar (avsnitt 4.14.16), </w:t>
      </w:r>
    </w:p>
    <w:p w:rsidR="006C0E49" w:rsidRPr="00023A3D" w:rsidRDefault="006C0E49">
      <w:pPr>
        <w:pStyle w:val="Yrkanden"/>
      </w:pPr>
      <w:r w:rsidRPr="00023A3D">
        <w:t>8. att riksdagen godkänner investeringsplan för Statens fastighetsverk i enli</w:t>
      </w:r>
      <w:r w:rsidRPr="00023A3D">
        <w:t>g</w:t>
      </w:r>
      <w:r w:rsidRPr="00023A3D">
        <w:t xml:space="preserve">het med vad regeringen förordar (avsnitt 4.14.15), </w:t>
      </w:r>
    </w:p>
    <w:p w:rsidR="006C0E49" w:rsidRPr="00023A3D" w:rsidRDefault="006C0E49">
      <w:pPr>
        <w:pStyle w:val="Yrkanden"/>
      </w:pPr>
      <w:r w:rsidRPr="00023A3D">
        <w:t xml:space="preserve">9. att riksdagen godkänner investeringsplan för Fortifikationsverket i enlighet med vad regeringen förordar (avsnitt 4.14.16), </w:t>
      </w:r>
    </w:p>
    <w:p w:rsidR="006C0E49" w:rsidRPr="00023A3D" w:rsidRDefault="006C0E49">
      <w:pPr>
        <w:pStyle w:val="Yrkanden"/>
      </w:pPr>
      <w:r w:rsidRPr="00023A3D">
        <w:t>10. att riksdagen godkänner Sveriges medverkan i kapitalhöjning i Europar</w:t>
      </w:r>
      <w:r w:rsidRPr="00023A3D">
        <w:t>å</w:t>
      </w:r>
      <w:r w:rsidRPr="00023A3D">
        <w:t xml:space="preserve">dets utvecklingsbank (avsnitt 5.5.1), </w:t>
      </w:r>
    </w:p>
    <w:p w:rsidR="006C0E49" w:rsidRPr="00023A3D" w:rsidRDefault="006C0E49">
      <w:pPr>
        <w:pStyle w:val="Yrkanden"/>
      </w:pPr>
      <w:r w:rsidRPr="00023A3D">
        <w:t>11. att riksdagen bemyndigar regeringen att ersätta de ekonomiska förplikte</w:t>
      </w:r>
      <w:r w:rsidRPr="00023A3D">
        <w:t>l</w:t>
      </w:r>
      <w:r w:rsidRPr="00023A3D">
        <w:t>ser staten har i form av kapitaltäckningsgaranti till Statens bostadslånea</w:t>
      </w:r>
      <w:r w:rsidRPr="00023A3D">
        <w:t>k</w:t>
      </w:r>
      <w:r w:rsidRPr="00023A3D">
        <w:t>tiebolag och grundfondförbindelse till Statens bostadsfinansieringsakti</w:t>
      </w:r>
      <w:r w:rsidRPr="00023A3D">
        <w:t>e</w:t>
      </w:r>
      <w:r w:rsidRPr="00023A3D">
        <w:t xml:space="preserve">bolag, SBAB (publ.), med garantier till SBAB (publ.) intill ett belopp av 10 000 000 000 kr med löptiden 10 år (avsnitt 5.8), </w:t>
      </w:r>
    </w:p>
    <w:p w:rsidR="006C0E49" w:rsidRPr="00023A3D" w:rsidRDefault="006C0E49">
      <w:pPr>
        <w:pStyle w:val="Yrkanden"/>
      </w:pPr>
      <w:r w:rsidRPr="00023A3D">
        <w:br w:type="page"/>
        <w:t>12. att riksdagen bemyndigar regeringen att för 2002 besluta om en rörlig kredit i Riksgäldskontoret om högst 500 000 000 kr för att tillgodose Pr</w:t>
      </w:r>
      <w:r w:rsidRPr="00023A3D">
        <w:t>e</w:t>
      </w:r>
      <w:r w:rsidRPr="00023A3D">
        <w:t xml:space="preserve">miepensionsmyndighetens behov av likviditet i handeln med fondandelar (avsnitt 5.9.8), </w:t>
      </w:r>
    </w:p>
    <w:p w:rsidR="006C0E49" w:rsidRPr="00023A3D" w:rsidRDefault="006C0E49">
      <w:pPr>
        <w:pStyle w:val="Yrkanden"/>
      </w:pPr>
      <w:r w:rsidRPr="00023A3D">
        <w:t xml:space="preserve">13. att riksdagen för budgetåret 2002 anvisar anslagen under utgiftsområde 2 Samhällsekonomi och finansförvaltning, såvitt avser anslag som står till regeringens disposition, enligt följande uppställning: (se yrkande 14) </w:t>
      </w:r>
    </w:p>
    <w:p w:rsidR="006C0E49" w:rsidRPr="00023A3D" w:rsidRDefault="006C0E49">
      <w:pPr>
        <w:pStyle w:val="Yrkanden"/>
      </w:pPr>
      <w:r w:rsidRPr="00023A3D">
        <w:t>14. att riksdagen för budgetåret 2002 anvisar anslag under utgiftsområde 2 Samhällsekonomi och finansförvaltning, såvitt avser anslag som är avse</w:t>
      </w:r>
      <w:r w:rsidRPr="00023A3D">
        <w:t>d</w:t>
      </w:r>
      <w:r w:rsidRPr="00023A3D">
        <w:t xml:space="preserve">da för riksdagen eller dess myndigheter, enligt följande uppställning: </w:t>
      </w:r>
    </w:p>
    <w:p w:rsidR="006C0E49" w:rsidRPr="00023A3D" w:rsidRDefault="006C0E49">
      <w:pPr>
        <w:pStyle w:val="Yrkanden"/>
        <w:spacing w:before="0"/>
      </w:pPr>
    </w:p>
    <w:p w:rsidR="006C0E49" w:rsidRPr="00023A3D" w:rsidRDefault="006C0E49">
      <w:pPr>
        <w:outlineLvl w:val="0"/>
      </w:pPr>
      <w:r w:rsidRPr="00023A3D">
        <w:rPr>
          <w:sz w:val="16"/>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4153"/>
        <w:gridCol w:w="851"/>
        <w:gridCol w:w="1034"/>
      </w:tblGrid>
      <w:tr w:rsidR="00000000" w:rsidRPr="00023A3D">
        <w:tblPrEx>
          <w:tblCellMar>
            <w:top w:w="0" w:type="dxa"/>
            <w:bottom w:w="0" w:type="dxa"/>
          </w:tblCellMar>
        </w:tblPrEx>
        <w:tc>
          <w:tcPr>
            <w:tcW w:w="4153" w:type="dxa"/>
            <w:tcBorders>
              <w:top w:val="single" w:sz="4" w:space="0" w:color="auto"/>
              <w:bottom w:val="single" w:sz="4" w:space="0" w:color="auto"/>
            </w:tcBorders>
          </w:tcPr>
          <w:p w:rsidR="006C0E49" w:rsidRPr="00023A3D" w:rsidRDefault="006C0E49">
            <w:pPr>
              <w:pStyle w:val="SBTabell"/>
              <w:rPr>
                <w:sz w:val="17"/>
              </w:rPr>
            </w:pPr>
            <w:r w:rsidRPr="00023A3D">
              <w:rPr>
                <w:sz w:val="17"/>
              </w:rPr>
              <w:t>Anslag</w:t>
            </w:r>
          </w:p>
        </w:tc>
        <w:tc>
          <w:tcPr>
            <w:tcW w:w="851" w:type="dxa"/>
            <w:tcBorders>
              <w:top w:val="single" w:sz="4" w:space="0" w:color="auto"/>
              <w:bottom w:val="single" w:sz="4" w:space="0" w:color="auto"/>
            </w:tcBorders>
          </w:tcPr>
          <w:p w:rsidR="006C0E49" w:rsidRPr="00023A3D" w:rsidRDefault="006C0E49">
            <w:pPr>
              <w:pStyle w:val="SBTabell"/>
              <w:rPr>
                <w:sz w:val="17"/>
              </w:rPr>
            </w:pPr>
            <w:r w:rsidRPr="00023A3D">
              <w:rPr>
                <w:sz w:val="17"/>
              </w:rPr>
              <w:t>A</w:t>
            </w:r>
            <w:r w:rsidRPr="00023A3D">
              <w:rPr>
                <w:sz w:val="17"/>
              </w:rPr>
              <w:t>n</w:t>
            </w:r>
            <w:r w:rsidRPr="00023A3D">
              <w:rPr>
                <w:sz w:val="17"/>
              </w:rPr>
              <w:t xml:space="preserve">slagstyp </w:t>
            </w:r>
          </w:p>
        </w:tc>
        <w:tc>
          <w:tcPr>
            <w:tcW w:w="1034" w:type="dxa"/>
            <w:tcBorders>
              <w:top w:val="single" w:sz="4" w:space="0" w:color="auto"/>
              <w:bottom w:val="single" w:sz="4" w:space="0" w:color="auto"/>
            </w:tcBorders>
          </w:tcPr>
          <w:p w:rsidR="006C0E49" w:rsidRPr="00023A3D" w:rsidRDefault="006C0E49">
            <w:pPr>
              <w:pStyle w:val="SBTabell"/>
              <w:jc w:val="right"/>
              <w:rPr>
                <w:sz w:val="17"/>
              </w:rPr>
            </w:pPr>
            <w:r w:rsidRPr="00023A3D">
              <w:rPr>
                <w:sz w:val="17"/>
              </w:rPr>
              <w:t>Regeringens förslag</w:t>
            </w:r>
          </w:p>
        </w:tc>
      </w:tr>
      <w:tr w:rsidR="00000000" w:rsidRPr="00023A3D">
        <w:tblPrEx>
          <w:tblCellMar>
            <w:top w:w="0" w:type="dxa"/>
            <w:bottom w:w="0" w:type="dxa"/>
          </w:tblCellMar>
        </w:tblPrEx>
        <w:trPr>
          <w:trHeight w:hRule="exact" w:val="120"/>
        </w:trPr>
        <w:tc>
          <w:tcPr>
            <w:tcW w:w="415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1034" w:type="dxa"/>
          </w:tcPr>
          <w:p w:rsidR="006C0E49" w:rsidRPr="00023A3D" w:rsidRDefault="006C0E49">
            <w:pPr>
              <w:pStyle w:val="SBTabell"/>
              <w:jc w:val="right"/>
              <w:rPr>
                <w:sz w:val="17"/>
              </w:rPr>
            </w:pP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1:1  Konjunkturinstitutet</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45 683</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1:2  Riksrevisionsverket</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157 268</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1:3  Ekonomistyrningsverket</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60 006</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1:4  Statskontoret</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71 470</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1:5  Täckning av merkostnader för lokaler</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420</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1:6  Statistiska centralbyrån</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394 439</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1:7  Folk- och bostadsstatistik</w:t>
            </w:r>
            <w:r w:rsidRPr="00023A3D">
              <w:rPr>
                <w:rStyle w:val="Fotnotsreferens"/>
              </w:rPr>
              <w:footnoteReference w:id="5"/>
            </w:r>
          </w:p>
        </w:tc>
        <w:tc>
          <w:tcPr>
            <w:tcW w:w="851" w:type="dxa"/>
          </w:tcPr>
          <w:p w:rsidR="006C0E49" w:rsidRPr="00023A3D" w:rsidRDefault="006C0E49">
            <w:pPr>
              <w:pStyle w:val="SBTabell"/>
              <w:rPr>
                <w:sz w:val="17"/>
              </w:rPr>
            </w:pPr>
            <w:r w:rsidRPr="00023A3D">
              <w:rPr>
                <w:sz w:val="17"/>
              </w:rPr>
              <w:t>(res.)</w:t>
            </w:r>
          </w:p>
        </w:tc>
        <w:tc>
          <w:tcPr>
            <w:tcW w:w="1034" w:type="dxa"/>
          </w:tcPr>
          <w:p w:rsidR="006C0E49" w:rsidRPr="00023A3D" w:rsidRDefault="006C0E49">
            <w:pPr>
              <w:pStyle w:val="SBTabell"/>
              <w:jc w:val="right"/>
              <w:rPr>
                <w:sz w:val="17"/>
              </w:rPr>
            </w:pPr>
            <w:r w:rsidRPr="00023A3D">
              <w:rPr>
                <w:sz w:val="17"/>
              </w:rPr>
              <w:t xml:space="preserve"> 78 000</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1:8  Kammarkollegiet</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26 914</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1:9  Nämnden för offentlig upphandling</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7 443</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1:10  Statens kvalitets- och kompetensråd</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12 057</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1:11  Ekonomiska rådet</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2 285</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1:12  Utvecklingsarbete</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17 370</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1:13  Arbetsgivarpolitiska frågor</w:t>
            </w:r>
            <w:r w:rsidRPr="00023A3D">
              <w:rPr>
                <w:rStyle w:val="Fotnotsreferens"/>
              </w:rPr>
              <w:footnoteReference w:id="6"/>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2 458</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1:14  Statliga tjänstepensioner m.m.</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7 381 000</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2:1  Finansinspektionen</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141 853</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2:2  Insättningsgarantinämnden</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8 224</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2:3  Riksgäldskontoret: Förvaltningskostnader</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252 875</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2:4  Bokföringsnämnden</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7 521</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2:5  Avgift för Stadshypotekskassans grundfond</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0</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2:6  Insatser i internationella finansieringsinstituti</w:t>
            </w:r>
            <w:r w:rsidRPr="00023A3D">
              <w:rPr>
                <w:sz w:val="17"/>
              </w:rPr>
              <w:t>o</w:t>
            </w:r>
            <w:r w:rsidRPr="00023A3D">
              <w:rPr>
                <w:sz w:val="17"/>
              </w:rPr>
              <w:t>ner</w:t>
            </w:r>
            <w:r w:rsidRPr="00023A3D">
              <w:rPr>
                <w:rStyle w:val="Fotnotsreferens"/>
              </w:rPr>
              <w:footnoteReference w:id="7"/>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60 000</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2:7  Avsättning för garantiverksamhet</w:t>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0</w:t>
            </w:r>
          </w:p>
        </w:tc>
      </w:tr>
      <w:tr w:rsidR="00000000" w:rsidRPr="00023A3D">
        <w:tblPrEx>
          <w:tblCellMar>
            <w:top w:w="0" w:type="dxa"/>
            <w:bottom w:w="0" w:type="dxa"/>
          </w:tblCellMar>
        </w:tblPrEx>
        <w:tc>
          <w:tcPr>
            <w:tcW w:w="4153" w:type="dxa"/>
          </w:tcPr>
          <w:p w:rsidR="006C0E49" w:rsidRPr="00023A3D" w:rsidRDefault="006C0E49">
            <w:pPr>
              <w:pStyle w:val="SBTabell"/>
              <w:rPr>
                <w:sz w:val="17"/>
              </w:rPr>
            </w:pPr>
            <w:r w:rsidRPr="00023A3D">
              <w:rPr>
                <w:sz w:val="17"/>
              </w:rPr>
              <w:t>90:1 Riksdagens revisorer</w:t>
            </w:r>
            <w:r w:rsidRPr="00023A3D">
              <w:rPr>
                <w:rStyle w:val="Fotnotsreferens"/>
              </w:rPr>
              <w:footnoteReference w:id="8"/>
            </w:r>
          </w:p>
        </w:tc>
        <w:tc>
          <w:tcPr>
            <w:tcW w:w="851" w:type="dxa"/>
          </w:tcPr>
          <w:p w:rsidR="006C0E49" w:rsidRPr="00023A3D" w:rsidRDefault="006C0E49">
            <w:pPr>
              <w:pStyle w:val="SBTabell"/>
              <w:rPr>
                <w:sz w:val="17"/>
              </w:rPr>
            </w:pPr>
            <w:r w:rsidRPr="00023A3D">
              <w:rPr>
                <w:sz w:val="17"/>
              </w:rPr>
              <w:t>(ram)</w:t>
            </w:r>
          </w:p>
        </w:tc>
        <w:tc>
          <w:tcPr>
            <w:tcW w:w="1034" w:type="dxa"/>
          </w:tcPr>
          <w:p w:rsidR="006C0E49" w:rsidRPr="00023A3D" w:rsidRDefault="006C0E49">
            <w:pPr>
              <w:pStyle w:val="SBTabell"/>
              <w:jc w:val="right"/>
              <w:rPr>
                <w:sz w:val="17"/>
              </w:rPr>
            </w:pPr>
            <w:r w:rsidRPr="00023A3D">
              <w:rPr>
                <w:sz w:val="17"/>
              </w:rPr>
              <w:t xml:space="preserve"> 27 122</w:t>
            </w:r>
          </w:p>
        </w:tc>
      </w:tr>
      <w:tr w:rsidR="00000000" w:rsidRPr="00023A3D">
        <w:tblPrEx>
          <w:tblCellMar>
            <w:top w:w="0" w:type="dxa"/>
            <w:bottom w:w="0" w:type="dxa"/>
          </w:tblCellMar>
        </w:tblPrEx>
        <w:trPr>
          <w:trHeight w:hRule="exact" w:val="120"/>
        </w:trPr>
        <w:tc>
          <w:tcPr>
            <w:tcW w:w="4153" w:type="dxa"/>
          </w:tcPr>
          <w:p w:rsidR="006C0E49" w:rsidRPr="00023A3D" w:rsidRDefault="006C0E49">
            <w:pPr>
              <w:pStyle w:val="SBTabell"/>
              <w:rPr>
                <w:sz w:val="17"/>
              </w:rPr>
            </w:pPr>
          </w:p>
        </w:tc>
        <w:tc>
          <w:tcPr>
            <w:tcW w:w="851" w:type="dxa"/>
          </w:tcPr>
          <w:p w:rsidR="006C0E49" w:rsidRPr="00023A3D" w:rsidRDefault="006C0E49">
            <w:pPr>
              <w:pStyle w:val="SBTabell"/>
              <w:rPr>
                <w:sz w:val="17"/>
              </w:rPr>
            </w:pPr>
          </w:p>
        </w:tc>
        <w:tc>
          <w:tcPr>
            <w:tcW w:w="1034" w:type="dxa"/>
          </w:tcPr>
          <w:p w:rsidR="006C0E49" w:rsidRPr="00023A3D" w:rsidRDefault="006C0E49">
            <w:pPr>
              <w:pStyle w:val="SBTabell"/>
              <w:jc w:val="right"/>
              <w:rPr>
                <w:sz w:val="17"/>
              </w:rPr>
            </w:pPr>
          </w:p>
        </w:tc>
      </w:tr>
      <w:tr w:rsidR="00000000" w:rsidRPr="00023A3D">
        <w:tblPrEx>
          <w:tblCellMar>
            <w:top w:w="0" w:type="dxa"/>
            <w:bottom w:w="0" w:type="dxa"/>
          </w:tblCellMar>
        </w:tblPrEx>
        <w:tc>
          <w:tcPr>
            <w:tcW w:w="4153" w:type="dxa"/>
            <w:tcBorders>
              <w:bottom w:val="single" w:sz="4" w:space="0" w:color="auto"/>
            </w:tcBorders>
          </w:tcPr>
          <w:p w:rsidR="006C0E49" w:rsidRPr="00023A3D" w:rsidRDefault="006C0E49">
            <w:pPr>
              <w:pStyle w:val="SBTabell"/>
              <w:rPr>
                <w:b/>
                <w:sz w:val="17"/>
              </w:rPr>
            </w:pPr>
            <w:r w:rsidRPr="00023A3D">
              <w:rPr>
                <w:b/>
                <w:sz w:val="17"/>
              </w:rPr>
              <w:t>Summa</w:t>
            </w:r>
          </w:p>
        </w:tc>
        <w:tc>
          <w:tcPr>
            <w:tcW w:w="851" w:type="dxa"/>
            <w:tcBorders>
              <w:bottom w:val="single" w:sz="4" w:space="0" w:color="auto"/>
            </w:tcBorders>
          </w:tcPr>
          <w:p w:rsidR="006C0E49" w:rsidRPr="00023A3D" w:rsidRDefault="006C0E49">
            <w:pPr>
              <w:pStyle w:val="SBTabell"/>
              <w:rPr>
                <w:b/>
                <w:sz w:val="17"/>
              </w:rPr>
            </w:pPr>
          </w:p>
        </w:tc>
        <w:tc>
          <w:tcPr>
            <w:tcW w:w="1034" w:type="dxa"/>
            <w:tcBorders>
              <w:bottom w:val="single" w:sz="4" w:space="0" w:color="auto"/>
            </w:tcBorders>
          </w:tcPr>
          <w:p w:rsidR="006C0E49" w:rsidRPr="00023A3D" w:rsidRDefault="006C0E49">
            <w:pPr>
              <w:pStyle w:val="SBTabell"/>
              <w:jc w:val="right"/>
              <w:rPr>
                <w:b/>
                <w:sz w:val="17"/>
              </w:rPr>
            </w:pPr>
            <w:r w:rsidRPr="00023A3D">
              <w:rPr>
                <w:b/>
                <w:sz w:val="17"/>
              </w:rPr>
              <w:t>8 754 408</w:t>
            </w:r>
          </w:p>
        </w:tc>
      </w:tr>
    </w:tbl>
    <w:p w:rsidR="006C0E49" w:rsidRPr="00023A3D" w:rsidRDefault="006C0E49">
      <w:bookmarkStart w:id="94" w:name="_Toc500824869"/>
    </w:p>
    <w:p w:rsidR="006C0E49" w:rsidRPr="00023A3D" w:rsidRDefault="006C0E49">
      <w:pPr>
        <w:pStyle w:val="Rubrik2"/>
      </w:pPr>
      <w:r w:rsidRPr="00023A3D">
        <w:br w:type="page"/>
      </w:r>
      <w:bookmarkStart w:id="95" w:name="_Toc532365523"/>
      <w:bookmarkEnd w:id="94"/>
      <w:r w:rsidRPr="00023A3D">
        <w:t>Motioner från allmänna motionstiden</w:t>
      </w:r>
      <w:bookmarkEnd w:id="95"/>
    </w:p>
    <w:p w:rsidR="006C0E49" w:rsidRPr="00023A3D" w:rsidRDefault="006C0E49">
      <w:bookmarkStart w:id="96" w:name="RangeStart"/>
      <w:bookmarkEnd w:id="96"/>
      <w:r w:rsidRPr="00023A3D">
        <w:t>I detta sammanhang behandlar utskottet nedan uppräknade motioner i vilka föreslås att riksdagen fattar följande beslut.</w:t>
      </w:r>
    </w:p>
    <w:p w:rsidR="006C0E49" w:rsidRPr="00023A3D" w:rsidRDefault="006C0E49">
      <w:pPr>
        <w:pStyle w:val="Ordfranden"/>
        <w:spacing w:before="180"/>
        <w:rPr>
          <w:noProof w:val="0"/>
        </w:rPr>
      </w:pPr>
      <w:r w:rsidRPr="00023A3D">
        <w:rPr>
          <w:noProof w:val="0"/>
        </w:rPr>
        <w:t xml:space="preserve">2001/02:Fi202 av Amanda Agestav och Magnus Jacobsson (kd) </w:t>
      </w:r>
    </w:p>
    <w:p w:rsidR="006C0E49" w:rsidRPr="00023A3D" w:rsidRDefault="006C0E49">
      <w:r w:rsidRPr="00023A3D">
        <w:t>Riksdagen tillkännager för regeringen som sin mening vad som i motionen anförs om att regeringen i samband med budgetpropositionen varje år bör presentera generationsräkensk</w:t>
      </w:r>
      <w:r w:rsidRPr="00023A3D">
        <w:t>a</w:t>
      </w:r>
      <w:r w:rsidRPr="00023A3D">
        <w:t xml:space="preserve">per. </w:t>
      </w:r>
    </w:p>
    <w:p w:rsidR="006C0E49" w:rsidRPr="00023A3D" w:rsidRDefault="006C0E49">
      <w:pPr>
        <w:pStyle w:val="Ordfranden"/>
        <w:spacing w:before="180"/>
        <w:rPr>
          <w:noProof w:val="0"/>
        </w:rPr>
      </w:pPr>
      <w:r w:rsidRPr="00023A3D">
        <w:rPr>
          <w:noProof w:val="0"/>
        </w:rPr>
        <w:t>2001/02:Fi220 av förste vice talman Anders Björck och Christel Anderberg (m):</w:t>
      </w:r>
    </w:p>
    <w:p w:rsidR="006C0E49" w:rsidRPr="00023A3D" w:rsidRDefault="006C0E49">
      <w:pPr>
        <w:pStyle w:val="Yrkanden"/>
      </w:pPr>
      <w:r w:rsidRPr="00023A3D">
        <w:t>1. Riksdagen tillkännager för regeringen som sin mening vad i motionen anförs om att Statistiska centralbyrån skall lägga ned folk- och bostadsrä</w:t>
      </w:r>
      <w:r w:rsidRPr="00023A3D">
        <w:t>k</w:t>
      </w:r>
      <w:r w:rsidRPr="00023A3D">
        <w:t xml:space="preserve">ningen. </w:t>
      </w:r>
    </w:p>
    <w:p w:rsidR="006C0E49" w:rsidRPr="00023A3D" w:rsidRDefault="006C0E49">
      <w:pPr>
        <w:pStyle w:val="Yrkanden"/>
      </w:pPr>
      <w:r w:rsidRPr="00023A3D">
        <w:t>2. Riksdagen tillkännager för regeringen som sin mening vad i motionen anförs om att Lantmäteriet skall lägga ned det riksomfattande lägenhetsr</w:t>
      </w:r>
      <w:r w:rsidRPr="00023A3D">
        <w:t>e</w:t>
      </w:r>
      <w:r w:rsidRPr="00023A3D">
        <w:t xml:space="preserve">gistret. </w:t>
      </w:r>
    </w:p>
    <w:p w:rsidR="006C0E49" w:rsidRPr="00023A3D" w:rsidRDefault="006C0E49">
      <w:pPr>
        <w:pStyle w:val="Yrkanden"/>
      </w:pPr>
      <w:r w:rsidRPr="00023A3D">
        <w:t xml:space="preserve">3. Riksdagen tillkännager för regeringen som sin mening vad i motionen anförs om att Statistiska centralbyrån skall lägga ned yrkesregistret. </w:t>
      </w:r>
    </w:p>
    <w:p w:rsidR="006C0E49" w:rsidRPr="00023A3D" w:rsidRDefault="006C0E49">
      <w:pPr>
        <w:pStyle w:val="Ordfranden"/>
        <w:spacing w:before="180"/>
        <w:rPr>
          <w:noProof w:val="0"/>
        </w:rPr>
      </w:pPr>
      <w:r w:rsidRPr="00023A3D">
        <w:rPr>
          <w:noProof w:val="0"/>
        </w:rPr>
        <w:t>2001/02:Fi260 av Karin Pilsäter m.fl. (fp):</w:t>
      </w:r>
    </w:p>
    <w:p w:rsidR="006C0E49" w:rsidRPr="00023A3D" w:rsidRDefault="006C0E49">
      <w:pPr>
        <w:pStyle w:val="Yrkanden"/>
      </w:pPr>
      <w:r w:rsidRPr="00023A3D">
        <w:t xml:space="preserve">1. Riksdagen tillkännager för regeringen som sin mening vad i motionen anförs om stopp för planering av folk- och bostadsräkningen. </w:t>
      </w:r>
    </w:p>
    <w:p w:rsidR="006C0E49" w:rsidRPr="00023A3D" w:rsidRDefault="006C0E49">
      <w:pPr>
        <w:pStyle w:val="Yrkanden"/>
      </w:pPr>
      <w:r w:rsidRPr="00023A3D">
        <w:t xml:space="preserve">2. Riksdagen anvisar till 1:7 Folk- och bostadsstatistik för budgetåret 2002 78 000 000 kr mindre än vad regeringen föreslagit eller således 0 kr. </w:t>
      </w:r>
    </w:p>
    <w:p w:rsidR="006C0E49" w:rsidRPr="00023A3D" w:rsidRDefault="006C0E49">
      <w:pPr>
        <w:pStyle w:val="Ordfranden"/>
        <w:spacing w:before="180"/>
        <w:rPr>
          <w:noProof w:val="0"/>
        </w:rPr>
      </w:pPr>
      <w:r w:rsidRPr="00023A3D">
        <w:rPr>
          <w:noProof w:val="0"/>
        </w:rPr>
        <w:t>2001/02:Fi263 av Lena Ek m.fl. (c):</w:t>
      </w:r>
    </w:p>
    <w:p w:rsidR="006C0E49" w:rsidRPr="00023A3D" w:rsidRDefault="006C0E49">
      <w:r w:rsidRPr="00023A3D">
        <w:t>Riksdagen anvisar med följande ändringar i förhållande till regeringens fö</w:t>
      </w:r>
      <w:r w:rsidRPr="00023A3D">
        <w:t>r</w:t>
      </w:r>
      <w:r w:rsidRPr="00023A3D">
        <w:t xml:space="preserve">slag anslagen under utgiftsområde 2 samhällsekonomi och finansförvaltning: </w:t>
      </w:r>
    </w:p>
    <w:p w:rsidR="006C0E49" w:rsidRPr="00023A3D" w:rsidRDefault="006C0E49">
      <w:pPr>
        <w:pStyle w:val="Normaltindrag"/>
      </w:pPr>
    </w:p>
    <w:p w:rsidR="006C0E49" w:rsidRPr="00023A3D" w:rsidRDefault="006C0E49">
      <w:pPr>
        <w:outlineLvl w:val="0"/>
        <w:rPr>
          <w:sz w:val="16"/>
        </w:rPr>
      </w:pPr>
      <w:r w:rsidRPr="00023A3D">
        <w:rPr>
          <w:sz w:val="16"/>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444"/>
        <w:gridCol w:w="1134"/>
        <w:gridCol w:w="1418"/>
      </w:tblGrid>
      <w:tr w:rsidR="00000000" w:rsidRPr="00023A3D">
        <w:tblPrEx>
          <w:tblCellMar>
            <w:top w:w="0" w:type="dxa"/>
            <w:bottom w:w="0" w:type="dxa"/>
          </w:tblCellMar>
        </w:tblPrEx>
        <w:tc>
          <w:tcPr>
            <w:tcW w:w="3444" w:type="dxa"/>
            <w:tcBorders>
              <w:top w:val="single" w:sz="4" w:space="0" w:color="auto"/>
              <w:bottom w:val="single" w:sz="4" w:space="0" w:color="auto"/>
            </w:tcBorders>
          </w:tcPr>
          <w:p w:rsidR="006C0E49" w:rsidRPr="00023A3D" w:rsidRDefault="006C0E49">
            <w:pPr>
              <w:pStyle w:val="SBTabell"/>
              <w:rPr>
                <w:b/>
                <w:sz w:val="17"/>
              </w:rPr>
            </w:pPr>
            <w:r w:rsidRPr="00023A3D">
              <w:rPr>
                <w:b/>
                <w:sz w:val="17"/>
              </w:rPr>
              <w:t>Anslag</w:t>
            </w:r>
          </w:p>
        </w:tc>
        <w:tc>
          <w:tcPr>
            <w:tcW w:w="1134" w:type="dxa"/>
            <w:tcBorders>
              <w:top w:val="single" w:sz="4" w:space="0" w:color="auto"/>
              <w:bottom w:val="single" w:sz="4" w:space="0" w:color="auto"/>
            </w:tcBorders>
          </w:tcPr>
          <w:p w:rsidR="006C0E49" w:rsidRPr="00023A3D" w:rsidRDefault="006C0E49">
            <w:pPr>
              <w:pStyle w:val="SBTabell"/>
              <w:jc w:val="right"/>
              <w:rPr>
                <w:b/>
                <w:sz w:val="17"/>
              </w:rPr>
            </w:pPr>
            <w:r w:rsidRPr="00023A3D">
              <w:rPr>
                <w:b/>
                <w:sz w:val="17"/>
              </w:rPr>
              <w:t>Regeringens förslag</w:t>
            </w:r>
          </w:p>
        </w:tc>
        <w:tc>
          <w:tcPr>
            <w:tcW w:w="1418" w:type="dxa"/>
            <w:tcBorders>
              <w:top w:val="single" w:sz="4" w:space="0" w:color="auto"/>
              <w:bottom w:val="single" w:sz="4" w:space="0" w:color="auto"/>
            </w:tcBorders>
          </w:tcPr>
          <w:p w:rsidR="006C0E49" w:rsidRPr="00023A3D" w:rsidRDefault="006C0E49">
            <w:pPr>
              <w:pStyle w:val="SBTabell"/>
              <w:jc w:val="right"/>
              <w:rPr>
                <w:b/>
                <w:sz w:val="17"/>
              </w:rPr>
            </w:pPr>
            <w:r w:rsidRPr="00023A3D">
              <w:rPr>
                <w:b/>
                <w:sz w:val="17"/>
              </w:rPr>
              <w:t>Anslagsför-</w:t>
            </w:r>
          </w:p>
          <w:p w:rsidR="006C0E49" w:rsidRPr="00023A3D" w:rsidRDefault="006C0E49">
            <w:pPr>
              <w:pStyle w:val="SBTabell"/>
              <w:jc w:val="right"/>
              <w:rPr>
                <w:b/>
                <w:sz w:val="17"/>
              </w:rPr>
            </w:pPr>
            <w:r w:rsidRPr="00023A3D">
              <w:rPr>
                <w:b/>
                <w:sz w:val="17"/>
              </w:rPr>
              <w:t>ändring (c)</w:t>
            </w:r>
          </w:p>
        </w:tc>
      </w:tr>
      <w:tr w:rsidR="00000000" w:rsidRPr="00023A3D">
        <w:tblPrEx>
          <w:tblCellMar>
            <w:top w:w="0" w:type="dxa"/>
            <w:bottom w:w="0" w:type="dxa"/>
          </w:tblCellMar>
        </w:tblPrEx>
        <w:trPr>
          <w:trHeight w:hRule="exact" w:val="60"/>
        </w:trPr>
        <w:tc>
          <w:tcPr>
            <w:tcW w:w="3444" w:type="dxa"/>
          </w:tcPr>
          <w:p w:rsidR="006C0E49" w:rsidRPr="00023A3D" w:rsidRDefault="006C0E49">
            <w:pPr>
              <w:pStyle w:val="SBTabell"/>
              <w:rPr>
                <w:sz w:val="17"/>
              </w:rPr>
            </w:pPr>
          </w:p>
        </w:tc>
        <w:tc>
          <w:tcPr>
            <w:tcW w:w="1134" w:type="dxa"/>
          </w:tcPr>
          <w:p w:rsidR="006C0E49" w:rsidRPr="00023A3D" w:rsidRDefault="006C0E49">
            <w:pPr>
              <w:pStyle w:val="SBTabell"/>
              <w:jc w:val="right"/>
              <w:rPr>
                <w:sz w:val="17"/>
              </w:rPr>
            </w:pPr>
          </w:p>
        </w:tc>
        <w:tc>
          <w:tcPr>
            <w:tcW w:w="1418" w:type="dxa"/>
          </w:tcPr>
          <w:p w:rsidR="006C0E49" w:rsidRPr="00023A3D" w:rsidRDefault="006C0E49">
            <w:pPr>
              <w:pStyle w:val="SBTabell"/>
              <w:rPr>
                <w:sz w:val="17"/>
              </w:rPr>
            </w:pPr>
          </w:p>
        </w:tc>
      </w:tr>
      <w:tr w:rsidR="00000000" w:rsidRPr="00023A3D">
        <w:tblPrEx>
          <w:tblCellMar>
            <w:top w:w="0" w:type="dxa"/>
            <w:bottom w:w="0" w:type="dxa"/>
          </w:tblCellMar>
        </w:tblPrEx>
        <w:tc>
          <w:tcPr>
            <w:tcW w:w="3444" w:type="dxa"/>
          </w:tcPr>
          <w:p w:rsidR="006C0E49" w:rsidRPr="00023A3D" w:rsidRDefault="006C0E49">
            <w:pPr>
              <w:pStyle w:val="SBTabell"/>
              <w:rPr>
                <w:sz w:val="17"/>
              </w:rPr>
            </w:pPr>
            <w:r w:rsidRPr="00023A3D">
              <w:rPr>
                <w:sz w:val="17"/>
              </w:rPr>
              <w:t>1:2  Riksrevisionsverket</w:t>
            </w:r>
          </w:p>
        </w:tc>
        <w:tc>
          <w:tcPr>
            <w:tcW w:w="1134" w:type="dxa"/>
          </w:tcPr>
          <w:p w:rsidR="006C0E49" w:rsidRPr="00023A3D" w:rsidRDefault="006C0E49">
            <w:pPr>
              <w:pStyle w:val="SBTabell"/>
              <w:jc w:val="right"/>
              <w:rPr>
                <w:sz w:val="17"/>
              </w:rPr>
            </w:pPr>
            <w:r w:rsidRPr="00023A3D">
              <w:rPr>
                <w:sz w:val="17"/>
              </w:rPr>
              <w:t xml:space="preserve"> 157 268</w:t>
            </w:r>
          </w:p>
        </w:tc>
        <w:tc>
          <w:tcPr>
            <w:tcW w:w="1418" w:type="dxa"/>
          </w:tcPr>
          <w:p w:rsidR="006C0E49" w:rsidRPr="00023A3D" w:rsidRDefault="006C0E49">
            <w:pPr>
              <w:pStyle w:val="SBTabell"/>
              <w:jc w:val="right"/>
              <w:rPr>
                <w:sz w:val="17"/>
              </w:rPr>
            </w:pPr>
            <w:r w:rsidRPr="00023A3D">
              <w:rPr>
                <w:sz w:val="17"/>
              </w:rPr>
              <w:t>-2 000</w:t>
            </w:r>
          </w:p>
        </w:tc>
      </w:tr>
      <w:tr w:rsidR="00000000" w:rsidRPr="00023A3D">
        <w:tblPrEx>
          <w:tblCellMar>
            <w:top w:w="0" w:type="dxa"/>
            <w:bottom w:w="0" w:type="dxa"/>
          </w:tblCellMar>
        </w:tblPrEx>
        <w:tc>
          <w:tcPr>
            <w:tcW w:w="3444" w:type="dxa"/>
          </w:tcPr>
          <w:p w:rsidR="006C0E49" w:rsidRPr="00023A3D" w:rsidRDefault="006C0E49">
            <w:pPr>
              <w:pStyle w:val="SBTabell"/>
              <w:rPr>
                <w:sz w:val="17"/>
              </w:rPr>
            </w:pPr>
            <w:r w:rsidRPr="00023A3D">
              <w:rPr>
                <w:sz w:val="17"/>
              </w:rPr>
              <w:t>1:6  Statistiska centralbyrån</w:t>
            </w:r>
          </w:p>
        </w:tc>
        <w:tc>
          <w:tcPr>
            <w:tcW w:w="1134" w:type="dxa"/>
          </w:tcPr>
          <w:p w:rsidR="006C0E49" w:rsidRPr="00023A3D" w:rsidRDefault="006C0E49">
            <w:pPr>
              <w:pStyle w:val="SBTabell"/>
              <w:jc w:val="right"/>
              <w:rPr>
                <w:sz w:val="17"/>
              </w:rPr>
            </w:pPr>
            <w:r w:rsidRPr="00023A3D">
              <w:rPr>
                <w:sz w:val="17"/>
              </w:rPr>
              <w:t xml:space="preserve"> 394 439</w:t>
            </w:r>
          </w:p>
        </w:tc>
        <w:tc>
          <w:tcPr>
            <w:tcW w:w="1418" w:type="dxa"/>
          </w:tcPr>
          <w:p w:rsidR="006C0E49" w:rsidRPr="00023A3D" w:rsidRDefault="006C0E49">
            <w:pPr>
              <w:pStyle w:val="SBTabell"/>
              <w:jc w:val="right"/>
              <w:rPr>
                <w:sz w:val="17"/>
              </w:rPr>
            </w:pPr>
            <w:r w:rsidRPr="00023A3D">
              <w:rPr>
                <w:sz w:val="17"/>
              </w:rPr>
              <w:t>-12 000</w:t>
            </w:r>
          </w:p>
        </w:tc>
      </w:tr>
      <w:tr w:rsidR="00000000" w:rsidRPr="00023A3D">
        <w:tblPrEx>
          <w:tblCellMar>
            <w:top w:w="0" w:type="dxa"/>
            <w:bottom w:w="0" w:type="dxa"/>
          </w:tblCellMar>
        </w:tblPrEx>
        <w:tc>
          <w:tcPr>
            <w:tcW w:w="3444" w:type="dxa"/>
          </w:tcPr>
          <w:p w:rsidR="006C0E49" w:rsidRPr="00023A3D" w:rsidRDefault="006C0E49">
            <w:pPr>
              <w:pStyle w:val="SBTabell"/>
              <w:rPr>
                <w:sz w:val="17"/>
              </w:rPr>
            </w:pPr>
            <w:r w:rsidRPr="00023A3D">
              <w:rPr>
                <w:sz w:val="17"/>
              </w:rPr>
              <w:t>1:7  Folk- och bostadsstatistik</w:t>
            </w:r>
          </w:p>
        </w:tc>
        <w:tc>
          <w:tcPr>
            <w:tcW w:w="1134" w:type="dxa"/>
          </w:tcPr>
          <w:p w:rsidR="006C0E49" w:rsidRPr="00023A3D" w:rsidRDefault="006C0E49">
            <w:pPr>
              <w:pStyle w:val="SBTabell"/>
              <w:jc w:val="right"/>
              <w:rPr>
                <w:sz w:val="17"/>
              </w:rPr>
            </w:pPr>
            <w:r w:rsidRPr="00023A3D">
              <w:rPr>
                <w:sz w:val="17"/>
              </w:rPr>
              <w:t xml:space="preserve"> 78 000</w:t>
            </w:r>
          </w:p>
        </w:tc>
        <w:tc>
          <w:tcPr>
            <w:tcW w:w="1418" w:type="dxa"/>
          </w:tcPr>
          <w:p w:rsidR="006C0E49" w:rsidRPr="00023A3D" w:rsidRDefault="006C0E49">
            <w:pPr>
              <w:pStyle w:val="SBTabell"/>
              <w:jc w:val="right"/>
              <w:rPr>
                <w:sz w:val="17"/>
              </w:rPr>
            </w:pPr>
            <w:r w:rsidRPr="00023A3D">
              <w:rPr>
                <w:sz w:val="17"/>
              </w:rPr>
              <w:t>-45 000</w:t>
            </w:r>
          </w:p>
        </w:tc>
      </w:tr>
      <w:tr w:rsidR="00000000" w:rsidRPr="00023A3D">
        <w:tblPrEx>
          <w:tblCellMar>
            <w:top w:w="0" w:type="dxa"/>
            <w:bottom w:w="0" w:type="dxa"/>
          </w:tblCellMar>
        </w:tblPrEx>
        <w:tc>
          <w:tcPr>
            <w:tcW w:w="3444" w:type="dxa"/>
          </w:tcPr>
          <w:p w:rsidR="006C0E49" w:rsidRPr="00023A3D" w:rsidRDefault="006C0E49">
            <w:pPr>
              <w:pStyle w:val="SBTabell"/>
              <w:rPr>
                <w:sz w:val="17"/>
              </w:rPr>
            </w:pPr>
            <w:r w:rsidRPr="00023A3D">
              <w:rPr>
                <w:sz w:val="17"/>
              </w:rPr>
              <w:t>1:10 Statens kvalitets- och kompetensråd</w:t>
            </w:r>
          </w:p>
        </w:tc>
        <w:tc>
          <w:tcPr>
            <w:tcW w:w="1134" w:type="dxa"/>
          </w:tcPr>
          <w:p w:rsidR="006C0E49" w:rsidRPr="00023A3D" w:rsidRDefault="006C0E49">
            <w:pPr>
              <w:pStyle w:val="SBTabell"/>
              <w:jc w:val="right"/>
              <w:rPr>
                <w:sz w:val="17"/>
              </w:rPr>
            </w:pPr>
            <w:r w:rsidRPr="00023A3D">
              <w:rPr>
                <w:sz w:val="17"/>
              </w:rPr>
              <w:t xml:space="preserve"> 12 057</w:t>
            </w:r>
          </w:p>
        </w:tc>
        <w:tc>
          <w:tcPr>
            <w:tcW w:w="1418" w:type="dxa"/>
          </w:tcPr>
          <w:p w:rsidR="006C0E49" w:rsidRPr="00023A3D" w:rsidRDefault="006C0E49">
            <w:pPr>
              <w:pStyle w:val="SBTabell"/>
              <w:jc w:val="right"/>
              <w:rPr>
                <w:sz w:val="17"/>
              </w:rPr>
            </w:pPr>
            <w:r w:rsidRPr="00023A3D">
              <w:rPr>
                <w:sz w:val="17"/>
              </w:rPr>
              <w:t>-12 057</w:t>
            </w:r>
          </w:p>
        </w:tc>
      </w:tr>
      <w:tr w:rsidR="00000000" w:rsidRPr="00023A3D">
        <w:tblPrEx>
          <w:tblCellMar>
            <w:top w:w="0" w:type="dxa"/>
            <w:bottom w:w="0" w:type="dxa"/>
          </w:tblCellMar>
        </w:tblPrEx>
        <w:tc>
          <w:tcPr>
            <w:tcW w:w="3444" w:type="dxa"/>
          </w:tcPr>
          <w:p w:rsidR="006C0E49" w:rsidRPr="00023A3D" w:rsidRDefault="006C0E49">
            <w:pPr>
              <w:pStyle w:val="SBTabell"/>
              <w:rPr>
                <w:sz w:val="17"/>
              </w:rPr>
            </w:pPr>
            <w:r w:rsidRPr="00023A3D">
              <w:rPr>
                <w:sz w:val="17"/>
              </w:rPr>
              <w:t>1:12 Utvecklingsarbete</w:t>
            </w:r>
          </w:p>
        </w:tc>
        <w:tc>
          <w:tcPr>
            <w:tcW w:w="1134" w:type="dxa"/>
          </w:tcPr>
          <w:p w:rsidR="006C0E49" w:rsidRPr="00023A3D" w:rsidRDefault="006C0E49">
            <w:pPr>
              <w:pStyle w:val="SBTabell"/>
              <w:jc w:val="right"/>
              <w:rPr>
                <w:sz w:val="17"/>
              </w:rPr>
            </w:pPr>
            <w:r w:rsidRPr="00023A3D">
              <w:rPr>
                <w:sz w:val="17"/>
              </w:rPr>
              <w:t xml:space="preserve"> 17 370</w:t>
            </w:r>
          </w:p>
        </w:tc>
        <w:tc>
          <w:tcPr>
            <w:tcW w:w="1418" w:type="dxa"/>
          </w:tcPr>
          <w:p w:rsidR="006C0E49" w:rsidRPr="00023A3D" w:rsidRDefault="006C0E49">
            <w:pPr>
              <w:pStyle w:val="SBTabell"/>
              <w:jc w:val="right"/>
              <w:rPr>
                <w:sz w:val="17"/>
              </w:rPr>
            </w:pPr>
            <w:r w:rsidRPr="00023A3D">
              <w:rPr>
                <w:sz w:val="17"/>
              </w:rPr>
              <w:t>-17 370</w:t>
            </w:r>
          </w:p>
        </w:tc>
      </w:tr>
      <w:tr w:rsidR="00000000" w:rsidRPr="00023A3D">
        <w:tblPrEx>
          <w:tblCellMar>
            <w:top w:w="0" w:type="dxa"/>
            <w:bottom w:w="0" w:type="dxa"/>
          </w:tblCellMar>
        </w:tblPrEx>
        <w:tc>
          <w:tcPr>
            <w:tcW w:w="3444" w:type="dxa"/>
          </w:tcPr>
          <w:p w:rsidR="006C0E49" w:rsidRPr="00023A3D" w:rsidRDefault="006C0E49">
            <w:pPr>
              <w:pStyle w:val="SBTabell"/>
              <w:rPr>
                <w:sz w:val="17"/>
              </w:rPr>
            </w:pPr>
            <w:r w:rsidRPr="00023A3D">
              <w:rPr>
                <w:sz w:val="17"/>
              </w:rPr>
              <w:t>2:1  Finansinspektionen</w:t>
            </w:r>
          </w:p>
        </w:tc>
        <w:tc>
          <w:tcPr>
            <w:tcW w:w="1134" w:type="dxa"/>
          </w:tcPr>
          <w:p w:rsidR="006C0E49" w:rsidRPr="00023A3D" w:rsidRDefault="006C0E49">
            <w:pPr>
              <w:pStyle w:val="SBTabell"/>
              <w:jc w:val="right"/>
              <w:rPr>
                <w:sz w:val="17"/>
              </w:rPr>
            </w:pPr>
            <w:r w:rsidRPr="00023A3D">
              <w:rPr>
                <w:sz w:val="17"/>
              </w:rPr>
              <w:t xml:space="preserve"> 141 853</w:t>
            </w:r>
          </w:p>
        </w:tc>
        <w:tc>
          <w:tcPr>
            <w:tcW w:w="1418" w:type="dxa"/>
          </w:tcPr>
          <w:p w:rsidR="006C0E49" w:rsidRPr="00023A3D" w:rsidRDefault="006C0E49">
            <w:pPr>
              <w:pStyle w:val="SBTabell"/>
              <w:jc w:val="right"/>
              <w:rPr>
                <w:sz w:val="17"/>
              </w:rPr>
            </w:pPr>
            <w:r w:rsidRPr="00023A3D">
              <w:rPr>
                <w:sz w:val="17"/>
              </w:rPr>
              <w:t>-9 000</w:t>
            </w:r>
          </w:p>
        </w:tc>
      </w:tr>
      <w:tr w:rsidR="00000000" w:rsidRPr="00023A3D">
        <w:tblPrEx>
          <w:tblCellMar>
            <w:top w:w="0" w:type="dxa"/>
            <w:bottom w:w="0" w:type="dxa"/>
          </w:tblCellMar>
        </w:tblPrEx>
        <w:tc>
          <w:tcPr>
            <w:tcW w:w="3444" w:type="dxa"/>
          </w:tcPr>
          <w:p w:rsidR="006C0E49" w:rsidRPr="00023A3D" w:rsidRDefault="006C0E49">
            <w:pPr>
              <w:pStyle w:val="SBTabell"/>
              <w:rPr>
                <w:sz w:val="17"/>
              </w:rPr>
            </w:pPr>
            <w:r w:rsidRPr="00023A3D">
              <w:rPr>
                <w:sz w:val="17"/>
              </w:rPr>
              <w:t>2:3  Riksgäldskontoret: Förvaltningskostnader</w:t>
            </w:r>
          </w:p>
        </w:tc>
        <w:tc>
          <w:tcPr>
            <w:tcW w:w="1134" w:type="dxa"/>
          </w:tcPr>
          <w:p w:rsidR="006C0E49" w:rsidRPr="00023A3D" w:rsidRDefault="006C0E49">
            <w:pPr>
              <w:pStyle w:val="SBTabell"/>
              <w:jc w:val="right"/>
              <w:rPr>
                <w:sz w:val="17"/>
              </w:rPr>
            </w:pPr>
            <w:r w:rsidRPr="00023A3D">
              <w:rPr>
                <w:sz w:val="17"/>
              </w:rPr>
              <w:t xml:space="preserve"> 252 875</w:t>
            </w:r>
          </w:p>
        </w:tc>
        <w:tc>
          <w:tcPr>
            <w:tcW w:w="1418" w:type="dxa"/>
          </w:tcPr>
          <w:p w:rsidR="006C0E49" w:rsidRPr="00023A3D" w:rsidRDefault="006C0E49">
            <w:pPr>
              <w:pStyle w:val="SBTabell"/>
              <w:jc w:val="right"/>
              <w:rPr>
                <w:sz w:val="17"/>
              </w:rPr>
            </w:pPr>
            <w:r w:rsidRPr="00023A3D">
              <w:rPr>
                <w:sz w:val="17"/>
              </w:rPr>
              <w:t>-10 000</w:t>
            </w:r>
          </w:p>
        </w:tc>
      </w:tr>
      <w:tr w:rsidR="00000000" w:rsidRPr="00023A3D">
        <w:tblPrEx>
          <w:tblCellMar>
            <w:top w:w="0" w:type="dxa"/>
            <w:bottom w:w="0" w:type="dxa"/>
          </w:tblCellMar>
        </w:tblPrEx>
        <w:trPr>
          <w:trHeight w:hRule="exact" w:val="60"/>
        </w:trPr>
        <w:tc>
          <w:tcPr>
            <w:tcW w:w="3444" w:type="dxa"/>
          </w:tcPr>
          <w:p w:rsidR="006C0E49" w:rsidRPr="00023A3D" w:rsidRDefault="006C0E49">
            <w:pPr>
              <w:pStyle w:val="SBTabell"/>
              <w:rPr>
                <w:sz w:val="17"/>
              </w:rPr>
            </w:pPr>
          </w:p>
        </w:tc>
        <w:tc>
          <w:tcPr>
            <w:tcW w:w="1134" w:type="dxa"/>
          </w:tcPr>
          <w:p w:rsidR="006C0E49" w:rsidRPr="00023A3D" w:rsidRDefault="006C0E49">
            <w:pPr>
              <w:pStyle w:val="SBTabell"/>
              <w:jc w:val="right"/>
              <w:rPr>
                <w:sz w:val="17"/>
              </w:rPr>
            </w:pPr>
          </w:p>
        </w:tc>
        <w:tc>
          <w:tcPr>
            <w:tcW w:w="1418" w:type="dxa"/>
          </w:tcPr>
          <w:p w:rsidR="006C0E49" w:rsidRPr="00023A3D" w:rsidRDefault="006C0E49">
            <w:pPr>
              <w:pStyle w:val="SBTabell"/>
              <w:jc w:val="right"/>
              <w:rPr>
                <w:sz w:val="17"/>
              </w:rPr>
            </w:pPr>
          </w:p>
        </w:tc>
      </w:tr>
      <w:tr w:rsidR="00000000" w:rsidRPr="00023A3D">
        <w:tblPrEx>
          <w:tblCellMar>
            <w:top w:w="0" w:type="dxa"/>
            <w:bottom w:w="0" w:type="dxa"/>
          </w:tblCellMar>
        </w:tblPrEx>
        <w:tc>
          <w:tcPr>
            <w:tcW w:w="3444" w:type="dxa"/>
            <w:tcBorders>
              <w:bottom w:val="single" w:sz="4" w:space="0" w:color="auto"/>
            </w:tcBorders>
          </w:tcPr>
          <w:p w:rsidR="006C0E49" w:rsidRPr="00023A3D" w:rsidRDefault="006C0E49">
            <w:pPr>
              <w:pStyle w:val="SBTabell"/>
              <w:rPr>
                <w:b/>
                <w:sz w:val="17"/>
              </w:rPr>
            </w:pPr>
            <w:r w:rsidRPr="00023A3D">
              <w:rPr>
                <w:b/>
                <w:sz w:val="17"/>
              </w:rPr>
              <w:t>Summa</w:t>
            </w:r>
          </w:p>
        </w:tc>
        <w:tc>
          <w:tcPr>
            <w:tcW w:w="1134" w:type="dxa"/>
            <w:tcBorders>
              <w:bottom w:val="single" w:sz="4" w:space="0" w:color="auto"/>
            </w:tcBorders>
          </w:tcPr>
          <w:p w:rsidR="006C0E49" w:rsidRPr="00023A3D" w:rsidRDefault="006C0E49">
            <w:pPr>
              <w:pStyle w:val="SBTabell"/>
              <w:jc w:val="right"/>
              <w:rPr>
                <w:b/>
                <w:sz w:val="17"/>
              </w:rPr>
            </w:pPr>
            <w:r w:rsidRPr="00023A3D">
              <w:rPr>
                <w:b/>
                <w:sz w:val="17"/>
              </w:rPr>
              <w:t>8 754 408</w:t>
            </w:r>
          </w:p>
        </w:tc>
        <w:tc>
          <w:tcPr>
            <w:tcW w:w="1418" w:type="dxa"/>
            <w:tcBorders>
              <w:bottom w:val="single" w:sz="4" w:space="0" w:color="auto"/>
            </w:tcBorders>
          </w:tcPr>
          <w:p w:rsidR="006C0E49" w:rsidRPr="00023A3D" w:rsidRDefault="006C0E49">
            <w:pPr>
              <w:pStyle w:val="SBTabell"/>
              <w:jc w:val="right"/>
              <w:rPr>
                <w:b/>
                <w:sz w:val="17"/>
              </w:rPr>
            </w:pPr>
            <w:r w:rsidRPr="00023A3D">
              <w:rPr>
                <w:b/>
                <w:sz w:val="17"/>
              </w:rPr>
              <w:t>-107 427</w:t>
            </w:r>
          </w:p>
        </w:tc>
      </w:tr>
    </w:tbl>
    <w:p w:rsidR="006C0E49" w:rsidRPr="00023A3D" w:rsidRDefault="006C0E49">
      <w:pPr>
        <w:pStyle w:val="Normaltindrag"/>
      </w:pPr>
    </w:p>
    <w:p w:rsidR="006C0E49" w:rsidRPr="00023A3D" w:rsidRDefault="006C0E49">
      <w:pPr>
        <w:pStyle w:val="Ordfranden"/>
        <w:spacing w:before="180"/>
        <w:rPr>
          <w:noProof w:val="0"/>
        </w:rPr>
      </w:pPr>
      <w:r w:rsidRPr="00023A3D">
        <w:rPr>
          <w:noProof w:val="0"/>
        </w:rPr>
        <w:t xml:space="preserve">2001/02:Fi276 </w:t>
      </w:r>
      <w:r w:rsidRPr="00023A3D">
        <w:rPr>
          <w:noProof w:val="0"/>
        </w:rPr>
        <w:t>av</w:t>
      </w:r>
      <w:r w:rsidRPr="00023A3D">
        <w:rPr>
          <w:noProof w:val="0"/>
        </w:rPr>
        <w:t xml:space="preserve"> Per Landgren m.fl. (kd):</w:t>
      </w:r>
    </w:p>
    <w:p w:rsidR="006C0E49" w:rsidRPr="00023A3D" w:rsidRDefault="006C0E49">
      <w:pPr>
        <w:pStyle w:val="Yrkanden"/>
      </w:pPr>
      <w:r w:rsidRPr="00023A3D">
        <w:t>1.  Riksdagen begär att regeringen lägger fram förslag till ändring av Fina</w:t>
      </w:r>
      <w:r w:rsidRPr="00023A3D">
        <w:t>n</w:t>
      </w:r>
      <w:r w:rsidRPr="00023A3D">
        <w:t>s</w:t>
      </w:r>
      <w:r w:rsidRPr="00023A3D">
        <w:softHyphen/>
        <w:t xml:space="preserve">inspektionens möjligheter till en effektivare finansiering av sin verksamhet i enlighet med vad som anförs i motionen. </w:t>
      </w:r>
    </w:p>
    <w:p w:rsidR="006C0E49" w:rsidRPr="00023A3D" w:rsidRDefault="006C0E49">
      <w:pPr>
        <w:pStyle w:val="Yrkanden"/>
      </w:pPr>
      <w:r w:rsidRPr="00023A3D">
        <w:t xml:space="preserve">2. Riksdagen tillkännager för regeringen som sin mening vad i motionen anförs om att Nämnden för offentlig upphandling skall samordnas med Konkurrensverket fr.o.m. andra halvåret 2002. </w:t>
      </w:r>
    </w:p>
    <w:p w:rsidR="006C0E49" w:rsidRPr="00023A3D" w:rsidRDefault="006C0E49">
      <w:pPr>
        <w:pStyle w:val="Yrkanden"/>
      </w:pPr>
      <w:r w:rsidRPr="00023A3D">
        <w:t xml:space="preserve">3. Riksdagen tillkännager för regeringen som sin mening vad i motionen anförs om att Riksdagens revisorers verksamhet skall samordnas med Riksrevisionsverket fr.o.m. andra halvåret 2002. </w:t>
      </w:r>
    </w:p>
    <w:p w:rsidR="006C0E49" w:rsidRPr="00023A3D" w:rsidRDefault="006C0E49">
      <w:pPr>
        <w:pStyle w:val="Yrkanden"/>
      </w:pPr>
      <w:r w:rsidRPr="00023A3D">
        <w:t>4. Riksdagen beslutar att för budgetåret 2002 anvisa anslagen under utgift</w:t>
      </w:r>
      <w:r w:rsidRPr="00023A3D">
        <w:t>s</w:t>
      </w:r>
      <w:r w:rsidRPr="00023A3D">
        <w:t xml:space="preserve">område 2 Samhällsekonomi och finansförvaltning med följande ändringar i förhållande till regeringens förslag enligt uppställning: </w:t>
      </w:r>
    </w:p>
    <w:p w:rsidR="006C0E49" w:rsidRPr="00023A3D" w:rsidRDefault="006C0E49">
      <w:pPr>
        <w:pStyle w:val="Yrkanden"/>
        <w:spacing w:before="0"/>
      </w:pPr>
    </w:p>
    <w:p w:rsidR="006C0E49" w:rsidRPr="00023A3D" w:rsidRDefault="006C0E49">
      <w:pPr>
        <w:outlineLvl w:val="0"/>
        <w:rPr>
          <w:sz w:val="16"/>
        </w:rPr>
      </w:pPr>
      <w:r w:rsidRPr="00023A3D">
        <w:rPr>
          <w:sz w:val="16"/>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303"/>
        <w:gridCol w:w="1275"/>
        <w:gridCol w:w="1276"/>
      </w:tblGrid>
      <w:tr w:rsidR="00000000" w:rsidRPr="00023A3D">
        <w:tblPrEx>
          <w:tblCellMar>
            <w:top w:w="0" w:type="dxa"/>
            <w:bottom w:w="0" w:type="dxa"/>
          </w:tblCellMar>
        </w:tblPrEx>
        <w:tc>
          <w:tcPr>
            <w:tcW w:w="3303" w:type="dxa"/>
            <w:tcBorders>
              <w:top w:val="single" w:sz="4" w:space="0" w:color="auto"/>
              <w:bottom w:val="single" w:sz="4" w:space="0" w:color="auto"/>
            </w:tcBorders>
          </w:tcPr>
          <w:p w:rsidR="006C0E49" w:rsidRPr="00023A3D" w:rsidRDefault="006C0E49">
            <w:pPr>
              <w:pStyle w:val="SBTabell"/>
              <w:rPr>
                <w:b/>
                <w:sz w:val="17"/>
              </w:rPr>
            </w:pPr>
            <w:r w:rsidRPr="00023A3D">
              <w:rPr>
                <w:b/>
                <w:sz w:val="17"/>
              </w:rPr>
              <w:t>Anslag</w:t>
            </w:r>
          </w:p>
        </w:tc>
        <w:tc>
          <w:tcPr>
            <w:tcW w:w="1275" w:type="dxa"/>
            <w:tcBorders>
              <w:top w:val="single" w:sz="4" w:space="0" w:color="auto"/>
              <w:bottom w:val="single" w:sz="4" w:space="0" w:color="auto"/>
            </w:tcBorders>
          </w:tcPr>
          <w:p w:rsidR="006C0E49" w:rsidRPr="00023A3D" w:rsidRDefault="006C0E49">
            <w:pPr>
              <w:pStyle w:val="SBTabell"/>
              <w:jc w:val="right"/>
              <w:rPr>
                <w:b/>
                <w:sz w:val="17"/>
              </w:rPr>
            </w:pPr>
            <w:r w:rsidRPr="00023A3D">
              <w:rPr>
                <w:b/>
                <w:sz w:val="17"/>
              </w:rPr>
              <w:t>Regerin</w:t>
            </w:r>
            <w:r w:rsidRPr="00023A3D">
              <w:rPr>
                <w:b/>
                <w:sz w:val="17"/>
              </w:rPr>
              <w:t>g</w:t>
            </w:r>
            <w:r w:rsidRPr="00023A3D">
              <w:rPr>
                <w:b/>
                <w:sz w:val="17"/>
              </w:rPr>
              <w:t>ens</w:t>
            </w:r>
          </w:p>
          <w:p w:rsidR="006C0E49" w:rsidRPr="00023A3D" w:rsidRDefault="006C0E49">
            <w:pPr>
              <w:pStyle w:val="SBTabell"/>
              <w:jc w:val="right"/>
              <w:rPr>
                <w:b/>
                <w:sz w:val="17"/>
              </w:rPr>
            </w:pPr>
            <w:r w:rsidRPr="00023A3D">
              <w:rPr>
                <w:b/>
                <w:sz w:val="17"/>
              </w:rPr>
              <w:t>förslag</w:t>
            </w:r>
          </w:p>
        </w:tc>
        <w:tc>
          <w:tcPr>
            <w:tcW w:w="1276" w:type="dxa"/>
            <w:tcBorders>
              <w:top w:val="single" w:sz="4" w:space="0" w:color="auto"/>
              <w:bottom w:val="single" w:sz="4" w:space="0" w:color="auto"/>
            </w:tcBorders>
          </w:tcPr>
          <w:p w:rsidR="006C0E49" w:rsidRPr="00023A3D" w:rsidRDefault="006C0E49">
            <w:pPr>
              <w:pStyle w:val="SBTabell"/>
              <w:jc w:val="right"/>
              <w:rPr>
                <w:b/>
                <w:sz w:val="17"/>
              </w:rPr>
            </w:pPr>
            <w:r w:rsidRPr="00023A3D">
              <w:rPr>
                <w:b/>
                <w:sz w:val="17"/>
              </w:rPr>
              <w:t>Anslagsför-</w:t>
            </w:r>
          </w:p>
          <w:p w:rsidR="006C0E49" w:rsidRPr="00023A3D" w:rsidRDefault="006C0E49">
            <w:pPr>
              <w:pStyle w:val="SBTabell"/>
              <w:jc w:val="right"/>
              <w:rPr>
                <w:b/>
                <w:sz w:val="17"/>
              </w:rPr>
            </w:pPr>
            <w:r w:rsidRPr="00023A3D">
              <w:rPr>
                <w:b/>
                <w:sz w:val="17"/>
              </w:rPr>
              <w:t>ändring (kd)</w:t>
            </w:r>
          </w:p>
        </w:tc>
      </w:tr>
      <w:tr w:rsidR="00000000" w:rsidRPr="00023A3D">
        <w:tblPrEx>
          <w:tblCellMar>
            <w:top w:w="0" w:type="dxa"/>
            <w:bottom w:w="0" w:type="dxa"/>
          </w:tblCellMar>
        </w:tblPrEx>
        <w:trPr>
          <w:trHeight w:hRule="exact" w:val="60"/>
        </w:trPr>
        <w:tc>
          <w:tcPr>
            <w:tcW w:w="3303" w:type="dxa"/>
          </w:tcPr>
          <w:p w:rsidR="006C0E49" w:rsidRPr="00023A3D" w:rsidRDefault="006C0E49">
            <w:pPr>
              <w:pStyle w:val="SBTabell"/>
              <w:rPr>
                <w:sz w:val="17"/>
              </w:rPr>
            </w:pPr>
          </w:p>
        </w:tc>
        <w:tc>
          <w:tcPr>
            <w:tcW w:w="1275" w:type="dxa"/>
          </w:tcPr>
          <w:p w:rsidR="006C0E49" w:rsidRPr="00023A3D" w:rsidRDefault="006C0E49">
            <w:pPr>
              <w:pStyle w:val="SBTabell"/>
              <w:jc w:val="right"/>
              <w:rPr>
                <w:sz w:val="17"/>
              </w:rPr>
            </w:pPr>
          </w:p>
        </w:tc>
        <w:tc>
          <w:tcPr>
            <w:tcW w:w="1276" w:type="dxa"/>
          </w:tcPr>
          <w:p w:rsidR="006C0E49" w:rsidRPr="00023A3D" w:rsidRDefault="006C0E49">
            <w:pPr>
              <w:pStyle w:val="SBTabell"/>
              <w:rPr>
                <w:sz w:val="17"/>
              </w:rPr>
            </w:pP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1:2  Riksrevisionsverket</w:t>
            </w:r>
            <w:r w:rsidRPr="00023A3D">
              <w:rPr>
                <w:rStyle w:val="Fotnotsreferens"/>
              </w:rPr>
              <w:footnoteReference w:id="9"/>
            </w:r>
          </w:p>
        </w:tc>
        <w:tc>
          <w:tcPr>
            <w:tcW w:w="1275" w:type="dxa"/>
          </w:tcPr>
          <w:p w:rsidR="006C0E49" w:rsidRPr="00023A3D" w:rsidRDefault="006C0E49">
            <w:pPr>
              <w:pStyle w:val="SBTabell"/>
              <w:jc w:val="right"/>
              <w:rPr>
                <w:sz w:val="17"/>
              </w:rPr>
            </w:pPr>
            <w:r w:rsidRPr="00023A3D">
              <w:rPr>
                <w:sz w:val="17"/>
              </w:rPr>
              <w:t>157 300</w:t>
            </w:r>
          </w:p>
        </w:tc>
        <w:tc>
          <w:tcPr>
            <w:tcW w:w="1276" w:type="dxa"/>
          </w:tcPr>
          <w:p w:rsidR="006C0E49" w:rsidRPr="00023A3D" w:rsidRDefault="006C0E49">
            <w:pPr>
              <w:pStyle w:val="SBTabell"/>
              <w:jc w:val="right"/>
              <w:rPr>
                <w:sz w:val="17"/>
              </w:rPr>
            </w:pPr>
            <w:r w:rsidRPr="00023A3D">
              <w:rPr>
                <w:sz w:val="17"/>
              </w:rPr>
              <w:t>+5 700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1:4  Statskontoret</w:t>
            </w:r>
            <w:r w:rsidRPr="00023A3D">
              <w:rPr>
                <w:rStyle w:val="Fotnotsreferens"/>
              </w:rPr>
              <w:footnoteReference w:id="10"/>
            </w:r>
          </w:p>
        </w:tc>
        <w:tc>
          <w:tcPr>
            <w:tcW w:w="1275" w:type="dxa"/>
          </w:tcPr>
          <w:p w:rsidR="006C0E49" w:rsidRPr="00023A3D" w:rsidRDefault="006C0E49">
            <w:pPr>
              <w:pStyle w:val="SBTabell"/>
              <w:jc w:val="right"/>
              <w:rPr>
                <w:sz w:val="17"/>
              </w:rPr>
            </w:pPr>
            <w:r w:rsidRPr="00023A3D">
              <w:rPr>
                <w:sz w:val="17"/>
              </w:rPr>
              <w:t>71 500</w:t>
            </w:r>
          </w:p>
        </w:tc>
        <w:tc>
          <w:tcPr>
            <w:tcW w:w="1276" w:type="dxa"/>
          </w:tcPr>
          <w:p w:rsidR="006C0E49" w:rsidRPr="00023A3D" w:rsidRDefault="006C0E49">
            <w:pPr>
              <w:pStyle w:val="SBTabell"/>
              <w:jc w:val="right"/>
              <w:rPr>
                <w:sz w:val="17"/>
              </w:rPr>
            </w:pPr>
            <w:r w:rsidRPr="00023A3D">
              <w:rPr>
                <w:sz w:val="17"/>
              </w:rPr>
              <w:t>-16 500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1:6  Statistiska centralbyrån</w:t>
            </w:r>
          </w:p>
        </w:tc>
        <w:tc>
          <w:tcPr>
            <w:tcW w:w="1275" w:type="dxa"/>
          </w:tcPr>
          <w:p w:rsidR="006C0E49" w:rsidRPr="00023A3D" w:rsidRDefault="006C0E49">
            <w:pPr>
              <w:pStyle w:val="SBTabell"/>
              <w:jc w:val="right"/>
              <w:rPr>
                <w:sz w:val="17"/>
              </w:rPr>
            </w:pPr>
            <w:r w:rsidRPr="00023A3D">
              <w:rPr>
                <w:sz w:val="17"/>
              </w:rPr>
              <w:t>394 400</w:t>
            </w:r>
          </w:p>
        </w:tc>
        <w:tc>
          <w:tcPr>
            <w:tcW w:w="1276" w:type="dxa"/>
          </w:tcPr>
          <w:p w:rsidR="006C0E49" w:rsidRPr="00023A3D" w:rsidRDefault="006C0E49">
            <w:pPr>
              <w:pStyle w:val="SBTabell"/>
              <w:jc w:val="right"/>
              <w:rPr>
                <w:sz w:val="17"/>
              </w:rPr>
            </w:pPr>
            <w:r w:rsidRPr="00023A3D">
              <w:rPr>
                <w:sz w:val="17"/>
              </w:rPr>
              <w:t>-15 000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1:7  Folk- och bostadsstatistik</w:t>
            </w:r>
          </w:p>
        </w:tc>
        <w:tc>
          <w:tcPr>
            <w:tcW w:w="1275" w:type="dxa"/>
          </w:tcPr>
          <w:p w:rsidR="006C0E49" w:rsidRPr="00023A3D" w:rsidRDefault="006C0E49">
            <w:pPr>
              <w:pStyle w:val="SBTabell"/>
              <w:jc w:val="right"/>
              <w:rPr>
                <w:sz w:val="17"/>
              </w:rPr>
            </w:pPr>
            <w:r w:rsidRPr="00023A3D">
              <w:rPr>
                <w:sz w:val="17"/>
              </w:rPr>
              <w:t>78 000</w:t>
            </w:r>
          </w:p>
        </w:tc>
        <w:tc>
          <w:tcPr>
            <w:tcW w:w="1276" w:type="dxa"/>
          </w:tcPr>
          <w:p w:rsidR="006C0E49" w:rsidRPr="00023A3D" w:rsidRDefault="006C0E49">
            <w:pPr>
              <w:pStyle w:val="SBTabell"/>
              <w:jc w:val="right"/>
              <w:rPr>
                <w:sz w:val="17"/>
              </w:rPr>
            </w:pPr>
            <w:r w:rsidRPr="00023A3D">
              <w:rPr>
                <w:sz w:val="17"/>
              </w:rPr>
              <w:t>-30 000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1:8  Kammarkollegiet</w:t>
            </w:r>
            <w:r w:rsidRPr="00023A3D">
              <w:rPr>
                <w:rStyle w:val="Fotnotsreferens"/>
              </w:rPr>
              <w:footnoteReference w:id="11"/>
            </w:r>
          </w:p>
        </w:tc>
        <w:tc>
          <w:tcPr>
            <w:tcW w:w="1275" w:type="dxa"/>
          </w:tcPr>
          <w:p w:rsidR="006C0E49" w:rsidRPr="00023A3D" w:rsidRDefault="006C0E49">
            <w:pPr>
              <w:pStyle w:val="SBTabell"/>
              <w:jc w:val="right"/>
              <w:rPr>
                <w:sz w:val="17"/>
              </w:rPr>
            </w:pPr>
            <w:r w:rsidRPr="00023A3D">
              <w:rPr>
                <w:sz w:val="17"/>
              </w:rPr>
              <w:t>26 900</w:t>
            </w:r>
          </w:p>
        </w:tc>
        <w:tc>
          <w:tcPr>
            <w:tcW w:w="1276" w:type="dxa"/>
          </w:tcPr>
          <w:p w:rsidR="006C0E49" w:rsidRPr="00023A3D" w:rsidRDefault="006C0E49">
            <w:pPr>
              <w:pStyle w:val="SBTabell"/>
              <w:jc w:val="right"/>
              <w:rPr>
                <w:sz w:val="17"/>
              </w:rPr>
            </w:pPr>
            <w:r w:rsidRPr="00023A3D">
              <w:rPr>
                <w:sz w:val="17"/>
              </w:rPr>
              <w:t>-6 900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1:9  Nämnden för offentlig upphandling</w:t>
            </w:r>
            <w:r w:rsidRPr="00023A3D">
              <w:rPr>
                <w:rStyle w:val="Fotnotsreferens"/>
              </w:rPr>
              <w:footnoteReference w:id="12"/>
            </w:r>
          </w:p>
        </w:tc>
        <w:tc>
          <w:tcPr>
            <w:tcW w:w="1275" w:type="dxa"/>
          </w:tcPr>
          <w:p w:rsidR="006C0E49" w:rsidRPr="00023A3D" w:rsidRDefault="006C0E49">
            <w:pPr>
              <w:pStyle w:val="SBTabell"/>
              <w:jc w:val="right"/>
              <w:rPr>
                <w:sz w:val="17"/>
              </w:rPr>
            </w:pPr>
            <w:r w:rsidRPr="00023A3D">
              <w:rPr>
                <w:sz w:val="17"/>
              </w:rPr>
              <w:t>7 400</w:t>
            </w:r>
          </w:p>
        </w:tc>
        <w:tc>
          <w:tcPr>
            <w:tcW w:w="1276" w:type="dxa"/>
          </w:tcPr>
          <w:p w:rsidR="006C0E49" w:rsidRPr="00023A3D" w:rsidRDefault="006C0E49">
            <w:pPr>
              <w:pStyle w:val="SBTabell"/>
              <w:jc w:val="right"/>
              <w:rPr>
                <w:sz w:val="17"/>
              </w:rPr>
            </w:pPr>
            <w:r w:rsidRPr="00023A3D">
              <w:rPr>
                <w:sz w:val="17"/>
              </w:rPr>
              <w:t>-3 700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1:10 Statens kvalitets- och kompetensråd</w:t>
            </w:r>
          </w:p>
        </w:tc>
        <w:tc>
          <w:tcPr>
            <w:tcW w:w="1275" w:type="dxa"/>
          </w:tcPr>
          <w:p w:rsidR="006C0E49" w:rsidRPr="00023A3D" w:rsidRDefault="006C0E49">
            <w:pPr>
              <w:pStyle w:val="SBTabell"/>
              <w:jc w:val="right"/>
              <w:rPr>
                <w:sz w:val="17"/>
              </w:rPr>
            </w:pPr>
            <w:r w:rsidRPr="00023A3D">
              <w:rPr>
                <w:sz w:val="17"/>
              </w:rPr>
              <w:t>12 100</w:t>
            </w:r>
          </w:p>
        </w:tc>
        <w:tc>
          <w:tcPr>
            <w:tcW w:w="1276" w:type="dxa"/>
          </w:tcPr>
          <w:p w:rsidR="006C0E49" w:rsidRPr="00023A3D" w:rsidRDefault="006C0E49">
            <w:pPr>
              <w:pStyle w:val="SBTabell"/>
              <w:jc w:val="right"/>
              <w:rPr>
                <w:sz w:val="17"/>
              </w:rPr>
            </w:pPr>
            <w:r w:rsidRPr="00023A3D">
              <w:rPr>
                <w:sz w:val="17"/>
              </w:rPr>
              <w:t>-12 100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1:11 Ekonomiska rådet</w:t>
            </w:r>
          </w:p>
        </w:tc>
        <w:tc>
          <w:tcPr>
            <w:tcW w:w="1275" w:type="dxa"/>
          </w:tcPr>
          <w:p w:rsidR="006C0E49" w:rsidRPr="00023A3D" w:rsidRDefault="006C0E49">
            <w:pPr>
              <w:pStyle w:val="SBTabell"/>
              <w:jc w:val="right"/>
              <w:rPr>
                <w:sz w:val="17"/>
              </w:rPr>
            </w:pPr>
            <w:r w:rsidRPr="00023A3D">
              <w:rPr>
                <w:sz w:val="17"/>
              </w:rPr>
              <w:t>2 300</w:t>
            </w:r>
          </w:p>
        </w:tc>
        <w:tc>
          <w:tcPr>
            <w:tcW w:w="1276" w:type="dxa"/>
          </w:tcPr>
          <w:p w:rsidR="006C0E49" w:rsidRPr="00023A3D" w:rsidRDefault="006C0E49">
            <w:pPr>
              <w:pStyle w:val="SBTabell"/>
              <w:jc w:val="right"/>
              <w:rPr>
                <w:sz w:val="17"/>
              </w:rPr>
            </w:pPr>
            <w:r w:rsidRPr="00023A3D">
              <w:rPr>
                <w:sz w:val="17"/>
              </w:rPr>
              <w:t>-2 300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1:12 Utvecklingsarbete</w:t>
            </w:r>
          </w:p>
        </w:tc>
        <w:tc>
          <w:tcPr>
            <w:tcW w:w="1275" w:type="dxa"/>
          </w:tcPr>
          <w:p w:rsidR="006C0E49" w:rsidRPr="00023A3D" w:rsidRDefault="006C0E49">
            <w:pPr>
              <w:pStyle w:val="SBTabell"/>
              <w:jc w:val="right"/>
              <w:rPr>
                <w:sz w:val="17"/>
              </w:rPr>
            </w:pPr>
            <w:r w:rsidRPr="00023A3D">
              <w:rPr>
                <w:sz w:val="17"/>
              </w:rPr>
              <w:t>17 400</w:t>
            </w:r>
          </w:p>
        </w:tc>
        <w:tc>
          <w:tcPr>
            <w:tcW w:w="1276" w:type="dxa"/>
          </w:tcPr>
          <w:p w:rsidR="006C0E49" w:rsidRPr="00023A3D" w:rsidRDefault="006C0E49">
            <w:pPr>
              <w:pStyle w:val="SBTabell"/>
              <w:jc w:val="right"/>
              <w:rPr>
                <w:sz w:val="17"/>
              </w:rPr>
            </w:pPr>
            <w:r w:rsidRPr="00023A3D">
              <w:rPr>
                <w:sz w:val="17"/>
              </w:rPr>
              <w:t>-10 000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90.1 Riksdagens revisorer</w:t>
            </w:r>
          </w:p>
        </w:tc>
        <w:tc>
          <w:tcPr>
            <w:tcW w:w="1275" w:type="dxa"/>
          </w:tcPr>
          <w:p w:rsidR="006C0E49" w:rsidRPr="00023A3D" w:rsidRDefault="006C0E49">
            <w:pPr>
              <w:pStyle w:val="SBTabell"/>
              <w:jc w:val="right"/>
              <w:rPr>
                <w:sz w:val="17"/>
              </w:rPr>
            </w:pPr>
            <w:r w:rsidRPr="00023A3D">
              <w:rPr>
                <w:sz w:val="17"/>
              </w:rPr>
              <w:t>27 100</w:t>
            </w:r>
          </w:p>
        </w:tc>
        <w:tc>
          <w:tcPr>
            <w:tcW w:w="1276" w:type="dxa"/>
          </w:tcPr>
          <w:p w:rsidR="006C0E49" w:rsidRPr="00023A3D" w:rsidRDefault="006C0E49">
            <w:pPr>
              <w:pStyle w:val="SBTabell"/>
              <w:jc w:val="right"/>
              <w:rPr>
                <w:sz w:val="17"/>
              </w:rPr>
            </w:pPr>
            <w:r w:rsidRPr="00023A3D">
              <w:rPr>
                <w:sz w:val="17"/>
              </w:rPr>
              <w:t>-13 000</w:t>
            </w:r>
          </w:p>
        </w:tc>
      </w:tr>
      <w:tr w:rsidR="00000000" w:rsidRPr="00023A3D">
        <w:tblPrEx>
          <w:tblCellMar>
            <w:top w:w="0" w:type="dxa"/>
            <w:bottom w:w="0" w:type="dxa"/>
          </w:tblCellMar>
        </w:tblPrEx>
        <w:trPr>
          <w:trHeight w:hRule="exact" w:val="60"/>
        </w:trPr>
        <w:tc>
          <w:tcPr>
            <w:tcW w:w="3303" w:type="dxa"/>
          </w:tcPr>
          <w:p w:rsidR="006C0E49" w:rsidRPr="00023A3D" w:rsidRDefault="006C0E49">
            <w:pPr>
              <w:pStyle w:val="SBTabell"/>
              <w:rPr>
                <w:sz w:val="17"/>
              </w:rPr>
            </w:pPr>
          </w:p>
        </w:tc>
        <w:tc>
          <w:tcPr>
            <w:tcW w:w="1275" w:type="dxa"/>
          </w:tcPr>
          <w:p w:rsidR="006C0E49" w:rsidRPr="00023A3D" w:rsidRDefault="006C0E49">
            <w:pPr>
              <w:pStyle w:val="SBTabell"/>
              <w:jc w:val="right"/>
              <w:rPr>
                <w:sz w:val="17"/>
              </w:rPr>
            </w:pPr>
          </w:p>
        </w:tc>
        <w:tc>
          <w:tcPr>
            <w:tcW w:w="1276" w:type="dxa"/>
          </w:tcPr>
          <w:p w:rsidR="006C0E49" w:rsidRPr="00023A3D" w:rsidRDefault="006C0E49">
            <w:pPr>
              <w:pStyle w:val="SBTabell"/>
              <w:jc w:val="right"/>
              <w:rPr>
                <w:sz w:val="17"/>
              </w:rPr>
            </w:pPr>
          </w:p>
        </w:tc>
      </w:tr>
      <w:tr w:rsidR="00000000" w:rsidRPr="00023A3D">
        <w:tblPrEx>
          <w:tblCellMar>
            <w:top w:w="0" w:type="dxa"/>
            <w:bottom w:w="0" w:type="dxa"/>
          </w:tblCellMar>
        </w:tblPrEx>
        <w:tc>
          <w:tcPr>
            <w:tcW w:w="3303" w:type="dxa"/>
            <w:tcBorders>
              <w:bottom w:val="single" w:sz="4" w:space="0" w:color="auto"/>
            </w:tcBorders>
          </w:tcPr>
          <w:p w:rsidR="006C0E49" w:rsidRPr="00023A3D" w:rsidRDefault="006C0E49">
            <w:pPr>
              <w:pStyle w:val="SBTabell"/>
              <w:rPr>
                <w:b/>
                <w:sz w:val="17"/>
              </w:rPr>
            </w:pPr>
            <w:r w:rsidRPr="00023A3D">
              <w:rPr>
                <w:b/>
                <w:sz w:val="17"/>
              </w:rPr>
              <w:t>Summa</w:t>
            </w:r>
          </w:p>
        </w:tc>
        <w:tc>
          <w:tcPr>
            <w:tcW w:w="1275" w:type="dxa"/>
            <w:tcBorders>
              <w:bottom w:val="single" w:sz="4" w:space="0" w:color="auto"/>
            </w:tcBorders>
          </w:tcPr>
          <w:p w:rsidR="006C0E49" w:rsidRPr="00023A3D" w:rsidRDefault="006C0E49">
            <w:pPr>
              <w:pStyle w:val="SBTabell"/>
              <w:jc w:val="right"/>
              <w:rPr>
                <w:b/>
                <w:sz w:val="17"/>
              </w:rPr>
            </w:pPr>
            <w:r w:rsidRPr="00023A3D">
              <w:rPr>
                <w:b/>
                <w:sz w:val="17"/>
              </w:rPr>
              <w:t>8 754 400</w:t>
            </w:r>
          </w:p>
        </w:tc>
        <w:tc>
          <w:tcPr>
            <w:tcW w:w="1276" w:type="dxa"/>
            <w:tcBorders>
              <w:bottom w:val="single" w:sz="4" w:space="0" w:color="auto"/>
            </w:tcBorders>
          </w:tcPr>
          <w:p w:rsidR="006C0E49" w:rsidRPr="00023A3D" w:rsidRDefault="006C0E49">
            <w:pPr>
              <w:pStyle w:val="SBTabell"/>
              <w:jc w:val="right"/>
              <w:rPr>
                <w:b/>
                <w:sz w:val="17"/>
              </w:rPr>
            </w:pPr>
            <w:r w:rsidRPr="00023A3D">
              <w:rPr>
                <w:b/>
                <w:sz w:val="17"/>
              </w:rPr>
              <w:t>-103 800</w:t>
            </w:r>
          </w:p>
        </w:tc>
      </w:tr>
    </w:tbl>
    <w:p w:rsidR="006C0E49" w:rsidRPr="00023A3D" w:rsidRDefault="006C0E49">
      <w:pPr>
        <w:pStyle w:val="Yrkanden"/>
        <w:ind w:left="0" w:firstLine="0"/>
      </w:pPr>
    </w:p>
    <w:p w:rsidR="006C0E49" w:rsidRPr="00023A3D" w:rsidRDefault="006C0E49">
      <w:pPr>
        <w:pStyle w:val="Ordfranden"/>
        <w:spacing w:before="180"/>
        <w:rPr>
          <w:noProof w:val="0"/>
        </w:rPr>
      </w:pPr>
      <w:r w:rsidRPr="00023A3D">
        <w:rPr>
          <w:noProof w:val="0"/>
        </w:rPr>
        <w:t>2001/02:</w:t>
      </w:r>
      <w:r w:rsidRPr="00023A3D">
        <w:rPr>
          <w:noProof w:val="0"/>
        </w:rPr>
        <w:t>Fi279</w:t>
      </w:r>
      <w:r w:rsidRPr="00023A3D">
        <w:rPr>
          <w:noProof w:val="0"/>
        </w:rPr>
        <w:t xml:space="preserve"> av Gunnar Hökmark m.fl. (m):</w:t>
      </w:r>
    </w:p>
    <w:p w:rsidR="006C0E49" w:rsidRPr="00023A3D" w:rsidRDefault="006C0E49">
      <w:r w:rsidRPr="00023A3D">
        <w:t xml:space="preserve">Riksdagen beslutar att inte genomföra folk- och bostadsräkning (FoB) 2005. </w:t>
      </w:r>
    </w:p>
    <w:p w:rsidR="006C0E49" w:rsidRPr="00023A3D" w:rsidRDefault="006C0E49">
      <w:pPr>
        <w:pStyle w:val="Ordfranden"/>
        <w:spacing w:before="180"/>
        <w:rPr>
          <w:noProof w:val="0"/>
        </w:rPr>
      </w:pPr>
      <w:r w:rsidRPr="00023A3D">
        <w:rPr>
          <w:noProof w:val="0"/>
        </w:rPr>
        <w:t xml:space="preserve">2001/02:Fi287 av Gunnar </w:t>
      </w:r>
      <w:r w:rsidRPr="00023A3D">
        <w:rPr>
          <w:noProof w:val="0"/>
        </w:rPr>
        <w:t>Hökmark</w:t>
      </w:r>
      <w:r w:rsidRPr="00023A3D">
        <w:rPr>
          <w:noProof w:val="0"/>
        </w:rPr>
        <w:t xml:space="preserve"> m.fl. (m):</w:t>
      </w:r>
    </w:p>
    <w:p w:rsidR="006C0E49" w:rsidRPr="00023A3D" w:rsidRDefault="006C0E49">
      <w:r w:rsidRPr="00023A3D">
        <w:t>Riksdagen beslutar att för budgetåret 2002 anvisa anslagen under utgiftso</w:t>
      </w:r>
      <w:r w:rsidRPr="00023A3D">
        <w:t>m</w:t>
      </w:r>
      <w:r w:rsidRPr="00023A3D">
        <w:t xml:space="preserve">råde 2 Samhällsekonomi och finansförvaltning med följande förändringar i förhållande till regeringens förslag i enlighet med vad som anförs i motionen. </w:t>
      </w:r>
    </w:p>
    <w:p w:rsidR="006C0E49" w:rsidRPr="00023A3D" w:rsidRDefault="006C0E49">
      <w:pPr>
        <w:pStyle w:val="Normaltindrag"/>
      </w:pPr>
    </w:p>
    <w:p w:rsidR="006C0E49" w:rsidRPr="00023A3D" w:rsidRDefault="006C0E49">
      <w:pPr>
        <w:outlineLvl w:val="0"/>
        <w:rPr>
          <w:sz w:val="16"/>
        </w:rPr>
      </w:pPr>
      <w:r w:rsidRPr="00023A3D">
        <w:rPr>
          <w:sz w:val="16"/>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303"/>
        <w:gridCol w:w="1417"/>
        <w:gridCol w:w="1276"/>
      </w:tblGrid>
      <w:tr w:rsidR="00000000" w:rsidRPr="00023A3D">
        <w:tblPrEx>
          <w:tblCellMar>
            <w:top w:w="0" w:type="dxa"/>
            <w:bottom w:w="0" w:type="dxa"/>
          </w:tblCellMar>
        </w:tblPrEx>
        <w:tc>
          <w:tcPr>
            <w:tcW w:w="3303" w:type="dxa"/>
            <w:tcBorders>
              <w:top w:val="single" w:sz="4" w:space="0" w:color="auto"/>
              <w:bottom w:val="single" w:sz="4" w:space="0" w:color="auto"/>
            </w:tcBorders>
          </w:tcPr>
          <w:p w:rsidR="006C0E49" w:rsidRPr="00023A3D" w:rsidRDefault="006C0E49">
            <w:pPr>
              <w:pStyle w:val="SBTabell"/>
              <w:rPr>
                <w:b/>
                <w:sz w:val="17"/>
              </w:rPr>
            </w:pPr>
            <w:r w:rsidRPr="00023A3D">
              <w:rPr>
                <w:b/>
                <w:sz w:val="17"/>
              </w:rPr>
              <w:t>Anslag</w:t>
            </w:r>
          </w:p>
        </w:tc>
        <w:tc>
          <w:tcPr>
            <w:tcW w:w="1417" w:type="dxa"/>
            <w:tcBorders>
              <w:top w:val="single" w:sz="4" w:space="0" w:color="auto"/>
              <w:bottom w:val="single" w:sz="4" w:space="0" w:color="auto"/>
            </w:tcBorders>
          </w:tcPr>
          <w:p w:rsidR="006C0E49" w:rsidRPr="00023A3D" w:rsidRDefault="006C0E49">
            <w:pPr>
              <w:pStyle w:val="SBTabell"/>
              <w:jc w:val="right"/>
              <w:rPr>
                <w:b/>
                <w:sz w:val="17"/>
              </w:rPr>
            </w:pPr>
            <w:r w:rsidRPr="00023A3D">
              <w:rPr>
                <w:b/>
                <w:sz w:val="17"/>
              </w:rPr>
              <w:t>Regeringens</w:t>
            </w:r>
          </w:p>
          <w:p w:rsidR="006C0E49" w:rsidRPr="00023A3D" w:rsidRDefault="006C0E49">
            <w:pPr>
              <w:pStyle w:val="SBTabell"/>
              <w:jc w:val="right"/>
              <w:rPr>
                <w:b/>
                <w:sz w:val="17"/>
              </w:rPr>
            </w:pPr>
            <w:r w:rsidRPr="00023A3D">
              <w:rPr>
                <w:b/>
                <w:sz w:val="17"/>
              </w:rPr>
              <w:t>förslag</w:t>
            </w:r>
          </w:p>
        </w:tc>
        <w:tc>
          <w:tcPr>
            <w:tcW w:w="1276" w:type="dxa"/>
            <w:tcBorders>
              <w:top w:val="single" w:sz="4" w:space="0" w:color="auto"/>
              <w:bottom w:val="single" w:sz="4" w:space="0" w:color="auto"/>
            </w:tcBorders>
          </w:tcPr>
          <w:p w:rsidR="006C0E49" w:rsidRPr="00023A3D" w:rsidRDefault="006C0E49">
            <w:pPr>
              <w:pStyle w:val="SBTabell"/>
              <w:jc w:val="right"/>
              <w:rPr>
                <w:b/>
                <w:sz w:val="17"/>
              </w:rPr>
            </w:pPr>
            <w:r w:rsidRPr="00023A3D">
              <w:rPr>
                <w:b/>
                <w:sz w:val="17"/>
              </w:rPr>
              <w:t>Anslagsför-</w:t>
            </w:r>
          </w:p>
          <w:p w:rsidR="006C0E49" w:rsidRPr="00023A3D" w:rsidRDefault="006C0E49">
            <w:pPr>
              <w:pStyle w:val="SBTabell"/>
              <w:jc w:val="right"/>
              <w:rPr>
                <w:b/>
                <w:sz w:val="17"/>
              </w:rPr>
            </w:pPr>
            <w:r w:rsidRPr="00023A3D">
              <w:rPr>
                <w:b/>
                <w:sz w:val="17"/>
              </w:rPr>
              <w:t>ändring (m)</w:t>
            </w:r>
          </w:p>
        </w:tc>
      </w:tr>
      <w:tr w:rsidR="00000000" w:rsidRPr="00023A3D">
        <w:tblPrEx>
          <w:tblCellMar>
            <w:top w:w="0" w:type="dxa"/>
            <w:bottom w:w="0" w:type="dxa"/>
          </w:tblCellMar>
        </w:tblPrEx>
        <w:trPr>
          <w:trHeight w:hRule="exact" w:val="60"/>
        </w:trPr>
        <w:tc>
          <w:tcPr>
            <w:tcW w:w="3303" w:type="dxa"/>
          </w:tcPr>
          <w:p w:rsidR="006C0E49" w:rsidRPr="00023A3D" w:rsidRDefault="006C0E49">
            <w:pPr>
              <w:pStyle w:val="SBTabell"/>
              <w:rPr>
                <w:sz w:val="17"/>
              </w:rPr>
            </w:pPr>
          </w:p>
        </w:tc>
        <w:tc>
          <w:tcPr>
            <w:tcW w:w="1417" w:type="dxa"/>
          </w:tcPr>
          <w:p w:rsidR="006C0E49" w:rsidRPr="00023A3D" w:rsidRDefault="006C0E49">
            <w:pPr>
              <w:pStyle w:val="SBTabell"/>
              <w:jc w:val="right"/>
              <w:rPr>
                <w:sz w:val="17"/>
              </w:rPr>
            </w:pPr>
          </w:p>
        </w:tc>
        <w:tc>
          <w:tcPr>
            <w:tcW w:w="1276" w:type="dxa"/>
          </w:tcPr>
          <w:p w:rsidR="006C0E49" w:rsidRPr="00023A3D" w:rsidRDefault="006C0E49">
            <w:pPr>
              <w:pStyle w:val="SBTabell"/>
              <w:rPr>
                <w:sz w:val="17"/>
              </w:rPr>
            </w:pP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1:6  Statistiska centralbyrån</w:t>
            </w:r>
          </w:p>
        </w:tc>
        <w:tc>
          <w:tcPr>
            <w:tcW w:w="1417" w:type="dxa"/>
          </w:tcPr>
          <w:p w:rsidR="006C0E49" w:rsidRPr="00023A3D" w:rsidRDefault="006C0E49">
            <w:pPr>
              <w:pStyle w:val="SBTabell"/>
              <w:jc w:val="right"/>
              <w:rPr>
                <w:sz w:val="17"/>
              </w:rPr>
            </w:pPr>
            <w:r w:rsidRPr="00023A3D">
              <w:rPr>
                <w:sz w:val="17"/>
              </w:rPr>
              <w:t xml:space="preserve"> 394 439</w:t>
            </w:r>
          </w:p>
        </w:tc>
        <w:tc>
          <w:tcPr>
            <w:tcW w:w="1276" w:type="dxa"/>
          </w:tcPr>
          <w:p w:rsidR="006C0E49" w:rsidRPr="00023A3D" w:rsidRDefault="006C0E49">
            <w:pPr>
              <w:pStyle w:val="SBTabell"/>
              <w:jc w:val="right"/>
              <w:rPr>
                <w:sz w:val="17"/>
              </w:rPr>
            </w:pPr>
            <w:r w:rsidRPr="00023A3D">
              <w:rPr>
                <w:sz w:val="17"/>
              </w:rPr>
              <w:t>-50 000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1:7  Folk- och bostadsstatistik</w:t>
            </w:r>
          </w:p>
        </w:tc>
        <w:tc>
          <w:tcPr>
            <w:tcW w:w="1417" w:type="dxa"/>
          </w:tcPr>
          <w:p w:rsidR="006C0E49" w:rsidRPr="00023A3D" w:rsidRDefault="006C0E49">
            <w:pPr>
              <w:pStyle w:val="SBTabell"/>
              <w:jc w:val="right"/>
              <w:rPr>
                <w:sz w:val="17"/>
              </w:rPr>
            </w:pPr>
            <w:r w:rsidRPr="00023A3D">
              <w:rPr>
                <w:sz w:val="17"/>
              </w:rPr>
              <w:t xml:space="preserve"> 78 000</w:t>
            </w:r>
          </w:p>
        </w:tc>
        <w:tc>
          <w:tcPr>
            <w:tcW w:w="1276" w:type="dxa"/>
          </w:tcPr>
          <w:p w:rsidR="006C0E49" w:rsidRPr="00023A3D" w:rsidRDefault="006C0E49">
            <w:pPr>
              <w:pStyle w:val="SBTabell"/>
              <w:jc w:val="right"/>
              <w:rPr>
                <w:sz w:val="17"/>
              </w:rPr>
            </w:pPr>
            <w:r w:rsidRPr="00023A3D">
              <w:rPr>
                <w:sz w:val="17"/>
              </w:rPr>
              <w:t>-78 000</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1:9  Nämnden för offentlig upphandling</w:t>
            </w:r>
          </w:p>
        </w:tc>
        <w:tc>
          <w:tcPr>
            <w:tcW w:w="1417" w:type="dxa"/>
          </w:tcPr>
          <w:p w:rsidR="006C0E49" w:rsidRPr="00023A3D" w:rsidRDefault="006C0E49">
            <w:pPr>
              <w:pStyle w:val="SBTabell"/>
              <w:jc w:val="right"/>
              <w:rPr>
                <w:sz w:val="17"/>
              </w:rPr>
            </w:pPr>
            <w:r w:rsidRPr="00023A3D">
              <w:rPr>
                <w:sz w:val="17"/>
              </w:rPr>
              <w:t xml:space="preserve"> 7 443</w:t>
            </w:r>
          </w:p>
        </w:tc>
        <w:tc>
          <w:tcPr>
            <w:tcW w:w="1276" w:type="dxa"/>
          </w:tcPr>
          <w:p w:rsidR="006C0E49" w:rsidRPr="00023A3D" w:rsidRDefault="006C0E49">
            <w:pPr>
              <w:pStyle w:val="SBTabell"/>
              <w:jc w:val="right"/>
              <w:rPr>
                <w:sz w:val="17"/>
              </w:rPr>
            </w:pPr>
            <w:r w:rsidRPr="00023A3D">
              <w:rPr>
                <w:sz w:val="17"/>
              </w:rPr>
              <w:t>-3 722</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1:10 Statens kvalitets- och kompetensråd</w:t>
            </w:r>
          </w:p>
        </w:tc>
        <w:tc>
          <w:tcPr>
            <w:tcW w:w="1417" w:type="dxa"/>
          </w:tcPr>
          <w:p w:rsidR="006C0E49" w:rsidRPr="00023A3D" w:rsidRDefault="006C0E49">
            <w:pPr>
              <w:pStyle w:val="SBTabell"/>
              <w:jc w:val="right"/>
              <w:rPr>
                <w:sz w:val="17"/>
              </w:rPr>
            </w:pPr>
            <w:r w:rsidRPr="00023A3D">
              <w:rPr>
                <w:sz w:val="17"/>
              </w:rPr>
              <w:t xml:space="preserve"> 12 057</w:t>
            </w:r>
          </w:p>
        </w:tc>
        <w:tc>
          <w:tcPr>
            <w:tcW w:w="1276" w:type="dxa"/>
          </w:tcPr>
          <w:p w:rsidR="006C0E49" w:rsidRPr="00023A3D" w:rsidRDefault="006C0E49">
            <w:pPr>
              <w:pStyle w:val="SBTabell"/>
              <w:jc w:val="right"/>
              <w:rPr>
                <w:sz w:val="17"/>
              </w:rPr>
            </w:pPr>
            <w:r w:rsidRPr="00023A3D">
              <w:rPr>
                <w:sz w:val="17"/>
              </w:rPr>
              <w:t>-6 029</w:t>
            </w: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90:1 Riksdagens revisorer</w:t>
            </w:r>
          </w:p>
        </w:tc>
        <w:tc>
          <w:tcPr>
            <w:tcW w:w="1417" w:type="dxa"/>
          </w:tcPr>
          <w:p w:rsidR="006C0E49" w:rsidRPr="00023A3D" w:rsidRDefault="006C0E49">
            <w:pPr>
              <w:pStyle w:val="SBTabell"/>
              <w:jc w:val="right"/>
              <w:rPr>
                <w:sz w:val="17"/>
              </w:rPr>
            </w:pPr>
            <w:r w:rsidRPr="00023A3D">
              <w:rPr>
                <w:sz w:val="17"/>
              </w:rPr>
              <w:t xml:space="preserve"> 27 122</w:t>
            </w:r>
          </w:p>
        </w:tc>
        <w:tc>
          <w:tcPr>
            <w:tcW w:w="1276" w:type="dxa"/>
          </w:tcPr>
          <w:p w:rsidR="006C0E49" w:rsidRPr="00023A3D" w:rsidRDefault="006C0E49">
            <w:pPr>
              <w:pStyle w:val="SBTabell"/>
              <w:jc w:val="right"/>
              <w:rPr>
                <w:sz w:val="17"/>
              </w:rPr>
            </w:pPr>
            <w:r w:rsidRPr="00023A3D">
              <w:rPr>
                <w:sz w:val="17"/>
              </w:rPr>
              <w:t>-4 000</w:t>
            </w:r>
          </w:p>
        </w:tc>
      </w:tr>
      <w:tr w:rsidR="00000000" w:rsidRPr="00023A3D">
        <w:tblPrEx>
          <w:tblCellMar>
            <w:top w:w="0" w:type="dxa"/>
            <w:bottom w:w="0" w:type="dxa"/>
          </w:tblCellMar>
        </w:tblPrEx>
        <w:trPr>
          <w:trHeight w:hRule="exact" w:val="60"/>
        </w:trPr>
        <w:tc>
          <w:tcPr>
            <w:tcW w:w="3303" w:type="dxa"/>
          </w:tcPr>
          <w:p w:rsidR="006C0E49" w:rsidRPr="00023A3D" w:rsidRDefault="006C0E49">
            <w:pPr>
              <w:pStyle w:val="SBTabell"/>
              <w:rPr>
                <w:sz w:val="17"/>
              </w:rPr>
            </w:pPr>
          </w:p>
        </w:tc>
        <w:tc>
          <w:tcPr>
            <w:tcW w:w="1417" w:type="dxa"/>
          </w:tcPr>
          <w:p w:rsidR="006C0E49" w:rsidRPr="00023A3D" w:rsidRDefault="006C0E49">
            <w:pPr>
              <w:pStyle w:val="SBTabell"/>
              <w:jc w:val="right"/>
              <w:rPr>
                <w:sz w:val="17"/>
              </w:rPr>
            </w:pPr>
          </w:p>
        </w:tc>
        <w:tc>
          <w:tcPr>
            <w:tcW w:w="1276" w:type="dxa"/>
          </w:tcPr>
          <w:p w:rsidR="006C0E49" w:rsidRPr="00023A3D" w:rsidRDefault="006C0E49">
            <w:pPr>
              <w:pStyle w:val="SBTabell"/>
              <w:jc w:val="right"/>
              <w:rPr>
                <w:sz w:val="17"/>
              </w:rPr>
            </w:pPr>
          </w:p>
        </w:tc>
      </w:tr>
      <w:tr w:rsidR="00000000" w:rsidRPr="00023A3D">
        <w:tblPrEx>
          <w:tblCellMar>
            <w:top w:w="0" w:type="dxa"/>
            <w:bottom w:w="0" w:type="dxa"/>
          </w:tblCellMar>
        </w:tblPrEx>
        <w:tc>
          <w:tcPr>
            <w:tcW w:w="3303" w:type="dxa"/>
            <w:tcBorders>
              <w:bottom w:val="single" w:sz="4" w:space="0" w:color="auto"/>
            </w:tcBorders>
          </w:tcPr>
          <w:p w:rsidR="006C0E49" w:rsidRPr="00023A3D" w:rsidRDefault="006C0E49">
            <w:pPr>
              <w:pStyle w:val="SBTabell"/>
              <w:rPr>
                <w:b/>
                <w:sz w:val="17"/>
              </w:rPr>
            </w:pPr>
            <w:r w:rsidRPr="00023A3D">
              <w:rPr>
                <w:b/>
                <w:sz w:val="17"/>
              </w:rPr>
              <w:t>Summa</w:t>
            </w:r>
          </w:p>
        </w:tc>
        <w:tc>
          <w:tcPr>
            <w:tcW w:w="1417" w:type="dxa"/>
            <w:tcBorders>
              <w:bottom w:val="single" w:sz="4" w:space="0" w:color="auto"/>
            </w:tcBorders>
          </w:tcPr>
          <w:p w:rsidR="006C0E49" w:rsidRPr="00023A3D" w:rsidRDefault="006C0E49">
            <w:pPr>
              <w:pStyle w:val="SBTabell"/>
              <w:jc w:val="right"/>
              <w:rPr>
                <w:b/>
                <w:sz w:val="17"/>
              </w:rPr>
            </w:pPr>
            <w:r w:rsidRPr="00023A3D">
              <w:rPr>
                <w:b/>
                <w:sz w:val="17"/>
              </w:rPr>
              <w:t>8 754 408</w:t>
            </w:r>
          </w:p>
        </w:tc>
        <w:tc>
          <w:tcPr>
            <w:tcW w:w="1276" w:type="dxa"/>
            <w:tcBorders>
              <w:bottom w:val="single" w:sz="4" w:space="0" w:color="auto"/>
            </w:tcBorders>
          </w:tcPr>
          <w:p w:rsidR="006C0E49" w:rsidRPr="00023A3D" w:rsidRDefault="006C0E49">
            <w:pPr>
              <w:pStyle w:val="SBTabell"/>
              <w:jc w:val="right"/>
              <w:rPr>
                <w:b/>
                <w:sz w:val="17"/>
              </w:rPr>
            </w:pPr>
            <w:r w:rsidRPr="00023A3D">
              <w:rPr>
                <w:b/>
                <w:sz w:val="17"/>
              </w:rPr>
              <w:t>-141 751</w:t>
            </w:r>
          </w:p>
        </w:tc>
      </w:tr>
    </w:tbl>
    <w:p w:rsidR="006C0E49" w:rsidRPr="00023A3D" w:rsidRDefault="006C0E49">
      <w:pPr>
        <w:pStyle w:val="Normaltindrag"/>
        <w:ind w:firstLine="0"/>
        <w:rPr>
          <w:b/>
        </w:rPr>
      </w:pPr>
    </w:p>
    <w:p w:rsidR="006C0E49" w:rsidRPr="00023A3D" w:rsidRDefault="006C0E49">
      <w:pPr>
        <w:pStyle w:val="Ordfranden"/>
        <w:spacing w:before="180"/>
        <w:rPr>
          <w:noProof w:val="0"/>
        </w:rPr>
      </w:pPr>
      <w:r w:rsidRPr="00023A3D">
        <w:rPr>
          <w:noProof w:val="0"/>
        </w:rPr>
        <w:t xml:space="preserve">2001/02:Fi294 av Lars </w:t>
      </w:r>
      <w:r w:rsidRPr="00023A3D">
        <w:rPr>
          <w:noProof w:val="0"/>
        </w:rPr>
        <w:t>Leijonborg</w:t>
      </w:r>
      <w:r w:rsidRPr="00023A3D">
        <w:rPr>
          <w:noProof w:val="0"/>
        </w:rPr>
        <w:t xml:space="preserve"> m.fl. (fp):</w:t>
      </w:r>
    </w:p>
    <w:p w:rsidR="006C0E49" w:rsidRPr="00023A3D" w:rsidRDefault="006C0E49">
      <w:pPr>
        <w:pStyle w:val="Yrkanden"/>
      </w:pPr>
      <w:r w:rsidRPr="00023A3D">
        <w:t xml:space="preserve">10. Riksdagen anvisar för budgetåret 2002 anslagen under utgiftsområde 2 Samhällsekonomi och finansförvaltning och utgiftsområde 25 Allmänna bidrag till kommunerna enligt uppställningen i bilaga 2 (i denna del). </w:t>
      </w:r>
    </w:p>
    <w:p w:rsidR="006C0E49" w:rsidRPr="00023A3D" w:rsidRDefault="006C0E49">
      <w:pPr>
        <w:pStyle w:val="Yrkanden"/>
      </w:pPr>
    </w:p>
    <w:p w:rsidR="006C0E49" w:rsidRPr="00023A3D" w:rsidRDefault="006C0E49">
      <w:pPr>
        <w:outlineLvl w:val="0"/>
        <w:rPr>
          <w:sz w:val="16"/>
        </w:rPr>
      </w:pPr>
      <w:r w:rsidRPr="00023A3D">
        <w:rPr>
          <w:sz w:val="16"/>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303"/>
        <w:gridCol w:w="1417"/>
        <w:gridCol w:w="1276"/>
      </w:tblGrid>
      <w:tr w:rsidR="00000000" w:rsidRPr="00023A3D">
        <w:tblPrEx>
          <w:tblCellMar>
            <w:top w:w="0" w:type="dxa"/>
            <w:bottom w:w="0" w:type="dxa"/>
          </w:tblCellMar>
        </w:tblPrEx>
        <w:tc>
          <w:tcPr>
            <w:tcW w:w="3303" w:type="dxa"/>
            <w:tcBorders>
              <w:top w:val="single" w:sz="4" w:space="0" w:color="auto"/>
              <w:bottom w:val="single" w:sz="4" w:space="0" w:color="auto"/>
            </w:tcBorders>
          </w:tcPr>
          <w:p w:rsidR="006C0E49" w:rsidRPr="00023A3D" w:rsidRDefault="006C0E49">
            <w:pPr>
              <w:pStyle w:val="SBTabell"/>
              <w:rPr>
                <w:b/>
                <w:sz w:val="17"/>
              </w:rPr>
            </w:pPr>
            <w:r w:rsidRPr="00023A3D">
              <w:rPr>
                <w:b/>
                <w:sz w:val="17"/>
              </w:rPr>
              <w:t>Anslag</w:t>
            </w:r>
          </w:p>
        </w:tc>
        <w:tc>
          <w:tcPr>
            <w:tcW w:w="1417" w:type="dxa"/>
            <w:tcBorders>
              <w:top w:val="single" w:sz="4" w:space="0" w:color="auto"/>
              <w:bottom w:val="single" w:sz="4" w:space="0" w:color="auto"/>
            </w:tcBorders>
          </w:tcPr>
          <w:p w:rsidR="006C0E49" w:rsidRPr="00023A3D" w:rsidRDefault="006C0E49">
            <w:pPr>
              <w:pStyle w:val="SBTabell"/>
              <w:jc w:val="right"/>
              <w:rPr>
                <w:b/>
                <w:sz w:val="17"/>
              </w:rPr>
            </w:pPr>
            <w:r w:rsidRPr="00023A3D">
              <w:rPr>
                <w:b/>
                <w:sz w:val="17"/>
              </w:rPr>
              <w:t>Regerin</w:t>
            </w:r>
            <w:r w:rsidRPr="00023A3D">
              <w:rPr>
                <w:b/>
                <w:sz w:val="17"/>
              </w:rPr>
              <w:t>g</w:t>
            </w:r>
            <w:r w:rsidRPr="00023A3D">
              <w:rPr>
                <w:b/>
                <w:sz w:val="17"/>
              </w:rPr>
              <w:t>ens</w:t>
            </w:r>
          </w:p>
          <w:p w:rsidR="006C0E49" w:rsidRPr="00023A3D" w:rsidRDefault="006C0E49">
            <w:pPr>
              <w:pStyle w:val="SBTabell"/>
              <w:jc w:val="right"/>
              <w:rPr>
                <w:b/>
                <w:sz w:val="17"/>
              </w:rPr>
            </w:pPr>
            <w:r w:rsidRPr="00023A3D">
              <w:rPr>
                <w:b/>
                <w:sz w:val="17"/>
              </w:rPr>
              <w:t>förslag</w:t>
            </w:r>
          </w:p>
        </w:tc>
        <w:tc>
          <w:tcPr>
            <w:tcW w:w="1276" w:type="dxa"/>
            <w:tcBorders>
              <w:top w:val="single" w:sz="4" w:space="0" w:color="auto"/>
              <w:bottom w:val="single" w:sz="4" w:space="0" w:color="auto"/>
            </w:tcBorders>
          </w:tcPr>
          <w:p w:rsidR="006C0E49" w:rsidRPr="00023A3D" w:rsidRDefault="006C0E49">
            <w:pPr>
              <w:pStyle w:val="SBTabell"/>
              <w:jc w:val="right"/>
              <w:rPr>
                <w:b/>
                <w:sz w:val="17"/>
              </w:rPr>
            </w:pPr>
            <w:r w:rsidRPr="00023A3D">
              <w:rPr>
                <w:b/>
                <w:sz w:val="17"/>
              </w:rPr>
              <w:t>Anslagsför-</w:t>
            </w:r>
          </w:p>
          <w:p w:rsidR="006C0E49" w:rsidRPr="00023A3D" w:rsidRDefault="006C0E49">
            <w:pPr>
              <w:pStyle w:val="SBTabell"/>
              <w:jc w:val="right"/>
              <w:rPr>
                <w:b/>
                <w:sz w:val="17"/>
              </w:rPr>
            </w:pPr>
            <w:r w:rsidRPr="00023A3D">
              <w:rPr>
                <w:b/>
                <w:sz w:val="17"/>
              </w:rPr>
              <w:t>ändring (fp)</w:t>
            </w:r>
          </w:p>
        </w:tc>
      </w:tr>
      <w:tr w:rsidR="00000000" w:rsidRPr="00023A3D">
        <w:tblPrEx>
          <w:tblCellMar>
            <w:top w:w="0" w:type="dxa"/>
            <w:bottom w:w="0" w:type="dxa"/>
          </w:tblCellMar>
        </w:tblPrEx>
        <w:trPr>
          <w:trHeight w:hRule="exact" w:val="60"/>
        </w:trPr>
        <w:tc>
          <w:tcPr>
            <w:tcW w:w="3303" w:type="dxa"/>
          </w:tcPr>
          <w:p w:rsidR="006C0E49" w:rsidRPr="00023A3D" w:rsidRDefault="006C0E49">
            <w:pPr>
              <w:pStyle w:val="SBTabell"/>
              <w:rPr>
                <w:sz w:val="17"/>
              </w:rPr>
            </w:pPr>
          </w:p>
        </w:tc>
        <w:tc>
          <w:tcPr>
            <w:tcW w:w="1417" w:type="dxa"/>
          </w:tcPr>
          <w:p w:rsidR="006C0E49" w:rsidRPr="00023A3D" w:rsidRDefault="006C0E49">
            <w:pPr>
              <w:pStyle w:val="SBTabell"/>
              <w:jc w:val="right"/>
              <w:rPr>
                <w:sz w:val="17"/>
              </w:rPr>
            </w:pPr>
          </w:p>
        </w:tc>
        <w:tc>
          <w:tcPr>
            <w:tcW w:w="1276" w:type="dxa"/>
          </w:tcPr>
          <w:p w:rsidR="006C0E49" w:rsidRPr="00023A3D" w:rsidRDefault="006C0E49">
            <w:pPr>
              <w:pStyle w:val="SBTabell"/>
              <w:jc w:val="right"/>
              <w:rPr>
                <w:sz w:val="17"/>
              </w:rPr>
            </w:pPr>
          </w:p>
        </w:tc>
      </w:tr>
      <w:tr w:rsidR="00000000" w:rsidRPr="00023A3D">
        <w:tblPrEx>
          <w:tblCellMar>
            <w:top w:w="0" w:type="dxa"/>
            <w:bottom w:w="0" w:type="dxa"/>
          </w:tblCellMar>
        </w:tblPrEx>
        <w:tc>
          <w:tcPr>
            <w:tcW w:w="3303" w:type="dxa"/>
          </w:tcPr>
          <w:p w:rsidR="006C0E49" w:rsidRPr="00023A3D" w:rsidRDefault="006C0E49">
            <w:pPr>
              <w:pStyle w:val="SBTabell"/>
              <w:rPr>
                <w:sz w:val="17"/>
              </w:rPr>
            </w:pPr>
            <w:r w:rsidRPr="00023A3D">
              <w:rPr>
                <w:sz w:val="17"/>
              </w:rPr>
              <w:t>1:7  Folk- och bostadsstatistik</w:t>
            </w:r>
          </w:p>
        </w:tc>
        <w:tc>
          <w:tcPr>
            <w:tcW w:w="1417" w:type="dxa"/>
          </w:tcPr>
          <w:p w:rsidR="006C0E49" w:rsidRPr="00023A3D" w:rsidRDefault="006C0E49">
            <w:pPr>
              <w:pStyle w:val="SBTabell"/>
              <w:jc w:val="right"/>
              <w:rPr>
                <w:sz w:val="17"/>
              </w:rPr>
            </w:pPr>
            <w:r w:rsidRPr="00023A3D">
              <w:rPr>
                <w:sz w:val="17"/>
              </w:rPr>
              <w:t xml:space="preserve"> 78 000</w:t>
            </w:r>
          </w:p>
        </w:tc>
        <w:tc>
          <w:tcPr>
            <w:tcW w:w="1276" w:type="dxa"/>
          </w:tcPr>
          <w:p w:rsidR="006C0E49" w:rsidRPr="00023A3D" w:rsidRDefault="006C0E49">
            <w:pPr>
              <w:pStyle w:val="SBTabell"/>
              <w:jc w:val="right"/>
              <w:rPr>
                <w:sz w:val="17"/>
              </w:rPr>
            </w:pPr>
            <w:r w:rsidRPr="00023A3D">
              <w:rPr>
                <w:sz w:val="17"/>
              </w:rPr>
              <w:t>-78 000</w:t>
            </w:r>
          </w:p>
        </w:tc>
      </w:tr>
      <w:tr w:rsidR="00000000" w:rsidRPr="00023A3D">
        <w:tblPrEx>
          <w:tblCellMar>
            <w:top w:w="0" w:type="dxa"/>
            <w:bottom w:w="0" w:type="dxa"/>
          </w:tblCellMar>
        </w:tblPrEx>
        <w:trPr>
          <w:trHeight w:hRule="exact" w:val="60"/>
        </w:trPr>
        <w:tc>
          <w:tcPr>
            <w:tcW w:w="3303" w:type="dxa"/>
          </w:tcPr>
          <w:p w:rsidR="006C0E49" w:rsidRPr="00023A3D" w:rsidRDefault="006C0E49">
            <w:pPr>
              <w:pStyle w:val="SBTabell"/>
              <w:rPr>
                <w:sz w:val="17"/>
              </w:rPr>
            </w:pPr>
          </w:p>
        </w:tc>
        <w:tc>
          <w:tcPr>
            <w:tcW w:w="1417" w:type="dxa"/>
          </w:tcPr>
          <w:p w:rsidR="006C0E49" w:rsidRPr="00023A3D" w:rsidRDefault="006C0E49">
            <w:pPr>
              <w:pStyle w:val="SBTabell"/>
              <w:jc w:val="right"/>
              <w:rPr>
                <w:sz w:val="17"/>
              </w:rPr>
            </w:pPr>
          </w:p>
        </w:tc>
        <w:tc>
          <w:tcPr>
            <w:tcW w:w="1276" w:type="dxa"/>
          </w:tcPr>
          <w:p w:rsidR="006C0E49" w:rsidRPr="00023A3D" w:rsidRDefault="006C0E49">
            <w:pPr>
              <w:pStyle w:val="SBTabell"/>
              <w:jc w:val="right"/>
              <w:rPr>
                <w:sz w:val="17"/>
              </w:rPr>
            </w:pPr>
          </w:p>
        </w:tc>
      </w:tr>
      <w:tr w:rsidR="00000000" w:rsidRPr="00023A3D">
        <w:tblPrEx>
          <w:tblCellMar>
            <w:top w:w="0" w:type="dxa"/>
            <w:bottom w:w="0" w:type="dxa"/>
          </w:tblCellMar>
        </w:tblPrEx>
        <w:tc>
          <w:tcPr>
            <w:tcW w:w="3303" w:type="dxa"/>
            <w:tcBorders>
              <w:bottom w:val="single" w:sz="4" w:space="0" w:color="auto"/>
            </w:tcBorders>
          </w:tcPr>
          <w:p w:rsidR="006C0E49" w:rsidRPr="00023A3D" w:rsidRDefault="006C0E49">
            <w:pPr>
              <w:pStyle w:val="SBTabell"/>
              <w:rPr>
                <w:b/>
                <w:sz w:val="17"/>
              </w:rPr>
            </w:pPr>
            <w:r w:rsidRPr="00023A3D">
              <w:rPr>
                <w:b/>
                <w:sz w:val="17"/>
              </w:rPr>
              <w:t>Summa</w:t>
            </w:r>
          </w:p>
        </w:tc>
        <w:tc>
          <w:tcPr>
            <w:tcW w:w="1417" w:type="dxa"/>
            <w:tcBorders>
              <w:bottom w:val="single" w:sz="4" w:space="0" w:color="auto"/>
            </w:tcBorders>
          </w:tcPr>
          <w:p w:rsidR="006C0E49" w:rsidRPr="00023A3D" w:rsidRDefault="006C0E49">
            <w:pPr>
              <w:pStyle w:val="SBTabell"/>
              <w:jc w:val="right"/>
              <w:rPr>
                <w:b/>
                <w:sz w:val="17"/>
              </w:rPr>
            </w:pPr>
            <w:r w:rsidRPr="00023A3D">
              <w:rPr>
                <w:b/>
                <w:sz w:val="17"/>
              </w:rPr>
              <w:t>8 754 408</w:t>
            </w:r>
          </w:p>
        </w:tc>
        <w:tc>
          <w:tcPr>
            <w:tcW w:w="1276" w:type="dxa"/>
            <w:tcBorders>
              <w:bottom w:val="single" w:sz="4" w:space="0" w:color="auto"/>
            </w:tcBorders>
          </w:tcPr>
          <w:p w:rsidR="006C0E49" w:rsidRPr="00023A3D" w:rsidRDefault="006C0E49">
            <w:pPr>
              <w:pStyle w:val="SBTabell"/>
              <w:jc w:val="right"/>
              <w:rPr>
                <w:b/>
                <w:sz w:val="17"/>
              </w:rPr>
            </w:pPr>
            <w:r w:rsidRPr="00023A3D">
              <w:rPr>
                <w:b/>
                <w:sz w:val="17"/>
              </w:rPr>
              <w:t>-78 000</w:t>
            </w:r>
          </w:p>
        </w:tc>
      </w:tr>
    </w:tbl>
    <w:p w:rsidR="006C0E49" w:rsidRPr="00023A3D" w:rsidRDefault="006C0E49"/>
    <w:p w:rsidR="006C0E49" w:rsidRPr="00023A3D" w:rsidRDefault="006C0E49">
      <w:pPr>
        <w:pStyle w:val="Ordfranden"/>
        <w:keepNext w:val="0"/>
        <w:spacing w:before="180"/>
        <w:rPr>
          <w:noProof w:val="0"/>
        </w:rPr>
      </w:pPr>
      <w:r w:rsidRPr="00023A3D">
        <w:rPr>
          <w:noProof w:val="0"/>
        </w:rPr>
        <w:t xml:space="preserve">2001/02:N345 av Ewa Thalén </w:t>
      </w:r>
      <w:r w:rsidRPr="00023A3D">
        <w:rPr>
          <w:noProof w:val="0"/>
        </w:rPr>
        <w:t>Finné</w:t>
      </w:r>
      <w:r w:rsidRPr="00023A3D">
        <w:rPr>
          <w:noProof w:val="0"/>
        </w:rPr>
        <w:t xml:space="preserve"> och Leif Carlson (m):</w:t>
      </w:r>
    </w:p>
    <w:p w:rsidR="006C0E49" w:rsidRPr="00023A3D" w:rsidRDefault="006C0E49">
      <w:r w:rsidRPr="00023A3D">
        <w:t xml:space="preserve">Riksdagen tillkännager för regeringen som sin mening vad i motionen anförs om förenklingar för småföretagare vad gäller lämnandet av statistik. </w:t>
      </w:r>
    </w:p>
    <w:p w:rsidR="006C0E49" w:rsidRPr="00023A3D" w:rsidRDefault="006C0E49"/>
    <w:p w:rsidR="006C0E49" w:rsidRPr="00023A3D" w:rsidRDefault="006C0E49"/>
    <w:p w:rsidR="006C0E49" w:rsidRPr="00023A3D" w:rsidRDefault="006C0E49">
      <w:pPr>
        <w:pStyle w:val="Normaltindrag"/>
        <w:sectPr w:rsidR="00000000" w:rsidRPr="00023A3D">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pPr>
    </w:p>
    <w:p w:rsidR="006C0E49" w:rsidRPr="00023A3D" w:rsidRDefault="006C0E49">
      <w:pPr>
        <w:pStyle w:val="Bilaga"/>
        <w:outlineLvl w:val="0"/>
      </w:pPr>
      <w:bookmarkStart w:id="97" w:name="_Toc524534259"/>
      <w:r w:rsidRPr="00023A3D">
        <w:t>Bilaga 2</w:t>
      </w:r>
    </w:p>
    <w:p w:rsidR="006C0E49" w:rsidRPr="00023A3D" w:rsidRDefault="006C0E49">
      <w:pPr>
        <w:pStyle w:val="Rubrik1"/>
        <w:rPr>
          <w:noProof w:val="0"/>
        </w:rPr>
      </w:pPr>
      <w:bookmarkStart w:id="98" w:name="_Toc532365524"/>
      <w:r w:rsidRPr="00023A3D">
        <w:rPr>
          <w:noProof w:val="0"/>
        </w:rPr>
        <w:t>Regeringens lagförslag</w:t>
      </w:r>
      <w:bookmarkEnd w:id="97"/>
      <w:bookmarkEnd w:id="98"/>
    </w:p>
    <w:p w:rsidR="006C0E49" w:rsidRPr="00023A3D" w:rsidRDefault="006C0E49">
      <w:pPr>
        <w:pStyle w:val="Rubrik2"/>
        <w:spacing w:before="0"/>
        <w:ind w:left="567" w:hanging="567"/>
      </w:pPr>
      <w:bookmarkStart w:id="99" w:name="_Toc524534260"/>
      <w:bookmarkStart w:id="100" w:name="_Toc532365525"/>
      <w:r w:rsidRPr="00023A3D">
        <w:t>1      Förslag till lag om ändring i lagen (1992:1537) om finansiering av framtida utgifter för använt kärnbränsle m.m.</w:t>
      </w:r>
      <w:bookmarkEnd w:id="99"/>
      <w:bookmarkEnd w:id="100"/>
    </w:p>
    <w:p w:rsidR="006C0E49" w:rsidRPr="00023A3D" w:rsidRDefault="006C0E49">
      <w:pPr>
        <w:pStyle w:val="Normaltindrag"/>
      </w:pPr>
      <w:r w:rsidRPr="00023A3D">
        <w:t>Härigenom föreskrivs att 7 a § lagen (1992:1537) om finansiering av fram-tida utgifter för använt kärnbränsle m.m.</w:t>
      </w:r>
      <w:r w:rsidRPr="00023A3D">
        <w:rPr>
          <w:rStyle w:val="Fotnotsreferens"/>
        </w:rPr>
        <w:footnoteReference w:id="13"/>
      </w:r>
      <w:r w:rsidRPr="00023A3D">
        <w:t xml:space="preserve"> skall ha följande lydelse.</w:t>
      </w:r>
    </w:p>
    <w:p w:rsidR="006C0E49" w:rsidRPr="00023A3D" w:rsidRDefault="006C0E4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LagRubrik2"/>
            </w:pPr>
            <w:r w:rsidRPr="00023A3D">
              <w:t>Nuvarande lydelse</w:t>
            </w:r>
          </w:p>
        </w:tc>
        <w:tc>
          <w:tcPr>
            <w:tcW w:w="3090" w:type="dxa"/>
          </w:tcPr>
          <w:p w:rsidR="006C0E49" w:rsidRPr="00023A3D" w:rsidRDefault="006C0E49">
            <w:pPr>
              <w:pStyle w:val="LagRubrik2"/>
            </w:pPr>
            <w:r w:rsidRPr="00023A3D">
              <w:t>Föreslagen lydelse</w:t>
            </w:r>
          </w:p>
        </w:tc>
      </w:tr>
    </w:tbl>
    <w:p w:rsidR="006C0E49" w:rsidRPr="00023A3D" w:rsidRDefault="006C0E49">
      <w:pPr>
        <w:pStyle w:val="Brdtext"/>
      </w:pPr>
    </w:p>
    <w:p w:rsidR="006C0E49" w:rsidRPr="00023A3D" w:rsidRDefault="006C0E49">
      <w:pPr>
        <w:pStyle w:val="Brdtext"/>
        <w:jc w:val="center"/>
        <w:rPr>
          <w:b/>
        </w:rPr>
      </w:pPr>
      <w:r w:rsidRPr="00023A3D">
        <w:rPr>
          <w:b/>
        </w:rPr>
        <w:t>7 a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Normaltindrag"/>
            </w:pPr>
            <w:r w:rsidRPr="00023A3D">
              <w:t>Kärnavfallsfondens medel skall placeras på konto i Riksgäldskont</w:t>
            </w:r>
            <w:r w:rsidRPr="00023A3D">
              <w:t>o</w:t>
            </w:r>
            <w:r w:rsidRPr="00023A3D">
              <w:t>ret.</w:t>
            </w:r>
          </w:p>
        </w:tc>
        <w:tc>
          <w:tcPr>
            <w:tcW w:w="3090" w:type="dxa"/>
          </w:tcPr>
          <w:p w:rsidR="006C0E49" w:rsidRPr="00023A3D" w:rsidRDefault="006C0E49">
            <w:pPr>
              <w:pStyle w:val="Normaltindrag"/>
            </w:pPr>
            <w:r w:rsidRPr="00023A3D">
              <w:t xml:space="preserve">Kärnavfallsfondens medel skall placeras på </w:t>
            </w:r>
            <w:r w:rsidRPr="00023A3D">
              <w:rPr>
                <w:i/>
              </w:rPr>
              <w:t>räntebärande</w:t>
            </w:r>
            <w:r w:rsidRPr="00023A3D">
              <w:t xml:space="preserve"> konto i Riksgäldskontoret </w:t>
            </w:r>
            <w:r w:rsidRPr="00023A3D">
              <w:rPr>
                <w:i/>
              </w:rPr>
              <w:t>eller i skuldfö</w:t>
            </w:r>
            <w:r w:rsidRPr="00023A3D">
              <w:rPr>
                <w:i/>
              </w:rPr>
              <w:t>r</w:t>
            </w:r>
            <w:r w:rsidRPr="00023A3D">
              <w:rPr>
                <w:i/>
              </w:rPr>
              <w:t>bindelser utfärdade av staten.</w:t>
            </w:r>
          </w:p>
        </w:tc>
      </w:tr>
    </w:tbl>
    <w:p w:rsidR="006C0E49" w:rsidRPr="00023A3D" w:rsidRDefault="006C0E49">
      <w:pPr>
        <w:pStyle w:val="Normaltindrag"/>
      </w:pPr>
      <w:r w:rsidRPr="00023A3D">
        <w:t xml:space="preserve">Medlen i Kärnavfallsfonden skall förvaltas så att kraven på en god avkast-ning och en tillfredsställande betalningsberedskap tillgodoses. </w:t>
      </w:r>
    </w:p>
    <w:p w:rsidR="006C0E49" w:rsidRPr="00023A3D" w:rsidRDefault="006C0E49">
      <w:pPr>
        <w:pStyle w:val="Normaltindrag"/>
      </w:pPr>
      <w:r w:rsidRPr="00023A3D">
        <w:t>Avkastningen på fondens medel skall läggas till kapitalet.</w:t>
      </w:r>
    </w:p>
    <w:p w:rsidR="006C0E49" w:rsidRPr="00023A3D" w:rsidRDefault="006C0E49">
      <w:pPr>
        <w:pStyle w:val="Brdtext"/>
      </w:pPr>
    </w:p>
    <w:p w:rsidR="006C0E49" w:rsidRPr="00023A3D" w:rsidRDefault="006C0E49">
      <w:pPr>
        <w:pStyle w:val="Brdtext"/>
        <w:rPr>
          <w:u w:val="single"/>
        </w:rPr>
      </w:pPr>
      <w:r w:rsidRPr="00023A3D">
        <w:rPr>
          <w:u w:val="single"/>
        </w:rPr>
        <w:t>                 </w:t>
      </w:r>
    </w:p>
    <w:p w:rsidR="006C0E49" w:rsidRPr="00023A3D" w:rsidRDefault="006C0E49">
      <w:pPr>
        <w:pStyle w:val="Normaltindrag"/>
      </w:pPr>
      <w:r w:rsidRPr="00023A3D">
        <w:t>Denna lag träder i kraft den 1 juli 2002.</w:t>
      </w:r>
    </w:p>
    <w:p w:rsidR="006C0E49" w:rsidRPr="00023A3D" w:rsidRDefault="006C0E49">
      <w:pPr>
        <w:pStyle w:val="Rubrik2"/>
        <w:ind w:left="567" w:hanging="567"/>
      </w:pPr>
      <w:bookmarkStart w:id="101" w:name="_Toc524534261"/>
      <w:r w:rsidRPr="00023A3D">
        <w:br w:type="page"/>
      </w:r>
      <w:bookmarkStart w:id="102" w:name="_Toc532365526"/>
      <w:r w:rsidRPr="00023A3D">
        <w:t>2      Förslag till lag om ändring i lagen (1998:674) om inkomstgrundad ålderspension</w:t>
      </w:r>
      <w:bookmarkEnd w:id="101"/>
      <w:bookmarkEnd w:id="102"/>
    </w:p>
    <w:p w:rsidR="006C0E49" w:rsidRPr="00023A3D" w:rsidRDefault="006C0E49">
      <w:pPr>
        <w:pStyle w:val="Normaltindrag"/>
      </w:pPr>
      <w:r w:rsidRPr="00023A3D">
        <w:t>Härigenom föreskrivs att 8 kap. 1 och 2 §§ samt 14 kap. 3 och 4 §§ lagen (1998:674) om inkomstgrundad ålderspension skall ha följande lydelse.</w:t>
      </w:r>
    </w:p>
    <w:p w:rsidR="006C0E49" w:rsidRPr="00023A3D" w:rsidRDefault="006C0E49">
      <w:pPr>
        <w:pStyle w:val="Brdtext"/>
      </w:pP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LagRubrik2"/>
            </w:pPr>
            <w:r w:rsidRPr="00023A3D">
              <w:t>Nuvarande lydelse</w:t>
            </w:r>
          </w:p>
        </w:tc>
        <w:tc>
          <w:tcPr>
            <w:tcW w:w="3090" w:type="dxa"/>
          </w:tcPr>
          <w:p w:rsidR="006C0E49" w:rsidRPr="00023A3D" w:rsidRDefault="006C0E49">
            <w:pPr>
              <w:pStyle w:val="LagRubrik2"/>
            </w:pPr>
            <w:r w:rsidRPr="00023A3D">
              <w:t>Föreslagen lydelse</w:t>
            </w:r>
          </w:p>
        </w:tc>
      </w:tr>
    </w:tbl>
    <w:p w:rsidR="006C0E49" w:rsidRPr="00023A3D" w:rsidRDefault="006C0E49">
      <w:pPr>
        <w:pStyle w:val="Normaltindrag"/>
      </w:pPr>
    </w:p>
    <w:p w:rsidR="006C0E49" w:rsidRPr="00023A3D" w:rsidRDefault="006C0E49">
      <w:pPr>
        <w:pStyle w:val="Brdtext"/>
        <w:jc w:val="center"/>
        <w:rPr>
          <w:b/>
        </w:rPr>
      </w:pPr>
      <w:r w:rsidRPr="00023A3D">
        <w:rPr>
          <w:b/>
        </w:rPr>
        <w:t>8 kap.</w:t>
      </w:r>
    </w:p>
    <w:p w:rsidR="006C0E49" w:rsidRPr="00023A3D" w:rsidRDefault="006C0E49">
      <w:pPr>
        <w:pStyle w:val="Brdtext"/>
        <w:jc w:val="center"/>
        <w:rPr>
          <w:b/>
        </w:rPr>
      </w:pPr>
      <w:r w:rsidRPr="00023A3D">
        <w:rPr>
          <w:b/>
        </w:rPr>
        <w:t>1 §</w:t>
      </w:r>
      <w:r w:rsidRPr="00023A3D">
        <w:rPr>
          <w:rStyle w:val="Fotnotsreferens"/>
        </w:rPr>
        <w:footnoteReference w:id="14"/>
      </w: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Normaltindrag"/>
            </w:pPr>
            <w:r w:rsidRPr="00023A3D">
              <w:t>Premiepensionsmyndigheten skall ansvara för förvaltningen av de av-giftsmedel som enligt 6 § lagen (2000:981) om fördelning av socia</w:t>
            </w:r>
            <w:r w:rsidRPr="00023A3D">
              <w:t>l</w:t>
            </w:r>
            <w:r w:rsidRPr="00023A3D">
              <w:t xml:space="preserve">avgifter skall </w:t>
            </w:r>
            <w:r w:rsidRPr="00023A3D">
              <w:rPr>
                <w:i/>
              </w:rPr>
              <w:t>placeras på konto</w:t>
            </w:r>
            <w:r w:rsidRPr="00023A3D">
              <w:t xml:space="preserve"> hos Riksgäldskontoret till dess att </w:t>
            </w:r>
            <w:r w:rsidRPr="00023A3D">
              <w:rPr>
                <w:i/>
              </w:rPr>
              <w:t>de</w:t>
            </w:r>
            <w:r w:rsidRPr="00023A3D">
              <w:t xml:space="preserve"> förs över enligt 2 § till annan förvaltning. </w:t>
            </w:r>
            <w:r w:rsidRPr="00023A3D">
              <w:rPr>
                <w:i/>
              </w:rPr>
              <w:t xml:space="preserve">Myndigheten skall träffa avtal med kontoret om förräntning och andra villkor för placeringen av medlen. Myndigheten </w:t>
            </w:r>
            <w:r w:rsidRPr="00023A3D">
              <w:t>skall sträva efter att med ett lågt risktagande och med hänsyn till kravet på betalningsb</w:t>
            </w:r>
            <w:r w:rsidRPr="00023A3D">
              <w:t>e</w:t>
            </w:r>
            <w:r w:rsidRPr="00023A3D">
              <w:t>redskap uppnå så god avkastning på medlen som möjligt.</w:t>
            </w:r>
          </w:p>
        </w:tc>
        <w:tc>
          <w:tcPr>
            <w:tcW w:w="3090" w:type="dxa"/>
          </w:tcPr>
          <w:p w:rsidR="006C0E49" w:rsidRPr="00023A3D" w:rsidRDefault="006C0E49">
            <w:pPr>
              <w:pStyle w:val="Normaltindrag"/>
            </w:pPr>
            <w:r w:rsidRPr="00023A3D">
              <w:t>Premiepensionsmyndigheten skall ansvara för förvaltningen av de av-giftsmedel som enligt 6 § lagen (2000:981) om fördelning av socia</w:t>
            </w:r>
            <w:r w:rsidRPr="00023A3D">
              <w:t>l</w:t>
            </w:r>
            <w:r w:rsidRPr="00023A3D">
              <w:t xml:space="preserve">avgifter </w:t>
            </w:r>
            <w:r w:rsidRPr="00023A3D">
              <w:rPr>
                <w:i/>
              </w:rPr>
              <w:t>och 8 § lagen</w:t>
            </w:r>
            <w:r w:rsidRPr="00023A3D">
              <w:t xml:space="preserve"> </w:t>
            </w:r>
            <w:r w:rsidRPr="00023A3D">
              <w:rPr>
                <w:i/>
              </w:rPr>
              <w:t xml:space="preserve">(1998:676) om statlig ålderspensionsavgift </w:t>
            </w:r>
            <w:r w:rsidRPr="00023A3D">
              <w:t>skall</w:t>
            </w:r>
            <w:r w:rsidRPr="00023A3D">
              <w:rPr>
                <w:i/>
              </w:rPr>
              <w:t xml:space="preserve"> föras till</w:t>
            </w:r>
            <w:r w:rsidRPr="00023A3D">
              <w:t xml:space="preserve"> Riksgäldskontoret, till dess att </w:t>
            </w:r>
            <w:r w:rsidRPr="00023A3D">
              <w:rPr>
                <w:i/>
              </w:rPr>
              <w:t xml:space="preserve">medlen </w:t>
            </w:r>
            <w:r w:rsidRPr="00023A3D">
              <w:t xml:space="preserve">förs över enligt 2 § till annan förvaltning. </w:t>
            </w:r>
            <w:r w:rsidRPr="00023A3D">
              <w:rPr>
                <w:i/>
              </w:rPr>
              <w:t>Medlen skall under den tillfälliga förvaltningen av Premiepensionsmyndigheten vara placerade på räntebärande konto i Riksgäldskontoret eller i skuldfö</w:t>
            </w:r>
            <w:r w:rsidRPr="00023A3D">
              <w:rPr>
                <w:i/>
              </w:rPr>
              <w:t>r</w:t>
            </w:r>
            <w:r w:rsidRPr="00023A3D">
              <w:rPr>
                <w:i/>
              </w:rPr>
              <w:t>bindelser utfärdade av staten. Pr</w:t>
            </w:r>
            <w:r w:rsidRPr="00023A3D">
              <w:rPr>
                <w:i/>
              </w:rPr>
              <w:t>e</w:t>
            </w:r>
            <w:r w:rsidRPr="00023A3D">
              <w:rPr>
                <w:i/>
              </w:rPr>
              <w:t xml:space="preserve">miepensionsmyndigheten </w:t>
            </w:r>
            <w:r w:rsidRPr="00023A3D">
              <w:t>skall sträva efter att med ett lågt risktagande och med hänsyn till kravet på betalning</w:t>
            </w:r>
            <w:r w:rsidRPr="00023A3D">
              <w:t>s</w:t>
            </w:r>
            <w:r w:rsidRPr="00023A3D">
              <w:t>beredskap uppnå så god avkastning på medlen som</w:t>
            </w:r>
            <w:r w:rsidRPr="00023A3D">
              <w:t xml:space="preserve"> möjligt.</w:t>
            </w:r>
          </w:p>
        </w:tc>
      </w:tr>
    </w:tbl>
    <w:p w:rsidR="006C0E49" w:rsidRPr="00023A3D" w:rsidRDefault="006C0E49">
      <w:pPr>
        <w:pStyle w:val="Normaltindrag"/>
      </w:pPr>
      <w:r w:rsidRPr="00023A3D">
        <w:t>Avkastningen skall fördelas mellan pensionsspararna i förhållande till stor-leken av vars och ens fastställda pensionsrätt.</w:t>
      </w:r>
    </w:p>
    <w:p w:rsidR="006C0E49" w:rsidRPr="00023A3D" w:rsidRDefault="006C0E49">
      <w:pPr>
        <w:pStyle w:val="Brdtext"/>
        <w:jc w:val="center"/>
        <w:rPr>
          <w:b/>
        </w:rPr>
      </w:pPr>
    </w:p>
    <w:p w:rsidR="006C0E49" w:rsidRPr="00023A3D" w:rsidRDefault="006C0E49">
      <w:pPr>
        <w:pStyle w:val="Brdtext"/>
        <w:jc w:val="center"/>
        <w:rPr>
          <w:b/>
        </w:rPr>
      </w:pPr>
      <w:r w:rsidRPr="00023A3D">
        <w:rPr>
          <w:b/>
        </w:rPr>
        <w:t>2 §</w:t>
      </w:r>
      <w:r w:rsidRPr="00023A3D">
        <w:rPr>
          <w:rStyle w:val="Fotnotsreferens"/>
        </w:rPr>
        <w:footnoteReference w:id="15"/>
      </w: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Normaltindrag"/>
            </w:pPr>
            <w:r w:rsidRPr="00023A3D">
              <w:t>När pensionsrätt för premiepe</w:t>
            </w:r>
            <w:r w:rsidRPr="00023A3D">
              <w:t>n</w:t>
            </w:r>
            <w:r w:rsidRPr="00023A3D">
              <w:t>sion för en pensionssparare har fas</w:t>
            </w:r>
            <w:r w:rsidRPr="00023A3D">
              <w:t>t</w:t>
            </w:r>
            <w:r w:rsidRPr="00023A3D">
              <w:t>ställts, skall Premiepensionsmyndi</w:t>
            </w:r>
            <w:r w:rsidRPr="00023A3D">
              <w:t>g</w:t>
            </w:r>
            <w:r w:rsidRPr="00023A3D">
              <w:t xml:space="preserve">heten föra över medel som motsvarar pensionsrätten samt avkastningen enligt 1 § andra stycket </w:t>
            </w:r>
            <w:r w:rsidRPr="00023A3D">
              <w:rPr>
                <w:i/>
              </w:rPr>
              <w:t>från Rik</w:t>
            </w:r>
            <w:r w:rsidRPr="00023A3D">
              <w:rPr>
                <w:i/>
              </w:rPr>
              <w:t>s</w:t>
            </w:r>
            <w:r w:rsidRPr="00023A3D">
              <w:rPr>
                <w:i/>
              </w:rPr>
              <w:t>gäldskontoret</w:t>
            </w:r>
            <w:r w:rsidRPr="00023A3D">
              <w:t xml:space="preserve"> till förvaltning i</w:t>
            </w:r>
          </w:p>
        </w:tc>
        <w:tc>
          <w:tcPr>
            <w:tcW w:w="3090" w:type="dxa"/>
          </w:tcPr>
          <w:p w:rsidR="006C0E49" w:rsidRPr="00023A3D" w:rsidRDefault="006C0E49">
            <w:pPr>
              <w:pStyle w:val="Normaltindrag"/>
            </w:pPr>
            <w:r w:rsidRPr="00023A3D">
              <w:t>När pensionsrätt för premiepe</w:t>
            </w:r>
            <w:r w:rsidRPr="00023A3D">
              <w:t>n</w:t>
            </w:r>
            <w:r w:rsidRPr="00023A3D">
              <w:t>sion för en pensionssparare har fas</w:t>
            </w:r>
            <w:r w:rsidRPr="00023A3D">
              <w:t>t</w:t>
            </w:r>
            <w:r w:rsidRPr="00023A3D">
              <w:t>ställts, skall Premiepensionsmyndi</w:t>
            </w:r>
            <w:r w:rsidRPr="00023A3D">
              <w:t>g</w:t>
            </w:r>
            <w:r w:rsidRPr="00023A3D">
              <w:t>heten föra över medel som motsvarar pensionsrätten samt avkastningen enligt 1 § andra stycket till förval</w:t>
            </w:r>
            <w:r w:rsidRPr="00023A3D">
              <w:t>t</w:t>
            </w:r>
            <w:r w:rsidRPr="00023A3D">
              <w:t>ning i</w:t>
            </w:r>
          </w:p>
        </w:tc>
      </w:tr>
    </w:tbl>
    <w:p w:rsidR="006C0E49" w:rsidRPr="00023A3D" w:rsidRDefault="006C0E49">
      <w:pPr>
        <w:pStyle w:val="Brdtextnumrerad"/>
        <w:numPr>
          <w:ilvl w:val="0"/>
          <w:numId w:val="17"/>
        </w:numPr>
      </w:pPr>
      <w:r w:rsidRPr="00023A3D">
        <w:t>värdepappersfonder eller utländska fondföretag som avses i 3 §, eller</w:t>
      </w:r>
    </w:p>
    <w:p w:rsidR="006C0E49" w:rsidRPr="00023A3D" w:rsidRDefault="006C0E49">
      <w:pPr>
        <w:pStyle w:val="Brdtextnumrerad"/>
        <w:numPr>
          <w:ilvl w:val="0"/>
          <w:numId w:val="17"/>
        </w:numPr>
      </w:pPr>
      <w:r w:rsidRPr="00023A3D">
        <w:t>Premiesparfonden eller Premievalsfonden som förvaltas av Sjunde AP-fonden enligt lagen (2000:192) om allmänna pensionsfonder (AP-fonder).</w:t>
      </w:r>
    </w:p>
    <w:p w:rsidR="006C0E49" w:rsidRPr="00023A3D" w:rsidRDefault="006C0E49">
      <w:pPr>
        <w:pStyle w:val="Normaltindrag"/>
      </w:pPr>
      <w:r w:rsidRPr="00023A3D">
        <w:t>Om pensionsspararen har tagit ut premiepension i form av livränta enligt 9 kap. 2 § skall medlen i stället föras över till Premiepensionsmyndighetens liv-ränteverksamhet.</w:t>
      </w:r>
    </w:p>
    <w:p w:rsidR="006C0E49" w:rsidRPr="00023A3D" w:rsidRDefault="006C0E49">
      <w:pPr>
        <w:pStyle w:val="Brdtext"/>
        <w:jc w:val="center"/>
        <w:rPr>
          <w:b/>
        </w:rPr>
      </w:pPr>
    </w:p>
    <w:p w:rsidR="006C0E49" w:rsidRPr="00023A3D" w:rsidRDefault="006C0E49">
      <w:pPr>
        <w:pStyle w:val="Brdtext"/>
        <w:jc w:val="center"/>
        <w:rPr>
          <w:b/>
        </w:rPr>
      </w:pPr>
      <w:r w:rsidRPr="00023A3D">
        <w:rPr>
          <w:b/>
        </w:rPr>
        <w:t>14 kap.</w:t>
      </w:r>
    </w:p>
    <w:p w:rsidR="006C0E49" w:rsidRPr="00023A3D" w:rsidRDefault="006C0E49">
      <w:pPr>
        <w:pStyle w:val="Brdtext"/>
        <w:jc w:val="center"/>
        <w:rPr>
          <w:b/>
        </w:rPr>
      </w:pPr>
      <w:r w:rsidRPr="00023A3D">
        <w:rPr>
          <w:b/>
        </w:rPr>
        <w:t>3 §</w:t>
      </w:r>
      <w:r w:rsidRPr="00023A3D">
        <w:rPr>
          <w:rStyle w:val="Fotnotsreferens"/>
        </w:rPr>
        <w:footnoteReference w:id="16"/>
      </w: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Normaltindrag"/>
            </w:pPr>
            <w:r w:rsidRPr="00023A3D">
              <w:t>Om ett beslut innebär att fastställd pensionsrätt för premiepension har höjts, skall Premiepensionsmyndi</w:t>
            </w:r>
            <w:r w:rsidRPr="00023A3D">
              <w:t>g</w:t>
            </w:r>
            <w:r w:rsidRPr="00023A3D">
              <w:t xml:space="preserve">heten föra över medel som motsvarar det uppräknade beloppet enligt 2 § från den tillfälliga förvaltningen </w:t>
            </w:r>
            <w:r w:rsidRPr="00023A3D">
              <w:rPr>
                <w:i/>
              </w:rPr>
              <w:t>hos Riksgäldskontoret</w:t>
            </w:r>
            <w:r w:rsidRPr="00023A3D">
              <w:t xml:space="preserve"> till fonder på det sätt som anges i 8 kap. 4 § tredje stycket. Om pensionsspararen har börjat ta ut premiepension i form av livränta enligt 9 kap. 2 §, skall b</w:t>
            </w:r>
            <w:r w:rsidRPr="00023A3D">
              <w:t>e</w:t>
            </w:r>
            <w:r w:rsidRPr="00023A3D">
              <w:t>loppet i stället föras över till Premi</w:t>
            </w:r>
            <w:r w:rsidRPr="00023A3D">
              <w:t>e</w:t>
            </w:r>
            <w:r w:rsidRPr="00023A3D">
              <w:t>pensionsmyndighetens livräntever</w:t>
            </w:r>
            <w:r w:rsidRPr="00023A3D">
              <w:t>k</w:t>
            </w:r>
            <w:r w:rsidRPr="00023A3D">
              <w:t>samhet.</w:t>
            </w:r>
          </w:p>
        </w:tc>
        <w:tc>
          <w:tcPr>
            <w:tcW w:w="3090" w:type="dxa"/>
          </w:tcPr>
          <w:p w:rsidR="006C0E49" w:rsidRPr="00023A3D" w:rsidRDefault="006C0E49">
            <w:pPr>
              <w:pStyle w:val="Normaltindrag"/>
            </w:pPr>
            <w:r w:rsidRPr="00023A3D">
              <w:t>Om ett beslut innebär att fastställd pensionsrätt för premiepension har höjts, skall Premiepensionsmyndi</w:t>
            </w:r>
            <w:r w:rsidRPr="00023A3D">
              <w:t>g</w:t>
            </w:r>
            <w:r w:rsidRPr="00023A3D">
              <w:t xml:space="preserve">heten föra över medel som motsvarar det uppräknade beloppet enligt 2 § från den tillfälliga förvaltningen </w:t>
            </w:r>
            <w:r w:rsidRPr="00023A3D">
              <w:rPr>
                <w:i/>
              </w:rPr>
              <w:t xml:space="preserve">enligt 8 kap. 1 § </w:t>
            </w:r>
            <w:r w:rsidRPr="00023A3D">
              <w:t>till fonder på det sätt som anges i 8 kap. 4 § tredje stycket. Om pensionsspararen har börjat ta ut premiepension i form av livränta enlig 9 kap. 2 §, skall beloppet i stället föras över till Premiepe</w:t>
            </w:r>
            <w:r w:rsidRPr="00023A3D">
              <w:t>n</w:t>
            </w:r>
            <w:r w:rsidRPr="00023A3D">
              <w:t>sionsmyndighetens livränteverksa</w:t>
            </w:r>
            <w:r w:rsidRPr="00023A3D">
              <w:t>m</w:t>
            </w:r>
            <w:r w:rsidRPr="00023A3D">
              <w:t>het.</w:t>
            </w:r>
          </w:p>
        </w:tc>
      </w:tr>
    </w:tbl>
    <w:p w:rsidR="006C0E49" w:rsidRPr="00023A3D" w:rsidRDefault="006C0E49">
      <w:pPr>
        <w:pStyle w:val="Brdtext"/>
        <w:jc w:val="center"/>
        <w:rPr>
          <w:b/>
        </w:rPr>
      </w:pPr>
    </w:p>
    <w:p w:rsidR="006C0E49" w:rsidRPr="00023A3D" w:rsidRDefault="006C0E49">
      <w:pPr>
        <w:pStyle w:val="Brdtext"/>
        <w:jc w:val="center"/>
        <w:rPr>
          <w:b/>
        </w:rPr>
      </w:pPr>
      <w:r w:rsidRPr="00023A3D">
        <w:rPr>
          <w:b/>
        </w:rPr>
        <w:t>4 §</w:t>
      </w: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Normaltindrag"/>
            </w:pPr>
            <w:r w:rsidRPr="00023A3D">
              <w:t>Om ett beslut innebär att fastställd pensionsrätt för premiepension har sänkts, skall Premiepensionsmyndi</w:t>
            </w:r>
            <w:r w:rsidRPr="00023A3D">
              <w:t>g</w:t>
            </w:r>
            <w:r w:rsidRPr="00023A3D">
              <w:t xml:space="preserve">heten föra över medel som motsvarar det uppräknade beloppet enligt 2 § till den tillfälliga förvaltningen </w:t>
            </w:r>
            <w:r w:rsidRPr="00023A3D">
              <w:rPr>
                <w:i/>
              </w:rPr>
              <w:t>hos Riksgäldskontoret</w:t>
            </w:r>
            <w:r w:rsidRPr="00023A3D">
              <w:t xml:space="preserve"> från den eller de fonder i vilka medel har placerats för pensionsspararens räkning. Fonderna skall tas i anspråk i förhållande till värdet av innehavet i varje fond. Har pensionsspararen tagit ut premiepe</w:t>
            </w:r>
            <w:r w:rsidRPr="00023A3D">
              <w:t>n</w:t>
            </w:r>
            <w:r w:rsidRPr="00023A3D">
              <w:t xml:space="preserve">sion  i  form av livränta  enligt 9 kap. </w:t>
            </w:r>
          </w:p>
          <w:p w:rsidR="006C0E49" w:rsidRPr="00023A3D" w:rsidRDefault="006C0E49">
            <w:pPr>
              <w:pStyle w:val="Normaltindrag"/>
              <w:ind w:firstLine="0"/>
            </w:pPr>
            <w:r w:rsidRPr="00023A3D">
              <w:t>2 §, skall beloppet i stället betalas av Premiepensionsmyndigheten med omräkning av fastställda livränteb</w:t>
            </w:r>
            <w:r w:rsidRPr="00023A3D">
              <w:t>e</w:t>
            </w:r>
            <w:r w:rsidRPr="00023A3D">
              <w:t>lopp.</w:t>
            </w:r>
          </w:p>
        </w:tc>
        <w:tc>
          <w:tcPr>
            <w:tcW w:w="3090" w:type="dxa"/>
          </w:tcPr>
          <w:p w:rsidR="006C0E49" w:rsidRPr="00023A3D" w:rsidRDefault="006C0E49">
            <w:pPr>
              <w:pStyle w:val="Normaltindrag"/>
            </w:pPr>
            <w:r w:rsidRPr="00023A3D">
              <w:t>Om ett beslut innebär att fastställd pensionsrätt för premiepension har sänkts, skall Premiepensionsmyndi</w:t>
            </w:r>
            <w:r w:rsidRPr="00023A3D">
              <w:t>g</w:t>
            </w:r>
            <w:r w:rsidRPr="00023A3D">
              <w:t xml:space="preserve">heten föra över medel som motsvarar det uppräknade beloppet enligt 2 § till den tillfälliga förvaltningen </w:t>
            </w:r>
            <w:r w:rsidRPr="00023A3D">
              <w:rPr>
                <w:i/>
              </w:rPr>
              <w:t>enligt 8 kap. 1 §</w:t>
            </w:r>
            <w:r w:rsidRPr="00023A3D">
              <w:t xml:space="preserve"> från den eller de fonder i vilka medel har placerats för pe</w:t>
            </w:r>
            <w:r w:rsidRPr="00023A3D">
              <w:t>n</w:t>
            </w:r>
            <w:r w:rsidRPr="00023A3D">
              <w:t>sionsspararens räkning. Fonderna skall tas i anspråk i förhållande till värdet av innehavet i varje fond. Har pensionsspararen tagit ut premiepe</w:t>
            </w:r>
            <w:r w:rsidRPr="00023A3D">
              <w:t>n</w:t>
            </w:r>
            <w:r w:rsidRPr="00023A3D">
              <w:t>sion i form av livränta enligt 9 kap. 2 §, skall beloppet i stället betalas av Premiepensionsmyndigheten med omräkning av fastställda livränteb</w:t>
            </w:r>
            <w:r w:rsidRPr="00023A3D">
              <w:t>e</w:t>
            </w:r>
            <w:r w:rsidRPr="00023A3D">
              <w:t>lopp.</w:t>
            </w:r>
          </w:p>
        </w:tc>
      </w:tr>
    </w:tbl>
    <w:p w:rsidR="006C0E49" w:rsidRPr="00023A3D" w:rsidRDefault="006C0E49">
      <w:pPr>
        <w:pStyle w:val="Normaltindrag"/>
      </w:pPr>
      <w:r w:rsidRPr="00023A3D">
        <w:t>Om beloppet inte täcks av tillgodohavandet på pensionsspararens premie-pensionskonto, skall det resterande beloppet återkrävas av spararen om sänk-ningen av pensionsrätten beror på att den pensionsgrundande inkomsten av annat förvärvsarbete har sänkts eller på att pensionsrätt inte borde ha tillgodo-räknats till följd av bestämmelserna i 4 kap. 4 § om bristande eller underlåten avgiftsbetalning. I andra fall skall det resterande beloppet återkrävas endast om pensionsspararen genom att lämna oriktiga uppgift</w:t>
      </w:r>
      <w:r w:rsidRPr="00023A3D">
        <w:t xml:space="preserve">er eller genom att un-derlåta att fullgöra en uppgifts- eller anmälningsskyldighet har orsakat att pensionsrätt för premiepension har fastställts felaktigt eller med ett för högt belopp. </w:t>
      </w:r>
    </w:p>
    <w:p w:rsidR="006C0E49" w:rsidRPr="00023A3D" w:rsidRDefault="006C0E49">
      <w:pPr>
        <w:pStyle w:val="Normaltindrag"/>
      </w:pPr>
      <w:r w:rsidRPr="00023A3D">
        <w:t>Om det finns särskilda skäl får Premiepensionsmyndigheten helt eller del-vis efterge krav på återbetalning enligt andra stycket.</w:t>
      </w:r>
    </w:p>
    <w:p w:rsidR="006C0E49" w:rsidRPr="00023A3D" w:rsidRDefault="006C0E49">
      <w:pPr>
        <w:pStyle w:val="Normaltindrag"/>
      </w:pPr>
    </w:p>
    <w:p w:rsidR="006C0E49" w:rsidRPr="00023A3D" w:rsidRDefault="006C0E49">
      <w:pPr>
        <w:rPr>
          <w:u w:val="single"/>
        </w:rPr>
      </w:pPr>
      <w:r w:rsidRPr="00023A3D">
        <w:rPr>
          <w:u w:val="single"/>
        </w:rPr>
        <w:t>                 </w:t>
      </w:r>
    </w:p>
    <w:p w:rsidR="006C0E49" w:rsidRPr="00023A3D" w:rsidRDefault="006C0E49">
      <w:pPr>
        <w:pStyle w:val="Normaltindrag"/>
      </w:pPr>
      <w:r w:rsidRPr="00023A3D">
        <w:t>Denna lag träder i kraft den 1 juli 2002.</w:t>
      </w:r>
    </w:p>
    <w:p w:rsidR="006C0E49" w:rsidRPr="00023A3D" w:rsidRDefault="006C0E49">
      <w:pPr>
        <w:pStyle w:val="Rubrik2"/>
        <w:ind w:left="567" w:hanging="567"/>
      </w:pPr>
      <w:r w:rsidRPr="00023A3D">
        <w:br w:type="page"/>
      </w:r>
      <w:bookmarkStart w:id="103" w:name="_Toc524534262"/>
      <w:bookmarkStart w:id="104" w:name="_Toc532365527"/>
      <w:r w:rsidRPr="00023A3D">
        <w:t>3      Förslag till lag om ändring i lagen (2000:981) om fördelning av socialavgifter</w:t>
      </w:r>
      <w:bookmarkEnd w:id="103"/>
      <w:bookmarkEnd w:id="104"/>
    </w:p>
    <w:p w:rsidR="006C0E49" w:rsidRPr="00023A3D" w:rsidRDefault="006C0E49">
      <w:pPr>
        <w:pStyle w:val="Normaltindrag"/>
      </w:pPr>
      <w:r w:rsidRPr="00023A3D">
        <w:t>Härigenom föreskrivs att 6 § lagen (2000:981) om fördelning av sociala</w:t>
      </w:r>
      <w:r w:rsidRPr="00023A3D">
        <w:t>v</w:t>
      </w:r>
      <w:r w:rsidRPr="00023A3D">
        <w:t>gifter skall ha följande lydelse.</w:t>
      </w:r>
    </w:p>
    <w:p w:rsidR="006C0E49" w:rsidRPr="00023A3D" w:rsidRDefault="006C0E49">
      <w:pPr>
        <w:pStyle w:val="Normaltindrag"/>
      </w:pP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LagRubrik2"/>
            </w:pPr>
            <w:r w:rsidRPr="00023A3D">
              <w:t>Lydelse enligt bet. 2001/02:SfU5</w:t>
            </w:r>
          </w:p>
        </w:tc>
        <w:tc>
          <w:tcPr>
            <w:tcW w:w="3090" w:type="dxa"/>
          </w:tcPr>
          <w:p w:rsidR="006C0E49" w:rsidRPr="00023A3D" w:rsidRDefault="006C0E49">
            <w:pPr>
              <w:pStyle w:val="LagRubrik2"/>
            </w:pPr>
            <w:r w:rsidRPr="00023A3D">
              <w:t>Föreslagen lydelse</w:t>
            </w:r>
          </w:p>
        </w:tc>
      </w:tr>
    </w:tbl>
    <w:p w:rsidR="006C0E49" w:rsidRPr="00023A3D" w:rsidRDefault="006C0E49">
      <w:pPr>
        <w:pStyle w:val="Normaltindrag"/>
      </w:pPr>
    </w:p>
    <w:p w:rsidR="006C0E49" w:rsidRPr="00023A3D" w:rsidRDefault="006C0E49">
      <w:pPr>
        <w:pStyle w:val="Brdtext"/>
        <w:jc w:val="center"/>
        <w:rPr>
          <w:b/>
        </w:rPr>
      </w:pPr>
      <w:r w:rsidRPr="00023A3D">
        <w:rPr>
          <w:b/>
        </w:rPr>
        <w:t>6 §</w:t>
      </w:r>
    </w:p>
    <w:p w:rsidR="006C0E49" w:rsidRPr="00023A3D" w:rsidRDefault="006C0E49">
      <w:pPr>
        <w:pStyle w:val="Normaltindrag"/>
      </w:pPr>
      <w:r w:rsidRPr="00023A3D">
        <w:t>Den andel av influtna ålderspensionsavgifter som beräknas utgöra avgifter för inkomster som överstiger 8,07 gånger det för året gällande inkomstba</w:t>
      </w:r>
      <w:r w:rsidRPr="00023A3D">
        <w:t>s</w:t>
      </w:r>
      <w:r w:rsidRPr="00023A3D">
        <w:t>beloppet enligt 1 kap. 6 § lagen (1998:674) om inkomstgrundad ålderspension skall föras till staten.</w:t>
      </w: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Normaltindrag"/>
            </w:pPr>
            <w:r w:rsidRPr="00023A3D">
              <w:t>Den andel av avgifterna som b</w:t>
            </w:r>
            <w:r w:rsidRPr="00023A3D">
              <w:t>e</w:t>
            </w:r>
            <w:r w:rsidRPr="00023A3D">
              <w:t>räknas motsvara pensionsrätt för premiepension för samma år skall föras till Riksgäldskontoret för til</w:t>
            </w:r>
            <w:r w:rsidRPr="00023A3D">
              <w:t>l</w:t>
            </w:r>
            <w:r w:rsidRPr="00023A3D">
              <w:t>fällig förval</w:t>
            </w:r>
            <w:r w:rsidRPr="00023A3D">
              <w:t>t</w:t>
            </w:r>
            <w:r w:rsidRPr="00023A3D">
              <w:t>ning.</w:t>
            </w:r>
          </w:p>
        </w:tc>
        <w:tc>
          <w:tcPr>
            <w:tcW w:w="3090" w:type="dxa"/>
          </w:tcPr>
          <w:p w:rsidR="006C0E49" w:rsidRPr="00023A3D" w:rsidRDefault="006C0E49">
            <w:pPr>
              <w:pStyle w:val="Normaltindrag"/>
            </w:pPr>
            <w:r w:rsidRPr="00023A3D">
              <w:t>Den andel av avgifterna som b</w:t>
            </w:r>
            <w:r w:rsidRPr="00023A3D">
              <w:t>e</w:t>
            </w:r>
            <w:r w:rsidRPr="00023A3D">
              <w:t>räknas motsvara pensionsrätt för  premiepension för samma år skall föras till Riksgäldskontoret för til</w:t>
            </w:r>
            <w:r w:rsidRPr="00023A3D">
              <w:t>l</w:t>
            </w:r>
            <w:r w:rsidRPr="00023A3D">
              <w:t xml:space="preserve">fällig förvaltning </w:t>
            </w:r>
            <w:r w:rsidRPr="00023A3D">
              <w:rPr>
                <w:i/>
              </w:rPr>
              <w:t>enligt 8 kap. 1 § första stycket lagen (1998:674) om inkomstgrundad ålderspension</w:t>
            </w:r>
            <w:r w:rsidRPr="00023A3D">
              <w:t>.</w:t>
            </w:r>
          </w:p>
        </w:tc>
      </w:tr>
    </w:tbl>
    <w:p w:rsidR="006C0E49" w:rsidRPr="00023A3D" w:rsidRDefault="006C0E49">
      <w:pPr>
        <w:pStyle w:val="Normaltindrag"/>
      </w:pPr>
      <w:r w:rsidRPr="00023A3D">
        <w:t>Återstoden av avgifterna skall föras till Första–Fjärde AP-fonderna för för-valtning enligt lagen (2000:192) om allmänna pensionsfonder (AP-fonder).</w:t>
      </w:r>
    </w:p>
    <w:p w:rsidR="006C0E49" w:rsidRPr="00023A3D" w:rsidRDefault="006C0E49">
      <w:pPr>
        <w:pStyle w:val="Normaltindrag"/>
      </w:pPr>
    </w:p>
    <w:p w:rsidR="006C0E49" w:rsidRPr="00023A3D" w:rsidRDefault="006C0E49">
      <w:pPr>
        <w:pStyle w:val="Brdtext"/>
        <w:spacing w:after="120"/>
        <w:rPr>
          <w:u w:val="single"/>
        </w:rPr>
      </w:pPr>
      <w:r w:rsidRPr="00023A3D">
        <w:rPr>
          <w:u w:val="single"/>
        </w:rPr>
        <w:t>                 </w:t>
      </w:r>
    </w:p>
    <w:p w:rsidR="006C0E49" w:rsidRPr="00023A3D" w:rsidRDefault="006C0E49">
      <w:pPr>
        <w:pStyle w:val="Normaltindrag"/>
      </w:pPr>
      <w:r w:rsidRPr="00023A3D">
        <w:t>Denna lag träder i kraft den 1 juli 2002.</w:t>
      </w:r>
    </w:p>
    <w:p w:rsidR="006C0E49" w:rsidRPr="00023A3D" w:rsidRDefault="006C0E49">
      <w:pPr>
        <w:pStyle w:val="Rubrik2"/>
        <w:ind w:left="567" w:hanging="567"/>
      </w:pPr>
      <w:r w:rsidRPr="00023A3D">
        <w:br w:type="page"/>
      </w:r>
      <w:bookmarkStart w:id="105" w:name="_Toc524534263"/>
      <w:bookmarkStart w:id="106" w:name="_Toc532365528"/>
      <w:r w:rsidRPr="00023A3D">
        <w:t>4      Förslag till lag om ändring i lagen (1995:1571) om insättningsgaranti</w:t>
      </w:r>
      <w:bookmarkEnd w:id="105"/>
      <w:bookmarkEnd w:id="106"/>
    </w:p>
    <w:p w:rsidR="006C0E49" w:rsidRPr="00023A3D" w:rsidRDefault="006C0E49">
      <w:pPr>
        <w:pStyle w:val="Normaltindrag"/>
      </w:pPr>
      <w:r w:rsidRPr="00023A3D">
        <w:t>Härigenom föreskrivs att 15 § lagen (1995:1571) om insättningsgaranti skall ha följande lydelse.</w:t>
      </w:r>
    </w:p>
    <w:p w:rsidR="006C0E49" w:rsidRPr="00023A3D" w:rsidRDefault="006C0E49">
      <w:pPr>
        <w:pStyle w:val="Normaltindrag"/>
      </w:pP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LagRubrik2"/>
            </w:pPr>
            <w:r w:rsidRPr="00023A3D">
              <w:t>Nuvarande lydelse</w:t>
            </w:r>
          </w:p>
        </w:tc>
        <w:tc>
          <w:tcPr>
            <w:tcW w:w="3090" w:type="dxa"/>
          </w:tcPr>
          <w:p w:rsidR="006C0E49" w:rsidRPr="00023A3D" w:rsidRDefault="006C0E49">
            <w:pPr>
              <w:pStyle w:val="LagRubrik2"/>
            </w:pPr>
            <w:r w:rsidRPr="00023A3D">
              <w:t>Föreslagen lydelse</w:t>
            </w:r>
          </w:p>
        </w:tc>
      </w:tr>
    </w:tbl>
    <w:p w:rsidR="006C0E49" w:rsidRPr="00023A3D" w:rsidRDefault="006C0E49">
      <w:pPr>
        <w:pStyle w:val="Normaltindrag"/>
      </w:pPr>
    </w:p>
    <w:p w:rsidR="006C0E49" w:rsidRPr="00023A3D" w:rsidRDefault="006C0E49">
      <w:pPr>
        <w:pStyle w:val="Brdtext"/>
        <w:jc w:val="center"/>
        <w:rPr>
          <w:b/>
        </w:rPr>
      </w:pPr>
      <w:r w:rsidRPr="00023A3D">
        <w:rPr>
          <w:b/>
        </w:rPr>
        <w:t>15 §</w:t>
      </w: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Normaltindrag"/>
            </w:pPr>
            <w:r w:rsidRPr="00023A3D">
              <w:t xml:space="preserve">Nämnden skall placera inbetalda avgifter på </w:t>
            </w:r>
            <w:r w:rsidRPr="00023A3D">
              <w:rPr>
                <w:i/>
              </w:rPr>
              <w:t>ett</w:t>
            </w:r>
            <w:r w:rsidRPr="00023A3D">
              <w:t xml:space="preserve"> räntebärande konto i Riksgäldskontoret </w:t>
            </w:r>
            <w:r w:rsidRPr="00023A3D">
              <w:rPr>
                <w:i/>
              </w:rPr>
              <w:t>sedan nämndens förvaltningskostnader för garantin har räknats av.</w:t>
            </w:r>
          </w:p>
        </w:tc>
        <w:tc>
          <w:tcPr>
            <w:tcW w:w="3090" w:type="dxa"/>
          </w:tcPr>
          <w:p w:rsidR="006C0E49" w:rsidRPr="00023A3D" w:rsidRDefault="006C0E49">
            <w:pPr>
              <w:pStyle w:val="Normaltindrag"/>
            </w:pPr>
            <w:r w:rsidRPr="00023A3D">
              <w:t xml:space="preserve">Nämnden skall, </w:t>
            </w:r>
            <w:r w:rsidRPr="00023A3D">
              <w:rPr>
                <w:i/>
              </w:rPr>
              <w:t>sedan nämndens förvaltningskostnader för garantin har räknats av,</w:t>
            </w:r>
            <w:r w:rsidRPr="00023A3D">
              <w:t xml:space="preserve"> placera inbetalda avgifter på räntebärande konto i Riksgäldskontoret </w:t>
            </w:r>
            <w:r w:rsidRPr="00023A3D">
              <w:rPr>
                <w:i/>
              </w:rPr>
              <w:t>eller i skuldfö</w:t>
            </w:r>
            <w:r w:rsidRPr="00023A3D">
              <w:rPr>
                <w:i/>
              </w:rPr>
              <w:t>r</w:t>
            </w:r>
            <w:r w:rsidRPr="00023A3D">
              <w:rPr>
                <w:i/>
              </w:rPr>
              <w:t>bindelser utfärdade av staten.</w:t>
            </w:r>
          </w:p>
        </w:tc>
      </w:tr>
    </w:tbl>
    <w:p w:rsidR="006C0E49" w:rsidRPr="00023A3D" w:rsidRDefault="006C0E49">
      <w:pPr>
        <w:pStyle w:val="Normaltindrag"/>
      </w:pPr>
      <w:r w:rsidRPr="00023A3D">
        <w:t>I den utsträckning behållna avgiftsmedel inte räcker till för att betala ut er-sättningar får nämnden låna medel i Riksgäldskontoret.</w:t>
      </w:r>
    </w:p>
    <w:p w:rsidR="006C0E49" w:rsidRPr="00023A3D" w:rsidRDefault="006C0E49">
      <w:pPr>
        <w:pStyle w:val="Normaltindrag"/>
      </w:pPr>
    </w:p>
    <w:p w:rsidR="006C0E49" w:rsidRPr="00023A3D" w:rsidRDefault="006C0E49">
      <w:pPr>
        <w:pStyle w:val="Brdtext"/>
        <w:spacing w:after="120"/>
        <w:rPr>
          <w:u w:val="single"/>
        </w:rPr>
      </w:pPr>
      <w:r w:rsidRPr="00023A3D">
        <w:rPr>
          <w:u w:val="single"/>
        </w:rPr>
        <w:t>                 </w:t>
      </w:r>
    </w:p>
    <w:p w:rsidR="006C0E49" w:rsidRPr="00023A3D" w:rsidRDefault="006C0E49">
      <w:pPr>
        <w:pStyle w:val="Normaltindrag"/>
      </w:pPr>
      <w:r w:rsidRPr="00023A3D">
        <w:t>Denna lag träder i kraft den 1 juli 2002.</w:t>
      </w:r>
    </w:p>
    <w:p w:rsidR="006C0E49" w:rsidRPr="00023A3D" w:rsidRDefault="006C0E49">
      <w:pPr>
        <w:pStyle w:val="Rubrik2"/>
        <w:ind w:left="567" w:hanging="567"/>
      </w:pPr>
      <w:r w:rsidRPr="00023A3D">
        <w:br w:type="page"/>
      </w:r>
      <w:bookmarkStart w:id="107" w:name="_Toc524534264"/>
      <w:bookmarkStart w:id="108" w:name="_Toc532365529"/>
      <w:r w:rsidRPr="00023A3D">
        <w:t>5      Förslag till lag om ändring i lagen (1999:158) om investerarskydd</w:t>
      </w:r>
      <w:bookmarkEnd w:id="107"/>
      <w:bookmarkEnd w:id="108"/>
    </w:p>
    <w:p w:rsidR="006C0E49" w:rsidRPr="00023A3D" w:rsidRDefault="006C0E49">
      <w:pPr>
        <w:pStyle w:val="Normaltindrag"/>
      </w:pPr>
      <w:r w:rsidRPr="00023A3D">
        <w:t>Härigenom föreskrivs att 31 § lagen (1999:158) om investerarskydd skall ha följande lydelse.</w:t>
      </w:r>
    </w:p>
    <w:p w:rsidR="006C0E49" w:rsidRPr="00023A3D" w:rsidRDefault="006C0E49">
      <w:pPr>
        <w:pStyle w:val="Normaltindrag"/>
      </w:pP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LagRubrik2"/>
            </w:pPr>
            <w:r w:rsidRPr="00023A3D">
              <w:t>Nuvarande lydelse</w:t>
            </w:r>
          </w:p>
        </w:tc>
        <w:tc>
          <w:tcPr>
            <w:tcW w:w="3090" w:type="dxa"/>
          </w:tcPr>
          <w:p w:rsidR="006C0E49" w:rsidRPr="00023A3D" w:rsidRDefault="006C0E49">
            <w:pPr>
              <w:pStyle w:val="LagRubrik2"/>
            </w:pPr>
            <w:r w:rsidRPr="00023A3D">
              <w:t>Föreslagen lydelse</w:t>
            </w:r>
          </w:p>
        </w:tc>
      </w:tr>
    </w:tbl>
    <w:p w:rsidR="006C0E49" w:rsidRPr="00023A3D" w:rsidRDefault="006C0E49">
      <w:pPr>
        <w:pStyle w:val="Normaltindrag"/>
      </w:pPr>
    </w:p>
    <w:p w:rsidR="006C0E49" w:rsidRPr="00023A3D" w:rsidRDefault="006C0E49">
      <w:pPr>
        <w:pStyle w:val="Brdtext"/>
        <w:jc w:val="center"/>
        <w:rPr>
          <w:b/>
        </w:rPr>
      </w:pPr>
      <w:r w:rsidRPr="00023A3D">
        <w:rPr>
          <w:b/>
        </w:rPr>
        <w:t>31 §</w:t>
      </w:r>
    </w:p>
    <w:tbl>
      <w:tblPr>
        <w:tblW w:w="0" w:type="auto"/>
        <w:tblInd w:w="-213" w:type="dxa"/>
        <w:tblLayout w:type="fixed"/>
        <w:tblCellMar>
          <w:left w:w="113" w:type="dxa"/>
          <w:right w:w="113" w:type="dxa"/>
        </w:tblCellMar>
        <w:tblLook w:val="0000" w:firstRow="0" w:lastRow="0" w:firstColumn="0" w:lastColumn="0" w:noHBand="0" w:noVBand="0"/>
      </w:tblPr>
      <w:tblGrid>
        <w:gridCol w:w="3090"/>
        <w:gridCol w:w="3090"/>
      </w:tblGrid>
      <w:tr w:rsidR="00000000" w:rsidRPr="00023A3D">
        <w:tblPrEx>
          <w:tblCellMar>
            <w:top w:w="0" w:type="dxa"/>
            <w:bottom w:w="0" w:type="dxa"/>
          </w:tblCellMar>
        </w:tblPrEx>
        <w:tc>
          <w:tcPr>
            <w:tcW w:w="3090" w:type="dxa"/>
          </w:tcPr>
          <w:p w:rsidR="006C0E49" w:rsidRPr="00023A3D" w:rsidRDefault="006C0E49">
            <w:pPr>
              <w:pStyle w:val="Normaltindrag"/>
            </w:pPr>
            <w:r w:rsidRPr="00023A3D">
              <w:t>Avgifter och andra medel som In-sättningsgarantinämnden förvaltar skall placeras på räntebärande konto i Riksgäldskontoret. Medlen får endast användas för utbetalning av ersättning enligt denna lag samt för att täcka kostnader för tillhandahå</w:t>
            </w:r>
            <w:r w:rsidRPr="00023A3D">
              <w:t>l</w:t>
            </w:r>
            <w:r w:rsidRPr="00023A3D">
              <w:t>lande av investerarskyddet och nämndens administrationskostnader för sky</w:t>
            </w:r>
            <w:r w:rsidRPr="00023A3D">
              <w:t>d</w:t>
            </w:r>
            <w:r w:rsidRPr="00023A3D">
              <w:t>det.</w:t>
            </w:r>
          </w:p>
          <w:p w:rsidR="006C0E49" w:rsidRPr="00023A3D" w:rsidRDefault="006C0E49">
            <w:pPr>
              <w:pStyle w:val="Normaltindrag"/>
            </w:pPr>
          </w:p>
          <w:p w:rsidR="006C0E49" w:rsidRPr="00023A3D" w:rsidRDefault="006C0E49">
            <w:pPr>
              <w:pStyle w:val="Normaltindrag"/>
            </w:pPr>
            <w:r w:rsidRPr="00023A3D">
              <w:t xml:space="preserve">Om </w:t>
            </w:r>
            <w:r w:rsidRPr="00023A3D">
              <w:rPr>
                <w:i/>
              </w:rPr>
              <w:t xml:space="preserve">de medel som finns på konto hos Riksgäldskontoret </w:t>
            </w:r>
            <w:r w:rsidRPr="00023A3D">
              <w:t>inte räcker till för att betala ut ersättningar eller om ersättningar inte kan betalas på annat sätt, får Insättningsgarantinämnden låna medel i Riksgäldskontoret.</w:t>
            </w:r>
          </w:p>
        </w:tc>
        <w:tc>
          <w:tcPr>
            <w:tcW w:w="3090" w:type="dxa"/>
          </w:tcPr>
          <w:p w:rsidR="006C0E49" w:rsidRPr="00023A3D" w:rsidRDefault="006C0E49">
            <w:pPr>
              <w:pStyle w:val="Normaltindrag"/>
            </w:pPr>
            <w:r w:rsidRPr="00023A3D">
              <w:t>Avgifter och andra medel som In-sättningsgarantinämnden förvaltar skall placeras på räntebärande konto i Riksgäldskontoret</w:t>
            </w:r>
            <w:r w:rsidRPr="00023A3D">
              <w:rPr>
                <w:i/>
              </w:rPr>
              <w:t xml:space="preserve"> eller i skuldfö</w:t>
            </w:r>
            <w:r w:rsidRPr="00023A3D">
              <w:rPr>
                <w:i/>
              </w:rPr>
              <w:t>r</w:t>
            </w:r>
            <w:r w:rsidRPr="00023A3D">
              <w:rPr>
                <w:i/>
              </w:rPr>
              <w:t>bindelser utfärdade av staten</w:t>
            </w:r>
            <w:r w:rsidRPr="00023A3D">
              <w:t>. Me</w:t>
            </w:r>
            <w:r w:rsidRPr="00023A3D">
              <w:t>d</w:t>
            </w:r>
            <w:r w:rsidRPr="00023A3D">
              <w:t>len får endast användas för utbeta</w:t>
            </w:r>
            <w:r w:rsidRPr="00023A3D">
              <w:t>l</w:t>
            </w:r>
            <w:r w:rsidRPr="00023A3D">
              <w:t>ning av ersättning enligt denna lag samt för att täcka kostnader för til</w:t>
            </w:r>
            <w:r w:rsidRPr="00023A3D">
              <w:t>l</w:t>
            </w:r>
            <w:r w:rsidRPr="00023A3D">
              <w:t>handahållande av investerarskyddet och nämndens administrationskos</w:t>
            </w:r>
            <w:r w:rsidRPr="00023A3D">
              <w:t>t</w:t>
            </w:r>
            <w:r w:rsidRPr="00023A3D">
              <w:t>nader för skyddet.</w:t>
            </w:r>
          </w:p>
          <w:p w:rsidR="006C0E49" w:rsidRPr="00023A3D" w:rsidRDefault="006C0E49">
            <w:pPr>
              <w:pStyle w:val="Normaltindrag"/>
            </w:pPr>
            <w:r w:rsidRPr="00023A3D">
              <w:t xml:space="preserve">Om </w:t>
            </w:r>
            <w:r w:rsidRPr="00023A3D">
              <w:rPr>
                <w:i/>
              </w:rPr>
              <w:t>medlen</w:t>
            </w:r>
            <w:r w:rsidRPr="00023A3D">
              <w:t xml:space="preserve"> inte räcker till för att betala ut ersättningar eller om ersät</w:t>
            </w:r>
            <w:r w:rsidRPr="00023A3D">
              <w:t>t</w:t>
            </w:r>
            <w:r w:rsidRPr="00023A3D">
              <w:t>ningar inte kan betalas på annat sätt, får Insättningsgarantinämnden låna medel i Riksgäldskontoret.</w:t>
            </w:r>
          </w:p>
        </w:tc>
      </w:tr>
    </w:tbl>
    <w:p w:rsidR="006C0E49" w:rsidRPr="00023A3D" w:rsidRDefault="006C0E49">
      <w:pPr>
        <w:pStyle w:val="Brdtext"/>
        <w:jc w:val="left"/>
        <w:rPr>
          <w:b/>
        </w:rPr>
      </w:pPr>
    </w:p>
    <w:p w:rsidR="006C0E49" w:rsidRPr="00023A3D" w:rsidRDefault="006C0E49">
      <w:pPr>
        <w:pStyle w:val="Brdtext"/>
        <w:spacing w:after="120"/>
        <w:rPr>
          <w:u w:val="single"/>
        </w:rPr>
      </w:pPr>
      <w:r w:rsidRPr="00023A3D">
        <w:rPr>
          <w:u w:val="single"/>
        </w:rPr>
        <w:t>                 </w:t>
      </w:r>
    </w:p>
    <w:p w:rsidR="006C0E49" w:rsidRPr="00023A3D" w:rsidRDefault="006C0E49">
      <w:pPr>
        <w:pStyle w:val="Normaltindrag"/>
        <w:outlineLvl w:val="0"/>
      </w:pPr>
      <w:r w:rsidRPr="00023A3D">
        <w:t>Denna lag träder i kraft den 1 juli 2002.</w:t>
      </w:r>
    </w:p>
    <w:p w:rsidR="006C0E49" w:rsidRPr="00023A3D" w:rsidRDefault="006C0E49">
      <w:pPr>
        <w:pStyle w:val="Normaltindrag"/>
      </w:pPr>
    </w:p>
    <w:p w:rsidR="006C0E49" w:rsidRPr="00023A3D" w:rsidRDefault="006C0E49"/>
    <w:p w:rsidR="006C0E49" w:rsidRPr="00023A3D" w:rsidRDefault="006C0E49">
      <w:pPr>
        <w:pStyle w:val="Tryckort"/>
        <w:framePr w:wrap="around"/>
      </w:pPr>
      <w:r w:rsidRPr="00023A3D">
        <w:t>Elanders Gotab, Stockholm  2001</w:t>
      </w:r>
    </w:p>
    <w:p w:rsidR="006C0E49" w:rsidRPr="00023A3D" w:rsidRDefault="006C0E49">
      <w:pPr>
        <w:pStyle w:val="Normaltindrag"/>
      </w:pPr>
    </w:p>
    <w:sectPr w:rsidR="006C0E49" w:rsidRPr="00023A3D">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E49" w:rsidRPr="00023A3D" w:rsidRDefault="006C0E49">
      <w:pPr>
        <w:spacing w:before="0" w:line="240" w:lineRule="auto"/>
      </w:pPr>
      <w:r w:rsidRPr="00023A3D">
        <w:separator/>
      </w:r>
    </w:p>
  </w:endnote>
  <w:endnote w:type="continuationSeparator" w:id="0">
    <w:p w:rsidR="006C0E49" w:rsidRPr="00023A3D" w:rsidRDefault="006C0E49">
      <w:pPr>
        <w:spacing w:before="0" w:line="240" w:lineRule="auto"/>
      </w:pPr>
      <w:r w:rsidRPr="00023A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2</w:t>
    </w:r>
    <w:r w:rsidRPr="00023A3D">
      <w:fldChar w:fldCharType="end"/>
    </w:r>
  </w:p>
  <w:p w:rsidR="006C0E49" w:rsidRPr="00023A3D" w:rsidRDefault="006C0E4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2</w:t>
    </w:r>
    <w:r w:rsidRPr="00023A3D">
      <w:fldChar w:fldCharType="end"/>
    </w:r>
  </w:p>
  <w:p w:rsidR="006C0E49" w:rsidRPr="00023A3D" w:rsidRDefault="006C0E4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H"/>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3</w:t>
    </w:r>
    <w:r w:rsidRPr="00023A3D">
      <w:fldChar w:fldCharType="end"/>
    </w:r>
  </w:p>
  <w:p w:rsidR="006C0E49" w:rsidRPr="00023A3D" w:rsidRDefault="006C0E4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if </w:instrText>
    </w:r>
    <w:r w:rsidRPr="00023A3D">
      <w:fldChar w:fldCharType="begin" w:fldLock="1"/>
    </w:r>
    <w:r w:rsidRPr="00023A3D">
      <w:instrText xml:space="preserve"> = </w:instrText>
    </w:r>
    <w:r w:rsidRPr="00023A3D">
      <w:fldChar w:fldCharType="begin" w:fldLock="1"/>
    </w:r>
    <w:r w:rsidRPr="00023A3D">
      <w:instrText xml:space="preserve"> = </w:instrText>
    </w:r>
    <w:r w:rsidRPr="00023A3D">
      <w:fldChar w:fldCharType="begin" w:fldLock="1"/>
    </w:r>
    <w:r w:rsidRPr="00023A3D">
      <w:instrText xml:space="preserve"> page</w:instrText>
    </w:r>
    <w:r w:rsidRPr="00023A3D">
      <w:fldChar w:fldCharType="separate"/>
    </w:r>
    <w:r w:rsidRPr="00023A3D">
      <w:instrText>8</w:instrText>
    </w:r>
    <w:r w:rsidRPr="00023A3D">
      <w:fldChar w:fldCharType="end"/>
    </w:r>
    <w:r w:rsidRPr="00023A3D">
      <w:instrText xml:space="preserve">/2 </w:instrText>
    </w:r>
    <w:r w:rsidRPr="00023A3D">
      <w:fldChar w:fldCharType="separate"/>
    </w:r>
    <w:r w:rsidRPr="00023A3D">
      <w:instrText>4</w:instrText>
    </w:r>
    <w:r w:rsidRPr="00023A3D">
      <w:fldChar w:fldCharType="end"/>
    </w:r>
    <w:r w:rsidRPr="00023A3D">
      <w:instrText xml:space="preserve"> - </w:instrText>
    </w:r>
    <w:r w:rsidRPr="00023A3D">
      <w:fldChar w:fldCharType="begin" w:fldLock="1"/>
    </w:r>
    <w:r w:rsidRPr="00023A3D">
      <w:instrText xml:space="preserve"> = int(</w:instrText>
    </w:r>
    <w:r w:rsidRPr="00023A3D">
      <w:fldChar w:fldCharType="begin" w:fldLock="1"/>
    </w:r>
    <w:r w:rsidRPr="00023A3D">
      <w:instrText xml:space="preserve"> page</w:instrText>
    </w:r>
    <w:r w:rsidRPr="00023A3D">
      <w:fldChar w:fldCharType="separate"/>
    </w:r>
    <w:r w:rsidRPr="00023A3D">
      <w:instrText>8</w:instrText>
    </w:r>
    <w:r w:rsidRPr="00023A3D">
      <w:fldChar w:fldCharType="end"/>
    </w:r>
    <w:r w:rsidRPr="00023A3D">
      <w:instrText xml:space="preserve">/2) </w:instrText>
    </w:r>
    <w:r w:rsidRPr="00023A3D">
      <w:fldChar w:fldCharType="separate"/>
    </w:r>
    <w:r w:rsidRPr="00023A3D">
      <w:instrText>4</w:instrText>
    </w:r>
    <w:r w:rsidRPr="00023A3D">
      <w:fldChar w:fldCharType="end"/>
    </w:r>
    <w:r w:rsidRPr="00023A3D">
      <w:fldChar w:fldCharType="separate"/>
    </w:r>
    <w:r w:rsidRPr="00023A3D">
      <w:instrText>0</w:instrText>
    </w:r>
    <w:r w:rsidRPr="00023A3D">
      <w:fldChar w:fldCharType="end"/>
    </w:r>
    <w:r w:rsidRPr="00023A3D">
      <w:instrText xml:space="preserve"> = 0 "</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8</w:instrText>
    </w:r>
    <w:r w:rsidRPr="00023A3D">
      <w:fldChar w:fldCharType="end"/>
    </w:r>
  </w:p>
  <w:p w:rsidR="006C0E49" w:rsidRPr="00023A3D" w:rsidRDefault="006C0E49">
    <w:pPr>
      <w:pStyle w:val="SidfotV"/>
      <w:framePr w:w="8732" w:h="284" w:hRule="exact" w:hSpace="0" w:vSpace="0" w:wrap="around" w:xAlign="inside" w:y="13042" w:anchorLock="0"/>
    </w:pPr>
    <w:r w:rsidRPr="00023A3D">
      <w:instrText>""</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9</w:instrText>
    </w:r>
    <w:r w:rsidRPr="00023A3D">
      <w:fldChar w:fldCharType="end"/>
    </w:r>
    <w:r w:rsidRPr="00023A3D">
      <w:instrText>"</w:instrText>
    </w:r>
    <w:r w:rsidRPr="00023A3D">
      <w:fldChar w:fldCharType="separate"/>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8</w:t>
    </w:r>
    <w:r w:rsidRPr="00023A3D">
      <w:fldChar w:fldCharType="end"/>
    </w:r>
  </w:p>
  <w:p w:rsidR="006C0E49" w:rsidRPr="00023A3D" w:rsidRDefault="006C0E49">
    <w:pPr>
      <w:pStyle w:val="SidfotH"/>
      <w:framePr w:w="8732" w:h="284" w:hRule="exact" w:hSpace="0" w:vSpace="0" w:wrap="around" w:xAlign="inside" w:y="13042" w:anchorLock="0"/>
    </w:pPr>
    <w:r w:rsidRPr="00023A3D">
      <w:fldChar w:fldCharType="end"/>
    </w:r>
  </w:p>
  <w:p w:rsidR="006C0E49" w:rsidRPr="00023A3D" w:rsidRDefault="006C0E4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36</w:t>
    </w:r>
    <w:r w:rsidRPr="00023A3D">
      <w:fldChar w:fldCharType="end"/>
    </w:r>
  </w:p>
  <w:p w:rsidR="006C0E49" w:rsidRPr="00023A3D" w:rsidRDefault="006C0E4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H"/>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37</w:t>
    </w:r>
    <w:r w:rsidRPr="00023A3D">
      <w:fldChar w:fldCharType="end"/>
    </w:r>
  </w:p>
  <w:p w:rsidR="006C0E49" w:rsidRPr="00023A3D" w:rsidRDefault="006C0E4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if </w:instrText>
    </w:r>
    <w:r w:rsidRPr="00023A3D">
      <w:fldChar w:fldCharType="begin" w:fldLock="1"/>
    </w:r>
    <w:r w:rsidRPr="00023A3D">
      <w:instrText xml:space="preserve"> = </w:instrText>
    </w:r>
    <w:r w:rsidRPr="00023A3D">
      <w:fldChar w:fldCharType="begin" w:fldLock="1"/>
    </w:r>
    <w:r w:rsidRPr="00023A3D">
      <w:instrText xml:space="preserve"> = </w:instrText>
    </w:r>
    <w:r w:rsidRPr="00023A3D">
      <w:fldChar w:fldCharType="begin" w:fldLock="1"/>
    </w:r>
    <w:r w:rsidRPr="00023A3D">
      <w:instrText xml:space="preserve"> page</w:instrText>
    </w:r>
    <w:r w:rsidRPr="00023A3D">
      <w:fldChar w:fldCharType="separate"/>
    </w:r>
    <w:r w:rsidRPr="00023A3D">
      <w:instrText>9</w:instrText>
    </w:r>
    <w:r w:rsidRPr="00023A3D">
      <w:fldChar w:fldCharType="end"/>
    </w:r>
    <w:r w:rsidRPr="00023A3D">
      <w:instrText xml:space="preserve">/2 </w:instrText>
    </w:r>
    <w:r w:rsidRPr="00023A3D">
      <w:fldChar w:fldCharType="separate"/>
    </w:r>
    <w:r w:rsidRPr="00023A3D">
      <w:instrText>4,5</w:instrText>
    </w:r>
    <w:r w:rsidRPr="00023A3D">
      <w:fldChar w:fldCharType="end"/>
    </w:r>
    <w:r w:rsidRPr="00023A3D">
      <w:instrText xml:space="preserve"> - </w:instrText>
    </w:r>
    <w:r w:rsidRPr="00023A3D">
      <w:fldChar w:fldCharType="begin" w:fldLock="1"/>
    </w:r>
    <w:r w:rsidRPr="00023A3D">
      <w:instrText xml:space="preserve"> = int(</w:instrText>
    </w:r>
    <w:r w:rsidRPr="00023A3D">
      <w:fldChar w:fldCharType="begin" w:fldLock="1"/>
    </w:r>
    <w:r w:rsidRPr="00023A3D">
      <w:instrText xml:space="preserve"> page</w:instrText>
    </w:r>
    <w:r w:rsidRPr="00023A3D">
      <w:fldChar w:fldCharType="separate"/>
    </w:r>
    <w:r w:rsidRPr="00023A3D">
      <w:instrText>9</w:instrText>
    </w:r>
    <w:r w:rsidRPr="00023A3D">
      <w:fldChar w:fldCharType="end"/>
    </w:r>
    <w:r w:rsidRPr="00023A3D">
      <w:instrText xml:space="preserve">/2) </w:instrText>
    </w:r>
    <w:r w:rsidRPr="00023A3D">
      <w:fldChar w:fldCharType="separate"/>
    </w:r>
    <w:r w:rsidRPr="00023A3D">
      <w:instrText>4</w:instrText>
    </w:r>
    <w:r w:rsidRPr="00023A3D">
      <w:fldChar w:fldCharType="end"/>
    </w:r>
    <w:r w:rsidRPr="00023A3D">
      <w:fldChar w:fldCharType="separate"/>
    </w:r>
    <w:r w:rsidRPr="00023A3D">
      <w:instrText>0,5</w:instrText>
    </w:r>
    <w:r w:rsidRPr="00023A3D">
      <w:fldChar w:fldCharType="end"/>
    </w:r>
    <w:r w:rsidRPr="00023A3D">
      <w:instrText xml:space="preserve"> = 0 "</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10</w:instrText>
    </w:r>
    <w:r w:rsidRPr="00023A3D">
      <w:fldChar w:fldCharType="end"/>
    </w:r>
  </w:p>
  <w:p w:rsidR="006C0E49" w:rsidRPr="00023A3D" w:rsidRDefault="006C0E49">
    <w:pPr>
      <w:pStyle w:val="SidfotH"/>
      <w:framePr w:w="8732" w:h="284" w:hRule="exact" w:hSpace="0" w:vSpace="0" w:wrap="around" w:xAlign="inside" w:y="13042" w:anchorLock="0"/>
    </w:pPr>
    <w:r w:rsidRPr="00023A3D">
      <w:instrText>""</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9</w:instrText>
    </w:r>
    <w:r w:rsidRPr="00023A3D">
      <w:fldChar w:fldCharType="end"/>
    </w:r>
    <w:r w:rsidRPr="00023A3D">
      <w:instrText>"</w:instrText>
    </w:r>
    <w:r w:rsidRPr="00023A3D">
      <w:fldChar w:fldCharType="separate"/>
    </w:r>
    <w:r w:rsidRPr="00023A3D">
      <w:t>9</w:t>
    </w:r>
    <w:r w:rsidRPr="00023A3D">
      <w:fldChar w:fldCharType="end"/>
    </w:r>
  </w:p>
  <w:p w:rsidR="006C0E49" w:rsidRPr="00023A3D" w:rsidRDefault="006C0E4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42</w:t>
    </w:r>
    <w:r w:rsidRPr="00023A3D">
      <w:fldChar w:fldCharType="end"/>
    </w:r>
  </w:p>
  <w:p w:rsidR="006C0E49" w:rsidRPr="00023A3D" w:rsidRDefault="006C0E4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H"/>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43</w:t>
    </w:r>
    <w:r w:rsidRPr="00023A3D">
      <w:fldChar w:fldCharType="end"/>
    </w:r>
  </w:p>
  <w:p w:rsidR="006C0E49" w:rsidRPr="00023A3D" w:rsidRDefault="006C0E4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if </w:instrText>
    </w:r>
    <w:r w:rsidRPr="00023A3D">
      <w:fldChar w:fldCharType="begin" w:fldLock="1"/>
    </w:r>
    <w:r w:rsidRPr="00023A3D">
      <w:instrText xml:space="preserve"> = </w:instrText>
    </w:r>
    <w:r w:rsidRPr="00023A3D">
      <w:fldChar w:fldCharType="begin" w:fldLock="1"/>
    </w:r>
    <w:r w:rsidRPr="00023A3D">
      <w:instrText xml:space="preserve"> = </w:instrText>
    </w:r>
    <w:r w:rsidRPr="00023A3D">
      <w:fldChar w:fldCharType="begin" w:fldLock="1"/>
    </w:r>
    <w:r w:rsidRPr="00023A3D">
      <w:instrText xml:space="preserve"> page</w:instrText>
    </w:r>
    <w:r w:rsidRPr="00023A3D">
      <w:fldChar w:fldCharType="separate"/>
    </w:r>
    <w:r w:rsidRPr="00023A3D">
      <w:instrText>38</w:instrText>
    </w:r>
    <w:r w:rsidRPr="00023A3D">
      <w:fldChar w:fldCharType="end"/>
    </w:r>
    <w:r w:rsidRPr="00023A3D">
      <w:instrText xml:space="preserve">/2 </w:instrText>
    </w:r>
    <w:r w:rsidRPr="00023A3D">
      <w:fldChar w:fldCharType="separate"/>
    </w:r>
    <w:r w:rsidRPr="00023A3D">
      <w:instrText>19</w:instrText>
    </w:r>
    <w:r w:rsidRPr="00023A3D">
      <w:fldChar w:fldCharType="end"/>
    </w:r>
    <w:r w:rsidRPr="00023A3D">
      <w:instrText xml:space="preserve"> - </w:instrText>
    </w:r>
    <w:r w:rsidRPr="00023A3D">
      <w:fldChar w:fldCharType="begin" w:fldLock="1"/>
    </w:r>
    <w:r w:rsidRPr="00023A3D">
      <w:instrText xml:space="preserve"> = int(</w:instrText>
    </w:r>
    <w:r w:rsidRPr="00023A3D">
      <w:fldChar w:fldCharType="begin" w:fldLock="1"/>
    </w:r>
    <w:r w:rsidRPr="00023A3D">
      <w:instrText xml:space="preserve"> page</w:instrText>
    </w:r>
    <w:r w:rsidRPr="00023A3D">
      <w:fldChar w:fldCharType="separate"/>
    </w:r>
    <w:r w:rsidRPr="00023A3D">
      <w:instrText>38</w:instrText>
    </w:r>
    <w:r w:rsidRPr="00023A3D">
      <w:fldChar w:fldCharType="end"/>
    </w:r>
    <w:r w:rsidRPr="00023A3D">
      <w:instrText xml:space="preserve">/2) </w:instrText>
    </w:r>
    <w:r w:rsidRPr="00023A3D">
      <w:fldChar w:fldCharType="separate"/>
    </w:r>
    <w:r w:rsidRPr="00023A3D">
      <w:instrText>19</w:instrText>
    </w:r>
    <w:r w:rsidRPr="00023A3D">
      <w:fldChar w:fldCharType="end"/>
    </w:r>
    <w:r w:rsidRPr="00023A3D">
      <w:fldChar w:fldCharType="separate"/>
    </w:r>
    <w:r w:rsidRPr="00023A3D">
      <w:instrText>0</w:instrText>
    </w:r>
    <w:r w:rsidRPr="00023A3D">
      <w:fldChar w:fldCharType="end"/>
    </w:r>
    <w:r w:rsidRPr="00023A3D">
      <w:instrText xml:space="preserve"> = 0 "</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38</w:instrText>
    </w:r>
    <w:r w:rsidRPr="00023A3D">
      <w:fldChar w:fldCharType="end"/>
    </w:r>
  </w:p>
  <w:p w:rsidR="006C0E49" w:rsidRPr="00023A3D" w:rsidRDefault="006C0E49">
    <w:pPr>
      <w:pStyle w:val="SidfotV"/>
      <w:framePr w:w="8732" w:h="284" w:hRule="exact" w:hSpace="0" w:vSpace="0" w:wrap="around" w:xAlign="inside" w:y="13042" w:anchorLock="0"/>
    </w:pPr>
    <w:r w:rsidRPr="00023A3D">
      <w:instrText>""</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39</w:instrText>
    </w:r>
    <w:r w:rsidRPr="00023A3D">
      <w:fldChar w:fldCharType="end"/>
    </w:r>
    <w:r w:rsidRPr="00023A3D">
      <w:instrText>"</w:instrText>
    </w:r>
    <w:r w:rsidRPr="00023A3D">
      <w:fldChar w:fldCharType="separate"/>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38</w:t>
    </w:r>
    <w:r w:rsidRPr="00023A3D">
      <w:fldChar w:fldCharType="end"/>
    </w:r>
  </w:p>
  <w:p w:rsidR="006C0E49" w:rsidRPr="00023A3D" w:rsidRDefault="006C0E49">
    <w:pPr>
      <w:pStyle w:val="SidfotH"/>
      <w:framePr w:w="8732" w:h="284" w:hRule="exact" w:hSpace="0" w:vSpace="0" w:wrap="around" w:xAlign="inside" w:y="13042" w:anchorLock="0"/>
    </w:pPr>
    <w:r w:rsidRPr="00023A3D">
      <w:fldChar w:fldCharType="end"/>
    </w:r>
  </w:p>
  <w:p w:rsidR="006C0E49" w:rsidRPr="00023A3D" w:rsidRDefault="006C0E4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46</w:t>
    </w:r>
    <w:r w:rsidRPr="00023A3D">
      <w:fldChar w:fldCharType="end"/>
    </w:r>
  </w:p>
  <w:p w:rsidR="006C0E49" w:rsidRPr="00023A3D" w:rsidRDefault="006C0E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H"/>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3</w:t>
    </w:r>
    <w:r w:rsidRPr="00023A3D">
      <w:fldChar w:fldCharType="end"/>
    </w:r>
  </w:p>
  <w:p w:rsidR="006C0E49" w:rsidRPr="00023A3D" w:rsidRDefault="006C0E4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H"/>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45</w:t>
    </w:r>
    <w:r w:rsidRPr="00023A3D">
      <w:fldChar w:fldCharType="end"/>
    </w:r>
  </w:p>
  <w:p w:rsidR="006C0E49" w:rsidRPr="00023A3D" w:rsidRDefault="006C0E4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if </w:instrText>
    </w:r>
    <w:r w:rsidRPr="00023A3D">
      <w:fldChar w:fldCharType="begin" w:fldLock="1"/>
    </w:r>
    <w:r w:rsidRPr="00023A3D">
      <w:instrText xml:space="preserve"> = </w:instrText>
    </w:r>
    <w:r w:rsidRPr="00023A3D">
      <w:fldChar w:fldCharType="begin" w:fldLock="1"/>
    </w:r>
    <w:r w:rsidRPr="00023A3D">
      <w:instrText xml:space="preserve"> = </w:instrText>
    </w:r>
    <w:r w:rsidRPr="00023A3D">
      <w:fldChar w:fldCharType="begin" w:fldLock="1"/>
    </w:r>
    <w:r w:rsidRPr="00023A3D">
      <w:instrText xml:space="preserve"> page</w:instrText>
    </w:r>
    <w:r w:rsidRPr="00023A3D">
      <w:fldChar w:fldCharType="separate"/>
    </w:r>
    <w:r w:rsidRPr="00023A3D">
      <w:instrText>44</w:instrText>
    </w:r>
    <w:r w:rsidRPr="00023A3D">
      <w:fldChar w:fldCharType="end"/>
    </w:r>
    <w:r w:rsidRPr="00023A3D">
      <w:instrText xml:space="preserve">/2 </w:instrText>
    </w:r>
    <w:r w:rsidRPr="00023A3D">
      <w:fldChar w:fldCharType="separate"/>
    </w:r>
    <w:r w:rsidRPr="00023A3D">
      <w:instrText>22</w:instrText>
    </w:r>
    <w:r w:rsidRPr="00023A3D">
      <w:fldChar w:fldCharType="end"/>
    </w:r>
    <w:r w:rsidRPr="00023A3D">
      <w:instrText xml:space="preserve"> - </w:instrText>
    </w:r>
    <w:r w:rsidRPr="00023A3D">
      <w:fldChar w:fldCharType="begin" w:fldLock="1"/>
    </w:r>
    <w:r w:rsidRPr="00023A3D">
      <w:instrText xml:space="preserve"> = int(</w:instrText>
    </w:r>
    <w:r w:rsidRPr="00023A3D">
      <w:fldChar w:fldCharType="begin" w:fldLock="1"/>
    </w:r>
    <w:r w:rsidRPr="00023A3D">
      <w:instrText xml:space="preserve"> page</w:instrText>
    </w:r>
    <w:r w:rsidRPr="00023A3D">
      <w:fldChar w:fldCharType="separate"/>
    </w:r>
    <w:r w:rsidRPr="00023A3D">
      <w:instrText>44</w:instrText>
    </w:r>
    <w:r w:rsidRPr="00023A3D">
      <w:fldChar w:fldCharType="end"/>
    </w:r>
    <w:r w:rsidRPr="00023A3D">
      <w:instrText xml:space="preserve">/2) </w:instrText>
    </w:r>
    <w:r w:rsidRPr="00023A3D">
      <w:fldChar w:fldCharType="separate"/>
    </w:r>
    <w:r w:rsidRPr="00023A3D">
      <w:instrText>22</w:instrText>
    </w:r>
    <w:r w:rsidRPr="00023A3D">
      <w:fldChar w:fldCharType="end"/>
    </w:r>
    <w:r w:rsidRPr="00023A3D">
      <w:fldChar w:fldCharType="separate"/>
    </w:r>
    <w:r w:rsidRPr="00023A3D">
      <w:instrText>0</w:instrText>
    </w:r>
    <w:r w:rsidRPr="00023A3D">
      <w:fldChar w:fldCharType="end"/>
    </w:r>
    <w:r w:rsidRPr="00023A3D">
      <w:instrText xml:space="preserve"> = 0 "</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44</w:instrText>
    </w:r>
    <w:r w:rsidRPr="00023A3D">
      <w:fldChar w:fldCharType="end"/>
    </w:r>
  </w:p>
  <w:p w:rsidR="006C0E49" w:rsidRPr="00023A3D" w:rsidRDefault="006C0E49">
    <w:pPr>
      <w:pStyle w:val="SidfotV"/>
      <w:framePr w:w="8732" w:h="284" w:hRule="exact" w:hSpace="0" w:vSpace="0" w:wrap="around" w:xAlign="inside" w:y="13042" w:anchorLock="0"/>
    </w:pPr>
    <w:r w:rsidRPr="00023A3D">
      <w:instrText>""</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45</w:instrText>
    </w:r>
    <w:r w:rsidRPr="00023A3D">
      <w:fldChar w:fldCharType="end"/>
    </w:r>
    <w:r w:rsidRPr="00023A3D">
      <w:instrText>"</w:instrText>
    </w:r>
    <w:r w:rsidRPr="00023A3D">
      <w:fldChar w:fldCharType="separate"/>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44</w:t>
    </w:r>
    <w:r w:rsidRPr="00023A3D">
      <w:fldChar w:fldCharType="end"/>
    </w:r>
  </w:p>
  <w:p w:rsidR="006C0E49" w:rsidRPr="00023A3D" w:rsidRDefault="006C0E49">
    <w:pPr>
      <w:pStyle w:val="SidfotH"/>
      <w:framePr w:w="8732" w:h="284" w:hRule="exact" w:hSpace="0" w:vSpace="0" w:wrap="around" w:xAlign="inside" w:y="13042" w:anchorLock="0"/>
    </w:pPr>
    <w:r w:rsidRPr="00023A3D">
      <w:fldChar w:fldCharType="end"/>
    </w:r>
  </w:p>
  <w:p w:rsidR="006C0E49" w:rsidRPr="00023A3D" w:rsidRDefault="006C0E4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50</w:t>
    </w:r>
    <w:r w:rsidRPr="00023A3D">
      <w:fldChar w:fldCharType="end"/>
    </w:r>
  </w:p>
  <w:p w:rsidR="006C0E49" w:rsidRPr="00023A3D" w:rsidRDefault="006C0E4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H"/>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49</w:t>
    </w:r>
    <w:r w:rsidRPr="00023A3D">
      <w:fldChar w:fldCharType="end"/>
    </w:r>
  </w:p>
  <w:p w:rsidR="006C0E49" w:rsidRPr="00023A3D" w:rsidRDefault="006C0E4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if </w:instrText>
    </w:r>
    <w:r w:rsidRPr="00023A3D">
      <w:fldChar w:fldCharType="begin" w:fldLock="1"/>
    </w:r>
    <w:r w:rsidRPr="00023A3D">
      <w:instrText xml:space="preserve"> = </w:instrText>
    </w:r>
    <w:r w:rsidRPr="00023A3D">
      <w:fldChar w:fldCharType="begin" w:fldLock="1"/>
    </w:r>
    <w:r w:rsidRPr="00023A3D">
      <w:instrText xml:space="preserve"> = </w:instrText>
    </w:r>
    <w:r w:rsidRPr="00023A3D">
      <w:fldChar w:fldCharType="begin" w:fldLock="1"/>
    </w:r>
    <w:r w:rsidRPr="00023A3D">
      <w:instrText xml:space="preserve"> page</w:instrText>
    </w:r>
    <w:r w:rsidRPr="00023A3D">
      <w:fldChar w:fldCharType="separate"/>
    </w:r>
    <w:r w:rsidRPr="00023A3D">
      <w:instrText>46</w:instrText>
    </w:r>
    <w:r w:rsidRPr="00023A3D">
      <w:fldChar w:fldCharType="end"/>
    </w:r>
    <w:r w:rsidRPr="00023A3D">
      <w:instrText xml:space="preserve">/2 </w:instrText>
    </w:r>
    <w:r w:rsidRPr="00023A3D">
      <w:fldChar w:fldCharType="separate"/>
    </w:r>
    <w:r w:rsidRPr="00023A3D">
      <w:instrText>23</w:instrText>
    </w:r>
    <w:r w:rsidRPr="00023A3D">
      <w:fldChar w:fldCharType="end"/>
    </w:r>
    <w:r w:rsidRPr="00023A3D">
      <w:instrText xml:space="preserve"> - </w:instrText>
    </w:r>
    <w:r w:rsidRPr="00023A3D">
      <w:fldChar w:fldCharType="begin" w:fldLock="1"/>
    </w:r>
    <w:r w:rsidRPr="00023A3D">
      <w:instrText xml:space="preserve"> = int(</w:instrText>
    </w:r>
    <w:r w:rsidRPr="00023A3D">
      <w:fldChar w:fldCharType="begin" w:fldLock="1"/>
    </w:r>
    <w:r w:rsidRPr="00023A3D">
      <w:instrText xml:space="preserve"> page</w:instrText>
    </w:r>
    <w:r w:rsidRPr="00023A3D">
      <w:fldChar w:fldCharType="separate"/>
    </w:r>
    <w:r w:rsidRPr="00023A3D">
      <w:instrText>46</w:instrText>
    </w:r>
    <w:r w:rsidRPr="00023A3D">
      <w:fldChar w:fldCharType="end"/>
    </w:r>
    <w:r w:rsidRPr="00023A3D">
      <w:instrText xml:space="preserve">/2) </w:instrText>
    </w:r>
    <w:r w:rsidRPr="00023A3D">
      <w:fldChar w:fldCharType="separate"/>
    </w:r>
    <w:r w:rsidRPr="00023A3D">
      <w:instrText>23</w:instrText>
    </w:r>
    <w:r w:rsidRPr="00023A3D">
      <w:fldChar w:fldCharType="end"/>
    </w:r>
    <w:r w:rsidRPr="00023A3D">
      <w:fldChar w:fldCharType="separate"/>
    </w:r>
    <w:r w:rsidRPr="00023A3D">
      <w:instrText>0</w:instrText>
    </w:r>
    <w:r w:rsidRPr="00023A3D">
      <w:fldChar w:fldCharType="end"/>
    </w:r>
    <w:r w:rsidRPr="00023A3D">
      <w:instrText xml:space="preserve"> = 0 "</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46</w:instrText>
    </w:r>
    <w:r w:rsidRPr="00023A3D">
      <w:fldChar w:fldCharType="end"/>
    </w:r>
  </w:p>
  <w:p w:rsidR="006C0E49" w:rsidRPr="00023A3D" w:rsidRDefault="006C0E49">
    <w:pPr>
      <w:pStyle w:val="SidfotV"/>
      <w:framePr w:w="8732" w:h="284" w:hRule="exact" w:hSpace="0" w:vSpace="0" w:wrap="around" w:xAlign="inside" w:y="13042" w:anchorLock="0"/>
    </w:pPr>
    <w:r w:rsidRPr="00023A3D">
      <w:instrText>""</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47</w:instrText>
    </w:r>
    <w:r w:rsidRPr="00023A3D">
      <w:fldChar w:fldCharType="end"/>
    </w:r>
    <w:r w:rsidRPr="00023A3D">
      <w:instrText>"</w:instrText>
    </w:r>
    <w:r w:rsidRPr="00023A3D">
      <w:fldChar w:fldCharType="separate"/>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46</w:t>
    </w:r>
    <w:r w:rsidRPr="00023A3D">
      <w:fldChar w:fldCharType="end"/>
    </w:r>
  </w:p>
  <w:p w:rsidR="006C0E49" w:rsidRPr="00023A3D" w:rsidRDefault="006C0E49">
    <w:pPr>
      <w:pStyle w:val="SidfotH"/>
      <w:framePr w:w="8732" w:h="284" w:hRule="exact" w:hSpace="0" w:vSpace="0" w:wrap="around" w:xAlign="inside" w:y="13042" w:anchorLock="0"/>
    </w:pPr>
    <w:r w:rsidRPr="00023A3D">
      <w:fldChar w:fldCharType="end"/>
    </w:r>
  </w:p>
  <w:p w:rsidR="006C0E49" w:rsidRPr="00023A3D" w:rsidRDefault="006C0E4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52</w:t>
    </w:r>
    <w:r w:rsidRPr="00023A3D">
      <w:fldChar w:fldCharType="end"/>
    </w:r>
  </w:p>
  <w:p w:rsidR="006C0E49" w:rsidRPr="00023A3D" w:rsidRDefault="006C0E4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H"/>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53</w:t>
    </w:r>
    <w:r w:rsidRPr="00023A3D">
      <w:fldChar w:fldCharType="end"/>
    </w:r>
  </w:p>
  <w:p w:rsidR="006C0E49" w:rsidRPr="00023A3D" w:rsidRDefault="006C0E4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if </w:instrText>
    </w:r>
    <w:r w:rsidRPr="00023A3D">
      <w:fldChar w:fldCharType="begin" w:fldLock="1"/>
    </w:r>
    <w:r w:rsidRPr="00023A3D">
      <w:instrText xml:space="preserve"> = </w:instrText>
    </w:r>
    <w:r w:rsidRPr="00023A3D">
      <w:fldChar w:fldCharType="begin" w:fldLock="1"/>
    </w:r>
    <w:r w:rsidRPr="00023A3D">
      <w:instrText xml:space="preserve"> = </w:instrText>
    </w:r>
    <w:r w:rsidRPr="00023A3D">
      <w:fldChar w:fldCharType="begin" w:fldLock="1"/>
    </w:r>
    <w:r w:rsidRPr="00023A3D">
      <w:instrText xml:space="preserve"> page</w:instrText>
    </w:r>
    <w:r w:rsidRPr="00023A3D">
      <w:fldChar w:fldCharType="separate"/>
    </w:r>
    <w:r w:rsidRPr="00023A3D">
      <w:instrText>51</w:instrText>
    </w:r>
    <w:r w:rsidRPr="00023A3D">
      <w:fldChar w:fldCharType="end"/>
    </w:r>
    <w:r w:rsidRPr="00023A3D">
      <w:instrText xml:space="preserve">/2 </w:instrText>
    </w:r>
    <w:r w:rsidRPr="00023A3D">
      <w:fldChar w:fldCharType="separate"/>
    </w:r>
    <w:r w:rsidRPr="00023A3D">
      <w:instrText>25,5</w:instrText>
    </w:r>
    <w:r w:rsidRPr="00023A3D">
      <w:fldChar w:fldCharType="end"/>
    </w:r>
    <w:r w:rsidRPr="00023A3D">
      <w:instrText xml:space="preserve"> - </w:instrText>
    </w:r>
    <w:r w:rsidRPr="00023A3D">
      <w:fldChar w:fldCharType="begin" w:fldLock="1"/>
    </w:r>
    <w:r w:rsidRPr="00023A3D">
      <w:instrText xml:space="preserve"> = int(</w:instrText>
    </w:r>
    <w:r w:rsidRPr="00023A3D">
      <w:fldChar w:fldCharType="begin" w:fldLock="1"/>
    </w:r>
    <w:r w:rsidRPr="00023A3D">
      <w:instrText xml:space="preserve"> page</w:instrText>
    </w:r>
    <w:r w:rsidRPr="00023A3D">
      <w:fldChar w:fldCharType="separate"/>
    </w:r>
    <w:r w:rsidRPr="00023A3D">
      <w:instrText>51</w:instrText>
    </w:r>
    <w:r w:rsidRPr="00023A3D">
      <w:fldChar w:fldCharType="end"/>
    </w:r>
    <w:r w:rsidRPr="00023A3D">
      <w:instrText xml:space="preserve">/2) </w:instrText>
    </w:r>
    <w:r w:rsidRPr="00023A3D">
      <w:fldChar w:fldCharType="separate"/>
    </w:r>
    <w:r w:rsidRPr="00023A3D">
      <w:instrText>25</w:instrText>
    </w:r>
    <w:r w:rsidRPr="00023A3D">
      <w:fldChar w:fldCharType="end"/>
    </w:r>
    <w:r w:rsidRPr="00023A3D">
      <w:fldChar w:fldCharType="separate"/>
    </w:r>
    <w:r w:rsidRPr="00023A3D">
      <w:instrText>0,5</w:instrText>
    </w:r>
    <w:r w:rsidRPr="00023A3D">
      <w:fldChar w:fldCharType="end"/>
    </w:r>
    <w:r w:rsidRPr="00023A3D">
      <w:instrText xml:space="preserve"> = 0 "</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52</w:instrText>
    </w:r>
    <w:r w:rsidRPr="00023A3D">
      <w:fldChar w:fldCharType="end"/>
    </w:r>
  </w:p>
  <w:p w:rsidR="006C0E49" w:rsidRPr="00023A3D" w:rsidRDefault="006C0E49">
    <w:pPr>
      <w:pStyle w:val="SidfotH"/>
      <w:framePr w:w="8732" w:h="284" w:hRule="exact" w:hSpace="0" w:vSpace="0" w:wrap="around" w:xAlign="inside" w:y="13042" w:anchorLock="0"/>
    </w:pPr>
    <w:r w:rsidRPr="00023A3D">
      <w:instrText>""</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51</w:instrText>
    </w:r>
    <w:r w:rsidRPr="00023A3D">
      <w:fldChar w:fldCharType="end"/>
    </w:r>
    <w:r w:rsidRPr="00023A3D">
      <w:instrText>"</w:instrText>
    </w:r>
    <w:r w:rsidRPr="00023A3D">
      <w:fldChar w:fldCharType="separate"/>
    </w:r>
    <w:r w:rsidRPr="00023A3D">
      <w:t>51</w:t>
    </w:r>
    <w:r w:rsidRPr="00023A3D">
      <w:fldChar w:fldCharType="end"/>
    </w:r>
  </w:p>
  <w:p w:rsidR="006C0E49" w:rsidRPr="00023A3D" w:rsidRDefault="006C0E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if </w:instrText>
    </w:r>
    <w:r w:rsidRPr="00023A3D">
      <w:fldChar w:fldCharType="begin" w:fldLock="1"/>
    </w:r>
    <w:r w:rsidRPr="00023A3D">
      <w:instrText xml:space="preserve"> = </w:instrText>
    </w:r>
    <w:r w:rsidRPr="00023A3D">
      <w:fldChar w:fldCharType="begin" w:fldLock="1"/>
    </w:r>
    <w:r w:rsidRPr="00023A3D">
      <w:instrText xml:space="preserve"> = </w:instrText>
    </w:r>
    <w:r w:rsidRPr="00023A3D">
      <w:fldChar w:fldCharType="begin" w:fldLock="1"/>
    </w:r>
    <w:r w:rsidRPr="00023A3D">
      <w:instrText xml:space="preserve"> page</w:instrText>
    </w:r>
    <w:r w:rsidRPr="00023A3D">
      <w:fldChar w:fldCharType="separate"/>
    </w:r>
    <w:r w:rsidR="00023A3D">
      <w:rPr>
        <w:noProof/>
      </w:rPr>
      <w:instrText>1</w:instrText>
    </w:r>
    <w:r w:rsidRPr="00023A3D">
      <w:fldChar w:fldCharType="end"/>
    </w:r>
    <w:r w:rsidRPr="00023A3D">
      <w:instrText xml:space="preserve">/2 </w:instrText>
    </w:r>
    <w:r w:rsidRPr="00023A3D">
      <w:fldChar w:fldCharType="separate"/>
    </w:r>
    <w:r w:rsidR="00023A3D">
      <w:rPr>
        <w:noProof/>
      </w:rPr>
      <w:instrText>0,5</w:instrText>
    </w:r>
    <w:r w:rsidRPr="00023A3D">
      <w:fldChar w:fldCharType="end"/>
    </w:r>
    <w:r w:rsidRPr="00023A3D">
      <w:instrText xml:space="preserve"> - </w:instrText>
    </w:r>
    <w:r w:rsidRPr="00023A3D">
      <w:fldChar w:fldCharType="begin" w:fldLock="1"/>
    </w:r>
    <w:r w:rsidRPr="00023A3D">
      <w:instrText xml:space="preserve"> = int(</w:instrText>
    </w:r>
    <w:r w:rsidRPr="00023A3D">
      <w:fldChar w:fldCharType="begin" w:fldLock="1"/>
    </w:r>
    <w:r w:rsidRPr="00023A3D">
      <w:instrText xml:space="preserve"> page</w:instrText>
    </w:r>
    <w:r w:rsidRPr="00023A3D">
      <w:fldChar w:fldCharType="separate"/>
    </w:r>
    <w:r w:rsidR="00023A3D">
      <w:rPr>
        <w:noProof/>
      </w:rPr>
      <w:instrText>1</w:instrText>
    </w:r>
    <w:r w:rsidRPr="00023A3D">
      <w:fldChar w:fldCharType="end"/>
    </w:r>
    <w:r w:rsidRPr="00023A3D">
      <w:instrText xml:space="preserve">/2) </w:instrText>
    </w:r>
    <w:r w:rsidRPr="00023A3D">
      <w:fldChar w:fldCharType="separate"/>
    </w:r>
    <w:r w:rsidR="00023A3D">
      <w:rPr>
        <w:noProof/>
      </w:rPr>
      <w:instrText>0</w:instrText>
    </w:r>
    <w:r w:rsidRPr="00023A3D">
      <w:fldChar w:fldCharType="end"/>
    </w:r>
    <w:r w:rsidRPr="00023A3D">
      <w:fldChar w:fldCharType="separate"/>
    </w:r>
    <w:r w:rsidR="00023A3D">
      <w:rPr>
        <w:noProof/>
      </w:rPr>
      <w:instrText>0,5</w:instrText>
    </w:r>
    <w:r w:rsidRPr="00023A3D">
      <w:fldChar w:fldCharType="end"/>
    </w:r>
    <w:r w:rsidRPr="00023A3D">
      <w:instrText xml:space="preserve"> = 0 "</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14</w:instrText>
    </w:r>
    <w:r w:rsidRPr="00023A3D">
      <w:fldChar w:fldCharType="end"/>
    </w:r>
  </w:p>
  <w:p w:rsidR="006C0E49" w:rsidRPr="00023A3D" w:rsidRDefault="006C0E49">
    <w:pPr>
      <w:pStyle w:val="SidfotH"/>
      <w:framePr w:w="8732" w:h="284" w:hRule="exact" w:hSpace="0" w:vSpace="0" w:wrap="around" w:xAlign="inside" w:y="13042" w:anchorLock="0"/>
    </w:pPr>
    <w:r w:rsidRPr="00023A3D">
      <w:instrText>""</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00023A3D">
      <w:rPr>
        <w:noProof/>
      </w:rPr>
      <w:instrText>1</w:instrText>
    </w:r>
    <w:r w:rsidRPr="00023A3D">
      <w:fldChar w:fldCharType="end"/>
    </w:r>
    <w:r w:rsidRPr="00023A3D">
      <w:instrText>"</w:instrText>
    </w:r>
    <w:r w:rsidRPr="00023A3D">
      <w:fldChar w:fldCharType="separate"/>
    </w:r>
    <w:r w:rsidR="00023A3D">
      <w:rPr>
        <w:noProof/>
      </w:rPr>
      <w:t>1</w:t>
    </w:r>
    <w:r w:rsidRPr="00023A3D">
      <w:fldChar w:fldCharType="end"/>
    </w:r>
  </w:p>
  <w:p w:rsidR="006C0E49" w:rsidRPr="00023A3D" w:rsidRDefault="006C0E4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4</w:t>
    </w:r>
    <w:r w:rsidRPr="00023A3D">
      <w:fldChar w:fldCharType="end"/>
    </w:r>
  </w:p>
  <w:p w:rsidR="006C0E49" w:rsidRPr="00023A3D" w:rsidRDefault="006C0E4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H"/>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3</w:t>
    </w:r>
    <w:r w:rsidRPr="00023A3D">
      <w:fldChar w:fldCharType="end"/>
    </w:r>
  </w:p>
  <w:p w:rsidR="006C0E49" w:rsidRPr="00023A3D" w:rsidRDefault="006C0E4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if </w:instrText>
    </w:r>
    <w:r w:rsidRPr="00023A3D">
      <w:fldChar w:fldCharType="begin" w:fldLock="1"/>
    </w:r>
    <w:r w:rsidRPr="00023A3D">
      <w:instrText xml:space="preserve"> = </w:instrText>
    </w:r>
    <w:r w:rsidRPr="00023A3D">
      <w:fldChar w:fldCharType="begin" w:fldLock="1"/>
    </w:r>
    <w:r w:rsidRPr="00023A3D">
      <w:instrText xml:space="preserve"> = </w:instrText>
    </w:r>
    <w:r w:rsidRPr="00023A3D">
      <w:fldChar w:fldCharType="begin" w:fldLock="1"/>
    </w:r>
    <w:r w:rsidRPr="00023A3D">
      <w:instrText xml:space="preserve"> page</w:instrText>
    </w:r>
    <w:r w:rsidRPr="00023A3D">
      <w:fldChar w:fldCharType="separate"/>
    </w:r>
    <w:r w:rsidRPr="00023A3D">
      <w:instrText>2</w:instrText>
    </w:r>
    <w:r w:rsidRPr="00023A3D">
      <w:fldChar w:fldCharType="end"/>
    </w:r>
    <w:r w:rsidRPr="00023A3D">
      <w:instrText xml:space="preserve">/2 </w:instrText>
    </w:r>
    <w:r w:rsidRPr="00023A3D">
      <w:fldChar w:fldCharType="separate"/>
    </w:r>
    <w:r w:rsidRPr="00023A3D">
      <w:instrText>1</w:instrText>
    </w:r>
    <w:r w:rsidRPr="00023A3D">
      <w:fldChar w:fldCharType="end"/>
    </w:r>
    <w:r w:rsidRPr="00023A3D">
      <w:instrText xml:space="preserve"> - </w:instrText>
    </w:r>
    <w:r w:rsidRPr="00023A3D">
      <w:fldChar w:fldCharType="begin" w:fldLock="1"/>
    </w:r>
    <w:r w:rsidRPr="00023A3D">
      <w:instrText xml:space="preserve"> = int(</w:instrText>
    </w:r>
    <w:r w:rsidRPr="00023A3D">
      <w:fldChar w:fldCharType="begin" w:fldLock="1"/>
    </w:r>
    <w:r w:rsidRPr="00023A3D">
      <w:instrText xml:space="preserve"> page</w:instrText>
    </w:r>
    <w:r w:rsidRPr="00023A3D">
      <w:fldChar w:fldCharType="separate"/>
    </w:r>
    <w:r w:rsidRPr="00023A3D">
      <w:instrText>2</w:instrText>
    </w:r>
    <w:r w:rsidRPr="00023A3D">
      <w:fldChar w:fldCharType="end"/>
    </w:r>
    <w:r w:rsidRPr="00023A3D">
      <w:instrText xml:space="preserve">/2) </w:instrText>
    </w:r>
    <w:r w:rsidRPr="00023A3D">
      <w:fldChar w:fldCharType="separate"/>
    </w:r>
    <w:r w:rsidRPr="00023A3D">
      <w:instrText>1</w:instrText>
    </w:r>
    <w:r w:rsidRPr="00023A3D">
      <w:fldChar w:fldCharType="end"/>
    </w:r>
    <w:r w:rsidRPr="00023A3D">
      <w:fldChar w:fldCharType="separate"/>
    </w:r>
    <w:r w:rsidRPr="00023A3D">
      <w:instrText>0</w:instrText>
    </w:r>
    <w:r w:rsidRPr="00023A3D">
      <w:fldChar w:fldCharType="end"/>
    </w:r>
    <w:r w:rsidRPr="00023A3D">
      <w:instrText xml:space="preserve"> = 0 "</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2</w:instrText>
    </w:r>
    <w:r w:rsidRPr="00023A3D">
      <w:fldChar w:fldCharType="end"/>
    </w:r>
  </w:p>
  <w:p w:rsidR="006C0E49" w:rsidRPr="00023A3D" w:rsidRDefault="006C0E49">
    <w:pPr>
      <w:pStyle w:val="SidfotV"/>
      <w:framePr w:w="8732" w:h="284" w:hRule="exact" w:hSpace="0" w:vSpace="0" w:wrap="around" w:xAlign="inside" w:y="13042" w:anchorLock="0"/>
    </w:pPr>
    <w:r w:rsidRPr="00023A3D">
      <w:instrText>""</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1</w:instrText>
    </w:r>
    <w:r w:rsidRPr="00023A3D">
      <w:fldChar w:fldCharType="end"/>
    </w:r>
    <w:r w:rsidRPr="00023A3D">
      <w:instrText>"</w:instrText>
    </w:r>
    <w:r w:rsidRPr="00023A3D">
      <w:fldChar w:fldCharType="separate"/>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2</w:t>
    </w:r>
    <w:r w:rsidRPr="00023A3D">
      <w:fldChar w:fldCharType="end"/>
    </w:r>
  </w:p>
  <w:p w:rsidR="006C0E49" w:rsidRPr="00023A3D" w:rsidRDefault="006C0E49">
    <w:pPr>
      <w:pStyle w:val="SidfotH"/>
      <w:framePr w:w="8732" w:h="284" w:hRule="exact" w:hSpace="0" w:vSpace="0" w:wrap="around" w:xAlign="inside" w:y="13042" w:anchorLock="0"/>
    </w:pPr>
    <w:r w:rsidRPr="00023A3D">
      <w:fldChar w:fldCharType="end"/>
    </w:r>
  </w:p>
  <w:p w:rsidR="006C0E49" w:rsidRPr="00023A3D" w:rsidRDefault="006C0E4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6</w:t>
    </w:r>
    <w:r w:rsidRPr="00023A3D">
      <w:fldChar w:fldCharType="end"/>
    </w:r>
  </w:p>
  <w:p w:rsidR="006C0E49" w:rsidRPr="00023A3D" w:rsidRDefault="006C0E4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H"/>
      <w:framePr w:w="8732" w:h="284" w:hRule="exact" w:hSpace="0" w:vSpace="0" w:wrap="around" w:xAlign="inside" w:y="13042" w:anchorLock="0"/>
    </w:pP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7</w:t>
    </w:r>
    <w:r w:rsidRPr="00023A3D">
      <w:fldChar w:fldCharType="end"/>
    </w:r>
  </w:p>
  <w:p w:rsidR="006C0E49" w:rsidRPr="00023A3D" w:rsidRDefault="006C0E4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fotV"/>
      <w:framePr w:w="8732" w:h="284" w:hRule="exact" w:hSpace="0" w:vSpace="0" w:wrap="around" w:xAlign="inside" w:y="13042" w:anchorLock="0"/>
    </w:pPr>
    <w:r w:rsidRPr="00023A3D">
      <w:fldChar w:fldCharType="begin" w:fldLock="1"/>
    </w:r>
    <w:r w:rsidRPr="00023A3D">
      <w:instrText xml:space="preserve"> if </w:instrText>
    </w:r>
    <w:r w:rsidRPr="00023A3D">
      <w:fldChar w:fldCharType="begin" w:fldLock="1"/>
    </w:r>
    <w:r w:rsidRPr="00023A3D">
      <w:instrText xml:space="preserve"> = </w:instrText>
    </w:r>
    <w:r w:rsidRPr="00023A3D">
      <w:fldChar w:fldCharType="begin" w:fldLock="1"/>
    </w:r>
    <w:r w:rsidRPr="00023A3D">
      <w:instrText xml:space="preserve"> = </w:instrText>
    </w:r>
    <w:r w:rsidRPr="00023A3D">
      <w:fldChar w:fldCharType="begin" w:fldLock="1"/>
    </w:r>
    <w:r w:rsidRPr="00023A3D">
      <w:instrText xml:space="preserve"> page</w:instrText>
    </w:r>
    <w:r w:rsidRPr="00023A3D">
      <w:fldChar w:fldCharType="separate"/>
    </w:r>
    <w:r w:rsidRPr="00023A3D">
      <w:instrText>4</w:instrText>
    </w:r>
    <w:r w:rsidRPr="00023A3D">
      <w:fldChar w:fldCharType="end"/>
    </w:r>
    <w:r w:rsidRPr="00023A3D">
      <w:instrText xml:space="preserve">/2 </w:instrText>
    </w:r>
    <w:r w:rsidRPr="00023A3D">
      <w:fldChar w:fldCharType="separate"/>
    </w:r>
    <w:r w:rsidRPr="00023A3D">
      <w:instrText>2</w:instrText>
    </w:r>
    <w:r w:rsidRPr="00023A3D">
      <w:fldChar w:fldCharType="end"/>
    </w:r>
    <w:r w:rsidRPr="00023A3D">
      <w:instrText xml:space="preserve"> - </w:instrText>
    </w:r>
    <w:r w:rsidRPr="00023A3D">
      <w:fldChar w:fldCharType="begin" w:fldLock="1"/>
    </w:r>
    <w:r w:rsidRPr="00023A3D">
      <w:instrText xml:space="preserve"> = int(</w:instrText>
    </w:r>
    <w:r w:rsidRPr="00023A3D">
      <w:fldChar w:fldCharType="begin" w:fldLock="1"/>
    </w:r>
    <w:r w:rsidRPr="00023A3D">
      <w:instrText xml:space="preserve"> page</w:instrText>
    </w:r>
    <w:r w:rsidRPr="00023A3D">
      <w:fldChar w:fldCharType="separate"/>
    </w:r>
    <w:r w:rsidRPr="00023A3D">
      <w:instrText>4</w:instrText>
    </w:r>
    <w:r w:rsidRPr="00023A3D">
      <w:fldChar w:fldCharType="end"/>
    </w:r>
    <w:r w:rsidRPr="00023A3D">
      <w:instrText xml:space="preserve">/2) </w:instrText>
    </w:r>
    <w:r w:rsidRPr="00023A3D">
      <w:fldChar w:fldCharType="separate"/>
    </w:r>
    <w:r w:rsidRPr="00023A3D">
      <w:instrText>2</w:instrText>
    </w:r>
    <w:r w:rsidRPr="00023A3D">
      <w:fldChar w:fldCharType="end"/>
    </w:r>
    <w:r w:rsidRPr="00023A3D">
      <w:fldChar w:fldCharType="separate"/>
    </w:r>
    <w:r w:rsidRPr="00023A3D">
      <w:instrText>0</w:instrText>
    </w:r>
    <w:r w:rsidRPr="00023A3D">
      <w:fldChar w:fldCharType="end"/>
    </w:r>
    <w:r w:rsidRPr="00023A3D">
      <w:instrText xml:space="preserve"> = 0 "</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4</w:instrText>
    </w:r>
    <w:r w:rsidRPr="00023A3D">
      <w:fldChar w:fldCharType="end"/>
    </w:r>
  </w:p>
  <w:p w:rsidR="006C0E49" w:rsidRPr="00023A3D" w:rsidRDefault="006C0E49">
    <w:pPr>
      <w:pStyle w:val="SidfotV"/>
      <w:framePr w:w="8732" w:h="284" w:hRule="exact" w:hSpace="0" w:vSpace="0" w:wrap="around" w:xAlign="inside" w:y="13042" w:anchorLock="0"/>
    </w:pPr>
    <w:r w:rsidRPr="00023A3D">
      <w:instrText>""</w:instrText>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instrText>3</w:instrText>
    </w:r>
    <w:r w:rsidRPr="00023A3D">
      <w:fldChar w:fldCharType="end"/>
    </w:r>
    <w:r w:rsidRPr="00023A3D">
      <w:instrText>"</w:instrText>
    </w:r>
    <w:r w:rsidRPr="00023A3D">
      <w:fldChar w:fldCharType="separate"/>
    </w:r>
    <w:r w:rsidRPr="00023A3D">
      <w:fldChar w:fldCharType="begin" w:fldLock="1"/>
    </w:r>
    <w:r w:rsidRPr="00023A3D">
      <w:instrText xml:space="preserve"> P</w:instrText>
    </w:r>
    <w:r w:rsidRPr="00023A3D">
      <w:instrText>A</w:instrText>
    </w:r>
    <w:r w:rsidRPr="00023A3D">
      <w:instrText xml:space="preserve">GE </w:instrText>
    </w:r>
    <w:r w:rsidRPr="00023A3D">
      <w:fldChar w:fldCharType="separate"/>
    </w:r>
    <w:r w:rsidRPr="00023A3D">
      <w:t>4</w:t>
    </w:r>
    <w:r w:rsidRPr="00023A3D">
      <w:fldChar w:fldCharType="end"/>
    </w:r>
  </w:p>
  <w:p w:rsidR="006C0E49" w:rsidRPr="00023A3D" w:rsidRDefault="006C0E49">
    <w:pPr>
      <w:pStyle w:val="SidfotH"/>
      <w:framePr w:w="8732" w:h="284" w:hRule="exact" w:hSpace="0" w:vSpace="0" w:wrap="around" w:xAlign="inside" w:y="13042" w:anchorLock="0"/>
    </w:pPr>
    <w:r w:rsidRPr="00023A3D">
      <w:fldChar w:fldCharType="end"/>
    </w:r>
  </w:p>
  <w:p w:rsidR="006C0E49" w:rsidRPr="00023A3D" w:rsidRDefault="006C0E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E49" w:rsidRPr="00023A3D" w:rsidRDefault="006C0E49">
      <w:pPr>
        <w:pStyle w:val="Sidfot"/>
      </w:pPr>
    </w:p>
  </w:footnote>
  <w:footnote w:type="continuationSeparator" w:id="0">
    <w:p w:rsidR="006C0E49" w:rsidRPr="00023A3D" w:rsidRDefault="006C0E49">
      <w:pPr>
        <w:spacing w:before="0" w:line="240" w:lineRule="auto"/>
      </w:pPr>
      <w:r w:rsidRPr="00023A3D">
        <w:continuationSeparator/>
      </w:r>
    </w:p>
  </w:footnote>
  <w:footnote w:id="1">
    <w:p w:rsidR="006C0E49" w:rsidRPr="00023A3D" w:rsidRDefault="006C0E49">
      <w:pPr>
        <w:pStyle w:val="Fotnotstext"/>
      </w:pPr>
      <w:r w:rsidRPr="00023A3D">
        <w:rPr>
          <w:rStyle w:val="Fotnotsreferens"/>
        </w:rPr>
        <w:footnoteRef/>
      </w:r>
      <w:r w:rsidRPr="00023A3D">
        <w:t xml:space="preserve">  Statens styrning och resultatuppföljning av Finansinspektionens verksamhet (URD 2000/01:2) som finns redovisad som en bilaga till betänkandet 2000/01:FiU2.</w:t>
      </w:r>
    </w:p>
  </w:footnote>
  <w:footnote w:id="2">
    <w:p w:rsidR="006C0E49" w:rsidRPr="00023A3D" w:rsidRDefault="006C0E49">
      <w:pPr>
        <w:pStyle w:val="Fotnotstext"/>
      </w:pPr>
      <w:r w:rsidRPr="00023A3D">
        <w:rPr>
          <w:rStyle w:val="Fotnotsreferens"/>
        </w:rPr>
        <w:footnoteRef/>
      </w:r>
      <w:r w:rsidRPr="00023A3D">
        <w:t xml:space="preserve">  De garantiåtaganden för vilka full avgift inte skall tas ut avser dels Venantius AB, dels Sverige Hus i Sankt Petersburg, eller A/O Dom Shvetsii. Se vidare budgetprop</w:t>
      </w:r>
      <w:r w:rsidRPr="00023A3D">
        <w:t>o</w:t>
      </w:r>
      <w:r w:rsidRPr="00023A3D">
        <w:t>sitionen (prop. 2001/02:1), Reviderad finansplan avsnitt 9.3.2, samt utg.omr. 2 avsnitt 5.8.</w:t>
      </w:r>
    </w:p>
  </w:footnote>
  <w:footnote w:id="3">
    <w:p w:rsidR="006C0E49" w:rsidRPr="00023A3D" w:rsidRDefault="006C0E49">
      <w:pPr>
        <w:pStyle w:val="Fotnotstext"/>
      </w:pPr>
      <w:r w:rsidRPr="00023A3D">
        <w:rPr>
          <w:rStyle w:val="Fotnotsreferens"/>
        </w:rPr>
        <w:footnoteRef/>
      </w:r>
      <w:r w:rsidRPr="00023A3D">
        <w:t xml:space="preserve">  Se betänkandena 1993/94:FiU15, 1994/95:FiU13 och 2000/01:FiU2.</w:t>
      </w:r>
    </w:p>
  </w:footnote>
  <w:footnote w:id="4">
    <w:p w:rsidR="006C0E49" w:rsidRPr="00023A3D" w:rsidRDefault="006C0E49">
      <w:pPr>
        <w:pStyle w:val="Fotnotstext"/>
      </w:pPr>
      <w:r w:rsidRPr="00023A3D">
        <w:rPr>
          <w:rStyle w:val="Fotnotsreferens"/>
        </w:rPr>
        <w:footnoteRef/>
      </w:r>
      <w:r w:rsidRPr="00023A3D">
        <w:t xml:space="preserve">  Förslag 14 framläggs av riksdagsstyrelsen.</w:t>
      </w:r>
    </w:p>
  </w:footnote>
  <w:footnote w:id="5">
    <w:p w:rsidR="006C0E49" w:rsidRPr="00023A3D" w:rsidRDefault="006C0E49">
      <w:pPr>
        <w:pStyle w:val="Fotnotstext"/>
        <w:spacing w:before="40"/>
      </w:pPr>
      <w:r w:rsidRPr="00023A3D">
        <w:rPr>
          <w:rStyle w:val="Fotnotsreferens"/>
        </w:rPr>
        <w:footnoteRef/>
      </w:r>
      <w:r w:rsidRPr="00023A3D">
        <w:t xml:space="preserve">  Tidigare benämnt </w:t>
      </w:r>
      <w:r w:rsidRPr="00023A3D">
        <w:rPr>
          <w:i/>
        </w:rPr>
        <w:t>Folk- och bostadsräkning.</w:t>
      </w:r>
    </w:p>
  </w:footnote>
  <w:footnote w:id="6">
    <w:p w:rsidR="006C0E49" w:rsidRPr="00023A3D" w:rsidRDefault="006C0E49">
      <w:pPr>
        <w:pStyle w:val="Fotnotstext"/>
        <w:spacing w:before="40"/>
      </w:pPr>
      <w:r w:rsidRPr="00023A3D">
        <w:rPr>
          <w:rStyle w:val="Fotnotsreferens"/>
        </w:rPr>
        <w:footnoteRef/>
      </w:r>
      <w:r w:rsidRPr="00023A3D">
        <w:t xml:space="preserve">  Tidigare benämnt </w:t>
      </w:r>
      <w:r w:rsidRPr="00023A3D">
        <w:rPr>
          <w:i/>
        </w:rPr>
        <w:t>Stabsuppgifter vid arbetsgivarverket.</w:t>
      </w:r>
    </w:p>
  </w:footnote>
  <w:footnote w:id="7">
    <w:p w:rsidR="006C0E49" w:rsidRPr="00023A3D" w:rsidRDefault="006C0E49">
      <w:pPr>
        <w:pStyle w:val="Fotnotstext"/>
        <w:spacing w:before="40"/>
        <w:rPr>
          <w:i/>
        </w:rPr>
      </w:pPr>
      <w:r w:rsidRPr="00023A3D">
        <w:rPr>
          <w:rStyle w:val="Fotnotsreferens"/>
        </w:rPr>
        <w:footnoteRef/>
      </w:r>
      <w:r w:rsidRPr="00023A3D">
        <w:t xml:space="preserve">  Tidigare benämnt </w:t>
      </w:r>
      <w:r w:rsidRPr="00023A3D">
        <w:rPr>
          <w:i/>
        </w:rPr>
        <w:t>Bidrag till kapitalet i Europeiska utvecklingsbanken.</w:t>
      </w:r>
    </w:p>
  </w:footnote>
  <w:footnote w:id="8">
    <w:p w:rsidR="006C0E49" w:rsidRPr="00023A3D" w:rsidRDefault="006C0E49">
      <w:pPr>
        <w:pStyle w:val="Fotnotstext"/>
        <w:spacing w:before="40"/>
      </w:pPr>
      <w:r w:rsidRPr="00023A3D">
        <w:rPr>
          <w:rStyle w:val="Fotnotsreferens"/>
        </w:rPr>
        <w:footnoteRef/>
      </w:r>
      <w:r w:rsidRPr="00023A3D">
        <w:t xml:space="preserve">  Anslag avsett för riksdagen eller dess myndigheter.</w:t>
      </w:r>
    </w:p>
  </w:footnote>
  <w:footnote w:id="9">
    <w:p w:rsidR="006C0E49" w:rsidRPr="00023A3D" w:rsidRDefault="006C0E49">
      <w:pPr>
        <w:pStyle w:val="Fotnotstext"/>
        <w:spacing w:before="40"/>
      </w:pPr>
      <w:r w:rsidRPr="00023A3D">
        <w:rPr>
          <w:rStyle w:val="Fotnotsreferens"/>
        </w:rPr>
        <w:footnoteRef/>
      </w:r>
      <w:r w:rsidRPr="00023A3D">
        <w:t xml:space="preserve">  RRV:s verksamhet föreslås slås samman och samordnas med Riksdagens revisorers fr.o.m. andra halvåret 2002. Av Riksdagens revisorers anslag överförs 13 miljoner kronor 2002 (halva verksamheten), 27,8 miljoner kronor 2003 och 28,3 miljoner kr</w:t>
      </w:r>
      <w:r w:rsidRPr="00023A3D">
        <w:t>o</w:t>
      </w:r>
      <w:r w:rsidRPr="00023A3D">
        <w:t>nor 2004 till RRV.</w:t>
      </w:r>
    </w:p>
  </w:footnote>
  <w:footnote w:id="10">
    <w:p w:rsidR="006C0E49" w:rsidRPr="00023A3D" w:rsidRDefault="006C0E49">
      <w:pPr>
        <w:pStyle w:val="Fotnotstext"/>
        <w:spacing w:before="40"/>
      </w:pPr>
      <w:r w:rsidRPr="00023A3D">
        <w:rPr>
          <w:rStyle w:val="Fotnotsreferens"/>
        </w:rPr>
        <w:footnoteRef/>
      </w:r>
      <w:r w:rsidRPr="00023A3D">
        <w:t xml:space="preserve">  Statskontorets verksamhet föreslås samordnas med Kammarkollegiet.</w:t>
      </w:r>
    </w:p>
  </w:footnote>
  <w:footnote w:id="11">
    <w:p w:rsidR="006C0E49" w:rsidRPr="00023A3D" w:rsidRDefault="006C0E49">
      <w:pPr>
        <w:pStyle w:val="Fotnotstext"/>
        <w:spacing w:before="40"/>
      </w:pPr>
      <w:r w:rsidRPr="00023A3D">
        <w:rPr>
          <w:rStyle w:val="Fotnotsreferens"/>
        </w:rPr>
        <w:footnoteRef/>
      </w:r>
      <w:r w:rsidRPr="00023A3D">
        <w:t xml:space="preserve">  Kammarkollegiets verksamhet föreslås samordnas med Statskontorets.</w:t>
      </w:r>
    </w:p>
  </w:footnote>
  <w:footnote w:id="12">
    <w:p w:rsidR="006C0E49" w:rsidRPr="00023A3D" w:rsidRDefault="006C0E49">
      <w:pPr>
        <w:pStyle w:val="Fotnotstext"/>
        <w:spacing w:before="40"/>
      </w:pPr>
      <w:r w:rsidRPr="00023A3D">
        <w:rPr>
          <w:rStyle w:val="Fotnotsreferens"/>
        </w:rPr>
        <w:footnoteRef/>
      </w:r>
      <w:r w:rsidRPr="00023A3D">
        <w:t xml:space="preserve"> NOU:s verksamhet föreslås slås samman och samordnas med Konkurrensverkets fr.o.m. andra halvåret 2002. Vi ökar anslagen jämfört med regeringen med 2,6 miljoner kronor 2002, 4,9 miljoner kronor 2003 och 7,2 miljoner kronor 2004. Av detta överförs 6,3 miljoner kronor 2002 (halva verksamheten), 12,5 miljoner kronor 2003 och 15 miljoner kronor 2004 till Konkurrensverket.</w:t>
      </w:r>
    </w:p>
  </w:footnote>
  <w:footnote w:id="13">
    <w:p w:rsidR="006C0E49" w:rsidRPr="00023A3D" w:rsidRDefault="006C0E49">
      <w:pPr>
        <w:pStyle w:val="Fotnotstext"/>
        <w:pBdr>
          <w:top w:val="single" w:sz="4" w:space="1" w:color="auto"/>
        </w:pBdr>
        <w:ind w:right="3118"/>
      </w:pPr>
    </w:p>
    <w:p w:rsidR="006C0E49" w:rsidRPr="00023A3D" w:rsidRDefault="006C0E49">
      <w:pPr>
        <w:pStyle w:val="Fotnotstext"/>
      </w:pPr>
      <w:r w:rsidRPr="00023A3D">
        <w:rPr>
          <w:rStyle w:val="Fotnotsreferens"/>
        </w:rPr>
        <w:footnoteRef/>
      </w:r>
      <w:r w:rsidRPr="00023A3D">
        <w:t xml:space="preserve"> Lagen omtryckt 1995:1544.</w:t>
      </w:r>
    </w:p>
  </w:footnote>
  <w:footnote w:id="14">
    <w:p w:rsidR="006C0E49" w:rsidRPr="00023A3D" w:rsidRDefault="006C0E49">
      <w:pPr>
        <w:pStyle w:val="Fotnotstext"/>
        <w:pBdr>
          <w:top w:val="single" w:sz="4" w:space="1" w:color="auto"/>
        </w:pBdr>
        <w:ind w:right="3118"/>
      </w:pPr>
    </w:p>
    <w:p w:rsidR="006C0E49" w:rsidRPr="00023A3D" w:rsidRDefault="006C0E49">
      <w:pPr>
        <w:pStyle w:val="Fotnotstext"/>
      </w:pPr>
      <w:r w:rsidRPr="00023A3D">
        <w:rPr>
          <w:rStyle w:val="Fotnotsreferens"/>
        </w:rPr>
        <w:footnoteRef/>
      </w:r>
      <w:r w:rsidRPr="00023A3D">
        <w:t xml:space="preserve"> Senaste lydelse 2000:986.</w:t>
      </w:r>
    </w:p>
  </w:footnote>
  <w:footnote w:id="15">
    <w:p w:rsidR="006C0E49" w:rsidRPr="00023A3D" w:rsidRDefault="006C0E49">
      <w:pPr>
        <w:pStyle w:val="Fotnotstext"/>
      </w:pPr>
      <w:r w:rsidRPr="00023A3D">
        <w:rPr>
          <w:rStyle w:val="Fotnotsreferens"/>
        </w:rPr>
        <w:footnoteRef/>
      </w:r>
      <w:r w:rsidRPr="00023A3D">
        <w:t xml:space="preserve"> Senaste lydelse 2000:197.</w:t>
      </w:r>
    </w:p>
  </w:footnote>
  <w:footnote w:id="16">
    <w:p w:rsidR="006C0E49" w:rsidRPr="00023A3D" w:rsidRDefault="006C0E49">
      <w:pPr>
        <w:pStyle w:val="Fotnotstext"/>
        <w:pBdr>
          <w:top w:val="single" w:sz="4" w:space="1" w:color="auto"/>
        </w:pBdr>
        <w:ind w:right="3118"/>
      </w:pPr>
    </w:p>
    <w:p w:rsidR="006C0E49" w:rsidRPr="00023A3D" w:rsidRDefault="006C0E49">
      <w:pPr>
        <w:pStyle w:val="Fotnotstext"/>
      </w:pPr>
      <w:r w:rsidRPr="00023A3D">
        <w:rPr>
          <w:rStyle w:val="Fotnotsreferens"/>
        </w:rPr>
        <w:footnoteRef/>
      </w:r>
      <w:r w:rsidRPr="00023A3D">
        <w:t xml:space="preserve"> Senaste lydelse 1999:390.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fldChar w:fldCharType="begin" w:fldLock="1"/>
    </w:r>
    <w:r w:rsidRPr="00023A3D">
      <w:rPr>
        <w:rStyle w:val="SidhuvudUtskott"/>
      </w:rPr>
      <w:instrText xml:space="preserve"> DOCPROPERTY BetänkandeÅr</w:instrText>
    </w:r>
    <w:r w:rsidRPr="00023A3D">
      <w:rPr>
        <w:rStyle w:val="SidhuvudUtskott"/>
      </w:rPr>
      <w:fldChar w:fldCharType="separate"/>
    </w:r>
    <w:r w:rsidRPr="00023A3D">
      <w:rPr>
        <w:rStyle w:val="SidhuvudUtskott"/>
      </w:rPr>
      <w:t>2001/02</w:t>
    </w:r>
    <w:r w:rsidRPr="00023A3D">
      <w:rPr>
        <w:rStyle w:val="SidhuvudUtskott"/>
      </w:rPr>
      <w:fldChar w:fldCharType="end"/>
    </w:r>
    <w:r w:rsidRPr="00023A3D">
      <w:rPr>
        <w:rStyle w:val="SidhuvudUtskott"/>
      </w:rPr>
      <w:t>:</w:t>
    </w:r>
    <w:r w:rsidRPr="00023A3D">
      <w:rPr>
        <w:rStyle w:val="SidhuvudUtskott"/>
      </w:rPr>
      <w:fldChar w:fldCharType="begin" w:fldLock="1"/>
    </w:r>
    <w:r w:rsidRPr="00023A3D">
      <w:rPr>
        <w:rStyle w:val="SidhuvudUtskott"/>
      </w:rPr>
      <w:instrText xml:space="preserve"> DOCPROPERTY Utskott</w:instrText>
    </w:r>
    <w:r w:rsidRPr="00023A3D">
      <w:rPr>
        <w:rStyle w:val="SidhuvudUtskott"/>
      </w:rPr>
      <w:fldChar w:fldCharType="separate"/>
    </w:r>
    <w:r w:rsidRPr="00023A3D">
      <w:rPr>
        <w:rStyle w:val="SidhuvudUtskott"/>
      </w:rPr>
      <w:t>FiU</w:t>
    </w:r>
    <w:r w:rsidRPr="00023A3D">
      <w:rPr>
        <w:rStyle w:val="SidhuvudUtskott"/>
      </w:rPr>
      <w:fldChar w:fldCharType="end"/>
    </w:r>
    <w:r w:rsidRPr="00023A3D">
      <w:rPr>
        <w:rStyle w:val="SidhuvudUtskott"/>
      </w:rPr>
      <w:fldChar w:fldCharType="begin" w:fldLock="1"/>
    </w:r>
    <w:r w:rsidRPr="00023A3D">
      <w:rPr>
        <w:rStyle w:val="SidhuvudUtskott"/>
      </w:rPr>
      <w:instrText xml:space="preserve"> DOCPROPERTY BetänkandeNr</w:instrText>
    </w:r>
    <w:r w:rsidRPr="00023A3D">
      <w:rPr>
        <w:rStyle w:val="SidhuvudUtskott"/>
      </w:rPr>
      <w:fldChar w:fldCharType="separate"/>
    </w:r>
    <w:r w:rsidRPr="00023A3D">
      <w:rPr>
        <w:rStyle w:val="SidhuvudUtskott"/>
      </w:rPr>
      <w:t>2</w:t>
    </w:r>
    <w:r w:rsidRPr="00023A3D">
      <w:rPr>
        <w:rStyle w:val="SidhuvudUtskott"/>
      </w:rPr>
      <w:fldChar w:fldCharType="end"/>
    </w:r>
    <w:r w:rsidRPr="00023A3D">
      <w:t xml:space="preserve">     </w:t>
    </w:r>
    <w:r w:rsidRPr="00023A3D">
      <w:rPr>
        <w:rStyle w:val="SidhuvudBilaga"/>
      </w:rPr>
      <w:t xml:space="preserve"> </w:t>
    </w:r>
    <w:r w:rsidRPr="00023A3D">
      <w:rPr>
        <w:rStyle w:val="SidhuvudRubrikReferens"/>
      </w:rPr>
      <w:fldChar w:fldCharType="begin" w:fldLock="1"/>
    </w:r>
    <w:r w:rsidRPr="00023A3D">
      <w:rPr>
        <w:rStyle w:val="SidhuvudRubrikReferens"/>
      </w:rPr>
      <w:instrText xml:space="preserve"> StyleREF "Rubrik 1" </w:instrText>
    </w:r>
    <w:r w:rsidRPr="00023A3D">
      <w:rPr>
        <w:rStyle w:val="SidhuvudRubrikReferens"/>
      </w:rPr>
      <w:fldChar w:fldCharType="separate"/>
    </w:r>
    <w:r w:rsidRPr="00023A3D">
      <w:rPr>
        <w:rStyle w:val="SidhuvudRubrikReferens"/>
      </w:rPr>
      <w:t>Sammanfattning</w:t>
    </w:r>
    <w:r w:rsidRPr="00023A3D">
      <w:rPr>
        <w:rStyle w:val="SidhuvudRubrikReferens"/>
      </w:rPr>
      <w:fldChar w:fldCharType="end"/>
    </w:r>
  </w:p>
  <w:p w:rsidR="006C0E49" w:rsidRPr="00023A3D" w:rsidRDefault="006C0E49">
    <w:pPr>
      <w:pStyle w:val="SidhuvudKantJmn"/>
      <w:framePr w:w="8732" w:h="567" w:hRule="exact" w:vSpace="0" w:wrap="around" w:vAnchor="page" w:y="341" w:anchorLock="0"/>
    </w:pPr>
    <w:r w:rsidRPr="00023A3D">
      <w:rPr>
        <w:rStyle w:val="SidhuvudUtskott"/>
      </w:rPr>
      <w:fldChar w:fldCharType="begin" w:fldLock="1"/>
    </w:r>
    <w:r w:rsidRPr="00023A3D">
      <w:rPr>
        <w:rStyle w:val="SidhuvudUtskott"/>
      </w:rPr>
      <w:instrText xml:space="preserve"> DOCPROPERTY Status</w:instrText>
    </w:r>
    <w:r w:rsidRPr="00023A3D">
      <w:rPr>
        <w:rStyle w:val="SidhuvudUtskott"/>
      </w:rPr>
      <w:fldChar w:fldCharType="end"/>
    </w:r>
    <w:r w:rsidRPr="00023A3D">
      <w:rPr>
        <w:rStyle w:val="SidhuvudUtskott"/>
      </w:rPr>
      <w:fldChar w:fldCharType="begin" w:fldLock="1"/>
    </w:r>
    <w:r w:rsidRPr="00023A3D">
      <w:rPr>
        <w:rStyle w:val="SidhuvudUtskott"/>
      </w:rPr>
      <w:instrText xml:space="preserve"> if </w:instrText>
    </w:r>
    <w:r w:rsidRPr="00023A3D">
      <w:rPr>
        <w:rStyle w:val="SidhuvudUtskott"/>
      </w:rPr>
      <w:fldChar w:fldCharType="begin" w:fldLock="1"/>
    </w:r>
    <w:r w:rsidRPr="00023A3D">
      <w:rPr>
        <w:rStyle w:val="SidhuvudUtskott"/>
      </w:rPr>
      <w:instrText xml:space="preserve"> DOCPROPERTY "UtkastDatum"</w:instrText>
    </w:r>
    <w:r w:rsidRPr="00023A3D">
      <w:rPr>
        <w:rStyle w:val="SidhuvudUtskott"/>
      </w:rPr>
      <w:fldChar w:fldCharType="separate"/>
    </w:r>
    <w:r w:rsidRPr="00023A3D">
      <w:rPr>
        <w:rStyle w:val="SidhuvudUtskott"/>
      </w:rPr>
      <w:instrText>Nej</w:instrText>
    </w:r>
    <w:r w:rsidRPr="00023A3D">
      <w:rPr>
        <w:rStyle w:val="SidhuvudUtskott"/>
      </w:rPr>
      <w:fldChar w:fldCharType="end"/>
    </w:r>
    <w:r w:rsidRPr="00023A3D">
      <w:rPr>
        <w:rStyle w:val="SidhuvudUtskott"/>
      </w:rPr>
      <w:instrText xml:space="preserve"> = "Ja" "    </w:instrText>
    </w:r>
    <w:r w:rsidRPr="00023A3D">
      <w:rPr>
        <w:rStyle w:val="SidhuvudUtskott"/>
      </w:rPr>
      <w:fldChar w:fldCharType="begin" w:fldLock="1"/>
    </w:r>
    <w:r w:rsidRPr="00023A3D">
      <w:rPr>
        <w:rStyle w:val="SidhuvudUtskott"/>
      </w:rPr>
      <w:instrText xml:space="preserve"> PRINTDATE \@ "yyyy-MM-dd HH.mm" </w:instrText>
    </w:r>
    <w:r w:rsidRPr="00023A3D">
      <w:rPr>
        <w:rStyle w:val="SidhuvudUtskott"/>
      </w:rPr>
      <w:fldChar w:fldCharType="separate"/>
    </w:r>
    <w:r w:rsidRPr="00023A3D">
      <w:rPr>
        <w:rStyle w:val="SidhuvudUtskott"/>
      </w:rPr>
      <w:instrText>2000-08-11 16.42</w:instrText>
    </w:r>
    <w:r w:rsidRPr="00023A3D">
      <w:rPr>
        <w:rStyle w:val="SidhuvudUtskott"/>
      </w:rPr>
      <w:fldChar w:fldCharType="end"/>
    </w:r>
    <w:r w:rsidRPr="00023A3D">
      <w:rPr>
        <w:rStyle w:val="SidhuvudUtskott"/>
      </w:rPr>
      <w:instrText xml:space="preserve">" </w:instrText>
    </w:r>
    <w:r w:rsidRPr="00023A3D">
      <w:rPr>
        <w:rStyle w:val="SidhuvudUtskott"/>
      </w:rPr>
      <w:fldChar w:fldCharType="end"/>
    </w:r>
  </w:p>
  <w:p w:rsidR="006C0E49" w:rsidRPr="00023A3D" w:rsidRDefault="006C0E4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fldChar w:fldCharType="begin" w:fldLock="1"/>
    </w:r>
    <w:r w:rsidRPr="00023A3D">
      <w:rPr>
        <w:rStyle w:val="SidhuvudUtskott"/>
      </w:rPr>
      <w:instrText xml:space="preserve"> DOCPROPERTY BetänkandeÅr</w:instrText>
    </w:r>
    <w:r w:rsidRPr="00023A3D">
      <w:rPr>
        <w:rStyle w:val="SidhuvudUtskott"/>
      </w:rPr>
      <w:fldChar w:fldCharType="separate"/>
    </w:r>
    <w:r w:rsidRPr="00023A3D">
      <w:rPr>
        <w:rStyle w:val="SidhuvudUtskott"/>
      </w:rPr>
      <w:t>2001/02</w:t>
    </w:r>
    <w:r w:rsidRPr="00023A3D">
      <w:rPr>
        <w:rStyle w:val="SidhuvudUtskott"/>
      </w:rPr>
      <w:fldChar w:fldCharType="end"/>
    </w:r>
    <w:r w:rsidRPr="00023A3D">
      <w:rPr>
        <w:rStyle w:val="SidhuvudUtskott"/>
      </w:rPr>
      <w:t>:</w:t>
    </w:r>
    <w:r w:rsidRPr="00023A3D">
      <w:rPr>
        <w:rStyle w:val="SidhuvudUtskott"/>
      </w:rPr>
      <w:fldChar w:fldCharType="begin" w:fldLock="1"/>
    </w:r>
    <w:r w:rsidRPr="00023A3D">
      <w:rPr>
        <w:rStyle w:val="SidhuvudUtskott"/>
      </w:rPr>
      <w:instrText xml:space="preserve"> DOCPROPERTY Utskott</w:instrText>
    </w:r>
    <w:r w:rsidRPr="00023A3D">
      <w:rPr>
        <w:rStyle w:val="SidhuvudUtskott"/>
      </w:rPr>
      <w:fldChar w:fldCharType="separate"/>
    </w:r>
    <w:r w:rsidRPr="00023A3D">
      <w:rPr>
        <w:rStyle w:val="SidhuvudUtskott"/>
      </w:rPr>
      <w:t>FiU</w:t>
    </w:r>
    <w:r w:rsidRPr="00023A3D">
      <w:rPr>
        <w:rStyle w:val="SidhuvudUtskott"/>
      </w:rPr>
      <w:fldChar w:fldCharType="end"/>
    </w:r>
    <w:r w:rsidRPr="00023A3D">
      <w:rPr>
        <w:rStyle w:val="SidhuvudUtskott"/>
      </w:rPr>
      <w:fldChar w:fldCharType="begin" w:fldLock="1"/>
    </w:r>
    <w:r w:rsidRPr="00023A3D">
      <w:rPr>
        <w:rStyle w:val="SidhuvudUtskott"/>
      </w:rPr>
      <w:instrText xml:space="preserve"> DOCPROPERTY BetänkandeNr</w:instrText>
    </w:r>
    <w:r w:rsidRPr="00023A3D">
      <w:rPr>
        <w:rStyle w:val="SidhuvudUtskott"/>
      </w:rPr>
      <w:fldChar w:fldCharType="separate"/>
    </w:r>
    <w:r w:rsidRPr="00023A3D">
      <w:rPr>
        <w:rStyle w:val="SidhuvudUtskott"/>
      </w:rPr>
      <w:t>2</w:t>
    </w:r>
    <w:r w:rsidRPr="00023A3D">
      <w:rPr>
        <w:rStyle w:val="SidhuvudUtskott"/>
      </w:rPr>
      <w:fldChar w:fldCharType="end"/>
    </w:r>
    <w:r w:rsidRPr="00023A3D">
      <w:t xml:space="preserve">     </w:t>
    </w:r>
    <w:r w:rsidRPr="00023A3D">
      <w:rPr>
        <w:rStyle w:val="SidhuvudBilaga"/>
      </w:rPr>
      <w:t xml:space="preserve"> </w:t>
    </w:r>
    <w:r w:rsidRPr="00023A3D">
      <w:rPr>
        <w:rStyle w:val="SidhuvudRubrikReferens"/>
      </w:rPr>
      <w:fldChar w:fldCharType="begin" w:fldLock="1"/>
    </w:r>
    <w:r w:rsidRPr="00023A3D">
      <w:rPr>
        <w:rStyle w:val="SidhuvudRubrikReferens"/>
      </w:rPr>
      <w:instrText xml:space="preserve"> StyleREF "Rubrik 1" </w:instrText>
    </w:r>
    <w:r w:rsidRPr="00023A3D">
      <w:rPr>
        <w:rStyle w:val="SidhuvudRubrikReferens"/>
      </w:rPr>
      <w:fldChar w:fldCharType="separate"/>
    </w:r>
    <w:r w:rsidRPr="00023A3D">
      <w:rPr>
        <w:rStyle w:val="SidhuvudRubrikReferens"/>
      </w:rPr>
      <w:t>Utskottets förslag till riksdagsbeslut</w:t>
    </w:r>
    <w:r w:rsidRPr="00023A3D">
      <w:rPr>
        <w:rStyle w:val="SidhuvudRubrikReferens"/>
      </w:rPr>
      <w:fldChar w:fldCharType="end"/>
    </w:r>
  </w:p>
  <w:p w:rsidR="006C0E49" w:rsidRPr="00023A3D" w:rsidRDefault="006C0E49">
    <w:pPr>
      <w:pStyle w:val="SidhuvudKantJmn"/>
      <w:framePr w:w="8732" w:h="567" w:hRule="exact" w:vSpace="0" w:wrap="around" w:vAnchor="page" w:y="341" w:anchorLock="0"/>
    </w:pPr>
    <w:r w:rsidRPr="00023A3D">
      <w:rPr>
        <w:rStyle w:val="SidhuvudUtskott"/>
      </w:rPr>
      <w:fldChar w:fldCharType="begin" w:fldLock="1"/>
    </w:r>
    <w:r w:rsidRPr="00023A3D">
      <w:rPr>
        <w:rStyle w:val="SidhuvudUtskott"/>
      </w:rPr>
      <w:instrText xml:space="preserve"> DOCPROPERTY Status</w:instrText>
    </w:r>
    <w:r w:rsidRPr="00023A3D">
      <w:rPr>
        <w:rStyle w:val="SidhuvudUtskott"/>
      </w:rPr>
      <w:fldChar w:fldCharType="end"/>
    </w:r>
    <w:r w:rsidRPr="00023A3D">
      <w:rPr>
        <w:rStyle w:val="SidhuvudUtskott"/>
      </w:rPr>
      <w:fldChar w:fldCharType="begin" w:fldLock="1"/>
    </w:r>
    <w:r w:rsidRPr="00023A3D">
      <w:rPr>
        <w:rStyle w:val="SidhuvudUtskott"/>
      </w:rPr>
      <w:instrText xml:space="preserve"> if </w:instrText>
    </w:r>
    <w:r w:rsidRPr="00023A3D">
      <w:rPr>
        <w:rStyle w:val="SidhuvudUtskott"/>
      </w:rPr>
      <w:fldChar w:fldCharType="begin" w:fldLock="1"/>
    </w:r>
    <w:r w:rsidRPr="00023A3D">
      <w:rPr>
        <w:rStyle w:val="SidhuvudUtskott"/>
      </w:rPr>
      <w:instrText xml:space="preserve"> DOCPROPERTY "UtkastDatum"</w:instrText>
    </w:r>
    <w:r w:rsidRPr="00023A3D">
      <w:rPr>
        <w:rStyle w:val="SidhuvudUtskott"/>
      </w:rPr>
      <w:fldChar w:fldCharType="separate"/>
    </w:r>
    <w:r w:rsidRPr="00023A3D">
      <w:rPr>
        <w:rStyle w:val="SidhuvudUtskott"/>
      </w:rPr>
      <w:instrText>Nej</w:instrText>
    </w:r>
    <w:r w:rsidRPr="00023A3D">
      <w:rPr>
        <w:rStyle w:val="SidhuvudUtskott"/>
      </w:rPr>
      <w:fldChar w:fldCharType="end"/>
    </w:r>
    <w:r w:rsidRPr="00023A3D">
      <w:rPr>
        <w:rStyle w:val="SidhuvudUtskott"/>
      </w:rPr>
      <w:instrText xml:space="preserve"> = "Ja" "    </w:instrText>
    </w:r>
    <w:r w:rsidRPr="00023A3D">
      <w:rPr>
        <w:rStyle w:val="SidhuvudUtskott"/>
      </w:rPr>
      <w:fldChar w:fldCharType="begin" w:fldLock="1"/>
    </w:r>
    <w:r w:rsidRPr="00023A3D">
      <w:rPr>
        <w:rStyle w:val="SidhuvudUtskott"/>
      </w:rPr>
      <w:instrText xml:space="preserve"> PRINTDATE \@ "yyyy-MM-dd HH.mm" </w:instrText>
    </w:r>
    <w:r w:rsidRPr="00023A3D">
      <w:rPr>
        <w:rStyle w:val="SidhuvudUtskott"/>
      </w:rPr>
      <w:fldChar w:fldCharType="separate"/>
    </w:r>
    <w:r w:rsidRPr="00023A3D">
      <w:rPr>
        <w:rStyle w:val="SidhuvudUtskott"/>
      </w:rPr>
      <w:instrText>2000-08-11 16.42</w:instrText>
    </w:r>
    <w:r w:rsidRPr="00023A3D">
      <w:rPr>
        <w:rStyle w:val="SidhuvudUtskott"/>
      </w:rPr>
      <w:fldChar w:fldCharType="end"/>
    </w:r>
    <w:r w:rsidRPr="00023A3D">
      <w:rPr>
        <w:rStyle w:val="SidhuvudUtskott"/>
      </w:rPr>
      <w:instrText xml:space="preserve">" </w:instrText>
    </w:r>
    <w:r w:rsidRPr="00023A3D">
      <w:rPr>
        <w:rStyle w:val="SidhuvudUtskott"/>
      </w:rPr>
      <w:fldChar w:fldCharType="end"/>
    </w:r>
  </w:p>
  <w:p w:rsidR="006C0E49" w:rsidRPr="00023A3D" w:rsidRDefault="006C0E4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rPr>
        <w:rStyle w:val="SidhuvudRubrikReferens"/>
      </w:rPr>
      <w:fldChar w:fldCharType="begin" w:fldLock="1"/>
    </w:r>
    <w:r w:rsidRPr="00023A3D">
      <w:rPr>
        <w:rStyle w:val="SidhuvudRubrikReferens"/>
      </w:rPr>
      <w:instrText xml:space="preserve"> StyleREF "Rubrik 1" </w:instrText>
    </w:r>
    <w:r w:rsidRPr="00023A3D">
      <w:rPr>
        <w:rStyle w:val="SidhuvudRubrikReferens"/>
      </w:rPr>
      <w:fldChar w:fldCharType="separate"/>
    </w:r>
    <w:r w:rsidRPr="00023A3D">
      <w:rPr>
        <w:rStyle w:val="SidhuvudRubrikReferens"/>
      </w:rPr>
      <w:t>Utskottets förslag till riksdagsbeslut</w:t>
    </w:r>
    <w:r w:rsidRPr="00023A3D">
      <w:rPr>
        <w:rStyle w:val="SidhuvudRubrikReferens"/>
      </w:rPr>
      <w:fldChar w:fldCharType="end"/>
    </w:r>
    <w:r w:rsidRPr="00023A3D">
      <w:rPr>
        <w:rStyle w:val="SidhuvudBilaga"/>
      </w:rPr>
      <w:t xml:space="preserve"> </w:t>
    </w:r>
    <w:r w:rsidRPr="00023A3D">
      <w:t xml:space="preserve">     </w:t>
    </w:r>
    <w:r w:rsidRPr="00023A3D">
      <w:rPr>
        <w:rStyle w:val="SidhuvudUtskott"/>
      </w:rPr>
      <w:fldChar w:fldCharType="begin" w:fldLock="1"/>
    </w:r>
    <w:r w:rsidRPr="00023A3D">
      <w:rPr>
        <w:rStyle w:val="SidhuvudUtskott"/>
      </w:rPr>
      <w:instrText xml:space="preserve"> DOCPROPERTY BetänkandeÅr</w:instrText>
    </w:r>
    <w:r w:rsidRPr="00023A3D">
      <w:rPr>
        <w:rStyle w:val="SidhuvudUtskott"/>
      </w:rPr>
      <w:fldChar w:fldCharType="separate"/>
    </w:r>
    <w:r w:rsidRPr="00023A3D">
      <w:rPr>
        <w:rStyle w:val="SidhuvudUtskott"/>
      </w:rPr>
      <w:t>2001/02</w:t>
    </w:r>
    <w:r w:rsidRPr="00023A3D">
      <w:rPr>
        <w:rStyle w:val="SidhuvudUtskott"/>
      </w:rPr>
      <w:fldChar w:fldCharType="end"/>
    </w:r>
    <w:r w:rsidRPr="00023A3D">
      <w:rPr>
        <w:rStyle w:val="SidhuvudUtskott"/>
      </w:rPr>
      <w:t>:</w:t>
    </w:r>
    <w:r w:rsidRPr="00023A3D">
      <w:rPr>
        <w:rStyle w:val="SidhuvudUtskott"/>
      </w:rPr>
      <w:fldChar w:fldCharType="begin" w:fldLock="1"/>
    </w:r>
    <w:r w:rsidRPr="00023A3D">
      <w:rPr>
        <w:rStyle w:val="SidhuvudUtskott"/>
      </w:rPr>
      <w:instrText xml:space="preserve"> DOCPROPERTY</w:instrText>
    </w:r>
    <w:r w:rsidRPr="00023A3D">
      <w:instrText xml:space="preserve"> </w:instrText>
    </w:r>
    <w:r w:rsidRPr="00023A3D">
      <w:rPr>
        <w:rStyle w:val="SidhuvudUtskott"/>
      </w:rPr>
      <w:instrText>Utskott</w:instrText>
    </w:r>
    <w:r w:rsidRPr="00023A3D">
      <w:rPr>
        <w:rStyle w:val="SidhuvudUtskott"/>
      </w:rPr>
      <w:fldChar w:fldCharType="separate"/>
    </w:r>
    <w:r w:rsidRPr="00023A3D">
      <w:rPr>
        <w:rStyle w:val="SidhuvudUtskott"/>
      </w:rPr>
      <w:t>FiU</w:t>
    </w:r>
    <w:r w:rsidRPr="00023A3D">
      <w:rPr>
        <w:rStyle w:val="SidhuvudUtskott"/>
      </w:rPr>
      <w:fldChar w:fldCharType="end"/>
    </w:r>
    <w:r w:rsidRPr="00023A3D">
      <w:rPr>
        <w:rStyle w:val="SidhuvudUtskott"/>
      </w:rPr>
      <w:fldChar w:fldCharType="begin" w:fldLock="1"/>
    </w:r>
    <w:r w:rsidRPr="00023A3D">
      <w:rPr>
        <w:rStyle w:val="SidhuvudUtskott"/>
      </w:rPr>
      <w:instrText xml:space="preserve"> DOCPROPERTY Betä</w:instrText>
    </w:r>
    <w:r w:rsidRPr="00023A3D">
      <w:rPr>
        <w:rStyle w:val="SidhuvudUtskott"/>
      </w:rPr>
      <w:instrText>n</w:instrText>
    </w:r>
    <w:r w:rsidRPr="00023A3D">
      <w:rPr>
        <w:rStyle w:val="SidhuvudUtskott"/>
      </w:rPr>
      <w:instrText>kandeNr</w:instrText>
    </w:r>
    <w:r w:rsidRPr="00023A3D">
      <w:rPr>
        <w:rStyle w:val="SidhuvudUtskott"/>
      </w:rPr>
      <w:fldChar w:fldCharType="separate"/>
    </w:r>
    <w:r w:rsidRPr="00023A3D">
      <w:rPr>
        <w:rStyle w:val="SidhuvudUtskott"/>
      </w:rPr>
      <w:t>2</w:t>
    </w:r>
    <w:r w:rsidRPr="00023A3D">
      <w:rPr>
        <w:rStyle w:val="SidhuvudUtskott"/>
      </w:rPr>
      <w:fldChar w:fldCharType="end"/>
    </w:r>
  </w:p>
  <w:p w:rsidR="006C0E49" w:rsidRPr="00023A3D" w:rsidRDefault="006C0E49">
    <w:pPr>
      <w:pStyle w:val="SidhuvudKantUdda"/>
      <w:framePr w:w="8732" w:h="567" w:hRule="exact" w:vSpace="0" w:wrap="around" w:vAnchor="page" w:y="341" w:anchorLock="0"/>
    </w:pPr>
    <w:r w:rsidRPr="00023A3D">
      <w:rPr>
        <w:rStyle w:val="SidhuvudUtskott"/>
      </w:rPr>
      <w:fldChar w:fldCharType="begin" w:fldLock="1"/>
    </w:r>
    <w:r w:rsidRPr="00023A3D">
      <w:rPr>
        <w:rStyle w:val="SidhuvudUtskott"/>
      </w:rPr>
      <w:instrText xml:space="preserve"> if </w:instrText>
    </w:r>
    <w:r w:rsidRPr="00023A3D">
      <w:rPr>
        <w:rStyle w:val="SidhuvudUtskott"/>
      </w:rPr>
      <w:fldChar w:fldCharType="begin" w:fldLock="1"/>
    </w:r>
    <w:r w:rsidRPr="00023A3D">
      <w:rPr>
        <w:rStyle w:val="SidhuvudUtskott"/>
      </w:rPr>
      <w:instrText xml:space="preserve"> DOCPROPERTY "UtkastDatum"</w:instrText>
    </w:r>
    <w:r w:rsidRPr="00023A3D">
      <w:rPr>
        <w:rStyle w:val="SidhuvudUtskott"/>
      </w:rPr>
      <w:fldChar w:fldCharType="separate"/>
    </w:r>
    <w:r w:rsidRPr="00023A3D">
      <w:rPr>
        <w:rStyle w:val="SidhuvudUtskott"/>
      </w:rPr>
      <w:instrText>Nej</w:instrText>
    </w:r>
    <w:r w:rsidRPr="00023A3D">
      <w:rPr>
        <w:rStyle w:val="SidhuvudUtskott"/>
      </w:rPr>
      <w:fldChar w:fldCharType="end"/>
    </w:r>
    <w:r w:rsidRPr="00023A3D">
      <w:rPr>
        <w:rStyle w:val="SidhuvudUtskott"/>
      </w:rPr>
      <w:instrText xml:space="preserve"> = "Ja" "</w:instrText>
    </w:r>
    <w:r w:rsidRPr="00023A3D">
      <w:rPr>
        <w:rStyle w:val="SidhuvudUtskott"/>
      </w:rPr>
      <w:fldChar w:fldCharType="begin" w:fldLock="1"/>
    </w:r>
    <w:r w:rsidRPr="00023A3D">
      <w:rPr>
        <w:rStyle w:val="SidhuvudUtskott"/>
      </w:rPr>
      <w:instrText xml:space="preserve"> PRINTDATE \@ "yyyy-MM-dd HH.mm    " </w:instrText>
    </w:r>
    <w:r w:rsidRPr="00023A3D">
      <w:rPr>
        <w:rStyle w:val="SidhuvudUtskott"/>
      </w:rPr>
      <w:fldChar w:fldCharType="separate"/>
    </w:r>
    <w:r w:rsidRPr="00023A3D">
      <w:rPr>
        <w:rStyle w:val="SidhuvudUtskott"/>
      </w:rPr>
      <w:instrText>2000-08-11 16.42</w:instrText>
    </w:r>
    <w:r w:rsidRPr="00023A3D">
      <w:rPr>
        <w:rStyle w:val="SidhuvudUtskott"/>
      </w:rPr>
      <w:fldChar w:fldCharType="end"/>
    </w:r>
    <w:r w:rsidRPr="00023A3D">
      <w:rPr>
        <w:rStyle w:val="SidhuvudUtskott"/>
      </w:rPr>
      <w:instrText xml:space="preserve">" </w:instrText>
    </w:r>
    <w:r w:rsidRPr="00023A3D">
      <w:rPr>
        <w:rStyle w:val="SidhuvudUtskott"/>
      </w:rPr>
      <w:fldChar w:fldCharType="end"/>
    </w:r>
    <w:r w:rsidRPr="00023A3D">
      <w:rPr>
        <w:rStyle w:val="SidhuvudUtskott"/>
      </w:rPr>
      <w:fldChar w:fldCharType="begin" w:fldLock="1"/>
    </w:r>
    <w:r w:rsidRPr="00023A3D">
      <w:rPr>
        <w:rStyle w:val="SidhuvudUtskott"/>
      </w:rPr>
      <w:instrText xml:space="preserve"> DOCPR</w:instrText>
    </w:r>
    <w:r w:rsidRPr="00023A3D">
      <w:rPr>
        <w:rStyle w:val="SidhuvudUtskott"/>
      </w:rPr>
      <w:instrText>O</w:instrText>
    </w:r>
    <w:r w:rsidRPr="00023A3D">
      <w:rPr>
        <w:rStyle w:val="SidhuvudUtskott"/>
      </w:rPr>
      <w:instrText>PERTY Status</w:instrText>
    </w:r>
    <w:r w:rsidRPr="00023A3D">
      <w:rPr>
        <w:rStyle w:val="SidhuvudUtskott"/>
      </w:rPr>
      <w:fldChar w:fldCharType="end"/>
    </w:r>
  </w:p>
  <w:p w:rsidR="006C0E49" w:rsidRPr="00023A3D" w:rsidRDefault="006C0E4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p>
  <w:p w:rsidR="006C0E49" w:rsidRPr="00023A3D" w:rsidRDefault="006C0E49">
    <w:pPr>
      <w:pStyle w:val="SidhuvudKantJmn"/>
      <w:framePr w:w="8732" w:h="567" w:hRule="exact" w:vSpace="0" w:wrap="around" w:vAnchor="page" w:y="341" w:anchorLock="0"/>
    </w:pPr>
  </w:p>
  <w:p w:rsidR="006C0E49" w:rsidRPr="00023A3D" w:rsidRDefault="006C0E49">
    <w:pPr>
      <w:pStyle w:val="SidhuvudKantUdda"/>
      <w:framePr w:w="8732" w:h="567" w:hRule="exact" w:vSpace="0" w:wrap="around" w:vAnchor="page" w:y="341" w:anchorLock="0"/>
    </w:pPr>
    <w:r w:rsidRPr="00023A3D">
      <w:rPr>
        <w:rStyle w:val="SidhuvudRubrikReferens"/>
        <w:smallCaps w:val="0"/>
        <w:spacing w:val="0"/>
        <w:sz w:val="19"/>
      </w:rPr>
      <w:t xml:space="preserve"> </w:t>
    </w:r>
  </w:p>
  <w:p w:rsidR="006C0E49" w:rsidRPr="00023A3D" w:rsidRDefault="006C0E4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r w:rsidRPr="00023A3D">
      <w:rPr>
        <w:rStyle w:val="SidhuvudBilaga"/>
      </w:rPr>
      <w:t xml:space="preserve"> </w:t>
    </w:r>
    <w:r w:rsidRPr="00023A3D">
      <w:rPr>
        <w:rStyle w:val="SidhuvudRubrikReferens"/>
      </w:rPr>
      <w:t>Utskottets överväganden</w:t>
    </w:r>
  </w:p>
  <w:p w:rsidR="006C0E49" w:rsidRPr="00023A3D" w:rsidRDefault="006C0E49">
    <w:pPr>
      <w:pStyle w:val="SidhuvudKantJmn"/>
      <w:framePr w:w="8732" w:h="567" w:hRule="exact" w:vSpace="0" w:wrap="around" w:vAnchor="page" w:y="341" w:anchorLock="0"/>
    </w:pPr>
  </w:p>
  <w:p w:rsidR="006C0E49" w:rsidRPr="00023A3D" w:rsidRDefault="006C0E4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rPr>
        <w:rStyle w:val="SidhuvudRubrikReferens"/>
      </w:rPr>
      <w:t>Utskottets överväganden</w:t>
    </w:r>
    <w:r w:rsidRPr="00023A3D">
      <w:rPr>
        <w:rStyle w:val="SidhuvudBilaga"/>
      </w:rPr>
      <w:t xml:space="preserve"> </w:t>
    </w:r>
    <w:r w:rsidRPr="00023A3D">
      <w:t xml:space="preserve">     </w:t>
    </w:r>
    <w:r w:rsidRPr="00023A3D">
      <w:rPr>
        <w:rStyle w:val="SidhuvudUtskott"/>
      </w:rPr>
      <w:t>2001/02:FiU2</w:t>
    </w:r>
  </w:p>
  <w:p w:rsidR="006C0E49" w:rsidRPr="00023A3D" w:rsidRDefault="006C0E49">
    <w:pPr>
      <w:pStyle w:val="SidhuvudKantUdda"/>
      <w:framePr w:w="8732" w:h="567" w:hRule="exact" w:vSpace="0" w:wrap="around" w:vAnchor="page" w:y="341" w:anchorLock="0"/>
    </w:pPr>
  </w:p>
  <w:p w:rsidR="006C0E49" w:rsidRPr="00023A3D" w:rsidRDefault="006C0E4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t xml:space="preserve">  </w:t>
    </w:r>
    <w:r w:rsidRPr="00023A3D">
      <w:rPr>
        <w:rStyle w:val="SidhuvudUtskott"/>
      </w:rPr>
      <w:t>2001/02:FiU2</w:t>
    </w:r>
  </w:p>
  <w:p w:rsidR="006C0E49" w:rsidRPr="00023A3D" w:rsidRDefault="006C0E49">
    <w:pPr>
      <w:pStyle w:val="SidhuvudKantUdda"/>
      <w:framePr w:w="8732" w:h="567" w:hRule="exact" w:vSpace="0" w:wrap="around" w:vAnchor="page" w:y="341" w:anchorLock="0"/>
    </w:pPr>
  </w:p>
  <w:p w:rsidR="006C0E49" w:rsidRPr="00023A3D" w:rsidRDefault="006C0E4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r w:rsidRPr="00023A3D">
      <w:rPr>
        <w:rStyle w:val="SidhuvudBilaga"/>
      </w:rPr>
      <w:t xml:space="preserve"> </w:t>
    </w:r>
    <w:r w:rsidRPr="00023A3D">
      <w:rPr>
        <w:rStyle w:val="SidhuvudRubrikReferens"/>
      </w:rPr>
      <w:t>Reservationer</w:t>
    </w:r>
  </w:p>
  <w:p w:rsidR="006C0E49" w:rsidRPr="00023A3D" w:rsidRDefault="006C0E49">
    <w:pPr>
      <w:pStyle w:val="SidhuvudKantJmn"/>
      <w:framePr w:w="8732" w:h="567" w:hRule="exact" w:vSpace="0" w:wrap="around" w:vAnchor="page" w:y="341" w:anchorLock="0"/>
    </w:pPr>
  </w:p>
  <w:p w:rsidR="006C0E49" w:rsidRPr="00023A3D" w:rsidRDefault="006C0E4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rPr>
        <w:rStyle w:val="SidhuvudRubrikReferens"/>
      </w:rPr>
      <w:t>Reservationer</w:t>
    </w:r>
    <w:r w:rsidRPr="00023A3D">
      <w:rPr>
        <w:rStyle w:val="SidhuvudBilaga"/>
      </w:rPr>
      <w:t xml:space="preserve"> </w:t>
    </w:r>
    <w:r w:rsidRPr="00023A3D">
      <w:t xml:space="preserve">     </w:t>
    </w:r>
    <w:r w:rsidRPr="00023A3D">
      <w:rPr>
        <w:rStyle w:val="SidhuvudUtskott"/>
      </w:rPr>
      <w:t>2001/02:FiU2</w:t>
    </w:r>
  </w:p>
  <w:p w:rsidR="006C0E49" w:rsidRPr="00023A3D" w:rsidRDefault="006C0E49">
    <w:pPr>
      <w:pStyle w:val="SidhuvudKantUdda"/>
      <w:framePr w:w="8732" w:h="567" w:hRule="exact" w:vSpace="0" w:wrap="around" w:vAnchor="page" w:y="341" w:anchorLock="0"/>
    </w:pPr>
  </w:p>
  <w:p w:rsidR="006C0E49" w:rsidRPr="00023A3D" w:rsidRDefault="006C0E4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p>
  <w:p w:rsidR="006C0E49" w:rsidRPr="00023A3D" w:rsidRDefault="006C0E49">
    <w:pPr>
      <w:pStyle w:val="SidhuvudKantJmn"/>
      <w:framePr w:w="8732" w:h="567" w:hRule="exact" w:vSpace="0" w:wrap="around" w:vAnchor="page" w:y="341" w:anchorLock="0"/>
    </w:pPr>
  </w:p>
  <w:p w:rsidR="006C0E49" w:rsidRPr="00023A3D" w:rsidRDefault="006C0E49">
    <w:pPr>
      <w:pStyle w:val="SidhuvudKantUdda"/>
      <w:framePr w:w="8732" w:h="567" w:hRule="exact" w:vSpace="0" w:wrap="around" w:vAnchor="page" w:y="341" w:anchorLock="0"/>
    </w:pPr>
    <w:r w:rsidRPr="00023A3D">
      <w:rPr>
        <w:rStyle w:val="SidhuvudRubrikReferens"/>
        <w:smallCaps w:val="0"/>
        <w:spacing w:val="0"/>
        <w:sz w:val="19"/>
      </w:rPr>
      <w:t xml:space="preserve"> </w:t>
    </w:r>
  </w:p>
  <w:p w:rsidR="006C0E49" w:rsidRPr="00023A3D" w:rsidRDefault="006C0E4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fldChar w:fldCharType="begin" w:fldLock="1"/>
    </w:r>
    <w:r w:rsidRPr="00023A3D">
      <w:rPr>
        <w:rStyle w:val="SidhuvudUtskott"/>
      </w:rPr>
      <w:instrText xml:space="preserve"> DOCPROPERTY BetänkandeÅr</w:instrText>
    </w:r>
    <w:r w:rsidRPr="00023A3D">
      <w:rPr>
        <w:rStyle w:val="SidhuvudUtskott"/>
      </w:rPr>
      <w:fldChar w:fldCharType="separate"/>
    </w:r>
    <w:r w:rsidRPr="00023A3D">
      <w:rPr>
        <w:rStyle w:val="SidhuvudUtskott"/>
      </w:rPr>
      <w:t>2001/02</w:t>
    </w:r>
    <w:r w:rsidRPr="00023A3D">
      <w:rPr>
        <w:rStyle w:val="SidhuvudUtskott"/>
      </w:rPr>
      <w:fldChar w:fldCharType="end"/>
    </w:r>
    <w:r w:rsidRPr="00023A3D">
      <w:rPr>
        <w:rStyle w:val="SidhuvudUtskott"/>
      </w:rPr>
      <w:t>:</w:t>
    </w:r>
    <w:r w:rsidRPr="00023A3D">
      <w:rPr>
        <w:rStyle w:val="SidhuvudUtskott"/>
      </w:rPr>
      <w:fldChar w:fldCharType="begin" w:fldLock="1"/>
    </w:r>
    <w:r w:rsidRPr="00023A3D">
      <w:rPr>
        <w:rStyle w:val="SidhuvudUtskott"/>
      </w:rPr>
      <w:instrText xml:space="preserve"> DOCPROPERTY Utskott</w:instrText>
    </w:r>
    <w:r w:rsidRPr="00023A3D">
      <w:rPr>
        <w:rStyle w:val="SidhuvudUtskott"/>
      </w:rPr>
      <w:fldChar w:fldCharType="separate"/>
    </w:r>
    <w:r w:rsidRPr="00023A3D">
      <w:rPr>
        <w:rStyle w:val="SidhuvudUtskott"/>
      </w:rPr>
      <w:t>FiU</w:t>
    </w:r>
    <w:r w:rsidRPr="00023A3D">
      <w:rPr>
        <w:rStyle w:val="SidhuvudUtskott"/>
      </w:rPr>
      <w:fldChar w:fldCharType="end"/>
    </w:r>
    <w:r w:rsidRPr="00023A3D">
      <w:rPr>
        <w:rStyle w:val="SidhuvudUtskott"/>
      </w:rPr>
      <w:fldChar w:fldCharType="begin" w:fldLock="1"/>
    </w:r>
    <w:r w:rsidRPr="00023A3D">
      <w:rPr>
        <w:rStyle w:val="SidhuvudUtskott"/>
      </w:rPr>
      <w:instrText xml:space="preserve"> DOCPROPERTY BetänkandeNr</w:instrText>
    </w:r>
    <w:r w:rsidRPr="00023A3D">
      <w:rPr>
        <w:rStyle w:val="SidhuvudUtskott"/>
      </w:rPr>
      <w:fldChar w:fldCharType="separate"/>
    </w:r>
    <w:r w:rsidRPr="00023A3D">
      <w:rPr>
        <w:rStyle w:val="SidhuvudUtskott"/>
      </w:rPr>
      <w:t>2</w:t>
    </w:r>
    <w:r w:rsidRPr="00023A3D">
      <w:rPr>
        <w:rStyle w:val="SidhuvudUtskott"/>
      </w:rPr>
      <w:fldChar w:fldCharType="end"/>
    </w:r>
    <w:r w:rsidRPr="00023A3D">
      <w:t xml:space="preserve">     </w:t>
    </w:r>
    <w:r w:rsidRPr="00023A3D">
      <w:rPr>
        <w:rStyle w:val="SidhuvudBilaga"/>
      </w:rPr>
      <w:t xml:space="preserve"> </w:t>
    </w:r>
    <w:r w:rsidRPr="00023A3D">
      <w:rPr>
        <w:rStyle w:val="SidhuvudRubrikReferens"/>
      </w:rPr>
      <w:fldChar w:fldCharType="begin" w:fldLock="1"/>
    </w:r>
    <w:r w:rsidRPr="00023A3D">
      <w:rPr>
        <w:rStyle w:val="SidhuvudRubrikReferens"/>
      </w:rPr>
      <w:instrText xml:space="preserve"> StyleREF "Rubrik 1" </w:instrText>
    </w:r>
    <w:r w:rsidRPr="00023A3D">
      <w:rPr>
        <w:rStyle w:val="SidhuvudRubrikReferens"/>
      </w:rPr>
      <w:fldChar w:fldCharType="separate"/>
    </w:r>
    <w:r w:rsidRPr="00023A3D">
      <w:rPr>
        <w:rStyle w:val="SidhuvudRubrikReferens"/>
      </w:rPr>
      <w:t>Reservationer</w:t>
    </w:r>
    <w:r w:rsidRPr="00023A3D">
      <w:rPr>
        <w:rStyle w:val="SidhuvudRubrikReferens"/>
      </w:rPr>
      <w:fldChar w:fldCharType="end"/>
    </w:r>
  </w:p>
  <w:p w:rsidR="006C0E49" w:rsidRPr="00023A3D" w:rsidRDefault="006C0E49">
    <w:pPr>
      <w:pStyle w:val="SidhuvudKantJmn"/>
      <w:framePr w:w="8732" w:h="567" w:hRule="exact" w:vSpace="0" w:wrap="around" w:vAnchor="page" w:y="341" w:anchorLock="0"/>
    </w:pPr>
    <w:r w:rsidRPr="00023A3D">
      <w:rPr>
        <w:rStyle w:val="SidhuvudUtskott"/>
      </w:rPr>
      <w:fldChar w:fldCharType="begin" w:fldLock="1"/>
    </w:r>
    <w:r w:rsidRPr="00023A3D">
      <w:rPr>
        <w:rStyle w:val="SidhuvudUtskott"/>
      </w:rPr>
      <w:instrText xml:space="preserve"> DOCPROPERTY Status</w:instrText>
    </w:r>
    <w:r w:rsidRPr="00023A3D">
      <w:rPr>
        <w:rStyle w:val="SidhuvudUtskott"/>
      </w:rPr>
      <w:fldChar w:fldCharType="end"/>
    </w:r>
    <w:r w:rsidRPr="00023A3D">
      <w:rPr>
        <w:rStyle w:val="SidhuvudUtskott"/>
      </w:rPr>
      <w:fldChar w:fldCharType="begin" w:fldLock="1"/>
    </w:r>
    <w:r w:rsidRPr="00023A3D">
      <w:rPr>
        <w:rStyle w:val="SidhuvudUtskott"/>
      </w:rPr>
      <w:instrText xml:space="preserve"> if </w:instrText>
    </w:r>
    <w:r w:rsidRPr="00023A3D">
      <w:rPr>
        <w:rStyle w:val="SidhuvudUtskott"/>
      </w:rPr>
      <w:fldChar w:fldCharType="begin" w:fldLock="1"/>
    </w:r>
    <w:r w:rsidRPr="00023A3D">
      <w:rPr>
        <w:rStyle w:val="SidhuvudUtskott"/>
      </w:rPr>
      <w:instrText xml:space="preserve"> DOCPROPERTY "UtkastDatum"</w:instrText>
    </w:r>
    <w:r w:rsidRPr="00023A3D">
      <w:rPr>
        <w:rStyle w:val="SidhuvudUtskott"/>
      </w:rPr>
      <w:fldChar w:fldCharType="separate"/>
    </w:r>
    <w:r w:rsidRPr="00023A3D">
      <w:rPr>
        <w:rStyle w:val="SidhuvudUtskott"/>
      </w:rPr>
      <w:instrText>Nej</w:instrText>
    </w:r>
    <w:r w:rsidRPr="00023A3D">
      <w:rPr>
        <w:rStyle w:val="SidhuvudUtskott"/>
      </w:rPr>
      <w:fldChar w:fldCharType="end"/>
    </w:r>
    <w:r w:rsidRPr="00023A3D">
      <w:rPr>
        <w:rStyle w:val="SidhuvudUtskott"/>
      </w:rPr>
      <w:instrText xml:space="preserve"> = "Ja" "    </w:instrText>
    </w:r>
    <w:r w:rsidRPr="00023A3D">
      <w:rPr>
        <w:rStyle w:val="SidhuvudUtskott"/>
      </w:rPr>
      <w:fldChar w:fldCharType="begin" w:fldLock="1"/>
    </w:r>
    <w:r w:rsidRPr="00023A3D">
      <w:rPr>
        <w:rStyle w:val="SidhuvudUtskott"/>
      </w:rPr>
      <w:instrText xml:space="preserve"> PRINTDATE \@ "yyyy-MM-dd HH.mm" </w:instrText>
    </w:r>
    <w:r w:rsidRPr="00023A3D">
      <w:rPr>
        <w:rStyle w:val="SidhuvudUtskott"/>
      </w:rPr>
      <w:fldChar w:fldCharType="separate"/>
    </w:r>
    <w:r w:rsidRPr="00023A3D">
      <w:rPr>
        <w:rStyle w:val="SidhuvudUtskott"/>
      </w:rPr>
      <w:instrText>2000-08-11 16.42</w:instrText>
    </w:r>
    <w:r w:rsidRPr="00023A3D">
      <w:rPr>
        <w:rStyle w:val="SidhuvudUtskott"/>
      </w:rPr>
      <w:fldChar w:fldCharType="end"/>
    </w:r>
    <w:r w:rsidRPr="00023A3D">
      <w:rPr>
        <w:rStyle w:val="SidhuvudUtskott"/>
      </w:rPr>
      <w:instrText xml:space="preserve">" </w:instrText>
    </w:r>
    <w:r w:rsidRPr="00023A3D">
      <w:rPr>
        <w:rStyle w:val="SidhuvudUtskott"/>
      </w:rPr>
      <w:fldChar w:fldCharType="end"/>
    </w:r>
  </w:p>
  <w:p w:rsidR="006C0E49" w:rsidRPr="00023A3D" w:rsidRDefault="006C0E4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rPr>
        <w:rStyle w:val="SidhuvudRubrikReferens"/>
      </w:rPr>
      <w:fldChar w:fldCharType="begin" w:fldLock="1"/>
    </w:r>
    <w:r w:rsidRPr="00023A3D">
      <w:rPr>
        <w:rStyle w:val="SidhuvudRubrikReferens"/>
      </w:rPr>
      <w:instrText xml:space="preserve"> StyleREF "Rubrik 1" </w:instrText>
    </w:r>
    <w:r w:rsidRPr="00023A3D">
      <w:rPr>
        <w:rStyle w:val="SidhuvudRubrikReferens"/>
      </w:rPr>
      <w:fldChar w:fldCharType="separate"/>
    </w:r>
    <w:r w:rsidRPr="00023A3D">
      <w:rPr>
        <w:rStyle w:val="SidhuvudRubrikReferens"/>
      </w:rPr>
      <w:t>Sammanfattning</w:t>
    </w:r>
    <w:r w:rsidRPr="00023A3D">
      <w:rPr>
        <w:rStyle w:val="SidhuvudRubrikReferens"/>
      </w:rPr>
      <w:fldChar w:fldCharType="end"/>
    </w:r>
    <w:r w:rsidRPr="00023A3D">
      <w:rPr>
        <w:rStyle w:val="SidhuvudBilaga"/>
      </w:rPr>
      <w:t xml:space="preserve"> </w:t>
    </w:r>
    <w:r w:rsidRPr="00023A3D">
      <w:t xml:space="preserve">     </w:t>
    </w:r>
    <w:r w:rsidRPr="00023A3D">
      <w:rPr>
        <w:rStyle w:val="SidhuvudUtskott"/>
      </w:rPr>
      <w:fldChar w:fldCharType="begin" w:fldLock="1"/>
    </w:r>
    <w:r w:rsidRPr="00023A3D">
      <w:rPr>
        <w:rStyle w:val="SidhuvudUtskott"/>
      </w:rPr>
      <w:instrText xml:space="preserve"> DOCPROPERTY BetänkandeÅr</w:instrText>
    </w:r>
    <w:r w:rsidRPr="00023A3D">
      <w:rPr>
        <w:rStyle w:val="SidhuvudUtskott"/>
      </w:rPr>
      <w:fldChar w:fldCharType="separate"/>
    </w:r>
    <w:r w:rsidRPr="00023A3D">
      <w:rPr>
        <w:rStyle w:val="SidhuvudUtskott"/>
      </w:rPr>
      <w:t>2001/02</w:t>
    </w:r>
    <w:r w:rsidRPr="00023A3D">
      <w:rPr>
        <w:rStyle w:val="SidhuvudUtskott"/>
      </w:rPr>
      <w:fldChar w:fldCharType="end"/>
    </w:r>
    <w:r w:rsidRPr="00023A3D">
      <w:rPr>
        <w:rStyle w:val="SidhuvudUtskott"/>
      </w:rPr>
      <w:t>:</w:t>
    </w:r>
    <w:r w:rsidRPr="00023A3D">
      <w:rPr>
        <w:rStyle w:val="SidhuvudUtskott"/>
      </w:rPr>
      <w:fldChar w:fldCharType="begin" w:fldLock="1"/>
    </w:r>
    <w:r w:rsidRPr="00023A3D">
      <w:rPr>
        <w:rStyle w:val="SidhuvudUtskott"/>
      </w:rPr>
      <w:instrText xml:space="preserve"> DOCPROPERTY</w:instrText>
    </w:r>
    <w:r w:rsidRPr="00023A3D">
      <w:instrText xml:space="preserve"> </w:instrText>
    </w:r>
    <w:r w:rsidRPr="00023A3D">
      <w:rPr>
        <w:rStyle w:val="SidhuvudUtskott"/>
      </w:rPr>
      <w:instrText>Utskott</w:instrText>
    </w:r>
    <w:r w:rsidRPr="00023A3D">
      <w:rPr>
        <w:rStyle w:val="SidhuvudUtskott"/>
      </w:rPr>
      <w:fldChar w:fldCharType="separate"/>
    </w:r>
    <w:r w:rsidRPr="00023A3D">
      <w:rPr>
        <w:rStyle w:val="SidhuvudUtskott"/>
      </w:rPr>
      <w:t>FiU</w:t>
    </w:r>
    <w:r w:rsidRPr="00023A3D">
      <w:rPr>
        <w:rStyle w:val="SidhuvudUtskott"/>
      </w:rPr>
      <w:fldChar w:fldCharType="end"/>
    </w:r>
    <w:r w:rsidRPr="00023A3D">
      <w:rPr>
        <w:rStyle w:val="SidhuvudUtskott"/>
      </w:rPr>
      <w:fldChar w:fldCharType="begin" w:fldLock="1"/>
    </w:r>
    <w:r w:rsidRPr="00023A3D">
      <w:rPr>
        <w:rStyle w:val="SidhuvudUtskott"/>
      </w:rPr>
      <w:instrText xml:space="preserve"> DOCPROPERTY Betä</w:instrText>
    </w:r>
    <w:r w:rsidRPr="00023A3D">
      <w:rPr>
        <w:rStyle w:val="SidhuvudUtskott"/>
      </w:rPr>
      <w:instrText>n</w:instrText>
    </w:r>
    <w:r w:rsidRPr="00023A3D">
      <w:rPr>
        <w:rStyle w:val="SidhuvudUtskott"/>
      </w:rPr>
      <w:instrText>kandeNr</w:instrText>
    </w:r>
    <w:r w:rsidRPr="00023A3D">
      <w:rPr>
        <w:rStyle w:val="SidhuvudUtskott"/>
      </w:rPr>
      <w:fldChar w:fldCharType="separate"/>
    </w:r>
    <w:r w:rsidRPr="00023A3D">
      <w:rPr>
        <w:rStyle w:val="SidhuvudUtskott"/>
      </w:rPr>
      <w:t>2</w:t>
    </w:r>
    <w:r w:rsidRPr="00023A3D">
      <w:rPr>
        <w:rStyle w:val="SidhuvudUtskott"/>
      </w:rPr>
      <w:fldChar w:fldCharType="end"/>
    </w:r>
  </w:p>
  <w:p w:rsidR="006C0E49" w:rsidRPr="00023A3D" w:rsidRDefault="006C0E49">
    <w:pPr>
      <w:pStyle w:val="SidhuvudKantUdda"/>
      <w:framePr w:w="8732" w:h="567" w:hRule="exact" w:vSpace="0" w:wrap="around" w:vAnchor="page" w:y="341" w:anchorLock="0"/>
    </w:pPr>
    <w:r w:rsidRPr="00023A3D">
      <w:rPr>
        <w:rStyle w:val="SidhuvudUtskott"/>
      </w:rPr>
      <w:fldChar w:fldCharType="begin" w:fldLock="1"/>
    </w:r>
    <w:r w:rsidRPr="00023A3D">
      <w:rPr>
        <w:rStyle w:val="SidhuvudUtskott"/>
      </w:rPr>
      <w:instrText xml:space="preserve"> if </w:instrText>
    </w:r>
    <w:r w:rsidRPr="00023A3D">
      <w:rPr>
        <w:rStyle w:val="SidhuvudUtskott"/>
      </w:rPr>
      <w:fldChar w:fldCharType="begin" w:fldLock="1"/>
    </w:r>
    <w:r w:rsidRPr="00023A3D">
      <w:rPr>
        <w:rStyle w:val="SidhuvudUtskott"/>
      </w:rPr>
      <w:instrText xml:space="preserve"> DOCPROPERTY "UtkastDatum"</w:instrText>
    </w:r>
    <w:r w:rsidRPr="00023A3D">
      <w:rPr>
        <w:rStyle w:val="SidhuvudUtskott"/>
      </w:rPr>
      <w:fldChar w:fldCharType="separate"/>
    </w:r>
    <w:r w:rsidRPr="00023A3D">
      <w:rPr>
        <w:rStyle w:val="SidhuvudUtskott"/>
      </w:rPr>
      <w:instrText>Nej</w:instrText>
    </w:r>
    <w:r w:rsidRPr="00023A3D">
      <w:rPr>
        <w:rStyle w:val="SidhuvudUtskott"/>
      </w:rPr>
      <w:fldChar w:fldCharType="end"/>
    </w:r>
    <w:r w:rsidRPr="00023A3D">
      <w:rPr>
        <w:rStyle w:val="SidhuvudUtskott"/>
      </w:rPr>
      <w:instrText xml:space="preserve"> = "Ja" "</w:instrText>
    </w:r>
    <w:r w:rsidRPr="00023A3D">
      <w:rPr>
        <w:rStyle w:val="SidhuvudUtskott"/>
      </w:rPr>
      <w:fldChar w:fldCharType="begin" w:fldLock="1"/>
    </w:r>
    <w:r w:rsidRPr="00023A3D">
      <w:rPr>
        <w:rStyle w:val="SidhuvudUtskott"/>
      </w:rPr>
      <w:instrText xml:space="preserve"> PRINTDATE \@ "yyyy-MM-dd HH.mm    " </w:instrText>
    </w:r>
    <w:r w:rsidRPr="00023A3D">
      <w:rPr>
        <w:rStyle w:val="SidhuvudUtskott"/>
      </w:rPr>
      <w:fldChar w:fldCharType="separate"/>
    </w:r>
    <w:r w:rsidRPr="00023A3D">
      <w:rPr>
        <w:rStyle w:val="SidhuvudUtskott"/>
      </w:rPr>
      <w:instrText>2000-08-11 16.42</w:instrText>
    </w:r>
    <w:r w:rsidRPr="00023A3D">
      <w:rPr>
        <w:rStyle w:val="SidhuvudUtskott"/>
      </w:rPr>
      <w:fldChar w:fldCharType="end"/>
    </w:r>
    <w:r w:rsidRPr="00023A3D">
      <w:rPr>
        <w:rStyle w:val="SidhuvudUtskott"/>
      </w:rPr>
      <w:instrText xml:space="preserve">" </w:instrText>
    </w:r>
    <w:r w:rsidRPr="00023A3D">
      <w:rPr>
        <w:rStyle w:val="SidhuvudUtskott"/>
      </w:rPr>
      <w:fldChar w:fldCharType="end"/>
    </w:r>
    <w:r w:rsidRPr="00023A3D">
      <w:rPr>
        <w:rStyle w:val="SidhuvudUtskott"/>
      </w:rPr>
      <w:fldChar w:fldCharType="begin" w:fldLock="1"/>
    </w:r>
    <w:r w:rsidRPr="00023A3D">
      <w:rPr>
        <w:rStyle w:val="SidhuvudUtskott"/>
      </w:rPr>
      <w:instrText xml:space="preserve"> DOCPR</w:instrText>
    </w:r>
    <w:r w:rsidRPr="00023A3D">
      <w:rPr>
        <w:rStyle w:val="SidhuvudUtskott"/>
      </w:rPr>
      <w:instrText>O</w:instrText>
    </w:r>
    <w:r w:rsidRPr="00023A3D">
      <w:rPr>
        <w:rStyle w:val="SidhuvudUtskott"/>
      </w:rPr>
      <w:instrText>PERTY Status</w:instrText>
    </w:r>
    <w:r w:rsidRPr="00023A3D">
      <w:rPr>
        <w:rStyle w:val="SidhuvudUtskott"/>
      </w:rPr>
      <w:fldChar w:fldCharType="end"/>
    </w:r>
  </w:p>
  <w:p w:rsidR="006C0E49" w:rsidRPr="00023A3D" w:rsidRDefault="006C0E4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rPr>
        <w:rStyle w:val="SidhuvudRubrikReferens"/>
      </w:rPr>
      <w:t>Särskilda yttranden</w:t>
    </w:r>
    <w:r w:rsidRPr="00023A3D">
      <w:rPr>
        <w:rStyle w:val="SidhuvudBilaga"/>
      </w:rPr>
      <w:t xml:space="preserve"> </w:t>
    </w:r>
    <w:r w:rsidRPr="00023A3D">
      <w:t xml:space="preserve">     </w:t>
    </w:r>
    <w:r w:rsidRPr="00023A3D">
      <w:rPr>
        <w:rStyle w:val="SidhuvudUtskott"/>
      </w:rPr>
      <w:t>2001/02:FiU2</w:t>
    </w:r>
  </w:p>
  <w:p w:rsidR="006C0E49" w:rsidRPr="00023A3D" w:rsidRDefault="006C0E49">
    <w:pPr>
      <w:pStyle w:val="SidhuvudKantUdda"/>
      <w:framePr w:w="8732" w:h="567" w:hRule="exact" w:vSpace="0" w:wrap="around" w:vAnchor="page" w:y="341" w:anchorLock="0"/>
    </w:pPr>
  </w:p>
  <w:p w:rsidR="006C0E49" w:rsidRPr="00023A3D" w:rsidRDefault="006C0E4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p>
  <w:p w:rsidR="006C0E49" w:rsidRPr="00023A3D" w:rsidRDefault="006C0E49">
    <w:pPr>
      <w:pStyle w:val="SidhuvudKantJmn"/>
      <w:framePr w:w="8732" w:h="567" w:hRule="exact" w:vSpace="0" w:wrap="around" w:vAnchor="page" w:y="341" w:anchorLock="0"/>
    </w:pPr>
  </w:p>
  <w:p w:rsidR="006C0E49" w:rsidRPr="00023A3D" w:rsidRDefault="006C0E49">
    <w:pPr>
      <w:pStyle w:val="SidhuvudKantUdda"/>
      <w:framePr w:w="8732" w:h="567" w:hRule="exact" w:vSpace="0" w:wrap="around" w:vAnchor="page" w:y="341" w:anchorLock="0"/>
    </w:pPr>
    <w:r w:rsidRPr="00023A3D">
      <w:rPr>
        <w:rStyle w:val="SidhuvudRubrikReferens"/>
        <w:smallCaps w:val="0"/>
        <w:spacing w:val="0"/>
        <w:sz w:val="19"/>
      </w:rPr>
      <w:t xml:space="preserve"> </w:t>
    </w:r>
  </w:p>
  <w:p w:rsidR="006C0E49" w:rsidRPr="00023A3D" w:rsidRDefault="006C0E4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r w:rsidRPr="00023A3D">
      <w:rPr>
        <w:rStyle w:val="SidhuvudBilaga"/>
      </w:rPr>
      <w:t xml:space="preserve"> Bilaga 1   </w:t>
    </w:r>
    <w:r w:rsidRPr="00023A3D">
      <w:rPr>
        <w:rStyle w:val="SidhuvudRubrikReferens"/>
      </w:rPr>
      <w:t>Förteckning över behandlade förslag</w:t>
    </w:r>
  </w:p>
  <w:p w:rsidR="006C0E49" w:rsidRPr="00023A3D" w:rsidRDefault="006C0E49">
    <w:pPr>
      <w:pStyle w:val="SidhuvudKantJmn"/>
      <w:framePr w:w="8732" w:h="567" w:hRule="exact" w:vSpace="0" w:wrap="around" w:vAnchor="page" w:y="341" w:anchorLock="0"/>
    </w:pPr>
  </w:p>
  <w:p w:rsidR="006C0E49" w:rsidRPr="00023A3D" w:rsidRDefault="006C0E4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rPr>
        <w:rStyle w:val="SidhuvudRubrikReferens"/>
      </w:rPr>
      <w:t>Förteckning över behandlade förslag</w:t>
    </w:r>
    <w:r w:rsidRPr="00023A3D">
      <w:rPr>
        <w:rStyle w:val="SidhuvudBilaga"/>
      </w:rPr>
      <w:t xml:space="preserve">   Bilaga 1 </w:t>
    </w:r>
    <w:r w:rsidRPr="00023A3D">
      <w:t xml:space="preserve">     </w:t>
    </w:r>
    <w:r w:rsidRPr="00023A3D">
      <w:rPr>
        <w:rStyle w:val="SidhuvudUtskott"/>
      </w:rPr>
      <w:t>2001/02:FiU2</w:t>
    </w:r>
  </w:p>
  <w:p w:rsidR="006C0E49" w:rsidRPr="00023A3D" w:rsidRDefault="006C0E49">
    <w:pPr>
      <w:pStyle w:val="SidhuvudKantUdda"/>
      <w:framePr w:w="8732" w:h="567" w:hRule="exact" w:vSpace="0" w:wrap="around" w:vAnchor="page" w:y="341" w:anchorLock="0"/>
    </w:pPr>
  </w:p>
  <w:p w:rsidR="006C0E49" w:rsidRPr="00023A3D" w:rsidRDefault="006C0E4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p>
  <w:p w:rsidR="006C0E49" w:rsidRPr="00023A3D" w:rsidRDefault="006C0E49">
    <w:pPr>
      <w:pStyle w:val="SidhuvudKantJmn"/>
      <w:framePr w:w="8732" w:h="567" w:hRule="exact" w:vSpace="0" w:wrap="around" w:vAnchor="page" w:y="341" w:anchorLock="0"/>
    </w:pPr>
  </w:p>
  <w:p w:rsidR="006C0E49" w:rsidRPr="00023A3D" w:rsidRDefault="006C0E49">
    <w:pPr>
      <w:pStyle w:val="SidhuvudKantUdda"/>
      <w:framePr w:w="8732" w:h="567" w:hRule="exact" w:vSpace="0" w:wrap="around" w:vAnchor="page" w:y="341" w:anchorLock="0"/>
    </w:pPr>
    <w:r w:rsidRPr="00023A3D">
      <w:rPr>
        <w:rStyle w:val="SidhuvudRubrikReferens"/>
        <w:smallCaps w:val="0"/>
        <w:spacing w:val="0"/>
        <w:sz w:val="19"/>
      </w:rPr>
      <w:t xml:space="preserve"> </w:t>
    </w:r>
  </w:p>
  <w:p w:rsidR="006C0E49" w:rsidRPr="00023A3D" w:rsidRDefault="006C0E4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r w:rsidRPr="00023A3D">
      <w:rPr>
        <w:rStyle w:val="SidhuvudBilaga"/>
      </w:rPr>
      <w:t xml:space="preserve"> Bilaga 2   </w:t>
    </w:r>
    <w:r w:rsidRPr="00023A3D">
      <w:rPr>
        <w:rStyle w:val="SidhuvudRubrikReferens"/>
      </w:rPr>
      <w:t>Regeringens lagförslag</w:t>
    </w:r>
  </w:p>
  <w:p w:rsidR="006C0E49" w:rsidRPr="00023A3D" w:rsidRDefault="006C0E49">
    <w:pPr>
      <w:pStyle w:val="SidhuvudKantJmn"/>
      <w:framePr w:w="8732" w:h="567" w:hRule="exact" w:vSpace="0" w:wrap="around" w:vAnchor="page" w:y="341" w:anchorLock="0"/>
    </w:pPr>
  </w:p>
  <w:p w:rsidR="006C0E49" w:rsidRPr="00023A3D" w:rsidRDefault="006C0E4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rPr>
        <w:rStyle w:val="SidhuvudRubrikReferens"/>
      </w:rPr>
      <w:t>Regeringens lagförslag</w:t>
    </w:r>
    <w:r w:rsidRPr="00023A3D">
      <w:rPr>
        <w:rStyle w:val="SidhuvudBilaga"/>
      </w:rPr>
      <w:t xml:space="preserve">   Bilaga 2 </w:t>
    </w:r>
    <w:r w:rsidRPr="00023A3D">
      <w:t xml:space="preserve">     </w:t>
    </w:r>
    <w:r w:rsidRPr="00023A3D">
      <w:rPr>
        <w:rStyle w:val="SidhuvudUtskott"/>
      </w:rPr>
      <w:t>2001/02:FiU2</w:t>
    </w:r>
  </w:p>
  <w:p w:rsidR="006C0E49" w:rsidRPr="00023A3D" w:rsidRDefault="006C0E49">
    <w:pPr>
      <w:pStyle w:val="SidhuvudKantUdda"/>
      <w:framePr w:w="8732" w:h="567" w:hRule="exact" w:vSpace="0" w:wrap="around" w:vAnchor="page" w:y="341" w:anchorLock="0"/>
    </w:pPr>
  </w:p>
  <w:p w:rsidR="006C0E49" w:rsidRPr="00023A3D" w:rsidRDefault="006C0E4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t xml:space="preserve">  </w:t>
    </w:r>
    <w:r w:rsidRPr="00023A3D">
      <w:rPr>
        <w:rStyle w:val="SidhuvudUtskott"/>
      </w:rPr>
      <w:t>2001/02:FiU2</w:t>
    </w:r>
  </w:p>
  <w:p w:rsidR="006C0E49" w:rsidRPr="00023A3D" w:rsidRDefault="006C0E49">
    <w:pPr>
      <w:pStyle w:val="SidhuvudKantUdda"/>
      <w:framePr w:w="8732" w:h="567" w:hRule="exact" w:vSpace="0" w:wrap="around" w:vAnchor="page" w:y="341" w:anchorLock="0"/>
    </w:pPr>
  </w:p>
  <w:p w:rsidR="006C0E49" w:rsidRPr="00023A3D" w:rsidRDefault="006C0E4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t xml:space="preserve"> </w:t>
    </w:r>
  </w:p>
  <w:p w:rsidR="006C0E49" w:rsidRPr="00023A3D" w:rsidRDefault="006C0E4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fldChar w:fldCharType="begin" w:fldLock="1"/>
    </w:r>
    <w:r w:rsidRPr="00023A3D">
      <w:rPr>
        <w:rStyle w:val="SidhuvudUtskott"/>
      </w:rPr>
      <w:instrText xml:space="preserve"> DOCPROPERTY BetänkandeÅr</w:instrText>
    </w:r>
    <w:r w:rsidRPr="00023A3D">
      <w:rPr>
        <w:rStyle w:val="SidhuvudUtskott"/>
      </w:rPr>
      <w:fldChar w:fldCharType="separate"/>
    </w:r>
    <w:r w:rsidRPr="00023A3D">
      <w:rPr>
        <w:rStyle w:val="SidhuvudUtskott"/>
      </w:rPr>
      <w:t>2001/02</w:t>
    </w:r>
    <w:r w:rsidRPr="00023A3D">
      <w:rPr>
        <w:rStyle w:val="SidhuvudUtskott"/>
      </w:rPr>
      <w:fldChar w:fldCharType="end"/>
    </w:r>
    <w:r w:rsidRPr="00023A3D">
      <w:rPr>
        <w:rStyle w:val="SidhuvudUtskott"/>
      </w:rPr>
      <w:t>:</w:t>
    </w:r>
    <w:r w:rsidRPr="00023A3D">
      <w:rPr>
        <w:rStyle w:val="SidhuvudUtskott"/>
      </w:rPr>
      <w:fldChar w:fldCharType="begin" w:fldLock="1"/>
    </w:r>
    <w:r w:rsidRPr="00023A3D">
      <w:rPr>
        <w:rStyle w:val="SidhuvudUtskott"/>
      </w:rPr>
      <w:instrText xml:space="preserve"> DOCPROPERTY Utskott</w:instrText>
    </w:r>
    <w:r w:rsidRPr="00023A3D">
      <w:rPr>
        <w:rStyle w:val="SidhuvudUtskott"/>
      </w:rPr>
      <w:fldChar w:fldCharType="separate"/>
    </w:r>
    <w:r w:rsidRPr="00023A3D">
      <w:rPr>
        <w:rStyle w:val="SidhuvudUtskott"/>
      </w:rPr>
      <w:t>FiU</w:t>
    </w:r>
    <w:r w:rsidRPr="00023A3D">
      <w:rPr>
        <w:rStyle w:val="SidhuvudUtskott"/>
      </w:rPr>
      <w:fldChar w:fldCharType="end"/>
    </w:r>
    <w:r w:rsidRPr="00023A3D">
      <w:rPr>
        <w:rStyle w:val="SidhuvudUtskott"/>
      </w:rPr>
      <w:fldChar w:fldCharType="begin" w:fldLock="1"/>
    </w:r>
    <w:r w:rsidRPr="00023A3D">
      <w:rPr>
        <w:rStyle w:val="SidhuvudUtskott"/>
      </w:rPr>
      <w:instrText xml:space="preserve"> DOCPROPERTY BetänkandeNr</w:instrText>
    </w:r>
    <w:r w:rsidRPr="00023A3D">
      <w:rPr>
        <w:rStyle w:val="SidhuvudUtskott"/>
      </w:rPr>
      <w:fldChar w:fldCharType="separate"/>
    </w:r>
    <w:r w:rsidRPr="00023A3D">
      <w:rPr>
        <w:rStyle w:val="SidhuvudUtskott"/>
      </w:rPr>
      <w:t>2</w:t>
    </w:r>
    <w:r w:rsidRPr="00023A3D">
      <w:rPr>
        <w:rStyle w:val="SidhuvudUtskott"/>
      </w:rPr>
      <w:fldChar w:fldCharType="end"/>
    </w:r>
    <w:r w:rsidRPr="00023A3D">
      <w:t xml:space="preserve">     </w:t>
    </w:r>
    <w:r w:rsidRPr="00023A3D">
      <w:rPr>
        <w:rStyle w:val="SidhuvudBilaga"/>
      </w:rPr>
      <w:t xml:space="preserve"> </w:t>
    </w:r>
    <w:r w:rsidRPr="00023A3D">
      <w:rPr>
        <w:rStyle w:val="SidhuvudRubrikReferens"/>
      </w:rPr>
      <w:fldChar w:fldCharType="begin" w:fldLock="1"/>
    </w:r>
    <w:r w:rsidRPr="00023A3D">
      <w:rPr>
        <w:rStyle w:val="SidhuvudRubrikReferens"/>
      </w:rPr>
      <w:instrText xml:space="preserve"> StyleREF "Rubrik 1" </w:instrText>
    </w:r>
    <w:r w:rsidRPr="00023A3D">
      <w:rPr>
        <w:rStyle w:val="SidhuvudRubrikReferens"/>
      </w:rPr>
      <w:fldChar w:fldCharType="separate"/>
    </w:r>
    <w:r w:rsidRPr="00023A3D">
      <w:rPr>
        <w:rStyle w:val="SidhuvudRubrikReferens"/>
      </w:rPr>
      <w:t>Sammanfattning</w:t>
    </w:r>
    <w:r w:rsidRPr="00023A3D">
      <w:rPr>
        <w:rStyle w:val="SidhuvudRubrikReferens"/>
      </w:rPr>
      <w:fldChar w:fldCharType="end"/>
    </w:r>
  </w:p>
  <w:p w:rsidR="006C0E49" w:rsidRPr="00023A3D" w:rsidRDefault="006C0E49">
    <w:pPr>
      <w:pStyle w:val="SidhuvudKantJmn"/>
      <w:framePr w:w="8732" w:h="567" w:hRule="exact" w:vSpace="0" w:wrap="around" w:vAnchor="page" w:y="341" w:anchorLock="0"/>
    </w:pPr>
    <w:r w:rsidRPr="00023A3D">
      <w:rPr>
        <w:rStyle w:val="SidhuvudUtskott"/>
      </w:rPr>
      <w:fldChar w:fldCharType="begin" w:fldLock="1"/>
    </w:r>
    <w:r w:rsidRPr="00023A3D">
      <w:rPr>
        <w:rStyle w:val="SidhuvudUtskott"/>
      </w:rPr>
      <w:instrText xml:space="preserve"> DOCPROPERTY Status</w:instrText>
    </w:r>
    <w:r w:rsidRPr="00023A3D">
      <w:rPr>
        <w:rStyle w:val="SidhuvudUtskott"/>
      </w:rPr>
      <w:fldChar w:fldCharType="end"/>
    </w:r>
    <w:r w:rsidRPr="00023A3D">
      <w:rPr>
        <w:rStyle w:val="SidhuvudUtskott"/>
      </w:rPr>
      <w:fldChar w:fldCharType="begin" w:fldLock="1"/>
    </w:r>
    <w:r w:rsidRPr="00023A3D">
      <w:rPr>
        <w:rStyle w:val="SidhuvudUtskott"/>
      </w:rPr>
      <w:instrText xml:space="preserve"> if </w:instrText>
    </w:r>
    <w:r w:rsidRPr="00023A3D">
      <w:rPr>
        <w:rStyle w:val="SidhuvudUtskott"/>
      </w:rPr>
      <w:fldChar w:fldCharType="begin" w:fldLock="1"/>
    </w:r>
    <w:r w:rsidRPr="00023A3D">
      <w:rPr>
        <w:rStyle w:val="SidhuvudUtskott"/>
      </w:rPr>
      <w:instrText xml:space="preserve"> DOCPROPERTY "UtkastDatum"</w:instrText>
    </w:r>
    <w:r w:rsidRPr="00023A3D">
      <w:rPr>
        <w:rStyle w:val="SidhuvudUtskott"/>
      </w:rPr>
      <w:fldChar w:fldCharType="separate"/>
    </w:r>
    <w:r w:rsidRPr="00023A3D">
      <w:rPr>
        <w:rStyle w:val="SidhuvudUtskott"/>
      </w:rPr>
      <w:instrText>Nej</w:instrText>
    </w:r>
    <w:r w:rsidRPr="00023A3D">
      <w:rPr>
        <w:rStyle w:val="SidhuvudUtskott"/>
      </w:rPr>
      <w:fldChar w:fldCharType="end"/>
    </w:r>
    <w:r w:rsidRPr="00023A3D">
      <w:rPr>
        <w:rStyle w:val="SidhuvudUtskott"/>
      </w:rPr>
      <w:instrText xml:space="preserve"> = "Ja" "    </w:instrText>
    </w:r>
    <w:r w:rsidRPr="00023A3D">
      <w:rPr>
        <w:rStyle w:val="SidhuvudUtskott"/>
      </w:rPr>
      <w:fldChar w:fldCharType="begin" w:fldLock="1"/>
    </w:r>
    <w:r w:rsidRPr="00023A3D">
      <w:rPr>
        <w:rStyle w:val="SidhuvudUtskott"/>
      </w:rPr>
      <w:instrText xml:space="preserve"> PRINTDATE \@ "yyyy-MM-dd HH.mm" </w:instrText>
    </w:r>
    <w:r w:rsidRPr="00023A3D">
      <w:rPr>
        <w:rStyle w:val="SidhuvudUtskott"/>
      </w:rPr>
      <w:fldChar w:fldCharType="separate"/>
    </w:r>
    <w:r w:rsidRPr="00023A3D">
      <w:rPr>
        <w:rStyle w:val="SidhuvudUtskott"/>
      </w:rPr>
      <w:instrText>2000-08-11 16.42</w:instrText>
    </w:r>
    <w:r w:rsidRPr="00023A3D">
      <w:rPr>
        <w:rStyle w:val="SidhuvudUtskott"/>
      </w:rPr>
      <w:fldChar w:fldCharType="end"/>
    </w:r>
    <w:r w:rsidRPr="00023A3D">
      <w:rPr>
        <w:rStyle w:val="SidhuvudUtskott"/>
      </w:rPr>
      <w:instrText xml:space="preserve">" </w:instrText>
    </w:r>
    <w:r w:rsidRPr="00023A3D">
      <w:rPr>
        <w:rStyle w:val="SidhuvudUtskott"/>
      </w:rPr>
      <w:fldChar w:fldCharType="end"/>
    </w:r>
  </w:p>
  <w:p w:rsidR="006C0E49" w:rsidRPr="00023A3D" w:rsidRDefault="006C0E4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rPr>
        <w:rStyle w:val="SidhuvudRubrikReferens"/>
      </w:rPr>
      <w:t>Innehållsförteckning</w:t>
    </w:r>
    <w:r w:rsidRPr="00023A3D">
      <w:rPr>
        <w:rStyle w:val="SidhuvudBilaga"/>
      </w:rPr>
      <w:t xml:space="preserve"> </w:t>
    </w:r>
    <w:r w:rsidRPr="00023A3D">
      <w:t xml:space="preserve">     </w:t>
    </w:r>
    <w:r w:rsidRPr="00023A3D">
      <w:rPr>
        <w:rStyle w:val="SidhuvudUtskott"/>
      </w:rPr>
      <w:t>2001/02:FiU2</w:t>
    </w:r>
  </w:p>
  <w:p w:rsidR="006C0E49" w:rsidRPr="00023A3D" w:rsidRDefault="006C0E49">
    <w:pPr>
      <w:pStyle w:val="SidhuvudKantUdda"/>
      <w:framePr w:w="8732" w:h="567" w:hRule="exact" w:vSpace="0" w:wrap="around" w:vAnchor="page" w:y="341" w:anchorLock="0"/>
    </w:pPr>
  </w:p>
  <w:p w:rsidR="006C0E49" w:rsidRPr="00023A3D" w:rsidRDefault="006C0E4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p>
  <w:p w:rsidR="006C0E49" w:rsidRPr="00023A3D" w:rsidRDefault="006C0E49">
    <w:pPr>
      <w:pStyle w:val="SidhuvudKantJmn"/>
      <w:framePr w:w="8732" w:h="567" w:hRule="exact" w:vSpace="0" w:wrap="around" w:vAnchor="page" w:y="341" w:anchorLock="0"/>
    </w:pPr>
  </w:p>
  <w:p w:rsidR="006C0E49" w:rsidRPr="00023A3D" w:rsidRDefault="006C0E49">
    <w:pPr>
      <w:pStyle w:val="SidhuvudKantUdda"/>
      <w:framePr w:w="8732" w:h="567" w:hRule="exact" w:vSpace="0" w:wrap="around" w:vAnchor="page" w:y="341" w:anchorLock="0"/>
    </w:pPr>
    <w:r w:rsidRPr="00023A3D">
      <w:rPr>
        <w:rStyle w:val="SidhuvudRubrikReferens"/>
        <w:smallCaps w:val="0"/>
        <w:spacing w:val="0"/>
        <w:sz w:val="19"/>
      </w:rPr>
      <w:t xml:space="preserve"> </w:t>
    </w:r>
  </w:p>
  <w:p w:rsidR="006C0E49" w:rsidRPr="00023A3D" w:rsidRDefault="006C0E4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r w:rsidRPr="00023A3D">
      <w:rPr>
        <w:rStyle w:val="SidhuvudBilaga"/>
      </w:rPr>
      <w:t xml:space="preserve"> </w:t>
    </w:r>
    <w:r w:rsidRPr="00023A3D">
      <w:rPr>
        <w:rStyle w:val="SidhuvudRubrikReferens"/>
      </w:rPr>
      <w:t>Utskottets förslag till riksdagsbeslut</w:t>
    </w:r>
  </w:p>
  <w:p w:rsidR="006C0E49" w:rsidRPr="00023A3D" w:rsidRDefault="006C0E49">
    <w:pPr>
      <w:pStyle w:val="SidhuvudKantJmn"/>
      <w:framePr w:w="8732" w:h="567" w:hRule="exact" w:vSpace="0" w:wrap="around" w:vAnchor="page" w:y="341" w:anchorLock="0"/>
    </w:pPr>
  </w:p>
  <w:p w:rsidR="006C0E49" w:rsidRPr="00023A3D" w:rsidRDefault="006C0E4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Udda"/>
      <w:framePr w:w="8732" w:h="567" w:hRule="exact" w:vSpace="0" w:wrap="around" w:vAnchor="page" w:y="341" w:anchorLock="0"/>
    </w:pPr>
    <w:r w:rsidRPr="00023A3D">
      <w:rPr>
        <w:rStyle w:val="SidhuvudRubrikReferens"/>
      </w:rPr>
      <w:t>Utskottets förslag till riksdagsbeslut</w:t>
    </w:r>
    <w:r w:rsidRPr="00023A3D">
      <w:rPr>
        <w:rStyle w:val="SidhuvudBilaga"/>
      </w:rPr>
      <w:t xml:space="preserve"> </w:t>
    </w:r>
    <w:r w:rsidRPr="00023A3D">
      <w:t xml:space="preserve">     </w:t>
    </w:r>
    <w:r w:rsidRPr="00023A3D">
      <w:rPr>
        <w:rStyle w:val="SidhuvudUtskott"/>
      </w:rPr>
      <w:t>2001/02:FiU2</w:t>
    </w:r>
  </w:p>
  <w:p w:rsidR="006C0E49" w:rsidRPr="00023A3D" w:rsidRDefault="006C0E49">
    <w:pPr>
      <w:pStyle w:val="SidhuvudKantUdda"/>
      <w:framePr w:w="8732" w:h="567" w:hRule="exact" w:vSpace="0" w:wrap="around" w:vAnchor="page" w:y="341" w:anchorLock="0"/>
    </w:pPr>
  </w:p>
  <w:p w:rsidR="006C0E49" w:rsidRPr="00023A3D" w:rsidRDefault="006C0E4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49" w:rsidRPr="00023A3D" w:rsidRDefault="006C0E49">
    <w:pPr>
      <w:pStyle w:val="SidhuvudKantJmn"/>
      <w:framePr w:w="8732" w:h="567" w:hRule="exact" w:vSpace="0" w:wrap="around" w:vAnchor="page" w:y="341" w:anchorLock="0"/>
    </w:pPr>
    <w:r w:rsidRPr="00023A3D">
      <w:rPr>
        <w:rStyle w:val="SidhuvudUtskott"/>
      </w:rPr>
      <w:t>2001/02:FiU2</w:t>
    </w:r>
    <w:r w:rsidRPr="00023A3D">
      <w:t xml:space="preserve">    </w:t>
    </w:r>
  </w:p>
  <w:p w:rsidR="006C0E49" w:rsidRPr="00023A3D" w:rsidRDefault="006C0E49">
    <w:pPr>
      <w:pStyle w:val="SidhuvudKantJmn"/>
      <w:framePr w:w="8732" w:h="567" w:hRule="exact" w:vSpace="0" w:wrap="around" w:vAnchor="page" w:y="341" w:anchorLock="0"/>
    </w:pPr>
  </w:p>
  <w:p w:rsidR="006C0E49" w:rsidRPr="00023A3D" w:rsidRDefault="006C0E49">
    <w:pPr>
      <w:pStyle w:val="SidhuvudKantUdda"/>
      <w:framePr w:w="8732" w:h="567" w:hRule="exact" w:vSpace="0" w:wrap="around" w:vAnchor="page" w:y="341" w:anchorLock="0"/>
    </w:pPr>
    <w:r w:rsidRPr="00023A3D">
      <w:rPr>
        <w:rStyle w:val="SidhuvudRubrikReferens"/>
        <w:smallCaps w:val="0"/>
        <w:spacing w:val="0"/>
        <w:sz w:val="19"/>
      </w:rPr>
      <w:t xml:space="preserve"> </w:t>
    </w:r>
  </w:p>
  <w:p w:rsidR="006C0E49" w:rsidRPr="00023A3D" w:rsidRDefault="006C0E4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791E0E5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0B422752"/>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01C6DCA"/>
    <w:multiLevelType w:val="multilevel"/>
    <w:tmpl w:val="AA5C3030"/>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C7092F"/>
    <w:multiLevelType w:val="multilevel"/>
    <w:tmpl w:val="ED92A6A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1246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1B257F"/>
    <w:multiLevelType w:val="singleLevel"/>
    <w:tmpl w:val="84E82FD8"/>
    <w:lvl w:ilvl="0">
      <w:start w:val="1"/>
      <w:numFmt w:val="decimal"/>
      <w:lvlText w:val="%1."/>
      <w:legacy w:legacy="1" w:legacySpace="0" w:legacyIndent="454"/>
      <w:lvlJc w:val="left"/>
      <w:pPr>
        <w:ind w:left="454" w:hanging="454"/>
      </w:pPr>
    </w:lvl>
  </w:abstractNum>
  <w:abstractNum w:abstractNumId="7" w15:restartNumberingAfterBreak="0">
    <w:nsid w:val="0B6F43EB"/>
    <w:multiLevelType w:val="singleLevel"/>
    <w:tmpl w:val="84E82FD8"/>
    <w:lvl w:ilvl="0">
      <w:start w:val="1"/>
      <w:numFmt w:val="decimal"/>
      <w:lvlText w:val="%1."/>
      <w:legacy w:legacy="1" w:legacySpace="0" w:legacyIndent="454"/>
      <w:lvlJc w:val="left"/>
      <w:pPr>
        <w:ind w:left="454" w:hanging="454"/>
      </w:pPr>
    </w:lvl>
  </w:abstractNum>
  <w:abstractNum w:abstractNumId="8" w15:restartNumberingAfterBreak="0">
    <w:nsid w:val="0B847B9C"/>
    <w:multiLevelType w:val="multilevel"/>
    <w:tmpl w:val="AC60757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551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6E7A"/>
    <w:multiLevelType w:val="multilevel"/>
    <w:tmpl w:val="09AE92A4"/>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4471FB7"/>
    <w:multiLevelType w:val="singleLevel"/>
    <w:tmpl w:val="4D6A3646"/>
    <w:lvl w:ilvl="0">
      <w:start w:val="1"/>
      <w:numFmt w:val="decimal"/>
      <w:lvlText w:val="%1."/>
      <w:legacy w:legacy="1" w:legacySpace="0" w:legacyIndent="454"/>
      <w:lvlJc w:val="left"/>
      <w:pPr>
        <w:ind w:left="454" w:hanging="454"/>
      </w:pPr>
    </w:lvl>
  </w:abstractNum>
  <w:abstractNum w:abstractNumId="12" w15:restartNumberingAfterBreak="0">
    <w:nsid w:val="148A242F"/>
    <w:multiLevelType w:val="singleLevel"/>
    <w:tmpl w:val="84E82FD8"/>
    <w:lvl w:ilvl="0">
      <w:start w:val="1"/>
      <w:numFmt w:val="decimal"/>
      <w:lvlText w:val="%1."/>
      <w:legacy w:legacy="1" w:legacySpace="0" w:legacyIndent="454"/>
      <w:lvlJc w:val="left"/>
      <w:pPr>
        <w:ind w:left="454" w:hanging="454"/>
      </w:p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16296228"/>
    <w:multiLevelType w:val="singleLevel"/>
    <w:tmpl w:val="84E82FD8"/>
    <w:lvl w:ilvl="0">
      <w:start w:val="1"/>
      <w:numFmt w:val="decimal"/>
      <w:lvlText w:val="%1."/>
      <w:legacy w:legacy="1" w:legacySpace="0" w:legacyIndent="454"/>
      <w:lvlJc w:val="left"/>
      <w:pPr>
        <w:ind w:left="454" w:hanging="454"/>
      </w:pPr>
    </w:lvl>
  </w:abstractNum>
  <w:abstractNum w:abstractNumId="15" w15:restartNumberingAfterBreak="0">
    <w:nsid w:val="16DD425F"/>
    <w:multiLevelType w:val="multilevel"/>
    <w:tmpl w:val="EC7A8920"/>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D8F21F9"/>
    <w:multiLevelType w:val="multilevel"/>
    <w:tmpl w:val="85DCED4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FBE63C4"/>
    <w:multiLevelType w:val="multilevel"/>
    <w:tmpl w:val="3DE270D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0C0B09"/>
    <w:multiLevelType w:val="multilevel"/>
    <w:tmpl w:val="EFF64E2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165623D"/>
    <w:multiLevelType w:val="singleLevel"/>
    <w:tmpl w:val="84E82FD8"/>
    <w:lvl w:ilvl="0">
      <w:start w:val="1"/>
      <w:numFmt w:val="decimal"/>
      <w:lvlText w:val="%1."/>
      <w:legacy w:legacy="1" w:legacySpace="0" w:legacyIndent="454"/>
      <w:lvlJc w:val="left"/>
      <w:pPr>
        <w:ind w:left="454" w:hanging="454"/>
      </w:pPr>
    </w:lvl>
  </w:abstractNum>
  <w:abstractNum w:abstractNumId="20" w15:restartNumberingAfterBreak="0">
    <w:nsid w:val="26F40ABA"/>
    <w:multiLevelType w:val="singleLevel"/>
    <w:tmpl w:val="84E82FD8"/>
    <w:lvl w:ilvl="0">
      <w:start w:val="1"/>
      <w:numFmt w:val="decimal"/>
      <w:lvlText w:val="%1."/>
      <w:legacy w:legacy="1" w:legacySpace="0" w:legacyIndent="454"/>
      <w:lvlJc w:val="left"/>
      <w:pPr>
        <w:ind w:left="454" w:hanging="454"/>
      </w:pPr>
    </w:lvl>
  </w:abstractNum>
  <w:abstractNum w:abstractNumId="21" w15:restartNumberingAfterBreak="0">
    <w:nsid w:val="2B552160"/>
    <w:multiLevelType w:val="singleLevel"/>
    <w:tmpl w:val="4D6A3646"/>
    <w:lvl w:ilvl="0">
      <w:start w:val="1"/>
      <w:numFmt w:val="decimal"/>
      <w:lvlText w:val="%1."/>
      <w:legacy w:legacy="1" w:legacySpace="0" w:legacyIndent="454"/>
      <w:lvlJc w:val="left"/>
      <w:pPr>
        <w:ind w:left="454" w:hanging="454"/>
      </w:pPr>
    </w:lvl>
  </w:abstractNum>
  <w:abstractNum w:abstractNumId="22" w15:restartNumberingAfterBreak="0">
    <w:nsid w:val="2C5A396C"/>
    <w:multiLevelType w:val="multilevel"/>
    <w:tmpl w:val="63F08C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4531E8"/>
    <w:multiLevelType w:val="singleLevel"/>
    <w:tmpl w:val="68B420A0"/>
    <w:lvl w:ilvl="0">
      <w:start w:val="1"/>
      <w:numFmt w:val="bullet"/>
      <w:lvlText w:val=""/>
      <w:lvlJc w:val="left"/>
      <w:pPr>
        <w:tabs>
          <w:tab w:val="num" w:pos="360"/>
        </w:tabs>
        <w:ind w:left="340" w:hanging="340"/>
      </w:pPr>
      <w:rPr>
        <w:rFonts w:ascii="Symbol" w:hAnsi="Symbol" w:hint="default"/>
      </w:rPr>
    </w:lvl>
  </w:abstractNum>
  <w:abstractNum w:abstractNumId="24" w15:restartNumberingAfterBreak="0">
    <w:nsid w:val="32D7151A"/>
    <w:multiLevelType w:val="singleLevel"/>
    <w:tmpl w:val="3FFE529C"/>
    <w:lvl w:ilvl="0">
      <w:start w:val="1"/>
      <w:numFmt w:val="decimal"/>
      <w:lvlText w:val="%1."/>
      <w:legacy w:legacy="1" w:legacySpace="0" w:legacyIndent="454"/>
      <w:lvlJc w:val="left"/>
      <w:pPr>
        <w:ind w:left="454" w:hanging="454"/>
      </w:pPr>
    </w:lvl>
  </w:abstractNum>
  <w:abstractNum w:abstractNumId="25" w15:restartNumberingAfterBreak="0">
    <w:nsid w:val="349F7302"/>
    <w:multiLevelType w:val="multilevel"/>
    <w:tmpl w:val="B122FECC"/>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78242EE"/>
    <w:multiLevelType w:val="singleLevel"/>
    <w:tmpl w:val="84E82FD8"/>
    <w:lvl w:ilvl="0">
      <w:start w:val="1"/>
      <w:numFmt w:val="decimal"/>
      <w:lvlText w:val="%1."/>
      <w:legacy w:legacy="1" w:legacySpace="0" w:legacyIndent="454"/>
      <w:lvlJc w:val="left"/>
      <w:pPr>
        <w:ind w:left="454" w:hanging="454"/>
      </w:pPr>
    </w:lvl>
  </w:abstractNum>
  <w:abstractNum w:abstractNumId="27" w15:restartNumberingAfterBreak="0">
    <w:nsid w:val="39A93884"/>
    <w:multiLevelType w:val="multilevel"/>
    <w:tmpl w:val="9E466B1A"/>
    <w:lvl w:ilvl="0">
      <w:start w:val="1"/>
      <w:numFmt w:val="bullet"/>
      <w:lvlText w:val="o"/>
      <w:lvlJc w:val="left"/>
      <w:pPr>
        <w:tabs>
          <w:tab w:val="num" w:pos="717"/>
        </w:tabs>
        <w:ind w:left="717" w:hanging="360"/>
      </w:pPr>
      <w:rPr>
        <w:rFonts w:ascii="Courier New" w:hAnsi="Courier New" w:hint="default"/>
      </w:rPr>
    </w:lvl>
    <w:lvl w:ilvl="1" w:tentative="1">
      <w:start w:val="1"/>
      <w:numFmt w:val="bullet"/>
      <w:lvlText w:val="o"/>
      <w:lvlJc w:val="left"/>
      <w:pPr>
        <w:tabs>
          <w:tab w:val="num" w:pos="1437"/>
        </w:tabs>
        <w:ind w:left="1437" w:hanging="360"/>
      </w:pPr>
      <w:rPr>
        <w:rFonts w:ascii="Courier New" w:hAnsi="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8" w15:restartNumberingAfterBreak="0">
    <w:nsid w:val="3E297A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EE92E9B"/>
    <w:multiLevelType w:val="multilevel"/>
    <w:tmpl w:val="EAB231E6"/>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2370CA1"/>
    <w:multiLevelType w:val="multilevel"/>
    <w:tmpl w:val="61A8E7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DE0042"/>
    <w:multiLevelType w:val="multilevel"/>
    <w:tmpl w:val="3616430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E51C6"/>
    <w:multiLevelType w:val="singleLevel"/>
    <w:tmpl w:val="84E82FD8"/>
    <w:lvl w:ilvl="0">
      <w:start w:val="1"/>
      <w:numFmt w:val="decimal"/>
      <w:lvlText w:val="%1."/>
      <w:legacy w:legacy="1" w:legacySpace="0" w:legacyIndent="454"/>
      <w:lvlJc w:val="left"/>
      <w:pPr>
        <w:ind w:left="454" w:hanging="454"/>
      </w:pPr>
    </w:lvl>
  </w:abstractNum>
  <w:abstractNum w:abstractNumId="33" w15:restartNumberingAfterBreak="0">
    <w:nsid w:val="4AA97D95"/>
    <w:multiLevelType w:val="singleLevel"/>
    <w:tmpl w:val="62D4FA1C"/>
    <w:lvl w:ilvl="0">
      <w:start w:val="14"/>
      <w:numFmt w:val="decimal"/>
      <w:lvlText w:val="%1."/>
      <w:lvlJc w:val="left"/>
      <w:pPr>
        <w:tabs>
          <w:tab w:val="num" w:pos="454"/>
        </w:tabs>
        <w:ind w:left="454" w:hanging="454"/>
      </w:pPr>
      <w:rPr>
        <w:rFonts w:hint="default"/>
      </w:rPr>
    </w:lvl>
  </w:abstractNum>
  <w:abstractNum w:abstractNumId="34" w15:restartNumberingAfterBreak="0">
    <w:nsid w:val="4E874714"/>
    <w:multiLevelType w:val="singleLevel"/>
    <w:tmpl w:val="3690BF6C"/>
    <w:lvl w:ilvl="0">
      <w:start w:val="1"/>
      <w:numFmt w:val="decimal"/>
      <w:lvlText w:val="%1."/>
      <w:legacy w:legacy="1" w:legacySpace="0" w:legacyIndent="454"/>
      <w:lvlJc w:val="left"/>
      <w:pPr>
        <w:ind w:left="454" w:hanging="454"/>
      </w:pPr>
    </w:lvl>
  </w:abstractNum>
  <w:abstractNum w:abstractNumId="35" w15:restartNumberingAfterBreak="0">
    <w:nsid w:val="4FE83FDA"/>
    <w:multiLevelType w:val="singleLevel"/>
    <w:tmpl w:val="84E82FD8"/>
    <w:lvl w:ilvl="0">
      <w:start w:val="1"/>
      <w:numFmt w:val="decimal"/>
      <w:lvlText w:val="%1."/>
      <w:legacy w:legacy="1" w:legacySpace="0" w:legacyIndent="454"/>
      <w:lvlJc w:val="left"/>
      <w:pPr>
        <w:ind w:left="454" w:hanging="454"/>
      </w:pPr>
    </w:lvl>
  </w:abstractNum>
  <w:abstractNum w:abstractNumId="36" w15:restartNumberingAfterBreak="0">
    <w:nsid w:val="50483394"/>
    <w:multiLevelType w:val="multilevel"/>
    <w:tmpl w:val="C64AB9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E652C4"/>
    <w:multiLevelType w:val="multilevel"/>
    <w:tmpl w:val="DEBA102E"/>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5801768E"/>
    <w:multiLevelType w:val="singleLevel"/>
    <w:tmpl w:val="041D000F"/>
    <w:lvl w:ilvl="0">
      <w:start w:val="5"/>
      <w:numFmt w:val="decimal"/>
      <w:lvlText w:val="%1."/>
      <w:lvlJc w:val="left"/>
      <w:pPr>
        <w:tabs>
          <w:tab w:val="num" w:pos="360"/>
        </w:tabs>
        <w:ind w:left="360" w:hanging="360"/>
      </w:pPr>
      <w:rPr>
        <w:rFonts w:hint="default"/>
      </w:rPr>
    </w:lvl>
  </w:abstractNum>
  <w:abstractNum w:abstractNumId="39" w15:restartNumberingAfterBreak="0">
    <w:nsid w:val="5C100C9B"/>
    <w:multiLevelType w:val="singleLevel"/>
    <w:tmpl w:val="97F64306"/>
    <w:lvl w:ilvl="0">
      <w:start w:val="1"/>
      <w:numFmt w:val="decimal"/>
      <w:lvlText w:val="%1."/>
      <w:legacy w:legacy="1" w:legacySpace="0" w:legacyIndent="454"/>
      <w:lvlJc w:val="left"/>
      <w:pPr>
        <w:ind w:left="454" w:hanging="454"/>
      </w:pPr>
    </w:lvl>
  </w:abstractNum>
  <w:abstractNum w:abstractNumId="40" w15:restartNumberingAfterBreak="0">
    <w:nsid w:val="5C1F5E92"/>
    <w:multiLevelType w:val="singleLevel"/>
    <w:tmpl w:val="84E82FD8"/>
    <w:lvl w:ilvl="0">
      <w:start w:val="1"/>
      <w:numFmt w:val="decimal"/>
      <w:lvlText w:val="%1."/>
      <w:legacy w:legacy="1" w:legacySpace="0" w:legacyIndent="454"/>
      <w:lvlJc w:val="left"/>
      <w:pPr>
        <w:ind w:left="454" w:hanging="454"/>
      </w:pPr>
    </w:lvl>
  </w:abstractNum>
  <w:abstractNum w:abstractNumId="41" w15:restartNumberingAfterBreak="0">
    <w:nsid w:val="5C690506"/>
    <w:multiLevelType w:val="multilevel"/>
    <w:tmpl w:val="7A6CEC3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5DA953C2"/>
    <w:multiLevelType w:val="multilevel"/>
    <w:tmpl w:val="AE1CE2D4"/>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C063760"/>
    <w:multiLevelType w:val="singleLevel"/>
    <w:tmpl w:val="3568562A"/>
    <w:lvl w:ilvl="0">
      <w:start w:val="1"/>
      <w:numFmt w:val="decimal"/>
      <w:lvlText w:val="%1."/>
      <w:legacy w:legacy="1" w:legacySpace="0" w:legacyIndent="454"/>
      <w:lvlJc w:val="left"/>
      <w:pPr>
        <w:ind w:left="454" w:hanging="454"/>
      </w:pPr>
    </w:lvl>
  </w:abstractNum>
  <w:abstractNum w:abstractNumId="44" w15:restartNumberingAfterBreak="0">
    <w:nsid w:val="7E43124D"/>
    <w:multiLevelType w:val="singleLevel"/>
    <w:tmpl w:val="84E82FD8"/>
    <w:lvl w:ilvl="0">
      <w:start w:val="1"/>
      <w:numFmt w:val="decimal"/>
      <w:lvlText w:val="%1."/>
      <w:legacy w:legacy="1" w:legacySpace="0" w:legacyIndent="454"/>
      <w:lvlJc w:val="left"/>
      <w:pPr>
        <w:ind w:left="454" w:hanging="454"/>
      </w:pPr>
    </w:lvl>
  </w:abstractNum>
  <w:num w:numId="1" w16cid:durableId="1314405858">
    <w:abstractNumId w:val="13"/>
  </w:num>
  <w:num w:numId="2" w16cid:durableId="906913968">
    <w:abstractNumId w:val="1"/>
  </w:num>
  <w:num w:numId="3" w16cid:durableId="2106537805">
    <w:abstractNumId w:val="9"/>
  </w:num>
  <w:num w:numId="4" w16cid:durableId="888759329">
    <w:abstractNumId w:val="5"/>
  </w:num>
  <w:num w:numId="5" w16cid:durableId="395782719">
    <w:abstractNumId w:val="28"/>
  </w:num>
  <w:num w:numId="6" w16cid:durableId="2091390607">
    <w:abstractNumId w:val="29"/>
  </w:num>
  <w:num w:numId="7" w16cid:durableId="418605836">
    <w:abstractNumId w:val="1"/>
    <w:lvlOverride w:ilvl="0">
      <w:startOverride w:val="1"/>
    </w:lvlOverride>
  </w:num>
  <w:num w:numId="8" w16cid:durableId="1893887319">
    <w:abstractNumId w:val="16"/>
  </w:num>
  <w:num w:numId="9" w16cid:durableId="1708916885">
    <w:abstractNumId w:val="23"/>
  </w:num>
  <w:num w:numId="10" w16cid:durableId="1989091342">
    <w:abstractNumId w:val="0"/>
  </w:num>
  <w:num w:numId="11" w16cid:durableId="2065177854">
    <w:abstractNumId w:val="2"/>
  </w:num>
  <w:num w:numId="12" w16cid:durableId="1717315149">
    <w:abstractNumId w:val="34"/>
  </w:num>
  <w:num w:numId="13" w16cid:durableId="55860142">
    <w:abstractNumId w:val="39"/>
  </w:num>
  <w:num w:numId="14" w16cid:durableId="2120755003">
    <w:abstractNumId w:val="24"/>
  </w:num>
  <w:num w:numId="15" w16cid:durableId="1203398502">
    <w:abstractNumId w:val="33"/>
  </w:num>
  <w:num w:numId="16" w16cid:durableId="1925457289">
    <w:abstractNumId w:val="37"/>
  </w:num>
  <w:num w:numId="17" w16cid:durableId="695813555">
    <w:abstractNumId w:val="43"/>
  </w:num>
  <w:num w:numId="18" w16cid:durableId="509024887">
    <w:abstractNumId w:val="10"/>
  </w:num>
  <w:num w:numId="19" w16cid:durableId="1977753759">
    <w:abstractNumId w:val="41"/>
  </w:num>
  <w:num w:numId="20" w16cid:durableId="465778723">
    <w:abstractNumId w:val="25"/>
  </w:num>
  <w:num w:numId="21" w16cid:durableId="1467159189">
    <w:abstractNumId w:val="29"/>
    <w:lvlOverride w:ilvl="0">
      <w:startOverride w:val="1"/>
    </w:lvlOverride>
  </w:num>
  <w:num w:numId="22" w16cid:durableId="22287447">
    <w:abstractNumId w:val="3"/>
  </w:num>
  <w:num w:numId="23" w16cid:durableId="2030518833">
    <w:abstractNumId w:val="6"/>
  </w:num>
  <w:num w:numId="24" w16cid:durableId="45490040">
    <w:abstractNumId w:val="40"/>
  </w:num>
  <w:num w:numId="25" w16cid:durableId="1664579037">
    <w:abstractNumId w:val="15"/>
  </w:num>
  <w:num w:numId="26" w16cid:durableId="1983921282">
    <w:abstractNumId w:val="7"/>
  </w:num>
  <w:num w:numId="27" w16cid:durableId="423695863">
    <w:abstractNumId w:val="20"/>
  </w:num>
  <w:num w:numId="28" w16cid:durableId="1482892281">
    <w:abstractNumId w:val="27"/>
  </w:num>
  <w:num w:numId="29" w16cid:durableId="1329135672">
    <w:abstractNumId w:val="32"/>
  </w:num>
  <w:num w:numId="30" w16cid:durableId="227347493">
    <w:abstractNumId w:val="12"/>
  </w:num>
  <w:num w:numId="31" w16cid:durableId="252131433">
    <w:abstractNumId w:val="31"/>
  </w:num>
  <w:num w:numId="32" w16cid:durableId="1650013297">
    <w:abstractNumId w:val="26"/>
  </w:num>
  <w:num w:numId="33" w16cid:durableId="110441273">
    <w:abstractNumId w:val="4"/>
  </w:num>
  <w:num w:numId="34" w16cid:durableId="1029837627">
    <w:abstractNumId w:val="44"/>
  </w:num>
  <w:num w:numId="35" w16cid:durableId="1971671923">
    <w:abstractNumId w:val="36"/>
  </w:num>
  <w:num w:numId="36" w16cid:durableId="595134482">
    <w:abstractNumId w:val="14"/>
  </w:num>
  <w:num w:numId="37" w16cid:durableId="1570461428">
    <w:abstractNumId w:val="35"/>
  </w:num>
  <w:num w:numId="38" w16cid:durableId="572086712">
    <w:abstractNumId w:val="22"/>
  </w:num>
  <w:num w:numId="39" w16cid:durableId="563027020">
    <w:abstractNumId w:val="19"/>
  </w:num>
  <w:num w:numId="40" w16cid:durableId="1067343318">
    <w:abstractNumId w:val="30"/>
  </w:num>
  <w:num w:numId="41" w16cid:durableId="556623513">
    <w:abstractNumId w:val="21"/>
  </w:num>
  <w:num w:numId="42" w16cid:durableId="1332105196">
    <w:abstractNumId w:val="11"/>
  </w:num>
  <w:num w:numId="43" w16cid:durableId="1469931557">
    <w:abstractNumId w:val="8"/>
  </w:num>
  <w:num w:numId="44" w16cid:durableId="989288905">
    <w:abstractNumId w:val="42"/>
  </w:num>
  <w:num w:numId="45" w16cid:durableId="1039820093">
    <w:abstractNumId w:val="18"/>
  </w:num>
  <w:num w:numId="46" w16cid:durableId="671376896">
    <w:abstractNumId w:val="17"/>
  </w:num>
  <w:num w:numId="47" w16cid:durableId="160688080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401C8A"/>
    <w:rsid w:val="00023A3D"/>
    <w:rsid w:val="00401C8A"/>
    <w:rsid w:val="006C0E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B0F6BA-99EB-4DB6-A60E-28B4F505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FiU1tabellrubrik2000">
    <w:name w:val="FiU1 tabellrubrik 2000"/>
    <w:basedOn w:val="Normal"/>
    <w:next w:val="Normal"/>
    <w:pPr>
      <w:spacing w:before="300" w:line="300" w:lineRule="exact"/>
    </w:pPr>
    <w:rPr>
      <w:b/>
      <w:sz w:val="17"/>
    </w:rPr>
  </w:style>
  <w:style w:type="paragraph" w:customStyle="1" w:styleId="Tabell">
    <w:name w:val="Tabell"/>
    <w:basedOn w:val="Normal"/>
    <w:pPr>
      <w:spacing w:before="0" w:line="170" w:lineRule="exact"/>
    </w:pPr>
    <w:rPr>
      <w:sz w:val="17"/>
    </w:rPr>
  </w:style>
  <w:style w:type="paragraph" w:styleId="Brdtext">
    <w:name w:val="Body Text"/>
    <w:aliases w:val="Alt+B"/>
    <w:basedOn w:val="Normal"/>
    <w:next w:val="Brdtextmedindrag"/>
    <w:semiHidden/>
    <w:pPr>
      <w:spacing w:before="122" w:line="245" w:lineRule="exact"/>
    </w:pPr>
  </w:style>
  <w:style w:type="paragraph" w:styleId="Brdtextmedindrag">
    <w:name w:val="Body Text Indent"/>
    <w:basedOn w:val="Normal"/>
    <w:semiHidden/>
    <w:pPr>
      <w:spacing w:before="122" w:line="245" w:lineRule="exact"/>
      <w:ind w:firstLine="284"/>
    </w:pPr>
  </w:style>
  <w:style w:type="paragraph" w:styleId="Brdtext2">
    <w:name w:val="Body Text 2"/>
    <w:basedOn w:val="Normal"/>
    <w:semiHidden/>
    <w:rPr>
      <w:color w:val="FF0000"/>
    </w:rPr>
  </w:style>
  <w:style w:type="paragraph" w:customStyle="1" w:styleId="SBTabell">
    <w:name w:val="SB_Tabell"/>
    <w:basedOn w:val="Normal"/>
    <w:pPr>
      <w:spacing w:before="0" w:line="214" w:lineRule="exact"/>
      <w:jc w:val="left"/>
    </w:pPr>
    <w:rPr>
      <w:sz w:val="20"/>
    </w:r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i/>
      <w:spacing w:val="-2"/>
      <w:kern w:val="16"/>
      <w:sz w:val="22"/>
    </w:rPr>
  </w:style>
  <w:style w:type="paragraph" w:customStyle="1" w:styleId="Brdtextnumrerad">
    <w:name w:val="Brödtext numrerad"/>
    <w:basedOn w:val="Brdtext"/>
    <w:pPr>
      <w:overflowPunct w:val="0"/>
      <w:autoSpaceDE w:val="0"/>
      <w:autoSpaceDN w:val="0"/>
      <w:adjustRightInd w:val="0"/>
      <w:spacing w:before="84" w:line="260" w:lineRule="exact"/>
      <w:ind w:left="454" w:hanging="454"/>
      <w:textAlignment w:val="baseline"/>
    </w:pPr>
    <w:rPr>
      <w:spacing w:val="-4"/>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wmf"/><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15172</Words>
  <Characters>99075</Characters>
  <Application>Microsoft Office Word</Application>
  <DocSecurity>4</DocSecurity>
  <Lines>2540</Lines>
  <Paragraphs>1177</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Finansutskottets betänkande</vt:lpstr>
      <vt:lpstr>Sammanfattning</vt:lpstr>
      <vt:lpstr>Innehållsförteckning</vt:lpstr>
      <vt:lpstr>Utskottets förslag till riksdagsbeslut</vt:lpstr>
      <vt:lpstr>2001/02:Fi279 av Gunnar Hökmark m.fl. (m),</vt:lpstr>
      <vt:lpstr>Riksdagen antar de av regeringen framlagda förslagen till</vt:lpstr>
      <vt:lpstr>4. lag om ändring i lagen (1995:1571) om insättningsgaranti,</vt:lpstr>
      <vt:lpstr>Stockholm den 29 november 2001</vt:lpstr>
      <vt:lpstr>Redogörelse för ärendet</vt:lpstr>
      <vt:lpstr>    Ärendet och dess beredning</vt:lpstr>
      <vt:lpstr>    Propositionens huvudsakliga innehåll</vt:lpstr>
      <vt:lpstr>Utskottets överväganden</vt:lpstr>
      <vt:lpstr>Ekonomisk styrning inom utgiftsområdet</vt:lpstr>
      <vt:lpstr>Utskottets bedömning i korthet</vt:lpstr>
      <vt:lpstr>Utskottets bedömning</vt:lpstr>
      <vt:lpstr>Anslagen för 2002 inom utgiftsområde 2</vt:lpstr>
      <vt:lpstr>Utskottets förslag i korthet</vt:lpstr>
      <vt:lpstr>Jämför reservationerna 1–3 och särskilda yttrandena 1 och 2</vt:lpstr>
      <vt:lpstr>Tabell. Förslag till fördelning av utgifter på utgiftsområde 2 Samhällsekonomi o</vt:lpstr>
      <vt:lpstr>Belopp i 1 000-tal kronor</vt:lpstr>
      <vt:lpstr>    Politikområdet Effektiv statsförvaltning</vt:lpstr>
      <vt:lpstr>        Revisionens iakttagelser</vt:lpstr>
      <vt:lpstr>        Målet för politikområdet</vt:lpstr>
      <vt:lpstr>        Konjunkturinstitutet</vt:lpstr>
      <vt:lpstr>Propositionen</vt:lpstr>
      <vt:lpstr>        Riksrevisionsverket</vt:lpstr>
      <vt:lpstr>Propositionen</vt:lpstr>
      <vt:lpstr>Motionerna</vt:lpstr>
      <vt:lpstr>        Ekonomistyrningsverket</vt:lpstr>
      <vt:lpstr>Propositionen</vt:lpstr>
      <vt:lpstr>        Statskontoret</vt:lpstr>
      <vt:lpstr>Propositionen</vt:lpstr>
      <vt:lpstr>Motionen</vt:lpstr>
      <vt:lpstr>        Täckning av merkostnader för lokaler</vt:lpstr>
      <vt:lpstr>Propositionen</vt:lpstr>
      <vt:lpstr>        Statistiska centralbyrån </vt:lpstr>
      <vt:lpstr>Propositionen</vt:lpstr>
      <vt:lpstr>Motionerna </vt:lpstr>
      <vt:lpstr>        Folk- och bostadsstatistik</vt:lpstr>
      <vt:lpstr>Propositionen</vt:lpstr>
      <vt:lpstr>Motionerna</vt:lpstr>
      <vt:lpstr>        Kammarkollegiet</vt:lpstr>
      <vt:lpstr>Propositionen</vt:lpstr>
      <vt:lpstr>Motionen</vt:lpstr>
      <vt:lpstr>        Nämnden för offentlig upphandling</vt:lpstr>
      <vt:lpstr>Propositionen</vt:lpstr>
      <vt:lpstr>Motionerna</vt:lpstr>
      <vt:lpstr>        Statens kvalitets- och kompetensråd</vt:lpstr>
      <vt:lpstr>Propositionen</vt:lpstr>
      <vt:lpstr>Motionerna</vt:lpstr>
      <vt:lpstr>        Ekonomiska rådet</vt:lpstr>
      <vt:lpstr>Propositionen</vt:lpstr>
      <vt:lpstr>Motionen</vt:lpstr>
      <vt:lpstr>        Utvecklingsarbete</vt:lpstr>
      <vt:lpstr>Propositionen</vt:lpstr>
      <vt:lpstr>Motionerna</vt:lpstr>
      <vt:lpstr>        Arbetsgivarverket</vt:lpstr>
      <vt:lpstr>        Arbetsgivarpolitiska frågor</vt:lpstr>
      <vt:lpstr>        Statliga tjänstepensioner</vt:lpstr>
      <vt:lpstr>    Politikområdet Finansiella system och tillsyn</vt:lpstr>
      <vt:lpstr>        Revisionens iakttagelser</vt:lpstr>
      <vt:lpstr>        Målet för politikområdet</vt:lpstr>
      <vt:lpstr>        Finansinspektionen</vt:lpstr>
      <vt:lpstr>Propositionen</vt:lpstr>
      <vt:lpstr>Motionen</vt:lpstr>
      <vt:lpstr>        Insättningsgarantinämnden</vt:lpstr>
      <vt:lpstr>Propositionen</vt:lpstr>
      <vt:lpstr>        Riksgäldskontorets förvaltningskostnader</vt:lpstr>
      <vt:lpstr>Propositionen</vt:lpstr>
      <vt:lpstr>Motionen</vt:lpstr>
      <vt:lpstr>        Bokföringsnämnden</vt:lpstr>
      <vt:lpstr>Propositionen</vt:lpstr>
      <vt:lpstr>        Avgift för Stadshypotekskassans grundfond</vt:lpstr>
      <vt:lpstr>Propositionen</vt:lpstr>
      <vt:lpstr>        Insatser i internationella finansieringsinstitutioner </vt:lpstr>
      <vt:lpstr>Propositionen</vt:lpstr>
      <vt:lpstr>        Avsättning för garantiverksamhet</vt:lpstr>
      <vt:lpstr>Propositionen</vt:lpstr>
      <vt:lpstr>        Premiepensionsmyndigheten</vt:lpstr>
      <vt:lpstr>Propositionen</vt:lpstr>
      <vt:lpstr>    Ofördelat anslag</vt:lpstr>
      <vt:lpstr>        Målet för området</vt:lpstr>
      <vt:lpstr>        Riksdagens revisorer</vt:lpstr>
      <vt:lpstr>Propositionen</vt:lpstr>
      <vt:lpstr>Motionerna</vt:lpstr>
      <vt:lpstr>    Finansutskottets samlade ställningstagande till anslagen inom utgiftsområde 2</vt:lpstr>
      <vt:lpstr>Statens fastighetsverk</vt:lpstr>
      <vt:lpstr>Utskottets förslag i korthet</vt:lpstr>
      <vt:lpstr>Propositionen</vt:lpstr>
      <vt:lpstr>Investeringsplan för Statens fastighetsverk</vt:lpstr>
      <vt:lpstr>Miljoner kronor</vt:lpstr>
      <vt:lpstr>Finansutskottets ställningstagande</vt:lpstr>
      <vt:lpstr>Fortifikationsverket</vt:lpstr>
      <vt:lpstr>Utskottets förslag i korthet</vt:lpstr>
      <vt:lpstr>Propositionen</vt:lpstr>
      <vt:lpstr>Investeringsplan för Fortifikationsverket</vt:lpstr>
      <vt:lpstr>Miljoner kronor</vt:lpstr>
      <vt:lpstr>Finansutskottets ställningstagande</vt:lpstr>
      <vt:lpstr>Rörlig kredit för Premiepensionsmyndigheten</vt:lpstr>
      <vt:lpstr>Utskottets förslag i korthet</vt:lpstr>
      <vt:lpstr>Propositionen</vt:lpstr>
    </vt:vector>
  </TitlesOfParts>
  <Company>Riksdagen</Company>
  <LinksUpToDate>false</LinksUpToDate>
  <CharactersWithSpaces>113070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2001-12-07T13:29:00Z</cp:lastPrinted>
  <dcterms:created xsi:type="dcterms:W3CDTF">2025-12-16T00:08:00Z</dcterms:created>
  <dcterms:modified xsi:type="dcterms:W3CDTF">2025-12-16T00:08:00Z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