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215" w:rsidRPr="008A0946" w:rsidRDefault="00803215" w:rsidP="001A4F18">
      <w:pPr>
        <w:pStyle w:val="Hemstlrubrik"/>
      </w:pPr>
      <w:bookmarkStart w:id="0" w:name="_Toc115610108"/>
      <w:r w:rsidRPr="008A0946">
        <w:t>Förslag till riksdagsbeslut</w:t>
      </w:r>
      <w:bookmarkEnd w:id="0"/>
    </w:p>
    <w:p w:rsidR="00803215" w:rsidRPr="008A0946" w:rsidRDefault="00803215" w:rsidP="009C5C9E">
      <w:pPr>
        <w:pStyle w:val="Hemstlatt"/>
      </w:pPr>
      <w:r w:rsidRPr="008A0946">
        <w:t>Riksdagen tillkännager för regeringen som sin mening vad i motionen anförs om att Sverige i alla relevanta internationella sammanhang ska</w:t>
      </w:r>
      <w:r w:rsidR="00E55CB3" w:rsidRPr="008A0946">
        <w:t>ll</w:t>
      </w:r>
      <w:r w:rsidRPr="008A0946">
        <w:t xml:space="preserve"> verka för att rika länder och internationella finansiella institutioner bör komma överens om att skriva av alla bilaterala, multilaterala och ko</w:t>
      </w:r>
      <w:r w:rsidRPr="008A0946">
        <w:t>m</w:t>
      </w:r>
      <w:r w:rsidRPr="008A0946">
        <w:t xml:space="preserve">mersiella skulder helt för de länder </w:t>
      </w:r>
      <w:r w:rsidR="00D368E6" w:rsidRPr="008A0946">
        <w:t>som inte förefaller klara FN:s m</w:t>
      </w:r>
      <w:r w:rsidRPr="008A0946">
        <w:t>ille</w:t>
      </w:r>
      <w:r w:rsidRPr="008A0946">
        <w:t>n</w:t>
      </w:r>
      <w:r w:rsidRPr="008A0946">
        <w:t>niemål.</w:t>
      </w:r>
    </w:p>
    <w:p w:rsidR="00803215" w:rsidRPr="008A0946" w:rsidRDefault="00E9440F" w:rsidP="009C5C9E">
      <w:pPr>
        <w:pStyle w:val="Hemstlatt"/>
      </w:pPr>
      <w:r w:rsidRPr="008A0946">
        <w:t>Riksdagen</w:t>
      </w:r>
      <w:r w:rsidR="00803215" w:rsidRPr="008A0946">
        <w:t xml:space="preserve"> tillkännager för regeringen som sin mening vad i motionen anförs om att Sveriges hållning vad avser skuldavskrivningar </w:t>
      </w:r>
      <w:r w:rsidR="00071179" w:rsidRPr="008A0946">
        <w:t>ska</w:t>
      </w:r>
      <w:r w:rsidR="00E55CB3" w:rsidRPr="008A0946">
        <w:t>ll</w:t>
      </w:r>
      <w:r w:rsidR="00071179" w:rsidRPr="008A0946">
        <w:t xml:space="preserve"> vara att Världsbankens och I</w:t>
      </w:r>
      <w:r w:rsidR="00803215" w:rsidRPr="008A0946">
        <w:t>nternationella valutafondens andelsägare ska</w:t>
      </w:r>
      <w:r w:rsidR="00E55CB3" w:rsidRPr="008A0946">
        <w:t>ll</w:t>
      </w:r>
      <w:r w:rsidR="00803215" w:rsidRPr="008A0946">
        <w:t xml:space="preserve"> implementera G</w:t>
      </w:r>
      <w:r w:rsidR="00E55CB3" w:rsidRPr="008A0946">
        <w:t xml:space="preserve"> </w:t>
      </w:r>
      <w:r w:rsidR="00803215" w:rsidRPr="008A0946">
        <w:t>8-ländernas förslag om en hundraprocentig skulda</w:t>
      </w:r>
      <w:r w:rsidR="00803215" w:rsidRPr="008A0946">
        <w:t>v</w:t>
      </w:r>
      <w:r w:rsidR="00803215" w:rsidRPr="008A0946">
        <w:t>skriv</w:t>
      </w:r>
      <w:r w:rsidR="00D368E6" w:rsidRPr="008A0946">
        <w:t>ning för alla länder inom HIPC-</w:t>
      </w:r>
      <w:r w:rsidR="00803215" w:rsidRPr="008A0946">
        <w:t>initiativet, utan vidare dröjsmål eller nya krav.</w:t>
      </w:r>
    </w:p>
    <w:p w:rsidR="00803215" w:rsidRPr="008A0946" w:rsidRDefault="00E9440F" w:rsidP="009C5C9E">
      <w:pPr>
        <w:pStyle w:val="Hemstlatt"/>
      </w:pPr>
      <w:r w:rsidRPr="008A0946">
        <w:t>Riksdagen</w:t>
      </w:r>
      <w:r w:rsidR="00803215" w:rsidRPr="008A0946">
        <w:t xml:space="preserve"> tillkännager för regeringen som sin mening vad i motionen anförs om att </w:t>
      </w:r>
      <w:r w:rsidR="00E55CB3" w:rsidRPr="008A0946">
        <w:t>s.k.</w:t>
      </w:r>
      <w:r w:rsidR="00803215" w:rsidRPr="008A0946">
        <w:t xml:space="preserve"> illegitima skulder omedelbart bör avskrivas</w:t>
      </w:r>
      <w:r w:rsidRPr="008A0946">
        <w:t>.</w:t>
      </w:r>
    </w:p>
    <w:p w:rsidR="00803215" w:rsidRPr="008A0946" w:rsidRDefault="00E9440F" w:rsidP="009C5C9E">
      <w:pPr>
        <w:pStyle w:val="Hemstlatt"/>
      </w:pPr>
      <w:r w:rsidRPr="008A0946">
        <w:t>Riksdagen</w:t>
      </w:r>
      <w:r w:rsidR="00803215" w:rsidRPr="008A0946">
        <w:t xml:space="preserve"> tillkännager för regeringen som sin mening vad i motionen anförs om att Sverige ska</w:t>
      </w:r>
      <w:r w:rsidR="00E55CB3" w:rsidRPr="008A0946">
        <w:t>ll</w:t>
      </w:r>
      <w:r w:rsidR="00803215" w:rsidRPr="008A0946">
        <w:t xml:space="preserve"> verka för att fattiga länder måste befrias från </w:t>
      </w:r>
      <w:r w:rsidR="006F0F39" w:rsidRPr="008A0946">
        <w:t xml:space="preserve">de </w:t>
      </w:r>
      <w:r w:rsidR="00803215" w:rsidRPr="008A0946">
        <w:t>påförda</w:t>
      </w:r>
      <w:r w:rsidR="006F0F39" w:rsidRPr="008A0946">
        <w:t xml:space="preserve"> ekonomiska och politiska krav</w:t>
      </w:r>
      <w:r w:rsidR="00803215" w:rsidRPr="008A0946">
        <w:t xml:space="preserve"> som följer av HIPC:s skulds</w:t>
      </w:r>
      <w:r w:rsidR="00803215" w:rsidRPr="008A0946">
        <w:t>a</w:t>
      </w:r>
      <w:r w:rsidR="00803215" w:rsidRPr="008A0946">
        <w:t>nering.</w:t>
      </w:r>
    </w:p>
    <w:p w:rsidR="00803215" w:rsidRPr="008A0946" w:rsidRDefault="00E9440F" w:rsidP="009C5C9E">
      <w:pPr>
        <w:pStyle w:val="Hemstlatt"/>
      </w:pPr>
      <w:r w:rsidRPr="008A0946">
        <w:t>Riksdagen</w:t>
      </w:r>
      <w:r w:rsidR="00803215" w:rsidRPr="008A0946">
        <w:t xml:space="preserve"> tillkännager för regeringen som sin mening vad i motionen anförs om</w:t>
      </w:r>
      <w:r w:rsidR="009C5C9E" w:rsidRPr="008A0946">
        <w:t xml:space="preserve"> </w:t>
      </w:r>
      <w:r w:rsidR="00803215" w:rsidRPr="008A0946">
        <w:t>utarbetandet av ett nytt, internationellt oberoende, rättvist och ö</w:t>
      </w:r>
      <w:r w:rsidR="00803215" w:rsidRPr="008A0946">
        <w:t>p</w:t>
      </w:r>
      <w:r w:rsidR="00803215" w:rsidRPr="008A0946">
        <w:t>pet skuldsanerings</w:t>
      </w:r>
      <w:r w:rsidR="009C5C9E" w:rsidRPr="008A0946">
        <w:softHyphen/>
      </w:r>
      <w:r w:rsidR="00803215" w:rsidRPr="008A0946">
        <w:t>förfarande som kan ge en långsiktig lösning av skuldkrisen så att millenniemålen kan nås 2015.</w:t>
      </w:r>
    </w:p>
    <w:p w:rsidR="00803215" w:rsidRPr="008A0946" w:rsidRDefault="00E9440F" w:rsidP="009C5C9E">
      <w:pPr>
        <w:pStyle w:val="Hemstlatt"/>
      </w:pPr>
      <w:r w:rsidRPr="008A0946">
        <w:t>Riksdagen</w:t>
      </w:r>
      <w:r w:rsidR="00803215" w:rsidRPr="008A0946">
        <w:t xml:space="preserve"> tillkännager för regeringen som sin mening vad i motionen anförs om </w:t>
      </w:r>
      <w:r w:rsidR="00803215" w:rsidRPr="008A0946">
        <w:rPr>
          <w:rFonts w:eastAsia="Arial Unicode MS"/>
        </w:rPr>
        <w:t xml:space="preserve">att regeringen skyndsamt utreder vilka </w:t>
      </w:r>
      <w:r w:rsidR="00CC2FC1" w:rsidRPr="008A0946">
        <w:rPr>
          <w:rFonts w:eastAsia="Arial Unicode MS"/>
        </w:rPr>
        <w:t xml:space="preserve">alternativa </w:t>
      </w:r>
      <w:r w:rsidR="00803215" w:rsidRPr="008A0946">
        <w:rPr>
          <w:rFonts w:eastAsia="Arial Unicode MS"/>
        </w:rPr>
        <w:t>finansi</w:t>
      </w:r>
      <w:r w:rsidR="00803215" w:rsidRPr="008A0946">
        <w:rPr>
          <w:rFonts w:eastAsia="Arial Unicode MS"/>
        </w:rPr>
        <w:t>e</w:t>
      </w:r>
      <w:r w:rsidR="00803215" w:rsidRPr="008A0946">
        <w:rPr>
          <w:rFonts w:eastAsia="Arial Unicode MS"/>
        </w:rPr>
        <w:t>ringslö</w:t>
      </w:r>
      <w:r w:rsidR="00803215" w:rsidRPr="008A0946">
        <w:rPr>
          <w:rFonts w:eastAsia="Arial Unicode MS"/>
        </w:rPr>
        <w:t>s</w:t>
      </w:r>
      <w:r w:rsidR="00803215" w:rsidRPr="008A0946">
        <w:rPr>
          <w:rFonts w:eastAsia="Arial Unicode MS"/>
        </w:rPr>
        <w:t xml:space="preserve">ningar </w:t>
      </w:r>
      <w:r w:rsidR="00CC2FC1" w:rsidRPr="008A0946">
        <w:rPr>
          <w:rFonts w:eastAsia="Arial Unicode MS"/>
        </w:rPr>
        <w:t>av millennie</w:t>
      </w:r>
      <w:r w:rsidR="009C5C9E" w:rsidRPr="008A0946">
        <w:rPr>
          <w:rFonts w:eastAsia="Arial Unicode MS"/>
        </w:rPr>
        <w:softHyphen/>
      </w:r>
      <w:r w:rsidR="00CC2FC1" w:rsidRPr="008A0946">
        <w:rPr>
          <w:rFonts w:eastAsia="Arial Unicode MS"/>
        </w:rPr>
        <w:t xml:space="preserve">målen </w:t>
      </w:r>
      <w:r w:rsidR="00803215" w:rsidRPr="008A0946">
        <w:rPr>
          <w:rFonts w:eastAsia="Arial Unicode MS"/>
        </w:rPr>
        <w:t>som är mest realistisk</w:t>
      </w:r>
      <w:r w:rsidR="00E84BB1" w:rsidRPr="008A0946">
        <w:rPr>
          <w:rFonts w:eastAsia="Arial Unicode MS"/>
        </w:rPr>
        <w:t>a</w:t>
      </w:r>
      <w:r w:rsidR="00803215" w:rsidRPr="008A0946">
        <w:rPr>
          <w:rFonts w:eastAsia="Arial Unicode MS"/>
        </w:rPr>
        <w:t xml:space="preserve"> och effektiv</w:t>
      </w:r>
      <w:r w:rsidR="00E84BB1" w:rsidRPr="008A0946">
        <w:rPr>
          <w:rFonts w:eastAsia="Arial Unicode MS"/>
        </w:rPr>
        <w:t>a</w:t>
      </w:r>
      <w:r w:rsidR="00803215" w:rsidRPr="008A0946">
        <w:rPr>
          <w:rFonts w:eastAsia="Arial Unicode MS"/>
        </w:rPr>
        <w:t xml:space="preserve"> i nuläget.</w:t>
      </w:r>
    </w:p>
    <w:p w:rsidR="00803215" w:rsidRPr="008A0946" w:rsidRDefault="00E9440F" w:rsidP="009C5C9E">
      <w:pPr>
        <w:pStyle w:val="Hemstlatt"/>
      </w:pPr>
      <w:r w:rsidRPr="008A0946">
        <w:t>Riksdagen</w:t>
      </w:r>
      <w:r w:rsidR="00803215" w:rsidRPr="008A0946">
        <w:t xml:space="preserve"> tillkännager för regeringen som sin mening vad i motionen anförs om att v</w:t>
      </w:r>
      <w:r w:rsidR="00E84BB1" w:rsidRPr="008A0946">
        <w:rPr>
          <w:rFonts w:eastAsia="Arial Unicode MS"/>
          <w:lang w:eastAsia="en-US"/>
        </w:rPr>
        <w:t>erka för att alt</w:t>
      </w:r>
      <w:r w:rsidR="00CC2FC1" w:rsidRPr="008A0946">
        <w:rPr>
          <w:rFonts w:eastAsia="Arial Unicode MS"/>
          <w:lang w:eastAsia="en-US"/>
        </w:rPr>
        <w:t>e</w:t>
      </w:r>
      <w:r w:rsidR="00E84BB1" w:rsidRPr="008A0946">
        <w:rPr>
          <w:rFonts w:eastAsia="Arial Unicode MS"/>
          <w:lang w:eastAsia="en-US"/>
        </w:rPr>
        <w:t>r</w:t>
      </w:r>
      <w:r w:rsidR="00CC2FC1" w:rsidRPr="008A0946">
        <w:rPr>
          <w:rFonts w:eastAsia="Arial Unicode MS"/>
          <w:lang w:eastAsia="en-US"/>
        </w:rPr>
        <w:t>nativ</w:t>
      </w:r>
      <w:r w:rsidR="00803215" w:rsidRPr="008A0946">
        <w:rPr>
          <w:rFonts w:eastAsia="Arial Unicode MS"/>
          <w:lang w:eastAsia="en-US"/>
        </w:rPr>
        <w:t>a finansieringslösningar blir till nya och reella tillskott och går utöver de finansiella åtaganden som redan gjorts.</w:t>
      </w:r>
    </w:p>
    <w:p w:rsidR="00803215" w:rsidRPr="008A0946" w:rsidRDefault="00803215" w:rsidP="00680535">
      <w:pPr>
        <w:pStyle w:val="Rubrik1"/>
      </w:pPr>
      <w:bookmarkStart w:id="1" w:name="_Toc115610109"/>
      <w:r w:rsidRPr="008A0946">
        <w:lastRenderedPageBreak/>
        <w:t>Bakgrund</w:t>
      </w:r>
      <w:bookmarkEnd w:id="1"/>
    </w:p>
    <w:p w:rsidR="00803215" w:rsidRPr="008A0946" w:rsidRDefault="00803215" w:rsidP="00803215">
      <w:r w:rsidRPr="008A0946">
        <w:t xml:space="preserve">I FN:s </w:t>
      </w:r>
      <w:r w:rsidR="001A4F18" w:rsidRPr="008A0946">
        <w:t xml:space="preserve">millenniedeklaration </w:t>
      </w:r>
      <w:r w:rsidRPr="008A0946">
        <w:t xml:space="preserve">erkände världens ledare ett </w:t>
      </w:r>
      <w:r w:rsidR="001A4F18" w:rsidRPr="008A0946">
        <w:t>”</w:t>
      </w:r>
      <w:r w:rsidRPr="008A0946">
        <w:t>kollektivt ansvar för att principerna om människors värdighet, jämlikhet och jämställdhet upprät</w:t>
      </w:r>
      <w:r w:rsidRPr="008A0946">
        <w:t>t</w:t>
      </w:r>
      <w:r w:rsidRPr="008A0946">
        <w:t>hålls på det globala planet</w:t>
      </w:r>
      <w:r w:rsidR="001A4F18" w:rsidRPr="008A0946">
        <w:t>”</w:t>
      </w:r>
      <w:r w:rsidRPr="008A0946">
        <w:rPr>
          <w:rStyle w:val="Fotnotsreferens"/>
          <w:szCs w:val="19"/>
        </w:rPr>
        <w:footnoteReference w:id="2"/>
      </w:r>
      <w:r w:rsidRPr="008A0946">
        <w:t>. Ett hinder för dessa strävanden att utrota fatti</w:t>
      </w:r>
      <w:r w:rsidRPr="008A0946">
        <w:t>g</w:t>
      </w:r>
      <w:r w:rsidRPr="008A0946">
        <w:t>domen och uppnå millenniemålen är,</w:t>
      </w:r>
      <w:r w:rsidR="007A7268" w:rsidRPr="008A0946">
        <w:t xml:space="preserve"> enligt FN:s utvecklingsprogram</w:t>
      </w:r>
      <w:r w:rsidRPr="008A0946">
        <w:t xml:space="preserve"> UNDP, de fattiga ländernas skuldbörda.</w:t>
      </w:r>
    </w:p>
    <w:p w:rsidR="00CC2FC1" w:rsidRPr="008A0946" w:rsidRDefault="007A7268" w:rsidP="00803215">
      <w:pPr>
        <w:pStyle w:val="Normaltindrag"/>
      </w:pPr>
      <w:r w:rsidRPr="008A0946">
        <w:t xml:space="preserve">För att bekämpa </w:t>
      </w:r>
      <w:r w:rsidR="00803215" w:rsidRPr="008A0946">
        <w:t>fattigdom</w:t>
      </w:r>
      <w:r w:rsidRPr="008A0946">
        <w:t>en i världen</w:t>
      </w:r>
      <w:r w:rsidR="00803215" w:rsidRPr="008A0946">
        <w:t xml:space="preserve"> är det </w:t>
      </w:r>
      <w:r w:rsidR="00CC2FC1" w:rsidRPr="008A0946">
        <w:t>behövligt med både mer och effektivare bistånd samt kanske viktigast – rättvisa världshandelsregler. Men innan dessa mer lång</w:t>
      </w:r>
      <w:r w:rsidR="009C5C9E" w:rsidRPr="008A0946">
        <w:softHyphen/>
      </w:r>
      <w:r w:rsidR="00CC2FC1" w:rsidRPr="008A0946">
        <w:t xml:space="preserve">siktiga strategier vunnit full effekt är det </w:t>
      </w:r>
      <w:r w:rsidR="00803215" w:rsidRPr="008A0946">
        <w:t xml:space="preserve">nödvändigt att </w:t>
      </w:r>
      <w:r w:rsidR="00CC2FC1" w:rsidRPr="008A0946">
        <w:t xml:space="preserve">skuldbördan i fattiga länder minskar så </w:t>
      </w:r>
      <w:r w:rsidR="001A4F18" w:rsidRPr="008A0946">
        <w:t xml:space="preserve">att </w:t>
      </w:r>
      <w:r w:rsidR="00CC2FC1" w:rsidRPr="008A0946">
        <w:t>de andra åtgärderna alls kan få effekt.</w:t>
      </w:r>
    </w:p>
    <w:p w:rsidR="00803215" w:rsidRPr="008A0946" w:rsidRDefault="00803215" w:rsidP="00803215">
      <w:pPr>
        <w:pStyle w:val="Normaltindrag"/>
      </w:pPr>
      <w:r w:rsidRPr="008A0946">
        <w:t>Mot bakgrund av denna insikt har mängder av frivilligorganisationer vär</w:t>
      </w:r>
      <w:r w:rsidRPr="008A0946">
        <w:t>l</w:t>
      </w:r>
      <w:r w:rsidRPr="008A0946">
        <w:t>den över engagerat sig för</w:t>
      </w:r>
      <w:r w:rsidR="00D368E6" w:rsidRPr="008A0946">
        <w:t xml:space="preserve"> en avskrivning av skulderna. Miljöpartiet de </w:t>
      </w:r>
      <w:r w:rsidR="001A4F18" w:rsidRPr="008A0946">
        <w:t xml:space="preserve">gröna </w:t>
      </w:r>
      <w:r w:rsidRPr="008A0946">
        <w:t>delar deras mål</w:t>
      </w:r>
      <w:r w:rsidR="009C5C9E" w:rsidRPr="008A0946">
        <w:softHyphen/>
      </w:r>
      <w:r w:rsidRPr="008A0946">
        <w:t>sättningar och anser att Sveriges regering i alla relevanta i</w:t>
      </w:r>
      <w:r w:rsidRPr="008A0946">
        <w:t>n</w:t>
      </w:r>
      <w:r w:rsidRPr="008A0946">
        <w:t xml:space="preserve">ternationella sammanhang måste ge frågan om </w:t>
      </w:r>
      <w:r w:rsidR="00CC2FC1" w:rsidRPr="008A0946">
        <w:t>effektiv</w:t>
      </w:r>
      <w:r w:rsidR="001A4F18" w:rsidRPr="008A0946">
        <w:t>a</w:t>
      </w:r>
      <w:r w:rsidR="00CC2FC1" w:rsidRPr="008A0946">
        <w:t xml:space="preserve"> och bred</w:t>
      </w:r>
      <w:r w:rsidR="006F0F39" w:rsidRPr="008A0946">
        <w:t xml:space="preserve">a </w:t>
      </w:r>
      <w:r w:rsidRPr="008A0946">
        <w:t>skulda</w:t>
      </w:r>
      <w:r w:rsidRPr="008A0946">
        <w:t>v</w:t>
      </w:r>
      <w:r w:rsidRPr="008A0946">
        <w:t>skrivningar högsta prioritet.</w:t>
      </w:r>
    </w:p>
    <w:p w:rsidR="00803215" w:rsidRPr="008A0946" w:rsidRDefault="00803215" w:rsidP="00803215">
      <w:pPr>
        <w:pStyle w:val="Rubrik1"/>
      </w:pPr>
      <w:bookmarkStart w:id="2" w:name="_Toc115610110"/>
      <w:r w:rsidRPr="008A0946">
        <w:t>Skulderna ökar</w:t>
      </w:r>
      <w:bookmarkEnd w:id="2"/>
    </w:p>
    <w:p w:rsidR="00803215" w:rsidRPr="008A0946" w:rsidRDefault="00803215" w:rsidP="00803215">
      <w:r w:rsidRPr="008A0946">
        <w:t>De fattiga länder</w:t>
      </w:r>
      <w:r w:rsidR="006F0F39" w:rsidRPr="008A0946">
        <w:t>na</w:t>
      </w:r>
      <w:r w:rsidRPr="008A0946">
        <w:t>s skulder har ökat kraftigt sedan 1980-talet. Det gäller framför</w:t>
      </w:r>
      <w:r w:rsidR="007A7268" w:rsidRPr="008A0946">
        <w:t xml:space="preserve"> </w:t>
      </w:r>
      <w:r w:rsidRPr="008A0946">
        <w:t xml:space="preserve">allt skulderna till multilaterala institutioner som Världsbanken och IMF (Internationella </w:t>
      </w:r>
      <w:r w:rsidR="001A4F18" w:rsidRPr="008A0946">
        <w:t>valutafonden</w:t>
      </w:r>
      <w:r w:rsidRPr="008A0946">
        <w:t>). Låginkomstländernas samlade skuld uppgår till ca 520 miljarder dollar</w:t>
      </w:r>
      <w:r w:rsidR="007A7268" w:rsidRPr="008A0946">
        <w:t>,</w:t>
      </w:r>
      <w:r w:rsidRPr="008A0946">
        <w:t xml:space="preserve"> och hittills har bara ca 10 procent av lå</w:t>
      </w:r>
      <w:r w:rsidRPr="008A0946">
        <w:t>g</w:t>
      </w:r>
      <w:r w:rsidRPr="008A0946">
        <w:t>inkomstländernas skulder skrivits av</w:t>
      </w:r>
      <w:r w:rsidR="007A7268" w:rsidRPr="008A0946">
        <w:t>.</w:t>
      </w:r>
      <w:r w:rsidRPr="008A0946">
        <w:rPr>
          <w:rStyle w:val="Fotnotsreferens"/>
        </w:rPr>
        <w:footnoteReference w:id="3"/>
      </w:r>
      <w:r w:rsidRPr="008A0946">
        <w:t xml:space="preserve"> Idag används mycket bistånd till fattiga länder för att betala av gamla skulder. Många av de allra fattigaste</w:t>
      </w:r>
      <w:r w:rsidR="007A7268" w:rsidRPr="008A0946">
        <w:t xml:space="preserve"> länderna använder mer pengar till</w:t>
      </w:r>
      <w:r w:rsidRPr="008A0946">
        <w:t xml:space="preserve"> att betala av utlandsskulderna än vad de satsar på hälsovård eller utbildning. Exempelvis Niger använder e</w:t>
      </w:r>
      <w:r w:rsidR="007A7268" w:rsidRPr="008A0946">
        <w:t>n fjärdedel av sina inkomster till</w:t>
      </w:r>
      <w:r w:rsidRPr="008A0946">
        <w:t xml:space="preserve"> att betala av sin skuld, samtidigt som 86</w:t>
      </w:r>
      <w:r w:rsidR="007A7268" w:rsidRPr="008A0946">
        <w:t xml:space="preserve"> </w:t>
      </w:r>
      <w:r w:rsidR="007A1C5F" w:rsidRPr="008A0946">
        <w:t>procent</w:t>
      </w:r>
      <w:r w:rsidRPr="008A0946">
        <w:t xml:space="preserve"> av befolknin</w:t>
      </w:r>
      <w:r w:rsidRPr="008A0946">
        <w:t>g</w:t>
      </w:r>
      <w:r w:rsidRPr="008A0946">
        <w:t>en inte kan läsa</w:t>
      </w:r>
      <w:r w:rsidR="007A7268" w:rsidRPr="008A0946">
        <w:t xml:space="preserve"> eller skriva. Zambia spenderar</w:t>
      </w:r>
      <w:r w:rsidRPr="008A0946">
        <w:t xml:space="preserve"> en fjärdedel av sin årliga n</w:t>
      </w:r>
      <w:r w:rsidRPr="008A0946">
        <w:t>a</w:t>
      </w:r>
      <w:r w:rsidRPr="008A0946">
        <w:t>tionella budget på skulder, vilket är mer än landet använde</w:t>
      </w:r>
      <w:r w:rsidR="001A4F18" w:rsidRPr="008A0946">
        <w:t>r till sjukvård. I Honduras, Mos</w:t>
      </w:r>
      <w:r w:rsidRPr="008A0946">
        <w:t xml:space="preserve">ambique, </w:t>
      </w:r>
      <w:r w:rsidR="007A7268" w:rsidRPr="008A0946">
        <w:t xml:space="preserve">Nicaragua, Niger och Uganda överstiger </w:t>
      </w:r>
      <w:r w:rsidRPr="008A0946">
        <w:t>utgifterna för b</w:t>
      </w:r>
      <w:r w:rsidR="007A7268" w:rsidRPr="008A0946">
        <w:t>etalningar av skulder</w:t>
      </w:r>
      <w:r w:rsidRPr="008A0946">
        <w:t xml:space="preserve"> resurserna som satsas på sjukvård och utbildning tillsammans. Statistik från Världsbanken 1999 visar att 128 miljoner dollar transfererades varje dag från världens 62 fattigaste länder till rika länder och att för varje dollar som f</w:t>
      </w:r>
      <w:r w:rsidR="008D01BA" w:rsidRPr="008A0946">
        <w:t xml:space="preserve">attiga länder får i bistånd, </w:t>
      </w:r>
      <w:r w:rsidRPr="008A0946">
        <w:t>betalar de 13 dollar i gamla skulder</w:t>
      </w:r>
      <w:r w:rsidR="008D01BA" w:rsidRPr="008A0946">
        <w:t>.</w:t>
      </w:r>
      <w:r w:rsidRPr="008A0946">
        <w:rPr>
          <w:rStyle w:val="Fotnotsreferens"/>
        </w:rPr>
        <w:footnoteReference w:id="4"/>
      </w:r>
      <w:r w:rsidRPr="008A0946">
        <w:t xml:space="preserve"> Penn</w:t>
      </w:r>
      <w:r w:rsidR="008D01BA" w:rsidRPr="008A0946">
        <w:t>ingströmmarna går alltså snarare</w:t>
      </w:r>
      <w:r w:rsidRPr="008A0946">
        <w:t xml:space="preserve"> från </w:t>
      </w:r>
      <w:r w:rsidR="001A4F18" w:rsidRPr="008A0946">
        <w:t xml:space="preserve">syd </w:t>
      </w:r>
      <w:r w:rsidRPr="008A0946">
        <w:t xml:space="preserve">till </w:t>
      </w:r>
      <w:r w:rsidR="001A4F18" w:rsidRPr="008A0946">
        <w:t xml:space="preserve">nord </w:t>
      </w:r>
      <w:r w:rsidR="008D01BA" w:rsidRPr="008A0946">
        <w:t>än tvärtom</w:t>
      </w:r>
      <w:r w:rsidRPr="008A0946">
        <w:t>.</w:t>
      </w:r>
    </w:p>
    <w:p w:rsidR="00803215" w:rsidRPr="008A0946" w:rsidRDefault="00803215" w:rsidP="00803215">
      <w:pPr>
        <w:pStyle w:val="Normaltindrag"/>
      </w:pPr>
      <w:r w:rsidRPr="008A0946">
        <w:t>De skuldavskrivningar som hitt</w:t>
      </w:r>
      <w:r w:rsidR="008D01BA" w:rsidRPr="008A0946">
        <w:t>ills skett inom ramen för HIPC-</w:t>
      </w:r>
      <w:r w:rsidRPr="008A0946">
        <w:t>programmet (</w:t>
      </w:r>
      <w:r w:rsidRPr="008A0946">
        <w:rPr>
          <w:i/>
        </w:rPr>
        <w:t>Heavily Indebted Poor Countries</w:t>
      </w:r>
      <w:r w:rsidRPr="008A0946">
        <w:t>)</w:t>
      </w:r>
      <w:r w:rsidRPr="008A0946">
        <w:rPr>
          <w:i/>
        </w:rPr>
        <w:t xml:space="preserve"> </w:t>
      </w:r>
      <w:r w:rsidRPr="008A0946">
        <w:t xml:space="preserve">har varit otillräckliga för att åstadkomma en långsiktig lösning av skuldkrisen. Det finns idag ett stort behov av skuldavskrivningar bortom HIPC för att åstadkomma hållbara och hanterbara skuldnivåer för fattiga länder, något som också EU-kommissionen </w:t>
      </w:r>
      <w:r w:rsidR="00D368E6" w:rsidRPr="008A0946">
        <w:t xml:space="preserve">i april 2005 slog </w:t>
      </w:r>
      <w:r w:rsidRPr="008A0946">
        <w:t xml:space="preserve">fast i en rapport om EU och millenniemålen. </w:t>
      </w:r>
      <w:r w:rsidR="00D368E6" w:rsidRPr="008A0946">
        <w:t>Kofi Annans rådgivare och ledare</w:t>
      </w:r>
      <w:r w:rsidR="008D01BA" w:rsidRPr="008A0946">
        <w:t>n</w:t>
      </w:r>
      <w:r w:rsidR="00D368E6" w:rsidRPr="008A0946">
        <w:t xml:space="preserve"> för FN:s millennieprojekt,</w:t>
      </w:r>
      <w:r w:rsidR="009C5C9E" w:rsidRPr="008A0946">
        <w:t xml:space="preserve"> </w:t>
      </w:r>
      <w:r w:rsidR="00D368E6" w:rsidRPr="008A0946">
        <w:t>professor</w:t>
      </w:r>
      <w:r w:rsidR="008D01BA" w:rsidRPr="008A0946">
        <w:t xml:space="preserve"> Jeffrey</w:t>
      </w:r>
      <w:r w:rsidRPr="008A0946">
        <w:t xml:space="preserve"> Sachs</w:t>
      </w:r>
      <w:r w:rsidR="00D368E6" w:rsidRPr="008A0946">
        <w:t>,</w:t>
      </w:r>
      <w:r w:rsidRPr="008A0946">
        <w:t xml:space="preserve"> har visat att det helt enkelt är omöjligt för Afrika</w:t>
      </w:r>
      <w:r w:rsidR="008D01BA" w:rsidRPr="008A0946">
        <w:t>s länder</w:t>
      </w:r>
      <w:r w:rsidRPr="008A0946">
        <w:t xml:space="preserve"> att uppnå målet om halverad fattigdom och samtidigt betala tillbaka sina lån.</w:t>
      </w:r>
    </w:p>
    <w:p w:rsidR="00803215" w:rsidRPr="008A0946" w:rsidRDefault="00803215" w:rsidP="00803215">
      <w:pPr>
        <w:pStyle w:val="Rubrik1"/>
      </w:pPr>
      <w:bookmarkStart w:id="3" w:name="_Toc115610111"/>
      <w:r w:rsidRPr="008A0946">
        <w:t>G</w:t>
      </w:r>
      <w:r w:rsidR="001A4F18" w:rsidRPr="008A0946">
        <w:t xml:space="preserve"> </w:t>
      </w:r>
      <w:r w:rsidRPr="008A0946">
        <w:t>8-ländernas överenskommelse om skulder</w:t>
      </w:r>
      <w:bookmarkEnd w:id="3"/>
    </w:p>
    <w:p w:rsidR="00803215" w:rsidRPr="008A0946" w:rsidRDefault="007A1C5F" w:rsidP="00803215">
      <w:r w:rsidRPr="008A0946">
        <w:t>I juli 2005 tog G</w:t>
      </w:r>
      <w:r w:rsidR="001A4F18" w:rsidRPr="008A0946">
        <w:t xml:space="preserve"> </w:t>
      </w:r>
      <w:r w:rsidRPr="008A0946">
        <w:t>8-länderna, det vill säga</w:t>
      </w:r>
      <w:r w:rsidR="00D368E6" w:rsidRPr="008A0946">
        <w:t xml:space="preserve"> världens </w:t>
      </w:r>
      <w:r w:rsidR="001A4F18" w:rsidRPr="008A0946">
        <w:t xml:space="preserve">åtta </w:t>
      </w:r>
      <w:r w:rsidR="00D368E6" w:rsidRPr="008A0946">
        <w:t xml:space="preserve">rikaste länder, </w:t>
      </w:r>
      <w:r w:rsidR="00803215" w:rsidRPr="008A0946">
        <w:t>ett viktigt steg framåt för att skriva av skulderna för 18 fattiga länder som nått vissa mål</w:t>
      </w:r>
      <w:r w:rsidR="008D01BA" w:rsidRPr="008A0946">
        <w:t>.</w:t>
      </w:r>
      <w:r w:rsidR="00803215" w:rsidRPr="008A0946">
        <w:rPr>
          <w:rStyle w:val="Fotnotsreferens"/>
        </w:rPr>
        <w:footnoteReference w:id="5"/>
      </w:r>
      <w:r w:rsidRPr="008A0946">
        <w:t xml:space="preserve"> G</w:t>
      </w:r>
      <w:r w:rsidR="001A4F18" w:rsidRPr="008A0946">
        <w:t xml:space="preserve"> </w:t>
      </w:r>
      <w:r w:rsidRPr="008A0946">
        <w:t>8-</w:t>
      </w:r>
      <w:r w:rsidR="00803215" w:rsidRPr="008A0946">
        <w:t xml:space="preserve">beslutet var dessutom viktigt </w:t>
      </w:r>
      <w:r w:rsidR="008D01BA" w:rsidRPr="008A0946">
        <w:t xml:space="preserve">eftersom det innebär att </w:t>
      </w:r>
      <w:r w:rsidR="00803215" w:rsidRPr="008A0946">
        <w:t>skul</w:t>
      </w:r>
      <w:r w:rsidR="00803215" w:rsidRPr="008A0946">
        <w:t>d</w:t>
      </w:r>
      <w:r w:rsidR="00803215" w:rsidRPr="008A0946">
        <w:t>avskrivningar explicit och öppet erkänns vara nödvändiga för a</w:t>
      </w:r>
      <w:r w:rsidR="008D01BA" w:rsidRPr="008A0946">
        <w:t xml:space="preserve">tt skuldtyngda länder ska </w:t>
      </w:r>
      <w:r w:rsidR="00803215" w:rsidRPr="008A0946">
        <w:t xml:space="preserve">klara </w:t>
      </w:r>
      <w:r w:rsidR="008D01BA" w:rsidRPr="008A0946">
        <w:t xml:space="preserve">att </w:t>
      </w:r>
      <w:r w:rsidR="00803215" w:rsidRPr="008A0946">
        <w:t>uppnå millenniemå</w:t>
      </w:r>
      <w:r w:rsidRPr="008A0946">
        <w:t>len.</w:t>
      </w:r>
      <w:r w:rsidR="009C5C9E" w:rsidRPr="008A0946">
        <w:t xml:space="preserve"> </w:t>
      </w:r>
      <w:r w:rsidRPr="008A0946">
        <w:t>Miljöpartiet anser att G</w:t>
      </w:r>
      <w:r w:rsidR="001A4F18" w:rsidRPr="008A0946">
        <w:t xml:space="preserve"> </w:t>
      </w:r>
      <w:r w:rsidRPr="008A0946">
        <w:t>8-</w:t>
      </w:r>
      <w:r w:rsidR="00803215" w:rsidRPr="008A0946">
        <w:t>initiativet</w:t>
      </w:r>
      <w:r w:rsidR="008D01BA" w:rsidRPr="008A0946">
        <w:t xml:space="preserve">, som bekräftades vid Världsbankens </w:t>
      </w:r>
      <w:r w:rsidR="006F0F39" w:rsidRPr="008A0946">
        <w:t>och IMF:s års</w:t>
      </w:r>
      <w:r w:rsidR="008D01BA" w:rsidRPr="008A0946">
        <w:t>möte</w:t>
      </w:r>
      <w:r w:rsidR="006F0F39" w:rsidRPr="008A0946">
        <w:t>n i septe</w:t>
      </w:r>
      <w:r w:rsidR="006F0F39" w:rsidRPr="008A0946">
        <w:t>m</w:t>
      </w:r>
      <w:r w:rsidR="006F0F39" w:rsidRPr="008A0946">
        <w:t>ber</w:t>
      </w:r>
      <w:r w:rsidR="008D01BA" w:rsidRPr="008A0946">
        <w:t>,</w:t>
      </w:r>
      <w:r w:rsidR="00E84BB1" w:rsidRPr="008A0946">
        <w:t xml:space="preserve"> är</w:t>
      </w:r>
      <w:r w:rsidR="00803215" w:rsidRPr="008A0946">
        <w:t xml:space="preserve"> ett st</w:t>
      </w:r>
      <w:r w:rsidR="008D01BA" w:rsidRPr="008A0946">
        <w:t xml:space="preserve">eg i rätt riktning, och </w:t>
      </w:r>
      <w:r w:rsidR="00803215" w:rsidRPr="008A0946">
        <w:t>för opini</w:t>
      </w:r>
      <w:r w:rsidR="008D01BA" w:rsidRPr="008A0946">
        <w:t xml:space="preserve">onen och medierna ökade insikten om </w:t>
      </w:r>
      <w:r w:rsidR="00803215" w:rsidRPr="008A0946">
        <w:t>vikten av de</w:t>
      </w:r>
      <w:r w:rsidR="008D01BA" w:rsidRPr="008A0946">
        <w:t>nna fråga. Samtidigt har det</w:t>
      </w:r>
      <w:r w:rsidR="00803215" w:rsidRPr="008A0946">
        <w:t xml:space="preserve"> många svagheter. Initiativet är alltför b</w:t>
      </w:r>
      <w:r w:rsidR="008D01BA" w:rsidRPr="008A0946">
        <w:t xml:space="preserve">egränsat i volym och det </w:t>
      </w:r>
      <w:r w:rsidR="00803215" w:rsidRPr="008A0946">
        <w:t>omfattar endast de 18 länder som nått</w:t>
      </w:r>
      <w:r w:rsidR="008D01BA" w:rsidRPr="008A0946">
        <w:t xml:space="preserve"> slu</w:t>
      </w:r>
      <w:r w:rsidR="008D01BA" w:rsidRPr="008A0946">
        <w:t>t</w:t>
      </w:r>
      <w:r w:rsidR="008D01BA" w:rsidRPr="008A0946">
        <w:t>punkten i HIPC-</w:t>
      </w:r>
      <w:r w:rsidR="00803215" w:rsidRPr="008A0946">
        <w:t>programmet. Tre gånger fler länder lever i en ond skuld-</w:t>
      </w:r>
      <w:r w:rsidR="00D368E6" w:rsidRPr="008A0946">
        <w:t xml:space="preserve"> och upplåningskarusell och exempelvis</w:t>
      </w:r>
      <w:r w:rsidR="00803215" w:rsidRPr="008A0946">
        <w:t xml:space="preserve"> Interamerikanska utvecklingsbanken</w:t>
      </w:r>
      <w:r w:rsidR="00D368E6" w:rsidRPr="008A0946">
        <w:t>,</w:t>
      </w:r>
      <w:r w:rsidR="00803215" w:rsidRPr="008A0946">
        <w:t xml:space="preserve"> med alla sina gäl</w:t>
      </w:r>
      <w:r w:rsidR="00D368E6" w:rsidRPr="008A0946">
        <w:t>denärer, är inte alls inblandad</w:t>
      </w:r>
      <w:r w:rsidR="00803215" w:rsidRPr="008A0946">
        <w:t>.</w:t>
      </w:r>
    </w:p>
    <w:p w:rsidR="00803215" w:rsidRPr="008A0946" w:rsidRDefault="00D368E6" w:rsidP="00D368E6">
      <w:pPr>
        <w:pStyle w:val="Normaltindrag"/>
      </w:pPr>
      <w:r w:rsidRPr="008A0946">
        <w:t>G</w:t>
      </w:r>
      <w:r w:rsidR="001A4F18" w:rsidRPr="008A0946">
        <w:t xml:space="preserve"> </w:t>
      </w:r>
      <w:r w:rsidRPr="008A0946">
        <w:t>8-</w:t>
      </w:r>
      <w:r w:rsidR="00803215" w:rsidRPr="008A0946">
        <w:t>överenskommelsen löser inte den vidare och mer grundläggande pr</w:t>
      </w:r>
      <w:r w:rsidR="00803215" w:rsidRPr="008A0946">
        <w:t>o</w:t>
      </w:r>
      <w:r w:rsidR="00803215" w:rsidRPr="008A0946">
        <w:t>blematiken med skuldkrisen och ställer inte på</w:t>
      </w:r>
      <w:r w:rsidR="008D01BA" w:rsidRPr="008A0946">
        <w:t xml:space="preserve"> något sätt frågan om en </w:t>
      </w:r>
      <w:r w:rsidR="00803215" w:rsidRPr="008A0946">
        <w:t>från början oansvarig långivning på sin spets. Även om överenskommelsen bet</w:t>
      </w:r>
      <w:r w:rsidR="00803215" w:rsidRPr="008A0946">
        <w:t>o</w:t>
      </w:r>
      <w:r w:rsidR="007A1C5F" w:rsidRPr="008A0946">
        <w:t xml:space="preserve">nar behovet av nya resurser, </w:t>
      </w:r>
      <w:r w:rsidR="00803215" w:rsidRPr="008A0946">
        <w:t>finns det inget som talar om i detalj hur dessa resurser ska garan</w:t>
      </w:r>
      <w:r w:rsidR="007A1C5F" w:rsidRPr="008A0946">
        <w:t xml:space="preserve">teras. Man öppnar inte heller till exempel för en användning av IMF:s </w:t>
      </w:r>
      <w:r w:rsidR="00803215" w:rsidRPr="008A0946">
        <w:t>guldreserver</w:t>
      </w:r>
      <w:r w:rsidR="008D01BA" w:rsidRPr="008A0946">
        <w:t>, vilket f</w:t>
      </w:r>
      <w:r w:rsidR="00803215" w:rsidRPr="008A0946">
        <w:t>öreslagits som finansieringskälla. Istället är det i realiteten redan utlovade biståndsmedel som tas i anspråk</w:t>
      </w:r>
      <w:r w:rsidR="007A1C5F" w:rsidRPr="008A0946">
        <w:t>,</w:t>
      </w:r>
      <w:r w:rsidR="00803215" w:rsidRPr="008A0946">
        <w:t xml:space="preserve"> och krasst u</w:t>
      </w:r>
      <w:r w:rsidR="00803215" w:rsidRPr="008A0946">
        <w:t>t</w:t>
      </w:r>
      <w:r w:rsidR="00803215" w:rsidRPr="008A0946">
        <w:t>tryckt kan man säga att de fattiga länderna därmed betalar sin egen skulda</w:t>
      </w:r>
      <w:r w:rsidR="00803215" w:rsidRPr="008A0946">
        <w:t>v</w:t>
      </w:r>
      <w:r w:rsidR="00803215" w:rsidRPr="008A0946">
        <w:t>skrivning. Överenskommelsen t</w:t>
      </w:r>
      <w:r w:rsidR="008D01BA" w:rsidRPr="008A0946">
        <w:t xml:space="preserve">vingar också de länder som </w:t>
      </w:r>
      <w:r w:rsidR="00803215" w:rsidRPr="008A0946">
        <w:t xml:space="preserve">ännu </w:t>
      </w:r>
      <w:r w:rsidR="008D01BA" w:rsidRPr="008A0946">
        <w:t xml:space="preserve">inte </w:t>
      </w:r>
      <w:r w:rsidR="00803215" w:rsidRPr="008A0946">
        <w:t>lever upp till eller inte har varit del av HIPC att fortsatt behöva implementera tyn</w:t>
      </w:r>
      <w:r w:rsidR="00803215" w:rsidRPr="008A0946">
        <w:t>g</w:t>
      </w:r>
      <w:r w:rsidR="00803215" w:rsidRPr="008A0946">
        <w:t>ande e</w:t>
      </w:r>
      <w:r w:rsidR="008D01BA" w:rsidRPr="008A0946">
        <w:t>konomiska villkor</w:t>
      </w:r>
      <w:r w:rsidR="007A1C5F" w:rsidRPr="008A0946">
        <w:t xml:space="preserve"> som dikteras av V</w:t>
      </w:r>
      <w:r w:rsidR="00803215" w:rsidRPr="008A0946">
        <w:t>ärldsbanken och</w:t>
      </w:r>
      <w:r w:rsidR="007A1C5F" w:rsidRPr="008A0946">
        <w:t xml:space="preserve"> IMF</w:t>
      </w:r>
      <w:r w:rsidR="00803215" w:rsidRPr="008A0946">
        <w:t>.</w:t>
      </w:r>
    </w:p>
    <w:p w:rsidR="00803215" w:rsidRPr="008A0946" w:rsidRDefault="00803215" w:rsidP="007A1C5F">
      <w:pPr>
        <w:pStyle w:val="Rubrik1"/>
      </w:pPr>
      <w:bookmarkStart w:id="4" w:name="_Toc115610112"/>
      <w:r w:rsidRPr="008A0946">
        <w:t xml:space="preserve">Millenniemålen och </w:t>
      </w:r>
      <w:r w:rsidR="001A4F18" w:rsidRPr="008A0946">
        <w:t>”</w:t>
      </w:r>
      <w:r w:rsidRPr="008A0946">
        <w:t>hållbar skuld</w:t>
      </w:r>
      <w:bookmarkEnd w:id="4"/>
      <w:r w:rsidR="001A4F18" w:rsidRPr="008A0946">
        <w:t>”</w:t>
      </w:r>
    </w:p>
    <w:p w:rsidR="00803215" w:rsidRPr="008A0946" w:rsidRDefault="00803215" w:rsidP="00803215">
      <w:r w:rsidRPr="008A0946">
        <w:t>Om fattiga länder ska kunna utvecklas i en riktning som innebär att fattigd</w:t>
      </w:r>
      <w:r w:rsidRPr="008A0946">
        <w:t>o</w:t>
      </w:r>
      <w:r w:rsidRPr="008A0946">
        <w:t>men bekämp</w:t>
      </w:r>
      <w:r w:rsidR="007A1C5F" w:rsidRPr="008A0946">
        <w:t>as och millenniemålen uppnås</w:t>
      </w:r>
      <w:r w:rsidR="008D01BA" w:rsidRPr="008A0946">
        <w:t>,</w:t>
      </w:r>
      <w:r w:rsidR="007A1C5F" w:rsidRPr="008A0946">
        <w:t xml:space="preserve"> </w:t>
      </w:r>
      <w:r w:rsidRPr="008A0946">
        <w:t>måste fler fattiga länder få mö</w:t>
      </w:r>
      <w:r w:rsidRPr="008A0946">
        <w:t>j</w:t>
      </w:r>
      <w:r w:rsidRPr="008A0946">
        <w:t>l</w:t>
      </w:r>
      <w:r w:rsidR="008D01BA" w:rsidRPr="008A0946">
        <w:t xml:space="preserve">ighet till skuldavskrivningar. För en </w:t>
      </w:r>
      <w:r w:rsidRPr="008A0946">
        <w:t>st</w:t>
      </w:r>
      <w:r w:rsidR="008D01BA" w:rsidRPr="008A0946">
        <w:t>or del av dessa kommer en</w:t>
      </w:r>
      <w:r w:rsidRPr="008A0946">
        <w:t xml:space="preserve"> hundrapr</w:t>
      </w:r>
      <w:r w:rsidRPr="008A0946">
        <w:t>o</w:t>
      </w:r>
      <w:r w:rsidRPr="008A0946">
        <w:t>centig avskrivning</w:t>
      </w:r>
      <w:r w:rsidR="008D01BA" w:rsidRPr="008A0946">
        <w:t xml:space="preserve"> att krävas</w:t>
      </w:r>
      <w:r w:rsidRPr="008A0946">
        <w:t xml:space="preserve">. Detta måste självklart göras </w:t>
      </w:r>
      <w:r w:rsidR="008D01BA" w:rsidRPr="008A0946">
        <w:t xml:space="preserve">i kombination </w:t>
      </w:r>
      <w:r w:rsidRPr="008A0946">
        <w:t>med ett högre och bättre bistånd från de rika länderna och med rättvisare regler för världshandeln. FN:s rapport om millennieprojektets utveckling ger följande rekommendation:</w:t>
      </w:r>
    </w:p>
    <w:p w:rsidR="00803215" w:rsidRPr="008A0946" w:rsidRDefault="00803215" w:rsidP="009C5C9E">
      <w:pPr>
        <w:pStyle w:val="Citat"/>
        <w:spacing w:after="120"/>
      </w:pPr>
      <w:r w:rsidRPr="008A0946">
        <w:t xml:space="preserve">Hållbar skuld bör omdefinieras som </w:t>
      </w:r>
      <w:r w:rsidR="008D01BA" w:rsidRPr="008A0946">
        <w:t>den skuldnivå</w:t>
      </w:r>
      <w:r w:rsidRPr="008A0946">
        <w:t xml:space="preserve"> som är förenlig med att millenniemålen nås och a</w:t>
      </w:r>
      <w:r w:rsidR="008D01BA" w:rsidRPr="008A0946">
        <w:t>tt (landet i fråga), inte har någon</w:t>
      </w:r>
      <w:r w:rsidRPr="008A0946">
        <w:t xml:space="preserve"> ny skul</w:t>
      </w:r>
      <w:r w:rsidRPr="008A0946">
        <w:t>d</w:t>
      </w:r>
      <w:r w:rsidRPr="008A0946">
        <w:t>börda 2015. För många f</w:t>
      </w:r>
      <w:r w:rsidR="008D01BA" w:rsidRPr="008A0946">
        <w:t xml:space="preserve">attiga och skuldsatta länder </w:t>
      </w:r>
      <w:r w:rsidRPr="008A0946">
        <w:t>kommer det att kr</w:t>
      </w:r>
      <w:r w:rsidRPr="008A0946">
        <w:t>ä</w:t>
      </w:r>
      <w:r w:rsidRPr="008A0946">
        <w:t>vas en hundraprocentig skuldavskrivning. För många tungt skuldsatta medelinkomstländer, kommer det att kräva mer skuldavskrivning än det som hittills varit tillgängligt. För några fattiga länder som inte finns med på HIPC</w:t>
      </w:r>
      <w:r w:rsidR="008D01BA" w:rsidRPr="008A0946">
        <w:t>:</w:t>
      </w:r>
      <w:r w:rsidRPr="008A0946">
        <w:t>s</w:t>
      </w:r>
      <w:r w:rsidR="008D01BA" w:rsidRPr="008A0946">
        <w:t xml:space="preserve"> lista, exempelvis</w:t>
      </w:r>
      <w:r w:rsidRPr="008A0946">
        <w:t xml:space="preserve"> Nigeria, kommer en omfattande skulda</w:t>
      </w:r>
      <w:r w:rsidRPr="008A0946">
        <w:t>v</w:t>
      </w:r>
      <w:r w:rsidRPr="008A0946">
        <w:t>skrivning att behöva göras om millenniemålen ska kunna uppnås.</w:t>
      </w:r>
      <w:r w:rsidRPr="008A0946">
        <w:rPr>
          <w:rStyle w:val="Fotnotsreferens"/>
          <w:szCs w:val="22"/>
        </w:rPr>
        <w:footnoteReference w:id="6"/>
      </w:r>
    </w:p>
    <w:p w:rsidR="00803215" w:rsidRPr="008A0946" w:rsidRDefault="00803215" w:rsidP="00E15319">
      <w:r w:rsidRPr="008A0946">
        <w:t>Få undersökningar har gjorts för att visa vilka länder som skulle behöva full skuld</w:t>
      </w:r>
      <w:r w:rsidR="009C5C9E" w:rsidRPr="008A0946">
        <w:softHyphen/>
      </w:r>
      <w:r w:rsidRPr="008A0946">
        <w:t>avskrivning för att nå millenniemålen. En rapport från olika ideell</w:t>
      </w:r>
      <w:r w:rsidR="007A1C5F" w:rsidRPr="008A0946">
        <w:t>a organisationer slår fast att fler än 60 låginkomst</w:t>
      </w:r>
      <w:r w:rsidRPr="008A0946">
        <w:t>länder behöver omedelbar och hundraprocentig skuld</w:t>
      </w:r>
      <w:r w:rsidR="009C5C9E" w:rsidRPr="008A0946">
        <w:softHyphen/>
      </w:r>
      <w:r w:rsidRPr="008A0946">
        <w:t>avskrivning</w:t>
      </w:r>
      <w:r w:rsidR="008D01BA" w:rsidRPr="008A0946">
        <w:t>.</w:t>
      </w:r>
      <w:r w:rsidRPr="008A0946">
        <w:rPr>
          <w:rStyle w:val="Fotnotsreferens"/>
        </w:rPr>
        <w:footnoteReference w:id="7"/>
      </w:r>
      <w:r w:rsidRPr="008A0946">
        <w:t xml:space="preserve"> Mot bakgrund av att skuldavskrivningar är helt centrala för att millennie</w:t>
      </w:r>
      <w:r w:rsidR="009C5C9E" w:rsidRPr="008A0946">
        <w:softHyphen/>
      </w:r>
      <w:r w:rsidRPr="008A0946">
        <w:t xml:space="preserve">målen </w:t>
      </w:r>
      <w:r w:rsidR="008D01BA" w:rsidRPr="008A0946">
        <w:t xml:space="preserve">ska uppnås, </w:t>
      </w:r>
      <w:r w:rsidRPr="008A0946">
        <w:t xml:space="preserve">är det nödvändigt att </w:t>
      </w:r>
      <w:r w:rsidR="007A1C5F" w:rsidRPr="008A0946">
        <w:t>Världsbanken och IMF</w:t>
      </w:r>
      <w:r w:rsidRPr="008A0946">
        <w:t xml:space="preserve"> i detta läge gör en systematisk analys av hur enskilda fattiga länder kan uppnå millenniemålen i för</w:t>
      </w:r>
      <w:r w:rsidR="009C5C9E" w:rsidRPr="008A0946">
        <w:softHyphen/>
      </w:r>
      <w:r w:rsidRPr="008A0946">
        <w:t>hållande till en s</w:t>
      </w:r>
      <w:r w:rsidR="007A1C5F" w:rsidRPr="008A0946">
        <w:t xml:space="preserve">å </w:t>
      </w:r>
      <w:r w:rsidRPr="008A0946">
        <w:t>k</w:t>
      </w:r>
      <w:r w:rsidR="007A1C5F" w:rsidRPr="008A0946">
        <w:t>allad</w:t>
      </w:r>
      <w:r w:rsidRPr="008A0946">
        <w:t xml:space="preserve"> </w:t>
      </w:r>
      <w:r w:rsidR="001A4F18" w:rsidRPr="008A0946">
        <w:t>”</w:t>
      </w:r>
      <w:r w:rsidRPr="008A0946">
        <w:t>hål</w:t>
      </w:r>
      <w:r w:rsidRPr="008A0946">
        <w:t>l</w:t>
      </w:r>
      <w:r w:rsidRPr="008A0946">
        <w:t>bar</w:t>
      </w:r>
      <w:r w:rsidR="001A4F18" w:rsidRPr="008A0946">
        <w:t>”</w:t>
      </w:r>
      <w:r w:rsidRPr="008A0946">
        <w:t xml:space="preserve"> skuldsättningsnivå</w:t>
      </w:r>
      <w:r w:rsidR="008D01BA" w:rsidRPr="008A0946">
        <w:t>,</w:t>
      </w:r>
      <w:r w:rsidRPr="008A0946">
        <w:t xml:space="preserve"> och rekommendera skuld</w:t>
      </w:r>
      <w:r w:rsidR="009C5C9E" w:rsidRPr="008A0946">
        <w:softHyphen/>
      </w:r>
      <w:r w:rsidRPr="008A0946">
        <w:t>avskrivningar utifrån denna. En sådan analys bör göras för alla låginkomstländer och alla tung</w:t>
      </w:r>
      <w:r w:rsidR="008D01BA" w:rsidRPr="008A0946">
        <w:t>t</w:t>
      </w:r>
      <w:r w:rsidRPr="008A0946">
        <w:t xml:space="preserve"> skuldsatta medelinkomstländer.</w:t>
      </w:r>
    </w:p>
    <w:p w:rsidR="00803215" w:rsidRPr="008A0946" w:rsidRDefault="00803215" w:rsidP="008D01BA">
      <w:pPr>
        <w:pStyle w:val="Normaltindrag"/>
      </w:pPr>
      <w:r w:rsidRPr="008A0946">
        <w:t>Dessutom f</w:t>
      </w:r>
      <w:r w:rsidR="007A1C5F" w:rsidRPr="008A0946">
        <w:t>inns en stor andel så kallade illegitima skulder, det vill säga</w:t>
      </w:r>
      <w:r w:rsidR="008D01BA" w:rsidRPr="008A0946">
        <w:t xml:space="preserve"> </w:t>
      </w:r>
      <w:r w:rsidRPr="008A0946">
        <w:t>fall där en legitim nuvarande regering tvingas betala tillbaka lån som en tidigare erkänt korru</w:t>
      </w:r>
      <w:r w:rsidR="007A1C5F" w:rsidRPr="008A0946">
        <w:t xml:space="preserve">pt regim tagit och som över huvud taget inte </w:t>
      </w:r>
      <w:r w:rsidRPr="008A0946">
        <w:t xml:space="preserve">kommit landets utveckling till godo. Vilka dessa skulder är och vilka länder som bär det </w:t>
      </w:r>
      <w:r w:rsidR="001D58A6" w:rsidRPr="008A0946">
        <w:t>plå</w:t>
      </w:r>
      <w:r w:rsidR="001D58A6" w:rsidRPr="008A0946">
        <w:t>g</w:t>
      </w:r>
      <w:r w:rsidR="001D58A6" w:rsidRPr="008A0946">
        <w:t xml:space="preserve">samma </w:t>
      </w:r>
      <w:r w:rsidR="001A4F18" w:rsidRPr="008A0946">
        <w:t>”</w:t>
      </w:r>
      <w:r w:rsidRPr="008A0946">
        <w:t>illegitima</w:t>
      </w:r>
      <w:r w:rsidR="001A4F18" w:rsidRPr="008A0946">
        <w:t>”</w:t>
      </w:r>
      <w:r w:rsidRPr="008A0946">
        <w:t xml:space="preserve"> ansvaret för dem är väl känt</w:t>
      </w:r>
      <w:r w:rsidR="007A1C5F" w:rsidRPr="008A0946">
        <w:t>,</w:t>
      </w:r>
      <w:r w:rsidRPr="008A0946">
        <w:t xml:space="preserve"> och det råder relativt stor konsensus om behovet att enkelt och med förtur åtgärda denna kategori.</w:t>
      </w:r>
    </w:p>
    <w:p w:rsidR="00803215" w:rsidRPr="008A0946" w:rsidRDefault="00803215" w:rsidP="009C5C9E">
      <w:pPr>
        <w:pStyle w:val="Normaltindrag"/>
      </w:pPr>
      <w:r w:rsidRPr="008A0946">
        <w:t>Skuldavskrivningar är således helt fundamentala för att uppnå millenni</w:t>
      </w:r>
      <w:r w:rsidRPr="008A0946">
        <w:t>e</w:t>
      </w:r>
      <w:r w:rsidRPr="008A0946">
        <w:t>målen. Men det kommer att krävas mer än vad IMF, Världsbanken, Afrikan</w:t>
      </w:r>
      <w:r w:rsidRPr="008A0946">
        <w:t>s</w:t>
      </w:r>
      <w:r w:rsidRPr="008A0946">
        <w:t>ka utvecklingsfonden</w:t>
      </w:r>
      <w:r w:rsidR="009C5C9E" w:rsidRPr="008A0946">
        <w:t xml:space="preserve"> </w:t>
      </w:r>
      <w:r w:rsidRPr="008A0946">
        <w:t>och G</w:t>
      </w:r>
      <w:r w:rsidR="001A4F18" w:rsidRPr="008A0946">
        <w:t xml:space="preserve"> </w:t>
      </w:r>
      <w:r w:rsidRPr="008A0946">
        <w:t xml:space="preserve">8 enats om. Fattiga länder har totalt skulder till mer än 19 olika multilaterala långivare. Initiativen för skuldavskrivningar måste breddas för att innefatta skulder till </w:t>
      </w:r>
      <w:r w:rsidR="001D58A6" w:rsidRPr="008A0946">
        <w:t xml:space="preserve">fler </w:t>
      </w:r>
      <w:r w:rsidRPr="008A0946">
        <w:t>multilaterala långiva</w:t>
      </w:r>
      <w:r w:rsidR="00757E06" w:rsidRPr="008A0946">
        <w:t>re</w:t>
      </w:r>
      <w:r w:rsidR="001A4F18" w:rsidRPr="008A0946">
        <w:t>,</w:t>
      </w:r>
      <w:r w:rsidR="00757E06" w:rsidRPr="008A0946">
        <w:t xml:space="preserve"> exe</w:t>
      </w:r>
      <w:r w:rsidR="00757E06" w:rsidRPr="008A0946">
        <w:t>m</w:t>
      </w:r>
      <w:r w:rsidR="00757E06" w:rsidRPr="008A0946">
        <w:t>pelvis</w:t>
      </w:r>
      <w:r w:rsidR="007A1C5F" w:rsidRPr="008A0946">
        <w:t xml:space="preserve"> I</w:t>
      </w:r>
      <w:r w:rsidRPr="008A0946">
        <w:t>nter</w:t>
      </w:r>
      <w:r w:rsidR="006F0F39" w:rsidRPr="008A0946">
        <w:t>amerikanska utvecklingsbanken och</w:t>
      </w:r>
      <w:r w:rsidR="007A1C5F" w:rsidRPr="008A0946">
        <w:t xml:space="preserve"> A</w:t>
      </w:r>
      <w:r w:rsidRPr="008A0946">
        <w:t>siatiska utvecklingsbanken</w:t>
      </w:r>
      <w:r w:rsidR="001D58A6" w:rsidRPr="008A0946">
        <w:t>.</w:t>
      </w:r>
    </w:p>
    <w:p w:rsidR="00803215" w:rsidRPr="008A0946" w:rsidRDefault="00803215" w:rsidP="007A1C5F">
      <w:pPr>
        <w:pStyle w:val="Rubrik1"/>
      </w:pPr>
      <w:bookmarkStart w:id="5" w:name="_Toc115610113"/>
      <w:r w:rsidRPr="008A0946">
        <w:t>Villkor gentemot fattiga länder</w:t>
      </w:r>
      <w:bookmarkEnd w:id="5"/>
    </w:p>
    <w:p w:rsidR="001D58A6" w:rsidRPr="008A0946" w:rsidRDefault="007A1C5F" w:rsidP="00803215">
      <w:r w:rsidRPr="008A0946">
        <w:t>Världsbanken</w:t>
      </w:r>
      <w:r w:rsidR="00757E06" w:rsidRPr="008A0946">
        <w:t xml:space="preserve"> har nyligen avslutat</w:t>
      </w:r>
      <w:r w:rsidR="00803215" w:rsidRPr="008A0946">
        <w:t xml:space="preserve"> sin översyn av vilka villkor banken ställer på skuldtyngda länder. I stort anser man sig vara nöjd med nuvarande praxis och verksamhet inom området. Vi anser att de långtgående krav som Värld</w:t>
      </w:r>
      <w:r w:rsidR="00803215" w:rsidRPr="008A0946">
        <w:t>s</w:t>
      </w:r>
      <w:r w:rsidR="00803215" w:rsidRPr="008A0946">
        <w:t>banken riktar mot fattiga och skuldsatta länder</w:t>
      </w:r>
      <w:r w:rsidR="001D58A6" w:rsidRPr="008A0946">
        <w:t xml:space="preserve"> för reformering av sin ekon</w:t>
      </w:r>
      <w:r w:rsidR="001D58A6" w:rsidRPr="008A0946">
        <w:t>o</w:t>
      </w:r>
      <w:r w:rsidR="001D58A6" w:rsidRPr="008A0946">
        <w:t>mi</w:t>
      </w:r>
      <w:r w:rsidR="00803215" w:rsidRPr="008A0946">
        <w:t xml:space="preserve"> måste minskas </w:t>
      </w:r>
      <w:r w:rsidR="00757E06" w:rsidRPr="008A0946">
        <w:t xml:space="preserve">till förmån för </w:t>
      </w:r>
      <w:r w:rsidR="00803215" w:rsidRPr="008A0946">
        <w:t xml:space="preserve">ett större </w:t>
      </w:r>
      <w:r w:rsidR="001D58A6" w:rsidRPr="008A0946">
        <w:t>handlings</w:t>
      </w:r>
      <w:r w:rsidR="00803215" w:rsidRPr="008A0946">
        <w:t xml:space="preserve">utrymme för </w:t>
      </w:r>
      <w:r w:rsidR="001D58A6" w:rsidRPr="008A0946">
        <w:t xml:space="preserve">egna </w:t>
      </w:r>
      <w:r w:rsidR="00803215" w:rsidRPr="008A0946">
        <w:t>nati</w:t>
      </w:r>
      <w:r w:rsidR="00803215" w:rsidRPr="008A0946">
        <w:t>o</w:t>
      </w:r>
      <w:r w:rsidR="00803215" w:rsidRPr="008A0946">
        <w:t>nella demokratiska processer.</w:t>
      </w:r>
    </w:p>
    <w:p w:rsidR="00803215" w:rsidRPr="008A0946" w:rsidRDefault="00803215" w:rsidP="00EA03E2">
      <w:pPr>
        <w:pStyle w:val="Normaltindrag"/>
      </w:pPr>
      <w:r w:rsidRPr="008A0946">
        <w:t>Det är nödvä</w:t>
      </w:r>
      <w:r w:rsidR="007A1C5F" w:rsidRPr="008A0946">
        <w:t>ndigt att Världsbanken och IMF för</w:t>
      </w:r>
      <w:r w:rsidRPr="008A0946">
        <w:t xml:space="preserve"> en dialog med ett land som är skuld</w:t>
      </w:r>
      <w:r w:rsidR="009C5C9E" w:rsidRPr="008A0946">
        <w:softHyphen/>
      </w:r>
      <w:r w:rsidRPr="008A0946">
        <w:t>satt, men samtidigt måste det vara möjligt för ett land och dess medborgare att äga den politiska processen och bestämma utvecklingsstrat</w:t>
      </w:r>
      <w:r w:rsidRPr="008A0946">
        <w:t>e</w:t>
      </w:r>
      <w:r w:rsidRPr="008A0946">
        <w:t>gier.</w:t>
      </w:r>
    </w:p>
    <w:p w:rsidR="00803215" w:rsidRPr="008A0946" w:rsidRDefault="007A1C5F" w:rsidP="007A1C5F">
      <w:pPr>
        <w:pStyle w:val="Normaltindrag"/>
      </w:pPr>
      <w:r w:rsidRPr="008A0946">
        <w:t>Idag spelar</w:t>
      </w:r>
      <w:r w:rsidR="00803215" w:rsidRPr="008A0946">
        <w:t xml:space="preserve"> IMF rollerna som både fordringsägare och domare i återbeta</w:t>
      </w:r>
      <w:r w:rsidR="00803215" w:rsidRPr="008A0946">
        <w:t>l</w:t>
      </w:r>
      <w:r w:rsidR="00803215" w:rsidRPr="008A0946">
        <w:t>nings</w:t>
      </w:r>
      <w:r w:rsidR="009C5C9E" w:rsidRPr="008A0946">
        <w:softHyphen/>
      </w:r>
      <w:r w:rsidR="00803215" w:rsidRPr="008A0946">
        <w:t xml:space="preserve">ärenden. Alltför många gånger har </w:t>
      </w:r>
      <w:r w:rsidRPr="008A0946">
        <w:t>Världsbanken och IMF</w:t>
      </w:r>
      <w:r w:rsidR="00803215" w:rsidRPr="008A0946">
        <w:t xml:space="preserve"> krävt, för att inte säga dikterat, avregleringar och privatiseringar av mottagarländernas ekonomier som villkor för lån och avskrivningar. Banken</w:t>
      </w:r>
      <w:r w:rsidR="00E15319" w:rsidRPr="008A0946">
        <w:t>s</w:t>
      </w:r>
      <w:r w:rsidR="00803215" w:rsidRPr="008A0946">
        <w:t xml:space="preserve"> och fondens krav har varit så hårda, detaljerade och haft sådana sociala konsekvenser</w:t>
      </w:r>
      <w:r w:rsidRPr="008A0946">
        <w:t>,</w:t>
      </w:r>
      <w:r w:rsidR="00803215" w:rsidRPr="008A0946">
        <w:t xml:space="preserve"> att många fattiga länder inte varit odelat positiva till att landet får en minskad skuldbörda. För att nya fattiga länder ska kun</w:t>
      </w:r>
      <w:r w:rsidRPr="008A0946">
        <w:t xml:space="preserve">na få sina skulder avskrivna </w:t>
      </w:r>
      <w:r w:rsidR="00757E06" w:rsidRPr="008A0946">
        <w:t>måste villkoren i HIPC-</w:t>
      </w:r>
      <w:r w:rsidR="00803215" w:rsidRPr="008A0946">
        <w:t>processen förändras radikalt. Det måste finnas ett utrymme a</w:t>
      </w:r>
      <w:r w:rsidRPr="008A0946">
        <w:t xml:space="preserve">tt uppnå millenniemålen </w:t>
      </w:r>
      <w:r w:rsidR="007D790A" w:rsidRPr="008A0946">
        <w:t>på det sätt som det skuldsatt</w:t>
      </w:r>
      <w:r w:rsidR="00E84BB1" w:rsidRPr="008A0946">
        <w:t xml:space="preserve">a landet självt väljer </w:t>
      </w:r>
      <w:r w:rsidRPr="008A0946">
        <w:t xml:space="preserve">och </w:t>
      </w:r>
      <w:r w:rsidR="007D790A" w:rsidRPr="008A0946">
        <w:t xml:space="preserve">att kunna </w:t>
      </w:r>
      <w:r w:rsidR="00803215" w:rsidRPr="008A0946">
        <w:t>ha en genuint egen och demokratiskt förankrad utvec</w:t>
      </w:r>
      <w:r w:rsidR="00803215" w:rsidRPr="008A0946">
        <w:t>k</w:t>
      </w:r>
      <w:r w:rsidR="00803215" w:rsidRPr="008A0946">
        <w:t>lingsprocess</w:t>
      </w:r>
      <w:r w:rsidR="007D790A" w:rsidRPr="008A0946">
        <w:t>.</w:t>
      </w:r>
    </w:p>
    <w:p w:rsidR="00803215" w:rsidRPr="008A0946" w:rsidRDefault="00803215" w:rsidP="009C5C9E">
      <w:pPr>
        <w:pStyle w:val="Normaltindrag"/>
      </w:pPr>
      <w:r w:rsidRPr="008A0946">
        <w:t>Sverige ska verka för a</w:t>
      </w:r>
      <w:r w:rsidR="007A1C5F" w:rsidRPr="008A0946">
        <w:t>tt ställandet av villkor, den så kallade konditional</w:t>
      </w:r>
      <w:r w:rsidR="007A1C5F" w:rsidRPr="008A0946">
        <w:t>i</w:t>
      </w:r>
      <w:r w:rsidR="007A1C5F" w:rsidRPr="008A0946">
        <w:t xml:space="preserve">teten, </w:t>
      </w:r>
      <w:r w:rsidRPr="008A0946">
        <w:t xml:space="preserve">för skuldavskrivningar endast ska omfatta öppenhet när det gäller </w:t>
      </w:r>
      <w:r w:rsidR="007D790A" w:rsidRPr="008A0946">
        <w:t xml:space="preserve">att redovisa </w:t>
      </w:r>
      <w:r w:rsidRPr="008A0946">
        <w:t>landet</w:t>
      </w:r>
      <w:r w:rsidR="007A1C5F" w:rsidRPr="008A0946">
        <w:t>s finansiella resurser och dess</w:t>
      </w:r>
      <w:r w:rsidRPr="008A0946">
        <w:t xml:space="preserve"> mål för fattigdomsbekämpning.</w:t>
      </w:r>
    </w:p>
    <w:p w:rsidR="00803215" w:rsidRPr="008A0946" w:rsidRDefault="00803215" w:rsidP="007A1C5F">
      <w:pPr>
        <w:pStyle w:val="Rubrik1"/>
      </w:pPr>
      <w:bookmarkStart w:id="6" w:name="_Toc115610114"/>
      <w:r w:rsidRPr="008A0946">
        <w:t>Nytt tveksamt ramverk för skuldavskrivningar</w:t>
      </w:r>
      <w:bookmarkEnd w:id="6"/>
    </w:p>
    <w:p w:rsidR="007A1C5F" w:rsidRPr="008A0946" w:rsidRDefault="00803215" w:rsidP="00803215">
      <w:r w:rsidRPr="008A0946">
        <w:t xml:space="preserve">Mot bakgrund av kraven på skuldavskrivning och de hittills tagna initiativen har </w:t>
      </w:r>
      <w:r w:rsidR="00757E06" w:rsidRPr="008A0946">
        <w:t>IMF och V</w:t>
      </w:r>
      <w:r w:rsidRPr="008A0946">
        <w:t>ärldsbanken utarbetat en policy, ett nytt ramverk för hållbar skuldsättning</w:t>
      </w:r>
      <w:r w:rsidR="00757E06" w:rsidRPr="008A0946">
        <w:t>,</w:t>
      </w:r>
      <w:r w:rsidRPr="008A0946">
        <w:t xml:space="preserve"> som kommer att påverka låginkomstländer under lång tid. Denna nya ram kommer också att användas av långivare, långivarinstitutioner och fora som </w:t>
      </w:r>
      <w:r w:rsidR="001A4F18" w:rsidRPr="008A0946">
        <w:t>till exempel Paris</w:t>
      </w:r>
      <w:r w:rsidRPr="008A0946">
        <w:t>klubben. Dessa kommer att använda det nya ramverket för att avgöra hur mycket skulder som ska skrivas av, hur mycket ett fattigt land ska kunna låna och huruvida landet ska få finansiering i form av bistånd eller lån.</w:t>
      </w:r>
    </w:p>
    <w:p w:rsidR="00803215" w:rsidRPr="008A0946" w:rsidRDefault="00803215" w:rsidP="00757E06">
      <w:pPr>
        <w:pStyle w:val="Normaltindrag"/>
      </w:pPr>
      <w:r w:rsidRPr="008A0946">
        <w:t>Det nya ramverket är tänkt att sätta skuldproblematiken i centrum för de inter</w:t>
      </w:r>
      <w:r w:rsidR="009C5C9E" w:rsidRPr="008A0946">
        <w:softHyphen/>
      </w:r>
      <w:r w:rsidRPr="008A0946">
        <w:t xml:space="preserve">nationella finansieringsinstitutionernas beslutsprocess. Tyvärr misslyckas även detta nya ramverk </w:t>
      </w:r>
      <w:r w:rsidR="00757E06" w:rsidRPr="008A0946">
        <w:t xml:space="preserve">med </w:t>
      </w:r>
      <w:r w:rsidRPr="008A0946">
        <w:t>att ta itu med problemen om en hållbar nivå för skulderna och att se till att skuldsättningsnivån inte förhindrar låginkomstlä</w:t>
      </w:r>
      <w:r w:rsidRPr="008A0946">
        <w:t>n</w:t>
      </w:r>
      <w:r w:rsidRPr="008A0946">
        <w:t xml:space="preserve">dernas möjligheter att </w:t>
      </w:r>
      <w:r w:rsidR="00757E06" w:rsidRPr="008A0946">
        <w:t>upp</w:t>
      </w:r>
      <w:r w:rsidRPr="008A0946">
        <w:t>nå millenniemålen. Risken är uppenbar att lång</w:t>
      </w:r>
      <w:r w:rsidRPr="008A0946">
        <w:t>i</w:t>
      </w:r>
      <w:r w:rsidRPr="008A0946">
        <w:t>varna efter några år igen tvingas konstatera –</w:t>
      </w:r>
      <w:r w:rsidR="007A1C5F" w:rsidRPr="008A0946">
        <w:t xml:space="preserve"> </w:t>
      </w:r>
      <w:r w:rsidRPr="008A0946">
        <w:t>såsom har hänt</w:t>
      </w:r>
      <w:r w:rsidR="00757E06" w:rsidRPr="008A0946">
        <w:t xml:space="preserve"> med de båda omgångarna av HIPC –</w:t>
      </w:r>
      <w:r w:rsidRPr="008A0946">
        <w:t xml:space="preserve"> att en liten del av bördan har lättats, samtidigt som det grundläggande problemet med skuldkrisen består. Under tiden tvingas människor leva i fattigdom, innan nödvändiga politiska framsteg nås.</w:t>
      </w:r>
    </w:p>
    <w:p w:rsidR="00803215" w:rsidRPr="008A0946" w:rsidRDefault="00803215" w:rsidP="007A1C5F">
      <w:pPr>
        <w:pStyle w:val="Rubrik1"/>
      </w:pPr>
      <w:bookmarkStart w:id="7" w:name="_Toc115610115"/>
      <w:r w:rsidRPr="008A0946">
        <w:t>Ett transparent och rättvist skuldsaneringsförfarande</w:t>
      </w:r>
      <w:bookmarkEnd w:id="7"/>
    </w:p>
    <w:p w:rsidR="00803215" w:rsidRPr="008A0946" w:rsidRDefault="00803215" w:rsidP="00803215">
      <w:r w:rsidRPr="008A0946">
        <w:t>Idag finns inget systematiskt och heltäckande sätt att hantera skuldproblem</w:t>
      </w:r>
      <w:r w:rsidRPr="008A0946">
        <w:t>a</w:t>
      </w:r>
      <w:r w:rsidRPr="008A0946">
        <w:t>tiken för fattiga länder. Det är därför nödvändigt att skapa ett system som inte bara bidrar till att lösa skuldproblematiken</w:t>
      </w:r>
      <w:r w:rsidR="00757E06" w:rsidRPr="008A0946">
        <w:t>,</w:t>
      </w:r>
      <w:r w:rsidRPr="008A0946">
        <w:t xml:space="preserve"> utan också hjälper till att förhin</w:t>
      </w:r>
      <w:r w:rsidRPr="008A0946">
        <w:t>d</w:t>
      </w:r>
      <w:r w:rsidRPr="008A0946">
        <w:t>ra nya kriser. Om millennie</w:t>
      </w:r>
      <w:r w:rsidR="009C5C9E" w:rsidRPr="008A0946">
        <w:softHyphen/>
      </w:r>
      <w:r w:rsidRPr="008A0946">
        <w:t>målsättningarna till år 2015, om att bland annat halvera den extrema fattigdomen i världen</w:t>
      </w:r>
      <w:r w:rsidR="001A4F18" w:rsidRPr="008A0946">
        <w:t>,</w:t>
      </w:r>
      <w:r w:rsidRPr="008A0946">
        <w:t xml:space="preserve"> ska kunna infrias så behövs mer långsiktiga lösningar.</w:t>
      </w:r>
    </w:p>
    <w:p w:rsidR="00803215" w:rsidRPr="008A0946" w:rsidRDefault="00803215" w:rsidP="009C5C9E">
      <w:pPr>
        <w:pStyle w:val="Normaltindrag"/>
      </w:pPr>
      <w:r w:rsidRPr="008A0946">
        <w:t>För att möjliggöra detta anser Miljöpartiet, liksom jubelkampanjen</w:t>
      </w:r>
      <w:r w:rsidRPr="008A0946">
        <w:rPr>
          <w:rStyle w:val="Fotnotsreferens"/>
        </w:rPr>
        <w:footnoteReference w:id="8"/>
      </w:r>
      <w:r w:rsidRPr="008A0946">
        <w:t>, att det behövs ett helt nytt, internationellt</w:t>
      </w:r>
      <w:r w:rsidR="001A4F18" w:rsidRPr="008A0946">
        <w:t>,</w:t>
      </w:r>
      <w:r w:rsidRPr="008A0946">
        <w:t xml:space="preserve"> oberoende, rättvist och öppet skuldsan</w:t>
      </w:r>
      <w:r w:rsidRPr="008A0946">
        <w:t>e</w:t>
      </w:r>
      <w:r w:rsidRPr="008A0946">
        <w:t xml:space="preserve">ringsförfarande, </w:t>
      </w:r>
      <w:r w:rsidRPr="008A0946">
        <w:rPr>
          <w:i/>
        </w:rPr>
        <w:t>Independent, Fair and Transparent Arbitration process</w:t>
      </w:r>
      <w:r w:rsidRPr="008A0946">
        <w:t xml:space="preserve"> – FTAP. </w:t>
      </w:r>
      <w:r w:rsidR="00757E06" w:rsidRPr="008A0946">
        <w:t>Det</w:t>
      </w:r>
      <w:r w:rsidR="00D05779" w:rsidRPr="008A0946">
        <w:t xml:space="preserve">ta initiativ innebär </w:t>
      </w:r>
      <w:r w:rsidR="00757E06" w:rsidRPr="008A0946">
        <w:t xml:space="preserve">att </w:t>
      </w:r>
      <w:r w:rsidR="00D05779" w:rsidRPr="008A0946">
        <w:t>låntagare och långivare tillsammans finner en rättvis lösning på hur gamla och nya skulder ska återbetalas. Initiativet ska ligga hos det skuldsatta landet</w:t>
      </w:r>
      <w:r w:rsidR="001A4F18" w:rsidRPr="008A0946">
        <w:t>.</w:t>
      </w:r>
      <w:r w:rsidR="00D05779" w:rsidRPr="008A0946">
        <w:t xml:space="preserve"> </w:t>
      </w:r>
      <w:r w:rsidR="001A4F18" w:rsidRPr="008A0946">
        <w:t xml:space="preserve">Utvecklingsbehovet </w:t>
      </w:r>
      <w:r w:rsidR="00D05779" w:rsidRPr="008A0946">
        <w:t xml:space="preserve">ska vara avgörande, inga prioriterade fordringsägare finns med och IMF:s roll reduceras till att bli koordinatör. </w:t>
      </w:r>
      <w:r w:rsidRPr="008A0946">
        <w:t xml:space="preserve">Fördelarna med ett sådant skuldsaneringsförfarande </w:t>
      </w:r>
      <w:r w:rsidR="00D05779" w:rsidRPr="008A0946">
        <w:t>är många. De länder som hamnat på</w:t>
      </w:r>
      <w:r w:rsidRPr="008A0946">
        <w:t xml:space="preserve"> obestånd skulle kunna få en skuldsanering som inne</w:t>
      </w:r>
      <w:r w:rsidR="009C5C9E" w:rsidRPr="008A0946">
        <w:softHyphen/>
      </w:r>
      <w:r w:rsidRPr="008A0946">
        <w:t>bär att de kan få framtida förutsättningar för en ekonomis</w:t>
      </w:r>
      <w:r w:rsidR="00D05779" w:rsidRPr="008A0946">
        <w:t>k stabilitet. Eftersom FTAP är</w:t>
      </w:r>
      <w:r w:rsidRPr="008A0946">
        <w:t xml:space="preserve"> oberoende så blir lösningen rättvis för både långivare och låntagare. Processen kan leda till att okontrollerad långivning till tveksamma projekt inte uppmuntras i framtiden. En annan fördel är att bördan fördelas lika mellan långivarna i samband med skuld</w:t>
      </w:r>
      <w:r w:rsidR="009C5C9E" w:rsidRPr="008A0946">
        <w:softHyphen/>
      </w:r>
      <w:r w:rsidRPr="008A0946">
        <w:t>saneringen. Landet som geno</w:t>
      </w:r>
      <w:r w:rsidRPr="008A0946">
        <w:t>m</w:t>
      </w:r>
      <w:r w:rsidRPr="008A0946">
        <w:t>går en skuldsanering kommer att kunna få en frihet att bestämma sina egna strategier för att bekämpa fattigdomen, istället för att villkoren d</w:t>
      </w:r>
      <w:r w:rsidR="00D05779" w:rsidRPr="008A0946">
        <w:t>ikteras från institutioner som V</w:t>
      </w:r>
      <w:r w:rsidRPr="008A0946">
        <w:t xml:space="preserve">ärldsbanken och </w:t>
      </w:r>
      <w:r w:rsidR="00D05779" w:rsidRPr="008A0946">
        <w:t>IMF</w:t>
      </w:r>
      <w:r w:rsidRPr="008A0946">
        <w:t xml:space="preserve">. FTAP skulle också ha en möjlighet att ta itu med problemet med </w:t>
      </w:r>
      <w:r w:rsidR="006F0F39" w:rsidRPr="008A0946">
        <w:t xml:space="preserve">att </w:t>
      </w:r>
      <w:r w:rsidRPr="008A0946">
        <w:t xml:space="preserve">de illegitima skulderna därmed också blir definierat </w:t>
      </w:r>
      <w:r w:rsidR="006F0F39" w:rsidRPr="008A0946">
        <w:t xml:space="preserve">som skuld </w:t>
      </w:r>
      <w:r w:rsidRPr="008A0946">
        <w:t>på ett oberoend</w:t>
      </w:r>
      <w:r w:rsidR="007A1C5F" w:rsidRPr="008A0946">
        <w:t xml:space="preserve">e sätt. </w:t>
      </w:r>
      <w:r w:rsidRPr="008A0946">
        <w:t>Genom FTAP kan en hållbar skuldnivå, som också innebär en helhetslösning för ett lands utveckling, uta</w:t>
      </w:r>
      <w:r w:rsidRPr="008A0946">
        <w:t>r</w:t>
      </w:r>
      <w:r w:rsidRPr="008A0946">
        <w:t>betas.</w:t>
      </w:r>
    </w:p>
    <w:p w:rsidR="00803215" w:rsidRPr="008A0946" w:rsidRDefault="007A1C5F" w:rsidP="007A1C5F">
      <w:pPr>
        <w:pStyle w:val="Rubrik1"/>
      </w:pPr>
      <w:bookmarkStart w:id="8" w:name="_Toc115610116"/>
      <w:r w:rsidRPr="008A0946">
        <w:t>Alternativa</w:t>
      </w:r>
      <w:r w:rsidR="00803215" w:rsidRPr="008A0946">
        <w:t xml:space="preserve"> finansieringsformer för skuldavskrivning och fattigdomsbekämpning</w:t>
      </w:r>
      <w:bookmarkEnd w:id="8"/>
    </w:p>
    <w:p w:rsidR="00803215" w:rsidRPr="008A0946" w:rsidRDefault="00803215" w:rsidP="00803215">
      <w:r w:rsidRPr="008A0946">
        <w:t>Genom FN</w:t>
      </w:r>
      <w:r w:rsidR="007A1C5F" w:rsidRPr="008A0946">
        <w:t>:</w:t>
      </w:r>
      <w:r w:rsidRPr="008A0946">
        <w:t>s millen</w:t>
      </w:r>
      <w:r w:rsidR="007A1C5F" w:rsidRPr="008A0946">
        <w:t>n</w:t>
      </w:r>
      <w:r w:rsidRPr="008A0946">
        <w:t xml:space="preserve">iemål har </w:t>
      </w:r>
      <w:r w:rsidR="00D05779" w:rsidRPr="008A0946">
        <w:t xml:space="preserve">alltså </w:t>
      </w:r>
      <w:r w:rsidRPr="008A0946">
        <w:t>det internationella samfundet gemensamt formulerat hur man tänkt sig att handskas med några av de ödesfrågor som mänskligheten står inför i inledningen av detta nya årtusende. Dessa mål söker nu, liks</w:t>
      </w:r>
      <w:r w:rsidR="007A1C5F" w:rsidRPr="008A0946">
        <w:t xml:space="preserve">om skuldavskrivningsprojektet, </w:t>
      </w:r>
      <w:r w:rsidRPr="008A0946">
        <w:t>nya finansiella medel.</w:t>
      </w:r>
    </w:p>
    <w:p w:rsidR="00803215" w:rsidRPr="008A0946" w:rsidRDefault="00803215" w:rsidP="007A1C5F">
      <w:pPr>
        <w:pStyle w:val="Normaltindrag"/>
      </w:pPr>
      <w:r w:rsidRPr="008A0946">
        <w:t>Frågan fick en avgörande vändning hösten 2004 då Frankrikes Jacques Chirac och Brasiliens Luis Ignacio Lula da Silva genom ett utspel satte</w:t>
      </w:r>
      <w:r w:rsidR="00D05779" w:rsidRPr="008A0946">
        <w:t xml:space="preserve"> fart på</w:t>
      </w:r>
      <w:r w:rsidRPr="008A0946">
        <w:t xml:space="preserve"> diskussionen. I rapporten </w:t>
      </w:r>
      <w:r w:rsidR="001A4F18" w:rsidRPr="008A0946">
        <w:t>”</w:t>
      </w:r>
      <w:r w:rsidRPr="008A0946">
        <w:t>Action Against Poverty</w:t>
      </w:r>
      <w:r w:rsidR="001A4F18" w:rsidRPr="008A0946">
        <w:t>”</w:t>
      </w:r>
      <w:r w:rsidRPr="008A0946">
        <w:t xml:space="preserve"> som kom til</w:t>
      </w:r>
      <w:r w:rsidR="00D05779" w:rsidRPr="008A0946">
        <w:t>l på deras initiativ presenteras</w:t>
      </w:r>
      <w:r w:rsidRPr="008A0946">
        <w:t xml:space="preserve"> några av de finansieringslösningar som står till buds</w:t>
      </w:r>
      <w:r w:rsidR="00D05779" w:rsidRPr="008A0946">
        <w:t>.</w:t>
      </w:r>
      <w:r w:rsidRPr="008A0946">
        <w:rPr>
          <w:rStyle w:val="Fotnotsreferens"/>
        </w:rPr>
        <w:footnoteReference w:id="9"/>
      </w:r>
    </w:p>
    <w:p w:rsidR="007A1C5F" w:rsidRPr="008A0946" w:rsidRDefault="00803215" w:rsidP="006F0F39">
      <w:pPr>
        <w:pStyle w:val="Normaltindrag"/>
        <w:rPr>
          <w:rFonts w:eastAsia="Arial Unicode MS"/>
          <w:lang w:eastAsia="en-US"/>
        </w:rPr>
      </w:pPr>
      <w:r w:rsidRPr="008A0946">
        <w:rPr>
          <w:rFonts w:eastAsia="Arial Unicode MS"/>
          <w:lang w:eastAsia="en-US"/>
        </w:rPr>
        <w:t>Olika internationella skatter skulle kunna innebära ett nytt tillskott till FN</w:t>
      </w:r>
      <w:r w:rsidR="00D05779" w:rsidRPr="008A0946">
        <w:rPr>
          <w:rFonts w:eastAsia="Arial Unicode MS"/>
          <w:lang w:eastAsia="en-US"/>
        </w:rPr>
        <w:t>:</w:t>
      </w:r>
      <w:r w:rsidRPr="008A0946">
        <w:rPr>
          <w:rFonts w:eastAsia="Arial Unicode MS"/>
          <w:lang w:eastAsia="en-US"/>
        </w:rPr>
        <w:t>s organ och till enskilda länder. Precis som på nationalstatsnivå kan skatter finansiera gemensamma nyttor</w:t>
      </w:r>
      <w:r w:rsidR="006F0F39" w:rsidRPr="008A0946">
        <w:rPr>
          <w:rFonts w:eastAsia="Arial Unicode MS"/>
          <w:lang w:eastAsia="en-US"/>
        </w:rPr>
        <w:t xml:space="preserve"> – exempelvis tillgång till vatten, mat samt grundläggande utbildning och sjukvård –</w:t>
      </w:r>
      <w:r w:rsidRPr="008A0946">
        <w:rPr>
          <w:rFonts w:eastAsia="Arial Unicode MS"/>
          <w:lang w:eastAsia="en-US"/>
        </w:rPr>
        <w:t xml:space="preserve"> omfördela inkomster och utjämna olikheter eller skapa önskade styreffekter.</w:t>
      </w:r>
    </w:p>
    <w:p w:rsidR="00803215" w:rsidRPr="008A0946" w:rsidRDefault="00803215" w:rsidP="007A1C5F">
      <w:pPr>
        <w:pStyle w:val="Normaltindrag"/>
        <w:rPr>
          <w:rFonts w:eastAsia="Arial Unicode MS"/>
          <w:lang w:eastAsia="en-US"/>
        </w:rPr>
      </w:pPr>
      <w:r w:rsidRPr="008A0946">
        <w:rPr>
          <w:rFonts w:eastAsia="Arial Unicode MS"/>
          <w:lang w:eastAsia="en-US"/>
        </w:rPr>
        <w:t>Det finns idag en rad mer eller mindre utvecklade idéer om hur ytterligare medel och sådana skatter skulle kunna ge</w:t>
      </w:r>
      <w:r w:rsidR="00D05779" w:rsidRPr="008A0946">
        <w:rPr>
          <w:rFonts w:eastAsia="Arial Unicode MS"/>
          <w:lang w:eastAsia="en-US"/>
        </w:rPr>
        <w:t>nereras i kampen för att uppnå m</w:t>
      </w:r>
      <w:r w:rsidRPr="008A0946">
        <w:rPr>
          <w:rFonts w:eastAsia="Arial Unicode MS"/>
          <w:lang w:eastAsia="en-US"/>
        </w:rPr>
        <w:t>i</w:t>
      </w:r>
      <w:r w:rsidRPr="008A0946">
        <w:rPr>
          <w:rFonts w:eastAsia="Arial Unicode MS"/>
          <w:lang w:eastAsia="en-US"/>
        </w:rPr>
        <w:t>l</w:t>
      </w:r>
      <w:r w:rsidRPr="008A0946">
        <w:rPr>
          <w:rFonts w:eastAsia="Arial Unicode MS"/>
          <w:lang w:eastAsia="en-US"/>
        </w:rPr>
        <w:t>le</w:t>
      </w:r>
      <w:r w:rsidR="00E84BB1" w:rsidRPr="008A0946">
        <w:rPr>
          <w:rFonts w:eastAsia="Arial Unicode MS"/>
          <w:lang w:eastAsia="en-US"/>
        </w:rPr>
        <w:t>n</w:t>
      </w:r>
      <w:r w:rsidRPr="008A0946">
        <w:rPr>
          <w:rFonts w:eastAsia="Arial Unicode MS"/>
          <w:lang w:eastAsia="en-US"/>
        </w:rPr>
        <w:t>niemålen</w:t>
      </w:r>
      <w:r w:rsidR="00D05779" w:rsidRPr="008A0946">
        <w:rPr>
          <w:rFonts w:eastAsia="Arial Unicode MS"/>
          <w:lang w:eastAsia="en-US"/>
        </w:rPr>
        <w:t>.</w:t>
      </w:r>
      <w:r w:rsidRPr="008A0946">
        <w:rPr>
          <w:rStyle w:val="Fotnotsreferens"/>
          <w:rFonts w:eastAsia="Arial Unicode MS"/>
          <w:lang w:eastAsia="en-US"/>
        </w:rPr>
        <w:footnoteReference w:id="10"/>
      </w:r>
      <w:r w:rsidR="009C5C9E" w:rsidRPr="008A0946">
        <w:rPr>
          <w:rFonts w:eastAsia="Arial Unicode MS"/>
          <w:lang w:eastAsia="en-US"/>
        </w:rPr>
        <w:t xml:space="preserve"> </w:t>
      </w:r>
      <w:r w:rsidRPr="008A0946">
        <w:rPr>
          <w:rFonts w:eastAsia="Arial Unicode MS"/>
          <w:lang w:eastAsia="en-US"/>
        </w:rPr>
        <w:t>Några av de förslag som diskuterats så</w:t>
      </w:r>
      <w:r w:rsidR="007A1C5F" w:rsidRPr="008A0946">
        <w:rPr>
          <w:rFonts w:eastAsia="Arial Unicode MS"/>
          <w:lang w:eastAsia="en-US"/>
        </w:rPr>
        <w:t xml:space="preserve"> </w:t>
      </w:r>
      <w:r w:rsidRPr="008A0946">
        <w:rPr>
          <w:rFonts w:eastAsia="Arial Unicode MS"/>
          <w:lang w:eastAsia="en-US"/>
        </w:rPr>
        <w:t>här lång</w:t>
      </w:r>
      <w:r w:rsidR="007A1C5F" w:rsidRPr="008A0946">
        <w:rPr>
          <w:rFonts w:eastAsia="Arial Unicode MS"/>
          <w:lang w:eastAsia="en-US"/>
        </w:rPr>
        <w:t>t</w:t>
      </w:r>
      <w:r w:rsidRPr="008A0946">
        <w:rPr>
          <w:rFonts w:eastAsia="Arial Unicode MS"/>
          <w:lang w:eastAsia="en-US"/>
        </w:rPr>
        <w:t xml:space="preserve"> är:</w:t>
      </w:r>
    </w:p>
    <w:p w:rsidR="00803215" w:rsidRPr="008A0946" w:rsidRDefault="00803215" w:rsidP="00680535">
      <w:pPr>
        <w:pStyle w:val="PunktlistaNummer"/>
        <w:ind w:left="360" w:hanging="360"/>
      </w:pPr>
      <w:r w:rsidRPr="008A0946">
        <w:rPr>
          <w:i/>
        </w:rPr>
        <w:t>Skatt på finansiella transaktioner</w:t>
      </w:r>
      <w:r w:rsidRPr="008A0946">
        <w:rPr>
          <w:rStyle w:val="Fotnotsreferens"/>
          <w:szCs w:val="19"/>
        </w:rPr>
        <w:footnoteReference w:id="11"/>
      </w:r>
      <w:r w:rsidRPr="008A0946">
        <w:rPr>
          <w:szCs w:val="19"/>
        </w:rPr>
        <w:t xml:space="preserve"> </w:t>
      </w:r>
      <w:r w:rsidR="00680535" w:rsidRPr="008A0946">
        <w:t>.</w:t>
      </w:r>
      <w:r w:rsidRPr="008A0946">
        <w:t xml:space="preserve"> </w:t>
      </w:r>
      <w:r w:rsidRPr="008A0946">
        <w:rPr>
          <w:rFonts w:eastAsia="Arial Unicode MS"/>
          <w:lang w:eastAsia="en-US"/>
        </w:rPr>
        <w:t xml:space="preserve">Grundidén </w:t>
      </w:r>
      <w:r w:rsidR="00D05779" w:rsidRPr="008A0946">
        <w:rPr>
          <w:rFonts w:eastAsia="Arial Unicode MS"/>
          <w:lang w:eastAsia="en-US"/>
        </w:rPr>
        <w:t>med denna skatt är e</w:t>
      </w:r>
      <w:r w:rsidR="00D05779" w:rsidRPr="008A0946">
        <w:rPr>
          <w:rFonts w:eastAsia="Arial Unicode MS"/>
          <w:lang w:eastAsia="en-US"/>
        </w:rPr>
        <w:t>n</w:t>
      </w:r>
      <w:r w:rsidR="00D05779" w:rsidRPr="008A0946">
        <w:rPr>
          <w:rFonts w:eastAsia="Arial Unicode MS"/>
          <w:lang w:eastAsia="en-US"/>
        </w:rPr>
        <w:t>kel: G</w:t>
      </w:r>
      <w:r w:rsidRPr="008A0946">
        <w:rPr>
          <w:rFonts w:eastAsia="Arial Unicode MS"/>
          <w:lang w:eastAsia="en-US"/>
        </w:rPr>
        <w:t>enom att</w:t>
      </w:r>
      <w:r w:rsidR="00337DDF" w:rsidRPr="008A0946">
        <w:rPr>
          <w:rFonts w:eastAsia="Arial Unicode MS"/>
          <w:lang w:eastAsia="en-US"/>
        </w:rPr>
        <w:t xml:space="preserve"> introducera en låg skattesats </w:t>
      </w:r>
      <w:r w:rsidRPr="008A0946">
        <w:rPr>
          <w:rFonts w:eastAsia="Arial Unicode MS"/>
          <w:lang w:eastAsia="en-US"/>
        </w:rPr>
        <w:t xml:space="preserve">på alla finansiella </w:t>
      </w:r>
      <w:r w:rsidR="00D05779" w:rsidRPr="008A0946">
        <w:rPr>
          <w:rFonts w:eastAsia="Arial Unicode MS"/>
          <w:lang w:eastAsia="en-US"/>
        </w:rPr>
        <w:t>transa</w:t>
      </w:r>
      <w:r w:rsidR="00D05779" w:rsidRPr="008A0946">
        <w:rPr>
          <w:rFonts w:eastAsia="Arial Unicode MS"/>
          <w:lang w:eastAsia="en-US"/>
        </w:rPr>
        <w:t>k</w:t>
      </w:r>
      <w:r w:rsidR="00D05779" w:rsidRPr="008A0946">
        <w:rPr>
          <w:rFonts w:eastAsia="Arial Unicode MS"/>
          <w:lang w:eastAsia="en-US"/>
        </w:rPr>
        <w:t xml:space="preserve">tioner skulle </w:t>
      </w:r>
      <w:r w:rsidRPr="008A0946">
        <w:rPr>
          <w:rFonts w:eastAsia="Arial Unicode MS"/>
          <w:lang w:eastAsia="en-US"/>
        </w:rPr>
        <w:t>incitamentet för kortsiktig valutaspekulation</w:t>
      </w:r>
      <w:r w:rsidR="00D05779" w:rsidRPr="008A0946">
        <w:rPr>
          <w:rFonts w:eastAsia="Arial Unicode MS"/>
          <w:lang w:eastAsia="en-US"/>
        </w:rPr>
        <w:t xml:space="preserve"> minskas</w:t>
      </w:r>
      <w:r w:rsidRPr="008A0946">
        <w:rPr>
          <w:rFonts w:eastAsia="Arial Unicode MS"/>
          <w:lang w:eastAsia="en-US"/>
        </w:rPr>
        <w:t xml:space="preserve">. Som en positiv bieffekt skulle skatten generera inkomster som skulle kunna användas för </w:t>
      </w:r>
      <w:r w:rsidR="007A1C5F" w:rsidRPr="008A0946">
        <w:rPr>
          <w:rFonts w:eastAsia="Arial Unicode MS"/>
          <w:lang w:eastAsia="en-US"/>
        </w:rPr>
        <w:t xml:space="preserve">till exempel </w:t>
      </w:r>
      <w:r w:rsidRPr="008A0946">
        <w:rPr>
          <w:rFonts w:eastAsia="Arial Unicode MS"/>
          <w:lang w:eastAsia="en-US"/>
        </w:rPr>
        <w:t>fattigdoms</w:t>
      </w:r>
      <w:r w:rsidR="00EA03E2" w:rsidRPr="008A0946">
        <w:rPr>
          <w:rFonts w:eastAsia="Arial Unicode MS"/>
          <w:lang w:eastAsia="en-US"/>
        </w:rPr>
        <w:softHyphen/>
      </w:r>
      <w:r w:rsidRPr="008A0946">
        <w:rPr>
          <w:rFonts w:eastAsia="Arial Unicode MS"/>
          <w:lang w:eastAsia="en-US"/>
        </w:rPr>
        <w:t xml:space="preserve">bekämpning. Idén har utvecklats </w:t>
      </w:r>
      <w:r w:rsidR="00D05779" w:rsidRPr="008A0946">
        <w:rPr>
          <w:rFonts w:eastAsia="Arial Unicode MS"/>
          <w:lang w:eastAsia="en-US"/>
        </w:rPr>
        <w:t xml:space="preserve">under </w:t>
      </w:r>
      <w:r w:rsidR="00680535" w:rsidRPr="008A0946">
        <w:rPr>
          <w:rFonts w:eastAsia="Arial Unicode MS"/>
          <w:lang w:eastAsia="en-US"/>
        </w:rPr>
        <w:t>de senaste åren.</w:t>
      </w:r>
      <w:r w:rsidRPr="008A0946">
        <w:rPr>
          <w:rFonts w:eastAsia="Arial Unicode MS"/>
          <w:lang w:eastAsia="en-US"/>
        </w:rPr>
        <w:t xml:space="preserve"> </w:t>
      </w:r>
      <w:r w:rsidR="00680535" w:rsidRPr="008A0946">
        <w:rPr>
          <w:rFonts w:eastAsia="Arial Unicode MS"/>
          <w:lang w:eastAsia="en-US"/>
        </w:rPr>
        <w:t xml:space="preserve">Idag </w:t>
      </w:r>
      <w:r w:rsidRPr="008A0946">
        <w:rPr>
          <w:rFonts w:eastAsia="Arial Unicode MS"/>
          <w:lang w:eastAsia="en-US"/>
        </w:rPr>
        <w:t>finns ett förslag om en skatt på valutatransa</w:t>
      </w:r>
      <w:r w:rsidRPr="008A0946">
        <w:rPr>
          <w:rFonts w:eastAsia="Arial Unicode MS"/>
          <w:lang w:eastAsia="en-US"/>
        </w:rPr>
        <w:t>k</w:t>
      </w:r>
      <w:r w:rsidRPr="008A0946">
        <w:rPr>
          <w:rFonts w:eastAsia="Arial Unicode MS"/>
          <w:lang w:eastAsia="en-US"/>
        </w:rPr>
        <w:t xml:space="preserve">tioner med två </w:t>
      </w:r>
      <w:r w:rsidR="001A4F18" w:rsidRPr="008A0946">
        <w:rPr>
          <w:rFonts w:eastAsia="Arial Unicode MS"/>
          <w:lang w:eastAsia="en-US"/>
        </w:rPr>
        <w:t>”</w:t>
      </w:r>
      <w:r w:rsidRPr="008A0946">
        <w:rPr>
          <w:rFonts w:eastAsia="Arial Unicode MS"/>
          <w:lang w:eastAsia="en-US"/>
        </w:rPr>
        <w:t>nivåer</w:t>
      </w:r>
      <w:r w:rsidR="001A4F18" w:rsidRPr="008A0946">
        <w:rPr>
          <w:rFonts w:eastAsia="Arial Unicode MS"/>
          <w:lang w:eastAsia="en-US"/>
        </w:rPr>
        <w:t>”</w:t>
      </w:r>
      <w:r w:rsidRPr="008A0946">
        <w:rPr>
          <w:rFonts w:eastAsia="Arial Unicode MS"/>
          <w:lang w:eastAsia="en-US"/>
        </w:rPr>
        <w:t>. Ett först</w:t>
      </w:r>
      <w:r w:rsidR="007A1C5F" w:rsidRPr="008A0946">
        <w:rPr>
          <w:rFonts w:eastAsia="Arial Unicode MS"/>
          <w:lang w:eastAsia="en-US"/>
        </w:rPr>
        <w:t>a läge med en låg procentsats (</w:t>
      </w:r>
      <w:r w:rsidR="00D05779" w:rsidRPr="008A0946">
        <w:rPr>
          <w:rFonts w:eastAsia="Arial Unicode MS"/>
          <w:lang w:eastAsia="en-US"/>
        </w:rPr>
        <w:t>runt 0,</w:t>
      </w:r>
      <w:r w:rsidR="00337DDF" w:rsidRPr="008A0946">
        <w:rPr>
          <w:rFonts w:eastAsia="Arial Unicode MS"/>
          <w:lang w:eastAsia="en-US"/>
        </w:rPr>
        <w:t>005</w:t>
      </w:r>
      <w:r w:rsidR="007A1C5F" w:rsidRPr="008A0946">
        <w:rPr>
          <w:rFonts w:eastAsia="Arial Unicode MS"/>
          <w:lang w:eastAsia="en-US"/>
        </w:rPr>
        <w:t xml:space="preserve"> procent</w:t>
      </w:r>
      <w:r w:rsidRPr="008A0946">
        <w:rPr>
          <w:rFonts w:eastAsia="Arial Unicode MS"/>
          <w:lang w:eastAsia="en-US"/>
        </w:rPr>
        <w:t>) och ett andra, mycket högre läge som fungerar som en s</w:t>
      </w:r>
      <w:r w:rsidRPr="008A0946">
        <w:rPr>
          <w:rFonts w:eastAsia="Arial Unicode MS"/>
          <w:lang w:eastAsia="en-US"/>
        </w:rPr>
        <w:t>ä</w:t>
      </w:r>
      <w:r w:rsidRPr="008A0946">
        <w:rPr>
          <w:rFonts w:eastAsia="Arial Unicode MS"/>
          <w:lang w:eastAsia="en-US"/>
        </w:rPr>
        <w:t>ker</w:t>
      </w:r>
      <w:r w:rsidR="00823CA0" w:rsidRPr="008A0946">
        <w:rPr>
          <w:rFonts w:eastAsia="Arial Unicode MS"/>
          <w:lang w:eastAsia="en-US"/>
        </w:rPr>
        <w:softHyphen/>
      </w:r>
      <w:r w:rsidRPr="008A0946">
        <w:rPr>
          <w:rFonts w:eastAsia="Arial Unicode MS"/>
          <w:lang w:eastAsia="en-US"/>
        </w:rPr>
        <w:t>hetsventil för ekonomisk stabilitet, när växelkursen rör sig utanför ett visst spann. Tanken är då att den låga växeln ska vara tillräckligt låg för att inte störa valuta</w:t>
      </w:r>
      <w:r w:rsidR="00823CA0" w:rsidRPr="008A0946">
        <w:rPr>
          <w:rFonts w:eastAsia="Arial Unicode MS"/>
          <w:lang w:eastAsia="en-US"/>
        </w:rPr>
        <w:softHyphen/>
      </w:r>
      <w:r w:rsidRPr="008A0946">
        <w:rPr>
          <w:rFonts w:eastAsia="Arial Unicode MS"/>
          <w:lang w:eastAsia="en-US"/>
        </w:rPr>
        <w:t>marknaden nämnvärt medan den höga växeln har en stabiliserande verkan.</w:t>
      </w:r>
      <w:r w:rsidR="00D05779" w:rsidRPr="008A0946">
        <w:rPr>
          <w:rFonts w:eastAsia="Arial Unicode MS"/>
          <w:lang w:eastAsia="en-US"/>
        </w:rPr>
        <w:t xml:space="preserve"> Nya beräkningar visar på att skatten, trots att den är så li</w:t>
      </w:r>
      <w:r w:rsidR="00680535" w:rsidRPr="008A0946">
        <w:rPr>
          <w:rFonts w:eastAsia="Arial Unicode MS"/>
          <w:lang w:eastAsia="en-US"/>
        </w:rPr>
        <w:t>ten, skulle generera ungefär 10–</w:t>
      </w:r>
      <w:r w:rsidR="00D05779" w:rsidRPr="008A0946">
        <w:rPr>
          <w:rFonts w:eastAsia="Arial Unicode MS"/>
          <w:lang w:eastAsia="en-US"/>
        </w:rPr>
        <w:t>15 miljarder dollar.</w:t>
      </w:r>
    </w:p>
    <w:p w:rsidR="00803215" w:rsidRPr="008A0946" w:rsidRDefault="00680535" w:rsidP="00680535">
      <w:pPr>
        <w:pStyle w:val="PunktlistaNummer"/>
        <w:spacing w:before="0"/>
        <w:ind w:left="360" w:hanging="360"/>
        <w:rPr>
          <w:rFonts w:eastAsia="Arial Unicode MS"/>
          <w:szCs w:val="22"/>
          <w:lang w:eastAsia="en-US"/>
        </w:rPr>
      </w:pPr>
      <w:r w:rsidRPr="008A0946">
        <w:rPr>
          <w:rFonts w:eastAsia="Arial Unicode MS"/>
          <w:i/>
          <w:lang w:eastAsia="en-US"/>
        </w:rPr>
        <w:t>Koldioxidbeskattning</w:t>
      </w:r>
      <w:r w:rsidRPr="008A0946">
        <w:rPr>
          <w:rFonts w:eastAsia="Arial Unicode MS"/>
          <w:lang w:eastAsia="en-US"/>
        </w:rPr>
        <w:t>.</w:t>
      </w:r>
      <w:r w:rsidR="00803215" w:rsidRPr="008A0946">
        <w:rPr>
          <w:rFonts w:eastAsia="Arial Unicode MS"/>
          <w:lang w:eastAsia="en-US"/>
        </w:rPr>
        <w:t xml:space="preserve"> Syftet med en kol</w:t>
      </w:r>
      <w:r w:rsidR="00D05779" w:rsidRPr="008A0946">
        <w:rPr>
          <w:rFonts w:eastAsia="Arial Unicode MS"/>
          <w:lang w:eastAsia="en-US"/>
        </w:rPr>
        <w:t>dioxidskatt är</w:t>
      </w:r>
      <w:r w:rsidR="00803215" w:rsidRPr="008A0946">
        <w:rPr>
          <w:rFonts w:eastAsia="Arial Unicode MS"/>
          <w:lang w:eastAsia="en-US"/>
        </w:rPr>
        <w:t xml:space="preserve"> att styra bort från användningen av fossila bränslen till mer långsiktigt hållbara alternativ. Den om</w:t>
      </w:r>
      <w:r w:rsidR="00EA03E2" w:rsidRPr="008A0946">
        <w:rPr>
          <w:rFonts w:eastAsia="Arial Unicode MS"/>
          <w:lang w:eastAsia="en-US"/>
        </w:rPr>
        <w:softHyphen/>
      </w:r>
      <w:r w:rsidR="00803215" w:rsidRPr="008A0946">
        <w:rPr>
          <w:rFonts w:eastAsia="Arial Unicode MS"/>
          <w:lang w:eastAsia="en-US"/>
        </w:rPr>
        <w:t>för</w:t>
      </w:r>
      <w:r w:rsidR="00EA03E2" w:rsidRPr="008A0946">
        <w:rPr>
          <w:rFonts w:eastAsia="Arial Unicode MS"/>
          <w:lang w:eastAsia="en-US"/>
        </w:rPr>
        <w:softHyphen/>
      </w:r>
      <w:r w:rsidR="00803215" w:rsidRPr="008A0946">
        <w:rPr>
          <w:rFonts w:eastAsia="Arial Unicode MS"/>
          <w:lang w:eastAsia="en-US"/>
        </w:rPr>
        <w:t xml:space="preserve">delande effekten av en sådan skatt är </w:t>
      </w:r>
      <w:r w:rsidR="00D05779" w:rsidRPr="008A0946">
        <w:rPr>
          <w:rFonts w:eastAsia="Arial Unicode MS"/>
          <w:lang w:eastAsia="en-US"/>
        </w:rPr>
        <w:t xml:space="preserve">dock </w:t>
      </w:r>
      <w:r w:rsidR="00803215" w:rsidRPr="008A0946">
        <w:rPr>
          <w:rFonts w:eastAsia="Arial Unicode MS"/>
          <w:lang w:eastAsia="en-US"/>
        </w:rPr>
        <w:t xml:space="preserve">mer tveksam </w:t>
      </w:r>
      <w:r w:rsidR="00D05779" w:rsidRPr="008A0946">
        <w:rPr>
          <w:rFonts w:eastAsia="Arial Unicode MS"/>
          <w:lang w:eastAsia="en-US"/>
        </w:rPr>
        <w:t>efte</w:t>
      </w:r>
      <w:r w:rsidR="00D05779" w:rsidRPr="008A0946">
        <w:rPr>
          <w:rFonts w:eastAsia="Arial Unicode MS"/>
          <w:lang w:eastAsia="en-US"/>
        </w:rPr>
        <w:t>r</w:t>
      </w:r>
      <w:r w:rsidR="00D05779" w:rsidRPr="008A0946">
        <w:rPr>
          <w:rFonts w:eastAsia="Arial Unicode MS"/>
          <w:lang w:eastAsia="en-US"/>
        </w:rPr>
        <w:t xml:space="preserve">som vissa länder i </w:t>
      </w:r>
      <w:r w:rsidRPr="008A0946">
        <w:rPr>
          <w:rFonts w:eastAsia="Arial Unicode MS"/>
          <w:lang w:eastAsia="en-US"/>
        </w:rPr>
        <w:t xml:space="preserve">syd </w:t>
      </w:r>
      <w:r w:rsidR="007D790A" w:rsidRPr="008A0946">
        <w:rPr>
          <w:rFonts w:eastAsia="Arial Unicode MS"/>
          <w:lang w:eastAsia="en-US"/>
        </w:rPr>
        <w:t xml:space="preserve">troligen och tyvärr kommer att vara beroende av </w:t>
      </w:r>
      <w:r w:rsidR="00803215" w:rsidRPr="008A0946">
        <w:rPr>
          <w:rFonts w:eastAsia="Arial Unicode MS"/>
          <w:lang w:eastAsia="en-US"/>
        </w:rPr>
        <w:t>koldioxidintensiva produktions</w:t>
      </w:r>
      <w:r w:rsidR="00EA03E2" w:rsidRPr="008A0946">
        <w:rPr>
          <w:rFonts w:eastAsia="Arial Unicode MS"/>
          <w:lang w:eastAsia="en-US"/>
        </w:rPr>
        <w:softHyphen/>
      </w:r>
      <w:r w:rsidR="00803215" w:rsidRPr="008A0946">
        <w:rPr>
          <w:rFonts w:eastAsia="Arial Unicode MS"/>
          <w:lang w:eastAsia="en-US"/>
        </w:rPr>
        <w:t>former</w:t>
      </w:r>
      <w:r w:rsidR="007D790A" w:rsidRPr="008A0946">
        <w:rPr>
          <w:rFonts w:eastAsia="Arial Unicode MS"/>
          <w:lang w:eastAsia="en-US"/>
        </w:rPr>
        <w:t xml:space="preserve"> ganska länge än</w:t>
      </w:r>
      <w:r w:rsidR="00803215" w:rsidRPr="008A0946">
        <w:rPr>
          <w:rFonts w:eastAsia="Arial Unicode MS"/>
          <w:lang w:eastAsia="en-US"/>
        </w:rPr>
        <w:t>.</w:t>
      </w:r>
    </w:p>
    <w:p w:rsidR="00803215" w:rsidRPr="008A0946" w:rsidRDefault="00803215" w:rsidP="00680535">
      <w:pPr>
        <w:pStyle w:val="PunktlistaNummer"/>
        <w:spacing w:before="0"/>
        <w:ind w:left="360" w:hanging="360"/>
      </w:pPr>
      <w:r w:rsidRPr="008A0946">
        <w:rPr>
          <w:rFonts w:eastAsia="Arial Unicode MS"/>
          <w:i/>
          <w:szCs w:val="22"/>
        </w:rPr>
        <w:t>Skatt på flygresor eller flygbränsle</w:t>
      </w:r>
      <w:r w:rsidR="00680535" w:rsidRPr="008A0946">
        <w:rPr>
          <w:rFonts w:eastAsia="Arial Unicode MS"/>
          <w:szCs w:val="22"/>
        </w:rPr>
        <w:t xml:space="preserve">. </w:t>
      </w:r>
      <w:r w:rsidRPr="008A0946">
        <w:rPr>
          <w:rFonts w:eastAsia="Arial Unicode MS"/>
          <w:szCs w:val="22"/>
        </w:rPr>
        <w:t xml:space="preserve">Genom att belägga varje flygbiljett eller varje liter flygbränsle med en avgift skulle inkomster </w:t>
      </w:r>
      <w:r w:rsidR="00254532" w:rsidRPr="008A0946">
        <w:rPr>
          <w:rFonts w:eastAsia="Arial Unicode MS"/>
          <w:szCs w:val="22"/>
        </w:rPr>
        <w:t xml:space="preserve">kunna </w:t>
      </w:r>
      <w:r w:rsidRPr="008A0946">
        <w:rPr>
          <w:rFonts w:eastAsia="Arial Unicode MS"/>
          <w:szCs w:val="22"/>
        </w:rPr>
        <w:t>gener</w:t>
      </w:r>
      <w:r w:rsidRPr="008A0946">
        <w:rPr>
          <w:rFonts w:eastAsia="Arial Unicode MS"/>
          <w:szCs w:val="22"/>
        </w:rPr>
        <w:t>e</w:t>
      </w:r>
      <w:r w:rsidRPr="008A0946">
        <w:rPr>
          <w:rFonts w:eastAsia="Arial Unicode MS"/>
          <w:szCs w:val="22"/>
        </w:rPr>
        <w:t>ras. De som flyger mest, den välbeställda minoritet</w:t>
      </w:r>
      <w:r w:rsidR="00254532" w:rsidRPr="008A0946">
        <w:rPr>
          <w:rFonts w:eastAsia="Arial Unicode MS"/>
          <w:szCs w:val="22"/>
        </w:rPr>
        <w:t>en</w:t>
      </w:r>
      <w:r w:rsidRPr="008A0946">
        <w:rPr>
          <w:rFonts w:eastAsia="Arial Unicode MS"/>
          <w:szCs w:val="22"/>
        </w:rPr>
        <w:t xml:space="preserve"> av världens b</w:t>
      </w:r>
      <w:r w:rsidRPr="008A0946">
        <w:rPr>
          <w:rFonts w:eastAsia="Arial Unicode MS"/>
          <w:szCs w:val="22"/>
        </w:rPr>
        <w:t>e</w:t>
      </w:r>
      <w:r w:rsidRPr="008A0946">
        <w:rPr>
          <w:rFonts w:eastAsia="Arial Unicode MS"/>
          <w:szCs w:val="22"/>
        </w:rPr>
        <w:t>folkning, skulle på så sätt också få betala mest. En sådan skatt skulle tr</w:t>
      </w:r>
      <w:r w:rsidRPr="008A0946">
        <w:rPr>
          <w:rFonts w:eastAsia="Arial Unicode MS"/>
          <w:szCs w:val="22"/>
        </w:rPr>
        <w:t>o</w:t>
      </w:r>
      <w:r w:rsidRPr="008A0946">
        <w:rPr>
          <w:rFonts w:eastAsia="Arial Unicode MS"/>
          <w:szCs w:val="22"/>
        </w:rPr>
        <w:t>ligen ge positiva effekter även på miljö</w:t>
      </w:r>
      <w:r w:rsidR="00EA03E2" w:rsidRPr="008A0946">
        <w:rPr>
          <w:rFonts w:eastAsia="Arial Unicode MS"/>
          <w:szCs w:val="22"/>
        </w:rPr>
        <w:softHyphen/>
      </w:r>
      <w:r w:rsidRPr="008A0946">
        <w:rPr>
          <w:rFonts w:eastAsia="Arial Unicode MS"/>
          <w:szCs w:val="22"/>
        </w:rPr>
        <w:t>området. En annan innovativ idé som skulle beröra flygtrafiken är tanken om en avgift på utnyttjandet av luftkorridorer. På samma sätt som</w:t>
      </w:r>
      <w:r w:rsidR="00680535" w:rsidRPr="008A0946">
        <w:rPr>
          <w:rFonts w:eastAsia="Arial Unicode MS"/>
          <w:szCs w:val="22"/>
        </w:rPr>
        <w:t xml:space="preserve"> vid </w:t>
      </w:r>
      <w:r w:rsidRPr="008A0946">
        <w:rPr>
          <w:rFonts w:eastAsia="Arial Unicode MS"/>
          <w:szCs w:val="22"/>
        </w:rPr>
        <w:t>en vägtull</w:t>
      </w:r>
      <w:r w:rsidR="00254532" w:rsidRPr="008A0946">
        <w:rPr>
          <w:rFonts w:eastAsia="Arial Unicode MS"/>
          <w:szCs w:val="22"/>
        </w:rPr>
        <w:t xml:space="preserve"> skulle flygplan som u</w:t>
      </w:r>
      <w:r w:rsidR="00254532" w:rsidRPr="008A0946">
        <w:rPr>
          <w:rFonts w:eastAsia="Arial Unicode MS"/>
          <w:szCs w:val="22"/>
        </w:rPr>
        <w:t>t</w:t>
      </w:r>
      <w:r w:rsidR="00254532" w:rsidRPr="008A0946">
        <w:rPr>
          <w:rFonts w:eastAsia="Arial Unicode MS"/>
          <w:szCs w:val="22"/>
        </w:rPr>
        <w:t>nyttjade</w:t>
      </w:r>
      <w:r w:rsidRPr="008A0946">
        <w:rPr>
          <w:rFonts w:eastAsia="Arial Unicode MS"/>
          <w:szCs w:val="22"/>
        </w:rPr>
        <w:t xml:space="preserve"> vissa</w:t>
      </w:r>
      <w:r w:rsidR="00254532" w:rsidRPr="008A0946">
        <w:rPr>
          <w:rFonts w:eastAsia="Arial Unicode MS"/>
          <w:szCs w:val="22"/>
        </w:rPr>
        <w:t>,</w:t>
      </w:r>
      <w:r w:rsidRPr="008A0946">
        <w:rPr>
          <w:rFonts w:eastAsia="Arial Unicode MS"/>
          <w:szCs w:val="22"/>
        </w:rPr>
        <w:t xml:space="preserve"> ofta hårt trafikerade, flygkorridorer tvingas</w:t>
      </w:r>
      <w:r w:rsidR="00680535" w:rsidRPr="008A0946">
        <w:rPr>
          <w:rFonts w:eastAsia="Arial Unicode MS"/>
          <w:szCs w:val="22"/>
        </w:rPr>
        <w:t xml:space="preserve"> att</w:t>
      </w:r>
      <w:r w:rsidRPr="008A0946">
        <w:rPr>
          <w:rFonts w:eastAsia="Arial Unicode MS"/>
          <w:szCs w:val="22"/>
        </w:rPr>
        <w:t xml:space="preserve"> betala en avgift. </w:t>
      </w:r>
      <w:r w:rsidR="00254532" w:rsidRPr="008A0946">
        <w:t xml:space="preserve">Skatt på flygresor </w:t>
      </w:r>
      <w:r w:rsidRPr="008A0946">
        <w:t>är det alterna</w:t>
      </w:r>
      <w:r w:rsidR="00254532" w:rsidRPr="008A0946">
        <w:t>tiv som står närmast förverkliga</w:t>
      </w:r>
      <w:r w:rsidR="00254532" w:rsidRPr="008A0946">
        <w:t>n</w:t>
      </w:r>
      <w:r w:rsidR="00254532" w:rsidRPr="008A0946">
        <w:t>de</w:t>
      </w:r>
      <w:r w:rsidRPr="008A0946">
        <w:t xml:space="preserve"> idag eftersom en sådan avgift förmodligen </w:t>
      </w:r>
      <w:r w:rsidR="00680535" w:rsidRPr="008A0946">
        <w:t xml:space="preserve">skulle </w:t>
      </w:r>
      <w:r w:rsidRPr="008A0946">
        <w:t>vara ganska enkel att införa.</w:t>
      </w:r>
      <w:r w:rsidR="00254532" w:rsidRPr="008A0946">
        <w:t xml:space="preserve"> Frågan har diskuterats inom EU, och i dagsläget har en rad länder enats om att införa en sådan.</w:t>
      </w:r>
    </w:p>
    <w:p w:rsidR="00803215"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Skatt på vapenhandel</w:t>
      </w:r>
      <w:r w:rsidR="00680535" w:rsidRPr="008A0946">
        <w:rPr>
          <w:rFonts w:eastAsia="Arial Unicode MS"/>
          <w:szCs w:val="22"/>
          <w:lang w:eastAsia="en-US"/>
        </w:rPr>
        <w:t xml:space="preserve">. </w:t>
      </w:r>
      <w:r w:rsidRPr="008A0946">
        <w:rPr>
          <w:rFonts w:eastAsia="Arial Unicode MS"/>
          <w:szCs w:val="22"/>
          <w:lang w:eastAsia="en-US"/>
        </w:rPr>
        <w:t>Vapenhandeln är en av de marknader som omsä</w:t>
      </w:r>
      <w:r w:rsidRPr="008A0946">
        <w:rPr>
          <w:rFonts w:eastAsia="Arial Unicode MS"/>
          <w:szCs w:val="22"/>
          <w:lang w:eastAsia="en-US"/>
        </w:rPr>
        <w:t>t</w:t>
      </w:r>
      <w:r w:rsidRPr="008A0946">
        <w:rPr>
          <w:rFonts w:eastAsia="Arial Unicode MS"/>
          <w:szCs w:val="22"/>
          <w:lang w:eastAsia="en-US"/>
        </w:rPr>
        <w:t>ter mest pengar i världen. Det skulle förmodligen inte vara särskilt svårt att bilda opinion för en skatt på internationell vapenhandel</w:t>
      </w:r>
      <w:r w:rsidR="007D790A" w:rsidRPr="008A0946">
        <w:rPr>
          <w:rFonts w:eastAsia="Arial Unicode MS"/>
          <w:szCs w:val="22"/>
          <w:lang w:eastAsia="en-US"/>
        </w:rPr>
        <w:t>, men mo</w:t>
      </w:r>
      <w:r w:rsidR="007D790A" w:rsidRPr="008A0946">
        <w:rPr>
          <w:rFonts w:eastAsia="Arial Unicode MS"/>
          <w:szCs w:val="22"/>
          <w:lang w:eastAsia="en-US"/>
        </w:rPr>
        <w:t>t</w:t>
      </w:r>
      <w:r w:rsidR="007D790A" w:rsidRPr="008A0946">
        <w:rPr>
          <w:rFonts w:eastAsia="Arial Unicode MS"/>
          <w:szCs w:val="22"/>
          <w:lang w:eastAsia="en-US"/>
        </w:rPr>
        <w:t>ståndet från det militärindustriella komplexets aktörer lär bli massivt.</w:t>
      </w:r>
    </w:p>
    <w:p w:rsidR="00803215"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 xml:space="preserve">Skatt på </w:t>
      </w:r>
      <w:r w:rsidR="00680535" w:rsidRPr="008A0946">
        <w:rPr>
          <w:rFonts w:eastAsia="Arial Unicode MS"/>
          <w:i/>
          <w:szCs w:val="22"/>
          <w:lang w:eastAsia="en-US"/>
        </w:rPr>
        <w:t>internationell sjöfartstrafik</w:t>
      </w:r>
      <w:r w:rsidR="00680535" w:rsidRPr="008A0946">
        <w:rPr>
          <w:rFonts w:eastAsia="Arial Unicode MS"/>
          <w:szCs w:val="22"/>
          <w:lang w:eastAsia="en-US"/>
        </w:rPr>
        <w:t xml:space="preserve">. </w:t>
      </w:r>
      <w:r w:rsidRPr="008A0946">
        <w:rPr>
          <w:rFonts w:eastAsia="Arial Unicode MS"/>
          <w:szCs w:val="22"/>
          <w:lang w:eastAsia="en-US"/>
        </w:rPr>
        <w:t>Sjöfarten är en av vinnarna i den globaliserade ekonomin. Det kan d</w:t>
      </w:r>
      <w:r w:rsidR="00254532" w:rsidRPr="008A0946">
        <w:rPr>
          <w:rFonts w:eastAsia="Arial Unicode MS"/>
          <w:szCs w:val="22"/>
          <w:lang w:eastAsia="en-US"/>
        </w:rPr>
        <w:t>ärför tyckas rimligt att den</w:t>
      </w:r>
      <w:r w:rsidRPr="008A0946">
        <w:rPr>
          <w:rFonts w:eastAsia="Arial Unicode MS"/>
          <w:szCs w:val="22"/>
          <w:lang w:eastAsia="en-US"/>
        </w:rPr>
        <w:t xml:space="preserve"> ska ge sitt bidrag om inte annat fö</w:t>
      </w:r>
      <w:r w:rsidR="00254532" w:rsidRPr="008A0946">
        <w:rPr>
          <w:rFonts w:eastAsia="Arial Unicode MS"/>
          <w:szCs w:val="22"/>
          <w:lang w:eastAsia="en-US"/>
        </w:rPr>
        <w:t>r att ersätta de miljöskador sjöfarten</w:t>
      </w:r>
      <w:r w:rsidRPr="008A0946">
        <w:rPr>
          <w:rFonts w:eastAsia="Arial Unicode MS"/>
          <w:szCs w:val="22"/>
          <w:lang w:eastAsia="en-US"/>
        </w:rPr>
        <w:t xml:space="preserve"> faktiskt ger upphov till. En skatt skulle kunna introduceras som en avgift på utsläpp eller en avgift för transport av farligt gods. Ett annat sätt att inbringa m</w:t>
      </w:r>
      <w:r w:rsidRPr="008A0946">
        <w:rPr>
          <w:rFonts w:eastAsia="Arial Unicode MS"/>
          <w:szCs w:val="22"/>
          <w:lang w:eastAsia="en-US"/>
        </w:rPr>
        <w:t>e</w:t>
      </w:r>
      <w:r w:rsidRPr="008A0946">
        <w:rPr>
          <w:rFonts w:eastAsia="Arial Unicode MS"/>
          <w:szCs w:val="22"/>
          <w:lang w:eastAsia="en-US"/>
        </w:rPr>
        <w:t>del från sjöfarten är att på samma sätt som med flyg</w:t>
      </w:r>
      <w:r w:rsidR="00EA03E2" w:rsidRPr="008A0946">
        <w:rPr>
          <w:rFonts w:eastAsia="Arial Unicode MS"/>
          <w:szCs w:val="22"/>
          <w:lang w:eastAsia="en-US"/>
        </w:rPr>
        <w:softHyphen/>
      </w:r>
      <w:r w:rsidRPr="008A0946">
        <w:rPr>
          <w:rFonts w:eastAsia="Arial Unicode MS"/>
          <w:szCs w:val="22"/>
          <w:lang w:eastAsia="en-US"/>
        </w:rPr>
        <w:t>trafiken avgiftsb</w:t>
      </w:r>
      <w:r w:rsidRPr="008A0946">
        <w:rPr>
          <w:rFonts w:eastAsia="Arial Unicode MS"/>
          <w:szCs w:val="22"/>
          <w:lang w:eastAsia="en-US"/>
        </w:rPr>
        <w:t>e</w:t>
      </w:r>
      <w:r w:rsidRPr="008A0946">
        <w:rPr>
          <w:rFonts w:eastAsia="Arial Unicode MS"/>
          <w:szCs w:val="22"/>
          <w:lang w:eastAsia="en-US"/>
        </w:rPr>
        <w:t>lägga vissa hårt trafikerade passager.</w:t>
      </w:r>
    </w:p>
    <w:p w:rsidR="00803215"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Avgift på handel med kontokort</w:t>
      </w:r>
      <w:r w:rsidR="00680535" w:rsidRPr="008A0946">
        <w:rPr>
          <w:rFonts w:eastAsia="Arial Unicode MS"/>
          <w:szCs w:val="22"/>
          <w:lang w:eastAsia="en-US"/>
        </w:rPr>
        <w:t xml:space="preserve">. </w:t>
      </w:r>
      <w:r w:rsidR="006E0991" w:rsidRPr="008A0946">
        <w:rPr>
          <w:rFonts w:eastAsia="Arial Unicode MS"/>
          <w:szCs w:val="22"/>
          <w:lang w:eastAsia="en-US"/>
        </w:rPr>
        <w:t xml:space="preserve">Varje köp skulle </w:t>
      </w:r>
      <w:r w:rsidRPr="008A0946">
        <w:rPr>
          <w:rFonts w:eastAsia="Arial Unicode MS"/>
          <w:szCs w:val="22"/>
          <w:lang w:eastAsia="en-US"/>
        </w:rPr>
        <w:t>vara förenat med en låg avgift och inkomsten skulle användas till fattigdomsbekämpning. Li</w:t>
      </w:r>
      <w:r w:rsidRPr="008A0946">
        <w:rPr>
          <w:rFonts w:eastAsia="Arial Unicode MS"/>
          <w:szCs w:val="22"/>
          <w:lang w:eastAsia="en-US"/>
        </w:rPr>
        <w:t>k</w:t>
      </w:r>
      <w:r w:rsidRPr="008A0946">
        <w:rPr>
          <w:rFonts w:eastAsia="Arial Unicode MS"/>
          <w:szCs w:val="22"/>
          <w:lang w:eastAsia="en-US"/>
        </w:rPr>
        <w:t>nande lösningar finns redan där kunden kan välja at</w:t>
      </w:r>
      <w:r w:rsidR="006E0991" w:rsidRPr="008A0946">
        <w:rPr>
          <w:rFonts w:eastAsia="Arial Unicode MS"/>
          <w:szCs w:val="22"/>
          <w:lang w:eastAsia="en-US"/>
        </w:rPr>
        <w:t>t stödja sitt favoritlag i till exempel</w:t>
      </w:r>
      <w:r w:rsidRPr="008A0946">
        <w:rPr>
          <w:rFonts w:eastAsia="Arial Unicode MS"/>
          <w:szCs w:val="22"/>
          <w:lang w:eastAsia="en-US"/>
        </w:rPr>
        <w:t xml:space="preserve"> fotboll.</w:t>
      </w:r>
    </w:p>
    <w:p w:rsidR="00803215"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Internationell beskattning av transnationella företag</w:t>
      </w:r>
      <w:r w:rsidR="00680535" w:rsidRPr="008A0946">
        <w:rPr>
          <w:rFonts w:eastAsia="Arial Unicode MS"/>
          <w:szCs w:val="22"/>
          <w:lang w:eastAsia="en-US"/>
        </w:rPr>
        <w:t xml:space="preserve">. </w:t>
      </w:r>
      <w:r w:rsidR="006E0991" w:rsidRPr="008A0946">
        <w:rPr>
          <w:rFonts w:eastAsia="Arial Unicode MS"/>
          <w:szCs w:val="22"/>
          <w:lang w:eastAsia="en-US"/>
        </w:rPr>
        <w:t>M</w:t>
      </w:r>
      <w:r w:rsidRPr="008A0946">
        <w:rPr>
          <w:rFonts w:eastAsia="Arial Unicode MS"/>
          <w:szCs w:val="22"/>
          <w:lang w:eastAsia="en-US"/>
        </w:rPr>
        <w:t xml:space="preserve">ånga företag undgår idag </w:t>
      </w:r>
      <w:r w:rsidR="00254532" w:rsidRPr="008A0946">
        <w:rPr>
          <w:rFonts w:eastAsia="Arial Unicode MS"/>
          <w:szCs w:val="22"/>
          <w:lang w:eastAsia="en-US"/>
        </w:rPr>
        <w:t xml:space="preserve">genom bokföringsakrobatik </w:t>
      </w:r>
      <w:r w:rsidRPr="008A0946">
        <w:rPr>
          <w:rFonts w:eastAsia="Arial Unicode MS"/>
          <w:szCs w:val="22"/>
          <w:lang w:eastAsia="en-US"/>
        </w:rPr>
        <w:t>helt eller delvis s</w:t>
      </w:r>
      <w:r w:rsidR="00254532" w:rsidRPr="008A0946">
        <w:rPr>
          <w:rFonts w:eastAsia="Arial Unicode MS"/>
          <w:szCs w:val="22"/>
          <w:lang w:eastAsia="en-US"/>
        </w:rPr>
        <w:t>katter</w:t>
      </w:r>
      <w:r w:rsidR="007D790A" w:rsidRPr="008A0946">
        <w:rPr>
          <w:rFonts w:eastAsia="Arial Unicode MS"/>
          <w:szCs w:val="22"/>
          <w:lang w:eastAsia="en-US"/>
        </w:rPr>
        <w:t xml:space="preserve"> och framför allt är de olika nationella reglerna en orsak till att stora företag letar upp fattiga länder med svag lagstiftning för sin etablering. Global beskattning skulle leda till viss utjämning.</w:t>
      </w:r>
    </w:p>
    <w:p w:rsidR="00092C2A"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Beskattning av skatteparadis eller banksekretess</w:t>
      </w:r>
      <w:r w:rsidR="00680535" w:rsidRPr="008A0946">
        <w:rPr>
          <w:rFonts w:eastAsia="Arial Unicode MS"/>
          <w:szCs w:val="22"/>
          <w:lang w:eastAsia="en-US"/>
        </w:rPr>
        <w:t xml:space="preserve">. </w:t>
      </w:r>
      <w:r w:rsidR="006E0991" w:rsidRPr="008A0946">
        <w:rPr>
          <w:rFonts w:eastAsia="Arial Unicode MS"/>
          <w:szCs w:val="22"/>
          <w:lang w:eastAsia="en-US"/>
        </w:rPr>
        <w:t>G</w:t>
      </w:r>
      <w:r w:rsidRPr="008A0946">
        <w:rPr>
          <w:rFonts w:eastAsia="Arial Unicode MS"/>
          <w:szCs w:val="22"/>
          <w:lang w:eastAsia="en-US"/>
        </w:rPr>
        <w:t>enom en sådan skatt skulle man eventuellt kunna komma åt problematiken med skattesmi</w:t>
      </w:r>
      <w:r w:rsidRPr="008A0946">
        <w:rPr>
          <w:rFonts w:eastAsia="Arial Unicode MS"/>
          <w:szCs w:val="22"/>
          <w:lang w:eastAsia="en-US"/>
        </w:rPr>
        <w:t>t</w:t>
      </w:r>
      <w:r w:rsidRPr="008A0946">
        <w:rPr>
          <w:rFonts w:eastAsia="Arial Unicode MS"/>
          <w:szCs w:val="22"/>
          <w:lang w:eastAsia="en-US"/>
        </w:rPr>
        <w:t>ning.</w:t>
      </w:r>
      <w:r w:rsidR="00092C2A" w:rsidRPr="008A0946">
        <w:rPr>
          <w:rFonts w:eastAsia="Arial Unicode MS"/>
          <w:szCs w:val="22"/>
          <w:lang w:eastAsia="en-US"/>
        </w:rPr>
        <w:t xml:space="preserve"> </w:t>
      </w:r>
    </w:p>
    <w:p w:rsidR="00092C2A"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Skatt på Internethandel</w:t>
      </w:r>
      <w:r w:rsidR="00680535" w:rsidRPr="008A0946">
        <w:rPr>
          <w:rFonts w:eastAsia="Arial Unicode MS"/>
          <w:szCs w:val="22"/>
          <w:lang w:eastAsia="en-US"/>
        </w:rPr>
        <w:t xml:space="preserve">. </w:t>
      </w:r>
      <w:r w:rsidRPr="008A0946">
        <w:rPr>
          <w:rFonts w:eastAsia="Arial Unicode MS"/>
          <w:szCs w:val="22"/>
          <w:lang w:eastAsia="en-US"/>
        </w:rPr>
        <w:t>Internethandeln växer snabbt och en skatt skulle kunna generera betydande inkomster.</w:t>
      </w:r>
      <w:r w:rsidR="00092C2A" w:rsidRPr="008A0946">
        <w:rPr>
          <w:rFonts w:eastAsia="Arial Unicode MS"/>
          <w:szCs w:val="22"/>
          <w:lang w:eastAsia="en-US"/>
        </w:rPr>
        <w:t xml:space="preserve"> </w:t>
      </w:r>
    </w:p>
    <w:p w:rsidR="00092C2A" w:rsidRPr="008A0946" w:rsidRDefault="00803215" w:rsidP="00680535">
      <w:pPr>
        <w:pStyle w:val="PunktlistaNummer"/>
        <w:spacing w:before="0"/>
        <w:ind w:left="360" w:hanging="360"/>
        <w:rPr>
          <w:rFonts w:eastAsia="Arial Unicode MS"/>
          <w:szCs w:val="22"/>
          <w:lang w:eastAsia="en-US"/>
        </w:rPr>
      </w:pPr>
      <w:r w:rsidRPr="008A0946">
        <w:rPr>
          <w:rFonts w:eastAsia="Arial Unicode MS"/>
          <w:i/>
          <w:szCs w:val="22"/>
          <w:lang w:eastAsia="en-US"/>
        </w:rPr>
        <w:t>Skatt på lyxkonsumtion</w:t>
      </w:r>
      <w:r w:rsidR="00680535" w:rsidRPr="008A0946">
        <w:rPr>
          <w:rFonts w:eastAsia="Arial Unicode MS"/>
          <w:szCs w:val="22"/>
          <w:lang w:eastAsia="en-US"/>
        </w:rPr>
        <w:t xml:space="preserve">. </w:t>
      </w:r>
      <w:r w:rsidR="006E0991" w:rsidRPr="008A0946">
        <w:rPr>
          <w:rFonts w:eastAsia="Arial Unicode MS"/>
          <w:szCs w:val="22"/>
          <w:lang w:eastAsia="en-US"/>
        </w:rPr>
        <w:t>En s</w:t>
      </w:r>
      <w:r w:rsidRPr="008A0946">
        <w:rPr>
          <w:rFonts w:eastAsia="Arial Unicode MS"/>
          <w:szCs w:val="22"/>
          <w:lang w:eastAsia="en-US"/>
        </w:rPr>
        <w:t>peciell avgift på ett antal utvalda varor som förknippas med lyxkonsumtion</w:t>
      </w:r>
      <w:r w:rsidR="006E0991" w:rsidRPr="008A0946">
        <w:rPr>
          <w:rFonts w:eastAsia="Arial Unicode MS"/>
          <w:szCs w:val="22"/>
          <w:lang w:eastAsia="en-US"/>
        </w:rPr>
        <w:t>, exempelvis alkohol, tobak och parfym</w:t>
      </w:r>
      <w:r w:rsidRPr="008A0946">
        <w:rPr>
          <w:rFonts w:eastAsia="Arial Unicode MS"/>
          <w:szCs w:val="22"/>
          <w:lang w:eastAsia="en-US"/>
        </w:rPr>
        <w:t>.</w:t>
      </w:r>
      <w:r w:rsidR="00092C2A" w:rsidRPr="008A0946">
        <w:rPr>
          <w:rFonts w:eastAsia="Arial Unicode MS"/>
          <w:szCs w:val="22"/>
          <w:lang w:eastAsia="en-US"/>
        </w:rPr>
        <w:t xml:space="preserve"> </w:t>
      </w:r>
    </w:p>
    <w:p w:rsidR="00092C2A" w:rsidRPr="008A0946" w:rsidRDefault="00803215" w:rsidP="00680535">
      <w:pPr>
        <w:pStyle w:val="PunktlistaNummer"/>
        <w:spacing w:before="0"/>
        <w:ind w:left="360" w:hanging="360"/>
        <w:rPr>
          <w:rFonts w:eastAsia="Arial Unicode MS"/>
          <w:szCs w:val="22"/>
          <w:lang w:eastAsia="en-US"/>
        </w:rPr>
      </w:pPr>
      <w:r w:rsidRPr="008A0946">
        <w:rPr>
          <w:rFonts w:eastAsia="Arial Unicode MS"/>
          <w:i/>
          <w:lang w:eastAsia="en-US"/>
        </w:rPr>
        <w:t>Avgift på utnyttjande av de</w:t>
      </w:r>
      <w:r w:rsidR="00680535" w:rsidRPr="008A0946">
        <w:rPr>
          <w:rFonts w:eastAsia="Arial Unicode MS"/>
          <w:i/>
          <w:lang w:eastAsia="en-US"/>
        </w:rPr>
        <w:t>n yttre atmosfären</w:t>
      </w:r>
      <w:r w:rsidR="00680535" w:rsidRPr="008A0946">
        <w:rPr>
          <w:rFonts w:eastAsia="Arial Unicode MS"/>
          <w:lang w:eastAsia="en-US"/>
        </w:rPr>
        <w:t xml:space="preserve">. </w:t>
      </w:r>
      <w:r w:rsidR="006E0991" w:rsidRPr="008A0946">
        <w:rPr>
          <w:rFonts w:eastAsia="Arial Unicode MS"/>
          <w:lang w:eastAsia="en-US"/>
        </w:rPr>
        <w:t>J</w:t>
      </w:r>
      <w:r w:rsidRPr="008A0946">
        <w:rPr>
          <w:rFonts w:eastAsia="Arial Unicode MS"/>
          <w:lang w:eastAsia="en-US"/>
        </w:rPr>
        <w:t>ordens yttre atmosfär ses som en allmän nyttighet. Idag finns det ett betydande antal kommersiella satelliter i omlopp och utrymmet är inte obegränsat</w:t>
      </w:r>
      <w:r w:rsidR="006F0F39" w:rsidRPr="008A0946">
        <w:rPr>
          <w:rFonts w:eastAsia="Arial Unicode MS"/>
          <w:lang w:eastAsia="en-US"/>
        </w:rPr>
        <w:t>. E</w:t>
      </w:r>
      <w:r w:rsidRPr="008A0946">
        <w:rPr>
          <w:rFonts w:eastAsia="Arial Unicode MS"/>
          <w:lang w:eastAsia="en-US"/>
        </w:rPr>
        <w:t>n avgift skulle inte vara obefogad.</w:t>
      </w:r>
      <w:r w:rsidR="00092C2A" w:rsidRPr="008A0946">
        <w:rPr>
          <w:rFonts w:eastAsia="Arial Unicode MS"/>
          <w:szCs w:val="22"/>
          <w:lang w:eastAsia="en-US"/>
        </w:rPr>
        <w:t xml:space="preserve"> </w:t>
      </w:r>
    </w:p>
    <w:p w:rsidR="00803215" w:rsidRPr="008A0946" w:rsidRDefault="00803215" w:rsidP="00680535">
      <w:r w:rsidRPr="008A0946">
        <w:t xml:space="preserve">Grundprincipen är att de som tjänar mest på den </w:t>
      </w:r>
      <w:r w:rsidR="00E84BB1" w:rsidRPr="008A0946">
        <w:t>ekonomiska globaliseringen ska</w:t>
      </w:r>
      <w:r w:rsidRPr="008A0946">
        <w:t xml:space="preserve"> dela med sig till dem som inte fått ta del av dess fördelar</w:t>
      </w:r>
      <w:r w:rsidR="00E84BB1" w:rsidRPr="008A0946">
        <w:t xml:space="preserve"> och att uppbö</w:t>
      </w:r>
      <w:r w:rsidR="00E84BB1" w:rsidRPr="008A0946">
        <w:t>r</w:t>
      </w:r>
      <w:r w:rsidR="00E84BB1" w:rsidRPr="008A0946">
        <w:t>den ska</w:t>
      </w:r>
      <w:r w:rsidRPr="008A0946">
        <w:t xml:space="preserve"> administreras av nati</w:t>
      </w:r>
      <w:r w:rsidR="006E0991" w:rsidRPr="008A0946">
        <w:t>onella organ i samverkan med FN-</w:t>
      </w:r>
      <w:r w:rsidRPr="008A0946">
        <w:t xml:space="preserve">systemet. </w:t>
      </w:r>
      <w:r w:rsidR="00254532" w:rsidRPr="008A0946">
        <w:t>Lämpligen handhas den</w:t>
      </w:r>
      <w:r w:rsidRPr="008A0946">
        <w:t xml:space="preserve"> vidare </w:t>
      </w:r>
      <w:r w:rsidR="00254532" w:rsidRPr="008A0946">
        <w:t xml:space="preserve">användningen </w:t>
      </w:r>
      <w:r w:rsidRPr="008A0946">
        <w:t>av de insamlade medlen också av FN.</w:t>
      </w:r>
      <w:r w:rsidR="007D790A" w:rsidRPr="008A0946">
        <w:t xml:space="preserve"> Detaljutformningen av dessa uppslag återstår, men </w:t>
      </w:r>
      <w:r w:rsidR="009C253A" w:rsidRPr="008A0946">
        <w:t>behovet av geme</w:t>
      </w:r>
      <w:r w:rsidR="009C253A" w:rsidRPr="008A0946">
        <w:t>n</w:t>
      </w:r>
      <w:r w:rsidR="009C253A" w:rsidRPr="008A0946">
        <w:t>samma tag och en ökad gemensam finansiering kvarstår.</w:t>
      </w:r>
    </w:p>
    <w:p w:rsidR="00803215" w:rsidRPr="008A0946" w:rsidRDefault="00803215" w:rsidP="00BF3429">
      <w:pPr>
        <w:pStyle w:val="Normaltindrag"/>
        <w:rPr>
          <w:lang w:eastAsia="en-US"/>
        </w:rPr>
      </w:pPr>
      <w:r w:rsidRPr="008A0946">
        <w:rPr>
          <w:lang w:eastAsia="en-US"/>
        </w:rPr>
        <w:t xml:space="preserve">Den </w:t>
      </w:r>
      <w:r w:rsidR="006E0991" w:rsidRPr="008A0946">
        <w:rPr>
          <w:lang w:eastAsia="en-US"/>
        </w:rPr>
        <w:t>vanligaste invändningen mot framför allt</w:t>
      </w:r>
      <w:r w:rsidRPr="008A0946">
        <w:rPr>
          <w:lang w:eastAsia="en-US"/>
        </w:rPr>
        <w:t xml:space="preserve"> skatt på valutatransaktioner är att den är tekniskt omöjlig om inte alla ansluter sig</w:t>
      </w:r>
      <w:r w:rsidR="00254532" w:rsidRPr="008A0946">
        <w:rPr>
          <w:lang w:eastAsia="en-US"/>
        </w:rPr>
        <w:t xml:space="preserve"> samtidigt</w:t>
      </w:r>
      <w:r w:rsidRPr="008A0946">
        <w:rPr>
          <w:lang w:eastAsia="en-US"/>
        </w:rPr>
        <w:t>. Detta har av prof</w:t>
      </w:r>
      <w:r w:rsidR="006E0991" w:rsidRPr="008A0946">
        <w:rPr>
          <w:lang w:eastAsia="en-US"/>
        </w:rPr>
        <w:t>essor</w:t>
      </w:r>
      <w:r w:rsidRPr="008A0946">
        <w:rPr>
          <w:lang w:eastAsia="en-US"/>
        </w:rPr>
        <w:t xml:space="preserve"> Pantomäki i Helsingfors </w:t>
      </w:r>
      <w:r w:rsidR="006E0991" w:rsidRPr="008A0946">
        <w:rPr>
          <w:lang w:eastAsia="en-US"/>
        </w:rPr>
        <w:t>bevisats vara felaktigt</w:t>
      </w:r>
      <w:r w:rsidR="009C253A" w:rsidRPr="008A0946">
        <w:rPr>
          <w:lang w:eastAsia="en-US"/>
        </w:rPr>
        <w:t>. G</w:t>
      </w:r>
      <w:r w:rsidRPr="008A0946">
        <w:rPr>
          <w:lang w:eastAsia="en-US"/>
        </w:rPr>
        <w:t xml:space="preserve">ruppen kring Chirac och Lula har </w:t>
      </w:r>
      <w:r w:rsidR="009C253A" w:rsidRPr="008A0946">
        <w:rPr>
          <w:lang w:eastAsia="en-US"/>
        </w:rPr>
        <w:t xml:space="preserve">dessutom </w:t>
      </w:r>
      <w:r w:rsidRPr="008A0946">
        <w:rPr>
          <w:lang w:eastAsia="en-US"/>
        </w:rPr>
        <w:t>växt – Chiles president Ricard Lagos och Sp</w:t>
      </w:r>
      <w:r w:rsidRPr="008A0946">
        <w:rPr>
          <w:lang w:eastAsia="en-US"/>
        </w:rPr>
        <w:t>a</w:t>
      </w:r>
      <w:r w:rsidRPr="008A0946">
        <w:rPr>
          <w:lang w:eastAsia="en-US"/>
        </w:rPr>
        <w:t xml:space="preserve">niens premiärminister Zapatero hör till dem som ställt sig bakom tanken om globala skatter. Den tyske förbundskanslern Gerhard Schröder öppnade sig i ett uttalande vid </w:t>
      </w:r>
      <w:r w:rsidRPr="008A0946">
        <w:rPr>
          <w:i/>
          <w:lang w:eastAsia="en-US"/>
        </w:rPr>
        <w:t>World Economic Forum</w:t>
      </w:r>
      <w:r w:rsidRPr="008A0946">
        <w:rPr>
          <w:lang w:eastAsia="en-US"/>
        </w:rPr>
        <w:t xml:space="preserve"> i</w:t>
      </w:r>
      <w:r w:rsidR="006E0991" w:rsidRPr="008A0946">
        <w:rPr>
          <w:lang w:eastAsia="en-US"/>
        </w:rPr>
        <w:t xml:space="preserve"> Davos i januari för dessa tanka</w:t>
      </w:r>
      <w:r w:rsidRPr="008A0946">
        <w:rPr>
          <w:lang w:eastAsia="en-US"/>
        </w:rPr>
        <w:t>r</w:t>
      </w:r>
      <w:r w:rsidR="00254532" w:rsidRPr="008A0946">
        <w:rPr>
          <w:lang w:eastAsia="en-US"/>
        </w:rPr>
        <w:t>.</w:t>
      </w:r>
      <w:r w:rsidR="006E0991" w:rsidRPr="008A0946">
        <w:rPr>
          <w:rStyle w:val="Fotnotsreferens"/>
          <w:sz w:val="20"/>
          <w:lang w:eastAsia="en-US"/>
        </w:rPr>
        <w:footnoteReference w:id="12"/>
      </w:r>
      <w:r w:rsidRPr="008A0946">
        <w:rPr>
          <w:sz w:val="20"/>
          <w:lang w:eastAsia="en-US"/>
        </w:rPr>
        <w:t xml:space="preserve"> </w:t>
      </w:r>
      <w:r w:rsidRPr="008A0946">
        <w:rPr>
          <w:lang w:eastAsia="en-US"/>
        </w:rPr>
        <w:t xml:space="preserve">Vidare beslöt Belgien förra året – som första land i Europa – </w:t>
      </w:r>
      <w:r w:rsidR="006E0991" w:rsidRPr="008A0946">
        <w:rPr>
          <w:lang w:eastAsia="en-US"/>
        </w:rPr>
        <w:t xml:space="preserve">om </w:t>
      </w:r>
      <w:r w:rsidRPr="008A0946">
        <w:rPr>
          <w:lang w:eastAsia="en-US"/>
        </w:rPr>
        <w:t>en lag om införande av en skatt på valutatra</w:t>
      </w:r>
      <w:r w:rsidR="006E0991" w:rsidRPr="008A0946">
        <w:rPr>
          <w:lang w:eastAsia="en-US"/>
        </w:rPr>
        <w:t>nsaktioner som bygger på det så kallade</w:t>
      </w:r>
      <w:r w:rsidRPr="008A0946">
        <w:rPr>
          <w:lang w:eastAsia="en-US"/>
        </w:rPr>
        <w:t xml:space="preserve"> Spahn-förslaget</w:t>
      </w:r>
      <w:r w:rsidR="00254532" w:rsidRPr="008A0946">
        <w:rPr>
          <w:lang w:eastAsia="en-US"/>
        </w:rPr>
        <w:t>.</w:t>
      </w:r>
      <w:r w:rsidR="006E0991" w:rsidRPr="008A0946">
        <w:rPr>
          <w:rStyle w:val="Fotnotsreferens"/>
          <w:sz w:val="20"/>
          <w:lang w:eastAsia="en-US"/>
        </w:rPr>
        <w:footnoteReference w:id="13"/>
      </w:r>
      <w:r w:rsidRPr="008A0946">
        <w:rPr>
          <w:lang w:eastAsia="en-US"/>
        </w:rPr>
        <w:t xml:space="preserve"> Belgiens initiativ visar att skatten är praktiskt impleme</w:t>
      </w:r>
      <w:r w:rsidRPr="008A0946">
        <w:rPr>
          <w:lang w:eastAsia="en-US"/>
        </w:rPr>
        <w:t>n</w:t>
      </w:r>
      <w:r w:rsidRPr="008A0946">
        <w:rPr>
          <w:lang w:eastAsia="en-US"/>
        </w:rPr>
        <w:t>terbar och man emotser nu stöd från fler länder i form av lik</w:t>
      </w:r>
      <w:r w:rsidR="00BF3429" w:rsidRPr="008A0946">
        <w:rPr>
          <w:lang w:eastAsia="en-US"/>
        </w:rPr>
        <w:t>n</w:t>
      </w:r>
      <w:r w:rsidRPr="008A0946">
        <w:rPr>
          <w:lang w:eastAsia="en-US"/>
        </w:rPr>
        <w:t>ande utfästelser att ansluta sig, däribland</w:t>
      </w:r>
      <w:r w:rsidR="009C5C9E" w:rsidRPr="008A0946">
        <w:rPr>
          <w:lang w:eastAsia="en-US"/>
        </w:rPr>
        <w:t xml:space="preserve"> </w:t>
      </w:r>
      <w:r w:rsidRPr="008A0946">
        <w:rPr>
          <w:lang w:eastAsia="en-US"/>
        </w:rPr>
        <w:t>Sverige. Fler europeiska länder har sedan tagit li</w:t>
      </w:r>
      <w:r w:rsidRPr="008A0946">
        <w:rPr>
          <w:lang w:eastAsia="en-US"/>
        </w:rPr>
        <w:t>k</w:t>
      </w:r>
      <w:r w:rsidRPr="008A0946">
        <w:rPr>
          <w:lang w:eastAsia="en-US"/>
        </w:rPr>
        <w:t>nande beslut.</w:t>
      </w:r>
    </w:p>
    <w:p w:rsidR="00803215" w:rsidRPr="008A0946" w:rsidRDefault="00803215" w:rsidP="00BF3429">
      <w:pPr>
        <w:pStyle w:val="Normaltindrag"/>
        <w:rPr>
          <w:lang w:eastAsia="en-US"/>
        </w:rPr>
      </w:pPr>
      <w:r w:rsidRPr="008A0946">
        <w:rPr>
          <w:lang w:eastAsia="en-US"/>
        </w:rPr>
        <w:t xml:space="preserve">Mest anmärkningsvärt är kanske att även institutioner som IMF </w:t>
      </w:r>
      <w:r w:rsidR="00254532" w:rsidRPr="008A0946">
        <w:rPr>
          <w:lang w:eastAsia="en-US"/>
        </w:rPr>
        <w:t>och Världsbanken har börjat arbeta med</w:t>
      </w:r>
      <w:r w:rsidRPr="008A0946">
        <w:rPr>
          <w:lang w:eastAsia="en-US"/>
        </w:rPr>
        <w:t xml:space="preserve"> dessa frågor. Vid ett gemensamt möte i våras arbetade representanter från de båda institutionerna fram en skrift i vilken man utvecklar sin syn på ol</w:t>
      </w:r>
      <w:r w:rsidR="00254532" w:rsidRPr="008A0946">
        <w:rPr>
          <w:lang w:eastAsia="en-US"/>
        </w:rPr>
        <w:t>ika finansieringslösningar för m</w:t>
      </w:r>
      <w:r w:rsidRPr="008A0946">
        <w:rPr>
          <w:lang w:eastAsia="en-US"/>
        </w:rPr>
        <w:t>ille</w:t>
      </w:r>
      <w:r w:rsidR="00E84BB1" w:rsidRPr="008A0946">
        <w:rPr>
          <w:lang w:eastAsia="en-US"/>
        </w:rPr>
        <w:t>n</w:t>
      </w:r>
      <w:r w:rsidRPr="008A0946">
        <w:rPr>
          <w:lang w:eastAsia="en-US"/>
        </w:rPr>
        <w:t>niem</w:t>
      </w:r>
      <w:r w:rsidRPr="008A0946">
        <w:rPr>
          <w:lang w:eastAsia="en-US"/>
        </w:rPr>
        <w:t>å</w:t>
      </w:r>
      <w:r w:rsidRPr="008A0946">
        <w:rPr>
          <w:lang w:eastAsia="en-US"/>
        </w:rPr>
        <w:t>len, bland dem globala skatter</w:t>
      </w:r>
      <w:r w:rsidR="006E0991" w:rsidRPr="008A0946">
        <w:rPr>
          <w:lang w:eastAsia="en-US"/>
        </w:rPr>
        <w:t>.</w:t>
      </w:r>
      <w:r w:rsidR="006E0991" w:rsidRPr="008A0946">
        <w:rPr>
          <w:rStyle w:val="Fotnotsreferens"/>
          <w:lang w:eastAsia="en-US"/>
        </w:rPr>
        <w:footnoteReference w:id="14"/>
      </w:r>
      <w:r w:rsidR="00254532" w:rsidRPr="008A0946">
        <w:rPr>
          <w:lang w:eastAsia="en-US"/>
        </w:rPr>
        <w:t xml:space="preserve"> </w:t>
      </w:r>
      <w:r w:rsidR="00757D5B" w:rsidRPr="008A0946">
        <w:rPr>
          <w:lang w:eastAsia="en-US"/>
        </w:rPr>
        <w:t>Ett verkligt genomslag innebär också de skrivningar om alternativa finansieringsformer som finns i deklarationen fr</w:t>
      </w:r>
      <w:r w:rsidR="00337DDF" w:rsidRPr="008A0946">
        <w:rPr>
          <w:lang w:eastAsia="en-US"/>
        </w:rPr>
        <w:t>ån FN:s toppmöte i september 2005</w:t>
      </w:r>
      <w:r w:rsidR="00757D5B" w:rsidRPr="008A0946">
        <w:rPr>
          <w:lang w:eastAsia="en-US"/>
        </w:rPr>
        <w:t>.</w:t>
      </w:r>
    </w:p>
    <w:p w:rsidR="00803215" w:rsidRPr="008A0946" w:rsidRDefault="00254532" w:rsidP="00BF3429">
      <w:pPr>
        <w:pStyle w:val="Normaltindrag"/>
        <w:rPr>
          <w:lang w:eastAsia="en-US"/>
        </w:rPr>
      </w:pPr>
      <w:r w:rsidRPr="008A0946">
        <w:rPr>
          <w:lang w:eastAsia="en-US"/>
        </w:rPr>
        <w:t>Vid FN-</w:t>
      </w:r>
      <w:r w:rsidR="00803215" w:rsidRPr="008A0946">
        <w:rPr>
          <w:lang w:eastAsia="en-US"/>
        </w:rPr>
        <w:t>toppmötet i Johannesburg 2002 tillsattes en arbetsgrupp vars up</w:t>
      </w:r>
      <w:r w:rsidR="00803215" w:rsidRPr="008A0946">
        <w:rPr>
          <w:lang w:eastAsia="en-US"/>
        </w:rPr>
        <w:t>p</w:t>
      </w:r>
      <w:r w:rsidR="00803215" w:rsidRPr="008A0946">
        <w:rPr>
          <w:lang w:eastAsia="en-US"/>
        </w:rPr>
        <w:t>gift är att titta på hur globala gemensamma nyttigheter bäst ska komma oss alla till del. Bland de finansieringsmodeller som gruppen tittar på finns idéer kring globala skatter. Resultatet av</w:t>
      </w:r>
      <w:r w:rsidRPr="008A0946">
        <w:rPr>
          <w:lang w:eastAsia="en-US"/>
        </w:rPr>
        <w:t xml:space="preserve"> gruppens arbete presenteras i </w:t>
      </w:r>
      <w:r w:rsidR="00803215" w:rsidRPr="008A0946">
        <w:rPr>
          <w:lang w:eastAsia="en-US"/>
        </w:rPr>
        <w:t>en rapport vid årsskiftet. Vid den Interparlamentariska Unionens årliga möte i Manila 2005</w:t>
      </w:r>
      <w:r w:rsidRPr="008A0946">
        <w:rPr>
          <w:lang w:eastAsia="en-US"/>
        </w:rPr>
        <w:t>,</w:t>
      </w:r>
      <w:r w:rsidR="00803215" w:rsidRPr="008A0946">
        <w:rPr>
          <w:lang w:eastAsia="en-US"/>
        </w:rPr>
        <w:t xml:space="preserve"> med parlamentariker från jordens alla länder, </w:t>
      </w:r>
      <w:r w:rsidR="00680535" w:rsidRPr="008A0946">
        <w:rPr>
          <w:lang w:eastAsia="en-US"/>
        </w:rPr>
        <w:t>an</w:t>
      </w:r>
      <w:r w:rsidR="00803215" w:rsidRPr="008A0946">
        <w:rPr>
          <w:lang w:eastAsia="en-US"/>
        </w:rPr>
        <w:t>togs ett konsensusd</w:t>
      </w:r>
      <w:r w:rsidR="00803215" w:rsidRPr="008A0946">
        <w:rPr>
          <w:lang w:eastAsia="en-US"/>
        </w:rPr>
        <w:t>o</w:t>
      </w:r>
      <w:r w:rsidR="00803215" w:rsidRPr="008A0946">
        <w:rPr>
          <w:lang w:eastAsia="en-US"/>
        </w:rPr>
        <w:t>kument om behovet att snabbt utreda alternativa former för finansiering av millenniemålen. En seriös och förbehållslös utredning även här, som belyser för- oc</w:t>
      </w:r>
      <w:r w:rsidR="00680535" w:rsidRPr="008A0946">
        <w:rPr>
          <w:lang w:eastAsia="en-US"/>
        </w:rPr>
        <w:t>h nackdelar och genomförbarhet</w:t>
      </w:r>
      <w:r w:rsidRPr="008A0946">
        <w:rPr>
          <w:lang w:eastAsia="en-US"/>
        </w:rPr>
        <w:t>,</w:t>
      </w:r>
      <w:r w:rsidR="00803215" w:rsidRPr="008A0946">
        <w:rPr>
          <w:lang w:eastAsia="en-US"/>
        </w:rPr>
        <w:t xml:space="preserve"> är ett rimligt tillvägagångssätt i detta läge. </w:t>
      </w:r>
      <w:r w:rsidR="00E84BB1" w:rsidRPr="008A0946">
        <w:rPr>
          <w:lang w:eastAsia="en-US"/>
        </w:rPr>
        <w:t>Förutsättningen ska</w:t>
      </w:r>
      <w:r w:rsidR="00803215" w:rsidRPr="008A0946">
        <w:rPr>
          <w:lang w:eastAsia="en-US"/>
        </w:rPr>
        <w:t xml:space="preserve"> vara att </w:t>
      </w:r>
      <w:r w:rsidRPr="008A0946">
        <w:rPr>
          <w:lang w:eastAsia="en-US"/>
        </w:rPr>
        <w:t xml:space="preserve">det blir </w:t>
      </w:r>
      <w:r w:rsidR="00803215" w:rsidRPr="008A0946">
        <w:rPr>
          <w:lang w:eastAsia="en-US"/>
        </w:rPr>
        <w:t>nya och reella tillskott utöver de åtaganden som redan gjorts för mille</w:t>
      </w:r>
      <w:r w:rsidR="00E84BB1" w:rsidRPr="008A0946">
        <w:rPr>
          <w:lang w:eastAsia="en-US"/>
        </w:rPr>
        <w:t>n</w:t>
      </w:r>
      <w:r w:rsidR="00803215" w:rsidRPr="008A0946">
        <w:rPr>
          <w:lang w:eastAsia="en-US"/>
        </w:rPr>
        <w:t>niemålen.</w:t>
      </w:r>
    </w:p>
    <w:p w:rsidR="00092C2A" w:rsidRPr="008A0946" w:rsidRDefault="00803215" w:rsidP="00680535">
      <w:pPr>
        <w:pStyle w:val="Normaltindrag"/>
        <w:rPr>
          <w:lang w:eastAsia="en-US"/>
        </w:rPr>
      </w:pPr>
      <w:r w:rsidRPr="008A0946">
        <w:rPr>
          <w:lang w:eastAsia="en-US"/>
        </w:rPr>
        <w:t>Miljöpartiet ser alltså att det internationella opinionsläget även bland b</w:t>
      </w:r>
      <w:r w:rsidRPr="008A0946">
        <w:rPr>
          <w:lang w:eastAsia="en-US"/>
        </w:rPr>
        <w:t>e</w:t>
      </w:r>
      <w:r w:rsidRPr="008A0946">
        <w:rPr>
          <w:lang w:eastAsia="en-US"/>
        </w:rPr>
        <w:t xml:space="preserve">slutsfattare är betydligt mer progressivt och moget än </w:t>
      </w:r>
      <w:r w:rsidR="00E84BB1" w:rsidRPr="008A0946">
        <w:rPr>
          <w:lang w:eastAsia="en-US"/>
        </w:rPr>
        <w:t xml:space="preserve">i vissa </w:t>
      </w:r>
      <w:r w:rsidRPr="008A0946">
        <w:rPr>
          <w:lang w:eastAsia="en-US"/>
        </w:rPr>
        <w:t>politiska sa</w:t>
      </w:r>
      <w:r w:rsidRPr="008A0946">
        <w:rPr>
          <w:lang w:eastAsia="en-US"/>
        </w:rPr>
        <w:t>m</w:t>
      </w:r>
      <w:r w:rsidRPr="008A0946">
        <w:rPr>
          <w:lang w:eastAsia="en-US"/>
        </w:rPr>
        <w:t xml:space="preserve">manhang i Sverige. Samtidigt </w:t>
      </w:r>
      <w:r w:rsidR="00254532" w:rsidRPr="008A0946">
        <w:rPr>
          <w:lang w:eastAsia="en-US"/>
        </w:rPr>
        <w:t>bekymrar sig också alla på ett genuint</w:t>
      </w:r>
      <w:r w:rsidRPr="008A0946">
        <w:rPr>
          <w:lang w:eastAsia="en-US"/>
        </w:rPr>
        <w:t xml:space="preserve"> sätt för hur den globala fattigdoms</w:t>
      </w:r>
      <w:r w:rsidR="00EA03E2" w:rsidRPr="008A0946">
        <w:rPr>
          <w:lang w:eastAsia="en-US"/>
        </w:rPr>
        <w:softHyphen/>
      </w:r>
      <w:r w:rsidRPr="008A0946">
        <w:rPr>
          <w:lang w:eastAsia="en-US"/>
        </w:rPr>
        <w:t>bekäm</w:t>
      </w:r>
      <w:r w:rsidR="00E84BB1" w:rsidRPr="008A0946">
        <w:rPr>
          <w:lang w:eastAsia="en-US"/>
        </w:rPr>
        <w:t>pningen ska ske, då</w:t>
      </w:r>
      <w:r w:rsidRPr="008A0946">
        <w:rPr>
          <w:lang w:eastAsia="en-US"/>
        </w:rPr>
        <w:t xml:space="preserve"> </w:t>
      </w:r>
      <w:r w:rsidR="00254532" w:rsidRPr="008A0946">
        <w:rPr>
          <w:lang w:eastAsia="en-US"/>
        </w:rPr>
        <w:t xml:space="preserve">det kommer att ta tid att införa </w:t>
      </w:r>
      <w:r w:rsidRPr="008A0946">
        <w:rPr>
          <w:lang w:eastAsia="en-US"/>
        </w:rPr>
        <w:t xml:space="preserve">rättvisa handelsregler och </w:t>
      </w:r>
      <w:r w:rsidR="00254532" w:rsidRPr="008A0946">
        <w:rPr>
          <w:lang w:eastAsia="en-US"/>
        </w:rPr>
        <w:t>det inte räcker med bara bistånd</w:t>
      </w:r>
      <w:r w:rsidRPr="008A0946">
        <w:rPr>
          <w:lang w:eastAsia="en-US"/>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0535" w:rsidRPr="008A0946">
        <w:tblPrEx>
          <w:tblCellMar>
            <w:top w:w="0" w:type="dxa"/>
            <w:bottom w:w="0" w:type="dxa"/>
          </w:tblCellMar>
        </w:tblPrEx>
        <w:trPr>
          <w:cantSplit/>
        </w:trPr>
        <w:tc>
          <w:tcPr>
            <w:tcW w:w="3046" w:type="dxa"/>
          </w:tcPr>
          <w:p w:rsidR="00680535" w:rsidRPr="008A0946" w:rsidRDefault="00680535" w:rsidP="00680535">
            <w:pPr>
              <w:pStyle w:val="UnderskriftDatum"/>
              <w:spacing w:before="0"/>
              <w:rPr>
                <w:lang w:eastAsia="en-US"/>
              </w:rPr>
            </w:pPr>
            <w:r w:rsidRPr="008A0946">
              <w:rPr>
                <w:lang w:eastAsia="en-US"/>
              </w:rPr>
              <w:t>Stockholm den 4 oktober 2005</w:t>
            </w:r>
          </w:p>
        </w:tc>
        <w:tc>
          <w:tcPr>
            <w:tcW w:w="3047" w:type="dxa"/>
          </w:tcPr>
          <w:p w:rsidR="00680535" w:rsidRPr="008A0946" w:rsidRDefault="00680535" w:rsidP="00680535">
            <w:pPr>
              <w:pStyle w:val="Underskrifter"/>
              <w:rPr>
                <w:lang w:eastAsia="en-US"/>
              </w:rPr>
            </w:pP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Peter Eriksson (mp)</w:t>
            </w:r>
          </w:p>
        </w:tc>
        <w:tc>
          <w:tcPr>
            <w:tcW w:w="3047" w:type="dxa"/>
          </w:tcPr>
          <w:p w:rsidR="00680535" w:rsidRPr="008A0946" w:rsidRDefault="00680535" w:rsidP="00680535">
            <w:pPr>
              <w:pStyle w:val="Underskrifter"/>
              <w:rPr>
                <w:lang w:eastAsia="en-US"/>
              </w:rPr>
            </w:pP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Maria Wetterstrand (mp)</w:t>
            </w:r>
          </w:p>
        </w:tc>
        <w:tc>
          <w:tcPr>
            <w:tcW w:w="3047" w:type="dxa"/>
          </w:tcPr>
          <w:p w:rsidR="00680535" w:rsidRPr="008A0946" w:rsidRDefault="00680535" w:rsidP="00680535">
            <w:pPr>
              <w:pStyle w:val="Underskrifter"/>
              <w:rPr>
                <w:lang w:eastAsia="en-US"/>
              </w:rPr>
            </w:pPr>
            <w:r w:rsidRPr="008A0946">
              <w:rPr>
                <w:lang w:eastAsia="en-US"/>
              </w:rPr>
              <w:t>Lotta Hedström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Leif Björnlod (mp)</w:t>
            </w:r>
          </w:p>
        </w:tc>
        <w:tc>
          <w:tcPr>
            <w:tcW w:w="3047" w:type="dxa"/>
          </w:tcPr>
          <w:p w:rsidR="00680535" w:rsidRPr="008A0946" w:rsidRDefault="00680535" w:rsidP="00680535">
            <w:pPr>
              <w:pStyle w:val="Underskrifter"/>
              <w:rPr>
                <w:lang w:eastAsia="en-US"/>
              </w:rPr>
            </w:pPr>
            <w:r w:rsidRPr="008A0946">
              <w:rPr>
                <w:lang w:eastAsia="en-US"/>
              </w:rPr>
              <w:t>Åsa Domeij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Barbro Feltzing (mp)</w:t>
            </w:r>
          </w:p>
        </w:tc>
        <w:tc>
          <w:tcPr>
            <w:tcW w:w="3047" w:type="dxa"/>
          </w:tcPr>
          <w:p w:rsidR="00680535" w:rsidRPr="008A0946" w:rsidRDefault="00680535" w:rsidP="00680535">
            <w:pPr>
              <w:pStyle w:val="Underskrifter"/>
              <w:rPr>
                <w:lang w:eastAsia="en-US"/>
              </w:rPr>
            </w:pPr>
            <w:r w:rsidRPr="008A0946">
              <w:rPr>
                <w:lang w:eastAsia="en-US"/>
              </w:rPr>
              <w:t>Gustav Fridolin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Helena Hillar Rosenqvist (mp)</w:t>
            </w:r>
          </w:p>
        </w:tc>
        <w:tc>
          <w:tcPr>
            <w:tcW w:w="3047" w:type="dxa"/>
          </w:tcPr>
          <w:p w:rsidR="00680535" w:rsidRPr="008A0946" w:rsidRDefault="00680535" w:rsidP="00680535">
            <w:pPr>
              <w:pStyle w:val="Underskrifter"/>
              <w:rPr>
                <w:lang w:eastAsia="en-US"/>
              </w:rPr>
            </w:pPr>
            <w:r w:rsidRPr="008A0946">
              <w:rPr>
                <w:lang w:eastAsia="en-US"/>
              </w:rPr>
              <w:t>Ulf Holm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Mikael Johansson (mp)</w:t>
            </w:r>
          </w:p>
        </w:tc>
        <w:tc>
          <w:tcPr>
            <w:tcW w:w="3047" w:type="dxa"/>
          </w:tcPr>
          <w:p w:rsidR="00680535" w:rsidRPr="008A0946" w:rsidRDefault="00680535" w:rsidP="00680535">
            <w:pPr>
              <w:pStyle w:val="Underskrifter"/>
              <w:rPr>
                <w:lang w:eastAsia="en-US"/>
              </w:rPr>
            </w:pPr>
            <w:r w:rsidRPr="008A0946">
              <w:rPr>
                <w:lang w:eastAsia="en-US"/>
              </w:rPr>
              <w:t>Mona Jönsson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Jan Lindholm (mp)</w:t>
            </w:r>
          </w:p>
        </w:tc>
        <w:tc>
          <w:tcPr>
            <w:tcW w:w="3047" w:type="dxa"/>
          </w:tcPr>
          <w:p w:rsidR="00680535" w:rsidRPr="008A0946" w:rsidRDefault="00680535" w:rsidP="00680535">
            <w:pPr>
              <w:pStyle w:val="Underskrifter"/>
              <w:rPr>
                <w:lang w:eastAsia="en-US"/>
              </w:rPr>
            </w:pPr>
            <w:r w:rsidRPr="008A0946">
              <w:rPr>
                <w:lang w:eastAsia="en-US"/>
              </w:rPr>
              <w:t>Claes Roxbergh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Yvonne Ruwaida (mp)</w:t>
            </w:r>
          </w:p>
        </w:tc>
        <w:tc>
          <w:tcPr>
            <w:tcW w:w="3047" w:type="dxa"/>
          </w:tcPr>
          <w:p w:rsidR="00680535" w:rsidRPr="008A0946" w:rsidRDefault="00680535" w:rsidP="00680535">
            <w:pPr>
              <w:pStyle w:val="Underskrifter"/>
              <w:rPr>
                <w:lang w:eastAsia="en-US"/>
              </w:rPr>
            </w:pPr>
            <w:r w:rsidRPr="008A0946">
              <w:rPr>
                <w:lang w:eastAsia="en-US"/>
              </w:rPr>
              <w:t>Ingegerd Saarinen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Karin Svensson Smith (-)</w:t>
            </w:r>
          </w:p>
        </w:tc>
        <w:tc>
          <w:tcPr>
            <w:tcW w:w="3047" w:type="dxa"/>
          </w:tcPr>
          <w:p w:rsidR="00680535" w:rsidRPr="008A0946" w:rsidRDefault="00680535" w:rsidP="00680535">
            <w:pPr>
              <w:pStyle w:val="Underskrifter"/>
              <w:rPr>
                <w:lang w:eastAsia="en-US"/>
              </w:rPr>
            </w:pPr>
            <w:r w:rsidRPr="008A0946">
              <w:rPr>
                <w:lang w:eastAsia="en-US"/>
              </w:rPr>
              <w:t>Mikaela Valtersson (mp)</w:t>
            </w:r>
          </w:p>
        </w:tc>
      </w:tr>
      <w:tr w:rsidR="00680535" w:rsidRPr="008A0946">
        <w:tblPrEx>
          <w:tblCellMar>
            <w:top w:w="0" w:type="dxa"/>
            <w:bottom w:w="0" w:type="dxa"/>
          </w:tblCellMar>
        </w:tblPrEx>
        <w:trPr>
          <w:cantSplit/>
        </w:trPr>
        <w:tc>
          <w:tcPr>
            <w:tcW w:w="3046" w:type="dxa"/>
          </w:tcPr>
          <w:p w:rsidR="00680535" w:rsidRPr="008A0946" w:rsidRDefault="00680535" w:rsidP="00680535">
            <w:pPr>
              <w:pStyle w:val="Underskrifter"/>
              <w:rPr>
                <w:lang w:eastAsia="en-US"/>
              </w:rPr>
            </w:pPr>
            <w:r w:rsidRPr="008A0946">
              <w:rPr>
                <w:lang w:eastAsia="en-US"/>
              </w:rPr>
              <w:t>Lars Ångström (mp)</w:t>
            </w:r>
          </w:p>
        </w:tc>
        <w:tc>
          <w:tcPr>
            <w:tcW w:w="3047" w:type="dxa"/>
          </w:tcPr>
          <w:p w:rsidR="00680535" w:rsidRPr="008A0946" w:rsidRDefault="00680535" w:rsidP="00680535">
            <w:pPr>
              <w:pStyle w:val="Underskrifter"/>
              <w:rPr>
                <w:lang w:eastAsia="en-US"/>
              </w:rPr>
            </w:pPr>
          </w:p>
        </w:tc>
      </w:tr>
    </w:tbl>
    <w:p w:rsidR="00803215" w:rsidRPr="008A0946" w:rsidRDefault="00803215" w:rsidP="00680535">
      <w:pPr>
        <w:pStyle w:val="Normaltindrag"/>
        <w:rPr>
          <w:lang w:eastAsia="en-US"/>
        </w:rPr>
      </w:pPr>
    </w:p>
    <w:sectPr w:rsidR="00803215" w:rsidRPr="008A0946" w:rsidSect="006805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AB7" w:rsidRPr="008A0946" w:rsidRDefault="00A12AB7">
      <w:r w:rsidRPr="008A0946">
        <w:separator/>
      </w:r>
    </w:p>
  </w:endnote>
  <w:endnote w:type="continuationSeparator" w:id="0">
    <w:p w:rsidR="00A12AB7" w:rsidRPr="008A0946" w:rsidRDefault="00A12AB7">
      <w:r w:rsidRPr="008A0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35" w:rsidRPr="008A0946" w:rsidRDefault="008A0946" w:rsidP="00680535">
    <w:pPr>
      <w:pStyle w:val="Sidfot"/>
    </w:pPr>
    <w:r w:rsidRPr="008A0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966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35" w:rsidRDefault="00680535">
                          <w:pPr>
                            <w:pStyle w:val="NormalS5sidnrV"/>
                          </w:pPr>
                          <w:r>
                            <w:fldChar w:fldCharType="begin"/>
                          </w:r>
                          <w:r>
                            <w:instrText xml:space="preserve"> PAGE *\charformat</w:instrText>
                          </w:r>
                          <w:r>
                            <w:fldChar w:fldCharType="separate"/>
                          </w:r>
                          <w:r w:rsidR="00E153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535" w:rsidRDefault="00680535">
                    <w:pPr>
                      <w:pStyle w:val="NormalS5sidnrV"/>
                    </w:pPr>
                    <w:r>
                      <w:fldChar w:fldCharType="begin"/>
                    </w:r>
                    <w:r>
                      <w:instrText xml:space="preserve"> PAGE *\charformat</w:instrText>
                    </w:r>
                    <w:r>
                      <w:fldChar w:fldCharType="separate"/>
                    </w:r>
                    <w:r w:rsidR="00E153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47" w:rsidRPr="008A0946" w:rsidRDefault="008A0946" w:rsidP="00680535">
    <w:pPr>
      <w:pStyle w:val="Sidfot"/>
    </w:pPr>
    <w:r w:rsidRPr="008A0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497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35" w:rsidRDefault="00680535">
                          <w:pPr>
                            <w:pStyle w:val="NormalS5sidnrH"/>
                            <w:ind w:right="0"/>
                          </w:pPr>
                          <w:r>
                            <w:fldChar w:fldCharType="begin"/>
                          </w:r>
                          <w:r>
                            <w:instrText xml:space="preserve"> PAGE *\charformat</w:instrText>
                          </w:r>
                          <w:r>
                            <w:fldChar w:fldCharType="separate"/>
                          </w:r>
                          <w:r w:rsidR="00E1531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535" w:rsidRDefault="00680535">
                    <w:pPr>
                      <w:pStyle w:val="NormalS5sidnrH"/>
                      <w:ind w:right="0"/>
                    </w:pPr>
                    <w:r>
                      <w:fldChar w:fldCharType="begin"/>
                    </w:r>
                    <w:r>
                      <w:instrText xml:space="preserve"> PAGE *\charformat</w:instrText>
                    </w:r>
                    <w:r>
                      <w:fldChar w:fldCharType="separate"/>
                    </w:r>
                    <w:r w:rsidR="00E15319">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47" w:rsidRPr="008A0946" w:rsidRDefault="008A0946" w:rsidP="00680535">
    <w:pPr>
      <w:pStyle w:val="Sidfot"/>
    </w:pPr>
    <w:r w:rsidRPr="008A0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166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35" w:rsidRDefault="00680535">
                          <w:pPr>
                            <w:pStyle w:val="NormalS5sidnrH"/>
                            <w:ind w:right="0"/>
                          </w:pPr>
                          <w:r>
                            <w:fldChar w:fldCharType="begin"/>
                          </w:r>
                          <w:r>
                            <w:instrText xml:space="preserve"> PAGE *\charformat</w:instrText>
                          </w:r>
                          <w:r>
                            <w:fldChar w:fldCharType="separate"/>
                          </w:r>
                          <w:r w:rsidR="00E153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535" w:rsidRDefault="00680535">
                    <w:pPr>
                      <w:pStyle w:val="NormalS5sidnrH"/>
                      <w:ind w:right="0"/>
                    </w:pPr>
                    <w:r>
                      <w:fldChar w:fldCharType="begin"/>
                    </w:r>
                    <w:r>
                      <w:instrText xml:space="preserve"> PAGE *\charformat</w:instrText>
                    </w:r>
                    <w:r>
                      <w:fldChar w:fldCharType="separate"/>
                    </w:r>
                    <w:r w:rsidR="00E153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AB7" w:rsidRPr="008A0946" w:rsidRDefault="00A12AB7" w:rsidP="001A4F18">
      <w:pPr>
        <w:pStyle w:val="Sidfot"/>
      </w:pPr>
    </w:p>
  </w:footnote>
  <w:footnote w:type="continuationSeparator" w:id="0">
    <w:p w:rsidR="00A12AB7" w:rsidRPr="008A0946" w:rsidRDefault="00A12AB7" w:rsidP="001A4F18">
      <w:pPr>
        <w:pStyle w:val="Sidfot"/>
      </w:pPr>
    </w:p>
  </w:footnote>
  <w:footnote w:type="continuationNotice" w:id="1">
    <w:p w:rsidR="00A12AB7" w:rsidRPr="008A0946" w:rsidRDefault="00A12AB7"/>
  </w:footnote>
  <w:footnote w:id="2">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 xml:space="preserve">FN:s </w:t>
      </w:r>
      <w:r w:rsidR="001A4F18" w:rsidRPr="008A0946">
        <w:rPr>
          <w:sz w:val="16"/>
          <w:szCs w:val="16"/>
          <w:lang w:val="sv-SE"/>
        </w:rPr>
        <w:t>millenniedeklaration</w:t>
      </w:r>
      <w:r w:rsidRPr="008A0946">
        <w:rPr>
          <w:sz w:val="16"/>
          <w:szCs w:val="16"/>
          <w:lang w:val="sv-SE"/>
        </w:rPr>
        <w:t>, resolution 55/2</w:t>
      </w:r>
      <w:r w:rsidR="001A4F18" w:rsidRPr="008A0946">
        <w:rPr>
          <w:sz w:val="16"/>
          <w:szCs w:val="16"/>
          <w:lang w:val="sv-SE"/>
        </w:rPr>
        <w:t>.</w:t>
      </w:r>
    </w:p>
  </w:footnote>
  <w:footnote w:id="3">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Eurodad, European Network on Debt and Development</w:t>
      </w:r>
      <w:r w:rsidR="001A4F18" w:rsidRPr="008A0946">
        <w:rPr>
          <w:sz w:val="16"/>
          <w:szCs w:val="16"/>
          <w:lang w:val="sv-SE"/>
        </w:rPr>
        <w:t>,</w:t>
      </w:r>
      <w:r w:rsidRPr="008A0946">
        <w:rPr>
          <w:sz w:val="16"/>
          <w:szCs w:val="16"/>
          <w:lang w:val="sv-SE"/>
        </w:rPr>
        <w:t xml:space="preserve"> www.eurodad.org</w:t>
      </w:r>
      <w:r w:rsidR="00E15319" w:rsidRPr="008A0946">
        <w:rPr>
          <w:sz w:val="16"/>
          <w:szCs w:val="16"/>
          <w:lang w:val="sv-SE"/>
        </w:rPr>
        <w:t>.</w:t>
      </w:r>
    </w:p>
  </w:footnote>
  <w:footnote w:id="4">
    <w:p w:rsidR="00996C47" w:rsidRPr="008A0946" w:rsidRDefault="00996C47" w:rsidP="00680535">
      <w:pPr>
        <w:pStyle w:val="Fotnotstext"/>
        <w:spacing w:before="0"/>
        <w:jc w:val="left"/>
        <w:rPr>
          <w:sz w:val="16"/>
          <w:szCs w:val="16"/>
          <w:lang w:val="sv-SE"/>
        </w:rPr>
      </w:pPr>
      <w:r w:rsidRPr="008A0946">
        <w:rPr>
          <w:rStyle w:val="Fotnotsreferens"/>
          <w:lang w:val="sv-SE"/>
        </w:rPr>
        <w:footnoteRef/>
      </w:r>
      <w:r w:rsidR="001A4F18" w:rsidRPr="008A0946">
        <w:rPr>
          <w:lang w:val="sv-SE"/>
        </w:rPr>
        <w:t xml:space="preserve"> </w:t>
      </w:r>
      <w:r w:rsidR="001A4F18" w:rsidRPr="008A0946">
        <w:rPr>
          <w:sz w:val="16"/>
          <w:szCs w:val="16"/>
          <w:lang w:val="sv-SE"/>
        </w:rPr>
        <w:t>”Debt Relief and Girls’</w:t>
      </w:r>
      <w:r w:rsidR="00680535" w:rsidRPr="008A0946">
        <w:rPr>
          <w:sz w:val="16"/>
          <w:szCs w:val="16"/>
          <w:lang w:val="sv-SE"/>
        </w:rPr>
        <w:t xml:space="preserve"> Education”, http://gbgm</w:t>
      </w:r>
      <w:r w:rsidR="00E15319" w:rsidRPr="008A0946">
        <w:rPr>
          <w:sz w:val="16"/>
          <w:szCs w:val="16"/>
          <w:lang w:val="sv-SE"/>
        </w:rPr>
        <w:t>-</w:t>
      </w:r>
      <w:r w:rsidRPr="008A0946">
        <w:rPr>
          <w:sz w:val="16"/>
          <w:szCs w:val="16"/>
          <w:lang w:val="sv-SE"/>
        </w:rPr>
        <w:t>umc.org/umw/action_girlseduc.</w:t>
      </w:r>
      <w:r w:rsidR="00E15319" w:rsidRPr="008A0946">
        <w:rPr>
          <w:sz w:val="16"/>
          <w:szCs w:val="16"/>
          <w:lang w:val="sv-SE"/>
        </w:rPr>
        <w:br/>
      </w:r>
      <w:r w:rsidRPr="008A0946">
        <w:rPr>
          <w:sz w:val="16"/>
          <w:szCs w:val="16"/>
          <w:lang w:val="sv-SE"/>
        </w:rPr>
        <w:t>html#_edn9#_edn9.</w:t>
      </w:r>
    </w:p>
  </w:footnote>
  <w:footnote w:id="5">
    <w:p w:rsidR="00996C47" w:rsidRPr="008A0946" w:rsidRDefault="00996C47" w:rsidP="00803215">
      <w:pPr>
        <w:pStyle w:val="Fotnotstext"/>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Sista steget i HIPC</w:t>
      </w:r>
      <w:r w:rsidR="001A4F18" w:rsidRPr="008A0946">
        <w:rPr>
          <w:sz w:val="16"/>
          <w:szCs w:val="16"/>
          <w:lang w:val="sv-SE"/>
        </w:rPr>
        <w:t>-</w:t>
      </w:r>
      <w:r w:rsidRPr="008A0946">
        <w:rPr>
          <w:sz w:val="16"/>
          <w:szCs w:val="16"/>
          <w:lang w:val="sv-SE"/>
        </w:rPr>
        <w:t>processen, då en del av ett lands skuld slutligen skrivs av.</w:t>
      </w:r>
    </w:p>
  </w:footnote>
  <w:footnote w:id="6">
    <w:p w:rsidR="00996C47" w:rsidRPr="008A0946" w:rsidRDefault="00996C47" w:rsidP="00680535">
      <w:pPr>
        <w:pStyle w:val="Fotnotstext"/>
        <w:spacing w:before="0"/>
        <w:rPr>
          <w:sz w:val="16"/>
          <w:szCs w:val="16"/>
          <w:lang w:val="sv-SE"/>
        </w:rPr>
      </w:pPr>
      <w:r w:rsidRPr="008A0946">
        <w:rPr>
          <w:rStyle w:val="Fotnotsreferens"/>
          <w:lang w:val="sv-SE"/>
        </w:rPr>
        <w:footnoteRef/>
      </w:r>
      <w:r w:rsidR="001A4F18" w:rsidRPr="008A0946">
        <w:rPr>
          <w:lang w:val="sv-SE"/>
        </w:rPr>
        <w:t xml:space="preserve"> </w:t>
      </w:r>
      <w:r w:rsidR="001A4F18" w:rsidRPr="008A0946">
        <w:rPr>
          <w:sz w:val="16"/>
          <w:szCs w:val="16"/>
          <w:lang w:val="sv-SE"/>
        </w:rPr>
        <w:t>Sachs, Jeffrey D 2005, ”</w:t>
      </w:r>
      <w:r w:rsidRPr="008A0946">
        <w:rPr>
          <w:sz w:val="16"/>
          <w:szCs w:val="16"/>
          <w:lang w:val="sv-SE"/>
        </w:rPr>
        <w:t>Investing in development: a Practical Plan to Achieve the Mille</w:t>
      </w:r>
      <w:r w:rsidRPr="008A0946">
        <w:rPr>
          <w:sz w:val="16"/>
          <w:szCs w:val="16"/>
          <w:lang w:val="sv-SE"/>
        </w:rPr>
        <w:t>n</w:t>
      </w:r>
      <w:r w:rsidRPr="008A0946">
        <w:rPr>
          <w:sz w:val="16"/>
          <w:szCs w:val="16"/>
          <w:lang w:val="sv-SE"/>
        </w:rPr>
        <w:t>nium Development Goals”, Report of the UN Millennium project</w:t>
      </w:r>
      <w:r w:rsidR="001A4F18" w:rsidRPr="008A0946">
        <w:rPr>
          <w:sz w:val="16"/>
          <w:szCs w:val="16"/>
          <w:lang w:val="sv-SE"/>
        </w:rPr>
        <w:t>,</w:t>
      </w:r>
      <w:r w:rsidRPr="008A0946">
        <w:rPr>
          <w:sz w:val="16"/>
          <w:szCs w:val="16"/>
          <w:lang w:val="sv-SE"/>
        </w:rPr>
        <w:t xml:space="preserve"> s 207</w:t>
      </w:r>
      <w:r w:rsidR="001A4F18" w:rsidRPr="008A0946">
        <w:rPr>
          <w:sz w:val="16"/>
          <w:szCs w:val="16"/>
          <w:lang w:val="sv-SE"/>
        </w:rPr>
        <w:t>–</w:t>
      </w:r>
      <w:r w:rsidRPr="008A0946">
        <w:rPr>
          <w:sz w:val="16"/>
          <w:szCs w:val="16"/>
          <w:lang w:val="sv-SE"/>
        </w:rPr>
        <w:t>208.</w:t>
      </w:r>
    </w:p>
  </w:footnote>
  <w:footnote w:id="7">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Jubilee Debt Campaign, Action</w:t>
      </w:r>
      <w:r w:rsidR="001A4F18" w:rsidRPr="008A0946">
        <w:rPr>
          <w:sz w:val="16"/>
          <w:szCs w:val="16"/>
          <w:lang w:val="sv-SE"/>
        </w:rPr>
        <w:t xml:space="preserve"> </w:t>
      </w:r>
      <w:r w:rsidRPr="008A0946">
        <w:rPr>
          <w:sz w:val="16"/>
          <w:szCs w:val="16"/>
          <w:lang w:val="sv-SE"/>
        </w:rPr>
        <w:t xml:space="preserve">Aid </w:t>
      </w:r>
      <w:smartTag w:uri="urn:schemas-microsoft-com:office:smarttags" w:element="country-region">
        <w:smartTag w:uri="urn:schemas-microsoft-com:office:smarttags" w:element="place">
          <w:r w:rsidRPr="008A0946">
            <w:rPr>
              <w:sz w:val="16"/>
              <w:szCs w:val="16"/>
              <w:lang w:val="sv-SE"/>
            </w:rPr>
            <w:t>UK</w:t>
          </w:r>
        </w:smartTag>
      </w:smartTag>
      <w:r w:rsidR="001A4F18" w:rsidRPr="008A0946">
        <w:rPr>
          <w:sz w:val="16"/>
          <w:szCs w:val="16"/>
          <w:lang w:val="sv-SE"/>
        </w:rPr>
        <w:t xml:space="preserve"> och Cristian Aid 2005, ”</w:t>
      </w:r>
      <w:r w:rsidRPr="008A0946">
        <w:rPr>
          <w:sz w:val="16"/>
          <w:szCs w:val="16"/>
          <w:lang w:val="sv-SE"/>
        </w:rPr>
        <w:t xml:space="preserve">In the Balance: Why Debts Must be Canceled Now to Meet </w:t>
      </w:r>
      <w:r w:rsidR="001A4F18" w:rsidRPr="008A0946">
        <w:rPr>
          <w:sz w:val="16"/>
          <w:szCs w:val="16"/>
          <w:lang w:val="sv-SE"/>
        </w:rPr>
        <w:t>the Milennium Development Goals”.</w:t>
      </w:r>
      <w:r w:rsidRPr="008A0946">
        <w:rPr>
          <w:sz w:val="16"/>
          <w:szCs w:val="16"/>
          <w:lang w:val="sv-SE"/>
        </w:rPr>
        <w:t xml:space="preserve"> </w:t>
      </w:r>
    </w:p>
  </w:footnote>
  <w:footnote w:id="8">
    <w:p w:rsidR="00996C47" w:rsidRPr="008A0946" w:rsidRDefault="00996C47" w:rsidP="001A4F18">
      <w:pPr>
        <w:rPr>
          <w:sz w:val="16"/>
          <w:szCs w:val="16"/>
          <w:lang w:eastAsia="en-US"/>
        </w:rPr>
      </w:pPr>
      <w:r w:rsidRPr="008A0946">
        <w:rPr>
          <w:rStyle w:val="Fotnotsreferens"/>
        </w:rPr>
        <w:footnoteRef/>
      </w:r>
      <w:r w:rsidR="001A4F18" w:rsidRPr="008A0946">
        <w:rPr>
          <w:sz w:val="16"/>
          <w:szCs w:val="16"/>
          <w:lang w:eastAsia="en-US"/>
        </w:rPr>
        <w:t xml:space="preserve">Se </w:t>
      </w:r>
      <w:hyperlink r:id="rId1" w:tgtFrame="_blank" w:tooltip="Jubilee South &#10;Jubilee South " w:history="1">
        <w:r w:rsidRPr="008A0946">
          <w:rPr>
            <w:sz w:val="16"/>
            <w:szCs w:val="16"/>
            <w:lang w:eastAsia="en-US"/>
          </w:rPr>
          <w:t>www.jubileedebtcampaign.org.uk</w:t>
        </w:r>
      </w:hyperlink>
      <w:r w:rsidR="001A4F18" w:rsidRPr="008A0946">
        <w:rPr>
          <w:sz w:val="16"/>
          <w:szCs w:val="16"/>
          <w:lang w:eastAsia="en-US"/>
        </w:rPr>
        <w:t>.</w:t>
      </w:r>
    </w:p>
  </w:footnote>
  <w:footnote w:id="9">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Se ”Action Against Poverty – Report of the Technical Group on Innovative Financing Mechanisms</w:t>
      </w:r>
      <w:r w:rsidR="00680535" w:rsidRPr="008A0946">
        <w:rPr>
          <w:sz w:val="16"/>
          <w:szCs w:val="16"/>
          <w:lang w:val="sv-SE"/>
        </w:rPr>
        <w:t>”</w:t>
      </w:r>
      <w:r w:rsidRPr="008A0946">
        <w:rPr>
          <w:sz w:val="16"/>
          <w:szCs w:val="16"/>
          <w:lang w:val="sv-SE"/>
        </w:rPr>
        <w:t xml:space="preserve">, September 2004. </w:t>
      </w:r>
    </w:p>
  </w:footnote>
  <w:footnote w:id="10">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rStyle w:val="Fotnotsreferens"/>
          <w:lang w:val="sv-SE"/>
        </w:rPr>
        <w:t xml:space="preserve"> </w:t>
      </w:r>
      <w:r w:rsidRPr="008A0946">
        <w:rPr>
          <w:sz w:val="16"/>
          <w:szCs w:val="16"/>
          <w:lang w:val="sv-SE"/>
        </w:rPr>
        <w:t>För en mer ingående beskrivning</w:t>
      </w:r>
      <w:r w:rsidR="00680535" w:rsidRPr="008A0946">
        <w:rPr>
          <w:sz w:val="16"/>
          <w:szCs w:val="16"/>
          <w:lang w:val="sv-SE"/>
        </w:rPr>
        <w:t>, se Landau, J.</w:t>
      </w:r>
      <w:r w:rsidRPr="008A0946">
        <w:rPr>
          <w:sz w:val="16"/>
          <w:szCs w:val="16"/>
          <w:lang w:val="sv-SE"/>
        </w:rPr>
        <w:t>P</w:t>
      </w:r>
      <w:r w:rsidR="00680535" w:rsidRPr="008A0946">
        <w:rPr>
          <w:sz w:val="16"/>
          <w:szCs w:val="16"/>
          <w:lang w:val="sv-SE"/>
        </w:rPr>
        <w:t>.</w:t>
      </w:r>
      <w:r w:rsidRPr="008A0946">
        <w:rPr>
          <w:sz w:val="16"/>
          <w:szCs w:val="16"/>
          <w:lang w:val="sv-SE"/>
        </w:rPr>
        <w:t xml:space="preserve"> et al., 2004 och Wahl, P., 2005</w:t>
      </w:r>
      <w:r w:rsidR="00680535" w:rsidRPr="008A0946">
        <w:rPr>
          <w:sz w:val="16"/>
          <w:szCs w:val="16"/>
          <w:lang w:val="sv-SE"/>
        </w:rPr>
        <w:t>.</w:t>
      </w:r>
    </w:p>
  </w:footnote>
  <w:footnote w:id="11">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För en mer ingående diskussion</w:t>
      </w:r>
      <w:r w:rsidR="00680535" w:rsidRPr="008A0946">
        <w:rPr>
          <w:sz w:val="16"/>
          <w:szCs w:val="16"/>
          <w:lang w:val="sv-SE"/>
        </w:rPr>
        <w:t>,</w:t>
      </w:r>
      <w:r w:rsidRPr="008A0946">
        <w:rPr>
          <w:sz w:val="16"/>
          <w:szCs w:val="16"/>
          <w:lang w:val="sv-SE"/>
        </w:rPr>
        <w:t xml:space="preserve"> se Kapoor, 2004 och Penttinen, J. et al., 2005</w:t>
      </w:r>
      <w:r w:rsidR="00680535" w:rsidRPr="008A0946">
        <w:rPr>
          <w:sz w:val="16"/>
          <w:szCs w:val="16"/>
          <w:lang w:val="sv-SE"/>
        </w:rPr>
        <w:t>.</w:t>
      </w:r>
    </w:p>
  </w:footnote>
  <w:footnote w:id="12">
    <w:p w:rsidR="00996C47" w:rsidRPr="008A0946" w:rsidRDefault="00996C47" w:rsidP="00680535">
      <w:pPr>
        <w:pStyle w:val="Fotnotstext"/>
        <w:spacing w:before="0"/>
        <w:rPr>
          <w:sz w:val="16"/>
          <w:szCs w:val="16"/>
          <w:lang w:val="sv-SE"/>
        </w:rPr>
      </w:pPr>
      <w:r w:rsidRPr="008A0946">
        <w:rPr>
          <w:rStyle w:val="Fotnotsreferens"/>
          <w:sz w:val="19"/>
          <w:szCs w:val="19"/>
          <w:lang w:val="sv-SE"/>
        </w:rPr>
        <w:footnoteRef/>
      </w:r>
      <w:r w:rsidRPr="008A0946">
        <w:rPr>
          <w:lang w:val="sv-SE"/>
        </w:rPr>
        <w:t xml:space="preserve"> </w:t>
      </w:r>
      <w:r w:rsidRPr="008A0946">
        <w:rPr>
          <w:sz w:val="16"/>
          <w:szCs w:val="16"/>
          <w:lang w:val="sv-SE"/>
        </w:rPr>
        <w:t>http://www.bundeskanzler.de-.7698.780791/Rede-von-Bundeskanzler-Gerhard-Schroeder</w:t>
      </w:r>
    </w:p>
  </w:footnote>
  <w:footnote w:id="13">
    <w:p w:rsidR="00996C47" w:rsidRPr="008A0946" w:rsidRDefault="00996C47" w:rsidP="00680535">
      <w:pPr>
        <w:pStyle w:val="Fotnotstext"/>
        <w:spacing w:before="0"/>
        <w:rPr>
          <w:sz w:val="16"/>
          <w:szCs w:val="16"/>
          <w:lang w:val="sv-SE"/>
        </w:rPr>
      </w:pPr>
      <w:r w:rsidRPr="008A0946">
        <w:rPr>
          <w:rStyle w:val="Fotnotsreferens"/>
          <w:sz w:val="19"/>
          <w:szCs w:val="19"/>
          <w:lang w:val="sv-SE"/>
        </w:rPr>
        <w:footnoteRef/>
      </w:r>
      <w:r w:rsidRPr="008A0946">
        <w:rPr>
          <w:rStyle w:val="Fotnotsreferens"/>
          <w:sz w:val="19"/>
          <w:szCs w:val="19"/>
          <w:lang w:val="sv-SE"/>
        </w:rPr>
        <w:t xml:space="preserve"> </w:t>
      </w:r>
      <w:r w:rsidR="00680535" w:rsidRPr="008A0946">
        <w:rPr>
          <w:sz w:val="16"/>
          <w:szCs w:val="16"/>
          <w:lang w:val="sv-SE"/>
        </w:rPr>
        <w:t>Se bl.a.</w:t>
      </w:r>
      <w:r w:rsidRPr="008A0946">
        <w:rPr>
          <w:sz w:val="16"/>
          <w:szCs w:val="16"/>
          <w:lang w:val="sv-SE"/>
        </w:rPr>
        <w:t xml:space="preserve"> Kapoor, S.</w:t>
      </w:r>
      <w:r w:rsidR="00680535" w:rsidRPr="008A0946">
        <w:rPr>
          <w:sz w:val="16"/>
          <w:szCs w:val="16"/>
          <w:lang w:val="sv-SE"/>
        </w:rPr>
        <w:t xml:space="preserve"> 2004.</w:t>
      </w:r>
    </w:p>
  </w:footnote>
  <w:footnote w:id="14">
    <w:p w:rsidR="00996C47" w:rsidRPr="008A0946" w:rsidRDefault="00996C47" w:rsidP="00680535">
      <w:pPr>
        <w:pStyle w:val="Fotnotstext"/>
        <w:spacing w:before="0"/>
        <w:rPr>
          <w:sz w:val="16"/>
          <w:szCs w:val="16"/>
          <w:lang w:val="sv-SE"/>
        </w:rPr>
      </w:pPr>
      <w:r w:rsidRPr="008A0946">
        <w:rPr>
          <w:rStyle w:val="Fotnotsreferens"/>
          <w:lang w:val="sv-SE"/>
        </w:rPr>
        <w:footnoteRef/>
      </w:r>
      <w:r w:rsidRPr="008A0946">
        <w:rPr>
          <w:lang w:val="sv-SE"/>
        </w:rPr>
        <w:t xml:space="preserve"> </w:t>
      </w:r>
      <w:r w:rsidRPr="008A0946">
        <w:rPr>
          <w:sz w:val="16"/>
          <w:szCs w:val="16"/>
          <w:lang w:val="sv-SE"/>
        </w:rPr>
        <w:t>Se World Bank/IMF, 2005</w:t>
      </w:r>
      <w:r w:rsidR="00680535" w:rsidRPr="008A0946">
        <w:rPr>
          <w:sz w:val="16"/>
          <w:szCs w:val="16"/>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35" w:rsidRPr="008A0946" w:rsidRDefault="008A0946" w:rsidP="00680535">
    <w:pPr>
      <w:pStyle w:val="Sidhuvud"/>
    </w:pPr>
    <w:r w:rsidRPr="008A0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519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35" w:rsidRDefault="00680535">
                          <w:pPr>
                            <w:pStyle w:val="KantRubrikS5V"/>
                          </w:pPr>
                          <w:r>
                            <w:fldChar w:fldCharType="begin"/>
                          </w:r>
                          <w:r>
                            <w:instrText xml:space="preserve"> DOCPROPERTY "YearUser" *\charformat </w:instrText>
                          </w:r>
                          <w:r>
                            <w:fldChar w:fldCharType="separate"/>
                          </w:r>
                          <w:r w:rsidR="00E15319">
                            <w:t>2005/06</w:t>
                          </w:r>
                          <w:r>
                            <w:fldChar w:fldCharType="end"/>
                          </w:r>
                          <w:r>
                            <w:t>:</w:t>
                          </w:r>
                          <w:r>
                            <w:fldChar w:fldCharType="begin"/>
                          </w:r>
                          <w:r>
                            <w:instrText xml:space="preserve"> DOCPROPERTY "Motionsnummer" *\charformat </w:instrText>
                          </w:r>
                          <w:r>
                            <w:fldChar w:fldCharType="separate"/>
                          </w:r>
                          <w:r w:rsidR="00E15319">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535" w:rsidRDefault="00680535">
                    <w:pPr>
                      <w:pStyle w:val="KantRubrikS5V"/>
                    </w:pPr>
                    <w:r>
                      <w:fldChar w:fldCharType="begin"/>
                    </w:r>
                    <w:r>
                      <w:instrText xml:space="preserve"> DOCPROPERTY "YearUser" *\charformat </w:instrText>
                    </w:r>
                    <w:r>
                      <w:fldChar w:fldCharType="separate"/>
                    </w:r>
                    <w:r w:rsidR="00E15319">
                      <w:t>2005/06</w:t>
                    </w:r>
                    <w:r>
                      <w:fldChar w:fldCharType="end"/>
                    </w:r>
                    <w:r>
                      <w:t>:</w:t>
                    </w:r>
                    <w:r>
                      <w:fldChar w:fldCharType="begin"/>
                    </w:r>
                    <w:r>
                      <w:instrText xml:space="preserve"> DOCPROPERTY "Motionsnummer" *\charformat </w:instrText>
                    </w:r>
                    <w:r>
                      <w:fldChar w:fldCharType="separate"/>
                    </w:r>
                    <w:r w:rsidR="00E15319">
                      <w:t>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C47" w:rsidRPr="008A0946" w:rsidRDefault="008A0946" w:rsidP="00680535">
    <w:pPr>
      <w:pStyle w:val="Sidhuvud"/>
    </w:pPr>
    <w:r w:rsidRPr="008A0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218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35" w:rsidRDefault="00680535">
                          <w:pPr>
                            <w:pStyle w:val="KantRubrikS5H"/>
                            <w:ind w:right="0"/>
                          </w:pPr>
                          <w:r>
                            <w:fldChar w:fldCharType="begin"/>
                          </w:r>
                          <w:r>
                            <w:instrText xml:space="preserve"> DOCPROPERTY "YearUser" *\charformat </w:instrText>
                          </w:r>
                          <w:r>
                            <w:fldChar w:fldCharType="separate"/>
                          </w:r>
                          <w:r w:rsidR="00E15319">
                            <w:t>2005/06</w:t>
                          </w:r>
                          <w:r>
                            <w:fldChar w:fldCharType="end"/>
                          </w:r>
                          <w:r>
                            <w:t>:</w:t>
                          </w:r>
                          <w:r>
                            <w:fldChar w:fldCharType="begin"/>
                          </w:r>
                          <w:r>
                            <w:instrText xml:space="preserve"> DOCPROPERTY "Motionsnummer" *\charformat </w:instrText>
                          </w:r>
                          <w:r>
                            <w:fldChar w:fldCharType="separate"/>
                          </w:r>
                          <w:r w:rsidR="00E15319">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535" w:rsidRDefault="00680535">
                    <w:pPr>
                      <w:pStyle w:val="KantRubrikS5H"/>
                      <w:ind w:right="0"/>
                    </w:pPr>
                    <w:r>
                      <w:fldChar w:fldCharType="begin"/>
                    </w:r>
                    <w:r>
                      <w:instrText xml:space="preserve"> DOCPROPERTY "YearUser" *\charformat </w:instrText>
                    </w:r>
                    <w:r>
                      <w:fldChar w:fldCharType="separate"/>
                    </w:r>
                    <w:r w:rsidR="00E15319">
                      <w:t>2005/06</w:t>
                    </w:r>
                    <w:r>
                      <w:fldChar w:fldCharType="end"/>
                    </w:r>
                    <w:r>
                      <w:t>:</w:t>
                    </w:r>
                    <w:r>
                      <w:fldChar w:fldCharType="begin"/>
                    </w:r>
                    <w:r>
                      <w:instrText xml:space="preserve"> DOCPROPERTY "Motionsnummer" *\charformat </w:instrText>
                    </w:r>
                    <w:r>
                      <w:fldChar w:fldCharType="separate"/>
                    </w:r>
                    <w:r w:rsidR="00E15319">
                      <w:t>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535" w:rsidRPr="008A0946" w:rsidRDefault="00680535">
    <w:pPr>
      <w:pStyle w:val="FSHNormal"/>
      <w:tabs>
        <w:tab w:val="right" w:pos="5840"/>
      </w:tabs>
    </w:pPr>
    <w:r w:rsidRPr="008A0946">
      <w:br/>
    </w:r>
    <w:r w:rsidRPr="008A0946">
      <w:fldChar w:fldCharType="begin" w:fldLock="1"/>
    </w:r>
    <w:r w:rsidRPr="008A0946">
      <w:instrText xml:space="preserve"> DOCPROPERTY</w:instrText>
    </w:r>
    <w:r w:rsidRPr="008A0946">
      <w:rPr>
        <w:sz w:val="18"/>
      </w:rPr>
      <w:instrText xml:space="preserve"> "YearUser" *\charformat </w:instrText>
    </w:r>
    <w:r w:rsidRPr="008A0946">
      <w:fldChar w:fldCharType="separate"/>
    </w:r>
    <w:r w:rsidR="00E15319" w:rsidRPr="008A0946">
      <w:t>2005/06</w:t>
    </w:r>
    <w:r w:rsidRPr="008A0946">
      <w:fldChar w:fldCharType="end"/>
    </w:r>
    <w:r w:rsidRPr="008A0946">
      <w:t xml:space="preserve"> </w:t>
    </w:r>
    <w:r w:rsidRPr="008A0946">
      <w:tab/>
      <w:t xml:space="preserve">mnr: </w:t>
    </w:r>
    <w:r w:rsidRPr="008A0946">
      <w:fldChar w:fldCharType="begin" w:fldLock="1"/>
    </w:r>
    <w:r w:rsidRPr="008A0946">
      <w:instrText xml:space="preserve"> DOCPROPERTY</w:instrText>
    </w:r>
    <w:r w:rsidRPr="008A0946">
      <w:rPr>
        <w:sz w:val="18"/>
      </w:rPr>
      <w:instrText xml:space="preserve"> "Motionsnummer" *\charformat </w:instrText>
    </w:r>
    <w:r w:rsidRPr="008A0946">
      <w:fldChar w:fldCharType="separate"/>
    </w:r>
    <w:r w:rsidR="00E15319" w:rsidRPr="008A0946">
      <w:t>U332</w:t>
    </w:r>
    <w:r w:rsidRPr="008A0946">
      <w:fldChar w:fldCharType="end"/>
    </w:r>
    <w:r w:rsidRPr="008A0946">
      <w:br/>
    </w:r>
    <w:r w:rsidRPr="008A0946">
      <w:fldChar w:fldCharType="begin" w:fldLock="1"/>
    </w:r>
    <w:r w:rsidRPr="008A0946">
      <w:instrText xml:space="preserve"> DOCPROPERTY</w:instrText>
    </w:r>
    <w:r w:rsidRPr="008A0946">
      <w:rPr>
        <w:sz w:val="18"/>
      </w:rPr>
      <w:instrText xml:space="preserve"> "Samling" *\charformat </w:instrText>
    </w:r>
    <w:r w:rsidRPr="008A0946">
      <w:fldChar w:fldCharType="end"/>
    </w:r>
    <w:r w:rsidRPr="008A0946">
      <w:tab/>
      <w:t xml:space="preserve">pnr: </w:t>
    </w:r>
    <w:r w:rsidRPr="008A0946">
      <w:fldChar w:fldCharType="begin" w:fldLock="1"/>
    </w:r>
    <w:r w:rsidRPr="008A0946">
      <w:instrText xml:space="preserve"> DOCPROPERTY</w:instrText>
    </w:r>
    <w:r w:rsidRPr="008A0946">
      <w:rPr>
        <w:sz w:val="18"/>
      </w:rPr>
      <w:instrText xml:space="preserve"> "Partinummer" *\charformat </w:instrText>
    </w:r>
    <w:r w:rsidRPr="008A0946">
      <w:fldChar w:fldCharType="separate"/>
    </w:r>
    <w:r w:rsidR="00E15319" w:rsidRPr="008A0946">
      <w:t>mp903</w:t>
    </w:r>
    <w:r w:rsidRPr="008A0946">
      <w:fldChar w:fldCharType="end"/>
    </w:r>
  </w:p>
  <w:p w:rsidR="00680535" w:rsidRPr="008A0946" w:rsidRDefault="00680535">
    <w:pPr>
      <w:pStyle w:val="FSHRub1"/>
    </w:pPr>
    <w:r w:rsidRPr="008A0946">
      <w:t>Motion till riksdagen</w:t>
    </w:r>
    <w:r w:rsidRPr="008A0946">
      <w:br/>
    </w:r>
    <w:r w:rsidRPr="008A0946">
      <w:fldChar w:fldCharType="begin" w:fldLock="1"/>
    </w:r>
    <w:r w:rsidRPr="008A0946">
      <w:instrText xml:space="preserve"> DOCPROPERTY "YearUser" *\charformat </w:instrText>
    </w:r>
    <w:r w:rsidRPr="008A0946">
      <w:fldChar w:fldCharType="separate"/>
    </w:r>
    <w:r w:rsidR="00E15319" w:rsidRPr="008A0946">
      <w:t>2005/06</w:t>
    </w:r>
    <w:r w:rsidRPr="008A0946">
      <w:fldChar w:fldCharType="end"/>
    </w:r>
    <w:r w:rsidRPr="008A0946">
      <w:t>:</w:t>
    </w:r>
    <w:r w:rsidRPr="008A0946">
      <w:fldChar w:fldCharType="begin" w:fldLock="1"/>
    </w:r>
    <w:r w:rsidRPr="008A0946">
      <w:instrText xml:space="preserve"> DOCPROPERTY "Motionsnummer" *\charformat </w:instrText>
    </w:r>
    <w:r w:rsidRPr="008A0946">
      <w:fldChar w:fldCharType="separate"/>
    </w:r>
    <w:r w:rsidR="00E15319" w:rsidRPr="008A0946">
      <w:t>U332</w:t>
    </w:r>
    <w:r w:rsidRPr="008A0946">
      <w:fldChar w:fldCharType="end"/>
    </w:r>
  </w:p>
  <w:p w:rsidR="00680535" w:rsidRPr="008A0946" w:rsidRDefault="00680535">
    <w:pPr>
      <w:pStyle w:val="FSHNormalS5"/>
    </w:pPr>
    <w:r w:rsidRPr="008A0946">
      <w:fldChar w:fldCharType="begin" w:fldLock="1"/>
    </w:r>
    <w:r w:rsidRPr="008A0946">
      <w:instrText xml:space="preserve"> DOCPROPERTY "MotionarText" *\charformat </w:instrText>
    </w:r>
    <w:r w:rsidRPr="008A0946">
      <w:fldChar w:fldCharType="separate"/>
    </w:r>
    <w:r w:rsidR="00E15319" w:rsidRPr="008A0946">
      <w:t>av Peter Eriksson m.fl. (mp, -)</w:t>
    </w:r>
    <w:r w:rsidRPr="008A0946">
      <w:fldChar w:fldCharType="end"/>
    </w:r>
    <w:r w:rsidRPr="008A0946">
      <w:br/>
    </w:r>
    <w:r w:rsidRPr="008A0946">
      <w:fldChar w:fldCharType="begin" w:fldLock="1"/>
    </w:r>
    <w:r w:rsidRPr="008A0946">
      <w:instrText xml:space="preserve"> DOCPROPERTY "SvarFrasKort" *\charformat </w:instrText>
    </w:r>
    <w:r w:rsidRPr="008A0946">
      <w:fldChar w:fldCharType="end"/>
    </w:r>
  </w:p>
  <w:p w:rsidR="00680535" w:rsidRPr="008A0946" w:rsidRDefault="00680535">
    <w:pPr>
      <w:pStyle w:val="FSHTitel"/>
    </w:pPr>
    <w:r w:rsidRPr="008A0946">
      <w:fldChar w:fldCharType="begin" w:fldLock="1"/>
    </w:r>
    <w:r w:rsidRPr="008A0946">
      <w:instrText xml:space="preserve"> DOCPROPERTY</w:instrText>
    </w:r>
    <w:r w:rsidRPr="008A0946">
      <w:rPr>
        <w:sz w:val="18"/>
      </w:rPr>
      <w:instrText xml:space="preserve"> "RubrikSvar" *\charformat </w:instrText>
    </w:r>
    <w:r w:rsidRPr="008A0946">
      <w:fldChar w:fldCharType="separate"/>
    </w:r>
    <w:r w:rsidR="00E15319" w:rsidRPr="008A0946">
      <w:t>Fattigdomsbekämpning</w:t>
    </w:r>
    <w:r w:rsidRPr="008A0946">
      <w:fldChar w:fldCharType="end"/>
    </w:r>
  </w:p>
  <w:p w:rsidR="00680535" w:rsidRPr="008A0946" w:rsidRDefault="00680535" w:rsidP="006805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DE2929"/>
    <w:multiLevelType w:val="multilevel"/>
    <w:tmpl w:val="695AF7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4805187"/>
    <w:multiLevelType w:val="hybridMultilevel"/>
    <w:tmpl w:val="C826F9E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A287FFE"/>
    <w:lvl w:ilvl="0" w:tplc="62C465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6080490">
    <w:abstractNumId w:val="15"/>
  </w:num>
  <w:num w:numId="2" w16cid:durableId="393545838">
    <w:abstractNumId w:val="10"/>
  </w:num>
  <w:num w:numId="3" w16cid:durableId="573587936">
    <w:abstractNumId w:val="12"/>
  </w:num>
  <w:num w:numId="4" w16cid:durableId="2144233519">
    <w:abstractNumId w:val="14"/>
  </w:num>
  <w:num w:numId="5" w16cid:durableId="356085692">
    <w:abstractNumId w:val="8"/>
  </w:num>
  <w:num w:numId="6" w16cid:durableId="1267081707">
    <w:abstractNumId w:val="3"/>
  </w:num>
  <w:num w:numId="7" w16cid:durableId="1657494578">
    <w:abstractNumId w:val="2"/>
  </w:num>
  <w:num w:numId="8" w16cid:durableId="1120076293">
    <w:abstractNumId w:val="1"/>
  </w:num>
  <w:num w:numId="9" w16cid:durableId="421071994">
    <w:abstractNumId w:val="0"/>
  </w:num>
  <w:num w:numId="10" w16cid:durableId="1330057452">
    <w:abstractNumId w:val="9"/>
  </w:num>
  <w:num w:numId="11" w16cid:durableId="1679044890">
    <w:abstractNumId w:val="7"/>
  </w:num>
  <w:num w:numId="12" w16cid:durableId="1672639565">
    <w:abstractNumId w:val="6"/>
  </w:num>
  <w:num w:numId="13" w16cid:durableId="120538066">
    <w:abstractNumId w:val="5"/>
  </w:num>
  <w:num w:numId="14" w16cid:durableId="285625174">
    <w:abstractNumId w:val="4"/>
  </w:num>
  <w:num w:numId="15" w16cid:durableId="1605378417">
    <w:abstractNumId w:val="13"/>
  </w:num>
  <w:num w:numId="16" w16cid:durableId="443500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D368E6"/>
    <w:rsid w:val="00064BC3"/>
    <w:rsid w:val="00066775"/>
    <w:rsid w:val="00071179"/>
    <w:rsid w:val="00072FB9"/>
    <w:rsid w:val="00092C2A"/>
    <w:rsid w:val="00100531"/>
    <w:rsid w:val="001510DD"/>
    <w:rsid w:val="00181508"/>
    <w:rsid w:val="001A4F18"/>
    <w:rsid w:val="001D58A6"/>
    <w:rsid w:val="00201DFB"/>
    <w:rsid w:val="00204A63"/>
    <w:rsid w:val="00212FF1"/>
    <w:rsid w:val="00230193"/>
    <w:rsid w:val="0025068A"/>
    <w:rsid w:val="00254532"/>
    <w:rsid w:val="002818D3"/>
    <w:rsid w:val="002A2B9C"/>
    <w:rsid w:val="002D11A8"/>
    <w:rsid w:val="00337DDF"/>
    <w:rsid w:val="00343648"/>
    <w:rsid w:val="00445271"/>
    <w:rsid w:val="004A0504"/>
    <w:rsid w:val="004C0DBC"/>
    <w:rsid w:val="004E38D9"/>
    <w:rsid w:val="00680535"/>
    <w:rsid w:val="00680C39"/>
    <w:rsid w:val="006E0991"/>
    <w:rsid w:val="006F0F39"/>
    <w:rsid w:val="00740D6D"/>
    <w:rsid w:val="00757D5B"/>
    <w:rsid w:val="00757E06"/>
    <w:rsid w:val="00792144"/>
    <w:rsid w:val="00794149"/>
    <w:rsid w:val="007A1C5F"/>
    <w:rsid w:val="007A7268"/>
    <w:rsid w:val="007B67A7"/>
    <w:rsid w:val="007C6092"/>
    <w:rsid w:val="007D790A"/>
    <w:rsid w:val="00803215"/>
    <w:rsid w:val="00823CA0"/>
    <w:rsid w:val="008A0946"/>
    <w:rsid w:val="008D01BA"/>
    <w:rsid w:val="00964752"/>
    <w:rsid w:val="00996C47"/>
    <w:rsid w:val="009C253A"/>
    <w:rsid w:val="009C5C9E"/>
    <w:rsid w:val="00A053C6"/>
    <w:rsid w:val="00A12AB7"/>
    <w:rsid w:val="00B13BF0"/>
    <w:rsid w:val="00BF3429"/>
    <w:rsid w:val="00C1285C"/>
    <w:rsid w:val="00C27B7D"/>
    <w:rsid w:val="00C330E7"/>
    <w:rsid w:val="00CC2FC1"/>
    <w:rsid w:val="00D05779"/>
    <w:rsid w:val="00D1174F"/>
    <w:rsid w:val="00D368E6"/>
    <w:rsid w:val="00DC6C70"/>
    <w:rsid w:val="00E15319"/>
    <w:rsid w:val="00E22893"/>
    <w:rsid w:val="00E360DE"/>
    <w:rsid w:val="00E55CB3"/>
    <w:rsid w:val="00E75D28"/>
    <w:rsid w:val="00E84BB1"/>
    <w:rsid w:val="00E84F25"/>
    <w:rsid w:val="00E9440F"/>
    <w:rsid w:val="00EA03E2"/>
    <w:rsid w:val="00EF3A86"/>
    <w:rsid w:val="00F05288"/>
    <w:rsid w:val="00FA72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1559242-26BD-4D15-8AB9-FBB5BB89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0321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3215"/>
    <w:pPr>
      <w:spacing w:before="500" w:line="250" w:lineRule="exact"/>
      <w:outlineLvl w:val="1"/>
    </w:pPr>
    <w:rPr>
      <w:sz w:val="27"/>
    </w:rPr>
  </w:style>
  <w:style w:type="paragraph" w:styleId="Rubrik3">
    <w:name w:val="heading 3"/>
    <w:aliases w:val="Mellanrubrik"/>
    <w:basedOn w:val="Rubrik2"/>
    <w:next w:val="Normal"/>
    <w:qFormat/>
    <w:rsid w:val="00803215"/>
    <w:pPr>
      <w:spacing w:before="250" w:after="0"/>
      <w:outlineLvl w:val="2"/>
    </w:pPr>
    <w:rPr>
      <w:b/>
      <w:sz w:val="21"/>
    </w:rPr>
  </w:style>
  <w:style w:type="paragraph" w:styleId="Rubrik4">
    <w:name w:val="heading 4"/>
    <w:aliases w:val="KursivRubrik"/>
    <w:basedOn w:val="Rubrik3"/>
    <w:next w:val="Normal"/>
    <w:qFormat/>
    <w:rsid w:val="00803215"/>
    <w:pPr>
      <w:outlineLvl w:val="3"/>
    </w:pPr>
    <w:rPr>
      <w:b w:val="0"/>
      <w:i/>
    </w:rPr>
  </w:style>
  <w:style w:type="paragraph" w:styleId="Rubrik5">
    <w:name w:val="heading 5"/>
    <w:aliases w:val="PackadFetRubrik,PackadKursivRubrik"/>
    <w:basedOn w:val="Rubrik4"/>
    <w:next w:val="Normal"/>
    <w:qFormat/>
    <w:rsid w:val="00803215"/>
    <w:pPr>
      <w:tabs>
        <w:tab w:val="clear" w:pos="1021"/>
      </w:tabs>
      <w:spacing w:before="125"/>
      <w:outlineLvl w:val="4"/>
    </w:pPr>
    <w:rPr>
      <w:i w:val="0"/>
      <w:sz w:val="19"/>
    </w:rPr>
  </w:style>
  <w:style w:type="paragraph" w:styleId="Rubrik6">
    <w:name w:val="heading 6"/>
    <w:basedOn w:val="Rubrik5"/>
    <w:next w:val="Normal"/>
    <w:qFormat/>
    <w:rsid w:val="00803215"/>
    <w:pPr>
      <w:spacing w:before="50" w:line="200" w:lineRule="exact"/>
      <w:outlineLvl w:val="5"/>
    </w:pPr>
    <w:rPr>
      <w:caps/>
      <w:sz w:val="14"/>
    </w:rPr>
  </w:style>
  <w:style w:type="paragraph" w:styleId="Rubrik7">
    <w:name w:val="heading 7"/>
    <w:basedOn w:val="Rubrik6"/>
    <w:next w:val="Normal"/>
    <w:qFormat/>
    <w:rsid w:val="00803215"/>
    <w:pPr>
      <w:spacing w:before="0"/>
      <w:outlineLvl w:val="6"/>
    </w:pPr>
  </w:style>
  <w:style w:type="paragraph" w:styleId="Rubrik8">
    <w:name w:val="heading 8"/>
    <w:basedOn w:val="Rubrik7"/>
    <w:next w:val="Normal"/>
    <w:qFormat/>
    <w:rsid w:val="00803215"/>
    <w:pPr>
      <w:outlineLvl w:val="7"/>
    </w:pPr>
  </w:style>
  <w:style w:type="paragraph" w:styleId="Rubrik9">
    <w:name w:val="heading 9"/>
    <w:basedOn w:val="Rubrik8"/>
    <w:next w:val="Normal"/>
    <w:qFormat/>
    <w:rsid w:val="0080321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4F18"/>
    <w:pPr>
      <w:spacing w:after="250"/>
    </w:pPr>
  </w:style>
  <w:style w:type="paragraph" w:customStyle="1" w:styleId="Hemstlatt">
    <w:name w:val="Hemstl_att"/>
    <w:aliases w:val="HemstPunkt,HemstPunktFlera,HemställansPunkt,Förslagstext"/>
    <w:basedOn w:val="Normal"/>
    <w:next w:val="Normal"/>
    <w:rsid w:val="0068053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803215"/>
    <w:pPr>
      <w:spacing w:line="240" w:lineRule="auto"/>
    </w:pPr>
    <w:rPr>
      <w:sz w:val="20"/>
      <w:lang w:val="en-GB" w:eastAsia="en-US"/>
    </w:rPr>
  </w:style>
  <w:style w:type="character" w:styleId="Fotnotsreferens">
    <w:name w:val="footnote reference"/>
    <w:basedOn w:val="Standardstycketeckensnitt"/>
    <w:semiHidden/>
    <w:rsid w:val="00803215"/>
    <w:rPr>
      <w:vertAlign w:val="superscript"/>
    </w:rPr>
  </w:style>
  <w:style w:type="paragraph" w:customStyle="1" w:styleId="Standard">
    <w:name w:val="Standard"/>
    <w:basedOn w:val="Normal"/>
    <w:next w:val="Normal"/>
    <w:rsid w:val="00803215"/>
    <w:pPr>
      <w:autoSpaceDE w:val="0"/>
      <w:autoSpaceDN w:val="0"/>
      <w:adjustRightInd w:val="0"/>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bileedebtcampaign.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3319</Words>
  <Characters>19516</Characters>
  <Application>Microsoft Office Word</Application>
  <DocSecurity>4</DocSecurity>
  <Lines>354</Lines>
  <Paragraphs>87</Paragraphs>
  <ScaleCrop>false</ScaleCrop>
  <HeadingPairs>
    <vt:vector size="2" baseType="variant">
      <vt:variant>
        <vt:lpstr>Rubrik</vt:lpstr>
      </vt:variant>
      <vt:variant>
        <vt:i4>1</vt:i4>
      </vt:variant>
    </vt:vector>
  </HeadingPairs>
  <TitlesOfParts>
    <vt:vector size="1" baseType="lpstr">
      <vt:lpstr>U332</vt:lpstr>
    </vt:vector>
  </TitlesOfParts>
  <Company>Riksdagen</Company>
  <LinksUpToDate>false</LinksUpToDate>
  <CharactersWithSpaces>22748</CharactersWithSpaces>
  <SharedDoc>false</SharedDoc>
  <HLinks>
    <vt:vector size="6" baseType="variant">
      <vt:variant>
        <vt:i4>8323134</vt:i4>
      </vt:variant>
      <vt:variant>
        <vt:i4>0</vt:i4>
      </vt:variant>
      <vt:variant>
        <vt:i4>0</vt:i4>
      </vt:variant>
      <vt:variant>
        <vt:i4>5</vt:i4>
      </vt:variant>
      <vt:variant>
        <vt:lpwstr>http://www.jubileedebtcampaign.org.uk/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U332</dc:title>
  <dc:subject>U332</dc:subject>
  <dc:creator>Riksdagen</dc:creator>
  <cp:keywords>Riksdagen</cp:keywords>
  <dc:description/>
  <cp:lastModifiedBy>Lars Brink</cp:lastModifiedBy>
  <cp:revision>2</cp:revision>
  <cp:lastPrinted>2006-01-16T09:04:00Z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Fattigdomsbekämpning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(mp)\Hedström, Lotta (mp)\Björnlod, Leif (mp)\Domeij, Åsa (mp)\Feltzing, Barbro (mp)\Fridolin, Gustav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Lotta Hedström (mp), Leif Björnlod (mp), Åsa Domeij (mp), Barbro Feltzing (mp), Gustav Fridolin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20052006000001090112000009030080</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20052006000001090112000009030080</vt:lpwstr>
  </property>
  <property fmtid="{D5CDD505-2E9C-101B-9397-08002B2CF9AE}" pid="50" name="nummer">
    <vt:lpwstr>332</vt:lpwstr>
  </property>
  <property fmtid="{D5CDD505-2E9C-101B-9397-08002B2CF9AE}" pid="51" name="utskottsbeteckning">
    <vt:lpwstr>U</vt:lpwstr>
  </property>
</Properties>
</file>