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9680B">
        <w:tblPrEx>
          <w:tblCellMar>
            <w:top w:w="0" w:type="dxa"/>
            <w:bottom w:w="0" w:type="dxa"/>
          </w:tblCellMar>
        </w:tblPrEx>
        <w:trPr>
          <w:cantSplit/>
          <w:trHeight w:val="1720"/>
        </w:trPr>
        <w:tc>
          <w:tcPr>
            <w:tcW w:w="6024" w:type="dxa"/>
            <w:gridSpan w:val="2"/>
          </w:tcPr>
          <w:p w:rsidR="001C7BF9" w:rsidRPr="00C9680B" w:rsidRDefault="001C7BF9">
            <w:pPr>
              <w:pStyle w:val="HuvudRubrik"/>
            </w:pPr>
            <w:r w:rsidRPr="00C9680B">
              <w:t>Finansutskottets betänkande</w:t>
            </w:r>
          </w:p>
          <w:p w:rsidR="001C7BF9" w:rsidRPr="00C9680B" w:rsidRDefault="001C7BF9">
            <w:pPr>
              <w:pStyle w:val="HuvudRubrikRad2"/>
            </w:pPr>
            <w:bookmarkStart w:id="0" w:name="BetänkandeNr"/>
            <w:bookmarkEnd w:id="0"/>
            <w:r w:rsidRPr="00C9680B">
              <w:t>2000/01:FiU1</w:t>
            </w:r>
          </w:p>
        </w:tc>
        <w:tc>
          <w:tcPr>
            <w:tcW w:w="1418" w:type="dxa"/>
            <w:tcBorders>
              <w:bottom w:val="nil"/>
            </w:tcBorders>
          </w:tcPr>
          <w:p w:rsidR="001C7BF9" w:rsidRPr="00C9680B" w:rsidRDefault="00C9680B">
            <w:pPr>
              <w:spacing w:line="230" w:lineRule="auto"/>
              <w:jc w:val="center"/>
            </w:pPr>
            <w:r w:rsidRPr="00C9680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C7BF9" w:rsidRPr="00C9680B" w:rsidRDefault="001C7BF9">
            <w:pPr>
              <w:pStyle w:val="Normaltindrag"/>
              <w:jc w:val="center"/>
            </w:pPr>
          </w:p>
          <w:p w:rsidR="001C7BF9" w:rsidRPr="00C9680B" w:rsidRDefault="001C7BF9">
            <w:pPr>
              <w:pStyle w:val="StatusSida1"/>
            </w:pPr>
          </w:p>
          <w:p w:rsidR="001C7BF9" w:rsidRPr="00C9680B" w:rsidRDefault="001C7BF9">
            <w:pPr>
              <w:pStyle w:val="UtskriftsdatumSida1"/>
              <w:framePr w:wrap="around"/>
            </w:pPr>
          </w:p>
        </w:tc>
      </w:tr>
      <w:tr w:rsidR="00000000" w:rsidRPr="00C9680B">
        <w:tblPrEx>
          <w:tblCellMar>
            <w:top w:w="0" w:type="dxa"/>
            <w:bottom w:w="0" w:type="dxa"/>
          </w:tblCellMar>
        </w:tblPrEx>
        <w:trPr>
          <w:cantSplit/>
        </w:trPr>
        <w:tc>
          <w:tcPr>
            <w:tcW w:w="6024" w:type="dxa"/>
            <w:gridSpan w:val="2"/>
            <w:tcBorders>
              <w:bottom w:val="single" w:sz="4" w:space="0" w:color="auto"/>
            </w:tcBorders>
          </w:tcPr>
          <w:p w:rsidR="001C7BF9" w:rsidRPr="00C9680B" w:rsidRDefault="001C7BF9">
            <w:pPr>
              <w:pStyle w:val="DokumentRubrik"/>
              <w:rPr>
                <w:noProof w:val="0"/>
              </w:rPr>
            </w:pPr>
            <w:bookmarkStart w:id="1" w:name="Huvudrubrik"/>
            <w:bookmarkEnd w:id="1"/>
            <w:r w:rsidRPr="00C9680B">
              <w:rPr>
                <w:noProof w:val="0"/>
              </w:rPr>
              <w:t xml:space="preserve">Utgiftsramar och beräkning av statsinkomsterna, m.m. </w:t>
            </w:r>
          </w:p>
          <w:p w:rsidR="001C7BF9" w:rsidRPr="00C9680B" w:rsidRDefault="001C7BF9">
            <w:pPr>
              <w:pStyle w:val="DokumentRubrik"/>
              <w:rPr>
                <w:noProof w:val="0"/>
              </w:rPr>
            </w:pPr>
            <w:r w:rsidRPr="00C9680B">
              <w:rPr>
                <w:noProof w:val="0"/>
                <w:sz w:val="28"/>
              </w:rPr>
              <w:t>(prop. 2000/01:1, skr. 1999/2000:150)</w:t>
            </w:r>
          </w:p>
        </w:tc>
        <w:tc>
          <w:tcPr>
            <w:tcW w:w="1418" w:type="dxa"/>
            <w:tcBorders>
              <w:bottom w:val="nil"/>
            </w:tcBorders>
          </w:tcPr>
          <w:p w:rsidR="001C7BF9" w:rsidRPr="00C9680B" w:rsidRDefault="001C7BF9"/>
        </w:tc>
      </w:tr>
      <w:tr w:rsidR="00000000" w:rsidRPr="00C9680B">
        <w:tblPrEx>
          <w:tblCellMar>
            <w:top w:w="0" w:type="dxa"/>
            <w:bottom w:w="0" w:type="dxa"/>
          </w:tblCellMar>
        </w:tblPrEx>
        <w:trPr>
          <w:cantSplit/>
          <w:trHeight w:hRule="exact" w:val="360"/>
        </w:trPr>
        <w:tc>
          <w:tcPr>
            <w:tcW w:w="3012" w:type="dxa"/>
          </w:tcPr>
          <w:p w:rsidR="001C7BF9" w:rsidRPr="00C9680B" w:rsidRDefault="001C7BF9"/>
        </w:tc>
        <w:tc>
          <w:tcPr>
            <w:tcW w:w="3012" w:type="dxa"/>
          </w:tcPr>
          <w:p w:rsidR="001C7BF9" w:rsidRPr="00C9680B" w:rsidRDefault="001C7BF9"/>
        </w:tc>
        <w:tc>
          <w:tcPr>
            <w:tcW w:w="1418" w:type="dxa"/>
          </w:tcPr>
          <w:p w:rsidR="001C7BF9" w:rsidRPr="00C9680B" w:rsidRDefault="001C7BF9"/>
        </w:tc>
      </w:tr>
    </w:tbl>
    <w:p w:rsidR="001C7BF9" w:rsidRPr="00C9680B" w:rsidRDefault="001C7BF9">
      <w:pPr>
        <w:pStyle w:val="Rubrik1"/>
        <w:rPr>
          <w:noProof w:val="0"/>
        </w:rPr>
      </w:pPr>
      <w:bookmarkStart w:id="2" w:name="_Toc498910637"/>
      <w:r w:rsidRPr="00C9680B">
        <w:rPr>
          <w:noProof w:val="0"/>
        </w:rPr>
        <w:t>Sammanfattning</w:t>
      </w:r>
      <w:bookmarkEnd w:id="2"/>
    </w:p>
    <w:p w:rsidR="001C7BF9" w:rsidRPr="00C9680B" w:rsidRDefault="001C7BF9">
      <w:pPr>
        <w:pStyle w:val="Rubrik3"/>
        <w:spacing w:before="0"/>
        <w:rPr>
          <w:noProof w:val="0"/>
        </w:rPr>
      </w:pPr>
      <w:bookmarkStart w:id="3" w:name="_Toc436662433"/>
      <w:bookmarkStart w:id="4" w:name="_Toc466882315"/>
      <w:bookmarkStart w:id="5" w:name="_Toc498763469"/>
      <w:bookmarkStart w:id="6" w:name="_Toc498858069"/>
      <w:bookmarkStart w:id="7" w:name="_Toc498910638"/>
      <w:r w:rsidRPr="00C9680B">
        <w:rPr>
          <w:noProof w:val="0"/>
        </w:rPr>
        <w:t>Förslag till rambeslut</w:t>
      </w:r>
      <w:bookmarkEnd w:id="3"/>
      <w:bookmarkEnd w:id="4"/>
      <w:bookmarkEnd w:id="5"/>
      <w:bookmarkEnd w:id="6"/>
      <w:bookmarkEnd w:id="7"/>
    </w:p>
    <w:p w:rsidR="001C7BF9" w:rsidRPr="00C9680B" w:rsidRDefault="001C7BF9">
      <w:r w:rsidRPr="00C9680B">
        <w:t>Finansutskottet behandlar i detta betänkande regeringens reviderade finan</w:t>
      </w:r>
      <w:r w:rsidRPr="00C9680B">
        <w:t>s</w:t>
      </w:r>
      <w:r w:rsidRPr="00C9680B">
        <w:t>plan för 2001. Den bygger på en överenskommelse mellan Socialdemokrate</w:t>
      </w:r>
      <w:r w:rsidRPr="00C9680B">
        <w:t>r</w:t>
      </w:r>
      <w:r w:rsidRPr="00C9680B">
        <w:t>na, Vänsterpartiet och Miljöpartiet de gröna. Samarbetet berör ekonomi, sysselsättning, rättvisa, jämställdhet och miljö. Överenskommelsen fullföljs genom de ställningstaganden finansutskottet gör i betänkandet och visar att det finns en politisk majoritet för den ekonomiska politiken och budgetpolit</w:t>
      </w:r>
      <w:r w:rsidRPr="00C9680B">
        <w:t>i</w:t>
      </w:r>
      <w:r w:rsidRPr="00C9680B">
        <w:t xml:space="preserve">ken. </w:t>
      </w:r>
    </w:p>
    <w:p w:rsidR="001C7BF9" w:rsidRPr="00C9680B" w:rsidRDefault="001C7BF9">
      <w:r w:rsidRPr="00C9680B">
        <w:t>Utskottet lägger fram förslag om ramar för utgiftsområden och en beräkning av statsbudgetens inkomster för budgetåret 2001 i enlighe</w:t>
      </w:r>
      <w:r w:rsidRPr="00C9680B">
        <w:t>t med den b</w:t>
      </w:r>
      <w:r w:rsidRPr="00C9680B">
        <w:t>e</w:t>
      </w:r>
      <w:r w:rsidRPr="00C9680B">
        <w:t>slutsordning som riksdagen fastställt för sin behandling av den statliga bu</w:t>
      </w:r>
      <w:r w:rsidRPr="00C9680B">
        <w:t>d</w:t>
      </w:r>
      <w:r w:rsidRPr="00C9680B">
        <w:t>geten. När riksdagen behandlat detta betänkande och fattat beslut om ramarna för de 27 utgiftsområden som budgeten indelas i är dessa utgiftsramar styra</w:t>
      </w:r>
      <w:r w:rsidRPr="00C9680B">
        <w:t>n</w:t>
      </w:r>
      <w:r w:rsidRPr="00C9680B">
        <w:t>de för riksdagens fortsatta behandling av budgetfö</w:t>
      </w:r>
      <w:r w:rsidRPr="00C9680B">
        <w:t>r</w:t>
      </w:r>
      <w:r w:rsidRPr="00C9680B">
        <w:t>slagen.</w:t>
      </w:r>
    </w:p>
    <w:p w:rsidR="001C7BF9" w:rsidRPr="00C9680B" w:rsidRDefault="001C7BF9">
      <w:pPr>
        <w:pStyle w:val="Normaltindrag"/>
      </w:pPr>
      <w:r w:rsidRPr="00C9680B">
        <w:t>Utskottet tillstyrker regeringens förslag till beräkning av inkomsterna och fördelning av utgifterna på utgiftsområden. Det innebär att inkomsterna för 2001 beräknas till 717 miljarder kronor. Statsbudgetens utgi</w:t>
      </w:r>
      <w:r w:rsidRPr="00C9680B">
        <w:t>fter beräknas till 722 miljarder kronor före det att överföringen från AP-fonden beaktats. G</w:t>
      </w:r>
      <w:r w:rsidRPr="00C9680B">
        <w:t>e</w:t>
      </w:r>
      <w:r w:rsidRPr="00C9680B">
        <w:t>nom regeringens beslut den 19 oktober har sammansättningen av den portfölj bostadsobligationer som skall överföras från AP-fonden 2001 till statsbudg</w:t>
      </w:r>
      <w:r w:rsidRPr="00C9680B">
        <w:t>e</w:t>
      </w:r>
      <w:r w:rsidRPr="00C9680B">
        <w:t>ten förändrats i förhållande till den sammansättning som låg till grund för kalkylen i budgetpropositionen. Som en följd därav beräknas överföringen från AP-fonden 2001 numera uppgå till 45,7 miljarder kronor i stället för 27,6 som antogs i budgetpropositionen. För bud</w:t>
      </w:r>
      <w:r w:rsidRPr="00C9680B">
        <w:t>getåret 2001 kommer därmed statsbudgeten att visa ett överskott på drygt 40 miljarder kronor, vilket inn</w:t>
      </w:r>
      <w:r w:rsidRPr="00C9680B">
        <w:t>e</w:t>
      </w:r>
      <w:r w:rsidRPr="00C9680B">
        <w:t>bär att statsskulden amorteras med mo</w:t>
      </w:r>
      <w:r w:rsidRPr="00C9680B">
        <w:t>t</w:t>
      </w:r>
      <w:r w:rsidRPr="00C9680B">
        <w:t xml:space="preserve">svarande belopp. </w:t>
      </w:r>
    </w:p>
    <w:p w:rsidR="001C7BF9" w:rsidRPr="00C9680B" w:rsidRDefault="001C7BF9">
      <w:pPr>
        <w:pStyle w:val="Rubrik3"/>
        <w:rPr>
          <w:noProof w:val="0"/>
        </w:rPr>
      </w:pPr>
      <w:bookmarkStart w:id="8" w:name="_Toc498763470"/>
      <w:bookmarkStart w:id="9" w:name="_Toc498858070"/>
      <w:bookmarkStart w:id="10" w:name="_Toc498910639"/>
      <w:r w:rsidRPr="00C9680B">
        <w:rPr>
          <w:noProof w:val="0"/>
        </w:rPr>
        <w:lastRenderedPageBreak/>
        <w:t>Den ekonomiska politiken</w:t>
      </w:r>
      <w:bookmarkEnd w:id="8"/>
      <w:bookmarkEnd w:id="9"/>
      <w:bookmarkEnd w:id="10"/>
    </w:p>
    <w:p w:rsidR="001C7BF9" w:rsidRPr="00C9680B" w:rsidRDefault="001C7BF9">
      <w:r w:rsidRPr="00C9680B">
        <w:t>Den svenska ekonomin utvecklas gynnsamt. Förutsättningarna för en fortsatt hög svensk tillväxt utan starkt stigande inflationstryck är goda under de nä</w:t>
      </w:r>
      <w:r w:rsidRPr="00C9680B">
        <w:t>r</w:t>
      </w:r>
      <w:r w:rsidRPr="00C9680B">
        <w:t>maste åren. Den inhemska efterfrågan utvecklas väl. Sysselsättningen stiger, arbetslösheten sjunker och inflationen är låg. Förutsatt att den internationella konjunkturen fortsätter att vara god kommer den svenska ekonomin att växa med hist</w:t>
      </w:r>
      <w:r w:rsidRPr="00C9680B">
        <w:t>o</w:t>
      </w:r>
      <w:r w:rsidRPr="00C9680B">
        <w:t>riskt höga tal,  kring 3–4 %, under de närmaste åren.</w:t>
      </w:r>
    </w:p>
    <w:p w:rsidR="001C7BF9" w:rsidRPr="00C9680B" w:rsidRDefault="001C7BF9">
      <w:pPr>
        <w:pStyle w:val="Normaltindrag"/>
      </w:pPr>
      <w:r w:rsidRPr="00C9680B">
        <w:t>Till detta kommer att överskotten i de offentliga finanserna stiger samtidigt som den svenska inflationen är en av de lägsta i EU-området. Obligation</w:t>
      </w:r>
      <w:r w:rsidRPr="00C9680B">
        <w:t>s</w:t>
      </w:r>
      <w:r w:rsidRPr="00C9680B">
        <w:t>räntorna har sjunkit under året och den tidigare stora skillnaden mellan de tyska och svenska räntorna har utraderats. Tidvis under våren och nu under hösten har den svenska obligation</w:t>
      </w:r>
      <w:r w:rsidRPr="00C9680B">
        <w:t>s</w:t>
      </w:r>
      <w:r w:rsidRPr="00C9680B">
        <w:t>räntan t.o.m. legat under den tyska.</w:t>
      </w:r>
    </w:p>
    <w:p w:rsidR="001C7BF9" w:rsidRPr="00C9680B" w:rsidRDefault="001C7BF9">
      <w:pPr>
        <w:pStyle w:val="Normaltindrag"/>
      </w:pPr>
      <w:r w:rsidRPr="00C9680B">
        <w:t>Den internationella konjunkturen har förstärkts under det senaste året, vi</w:t>
      </w:r>
      <w:r w:rsidRPr="00C9680B">
        <w:t>l</w:t>
      </w:r>
      <w:r w:rsidRPr="00C9680B">
        <w:t>ket gynnar den svenska exportindustrin. Uppgången i världsekonomin är bred genom att tillväxten stiger i så gott som alla länder och områden, även om tillväxttakten i Förenta staterna sannolikt dämpas något framöver efter de senaste årens mycket kraftiga expansion. Resultatet av Sveriges samlade utrikesaffärer, dvs. bytesbalansen, visar på stora överskott, trots den starka tillväxten i den inhemska ekonomin.</w:t>
      </w:r>
    </w:p>
    <w:p w:rsidR="001C7BF9" w:rsidRPr="00C9680B" w:rsidRDefault="001C7BF9">
      <w:pPr>
        <w:pStyle w:val="Normaltindrag"/>
      </w:pPr>
      <w:r w:rsidRPr="00C9680B">
        <w:t>Den stora utmaningen nu är att Sverige på nytt skall närma sig en situation med full sysselsättning</w:t>
      </w:r>
      <w:r w:rsidRPr="00C9680B">
        <w:t>. Målet att halvera arbetslösheten från 8 % 1996 till 4 % år 2000 är i praktiken redan uppnått och målet att andelen reguljärt sy</w:t>
      </w:r>
      <w:r w:rsidRPr="00C9680B">
        <w:t>s</w:t>
      </w:r>
      <w:r w:rsidRPr="00C9680B">
        <w:t>selsatta mellan 20 och 64 år skall öka till minst 80 % skall uppnås 2004. Den ekonomiska politikens uppgift är därför att understödja och förlänga de s</w:t>
      </w:r>
      <w:r w:rsidRPr="00C9680B">
        <w:t>e</w:t>
      </w:r>
      <w:r w:rsidRPr="00C9680B">
        <w:t xml:space="preserve">naste årens goda ekonomiska utveckling. Politiken skall inriktas på fortsatt starka offentliga finanser och låg inflation, bl.a. för att Sverige även skall klara de långsiktiga utmaningar som ställs till följd av den demografiska </w:t>
      </w:r>
      <w:r w:rsidRPr="00C9680B">
        <w:t>utvecklingen. Risken för att ekonomin blir överhettad skall motverkas genom att finanspolitiken anpassas till efterfrågeläget och produktionskapaciteten. Ekonomins långsiktiga produktionsförmåga skall höjas genom att lediga arbetskraftsresurser mobiliseras, konkurrensen befrämjas och betydande satsningar görs i utbildning och kompetensutveckling. För att tillväxten skall bli långsiktigt hållbar måste den också komma alla till del. Tillväxt och rättv</w:t>
      </w:r>
      <w:r w:rsidRPr="00C9680B">
        <w:t>i</w:t>
      </w:r>
      <w:r w:rsidRPr="00C9680B">
        <w:t>sa går enligt utskottets mening hand i hand. En stabil och</w:t>
      </w:r>
      <w:r w:rsidRPr="00C9680B">
        <w:t xml:space="preserve"> uthållig uppgång bygger på delaktighet, att alla bidrar efter sin förmåga. Tillväxten skall vara ekol</w:t>
      </w:r>
      <w:r w:rsidRPr="00C9680B">
        <w:t>o</w:t>
      </w:r>
      <w:r w:rsidRPr="00C9680B">
        <w:t xml:space="preserve">giskt hållbar. </w:t>
      </w:r>
    </w:p>
    <w:p w:rsidR="001C7BF9" w:rsidRPr="00C9680B" w:rsidRDefault="001C7BF9">
      <w:pPr>
        <w:pStyle w:val="Normaltindrag"/>
      </w:pPr>
      <w:r w:rsidRPr="00C9680B">
        <w:t>De växande överskotten i de offentliga finanserna gör att det är möjligt att gå vidare med välfärdsreformer, att förbättra tillväxtförutsättningarna, öka rättvisan och amortera på den offentliga skulden. Det breda åtgärdsprogra</w:t>
      </w:r>
      <w:r w:rsidRPr="00C9680B">
        <w:t>m</w:t>
      </w:r>
      <w:r w:rsidRPr="00C9680B">
        <w:t>met inom arbetsmarknadspolitiken fullföljs. Barnen ställs i centrum för polit</w:t>
      </w:r>
      <w:r w:rsidRPr="00C9680B">
        <w:t>i</w:t>
      </w:r>
      <w:r w:rsidRPr="00C9680B">
        <w:t>ken. En mycket stor satsning görs på skolan och en bred familjepolitisk r</w:t>
      </w:r>
      <w:r w:rsidRPr="00C9680B">
        <w:t>e</w:t>
      </w:r>
      <w:r w:rsidRPr="00C9680B">
        <w:t>form genomförs. En rad andra åtgärder vidtas för att förstärka utbildningen och för att ytterligare förbättra företagens tillväxtbetingelser och öka tillvä</w:t>
      </w:r>
      <w:r w:rsidRPr="00C9680B">
        <w:t>x</w:t>
      </w:r>
      <w:r w:rsidRPr="00C9680B">
        <w:t>ten i hela Sverige. Infrastrukturen inom IT-sektorn byggs nu ut genom en stor statlig satsning. De sämst ställda pensionärernas ekonomi förbättras genom att bostadstillägget och det särskilda bostadstill</w:t>
      </w:r>
      <w:r w:rsidRPr="00C9680B">
        <w:t>ägget höjs och genom att den tillfälliga höjningen av pensionstillskottet permanentas. De senaste årens stora satsningar på vård, skola och omsorg fortsätter. Ekonomins gynnsamma u</w:t>
      </w:r>
      <w:r w:rsidRPr="00C9680B">
        <w:t>t</w:t>
      </w:r>
      <w:r w:rsidRPr="00C9680B">
        <w:t>veckling innebär att det är möjligt att gå vidare med den inkomstskattereform som presenterades i förra årets budgetproposition. T.ex. kompenseras lönt</w:t>
      </w:r>
      <w:r w:rsidRPr="00C9680B">
        <w:t>a</w:t>
      </w:r>
      <w:r w:rsidRPr="00C9680B">
        <w:t>garna för ytterligare en fjärdedel av egenavgifterna fr.o.m. 2001. Dessutom tas ytterligare steg i den gröna skatt</w:t>
      </w:r>
      <w:r w:rsidRPr="00C9680B">
        <w:t>e</w:t>
      </w:r>
      <w:r w:rsidRPr="00C9680B">
        <w:t xml:space="preserve">växlingen. </w:t>
      </w:r>
    </w:p>
    <w:p w:rsidR="001C7BF9" w:rsidRPr="00C9680B" w:rsidRDefault="001C7BF9">
      <w:pPr>
        <w:pStyle w:val="Rubrik3"/>
        <w:rPr>
          <w:noProof w:val="0"/>
        </w:rPr>
      </w:pPr>
      <w:bookmarkStart w:id="11" w:name="_Toc498763471"/>
      <w:bookmarkStart w:id="12" w:name="_Toc498858071"/>
      <w:bookmarkStart w:id="13" w:name="_Toc498910640"/>
      <w:r w:rsidRPr="00C9680B">
        <w:rPr>
          <w:noProof w:val="0"/>
        </w:rPr>
        <w:t>Budgetpolitiken</w:t>
      </w:r>
      <w:bookmarkEnd w:id="11"/>
      <w:bookmarkEnd w:id="12"/>
      <w:bookmarkEnd w:id="13"/>
    </w:p>
    <w:p w:rsidR="001C7BF9" w:rsidRPr="00C9680B" w:rsidRDefault="001C7BF9">
      <w:r w:rsidRPr="00C9680B">
        <w:t>Utskottet tillstyrker regeringens förslag till inriktning av budgetpolit</w:t>
      </w:r>
      <w:r w:rsidRPr="00C9680B">
        <w:t>i</w:t>
      </w:r>
      <w:r w:rsidRPr="00C9680B">
        <w:t>ken.</w:t>
      </w:r>
    </w:p>
    <w:p w:rsidR="001C7BF9" w:rsidRPr="00C9680B" w:rsidRDefault="001C7BF9">
      <w:pPr>
        <w:pStyle w:val="Normaltindrag"/>
      </w:pPr>
      <w:r w:rsidRPr="00C9680B">
        <w:t>Utskottet delar regeringens bedömning att överskottsmålet för de offentl</w:t>
      </w:r>
      <w:r w:rsidRPr="00C9680B">
        <w:t>i</w:t>
      </w:r>
      <w:r w:rsidRPr="00C9680B">
        <w:t>ga finanserna bör höjas från 2,0 till 2,5 % av BNP 2001 för att minska risken för överhettning. Även för 2002 och 2003 förutses betydande överskott i den offentliga sektorns finansiella sparande, så stora att de överstiger det geno</w:t>
      </w:r>
      <w:r w:rsidRPr="00C9680B">
        <w:t>m</w:t>
      </w:r>
      <w:r w:rsidRPr="00C9680B">
        <w:t>snittliga överskottsmålet på 2,0 %. Till den del överskotten överstiger denna nivå har de i regeringens budgetförslag reserverats för framtida skattesän</w:t>
      </w:r>
      <w:r w:rsidRPr="00C9680B">
        <w:t>k</w:t>
      </w:r>
      <w:r w:rsidRPr="00C9680B">
        <w:t>ningar och nya u</w:t>
      </w:r>
      <w:r w:rsidRPr="00C9680B">
        <w:t>t</w:t>
      </w:r>
      <w:r w:rsidRPr="00C9680B">
        <w:t>giftsåtaganden som skall komma hushållen till del.</w:t>
      </w:r>
    </w:p>
    <w:p w:rsidR="001C7BF9" w:rsidRPr="00C9680B" w:rsidRDefault="001C7BF9">
      <w:pPr>
        <w:pStyle w:val="Normaltindrag"/>
      </w:pPr>
      <w:r w:rsidRPr="00C9680B">
        <w:t>Utgiftstaken för 2001–2003 ligger fast men deras nivåer sä</w:t>
      </w:r>
      <w:r w:rsidRPr="00C9680B">
        <w:t>nks med 3 mi</w:t>
      </w:r>
      <w:r w:rsidRPr="00C9680B">
        <w:t>l</w:t>
      </w:r>
      <w:r w:rsidRPr="00C9680B">
        <w:t>jarder kronor respektive år som en teknisk anpassning till att behovet av stat</w:t>
      </w:r>
      <w:r w:rsidRPr="00C9680B">
        <w:t>s</w:t>
      </w:r>
      <w:r w:rsidRPr="00C9680B">
        <w:t>bidrag till kommunerna minskar med anledning av de av regeringen föresla</w:t>
      </w:r>
      <w:r w:rsidRPr="00C9680B">
        <w:t>g</w:t>
      </w:r>
      <w:r w:rsidRPr="00C9680B">
        <w:t>na inkomstskattesänkningarna. De nya nivåerna för utgiftstaket för staten uppgår därmed till 789, 814 respektive 844 miljarder kr</w:t>
      </w:r>
      <w:r w:rsidRPr="00C9680B">
        <w:t>o</w:t>
      </w:r>
      <w:r w:rsidRPr="00C9680B">
        <w:t>nor för 2001–2003.</w:t>
      </w:r>
    </w:p>
    <w:p w:rsidR="001C7BF9" w:rsidRPr="00C9680B" w:rsidRDefault="001C7BF9">
      <w:pPr>
        <w:pStyle w:val="Normaltindrag"/>
      </w:pPr>
      <w:r w:rsidRPr="00C9680B">
        <w:t>De i budgetpropositionen föreslagna skattesänkningarna för 2001 uppgår till sammanlagt närmare 17 miljarder kronor, varav 12,5 miljarder kronor avser andra steget i inkomstskattereformen och 3,4 mil</w:t>
      </w:r>
      <w:r w:rsidRPr="00C9680B">
        <w:t>jarder kronor utgör kompensation för höjda taxeringsvärden. Skatteförslagen innefattar även en grön skatteväxling med en omslu</w:t>
      </w:r>
      <w:r w:rsidRPr="00C9680B">
        <w:t>t</w:t>
      </w:r>
      <w:r w:rsidRPr="00C9680B">
        <w:t>ning på 3,3 miljarder kronor.</w:t>
      </w:r>
    </w:p>
    <w:p w:rsidR="001C7BF9" w:rsidRPr="00C9680B" w:rsidRDefault="001C7BF9">
      <w:pPr>
        <w:pStyle w:val="Normaltindrag"/>
      </w:pPr>
      <w:r w:rsidRPr="00C9680B">
        <w:t>Till detta kommer föreslagna utgiftsåtaganden som för nästa år uppgår till 1,0 miljarder kronor. Sammantaget väntas således de föreslagna skattesän</w:t>
      </w:r>
      <w:r w:rsidRPr="00C9680B">
        <w:t>k</w:t>
      </w:r>
      <w:r w:rsidRPr="00C9680B">
        <w:t>ningarna och de nya utgiftsåtagandena leda till att den offentliga sektorns finanser försvagas med närmare 18 miljarder kronor 2001. Trots detta väntas alltjämt de uppställda budgetpoliti</w:t>
      </w:r>
      <w:r w:rsidRPr="00C9680B">
        <w:t>s</w:t>
      </w:r>
      <w:r w:rsidRPr="00C9680B">
        <w:t>ka målen kunna klaras med bred marginal.</w:t>
      </w:r>
    </w:p>
    <w:p w:rsidR="001C7BF9" w:rsidRPr="00C9680B" w:rsidRDefault="001C7BF9">
      <w:pPr>
        <w:pStyle w:val="Normaltindrag"/>
      </w:pPr>
      <w:r w:rsidRPr="00C9680B">
        <w:t>För att staten skall kunna teckna aktier vid en eventuell nyemission mot</w:t>
      </w:r>
      <w:r w:rsidRPr="00C9680B">
        <w:softHyphen/>
        <w:t>svarande den nuvarande ägarandelen i OM Gruppen AB föreslår utskottet att låneramen för investeringar i anlägg</w:t>
      </w:r>
      <w:r w:rsidRPr="00C9680B">
        <w:softHyphen/>
        <w:t>ningstillgångar för budgetåret 2001 u</w:t>
      </w:r>
      <w:r w:rsidRPr="00C9680B">
        <w:t>t</w:t>
      </w:r>
      <w:r w:rsidRPr="00C9680B">
        <w:t>vidgas med 200 miljoner kronor utöver regeringens förslag i budgetpropos</w:t>
      </w:r>
      <w:r w:rsidRPr="00C9680B">
        <w:t>i</w:t>
      </w:r>
      <w:r w:rsidRPr="00C9680B">
        <w:t>tionen</w:t>
      </w:r>
    </w:p>
    <w:p w:rsidR="001C7BF9" w:rsidRPr="00C9680B" w:rsidRDefault="001C7BF9">
      <w:pPr>
        <w:pStyle w:val="Rubrik3"/>
        <w:rPr>
          <w:noProof w:val="0"/>
        </w:rPr>
      </w:pPr>
      <w:bookmarkStart w:id="14" w:name="_Toc498763472"/>
      <w:bookmarkStart w:id="15" w:name="_Toc498858072"/>
      <w:bookmarkStart w:id="16" w:name="_Toc498910641"/>
      <w:r w:rsidRPr="00C9680B">
        <w:rPr>
          <w:noProof w:val="0"/>
        </w:rPr>
        <w:t>Skatteförslagen</w:t>
      </w:r>
      <w:bookmarkEnd w:id="14"/>
      <w:bookmarkEnd w:id="15"/>
      <w:bookmarkEnd w:id="16"/>
    </w:p>
    <w:p w:rsidR="001C7BF9" w:rsidRPr="00C9680B" w:rsidRDefault="001C7BF9">
      <w:r w:rsidRPr="00C9680B">
        <w:t>Utskottet ställer sig bakom regeringens förslag i budgetpropositionen till ändrade skatte- och avgiftsregler. Utskottet tillstyrker således följande förslag.</w:t>
      </w:r>
    </w:p>
    <w:p w:rsidR="001C7BF9" w:rsidRPr="00C9680B" w:rsidRDefault="001C7BF9">
      <w:pPr>
        <w:pStyle w:val="Normaltindrag"/>
      </w:pPr>
      <w:r w:rsidRPr="00C9680B">
        <w:t>Kompensationen för den allmänna pensionsavgiften höjs till 50 %. Skatt</w:t>
      </w:r>
      <w:r w:rsidRPr="00C9680B">
        <w:t>e</w:t>
      </w:r>
      <w:r w:rsidRPr="00C9680B">
        <w:t>reduk</w:t>
      </w:r>
      <w:r w:rsidRPr="00C9680B">
        <w:softHyphen/>
        <w:t>tionen på 1 320 kr för låginkomsttagare behålls och gränsen för uttag av statlig inkomstskatt justeras i syfte att minska andelen skatt</w:t>
      </w:r>
      <w:r w:rsidRPr="00C9680B">
        <w:softHyphen/>
        <w:t>skyldiga som betalar statlig inkomstskatt till 16 %. Rese</w:t>
      </w:r>
      <w:r w:rsidRPr="00C9680B">
        <w:softHyphen/>
        <w:t>avdraget höjs från 15 till 16 kr med motsvarande ändring för fö</w:t>
      </w:r>
      <w:r w:rsidRPr="00C9680B">
        <w:t>r</w:t>
      </w:r>
      <w:r w:rsidRPr="00C9680B">
        <w:t xml:space="preserve">månsbilar. </w:t>
      </w:r>
    </w:p>
    <w:p w:rsidR="001C7BF9" w:rsidRPr="00C9680B" w:rsidRDefault="001C7BF9">
      <w:pPr>
        <w:pStyle w:val="Normaltindrag"/>
      </w:pPr>
      <w:r w:rsidRPr="00C9680B">
        <w:t>Som ett led i den gröna skatteväxling som genomförs höjs grund</w:t>
      </w:r>
      <w:r w:rsidRPr="00C9680B">
        <w:softHyphen/>
        <w:t>avdraget till 10 000 kr och det särskilda grundavdraget på motsvarande sätt. Vidare sänks det sammantagna uttaget av socialavgifter med 0,1 %. Härvid sänks den allmänna löneavgiften från 3,09 till 2,69 % samtidigt som sjukförsäkringsa</w:t>
      </w:r>
      <w:r w:rsidRPr="00C9680B">
        <w:t>v</w:t>
      </w:r>
      <w:r w:rsidRPr="00C9680B">
        <w:t>giften höjs från 8,5 till 8,8 % för dem som betalar arbetsgivaravgifter och från 9,23 till 9,53 % för dem som betalar egenavgi</w:t>
      </w:r>
      <w:r w:rsidRPr="00C9680B">
        <w:t>f</w:t>
      </w:r>
      <w:r w:rsidRPr="00C9680B">
        <w:t>ter.</w:t>
      </w:r>
    </w:p>
    <w:p w:rsidR="001C7BF9" w:rsidRPr="00C9680B" w:rsidRDefault="001C7BF9">
      <w:pPr>
        <w:pStyle w:val="Normaltindrag"/>
      </w:pPr>
      <w:r w:rsidRPr="00C9680B">
        <w:t>Utskottet föreslår vidare att riksdagen bifaller regeringens förslag om sänkt fastighetsskatt på småhus till 1,2 % och fastighetsskatt på hyresh</w:t>
      </w:r>
      <w:r w:rsidRPr="00C9680B">
        <w:t>us (bostad</w:t>
      </w:r>
      <w:r w:rsidRPr="00C9680B">
        <w:t>s</w:t>
      </w:r>
      <w:r w:rsidRPr="00C9680B">
        <w:t>delen) till 0,7 % den 1 januari 2001. Utskottet instämmer i regeringens b</w:t>
      </w:r>
      <w:r w:rsidRPr="00C9680B">
        <w:t>e</w:t>
      </w:r>
      <w:r w:rsidRPr="00C9680B">
        <w:t>dömning att fribeloppet för uttag av förmögenhetsskatt bör höjas från 900 000 kr till 1 000 000 kr för ensamstående och till 1 500 000 kr för sambeskattade par vid 2002 års inkomststaxering. Förslaget om att hyreshus (bostads</w:t>
      </w:r>
      <w:r w:rsidRPr="00C9680B">
        <w:softHyphen/>
        <w:t>delen) skall värderas till det lägsta av 1999 respektive 2000 års taxeringsvärde vid beräkning av skattepliktig förmögenhet vid 2001 års taxering tillstyrks. Vid</w:t>
      </w:r>
      <w:r w:rsidRPr="00C9680B">
        <w:t>a</w:t>
      </w:r>
      <w:r w:rsidRPr="00C9680B">
        <w:t>re tillstyrker utskottet regeringens fö</w:t>
      </w:r>
      <w:r w:rsidRPr="00C9680B">
        <w:t>rslag om att den skattepliktiga delen av vinsten vid försäljning av privatbostadsfastigheter och privatbostadsrätter höjs från hälften till två tredjedelar av kapital</w:t>
      </w:r>
      <w:r w:rsidRPr="00C9680B">
        <w:softHyphen/>
        <w:t>vinsten.</w:t>
      </w:r>
    </w:p>
    <w:p w:rsidR="001C7BF9" w:rsidRPr="00C9680B" w:rsidRDefault="001C7BF9">
      <w:pPr>
        <w:pStyle w:val="Normaltindrag"/>
      </w:pPr>
      <w:r w:rsidRPr="00C9680B">
        <w:t>Som ett ytterligare steg i en grön skatteväxling genomförs förändringar inom energibeskattningen. Koldioxidskatten höjs i ett första steg från 37 öre per kg till 46 öre per kg och intäkterna från denna höjning används för en sänkning av energiskatten på el och bränslen. Vidare höjs koldioxidskatten i ett andra steg till 53 öre per kg.</w:t>
      </w:r>
      <w:r w:rsidRPr="00C9680B">
        <w:t xml:space="preserve"> Vid dessa förändringar hålls skattebelastnin</w:t>
      </w:r>
      <w:r w:rsidRPr="00C9680B">
        <w:t>g</w:t>
      </w:r>
      <w:r w:rsidRPr="00C9680B">
        <w:t>en för transportsektorn, tillverkningsindustrin samt jordbruks-, skogsbruks- och vattennäringarna oförändrad. Härvid rättas lagtexten så att höjningen inte slår igenom på naturgas, metan och gasol som används som drivmedel. Ene</w:t>
      </w:r>
      <w:r w:rsidRPr="00C9680B">
        <w:t>r</w:t>
      </w:r>
      <w:r w:rsidRPr="00C9680B">
        <w:t>gi</w:t>
      </w:r>
      <w:r w:rsidRPr="00C9680B">
        <w:softHyphen/>
        <w:t>skatten på el höjs med netto 1,9 öre per kWh och energi</w:t>
      </w:r>
      <w:r w:rsidRPr="00C9680B">
        <w:softHyphen/>
        <w:t>skatten på dieselolja med 117 kr per m</w:t>
      </w:r>
      <w:r w:rsidRPr="00C9680B">
        <w:rPr>
          <w:vertAlign w:val="superscript"/>
        </w:rPr>
        <w:t>3</w:t>
      </w:r>
      <w:r w:rsidRPr="00C9680B">
        <w:t>. Mer</w:t>
      </w:r>
      <w:r w:rsidRPr="00C9680B">
        <w:softHyphen/>
        <w:t>värdesskatten på personbefordran sänks från 12 % till 6 %.</w:t>
      </w:r>
    </w:p>
    <w:p w:rsidR="001C7BF9" w:rsidRPr="00C9680B" w:rsidRDefault="001C7BF9">
      <w:pPr>
        <w:pStyle w:val="Normaltindrag"/>
      </w:pPr>
      <w:r w:rsidRPr="00C9680B">
        <w:t>Fordons</w:t>
      </w:r>
      <w:r w:rsidRPr="00C9680B">
        <w:softHyphen/>
        <w:t>skatten för dieseldrivna personbilar av 1993 års modell och äldre höjs till samma nivå som gäller för nyare dieseldrivna personbilar. Försäl</w:t>
      </w:r>
      <w:r w:rsidRPr="00C9680B">
        <w:t>j</w:t>
      </w:r>
      <w:r w:rsidRPr="00C9680B">
        <w:t>ningsskatten på lätta lastbilar och bussar samt motorcyklar sl</w:t>
      </w:r>
      <w:r w:rsidRPr="00C9680B">
        <w:t>o</w:t>
      </w:r>
      <w:r w:rsidRPr="00C9680B">
        <w:t xml:space="preserve">pas. </w:t>
      </w:r>
    </w:p>
    <w:p w:rsidR="001C7BF9" w:rsidRPr="00C9680B" w:rsidRDefault="001C7BF9">
      <w:pPr>
        <w:pStyle w:val="Normaltindrag"/>
      </w:pPr>
      <w:r w:rsidRPr="00C9680B">
        <w:t>Gränsen för privatinförsel höjs till 26 liter för vin, till 6 liter för starkvin och till 32 liter för starköl den 1 j</w:t>
      </w:r>
      <w:r w:rsidRPr="00C9680B">
        <w:t>a</w:t>
      </w:r>
      <w:r w:rsidRPr="00C9680B">
        <w:t>nuari 2001.</w:t>
      </w:r>
    </w:p>
    <w:p w:rsidR="001C7BF9" w:rsidRPr="00C9680B" w:rsidRDefault="001C7BF9">
      <w:pPr>
        <w:pStyle w:val="Rubrik3"/>
        <w:rPr>
          <w:noProof w:val="0"/>
        </w:rPr>
      </w:pPr>
      <w:bookmarkStart w:id="17" w:name="_Toc498763473"/>
      <w:bookmarkStart w:id="18" w:name="_Toc498858073"/>
      <w:bookmarkStart w:id="19" w:name="_Toc498910642"/>
      <w:r w:rsidRPr="00C9680B">
        <w:rPr>
          <w:noProof w:val="0"/>
        </w:rPr>
        <w:t>Indelningen i politikområden och den ekonomiska styrningen</w:t>
      </w:r>
      <w:bookmarkEnd w:id="17"/>
      <w:bookmarkEnd w:id="18"/>
      <w:bookmarkEnd w:id="19"/>
    </w:p>
    <w:p w:rsidR="001C7BF9" w:rsidRPr="00C9680B" w:rsidRDefault="001C7BF9">
      <w:r w:rsidRPr="00C9680B">
        <w:t>Sammanfattningsvis anser utskottet att indelningen i politikområden kan ge förutsättningar för bättre formulerade mål inom ramen för resultatstyrningen. Det är nödvändigt att regeringen i det fortsatta utvecklingsarbetet beaktar konsekvenserna för riksdagen av indelningen i politikområden. Enligt u</w:t>
      </w:r>
      <w:r w:rsidRPr="00C9680B">
        <w:t>t</w:t>
      </w:r>
      <w:r w:rsidRPr="00C9680B">
        <w:t>skottets bedömning kommer politikområdesindelningen att behöva revideras i samband med att man gör indelningen på de lägre niv</w:t>
      </w:r>
      <w:r w:rsidRPr="00C9680B">
        <w:t>å</w:t>
      </w:r>
      <w:r w:rsidRPr="00C9680B">
        <w:t>erna.</w:t>
      </w:r>
    </w:p>
    <w:p w:rsidR="001C7BF9" w:rsidRPr="00C9680B" w:rsidRDefault="001C7BF9">
      <w:pPr>
        <w:pStyle w:val="Normaltindrag"/>
      </w:pPr>
      <w:r w:rsidRPr="00C9680B">
        <w:t>Enligt finansutskottets mening är det mycket viktigt att målen är välfo</w:t>
      </w:r>
      <w:r w:rsidRPr="00C9680B">
        <w:t>r</w:t>
      </w:r>
      <w:r w:rsidRPr="00C9680B">
        <w:t>mulerade och uppföljningsbara för att resultatstyrningen skall vara mening</w:t>
      </w:r>
      <w:r w:rsidRPr="00C9680B">
        <w:t>s</w:t>
      </w:r>
      <w:r w:rsidRPr="00C9680B">
        <w:t>full och e</w:t>
      </w:r>
      <w:r w:rsidRPr="00C9680B">
        <w:t>f</w:t>
      </w:r>
      <w:r w:rsidRPr="00C9680B">
        <w:t xml:space="preserve">fektiv. </w:t>
      </w:r>
    </w:p>
    <w:p w:rsidR="001C7BF9" w:rsidRPr="00C9680B" w:rsidRDefault="001C7BF9">
      <w:pPr>
        <w:pStyle w:val="Normaltindrag"/>
      </w:pPr>
      <w:r w:rsidRPr="00C9680B">
        <w:t>Utgiftsområden och politikområden har båda som syfte att göra en politiskt rel</w:t>
      </w:r>
      <w:r w:rsidRPr="00C9680B">
        <w:t>e</w:t>
      </w:r>
      <w:r w:rsidRPr="00C9680B">
        <w:t>vant indelning av statsbudgeten. I princip är utgiftsområdena den över</w:t>
      </w:r>
      <w:r w:rsidRPr="00C9680B">
        <w:softHyphen/>
        <w:t>gripande indelningsprincipen. Politikområdesindelningen skär emellertid genom såväl u</w:t>
      </w:r>
      <w:r w:rsidRPr="00C9680B">
        <w:t>t</w:t>
      </w:r>
      <w:r w:rsidRPr="00C9680B">
        <w:t>giftsområdesindelningen som utskottsindelningen. Detta för</w:t>
      </w:r>
      <w:r w:rsidRPr="00C9680B">
        <w:softHyphen/>
        <w:t xml:space="preserve">hållande väcker en rad olika frågor. Det har nämligen varit en styrka med indelningen i utgiftsområden att dessa inte har delats mellan flera utskott. Det är utskottets uppfattning att politik- och utgiftsområdena på sikt bör bringas i större överensstämmelse med varandra. </w:t>
      </w:r>
    </w:p>
    <w:p w:rsidR="001C7BF9" w:rsidRPr="00C9680B" w:rsidRDefault="001C7BF9">
      <w:r w:rsidRPr="00C9680B">
        <w:t>Samtliga motioner so</w:t>
      </w:r>
      <w:r w:rsidRPr="00C9680B">
        <w:t>m behandlas i betänkandet avstyrks.</w:t>
      </w:r>
    </w:p>
    <w:p w:rsidR="001C7BF9" w:rsidRPr="00C9680B" w:rsidRDefault="001C7BF9">
      <w:r w:rsidRPr="00C9680B">
        <w:t>I betänkandet finns 23 reservationer och 3 särskilda yttranden.</w:t>
      </w:r>
    </w:p>
    <w:p w:rsidR="001C7BF9" w:rsidRPr="00C9680B" w:rsidRDefault="001C7BF9"/>
    <w:p w:rsidR="001C7BF9" w:rsidRPr="00C9680B" w:rsidRDefault="001C7BF9">
      <w:pPr>
        <w:pStyle w:val="Normaltindrag"/>
      </w:pPr>
    </w:p>
    <w:p w:rsidR="001C7BF9" w:rsidRPr="00C9680B" w:rsidRDefault="001C7BF9">
      <w:pPr>
        <w:pStyle w:val="Normaltindrag"/>
        <w:sectPr w:rsidR="00000000" w:rsidRPr="00C9680B">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907" w:right="4649" w:bottom="4508" w:left="1304" w:header="340" w:footer="227" w:gutter="0"/>
          <w:cols w:space="720"/>
          <w:titlePg/>
        </w:sectPr>
      </w:pPr>
    </w:p>
    <w:p w:rsidR="001C7BF9" w:rsidRPr="00C9680B" w:rsidRDefault="001C7BF9">
      <w:pPr>
        <w:pStyle w:val="Rubrik1"/>
        <w:rPr>
          <w:noProof w:val="0"/>
        </w:rPr>
      </w:pPr>
      <w:bookmarkStart w:id="20" w:name="_Toc498910643"/>
      <w:r w:rsidRPr="00C9680B">
        <w:rPr>
          <w:noProof w:val="0"/>
        </w:rPr>
        <w:t>Innehållsförteckning</w:t>
      </w:r>
      <w:bookmarkEnd w:id="20"/>
    </w:p>
    <w:p w:rsidR="001C7BF9" w:rsidRPr="00C9680B" w:rsidRDefault="001C7BF9">
      <w:pPr>
        <w:pStyle w:val="Innehll1"/>
      </w:pPr>
      <w:r w:rsidRPr="00C9680B">
        <w:t>Sammanfattning</w:t>
      </w:r>
      <w:r w:rsidRPr="00C9680B">
        <w:tab/>
        <w:t>1</w:t>
      </w:r>
    </w:p>
    <w:p w:rsidR="001C7BF9" w:rsidRPr="00C9680B" w:rsidRDefault="001C7BF9">
      <w:pPr>
        <w:pStyle w:val="Innehll1"/>
      </w:pPr>
      <w:r w:rsidRPr="00C9680B">
        <w:t>Innehållsförteckning</w:t>
      </w:r>
      <w:r w:rsidRPr="00C9680B">
        <w:tab/>
        <w:t>6</w:t>
      </w:r>
    </w:p>
    <w:p w:rsidR="001C7BF9" w:rsidRPr="00C9680B" w:rsidRDefault="001C7BF9">
      <w:pPr>
        <w:pStyle w:val="Innehll1"/>
      </w:pPr>
      <w:r w:rsidRPr="00C9680B">
        <w:t>Utskottets förslag till riksdagsbeslut</w:t>
      </w:r>
      <w:r w:rsidRPr="00C9680B">
        <w:tab/>
        <w:t>14</w:t>
      </w:r>
    </w:p>
    <w:p w:rsidR="001C7BF9" w:rsidRPr="00C9680B" w:rsidRDefault="001C7BF9">
      <w:pPr>
        <w:pStyle w:val="Innehll2"/>
      </w:pPr>
      <w:r w:rsidRPr="00C9680B">
        <w:t>Förslag till fördelning av statsbudgetens utgifter för år 2001 på utgiftsområden</w:t>
      </w:r>
      <w:r w:rsidRPr="00C9680B">
        <w:tab/>
        <w:t>22</w:t>
      </w:r>
    </w:p>
    <w:p w:rsidR="001C7BF9" w:rsidRPr="00C9680B" w:rsidRDefault="001C7BF9">
      <w:pPr>
        <w:pStyle w:val="Innehll2"/>
      </w:pPr>
      <w:r w:rsidRPr="00C9680B">
        <w:t>Förslag till beräkning av statbudgetens inkomster för år 2001 per inkomsttitel</w:t>
      </w:r>
      <w:r w:rsidRPr="00C9680B">
        <w:tab/>
        <w:t>24</w:t>
      </w:r>
    </w:p>
    <w:p w:rsidR="001C7BF9" w:rsidRPr="00C9680B" w:rsidRDefault="001C7BF9">
      <w:pPr>
        <w:pStyle w:val="Innehll2"/>
      </w:pPr>
      <w:r w:rsidRPr="00C9680B">
        <w:t>Förteckning över av utskottet i punkt 5 avstyrkta motionsyrkanden</w:t>
      </w:r>
      <w:r w:rsidRPr="00C9680B">
        <w:tab/>
        <w:t>28</w:t>
      </w:r>
    </w:p>
    <w:p w:rsidR="001C7BF9" w:rsidRPr="00C9680B" w:rsidRDefault="001C7BF9">
      <w:pPr>
        <w:pStyle w:val="Innehll1"/>
      </w:pPr>
      <w:r w:rsidRPr="00C9680B">
        <w:t>Redogörelse för ärendet</w:t>
      </w:r>
      <w:r w:rsidRPr="00C9680B">
        <w:tab/>
        <w:t>34</w:t>
      </w:r>
    </w:p>
    <w:p w:rsidR="001C7BF9" w:rsidRPr="00C9680B" w:rsidRDefault="001C7BF9">
      <w:pPr>
        <w:pStyle w:val="Innehll1"/>
      </w:pPr>
      <w:r w:rsidRPr="00C9680B">
        <w:t>Utskottets överväganden</w:t>
      </w:r>
      <w:r w:rsidRPr="00C9680B">
        <w:tab/>
        <w:t>37</w:t>
      </w:r>
    </w:p>
    <w:p w:rsidR="001C7BF9" w:rsidRPr="00C9680B" w:rsidRDefault="001C7BF9">
      <w:pPr>
        <w:pStyle w:val="Innehll1"/>
      </w:pPr>
      <w:r w:rsidRPr="00C9680B">
        <w:t>1 Den ekonomiska politiken</w:t>
      </w:r>
      <w:r w:rsidRPr="00C9680B">
        <w:tab/>
        <w:t>37</w:t>
      </w:r>
    </w:p>
    <w:p w:rsidR="001C7BF9" w:rsidRPr="00C9680B" w:rsidRDefault="001C7BF9">
      <w:pPr>
        <w:pStyle w:val="Innehll2"/>
      </w:pPr>
      <w:r w:rsidRPr="00C9680B">
        <w:t>1.1 Den internationella utvecklingen</w:t>
      </w:r>
      <w:r w:rsidRPr="00C9680B">
        <w:tab/>
        <w:t>37</w:t>
      </w:r>
    </w:p>
    <w:p w:rsidR="001C7BF9" w:rsidRPr="00C9680B" w:rsidRDefault="001C7BF9">
      <w:pPr>
        <w:pStyle w:val="Innehll3"/>
      </w:pPr>
      <w:r w:rsidRPr="00C9680B">
        <w:t>1.1.1 Hög tillväxt i  världsekonomin</w:t>
      </w:r>
      <w:r w:rsidRPr="00C9680B">
        <w:tab/>
        <w:t>37</w:t>
      </w:r>
    </w:p>
    <w:p w:rsidR="001C7BF9" w:rsidRPr="00C9680B" w:rsidRDefault="001C7BF9">
      <w:pPr>
        <w:pStyle w:val="Innehll3"/>
      </w:pPr>
      <w:r w:rsidRPr="00C9680B">
        <w:t>1.1.2 Mjuklandning i Förenta staterna</w:t>
      </w:r>
      <w:r w:rsidRPr="00C9680B">
        <w:tab/>
        <w:t>38</w:t>
      </w:r>
    </w:p>
    <w:p w:rsidR="001C7BF9" w:rsidRPr="00C9680B" w:rsidRDefault="001C7BF9">
      <w:pPr>
        <w:pStyle w:val="Innehll3"/>
      </w:pPr>
      <w:r w:rsidRPr="00C9680B">
        <w:t>1.1.3 Frågetecken i Japan men stark återhämtning i övriga Asien</w:t>
      </w:r>
      <w:r w:rsidRPr="00C9680B">
        <w:tab/>
        <w:t>39</w:t>
      </w:r>
    </w:p>
    <w:p w:rsidR="001C7BF9" w:rsidRPr="00C9680B" w:rsidRDefault="001C7BF9">
      <w:pPr>
        <w:pStyle w:val="Innehll3"/>
      </w:pPr>
      <w:r w:rsidRPr="00C9680B">
        <w:t>1.1.4 Hög och bredare tillväxt i Europa</w:t>
      </w:r>
      <w:r w:rsidRPr="00C9680B">
        <w:tab/>
        <w:t>40</w:t>
      </w:r>
    </w:p>
    <w:p w:rsidR="001C7BF9" w:rsidRPr="00C9680B" w:rsidRDefault="001C7BF9">
      <w:pPr>
        <w:pStyle w:val="Innehll3"/>
      </w:pPr>
      <w:r w:rsidRPr="00C9680B">
        <w:t>1.1.5 Höga oljepriser lyfter den ryska ekonomin</w:t>
      </w:r>
      <w:r w:rsidRPr="00C9680B">
        <w:tab/>
        <w:t>42</w:t>
      </w:r>
    </w:p>
    <w:p w:rsidR="001C7BF9" w:rsidRPr="00C9680B" w:rsidRDefault="001C7BF9">
      <w:pPr>
        <w:pStyle w:val="Innehll3"/>
      </w:pPr>
      <w:r w:rsidRPr="00C9680B">
        <w:t>1.1.6 Osäkerheter i den internationella bedömningen</w:t>
      </w:r>
      <w:r w:rsidRPr="00C9680B">
        <w:tab/>
        <w:t>42</w:t>
      </w:r>
    </w:p>
    <w:p w:rsidR="001C7BF9" w:rsidRPr="00C9680B" w:rsidRDefault="001C7BF9">
      <w:pPr>
        <w:pStyle w:val="Innehll2"/>
      </w:pPr>
      <w:r w:rsidRPr="00C9680B">
        <w:t>1.2 Den ekonomiska utvecklingen i Sverige</w:t>
      </w:r>
      <w:r w:rsidRPr="00C9680B">
        <w:tab/>
        <w:t>43</w:t>
      </w:r>
    </w:p>
    <w:p w:rsidR="001C7BF9" w:rsidRPr="00C9680B" w:rsidRDefault="001C7BF9">
      <w:pPr>
        <w:pStyle w:val="Innehll3"/>
      </w:pPr>
      <w:r w:rsidRPr="00C9680B">
        <w:t>1.2.1 Konjunkturen 2000 och 2001 och utsikterna fram till 2003</w:t>
      </w:r>
      <w:r w:rsidRPr="00C9680B">
        <w:tab/>
        <w:t>43</w:t>
      </w:r>
    </w:p>
    <w:p w:rsidR="001C7BF9" w:rsidRPr="00C9680B" w:rsidRDefault="001C7BF9">
      <w:pPr>
        <w:pStyle w:val="Innehll3"/>
      </w:pPr>
      <w:r w:rsidRPr="00C9680B">
        <w:t>1.2.2 Prognosförutsättningar och nyckeltal</w:t>
      </w:r>
      <w:r w:rsidRPr="00C9680B">
        <w:tab/>
        <w:t>45</w:t>
      </w:r>
    </w:p>
    <w:p w:rsidR="001C7BF9" w:rsidRPr="00C9680B" w:rsidRDefault="001C7BF9">
      <w:pPr>
        <w:pStyle w:val="Innehll3"/>
      </w:pPr>
      <w:r w:rsidRPr="00C9680B">
        <w:t>1.2.3 Försörjningsbalansen</w:t>
      </w:r>
      <w:r w:rsidRPr="00C9680B">
        <w:tab/>
        <w:t>48</w:t>
      </w:r>
    </w:p>
    <w:p w:rsidR="001C7BF9" w:rsidRPr="00C9680B" w:rsidRDefault="001C7BF9">
      <w:pPr>
        <w:pStyle w:val="Innehll3"/>
      </w:pPr>
      <w:r w:rsidRPr="00C9680B">
        <w:t>1.2.4 God världskonjunktur höjer den svenska exporten</w:t>
      </w:r>
      <w:r w:rsidRPr="00C9680B">
        <w:tab/>
        <w:t>50</w:t>
      </w:r>
    </w:p>
    <w:p w:rsidR="001C7BF9" w:rsidRPr="00C9680B" w:rsidRDefault="001C7BF9">
      <w:pPr>
        <w:pStyle w:val="Innehll3"/>
      </w:pPr>
      <w:r w:rsidRPr="00C9680B">
        <w:t>1.2.5 Kraftig förbättring på arbetsmarknaden</w:t>
      </w:r>
      <w:r w:rsidRPr="00C9680B">
        <w:tab/>
        <w:t>51</w:t>
      </w:r>
    </w:p>
    <w:p w:rsidR="001C7BF9" w:rsidRPr="00C9680B" w:rsidRDefault="001C7BF9">
      <w:pPr>
        <w:pStyle w:val="Innehll3"/>
      </w:pPr>
      <w:r w:rsidRPr="00C9680B">
        <w:t>1.2.6 Ny information efter det att regeringens prognos färdigställts</w:t>
      </w:r>
      <w:r w:rsidRPr="00C9680B">
        <w:tab/>
        <w:t>54</w:t>
      </w:r>
    </w:p>
    <w:p w:rsidR="001C7BF9" w:rsidRPr="00C9680B" w:rsidRDefault="001C7BF9">
      <w:pPr>
        <w:pStyle w:val="Innehll3"/>
      </w:pPr>
      <w:r w:rsidRPr="00C9680B">
        <w:t>1.2.7 Finansutskottets syn på budgetpropositionens och partimotionernas konjunkturbedömningar</w:t>
      </w:r>
      <w:r w:rsidRPr="00C9680B">
        <w:tab/>
        <w:t>57</w:t>
      </w:r>
    </w:p>
    <w:p w:rsidR="001C7BF9" w:rsidRPr="00C9680B" w:rsidRDefault="001C7BF9">
      <w:pPr>
        <w:pStyle w:val="Innehll2"/>
      </w:pPr>
      <w:r w:rsidRPr="00C9680B">
        <w:t>1.3 Inriktningen av den allmänna ekonomiska politiken</w:t>
      </w:r>
      <w:r w:rsidRPr="00C9680B">
        <w:tab/>
        <w:t>59</w:t>
      </w:r>
    </w:p>
    <w:p w:rsidR="001C7BF9" w:rsidRPr="00C9680B" w:rsidRDefault="001C7BF9">
      <w:pPr>
        <w:pStyle w:val="Innehll3"/>
      </w:pPr>
      <w:r w:rsidRPr="00C9680B">
        <w:t>1.3.1 Finansutskottets förslag till inriktning av den allmänna ekonomiska politiken</w:t>
      </w:r>
      <w:r w:rsidRPr="00C9680B">
        <w:tab/>
        <w:t>60</w:t>
      </w:r>
    </w:p>
    <w:p w:rsidR="001C7BF9" w:rsidRPr="00C9680B" w:rsidRDefault="001C7BF9">
      <w:pPr>
        <w:pStyle w:val="Innehll3"/>
      </w:pPr>
      <w:r w:rsidRPr="00C9680B">
        <w:t>1.3.2 Partimotionernas förslag till inriktning av den allmänna ekonomiska politiken</w:t>
      </w:r>
      <w:r w:rsidRPr="00C9680B">
        <w:tab/>
        <w:t>62</w:t>
      </w:r>
    </w:p>
    <w:p w:rsidR="001C7BF9" w:rsidRPr="00C9680B" w:rsidRDefault="001C7BF9">
      <w:pPr>
        <w:pStyle w:val="Innehll3"/>
      </w:pPr>
      <w:r w:rsidRPr="00C9680B">
        <w:t>1.3.3 Finansutskottets ställningstagande till partimotionernas förslag till inriktning av den allmänna ekonomiska politiken</w:t>
      </w:r>
      <w:r w:rsidRPr="00C9680B">
        <w:tab/>
        <w:t>67</w:t>
      </w:r>
    </w:p>
    <w:p w:rsidR="001C7BF9" w:rsidRPr="00C9680B" w:rsidRDefault="001C7BF9">
      <w:pPr>
        <w:pStyle w:val="Innehll4"/>
      </w:pPr>
      <w:r w:rsidRPr="00C9680B">
        <w:t>Privatisering och avreglering</w:t>
      </w:r>
      <w:r w:rsidRPr="00C9680B">
        <w:tab/>
        <w:t>78</w:t>
      </w:r>
    </w:p>
    <w:p w:rsidR="001C7BF9" w:rsidRPr="00C9680B" w:rsidRDefault="001C7BF9">
      <w:pPr>
        <w:pStyle w:val="Innehll4"/>
      </w:pPr>
      <w:r w:rsidRPr="00C9680B">
        <w:t>Överskottsmålet i de offentliga finanserna</w:t>
      </w:r>
      <w:r w:rsidRPr="00C9680B">
        <w:tab/>
        <w:t>82</w:t>
      </w:r>
    </w:p>
    <w:p w:rsidR="001C7BF9" w:rsidRPr="00C9680B" w:rsidRDefault="001C7BF9">
      <w:pPr>
        <w:pStyle w:val="Innehll2"/>
      </w:pPr>
      <w:r w:rsidRPr="00C9680B">
        <w:t>1.4 Det europeiska valutasamarbetet</w:t>
      </w:r>
      <w:r w:rsidRPr="00C9680B">
        <w:tab/>
        <w:t>87</w:t>
      </w:r>
    </w:p>
    <w:p w:rsidR="001C7BF9" w:rsidRPr="00C9680B" w:rsidRDefault="001C7BF9">
      <w:pPr>
        <w:pStyle w:val="Innehll3"/>
      </w:pPr>
      <w:r w:rsidRPr="00C9680B">
        <w:t>1.4.1 Former för ställningstagande till euro</w:t>
      </w:r>
      <w:r w:rsidRPr="00C9680B">
        <w:tab/>
        <w:t>87</w:t>
      </w:r>
    </w:p>
    <w:p w:rsidR="001C7BF9" w:rsidRPr="00C9680B" w:rsidRDefault="001C7BF9">
      <w:pPr>
        <w:pStyle w:val="Innehll3"/>
      </w:pPr>
      <w:r w:rsidRPr="00C9680B">
        <w:t>1.4.2 Analyser av effekter av att införa euro</w:t>
      </w:r>
      <w:r w:rsidRPr="00C9680B">
        <w:tab/>
        <w:t>91</w:t>
      </w:r>
    </w:p>
    <w:p w:rsidR="001C7BF9" w:rsidRPr="00C9680B" w:rsidRDefault="001C7BF9">
      <w:pPr>
        <w:pStyle w:val="Innehll1"/>
      </w:pPr>
      <w:r w:rsidRPr="00C9680B">
        <w:t>2 Budgetpolitikens inriktning och utgiftstak för staten</w:t>
      </w:r>
      <w:r w:rsidRPr="00C9680B">
        <w:tab/>
        <w:t>94</w:t>
      </w:r>
    </w:p>
    <w:p w:rsidR="001C7BF9" w:rsidRPr="00C9680B" w:rsidRDefault="001C7BF9">
      <w:pPr>
        <w:pStyle w:val="Innehll2"/>
      </w:pPr>
      <w:r w:rsidRPr="00C9680B">
        <w:t>2.1 Utformningen av utskottets förslag till rambeslut</w:t>
      </w:r>
      <w:r w:rsidRPr="00C9680B">
        <w:tab/>
        <w:t>94</w:t>
      </w:r>
    </w:p>
    <w:p w:rsidR="001C7BF9" w:rsidRPr="00C9680B" w:rsidRDefault="001C7BF9">
      <w:pPr>
        <w:pStyle w:val="Innehll2"/>
      </w:pPr>
      <w:r w:rsidRPr="00C9680B">
        <w:t>2.2 Budgetutvecklingen</w:t>
      </w:r>
      <w:r w:rsidRPr="00C9680B">
        <w:tab/>
        <w:t>96</w:t>
      </w:r>
    </w:p>
    <w:p w:rsidR="001C7BF9" w:rsidRPr="00C9680B" w:rsidRDefault="001C7BF9">
      <w:pPr>
        <w:pStyle w:val="Innehll2"/>
      </w:pPr>
      <w:r w:rsidRPr="00C9680B">
        <w:t>2.3 Mål för budgetpolitiken</w:t>
      </w:r>
      <w:r w:rsidRPr="00C9680B">
        <w:tab/>
        <w:t>98</w:t>
      </w:r>
    </w:p>
    <w:p w:rsidR="001C7BF9" w:rsidRPr="00C9680B" w:rsidRDefault="001C7BF9">
      <w:pPr>
        <w:pStyle w:val="Innehll2"/>
      </w:pPr>
      <w:r w:rsidRPr="00C9680B">
        <w:t>2.4 Budgetpolitikens inriktning</w:t>
      </w:r>
      <w:r w:rsidRPr="00C9680B">
        <w:tab/>
        <w:t>106</w:t>
      </w:r>
    </w:p>
    <w:p w:rsidR="001C7BF9" w:rsidRPr="00C9680B" w:rsidRDefault="001C7BF9">
      <w:pPr>
        <w:pStyle w:val="Innehll3"/>
      </w:pPr>
      <w:r w:rsidRPr="00C9680B">
        <w:t>2.4.1 Trepartiöverenskommelse om budgetpolitiken</w:t>
      </w:r>
      <w:r w:rsidRPr="00C9680B">
        <w:tab/>
        <w:t>106</w:t>
      </w:r>
    </w:p>
    <w:p w:rsidR="001C7BF9" w:rsidRPr="00C9680B" w:rsidRDefault="001C7BF9">
      <w:pPr>
        <w:pStyle w:val="Innehll3"/>
      </w:pPr>
      <w:r w:rsidRPr="00C9680B">
        <w:t>2.4.2 De politiska alternativen</w:t>
      </w:r>
      <w:r w:rsidRPr="00C9680B">
        <w:tab/>
        <w:t>106</w:t>
      </w:r>
    </w:p>
    <w:p w:rsidR="001C7BF9" w:rsidRPr="00C9680B" w:rsidRDefault="001C7BF9">
      <w:pPr>
        <w:pStyle w:val="Innehll3"/>
      </w:pPr>
      <w:r w:rsidRPr="00C9680B">
        <w:t>2.4.3 Finansutskottets sammanfattande bedömning av budgetförslagen</w:t>
      </w:r>
      <w:r w:rsidRPr="00C9680B">
        <w:tab/>
        <w:t>123</w:t>
      </w:r>
    </w:p>
    <w:p w:rsidR="001C7BF9" w:rsidRPr="00C9680B" w:rsidRDefault="001C7BF9">
      <w:pPr>
        <w:pStyle w:val="Innehll2"/>
      </w:pPr>
      <w:r w:rsidRPr="00C9680B">
        <w:t>2.5 Utgiftstak för staten och den offentliga sektorn</w:t>
      </w:r>
      <w:r w:rsidRPr="00C9680B">
        <w:tab/>
        <w:t>141</w:t>
      </w:r>
    </w:p>
    <w:p w:rsidR="001C7BF9" w:rsidRPr="00C9680B" w:rsidRDefault="001C7BF9">
      <w:pPr>
        <w:pStyle w:val="Innehll2"/>
      </w:pPr>
      <w:r w:rsidRPr="00C9680B">
        <w:t>2.6 Fördelning av statens utgifter på utgiftsområden 2001</w:t>
      </w:r>
      <w:r w:rsidRPr="00C9680B">
        <w:tab/>
        <w:t>144</w:t>
      </w:r>
    </w:p>
    <w:p w:rsidR="001C7BF9" w:rsidRPr="00C9680B" w:rsidRDefault="001C7BF9">
      <w:pPr>
        <w:pStyle w:val="Innehll2"/>
      </w:pPr>
      <w:r w:rsidRPr="00C9680B">
        <w:t>2.7 Redovisning av statsbudgetens inkomster för 2001</w:t>
      </w:r>
      <w:r w:rsidRPr="00C9680B">
        <w:tab/>
        <w:t>148</w:t>
      </w:r>
    </w:p>
    <w:p w:rsidR="001C7BF9" w:rsidRPr="00C9680B" w:rsidRDefault="001C7BF9">
      <w:pPr>
        <w:pStyle w:val="Innehll2"/>
      </w:pPr>
      <w:r w:rsidRPr="00C9680B">
        <w:t>2.8 Anslagsbehållningar</w:t>
      </w:r>
      <w:r w:rsidRPr="00C9680B">
        <w:tab/>
        <w:t>149</w:t>
      </w:r>
    </w:p>
    <w:p w:rsidR="001C7BF9" w:rsidRPr="00C9680B" w:rsidRDefault="001C7BF9">
      <w:pPr>
        <w:pStyle w:val="Innehll2"/>
      </w:pPr>
      <w:r w:rsidRPr="00C9680B">
        <w:t>2.9 Myndigheternas in- och utlåning i Riksgäldskontoret</w:t>
      </w:r>
      <w:r w:rsidRPr="00C9680B">
        <w:tab/>
        <w:t>150</w:t>
      </w:r>
    </w:p>
    <w:p w:rsidR="001C7BF9" w:rsidRPr="00C9680B" w:rsidRDefault="001C7BF9">
      <w:pPr>
        <w:pStyle w:val="Innehll2"/>
      </w:pPr>
      <w:r w:rsidRPr="00C9680B">
        <w:t>2.10 Budgetens sammansättning i stort</w:t>
      </w:r>
      <w:r w:rsidRPr="00C9680B">
        <w:tab/>
        <w:t>151</w:t>
      </w:r>
    </w:p>
    <w:p w:rsidR="001C7BF9" w:rsidRPr="00C9680B" w:rsidRDefault="001C7BF9">
      <w:pPr>
        <w:pStyle w:val="Innehll2"/>
      </w:pPr>
      <w:r w:rsidRPr="00C9680B">
        <w:t>2.11 Sammandrag av de olika budgetalternativen</w:t>
      </w:r>
      <w:r w:rsidRPr="00C9680B">
        <w:tab/>
        <w:t>152</w:t>
      </w:r>
    </w:p>
    <w:p w:rsidR="001C7BF9" w:rsidRPr="00C9680B" w:rsidRDefault="001C7BF9">
      <w:pPr>
        <w:pStyle w:val="Innehll1"/>
      </w:pPr>
      <w:r w:rsidRPr="00C9680B">
        <w:t>3 Skatter och övriga inkomster</w:t>
      </w:r>
      <w:r w:rsidRPr="00C9680B">
        <w:tab/>
        <w:t>153</w:t>
      </w:r>
    </w:p>
    <w:p w:rsidR="001C7BF9" w:rsidRPr="00C9680B" w:rsidRDefault="001C7BF9">
      <w:pPr>
        <w:pStyle w:val="Innehll2"/>
      </w:pPr>
      <w:r w:rsidRPr="00C9680B">
        <w:t>3.1 Utvecklingen av statens inkomster</w:t>
      </w:r>
      <w:r w:rsidRPr="00C9680B">
        <w:tab/>
        <w:t>153</w:t>
      </w:r>
    </w:p>
    <w:p w:rsidR="001C7BF9" w:rsidRPr="00C9680B" w:rsidRDefault="001C7BF9">
      <w:pPr>
        <w:pStyle w:val="Innehll2"/>
      </w:pPr>
      <w:r w:rsidRPr="00C9680B">
        <w:t>3.2 Skattepolitikens allmänna inriktning</w:t>
      </w:r>
      <w:r w:rsidRPr="00C9680B">
        <w:tab/>
        <w:t>155</w:t>
      </w:r>
    </w:p>
    <w:p w:rsidR="001C7BF9" w:rsidRPr="00C9680B" w:rsidRDefault="001C7BF9">
      <w:pPr>
        <w:pStyle w:val="Innehll2"/>
      </w:pPr>
      <w:r w:rsidRPr="00C9680B">
        <w:t>3.3 Fysiska personers inkomster</w:t>
      </w:r>
      <w:r w:rsidRPr="00C9680B">
        <w:tab/>
        <w:t>160</w:t>
      </w:r>
    </w:p>
    <w:p w:rsidR="001C7BF9" w:rsidRPr="00C9680B" w:rsidRDefault="001C7BF9">
      <w:pPr>
        <w:pStyle w:val="Innehll3"/>
      </w:pPr>
      <w:r w:rsidRPr="00C9680B">
        <w:t>3.3.1 Inkomstskatten för 2001</w:t>
      </w:r>
      <w:r w:rsidRPr="00C9680B">
        <w:tab/>
        <w:t>161</w:t>
      </w:r>
    </w:p>
    <w:p w:rsidR="001C7BF9" w:rsidRPr="00C9680B" w:rsidRDefault="001C7BF9">
      <w:pPr>
        <w:pStyle w:val="Innehll3"/>
      </w:pPr>
      <w:r w:rsidRPr="00C9680B">
        <w:t>3.3.2 Utökade reseavdrag</w:t>
      </w:r>
      <w:r w:rsidRPr="00C9680B">
        <w:tab/>
        <w:t>164</w:t>
      </w:r>
    </w:p>
    <w:p w:rsidR="001C7BF9" w:rsidRPr="00C9680B" w:rsidRDefault="001C7BF9">
      <w:pPr>
        <w:pStyle w:val="Innehll3"/>
      </w:pPr>
      <w:r w:rsidRPr="00C9680B">
        <w:t>3.3.3 Pensionssparande</w:t>
      </w:r>
      <w:r w:rsidRPr="00C9680B">
        <w:tab/>
        <w:t>166</w:t>
      </w:r>
    </w:p>
    <w:p w:rsidR="001C7BF9" w:rsidRPr="00C9680B" w:rsidRDefault="001C7BF9">
      <w:pPr>
        <w:pStyle w:val="Innehll3"/>
      </w:pPr>
      <w:r w:rsidRPr="00C9680B">
        <w:t>3.3.4 Yrkesfiskare</w:t>
      </w:r>
      <w:r w:rsidRPr="00C9680B">
        <w:tab/>
        <w:t>167</w:t>
      </w:r>
    </w:p>
    <w:p w:rsidR="001C7BF9" w:rsidRPr="00C9680B" w:rsidRDefault="001C7BF9">
      <w:pPr>
        <w:pStyle w:val="Innehll3"/>
      </w:pPr>
      <w:r w:rsidRPr="00C9680B">
        <w:t>3.3.5 Hushållsnära tjänster</w:t>
      </w:r>
      <w:r w:rsidRPr="00C9680B">
        <w:tab/>
        <w:t>168</w:t>
      </w:r>
    </w:p>
    <w:p w:rsidR="001C7BF9" w:rsidRPr="00C9680B" w:rsidRDefault="001C7BF9">
      <w:pPr>
        <w:pStyle w:val="Innehll3"/>
      </w:pPr>
      <w:r w:rsidRPr="00C9680B">
        <w:t>3.3.6 Royalty</w:t>
      </w:r>
      <w:r w:rsidRPr="00C9680B">
        <w:tab/>
        <w:t>169</w:t>
      </w:r>
    </w:p>
    <w:p w:rsidR="001C7BF9" w:rsidRPr="00C9680B" w:rsidRDefault="001C7BF9">
      <w:pPr>
        <w:pStyle w:val="Innehll3"/>
      </w:pPr>
      <w:r w:rsidRPr="00C9680B">
        <w:t>3.3.7 Kapitalvinstbeskattning av bostäder</w:t>
      </w:r>
      <w:r w:rsidRPr="00C9680B">
        <w:tab/>
        <w:t>170</w:t>
      </w:r>
    </w:p>
    <w:p w:rsidR="001C7BF9" w:rsidRPr="00C9680B" w:rsidRDefault="001C7BF9">
      <w:pPr>
        <w:pStyle w:val="Innehll3"/>
      </w:pPr>
      <w:r w:rsidRPr="00C9680B">
        <w:t>3.3.8 Inkomst av kapital</w:t>
      </w:r>
      <w:r w:rsidRPr="00C9680B">
        <w:tab/>
        <w:t>171</w:t>
      </w:r>
    </w:p>
    <w:p w:rsidR="001C7BF9" w:rsidRPr="00C9680B" w:rsidRDefault="001C7BF9">
      <w:pPr>
        <w:pStyle w:val="Innehll3"/>
      </w:pPr>
      <w:r w:rsidRPr="00C9680B">
        <w:t>3.3.9 Beskattning av sjömän</w:t>
      </w:r>
      <w:r w:rsidRPr="00C9680B">
        <w:tab/>
        <w:t>173</w:t>
      </w:r>
    </w:p>
    <w:p w:rsidR="001C7BF9" w:rsidRPr="00C9680B" w:rsidRDefault="001C7BF9">
      <w:pPr>
        <w:pStyle w:val="Innehll2"/>
      </w:pPr>
      <w:r w:rsidRPr="00C9680B">
        <w:t>3.4 Juridiska personers inkomster</w:t>
      </w:r>
      <w:r w:rsidRPr="00C9680B">
        <w:tab/>
        <w:t>175</w:t>
      </w:r>
    </w:p>
    <w:p w:rsidR="001C7BF9" w:rsidRPr="00C9680B" w:rsidRDefault="001C7BF9">
      <w:pPr>
        <w:pStyle w:val="Innehll3"/>
      </w:pPr>
      <w:r w:rsidRPr="00C9680B">
        <w:t>3.4.1 Företagsbeskattning</w:t>
      </w:r>
      <w:r w:rsidRPr="00C9680B">
        <w:tab/>
        <w:t>175</w:t>
      </w:r>
    </w:p>
    <w:p w:rsidR="001C7BF9" w:rsidRPr="00C9680B" w:rsidRDefault="001C7BF9">
      <w:pPr>
        <w:pStyle w:val="Innehll2"/>
      </w:pPr>
      <w:r w:rsidRPr="00C9680B">
        <w:t>3.5 Social- och arbetsgivaravgifter</w:t>
      </w:r>
      <w:r w:rsidRPr="00C9680B">
        <w:tab/>
        <w:t>177</w:t>
      </w:r>
    </w:p>
    <w:p w:rsidR="001C7BF9" w:rsidRPr="00C9680B" w:rsidRDefault="001C7BF9">
      <w:pPr>
        <w:pStyle w:val="Innehll3"/>
      </w:pPr>
      <w:r w:rsidRPr="00C9680B">
        <w:t>3.5.1 Förändrade avgiftsnivåer för socialavgifterna</w:t>
      </w:r>
      <w:r w:rsidRPr="00C9680B">
        <w:tab/>
        <w:t>177</w:t>
      </w:r>
    </w:p>
    <w:p w:rsidR="001C7BF9" w:rsidRPr="00C9680B" w:rsidRDefault="001C7BF9">
      <w:pPr>
        <w:pStyle w:val="Innehll3"/>
      </w:pPr>
      <w:r w:rsidRPr="00C9680B">
        <w:t>3.5.2 Löneskatt på vinstandelar</w:t>
      </w:r>
      <w:r w:rsidRPr="00C9680B">
        <w:tab/>
        <w:t>180</w:t>
      </w:r>
    </w:p>
    <w:p w:rsidR="001C7BF9" w:rsidRPr="00C9680B" w:rsidRDefault="001C7BF9">
      <w:pPr>
        <w:pStyle w:val="Innehll2"/>
      </w:pPr>
      <w:r w:rsidRPr="00C9680B">
        <w:t>3.6 Skatt på egendom</w:t>
      </w:r>
      <w:r w:rsidRPr="00C9680B">
        <w:tab/>
        <w:t>182</w:t>
      </w:r>
    </w:p>
    <w:p w:rsidR="001C7BF9" w:rsidRPr="00C9680B" w:rsidRDefault="001C7BF9">
      <w:pPr>
        <w:pStyle w:val="Innehll3"/>
      </w:pPr>
      <w:r w:rsidRPr="00C9680B">
        <w:t>3.6.1 Fastighetsskatt på bostäder</w:t>
      </w:r>
      <w:r w:rsidRPr="00C9680B">
        <w:tab/>
        <w:t>182</w:t>
      </w:r>
    </w:p>
    <w:p w:rsidR="001C7BF9" w:rsidRPr="00C9680B" w:rsidRDefault="001C7BF9">
      <w:pPr>
        <w:pStyle w:val="Innehll3"/>
      </w:pPr>
      <w:r w:rsidRPr="00C9680B">
        <w:t>3.6.2 Förmögenhetsbeskattning</w:t>
      </w:r>
      <w:r w:rsidRPr="00C9680B">
        <w:tab/>
        <w:t>185</w:t>
      </w:r>
    </w:p>
    <w:p w:rsidR="001C7BF9" w:rsidRPr="00C9680B" w:rsidRDefault="001C7BF9">
      <w:pPr>
        <w:pStyle w:val="Innehll3"/>
      </w:pPr>
      <w:r w:rsidRPr="00C9680B">
        <w:t>3.6.3 Värdering av bostadshyreshus vid 2001 års förmögenhets</w:t>
      </w:r>
      <w:r w:rsidRPr="00C9680B">
        <w:softHyphen/>
        <w:t xml:space="preserve"> taxering</w:t>
      </w:r>
      <w:r w:rsidRPr="00C9680B">
        <w:tab/>
        <w:t>187</w:t>
      </w:r>
    </w:p>
    <w:p w:rsidR="001C7BF9" w:rsidRPr="00C9680B" w:rsidRDefault="001C7BF9">
      <w:pPr>
        <w:pStyle w:val="Innehll2"/>
      </w:pPr>
      <w:r w:rsidRPr="00C9680B">
        <w:t>3.7 Skatt på varor och tjänster</w:t>
      </w:r>
      <w:r w:rsidRPr="00C9680B">
        <w:tab/>
        <w:t>188</w:t>
      </w:r>
    </w:p>
    <w:p w:rsidR="001C7BF9" w:rsidRPr="00C9680B" w:rsidRDefault="001C7BF9">
      <w:pPr>
        <w:pStyle w:val="Innehll3"/>
      </w:pPr>
      <w:r w:rsidRPr="00C9680B">
        <w:t>3.7.1 Mervärdesskatt på resor</w:t>
      </w:r>
      <w:r w:rsidRPr="00C9680B">
        <w:tab/>
        <w:t>189</w:t>
      </w:r>
    </w:p>
    <w:p w:rsidR="001C7BF9" w:rsidRPr="00C9680B" w:rsidRDefault="001C7BF9">
      <w:pPr>
        <w:pStyle w:val="Innehll3"/>
      </w:pPr>
      <w:r w:rsidRPr="00C9680B">
        <w:t>3.7.2 Mervärdesskatt på böcker, tidningar och kultur</w:t>
      </w:r>
      <w:r w:rsidRPr="00C9680B">
        <w:tab/>
        <w:t>190</w:t>
      </w:r>
    </w:p>
    <w:p w:rsidR="001C7BF9" w:rsidRPr="00C9680B" w:rsidRDefault="001C7BF9">
      <w:pPr>
        <w:pStyle w:val="Innehll3"/>
      </w:pPr>
      <w:r w:rsidRPr="00C9680B">
        <w:t>3.7.3 Skatt på alkohol och tobak</w:t>
      </w:r>
      <w:r w:rsidRPr="00C9680B">
        <w:tab/>
        <w:t>191</w:t>
      </w:r>
    </w:p>
    <w:p w:rsidR="001C7BF9" w:rsidRPr="00C9680B" w:rsidRDefault="001C7BF9">
      <w:pPr>
        <w:pStyle w:val="Innehll3"/>
      </w:pPr>
      <w:r w:rsidRPr="00C9680B">
        <w:t>3.7.4 Förskjutning av skatteuttaget från energiskatt till koldioxidskatt</w:t>
      </w:r>
      <w:r w:rsidRPr="00C9680B">
        <w:tab/>
        <w:t>192</w:t>
      </w:r>
    </w:p>
    <w:p w:rsidR="001C7BF9" w:rsidRPr="00C9680B" w:rsidRDefault="001C7BF9">
      <w:pPr>
        <w:pStyle w:val="Innehll3"/>
      </w:pPr>
      <w:r w:rsidRPr="00C9680B">
        <w:t>3.7.5 Höjd koldioxidskatt</w:t>
      </w:r>
      <w:r w:rsidRPr="00C9680B">
        <w:tab/>
        <w:t>194</w:t>
      </w:r>
    </w:p>
    <w:p w:rsidR="001C7BF9" w:rsidRPr="00C9680B" w:rsidRDefault="001C7BF9">
      <w:pPr>
        <w:pStyle w:val="Innehll3"/>
      </w:pPr>
      <w:r w:rsidRPr="00C9680B">
        <w:t>3.7.6 Höjd energiskatt på el</w:t>
      </w:r>
      <w:r w:rsidRPr="00C9680B">
        <w:tab/>
        <w:t>195</w:t>
      </w:r>
    </w:p>
    <w:p w:rsidR="001C7BF9" w:rsidRPr="00C9680B" w:rsidRDefault="001C7BF9">
      <w:pPr>
        <w:pStyle w:val="Innehll3"/>
      </w:pPr>
      <w:r w:rsidRPr="00C9680B">
        <w:t>3.7.7 Vissa miljöskatter</w:t>
      </w:r>
      <w:r w:rsidRPr="00C9680B">
        <w:tab/>
        <w:t>196</w:t>
      </w:r>
    </w:p>
    <w:p w:rsidR="001C7BF9" w:rsidRPr="00C9680B" w:rsidRDefault="001C7BF9">
      <w:pPr>
        <w:pStyle w:val="Innehll3"/>
      </w:pPr>
      <w:r w:rsidRPr="00C9680B">
        <w:t>3.7.8 Beskattning av drivmedel</w:t>
      </w:r>
      <w:r w:rsidRPr="00C9680B">
        <w:tab/>
        <w:t>198</w:t>
      </w:r>
    </w:p>
    <w:p w:rsidR="001C7BF9" w:rsidRPr="00C9680B" w:rsidRDefault="001C7BF9">
      <w:pPr>
        <w:pStyle w:val="Innehll3"/>
      </w:pPr>
      <w:r w:rsidRPr="00C9680B">
        <w:t>3.7.9 Indexering av energi- och koldioxidskatt</w:t>
      </w:r>
      <w:r w:rsidRPr="00C9680B">
        <w:tab/>
        <w:t>200</w:t>
      </w:r>
    </w:p>
    <w:p w:rsidR="001C7BF9" w:rsidRPr="00C9680B" w:rsidRDefault="001C7BF9">
      <w:pPr>
        <w:pStyle w:val="Innehll3"/>
      </w:pPr>
      <w:r w:rsidRPr="00C9680B">
        <w:t>3.7.10 Kalk- och cementindustrin</w:t>
      </w:r>
      <w:r w:rsidRPr="00C9680B">
        <w:tab/>
        <w:t>200</w:t>
      </w:r>
    </w:p>
    <w:p w:rsidR="001C7BF9" w:rsidRPr="00C9680B" w:rsidRDefault="001C7BF9">
      <w:pPr>
        <w:pStyle w:val="Innehll3"/>
      </w:pPr>
      <w:r w:rsidRPr="00C9680B">
        <w:t>3.7.11 Skatt på kärnkraftsel</w:t>
      </w:r>
      <w:r w:rsidRPr="00C9680B">
        <w:tab/>
        <w:t>201</w:t>
      </w:r>
    </w:p>
    <w:p w:rsidR="001C7BF9" w:rsidRPr="00C9680B" w:rsidRDefault="001C7BF9">
      <w:pPr>
        <w:pStyle w:val="Innehll3"/>
      </w:pPr>
      <w:r w:rsidRPr="00C9680B">
        <w:t>3.7.12 Jordbrukets beskattning</w:t>
      </w:r>
      <w:r w:rsidRPr="00C9680B">
        <w:tab/>
        <w:t>202</w:t>
      </w:r>
    </w:p>
    <w:p w:rsidR="001C7BF9" w:rsidRPr="00C9680B" w:rsidRDefault="001C7BF9">
      <w:pPr>
        <w:pStyle w:val="Innehll3"/>
      </w:pPr>
      <w:r w:rsidRPr="00C9680B">
        <w:t>3.7.13 Fordonsskatt och försäljningsskatt</w:t>
      </w:r>
      <w:r w:rsidRPr="00C9680B">
        <w:tab/>
        <w:t>203</w:t>
      </w:r>
    </w:p>
    <w:p w:rsidR="001C7BF9" w:rsidRPr="00C9680B" w:rsidRDefault="001C7BF9">
      <w:pPr>
        <w:pStyle w:val="Innehll2"/>
      </w:pPr>
      <w:r w:rsidRPr="00C9680B">
        <w:t>3.8 Nedsättning av skatter m.m.</w:t>
      </w:r>
      <w:r w:rsidRPr="00C9680B">
        <w:tab/>
        <w:t>204</w:t>
      </w:r>
    </w:p>
    <w:p w:rsidR="001C7BF9" w:rsidRPr="00C9680B" w:rsidRDefault="001C7BF9">
      <w:pPr>
        <w:pStyle w:val="Innehll2"/>
      </w:pPr>
      <w:r w:rsidRPr="00C9680B">
        <w:t>3.9 Inkomster av statens verksamhet</w:t>
      </w:r>
      <w:r w:rsidRPr="00C9680B">
        <w:tab/>
        <w:t>206</w:t>
      </w:r>
    </w:p>
    <w:p w:rsidR="001C7BF9" w:rsidRPr="00C9680B" w:rsidRDefault="001C7BF9">
      <w:pPr>
        <w:pStyle w:val="Innehll2"/>
      </w:pPr>
      <w:r w:rsidRPr="00C9680B">
        <w:t>3.10 Beräkning av statsbudgetens inkomster</w:t>
      </w:r>
      <w:r w:rsidRPr="00C9680B">
        <w:tab/>
        <w:t>207</w:t>
      </w:r>
    </w:p>
    <w:p w:rsidR="001C7BF9" w:rsidRPr="00C9680B" w:rsidRDefault="001C7BF9">
      <w:pPr>
        <w:pStyle w:val="Innehll2"/>
      </w:pPr>
      <w:r w:rsidRPr="00C9680B">
        <w:t>3.11 Lagförslagen</w:t>
      </w:r>
      <w:r w:rsidRPr="00C9680B">
        <w:tab/>
        <w:t>212</w:t>
      </w:r>
    </w:p>
    <w:p w:rsidR="001C7BF9" w:rsidRPr="00C9680B" w:rsidRDefault="001C7BF9">
      <w:pPr>
        <w:pStyle w:val="Innehll1"/>
      </w:pPr>
      <w:r w:rsidRPr="00C9680B">
        <w:t>4 Utgifter</w:t>
      </w:r>
      <w:r w:rsidRPr="00C9680B">
        <w:tab/>
        <w:t>214</w:t>
      </w:r>
    </w:p>
    <w:p w:rsidR="001C7BF9" w:rsidRPr="00C9680B" w:rsidRDefault="001C7BF9">
      <w:pPr>
        <w:pStyle w:val="Innehll2"/>
      </w:pPr>
      <w:r w:rsidRPr="00C9680B">
        <w:t>4.1 Fördelning av utgifter på utgiftsområden åren 2001–2003</w:t>
      </w:r>
      <w:r w:rsidRPr="00C9680B">
        <w:tab/>
        <w:t>214</w:t>
      </w:r>
    </w:p>
    <w:p w:rsidR="001C7BF9" w:rsidRPr="00C9680B" w:rsidRDefault="001C7BF9">
      <w:pPr>
        <w:pStyle w:val="Innehll3"/>
      </w:pPr>
      <w:r w:rsidRPr="00C9680B">
        <w:t>4.1.1 Utgiftsområde 1 Rikets styrelse</w:t>
      </w:r>
      <w:r w:rsidRPr="00C9680B">
        <w:tab/>
        <w:t>214</w:t>
      </w:r>
    </w:p>
    <w:p w:rsidR="001C7BF9" w:rsidRPr="00C9680B" w:rsidRDefault="001C7BF9">
      <w:pPr>
        <w:pStyle w:val="Innehll3"/>
      </w:pPr>
      <w:r w:rsidRPr="00C9680B">
        <w:t>4.1.2 Utgiftsområde 2 Samhällsekonomi och finansförvaltning</w:t>
      </w:r>
      <w:r w:rsidRPr="00C9680B">
        <w:tab/>
        <w:t>215</w:t>
      </w:r>
    </w:p>
    <w:p w:rsidR="001C7BF9" w:rsidRPr="00C9680B" w:rsidRDefault="001C7BF9">
      <w:pPr>
        <w:pStyle w:val="Innehll3"/>
      </w:pPr>
      <w:r w:rsidRPr="00C9680B">
        <w:t>4.1.3 Utgiftsområde 3 Skatteförvaltning och uppbörd</w:t>
      </w:r>
      <w:r w:rsidRPr="00C9680B">
        <w:tab/>
        <w:t>216</w:t>
      </w:r>
    </w:p>
    <w:p w:rsidR="001C7BF9" w:rsidRPr="00C9680B" w:rsidRDefault="001C7BF9">
      <w:pPr>
        <w:pStyle w:val="Innehll3"/>
      </w:pPr>
      <w:r w:rsidRPr="00C9680B">
        <w:t>4.1.4 Utgiftsområde 4 Rättsväsendet</w:t>
      </w:r>
      <w:r w:rsidRPr="00C9680B">
        <w:tab/>
        <w:t>218</w:t>
      </w:r>
    </w:p>
    <w:p w:rsidR="001C7BF9" w:rsidRPr="00C9680B" w:rsidRDefault="001C7BF9">
      <w:pPr>
        <w:pStyle w:val="Innehll3"/>
      </w:pPr>
      <w:r w:rsidRPr="00C9680B">
        <w:t>4.1.5 Utgiftsområde 5 Utrikesförvaltning och internationell sam</w:t>
      </w:r>
      <w:r w:rsidRPr="00C9680B">
        <w:softHyphen/>
        <w:t>verkan</w:t>
      </w:r>
      <w:r w:rsidRPr="00C9680B">
        <w:tab/>
        <w:t>220</w:t>
      </w:r>
    </w:p>
    <w:p w:rsidR="001C7BF9" w:rsidRPr="00C9680B" w:rsidRDefault="001C7BF9">
      <w:pPr>
        <w:pStyle w:val="Innehll3"/>
      </w:pPr>
      <w:r w:rsidRPr="00C9680B">
        <w:t>4.1.6 Utgiftsområde 6 Totalförsvar</w:t>
      </w:r>
      <w:r w:rsidRPr="00C9680B">
        <w:tab/>
        <w:t>221</w:t>
      </w:r>
    </w:p>
    <w:p w:rsidR="001C7BF9" w:rsidRPr="00C9680B" w:rsidRDefault="001C7BF9">
      <w:pPr>
        <w:pStyle w:val="Innehll3"/>
      </w:pPr>
      <w:r w:rsidRPr="00C9680B">
        <w:t>4.1.7 Utgiftsområde 7 Internationellt bistånd</w:t>
      </w:r>
      <w:r w:rsidRPr="00C9680B">
        <w:tab/>
        <w:t>223</w:t>
      </w:r>
    </w:p>
    <w:p w:rsidR="001C7BF9" w:rsidRPr="00C9680B" w:rsidRDefault="001C7BF9">
      <w:pPr>
        <w:pStyle w:val="Innehll3"/>
      </w:pPr>
      <w:r w:rsidRPr="00C9680B">
        <w:t>4.1.8 Utgiftsområde 8 Invandrare och flyktingar</w:t>
      </w:r>
      <w:r w:rsidRPr="00C9680B">
        <w:tab/>
        <w:t>225</w:t>
      </w:r>
    </w:p>
    <w:p w:rsidR="001C7BF9" w:rsidRPr="00C9680B" w:rsidRDefault="001C7BF9">
      <w:pPr>
        <w:pStyle w:val="Innehll3"/>
      </w:pPr>
      <w:r w:rsidRPr="00C9680B">
        <w:t>4.1.9 Utgiftsområde 9 Hälsovård, sjukvård och social omsorg</w:t>
      </w:r>
      <w:r w:rsidRPr="00C9680B">
        <w:tab/>
        <w:t>226</w:t>
      </w:r>
    </w:p>
    <w:p w:rsidR="001C7BF9" w:rsidRPr="00C9680B" w:rsidRDefault="001C7BF9">
      <w:pPr>
        <w:pStyle w:val="Innehll3"/>
      </w:pPr>
      <w:r w:rsidRPr="00C9680B">
        <w:t>4.1.10 Utgiftsområde 10 Ekonomisk trygghet vid sjukdom och handikapp</w:t>
      </w:r>
      <w:r w:rsidRPr="00C9680B">
        <w:tab/>
        <w:t>228</w:t>
      </w:r>
    </w:p>
    <w:p w:rsidR="001C7BF9" w:rsidRPr="00C9680B" w:rsidRDefault="001C7BF9">
      <w:pPr>
        <w:pStyle w:val="Innehll3"/>
      </w:pPr>
      <w:r w:rsidRPr="00C9680B">
        <w:t>4.1.11 Utgiftsområde 11 Ekonomisk trygghet vid ålderdom</w:t>
      </w:r>
      <w:r w:rsidRPr="00C9680B">
        <w:tab/>
        <w:t>230</w:t>
      </w:r>
    </w:p>
    <w:p w:rsidR="001C7BF9" w:rsidRPr="00C9680B" w:rsidRDefault="001C7BF9">
      <w:pPr>
        <w:pStyle w:val="Innehll3"/>
      </w:pPr>
      <w:r w:rsidRPr="00C9680B">
        <w:t>4.1.12 Utgiftsområde 12 Ekonomisk trygghet för familjer och barn</w:t>
      </w:r>
      <w:r w:rsidRPr="00C9680B">
        <w:tab/>
        <w:t>232</w:t>
      </w:r>
    </w:p>
    <w:p w:rsidR="001C7BF9" w:rsidRPr="00C9680B" w:rsidRDefault="001C7BF9">
      <w:pPr>
        <w:pStyle w:val="Innehll3"/>
      </w:pPr>
      <w:r w:rsidRPr="00C9680B">
        <w:t>4.1.13 Utgiftsområde13 Arbetsmarknad</w:t>
      </w:r>
      <w:r w:rsidRPr="00C9680B">
        <w:tab/>
        <w:t>234</w:t>
      </w:r>
    </w:p>
    <w:p w:rsidR="001C7BF9" w:rsidRPr="00C9680B" w:rsidRDefault="001C7BF9">
      <w:pPr>
        <w:pStyle w:val="Innehll3"/>
      </w:pPr>
      <w:r w:rsidRPr="00C9680B">
        <w:t>4.1.14 Utgiftsområde 14 Arbetsliv</w:t>
      </w:r>
      <w:r w:rsidRPr="00C9680B">
        <w:tab/>
        <w:t>236</w:t>
      </w:r>
    </w:p>
    <w:p w:rsidR="001C7BF9" w:rsidRPr="00C9680B" w:rsidRDefault="001C7BF9">
      <w:pPr>
        <w:pStyle w:val="Innehll3"/>
      </w:pPr>
      <w:r w:rsidRPr="00C9680B">
        <w:t>4.1.15 Utgiftsområde 15 Studiestöd</w:t>
      </w:r>
      <w:r w:rsidRPr="00C9680B">
        <w:tab/>
        <w:t>238</w:t>
      </w:r>
    </w:p>
    <w:p w:rsidR="001C7BF9" w:rsidRPr="00C9680B" w:rsidRDefault="001C7BF9">
      <w:pPr>
        <w:pStyle w:val="Innehll3"/>
      </w:pPr>
      <w:r w:rsidRPr="00C9680B">
        <w:t>4.1.16 Utgiftsområde 16 Utbildning och universitetsforskning</w:t>
      </w:r>
      <w:r w:rsidRPr="00C9680B">
        <w:tab/>
        <w:t>239</w:t>
      </w:r>
    </w:p>
    <w:p w:rsidR="001C7BF9" w:rsidRPr="00C9680B" w:rsidRDefault="001C7BF9">
      <w:pPr>
        <w:pStyle w:val="Innehll3"/>
      </w:pPr>
      <w:r w:rsidRPr="00C9680B">
        <w:t>4.1.17 Utgiftsområde 17 Kultur, medier, trossamfund och fritid</w:t>
      </w:r>
      <w:r w:rsidRPr="00C9680B">
        <w:tab/>
        <w:t>240</w:t>
      </w:r>
    </w:p>
    <w:p w:rsidR="001C7BF9" w:rsidRPr="00C9680B" w:rsidRDefault="001C7BF9">
      <w:pPr>
        <w:pStyle w:val="Innehll3"/>
      </w:pPr>
      <w:r w:rsidRPr="00C9680B">
        <w:t>4.1.18 Utgiftsområde 18 Samhällsplanering, bostadsförsörjning och byggande</w:t>
      </w:r>
      <w:r w:rsidRPr="00C9680B">
        <w:tab/>
        <w:t>242</w:t>
      </w:r>
    </w:p>
    <w:p w:rsidR="001C7BF9" w:rsidRPr="00C9680B" w:rsidRDefault="001C7BF9">
      <w:pPr>
        <w:pStyle w:val="Innehll3"/>
      </w:pPr>
      <w:r w:rsidRPr="00C9680B">
        <w:t>4.1.19 Utgiftsområde 19 Regional utjämning och utveckling</w:t>
      </w:r>
      <w:r w:rsidRPr="00C9680B">
        <w:tab/>
        <w:t>244</w:t>
      </w:r>
    </w:p>
    <w:p w:rsidR="001C7BF9" w:rsidRPr="00C9680B" w:rsidRDefault="001C7BF9">
      <w:pPr>
        <w:pStyle w:val="Innehll3"/>
      </w:pPr>
      <w:r w:rsidRPr="00C9680B">
        <w:t>4.1.20 Utgiftsområde 20 Allmän miljö- och naturvård</w:t>
      </w:r>
      <w:r w:rsidRPr="00C9680B">
        <w:tab/>
        <w:t>246</w:t>
      </w:r>
    </w:p>
    <w:p w:rsidR="001C7BF9" w:rsidRPr="00C9680B" w:rsidRDefault="001C7BF9">
      <w:pPr>
        <w:pStyle w:val="Innehll3"/>
      </w:pPr>
      <w:r w:rsidRPr="00C9680B">
        <w:t>4.1.21 Utgiftsområde 21 Energi</w:t>
      </w:r>
      <w:r w:rsidRPr="00C9680B">
        <w:tab/>
        <w:t>247</w:t>
      </w:r>
    </w:p>
    <w:p w:rsidR="001C7BF9" w:rsidRPr="00C9680B" w:rsidRDefault="001C7BF9">
      <w:pPr>
        <w:pStyle w:val="Innehll3"/>
      </w:pPr>
      <w:r w:rsidRPr="00C9680B">
        <w:t>4.1.22 Utgiftsområde 22 Kommunikationer</w:t>
      </w:r>
      <w:r w:rsidRPr="00C9680B">
        <w:tab/>
        <w:t>249</w:t>
      </w:r>
    </w:p>
    <w:p w:rsidR="001C7BF9" w:rsidRPr="00C9680B" w:rsidRDefault="001C7BF9">
      <w:pPr>
        <w:pStyle w:val="Innehll3"/>
      </w:pPr>
      <w:r w:rsidRPr="00C9680B">
        <w:t>4.1.23 Utgiftsområde 23 Jord- och skogsbruk, fiske med anslutande näringar</w:t>
      </w:r>
      <w:r w:rsidRPr="00C9680B">
        <w:tab/>
        <w:t>251</w:t>
      </w:r>
    </w:p>
    <w:p w:rsidR="001C7BF9" w:rsidRPr="00C9680B" w:rsidRDefault="001C7BF9">
      <w:pPr>
        <w:pStyle w:val="Innehll3"/>
      </w:pPr>
      <w:r w:rsidRPr="00C9680B">
        <w:t>4.1.24 Utgiftsområde 24 Näringsliv</w:t>
      </w:r>
      <w:r w:rsidRPr="00C9680B">
        <w:tab/>
        <w:t>252</w:t>
      </w:r>
    </w:p>
    <w:p w:rsidR="001C7BF9" w:rsidRPr="00C9680B" w:rsidRDefault="001C7BF9">
      <w:pPr>
        <w:pStyle w:val="Innehll3"/>
      </w:pPr>
      <w:r w:rsidRPr="00C9680B">
        <w:t>4.1.25 Utgiftsområde 25 Allmänna bidrag till kommuner</w:t>
      </w:r>
      <w:r w:rsidRPr="00C9680B">
        <w:tab/>
        <w:t>254</w:t>
      </w:r>
    </w:p>
    <w:p w:rsidR="001C7BF9" w:rsidRPr="00C9680B" w:rsidRDefault="001C7BF9">
      <w:pPr>
        <w:pStyle w:val="Innehll3"/>
      </w:pPr>
      <w:r w:rsidRPr="00C9680B">
        <w:t>4.1.26 Utgiftsområde 26 Statsskuldsräntor m.m.</w:t>
      </w:r>
      <w:r w:rsidRPr="00C9680B">
        <w:tab/>
        <w:t>257</w:t>
      </w:r>
    </w:p>
    <w:p w:rsidR="001C7BF9" w:rsidRPr="00C9680B" w:rsidRDefault="001C7BF9">
      <w:pPr>
        <w:pStyle w:val="Innehll3"/>
      </w:pPr>
      <w:r w:rsidRPr="00C9680B">
        <w:t>4.1.27 Utgiftsområde 27 Avgiften till Europeiska gemenskapen</w:t>
      </w:r>
      <w:r w:rsidRPr="00C9680B">
        <w:tab/>
        <w:t>259</w:t>
      </w:r>
    </w:p>
    <w:p w:rsidR="001C7BF9" w:rsidRPr="00C9680B" w:rsidRDefault="001C7BF9">
      <w:pPr>
        <w:pStyle w:val="Innehll3"/>
      </w:pPr>
      <w:r w:rsidRPr="00C9680B">
        <w:t>4.1.28 Ålderspensionssystemet vid sidan av statsbudgeten</w:t>
      </w:r>
      <w:r w:rsidRPr="00C9680B">
        <w:tab/>
        <w:t>259</w:t>
      </w:r>
    </w:p>
    <w:p w:rsidR="001C7BF9" w:rsidRPr="00C9680B" w:rsidRDefault="001C7BF9">
      <w:pPr>
        <w:pStyle w:val="Innehll2"/>
      </w:pPr>
      <w:r w:rsidRPr="00C9680B">
        <w:t>4.2 Preliminär fördelning av utgifterna på utgiftsområden för åren 2002 och 2003</w:t>
      </w:r>
      <w:r w:rsidRPr="00C9680B">
        <w:tab/>
        <w:t>261</w:t>
      </w:r>
    </w:p>
    <w:p w:rsidR="001C7BF9" w:rsidRPr="00C9680B" w:rsidRDefault="001C7BF9">
      <w:pPr>
        <w:pStyle w:val="Innehll2"/>
      </w:pPr>
      <w:r w:rsidRPr="00C9680B">
        <w:t>4.3 Bemyndigande om upplåning</w:t>
      </w:r>
      <w:r w:rsidRPr="00C9680B">
        <w:tab/>
        <w:t>262</w:t>
      </w:r>
    </w:p>
    <w:p w:rsidR="001C7BF9" w:rsidRPr="00C9680B" w:rsidRDefault="001C7BF9">
      <w:pPr>
        <w:pStyle w:val="Innehll2"/>
      </w:pPr>
      <w:r w:rsidRPr="00C9680B">
        <w:t>4.4 Utskottsinitiativ om ett eventuellt kapitaltillskott till OM Gruppen AB</w:t>
      </w:r>
      <w:r w:rsidRPr="00C9680B">
        <w:tab/>
        <w:t>264</w:t>
      </w:r>
    </w:p>
    <w:p w:rsidR="001C7BF9" w:rsidRPr="00C9680B" w:rsidRDefault="001C7BF9">
      <w:pPr>
        <w:pStyle w:val="Innehll2"/>
      </w:pPr>
      <w:r w:rsidRPr="00C9680B">
        <w:t>4.5 Finansiering av investeringar och rörelsekapital</w:t>
      </w:r>
      <w:r w:rsidRPr="00C9680B">
        <w:tab/>
        <w:t>266</w:t>
      </w:r>
    </w:p>
    <w:p w:rsidR="001C7BF9" w:rsidRPr="00C9680B" w:rsidRDefault="001C7BF9">
      <w:pPr>
        <w:pStyle w:val="Innehll3"/>
      </w:pPr>
      <w:r w:rsidRPr="00C9680B">
        <w:t>4.5.1 Lån för myndigheternas investeringar i anläggnings</w:t>
      </w:r>
      <w:r w:rsidRPr="00C9680B">
        <w:softHyphen/>
        <w:t>till</w:t>
      </w:r>
      <w:r w:rsidRPr="00C9680B">
        <w:softHyphen/>
        <w:t>gångar för förvaltningsändamål</w:t>
      </w:r>
      <w:r w:rsidRPr="00C9680B">
        <w:tab/>
        <w:t>266</w:t>
      </w:r>
    </w:p>
    <w:p w:rsidR="001C7BF9" w:rsidRPr="00C9680B" w:rsidRDefault="001C7BF9">
      <w:pPr>
        <w:pStyle w:val="Innehll3"/>
      </w:pPr>
      <w:r w:rsidRPr="00C9680B">
        <w:t>4.5.2 Myndigheternas räntekontokrediter</w:t>
      </w:r>
      <w:r w:rsidRPr="00C9680B">
        <w:tab/>
        <w:t>267</w:t>
      </w:r>
    </w:p>
    <w:p w:rsidR="001C7BF9" w:rsidRPr="00C9680B" w:rsidRDefault="001C7BF9">
      <w:pPr>
        <w:pStyle w:val="Innehll3"/>
      </w:pPr>
      <w:r w:rsidRPr="00C9680B">
        <w:t>4.5.3 Sjunde AP-fondstyrelsens lån och räntekontokredit i Riksgälds</w:t>
      </w:r>
      <w:r w:rsidRPr="00C9680B">
        <w:softHyphen/>
        <w:t>kontoret</w:t>
      </w:r>
      <w:r w:rsidRPr="00C9680B">
        <w:tab/>
        <w:t>267</w:t>
      </w:r>
    </w:p>
    <w:p w:rsidR="001C7BF9" w:rsidRPr="00C9680B" w:rsidRDefault="001C7BF9">
      <w:pPr>
        <w:pStyle w:val="Innehll2"/>
      </w:pPr>
      <w:r w:rsidRPr="00C9680B">
        <w:t>4.6 Bemyndigande för ramanslag</w:t>
      </w:r>
      <w:r w:rsidRPr="00C9680B">
        <w:tab/>
        <w:t>268</w:t>
      </w:r>
    </w:p>
    <w:p w:rsidR="001C7BF9" w:rsidRPr="00C9680B" w:rsidRDefault="001C7BF9">
      <w:pPr>
        <w:pStyle w:val="Innehll2"/>
      </w:pPr>
      <w:r w:rsidRPr="00C9680B">
        <w:t>4.7 Bemyndigande om ekonomiska förpliktelser</w:t>
      </w:r>
      <w:r w:rsidRPr="00C9680B">
        <w:tab/>
        <w:t>269</w:t>
      </w:r>
    </w:p>
    <w:p w:rsidR="001C7BF9" w:rsidRPr="00C9680B" w:rsidRDefault="001C7BF9">
      <w:pPr>
        <w:pStyle w:val="Innehll2"/>
      </w:pPr>
      <w:r w:rsidRPr="00C9680B">
        <w:t>4.8 Garantier</w:t>
      </w:r>
      <w:r w:rsidRPr="00C9680B">
        <w:tab/>
        <w:t>270</w:t>
      </w:r>
    </w:p>
    <w:p w:rsidR="001C7BF9" w:rsidRPr="00C9680B" w:rsidRDefault="001C7BF9">
      <w:pPr>
        <w:pStyle w:val="Innehll1"/>
      </w:pPr>
      <w:r w:rsidRPr="00C9680B">
        <w:t>5 Ekonomisk styrning och statlig redovisning</w:t>
      </w:r>
      <w:r w:rsidRPr="00C9680B">
        <w:tab/>
        <w:t>271</w:t>
      </w:r>
    </w:p>
    <w:p w:rsidR="001C7BF9" w:rsidRPr="00C9680B" w:rsidRDefault="001C7BF9">
      <w:pPr>
        <w:pStyle w:val="Innehll2"/>
      </w:pPr>
      <w:r w:rsidRPr="00C9680B">
        <w:t>5.1 Årsredovisning för staten</w:t>
      </w:r>
      <w:r w:rsidRPr="00C9680B">
        <w:tab/>
        <w:t>271</w:t>
      </w:r>
    </w:p>
    <w:p w:rsidR="001C7BF9" w:rsidRPr="00C9680B" w:rsidRDefault="001C7BF9">
      <w:pPr>
        <w:pStyle w:val="Innehll2"/>
      </w:pPr>
      <w:r w:rsidRPr="00C9680B">
        <w:t>5.2 Indelningen i politikområden och utvecklingen av den ekono</w:t>
      </w:r>
      <w:r w:rsidRPr="00C9680B">
        <w:softHyphen/>
        <w:t>miska styrningen</w:t>
      </w:r>
      <w:r w:rsidRPr="00C9680B">
        <w:tab/>
        <w:t>273</w:t>
      </w:r>
    </w:p>
    <w:p w:rsidR="001C7BF9" w:rsidRPr="00C9680B" w:rsidRDefault="001C7BF9">
      <w:pPr>
        <w:pStyle w:val="Innehll1"/>
      </w:pPr>
      <w:r w:rsidRPr="00C9680B">
        <w:t>6 Övriga frågor</w:t>
      </w:r>
      <w:r w:rsidRPr="00C9680B">
        <w:tab/>
        <w:t>279</w:t>
      </w:r>
    </w:p>
    <w:p w:rsidR="001C7BF9" w:rsidRPr="00C9680B" w:rsidRDefault="001C7BF9">
      <w:pPr>
        <w:pStyle w:val="Innehll2"/>
      </w:pPr>
      <w:r w:rsidRPr="00C9680B">
        <w:t>6.1 Försäljning av statliga tillgångar</w:t>
      </w:r>
      <w:r w:rsidRPr="00C9680B">
        <w:tab/>
        <w:t>279</w:t>
      </w:r>
    </w:p>
    <w:p w:rsidR="001C7BF9" w:rsidRPr="00C9680B" w:rsidRDefault="001C7BF9">
      <w:pPr>
        <w:pStyle w:val="Innehll2"/>
      </w:pPr>
      <w:r w:rsidRPr="00C9680B">
        <w:t>6.2 Barnbilaga i statsbudgeten</w:t>
      </w:r>
      <w:r w:rsidRPr="00C9680B">
        <w:tab/>
        <w:t>279</w:t>
      </w:r>
    </w:p>
    <w:p w:rsidR="001C7BF9" w:rsidRPr="00C9680B" w:rsidRDefault="001C7BF9">
      <w:pPr>
        <w:pStyle w:val="Innehll2"/>
      </w:pPr>
      <w:r w:rsidRPr="00C9680B">
        <w:t>6.3 Ansvar för spel och lotterier</w:t>
      </w:r>
      <w:r w:rsidRPr="00C9680B">
        <w:tab/>
        <w:t>282</w:t>
      </w:r>
    </w:p>
    <w:p w:rsidR="001C7BF9" w:rsidRPr="00C9680B" w:rsidRDefault="001C7BF9">
      <w:pPr>
        <w:pStyle w:val="Innehll1"/>
      </w:pPr>
      <w:r w:rsidRPr="00C9680B">
        <w:t>Reservationer</w:t>
      </w:r>
      <w:r w:rsidRPr="00C9680B">
        <w:tab/>
        <w:t>283</w:t>
      </w:r>
    </w:p>
    <w:p w:rsidR="001C7BF9" w:rsidRPr="00C9680B" w:rsidRDefault="001C7BF9">
      <w:pPr>
        <w:pStyle w:val="Innehll2"/>
        <w:tabs>
          <w:tab w:val="left" w:pos="568"/>
        </w:tabs>
      </w:pPr>
      <w:r w:rsidRPr="00C9680B">
        <w:t>1.</w:t>
      </w:r>
      <w:r w:rsidRPr="00C9680B">
        <w:tab/>
        <w:t>Allmänna riktlinjer för den ekonomiska politiken (punkt 1) (m, kd, fp, c)</w:t>
      </w:r>
      <w:r w:rsidRPr="00C9680B">
        <w:tab/>
        <w:t>283</w:t>
      </w:r>
    </w:p>
    <w:p w:rsidR="001C7BF9" w:rsidRPr="00C9680B" w:rsidRDefault="001C7BF9">
      <w:pPr>
        <w:pStyle w:val="Innehll2"/>
        <w:tabs>
          <w:tab w:val="left" w:pos="568"/>
        </w:tabs>
      </w:pPr>
      <w:r w:rsidRPr="00C9680B">
        <w:t>2.</w:t>
      </w:r>
      <w:r w:rsidRPr="00C9680B">
        <w:tab/>
        <w:t>Formerna för ställningstagande till euro (punkt 2) (m)</w:t>
      </w:r>
      <w:r w:rsidRPr="00C9680B">
        <w:tab/>
        <w:t>312</w:t>
      </w:r>
    </w:p>
    <w:p w:rsidR="001C7BF9" w:rsidRPr="00C9680B" w:rsidRDefault="001C7BF9">
      <w:pPr>
        <w:pStyle w:val="Innehll2"/>
        <w:tabs>
          <w:tab w:val="left" w:pos="568"/>
        </w:tabs>
      </w:pPr>
      <w:r w:rsidRPr="00C9680B">
        <w:t>3.</w:t>
      </w:r>
      <w:r w:rsidRPr="00C9680B">
        <w:tab/>
        <w:t>Formerna för ställningstagande till euro (punkt 2) (v)</w:t>
      </w:r>
      <w:r w:rsidRPr="00C9680B">
        <w:tab/>
        <w:t>313</w:t>
      </w:r>
    </w:p>
    <w:p w:rsidR="001C7BF9" w:rsidRPr="00C9680B" w:rsidRDefault="001C7BF9">
      <w:pPr>
        <w:pStyle w:val="Innehll2"/>
        <w:tabs>
          <w:tab w:val="left" w:pos="568"/>
        </w:tabs>
      </w:pPr>
      <w:r w:rsidRPr="00C9680B">
        <w:t>4.</w:t>
      </w:r>
      <w:r w:rsidRPr="00C9680B">
        <w:tab/>
        <w:t>Formerna för ställningstagande till euro (punkt 2) (kd)</w:t>
      </w:r>
      <w:r w:rsidRPr="00C9680B">
        <w:tab/>
        <w:t>314</w:t>
      </w:r>
    </w:p>
    <w:p w:rsidR="001C7BF9" w:rsidRPr="00C9680B" w:rsidRDefault="001C7BF9">
      <w:pPr>
        <w:pStyle w:val="Innehll2"/>
        <w:tabs>
          <w:tab w:val="left" w:pos="568"/>
        </w:tabs>
      </w:pPr>
      <w:r w:rsidRPr="00C9680B">
        <w:t>5.</w:t>
      </w:r>
      <w:r w:rsidRPr="00C9680B">
        <w:tab/>
        <w:t>Formerna för ställningstagande till euro (punkt 2) (c)</w:t>
      </w:r>
      <w:r w:rsidRPr="00C9680B">
        <w:tab/>
        <w:t>315</w:t>
      </w:r>
    </w:p>
    <w:p w:rsidR="001C7BF9" w:rsidRPr="00C9680B" w:rsidRDefault="001C7BF9">
      <w:pPr>
        <w:pStyle w:val="Innehll2"/>
        <w:tabs>
          <w:tab w:val="left" w:pos="568"/>
        </w:tabs>
      </w:pPr>
      <w:r w:rsidRPr="00C9680B">
        <w:t>6.</w:t>
      </w:r>
      <w:r w:rsidRPr="00C9680B">
        <w:tab/>
        <w:t>Formerna för ställningstagande till euro (punkt 2) (fp)</w:t>
      </w:r>
      <w:r w:rsidRPr="00C9680B">
        <w:tab/>
        <w:t>315</w:t>
      </w:r>
    </w:p>
    <w:p w:rsidR="001C7BF9" w:rsidRPr="00C9680B" w:rsidRDefault="001C7BF9">
      <w:pPr>
        <w:pStyle w:val="Innehll2"/>
        <w:tabs>
          <w:tab w:val="left" w:pos="568"/>
        </w:tabs>
      </w:pPr>
      <w:r w:rsidRPr="00C9680B">
        <w:t>7.</w:t>
      </w:r>
      <w:r w:rsidRPr="00C9680B">
        <w:tab/>
        <w:t>Formerna för ställningstagande till euro (punkt 2) (mp)</w:t>
      </w:r>
      <w:r w:rsidRPr="00C9680B">
        <w:tab/>
        <w:t>316</w:t>
      </w:r>
    </w:p>
    <w:p w:rsidR="001C7BF9" w:rsidRPr="00C9680B" w:rsidRDefault="001C7BF9">
      <w:pPr>
        <w:pStyle w:val="Innehll2"/>
        <w:tabs>
          <w:tab w:val="left" w:pos="568"/>
        </w:tabs>
      </w:pPr>
      <w:r w:rsidRPr="00C9680B">
        <w:t>8.</w:t>
      </w:r>
      <w:r w:rsidRPr="00C9680B">
        <w:tab/>
        <w:t>Analyser av effekterna av att införa euro (punkt 3) (v)</w:t>
      </w:r>
      <w:r w:rsidRPr="00C9680B">
        <w:tab/>
        <w:t>317</w:t>
      </w:r>
    </w:p>
    <w:p w:rsidR="001C7BF9" w:rsidRPr="00C9680B" w:rsidRDefault="001C7BF9">
      <w:pPr>
        <w:pStyle w:val="Innehll2"/>
        <w:tabs>
          <w:tab w:val="left" w:pos="568"/>
        </w:tabs>
      </w:pPr>
      <w:r w:rsidRPr="00C9680B">
        <w:t>9.</w:t>
      </w:r>
      <w:r w:rsidRPr="00C9680B">
        <w:tab/>
        <w:t>Mål för budgetpolitiken (punkt 4) (m)</w:t>
      </w:r>
      <w:r w:rsidRPr="00C9680B">
        <w:tab/>
        <w:t>319</w:t>
      </w:r>
    </w:p>
    <w:p w:rsidR="001C7BF9" w:rsidRPr="00C9680B" w:rsidRDefault="001C7BF9">
      <w:pPr>
        <w:pStyle w:val="Innehll2"/>
        <w:tabs>
          <w:tab w:val="left" w:pos="851"/>
        </w:tabs>
      </w:pPr>
      <w:r w:rsidRPr="00C9680B">
        <w:t>10.</w:t>
      </w:r>
      <w:r w:rsidRPr="00C9680B">
        <w:tab/>
        <w:t>Mål för budgetpolitiken (punkt 4) (kd)</w:t>
      </w:r>
      <w:r w:rsidRPr="00C9680B">
        <w:tab/>
        <w:t>320</w:t>
      </w:r>
    </w:p>
    <w:p w:rsidR="001C7BF9" w:rsidRPr="00C9680B" w:rsidRDefault="001C7BF9">
      <w:pPr>
        <w:pStyle w:val="Innehll2"/>
        <w:tabs>
          <w:tab w:val="left" w:pos="851"/>
        </w:tabs>
      </w:pPr>
      <w:r w:rsidRPr="00C9680B">
        <w:t>11.</w:t>
      </w:r>
      <w:r w:rsidRPr="00C9680B">
        <w:tab/>
        <w:t>Mål för budgetpolitiken (punkt 4) (fp)</w:t>
      </w:r>
      <w:r w:rsidRPr="00C9680B">
        <w:tab/>
        <w:t>321</w:t>
      </w:r>
    </w:p>
    <w:p w:rsidR="001C7BF9" w:rsidRPr="00C9680B" w:rsidRDefault="001C7BF9">
      <w:pPr>
        <w:pStyle w:val="Innehll2"/>
      </w:pPr>
      <w:r w:rsidRPr="00C9680B">
        <w:t>12. Budgetförslagen för år 2001 (punkt 5) (m)</w:t>
      </w:r>
      <w:r w:rsidRPr="00C9680B">
        <w:tab/>
        <w:t>321</w:t>
      </w:r>
    </w:p>
    <w:p w:rsidR="001C7BF9" w:rsidRPr="00C9680B" w:rsidRDefault="001C7BF9">
      <w:pPr>
        <w:pStyle w:val="Innehll2"/>
      </w:pPr>
      <w:r w:rsidRPr="00C9680B">
        <w:t>13. Budgetförslagen för år 2001 (punkt 5) (kd)</w:t>
      </w:r>
      <w:r w:rsidRPr="00C9680B">
        <w:tab/>
        <w:t>333</w:t>
      </w:r>
    </w:p>
    <w:p w:rsidR="001C7BF9" w:rsidRPr="00C9680B" w:rsidRDefault="001C7BF9">
      <w:pPr>
        <w:pStyle w:val="Innehll2"/>
        <w:tabs>
          <w:tab w:val="left" w:pos="851"/>
        </w:tabs>
      </w:pPr>
      <w:r w:rsidRPr="00C9680B">
        <w:t>14. Budgetförslagen för år 2001 (punkt 5) (c)</w:t>
      </w:r>
      <w:r w:rsidRPr="00C9680B">
        <w:tab/>
        <w:t>341</w:t>
      </w:r>
    </w:p>
    <w:p w:rsidR="001C7BF9" w:rsidRPr="00C9680B" w:rsidRDefault="001C7BF9">
      <w:pPr>
        <w:pStyle w:val="Innehll2"/>
      </w:pPr>
      <w:r w:rsidRPr="00C9680B">
        <w:t>15. Budgetförslagen för år 2001 (punkt 5) (fp)</w:t>
      </w:r>
      <w:r w:rsidRPr="00C9680B">
        <w:tab/>
        <w:t>349</w:t>
      </w:r>
    </w:p>
    <w:p w:rsidR="001C7BF9" w:rsidRPr="00C9680B" w:rsidRDefault="001C7BF9">
      <w:pPr>
        <w:pStyle w:val="Innehll2"/>
      </w:pPr>
      <w:r w:rsidRPr="00C9680B">
        <w:t>Skattepolitiken</w:t>
      </w:r>
      <w:r w:rsidRPr="00C9680B">
        <w:tab/>
        <w:t>352</w:t>
      </w:r>
    </w:p>
    <w:p w:rsidR="001C7BF9" w:rsidRPr="00C9680B" w:rsidRDefault="001C7BF9">
      <w:pPr>
        <w:pStyle w:val="Innehll2"/>
        <w:tabs>
          <w:tab w:val="left" w:pos="851"/>
        </w:tabs>
      </w:pPr>
      <w:r w:rsidRPr="00C9680B">
        <w:t>16.</w:t>
      </w:r>
      <w:r w:rsidRPr="00C9680B">
        <w:tab/>
        <w:t>Preliminär fördelning av utgifterna på utgiftsområden för åren 2002 och 2003 (punkt 7) (m)</w:t>
      </w:r>
      <w:r w:rsidRPr="00C9680B">
        <w:tab/>
        <w:t>357</w:t>
      </w:r>
    </w:p>
    <w:p w:rsidR="001C7BF9" w:rsidRPr="00C9680B" w:rsidRDefault="001C7BF9">
      <w:pPr>
        <w:pStyle w:val="Innehll2"/>
        <w:tabs>
          <w:tab w:val="left" w:pos="851"/>
        </w:tabs>
      </w:pPr>
      <w:r w:rsidRPr="00C9680B">
        <w:t>17.</w:t>
      </w:r>
      <w:r w:rsidRPr="00C9680B">
        <w:tab/>
        <w:t>Preliminär fördelning av utgifterna på utgiftsområden för åren 2002 och 2003 (punkt 7) (kd)</w:t>
      </w:r>
      <w:r w:rsidRPr="00C9680B">
        <w:tab/>
        <w:t>357</w:t>
      </w:r>
    </w:p>
    <w:p w:rsidR="001C7BF9" w:rsidRPr="00C9680B" w:rsidRDefault="001C7BF9">
      <w:pPr>
        <w:pStyle w:val="Innehll2"/>
        <w:tabs>
          <w:tab w:val="left" w:pos="851"/>
        </w:tabs>
      </w:pPr>
      <w:r w:rsidRPr="00C9680B">
        <w:t>18.</w:t>
      </w:r>
      <w:r w:rsidRPr="00C9680B">
        <w:tab/>
        <w:t>Preliminär fördelning av utgifterna på utgiftsområden för åren 2002 och 2003 (punkt 7) (c)</w:t>
      </w:r>
      <w:r w:rsidRPr="00C9680B">
        <w:tab/>
        <w:t>358</w:t>
      </w:r>
    </w:p>
    <w:p w:rsidR="001C7BF9" w:rsidRPr="00C9680B" w:rsidRDefault="001C7BF9">
      <w:pPr>
        <w:pStyle w:val="Innehll2"/>
        <w:tabs>
          <w:tab w:val="left" w:pos="851"/>
        </w:tabs>
      </w:pPr>
      <w:r w:rsidRPr="00C9680B">
        <w:t>19.</w:t>
      </w:r>
      <w:r w:rsidRPr="00C9680B">
        <w:tab/>
        <w:t>Preliminär fördelning av utgifterna på utgiftsområden för åren 2002 och 2003 (punkt 7) (fp)</w:t>
      </w:r>
      <w:r w:rsidRPr="00C9680B">
        <w:tab/>
        <w:t>359</w:t>
      </w:r>
    </w:p>
    <w:p w:rsidR="001C7BF9" w:rsidRPr="00C9680B" w:rsidRDefault="001C7BF9">
      <w:pPr>
        <w:pStyle w:val="Innehll2"/>
        <w:tabs>
          <w:tab w:val="left" w:pos="851"/>
        </w:tabs>
      </w:pPr>
      <w:r w:rsidRPr="00C9680B">
        <w:t>20.</w:t>
      </w:r>
      <w:r w:rsidRPr="00C9680B">
        <w:tab/>
        <w:t>Utskottsinitiativ om ett eventuellt kapitaltillskott till OM Gruppen AB (punkt 9) (m, kd, c, fp)</w:t>
      </w:r>
      <w:r w:rsidRPr="00C9680B">
        <w:tab/>
        <w:t>360</w:t>
      </w:r>
    </w:p>
    <w:p w:rsidR="001C7BF9" w:rsidRPr="00C9680B" w:rsidRDefault="001C7BF9">
      <w:pPr>
        <w:pStyle w:val="Innehll2"/>
        <w:tabs>
          <w:tab w:val="left" w:pos="851"/>
        </w:tabs>
      </w:pPr>
      <w:r w:rsidRPr="00C9680B">
        <w:t>21.</w:t>
      </w:r>
      <w:r w:rsidRPr="00C9680B">
        <w:tab/>
        <w:t>Lån till myndigheternas investeringar i anläggningstillgångar för förvaltningsändamål (punkt 10) (m, kd, c, fp)</w:t>
      </w:r>
      <w:r w:rsidRPr="00C9680B">
        <w:tab/>
        <w:t>360</w:t>
      </w:r>
    </w:p>
    <w:p w:rsidR="001C7BF9" w:rsidRPr="00C9680B" w:rsidRDefault="001C7BF9">
      <w:pPr>
        <w:pStyle w:val="Innehll2"/>
      </w:pPr>
      <w:r w:rsidRPr="00C9680B">
        <w:t>22. Försäljning av statliga tillgångar (punkt 15) (m, kd, fp)</w:t>
      </w:r>
      <w:r w:rsidRPr="00C9680B">
        <w:tab/>
        <w:t>360</w:t>
      </w:r>
    </w:p>
    <w:p w:rsidR="001C7BF9" w:rsidRPr="00C9680B" w:rsidRDefault="001C7BF9">
      <w:pPr>
        <w:pStyle w:val="Innehll2"/>
      </w:pPr>
      <w:r w:rsidRPr="00C9680B">
        <w:t>23. Barnbilaga i statsbudgeten (punkt 16) (kd, c)</w:t>
      </w:r>
      <w:r w:rsidRPr="00C9680B">
        <w:tab/>
        <w:t>361</w:t>
      </w:r>
    </w:p>
    <w:p w:rsidR="001C7BF9" w:rsidRPr="00C9680B" w:rsidRDefault="001C7BF9">
      <w:pPr>
        <w:pStyle w:val="Innehll1"/>
      </w:pPr>
      <w:r w:rsidRPr="00C9680B">
        <w:t>Särskilda yttranden</w:t>
      </w:r>
      <w:r w:rsidRPr="00C9680B">
        <w:tab/>
        <w:t>363</w:t>
      </w:r>
    </w:p>
    <w:p w:rsidR="001C7BF9" w:rsidRPr="00C9680B" w:rsidRDefault="001C7BF9">
      <w:pPr>
        <w:pStyle w:val="Innehll2"/>
      </w:pPr>
      <w:r w:rsidRPr="00C9680B">
        <w:t>1. Allmänna riktlinjer för den ekonomiska politiken (punkt 1)</w:t>
      </w:r>
    </w:p>
    <w:p w:rsidR="001C7BF9" w:rsidRPr="00C9680B" w:rsidRDefault="001C7BF9">
      <w:pPr>
        <w:pStyle w:val="Innehll2"/>
      </w:pPr>
      <w:r w:rsidRPr="00C9680B">
        <w:t xml:space="preserve">    (m, kd, fp)</w:t>
      </w:r>
      <w:r w:rsidRPr="00C9680B">
        <w:tab/>
        <w:t>363</w:t>
      </w:r>
    </w:p>
    <w:p w:rsidR="001C7BF9" w:rsidRPr="00C9680B" w:rsidRDefault="001C7BF9">
      <w:pPr>
        <w:pStyle w:val="Innehll2"/>
      </w:pPr>
      <w:r w:rsidRPr="00C9680B">
        <w:t>2. Allmänna riktlinjer för den ekonomiska politiken   (punkt 1) (c)</w:t>
      </w:r>
      <w:r w:rsidRPr="00C9680B">
        <w:tab/>
        <w:t>365</w:t>
      </w:r>
    </w:p>
    <w:p w:rsidR="001C7BF9" w:rsidRPr="00C9680B" w:rsidRDefault="001C7BF9">
      <w:pPr>
        <w:pStyle w:val="Innehll2"/>
      </w:pPr>
      <w:r w:rsidRPr="00C9680B">
        <w:t xml:space="preserve">3. Utskottsinitiativ om ett eventuellt kapitaltillskott till </w:t>
      </w:r>
    </w:p>
    <w:p w:rsidR="001C7BF9" w:rsidRPr="00C9680B" w:rsidRDefault="001C7BF9">
      <w:pPr>
        <w:pStyle w:val="Innehll2"/>
      </w:pPr>
      <w:r w:rsidRPr="00C9680B">
        <w:t xml:space="preserve">     OM Gruppen AB (punkt 9) (m, kd, c, fp)</w:t>
      </w:r>
      <w:r w:rsidRPr="00C9680B">
        <w:tab/>
        <w:t>366</w:t>
      </w:r>
    </w:p>
    <w:p w:rsidR="001C7BF9" w:rsidRPr="00C9680B" w:rsidRDefault="001C7BF9">
      <w:pPr>
        <w:pStyle w:val="Innehll1"/>
      </w:pPr>
      <w:r w:rsidRPr="00C9680B">
        <w:t>Bilaga 1 Förteckning över behandlade förslag</w:t>
      </w:r>
      <w:r w:rsidRPr="00C9680B">
        <w:tab/>
        <w:t>368</w:t>
      </w:r>
    </w:p>
    <w:p w:rsidR="001C7BF9" w:rsidRPr="00C9680B" w:rsidRDefault="001C7BF9">
      <w:pPr>
        <w:pStyle w:val="Innehll1"/>
      </w:pPr>
      <w:r w:rsidRPr="00C9680B">
        <w:t>Bilaga 2 Regeringens lagförslag</w:t>
      </w:r>
      <w:r w:rsidRPr="00C9680B">
        <w:tab/>
        <w:t>3</w:t>
      </w:r>
      <w:bookmarkStart w:id="21" w:name="_Hlt498920632"/>
      <w:r w:rsidRPr="00C9680B">
        <w:t>8</w:t>
      </w:r>
      <w:bookmarkEnd w:id="21"/>
      <w:r w:rsidRPr="00C9680B">
        <w:t>7</w:t>
      </w:r>
    </w:p>
    <w:p w:rsidR="001C7BF9" w:rsidRPr="00C9680B" w:rsidRDefault="001C7BF9">
      <w:pPr>
        <w:pStyle w:val="Innehll2"/>
      </w:pPr>
      <w:r w:rsidRPr="00C9680B">
        <w:t>1  Förslag till lag om ändring i lagen (1984:1052) om statlig fastig</w:t>
      </w:r>
      <w:r w:rsidRPr="00C9680B">
        <w:softHyphen/>
        <w:t>hets</w:t>
      </w:r>
      <w:r w:rsidRPr="00C9680B">
        <w:softHyphen/>
        <w:t>skatt</w:t>
      </w:r>
      <w:r w:rsidRPr="00C9680B">
        <w:tab/>
        <w:t>387</w:t>
      </w:r>
    </w:p>
    <w:p w:rsidR="001C7BF9" w:rsidRPr="00C9680B" w:rsidRDefault="001C7BF9">
      <w:pPr>
        <w:pStyle w:val="Innehll2"/>
      </w:pPr>
      <w:r w:rsidRPr="00C9680B">
        <w:t>2  Förslag till lag om ändring i inkomstskattelagen (1999:1229)</w:t>
      </w:r>
      <w:r w:rsidRPr="00C9680B">
        <w:tab/>
        <w:t>389</w:t>
      </w:r>
    </w:p>
    <w:p w:rsidR="001C7BF9" w:rsidRPr="00C9680B" w:rsidRDefault="001C7BF9">
      <w:pPr>
        <w:pStyle w:val="Innehll2"/>
      </w:pPr>
      <w:r w:rsidRPr="00C9680B">
        <w:t>3  Förslag till lag om ändring i skattebetalningslagen (1997:483)</w:t>
      </w:r>
      <w:r w:rsidRPr="00C9680B">
        <w:tab/>
        <w:t>394</w:t>
      </w:r>
    </w:p>
    <w:p w:rsidR="001C7BF9" w:rsidRPr="00C9680B" w:rsidRDefault="001C7BF9">
      <w:pPr>
        <w:pStyle w:val="Innehll2"/>
      </w:pPr>
      <w:r w:rsidRPr="00C9680B">
        <w:t>4  Förslag till lag om ändring i lagen (1994:1920) om allmän löneavgift</w:t>
      </w:r>
      <w:r w:rsidRPr="00C9680B">
        <w:tab/>
        <w:t>395</w:t>
      </w:r>
    </w:p>
    <w:p w:rsidR="001C7BF9" w:rsidRPr="00C9680B" w:rsidRDefault="001C7BF9">
      <w:pPr>
        <w:pStyle w:val="Innehll2"/>
      </w:pPr>
      <w:r w:rsidRPr="00C9680B">
        <w:t>5  Förslag till lag om skattereduktion på förvärvs- inkomster vid 2002 års taxering</w:t>
      </w:r>
      <w:r w:rsidRPr="00C9680B">
        <w:tab/>
        <w:t>396</w:t>
      </w:r>
    </w:p>
    <w:p w:rsidR="001C7BF9" w:rsidRPr="00C9680B" w:rsidRDefault="001C7BF9">
      <w:pPr>
        <w:pStyle w:val="Innehll2"/>
      </w:pPr>
      <w:r w:rsidRPr="00C9680B">
        <w:t>6  Förslag till lag om ändring i lagen (1994:1744) om allmän pensions</w:t>
      </w:r>
      <w:r w:rsidRPr="00C9680B">
        <w:softHyphen/>
        <w:t>avgift</w:t>
      </w:r>
      <w:r w:rsidRPr="00C9680B">
        <w:tab/>
        <w:t>397</w:t>
      </w:r>
    </w:p>
    <w:p w:rsidR="001C7BF9" w:rsidRPr="00C9680B" w:rsidRDefault="001C7BF9">
      <w:pPr>
        <w:pStyle w:val="Innehll2"/>
      </w:pPr>
      <w:r w:rsidRPr="00C9680B">
        <w:t>7  Förslag till lag om ändring i lagen (1999:802) om ändring i lagen (1998:674) om inkomstgrundadålderspension</w:t>
      </w:r>
      <w:r w:rsidRPr="00C9680B">
        <w:tab/>
        <w:t>398</w:t>
      </w:r>
    </w:p>
    <w:p w:rsidR="001C7BF9" w:rsidRPr="00C9680B" w:rsidRDefault="001C7BF9">
      <w:pPr>
        <w:pStyle w:val="Innehll2"/>
      </w:pPr>
      <w:r w:rsidRPr="00C9680B">
        <w:t>8  Förslag till lag om ändring i lagen (1998:676) om statlig ålderspensionsavgift</w:t>
      </w:r>
      <w:r w:rsidRPr="00C9680B">
        <w:tab/>
        <w:t>399</w:t>
      </w:r>
    </w:p>
    <w:p w:rsidR="001C7BF9" w:rsidRPr="00C9680B" w:rsidRDefault="001C7BF9">
      <w:pPr>
        <w:pStyle w:val="Innehll2"/>
      </w:pPr>
      <w:r w:rsidRPr="00C9680B">
        <w:t>9  Förslag till lag om ändring i lagen (1999:265) om särskilt grundavdrag och deklarationsskyldighet för fysiska personer i vissa fall vid 2000–2003 års taxeringar</w:t>
      </w:r>
      <w:r w:rsidRPr="00C9680B">
        <w:tab/>
        <w:t>400</w:t>
      </w:r>
    </w:p>
    <w:p w:rsidR="001C7BF9" w:rsidRPr="00C9680B" w:rsidRDefault="001C7BF9">
      <w:pPr>
        <w:pStyle w:val="Innehll2"/>
      </w:pPr>
      <w:r w:rsidRPr="00C9680B">
        <w:t>10  Förslag till lag om ändring i lagen (1997:323) om statlig för</w:t>
      </w:r>
      <w:r w:rsidRPr="00C9680B">
        <w:softHyphen/>
        <w:t>mögen</w:t>
      </w:r>
      <w:r w:rsidRPr="00C9680B">
        <w:softHyphen/>
        <w:t>hets</w:t>
      </w:r>
      <w:r w:rsidRPr="00C9680B">
        <w:softHyphen/>
        <w:t>skatt</w:t>
      </w:r>
      <w:r w:rsidRPr="00C9680B">
        <w:tab/>
        <w:t>401</w:t>
      </w:r>
    </w:p>
    <w:p w:rsidR="001C7BF9" w:rsidRPr="00C9680B" w:rsidRDefault="001C7BF9">
      <w:pPr>
        <w:pStyle w:val="Innehll2"/>
      </w:pPr>
      <w:r w:rsidRPr="00C9680B">
        <w:t>11  Förslag till lag om underlag för förmögenhetsskatt i vissa fall vid 2001 års taxering</w:t>
      </w:r>
      <w:r w:rsidRPr="00C9680B">
        <w:tab/>
        <w:t>402</w:t>
      </w:r>
    </w:p>
    <w:p w:rsidR="001C7BF9" w:rsidRPr="00C9680B" w:rsidRDefault="001C7BF9">
      <w:pPr>
        <w:pStyle w:val="Innehll2"/>
      </w:pPr>
      <w:r w:rsidRPr="00C9680B">
        <w:t>12  Förslag till lag om ändring i lagen (1994:1776) om skatt på energi</w:t>
      </w:r>
      <w:r w:rsidRPr="00C9680B">
        <w:tab/>
        <w:t>403</w:t>
      </w:r>
    </w:p>
    <w:p w:rsidR="001C7BF9" w:rsidRPr="00C9680B" w:rsidRDefault="001C7BF9">
      <w:pPr>
        <w:pStyle w:val="Innehll2"/>
      </w:pPr>
      <w:r w:rsidRPr="00C9680B">
        <w:t>13  Förslag till lag om ändring i fordonsskattelagen (1988:327)</w:t>
      </w:r>
      <w:r w:rsidRPr="00C9680B">
        <w:tab/>
        <w:t>411</w:t>
      </w:r>
    </w:p>
    <w:p w:rsidR="001C7BF9" w:rsidRPr="00C9680B" w:rsidRDefault="001C7BF9">
      <w:pPr>
        <w:pStyle w:val="Innehll2"/>
      </w:pPr>
      <w:r w:rsidRPr="00C9680B">
        <w:t>14  Förslag till lag om upphävande av lagen (1978:69) om försälj</w:t>
      </w:r>
      <w:r w:rsidRPr="00C9680B">
        <w:softHyphen/>
        <w:t>nings</w:t>
      </w:r>
      <w:r w:rsidRPr="00C9680B">
        <w:softHyphen/>
        <w:t>skatt på motorfordon</w:t>
      </w:r>
      <w:r w:rsidRPr="00C9680B">
        <w:tab/>
        <w:t>413</w:t>
      </w:r>
    </w:p>
    <w:p w:rsidR="001C7BF9" w:rsidRPr="00C9680B" w:rsidRDefault="001C7BF9">
      <w:pPr>
        <w:pStyle w:val="Innehll2"/>
      </w:pPr>
      <w:r w:rsidRPr="00C9680B">
        <w:t>15  Förslag till lag om ändring i lagen (1994:1565) om beskattning av viss privatinförsel</w:t>
      </w:r>
      <w:r w:rsidRPr="00C9680B">
        <w:tab/>
        <w:t>414</w:t>
      </w:r>
    </w:p>
    <w:p w:rsidR="001C7BF9" w:rsidRPr="00C9680B" w:rsidRDefault="001C7BF9">
      <w:pPr>
        <w:pStyle w:val="Innehll2"/>
      </w:pPr>
      <w:r w:rsidRPr="00C9680B">
        <w:t>16  Förslag till lag om ändring i lagen (1994:1551) om frihet från skatt vid import, m.m.</w:t>
      </w:r>
      <w:r w:rsidRPr="00C9680B">
        <w:tab/>
        <w:t>415</w:t>
      </w:r>
    </w:p>
    <w:p w:rsidR="001C7BF9" w:rsidRPr="00C9680B" w:rsidRDefault="001C7BF9">
      <w:pPr>
        <w:pStyle w:val="Innehll2"/>
      </w:pPr>
      <w:r w:rsidRPr="00C9680B">
        <w:t>17  Förslag till lag om ändring i lagen (1996:1512) om dubbel</w:t>
      </w:r>
      <w:r w:rsidRPr="00C9680B">
        <w:softHyphen/>
        <w:t>beskattnings</w:t>
      </w:r>
      <w:r w:rsidRPr="00C9680B">
        <w:softHyphen/>
        <w:t>avtal mellan de nordiska länderna</w:t>
      </w:r>
      <w:r w:rsidRPr="00C9680B">
        <w:tab/>
        <w:t>416</w:t>
      </w:r>
    </w:p>
    <w:p w:rsidR="001C7BF9" w:rsidRPr="00C9680B" w:rsidRDefault="001C7BF9">
      <w:pPr>
        <w:pStyle w:val="Innehll1"/>
      </w:pPr>
      <w:r w:rsidRPr="00C9680B">
        <w:t>Bilaga 3 Utskottets lagförslag</w:t>
      </w:r>
      <w:r w:rsidRPr="00C9680B">
        <w:tab/>
        <w:t>417</w:t>
      </w:r>
    </w:p>
    <w:p w:rsidR="001C7BF9" w:rsidRPr="00C9680B" w:rsidRDefault="001C7BF9">
      <w:pPr>
        <w:pStyle w:val="Innehll2"/>
      </w:pPr>
      <w:r w:rsidRPr="00C9680B">
        <w:t>3.1 Förslaget till lag om ändring i lagen (1984:1052) om statlig fastighetsskatt</w:t>
      </w:r>
      <w:r w:rsidRPr="00C9680B">
        <w:tab/>
        <w:t>417</w:t>
      </w:r>
    </w:p>
    <w:p w:rsidR="001C7BF9" w:rsidRPr="00C9680B" w:rsidRDefault="001C7BF9">
      <w:pPr>
        <w:pStyle w:val="Innehll2"/>
      </w:pPr>
      <w:r w:rsidRPr="00C9680B">
        <w:t>3.2 Förslaget till lag om ändring i inkomstskattelagen (1999:1229)</w:t>
      </w:r>
      <w:r w:rsidRPr="00C9680B">
        <w:tab/>
        <w:t>418</w:t>
      </w:r>
    </w:p>
    <w:p w:rsidR="001C7BF9" w:rsidRPr="00C9680B" w:rsidRDefault="001C7BF9">
      <w:pPr>
        <w:pStyle w:val="Innehll2"/>
      </w:pPr>
      <w:r w:rsidRPr="00C9680B">
        <w:t>3.5 Förslaget till lag om skattereduktion på förvärvs-inkomster vid 2002 års taxering</w:t>
      </w:r>
      <w:r w:rsidRPr="00C9680B">
        <w:tab/>
        <w:t>419</w:t>
      </w:r>
    </w:p>
    <w:p w:rsidR="001C7BF9" w:rsidRPr="00C9680B" w:rsidRDefault="001C7BF9">
      <w:pPr>
        <w:pStyle w:val="Innehll2"/>
      </w:pPr>
      <w:r w:rsidRPr="00C9680B">
        <w:t>3.11 Förslaget till lag om underlag för förmögenhetsskatt i vissa fall vid 2001 års taxering</w:t>
      </w:r>
      <w:r w:rsidRPr="00C9680B">
        <w:tab/>
        <w:t>420</w:t>
      </w:r>
    </w:p>
    <w:p w:rsidR="001C7BF9" w:rsidRPr="00C9680B" w:rsidRDefault="001C7BF9">
      <w:pPr>
        <w:pStyle w:val="Innehll2"/>
      </w:pPr>
      <w:r w:rsidRPr="00C9680B">
        <w:t>3.12 Förslaget till lag om ändring i lagen (1994:1776) om skatt på energi</w:t>
      </w:r>
      <w:r w:rsidRPr="00C9680B">
        <w:tab/>
        <w:t>421</w:t>
      </w:r>
    </w:p>
    <w:p w:rsidR="001C7BF9" w:rsidRPr="00C9680B" w:rsidRDefault="001C7BF9">
      <w:pPr>
        <w:pStyle w:val="Innehll2"/>
      </w:pPr>
      <w:r w:rsidRPr="00C9680B">
        <w:t>3.14 Förslaget till lag om upphävande av lagen (1978:69) om försäljningsskatt på motorfordon</w:t>
      </w:r>
      <w:r w:rsidRPr="00C9680B">
        <w:tab/>
        <w:t>425</w:t>
      </w:r>
    </w:p>
    <w:p w:rsidR="001C7BF9" w:rsidRPr="00C9680B" w:rsidRDefault="001C7BF9">
      <w:pPr>
        <w:pStyle w:val="Innehll1"/>
      </w:pPr>
      <w:r w:rsidRPr="00C9680B">
        <w:t>Bilaga 4 Lagrådsyttrande som begärts av utskottet</w:t>
      </w:r>
      <w:r w:rsidRPr="00C9680B">
        <w:tab/>
        <w:t>4</w:t>
      </w:r>
      <w:bookmarkStart w:id="22" w:name="_Hlt498919186"/>
      <w:r w:rsidRPr="00C9680B">
        <w:t>2</w:t>
      </w:r>
      <w:bookmarkEnd w:id="22"/>
      <w:r w:rsidRPr="00C9680B">
        <w:t>6</w:t>
      </w:r>
    </w:p>
    <w:p w:rsidR="001C7BF9" w:rsidRPr="00C9680B" w:rsidRDefault="001C7BF9">
      <w:pPr>
        <w:pStyle w:val="Ordfranden"/>
        <w:spacing w:before="62"/>
        <w:rPr>
          <w:noProof w:val="0"/>
          <w:sz w:val="17"/>
        </w:rPr>
      </w:pPr>
      <w:r w:rsidRPr="00C9680B">
        <w:rPr>
          <w:noProof w:val="0"/>
          <w:sz w:val="17"/>
        </w:rPr>
        <w:t xml:space="preserve"> </w:t>
      </w:r>
    </w:p>
    <w:p w:rsidR="001C7BF9" w:rsidRPr="00C9680B" w:rsidRDefault="001C7BF9">
      <w:pPr>
        <w:pStyle w:val="Ordfranden"/>
        <w:spacing w:before="62"/>
        <w:rPr>
          <w:noProof w:val="0"/>
        </w:rPr>
      </w:pPr>
      <w:r w:rsidRPr="00C9680B">
        <w:rPr>
          <w:noProof w:val="0"/>
          <w:sz w:val="17"/>
        </w:rPr>
        <w:br w:type="page"/>
      </w:r>
      <w:r w:rsidRPr="00C9680B">
        <w:rPr>
          <w:noProof w:val="0"/>
        </w:rPr>
        <w:t>Tabellförteckning</w:t>
      </w:r>
    </w:p>
    <w:p w:rsidR="001C7BF9" w:rsidRPr="00C9680B" w:rsidRDefault="001C7BF9">
      <w:pPr>
        <w:pStyle w:val="Normaltindrag"/>
      </w:pPr>
    </w:p>
    <w:p w:rsidR="001C7BF9" w:rsidRPr="00C9680B" w:rsidRDefault="001C7BF9">
      <w:pPr>
        <w:spacing w:before="0" w:line="240" w:lineRule="auto"/>
        <w:ind w:left="340" w:hanging="340"/>
      </w:pPr>
      <w:r w:rsidRPr="00C9680B">
        <w:t xml:space="preserve"> 1. Tillväxt, inflation och arbetslöshet i världsekonomin ...................</w:t>
      </w:r>
      <w:r w:rsidRPr="00C9680B">
        <w:tab/>
        <w:t>38</w:t>
      </w:r>
    </w:p>
    <w:p w:rsidR="001C7BF9" w:rsidRPr="00C9680B" w:rsidRDefault="001C7BF9">
      <w:pPr>
        <w:spacing w:before="0" w:line="240" w:lineRule="auto"/>
        <w:ind w:left="340" w:hanging="340"/>
      </w:pPr>
      <w:r w:rsidRPr="00C9680B">
        <w:t xml:space="preserve"> 2. Bidrag till tillväxten </w:t>
      </w:r>
      <w:r w:rsidRPr="00C9680B">
        <w:rPr>
          <w:vertAlign w:val="superscript"/>
        </w:rPr>
        <w:t xml:space="preserve">1 </w:t>
      </w:r>
      <w:r w:rsidRPr="00C9680B">
        <w:t>.....................................................................</w:t>
      </w:r>
      <w:r w:rsidRPr="00C9680B">
        <w:tab/>
        <w:t>44</w:t>
      </w:r>
    </w:p>
    <w:p w:rsidR="001C7BF9" w:rsidRPr="00C9680B" w:rsidRDefault="001C7BF9">
      <w:pPr>
        <w:spacing w:before="0" w:line="240" w:lineRule="auto"/>
        <w:ind w:left="340" w:hanging="340"/>
      </w:pPr>
      <w:r w:rsidRPr="00C9680B">
        <w:t xml:space="preserve"> 3. Prognosförutsättningar 2000–2003................................................</w:t>
      </w:r>
      <w:r w:rsidRPr="00C9680B">
        <w:tab/>
        <w:t>46</w:t>
      </w:r>
    </w:p>
    <w:p w:rsidR="001C7BF9" w:rsidRPr="00C9680B" w:rsidRDefault="001C7BF9">
      <w:pPr>
        <w:spacing w:before="0" w:line="240" w:lineRule="auto"/>
        <w:ind w:left="340" w:hanging="340"/>
      </w:pPr>
      <w:r w:rsidRPr="00C9680B">
        <w:t xml:space="preserve"> 4. Nyckeltal 2000–2003 ....................................................................</w:t>
      </w:r>
      <w:r w:rsidRPr="00C9680B">
        <w:tab/>
        <w:t>47</w:t>
      </w:r>
    </w:p>
    <w:p w:rsidR="001C7BF9" w:rsidRPr="00C9680B" w:rsidRDefault="001C7BF9">
      <w:pPr>
        <w:spacing w:before="0" w:line="240" w:lineRule="auto"/>
        <w:ind w:left="340" w:hanging="340"/>
      </w:pPr>
      <w:r w:rsidRPr="00C9680B">
        <w:t xml:space="preserve"> 5. Försörjningsbalansen 2000–2003...................................................</w:t>
      </w:r>
      <w:r w:rsidRPr="00C9680B">
        <w:tab/>
        <w:t>49</w:t>
      </w:r>
    </w:p>
    <w:p w:rsidR="001C7BF9" w:rsidRPr="00C9680B" w:rsidRDefault="001C7BF9">
      <w:pPr>
        <w:spacing w:before="0" w:line="240" w:lineRule="auto"/>
        <w:ind w:left="340" w:hanging="340"/>
      </w:pPr>
      <w:r w:rsidRPr="00C9680B">
        <w:t xml:space="preserve"> 6. Nyckeltal för arbetsmarknaden.....................................................</w:t>
      </w:r>
      <w:r w:rsidRPr="00C9680B">
        <w:tab/>
        <w:t>53</w:t>
      </w:r>
    </w:p>
    <w:p w:rsidR="001C7BF9" w:rsidRPr="00C9680B" w:rsidRDefault="001C7BF9">
      <w:pPr>
        <w:spacing w:before="0" w:line="240" w:lineRule="auto"/>
        <w:ind w:left="340" w:hanging="340"/>
      </w:pPr>
      <w:r w:rsidRPr="00C9680B">
        <w:t xml:space="preserve"> 7. Sysselsättningen fördelad på branscher..........................................</w:t>
      </w:r>
      <w:r w:rsidRPr="00C9680B">
        <w:tab/>
        <w:t>53</w:t>
      </w:r>
    </w:p>
    <w:p w:rsidR="001C7BF9" w:rsidRPr="00C9680B" w:rsidRDefault="001C7BF9">
      <w:pPr>
        <w:spacing w:before="0" w:line="240" w:lineRule="auto"/>
        <w:ind w:left="340" w:hanging="340"/>
      </w:pPr>
      <w:r w:rsidRPr="00C9680B">
        <w:t xml:space="preserve"> 8. Statsbudgetens saldo justerat för större engångseffekter </w:t>
      </w:r>
    </w:p>
    <w:p w:rsidR="001C7BF9" w:rsidRPr="00C9680B" w:rsidRDefault="001C7BF9">
      <w:pPr>
        <w:spacing w:before="0" w:line="240" w:lineRule="auto"/>
        <w:ind w:left="340" w:hanging="340"/>
      </w:pPr>
      <w:r w:rsidRPr="00C9680B">
        <w:t xml:space="preserve">     1999–2003.....................................................................................</w:t>
      </w:r>
      <w:r w:rsidRPr="00C9680B">
        <w:tab/>
        <w:t>97</w:t>
      </w:r>
    </w:p>
    <w:p w:rsidR="001C7BF9" w:rsidRPr="00C9680B" w:rsidRDefault="001C7BF9">
      <w:pPr>
        <w:tabs>
          <w:tab w:val="left" w:pos="5103"/>
        </w:tabs>
        <w:spacing w:before="0" w:line="240" w:lineRule="auto"/>
        <w:ind w:left="340" w:hanging="340"/>
      </w:pPr>
      <w:r w:rsidRPr="00C9680B">
        <w:t xml:space="preserve"> 9. Finansiellt sparande i den offentliga sektorn 1999–2003..............</w:t>
      </w:r>
      <w:r w:rsidRPr="00C9680B">
        <w:tab/>
        <w:t>101</w:t>
      </w:r>
    </w:p>
    <w:p w:rsidR="001C7BF9" w:rsidRPr="00C9680B" w:rsidRDefault="001C7BF9">
      <w:pPr>
        <w:spacing w:before="0" w:line="240" w:lineRule="auto"/>
        <w:ind w:left="340" w:hanging="340"/>
      </w:pPr>
      <w:r w:rsidRPr="00C9680B">
        <w:t xml:space="preserve"> 10. Finansiellt sparande i den offentliga sektorns delsektorer </w:t>
      </w:r>
    </w:p>
    <w:p w:rsidR="001C7BF9" w:rsidRPr="00C9680B" w:rsidRDefault="001C7BF9">
      <w:pPr>
        <w:spacing w:before="0" w:line="240" w:lineRule="auto"/>
        <w:ind w:left="340" w:hanging="340"/>
      </w:pPr>
      <w:r w:rsidRPr="00C9680B">
        <w:t xml:space="preserve">      1999–2003...................................................................................</w:t>
      </w:r>
      <w:r w:rsidRPr="00C9680B">
        <w:tab/>
        <w:t>103</w:t>
      </w:r>
    </w:p>
    <w:p w:rsidR="001C7BF9" w:rsidRPr="00C9680B" w:rsidRDefault="001C7BF9">
      <w:pPr>
        <w:spacing w:before="0" w:line="240" w:lineRule="auto"/>
        <w:ind w:left="340" w:hanging="340"/>
      </w:pPr>
      <w:r w:rsidRPr="00C9680B">
        <w:t xml:space="preserve"> 11. Regeringens förslag till skattesän</w:t>
      </w:r>
      <w:r w:rsidRPr="00C9680B">
        <w:t>k</w:t>
      </w:r>
      <w:r w:rsidRPr="00C9680B">
        <w:t>ningar 2001–2003...............</w:t>
      </w:r>
      <w:r w:rsidRPr="00C9680B">
        <w:tab/>
        <w:t>108</w:t>
      </w:r>
    </w:p>
    <w:p w:rsidR="001C7BF9" w:rsidRPr="00C9680B" w:rsidRDefault="001C7BF9">
      <w:pPr>
        <w:spacing w:before="0" w:line="240" w:lineRule="auto"/>
        <w:ind w:left="340" w:hanging="340"/>
      </w:pPr>
      <w:r w:rsidRPr="00C9680B">
        <w:t xml:space="preserve"> 12. Den offentliga sektorns finansiella sparande 2001–2003 </w:t>
      </w:r>
    </w:p>
    <w:p w:rsidR="001C7BF9" w:rsidRPr="00C9680B" w:rsidRDefault="001C7BF9">
      <w:pPr>
        <w:spacing w:before="0" w:line="240" w:lineRule="auto"/>
        <w:ind w:left="340" w:hanging="340"/>
      </w:pPr>
      <w:r w:rsidRPr="00C9680B">
        <w:t xml:space="preserve">       i regeringens budgetalte</w:t>
      </w:r>
      <w:r w:rsidRPr="00C9680B">
        <w:t>r</w:t>
      </w:r>
      <w:r w:rsidRPr="00C9680B">
        <w:t>nativ....................................................</w:t>
      </w:r>
      <w:r w:rsidRPr="00C9680B">
        <w:tab/>
        <w:t>109</w:t>
      </w:r>
    </w:p>
    <w:p w:rsidR="001C7BF9" w:rsidRPr="00C9680B" w:rsidRDefault="001C7BF9">
      <w:pPr>
        <w:spacing w:before="0" w:line="240" w:lineRule="auto"/>
        <w:ind w:left="340" w:hanging="340"/>
      </w:pPr>
      <w:r w:rsidRPr="00C9680B">
        <w:t xml:space="preserve"> 13. Lånebehov enligt regeringens budgetförslag 2000–2003..........</w:t>
      </w:r>
      <w:r w:rsidRPr="00C9680B">
        <w:tab/>
        <w:t>109</w:t>
      </w:r>
    </w:p>
    <w:p w:rsidR="001C7BF9" w:rsidRPr="00C9680B" w:rsidRDefault="001C7BF9">
      <w:pPr>
        <w:spacing w:before="0" w:line="240" w:lineRule="auto"/>
        <w:ind w:left="340" w:hanging="340"/>
      </w:pPr>
      <w:r w:rsidRPr="00C9680B">
        <w:t xml:space="preserve"> 14. Utgiftstak för staten 2001–2003 enligt regeringens </w:t>
      </w:r>
    </w:p>
    <w:p w:rsidR="001C7BF9" w:rsidRPr="00C9680B" w:rsidRDefault="001C7BF9">
      <w:pPr>
        <w:spacing w:before="0" w:line="240" w:lineRule="auto"/>
        <w:ind w:left="340" w:hanging="340"/>
      </w:pPr>
      <w:r w:rsidRPr="00C9680B">
        <w:t xml:space="preserve">       budgetfö</w:t>
      </w:r>
      <w:r w:rsidRPr="00C9680B">
        <w:t>r</w:t>
      </w:r>
      <w:r w:rsidRPr="00C9680B">
        <w:t>slag.............................................................................</w:t>
      </w:r>
      <w:r w:rsidRPr="00C9680B">
        <w:tab/>
        <w:t>109</w:t>
      </w:r>
    </w:p>
    <w:p w:rsidR="001C7BF9" w:rsidRPr="00C9680B" w:rsidRDefault="001C7BF9">
      <w:pPr>
        <w:spacing w:before="0" w:line="240" w:lineRule="auto"/>
        <w:ind w:left="340" w:hanging="340"/>
      </w:pPr>
      <w:r w:rsidRPr="00C9680B">
        <w:t xml:space="preserve"> 15. Finansiella effekter av Moderata samlingspartiets budget-</w:t>
      </w:r>
    </w:p>
    <w:p w:rsidR="001C7BF9" w:rsidRPr="00C9680B" w:rsidRDefault="001C7BF9">
      <w:pPr>
        <w:spacing w:before="0" w:line="240" w:lineRule="auto"/>
        <w:ind w:left="340" w:hanging="340"/>
      </w:pPr>
      <w:r w:rsidRPr="00C9680B">
        <w:t xml:space="preserve">       förslag  2001–2003.....................................................................</w:t>
      </w:r>
      <w:r w:rsidRPr="00C9680B">
        <w:tab/>
        <w:t>112</w:t>
      </w:r>
    </w:p>
    <w:p w:rsidR="001C7BF9" w:rsidRPr="00C9680B" w:rsidRDefault="001C7BF9">
      <w:pPr>
        <w:spacing w:before="0" w:line="240" w:lineRule="auto"/>
        <w:ind w:left="340" w:hanging="340"/>
      </w:pPr>
      <w:r w:rsidRPr="00C9680B">
        <w:t xml:space="preserve"> 16. Moderata samlingspartiets förslag till utgiftstak för staten </w:t>
      </w:r>
    </w:p>
    <w:p w:rsidR="001C7BF9" w:rsidRPr="00C9680B" w:rsidRDefault="001C7BF9">
      <w:pPr>
        <w:spacing w:before="0" w:line="240" w:lineRule="auto"/>
        <w:ind w:left="340" w:hanging="340"/>
      </w:pPr>
      <w:r w:rsidRPr="00C9680B">
        <w:t xml:space="preserve">       2001–2003.................................................................................</w:t>
      </w:r>
      <w:r w:rsidRPr="00C9680B">
        <w:tab/>
        <w:t>112</w:t>
      </w:r>
    </w:p>
    <w:p w:rsidR="001C7BF9" w:rsidRPr="00C9680B" w:rsidRDefault="001C7BF9">
      <w:pPr>
        <w:spacing w:before="0" w:line="240" w:lineRule="auto"/>
        <w:ind w:left="340" w:hanging="340"/>
      </w:pPr>
      <w:r w:rsidRPr="00C9680B">
        <w:t xml:space="preserve"> 17. Moderata samlingspartiets förslag till utgiftstak för den </w:t>
      </w:r>
    </w:p>
    <w:p w:rsidR="001C7BF9" w:rsidRPr="00C9680B" w:rsidRDefault="001C7BF9">
      <w:pPr>
        <w:spacing w:before="0" w:line="240" w:lineRule="auto"/>
        <w:ind w:left="340" w:hanging="340"/>
      </w:pPr>
      <w:r w:rsidRPr="00C9680B">
        <w:t xml:space="preserve">       offentliga sektorn 2001–2003...................................................</w:t>
      </w:r>
      <w:r w:rsidRPr="00C9680B">
        <w:tab/>
        <w:t>113</w:t>
      </w:r>
    </w:p>
    <w:p w:rsidR="001C7BF9" w:rsidRPr="00C9680B" w:rsidRDefault="001C7BF9">
      <w:pPr>
        <w:spacing w:before="0" w:line="240" w:lineRule="auto"/>
        <w:ind w:left="340" w:hanging="340"/>
      </w:pPr>
      <w:r w:rsidRPr="00C9680B">
        <w:t xml:space="preserve"> 18. Finansiella effekter av Kristdemokraternas budgetförslag </w:t>
      </w:r>
    </w:p>
    <w:p w:rsidR="001C7BF9" w:rsidRPr="00C9680B" w:rsidRDefault="001C7BF9">
      <w:pPr>
        <w:spacing w:before="0" w:line="240" w:lineRule="auto"/>
        <w:ind w:left="340" w:hanging="340"/>
      </w:pPr>
      <w:r w:rsidRPr="00C9680B">
        <w:t xml:space="preserve">       2001–2003.................................................................................</w:t>
      </w:r>
      <w:r w:rsidRPr="00C9680B">
        <w:tab/>
        <w:t>115</w:t>
      </w:r>
    </w:p>
    <w:p w:rsidR="001C7BF9" w:rsidRPr="00C9680B" w:rsidRDefault="001C7BF9">
      <w:pPr>
        <w:spacing w:before="0" w:line="240" w:lineRule="auto"/>
        <w:ind w:left="340" w:hanging="340"/>
      </w:pPr>
      <w:r w:rsidRPr="00C9680B">
        <w:t xml:space="preserve"> 19. Kristdemokraternas förslag till utgiftstak för staten</w:t>
      </w:r>
    </w:p>
    <w:p w:rsidR="001C7BF9" w:rsidRPr="00C9680B" w:rsidRDefault="001C7BF9">
      <w:pPr>
        <w:spacing w:before="0" w:line="240" w:lineRule="auto"/>
        <w:ind w:left="340" w:hanging="340"/>
      </w:pPr>
      <w:r w:rsidRPr="00C9680B">
        <w:t xml:space="preserve">       2001–2003................................................................................</w:t>
      </w:r>
      <w:r w:rsidRPr="00C9680B">
        <w:tab/>
        <w:t>116</w:t>
      </w:r>
    </w:p>
    <w:p w:rsidR="001C7BF9" w:rsidRPr="00C9680B" w:rsidRDefault="001C7BF9">
      <w:pPr>
        <w:spacing w:before="0" w:line="240" w:lineRule="auto"/>
        <w:ind w:left="340" w:hanging="340"/>
      </w:pPr>
      <w:r w:rsidRPr="00C9680B">
        <w:t xml:space="preserve"> 20. Finansiella effekter av Centerpartiets budge</w:t>
      </w:r>
      <w:r w:rsidRPr="00C9680B">
        <w:t>t</w:t>
      </w:r>
      <w:r w:rsidRPr="00C9680B">
        <w:t xml:space="preserve">förslag </w:t>
      </w:r>
    </w:p>
    <w:p w:rsidR="001C7BF9" w:rsidRPr="00C9680B" w:rsidRDefault="001C7BF9">
      <w:pPr>
        <w:spacing w:before="0" w:line="240" w:lineRule="auto"/>
        <w:ind w:left="340" w:hanging="340"/>
      </w:pPr>
      <w:r w:rsidRPr="00C9680B">
        <w:t xml:space="preserve">       2001–2003..................................................................................</w:t>
      </w:r>
      <w:r w:rsidRPr="00C9680B">
        <w:tab/>
        <w:t>119</w:t>
      </w:r>
    </w:p>
    <w:p w:rsidR="001C7BF9" w:rsidRPr="00C9680B" w:rsidRDefault="001C7BF9">
      <w:pPr>
        <w:spacing w:before="0" w:line="240" w:lineRule="auto"/>
        <w:ind w:left="340" w:hanging="340"/>
      </w:pPr>
      <w:r w:rsidRPr="00C9680B">
        <w:t xml:space="preserve"> 21. Centerpartiets förslag till utgiftstak för staten 2001–2003........</w:t>
      </w:r>
      <w:r w:rsidRPr="00C9680B">
        <w:tab/>
        <w:t>119</w:t>
      </w:r>
    </w:p>
    <w:p w:rsidR="001C7BF9" w:rsidRPr="00C9680B" w:rsidRDefault="001C7BF9">
      <w:pPr>
        <w:spacing w:before="0" w:line="240" w:lineRule="auto"/>
        <w:ind w:left="340" w:hanging="340"/>
      </w:pPr>
      <w:r w:rsidRPr="00C9680B">
        <w:t xml:space="preserve"> 22. Finansiella effekter av Folkpartiet liberalernas budget-</w:t>
      </w:r>
    </w:p>
    <w:p w:rsidR="001C7BF9" w:rsidRPr="00C9680B" w:rsidRDefault="001C7BF9">
      <w:pPr>
        <w:spacing w:before="0" w:line="240" w:lineRule="auto"/>
        <w:ind w:left="340" w:hanging="340"/>
      </w:pPr>
      <w:r w:rsidRPr="00C9680B">
        <w:t xml:space="preserve">       förslag 2001–2003.....................................................................</w:t>
      </w:r>
      <w:r w:rsidRPr="00C9680B">
        <w:tab/>
        <w:t>122</w:t>
      </w:r>
    </w:p>
    <w:p w:rsidR="001C7BF9" w:rsidRPr="00C9680B" w:rsidRDefault="001C7BF9">
      <w:pPr>
        <w:spacing w:before="0" w:line="240" w:lineRule="auto"/>
        <w:ind w:left="340" w:hanging="340"/>
      </w:pPr>
      <w:r w:rsidRPr="00C9680B">
        <w:t xml:space="preserve"> 23. Folkpartiet liberalernas förslag till utgiftstak för staten </w:t>
      </w:r>
    </w:p>
    <w:p w:rsidR="001C7BF9" w:rsidRPr="00C9680B" w:rsidRDefault="001C7BF9">
      <w:pPr>
        <w:spacing w:before="0" w:line="240" w:lineRule="auto"/>
        <w:ind w:left="340" w:hanging="340"/>
      </w:pPr>
      <w:r w:rsidRPr="00C9680B">
        <w:t xml:space="preserve">       2001–2003....................................................................................</w:t>
      </w:r>
      <w:r w:rsidRPr="00C9680B">
        <w:tab/>
        <w:t>123</w:t>
      </w:r>
    </w:p>
    <w:p w:rsidR="001C7BF9" w:rsidRPr="00C9680B" w:rsidRDefault="001C7BF9">
      <w:pPr>
        <w:spacing w:before="0" w:line="240" w:lineRule="auto"/>
        <w:ind w:left="340" w:hanging="340"/>
      </w:pPr>
      <w:r w:rsidRPr="00C9680B">
        <w:t xml:space="preserve"> 24. Förslag till nytt utgiftstak för staten 2001–2003........................</w:t>
      </w:r>
      <w:r w:rsidRPr="00C9680B">
        <w:tab/>
        <w:t>142</w:t>
      </w:r>
    </w:p>
    <w:p w:rsidR="001C7BF9" w:rsidRPr="00C9680B" w:rsidRDefault="001C7BF9">
      <w:pPr>
        <w:spacing w:before="0" w:line="240" w:lineRule="auto"/>
        <w:ind w:left="340" w:hanging="340"/>
      </w:pPr>
      <w:r w:rsidRPr="00C9680B">
        <w:t xml:space="preserve"> 25. Förslag till nya utgiftstak för staten 2001–2003, justerade </w:t>
      </w:r>
    </w:p>
    <w:p w:rsidR="001C7BF9" w:rsidRPr="00C9680B" w:rsidRDefault="001C7BF9">
      <w:pPr>
        <w:spacing w:before="0" w:line="240" w:lineRule="auto"/>
        <w:ind w:left="340" w:hanging="340"/>
      </w:pPr>
      <w:r w:rsidRPr="00C9680B">
        <w:t xml:space="preserve">       för nettoredovisning av skatteförslagens effekt på kommu</w:t>
      </w:r>
      <w:r w:rsidRPr="00C9680B">
        <w:t>n</w:t>
      </w:r>
      <w:r w:rsidRPr="00C9680B">
        <w:t>-</w:t>
      </w:r>
    </w:p>
    <w:p w:rsidR="001C7BF9" w:rsidRPr="00C9680B" w:rsidRDefault="001C7BF9">
      <w:pPr>
        <w:spacing w:before="0" w:line="240" w:lineRule="auto"/>
        <w:ind w:left="340" w:hanging="340"/>
      </w:pPr>
      <w:r w:rsidRPr="00C9680B">
        <w:t xml:space="preserve">       sektorn........................................................................................</w:t>
      </w:r>
      <w:r w:rsidRPr="00C9680B">
        <w:tab/>
        <w:t>143</w:t>
      </w:r>
    </w:p>
    <w:p w:rsidR="001C7BF9" w:rsidRPr="00C9680B" w:rsidRDefault="001C7BF9">
      <w:pPr>
        <w:spacing w:before="0" w:line="240" w:lineRule="auto"/>
        <w:ind w:left="340" w:hanging="340"/>
      </w:pPr>
      <w:r w:rsidRPr="00C9680B">
        <w:t xml:space="preserve"> 26. Regeringens förslag till beräkning av utgiftstaket för den </w:t>
      </w:r>
    </w:p>
    <w:p w:rsidR="001C7BF9" w:rsidRPr="00C9680B" w:rsidRDefault="001C7BF9">
      <w:pPr>
        <w:spacing w:before="0" w:line="240" w:lineRule="auto"/>
        <w:ind w:left="340" w:hanging="340"/>
      </w:pPr>
      <w:r w:rsidRPr="00C9680B">
        <w:t xml:space="preserve">       offentliga se</w:t>
      </w:r>
      <w:r w:rsidRPr="00C9680B">
        <w:t>k</w:t>
      </w:r>
      <w:r w:rsidRPr="00C9680B">
        <w:t>torn 2001–2003....................................................</w:t>
      </w:r>
      <w:r w:rsidRPr="00C9680B">
        <w:tab/>
        <w:t>143</w:t>
      </w:r>
    </w:p>
    <w:p w:rsidR="001C7BF9" w:rsidRPr="00C9680B" w:rsidRDefault="001C7BF9">
      <w:pPr>
        <w:spacing w:before="0" w:line="240" w:lineRule="auto"/>
        <w:ind w:left="340" w:hanging="340"/>
      </w:pPr>
      <w:r w:rsidRPr="00C9680B">
        <w:t xml:space="preserve"> 27 Regeringens och oppositionspartiernas förslag till utgifts-</w:t>
      </w:r>
    </w:p>
    <w:p w:rsidR="001C7BF9" w:rsidRPr="00C9680B" w:rsidRDefault="001C7BF9">
      <w:pPr>
        <w:spacing w:before="0" w:line="240" w:lineRule="auto"/>
        <w:ind w:left="340" w:hanging="340"/>
      </w:pPr>
      <w:r w:rsidRPr="00C9680B">
        <w:t xml:space="preserve">      ramar för 2001............................................................................</w:t>
      </w:r>
      <w:r w:rsidRPr="00C9680B">
        <w:tab/>
        <w:t>146</w:t>
      </w:r>
    </w:p>
    <w:p w:rsidR="001C7BF9" w:rsidRPr="00C9680B" w:rsidRDefault="001C7BF9">
      <w:pPr>
        <w:spacing w:before="0" w:line="240" w:lineRule="auto"/>
        <w:ind w:left="340" w:hanging="340"/>
      </w:pPr>
      <w:r w:rsidRPr="00C9680B">
        <w:t xml:space="preserve"> 28. Centerpartiets förslag till omfördelning mellan utgifts-</w:t>
      </w:r>
    </w:p>
    <w:p w:rsidR="001C7BF9" w:rsidRPr="00C9680B" w:rsidRDefault="001C7BF9">
      <w:pPr>
        <w:spacing w:before="0" w:line="240" w:lineRule="auto"/>
        <w:ind w:left="340" w:hanging="340"/>
      </w:pPr>
      <w:r w:rsidRPr="00C9680B">
        <w:t xml:space="preserve">       områdena 13, 14 och 15 i budgetfö</w:t>
      </w:r>
      <w:r w:rsidRPr="00C9680B">
        <w:t>r</w:t>
      </w:r>
      <w:r w:rsidRPr="00C9680B">
        <w:t>slaget för 2001..................</w:t>
      </w:r>
      <w:r w:rsidRPr="00C9680B">
        <w:tab/>
        <w:t>148</w:t>
      </w:r>
    </w:p>
    <w:p w:rsidR="001C7BF9" w:rsidRPr="00C9680B" w:rsidRDefault="001C7BF9">
      <w:pPr>
        <w:spacing w:before="0" w:line="240" w:lineRule="auto"/>
        <w:ind w:left="340" w:hanging="340"/>
        <w:jc w:val="left"/>
      </w:pPr>
      <w:r w:rsidRPr="00C9680B">
        <w:t xml:space="preserve"> 29. Regeringens och oppositionspartiernas förslag till be-</w:t>
      </w:r>
    </w:p>
    <w:p w:rsidR="001C7BF9" w:rsidRPr="00C9680B" w:rsidRDefault="001C7BF9">
      <w:pPr>
        <w:spacing w:before="0" w:line="240" w:lineRule="auto"/>
        <w:ind w:left="340" w:hanging="340"/>
        <w:jc w:val="left"/>
      </w:pPr>
      <w:r w:rsidRPr="00C9680B">
        <w:t xml:space="preserve">       räkning av statsbudgetens samlade inkomster för 2001 ...........</w:t>
      </w:r>
      <w:r w:rsidRPr="00C9680B">
        <w:tab/>
        <w:t>149</w:t>
      </w:r>
    </w:p>
    <w:p w:rsidR="001C7BF9" w:rsidRPr="00C9680B" w:rsidRDefault="001C7BF9">
      <w:pPr>
        <w:spacing w:before="0" w:line="240" w:lineRule="auto"/>
        <w:ind w:left="340" w:hanging="340"/>
      </w:pPr>
      <w:r w:rsidRPr="00C9680B">
        <w:t xml:space="preserve"> 30. Utskottets förslag till statsbudget för budgetåret 2001 ............</w:t>
      </w:r>
      <w:r w:rsidRPr="00C9680B">
        <w:tab/>
        <w:t>152</w:t>
      </w:r>
    </w:p>
    <w:p w:rsidR="001C7BF9" w:rsidRPr="00C9680B" w:rsidRDefault="001C7BF9">
      <w:pPr>
        <w:spacing w:before="0" w:line="240" w:lineRule="auto"/>
        <w:ind w:left="340" w:hanging="340"/>
      </w:pPr>
      <w:r w:rsidRPr="00C9680B">
        <w:t xml:space="preserve"> 31. Sammandrag av statsbudgeteffekten 2001 av de olika bud-</w:t>
      </w:r>
    </w:p>
    <w:p w:rsidR="001C7BF9" w:rsidRPr="00C9680B" w:rsidRDefault="001C7BF9">
      <w:pPr>
        <w:spacing w:before="0" w:line="240" w:lineRule="auto"/>
        <w:ind w:left="340" w:hanging="340"/>
      </w:pPr>
      <w:r w:rsidRPr="00C9680B">
        <w:t xml:space="preserve">       g</w:t>
      </w:r>
      <w:r w:rsidRPr="00C9680B">
        <w:t>e</w:t>
      </w:r>
      <w:r w:rsidRPr="00C9680B">
        <w:t>talternatIven..........................................................................</w:t>
      </w:r>
      <w:r w:rsidRPr="00C9680B">
        <w:tab/>
        <w:t>152</w:t>
      </w:r>
    </w:p>
    <w:p w:rsidR="001C7BF9" w:rsidRPr="00C9680B" w:rsidRDefault="001C7BF9">
      <w:pPr>
        <w:spacing w:before="0" w:line="240" w:lineRule="auto"/>
        <w:ind w:left="340" w:hanging="340"/>
        <w:rPr>
          <w:snapToGrid w:val="0"/>
          <w:lang w:eastAsia="sv-SE"/>
        </w:rPr>
      </w:pPr>
      <w:r w:rsidRPr="00C9680B">
        <w:rPr>
          <w:snapToGrid w:val="0"/>
          <w:lang w:eastAsia="sv-SE"/>
        </w:rPr>
        <w:t xml:space="preserve"> 32 Statsbudgetens inkomster 1999–2003.........................................</w:t>
      </w:r>
      <w:r w:rsidRPr="00C9680B">
        <w:rPr>
          <w:snapToGrid w:val="0"/>
          <w:lang w:eastAsia="sv-SE"/>
        </w:rPr>
        <w:tab/>
        <w:t>153</w:t>
      </w:r>
    </w:p>
    <w:p w:rsidR="001C7BF9" w:rsidRPr="00C9680B" w:rsidRDefault="001C7BF9">
      <w:pPr>
        <w:spacing w:before="0" w:line="240" w:lineRule="auto"/>
        <w:ind w:left="340" w:hanging="340"/>
        <w:rPr>
          <w:snapToGrid w:val="0"/>
          <w:lang w:eastAsia="sv-SE"/>
        </w:rPr>
      </w:pPr>
      <w:r w:rsidRPr="00C9680B">
        <w:rPr>
          <w:snapToGrid w:val="0"/>
          <w:lang w:eastAsia="sv-SE"/>
        </w:rPr>
        <w:t xml:space="preserve"> 33. Statsbudgetens inkomster 1999–2003 Avvikelser från 2000 </w:t>
      </w:r>
    </w:p>
    <w:p w:rsidR="001C7BF9" w:rsidRPr="00C9680B" w:rsidRDefault="001C7BF9">
      <w:pPr>
        <w:spacing w:before="0" w:line="240" w:lineRule="auto"/>
        <w:ind w:left="340" w:hanging="340"/>
        <w:rPr>
          <w:snapToGrid w:val="0"/>
          <w:lang w:eastAsia="sv-SE"/>
        </w:rPr>
      </w:pPr>
      <w:r w:rsidRPr="00C9680B">
        <w:rPr>
          <w:snapToGrid w:val="0"/>
          <w:lang w:eastAsia="sv-SE"/>
        </w:rPr>
        <w:t xml:space="preserve">      års ekon</w:t>
      </w:r>
      <w:r w:rsidRPr="00C9680B">
        <w:rPr>
          <w:snapToGrid w:val="0"/>
          <w:lang w:eastAsia="sv-SE"/>
        </w:rPr>
        <w:t>o</w:t>
      </w:r>
      <w:r w:rsidRPr="00C9680B">
        <w:rPr>
          <w:snapToGrid w:val="0"/>
          <w:lang w:eastAsia="sv-SE"/>
        </w:rPr>
        <w:t>miska vårproposition...................................................</w:t>
      </w:r>
      <w:r w:rsidRPr="00C9680B">
        <w:rPr>
          <w:snapToGrid w:val="0"/>
          <w:lang w:eastAsia="sv-SE"/>
        </w:rPr>
        <w:tab/>
        <w:t>154</w:t>
      </w:r>
    </w:p>
    <w:p w:rsidR="001C7BF9" w:rsidRPr="00C9680B" w:rsidRDefault="001C7BF9">
      <w:pPr>
        <w:spacing w:before="0" w:line="240" w:lineRule="auto"/>
        <w:ind w:left="340" w:hanging="340"/>
        <w:rPr>
          <w:snapToGrid w:val="0"/>
          <w:lang w:eastAsia="sv-SE"/>
        </w:rPr>
      </w:pPr>
      <w:r w:rsidRPr="00C9680B">
        <w:rPr>
          <w:snapToGrid w:val="0"/>
          <w:lang w:eastAsia="sv-SE"/>
        </w:rPr>
        <w:t xml:space="preserve"> 34. Statsbudgetens skatteinkomster 2000–2003. Avvikelser </w:t>
      </w:r>
    </w:p>
    <w:p w:rsidR="001C7BF9" w:rsidRPr="00C9680B" w:rsidRDefault="001C7BF9">
      <w:pPr>
        <w:spacing w:before="0" w:line="240" w:lineRule="auto"/>
        <w:ind w:left="340" w:hanging="340"/>
        <w:rPr>
          <w:snapToGrid w:val="0"/>
          <w:lang w:eastAsia="sv-SE"/>
        </w:rPr>
      </w:pPr>
      <w:r w:rsidRPr="00C9680B">
        <w:rPr>
          <w:snapToGrid w:val="0"/>
          <w:lang w:eastAsia="sv-SE"/>
        </w:rPr>
        <w:t xml:space="preserve">       från 2000 års ekonomiska vårproposition och underliggande </w:t>
      </w:r>
    </w:p>
    <w:p w:rsidR="001C7BF9" w:rsidRPr="00C9680B" w:rsidRDefault="001C7BF9">
      <w:pPr>
        <w:spacing w:before="0" w:line="240" w:lineRule="auto"/>
        <w:ind w:left="340" w:hanging="340"/>
        <w:rPr>
          <w:snapToGrid w:val="0"/>
          <w:lang w:eastAsia="sv-SE"/>
        </w:rPr>
      </w:pPr>
      <w:r w:rsidRPr="00C9680B">
        <w:rPr>
          <w:snapToGrid w:val="0"/>
          <w:lang w:eastAsia="sv-SE"/>
        </w:rPr>
        <w:t xml:space="preserve">       förän</w:t>
      </w:r>
      <w:r w:rsidRPr="00C9680B">
        <w:rPr>
          <w:snapToGrid w:val="0"/>
          <w:lang w:eastAsia="sv-SE"/>
        </w:rPr>
        <w:t>d</w:t>
      </w:r>
      <w:r w:rsidRPr="00C9680B">
        <w:rPr>
          <w:snapToGrid w:val="0"/>
          <w:lang w:eastAsia="sv-SE"/>
        </w:rPr>
        <w:t>ring...................................................................................</w:t>
      </w:r>
      <w:r w:rsidRPr="00C9680B">
        <w:rPr>
          <w:snapToGrid w:val="0"/>
          <w:lang w:eastAsia="sv-SE"/>
        </w:rPr>
        <w:tab/>
        <w:t>154</w:t>
      </w:r>
    </w:p>
    <w:p w:rsidR="001C7BF9" w:rsidRPr="00C9680B" w:rsidRDefault="001C7BF9">
      <w:pPr>
        <w:spacing w:before="0" w:line="240" w:lineRule="auto"/>
        <w:ind w:left="340" w:hanging="340"/>
      </w:pPr>
      <w:r w:rsidRPr="00C9680B">
        <w:rPr>
          <w:snapToGrid w:val="0"/>
          <w:color w:val="000000"/>
          <w:lang w:eastAsia="sv-SE"/>
        </w:rPr>
        <w:t xml:space="preserve"> 35. Inkomsttitel 1111 Fysiska personers inkomstskatt.....................</w:t>
      </w:r>
      <w:r w:rsidRPr="00C9680B">
        <w:rPr>
          <w:snapToGrid w:val="0"/>
          <w:color w:val="000000"/>
          <w:lang w:eastAsia="sv-SE"/>
        </w:rPr>
        <w:tab/>
        <w:t>160</w:t>
      </w:r>
    </w:p>
    <w:p w:rsidR="001C7BF9" w:rsidRPr="00C9680B" w:rsidRDefault="001C7BF9">
      <w:pPr>
        <w:spacing w:before="0" w:line="240" w:lineRule="auto"/>
        <w:ind w:left="340" w:hanging="340"/>
      </w:pPr>
      <w:r w:rsidRPr="00C9680B">
        <w:rPr>
          <w:snapToGrid w:val="0"/>
          <w:color w:val="000000"/>
          <w:lang w:eastAsia="sv-SE"/>
        </w:rPr>
        <w:t xml:space="preserve"> 36. Inkomsttitel 1121 Juridiska personers inkomster......................</w:t>
      </w:r>
      <w:r w:rsidRPr="00C9680B">
        <w:rPr>
          <w:snapToGrid w:val="0"/>
          <w:color w:val="000000"/>
          <w:lang w:eastAsia="sv-SE"/>
        </w:rPr>
        <w:tab/>
        <w:t>175</w:t>
      </w:r>
    </w:p>
    <w:p w:rsidR="001C7BF9" w:rsidRPr="00C9680B" w:rsidRDefault="001C7BF9">
      <w:pPr>
        <w:spacing w:before="0" w:line="240" w:lineRule="auto"/>
        <w:ind w:left="340" w:hanging="340"/>
      </w:pPr>
      <w:r w:rsidRPr="00C9680B">
        <w:rPr>
          <w:snapToGrid w:val="0"/>
          <w:color w:val="000000"/>
          <w:lang w:eastAsia="sv-SE"/>
        </w:rPr>
        <w:t xml:space="preserve"> 37. Huvudgrupp 1200 Socialavgifter och allmän pe</w:t>
      </w:r>
      <w:r w:rsidRPr="00C9680B">
        <w:rPr>
          <w:snapToGrid w:val="0"/>
          <w:color w:val="000000"/>
          <w:lang w:eastAsia="sv-SE"/>
        </w:rPr>
        <w:t>n</w:t>
      </w:r>
      <w:r w:rsidRPr="00C9680B">
        <w:rPr>
          <w:snapToGrid w:val="0"/>
          <w:color w:val="000000"/>
          <w:lang w:eastAsia="sv-SE"/>
        </w:rPr>
        <w:t>sionsavgift....</w:t>
      </w:r>
      <w:r w:rsidRPr="00C9680B">
        <w:rPr>
          <w:snapToGrid w:val="0"/>
          <w:color w:val="000000"/>
          <w:lang w:eastAsia="sv-SE"/>
        </w:rPr>
        <w:tab/>
        <w:t>177</w:t>
      </w:r>
    </w:p>
    <w:p w:rsidR="001C7BF9" w:rsidRPr="00C9680B" w:rsidRDefault="001C7BF9">
      <w:pPr>
        <w:spacing w:before="0" w:line="240" w:lineRule="auto"/>
        <w:ind w:left="340" w:hanging="340"/>
        <w:rPr>
          <w:snapToGrid w:val="0"/>
          <w:color w:val="000000"/>
          <w:lang w:eastAsia="sv-SE"/>
        </w:rPr>
      </w:pPr>
      <w:r w:rsidRPr="00C9680B">
        <w:rPr>
          <w:snapToGrid w:val="0"/>
          <w:color w:val="000000"/>
          <w:lang w:eastAsia="sv-SE"/>
        </w:rPr>
        <w:t xml:space="preserve"> 38. Huvudgrupp 1300 Skatt på egendom.........................................</w:t>
      </w:r>
      <w:r w:rsidRPr="00C9680B">
        <w:rPr>
          <w:snapToGrid w:val="0"/>
          <w:color w:val="000000"/>
          <w:lang w:eastAsia="sv-SE"/>
        </w:rPr>
        <w:tab/>
        <w:t>182</w:t>
      </w:r>
    </w:p>
    <w:p w:rsidR="001C7BF9" w:rsidRPr="00C9680B" w:rsidRDefault="001C7BF9">
      <w:pPr>
        <w:spacing w:before="0" w:line="240" w:lineRule="auto"/>
        <w:ind w:left="340" w:hanging="340"/>
        <w:rPr>
          <w:snapToGrid w:val="0"/>
          <w:color w:val="000000"/>
          <w:lang w:eastAsia="sv-SE"/>
        </w:rPr>
      </w:pPr>
      <w:r w:rsidRPr="00C9680B">
        <w:rPr>
          <w:snapToGrid w:val="0"/>
          <w:color w:val="000000"/>
          <w:lang w:eastAsia="sv-SE"/>
        </w:rPr>
        <w:t xml:space="preserve"> 39. Huvudgrupp 1400 Skatt på varor och tjänster...........................</w:t>
      </w:r>
      <w:r w:rsidRPr="00C9680B">
        <w:rPr>
          <w:snapToGrid w:val="0"/>
          <w:color w:val="000000"/>
          <w:lang w:eastAsia="sv-SE"/>
        </w:rPr>
        <w:tab/>
        <w:t>188</w:t>
      </w:r>
    </w:p>
    <w:p w:rsidR="001C7BF9" w:rsidRPr="00C9680B" w:rsidRDefault="001C7BF9">
      <w:pPr>
        <w:spacing w:before="0" w:line="240" w:lineRule="auto"/>
        <w:ind w:left="340" w:hanging="340"/>
        <w:rPr>
          <w:snapToGrid w:val="0"/>
          <w:color w:val="000000"/>
          <w:lang w:eastAsia="sv-SE"/>
        </w:rPr>
      </w:pPr>
      <w:r w:rsidRPr="00C9680B">
        <w:rPr>
          <w:snapToGrid w:val="0"/>
          <w:color w:val="000000"/>
          <w:lang w:eastAsia="sv-SE"/>
        </w:rPr>
        <w:t xml:space="preserve"> 40. Huvudtitel 1700 Nedsättning av skatter.....................................</w:t>
      </w:r>
      <w:r w:rsidRPr="00C9680B">
        <w:rPr>
          <w:snapToGrid w:val="0"/>
          <w:color w:val="000000"/>
          <w:lang w:eastAsia="sv-SE"/>
        </w:rPr>
        <w:tab/>
        <w:t>204</w:t>
      </w:r>
    </w:p>
    <w:p w:rsidR="001C7BF9" w:rsidRPr="00C9680B" w:rsidRDefault="001C7BF9">
      <w:pPr>
        <w:spacing w:before="0" w:line="240" w:lineRule="auto"/>
        <w:ind w:left="340" w:hanging="340"/>
      </w:pPr>
      <w:r w:rsidRPr="00C9680B">
        <w:rPr>
          <w:snapToGrid w:val="0"/>
          <w:color w:val="000000"/>
          <w:lang w:eastAsia="sv-SE"/>
        </w:rPr>
        <w:t xml:space="preserve"> 41. Huvudgrupp 2000 Inkomster av statens verksa</w:t>
      </w:r>
      <w:r w:rsidRPr="00C9680B">
        <w:rPr>
          <w:snapToGrid w:val="0"/>
          <w:color w:val="000000"/>
          <w:lang w:eastAsia="sv-SE"/>
        </w:rPr>
        <w:t>m</w:t>
      </w:r>
      <w:r w:rsidRPr="00C9680B">
        <w:rPr>
          <w:snapToGrid w:val="0"/>
          <w:color w:val="000000"/>
          <w:lang w:eastAsia="sv-SE"/>
        </w:rPr>
        <w:t>het ..................</w:t>
      </w:r>
      <w:r w:rsidRPr="00C9680B">
        <w:rPr>
          <w:snapToGrid w:val="0"/>
          <w:color w:val="000000"/>
          <w:lang w:eastAsia="sv-SE"/>
        </w:rPr>
        <w:tab/>
        <w:t>206</w:t>
      </w:r>
    </w:p>
    <w:p w:rsidR="001C7BF9" w:rsidRPr="00C9680B" w:rsidRDefault="001C7BF9">
      <w:pPr>
        <w:spacing w:before="0" w:line="240" w:lineRule="auto"/>
        <w:ind w:left="340" w:hanging="340"/>
      </w:pPr>
      <w:r w:rsidRPr="00C9680B">
        <w:t xml:space="preserve"> 42. Offentliga sektorns periodiserade skatter, offentliga </w:t>
      </w:r>
    </w:p>
    <w:p w:rsidR="001C7BF9" w:rsidRPr="00C9680B" w:rsidRDefault="001C7BF9">
      <w:pPr>
        <w:spacing w:before="0" w:line="240" w:lineRule="auto"/>
        <w:ind w:left="340" w:hanging="340"/>
      </w:pPr>
      <w:r w:rsidRPr="00C9680B">
        <w:t xml:space="preserve">       sektorns inkomster enligt nationalräkenskaperna samt </w:t>
      </w:r>
    </w:p>
    <w:p w:rsidR="001C7BF9" w:rsidRPr="00C9680B" w:rsidRDefault="001C7BF9">
      <w:pPr>
        <w:spacing w:before="0" w:line="240" w:lineRule="auto"/>
        <w:ind w:left="340" w:hanging="340"/>
      </w:pPr>
      <w:r w:rsidRPr="00C9680B">
        <w:t xml:space="preserve">       statsbudgetens inkom</w:t>
      </w:r>
      <w:r w:rsidRPr="00C9680B">
        <w:t>s</w:t>
      </w:r>
      <w:r w:rsidRPr="00C9680B">
        <w:t>ter............................................................</w:t>
      </w:r>
      <w:r w:rsidRPr="00C9680B">
        <w:tab/>
        <w:t>207</w:t>
      </w:r>
    </w:p>
    <w:p w:rsidR="001C7BF9" w:rsidRPr="00C9680B" w:rsidRDefault="001C7BF9">
      <w:pPr>
        <w:spacing w:before="0" w:line="240" w:lineRule="auto"/>
        <w:ind w:left="340" w:hanging="340"/>
      </w:pPr>
      <w:r w:rsidRPr="00C9680B">
        <w:t xml:space="preserve"> 43. Statsbudgetens inkomster...........................................................</w:t>
      </w:r>
      <w:r w:rsidRPr="00C9680B">
        <w:tab/>
        <w:t>208</w:t>
      </w:r>
    </w:p>
    <w:p w:rsidR="001C7BF9" w:rsidRPr="00C9680B" w:rsidRDefault="001C7BF9">
      <w:pPr>
        <w:spacing w:before="0" w:line="240" w:lineRule="auto"/>
        <w:ind w:left="340" w:hanging="340"/>
      </w:pPr>
      <w:r w:rsidRPr="00C9680B">
        <w:t xml:space="preserve"> 44. Budgeteffekter av åtgärder på skatteområdet i budget-</w:t>
      </w:r>
    </w:p>
    <w:p w:rsidR="001C7BF9" w:rsidRPr="00C9680B" w:rsidRDefault="001C7BF9">
      <w:pPr>
        <w:spacing w:before="0" w:line="240" w:lineRule="auto"/>
        <w:ind w:left="340" w:hanging="340"/>
      </w:pPr>
      <w:r w:rsidRPr="00C9680B">
        <w:t xml:space="preserve">       propositionen för 2001 m.m. Bruttoeffekter, kassamässiga </w:t>
      </w:r>
    </w:p>
    <w:p w:rsidR="001C7BF9" w:rsidRPr="00C9680B" w:rsidRDefault="001C7BF9">
      <w:pPr>
        <w:spacing w:before="0" w:line="240" w:lineRule="auto"/>
        <w:ind w:left="340" w:hanging="340"/>
      </w:pPr>
      <w:r w:rsidRPr="00C9680B">
        <w:t xml:space="preserve">       effekter för staten och periodis</w:t>
      </w:r>
      <w:r w:rsidRPr="00C9680B">
        <w:t>e</w:t>
      </w:r>
      <w:r w:rsidRPr="00C9680B">
        <w:t xml:space="preserve">rade effekter för offentlig </w:t>
      </w:r>
    </w:p>
    <w:p w:rsidR="001C7BF9" w:rsidRPr="00C9680B" w:rsidRDefault="001C7BF9">
      <w:pPr>
        <w:spacing w:before="0" w:line="240" w:lineRule="auto"/>
        <w:ind w:left="340" w:hanging="340"/>
      </w:pPr>
      <w:r w:rsidRPr="00C9680B">
        <w:t xml:space="preserve">       sektor år 2001–2003 samt varaktiga effekter för offentlig </w:t>
      </w:r>
    </w:p>
    <w:p w:rsidR="001C7BF9" w:rsidRPr="00C9680B" w:rsidRDefault="001C7BF9">
      <w:pPr>
        <w:spacing w:before="0" w:line="240" w:lineRule="auto"/>
        <w:ind w:left="340" w:hanging="340"/>
      </w:pPr>
      <w:r w:rsidRPr="00C9680B">
        <w:t xml:space="preserve">       se</w:t>
      </w:r>
      <w:r w:rsidRPr="00C9680B">
        <w:t>k</w:t>
      </w:r>
      <w:r w:rsidRPr="00C9680B">
        <w:t>tor.........................................................................................</w:t>
      </w:r>
      <w:r w:rsidRPr="00C9680B">
        <w:tab/>
        <w:t>209</w:t>
      </w:r>
    </w:p>
    <w:p w:rsidR="001C7BF9" w:rsidRPr="00C9680B" w:rsidRDefault="001C7BF9">
      <w:pPr>
        <w:spacing w:before="0" w:line="240" w:lineRule="auto"/>
        <w:ind w:left="340" w:hanging="340"/>
      </w:pPr>
      <w:r w:rsidRPr="00C9680B">
        <w:t xml:space="preserve"> 45. Inkomstberäkningar enligt respektive partis budgetförslag </w:t>
      </w:r>
    </w:p>
    <w:p w:rsidR="001C7BF9" w:rsidRPr="00C9680B" w:rsidRDefault="001C7BF9">
      <w:pPr>
        <w:spacing w:before="0" w:line="240" w:lineRule="auto"/>
        <w:ind w:left="340" w:hanging="340"/>
      </w:pPr>
      <w:r w:rsidRPr="00C9680B">
        <w:t xml:space="preserve">       (preliminära siffror)....................................................................</w:t>
      </w:r>
      <w:r w:rsidRPr="00C9680B">
        <w:tab/>
        <w:t>211</w:t>
      </w:r>
    </w:p>
    <w:p w:rsidR="001C7BF9" w:rsidRPr="00C9680B" w:rsidRDefault="001C7BF9">
      <w:pPr>
        <w:spacing w:before="0" w:line="240" w:lineRule="auto"/>
        <w:ind w:left="340" w:hanging="340"/>
        <w:rPr>
          <w:snapToGrid w:val="0"/>
          <w:lang w:eastAsia="sv-SE"/>
        </w:rPr>
      </w:pPr>
      <w:r w:rsidRPr="00C9680B">
        <w:rPr>
          <w:snapToGrid w:val="0"/>
          <w:lang w:eastAsia="sv-SE"/>
        </w:rPr>
        <w:t xml:space="preserve"> 46 Offentliga sektorns inkomster 2000–2003 Regeringens </w:t>
      </w:r>
    </w:p>
    <w:p w:rsidR="001C7BF9" w:rsidRPr="00C9680B" w:rsidRDefault="001C7BF9">
      <w:pPr>
        <w:spacing w:before="0" w:line="240" w:lineRule="auto"/>
        <w:ind w:left="340" w:hanging="340"/>
      </w:pPr>
      <w:r w:rsidRPr="00C9680B">
        <w:rPr>
          <w:snapToGrid w:val="0"/>
          <w:lang w:eastAsia="sv-SE"/>
        </w:rPr>
        <w:t xml:space="preserve">       förslag och avvikelser enligt oppositionspa</w:t>
      </w:r>
      <w:r w:rsidRPr="00C9680B">
        <w:rPr>
          <w:snapToGrid w:val="0"/>
          <w:lang w:eastAsia="sv-SE"/>
        </w:rPr>
        <w:t>r</w:t>
      </w:r>
      <w:r w:rsidRPr="00C9680B">
        <w:rPr>
          <w:snapToGrid w:val="0"/>
          <w:lang w:eastAsia="sv-SE"/>
        </w:rPr>
        <w:t>tiernas förslag.......</w:t>
      </w:r>
      <w:r w:rsidRPr="00C9680B">
        <w:rPr>
          <w:snapToGrid w:val="0"/>
          <w:lang w:eastAsia="sv-SE"/>
        </w:rPr>
        <w:tab/>
        <w:t>211</w:t>
      </w:r>
    </w:p>
    <w:p w:rsidR="001C7BF9" w:rsidRPr="00C9680B" w:rsidRDefault="001C7BF9">
      <w:pPr>
        <w:pStyle w:val="Normaltindrag"/>
        <w:ind w:left="340" w:hanging="340"/>
      </w:pPr>
    </w:p>
    <w:p w:rsidR="001C7BF9" w:rsidRPr="00C9680B" w:rsidRDefault="001C7BF9">
      <w:pPr>
        <w:spacing w:before="0"/>
        <w:rPr>
          <w:i/>
        </w:rPr>
      </w:pPr>
      <w:r w:rsidRPr="00C9680B">
        <w:rPr>
          <w:i/>
        </w:rPr>
        <w:t>Diagram</w:t>
      </w:r>
    </w:p>
    <w:p w:rsidR="001C7BF9" w:rsidRPr="00C9680B" w:rsidRDefault="001C7BF9">
      <w:pPr>
        <w:pStyle w:val="Normaltindrag"/>
        <w:ind w:firstLine="0"/>
      </w:pPr>
    </w:p>
    <w:p w:rsidR="001C7BF9" w:rsidRPr="00C9680B" w:rsidRDefault="001C7BF9">
      <w:pPr>
        <w:spacing w:before="0" w:line="240" w:lineRule="auto"/>
        <w:jc w:val="left"/>
      </w:pPr>
      <w:r w:rsidRPr="00C9680B">
        <w:t>1. Tillväxten i olika delar av världen..............................................</w:t>
      </w:r>
      <w:r w:rsidRPr="00C9680B">
        <w:tab/>
        <w:t>37</w:t>
      </w:r>
    </w:p>
    <w:p w:rsidR="001C7BF9" w:rsidRPr="00C9680B" w:rsidRDefault="001C7BF9">
      <w:pPr>
        <w:spacing w:before="0" w:line="240" w:lineRule="auto"/>
        <w:jc w:val="left"/>
      </w:pPr>
      <w:r w:rsidRPr="00C9680B">
        <w:t>2. Arbetslösheten i euroområdet, EU och Förenta staterna............</w:t>
      </w:r>
      <w:r w:rsidRPr="00C9680B">
        <w:tab/>
        <w:t>41</w:t>
      </w:r>
    </w:p>
    <w:p w:rsidR="001C7BF9" w:rsidRPr="00C9680B" w:rsidRDefault="001C7BF9">
      <w:pPr>
        <w:spacing w:before="0" w:line="240" w:lineRule="auto"/>
        <w:jc w:val="left"/>
      </w:pPr>
      <w:r w:rsidRPr="00C9680B">
        <w:t xml:space="preserve">3. De svenska hushållens och företagens framtidstro </w:t>
      </w:r>
      <w:r w:rsidRPr="00C9680B">
        <w:rPr>
          <w:vertAlign w:val="superscript"/>
        </w:rPr>
        <w:t>1</w:t>
      </w:r>
      <w:r w:rsidRPr="00C9680B">
        <w:t>...................</w:t>
      </w:r>
      <w:r w:rsidRPr="00C9680B">
        <w:tab/>
        <w:t>43</w:t>
      </w:r>
    </w:p>
    <w:p w:rsidR="001C7BF9" w:rsidRPr="00C9680B" w:rsidRDefault="001C7BF9">
      <w:pPr>
        <w:spacing w:before="0" w:line="240" w:lineRule="auto"/>
        <w:jc w:val="left"/>
      </w:pPr>
      <w:r w:rsidRPr="00C9680B">
        <w:t>4. Exporten av bearbetade varor.....................................................</w:t>
      </w:r>
      <w:r w:rsidRPr="00C9680B">
        <w:tab/>
        <w:t>50</w:t>
      </w:r>
    </w:p>
    <w:p w:rsidR="001C7BF9" w:rsidRPr="00C9680B" w:rsidRDefault="001C7BF9">
      <w:pPr>
        <w:spacing w:before="0" w:line="240" w:lineRule="auto"/>
        <w:jc w:val="left"/>
      </w:pPr>
      <w:r w:rsidRPr="00C9680B">
        <w:t>5. Sysselsättningen 1995 – augusti 2000........................................</w:t>
      </w:r>
      <w:r w:rsidRPr="00C9680B">
        <w:tab/>
        <w:t>51</w:t>
      </w:r>
    </w:p>
    <w:p w:rsidR="001C7BF9" w:rsidRPr="00C9680B" w:rsidRDefault="001C7BF9">
      <w:pPr>
        <w:spacing w:before="0" w:line="240" w:lineRule="auto"/>
        <w:jc w:val="left"/>
      </w:pPr>
      <w:r w:rsidRPr="00C9680B">
        <w:t>6. Den öppna arbetslösheten 1995 – augusti 2000..........................</w:t>
      </w:r>
      <w:r w:rsidRPr="00C9680B">
        <w:tab/>
        <w:t>52</w:t>
      </w:r>
    </w:p>
    <w:p w:rsidR="001C7BF9" w:rsidRPr="00C9680B" w:rsidRDefault="001C7BF9">
      <w:pPr>
        <w:spacing w:before="0" w:line="240" w:lineRule="auto"/>
        <w:jc w:val="left"/>
      </w:pPr>
      <w:r w:rsidRPr="00C9680B">
        <w:t>7. Statens finansiella sparande samt statsskuldens minskning........</w:t>
      </w:r>
      <w:r w:rsidRPr="00C9680B">
        <w:tab/>
        <w:t>104</w:t>
      </w:r>
    </w:p>
    <w:p w:rsidR="001C7BF9" w:rsidRPr="00C9680B" w:rsidRDefault="001C7BF9">
      <w:pPr>
        <w:pStyle w:val="Brdtext"/>
        <w:spacing w:after="0" w:line="240" w:lineRule="auto"/>
        <w:jc w:val="left"/>
        <w:rPr>
          <w:sz w:val="19"/>
        </w:rPr>
      </w:pPr>
      <w:r w:rsidRPr="00C9680B">
        <w:rPr>
          <w:sz w:val="19"/>
        </w:rPr>
        <w:t>8. Regeringens och oppositionspartiernas förslag till utgiftstak</w:t>
      </w:r>
    </w:p>
    <w:p w:rsidR="001C7BF9" w:rsidRPr="00C9680B" w:rsidRDefault="001C7BF9">
      <w:pPr>
        <w:pStyle w:val="Brdtext"/>
        <w:spacing w:after="0" w:line="240" w:lineRule="auto"/>
        <w:jc w:val="left"/>
        <w:rPr>
          <w:sz w:val="19"/>
        </w:rPr>
      </w:pPr>
      <w:r w:rsidRPr="00C9680B">
        <w:rPr>
          <w:sz w:val="19"/>
        </w:rPr>
        <w:t xml:space="preserve">    för staten 2001–2003...................................................................</w:t>
      </w:r>
      <w:r w:rsidRPr="00C9680B">
        <w:rPr>
          <w:sz w:val="19"/>
        </w:rPr>
        <w:tab/>
        <w:t>125</w:t>
      </w:r>
    </w:p>
    <w:p w:rsidR="001C7BF9" w:rsidRPr="00C9680B" w:rsidRDefault="001C7BF9">
      <w:pPr>
        <w:spacing w:before="0" w:line="240" w:lineRule="auto"/>
        <w:jc w:val="left"/>
      </w:pPr>
      <w:r w:rsidRPr="00C9680B">
        <w:t xml:space="preserve">9. Regeringens och oppositionspartiernas justerade förslag till </w:t>
      </w:r>
    </w:p>
    <w:p w:rsidR="001C7BF9" w:rsidRPr="00C9680B" w:rsidRDefault="001C7BF9">
      <w:pPr>
        <w:spacing w:before="0" w:line="240" w:lineRule="auto"/>
        <w:jc w:val="left"/>
      </w:pPr>
      <w:r w:rsidRPr="00C9680B">
        <w:t xml:space="preserve">    utgiftstak för staten 2001–2003..................................................</w:t>
      </w:r>
      <w:r w:rsidRPr="00C9680B">
        <w:tab/>
        <w:t>139</w:t>
      </w:r>
    </w:p>
    <w:p w:rsidR="001C7BF9" w:rsidRPr="00C9680B" w:rsidRDefault="001C7BF9"/>
    <w:p w:rsidR="001C7BF9" w:rsidRPr="00C9680B" w:rsidRDefault="001C7BF9">
      <w:pPr>
        <w:rPr>
          <w:i/>
        </w:rPr>
      </w:pPr>
      <w:r w:rsidRPr="00C9680B">
        <w:rPr>
          <w:i/>
        </w:rPr>
        <w:t>Del 2 av betänkandet</w:t>
      </w:r>
    </w:p>
    <w:p w:rsidR="001C7BF9" w:rsidRPr="00C9680B" w:rsidRDefault="001C7BF9">
      <w:r w:rsidRPr="00C9680B">
        <w:t>Till utskottet inkomna yttranden (bilagorna 5–16) samt protokoll från offen</w:t>
      </w:r>
      <w:r w:rsidRPr="00C9680B">
        <w:t>t</w:t>
      </w:r>
      <w:r w:rsidRPr="00C9680B">
        <w:t>lig utfrågning (bilaga 17) återfinns i del 2 av betänkandet.</w:t>
      </w:r>
    </w:p>
    <w:p w:rsidR="001C7BF9" w:rsidRPr="00C9680B" w:rsidRDefault="001C7BF9">
      <w:pPr>
        <w:pStyle w:val="Normaltindrag"/>
        <w:jc w:val="left"/>
      </w:pPr>
    </w:p>
    <w:p w:rsidR="001C7BF9" w:rsidRPr="00C9680B" w:rsidRDefault="001C7BF9">
      <w:pPr>
        <w:pStyle w:val="Normaltindrag"/>
        <w:jc w:val="left"/>
        <w:rPr>
          <w:i/>
        </w:rPr>
        <w:sectPr w:rsidR="00000000" w:rsidRPr="00C9680B">
          <w:headerReference w:type="even" r:id="rId14"/>
          <w:headerReference w:type="default" r:id="rId15"/>
          <w:footerReference w:type="even" r:id="rId16"/>
          <w:footerReference w:type="default" r:id="rId17"/>
          <w:headerReference w:type="first" r:id="rId18"/>
          <w:footerReference w:type="first" r:id="rId19"/>
          <w:footnotePr>
            <w:numRestart w:val="eachSect"/>
          </w:footnotePr>
          <w:pgSz w:w="11906" w:h="16838" w:code="9"/>
          <w:pgMar w:top="907" w:right="4649" w:bottom="4508" w:left="1304" w:header="340" w:footer="227" w:gutter="0"/>
          <w:cols w:space="720"/>
          <w:titlePg/>
        </w:sectPr>
      </w:pPr>
    </w:p>
    <w:p w:rsidR="001C7BF9" w:rsidRPr="00C9680B" w:rsidRDefault="001C7BF9">
      <w:pPr>
        <w:pStyle w:val="Rubrik1"/>
        <w:rPr>
          <w:noProof w:val="0"/>
        </w:rPr>
      </w:pPr>
      <w:bookmarkStart w:id="23" w:name="_Toc498910644"/>
      <w:r w:rsidRPr="00C9680B">
        <w:rPr>
          <w:noProof w:val="0"/>
        </w:rPr>
        <w:t>Utskottets förslag till riksdagsbeslut</w:t>
      </w:r>
      <w:bookmarkEnd w:id="23"/>
    </w:p>
    <w:p w:rsidR="001C7BF9" w:rsidRPr="00C9680B" w:rsidRDefault="001C7BF9">
      <w:r w:rsidRPr="00C9680B">
        <w:t>Med hänvisning till de motiveringar som framförs under Utskottets överv</w:t>
      </w:r>
      <w:r w:rsidRPr="00C9680B">
        <w:t>ä</w:t>
      </w:r>
      <w:r w:rsidRPr="00C9680B">
        <w:t>ganden föreslår u</w:t>
      </w:r>
      <w:r w:rsidRPr="00C9680B">
        <w:t>t</w:t>
      </w:r>
      <w:r w:rsidRPr="00C9680B">
        <w:t xml:space="preserve">skottet att riksdagen fattar följande beslut. </w:t>
      </w:r>
    </w:p>
    <w:p w:rsidR="001C7BF9" w:rsidRPr="00C9680B" w:rsidRDefault="001C7BF9">
      <w:pPr>
        <w:pStyle w:val="R2"/>
        <w:spacing w:before="375"/>
        <w:outlineLvl w:val="0"/>
        <w:rPr>
          <w:sz w:val="24"/>
        </w:rPr>
      </w:pPr>
      <w:r w:rsidRPr="00C9680B">
        <w:rPr>
          <w:sz w:val="24"/>
        </w:rPr>
        <w:t>Den ekonomiska politiken</w:t>
      </w:r>
    </w:p>
    <w:p w:rsidR="001C7BF9" w:rsidRPr="00C9680B" w:rsidRDefault="001C7BF9">
      <w:pPr>
        <w:pStyle w:val="Frslagspunkt"/>
        <w:spacing w:before="125"/>
        <w:outlineLvl w:val="0"/>
        <w:rPr>
          <w:noProof w:val="0"/>
        </w:rPr>
      </w:pPr>
      <w:r w:rsidRPr="00C9680B">
        <w:rPr>
          <w:noProof w:val="0"/>
        </w:rPr>
        <w:t>1.</w:t>
      </w:r>
      <w:r w:rsidRPr="00C9680B">
        <w:rPr>
          <w:noProof w:val="0"/>
        </w:rPr>
        <w:tab/>
        <w:t>Allmänna riktlinjer för den ekonomiska politiken</w:t>
      </w:r>
    </w:p>
    <w:p w:rsidR="001C7BF9" w:rsidRPr="00C9680B" w:rsidRDefault="001C7BF9">
      <w:pPr>
        <w:pStyle w:val="Frslagstext"/>
      </w:pPr>
      <w:r w:rsidRPr="00C9680B">
        <w:t>Riksdagen godkänner de allmänna riktlinjer för den ekonomiska polit</w:t>
      </w:r>
      <w:r w:rsidRPr="00C9680B">
        <w:t>i</w:t>
      </w:r>
      <w:r w:rsidRPr="00C9680B">
        <w:t>ken som regeringen förordar och tillkännager för regeringen vad utskottet anfört (avsnitt 1.3). Därmed bifaller riksdagen proposition 2000/01:1 Förslag till stats</w:t>
      </w:r>
      <w:r w:rsidRPr="00C9680B">
        <w:softHyphen/>
        <w:t xml:space="preserve">budget, finansplan m.m. punkt 1 och avslår motionerna 2000/01:Fi204, 2000/01:Fi208 yrkandena 1, 9–11, 13–18, 21, 22 och 24–26, 2000/01:Fi209 yrkandena 1 och 10, 2000/01:Fi210 yrkandena 1 och 6 samt 2000/01:Fi211 yrkande 1. </w:t>
      </w:r>
    </w:p>
    <w:p w:rsidR="001C7BF9" w:rsidRPr="00C9680B" w:rsidRDefault="001C7BF9">
      <w:pPr>
        <w:pStyle w:val="Reservationshnvisning"/>
      </w:pPr>
      <w:r w:rsidRPr="00C9680B">
        <w:t xml:space="preserve">Reservation 1 (m, kd, c, fp) </w:t>
      </w:r>
      <w:bookmarkStart w:id="24" w:name="RESPARTI001"/>
      <w:bookmarkEnd w:id="24"/>
    </w:p>
    <w:p w:rsidR="001C7BF9" w:rsidRPr="00C9680B" w:rsidRDefault="001C7BF9">
      <w:pPr>
        <w:pStyle w:val="Frslagspunkt"/>
        <w:outlineLvl w:val="0"/>
        <w:rPr>
          <w:noProof w:val="0"/>
        </w:rPr>
      </w:pPr>
      <w:r w:rsidRPr="00C9680B">
        <w:rPr>
          <w:noProof w:val="0"/>
        </w:rPr>
        <w:t>2.</w:t>
      </w:r>
      <w:r w:rsidRPr="00C9680B">
        <w:rPr>
          <w:noProof w:val="0"/>
        </w:rPr>
        <w:tab/>
        <w:t>Formerna för ställningstagande till euro</w:t>
      </w:r>
    </w:p>
    <w:p w:rsidR="001C7BF9" w:rsidRPr="00C9680B" w:rsidRDefault="001C7BF9">
      <w:pPr>
        <w:pStyle w:val="Frslagstext"/>
      </w:pPr>
      <w:r w:rsidRPr="00C9680B">
        <w:t>Riksdagen avslår motionerna 2000/01:K398 yrkande 11, 2000/01:Fi207, 2000/01:Fi208 yrkande 23, 2000/01:Fi209 yrkande 9, 2000/01:Fi212, 2000/01:Fi214, 2000/01:Fi218, 2000/01:Fi220, 2000/01:U510 yrkandena 15 och 16 samt 2000/01:U513 yrkande 4 (avsnitt 1.4.1).</w:t>
      </w:r>
    </w:p>
    <w:p w:rsidR="001C7BF9" w:rsidRPr="00C9680B" w:rsidRDefault="001C7BF9">
      <w:pPr>
        <w:pStyle w:val="Reservationshnvisning"/>
      </w:pPr>
      <w:r w:rsidRPr="00C9680B">
        <w:t xml:space="preserve">  </w:t>
      </w:r>
      <w:bookmarkStart w:id="25" w:name="RESPARTI002"/>
      <w:bookmarkEnd w:id="25"/>
      <w:r w:rsidRPr="00C9680B">
        <w:t>Reservation 2 (m)</w:t>
      </w:r>
    </w:p>
    <w:p w:rsidR="001C7BF9" w:rsidRPr="00C9680B" w:rsidRDefault="001C7BF9">
      <w:pPr>
        <w:pStyle w:val="Reservationshnvisning"/>
      </w:pPr>
      <w:r w:rsidRPr="00C9680B">
        <w:t>Reservation 3 (v)</w:t>
      </w:r>
    </w:p>
    <w:p w:rsidR="001C7BF9" w:rsidRPr="00C9680B" w:rsidRDefault="001C7BF9">
      <w:pPr>
        <w:pStyle w:val="Reservationshnvisning"/>
      </w:pPr>
      <w:r w:rsidRPr="00C9680B">
        <w:t>Reservation 4 (kd)</w:t>
      </w:r>
    </w:p>
    <w:p w:rsidR="001C7BF9" w:rsidRPr="00C9680B" w:rsidRDefault="001C7BF9">
      <w:pPr>
        <w:pStyle w:val="Reservationshnvisning"/>
      </w:pPr>
      <w:r w:rsidRPr="00C9680B">
        <w:t>Reservation 5 (c)</w:t>
      </w:r>
    </w:p>
    <w:p w:rsidR="001C7BF9" w:rsidRPr="00C9680B" w:rsidRDefault="001C7BF9">
      <w:pPr>
        <w:pStyle w:val="Reservationshnvisning"/>
      </w:pPr>
      <w:r w:rsidRPr="00C9680B">
        <w:t>Reservation 6 (fp)</w:t>
      </w:r>
    </w:p>
    <w:p w:rsidR="001C7BF9" w:rsidRPr="00C9680B" w:rsidRDefault="001C7BF9">
      <w:pPr>
        <w:pStyle w:val="Reservationshnvisning"/>
      </w:pPr>
      <w:r w:rsidRPr="00C9680B">
        <w:t>Reservation 7 (mp)</w:t>
      </w:r>
    </w:p>
    <w:p w:rsidR="001C7BF9" w:rsidRPr="00C9680B" w:rsidRDefault="001C7BF9">
      <w:pPr>
        <w:pStyle w:val="Frslagspunkt"/>
        <w:outlineLvl w:val="0"/>
        <w:rPr>
          <w:noProof w:val="0"/>
        </w:rPr>
      </w:pPr>
      <w:r w:rsidRPr="00C9680B">
        <w:rPr>
          <w:noProof w:val="0"/>
        </w:rPr>
        <w:t>3.</w:t>
      </w:r>
      <w:r w:rsidRPr="00C9680B">
        <w:rPr>
          <w:noProof w:val="0"/>
        </w:rPr>
        <w:tab/>
        <w:t>Analyser av effekterna av att införa euro</w:t>
      </w:r>
    </w:p>
    <w:p w:rsidR="001C7BF9" w:rsidRPr="00C9680B" w:rsidRDefault="001C7BF9">
      <w:pPr>
        <w:pStyle w:val="Frslagstext"/>
      </w:pPr>
      <w:r w:rsidRPr="00C9680B">
        <w:t>Riksdagen avslår motionerna 2000/01:Fi201 och 2000/01:Fi206 (avsnitt 1.4.2).</w:t>
      </w:r>
    </w:p>
    <w:p w:rsidR="001C7BF9" w:rsidRPr="00C9680B" w:rsidRDefault="001C7BF9">
      <w:pPr>
        <w:pStyle w:val="Reservationshnvisning"/>
      </w:pPr>
      <w:r w:rsidRPr="00C9680B">
        <w:t xml:space="preserve"> </w:t>
      </w:r>
      <w:bookmarkStart w:id="26" w:name="RESPARTI003"/>
      <w:bookmarkEnd w:id="26"/>
      <w:r w:rsidRPr="00C9680B">
        <w:t>Reservation 8 (v)</w:t>
      </w:r>
    </w:p>
    <w:p w:rsidR="001C7BF9" w:rsidRPr="00C9680B" w:rsidRDefault="001C7BF9">
      <w:pPr>
        <w:pStyle w:val="Frslagstext"/>
      </w:pPr>
    </w:p>
    <w:p w:rsidR="001C7BF9" w:rsidRPr="00C9680B" w:rsidRDefault="001C7BF9">
      <w:pPr>
        <w:pStyle w:val="R2"/>
        <w:outlineLvl w:val="0"/>
        <w:rPr>
          <w:sz w:val="24"/>
        </w:rPr>
      </w:pPr>
      <w:r w:rsidRPr="00C9680B">
        <w:br w:type="page"/>
      </w:r>
      <w:r w:rsidRPr="00C9680B">
        <w:rPr>
          <w:sz w:val="24"/>
        </w:rPr>
        <w:t>Budgetpolitikens inriktning</w:t>
      </w:r>
    </w:p>
    <w:p w:rsidR="001C7BF9" w:rsidRPr="00C9680B" w:rsidRDefault="001C7BF9">
      <w:pPr>
        <w:pStyle w:val="Frslagspunkt"/>
        <w:spacing w:before="125"/>
        <w:outlineLvl w:val="0"/>
        <w:rPr>
          <w:noProof w:val="0"/>
        </w:rPr>
      </w:pPr>
      <w:r w:rsidRPr="00C9680B">
        <w:rPr>
          <w:noProof w:val="0"/>
        </w:rPr>
        <w:t>4.</w:t>
      </w:r>
      <w:r w:rsidRPr="00C9680B">
        <w:rPr>
          <w:noProof w:val="0"/>
        </w:rPr>
        <w:tab/>
        <w:t>Mål för budgetpolitiken</w:t>
      </w:r>
    </w:p>
    <w:p w:rsidR="001C7BF9" w:rsidRPr="00C9680B" w:rsidRDefault="001C7BF9">
      <w:pPr>
        <w:pStyle w:val="Frslagstext"/>
      </w:pPr>
      <w:r w:rsidRPr="00C9680B">
        <w:t>Riksdagen fastställer målet för det finansiella sparandet i den offentliga sektorn för 2001 till 2,5 % av bruttonationalprodukten (avsnitt 2.3). Dä</w:t>
      </w:r>
      <w:r w:rsidRPr="00C9680B">
        <w:t>r</w:t>
      </w:r>
      <w:r w:rsidRPr="00C9680B">
        <w:t>med bifaller riksdagen proposition 2000/01:1 punkt 4 och avslår moti</w:t>
      </w:r>
      <w:r w:rsidRPr="00C9680B">
        <w:t>o</w:t>
      </w:r>
      <w:r w:rsidRPr="00C9680B">
        <w:t xml:space="preserve">nerna 2000/01:Fi208 yrkandena 4 och 8, 2000/01:Fi209 yrkande 4 och 2000/01:Fi211 yrkande 4. </w:t>
      </w:r>
    </w:p>
    <w:p w:rsidR="001C7BF9" w:rsidRPr="00C9680B" w:rsidRDefault="001C7BF9">
      <w:pPr>
        <w:pStyle w:val="Reservationshnvisning"/>
      </w:pPr>
      <w:r w:rsidRPr="00C9680B">
        <w:t xml:space="preserve"> </w:t>
      </w:r>
      <w:bookmarkStart w:id="27" w:name="RESPARTI004"/>
      <w:bookmarkEnd w:id="27"/>
      <w:r w:rsidRPr="00C9680B">
        <w:t>Reservation 9 (m)</w:t>
      </w:r>
    </w:p>
    <w:p w:rsidR="001C7BF9" w:rsidRPr="00C9680B" w:rsidRDefault="001C7BF9">
      <w:pPr>
        <w:pStyle w:val="Reservationshnvisning"/>
      </w:pPr>
      <w:r w:rsidRPr="00C9680B">
        <w:t>Reservation 10 (kd)</w:t>
      </w:r>
    </w:p>
    <w:p w:rsidR="001C7BF9" w:rsidRPr="00C9680B" w:rsidRDefault="001C7BF9">
      <w:pPr>
        <w:pStyle w:val="Reservationshnvisning"/>
      </w:pPr>
      <w:r w:rsidRPr="00C9680B">
        <w:t>Reservation 11 (fp)</w:t>
      </w:r>
    </w:p>
    <w:p w:rsidR="001C7BF9" w:rsidRPr="00C9680B" w:rsidRDefault="001C7BF9">
      <w:pPr>
        <w:pStyle w:val="R2"/>
        <w:outlineLvl w:val="0"/>
        <w:rPr>
          <w:sz w:val="24"/>
        </w:rPr>
      </w:pPr>
      <w:r w:rsidRPr="00C9680B">
        <w:rPr>
          <w:sz w:val="24"/>
        </w:rPr>
        <w:t>Statsbudgetens inkomster och utgifter</w:t>
      </w:r>
    </w:p>
    <w:p w:rsidR="001C7BF9" w:rsidRPr="00C9680B" w:rsidRDefault="001C7BF9">
      <w:pPr>
        <w:pStyle w:val="Frslagspunkt"/>
        <w:spacing w:before="125"/>
        <w:outlineLvl w:val="0"/>
        <w:rPr>
          <w:noProof w:val="0"/>
        </w:rPr>
      </w:pPr>
      <w:r w:rsidRPr="00C9680B">
        <w:rPr>
          <w:noProof w:val="0"/>
        </w:rPr>
        <w:t>5.</w:t>
      </w:r>
      <w:r w:rsidRPr="00C9680B">
        <w:rPr>
          <w:noProof w:val="0"/>
        </w:rPr>
        <w:tab/>
        <w:t>Budgetförslagen för år 2001</w:t>
      </w:r>
    </w:p>
    <w:p w:rsidR="001C7BF9" w:rsidRPr="00C9680B" w:rsidRDefault="001C7BF9">
      <w:pPr>
        <w:pStyle w:val="Frslagstext"/>
        <w:numPr>
          <w:ilvl w:val="0"/>
          <w:numId w:val="24"/>
        </w:numPr>
        <w:spacing w:before="125"/>
        <w:rPr>
          <w:i/>
        </w:rPr>
      </w:pPr>
      <w:r w:rsidRPr="00C9680B">
        <w:rPr>
          <w:i/>
        </w:rPr>
        <w:t xml:space="preserve">Utgiftstak för staten åren 2001–2003 (avsnitt 2.5.1) </w:t>
      </w:r>
    </w:p>
    <w:p w:rsidR="001C7BF9" w:rsidRPr="00C9680B" w:rsidRDefault="001C7BF9">
      <w:pPr>
        <w:pStyle w:val="Frslagstext"/>
      </w:pPr>
      <w:r w:rsidRPr="00C9680B">
        <w:t>Riksdagen fastställer utgiftstaket för staten inklusive ålderspensions</w:t>
      </w:r>
      <w:r w:rsidRPr="00C9680B">
        <w:softHyphen/>
        <w:t>sy</w:t>
      </w:r>
      <w:r w:rsidRPr="00C9680B">
        <w:softHyphen/>
        <w:t>stemet vid sidan av statsbudgeten till 789 miljarder kronor för år 2001, 814 miljarder kronor för år 2002 och 844 miljarder kronor för år 2003. Därmed b</w:t>
      </w:r>
      <w:r w:rsidRPr="00C9680B">
        <w:t>i</w:t>
      </w:r>
      <w:r w:rsidRPr="00C9680B">
        <w:t xml:space="preserve">faller riksdagen proposition 2000/01:1 punkt 2. </w:t>
      </w:r>
    </w:p>
    <w:p w:rsidR="001C7BF9" w:rsidRPr="00C9680B" w:rsidRDefault="001C7BF9">
      <w:pPr>
        <w:pStyle w:val="Frslagstext"/>
        <w:numPr>
          <w:ilvl w:val="0"/>
          <w:numId w:val="24"/>
        </w:numPr>
        <w:spacing w:before="125"/>
        <w:rPr>
          <w:i/>
        </w:rPr>
      </w:pPr>
      <w:r w:rsidRPr="00C9680B">
        <w:rPr>
          <w:i/>
        </w:rPr>
        <w:t>Utgiftstak för den offentliga sektorn åren 2001–2003 (avsnitt 2.5.2)</w:t>
      </w:r>
    </w:p>
    <w:p w:rsidR="001C7BF9" w:rsidRPr="00C9680B" w:rsidRDefault="001C7BF9">
      <w:pPr>
        <w:pStyle w:val="Frslagstext"/>
      </w:pPr>
      <w:r w:rsidRPr="00C9680B">
        <w:t>Riksdagen godkänner den reviderade beräkningen av de offentliga utgi</w:t>
      </w:r>
      <w:r w:rsidRPr="00C9680B">
        <w:t>f</w:t>
      </w:r>
      <w:r w:rsidRPr="00C9680B">
        <w:t>terna för åren 2001–2003. Därmed bifaller riksdagen proposition 2000/01:1 punkt 3.</w:t>
      </w:r>
    </w:p>
    <w:p w:rsidR="001C7BF9" w:rsidRPr="00C9680B" w:rsidRDefault="001C7BF9">
      <w:pPr>
        <w:pStyle w:val="Frslagstext"/>
        <w:numPr>
          <w:ilvl w:val="0"/>
          <w:numId w:val="25"/>
        </w:numPr>
        <w:spacing w:before="125"/>
        <w:rPr>
          <w:i/>
        </w:rPr>
      </w:pPr>
      <w:r w:rsidRPr="00C9680B">
        <w:rPr>
          <w:i/>
        </w:rPr>
        <w:t xml:space="preserve">Fördelning av statens utgifter på utgiftsområden för budgetåret 2001 (avsnitt 2.6) </w:t>
      </w:r>
    </w:p>
    <w:p w:rsidR="001C7BF9" w:rsidRPr="00C9680B" w:rsidRDefault="001C7BF9">
      <w:pPr>
        <w:pStyle w:val="Frslagstext"/>
        <w:rPr>
          <w:i/>
        </w:rPr>
      </w:pPr>
      <w:r w:rsidRPr="00C9680B">
        <w:t>Riksdagen beslutar om fördelning av utgifterna för budgetåret 2001 på utgiftsområden enligt utskottets förslag i efterföljande</w:t>
      </w:r>
      <w:r w:rsidRPr="00C9680B">
        <w:rPr>
          <w:i/>
        </w:rPr>
        <w:t xml:space="preserve"> sammanställning över statsbudgetens utgifter och inkomster</w:t>
      </w:r>
      <w:r w:rsidRPr="00C9680B">
        <w:t>.</w:t>
      </w:r>
      <w:r w:rsidRPr="00C9680B">
        <w:rPr>
          <w:i/>
        </w:rPr>
        <w:t xml:space="preserve"> </w:t>
      </w:r>
      <w:r w:rsidRPr="00C9680B">
        <w:t>Därmed bifaller riksdagen propos</w:t>
      </w:r>
      <w:r w:rsidRPr="00C9680B">
        <w:t>i</w:t>
      </w:r>
      <w:r w:rsidRPr="00C9680B">
        <w:t>tion 2000/01:1 punkt 8.</w:t>
      </w:r>
      <w:r w:rsidRPr="00C9680B">
        <w:rPr>
          <w:i/>
        </w:rPr>
        <w:t xml:space="preserve"> </w:t>
      </w:r>
    </w:p>
    <w:p w:rsidR="001C7BF9" w:rsidRPr="00C9680B" w:rsidRDefault="001C7BF9">
      <w:pPr>
        <w:pStyle w:val="Frslagstext"/>
        <w:numPr>
          <w:ilvl w:val="0"/>
          <w:numId w:val="25"/>
        </w:numPr>
        <w:spacing w:before="125"/>
        <w:rPr>
          <w:i/>
        </w:rPr>
      </w:pPr>
      <w:r w:rsidRPr="00C9680B">
        <w:rPr>
          <w:i/>
        </w:rPr>
        <w:t xml:space="preserve">Förändringar av anslagsbehållningar för budgetåret 2001 (avsnitt 2.8) </w:t>
      </w:r>
    </w:p>
    <w:p w:rsidR="001C7BF9" w:rsidRPr="00C9680B" w:rsidRDefault="001C7BF9">
      <w:pPr>
        <w:pStyle w:val="Frslagstext"/>
      </w:pPr>
      <w:r w:rsidRPr="00C9680B">
        <w:t>Riksdagen godkänner beräkningen av förändringar av anslagsbehållnin</w:t>
      </w:r>
      <w:r w:rsidRPr="00C9680B">
        <w:t>g</w:t>
      </w:r>
      <w:r w:rsidRPr="00C9680B">
        <w:t>ar för budgetåret 2001.</w:t>
      </w:r>
      <w:r w:rsidRPr="00C9680B">
        <w:rPr>
          <w:i/>
        </w:rPr>
        <w:t xml:space="preserve"> </w:t>
      </w:r>
      <w:r w:rsidRPr="00C9680B">
        <w:t xml:space="preserve">Därmed bifaller riksdagen proposition 2000/01:1 punkt 9. </w:t>
      </w:r>
    </w:p>
    <w:p w:rsidR="001C7BF9" w:rsidRPr="00C9680B" w:rsidRDefault="001C7BF9">
      <w:pPr>
        <w:pStyle w:val="Frslagstext"/>
        <w:numPr>
          <w:ilvl w:val="0"/>
          <w:numId w:val="25"/>
        </w:numPr>
        <w:spacing w:before="125"/>
        <w:rPr>
          <w:i/>
        </w:rPr>
      </w:pPr>
      <w:r w:rsidRPr="00C9680B">
        <w:rPr>
          <w:i/>
        </w:rPr>
        <w:t>Myndigheternas in- och utlåning i Riksgäldskontoret (a</w:t>
      </w:r>
      <w:r w:rsidRPr="00C9680B">
        <w:rPr>
          <w:i/>
        </w:rPr>
        <w:t>v</w:t>
      </w:r>
      <w:r w:rsidRPr="00C9680B">
        <w:rPr>
          <w:i/>
        </w:rPr>
        <w:t>snitt 2.9)</w:t>
      </w:r>
    </w:p>
    <w:p w:rsidR="001C7BF9" w:rsidRPr="00C9680B" w:rsidRDefault="001C7BF9">
      <w:pPr>
        <w:pStyle w:val="Frslagstext"/>
      </w:pPr>
      <w:r w:rsidRPr="00C9680B">
        <w:t xml:space="preserve">Riksdagen godkänner </w:t>
      </w:r>
    </w:p>
    <w:p w:rsidR="001C7BF9" w:rsidRPr="00C9680B" w:rsidRDefault="001C7BF9">
      <w:pPr>
        <w:pStyle w:val="Frslagstext"/>
      </w:pPr>
      <w:r w:rsidRPr="00C9680B">
        <w:rPr>
          <w:i/>
        </w:rPr>
        <w:t xml:space="preserve">dels </w:t>
      </w:r>
      <w:r w:rsidRPr="00C9680B">
        <w:t>beräkningen av</w:t>
      </w:r>
      <w:r w:rsidRPr="00C9680B">
        <w:rPr>
          <w:i/>
        </w:rPr>
        <w:t xml:space="preserve"> </w:t>
      </w:r>
      <w:r w:rsidRPr="00C9680B">
        <w:t>myndigheters m.fl. in- och utlåning i Riksgäldsko</w:t>
      </w:r>
      <w:r w:rsidRPr="00C9680B">
        <w:t>n</w:t>
      </w:r>
      <w:r w:rsidRPr="00C9680B">
        <w:t xml:space="preserve">toret för budgetåret 2001, </w:t>
      </w:r>
    </w:p>
    <w:p w:rsidR="001C7BF9" w:rsidRPr="00C9680B" w:rsidRDefault="001C7BF9">
      <w:pPr>
        <w:pStyle w:val="Frslagstext"/>
      </w:pPr>
      <w:r w:rsidRPr="00C9680B">
        <w:rPr>
          <w:i/>
        </w:rPr>
        <w:t>dels</w:t>
      </w:r>
      <w:r w:rsidRPr="00C9680B">
        <w:t xml:space="preserve"> beräkningen, med av utskottet föreslagen ändring, av överföringen av m</w:t>
      </w:r>
      <w:r w:rsidRPr="00C9680B">
        <w:t>e</w:t>
      </w:r>
      <w:r w:rsidRPr="00C9680B">
        <w:t>del från AP-fonden för budgetåret 2001</w:t>
      </w:r>
      <w:r w:rsidRPr="00C9680B">
        <w:rPr>
          <w:i/>
        </w:rPr>
        <w:t>.</w:t>
      </w:r>
      <w:r w:rsidRPr="00C9680B">
        <w:t xml:space="preserve"> </w:t>
      </w:r>
    </w:p>
    <w:p w:rsidR="001C7BF9" w:rsidRPr="00C9680B" w:rsidRDefault="001C7BF9">
      <w:pPr>
        <w:pStyle w:val="Frslagstext"/>
      </w:pPr>
      <w:r w:rsidRPr="00C9680B">
        <w:t xml:space="preserve">Därmed bifaller riksdagen delvis proposition 2000/01:1 punkt 6. </w:t>
      </w:r>
    </w:p>
    <w:p w:rsidR="001C7BF9" w:rsidRPr="00C9680B" w:rsidRDefault="001C7BF9">
      <w:pPr>
        <w:pStyle w:val="Frslagstext"/>
      </w:pPr>
    </w:p>
    <w:p w:rsidR="001C7BF9" w:rsidRPr="00C9680B" w:rsidRDefault="001C7BF9">
      <w:pPr>
        <w:pStyle w:val="Frslagstext"/>
        <w:numPr>
          <w:ilvl w:val="0"/>
          <w:numId w:val="25"/>
        </w:numPr>
        <w:spacing w:before="125"/>
        <w:rPr>
          <w:i/>
        </w:rPr>
      </w:pPr>
      <w:r w:rsidRPr="00C9680B">
        <w:rPr>
          <w:i/>
        </w:rPr>
        <w:t xml:space="preserve">Inkomstskatten för år 2001 (avsnitt 3.3.1)  </w:t>
      </w:r>
    </w:p>
    <w:p w:rsidR="001C7BF9" w:rsidRPr="00C9680B" w:rsidRDefault="001C7BF9">
      <w:pPr>
        <w:pStyle w:val="Frslagstext"/>
      </w:pPr>
      <w:r w:rsidRPr="00C9680B">
        <w:t xml:space="preserve">Riksdagen godkänner vad utskottet anfört om inkomstskatten för år 2001. Riksdagen bifaller därmed proposition 2000/01:1 punkterna 24, 25 och 27–31, alla i denna del.  </w:t>
      </w:r>
    </w:p>
    <w:p w:rsidR="001C7BF9" w:rsidRPr="00C9680B" w:rsidRDefault="001C7BF9">
      <w:pPr>
        <w:pStyle w:val="Frslagstext"/>
        <w:numPr>
          <w:ilvl w:val="0"/>
          <w:numId w:val="25"/>
        </w:numPr>
        <w:spacing w:before="125"/>
        <w:rPr>
          <w:i/>
        </w:rPr>
      </w:pPr>
      <w:r w:rsidRPr="00C9680B">
        <w:rPr>
          <w:i/>
        </w:rPr>
        <w:t xml:space="preserve">Utökade reseavdrag (avsnitt 3.3.2) </w:t>
      </w:r>
    </w:p>
    <w:p w:rsidR="001C7BF9" w:rsidRPr="00C9680B" w:rsidRDefault="001C7BF9">
      <w:pPr>
        <w:pStyle w:val="Frslagstext"/>
      </w:pPr>
      <w:r w:rsidRPr="00C9680B">
        <w:t>Riksdagen godkänner vad utskottet anfört om utökade reseavdrag och b</w:t>
      </w:r>
      <w:r w:rsidRPr="00C9680B">
        <w:t>i</w:t>
      </w:r>
      <w:r w:rsidRPr="00C9680B">
        <w:t xml:space="preserve">faller därmed proposition 2000/01:1 punkt 24 i denna del. </w:t>
      </w:r>
    </w:p>
    <w:p w:rsidR="001C7BF9" w:rsidRPr="00C9680B" w:rsidRDefault="001C7BF9">
      <w:pPr>
        <w:pStyle w:val="Frslagstext"/>
      </w:pPr>
    </w:p>
    <w:p w:rsidR="001C7BF9" w:rsidRPr="00C9680B" w:rsidRDefault="001C7BF9">
      <w:pPr>
        <w:pStyle w:val="Frslagstext"/>
        <w:numPr>
          <w:ilvl w:val="0"/>
          <w:numId w:val="25"/>
        </w:numPr>
      </w:pPr>
      <w:r w:rsidRPr="00C9680B">
        <w:rPr>
          <w:i/>
        </w:rPr>
        <w:t>Kapitalvinstbeskattning av bostäder (avsnitt 3.3.7)</w:t>
      </w:r>
    </w:p>
    <w:p w:rsidR="001C7BF9" w:rsidRPr="00C9680B" w:rsidRDefault="001C7BF9">
      <w:pPr>
        <w:pStyle w:val="Frslagstext"/>
      </w:pPr>
      <w:r w:rsidRPr="00C9680B">
        <w:t>Riksdagen godkänner vad utskottet anfört om en höjning av den skatt</w:t>
      </w:r>
      <w:r w:rsidRPr="00C9680B">
        <w:t>e</w:t>
      </w:r>
      <w:r w:rsidRPr="00C9680B">
        <w:t>pliktiga delen av kapitalvinsten vid försäljning av privatbostäder. Därmed b</w:t>
      </w:r>
      <w:r w:rsidRPr="00C9680B">
        <w:t>i</w:t>
      </w:r>
      <w:r w:rsidRPr="00C9680B">
        <w:t xml:space="preserve">faller riksdagen proposition 2000/01:1 punkt 24 i denna del. </w:t>
      </w:r>
    </w:p>
    <w:p w:rsidR="001C7BF9" w:rsidRPr="00C9680B" w:rsidRDefault="001C7BF9">
      <w:pPr>
        <w:pStyle w:val="Frslagstext"/>
      </w:pPr>
    </w:p>
    <w:p w:rsidR="001C7BF9" w:rsidRPr="00C9680B" w:rsidRDefault="001C7BF9">
      <w:pPr>
        <w:pStyle w:val="Frslagstext"/>
        <w:numPr>
          <w:ilvl w:val="0"/>
          <w:numId w:val="25"/>
        </w:numPr>
        <w:rPr>
          <w:i/>
        </w:rPr>
      </w:pPr>
      <w:r w:rsidRPr="00C9680B">
        <w:rPr>
          <w:i/>
        </w:rPr>
        <w:t>Beskattning av sjömän (avsnitt 3.3.9)</w:t>
      </w:r>
    </w:p>
    <w:p w:rsidR="001C7BF9" w:rsidRPr="00C9680B" w:rsidRDefault="001C7BF9">
      <w:pPr>
        <w:pStyle w:val="Frslagstext"/>
      </w:pPr>
      <w:r w:rsidRPr="00C9680B">
        <w:t xml:space="preserve">Riksdagen godkänner vad utskottet anfört om beskattning av sjömän. Därmed bifaller riksdagen proposition 2000/01:1 punkt 39 i denna del. </w:t>
      </w:r>
    </w:p>
    <w:p w:rsidR="001C7BF9" w:rsidRPr="00C9680B" w:rsidRDefault="001C7BF9">
      <w:pPr>
        <w:pStyle w:val="Frslagstext"/>
      </w:pPr>
    </w:p>
    <w:p w:rsidR="001C7BF9" w:rsidRPr="00C9680B" w:rsidRDefault="001C7BF9">
      <w:pPr>
        <w:pStyle w:val="Frslagstext"/>
        <w:numPr>
          <w:ilvl w:val="0"/>
          <w:numId w:val="25"/>
        </w:numPr>
        <w:rPr>
          <w:i/>
        </w:rPr>
      </w:pPr>
      <w:r w:rsidRPr="00C9680B">
        <w:rPr>
          <w:i/>
        </w:rPr>
        <w:t>Förändrade avgiftsnivåer för socialavgifterna (avsnitt 3.5.1)</w:t>
      </w:r>
    </w:p>
    <w:p w:rsidR="001C7BF9" w:rsidRPr="00C9680B" w:rsidRDefault="001C7BF9">
      <w:pPr>
        <w:pStyle w:val="Frslagstext"/>
      </w:pPr>
      <w:r w:rsidRPr="00C9680B">
        <w:t xml:space="preserve">Riksdagen godkänner vad utskottet anfört om förändrade avgiftsnivåer för socialavgifterna. Därmed bifaller riksdagen proposition 2000/01:1 punkt 26 i denna del. </w:t>
      </w:r>
    </w:p>
    <w:p w:rsidR="001C7BF9" w:rsidRPr="00C9680B" w:rsidRDefault="001C7BF9">
      <w:pPr>
        <w:pStyle w:val="Frslagstext"/>
      </w:pPr>
    </w:p>
    <w:p w:rsidR="001C7BF9" w:rsidRPr="00C9680B" w:rsidRDefault="001C7BF9">
      <w:pPr>
        <w:pStyle w:val="Frslagstext"/>
        <w:numPr>
          <w:ilvl w:val="0"/>
          <w:numId w:val="25"/>
        </w:numPr>
        <w:rPr>
          <w:i/>
        </w:rPr>
      </w:pPr>
      <w:r w:rsidRPr="00C9680B">
        <w:rPr>
          <w:i/>
        </w:rPr>
        <w:t>Fastighetsskatt på bostäder (avsnitt 3.6.1)</w:t>
      </w:r>
    </w:p>
    <w:p w:rsidR="001C7BF9" w:rsidRPr="00C9680B" w:rsidRDefault="001C7BF9">
      <w:pPr>
        <w:pStyle w:val="Frslagstext"/>
      </w:pPr>
      <w:r w:rsidRPr="00C9680B">
        <w:t>Riksdagen godkänner vad utskottet anfört om sänkt fastighetsskatt på b</w:t>
      </w:r>
      <w:r w:rsidRPr="00C9680B">
        <w:t>o</w:t>
      </w:r>
      <w:r w:rsidRPr="00C9680B">
        <w:t xml:space="preserve">städer. Därmed bifaller riksdagen proposition 2000/01:1 punkt 23 i denna del. </w:t>
      </w:r>
    </w:p>
    <w:p w:rsidR="001C7BF9" w:rsidRPr="00C9680B" w:rsidRDefault="001C7BF9">
      <w:pPr>
        <w:pStyle w:val="Frslagstext"/>
      </w:pPr>
    </w:p>
    <w:p w:rsidR="001C7BF9" w:rsidRPr="00C9680B" w:rsidRDefault="001C7BF9">
      <w:pPr>
        <w:pStyle w:val="Frslagstext"/>
        <w:numPr>
          <w:ilvl w:val="0"/>
          <w:numId w:val="25"/>
        </w:numPr>
        <w:rPr>
          <w:i/>
        </w:rPr>
      </w:pPr>
      <w:r w:rsidRPr="00C9680B">
        <w:rPr>
          <w:i/>
        </w:rPr>
        <w:t xml:space="preserve">Värdering av bostadshyreshus vid 2001 års förmögenhetstaxering (avsnitt 3.6.3) </w:t>
      </w:r>
    </w:p>
    <w:p w:rsidR="001C7BF9" w:rsidRPr="00C9680B" w:rsidRDefault="001C7BF9">
      <w:pPr>
        <w:pStyle w:val="Frslagstext"/>
      </w:pPr>
      <w:r w:rsidRPr="00C9680B">
        <w:t>Riksdagen godkänner vad utskottet anfört om värdering av bostadshyre</w:t>
      </w:r>
      <w:r w:rsidRPr="00C9680B">
        <w:t>s</w:t>
      </w:r>
      <w:r w:rsidRPr="00C9680B">
        <w:t>hus vid 2001 års förmögenhetstaxering. Därmed bifaller riksdagen pr</w:t>
      </w:r>
      <w:r w:rsidRPr="00C9680B">
        <w:t>o</w:t>
      </w:r>
      <w:r w:rsidRPr="00C9680B">
        <w:t>position 2000/01:1 punkterna 32 och 33, båda i de</w:t>
      </w:r>
      <w:r w:rsidRPr="00C9680B">
        <w:t>n</w:t>
      </w:r>
      <w:r w:rsidRPr="00C9680B">
        <w:t xml:space="preserve">na del. </w:t>
      </w:r>
    </w:p>
    <w:p w:rsidR="001C7BF9" w:rsidRPr="00C9680B" w:rsidRDefault="001C7BF9">
      <w:pPr>
        <w:pStyle w:val="Frslagstext"/>
      </w:pPr>
    </w:p>
    <w:p w:rsidR="001C7BF9" w:rsidRPr="00C9680B" w:rsidRDefault="001C7BF9">
      <w:pPr>
        <w:pStyle w:val="Frslagstext"/>
        <w:numPr>
          <w:ilvl w:val="0"/>
          <w:numId w:val="25"/>
        </w:numPr>
        <w:rPr>
          <w:i/>
        </w:rPr>
      </w:pPr>
      <w:r w:rsidRPr="00C9680B">
        <w:rPr>
          <w:i/>
        </w:rPr>
        <w:t>Mervärdesskatt på resor (avsnitt 3.7.1)</w:t>
      </w:r>
    </w:p>
    <w:p w:rsidR="001C7BF9" w:rsidRPr="00C9680B" w:rsidRDefault="001C7BF9">
      <w:pPr>
        <w:pStyle w:val="Frslagstext"/>
      </w:pPr>
      <w:r w:rsidRPr="00C9680B">
        <w:t xml:space="preserve">Riksdagen godkänner vad utskottet anfört om mervärdesskatt på resor, Därmed bifaller riksdagen proposition 2000/01:1 punkt 40 i denna del. </w:t>
      </w:r>
    </w:p>
    <w:p w:rsidR="001C7BF9" w:rsidRPr="00C9680B" w:rsidRDefault="001C7BF9">
      <w:pPr>
        <w:pStyle w:val="Frslagstext"/>
      </w:pPr>
    </w:p>
    <w:p w:rsidR="001C7BF9" w:rsidRPr="00C9680B" w:rsidRDefault="001C7BF9">
      <w:pPr>
        <w:pStyle w:val="Frslagstext"/>
        <w:numPr>
          <w:ilvl w:val="0"/>
          <w:numId w:val="25"/>
        </w:numPr>
        <w:rPr>
          <w:i/>
        </w:rPr>
      </w:pPr>
      <w:r w:rsidRPr="00C9680B">
        <w:rPr>
          <w:i/>
        </w:rPr>
        <w:t xml:space="preserve">Skatt på alkohol och tobak (avsnitt 3.7.3) </w:t>
      </w:r>
    </w:p>
    <w:p w:rsidR="001C7BF9" w:rsidRPr="00C9680B" w:rsidRDefault="001C7BF9">
      <w:pPr>
        <w:pStyle w:val="Frslagstext"/>
      </w:pPr>
      <w:r w:rsidRPr="00C9680B">
        <w:t xml:space="preserve">Riksdagen godkänner vad utskottet anfört om en höjning av gränsen för privat införsel av vin, starkvin och starköl den 1 januari 2001. Därmed bifaller riksdagen proposition 2000/01:1 punkterna 37 och 38, båda i denna del. </w:t>
      </w:r>
    </w:p>
    <w:p w:rsidR="001C7BF9" w:rsidRPr="00C9680B" w:rsidRDefault="001C7BF9">
      <w:pPr>
        <w:pStyle w:val="Frslagstext"/>
      </w:pPr>
    </w:p>
    <w:p w:rsidR="001C7BF9" w:rsidRPr="00C9680B" w:rsidRDefault="001C7BF9">
      <w:pPr>
        <w:pStyle w:val="Frslagstext"/>
        <w:numPr>
          <w:ilvl w:val="0"/>
          <w:numId w:val="25"/>
        </w:numPr>
        <w:rPr>
          <w:i/>
        </w:rPr>
      </w:pPr>
      <w:r w:rsidRPr="00C9680B">
        <w:rPr>
          <w:i/>
        </w:rPr>
        <w:t>Förskjutning av skatteuttaget från energiskatt till koldioxidskatt (a</w:t>
      </w:r>
      <w:r w:rsidRPr="00C9680B">
        <w:rPr>
          <w:i/>
        </w:rPr>
        <w:t>v</w:t>
      </w:r>
      <w:r w:rsidRPr="00C9680B">
        <w:rPr>
          <w:i/>
        </w:rPr>
        <w:t>snitt 3.7.4)</w:t>
      </w:r>
    </w:p>
    <w:p w:rsidR="001C7BF9" w:rsidRPr="00C9680B" w:rsidRDefault="001C7BF9">
      <w:pPr>
        <w:pStyle w:val="Frslagstext"/>
      </w:pPr>
      <w:r w:rsidRPr="00C9680B">
        <w:t>Riksdagen godkänner vad utskottet anfört om en förskjutning av ska</w:t>
      </w:r>
      <w:r w:rsidRPr="00C9680B">
        <w:t>t</w:t>
      </w:r>
      <w:r w:rsidRPr="00C9680B">
        <w:t>teuttaget från energiskatt till koldioxidskatt. Därmed bifaller riksdagen pro</w:t>
      </w:r>
      <w:r w:rsidRPr="00C9680B">
        <w:softHyphen/>
        <w:t>po</w:t>
      </w:r>
      <w:r w:rsidRPr="00C9680B">
        <w:softHyphen/>
        <w:t xml:space="preserve">sition 2000/01:1 punkt 34 i denna del. </w:t>
      </w:r>
    </w:p>
    <w:p w:rsidR="001C7BF9" w:rsidRPr="00C9680B" w:rsidRDefault="001C7BF9">
      <w:pPr>
        <w:pStyle w:val="Frslagstext"/>
      </w:pPr>
    </w:p>
    <w:p w:rsidR="001C7BF9" w:rsidRPr="00C9680B" w:rsidRDefault="001C7BF9">
      <w:pPr>
        <w:pStyle w:val="Frslagstext"/>
        <w:numPr>
          <w:ilvl w:val="0"/>
          <w:numId w:val="25"/>
        </w:numPr>
        <w:rPr>
          <w:i/>
        </w:rPr>
      </w:pPr>
      <w:r w:rsidRPr="00C9680B">
        <w:rPr>
          <w:i/>
        </w:rPr>
        <w:t xml:space="preserve">Höjd koldioxidskatt (avsnitt 3.7.5) </w:t>
      </w:r>
    </w:p>
    <w:p w:rsidR="001C7BF9" w:rsidRPr="00C9680B" w:rsidRDefault="001C7BF9">
      <w:pPr>
        <w:pStyle w:val="Frslagstext"/>
      </w:pPr>
      <w:r w:rsidRPr="00C9680B">
        <w:t>Riksdagen godkänner vad utskottet anfört om en höjning av ko</w:t>
      </w:r>
      <w:r w:rsidRPr="00C9680B">
        <w:t>l</w:t>
      </w:r>
      <w:r w:rsidRPr="00C9680B">
        <w:t>dioxid</w:t>
      </w:r>
      <w:r w:rsidRPr="00C9680B">
        <w:softHyphen/>
        <w:t>skatten med viss ändring såvitt avser naturgas, metan och gasol som a</w:t>
      </w:r>
      <w:r w:rsidRPr="00C9680B">
        <w:t>n</w:t>
      </w:r>
      <w:r w:rsidRPr="00C9680B">
        <w:t>vänds som drivmedel. Därmed bifaller riksdagen delvis proposition 2000/01:1 punkt 34 i de</w:t>
      </w:r>
      <w:r w:rsidRPr="00C9680B">
        <w:t>n</w:t>
      </w:r>
      <w:r w:rsidRPr="00C9680B">
        <w:t xml:space="preserve">na del. </w:t>
      </w:r>
    </w:p>
    <w:p w:rsidR="001C7BF9" w:rsidRPr="00C9680B" w:rsidRDefault="001C7BF9">
      <w:pPr>
        <w:pStyle w:val="Frslagstext"/>
      </w:pPr>
    </w:p>
    <w:p w:rsidR="001C7BF9" w:rsidRPr="00C9680B" w:rsidRDefault="001C7BF9">
      <w:pPr>
        <w:pStyle w:val="Frslagstext"/>
        <w:numPr>
          <w:ilvl w:val="0"/>
          <w:numId w:val="25"/>
        </w:numPr>
        <w:rPr>
          <w:i/>
        </w:rPr>
      </w:pPr>
      <w:r w:rsidRPr="00C9680B">
        <w:rPr>
          <w:i/>
        </w:rPr>
        <w:t xml:space="preserve">Höjd energiskatt på el (avsnitt 3.7.6) </w:t>
      </w:r>
    </w:p>
    <w:p w:rsidR="001C7BF9" w:rsidRPr="00C9680B" w:rsidRDefault="001C7BF9">
      <w:pPr>
        <w:pStyle w:val="Frslagstext"/>
      </w:pPr>
      <w:r w:rsidRPr="00C9680B">
        <w:t xml:space="preserve">Riksdagen godkänner vad utskottet anfört om höjd energiskatt på el. Därmed bifaller riksdagen proposition 2000/01:1 punkt 34 i denna del. </w:t>
      </w:r>
    </w:p>
    <w:p w:rsidR="001C7BF9" w:rsidRPr="00C9680B" w:rsidRDefault="001C7BF9">
      <w:pPr>
        <w:pStyle w:val="Frslagstext"/>
      </w:pPr>
    </w:p>
    <w:p w:rsidR="001C7BF9" w:rsidRPr="00C9680B" w:rsidRDefault="001C7BF9">
      <w:pPr>
        <w:pStyle w:val="Frslagstext"/>
        <w:numPr>
          <w:ilvl w:val="0"/>
          <w:numId w:val="25"/>
        </w:numPr>
        <w:rPr>
          <w:i/>
        </w:rPr>
      </w:pPr>
      <w:r w:rsidRPr="00C9680B">
        <w:rPr>
          <w:i/>
        </w:rPr>
        <w:t xml:space="preserve">Beskattning av drivmedel (avsnitt 3.7.8) </w:t>
      </w:r>
    </w:p>
    <w:p w:rsidR="001C7BF9" w:rsidRPr="00C9680B" w:rsidRDefault="001C7BF9">
      <w:pPr>
        <w:pStyle w:val="Frslagstext"/>
      </w:pPr>
      <w:r w:rsidRPr="00C9680B">
        <w:t xml:space="preserve">Riksdagen godkänner vad utskottet anfört om en höjning av energiskatten på dieselolja. Därmed bifaller riksdagen proposition 2000/01:1 punkt 34 i denna del. </w:t>
      </w:r>
    </w:p>
    <w:p w:rsidR="001C7BF9" w:rsidRPr="00C9680B" w:rsidRDefault="001C7BF9">
      <w:pPr>
        <w:pStyle w:val="Frslagstext"/>
      </w:pPr>
    </w:p>
    <w:p w:rsidR="001C7BF9" w:rsidRPr="00C9680B" w:rsidRDefault="001C7BF9">
      <w:pPr>
        <w:pStyle w:val="Frslagstext"/>
        <w:numPr>
          <w:ilvl w:val="0"/>
          <w:numId w:val="25"/>
        </w:numPr>
        <w:rPr>
          <w:i/>
        </w:rPr>
      </w:pPr>
      <w:r w:rsidRPr="00C9680B">
        <w:rPr>
          <w:i/>
        </w:rPr>
        <w:t>Indexering av energi- och koldioxidskatt (avsnitt 3.7.9)</w:t>
      </w:r>
    </w:p>
    <w:p w:rsidR="001C7BF9" w:rsidRPr="00C9680B" w:rsidRDefault="001C7BF9">
      <w:pPr>
        <w:pStyle w:val="Frslagstext"/>
      </w:pPr>
      <w:r w:rsidRPr="00C9680B">
        <w:t>Riksdagen godkänner vad utskottet anfört om ändring av basmånaden för indexering av energi- och koldioxidskatt. Därmed bifaller riksdagen pr</w:t>
      </w:r>
      <w:r w:rsidRPr="00C9680B">
        <w:t>o</w:t>
      </w:r>
      <w:r w:rsidRPr="00C9680B">
        <w:t>pos</w:t>
      </w:r>
      <w:r w:rsidRPr="00C9680B">
        <w:t>i</w:t>
      </w:r>
      <w:r w:rsidRPr="00C9680B">
        <w:t xml:space="preserve">tion 2000/01:1 punkt 34 i denna del. </w:t>
      </w:r>
    </w:p>
    <w:p w:rsidR="001C7BF9" w:rsidRPr="00C9680B" w:rsidRDefault="001C7BF9">
      <w:pPr>
        <w:pStyle w:val="Frslagstext"/>
      </w:pPr>
    </w:p>
    <w:p w:rsidR="001C7BF9" w:rsidRPr="00C9680B" w:rsidRDefault="001C7BF9">
      <w:pPr>
        <w:pStyle w:val="Frslagstext"/>
        <w:numPr>
          <w:ilvl w:val="0"/>
          <w:numId w:val="25"/>
        </w:numPr>
        <w:rPr>
          <w:i/>
        </w:rPr>
      </w:pPr>
      <w:r w:rsidRPr="00C9680B">
        <w:rPr>
          <w:i/>
        </w:rPr>
        <w:t>Kalk- och cementindustrin (avsnitt 3.7.10)</w:t>
      </w:r>
    </w:p>
    <w:p w:rsidR="001C7BF9" w:rsidRPr="00C9680B" w:rsidRDefault="001C7BF9">
      <w:pPr>
        <w:pStyle w:val="Frslagstext"/>
      </w:pPr>
      <w:r w:rsidRPr="00C9680B">
        <w:t>Riksdagen godkänner vad utskottet anfört om en tvåårig förlängning av kalk- och cementbranschernas begränsningsregel. Därmed bifaller rik</w:t>
      </w:r>
      <w:r w:rsidRPr="00C9680B">
        <w:t>s</w:t>
      </w:r>
      <w:r w:rsidRPr="00C9680B">
        <w:t xml:space="preserve">dagen proposition 2000/01:1 punkt 34 i denna del. </w:t>
      </w:r>
    </w:p>
    <w:p w:rsidR="001C7BF9" w:rsidRPr="00C9680B" w:rsidRDefault="001C7BF9">
      <w:pPr>
        <w:pStyle w:val="Frslagstext"/>
      </w:pPr>
    </w:p>
    <w:p w:rsidR="001C7BF9" w:rsidRPr="00C9680B" w:rsidRDefault="001C7BF9">
      <w:pPr>
        <w:pStyle w:val="Frslagstext"/>
        <w:numPr>
          <w:ilvl w:val="0"/>
          <w:numId w:val="25"/>
        </w:numPr>
        <w:rPr>
          <w:i/>
        </w:rPr>
      </w:pPr>
      <w:r w:rsidRPr="00C9680B">
        <w:rPr>
          <w:i/>
        </w:rPr>
        <w:t xml:space="preserve">Fordonsskatt och försäljningsskatt (avsnitt 3.7.13) </w:t>
      </w:r>
    </w:p>
    <w:p w:rsidR="001C7BF9" w:rsidRPr="00C9680B" w:rsidRDefault="001C7BF9">
      <w:pPr>
        <w:pStyle w:val="Frslagstext"/>
      </w:pPr>
      <w:r w:rsidRPr="00C9680B">
        <w:t>Riksdagen godkänner vad utskottet anfört om fordonsskatten och försäl</w:t>
      </w:r>
      <w:r w:rsidRPr="00C9680B">
        <w:t>j</w:t>
      </w:r>
      <w:r w:rsidRPr="00C9680B">
        <w:t xml:space="preserve">ningsskatten. Därmed bifaller riksdagen proposition 2000/01:1 punkterna 35 och 36, båda i denna del. </w:t>
      </w:r>
    </w:p>
    <w:p w:rsidR="001C7BF9" w:rsidRPr="00C9680B" w:rsidRDefault="001C7BF9">
      <w:pPr>
        <w:pStyle w:val="Frslagstext"/>
      </w:pPr>
    </w:p>
    <w:p w:rsidR="001C7BF9" w:rsidRPr="00C9680B" w:rsidRDefault="001C7BF9">
      <w:pPr>
        <w:pStyle w:val="Frslagstext"/>
        <w:numPr>
          <w:ilvl w:val="0"/>
          <w:numId w:val="25"/>
        </w:numPr>
        <w:rPr>
          <w:i/>
        </w:rPr>
      </w:pPr>
      <w:r w:rsidRPr="00C9680B">
        <w:rPr>
          <w:i/>
        </w:rPr>
        <w:t>Beräkningen av statsbudgetens inkomster för budgetåret 2001 (a</w:t>
      </w:r>
      <w:r w:rsidRPr="00C9680B">
        <w:rPr>
          <w:i/>
        </w:rPr>
        <w:t>v</w:t>
      </w:r>
      <w:r w:rsidRPr="00C9680B">
        <w:rPr>
          <w:i/>
        </w:rPr>
        <w:t xml:space="preserve">snitt 3.10) </w:t>
      </w:r>
    </w:p>
    <w:p w:rsidR="001C7BF9" w:rsidRPr="00C9680B" w:rsidRDefault="001C7BF9">
      <w:pPr>
        <w:pStyle w:val="Frslagstext"/>
      </w:pPr>
      <w:r w:rsidRPr="00C9680B">
        <w:t>Riksdagen godkänner beräkningen av statsbudgetens inkomster för bu</w:t>
      </w:r>
      <w:r w:rsidRPr="00C9680B">
        <w:t>d</w:t>
      </w:r>
      <w:r w:rsidRPr="00C9680B">
        <w:t>getåret 2001 enligt utskottets förslag i efterföljande</w:t>
      </w:r>
      <w:r w:rsidRPr="00C9680B">
        <w:rPr>
          <w:i/>
        </w:rPr>
        <w:t xml:space="preserve"> sammanställning över statsbudgetens utgifter och inkomster</w:t>
      </w:r>
      <w:r w:rsidRPr="00C9680B">
        <w:t>.</w:t>
      </w:r>
      <w:r w:rsidRPr="00C9680B">
        <w:rPr>
          <w:i/>
        </w:rPr>
        <w:t xml:space="preserve"> </w:t>
      </w:r>
      <w:r w:rsidRPr="00C9680B">
        <w:t>Därmed bifaller riksdagen propos</w:t>
      </w:r>
      <w:r w:rsidRPr="00C9680B">
        <w:t>i</w:t>
      </w:r>
      <w:r w:rsidRPr="00C9680B">
        <w:t xml:space="preserve">tion 2000/01:1 punkt 7. </w:t>
      </w:r>
    </w:p>
    <w:p w:rsidR="001C7BF9" w:rsidRPr="00C9680B" w:rsidRDefault="001C7BF9">
      <w:pPr>
        <w:pStyle w:val="Frslagstext"/>
      </w:pPr>
      <w:r w:rsidRPr="00C9680B">
        <w:br w:type="page"/>
      </w:r>
    </w:p>
    <w:p w:rsidR="001C7BF9" w:rsidRPr="00C9680B" w:rsidRDefault="001C7BF9">
      <w:pPr>
        <w:pStyle w:val="Frslagstext"/>
        <w:numPr>
          <w:ilvl w:val="0"/>
          <w:numId w:val="25"/>
        </w:numPr>
        <w:rPr>
          <w:i/>
        </w:rPr>
      </w:pPr>
      <w:r w:rsidRPr="00C9680B">
        <w:rPr>
          <w:i/>
        </w:rPr>
        <w:t>Motionsyrkanden om budgetförslagen för år 2001</w:t>
      </w:r>
    </w:p>
    <w:p w:rsidR="001C7BF9" w:rsidRPr="00C9680B" w:rsidRDefault="001C7BF9">
      <w:pPr>
        <w:pStyle w:val="Frslagstext"/>
      </w:pPr>
      <w:r w:rsidRPr="00C9680B">
        <w:t xml:space="preserve">Riksdagen avslår de motionsyrkanden som finns upptagna i efterföljande  </w:t>
      </w:r>
      <w:r w:rsidRPr="00C9680B">
        <w:rPr>
          <w:i/>
        </w:rPr>
        <w:t xml:space="preserve"> förteckning över av utskottet i punkt 5 avstyrkta motio</w:t>
      </w:r>
      <w:r w:rsidRPr="00C9680B">
        <w:rPr>
          <w:i/>
        </w:rPr>
        <w:t>n</w:t>
      </w:r>
      <w:r w:rsidRPr="00C9680B">
        <w:rPr>
          <w:i/>
        </w:rPr>
        <w:t>syrkanden</w:t>
      </w:r>
      <w:r w:rsidRPr="00C9680B">
        <w:t xml:space="preserve">.  </w:t>
      </w:r>
    </w:p>
    <w:p w:rsidR="001C7BF9" w:rsidRPr="00C9680B" w:rsidRDefault="001C7BF9">
      <w:pPr>
        <w:pStyle w:val="Reservationshnvisning"/>
      </w:pPr>
      <w:bookmarkStart w:id="28" w:name="RESPARTI005"/>
      <w:bookmarkEnd w:id="28"/>
      <w:r w:rsidRPr="00C9680B">
        <w:t>Reservation 12 (m)</w:t>
      </w:r>
    </w:p>
    <w:p w:rsidR="001C7BF9" w:rsidRPr="00C9680B" w:rsidRDefault="001C7BF9">
      <w:pPr>
        <w:pStyle w:val="Reservationshnvisning"/>
      </w:pPr>
      <w:r w:rsidRPr="00C9680B">
        <w:t>Reservation 13 (kd)</w:t>
      </w:r>
    </w:p>
    <w:p w:rsidR="001C7BF9" w:rsidRPr="00C9680B" w:rsidRDefault="001C7BF9">
      <w:pPr>
        <w:pStyle w:val="Reservationshnvisning"/>
      </w:pPr>
      <w:r w:rsidRPr="00C9680B">
        <w:t>Reservation 14 (c)</w:t>
      </w:r>
    </w:p>
    <w:p w:rsidR="001C7BF9" w:rsidRPr="00C9680B" w:rsidRDefault="001C7BF9">
      <w:pPr>
        <w:pStyle w:val="Reservationshnvisning"/>
      </w:pPr>
      <w:r w:rsidRPr="00C9680B">
        <w:t>Reservation 15 (fp)</w:t>
      </w:r>
    </w:p>
    <w:p w:rsidR="001C7BF9" w:rsidRPr="00C9680B" w:rsidRDefault="001C7BF9">
      <w:pPr>
        <w:pStyle w:val="Frslagspunkt"/>
        <w:spacing w:before="0"/>
        <w:outlineLvl w:val="0"/>
        <w:rPr>
          <w:noProof w:val="0"/>
        </w:rPr>
      </w:pPr>
      <w:r w:rsidRPr="00C9680B">
        <w:rPr>
          <w:noProof w:val="0"/>
        </w:rPr>
        <w:t>6.</w:t>
      </w:r>
      <w:r w:rsidRPr="00C9680B">
        <w:rPr>
          <w:noProof w:val="0"/>
        </w:rPr>
        <w:tab/>
        <w:t xml:space="preserve">Lagförslagen </w:t>
      </w:r>
    </w:p>
    <w:p w:rsidR="001C7BF9" w:rsidRPr="00C9680B" w:rsidRDefault="001C7BF9">
      <w:pPr>
        <w:pStyle w:val="Frslagstext"/>
      </w:pPr>
      <w:r w:rsidRPr="00C9680B">
        <w:t>I enlighet med ovan redovisade ställningstaganden (punkt 5) antar rik</w:t>
      </w:r>
      <w:r w:rsidRPr="00C9680B">
        <w:t>s</w:t>
      </w:r>
      <w:r w:rsidRPr="00C9680B">
        <w:t>dagen regeringens fö</w:t>
      </w:r>
      <w:r w:rsidRPr="00C9680B">
        <w:t>r</w:t>
      </w:r>
      <w:r w:rsidRPr="00C9680B">
        <w:t xml:space="preserve">slag till </w:t>
      </w:r>
    </w:p>
    <w:p w:rsidR="001C7BF9" w:rsidRPr="00C9680B" w:rsidRDefault="001C7BF9">
      <w:pPr>
        <w:pStyle w:val="Frslagstext"/>
        <w:numPr>
          <w:ilvl w:val="0"/>
          <w:numId w:val="27"/>
        </w:numPr>
        <w:rPr>
          <w:i/>
        </w:rPr>
      </w:pPr>
      <w:r w:rsidRPr="00C9680B">
        <w:t>lag om ändring i lagen (1984:1052) om statlig fastighetsskatt med den ändringen att ikraftträdande- och övergångsbestämmelserna får den l</w:t>
      </w:r>
      <w:r w:rsidRPr="00C9680B">
        <w:t>y</w:t>
      </w:r>
      <w:r w:rsidRPr="00C9680B">
        <w:t xml:space="preserve">delse som utskottet föreslår i </w:t>
      </w:r>
      <w:r w:rsidRPr="00C9680B">
        <w:rPr>
          <w:i/>
        </w:rPr>
        <w:t xml:space="preserve">bilaga 3, </w:t>
      </w:r>
    </w:p>
    <w:p w:rsidR="001C7BF9" w:rsidRPr="00C9680B" w:rsidRDefault="001C7BF9">
      <w:pPr>
        <w:pStyle w:val="Frslagstext"/>
        <w:numPr>
          <w:ilvl w:val="0"/>
          <w:numId w:val="27"/>
        </w:numPr>
      </w:pPr>
      <w:r w:rsidRPr="00C9680B">
        <w:t>lag om ändring i inkomstskattelagen (1999:1229) med den ändrin</w:t>
      </w:r>
      <w:r w:rsidRPr="00C9680B">
        <w:t>g</w:t>
      </w:r>
      <w:r w:rsidRPr="00C9680B">
        <w:t xml:space="preserve">en att 63 kap. 2 § får den lydelse som utskottet föreslår i </w:t>
      </w:r>
      <w:r w:rsidRPr="00C9680B">
        <w:rPr>
          <w:i/>
        </w:rPr>
        <w:t>b</w:t>
      </w:r>
      <w:r w:rsidRPr="00C9680B">
        <w:rPr>
          <w:i/>
        </w:rPr>
        <w:t>i</w:t>
      </w:r>
      <w:r w:rsidRPr="00C9680B">
        <w:rPr>
          <w:i/>
        </w:rPr>
        <w:t xml:space="preserve">laga 3, </w:t>
      </w:r>
    </w:p>
    <w:p w:rsidR="001C7BF9" w:rsidRPr="00C9680B" w:rsidRDefault="001C7BF9">
      <w:pPr>
        <w:pStyle w:val="Frslagstext"/>
        <w:numPr>
          <w:ilvl w:val="0"/>
          <w:numId w:val="27"/>
        </w:numPr>
      </w:pPr>
      <w:r w:rsidRPr="00C9680B">
        <w:t xml:space="preserve">lag om ändring i skattebetalningslagen (1997:483) enligt lydelse i </w:t>
      </w:r>
      <w:r w:rsidRPr="00C9680B">
        <w:rPr>
          <w:i/>
        </w:rPr>
        <w:t xml:space="preserve">bilaga 2, </w:t>
      </w:r>
    </w:p>
    <w:p w:rsidR="001C7BF9" w:rsidRPr="00C9680B" w:rsidRDefault="001C7BF9">
      <w:pPr>
        <w:pStyle w:val="Frslagstext"/>
        <w:numPr>
          <w:ilvl w:val="0"/>
          <w:numId w:val="27"/>
        </w:numPr>
      </w:pPr>
      <w:r w:rsidRPr="00C9680B">
        <w:t xml:space="preserve">lag om ändring i lagen (1994:1920) om allmän löneavgift, </w:t>
      </w:r>
    </w:p>
    <w:p w:rsidR="001C7BF9" w:rsidRPr="00C9680B" w:rsidRDefault="001C7BF9">
      <w:pPr>
        <w:pStyle w:val="Frslagstext"/>
        <w:numPr>
          <w:ilvl w:val="0"/>
          <w:numId w:val="27"/>
        </w:numPr>
      </w:pPr>
      <w:r w:rsidRPr="00C9680B">
        <w:t xml:space="preserve">lag om skattereduktion på förvärvsinkomster vid 2002 års taxering med den ändringen att 4 § får den lydelse som utskottet föreslår i </w:t>
      </w:r>
      <w:r w:rsidRPr="00C9680B">
        <w:rPr>
          <w:i/>
        </w:rPr>
        <w:t>bilaga 3</w:t>
      </w:r>
      <w:r w:rsidRPr="00C9680B">
        <w:t xml:space="preserve">,  </w:t>
      </w:r>
    </w:p>
    <w:p w:rsidR="001C7BF9" w:rsidRPr="00C9680B" w:rsidRDefault="001C7BF9">
      <w:pPr>
        <w:pStyle w:val="Frslagstext"/>
        <w:numPr>
          <w:ilvl w:val="0"/>
          <w:numId w:val="27"/>
        </w:numPr>
      </w:pPr>
      <w:r w:rsidRPr="00C9680B">
        <w:t xml:space="preserve">lag om ändring i lagen (1994:1744) om allmän pensionsavgift, </w:t>
      </w:r>
    </w:p>
    <w:p w:rsidR="001C7BF9" w:rsidRPr="00C9680B" w:rsidRDefault="001C7BF9">
      <w:pPr>
        <w:pStyle w:val="Frslagstext"/>
        <w:numPr>
          <w:ilvl w:val="0"/>
          <w:numId w:val="27"/>
        </w:numPr>
      </w:pPr>
      <w:r w:rsidRPr="00C9680B">
        <w:t>lag om ändring i lagen(1999:802) om ändring i lagen (1998:674) om i</w:t>
      </w:r>
      <w:r w:rsidRPr="00C9680B">
        <w:t>n</w:t>
      </w:r>
      <w:r w:rsidRPr="00C9680B">
        <w:t xml:space="preserve">komstgrundad ålderspension, </w:t>
      </w:r>
    </w:p>
    <w:p w:rsidR="001C7BF9" w:rsidRPr="00C9680B" w:rsidRDefault="001C7BF9">
      <w:pPr>
        <w:pStyle w:val="Frslagstext"/>
        <w:numPr>
          <w:ilvl w:val="0"/>
          <w:numId w:val="27"/>
        </w:numPr>
      </w:pPr>
      <w:r w:rsidRPr="00C9680B">
        <w:t>lag om ändring i lagen (1998:676) om statlig ålderspe</w:t>
      </w:r>
      <w:r w:rsidRPr="00C9680B">
        <w:t>n</w:t>
      </w:r>
      <w:r w:rsidRPr="00C9680B">
        <w:t xml:space="preserve">sionsavgift, </w:t>
      </w:r>
    </w:p>
    <w:p w:rsidR="001C7BF9" w:rsidRPr="00C9680B" w:rsidRDefault="001C7BF9">
      <w:pPr>
        <w:pStyle w:val="Frslagstext"/>
        <w:numPr>
          <w:ilvl w:val="0"/>
          <w:numId w:val="27"/>
        </w:numPr>
      </w:pPr>
      <w:r w:rsidRPr="00C9680B">
        <w:t>lag om ändring i lagen (1999:265) om särskilt grundavdrag och deklarationsskyldighet för fysiska personer i vissa fall vid 2000–2003 års taxerin</w:t>
      </w:r>
      <w:r w:rsidRPr="00C9680B">
        <w:t>g</w:t>
      </w:r>
      <w:r w:rsidRPr="00C9680B">
        <w:t xml:space="preserve">ar, </w:t>
      </w:r>
    </w:p>
    <w:p w:rsidR="001C7BF9" w:rsidRPr="00C9680B" w:rsidRDefault="001C7BF9">
      <w:pPr>
        <w:pStyle w:val="Frslagstext"/>
        <w:numPr>
          <w:ilvl w:val="0"/>
          <w:numId w:val="27"/>
        </w:numPr>
      </w:pPr>
      <w:r w:rsidRPr="00C9680B">
        <w:t>lag om ändring i lagen (1997:323) om statlig förmögenhet</w:t>
      </w:r>
      <w:r w:rsidRPr="00C9680B">
        <w:t>s</w:t>
      </w:r>
      <w:r w:rsidRPr="00C9680B">
        <w:t xml:space="preserve">skatt, </w:t>
      </w:r>
    </w:p>
    <w:p w:rsidR="001C7BF9" w:rsidRPr="00C9680B" w:rsidRDefault="001C7BF9">
      <w:pPr>
        <w:pStyle w:val="Frslagstext"/>
        <w:numPr>
          <w:ilvl w:val="0"/>
          <w:numId w:val="27"/>
        </w:numPr>
      </w:pPr>
      <w:r w:rsidRPr="00C9680B">
        <w:t>lag om underlag för förmögenhetsskatt i vissa fall vid 2001 års tax</w:t>
      </w:r>
      <w:r w:rsidRPr="00C9680B">
        <w:t>e</w:t>
      </w:r>
      <w:r w:rsidRPr="00C9680B">
        <w:t>ring med den ändringen att lagen för den lydelse som utskottet för</w:t>
      </w:r>
      <w:r w:rsidRPr="00C9680B">
        <w:t>e</w:t>
      </w:r>
      <w:r w:rsidRPr="00C9680B">
        <w:t xml:space="preserve">slår i </w:t>
      </w:r>
      <w:r w:rsidRPr="00C9680B">
        <w:rPr>
          <w:i/>
        </w:rPr>
        <w:t>b</w:t>
      </w:r>
      <w:r w:rsidRPr="00C9680B">
        <w:rPr>
          <w:i/>
        </w:rPr>
        <w:t>i</w:t>
      </w:r>
      <w:r w:rsidRPr="00C9680B">
        <w:rPr>
          <w:i/>
        </w:rPr>
        <w:t>laga 3</w:t>
      </w:r>
      <w:r w:rsidRPr="00C9680B">
        <w:t xml:space="preserve">, </w:t>
      </w:r>
    </w:p>
    <w:p w:rsidR="001C7BF9" w:rsidRPr="00C9680B" w:rsidRDefault="001C7BF9">
      <w:pPr>
        <w:pStyle w:val="Frslagstext"/>
        <w:numPr>
          <w:ilvl w:val="0"/>
          <w:numId w:val="27"/>
        </w:numPr>
      </w:pPr>
      <w:r w:rsidRPr="00C9680B">
        <w:t>lag om ändring i lagen (1994:1776) om skatt på energi med den än</w:t>
      </w:r>
      <w:r w:rsidRPr="00C9680B">
        <w:t>d</w:t>
      </w:r>
      <w:r w:rsidRPr="00C9680B">
        <w:t>ringen att 2 kap. 1 § får den lydelse som utskottet f</w:t>
      </w:r>
      <w:r w:rsidRPr="00C9680B">
        <w:t>ö</w:t>
      </w:r>
      <w:r w:rsidRPr="00C9680B">
        <w:t xml:space="preserve">reslår i </w:t>
      </w:r>
      <w:r w:rsidRPr="00C9680B">
        <w:rPr>
          <w:i/>
        </w:rPr>
        <w:t xml:space="preserve">bilaga 3, </w:t>
      </w:r>
    </w:p>
    <w:p w:rsidR="001C7BF9" w:rsidRPr="00C9680B" w:rsidRDefault="001C7BF9">
      <w:pPr>
        <w:pStyle w:val="Frslagstext"/>
        <w:numPr>
          <w:ilvl w:val="0"/>
          <w:numId w:val="27"/>
        </w:numPr>
      </w:pPr>
      <w:r w:rsidRPr="00C9680B">
        <w:t xml:space="preserve">lag om ändring i fordonsskattelagen (1988:327), </w:t>
      </w:r>
    </w:p>
    <w:p w:rsidR="001C7BF9" w:rsidRPr="00C9680B" w:rsidRDefault="001C7BF9">
      <w:pPr>
        <w:pStyle w:val="Frslagstext"/>
        <w:numPr>
          <w:ilvl w:val="0"/>
          <w:numId w:val="27"/>
        </w:numPr>
      </w:pPr>
      <w:r w:rsidRPr="00C9680B">
        <w:t>lag om upphävande av lagen (1978:69) om försäljningsskatt på m</w:t>
      </w:r>
      <w:r w:rsidRPr="00C9680B">
        <w:t>o</w:t>
      </w:r>
      <w:r w:rsidRPr="00C9680B">
        <w:t xml:space="preserve">torfordon med den ändringen att lagen får den lydelse som utskottet föreslår i </w:t>
      </w:r>
      <w:r w:rsidRPr="00C9680B">
        <w:rPr>
          <w:i/>
        </w:rPr>
        <w:t>b</w:t>
      </w:r>
      <w:r w:rsidRPr="00C9680B">
        <w:rPr>
          <w:i/>
        </w:rPr>
        <w:t>i</w:t>
      </w:r>
      <w:r w:rsidRPr="00C9680B">
        <w:rPr>
          <w:i/>
        </w:rPr>
        <w:t xml:space="preserve">laga 3, </w:t>
      </w:r>
    </w:p>
    <w:p w:rsidR="001C7BF9" w:rsidRPr="00C9680B" w:rsidRDefault="001C7BF9">
      <w:pPr>
        <w:pStyle w:val="Frslagstext"/>
        <w:numPr>
          <w:ilvl w:val="0"/>
          <w:numId w:val="27"/>
        </w:numPr>
      </w:pPr>
      <w:r w:rsidRPr="00C9680B">
        <w:t>lag om ändring i  lagen (1994:1565) om beskattning av viss privati</w:t>
      </w:r>
      <w:r w:rsidRPr="00C9680B">
        <w:t>n</w:t>
      </w:r>
      <w:r w:rsidRPr="00C9680B">
        <w:t>fö</w:t>
      </w:r>
      <w:r w:rsidRPr="00C9680B">
        <w:t>r</w:t>
      </w:r>
      <w:r w:rsidRPr="00C9680B">
        <w:t xml:space="preserve">sel, </w:t>
      </w:r>
    </w:p>
    <w:p w:rsidR="001C7BF9" w:rsidRPr="00C9680B" w:rsidRDefault="001C7BF9">
      <w:pPr>
        <w:pStyle w:val="Frslagstext"/>
        <w:numPr>
          <w:ilvl w:val="0"/>
          <w:numId w:val="27"/>
        </w:numPr>
      </w:pPr>
      <w:r w:rsidRPr="00C9680B">
        <w:t xml:space="preserve">lag om ändring i lagen (1994:1551) om frihet från skatt vid import, m.m., </w:t>
      </w:r>
    </w:p>
    <w:p w:rsidR="001C7BF9" w:rsidRPr="00C9680B" w:rsidRDefault="001C7BF9">
      <w:pPr>
        <w:pStyle w:val="Frslagstext"/>
        <w:numPr>
          <w:ilvl w:val="0"/>
          <w:numId w:val="27"/>
        </w:numPr>
      </w:pPr>
      <w:r w:rsidRPr="00C9680B">
        <w:t>lag om ändring i lagen (1996:1512) om dubbelbeskattningsavtal mellan de nordiska lä</w:t>
      </w:r>
      <w:r w:rsidRPr="00C9680B">
        <w:t>n</w:t>
      </w:r>
      <w:r w:rsidRPr="00C9680B">
        <w:t xml:space="preserve">derna.  </w:t>
      </w:r>
    </w:p>
    <w:p w:rsidR="001C7BF9" w:rsidRPr="00C9680B" w:rsidRDefault="001C7BF9">
      <w:pPr>
        <w:pStyle w:val="Frslagstext"/>
      </w:pPr>
      <w:r w:rsidRPr="00C9680B">
        <w:t xml:space="preserve">Därmed bifaller riksdagen proposition 2000/01:1 punkterna 25, 26, 28–32, 35 och 37–39, alla i denna del, samt bifaller delvis proposition 2000/01:1 punkterna 23, 24, 27, 33, 34 och 36, alla i denna del.       </w:t>
      </w:r>
      <w:bookmarkStart w:id="29" w:name="RESPARTI006"/>
      <w:bookmarkEnd w:id="29"/>
      <w:r w:rsidRPr="00C9680B">
        <w:t xml:space="preserve">   </w:t>
      </w:r>
    </w:p>
    <w:p w:rsidR="001C7BF9" w:rsidRPr="00C9680B" w:rsidRDefault="001C7BF9">
      <w:pPr>
        <w:pStyle w:val="Frslagspunkt"/>
        <w:outlineLvl w:val="0"/>
        <w:rPr>
          <w:noProof w:val="0"/>
        </w:rPr>
      </w:pPr>
      <w:r w:rsidRPr="00C9680B">
        <w:rPr>
          <w:noProof w:val="0"/>
        </w:rPr>
        <w:t>7.</w:t>
      </w:r>
      <w:r w:rsidRPr="00C9680B">
        <w:rPr>
          <w:noProof w:val="0"/>
        </w:rPr>
        <w:tab/>
        <w:t>Preliminär fördelning av utgifterna på utgiftsområden för åren 2002 och 2003</w:t>
      </w:r>
    </w:p>
    <w:p w:rsidR="001C7BF9" w:rsidRPr="00C9680B" w:rsidRDefault="001C7BF9">
      <w:pPr>
        <w:pStyle w:val="Frslagstext"/>
      </w:pPr>
      <w:r w:rsidRPr="00C9680B">
        <w:t>Riksdagen godkänner den preliminära fördelningen av utgifterna på u</w:t>
      </w:r>
      <w:r w:rsidRPr="00C9680B">
        <w:t>t</w:t>
      </w:r>
      <w:r w:rsidRPr="00C9680B">
        <w:t xml:space="preserve">giftsområden för budgetåren 2002 och 2003 som riktlinje för regeringens budgetarbete (avsnitt 4.2). Därmed bifaller riksdagen proposition 2000/01:1 punkt 10 och avslår motionerna 2000/01:Fi208 yrkande 6, 2000/01:Fi209 yrkande 7, 2000/01:Fi210 yrkande 5 och 2000/01:Fi211 yrkande 8.     </w:t>
      </w:r>
    </w:p>
    <w:p w:rsidR="001C7BF9" w:rsidRPr="00C9680B" w:rsidRDefault="001C7BF9">
      <w:pPr>
        <w:pStyle w:val="Reservationshnvisning"/>
      </w:pPr>
      <w:r w:rsidRPr="00C9680B">
        <w:t>Reservation 16 (m)</w:t>
      </w:r>
    </w:p>
    <w:p w:rsidR="001C7BF9" w:rsidRPr="00C9680B" w:rsidRDefault="001C7BF9">
      <w:pPr>
        <w:pStyle w:val="Reservationshnvisning"/>
      </w:pPr>
      <w:r w:rsidRPr="00C9680B">
        <w:t>Reservation 17 (kd)</w:t>
      </w:r>
    </w:p>
    <w:p w:rsidR="001C7BF9" w:rsidRPr="00C9680B" w:rsidRDefault="001C7BF9">
      <w:pPr>
        <w:pStyle w:val="Reservationshnvisning"/>
      </w:pPr>
      <w:r w:rsidRPr="00C9680B">
        <w:t>Reservation 18 (c)</w:t>
      </w:r>
    </w:p>
    <w:p w:rsidR="001C7BF9" w:rsidRPr="00C9680B" w:rsidRDefault="001C7BF9">
      <w:pPr>
        <w:pStyle w:val="Reservationshnvisning"/>
      </w:pPr>
      <w:r w:rsidRPr="00C9680B">
        <w:t xml:space="preserve">Reservation 19 (fp) </w:t>
      </w:r>
      <w:bookmarkStart w:id="30" w:name="RESPARTI007"/>
      <w:bookmarkEnd w:id="30"/>
    </w:p>
    <w:p w:rsidR="001C7BF9" w:rsidRPr="00C9680B" w:rsidRDefault="001C7BF9">
      <w:pPr>
        <w:pStyle w:val="Frslagspunkt"/>
        <w:outlineLvl w:val="0"/>
        <w:rPr>
          <w:noProof w:val="0"/>
        </w:rPr>
      </w:pPr>
      <w:r w:rsidRPr="00C9680B">
        <w:rPr>
          <w:noProof w:val="0"/>
        </w:rPr>
        <w:t>8.</w:t>
      </w:r>
      <w:r w:rsidRPr="00C9680B">
        <w:rPr>
          <w:noProof w:val="0"/>
        </w:rPr>
        <w:tab/>
        <w:t>Bemyndigande om upplåning</w:t>
      </w:r>
    </w:p>
    <w:p w:rsidR="001C7BF9" w:rsidRPr="00C9680B" w:rsidRDefault="001C7BF9">
      <w:pPr>
        <w:pStyle w:val="Frslagstext"/>
      </w:pPr>
      <w:r w:rsidRPr="00C9680B">
        <w:t>Riksdagen bemyndigar regeringen att under budgetåret 2001 ta upp lån enligt lagen (1988:1387) om statens upplåning och skuldförvaltning (a</w:t>
      </w:r>
      <w:r w:rsidRPr="00C9680B">
        <w:t>v</w:t>
      </w:r>
      <w:r w:rsidRPr="00C9680B">
        <w:t xml:space="preserve">snitt 4.3). Därmed bifaller riksdagen proposition 2000/01:1 punkt 5.       </w:t>
      </w:r>
      <w:bookmarkStart w:id="31" w:name="RESPARTI008"/>
      <w:bookmarkEnd w:id="31"/>
    </w:p>
    <w:p w:rsidR="001C7BF9" w:rsidRPr="00C9680B" w:rsidRDefault="001C7BF9">
      <w:pPr>
        <w:pStyle w:val="Frslagspunkt"/>
        <w:outlineLvl w:val="0"/>
        <w:rPr>
          <w:noProof w:val="0"/>
        </w:rPr>
      </w:pPr>
      <w:r w:rsidRPr="00C9680B">
        <w:rPr>
          <w:noProof w:val="0"/>
        </w:rPr>
        <w:t>9.</w:t>
      </w:r>
      <w:r w:rsidRPr="00C9680B">
        <w:rPr>
          <w:noProof w:val="0"/>
        </w:rPr>
        <w:tab/>
        <w:t>Utskottsinitiativ om ett eventuellt kapitaltillskott till OM Gruppen AB</w:t>
      </w:r>
    </w:p>
    <w:p w:rsidR="001C7BF9" w:rsidRPr="00C9680B" w:rsidRDefault="001C7BF9">
      <w:pPr>
        <w:pStyle w:val="Frslagstext"/>
      </w:pPr>
      <w:r w:rsidRPr="00C9680B">
        <w:t>Riksdagen beslutar att låneramen för investeringar i anläggningstillgån</w:t>
      </w:r>
      <w:r w:rsidRPr="00C9680B">
        <w:t>g</w:t>
      </w:r>
      <w:r w:rsidRPr="00C9680B">
        <w:t xml:space="preserve">ar för budgetåret 2001 utvidgas med 200 000 000 kr utöver regeringens förslag i budgetpropositionen för att staten skall kunna teckna aktier vid en eventuell nyemission motsvarande den nuvarande ägarandelen i OM Gruppen AB (avsnitt 4.4).   </w:t>
      </w:r>
    </w:p>
    <w:p w:rsidR="001C7BF9" w:rsidRPr="00C9680B" w:rsidRDefault="001C7BF9">
      <w:pPr>
        <w:pStyle w:val="Reservationshnvisning"/>
      </w:pPr>
      <w:r w:rsidRPr="00C9680B">
        <w:t xml:space="preserve"> </w:t>
      </w:r>
      <w:bookmarkStart w:id="32" w:name="RESPARTI009"/>
      <w:bookmarkEnd w:id="32"/>
      <w:r w:rsidRPr="00C9680B">
        <w:t>Reservation 20 (m, kd, c, fp)</w:t>
      </w:r>
    </w:p>
    <w:p w:rsidR="001C7BF9" w:rsidRPr="00C9680B" w:rsidRDefault="001C7BF9">
      <w:pPr>
        <w:pStyle w:val="Reservationshnvisning"/>
      </w:pPr>
    </w:p>
    <w:p w:rsidR="001C7BF9" w:rsidRPr="00C9680B" w:rsidRDefault="001C7BF9">
      <w:pPr>
        <w:pStyle w:val="Frslagspunkt"/>
        <w:spacing w:before="0"/>
        <w:outlineLvl w:val="0"/>
        <w:rPr>
          <w:noProof w:val="0"/>
        </w:rPr>
      </w:pPr>
      <w:r w:rsidRPr="00C9680B">
        <w:rPr>
          <w:noProof w:val="0"/>
        </w:rPr>
        <w:t>10.</w:t>
      </w:r>
      <w:r w:rsidRPr="00C9680B">
        <w:rPr>
          <w:noProof w:val="0"/>
        </w:rPr>
        <w:tab/>
        <w:t>Lån till myndigheternas investeringar i anläggningstillgångar för förvaltningsändamål</w:t>
      </w:r>
    </w:p>
    <w:p w:rsidR="001C7BF9" w:rsidRPr="00C9680B" w:rsidRDefault="001C7BF9">
      <w:pPr>
        <w:pStyle w:val="Frslagstext"/>
      </w:pPr>
      <w:r w:rsidRPr="00C9680B">
        <w:t>Riksdagen bemyndigar regeringen att för budgetåret 2001 besluta om lån i Riksgäldskontoret för investeringar i anläggningstillgångar som a</w:t>
      </w:r>
      <w:r w:rsidRPr="00C9680B">
        <w:t>n</w:t>
      </w:r>
      <w:r w:rsidRPr="00C9680B">
        <w:t>vänds i statens verksamhet intill ett belopp av 20 900 000 000 kr (avsnitt 4.5.1). Dä</w:t>
      </w:r>
      <w:r w:rsidRPr="00C9680B">
        <w:t>r</w:t>
      </w:r>
      <w:r w:rsidRPr="00C9680B">
        <w:t xml:space="preserve">med bifaller riksdagen delvis proposition 2000/01:1 punkt 11.       </w:t>
      </w:r>
    </w:p>
    <w:p w:rsidR="001C7BF9" w:rsidRPr="00C9680B" w:rsidRDefault="001C7BF9">
      <w:pPr>
        <w:pStyle w:val="Reservationshnvisning"/>
      </w:pPr>
      <w:r w:rsidRPr="00C9680B">
        <w:t xml:space="preserve">Reservation 21 (m, kd, c, fp) – villk. res. 20 </w:t>
      </w:r>
      <w:bookmarkStart w:id="33" w:name="RESPARTI010"/>
      <w:bookmarkEnd w:id="33"/>
    </w:p>
    <w:p w:rsidR="001C7BF9" w:rsidRPr="00C9680B" w:rsidRDefault="001C7BF9">
      <w:pPr>
        <w:pStyle w:val="Frslagspunkt"/>
        <w:outlineLvl w:val="0"/>
        <w:rPr>
          <w:noProof w:val="0"/>
        </w:rPr>
      </w:pPr>
      <w:r w:rsidRPr="00C9680B">
        <w:rPr>
          <w:noProof w:val="0"/>
        </w:rPr>
        <w:t>11.</w:t>
      </w:r>
      <w:r w:rsidRPr="00C9680B">
        <w:rPr>
          <w:noProof w:val="0"/>
        </w:rPr>
        <w:tab/>
        <w:t>Myndigheternas räntekontokrediter</w:t>
      </w:r>
    </w:p>
    <w:p w:rsidR="001C7BF9" w:rsidRPr="00C9680B" w:rsidRDefault="001C7BF9">
      <w:pPr>
        <w:pStyle w:val="Frslagstext"/>
      </w:pPr>
      <w:r w:rsidRPr="00C9680B">
        <w:t>Riksdagen bemyndigar regeringen att för budgetåret 2001 besluta om krediter för myndigheters räntekonton i Riksgäldskontoret intill ett b</w:t>
      </w:r>
      <w:r w:rsidRPr="00C9680B">
        <w:t>e</w:t>
      </w:r>
      <w:r w:rsidRPr="00C9680B">
        <w:t>lopp av 14 600 000 000 kr (avsnitt 4.5.2). Därmed bifaller riksdagen pr</w:t>
      </w:r>
      <w:r w:rsidRPr="00C9680B">
        <w:t>o</w:t>
      </w:r>
      <w:r w:rsidRPr="00C9680B">
        <w:t xml:space="preserve">position 2000/01:1 punkt 12.       </w:t>
      </w:r>
      <w:bookmarkStart w:id="34" w:name="RESPARTI011"/>
      <w:bookmarkEnd w:id="34"/>
    </w:p>
    <w:p w:rsidR="001C7BF9" w:rsidRPr="00C9680B" w:rsidRDefault="001C7BF9">
      <w:pPr>
        <w:pStyle w:val="Frslagspunkt"/>
        <w:outlineLvl w:val="0"/>
        <w:rPr>
          <w:noProof w:val="0"/>
        </w:rPr>
      </w:pPr>
      <w:r w:rsidRPr="00C9680B">
        <w:rPr>
          <w:noProof w:val="0"/>
        </w:rPr>
        <w:t>12.</w:t>
      </w:r>
      <w:r w:rsidRPr="00C9680B">
        <w:rPr>
          <w:noProof w:val="0"/>
        </w:rPr>
        <w:tab/>
        <w:t>Sjunde AP-fondstyrelsens lån och räntekontokredit i Riksgäldskontoret</w:t>
      </w:r>
    </w:p>
    <w:p w:rsidR="001C7BF9" w:rsidRPr="00C9680B" w:rsidRDefault="001C7BF9">
      <w:pPr>
        <w:pStyle w:val="Frslagstext"/>
      </w:pPr>
      <w:r w:rsidRPr="00C9680B">
        <w:t>Riksdagen bemyndigar regeringen att för budgetåret 2001 vad avser sjunde AP-fondstyrelsens verksamhet dels besluta om lån i Riksgäld</w:t>
      </w:r>
      <w:r w:rsidRPr="00C9680B">
        <w:t>s</w:t>
      </w:r>
      <w:r w:rsidRPr="00C9680B">
        <w:t>kontoret för investeringar i anläggningstillgångar som används i ver</w:t>
      </w:r>
      <w:r w:rsidRPr="00C9680B">
        <w:t>k</w:t>
      </w:r>
      <w:r w:rsidRPr="00C9680B">
        <w:t>samheten intill ett belopp av 22 000 000 kr, dels besluta om kredit på räntekonto i Riksgäldskontoret intill ett belopp av 90 000 000 kr (avsnitt 4.5.3). Därmed bifaller riksdagen pr</w:t>
      </w:r>
      <w:r w:rsidRPr="00C9680B">
        <w:t>o</w:t>
      </w:r>
      <w:r w:rsidRPr="00C9680B">
        <w:t xml:space="preserve">position 2000/01:1 punkt 13.        </w:t>
      </w:r>
      <w:bookmarkStart w:id="35" w:name="RESPARTI012"/>
      <w:bookmarkEnd w:id="35"/>
    </w:p>
    <w:p w:rsidR="001C7BF9" w:rsidRPr="00C9680B" w:rsidRDefault="001C7BF9">
      <w:pPr>
        <w:pStyle w:val="Frslagspunkt"/>
        <w:outlineLvl w:val="0"/>
        <w:rPr>
          <w:noProof w:val="0"/>
        </w:rPr>
      </w:pPr>
      <w:r w:rsidRPr="00C9680B">
        <w:rPr>
          <w:noProof w:val="0"/>
        </w:rPr>
        <w:t>13.</w:t>
      </w:r>
      <w:r w:rsidRPr="00C9680B">
        <w:rPr>
          <w:noProof w:val="0"/>
        </w:rPr>
        <w:tab/>
        <w:t>Bemyndigande för ramanslag</w:t>
      </w:r>
    </w:p>
    <w:p w:rsidR="001C7BF9" w:rsidRPr="00C9680B" w:rsidRDefault="001C7BF9">
      <w:pPr>
        <w:pStyle w:val="Frslagstext"/>
      </w:pPr>
      <w:r w:rsidRPr="00C9680B">
        <w:t>Riksdagen bemyndigar regeringen att under budgetåret 2001, med de b</w:t>
      </w:r>
      <w:r w:rsidRPr="00C9680B">
        <w:t>e</w:t>
      </w:r>
      <w:r w:rsidRPr="00C9680B">
        <w:t>gränsningar som följer av 6 § andra stycket lagen (1996:1059) om stat</w:t>
      </w:r>
      <w:r w:rsidRPr="00C9680B">
        <w:t>s</w:t>
      </w:r>
      <w:r w:rsidRPr="00C9680B">
        <w:t xml:space="preserve">budgeten, besluta att ett ramanslag, med undantag för anslag anvisade för förvaltningsändamål, får överskridas om ett riksdagsbeslut om anslag på tilläggsbudget inte hinner inväntas samt om överskridandet ryms inom utgiftstaket för staten (avsnitt 4.6). Därmed bifaller riksdagen proposition 2000/01:1 punkt 14.        </w:t>
      </w:r>
      <w:bookmarkStart w:id="36" w:name="RESPARTI013"/>
      <w:bookmarkEnd w:id="36"/>
    </w:p>
    <w:p w:rsidR="001C7BF9" w:rsidRPr="00C9680B" w:rsidRDefault="001C7BF9">
      <w:pPr>
        <w:pStyle w:val="R2"/>
        <w:outlineLvl w:val="0"/>
        <w:rPr>
          <w:sz w:val="24"/>
        </w:rPr>
      </w:pPr>
      <w:r w:rsidRPr="00C9680B">
        <w:rPr>
          <w:sz w:val="24"/>
        </w:rPr>
        <w:t>Ekonomisk styrning och statlig redovisning</w:t>
      </w:r>
    </w:p>
    <w:p w:rsidR="001C7BF9" w:rsidRPr="00C9680B" w:rsidRDefault="001C7BF9">
      <w:pPr>
        <w:pStyle w:val="Frslagspunkt"/>
        <w:spacing w:before="125"/>
        <w:outlineLvl w:val="0"/>
        <w:rPr>
          <w:noProof w:val="0"/>
        </w:rPr>
      </w:pPr>
      <w:r w:rsidRPr="00C9680B">
        <w:rPr>
          <w:noProof w:val="0"/>
        </w:rPr>
        <w:t>14.</w:t>
      </w:r>
      <w:r w:rsidRPr="00C9680B">
        <w:rPr>
          <w:noProof w:val="0"/>
        </w:rPr>
        <w:tab/>
        <w:t>Årsredovisning för staten 1999</w:t>
      </w:r>
    </w:p>
    <w:p w:rsidR="001C7BF9" w:rsidRPr="00C9680B" w:rsidRDefault="001C7BF9">
      <w:pPr>
        <w:pStyle w:val="Frslagstext"/>
      </w:pPr>
      <w:r w:rsidRPr="00C9680B">
        <w:t>Riksdagen lägger regeringens skrivelse 1999/2000:150 Årsredovisning för st</w:t>
      </w:r>
      <w:r w:rsidRPr="00C9680B">
        <w:t>a</w:t>
      </w:r>
      <w:r w:rsidRPr="00C9680B">
        <w:t xml:space="preserve">ten 1999 till handlingarna (avsnitt 5.1).        </w:t>
      </w:r>
      <w:bookmarkStart w:id="37" w:name="RESPARTI014"/>
      <w:bookmarkEnd w:id="37"/>
    </w:p>
    <w:p w:rsidR="001C7BF9" w:rsidRPr="00C9680B" w:rsidRDefault="001C7BF9">
      <w:pPr>
        <w:pStyle w:val="R2"/>
        <w:spacing w:before="625"/>
        <w:outlineLvl w:val="0"/>
        <w:rPr>
          <w:sz w:val="24"/>
        </w:rPr>
      </w:pPr>
      <w:r w:rsidRPr="00C9680B">
        <w:rPr>
          <w:sz w:val="24"/>
        </w:rPr>
        <w:t>Övriga frågor</w:t>
      </w:r>
    </w:p>
    <w:p w:rsidR="001C7BF9" w:rsidRPr="00C9680B" w:rsidRDefault="001C7BF9">
      <w:pPr>
        <w:pStyle w:val="Frslagspunkt"/>
        <w:spacing w:before="125"/>
        <w:outlineLvl w:val="0"/>
        <w:rPr>
          <w:noProof w:val="0"/>
        </w:rPr>
      </w:pPr>
      <w:r w:rsidRPr="00C9680B">
        <w:rPr>
          <w:noProof w:val="0"/>
        </w:rPr>
        <w:t>15.</w:t>
      </w:r>
      <w:r w:rsidRPr="00C9680B">
        <w:rPr>
          <w:noProof w:val="0"/>
        </w:rPr>
        <w:tab/>
        <w:t>Försäljning av statliga tillgångar</w:t>
      </w:r>
    </w:p>
    <w:p w:rsidR="001C7BF9" w:rsidRPr="00C9680B" w:rsidRDefault="001C7BF9">
      <w:pPr>
        <w:pStyle w:val="Frslagstext"/>
      </w:pPr>
      <w:r w:rsidRPr="00C9680B">
        <w:t xml:space="preserve">Riksdagen avslår motionerna 2000/01:Fi505 och 2000/01:Fi909 (avsnitt 6.1).       </w:t>
      </w:r>
    </w:p>
    <w:p w:rsidR="001C7BF9" w:rsidRPr="00C9680B" w:rsidRDefault="001C7BF9">
      <w:pPr>
        <w:pStyle w:val="Reservationshnvisning"/>
      </w:pPr>
      <w:r w:rsidRPr="00C9680B">
        <w:t xml:space="preserve">Reservation 22 (m, kd, fp) </w:t>
      </w:r>
      <w:bookmarkStart w:id="38" w:name="RESPARTI015"/>
      <w:bookmarkEnd w:id="38"/>
    </w:p>
    <w:p w:rsidR="001C7BF9" w:rsidRPr="00C9680B" w:rsidRDefault="001C7BF9">
      <w:pPr>
        <w:pStyle w:val="Frslagspunkt"/>
        <w:outlineLvl w:val="0"/>
        <w:rPr>
          <w:noProof w:val="0"/>
        </w:rPr>
      </w:pPr>
      <w:r w:rsidRPr="00C9680B">
        <w:rPr>
          <w:noProof w:val="0"/>
        </w:rPr>
        <w:t>16.</w:t>
      </w:r>
      <w:r w:rsidRPr="00C9680B">
        <w:rPr>
          <w:noProof w:val="0"/>
        </w:rPr>
        <w:tab/>
        <w:t>Barnbilaga i statsbudgeten</w:t>
      </w:r>
    </w:p>
    <w:p w:rsidR="001C7BF9" w:rsidRPr="00C9680B" w:rsidRDefault="001C7BF9">
      <w:pPr>
        <w:pStyle w:val="Frslagstext"/>
      </w:pPr>
      <w:r w:rsidRPr="00C9680B">
        <w:t xml:space="preserve">Riksdagen avslår motion 2000/01:Fi903 (avsnitt 6.2).    </w:t>
      </w:r>
    </w:p>
    <w:p w:rsidR="001C7BF9" w:rsidRPr="00C9680B" w:rsidRDefault="001C7BF9">
      <w:pPr>
        <w:pStyle w:val="Reservationshnvisning"/>
      </w:pPr>
      <w:r w:rsidRPr="00C9680B">
        <w:t xml:space="preserve">Reservation 23 (kd, c) </w:t>
      </w:r>
      <w:bookmarkStart w:id="39" w:name="RESPARTI016"/>
      <w:bookmarkEnd w:id="39"/>
    </w:p>
    <w:p w:rsidR="001C7BF9" w:rsidRPr="00C9680B" w:rsidRDefault="001C7BF9">
      <w:pPr>
        <w:pStyle w:val="Frslagspunkt"/>
        <w:outlineLvl w:val="0"/>
        <w:rPr>
          <w:noProof w:val="0"/>
        </w:rPr>
      </w:pPr>
      <w:r w:rsidRPr="00C9680B">
        <w:rPr>
          <w:noProof w:val="0"/>
        </w:rPr>
        <w:t>17.</w:t>
      </w:r>
      <w:r w:rsidRPr="00C9680B">
        <w:rPr>
          <w:noProof w:val="0"/>
        </w:rPr>
        <w:tab/>
        <w:t>Ansvar för spel och lotterier</w:t>
      </w:r>
    </w:p>
    <w:p w:rsidR="001C7BF9" w:rsidRPr="00C9680B" w:rsidRDefault="001C7BF9">
      <w:pPr>
        <w:pStyle w:val="Frslagstext"/>
      </w:pPr>
      <w:r w:rsidRPr="00C9680B">
        <w:t xml:space="preserve">Riksdagen avslår motion 2000/01:Fi902 (avsnitt 6.3).      </w:t>
      </w:r>
      <w:bookmarkStart w:id="40" w:name="Nästa_Hpunkt"/>
      <w:bookmarkStart w:id="41" w:name="RESPARTI017"/>
      <w:bookmarkEnd w:id="40"/>
      <w:bookmarkEnd w:id="41"/>
    </w:p>
    <w:p w:rsidR="001C7BF9" w:rsidRPr="00C9680B" w:rsidRDefault="001C7BF9">
      <w:pPr>
        <w:pStyle w:val="Frslagstext"/>
      </w:pPr>
    </w:p>
    <w:p w:rsidR="001C7BF9" w:rsidRPr="00C9680B" w:rsidRDefault="001C7BF9">
      <w:pPr>
        <w:pStyle w:val="OrtochDatum"/>
        <w:outlineLvl w:val="0"/>
      </w:pPr>
      <w:r w:rsidRPr="00C9680B">
        <w:t xml:space="preserve">Stockholm den 9 november 2000 </w:t>
      </w:r>
    </w:p>
    <w:p w:rsidR="001C7BF9" w:rsidRPr="00C9680B" w:rsidRDefault="001C7BF9">
      <w:pPr>
        <w:pStyle w:val="Pxx-utskottetsvgnar"/>
        <w:spacing w:before="120"/>
      </w:pPr>
      <w:r w:rsidRPr="00C9680B">
        <w:t>På finansutskottets vägnar</w:t>
      </w:r>
    </w:p>
    <w:p w:rsidR="001C7BF9" w:rsidRPr="00C9680B" w:rsidRDefault="001C7BF9">
      <w:pPr>
        <w:pStyle w:val="Ordfranden"/>
        <w:outlineLvl w:val="0"/>
        <w:rPr>
          <w:noProof w:val="0"/>
        </w:rPr>
      </w:pPr>
      <w:r w:rsidRPr="00C9680B">
        <w:rPr>
          <w:noProof w:val="0"/>
        </w:rPr>
        <w:t xml:space="preserve">Jan Bergqvist </w:t>
      </w:r>
    </w:p>
    <w:p w:rsidR="001C7BF9" w:rsidRPr="00C9680B" w:rsidRDefault="001C7BF9">
      <w:pPr>
        <w:pStyle w:val="Deltagare"/>
        <w:rPr>
          <w:noProof w:val="0"/>
        </w:rPr>
      </w:pPr>
      <w:r w:rsidRPr="00C9680B">
        <w:rPr>
          <w:noProof w:val="0"/>
        </w:rPr>
        <w:t>Följande ledamöter har deltagit i beslutet: Jan Bergqvist (s), Mats Odell (kd), Gunnar Hökmark (m), Bengt Silfverstrand (s), Lisbet Calner (s), Lennart Hedquist (m), Sonia Karlsson (s), Carin Lundberg (s), Kjell Nordström (s), Siv Holma (v), Per Landgren (kd), Anna Åkerhielm (m), Yvonne Ruwaida (mp), Lena Ek (c), Gunnar Axén (m), Lars Bäckström (v) och Bo Könberg (fp).</w:t>
      </w:r>
    </w:p>
    <w:p w:rsidR="001C7BF9" w:rsidRPr="00C9680B" w:rsidRDefault="001C7BF9">
      <w:pPr>
        <w:pStyle w:val="Rubrik2"/>
        <w:jc w:val="center"/>
      </w:pPr>
    </w:p>
    <w:p w:rsidR="001C7BF9" w:rsidRPr="00C9680B" w:rsidRDefault="001C7BF9">
      <w:pPr>
        <w:sectPr w:rsidR="00000000" w:rsidRPr="00C9680B">
          <w:headerReference w:type="even" r:id="rId20"/>
          <w:headerReference w:type="default" r:id="rId21"/>
          <w:footerReference w:type="even" r:id="rId22"/>
          <w:footerReference w:type="default" r:id="rId23"/>
          <w:headerReference w:type="first" r:id="rId24"/>
          <w:footerReference w:type="first" r:id="rId25"/>
          <w:footnotePr>
            <w:numRestart w:val="eachSect"/>
          </w:footnotePr>
          <w:pgSz w:w="11906" w:h="16838" w:code="9"/>
          <w:pgMar w:top="907" w:right="4649" w:bottom="4508" w:left="1304" w:header="340" w:footer="227" w:gutter="0"/>
          <w:cols w:space="720"/>
          <w:titlePg/>
        </w:sectPr>
      </w:pPr>
    </w:p>
    <w:p w:rsidR="001C7BF9" w:rsidRPr="00C9680B" w:rsidRDefault="001C7BF9">
      <w:pPr>
        <w:pStyle w:val="Rubrik2"/>
        <w:spacing w:before="0"/>
      </w:pPr>
      <w:bookmarkStart w:id="42" w:name="_Toc498910645"/>
      <w:r w:rsidRPr="00C9680B">
        <w:t>Förslag till fördelning av statsbudgetens utgifter för år 2001 på utgiftsområden</w:t>
      </w:r>
      <w:bookmarkEnd w:id="42"/>
    </w:p>
    <w:p w:rsidR="001C7BF9" w:rsidRPr="00C9680B" w:rsidRDefault="001C7BF9">
      <w:pPr>
        <w:outlineLvl w:val="0"/>
      </w:pPr>
      <w:r w:rsidRPr="00C9680B">
        <w:t>Belopp i 1000-tal kronor</w:t>
      </w:r>
    </w:p>
    <w:p w:rsidR="001C7BF9" w:rsidRPr="00C9680B" w:rsidRDefault="001C7BF9">
      <w:r w:rsidRPr="00C9680B">
        <w:t>Utskottets förslag överensstämmer med regeringens förslag till ramar m.m.</w:t>
      </w:r>
    </w:p>
    <w:p w:rsidR="001C7BF9" w:rsidRPr="00C9680B" w:rsidRDefault="001C7BF9">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1"/>
        <w:gridCol w:w="393"/>
        <w:gridCol w:w="3747"/>
        <w:gridCol w:w="1134"/>
        <w:gridCol w:w="1134"/>
        <w:gridCol w:w="1134"/>
        <w:gridCol w:w="1134"/>
        <w:gridCol w:w="1134"/>
      </w:tblGrid>
      <w:tr w:rsidR="00000000" w:rsidRPr="00C9680B">
        <w:tblPrEx>
          <w:tblCellMar>
            <w:top w:w="0" w:type="dxa"/>
            <w:bottom w:w="0" w:type="dxa"/>
          </w:tblCellMar>
        </w:tblPrEx>
        <w:trPr>
          <w:cantSplit/>
          <w:tblHeader/>
        </w:trPr>
        <w:tc>
          <w:tcPr>
            <w:tcW w:w="4141" w:type="dxa"/>
            <w:gridSpan w:val="3"/>
            <w:tcBorders>
              <w:top w:val="single" w:sz="4" w:space="0" w:color="auto"/>
            </w:tcBorders>
          </w:tcPr>
          <w:p w:rsidR="001C7BF9" w:rsidRPr="00C9680B" w:rsidRDefault="001C7BF9">
            <w:pPr>
              <w:spacing w:line="240" w:lineRule="atLeast"/>
              <w:rPr>
                <w:b/>
                <w:snapToGrid w:val="0"/>
                <w:color w:val="000000"/>
                <w:sz w:val="17"/>
                <w:lang w:eastAsia="sv-SE"/>
              </w:rPr>
            </w:pPr>
            <w:r w:rsidRPr="00C9680B">
              <w:rPr>
                <w:b/>
                <w:snapToGrid w:val="0"/>
                <w:color w:val="000000"/>
                <w:sz w:val="17"/>
                <w:lang w:eastAsia="sv-SE"/>
              </w:rPr>
              <w:t xml:space="preserve">         Utgiftsområde</w:t>
            </w:r>
          </w:p>
        </w:tc>
        <w:tc>
          <w:tcPr>
            <w:tcW w:w="1134" w:type="dxa"/>
            <w:tcBorders>
              <w:top w:val="single" w:sz="4" w:space="0" w:color="auto"/>
            </w:tcBorders>
          </w:tcPr>
          <w:p w:rsidR="001C7BF9" w:rsidRPr="00C9680B" w:rsidRDefault="001C7BF9">
            <w:pPr>
              <w:spacing w:line="240" w:lineRule="atLeast"/>
              <w:jc w:val="right"/>
              <w:rPr>
                <w:b/>
                <w:snapToGrid w:val="0"/>
                <w:color w:val="000000"/>
                <w:sz w:val="17"/>
                <w:lang w:eastAsia="sv-SE"/>
              </w:rPr>
            </w:pPr>
            <w:r w:rsidRPr="00C9680B">
              <w:rPr>
                <w:b/>
                <w:snapToGrid w:val="0"/>
                <w:color w:val="000000"/>
                <w:sz w:val="17"/>
                <w:lang w:eastAsia="sv-SE"/>
              </w:rPr>
              <w:t>Utsko</w:t>
            </w:r>
            <w:r w:rsidRPr="00C9680B">
              <w:rPr>
                <w:b/>
                <w:snapToGrid w:val="0"/>
                <w:color w:val="000000"/>
                <w:sz w:val="17"/>
                <w:lang w:eastAsia="sv-SE"/>
              </w:rPr>
              <w:t>t</w:t>
            </w:r>
            <w:r w:rsidRPr="00C9680B">
              <w:rPr>
                <w:b/>
                <w:snapToGrid w:val="0"/>
                <w:color w:val="000000"/>
                <w:sz w:val="17"/>
                <w:lang w:eastAsia="sv-SE"/>
              </w:rPr>
              <w:t>tets</w:t>
            </w:r>
          </w:p>
        </w:tc>
        <w:tc>
          <w:tcPr>
            <w:tcW w:w="4536" w:type="dxa"/>
            <w:gridSpan w:val="4"/>
            <w:tcBorders>
              <w:top w:val="single" w:sz="4" w:space="0" w:color="auto"/>
              <w:bottom w:val="single" w:sz="4" w:space="0" w:color="auto"/>
            </w:tcBorders>
          </w:tcPr>
          <w:p w:rsidR="001C7BF9" w:rsidRPr="00C9680B" w:rsidRDefault="001C7BF9">
            <w:pPr>
              <w:spacing w:line="240" w:lineRule="atLeast"/>
              <w:jc w:val="center"/>
              <w:rPr>
                <w:b/>
                <w:snapToGrid w:val="0"/>
                <w:color w:val="000000"/>
                <w:sz w:val="17"/>
                <w:lang w:eastAsia="sv-SE"/>
              </w:rPr>
            </w:pPr>
            <w:r w:rsidRPr="00C9680B">
              <w:rPr>
                <w:b/>
                <w:snapToGrid w:val="0"/>
                <w:color w:val="000000"/>
                <w:sz w:val="17"/>
                <w:lang w:eastAsia="sv-SE"/>
              </w:rPr>
              <w:t>Reservanternas förslag i förhå</w:t>
            </w:r>
            <w:r w:rsidRPr="00C9680B">
              <w:rPr>
                <w:b/>
                <w:snapToGrid w:val="0"/>
                <w:color w:val="000000"/>
                <w:sz w:val="17"/>
                <w:lang w:eastAsia="sv-SE"/>
              </w:rPr>
              <w:t>l</w:t>
            </w:r>
            <w:r w:rsidRPr="00C9680B">
              <w:rPr>
                <w:b/>
                <w:snapToGrid w:val="0"/>
                <w:color w:val="000000"/>
                <w:sz w:val="17"/>
                <w:lang w:eastAsia="sv-SE"/>
              </w:rPr>
              <w:t>lande till utskottets förslag</w:t>
            </w:r>
          </w:p>
        </w:tc>
      </w:tr>
      <w:tr w:rsidR="00000000" w:rsidRPr="00C9680B">
        <w:tblPrEx>
          <w:tblCellMar>
            <w:top w:w="0" w:type="dxa"/>
            <w:bottom w:w="0" w:type="dxa"/>
          </w:tblCellMar>
        </w:tblPrEx>
        <w:trPr>
          <w:tblHeader/>
        </w:trPr>
        <w:tc>
          <w:tcPr>
            <w:tcW w:w="394" w:type="dxa"/>
            <w:gridSpan w:val="2"/>
            <w:tcBorders>
              <w:bottom w:val="single" w:sz="4" w:space="0" w:color="auto"/>
            </w:tcBorders>
          </w:tcPr>
          <w:p w:rsidR="001C7BF9" w:rsidRPr="00C9680B" w:rsidRDefault="001C7BF9">
            <w:pPr>
              <w:spacing w:line="240" w:lineRule="atLeast"/>
              <w:jc w:val="right"/>
              <w:rPr>
                <w:b/>
                <w:snapToGrid w:val="0"/>
                <w:color w:val="000000"/>
                <w:sz w:val="17"/>
                <w:lang w:eastAsia="sv-SE"/>
              </w:rPr>
            </w:pPr>
          </w:p>
        </w:tc>
        <w:tc>
          <w:tcPr>
            <w:tcW w:w="3747" w:type="dxa"/>
            <w:tcBorders>
              <w:bottom w:val="single" w:sz="4" w:space="0" w:color="auto"/>
            </w:tcBorders>
          </w:tcPr>
          <w:p w:rsidR="001C7BF9" w:rsidRPr="00C9680B" w:rsidRDefault="001C7BF9">
            <w:pPr>
              <w:spacing w:line="240" w:lineRule="atLeast"/>
              <w:jc w:val="right"/>
              <w:rPr>
                <w:b/>
                <w:snapToGrid w:val="0"/>
                <w:color w:val="000000"/>
                <w:sz w:val="17"/>
                <w:lang w:eastAsia="sv-SE"/>
              </w:rPr>
            </w:pPr>
          </w:p>
        </w:tc>
        <w:tc>
          <w:tcPr>
            <w:tcW w:w="1134" w:type="dxa"/>
            <w:tcBorders>
              <w:bottom w:val="single" w:sz="4" w:space="0" w:color="auto"/>
            </w:tcBorders>
          </w:tcPr>
          <w:p w:rsidR="001C7BF9" w:rsidRPr="00C9680B" w:rsidRDefault="001C7BF9">
            <w:pPr>
              <w:spacing w:line="240" w:lineRule="atLeast"/>
              <w:jc w:val="right"/>
              <w:rPr>
                <w:b/>
                <w:snapToGrid w:val="0"/>
                <w:color w:val="000000"/>
                <w:sz w:val="17"/>
                <w:lang w:eastAsia="sv-SE"/>
              </w:rPr>
            </w:pPr>
            <w:r w:rsidRPr="00C9680B">
              <w:rPr>
                <w:b/>
                <w:snapToGrid w:val="0"/>
                <w:color w:val="000000"/>
                <w:sz w:val="17"/>
                <w:lang w:eastAsia="sv-SE"/>
              </w:rPr>
              <w:t>förslag</w:t>
            </w:r>
          </w:p>
        </w:tc>
        <w:tc>
          <w:tcPr>
            <w:tcW w:w="1134" w:type="dxa"/>
            <w:tcBorders>
              <w:bottom w:val="single" w:sz="4" w:space="0" w:color="auto"/>
            </w:tcBorders>
          </w:tcPr>
          <w:p w:rsidR="001C7BF9" w:rsidRPr="00C9680B" w:rsidRDefault="001C7BF9">
            <w:pPr>
              <w:spacing w:line="240" w:lineRule="atLeast"/>
              <w:jc w:val="center"/>
              <w:rPr>
                <w:b/>
                <w:snapToGrid w:val="0"/>
                <w:color w:val="000000"/>
                <w:sz w:val="17"/>
                <w:lang w:eastAsia="sv-SE"/>
              </w:rPr>
            </w:pPr>
            <w:r w:rsidRPr="00C9680B">
              <w:rPr>
                <w:b/>
                <w:snapToGrid w:val="0"/>
                <w:color w:val="000000"/>
                <w:sz w:val="17"/>
                <w:lang w:eastAsia="sv-SE"/>
              </w:rPr>
              <w:t>Res. 12 (m)</w:t>
            </w:r>
          </w:p>
        </w:tc>
        <w:tc>
          <w:tcPr>
            <w:tcW w:w="1134" w:type="dxa"/>
            <w:tcBorders>
              <w:bottom w:val="single" w:sz="4" w:space="0" w:color="auto"/>
            </w:tcBorders>
          </w:tcPr>
          <w:p w:rsidR="001C7BF9" w:rsidRPr="00C9680B" w:rsidRDefault="001C7BF9">
            <w:pPr>
              <w:spacing w:line="240" w:lineRule="atLeast"/>
              <w:jc w:val="center"/>
              <w:rPr>
                <w:b/>
                <w:snapToGrid w:val="0"/>
                <w:color w:val="000000"/>
                <w:sz w:val="17"/>
                <w:lang w:eastAsia="sv-SE"/>
              </w:rPr>
            </w:pPr>
            <w:r w:rsidRPr="00C9680B">
              <w:rPr>
                <w:b/>
                <w:snapToGrid w:val="0"/>
                <w:color w:val="000000"/>
                <w:sz w:val="17"/>
                <w:lang w:eastAsia="sv-SE"/>
              </w:rPr>
              <w:t>Res. 13 (kd)</w:t>
            </w:r>
          </w:p>
        </w:tc>
        <w:tc>
          <w:tcPr>
            <w:tcW w:w="1134" w:type="dxa"/>
            <w:tcBorders>
              <w:bottom w:val="single" w:sz="4" w:space="0" w:color="auto"/>
            </w:tcBorders>
          </w:tcPr>
          <w:p w:rsidR="001C7BF9" w:rsidRPr="00C9680B" w:rsidRDefault="001C7BF9">
            <w:pPr>
              <w:spacing w:line="240" w:lineRule="atLeast"/>
              <w:jc w:val="center"/>
              <w:rPr>
                <w:b/>
                <w:snapToGrid w:val="0"/>
                <w:color w:val="000000"/>
                <w:sz w:val="17"/>
                <w:lang w:eastAsia="sv-SE"/>
              </w:rPr>
            </w:pPr>
            <w:r w:rsidRPr="00C9680B">
              <w:rPr>
                <w:b/>
                <w:snapToGrid w:val="0"/>
                <w:color w:val="000000"/>
                <w:sz w:val="17"/>
                <w:lang w:eastAsia="sv-SE"/>
              </w:rPr>
              <w:t>Res. 14(c)</w:t>
            </w:r>
          </w:p>
        </w:tc>
        <w:tc>
          <w:tcPr>
            <w:tcW w:w="1134" w:type="dxa"/>
            <w:tcBorders>
              <w:bottom w:val="single" w:sz="4" w:space="0" w:color="auto"/>
            </w:tcBorders>
          </w:tcPr>
          <w:p w:rsidR="001C7BF9" w:rsidRPr="00C9680B" w:rsidRDefault="001C7BF9">
            <w:pPr>
              <w:spacing w:line="240" w:lineRule="atLeast"/>
              <w:jc w:val="center"/>
              <w:rPr>
                <w:b/>
                <w:snapToGrid w:val="0"/>
                <w:color w:val="000000"/>
                <w:sz w:val="17"/>
                <w:lang w:eastAsia="sv-SE"/>
              </w:rPr>
            </w:pPr>
            <w:r w:rsidRPr="00C9680B">
              <w:rPr>
                <w:b/>
                <w:snapToGrid w:val="0"/>
                <w:color w:val="000000"/>
                <w:sz w:val="17"/>
                <w:lang w:eastAsia="sv-SE"/>
              </w:rPr>
              <w:t>Res. 15 (fp)</w:t>
            </w:r>
          </w:p>
        </w:tc>
      </w:tr>
      <w:tr w:rsidR="00000000" w:rsidRPr="00C9680B">
        <w:tblPrEx>
          <w:tblCellMar>
            <w:top w:w="0" w:type="dxa"/>
            <w:bottom w:w="0" w:type="dxa"/>
          </w:tblCellMar>
        </w:tblPrEx>
        <w:tc>
          <w:tcPr>
            <w:tcW w:w="394" w:type="dxa"/>
            <w:gridSpan w:val="2"/>
          </w:tcPr>
          <w:p w:rsidR="001C7BF9" w:rsidRPr="00C9680B" w:rsidRDefault="001C7BF9">
            <w:pPr>
              <w:spacing w:before="0" w:line="100" w:lineRule="exact"/>
              <w:jc w:val="right"/>
              <w:rPr>
                <w:snapToGrid w:val="0"/>
                <w:color w:val="000000"/>
                <w:sz w:val="17"/>
                <w:lang w:eastAsia="sv-SE"/>
              </w:rPr>
            </w:pPr>
          </w:p>
        </w:tc>
        <w:tc>
          <w:tcPr>
            <w:tcW w:w="3747" w:type="dxa"/>
          </w:tcPr>
          <w:p w:rsidR="001C7BF9" w:rsidRPr="00C9680B" w:rsidRDefault="001C7BF9">
            <w:pPr>
              <w:spacing w:before="0" w:line="100" w:lineRule="exact"/>
              <w:rPr>
                <w:snapToGrid w:val="0"/>
                <w:color w:val="000000"/>
                <w:sz w:val="17"/>
                <w:lang w:eastAsia="sv-SE"/>
              </w:rPr>
            </w:pPr>
          </w:p>
        </w:tc>
        <w:tc>
          <w:tcPr>
            <w:tcW w:w="1134" w:type="dxa"/>
          </w:tcPr>
          <w:p w:rsidR="001C7BF9" w:rsidRPr="00C9680B" w:rsidRDefault="001C7BF9">
            <w:pPr>
              <w:spacing w:before="0" w:line="100" w:lineRule="exact"/>
              <w:jc w:val="right"/>
              <w:rPr>
                <w:snapToGrid w:val="0"/>
                <w:color w:val="000000"/>
                <w:sz w:val="17"/>
                <w:lang w:eastAsia="sv-SE"/>
              </w:rPr>
            </w:pPr>
          </w:p>
        </w:tc>
        <w:tc>
          <w:tcPr>
            <w:tcW w:w="1134" w:type="dxa"/>
          </w:tcPr>
          <w:p w:rsidR="001C7BF9" w:rsidRPr="00C9680B" w:rsidRDefault="001C7BF9">
            <w:pPr>
              <w:spacing w:before="0" w:line="100" w:lineRule="exact"/>
              <w:jc w:val="right"/>
              <w:rPr>
                <w:snapToGrid w:val="0"/>
                <w:color w:val="000000"/>
                <w:sz w:val="17"/>
                <w:lang w:eastAsia="sv-SE"/>
              </w:rPr>
            </w:pPr>
          </w:p>
        </w:tc>
        <w:tc>
          <w:tcPr>
            <w:tcW w:w="1134" w:type="dxa"/>
          </w:tcPr>
          <w:p w:rsidR="001C7BF9" w:rsidRPr="00C9680B" w:rsidRDefault="001C7BF9">
            <w:pPr>
              <w:spacing w:before="0" w:line="100" w:lineRule="exact"/>
              <w:jc w:val="right"/>
              <w:rPr>
                <w:snapToGrid w:val="0"/>
                <w:color w:val="000000"/>
                <w:sz w:val="17"/>
                <w:lang w:eastAsia="sv-SE"/>
              </w:rPr>
            </w:pPr>
          </w:p>
        </w:tc>
        <w:tc>
          <w:tcPr>
            <w:tcW w:w="1134" w:type="dxa"/>
          </w:tcPr>
          <w:p w:rsidR="001C7BF9" w:rsidRPr="00C9680B" w:rsidRDefault="001C7BF9">
            <w:pPr>
              <w:spacing w:before="0" w:line="100" w:lineRule="exact"/>
              <w:jc w:val="right"/>
              <w:rPr>
                <w:snapToGrid w:val="0"/>
                <w:color w:val="000000"/>
                <w:sz w:val="17"/>
                <w:lang w:eastAsia="sv-SE"/>
              </w:rPr>
            </w:pPr>
          </w:p>
        </w:tc>
        <w:tc>
          <w:tcPr>
            <w:tcW w:w="1134" w:type="dxa"/>
          </w:tcPr>
          <w:p w:rsidR="001C7BF9" w:rsidRPr="00C9680B" w:rsidRDefault="001C7BF9">
            <w:pPr>
              <w:spacing w:before="0" w:line="100" w:lineRule="exact"/>
              <w:jc w:val="right"/>
              <w:rPr>
                <w:snapToGrid w:val="0"/>
                <w:color w:val="000000"/>
                <w:sz w:val="17"/>
                <w:lang w:eastAsia="sv-SE"/>
              </w:rPr>
            </w:pP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Rikets styrelse</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5 316 203</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-377 388</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-560 000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-307 000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-760 000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Samhällsekonomi och finan</w:t>
            </w:r>
            <w:r w:rsidRPr="00C9680B">
              <w:rPr>
                <w:snapToGrid w:val="0"/>
                <w:color w:val="000000"/>
                <w:sz w:val="17"/>
                <w:lang w:eastAsia="sv-SE"/>
              </w:rPr>
              <w:t>s</w:t>
            </w:r>
            <w:r w:rsidRPr="00C9680B">
              <w:rPr>
                <w:snapToGrid w:val="0"/>
                <w:color w:val="000000"/>
                <w:sz w:val="17"/>
                <w:lang w:eastAsia="sv-SE"/>
              </w:rPr>
              <w:t>förvaltning</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1 307 655</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-61 095</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-62 741</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-136 000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-10 000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Skatteförvaltning och up</w:t>
            </w:r>
            <w:r w:rsidRPr="00C9680B">
              <w:rPr>
                <w:snapToGrid w:val="0"/>
                <w:color w:val="000000"/>
                <w:sz w:val="17"/>
                <w:lang w:eastAsia="sv-SE"/>
              </w:rPr>
              <w:t>p</w:t>
            </w:r>
            <w:r w:rsidRPr="00C9680B">
              <w:rPr>
                <w:snapToGrid w:val="0"/>
                <w:color w:val="000000"/>
                <w:sz w:val="17"/>
                <w:lang w:eastAsia="sv-SE"/>
              </w:rPr>
              <w:t>börd</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6 206 948</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+120 000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+75 000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Rättsväsendet</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23 973 166</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+1 034 200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+1 000 000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+260 000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+402 000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Utrikesförvaltning och intern</w:t>
            </w:r>
            <w:r w:rsidRPr="00C9680B">
              <w:rPr>
                <w:snapToGrid w:val="0"/>
                <w:color w:val="000000"/>
                <w:sz w:val="17"/>
                <w:lang w:eastAsia="sv-SE"/>
              </w:rPr>
              <w:t>a</w:t>
            </w:r>
            <w:r w:rsidRPr="00C9680B">
              <w:rPr>
                <w:snapToGrid w:val="0"/>
                <w:color w:val="000000"/>
                <w:sz w:val="17"/>
                <w:lang w:eastAsia="sv-SE"/>
              </w:rPr>
              <w:t>tionell samverkan</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2 908 385</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-88 453</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6</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Totalförsvar</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46 530 105</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+1 043 419</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+550 000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Internationellt bistånd</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14 966 011</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-965 785</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+600 000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+700 000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+1 700 000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8</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Invandrare och flyktingar</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4 941 878</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-577 474</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-344 000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-535 000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-442 000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9</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Hälsovård, sjukvård och s</w:t>
            </w:r>
            <w:r w:rsidRPr="00C9680B">
              <w:rPr>
                <w:snapToGrid w:val="0"/>
                <w:color w:val="000000"/>
                <w:sz w:val="17"/>
                <w:lang w:eastAsia="sv-SE"/>
              </w:rPr>
              <w:t>o</w:t>
            </w:r>
            <w:r w:rsidRPr="00C9680B">
              <w:rPr>
                <w:snapToGrid w:val="0"/>
                <w:color w:val="000000"/>
                <w:sz w:val="17"/>
                <w:lang w:eastAsia="sv-SE"/>
              </w:rPr>
              <w:t>cial omsorg</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29 373 625</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+100 702</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+63 000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+942 000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+3 654 000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10</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Ekonomisk trygghet vid sju</w:t>
            </w:r>
            <w:r w:rsidRPr="00C9680B">
              <w:rPr>
                <w:snapToGrid w:val="0"/>
                <w:color w:val="000000"/>
                <w:sz w:val="17"/>
                <w:lang w:eastAsia="sv-SE"/>
              </w:rPr>
              <w:t>k</w:t>
            </w:r>
            <w:r w:rsidRPr="00C9680B">
              <w:rPr>
                <w:snapToGrid w:val="0"/>
                <w:color w:val="000000"/>
                <w:sz w:val="17"/>
                <w:lang w:eastAsia="sv-SE"/>
              </w:rPr>
              <w:t>dom och handikapp</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101 949 802</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-11 340 000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-5 880 000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-4 693 000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-4 740 000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11</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Ekonomisk trygghet vid å</w:t>
            </w:r>
            <w:r w:rsidRPr="00C9680B">
              <w:rPr>
                <w:snapToGrid w:val="0"/>
                <w:color w:val="000000"/>
                <w:sz w:val="17"/>
                <w:lang w:eastAsia="sv-SE"/>
              </w:rPr>
              <w:t>l</w:t>
            </w:r>
            <w:r w:rsidRPr="00C9680B">
              <w:rPr>
                <w:snapToGrid w:val="0"/>
                <w:color w:val="000000"/>
                <w:sz w:val="17"/>
                <w:lang w:eastAsia="sv-SE"/>
              </w:rPr>
              <w:t>derdom</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33 779 600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+445 000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+1 806 000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+341 000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+836 000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12</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Ekonomisk trygghet för f</w:t>
            </w:r>
            <w:r w:rsidRPr="00C9680B">
              <w:rPr>
                <w:snapToGrid w:val="0"/>
                <w:color w:val="000000"/>
                <w:sz w:val="17"/>
                <w:lang w:eastAsia="sv-SE"/>
              </w:rPr>
              <w:t>a</w:t>
            </w:r>
            <w:r w:rsidRPr="00C9680B">
              <w:rPr>
                <w:snapToGrid w:val="0"/>
                <w:color w:val="000000"/>
                <w:sz w:val="17"/>
                <w:lang w:eastAsia="sv-SE"/>
              </w:rPr>
              <w:t>miljer och barn</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47 746 979</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-3 626 000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-844 500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+570 000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-2 300 000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13</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Arbetsmarknad</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63 030 635</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-5 375 636</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-9 140 000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-26 978 000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-6 520 000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14</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Arbetsliv</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8 541 971</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-145 548</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-166 000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+22 868 000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-25 000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15</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Studiestöd</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21 621 806</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-2 046 822</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-2 378 000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-4 812 000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-2 016 000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16</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Utbildning och universitet</w:t>
            </w:r>
            <w:r w:rsidRPr="00C9680B">
              <w:rPr>
                <w:snapToGrid w:val="0"/>
                <w:color w:val="000000"/>
                <w:sz w:val="17"/>
                <w:lang w:eastAsia="sv-SE"/>
              </w:rPr>
              <w:t>s</w:t>
            </w:r>
            <w:r w:rsidRPr="00C9680B">
              <w:rPr>
                <w:snapToGrid w:val="0"/>
                <w:color w:val="000000"/>
                <w:sz w:val="17"/>
                <w:lang w:eastAsia="sv-SE"/>
              </w:rPr>
              <w:t>forskning</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34 845 518</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-1 259 073</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-1 369 000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-500 000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17</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Kultur, medier, trossamfund och fritid</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7 806 918</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-1 518 000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+165 000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+40 000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18</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Samhällsplanering, bostadsförsörjning och by</w:t>
            </w:r>
            <w:r w:rsidRPr="00C9680B">
              <w:rPr>
                <w:snapToGrid w:val="0"/>
                <w:color w:val="000000"/>
                <w:sz w:val="17"/>
                <w:lang w:eastAsia="sv-SE"/>
              </w:rPr>
              <w:t>g</w:t>
            </w:r>
            <w:r w:rsidRPr="00C9680B">
              <w:rPr>
                <w:snapToGrid w:val="0"/>
                <w:color w:val="000000"/>
                <w:sz w:val="17"/>
                <w:lang w:eastAsia="sv-SE"/>
              </w:rPr>
              <w:t>gande</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11 634 740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-2 095 585</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-560 000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-1 667 000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-2 504 000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19</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Regional utjämning och u</w:t>
            </w:r>
            <w:r w:rsidRPr="00C9680B">
              <w:rPr>
                <w:snapToGrid w:val="0"/>
                <w:color w:val="000000"/>
                <w:sz w:val="17"/>
                <w:lang w:eastAsia="sv-SE"/>
              </w:rPr>
              <w:t>t</w:t>
            </w:r>
            <w:r w:rsidRPr="00C9680B">
              <w:rPr>
                <w:snapToGrid w:val="0"/>
                <w:color w:val="000000"/>
                <w:sz w:val="17"/>
                <w:lang w:eastAsia="sv-SE"/>
              </w:rPr>
              <w:t>veckling</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4 214 453</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-300 000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-450 000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-450 000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-950 000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20</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Allmän miljö- och natu</w:t>
            </w:r>
            <w:r w:rsidRPr="00C9680B">
              <w:rPr>
                <w:snapToGrid w:val="0"/>
                <w:color w:val="000000"/>
                <w:sz w:val="17"/>
                <w:lang w:eastAsia="sv-SE"/>
              </w:rPr>
              <w:t>r</w:t>
            </w:r>
            <w:r w:rsidRPr="00C9680B">
              <w:rPr>
                <w:snapToGrid w:val="0"/>
                <w:color w:val="000000"/>
                <w:sz w:val="17"/>
                <w:lang w:eastAsia="sv-SE"/>
              </w:rPr>
              <w:t>vård</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2 200 522</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-98 000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+115 000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+50 000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21</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Energi</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2 262 347</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-849 235</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-225 000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+100 000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-1 586 000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22</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Kommunikationer</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24 690 313</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-42 016</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+3 550 000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+2 415 000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-359 000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23</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Jord- och skogsbruk, fiske med anslutande näringar</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13 677 015</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-26 333</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+553 000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+732 000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-66 000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24</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Näringsliv</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3 517 539</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-385 000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-336 000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-364 000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-329 000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25</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Allmänna bidrag till komm</w:t>
            </w:r>
            <w:r w:rsidRPr="00C9680B">
              <w:rPr>
                <w:snapToGrid w:val="0"/>
                <w:color w:val="000000"/>
                <w:sz w:val="17"/>
                <w:lang w:eastAsia="sv-SE"/>
              </w:rPr>
              <w:t>u</w:t>
            </w:r>
            <w:r w:rsidRPr="00C9680B">
              <w:rPr>
                <w:snapToGrid w:val="0"/>
                <w:color w:val="000000"/>
                <w:sz w:val="17"/>
                <w:lang w:eastAsia="sv-SE"/>
              </w:rPr>
              <w:t>ner</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99 362 633</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+45 281 800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+5 376 000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+769 000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-3 816 000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26</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Statsskuldsräntor m.m.</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70 925 000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-2 085 000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-1 222 000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-869 000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-1 700 000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27</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Avgiften till Europeiska g</w:t>
            </w:r>
            <w:r w:rsidRPr="00C9680B">
              <w:rPr>
                <w:snapToGrid w:val="0"/>
                <w:color w:val="000000"/>
                <w:sz w:val="17"/>
                <w:lang w:eastAsia="sv-SE"/>
              </w:rPr>
              <w:t>e</w:t>
            </w:r>
            <w:r w:rsidRPr="00C9680B">
              <w:rPr>
                <w:snapToGrid w:val="0"/>
                <w:color w:val="000000"/>
                <w:sz w:val="17"/>
                <w:lang w:eastAsia="sv-SE"/>
              </w:rPr>
              <w:t>menskapen</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23 804 000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b/>
                <w:snapToGrid w:val="0"/>
                <w:color w:val="000000"/>
                <w:sz w:val="17"/>
                <w:lang w:eastAsia="sv-SE"/>
              </w:rPr>
            </w:pPr>
          </w:p>
        </w:tc>
        <w:tc>
          <w:tcPr>
            <w:tcW w:w="3747" w:type="dxa"/>
          </w:tcPr>
          <w:p w:rsidR="001C7BF9" w:rsidRPr="00C9680B" w:rsidRDefault="001C7BF9">
            <w:pPr>
              <w:spacing w:before="0" w:line="240" w:lineRule="atLeast"/>
              <w:rPr>
                <w:b/>
                <w:snapToGrid w:val="0"/>
                <w:color w:val="000000"/>
                <w:sz w:val="17"/>
                <w:lang w:eastAsia="sv-SE"/>
              </w:rPr>
            </w:pPr>
            <w:r w:rsidRPr="00C9680B">
              <w:rPr>
                <w:b/>
                <w:snapToGrid w:val="0"/>
                <w:color w:val="000000"/>
                <w:sz w:val="17"/>
                <w:lang w:eastAsia="sv-SE"/>
              </w:rPr>
              <w:t>Summa utgiftsområden</w:t>
            </w:r>
          </w:p>
        </w:tc>
        <w:tc>
          <w:tcPr>
            <w:tcW w:w="1134" w:type="dxa"/>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711 135 767</w:t>
            </w:r>
          </w:p>
        </w:tc>
        <w:tc>
          <w:tcPr>
            <w:tcW w:w="1134" w:type="dxa"/>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+14 692 678</w:t>
            </w:r>
          </w:p>
        </w:tc>
        <w:tc>
          <w:tcPr>
            <w:tcW w:w="1134" w:type="dxa"/>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-9 799 241</w:t>
            </w:r>
          </w:p>
        </w:tc>
        <w:tc>
          <w:tcPr>
            <w:tcW w:w="1134" w:type="dxa"/>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-10 874 000</w:t>
            </w:r>
          </w:p>
        </w:tc>
        <w:tc>
          <w:tcPr>
            <w:tcW w:w="1134" w:type="dxa"/>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-21 866 000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100</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Minskning av anslagsbehål</w:t>
            </w:r>
            <w:r w:rsidRPr="00C9680B">
              <w:rPr>
                <w:snapToGrid w:val="0"/>
                <w:color w:val="000000"/>
                <w:sz w:val="17"/>
                <w:lang w:eastAsia="sv-SE"/>
              </w:rPr>
              <w:t>l</w:t>
            </w:r>
            <w:r w:rsidRPr="00C9680B">
              <w:rPr>
                <w:snapToGrid w:val="0"/>
                <w:color w:val="000000"/>
                <w:sz w:val="17"/>
                <w:lang w:eastAsia="sv-SE"/>
              </w:rPr>
              <w:t>ningar</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3 000 000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-1 750 000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-1 000 000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101</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Myndigheters m.fl. in- och utlåning i Riksgälds-</w:t>
            </w:r>
          </w:p>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 xml:space="preserve">  kont</w:t>
            </w:r>
            <w:r w:rsidRPr="00C9680B">
              <w:rPr>
                <w:snapToGrid w:val="0"/>
                <w:color w:val="000000"/>
                <w:sz w:val="17"/>
                <w:lang w:eastAsia="sv-SE"/>
              </w:rPr>
              <w:t>o</w:t>
            </w:r>
            <w:r w:rsidRPr="00C9680B">
              <w:rPr>
                <w:snapToGrid w:val="0"/>
                <w:color w:val="000000"/>
                <w:sz w:val="17"/>
                <w:lang w:eastAsia="sv-SE"/>
              </w:rPr>
              <w:t>ret, netto</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8 208 946</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r>
      <w:tr w:rsidR="00000000" w:rsidRPr="00C9680B">
        <w:tblPrEx>
          <w:tblCellMar>
            <w:top w:w="0" w:type="dxa"/>
            <w:bottom w:w="0" w:type="dxa"/>
          </w:tblCellMar>
        </w:tblPrEx>
        <w:tc>
          <w:tcPr>
            <w:tcW w:w="394" w:type="dxa"/>
            <w:gridSpan w:val="2"/>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102</w:t>
            </w:r>
          </w:p>
        </w:tc>
        <w:tc>
          <w:tcPr>
            <w:tcW w:w="3747" w:type="dxa"/>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Överföring från AP-fonden</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-45 700 000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r>
      <w:tr w:rsidR="00000000" w:rsidRPr="00C9680B">
        <w:tblPrEx>
          <w:tblCellMar>
            <w:top w:w="0" w:type="dxa"/>
            <w:bottom w:w="0" w:type="dxa"/>
          </w:tblCellMar>
        </w:tblPrEx>
        <w:tc>
          <w:tcPr>
            <w:tcW w:w="4141" w:type="dxa"/>
            <w:hMerge w:val="restart"/>
          </w:tcPr>
          <w:p w:rsidR="001C7BF9" w:rsidRPr="00C9680B" w:rsidRDefault="001C7BF9">
            <w:pPr>
              <w:spacing w:before="0" w:line="100" w:lineRule="exact"/>
              <w:rPr>
                <w:snapToGrid w:val="0"/>
                <w:color w:val="000000"/>
                <w:sz w:val="17"/>
                <w:lang w:eastAsia="sv-SE"/>
              </w:rPr>
            </w:pPr>
          </w:p>
        </w:tc>
        <w:tc>
          <w:tcPr>
            <w:gridSpan w:val="2"/>
            <w:hMerge/>
          </w:tcPr>
          <w:p w:rsidR="001C7BF9" w:rsidRPr="00C9680B" w:rsidRDefault="001C7BF9">
            <w:pPr>
              <w:spacing w:before="0" w:line="100" w:lineRule="exact"/>
              <w:rPr>
                <w:snapToGrid w:val="0"/>
                <w:color w:val="000000"/>
                <w:sz w:val="17"/>
                <w:lang w:eastAsia="sv-SE"/>
              </w:rPr>
            </w:pPr>
          </w:p>
        </w:tc>
        <w:tc>
          <w:tcPr>
            <w:tcW w:w="1134" w:type="dxa"/>
          </w:tcPr>
          <w:p w:rsidR="001C7BF9" w:rsidRPr="00C9680B" w:rsidRDefault="001C7BF9">
            <w:pPr>
              <w:spacing w:before="0" w:line="100" w:lineRule="exact"/>
              <w:jc w:val="right"/>
              <w:rPr>
                <w:snapToGrid w:val="0"/>
                <w:color w:val="000000"/>
                <w:sz w:val="17"/>
                <w:lang w:eastAsia="sv-SE"/>
              </w:rPr>
            </w:pPr>
          </w:p>
        </w:tc>
        <w:tc>
          <w:tcPr>
            <w:tcW w:w="1134" w:type="dxa"/>
          </w:tcPr>
          <w:p w:rsidR="001C7BF9" w:rsidRPr="00C9680B" w:rsidRDefault="001C7BF9">
            <w:pPr>
              <w:spacing w:before="0" w:line="100" w:lineRule="exact"/>
              <w:jc w:val="right"/>
              <w:rPr>
                <w:snapToGrid w:val="0"/>
                <w:color w:val="000000"/>
                <w:sz w:val="17"/>
                <w:lang w:eastAsia="sv-SE"/>
              </w:rPr>
            </w:pPr>
          </w:p>
        </w:tc>
        <w:tc>
          <w:tcPr>
            <w:tcW w:w="1134" w:type="dxa"/>
          </w:tcPr>
          <w:p w:rsidR="001C7BF9" w:rsidRPr="00C9680B" w:rsidRDefault="001C7BF9">
            <w:pPr>
              <w:spacing w:before="0" w:line="100" w:lineRule="exact"/>
              <w:jc w:val="right"/>
              <w:rPr>
                <w:snapToGrid w:val="0"/>
                <w:color w:val="000000"/>
                <w:sz w:val="17"/>
                <w:lang w:eastAsia="sv-SE"/>
              </w:rPr>
            </w:pPr>
          </w:p>
        </w:tc>
        <w:tc>
          <w:tcPr>
            <w:tcW w:w="1134" w:type="dxa"/>
          </w:tcPr>
          <w:p w:rsidR="001C7BF9" w:rsidRPr="00C9680B" w:rsidRDefault="001C7BF9">
            <w:pPr>
              <w:spacing w:before="0" w:line="100" w:lineRule="exact"/>
              <w:jc w:val="right"/>
              <w:rPr>
                <w:snapToGrid w:val="0"/>
                <w:color w:val="000000"/>
                <w:sz w:val="17"/>
                <w:lang w:eastAsia="sv-SE"/>
              </w:rPr>
            </w:pPr>
          </w:p>
        </w:tc>
        <w:tc>
          <w:tcPr>
            <w:tcW w:w="1134" w:type="dxa"/>
          </w:tcPr>
          <w:p w:rsidR="001C7BF9" w:rsidRPr="00C9680B" w:rsidRDefault="001C7BF9">
            <w:pPr>
              <w:spacing w:before="0" w:line="100" w:lineRule="exact"/>
              <w:jc w:val="right"/>
              <w:rPr>
                <w:snapToGrid w:val="0"/>
                <w:color w:val="000000"/>
                <w:sz w:val="17"/>
                <w:lang w:eastAsia="sv-SE"/>
              </w:rPr>
            </w:pPr>
          </w:p>
        </w:tc>
      </w:tr>
      <w:tr w:rsidR="00000000" w:rsidRPr="00C9680B">
        <w:tblPrEx>
          <w:tblCellMar>
            <w:top w:w="0" w:type="dxa"/>
            <w:bottom w:w="0" w:type="dxa"/>
          </w:tblCellMar>
        </w:tblPrEx>
        <w:tc>
          <w:tcPr>
            <w:tcW w:w="4141" w:type="dxa"/>
            <w:hMerge w:val="restart"/>
          </w:tcPr>
          <w:p w:rsidR="001C7BF9" w:rsidRPr="00C9680B" w:rsidRDefault="001C7BF9">
            <w:pPr>
              <w:spacing w:before="0" w:line="240" w:lineRule="atLeast"/>
              <w:rPr>
                <w:b/>
                <w:snapToGrid w:val="0"/>
                <w:color w:val="000000"/>
                <w:sz w:val="17"/>
                <w:lang w:eastAsia="sv-SE"/>
              </w:rPr>
            </w:pPr>
            <w:r w:rsidRPr="00C9680B">
              <w:rPr>
                <w:b/>
                <w:snapToGrid w:val="0"/>
                <w:color w:val="000000"/>
                <w:sz w:val="17"/>
                <w:lang w:eastAsia="sv-SE"/>
              </w:rPr>
              <w:t>Summa statsbudgetens utgi</w:t>
            </w:r>
            <w:r w:rsidRPr="00C9680B">
              <w:rPr>
                <w:b/>
                <w:snapToGrid w:val="0"/>
                <w:color w:val="000000"/>
                <w:sz w:val="17"/>
                <w:lang w:eastAsia="sv-SE"/>
              </w:rPr>
              <w:t>f</w:t>
            </w:r>
            <w:r w:rsidRPr="00C9680B">
              <w:rPr>
                <w:b/>
                <w:snapToGrid w:val="0"/>
                <w:color w:val="000000"/>
                <w:sz w:val="17"/>
                <w:lang w:eastAsia="sv-SE"/>
              </w:rPr>
              <w:t>ter</w:t>
            </w:r>
          </w:p>
        </w:tc>
        <w:tc>
          <w:tcPr>
            <w:gridSpan w:val="2"/>
            <w:hMerge/>
          </w:tcPr>
          <w:p w:rsidR="001C7BF9" w:rsidRPr="00C9680B" w:rsidRDefault="001C7BF9">
            <w:pPr>
              <w:spacing w:before="0" w:line="240" w:lineRule="atLeast"/>
              <w:rPr>
                <w:snapToGrid w:val="0"/>
                <w:color w:val="000000"/>
                <w:sz w:val="17"/>
                <w:lang w:eastAsia="sv-SE"/>
              </w:rPr>
            </w:pPr>
          </w:p>
        </w:tc>
        <w:tc>
          <w:tcPr>
            <w:tcW w:w="1134" w:type="dxa"/>
          </w:tcPr>
          <w:p w:rsidR="001C7BF9" w:rsidRPr="00C9680B" w:rsidRDefault="001C7BF9">
            <w:pPr>
              <w:spacing w:before="0" w:line="240" w:lineRule="atLeast"/>
              <w:jc w:val="right"/>
              <w:rPr>
                <w:b/>
                <w:snapToGrid w:val="0"/>
                <w:color w:val="000000"/>
                <w:sz w:val="17"/>
                <w:lang w:eastAsia="sv-SE"/>
              </w:rPr>
            </w:pPr>
            <w:r w:rsidRPr="00C9680B">
              <w:rPr>
                <w:b/>
                <w:snapToGrid w:val="0"/>
                <w:color w:val="000000"/>
                <w:lang w:eastAsia="sv-SE"/>
              </w:rPr>
              <w:t>676 644 713</w:t>
            </w:r>
          </w:p>
        </w:tc>
        <w:tc>
          <w:tcPr>
            <w:tcW w:w="1134" w:type="dxa"/>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+14 692 678</w:t>
            </w:r>
          </w:p>
        </w:tc>
        <w:tc>
          <w:tcPr>
            <w:tcW w:w="1134" w:type="dxa"/>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-9 799 241</w:t>
            </w:r>
          </w:p>
        </w:tc>
        <w:tc>
          <w:tcPr>
            <w:tcW w:w="1134" w:type="dxa"/>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-12 624 000</w:t>
            </w:r>
          </w:p>
        </w:tc>
        <w:tc>
          <w:tcPr>
            <w:tcW w:w="1134" w:type="dxa"/>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-22 866 000</w:t>
            </w:r>
          </w:p>
        </w:tc>
      </w:tr>
      <w:tr w:rsidR="00000000" w:rsidRPr="00C9680B">
        <w:tblPrEx>
          <w:tblCellMar>
            <w:top w:w="0" w:type="dxa"/>
            <w:bottom w:w="0" w:type="dxa"/>
          </w:tblCellMar>
        </w:tblPrEx>
        <w:tc>
          <w:tcPr>
            <w:tcW w:w="4141" w:type="dxa"/>
            <w:hMerge w:val="restart"/>
          </w:tcPr>
          <w:p w:rsidR="001C7BF9" w:rsidRPr="00C9680B" w:rsidRDefault="001C7BF9">
            <w:pPr>
              <w:spacing w:before="0" w:line="100" w:lineRule="exact"/>
              <w:rPr>
                <w:snapToGrid w:val="0"/>
                <w:color w:val="000000"/>
                <w:sz w:val="17"/>
                <w:lang w:eastAsia="sv-SE"/>
              </w:rPr>
            </w:pPr>
          </w:p>
        </w:tc>
        <w:tc>
          <w:tcPr>
            <w:gridSpan w:val="2"/>
            <w:hMerge/>
          </w:tcPr>
          <w:p w:rsidR="001C7BF9" w:rsidRPr="00C9680B" w:rsidRDefault="001C7BF9">
            <w:pPr>
              <w:spacing w:before="0" w:line="100" w:lineRule="exact"/>
              <w:rPr>
                <w:snapToGrid w:val="0"/>
                <w:color w:val="000000"/>
                <w:sz w:val="17"/>
                <w:lang w:eastAsia="sv-SE"/>
              </w:rPr>
            </w:pPr>
          </w:p>
        </w:tc>
        <w:tc>
          <w:tcPr>
            <w:tcW w:w="1134" w:type="dxa"/>
          </w:tcPr>
          <w:p w:rsidR="001C7BF9" w:rsidRPr="00C9680B" w:rsidRDefault="001C7BF9">
            <w:pPr>
              <w:spacing w:before="0" w:line="100" w:lineRule="exact"/>
              <w:jc w:val="right"/>
              <w:rPr>
                <w:snapToGrid w:val="0"/>
                <w:color w:val="000000"/>
                <w:sz w:val="17"/>
                <w:lang w:eastAsia="sv-SE"/>
              </w:rPr>
            </w:pPr>
          </w:p>
        </w:tc>
        <w:tc>
          <w:tcPr>
            <w:tcW w:w="1134" w:type="dxa"/>
          </w:tcPr>
          <w:p w:rsidR="001C7BF9" w:rsidRPr="00C9680B" w:rsidRDefault="001C7BF9">
            <w:pPr>
              <w:spacing w:before="0" w:line="100" w:lineRule="exact"/>
              <w:jc w:val="right"/>
              <w:rPr>
                <w:snapToGrid w:val="0"/>
                <w:color w:val="000000"/>
                <w:sz w:val="17"/>
                <w:lang w:eastAsia="sv-SE"/>
              </w:rPr>
            </w:pPr>
          </w:p>
        </w:tc>
        <w:tc>
          <w:tcPr>
            <w:tcW w:w="1134" w:type="dxa"/>
          </w:tcPr>
          <w:p w:rsidR="001C7BF9" w:rsidRPr="00C9680B" w:rsidRDefault="001C7BF9">
            <w:pPr>
              <w:spacing w:before="0" w:line="100" w:lineRule="exact"/>
              <w:jc w:val="right"/>
              <w:rPr>
                <w:snapToGrid w:val="0"/>
                <w:color w:val="000000"/>
                <w:sz w:val="17"/>
                <w:lang w:eastAsia="sv-SE"/>
              </w:rPr>
            </w:pPr>
          </w:p>
        </w:tc>
        <w:tc>
          <w:tcPr>
            <w:tcW w:w="1134" w:type="dxa"/>
          </w:tcPr>
          <w:p w:rsidR="001C7BF9" w:rsidRPr="00C9680B" w:rsidRDefault="001C7BF9">
            <w:pPr>
              <w:spacing w:before="0" w:line="100" w:lineRule="exact"/>
              <w:jc w:val="right"/>
              <w:rPr>
                <w:snapToGrid w:val="0"/>
                <w:color w:val="000000"/>
                <w:sz w:val="17"/>
                <w:lang w:eastAsia="sv-SE"/>
              </w:rPr>
            </w:pPr>
          </w:p>
        </w:tc>
        <w:tc>
          <w:tcPr>
            <w:tcW w:w="1134" w:type="dxa"/>
          </w:tcPr>
          <w:p w:rsidR="001C7BF9" w:rsidRPr="00C9680B" w:rsidRDefault="001C7BF9">
            <w:pPr>
              <w:spacing w:before="0" w:line="100" w:lineRule="exact"/>
              <w:jc w:val="right"/>
              <w:rPr>
                <w:snapToGrid w:val="0"/>
                <w:color w:val="000000"/>
                <w:sz w:val="17"/>
                <w:lang w:eastAsia="sv-SE"/>
              </w:rPr>
            </w:pPr>
          </w:p>
        </w:tc>
      </w:tr>
      <w:tr w:rsidR="00000000" w:rsidRPr="00C9680B">
        <w:tblPrEx>
          <w:tblCellMar>
            <w:top w:w="0" w:type="dxa"/>
            <w:bottom w:w="0" w:type="dxa"/>
          </w:tblCellMar>
        </w:tblPrEx>
        <w:tc>
          <w:tcPr>
            <w:tcW w:w="4141" w:type="dxa"/>
            <w:hMerge w:val="restart"/>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Ålderspensionssystemet vid s</w:t>
            </w:r>
            <w:r w:rsidRPr="00C9680B">
              <w:rPr>
                <w:snapToGrid w:val="0"/>
                <w:color w:val="000000"/>
                <w:sz w:val="17"/>
                <w:lang w:eastAsia="sv-SE"/>
              </w:rPr>
              <w:t>i</w:t>
            </w:r>
            <w:r w:rsidRPr="00C9680B">
              <w:rPr>
                <w:snapToGrid w:val="0"/>
                <w:color w:val="000000"/>
                <w:sz w:val="17"/>
                <w:lang w:eastAsia="sv-SE"/>
              </w:rPr>
              <w:t>dan av statsbudgeten</w:t>
            </w:r>
          </w:p>
        </w:tc>
        <w:tc>
          <w:tcPr>
            <w:gridSpan w:val="2"/>
            <w:hMerge/>
          </w:tcPr>
          <w:p w:rsidR="001C7BF9" w:rsidRPr="00C9680B" w:rsidRDefault="001C7BF9">
            <w:pPr>
              <w:spacing w:before="0" w:line="240" w:lineRule="atLeas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144 579 000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r>
      <w:tr w:rsidR="00000000" w:rsidRPr="00C9680B">
        <w:tblPrEx>
          <w:tblCellMar>
            <w:top w:w="0" w:type="dxa"/>
            <w:bottom w:w="0" w:type="dxa"/>
          </w:tblCellMar>
        </w:tblPrEx>
        <w:tc>
          <w:tcPr>
            <w:tcW w:w="4141" w:type="dxa"/>
            <w:hMerge w:val="restart"/>
          </w:tcPr>
          <w:p w:rsidR="001C7BF9" w:rsidRPr="00C9680B" w:rsidRDefault="001C7BF9">
            <w:pPr>
              <w:spacing w:before="0" w:line="240" w:lineRule="atLeast"/>
              <w:rPr>
                <w:snapToGrid w:val="0"/>
                <w:color w:val="000000"/>
                <w:sz w:val="17"/>
                <w:lang w:eastAsia="sv-SE"/>
              </w:rPr>
            </w:pPr>
            <w:r w:rsidRPr="00C9680B">
              <w:rPr>
                <w:snapToGrid w:val="0"/>
                <w:color w:val="000000"/>
                <w:sz w:val="17"/>
                <w:lang w:eastAsia="sv-SE"/>
              </w:rPr>
              <w:t>Budgeteringsmarginal</w:t>
            </w:r>
          </w:p>
        </w:tc>
        <w:tc>
          <w:tcPr>
            <w:gridSpan w:val="2"/>
            <w:hMerge/>
          </w:tcPr>
          <w:p w:rsidR="001C7BF9" w:rsidRPr="00C9680B" w:rsidRDefault="001C7BF9">
            <w:pPr>
              <w:spacing w:before="0" w:line="240" w:lineRule="atLeas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1 210 000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-1 210 000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+577 000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+3 754 000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+4 166 000</w:t>
            </w:r>
          </w:p>
        </w:tc>
      </w:tr>
      <w:tr w:rsidR="00000000" w:rsidRPr="00C9680B">
        <w:tblPrEx>
          <w:tblCellMar>
            <w:top w:w="0" w:type="dxa"/>
            <w:bottom w:w="0" w:type="dxa"/>
          </w:tblCellMar>
        </w:tblPrEx>
        <w:tc>
          <w:tcPr>
            <w:tcW w:w="4141" w:type="dxa"/>
            <w:hMerge w:val="restart"/>
            <w:tcBorders>
              <w:bottom w:val="single" w:sz="4" w:space="0" w:color="auto"/>
            </w:tcBorders>
          </w:tcPr>
          <w:p w:rsidR="001C7BF9" w:rsidRPr="00C9680B" w:rsidRDefault="001C7BF9">
            <w:pPr>
              <w:spacing w:before="0" w:line="240" w:lineRule="atLeast"/>
              <w:rPr>
                <w:b/>
                <w:snapToGrid w:val="0"/>
                <w:color w:val="000000"/>
                <w:sz w:val="17"/>
                <w:lang w:eastAsia="sv-SE"/>
              </w:rPr>
            </w:pPr>
            <w:r w:rsidRPr="00C9680B">
              <w:rPr>
                <w:b/>
                <w:snapToGrid w:val="0"/>
                <w:color w:val="000000"/>
                <w:sz w:val="17"/>
                <w:lang w:eastAsia="sv-SE"/>
              </w:rPr>
              <w:t>Utgiftstak</w:t>
            </w:r>
          </w:p>
        </w:tc>
        <w:tc>
          <w:tcPr>
            <w:gridSpan w:val="2"/>
            <w:hMerge/>
            <w:tcBorders>
              <w:bottom w:val="single" w:sz="4" w:space="0" w:color="auto"/>
            </w:tcBorders>
          </w:tcPr>
          <w:p w:rsidR="001C7BF9" w:rsidRPr="00C9680B" w:rsidRDefault="001C7BF9">
            <w:pPr>
              <w:spacing w:before="0" w:line="240" w:lineRule="atLeast"/>
              <w:rPr>
                <w:b/>
                <w:snapToGrid w:val="0"/>
                <w:color w:val="000000"/>
                <w:sz w:val="17"/>
                <w:lang w:eastAsia="sv-SE"/>
              </w:rPr>
            </w:pPr>
          </w:p>
        </w:tc>
        <w:tc>
          <w:tcPr>
            <w:tcW w:w="1134" w:type="dxa"/>
            <w:tcBorders>
              <w:bottom w:val="single" w:sz="4" w:space="0" w:color="auto"/>
            </w:tcBorders>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789 000 000</w:t>
            </w:r>
          </w:p>
        </w:tc>
        <w:tc>
          <w:tcPr>
            <w:tcW w:w="1134" w:type="dxa"/>
            <w:tcBorders>
              <w:bottom w:val="single" w:sz="4" w:space="0" w:color="auto"/>
            </w:tcBorders>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+16 000 000</w:t>
            </w:r>
          </w:p>
        </w:tc>
        <w:tc>
          <w:tcPr>
            <w:tcW w:w="1134" w:type="dxa"/>
            <w:tcBorders>
              <w:bottom w:val="single" w:sz="4" w:space="0" w:color="auto"/>
            </w:tcBorders>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-8 000 000</w:t>
            </w:r>
          </w:p>
        </w:tc>
        <w:tc>
          <w:tcPr>
            <w:tcW w:w="1134" w:type="dxa"/>
            <w:tcBorders>
              <w:bottom w:val="single" w:sz="4" w:space="0" w:color="auto"/>
            </w:tcBorders>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-8 000 000</w:t>
            </w:r>
          </w:p>
        </w:tc>
        <w:tc>
          <w:tcPr>
            <w:tcW w:w="1134" w:type="dxa"/>
            <w:tcBorders>
              <w:bottom w:val="single" w:sz="4" w:space="0" w:color="auto"/>
            </w:tcBorders>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-17 000 000</w:t>
            </w:r>
          </w:p>
        </w:tc>
      </w:tr>
    </w:tbl>
    <w:p w:rsidR="001C7BF9" w:rsidRPr="00C9680B" w:rsidRDefault="001C7BF9">
      <w:pPr>
        <w:pStyle w:val="Rubrik2"/>
        <w:spacing w:before="0"/>
      </w:pPr>
      <w:bookmarkStart w:id="43" w:name="_Toc498910646"/>
      <w:r w:rsidRPr="00C9680B">
        <w:t>Förslag till beräkning av statbudgetens inkomster för år 2001 per inkomsttitel</w:t>
      </w:r>
      <w:bookmarkEnd w:id="43"/>
    </w:p>
    <w:p w:rsidR="001C7BF9" w:rsidRPr="00C9680B" w:rsidRDefault="001C7BF9">
      <w:r w:rsidRPr="00C9680B">
        <w:t>Belopp i 1 000-tal kronor</w:t>
      </w:r>
    </w:p>
    <w:p w:rsidR="001C7BF9" w:rsidRPr="00C9680B" w:rsidRDefault="001C7BF9">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1"/>
        <w:gridCol w:w="489"/>
        <w:gridCol w:w="3793"/>
        <w:gridCol w:w="992"/>
        <w:gridCol w:w="992"/>
        <w:gridCol w:w="1134"/>
        <w:gridCol w:w="1276"/>
        <w:gridCol w:w="1276"/>
      </w:tblGrid>
      <w:tr w:rsidR="00000000" w:rsidRPr="00C9680B">
        <w:tblPrEx>
          <w:tblCellMar>
            <w:top w:w="0" w:type="dxa"/>
            <w:bottom w:w="0" w:type="dxa"/>
          </w:tblCellMar>
        </w:tblPrEx>
        <w:trPr>
          <w:cantSplit/>
          <w:tblHeader/>
        </w:trPr>
        <w:tc>
          <w:tcPr>
            <w:tcW w:w="4283" w:type="dxa"/>
            <w:gridSpan w:val="3"/>
            <w:tcBorders>
              <w:top w:val="single" w:sz="4" w:space="0" w:color="auto"/>
            </w:tcBorders>
          </w:tcPr>
          <w:p w:rsidR="001C7BF9" w:rsidRPr="00C9680B" w:rsidRDefault="001C7BF9">
            <w:pPr>
              <w:spacing w:before="0" w:line="240" w:lineRule="atLeast"/>
              <w:jc w:val="left"/>
              <w:rPr>
                <w:snapToGrid w:val="0"/>
                <w:color w:val="000000"/>
                <w:sz w:val="17"/>
                <w:lang w:eastAsia="sv-SE"/>
              </w:rPr>
            </w:pPr>
          </w:p>
        </w:tc>
        <w:tc>
          <w:tcPr>
            <w:tcW w:w="992" w:type="dxa"/>
            <w:tcBorders>
              <w:top w:val="single" w:sz="4" w:space="0" w:color="auto"/>
            </w:tcBorders>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Regerin</w:t>
            </w:r>
            <w:r w:rsidRPr="00C9680B">
              <w:rPr>
                <w:b/>
                <w:snapToGrid w:val="0"/>
                <w:color w:val="000000"/>
                <w:sz w:val="17"/>
                <w:lang w:eastAsia="sv-SE"/>
              </w:rPr>
              <w:t>g</w:t>
            </w:r>
            <w:r w:rsidRPr="00C9680B">
              <w:rPr>
                <w:b/>
                <w:snapToGrid w:val="0"/>
                <w:color w:val="000000"/>
                <w:sz w:val="17"/>
                <w:lang w:eastAsia="sv-SE"/>
              </w:rPr>
              <w:t xml:space="preserve">ens </w:t>
            </w:r>
          </w:p>
        </w:tc>
        <w:tc>
          <w:tcPr>
            <w:tcW w:w="4678" w:type="dxa"/>
            <w:gridSpan w:val="4"/>
            <w:tcBorders>
              <w:top w:val="single" w:sz="4" w:space="0" w:color="auto"/>
              <w:bottom w:val="single" w:sz="4" w:space="0" w:color="auto"/>
            </w:tcBorders>
          </w:tcPr>
          <w:p w:rsidR="001C7BF9" w:rsidRPr="00C9680B" w:rsidRDefault="001C7BF9">
            <w:pPr>
              <w:spacing w:before="0" w:line="240" w:lineRule="atLeast"/>
              <w:jc w:val="center"/>
              <w:rPr>
                <w:b/>
                <w:snapToGrid w:val="0"/>
                <w:color w:val="000000"/>
                <w:sz w:val="17"/>
                <w:lang w:eastAsia="sv-SE"/>
              </w:rPr>
            </w:pPr>
            <w:r w:rsidRPr="00C9680B">
              <w:rPr>
                <w:b/>
                <w:snapToGrid w:val="0"/>
                <w:color w:val="000000"/>
                <w:sz w:val="17"/>
                <w:lang w:eastAsia="sv-SE"/>
              </w:rPr>
              <w:t>Reservanternas förslag i förhå</w:t>
            </w:r>
            <w:r w:rsidRPr="00C9680B">
              <w:rPr>
                <w:b/>
                <w:snapToGrid w:val="0"/>
                <w:color w:val="000000"/>
                <w:sz w:val="17"/>
                <w:lang w:eastAsia="sv-SE"/>
              </w:rPr>
              <w:t>l</w:t>
            </w:r>
            <w:r w:rsidRPr="00C9680B">
              <w:rPr>
                <w:b/>
                <w:snapToGrid w:val="0"/>
                <w:color w:val="000000"/>
                <w:sz w:val="17"/>
                <w:lang w:eastAsia="sv-SE"/>
              </w:rPr>
              <w:t>lande till utskottets förslag</w:t>
            </w:r>
          </w:p>
        </w:tc>
      </w:tr>
      <w:tr w:rsidR="00000000" w:rsidRPr="00C9680B">
        <w:tblPrEx>
          <w:tblCellMar>
            <w:top w:w="0" w:type="dxa"/>
            <w:bottom w:w="0" w:type="dxa"/>
          </w:tblCellMar>
        </w:tblPrEx>
        <w:trPr>
          <w:tblHeader/>
        </w:trPr>
        <w:tc>
          <w:tcPr>
            <w:tcW w:w="4283" w:type="dxa"/>
            <w:hMerge w:val="restart"/>
          </w:tcPr>
          <w:p w:rsidR="001C7BF9" w:rsidRPr="00C9680B" w:rsidRDefault="001C7BF9">
            <w:pPr>
              <w:spacing w:before="0" w:line="240" w:lineRule="atLeast"/>
              <w:jc w:val="left"/>
              <w:rPr>
                <w:b/>
                <w:snapToGrid w:val="0"/>
                <w:color w:val="000000"/>
                <w:sz w:val="17"/>
                <w:lang w:eastAsia="sv-SE"/>
              </w:rPr>
            </w:pPr>
            <w:r w:rsidRPr="00C9680B">
              <w:rPr>
                <w:b/>
                <w:snapToGrid w:val="0"/>
                <w:color w:val="000000"/>
                <w:sz w:val="17"/>
                <w:lang w:eastAsia="sv-SE"/>
              </w:rPr>
              <w:t>Inkomsttitel</w:t>
            </w:r>
          </w:p>
        </w:tc>
        <w:tc>
          <w:tcPr>
            <w:gridSpan w:val="2"/>
            <w:hMerge/>
          </w:tcPr>
          <w:p w:rsidR="001C7BF9" w:rsidRPr="00C9680B" w:rsidRDefault="001C7BF9">
            <w:pPr>
              <w:spacing w:before="0" w:line="240" w:lineRule="atLeast"/>
              <w:jc w:val="left"/>
              <w:rPr>
                <w:b/>
                <w:snapToGrid w:val="0"/>
                <w:color w:val="000000"/>
                <w:sz w:val="17"/>
                <w:lang w:eastAsia="sv-SE"/>
              </w:rPr>
            </w:pPr>
          </w:p>
        </w:tc>
        <w:tc>
          <w:tcPr>
            <w:tcW w:w="992" w:type="dxa"/>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 xml:space="preserve"> fö</w:t>
            </w:r>
            <w:r w:rsidRPr="00C9680B">
              <w:rPr>
                <w:b/>
                <w:snapToGrid w:val="0"/>
                <w:color w:val="000000"/>
                <w:sz w:val="17"/>
                <w:lang w:eastAsia="sv-SE"/>
              </w:rPr>
              <w:t>r</w:t>
            </w:r>
            <w:r w:rsidRPr="00C9680B">
              <w:rPr>
                <w:b/>
                <w:snapToGrid w:val="0"/>
                <w:color w:val="000000"/>
                <w:sz w:val="17"/>
                <w:lang w:eastAsia="sv-SE"/>
              </w:rPr>
              <w:t>slag</w:t>
            </w:r>
          </w:p>
        </w:tc>
        <w:tc>
          <w:tcPr>
            <w:tcW w:w="992" w:type="dxa"/>
          </w:tcPr>
          <w:p w:rsidR="001C7BF9" w:rsidRPr="00C9680B" w:rsidRDefault="001C7BF9">
            <w:pPr>
              <w:spacing w:before="0" w:line="240" w:lineRule="atLeast"/>
              <w:jc w:val="center"/>
              <w:rPr>
                <w:b/>
                <w:snapToGrid w:val="0"/>
                <w:color w:val="000000"/>
                <w:sz w:val="17"/>
                <w:lang w:eastAsia="sv-SE"/>
              </w:rPr>
            </w:pPr>
            <w:r w:rsidRPr="00C9680B">
              <w:rPr>
                <w:b/>
                <w:snapToGrid w:val="0"/>
                <w:color w:val="000000"/>
                <w:sz w:val="17"/>
                <w:lang w:eastAsia="sv-SE"/>
              </w:rPr>
              <w:t>Res. 12 (m)</w:t>
            </w:r>
          </w:p>
        </w:tc>
        <w:tc>
          <w:tcPr>
            <w:tcW w:w="1134" w:type="dxa"/>
          </w:tcPr>
          <w:p w:rsidR="001C7BF9" w:rsidRPr="00C9680B" w:rsidRDefault="001C7BF9">
            <w:pPr>
              <w:spacing w:before="0" w:line="240" w:lineRule="atLeast"/>
              <w:jc w:val="center"/>
              <w:rPr>
                <w:b/>
                <w:snapToGrid w:val="0"/>
                <w:color w:val="000000"/>
                <w:sz w:val="17"/>
                <w:lang w:eastAsia="sv-SE"/>
              </w:rPr>
            </w:pPr>
            <w:r w:rsidRPr="00C9680B">
              <w:rPr>
                <w:b/>
                <w:snapToGrid w:val="0"/>
                <w:color w:val="000000"/>
                <w:sz w:val="17"/>
                <w:lang w:eastAsia="sv-SE"/>
              </w:rPr>
              <w:t>Res. 13 (kd)</w:t>
            </w:r>
          </w:p>
        </w:tc>
        <w:tc>
          <w:tcPr>
            <w:tcW w:w="1276" w:type="dxa"/>
          </w:tcPr>
          <w:p w:rsidR="001C7BF9" w:rsidRPr="00C9680B" w:rsidRDefault="001C7BF9">
            <w:pPr>
              <w:spacing w:before="0" w:line="240" w:lineRule="atLeast"/>
              <w:jc w:val="center"/>
              <w:rPr>
                <w:b/>
                <w:snapToGrid w:val="0"/>
                <w:color w:val="000000"/>
                <w:sz w:val="17"/>
                <w:lang w:eastAsia="sv-SE"/>
              </w:rPr>
            </w:pPr>
            <w:r w:rsidRPr="00C9680B">
              <w:rPr>
                <w:b/>
                <w:snapToGrid w:val="0"/>
                <w:color w:val="000000"/>
                <w:sz w:val="17"/>
                <w:lang w:eastAsia="sv-SE"/>
              </w:rPr>
              <w:t>Res. 14 (c)</w:t>
            </w:r>
          </w:p>
        </w:tc>
        <w:tc>
          <w:tcPr>
            <w:tcW w:w="1276" w:type="dxa"/>
          </w:tcPr>
          <w:p w:rsidR="001C7BF9" w:rsidRPr="00C9680B" w:rsidRDefault="001C7BF9">
            <w:pPr>
              <w:spacing w:before="0" w:line="240" w:lineRule="atLeast"/>
              <w:jc w:val="center"/>
              <w:rPr>
                <w:b/>
                <w:snapToGrid w:val="0"/>
                <w:color w:val="000000"/>
                <w:sz w:val="17"/>
                <w:lang w:eastAsia="sv-SE"/>
              </w:rPr>
            </w:pPr>
            <w:r w:rsidRPr="00C9680B">
              <w:rPr>
                <w:b/>
                <w:snapToGrid w:val="0"/>
                <w:color w:val="000000"/>
                <w:sz w:val="17"/>
                <w:lang w:eastAsia="sv-SE"/>
              </w:rPr>
              <w:t>Res. 15 (fp)</w:t>
            </w:r>
          </w:p>
        </w:tc>
      </w:tr>
      <w:tr w:rsidR="00000000" w:rsidRPr="00C9680B">
        <w:tblPrEx>
          <w:tblCellMar>
            <w:top w:w="0" w:type="dxa"/>
            <w:bottom w:w="0" w:type="dxa"/>
          </w:tblCellMar>
        </w:tblPrEx>
        <w:trPr>
          <w:tblHeader/>
        </w:trPr>
        <w:tc>
          <w:tcPr>
            <w:tcW w:w="490" w:type="dxa"/>
            <w:gridSpan w:val="2"/>
            <w:tcBorders>
              <w:top w:val="single" w:sz="6" w:space="0" w:color="auto"/>
            </w:tcBorders>
          </w:tcPr>
          <w:p w:rsidR="001C7BF9" w:rsidRPr="00C9680B" w:rsidRDefault="001C7BF9">
            <w:pPr>
              <w:spacing w:before="0" w:line="100" w:lineRule="exact"/>
              <w:jc w:val="left"/>
              <w:rPr>
                <w:b/>
                <w:snapToGrid w:val="0"/>
                <w:color w:val="000000"/>
                <w:sz w:val="17"/>
                <w:lang w:eastAsia="sv-SE"/>
              </w:rPr>
            </w:pPr>
          </w:p>
        </w:tc>
        <w:tc>
          <w:tcPr>
            <w:tcW w:w="3793" w:type="dxa"/>
            <w:tcBorders>
              <w:top w:val="single" w:sz="6" w:space="0" w:color="auto"/>
            </w:tcBorders>
          </w:tcPr>
          <w:p w:rsidR="001C7BF9" w:rsidRPr="00C9680B" w:rsidRDefault="001C7BF9">
            <w:pPr>
              <w:spacing w:before="0" w:line="100" w:lineRule="exact"/>
              <w:jc w:val="left"/>
              <w:rPr>
                <w:b/>
                <w:snapToGrid w:val="0"/>
                <w:color w:val="000000"/>
                <w:sz w:val="17"/>
                <w:lang w:eastAsia="sv-SE"/>
              </w:rPr>
            </w:pPr>
          </w:p>
        </w:tc>
        <w:tc>
          <w:tcPr>
            <w:tcW w:w="992" w:type="dxa"/>
            <w:tcBorders>
              <w:top w:val="single" w:sz="6" w:space="0" w:color="auto"/>
            </w:tcBorders>
          </w:tcPr>
          <w:p w:rsidR="001C7BF9" w:rsidRPr="00C9680B" w:rsidRDefault="001C7BF9">
            <w:pPr>
              <w:spacing w:before="0" w:line="100" w:lineRule="exact"/>
              <w:jc w:val="right"/>
              <w:rPr>
                <w:b/>
                <w:snapToGrid w:val="0"/>
                <w:color w:val="000000"/>
                <w:sz w:val="17"/>
                <w:lang w:eastAsia="sv-SE"/>
              </w:rPr>
            </w:pPr>
          </w:p>
        </w:tc>
        <w:tc>
          <w:tcPr>
            <w:tcW w:w="992" w:type="dxa"/>
            <w:tcBorders>
              <w:top w:val="single" w:sz="6" w:space="0" w:color="auto"/>
            </w:tcBorders>
          </w:tcPr>
          <w:p w:rsidR="001C7BF9" w:rsidRPr="00C9680B" w:rsidRDefault="001C7BF9">
            <w:pPr>
              <w:spacing w:before="0" w:line="100" w:lineRule="exact"/>
              <w:jc w:val="center"/>
              <w:rPr>
                <w:b/>
                <w:snapToGrid w:val="0"/>
                <w:color w:val="000000"/>
                <w:sz w:val="17"/>
                <w:lang w:eastAsia="sv-SE"/>
              </w:rPr>
            </w:pPr>
          </w:p>
        </w:tc>
        <w:tc>
          <w:tcPr>
            <w:tcW w:w="1134" w:type="dxa"/>
            <w:tcBorders>
              <w:top w:val="single" w:sz="6" w:space="0" w:color="auto"/>
            </w:tcBorders>
          </w:tcPr>
          <w:p w:rsidR="001C7BF9" w:rsidRPr="00C9680B" w:rsidRDefault="001C7BF9">
            <w:pPr>
              <w:spacing w:before="0" w:line="100" w:lineRule="exact"/>
              <w:jc w:val="center"/>
              <w:rPr>
                <w:b/>
                <w:snapToGrid w:val="0"/>
                <w:color w:val="000000"/>
                <w:sz w:val="17"/>
                <w:lang w:eastAsia="sv-SE"/>
              </w:rPr>
            </w:pPr>
          </w:p>
        </w:tc>
        <w:tc>
          <w:tcPr>
            <w:tcW w:w="1276" w:type="dxa"/>
            <w:tcBorders>
              <w:top w:val="single" w:sz="6" w:space="0" w:color="auto"/>
            </w:tcBorders>
          </w:tcPr>
          <w:p w:rsidR="001C7BF9" w:rsidRPr="00C9680B" w:rsidRDefault="001C7BF9">
            <w:pPr>
              <w:spacing w:before="0" w:line="100" w:lineRule="exact"/>
              <w:jc w:val="center"/>
              <w:rPr>
                <w:b/>
                <w:snapToGrid w:val="0"/>
                <w:color w:val="000000"/>
                <w:sz w:val="17"/>
                <w:lang w:eastAsia="sv-SE"/>
              </w:rPr>
            </w:pPr>
          </w:p>
        </w:tc>
        <w:tc>
          <w:tcPr>
            <w:tcW w:w="1276" w:type="dxa"/>
            <w:tcBorders>
              <w:top w:val="single" w:sz="6" w:space="0" w:color="auto"/>
            </w:tcBorders>
          </w:tcPr>
          <w:p w:rsidR="001C7BF9" w:rsidRPr="00C9680B" w:rsidRDefault="001C7BF9">
            <w:pPr>
              <w:spacing w:before="0" w:line="100" w:lineRule="exact"/>
              <w:jc w:val="center"/>
              <w:rPr>
                <w:b/>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b/>
                <w:i/>
                <w:snapToGrid w:val="0"/>
                <w:color w:val="000000"/>
                <w:sz w:val="17"/>
                <w:lang w:eastAsia="sv-SE"/>
              </w:rPr>
            </w:pPr>
            <w:r w:rsidRPr="00C9680B">
              <w:rPr>
                <w:b/>
                <w:i/>
                <w:snapToGrid w:val="0"/>
                <w:color w:val="000000"/>
                <w:sz w:val="17"/>
                <w:lang w:eastAsia="sv-SE"/>
              </w:rPr>
              <w:t>1000</w:t>
            </w:r>
          </w:p>
        </w:tc>
        <w:tc>
          <w:tcPr>
            <w:tcW w:w="3793" w:type="dxa"/>
          </w:tcPr>
          <w:p w:rsidR="001C7BF9" w:rsidRPr="00C9680B" w:rsidRDefault="001C7BF9">
            <w:pPr>
              <w:spacing w:before="0" w:line="240" w:lineRule="atLeast"/>
              <w:jc w:val="left"/>
              <w:rPr>
                <w:b/>
                <w:i/>
                <w:snapToGrid w:val="0"/>
                <w:color w:val="000000"/>
                <w:sz w:val="17"/>
                <w:lang w:eastAsia="sv-SE"/>
              </w:rPr>
            </w:pPr>
            <w:r w:rsidRPr="00C9680B">
              <w:rPr>
                <w:b/>
                <w:i/>
                <w:snapToGrid w:val="0"/>
                <w:color w:val="000000"/>
                <w:sz w:val="17"/>
                <w:lang w:eastAsia="sv-SE"/>
              </w:rPr>
              <w:t>Skatter m.m.:</w:t>
            </w:r>
          </w:p>
        </w:tc>
        <w:tc>
          <w:tcPr>
            <w:tcW w:w="992" w:type="dxa"/>
          </w:tcPr>
          <w:p w:rsidR="001C7BF9" w:rsidRPr="00C9680B" w:rsidRDefault="001C7BF9">
            <w:pPr>
              <w:spacing w:before="0" w:line="240" w:lineRule="atLeast"/>
              <w:jc w:val="right"/>
              <w:rPr>
                <w:b/>
                <w:i/>
                <w:snapToGrid w:val="0"/>
                <w:color w:val="000000"/>
                <w:sz w:val="17"/>
                <w:lang w:eastAsia="sv-SE"/>
              </w:rPr>
            </w:pPr>
            <w:r w:rsidRPr="00C9680B">
              <w:rPr>
                <w:b/>
                <w:i/>
                <w:snapToGrid w:val="0"/>
                <w:color w:val="000000"/>
                <w:sz w:val="17"/>
                <w:lang w:eastAsia="sv-SE"/>
              </w:rPr>
              <w:t>651 168 338</w:t>
            </w:r>
          </w:p>
        </w:tc>
        <w:tc>
          <w:tcPr>
            <w:tcW w:w="992" w:type="dxa"/>
          </w:tcPr>
          <w:p w:rsidR="001C7BF9" w:rsidRPr="00C9680B" w:rsidRDefault="001C7BF9">
            <w:pPr>
              <w:spacing w:before="0" w:line="240" w:lineRule="atLeast"/>
              <w:jc w:val="right"/>
              <w:rPr>
                <w:b/>
                <w:i/>
                <w:snapToGrid w:val="0"/>
                <w:color w:val="000000"/>
                <w:sz w:val="17"/>
                <w:lang w:eastAsia="sv-SE"/>
              </w:rPr>
            </w:pPr>
            <w:r w:rsidRPr="00C9680B">
              <w:rPr>
                <w:b/>
                <w:i/>
                <w:snapToGrid w:val="0"/>
                <w:color w:val="000000"/>
                <w:sz w:val="17"/>
                <w:lang w:eastAsia="sv-SE"/>
              </w:rPr>
              <w:t>+1 800 000</w:t>
            </w:r>
          </w:p>
        </w:tc>
        <w:tc>
          <w:tcPr>
            <w:tcW w:w="1134" w:type="dxa"/>
          </w:tcPr>
          <w:p w:rsidR="001C7BF9" w:rsidRPr="00C9680B" w:rsidRDefault="001C7BF9">
            <w:pPr>
              <w:spacing w:before="0" w:line="240" w:lineRule="atLeast"/>
              <w:jc w:val="right"/>
              <w:rPr>
                <w:b/>
                <w:i/>
                <w:snapToGrid w:val="0"/>
                <w:color w:val="000000"/>
                <w:sz w:val="17"/>
                <w:lang w:eastAsia="sv-SE"/>
              </w:rPr>
            </w:pPr>
            <w:r w:rsidRPr="00C9680B">
              <w:rPr>
                <w:b/>
                <w:i/>
                <w:snapToGrid w:val="0"/>
                <w:color w:val="000000"/>
                <w:sz w:val="17"/>
                <w:lang w:eastAsia="sv-SE"/>
              </w:rPr>
              <w:t>-25 640 000</w:t>
            </w:r>
          </w:p>
        </w:tc>
        <w:tc>
          <w:tcPr>
            <w:tcW w:w="1276" w:type="dxa"/>
          </w:tcPr>
          <w:p w:rsidR="001C7BF9" w:rsidRPr="00C9680B" w:rsidRDefault="001C7BF9">
            <w:pPr>
              <w:spacing w:before="0" w:line="240" w:lineRule="atLeast"/>
              <w:jc w:val="right"/>
              <w:rPr>
                <w:b/>
                <w:i/>
                <w:snapToGrid w:val="0"/>
                <w:color w:val="000000"/>
                <w:sz w:val="17"/>
                <w:lang w:eastAsia="sv-SE"/>
              </w:rPr>
            </w:pPr>
            <w:r w:rsidRPr="00C9680B">
              <w:rPr>
                <w:b/>
                <w:i/>
                <w:snapToGrid w:val="0"/>
                <w:color w:val="000000"/>
                <w:sz w:val="17"/>
                <w:lang w:eastAsia="sv-SE"/>
              </w:rPr>
              <w:t>-10 185 000</w:t>
            </w:r>
          </w:p>
        </w:tc>
        <w:tc>
          <w:tcPr>
            <w:tcW w:w="1276" w:type="dxa"/>
          </w:tcPr>
          <w:p w:rsidR="001C7BF9" w:rsidRPr="00C9680B" w:rsidRDefault="001C7BF9">
            <w:pPr>
              <w:spacing w:before="0" w:line="240" w:lineRule="atLeast"/>
              <w:jc w:val="right"/>
              <w:rPr>
                <w:b/>
                <w:i/>
                <w:snapToGrid w:val="0"/>
                <w:color w:val="000000"/>
                <w:sz w:val="17"/>
                <w:lang w:eastAsia="sv-SE"/>
              </w:rPr>
            </w:pPr>
            <w:r w:rsidRPr="00C9680B">
              <w:rPr>
                <w:b/>
                <w:i/>
                <w:snapToGrid w:val="0"/>
                <w:color w:val="000000"/>
                <w:sz w:val="17"/>
                <w:lang w:eastAsia="sv-SE"/>
              </w:rPr>
              <w:t>-14 505 000</w:t>
            </w: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1111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Fysiska personers inkoms</w:t>
            </w:r>
            <w:r w:rsidRPr="00C9680B">
              <w:rPr>
                <w:snapToGrid w:val="0"/>
                <w:color w:val="000000"/>
                <w:sz w:val="17"/>
                <w:lang w:eastAsia="sv-SE"/>
              </w:rPr>
              <w:t>t</w:t>
            </w:r>
            <w:r w:rsidRPr="00C9680B">
              <w:rPr>
                <w:snapToGrid w:val="0"/>
                <w:color w:val="000000"/>
                <w:sz w:val="17"/>
                <w:lang w:eastAsia="sv-SE"/>
              </w:rPr>
              <w:t>skatt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7 591 040</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+16 850 000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-21 340 000</w:t>
            </w: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+350 000</w:t>
            </w: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-6 520 000</w:t>
            </w: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1121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Juridiska personers inkoms</w:t>
            </w:r>
            <w:r w:rsidRPr="00C9680B">
              <w:rPr>
                <w:snapToGrid w:val="0"/>
                <w:color w:val="000000"/>
                <w:sz w:val="17"/>
                <w:lang w:eastAsia="sv-SE"/>
              </w:rPr>
              <w:t>t</w:t>
            </w:r>
            <w:r w:rsidRPr="00C9680B">
              <w:rPr>
                <w:snapToGrid w:val="0"/>
                <w:color w:val="000000"/>
                <w:sz w:val="17"/>
                <w:lang w:eastAsia="sv-SE"/>
              </w:rPr>
              <w:t>skatt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76 422 245</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-100 000</w:t>
            </w: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-1 110 000</w:t>
            </w: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1123</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Beskattning av tjänstegrup</w:t>
            </w:r>
            <w:r w:rsidRPr="00C9680B">
              <w:rPr>
                <w:snapToGrid w:val="0"/>
                <w:color w:val="000000"/>
                <w:sz w:val="17"/>
                <w:lang w:eastAsia="sv-SE"/>
              </w:rPr>
              <w:t>p</w:t>
            </w:r>
            <w:r w:rsidRPr="00C9680B">
              <w:rPr>
                <w:snapToGrid w:val="0"/>
                <w:color w:val="000000"/>
                <w:sz w:val="17"/>
                <w:lang w:eastAsia="sv-SE"/>
              </w:rPr>
              <w:t>liv</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950 000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1131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Ofördelbara inkomstska</w:t>
            </w:r>
            <w:r w:rsidRPr="00C9680B">
              <w:rPr>
                <w:snapToGrid w:val="0"/>
                <w:color w:val="000000"/>
                <w:sz w:val="17"/>
                <w:lang w:eastAsia="sv-SE"/>
              </w:rPr>
              <w:t>t</w:t>
            </w:r>
            <w:r w:rsidRPr="00C9680B">
              <w:rPr>
                <w:snapToGrid w:val="0"/>
                <w:color w:val="000000"/>
                <w:sz w:val="17"/>
                <w:lang w:eastAsia="sv-SE"/>
              </w:rPr>
              <w:t>ter</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599 830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1141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Kupongskatt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1 800 000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1144</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Lotteriskatt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1 231 654</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1212</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Efterlevandepensionsa</w:t>
            </w:r>
            <w:r w:rsidRPr="00C9680B">
              <w:rPr>
                <w:snapToGrid w:val="0"/>
                <w:color w:val="000000"/>
                <w:sz w:val="17"/>
                <w:lang w:eastAsia="sv-SE"/>
              </w:rPr>
              <w:t>v</w:t>
            </w:r>
            <w:r w:rsidRPr="00C9680B">
              <w:rPr>
                <w:snapToGrid w:val="0"/>
                <w:color w:val="000000"/>
                <w:sz w:val="17"/>
                <w:lang w:eastAsia="sv-SE"/>
              </w:rPr>
              <w:t>gift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15 835 080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1221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Sjukförsäkringsavgift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81 230 222</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1222</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Föräldraförsäkringsavgift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20 500 675</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1251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Ålderspensionsavgift, netto</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8 558 735</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1253</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Arbetsskadeavgift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12 859 348</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1254</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Arbetsmarknadsavgift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48 222 610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1257</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Sjömanspensionsavgift, netto</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1262</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Allmän pensionsavgift, netto</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1281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Allmän löneavgift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26 653 451</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+760 000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+760 000</w:t>
            </w: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+760 000</w:t>
            </w: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1289</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Anställningsstöd</w:t>
            </w:r>
          </w:p>
        </w:tc>
        <w:tc>
          <w:tcPr>
            <w:tcW w:w="992" w:type="dxa"/>
          </w:tcPr>
          <w:p w:rsidR="001C7BF9" w:rsidRPr="00C9680B" w:rsidRDefault="001C7BF9">
            <w:pPr>
              <w:spacing w:before="0" w:line="240" w:lineRule="atLeast"/>
              <w:jc w:val="right"/>
              <w:rPr>
                <w:snapToGrid w:val="0"/>
                <w:color w:val="000000"/>
                <w:sz w:val="17"/>
                <w:lang w:eastAsia="sv-SE"/>
              </w:rPr>
            </w:pP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1291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Särskild löneskatt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18 773 609</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1298</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Övriga förslag rörande socialavgifter</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+1 770 000</w:t>
            </w: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-8 530 000</w:t>
            </w: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-7 255 000</w:t>
            </w: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1299</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Avräkning av socialavgi</w:t>
            </w:r>
            <w:r w:rsidRPr="00C9680B">
              <w:rPr>
                <w:snapToGrid w:val="0"/>
                <w:color w:val="000000"/>
                <w:sz w:val="17"/>
                <w:lang w:eastAsia="sv-SE"/>
              </w:rPr>
              <w:t>f</w:t>
            </w:r>
            <w:r w:rsidRPr="00C9680B">
              <w:rPr>
                <w:snapToGrid w:val="0"/>
                <w:color w:val="000000"/>
                <w:sz w:val="17"/>
                <w:lang w:eastAsia="sv-SE"/>
              </w:rPr>
              <w:t>ter</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1312</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Fastighetsskatt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23 300 150</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-1 820 000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-1 040 000</w:t>
            </w: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-785 000</w:t>
            </w: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-900 000</w:t>
            </w: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1321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Fysiska personers förm</w:t>
            </w:r>
            <w:r w:rsidRPr="00C9680B">
              <w:rPr>
                <w:snapToGrid w:val="0"/>
                <w:color w:val="000000"/>
                <w:sz w:val="17"/>
                <w:lang w:eastAsia="sv-SE"/>
              </w:rPr>
              <w:t>ö</w:t>
            </w:r>
            <w:r w:rsidRPr="00C9680B">
              <w:rPr>
                <w:snapToGrid w:val="0"/>
                <w:color w:val="000000"/>
                <w:sz w:val="17"/>
                <w:lang w:eastAsia="sv-SE"/>
              </w:rPr>
              <w:t>genhetsskatt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8 198 148</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-3 650 000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-850 000</w:t>
            </w: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-1 750 000</w:t>
            </w: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-2 800 000</w:t>
            </w: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1322</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Juridiska personers förm</w:t>
            </w:r>
            <w:r w:rsidRPr="00C9680B">
              <w:rPr>
                <w:snapToGrid w:val="0"/>
                <w:color w:val="000000"/>
                <w:sz w:val="17"/>
                <w:lang w:eastAsia="sv-SE"/>
              </w:rPr>
              <w:t>ö</w:t>
            </w:r>
            <w:r w:rsidRPr="00C9680B">
              <w:rPr>
                <w:snapToGrid w:val="0"/>
                <w:color w:val="000000"/>
                <w:sz w:val="17"/>
                <w:lang w:eastAsia="sv-SE"/>
              </w:rPr>
              <w:t>genhetsskatt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134 402</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1331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Arvsskatt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1 950 000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1332</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Gåvoskatt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320 000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1341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Stämpelskatt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4 500 000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1411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Mervärdesskatt, netto</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190 764 048</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+2 040 000</w:t>
            </w: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-1 150 000</w:t>
            </w: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1423</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Försäljningsskatt på moto</w:t>
            </w:r>
            <w:r w:rsidRPr="00C9680B">
              <w:rPr>
                <w:snapToGrid w:val="0"/>
                <w:color w:val="000000"/>
                <w:sz w:val="17"/>
                <w:lang w:eastAsia="sv-SE"/>
              </w:rPr>
              <w:t>r</w:t>
            </w:r>
            <w:r w:rsidRPr="00C9680B">
              <w:rPr>
                <w:snapToGrid w:val="0"/>
                <w:color w:val="000000"/>
                <w:sz w:val="17"/>
                <w:lang w:eastAsia="sv-SE"/>
              </w:rPr>
              <w:t>fordon</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22 000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1424</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Tobaksskatt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7 563 853</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1425</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Alkoholskatt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10 468 741</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1428</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Energiskatt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55 274 867</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-11 680 000</w:t>
            </w: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-4 840 000</w:t>
            </w: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-1 330 000</w:t>
            </w: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-1 270 000</w:t>
            </w: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1431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Särskild skatt på elektrisk kraft från kär</w:t>
            </w:r>
            <w:r w:rsidRPr="00C9680B">
              <w:rPr>
                <w:snapToGrid w:val="0"/>
                <w:color w:val="000000"/>
                <w:sz w:val="17"/>
                <w:lang w:eastAsia="sv-SE"/>
              </w:rPr>
              <w:t>n</w:t>
            </w:r>
            <w:r w:rsidRPr="00C9680B">
              <w:rPr>
                <w:snapToGrid w:val="0"/>
                <w:color w:val="000000"/>
                <w:sz w:val="17"/>
                <w:lang w:eastAsia="sv-SE"/>
              </w:rPr>
              <w:t>kraftverk</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1 825 660</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-300 000</w:t>
            </w: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1435</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Särskild skatt  mot försu</w:t>
            </w:r>
            <w:r w:rsidRPr="00C9680B">
              <w:rPr>
                <w:snapToGrid w:val="0"/>
                <w:color w:val="000000"/>
                <w:sz w:val="17"/>
                <w:lang w:eastAsia="sv-SE"/>
              </w:rPr>
              <w:t>r</w:t>
            </w:r>
            <w:r w:rsidRPr="00C9680B">
              <w:rPr>
                <w:snapToGrid w:val="0"/>
                <w:color w:val="000000"/>
                <w:sz w:val="17"/>
                <w:lang w:eastAsia="sv-SE"/>
              </w:rPr>
              <w:t>ning</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61 567</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1436</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Skatt på avfall</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1 100 000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+300 000</w:t>
            </w: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1437</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Skatt på bekämpnings- och gödselmedel</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455 500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1438</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Miljöskatt på inrikesflyg</w:t>
            </w:r>
          </w:p>
        </w:tc>
        <w:tc>
          <w:tcPr>
            <w:tcW w:w="992" w:type="dxa"/>
          </w:tcPr>
          <w:p w:rsidR="001C7BF9" w:rsidRPr="00C9680B" w:rsidRDefault="001C7BF9">
            <w:pPr>
              <w:spacing w:before="0" w:line="240" w:lineRule="atLeast"/>
              <w:jc w:val="right"/>
              <w:rPr>
                <w:snapToGrid w:val="0"/>
                <w:color w:val="000000"/>
                <w:sz w:val="17"/>
                <w:lang w:eastAsia="sv-SE"/>
              </w:rPr>
            </w:pP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+200 000</w:t>
            </w: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1442</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Systembolaget AB:s inlevererade öve</w:t>
            </w:r>
            <w:r w:rsidRPr="00C9680B">
              <w:rPr>
                <w:snapToGrid w:val="0"/>
                <w:color w:val="000000"/>
                <w:sz w:val="17"/>
                <w:lang w:eastAsia="sv-SE"/>
              </w:rPr>
              <w:t>r</w:t>
            </w:r>
            <w:r w:rsidRPr="00C9680B">
              <w:rPr>
                <w:snapToGrid w:val="0"/>
                <w:color w:val="000000"/>
                <w:sz w:val="17"/>
                <w:lang w:eastAsia="sv-SE"/>
              </w:rPr>
              <w:t>skott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100 000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1452</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Skatt på annonser och r</w:t>
            </w:r>
            <w:r w:rsidRPr="00C9680B">
              <w:rPr>
                <w:snapToGrid w:val="0"/>
                <w:color w:val="000000"/>
                <w:sz w:val="17"/>
                <w:lang w:eastAsia="sv-SE"/>
              </w:rPr>
              <w:t>e</w:t>
            </w:r>
            <w:r w:rsidRPr="00C9680B">
              <w:rPr>
                <w:snapToGrid w:val="0"/>
                <w:color w:val="000000"/>
                <w:sz w:val="17"/>
                <w:lang w:eastAsia="sv-SE"/>
              </w:rPr>
              <w:t>klam</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1 111 025</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-1 100 000</w:t>
            </w: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1454</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Skatt på spel</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61 790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1461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Fordonsskatt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7 133 983</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-2 000 000</w:t>
            </w: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1462</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Vägavgifter</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641 201</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1471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Tullmedel</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3 552 975</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1472</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Övriga skatter m.m. på i</w:t>
            </w:r>
            <w:r w:rsidRPr="00C9680B">
              <w:rPr>
                <w:snapToGrid w:val="0"/>
                <w:color w:val="000000"/>
                <w:sz w:val="17"/>
                <w:lang w:eastAsia="sv-SE"/>
              </w:rPr>
              <w:t>m</w:t>
            </w:r>
            <w:r w:rsidRPr="00C9680B">
              <w:rPr>
                <w:snapToGrid w:val="0"/>
                <w:color w:val="000000"/>
                <w:sz w:val="17"/>
                <w:lang w:eastAsia="sv-SE"/>
              </w:rPr>
              <w:t>port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1473</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Särskilda jordbrukstullar och sockera</w:t>
            </w:r>
            <w:r w:rsidRPr="00C9680B">
              <w:rPr>
                <w:snapToGrid w:val="0"/>
                <w:color w:val="000000"/>
                <w:sz w:val="17"/>
                <w:lang w:eastAsia="sv-SE"/>
              </w:rPr>
              <w:t>v</w:t>
            </w:r>
            <w:r w:rsidRPr="00C9680B">
              <w:rPr>
                <w:snapToGrid w:val="0"/>
                <w:color w:val="000000"/>
                <w:sz w:val="17"/>
                <w:lang w:eastAsia="sv-SE"/>
              </w:rPr>
              <w:t>gifter</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355 000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1481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Övriga skatter på varor och tjänster</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158 197</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1511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Utjämningsavgift för ko</w:t>
            </w:r>
            <w:r w:rsidRPr="00C9680B">
              <w:rPr>
                <w:snapToGrid w:val="0"/>
                <w:color w:val="000000"/>
                <w:sz w:val="17"/>
                <w:lang w:eastAsia="sv-SE"/>
              </w:rPr>
              <w:t>m</w:t>
            </w:r>
            <w:r w:rsidRPr="00C9680B">
              <w:rPr>
                <w:snapToGrid w:val="0"/>
                <w:color w:val="000000"/>
                <w:sz w:val="17"/>
                <w:lang w:eastAsia="sv-SE"/>
              </w:rPr>
              <w:t>muner och landsting</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19 190 233</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1611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Betalningsdifferenser, a</w:t>
            </w:r>
            <w:r w:rsidRPr="00C9680B">
              <w:rPr>
                <w:snapToGrid w:val="0"/>
                <w:color w:val="000000"/>
                <w:sz w:val="17"/>
                <w:lang w:eastAsia="sv-SE"/>
              </w:rPr>
              <w:t>n</w:t>
            </w:r>
            <w:r w:rsidRPr="00C9680B">
              <w:rPr>
                <w:snapToGrid w:val="0"/>
                <w:color w:val="000000"/>
                <w:sz w:val="17"/>
                <w:lang w:eastAsia="sv-SE"/>
              </w:rPr>
              <w:t>stånd, netto</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-240 539</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1621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Uppbördsförluster, netto, fysiska personers inkoms</w:t>
            </w:r>
            <w:r w:rsidRPr="00C9680B">
              <w:rPr>
                <w:snapToGrid w:val="0"/>
                <w:color w:val="000000"/>
                <w:sz w:val="17"/>
                <w:lang w:eastAsia="sv-SE"/>
              </w:rPr>
              <w:t>t</w:t>
            </w:r>
            <w:r w:rsidRPr="00C9680B">
              <w:rPr>
                <w:snapToGrid w:val="0"/>
                <w:color w:val="000000"/>
                <w:sz w:val="17"/>
                <w:lang w:eastAsia="sv-SE"/>
              </w:rPr>
              <w:t>skatt</w:t>
            </w:r>
          </w:p>
        </w:tc>
        <w:tc>
          <w:tcPr>
            <w:tcW w:w="992" w:type="dxa"/>
          </w:tcPr>
          <w:p w:rsidR="001C7BF9" w:rsidRPr="00C9680B" w:rsidRDefault="001C7BF9">
            <w:pPr>
              <w:spacing w:before="160" w:line="240" w:lineRule="atLeast"/>
              <w:jc w:val="right"/>
              <w:rPr>
                <w:snapToGrid w:val="0"/>
                <w:color w:val="000000"/>
                <w:sz w:val="17"/>
                <w:lang w:eastAsia="sv-SE"/>
              </w:rPr>
            </w:pPr>
            <w:r w:rsidRPr="00C9680B">
              <w:rPr>
                <w:snapToGrid w:val="0"/>
                <w:color w:val="000000"/>
                <w:sz w:val="17"/>
                <w:lang w:eastAsia="sv-SE"/>
              </w:rPr>
              <w:t>-2 010 431</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pStyle w:val="Normaltindrag"/>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1622</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Upbördsförluster, netto, juridiska personers inkoms</w:t>
            </w:r>
            <w:r w:rsidRPr="00C9680B">
              <w:rPr>
                <w:snapToGrid w:val="0"/>
                <w:color w:val="000000"/>
                <w:sz w:val="17"/>
                <w:lang w:eastAsia="sv-SE"/>
              </w:rPr>
              <w:t>t</w:t>
            </w:r>
            <w:r w:rsidRPr="00C9680B">
              <w:rPr>
                <w:snapToGrid w:val="0"/>
                <w:color w:val="000000"/>
                <w:sz w:val="17"/>
                <w:lang w:eastAsia="sv-SE"/>
              </w:rPr>
              <w:t>skatt</w:t>
            </w:r>
          </w:p>
        </w:tc>
        <w:tc>
          <w:tcPr>
            <w:tcW w:w="992" w:type="dxa"/>
          </w:tcPr>
          <w:p w:rsidR="001C7BF9" w:rsidRPr="00C9680B" w:rsidRDefault="001C7BF9">
            <w:pPr>
              <w:spacing w:before="160" w:line="240" w:lineRule="atLeast"/>
              <w:jc w:val="right"/>
              <w:rPr>
                <w:snapToGrid w:val="0"/>
                <w:color w:val="000000"/>
                <w:sz w:val="17"/>
                <w:lang w:eastAsia="sv-SE"/>
              </w:rPr>
            </w:pPr>
            <w:r w:rsidRPr="00C9680B">
              <w:rPr>
                <w:snapToGrid w:val="0"/>
                <w:color w:val="000000"/>
                <w:sz w:val="17"/>
                <w:lang w:eastAsia="sv-SE"/>
              </w:rPr>
              <w:t>-82 682</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1623</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Uppbördsförluster, netto, arbetsgivara</w:t>
            </w:r>
            <w:r w:rsidRPr="00C9680B">
              <w:rPr>
                <w:snapToGrid w:val="0"/>
                <w:color w:val="000000"/>
                <w:sz w:val="17"/>
                <w:lang w:eastAsia="sv-SE"/>
              </w:rPr>
              <w:t>v</w:t>
            </w:r>
            <w:r w:rsidRPr="00C9680B">
              <w:rPr>
                <w:snapToGrid w:val="0"/>
                <w:color w:val="000000"/>
                <w:sz w:val="17"/>
                <w:lang w:eastAsia="sv-SE"/>
              </w:rPr>
              <w:t>gifter</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-530 476</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1624</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Uppbördsförluster, netto, mervärdesskatt</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-1 499 640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1625</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Uppbördsförluster, netto, räntor m.m.</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-474 459</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1631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Betalningsdifferenser, övriga</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734 726</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1691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Betalningsdifferenser, ska</w:t>
            </w:r>
            <w:r w:rsidRPr="00C9680B">
              <w:rPr>
                <w:snapToGrid w:val="0"/>
                <w:color w:val="000000"/>
                <w:sz w:val="17"/>
                <w:lang w:eastAsia="sv-SE"/>
              </w:rPr>
              <w:t>t</w:t>
            </w:r>
            <w:r w:rsidRPr="00C9680B">
              <w:rPr>
                <w:snapToGrid w:val="0"/>
                <w:color w:val="000000"/>
                <w:sz w:val="17"/>
                <w:lang w:eastAsia="sv-SE"/>
              </w:rPr>
              <w:t>temyndigheterna, netto</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1692</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Indrivna medel, kronofo</w:t>
            </w:r>
            <w:r w:rsidRPr="00C9680B">
              <w:rPr>
                <w:snapToGrid w:val="0"/>
                <w:color w:val="000000"/>
                <w:sz w:val="17"/>
                <w:lang w:eastAsia="sv-SE"/>
              </w:rPr>
              <w:t>g</w:t>
            </w:r>
            <w:r w:rsidRPr="00C9680B">
              <w:rPr>
                <w:snapToGrid w:val="0"/>
                <w:color w:val="000000"/>
                <w:sz w:val="17"/>
                <w:lang w:eastAsia="sv-SE"/>
              </w:rPr>
              <w:t>demyndigheten, netto</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1711</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Nedsättning, anstäl</w:t>
            </w:r>
            <w:r w:rsidRPr="00C9680B">
              <w:rPr>
                <w:snapToGrid w:val="0"/>
                <w:color w:val="000000"/>
                <w:sz w:val="17"/>
                <w:lang w:eastAsia="sv-SE"/>
              </w:rPr>
              <w:t>l</w:t>
            </w:r>
            <w:r w:rsidRPr="00C9680B">
              <w:rPr>
                <w:snapToGrid w:val="0"/>
                <w:color w:val="000000"/>
                <w:sz w:val="17"/>
                <w:lang w:eastAsia="sv-SE"/>
              </w:rPr>
              <w:t>ningsstöd</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-2 250 000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+750 000</w:t>
            </w: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+2 250 000</w:t>
            </w: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1712</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Nedsättning, kompetensu</w:t>
            </w:r>
            <w:r w:rsidRPr="00C9680B">
              <w:rPr>
                <w:snapToGrid w:val="0"/>
                <w:color w:val="000000"/>
                <w:sz w:val="17"/>
                <w:lang w:eastAsia="sv-SE"/>
              </w:rPr>
              <w:t>t</w:t>
            </w:r>
            <w:r w:rsidRPr="00C9680B">
              <w:rPr>
                <w:snapToGrid w:val="0"/>
                <w:color w:val="000000"/>
                <w:sz w:val="17"/>
                <w:lang w:eastAsia="sv-SE"/>
              </w:rPr>
              <w:t>veckling</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-1 150 000</w:t>
            </w: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+1 150 000</w:t>
            </w: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+1 150 000</w:t>
            </w: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1713</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Nedsättning, bredbandsi</w:t>
            </w:r>
            <w:r w:rsidRPr="00C9680B">
              <w:rPr>
                <w:snapToGrid w:val="0"/>
                <w:color w:val="000000"/>
                <w:sz w:val="17"/>
                <w:lang w:eastAsia="sv-SE"/>
              </w:rPr>
              <w:t>n</w:t>
            </w:r>
            <w:r w:rsidRPr="00C9680B">
              <w:rPr>
                <w:snapToGrid w:val="0"/>
                <w:color w:val="000000"/>
                <w:sz w:val="17"/>
                <w:lang w:eastAsia="sv-SE"/>
              </w:rPr>
              <w:t>stallation</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-800 000</w:t>
            </w:r>
          </w:p>
        </w:tc>
        <w:tc>
          <w:tcPr>
            <w:tcW w:w="992"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+800 000</w:t>
            </w: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+800 000</w:t>
            </w: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+800 000</w:t>
            </w: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1812</w:t>
            </w:r>
          </w:p>
        </w:tc>
        <w:tc>
          <w:tcPr>
            <w:tcW w:w="3793" w:type="dxa"/>
          </w:tcPr>
          <w:p w:rsidR="001C7BF9" w:rsidRPr="00C9680B" w:rsidRDefault="001C7BF9">
            <w:pPr>
              <w:spacing w:before="0" w:line="240" w:lineRule="atLeast"/>
              <w:jc w:val="left"/>
              <w:rPr>
                <w:snapToGrid w:val="0"/>
                <w:color w:val="000000"/>
                <w:sz w:val="17"/>
                <w:lang w:eastAsia="sv-SE"/>
              </w:rPr>
            </w:pPr>
            <w:r w:rsidRPr="00C9680B">
              <w:rPr>
                <w:snapToGrid w:val="0"/>
                <w:color w:val="000000"/>
                <w:sz w:val="17"/>
                <w:lang w:eastAsia="sv-SE"/>
              </w:rPr>
              <w:t>Övrigt</w:t>
            </w:r>
          </w:p>
        </w:tc>
        <w:tc>
          <w:tcPr>
            <w:tcW w:w="992" w:type="dxa"/>
          </w:tcPr>
          <w:p w:rsidR="001C7BF9" w:rsidRPr="00C9680B" w:rsidRDefault="001C7BF9">
            <w:pPr>
              <w:spacing w:before="0" w:line="240" w:lineRule="atLeast"/>
              <w:jc w:val="right"/>
              <w:rPr>
                <w:snapToGrid w:val="0"/>
                <w:color w:val="000000"/>
                <w:sz w:val="17"/>
                <w:lang w:eastAsia="sv-SE"/>
              </w:rPr>
            </w:pPr>
          </w:p>
        </w:tc>
        <w:tc>
          <w:tcPr>
            <w:tcW w:w="992" w:type="dxa"/>
          </w:tcPr>
          <w:p w:rsidR="001C7BF9" w:rsidRPr="00C9680B" w:rsidRDefault="001C7BF9">
            <w:pPr>
              <w:spacing w:before="0" w:line="240" w:lineRule="atLeast"/>
              <w:jc w:val="right"/>
              <w:rPr>
                <w:snapToGrid w:val="0"/>
                <w:color w:val="000000"/>
                <w:sz w:val="17"/>
                <w:lang w:eastAsia="sv-SE"/>
              </w:rPr>
            </w:pPr>
          </w:p>
        </w:tc>
        <w:tc>
          <w:tcPr>
            <w:tcW w:w="1134"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p>
        </w:tc>
        <w:tc>
          <w:tcPr>
            <w:tcW w:w="1276" w:type="dxa"/>
          </w:tcPr>
          <w:p w:rsidR="001C7BF9" w:rsidRPr="00C9680B" w:rsidRDefault="001C7BF9">
            <w:pPr>
              <w:spacing w:before="0" w:line="240" w:lineRule="atLeast"/>
              <w:jc w:val="right"/>
              <w:rPr>
                <w:snapToGrid w:val="0"/>
                <w:color w:val="000000"/>
                <w:sz w:val="17"/>
                <w:lang w:eastAsia="sv-SE"/>
              </w:rPr>
            </w:pPr>
            <w:r w:rsidRPr="00C9680B">
              <w:rPr>
                <w:snapToGrid w:val="0"/>
                <w:color w:val="000000"/>
                <w:sz w:val="17"/>
                <w:lang w:eastAsia="sv-SE"/>
              </w:rPr>
              <w:t>+2 300 000</w:t>
            </w:r>
          </w:p>
        </w:tc>
      </w:tr>
      <w:tr w:rsidR="00000000" w:rsidRPr="00C9680B">
        <w:tblPrEx>
          <w:tblCellMar>
            <w:top w:w="0" w:type="dxa"/>
            <w:bottom w:w="0" w:type="dxa"/>
          </w:tblCellMar>
        </w:tblPrEx>
        <w:tc>
          <w:tcPr>
            <w:tcW w:w="490" w:type="dxa"/>
            <w:gridSpan w:val="2"/>
          </w:tcPr>
          <w:p w:rsidR="001C7BF9" w:rsidRPr="00C9680B" w:rsidRDefault="001C7BF9">
            <w:pPr>
              <w:spacing w:before="0" w:line="100" w:lineRule="exact"/>
              <w:jc w:val="left"/>
              <w:rPr>
                <w:b/>
                <w:snapToGrid w:val="0"/>
                <w:color w:val="000000"/>
                <w:sz w:val="17"/>
                <w:lang w:eastAsia="sv-SE"/>
              </w:rPr>
            </w:pPr>
          </w:p>
        </w:tc>
        <w:tc>
          <w:tcPr>
            <w:tcW w:w="3793" w:type="dxa"/>
          </w:tcPr>
          <w:p w:rsidR="001C7BF9" w:rsidRPr="00C9680B" w:rsidRDefault="001C7BF9">
            <w:pPr>
              <w:spacing w:before="0" w:line="100" w:lineRule="exact"/>
              <w:jc w:val="left"/>
              <w:rPr>
                <w:b/>
                <w:snapToGrid w:val="0"/>
                <w:color w:val="000000"/>
                <w:sz w:val="17"/>
                <w:lang w:eastAsia="sv-SE"/>
              </w:rPr>
            </w:pPr>
          </w:p>
        </w:tc>
        <w:tc>
          <w:tcPr>
            <w:tcW w:w="992" w:type="dxa"/>
          </w:tcPr>
          <w:p w:rsidR="001C7BF9" w:rsidRPr="00C9680B" w:rsidRDefault="001C7BF9">
            <w:pPr>
              <w:spacing w:before="0" w:line="100" w:lineRule="exact"/>
              <w:jc w:val="right"/>
              <w:rPr>
                <w:b/>
                <w:snapToGrid w:val="0"/>
                <w:color w:val="000000"/>
                <w:sz w:val="17"/>
                <w:lang w:eastAsia="sv-SE"/>
              </w:rPr>
            </w:pPr>
          </w:p>
        </w:tc>
        <w:tc>
          <w:tcPr>
            <w:tcW w:w="992" w:type="dxa"/>
          </w:tcPr>
          <w:p w:rsidR="001C7BF9" w:rsidRPr="00C9680B" w:rsidRDefault="001C7BF9">
            <w:pPr>
              <w:spacing w:before="0" w:line="100" w:lineRule="exact"/>
              <w:jc w:val="right"/>
              <w:rPr>
                <w:b/>
                <w:snapToGrid w:val="0"/>
                <w:color w:val="000000"/>
                <w:sz w:val="17"/>
                <w:lang w:eastAsia="sv-SE"/>
              </w:rPr>
            </w:pPr>
          </w:p>
        </w:tc>
        <w:tc>
          <w:tcPr>
            <w:tcW w:w="1134" w:type="dxa"/>
          </w:tcPr>
          <w:p w:rsidR="001C7BF9" w:rsidRPr="00C9680B" w:rsidRDefault="001C7BF9">
            <w:pPr>
              <w:spacing w:before="0" w:line="100" w:lineRule="exact"/>
              <w:jc w:val="right"/>
              <w:rPr>
                <w:b/>
                <w:snapToGrid w:val="0"/>
                <w:color w:val="000000"/>
                <w:sz w:val="17"/>
                <w:lang w:eastAsia="sv-SE"/>
              </w:rPr>
            </w:pPr>
          </w:p>
        </w:tc>
        <w:tc>
          <w:tcPr>
            <w:tcW w:w="1276" w:type="dxa"/>
          </w:tcPr>
          <w:p w:rsidR="001C7BF9" w:rsidRPr="00C9680B" w:rsidRDefault="001C7BF9">
            <w:pPr>
              <w:spacing w:before="0" w:line="100" w:lineRule="exact"/>
              <w:jc w:val="right"/>
              <w:rPr>
                <w:b/>
                <w:snapToGrid w:val="0"/>
                <w:color w:val="000000"/>
                <w:sz w:val="17"/>
                <w:lang w:eastAsia="sv-SE"/>
              </w:rPr>
            </w:pPr>
          </w:p>
        </w:tc>
        <w:tc>
          <w:tcPr>
            <w:tcW w:w="1276" w:type="dxa"/>
          </w:tcPr>
          <w:p w:rsidR="001C7BF9" w:rsidRPr="00C9680B" w:rsidRDefault="001C7BF9">
            <w:pPr>
              <w:spacing w:before="0" w:line="100" w:lineRule="exact"/>
              <w:jc w:val="right"/>
              <w:rPr>
                <w:b/>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b/>
                <w:i/>
                <w:snapToGrid w:val="0"/>
                <w:color w:val="000000"/>
                <w:sz w:val="17"/>
                <w:lang w:eastAsia="sv-SE"/>
              </w:rPr>
            </w:pPr>
            <w:r w:rsidRPr="00C9680B">
              <w:rPr>
                <w:b/>
                <w:i/>
                <w:snapToGrid w:val="0"/>
                <w:color w:val="000000"/>
                <w:sz w:val="17"/>
                <w:lang w:eastAsia="sv-SE"/>
              </w:rPr>
              <w:t>2000</w:t>
            </w:r>
          </w:p>
        </w:tc>
        <w:tc>
          <w:tcPr>
            <w:tcW w:w="3793" w:type="dxa"/>
          </w:tcPr>
          <w:p w:rsidR="001C7BF9" w:rsidRPr="00C9680B" w:rsidRDefault="001C7BF9">
            <w:pPr>
              <w:spacing w:before="0" w:line="240" w:lineRule="atLeast"/>
              <w:jc w:val="left"/>
              <w:rPr>
                <w:b/>
                <w:i/>
                <w:snapToGrid w:val="0"/>
                <w:color w:val="000000"/>
                <w:sz w:val="17"/>
                <w:lang w:eastAsia="sv-SE"/>
              </w:rPr>
            </w:pPr>
            <w:r w:rsidRPr="00C9680B">
              <w:rPr>
                <w:b/>
                <w:i/>
                <w:snapToGrid w:val="0"/>
                <w:color w:val="000000"/>
                <w:sz w:val="17"/>
                <w:lang w:eastAsia="sv-SE"/>
              </w:rPr>
              <w:t>Inkomster av statens ver</w:t>
            </w:r>
            <w:r w:rsidRPr="00C9680B">
              <w:rPr>
                <w:b/>
                <w:i/>
                <w:snapToGrid w:val="0"/>
                <w:color w:val="000000"/>
                <w:sz w:val="17"/>
                <w:lang w:eastAsia="sv-SE"/>
              </w:rPr>
              <w:t>k</w:t>
            </w:r>
            <w:r w:rsidRPr="00C9680B">
              <w:rPr>
                <w:b/>
                <w:i/>
                <w:snapToGrid w:val="0"/>
                <w:color w:val="000000"/>
                <w:sz w:val="17"/>
                <w:lang w:eastAsia="sv-SE"/>
              </w:rPr>
              <w:t>samhet:</w:t>
            </w:r>
          </w:p>
        </w:tc>
        <w:tc>
          <w:tcPr>
            <w:tcW w:w="992" w:type="dxa"/>
          </w:tcPr>
          <w:p w:rsidR="001C7BF9" w:rsidRPr="00C9680B" w:rsidRDefault="001C7BF9">
            <w:pPr>
              <w:spacing w:before="0" w:line="240" w:lineRule="atLeast"/>
              <w:jc w:val="right"/>
              <w:rPr>
                <w:b/>
                <w:i/>
                <w:snapToGrid w:val="0"/>
                <w:color w:val="000000"/>
                <w:sz w:val="17"/>
                <w:lang w:eastAsia="sv-SE"/>
              </w:rPr>
            </w:pPr>
            <w:r w:rsidRPr="00C9680B">
              <w:rPr>
                <w:b/>
                <w:i/>
                <w:snapToGrid w:val="0"/>
                <w:color w:val="000000"/>
                <w:sz w:val="17"/>
                <w:lang w:eastAsia="sv-SE"/>
              </w:rPr>
              <w:t>29 042 071</w:t>
            </w:r>
          </w:p>
        </w:tc>
        <w:tc>
          <w:tcPr>
            <w:tcW w:w="992" w:type="dxa"/>
          </w:tcPr>
          <w:p w:rsidR="001C7BF9" w:rsidRPr="00C9680B" w:rsidRDefault="001C7BF9">
            <w:pPr>
              <w:spacing w:before="0" w:line="240" w:lineRule="atLeast"/>
              <w:jc w:val="right"/>
              <w:rPr>
                <w:b/>
                <w:i/>
                <w:snapToGrid w:val="0"/>
                <w:color w:val="000000"/>
                <w:sz w:val="17"/>
                <w:lang w:eastAsia="sv-SE"/>
              </w:rPr>
            </w:pPr>
          </w:p>
        </w:tc>
        <w:tc>
          <w:tcPr>
            <w:tcW w:w="1134" w:type="dxa"/>
          </w:tcPr>
          <w:p w:rsidR="001C7BF9" w:rsidRPr="00C9680B" w:rsidRDefault="001C7BF9">
            <w:pPr>
              <w:spacing w:before="0" w:line="240" w:lineRule="atLeast"/>
              <w:jc w:val="right"/>
              <w:rPr>
                <w:b/>
                <w:i/>
                <w:snapToGrid w:val="0"/>
                <w:color w:val="000000"/>
                <w:sz w:val="17"/>
                <w:lang w:eastAsia="sv-SE"/>
              </w:rPr>
            </w:pPr>
            <w:r w:rsidRPr="00C9680B">
              <w:rPr>
                <w:b/>
                <w:i/>
                <w:snapToGrid w:val="0"/>
                <w:color w:val="000000"/>
                <w:sz w:val="17"/>
                <w:lang w:eastAsia="sv-SE"/>
              </w:rPr>
              <w:t>-730 000</w:t>
            </w:r>
          </w:p>
        </w:tc>
        <w:tc>
          <w:tcPr>
            <w:tcW w:w="1276" w:type="dxa"/>
          </w:tcPr>
          <w:p w:rsidR="001C7BF9" w:rsidRPr="00C9680B" w:rsidRDefault="001C7BF9">
            <w:pPr>
              <w:spacing w:before="0" w:line="240" w:lineRule="atLeast"/>
              <w:jc w:val="right"/>
              <w:rPr>
                <w:b/>
                <w:i/>
                <w:snapToGrid w:val="0"/>
                <w:color w:val="000000"/>
                <w:sz w:val="17"/>
                <w:lang w:eastAsia="sv-SE"/>
              </w:rPr>
            </w:pPr>
          </w:p>
        </w:tc>
        <w:tc>
          <w:tcPr>
            <w:tcW w:w="1276" w:type="dxa"/>
          </w:tcPr>
          <w:p w:rsidR="001C7BF9" w:rsidRPr="00C9680B" w:rsidRDefault="001C7BF9">
            <w:pPr>
              <w:spacing w:before="0" w:line="240" w:lineRule="atLeast"/>
              <w:jc w:val="right"/>
              <w:rPr>
                <w:b/>
                <w:i/>
                <w:snapToGrid w:val="0"/>
                <w:color w:val="000000"/>
                <w:sz w:val="17"/>
                <w:lang w:eastAsia="sv-SE"/>
              </w:rPr>
            </w:pPr>
            <w:r w:rsidRPr="00C9680B">
              <w:rPr>
                <w:b/>
                <w:i/>
                <w:snapToGrid w:val="0"/>
                <w:color w:val="000000"/>
                <w:sz w:val="17"/>
                <w:lang w:eastAsia="sv-SE"/>
              </w:rPr>
              <w:t>+3 200 000</w:t>
            </w:r>
          </w:p>
        </w:tc>
      </w:tr>
      <w:tr w:rsidR="00000000" w:rsidRPr="00C9680B">
        <w:tblPrEx>
          <w:tblCellMar>
            <w:top w:w="0" w:type="dxa"/>
            <w:bottom w:w="0" w:type="dxa"/>
          </w:tblCellMar>
        </w:tblPrEx>
        <w:tc>
          <w:tcPr>
            <w:tcW w:w="490" w:type="dxa"/>
            <w:gridSpan w:val="2"/>
          </w:tcPr>
          <w:p w:rsidR="001C7BF9" w:rsidRPr="00C9680B" w:rsidRDefault="001C7BF9">
            <w:pPr>
              <w:spacing w:before="0" w:line="100" w:lineRule="exact"/>
              <w:jc w:val="left"/>
              <w:rPr>
                <w:i/>
                <w:snapToGrid w:val="0"/>
                <w:color w:val="000000"/>
                <w:sz w:val="17"/>
                <w:lang w:eastAsia="sv-SE"/>
              </w:rPr>
            </w:pPr>
          </w:p>
        </w:tc>
        <w:tc>
          <w:tcPr>
            <w:tcW w:w="3793" w:type="dxa"/>
          </w:tcPr>
          <w:p w:rsidR="001C7BF9" w:rsidRPr="00C9680B" w:rsidRDefault="001C7BF9">
            <w:pPr>
              <w:spacing w:before="0" w:line="100" w:lineRule="exact"/>
              <w:jc w:val="left"/>
              <w:rPr>
                <w:i/>
                <w:snapToGrid w:val="0"/>
                <w:color w:val="000000"/>
                <w:sz w:val="17"/>
                <w:lang w:eastAsia="sv-SE"/>
              </w:rPr>
            </w:pPr>
          </w:p>
        </w:tc>
        <w:tc>
          <w:tcPr>
            <w:tcW w:w="992" w:type="dxa"/>
          </w:tcPr>
          <w:p w:rsidR="001C7BF9" w:rsidRPr="00C9680B" w:rsidRDefault="001C7BF9">
            <w:pPr>
              <w:spacing w:before="0" w:line="100" w:lineRule="exact"/>
              <w:jc w:val="right"/>
              <w:rPr>
                <w:i/>
                <w:snapToGrid w:val="0"/>
                <w:color w:val="000000"/>
                <w:sz w:val="17"/>
                <w:lang w:eastAsia="sv-SE"/>
              </w:rPr>
            </w:pPr>
          </w:p>
        </w:tc>
        <w:tc>
          <w:tcPr>
            <w:tcW w:w="992" w:type="dxa"/>
          </w:tcPr>
          <w:p w:rsidR="001C7BF9" w:rsidRPr="00C9680B" w:rsidRDefault="001C7BF9">
            <w:pPr>
              <w:spacing w:before="0" w:line="100" w:lineRule="exact"/>
              <w:jc w:val="right"/>
              <w:rPr>
                <w:i/>
                <w:snapToGrid w:val="0"/>
                <w:color w:val="000000"/>
                <w:sz w:val="17"/>
                <w:lang w:eastAsia="sv-SE"/>
              </w:rPr>
            </w:pPr>
          </w:p>
        </w:tc>
        <w:tc>
          <w:tcPr>
            <w:tcW w:w="1134" w:type="dxa"/>
          </w:tcPr>
          <w:p w:rsidR="001C7BF9" w:rsidRPr="00C9680B" w:rsidRDefault="001C7BF9">
            <w:pPr>
              <w:spacing w:before="0" w:line="100" w:lineRule="exact"/>
              <w:jc w:val="right"/>
              <w:rPr>
                <w:i/>
                <w:snapToGrid w:val="0"/>
                <w:color w:val="000000"/>
                <w:sz w:val="17"/>
                <w:lang w:eastAsia="sv-SE"/>
              </w:rPr>
            </w:pPr>
          </w:p>
        </w:tc>
        <w:tc>
          <w:tcPr>
            <w:tcW w:w="1276" w:type="dxa"/>
          </w:tcPr>
          <w:p w:rsidR="001C7BF9" w:rsidRPr="00C9680B" w:rsidRDefault="001C7BF9">
            <w:pPr>
              <w:spacing w:before="0" w:line="100" w:lineRule="exact"/>
              <w:jc w:val="right"/>
              <w:rPr>
                <w:i/>
                <w:snapToGrid w:val="0"/>
                <w:color w:val="000000"/>
                <w:sz w:val="17"/>
                <w:lang w:eastAsia="sv-SE"/>
              </w:rPr>
            </w:pPr>
          </w:p>
        </w:tc>
        <w:tc>
          <w:tcPr>
            <w:tcW w:w="1276" w:type="dxa"/>
          </w:tcPr>
          <w:p w:rsidR="001C7BF9" w:rsidRPr="00C9680B" w:rsidRDefault="001C7BF9">
            <w:pPr>
              <w:spacing w:before="0" w:line="100" w:lineRule="exact"/>
              <w:jc w:val="right"/>
              <w:rPr>
                <w:i/>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b/>
                <w:i/>
                <w:snapToGrid w:val="0"/>
                <w:color w:val="000000"/>
                <w:sz w:val="17"/>
                <w:lang w:eastAsia="sv-SE"/>
              </w:rPr>
            </w:pPr>
            <w:r w:rsidRPr="00C9680B">
              <w:rPr>
                <w:b/>
                <w:i/>
                <w:snapToGrid w:val="0"/>
                <w:color w:val="000000"/>
                <w:sz w:val="17"/>
                <w:lang w:eastAsia="sv-SE"/>
              </w:rPr>
              <w:t>3000</w:t>
            </w:r>
          </w:p>
        </w:tc>
        <w:tc>
          <w:tcPr>
            <w:tcW w:w="3793" w:type="dxa"/>
          </w:tcPr>
          <w:p w:rsidR="001C7BF9" w:rsidRPr="00C9680B" w:rsidRDefault="001C7BF9">
            <w:pPr>
              <w:spacing w:before="0" w:line="240" w:lineRule="atLeast"/>
              <w:jc w:val="left"/>
              <w:rPr>
                <w:b/>
                <w:i/>
                <w:snapToGrid w:val="0"/>
                <w:color w:val="000000"/>
                <w:sz w:val="17"/>
                <w:lang w:eastAsia="sv-SE"/>
              </w:rPr>
            </w:pPr>
            <w:r w:rsidRPr="00C9680B">
              <w:rPr>
                <w:b/>
                <w:i/>
                <w:snapToGrid w:val="0"/>
                <w:color w:val="000000"/>
                <w:sz w:val="17"/>
                <w:lang w:eastAsia="sv-SE"/>
              </w:rPr>
              <w:t>Inkomster av försåld egendom:</w:t>
            </w:r>
          </w:p>
        </w:tc>
        <w:tc>
          <w:tcPr>
            <w:tcW w:w="992" w:type="dxa"/>
          </w:tcPr>
          <w:p w:rsidR="001C7BF9" w:rsidRPr="00C9680B" w:rsidRDefault="001C7BF9">
            <w:pPr>
              <w:spacing w:before="0" w:line="240" w:lineRule="atLeast"/>
              <w:jc w:val="right"/>
              <w:rPr>
                <w:b/>
                <w:i/>
                <w:snapToGrid w:val="0"/>
                <w:color w:val="000000"/>
                <w:sz w:val="17"/>
                <w:lang w:eastAsia="sv-SE"/>
              </w:rPr>
            </w:pPr>
            <w:r w:rsidRPr="00C9680B">
              <w:rPr>
                <w:b/>
                <w:i/>
                <w:snapToGrid w:val="0"/>
                <w:color w:val="000000"/>
                <w:sz w:val="17"/>
                <w:lang w:eastAsia="sv-SE"/>
              </w:rPr>
              <w:t>15 001 000</w:t>
            </w:r>
          </w:p>
        </w:tc>
        <w:tc>
          <w:tcPr>
            <w:tcW w:w="992" w:type="dxa"/>
          </w:tcPr>
          <w:p w:rsidR="001C7BF9" w:rsidRPr="00C9680B" w:rsidRDefault="001C7BF9">
            <w:pPr>
              <w:spacing w:before="0" w:line="240" w:lineRule="atLeast"/>
              <w:jc w:val="right"/>
              <w:rPr>
                <w:b/>
                <w:i/>
                <w:snapToGrid w:val="0"/>
                <w:color w:val="000000"/>
                <w:sz w:val="17"/>
                <w:lang w:eastAsia="sv-SE"/>
              </w:rPr>
            </w:pPr>
            <w:r w:rsidRPr="00C9680B">
              <w:rPr>
                <w:b/>
                <w:i/>
                <w:snapToGrid w:val="0"/>
                <w:color w:val="000000"/>
                <w:sz w:val="17"/>
                <w:lang w:eastAsia="sv-SE"/>
              </w:rPr>
              <w:t>+80 000 000</w:t>
            </w:r>
          </w:p>
        </w:tc>
        <w:tc>
          <w:tcPr>
            <w:tcW w:w="1134" w:type="dxa"/>
          </w:tcPr>
          <w:p w:rsidR="001C7BF9" w:rsidRPr="00C9680B" w:rsidRDefault="001C7BF9">
            <w:pPr>
              <w:spacing w:before="0" w:line="240" w:lineRule="atLeast"/>
              <w:jc w:val="right"/>
              <w:rPr>
                <w:b/>
                <w:i/>
                <w:snapToGrid w:val="0"/>
                <w:color w:val="000000"/>
                <w:sz w:val="17"/>
                <w:lang w:eastAsia="sv-SE"/>
              </w:rPr>
            </w:pPr>
            <w:r w:rsidRPr="00C9680B">
              <w:rPr>
                <w:b/>
                <w:i/>
                <w:snapToGrid w:val="0"/>
                <w:color w:val="000000"/>
                <w:sz w:val="17"/>
                <w:lang w:eastAsia="sv-SE"/>
              </w:rPr>
              <w:t>+80 000 000</w:t>
            </w:r>
          </w:p>
        </w:tc>
        <w:tc>
          <w:tcPr>
            <w:tcW w:w="1276" w:type="dxa"/>
          </w:tcPr>
          <w:p w:rsidR="001C7BF9" w:rsidRPr="00C9680B" w:rsidRDefault="001C7BF9">
            <w:pPr>
              <w:spacing w:before="0" w:line="240" w:lineRule="atLeast"/>
              <w:jc w:val="right"/>
              <w:rPr>
                <w:b/>
                <w:i/>
                <w:snapToGrid w:val="0"/>
                <w:color w:val="000000"/>
                <w:sz w:val="17"/>
                <w:lang w:eastAsia="sv-SE"/>
              </w:rPr>
            </w:pPr>
            <w:r w:rsidRPr="00C9680B">
              <w:rPr>
                <w:b/>
                <w:i/>
                <w:snapToGrid w:val="0"/>
                <w:color w:val="000000"/>
                <w:sz w:val="17"/>
                <w:lang w:eastAsia="sv-SE"/>
              </w:rPr>
              <w:t>+50 000 000</w:t>
            </w:r>
          </w:p>
        </w:tc>
        <w:tc>
          <w:tcPr>
            <w:tcW w:w="1276" w:type="dxa"/>
          </w:tcPr>
          <w:p w:rsidR="001C7BF9" w:rsidRPr="00C9680B" w:rsidRDefault="001C7BF9">
            <w:pPr>
              <w:spacing w:before="0" w:line="240" w:lineRule="atLeast"/>
              <w:jc w:val="right"/>
              <w:rPr>
                <w:b/>
                <w:i/>
                <w:snapToGrid w:val="0"/>
                <w:color w:val="000000"/>
                <w:sz w:val="17"/>
                <w:lang w:eastAsia="sv-SE"/>
              </w:rPr>
            </w:pPr>
            <w:r w:rsidRPr="00C9680B">
              <w:rPr>
                <w:b/>
                <w:i/>
                <w:snapToGrid w:val="0"/>
                <w:color w:val="000000"/>
                <w:sz w:val="17"/>
                <w:lang w:eastAsia="sv-SE"/>
              </w:rPr>
              <w:t>+80 000 000</w:t>
            </w:r>
          </w:p>
        </w:tc>
      </w:tr>
      <w:tr w:rsidR="00000000" w:rsidRPr="00C9680B">
        <w:tblPrEx>
          <w:tblCellMar>
            <w:top w:w="0" w:type="dxa"/>
            <w:bottom w:w="0" w:type="dxa"/>
          </w:tblCellMar>
        </w:tblPrEx>
        <w:tc>
          <w:tcPr>
            <w:tcW w:w="490" w:type="dxa"/>
            <w:gridSpan w:val="2"/>
          </w:tcPr>
          <w:p w:rsidR="001C7BF9" w:rsidRPr="00C9680B" w:rsidRDefault="001C7BF9">
            <w:pPr>
              <w:spacing w:before="0" w:line="100" w:lineRule="exact"/>
              <w:jc w:val="left"/>
              <w:rPr>
                <w:b/>
                <w:i/>
                <w:snapToGrid w:val="0"/>
                <w:color w:val="000000"/>
                <w:sz w:val="17"/>
                <w:lang w:eastAsia="sv-SE"/>
              </w:rPr>
            </w:pPr>
          </w:p>
        </w:tc>
        <w:tc>
          <w:tcPr>
            <w:tcW w:w="3793" w:type="dxa"/>
          </w:tcPr>
          <w:p w:rsidR="001C7BF9" w:rsidRPr="00C9680B" w:rsidRDefault="001C7BF9">
            <w:pPr>
              <w:spacing w:before="0" w:line="100" w:lineRule="exact"/>
              <w:jc w:val="left"/>
              <w:rPr>
                <w:b/>
                <w:i/>
                <w:snapToGrid w:val="0"/>
                <w:color w:val="000000"/>
                <w:sz w:val="17"/>
                <w:lang w:eastAsia="sv-SE"/>
              </w:rPr>
            </w:pPr>
          </w:p>
        </w:tc>
        <w:tc>
          <w:tcPr>
            <w:tcW w:w="992" w:type="dxa"/>
          </w:tcPr>
          <w:p w:rsidR="001C7BF9" w:rsidRPr="00C9680B" w:rsidRDefault="001C7BF9">
            <w:pPr>
              <w:spacing w:before="0" w:line="100" w:lineRule="exact"/>
              <w:jc w:val="right"/>
              <w:rPr>
                <w:b/>
                <w:i/>
                <w:snapToGrid w:val="0"/>
                <w:color w:val="000000"/>
                <w:sz w:val="17"/>
                <w:lang w:eastAsia="sv-SE"/>
              </w:rPr>
            </w:pPr>
          </w:p>
        </w:tc>
        <w:tc>
          <w:tcPr>
            <w:tcW w:w="992" w:type="dxa"/>
          </w:tcPr>
          <w:p w:rsidR="001C7BF9" w:rsidRPr="00C9680B" w:rsidRDefault="001C7BF9">
            <w:pPr>
              <w:spacing w:before="0" w:line="100" w:lineRule="exact"/>
              <w:jc w:val="right"/>
              <w:rPr>
                <w:b/>
                <w:i/>
                <w:snapToGrid w:val="0"/>
                <w:color w:val="000000"/>
                <w:sz w:val="17"/>
                <w:lang w:eastAsia="sv-SE"/>
              </w:rPr>
            </w:pPr>
          </w:p>
        </w:tc>
        <w:tc>
          <w:tcPr>
            <w:tcW w:w="1134" w:type="dxa"/>
          </w:tcPr>
          <w:p w:rsidR="001C7BF9" w:rsidRPr="00C9680B" w:rsidRDefault="001C7BF9">
            <w:pPr>
              <w:spacing w:before="0" w:line="100" w:lineRule="exact"/>
              <w:jc w:val="right"/>
              <w:rPr>
                <w:b/>
                <w:i/>
                <w:snapToGrid w:val="0"/>
                <w:color w:val="000000"/>
                <w:sz w:val="17"/>
                <w:lang w:eastAsia="sv-SE"/>
              </w:rPr>
            </w:pPr>
          </w:p>
        </w:tc>
        <w:tc>
          <w:tcPr>
            <w:tcW w:w="1276" w:type="dxa"/>
          </w:tcPr>
          <w:p w:rsidR="001C7BF9" w:rsidRPr="00C9680B" w:rsidRDefault="001C7BF9">
            <w:pPr>
              <w:spacing w:before="0" w:line="100" w:lineRule="exact"/>
              <w:jc w:val="right"/>
              <w:rPr>
                <w:b/>
                <w:i/>
                <w:snapToGrid w:val="0"/>
                <w:color w:val="000000"/>
                <w:sz w:val="17"/>
                <w:lang w:eastAsia="sv-SE"/>
              </w:rPr>
            </w:pPr>
          </w:p>
        </w:tc>
        <w:tc>
          <w:tcPr>
            <w:tcW w:w="1276" w:type="dxa"/>
          </w:tcPr>
          <w:p w:rsidR="001C7BF9" w:rsidRPr="00C9680B" w:rsidRDefault="001C7BF9">
            <w:pPr>
              <w:spacing w:before="0" w:line="100" w:lineRule="exact"/>
              <w:jc w:val="right"/>
              <w:rPr>
                <w:b/>
                <w:i/>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b/>
                <w:i/>
                <w:snapToGrid w:val="0"/>
                <w:color w:val="000000"/>
                <w:sz w:val="17"/>
                <w:lang w:eastAsia="sv-SE"/>
              </w:rPr>
            </w:pPr>
            <w:r w:rsidRPr="00C9680B">
              <w:rPr>
                <w:b/>
                <w:i/>
                <w:snapToGrid w:val="0"/>
                <w:color w:val="000000"/>
                <w:sz w:val="17"/>
                <w:lang w:eastAsia="sv-SE"/>
              </w:rPr>
              <w:t>4000</w:t>
            </w:r>
          </w:p>
        </w:tc>
        <w:tc>
          <w:tcPr>
            <w:tcW w:w="3793" w:type="dxa"/>
          </w:tcPr>
          <w:p w:rsidR="001C7BF9" w:rsidRPr="00C9680B" w:rsidRDefault="001C7BF9">
            <w:pPr>
              <w:spacing w:before="0" w:line="240" w:lineRule="atLeast"/>
              <w:jc w:val="left"/>
              <w:rPr>
                <w:b/>
                <w:i/>
                <w:snapToGrid w:val="0"/>
                <w:color w:val="000000"/>
                <w:sz w:val="17"/>
                <w:lang w:eastAsia="sv-SE"/>
              </w:rPr>
            </w:pPr>
            <w:r w:rsidRPr="00C9680B">
              <w:rPr>
                <w:b/>
                <w:i/>
                <w:snapToGrid w:val="0"/>
                <w:color w:val="000000"/>
                <w:sz w:val="17"/>
                <w:lang w:eastAsia="sv-SE"/>
              </w:rPr>
              <w:t>Återbetalning av lån:</w:t>
            </w:r>
          </w:p>
        </w:tc>
        <w:tc>
          <w:tcPr>
            <w:tcW w:w="992" w:type="dxa"/>
          </w:tcPr>
          <w:p w:rsidR="001C7BF9" w:rsidRPr="00C9680B" w:rsidRDefault="001C7BF9">
            <w:pPr>
              <w:spacing w:before="0" w:line="240" w:lineRule="atLeast"/>
              <w:jc w:val="right"/>
              <w:rPr>
                <w:b/>
                <w:i/>
                <w:snapToGrid w:val="0"/>
                <w:color w:val="000000"/>
                <w:sz w:val="17"/>
                <w:lang w:eastAsia="sv-SE"/>
              </w:rPr>
            </w:pPr>
            <w:r w:rsidRPr="00C9680B">
              <w:rPr>
                <w:b/>
                <w:i/>
                <w:snapToGrid w:val="0"/>
                <w:color w:val="000000"/>
                <w:sz w:val="17"/>
                <w:lang w:eastAsia="sv-SE"/>
              </w:rPr>
              <w:t>2 521 097</w:t>
            </w:r>
          </w:p>
        </w:tc>
        <w:tc>
          <w:tcPr>
            <w:tcW w:w="992" w:type="dxa"/>
          </w:tcPr>
          <w:p w:rsidR="001C7BF9" w:rsidRPr="00C9680B" w:rsidRDefault="001C7BF9">
            <w:pPr>
              <w:spacing w:before="0" w:line="240" w:lineRule="atLeast"/>
              <w:jc w:val="right"/>
              <w:rPr>
                <w:b/>
                <w:i/>
                <w:snapToGrid w:val="0"/>
                <w:color w:val="000000"/>
                <w:sz w:val="17"/>
                <w:lang w:eastAsia="sv-SE"/>
              </w:rPr>
            </w:pPr>
          </w:p>
        </w:tc>
        <w:tc>
          <w:tcPr>
            <w:tcW w:w="1134" w:type="dxa"/>
          </w:tcPr>
          <w:p w:rsidR="001C7BF9" w:rsidRPr="00C9680B" w:rsidRDefault="001C7BF9">
            <w:pPr>
              <w:spacing w:before="0" w:line="240" w:lineRule="atLeast"/>
              <w:jc w:val="right"/>
              <w:rPr>
                <w:b/>
                <w:i/>
                <w:snapToGrid w:val="0"/>
                <w:color w:val="000000"/>
                <w:sz w:val="17"/>
                <w:lang w:eastAsia="sv-SE"/>
              </w:rPr>
            </w:pPr>
          </w:p>
        </w:tc>
        <w:tc>
          <w:tcPr>
            <w:tcW w:w="1276" w:type="dxa"/>
          </w:tcPr>
          <w:p w:rsidR="001C7BF9" w:rsidRPr="00C9680B" w:rsidRDefault="001C7BF9">
            <w:pPr>
              <w:spacing w:before="0" w:line="240" w:lineRule="atLeast"/>
              <w:jc w:val="right"/>
              <w:rPr>
                <w:b/>
                <w:i/>
                <w:snapToGrid w:val="0"/>
                <w:color w:val="000000"/>
                <w:sz w:val="17"/>
                <w:lang w:eastAsia="sv-SE"/>
              </w:rPr>
            </w:pPr>
          </w:p>
        </w:tc>
        <w:tc>
          <w:tcPr>
            <w:tcW w:w="1276" w:type="dxa"/>
          </w:tcPr>
          <w:p w:rsidR="001C7BF9" w:rsidRPr="00C9680B" w:rsidRDefault="001C7BF9">
            <w:pPr>
              <w:spacing w:before="0" w:line="240" w:lineRule="atLeast"/>
              <w:jc w:val="right"/>
              <w:rPr>
                <w:b/>
                <w:i/>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100" w:lineRule="exact"/>
              <w:jc w:val="left"/>
              <w:rPr>
                <w:b/>
                <w:i/>
                <w:snapToGrid w:val="0"/>
                <w:color w:val="000000"/>
                <w:sz w:val="17"/>
                <w:lang w:eastAsia="sv-SE"/>
              </w:rPr>
            </w:pPr>
          </w:p>
        </w:tc>
        <w:tc>
          <w:tcPr>
            <w:tcW w:w="3793" w:type="dxa"/>
          </w:tcPr>
          <w:p w:rsidR="001C7BF9" w:rsidRPr="00C9680B" w:rsidRDefault="001C7BF9">
            <w:pPr>
              <w:spacing w:before="0" w:line="100" w:lineRule="exact"/>
              <w:jc w:val="left"/>
              <w:rPr>
                <w:b/>
                <w:i/>
                <w:snapToGrid w:val="0"/>
                <w:color w:val="000000"/>
                <w:sz w:val="17"/>
                <w:lang w:eastAsia="sv-SE"/>
              </w:rPr>
            </w:pPr>
          </w:p>
        </w:tc>
        <w:tc>
          <w:tcPr>
            <w:tcW w:w="992" w:type="dxa"/>
          </w:tcPr>
          <w:p w:rsidR="001C7BF9" w:rsidRPr="00C9680B" w:rsidRDefault="001C7BF9">
            <w:pPr>
              <w:spacing w:before="0" w:line="100" w:lineRule="exact"/>
              <w:jc w:val="right"/>
              <w:rPr>
                <w:b/>
                <w:i/>
                <w:snapToGrid w:val="0"/>
                <w:color w:val="000000"/>
                <w:sz w:val="17"/>
                <w:lang w:eastAsia="sv-SE"/>
              </w:rPr>
            </w:pPr>
          </w:p>
        </w:tc>
        <w:tc>
          <w:tcPr>
            <w:tcW w:w="992" w:type="dxa"/>
          </w:tcPr>
          <w:p w:rsidR="001C7BF9" w:rsidRPr="00C9680B" w:rsidRDefault="001C7BF9">
            <w:pPr>
              <w:spacing w:before="0" w:line="100" w:lineRule="exact"/>
              <w:jc w:val="right"/>
              <w:rPr>
                <w:b/>
                <w:i/>
                <w:snapToGrid w:val="0"/>
                <w:color w:val="000000"/>
                <w:sz w:val="17"/>
                <w:lang w:eastAsia="sv-SE"/>
              </w:rPr>
            </w:pPr>
          </w:p>
        </w:tc>
        <w:tc>
          <w:tcPr>
            <w:tcW w:w="1134" w:type="dxa"/>
          </w:tcPr>
          <w:p w:rsidR="001C7BF9" w:rsidRPr="00C9680B" w:rsidRDefault="001C7BF9">
            <w:pPr>
              <w:spacing w:before="0" w:line="100" w:lineRule="exact"/>
              <w:jc w:val="right"/>
              <w:rPr>
                <w:b/>
                <w:i/>
                <w:snapToGrid w:val="0"/>
                <w:color w:val="000000"/>
                <w:sz w:val="17"/>
                <w:lang w:eastAsia="sv-SE"/>
              </w:rPr>
            </w:pPr>
          </w:p>
        </w:tc>
        <w:tc>
          <w:tcPr>
            <w:tcW w:w="1276" w:type="dxa"/>
          </w:tcPr>
          <w:p w:rsidR="001C7BF9" w:rsidRPr="00C9680B" w:rsidRDefault="001C7BF9">
            <w:pPr>
              <w:spacing w:before="0" w:line="100" w:lineRule="exact"/>
              <w:jc w:val="right"/>
              <w:rPr>
                <w:b/>
                <w:i/>
                <w:snapToGrid w:val="0"/>
                <w:color w:val="000000"/>
                <w:sz w:val="17"/>
                <w:lang w:eastAsia="sv-SE"/>
              </w:rPr>
            </w:pPr>
          </w:p>
        </w:tc>
        <w:tc>
          <w:tcPr>
            <w:tcW w:w="1276" w:type="dxa"/>
          </w:tcPr>
          <w:p w:rsidR="001C7BF9" w:rsidRPr="00C9680B" w:rsidRDefault="001C7BF9">
            <w:pPr>
              <w:spacing w:before="0" w:line="100" w:lineRule="exact"/>
              <w:jc w:val="right"/>
              <w:rPr>
                <w:b/>
                <w:i/>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b/>
                <w:i/>
                <w:snapToGrid w:val="0"/>
                <w:color w:val="000000"/>
                <w:sz w:val="17"/>
                <w:lang w:eastAsia="sv-SE"/>
              </w:rPr>
            </w:pPr>
            <w:r w:rsidRPr="00C9680B">
              <w:rPr>
                <w:b/>
                <w:i/>
                <w:snapToGrid w:val="0"/>
                <w:color w:val="000000"/>
                <w:sz w:val="17"/>
                <w:lang w:eastAsia="sv-SE"/>
              </w:rPr>
              <w:t>5000</w:t>
            </w:r>
          </w:p>
        </w:tc>
        <w:tc>
          <w:tcPr>
            <w:tcW w:w="3793" w:type="dxa"/>
          </w:tcPr>
          <w:p w:rsidR="001C7BF9" w:rsidRPr="00C9680B" w:rsidRDefault="001C7BF9">
            <w:pPr>
              <w:spacing w:before="0" w:line="240" w:lineRule="atLeast"/>
              <w:jc w:val="left"/>
              <w:rPr>
                <w:b/>
                <w:i/>
                <w:snapToGrid w:val="0"/>
                <w:color w:val="000000"/>
                <w:sz w:val="17"/>
                <w:lang w:eastAsia="sv-SE"/>
              </w:rPr>
            </w:pPr>
            <w:r w:rsidRPr="00C9680B">
              <w:rPr>
                <w:b/>
                <w:i/>
                <w:snapToGrid w:val="0"/>
                <w:color w:val="000000"/>
                <w:sz w:val="17"/>
                <w:lang w:eastAsia="sv-SE"/>
              </w:rPr>
              <w:t>Kalkylmässiga i</w:t>
            </w:r>
            <w:r w:rsidRPr="00C9680B">
              <w:rPr>
                <w:b/>
                <w:i/>
                <w:snapToGrid w:val="0"/>
                <w:color w:val="000000"/>
                <w:sz w:val="17"/>
                <w:lang w:eastAsia="sv-SE"/>
              </w:rPr>
              <w:t>n</w:t>
            </w:r>
            <w:r w:rsidRPr="00C9680B">
              <w:rPr>
                <w:b/>
                <w:i/>
                <w:snapToGrid w:val="0"/>
                <w:color w:val="000000"/>
                <w:sz w:val="17"/>
                <w:lang w:eastAsia="sv-SE"/>
              </w:rPr>
              <w:t>komster:</w:t>
            </w:r>
          </w:p>
        </w:tc>
        <w:tc>
          <w:tcPr>
            <w:tcW w:w="992" w:type="dxa"/>
          </w:tcPr>
          <w:p w:rsidR="001C7BF9" w:rsidRPr="00C9680B" w:rsidRDefault="001C7BF9">
            <w:pPr>
              <w:spacing w:before="0" w:line="240" w:lineRule="atLeast"/>
              <w:jc w:val="right"/>
              <w:rPr>
                <w:b/>
                <w:i/>
                <w:snapToGrid w:val="0"/>
                <w:color w:val="000000"/>
                <w:sz w:val="17"/>
                <w:lang w:eastAsia="sv-SE"/>
              </w:rPr>
            </w:pPr>
            <w:r w:rsidRPr="00C9680B">
              <w:rPr>
                <w:b/>
                <w:i/>
                <w:snapToGrid w:val="0"/>
                <w:color w:val="000000"/>
                <w:sz w:val="17"/>
                <w:lang w:eastAsia="sv-SE"/>
              </w:rPr>
              <w:t>8 856 107</w:t>
            </w:r>
          </w:p>
        </w:tc>
        <w:tc>
          <w:tcPr>
            <w:tcW w:w="992" w:type="dxa"/>
          </w:tcPr>
          <w:p w:rsidR="001C7BF9" w:rsidRPr="00C9680B" w:rsidRDefault="001C7BF9">
            <w:pPr>
              <w:spacing w:before="0" w:line="240" w:lineRule="atLeast"/>
              <w:jc w:val="right"/>
              <w:rPr>
                <w:b/>
                <w:i/>
                <w:snapToGrid w:val="0"/>
                <w:color w:val="000000"/>
                <w:sz w:val="17"/>
                <w:lang w:eastAsia="sv-SE"/>
              </w:rPr>
            </w:pPr>
          </w:p>
        </w:tc>
        <w:tc>
          <w:tcPr>
            <w:tcW w:w="1134" w:type="dxa"/>
          </w:tcPr>
          <w:p w:rsidR="001C7BF9" w:rsidRPr="00C9680B" w:rsidRDefault="001C7BF9">
            <w:pPr>
              <w:spacing w:before="0" w:line="240" w:lineRule="atLeast"/>
              <w:jc w:val="right"/>
              <w:rPr>
                <w:b/>
                <w:i/>
                <w:snapToGrid w:val="0"/>
                <w:color w:val="000000"/>
                <w:sz w:val="17"/>
                <w:lang w:eastAsia="sv-SE"/>
              </w:rPr>
            </w:pPr>
          </w:p>
        </w:tc>
        <w:tc>
          <w:tcPr>
            <w:tcW w:w="1276" w:type="dxa"/>
          </w:tcPr>
          <w:p w:rsidR="001C7BF9" w:rsidRPr="00C9680B" w:rsidRDefault="001C7BF9">
            <w:pPr>
              <w:spacing w:before="0" w:line="240" w:lineRule="atLeast"/>
              <w:jc w:val="right"/>
              <w:rPr>
                <w:b/>
                <w:i/>
                <w:snapToGrid w:val="0"/>
                <w:color w:val="000000"/>
                <w:sz w:val="17"/>
                <w:lang w:eastAsia="sv-SE"/>
              </w:rPr>
            </w:pPr>
          </w:p>
        </w:tc>
        <w:tc>
          <w:tcPr>
            <w:tcW w:w="1276" w:type="dxa"/>
          </w:tcPr>
          <w:p w:rsidR="001C7BF9" w:rsidRPr="00C9680B" w:rsidRDefault="001C7BF9">
            <w:pPr>
              <w:spacing w:before="0" w:line="240" w:lineRule="atLeast"/>
              <w:jc w:val="right"/>
              <w:rPr>
                <w:b/>
                <w:i/>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b/>
                <w:i/>
                <w:snapToGrid w:val="0"/>
                <w:color w:val="000000"/>
                <w:sz w:val="17"/>
                <w:lang w:eastAsia="sv-SE"/>
              </w:rPr>
            </w:pPr>
          </w:p>
        </w:tc>
        <w:tc>
          <w:tcPr>
            <w:tcW w:w="3793" w:type="dxa"/>
          </w:tcPr>
          <w:p w:rsidR="001C7BF9" w:rsidRPr="00C9680B" w:rsidRDefault="001C7BF9">
            <w:pPr>
              <w:spacing w:before="0" w:line="240" w:lineRule="atLeast"/>
              <w:jc w:val="left"/>
              <w:rPr>
                <w:b/>
                <w:i/>
                <w:snapToGrid w:val="0"/>
                <w:color w:val="000000"/>
                <w:sz w:val="17"/>
                <w:lang w:eastAsia="sv-SE"/>
              </w:rPr>
            </w:pPr>
          </w:p>
        </w:tc>
        <w:tc>
          <w:tcPr>
            <w:tcW w:w="992" w:type="dxa"/>
          </w:tcPr>
          <w:p w:rsidR="001C7BF9" w:rsidRPr="00C9680B" w:rsidRDefault="001C7BF9">
            <w:pPr>
              <w:spacing w:before="0" w:line="240" w:lineRule="atLeast"/>
              <w:jc w:val="right"/>
              <w:rPr>
                <w:b/>
                <w:i/>
                <w:snapToGrid w:val="0"/>
                <w:color w:val="000000"/>
                <w:sz w:val="17"/>
                <w:lang w:eastAsia="sv-SE"/>
              </w:rPr>
            </w:pPr>
          </w:p>
        </w:tc>
        <w:tc>
          <w:tcPr>
            <w:tcW w:w="992" w:type="dxa"/>
          </w:tcPr>
          <w:p w:rsidR="001C7BF9" w:rsidRPr="00C9680B" w:rsidRDefault="001C7BF9">
            <w:pPr>
              <w:spacing w:before="0" w:line="240" w:lineRule="atLeast"/>
              <w:jc w:val="right"/>
              <w:rPr>
                <w:b/>
                <w:i/>
                <w:snapToGrid w:val="0"/>
                <w:color w:val="000000"/>
                <w:sz w:val="17"/>
                <w:lang w:eastAsia="sv-SE"/>
              </w:rPr>
            </w:pPr>
          </w:p>
        </w:tc>
        <w:tc>
          <w:tcPr>
            <w:tcW w:w="1134" w:type="dxa"/>
          </w:tcPr>
          <w:p w:rsidR="001C7BF9" w:rsidRPr="00C9680B" w:rsidRDefault="001C7BF9">
            <w:pPr>
              <w:spacing w:before="0" w:line="240" w:lineRule="atLeast"/>
              <w:jc w:val="right"/>
              <w:rPr>
                <w:b/>
                <w:i/>
                <w:snapToGrid w:val="0"/>
                <w:color w:val="000000"/>
                <w:sz w:val="17"/>
                <w:lang w:eastAsia="sv-SE"/>
              </w:rPr>
            </w:pPr>
          </w:p>
        </w:tc>
        <w:tc>
          <w:tcPr>
            <w:tcW w:w="1276" w:type="dxa"/>
          </w:tcPr>
          <w:p w:rsidR="001C7BF9" w:rsidRPr="00C9680B" w:rsidRDefault="001C7BF9">
            <w:pPr>
              <w:spacing w:before="0" w:line="240" w:lineRule="atLeast"/>
              <w:jc w:val="right"/>
              <w:rPr>
                <w:b/>
                <w:i/>
                <w:snapToGrid w:val="0"/>
                <w:color w:val="000000"/>
                <w:sz w:val="17"/>
                <w:lang w:eastAsia="sv-SE"/>
              </w:rPr>
            </w:pPr>
          </w:p>
        </w:tc>
        <w:tc>
          <w:tcPr>
            <w:tcW w:w="1276" w:type="dxa"/>
          </w:tcPr>
          <w:p w:rsidR="001C7BF9" w:rsidRPr="00C9680B" w:rsidRDefault="001C7BF9">
            <w:pPr>
              <w:spacing w:before="0" w:line="240" w:lineRule="atLeast"/>
              <w:jc w:val="right"/>
              <w:rPr>
                <w:b/>
                <w:i/>
                <w:snapToGrid w:val="0"/>
                <w:color w:val="000000"/>
                <w:sz w:val="17"/>
                <w:lang w:eastAsia="sv-SE"/>
              </w:rPr>
            </w:pPr>
          </w:p>
        </w:tc>
      </w:tr>
      <w:tr w:rsidR="00000000" w:rsidRPr="00C9680B">
        <w:tblPrEx>
          <w:tblCellMar>
            <w:top w:w="0" w:type="dxa"/>
            <w:bottom w:w="0" w:type="dxa"/>
          </w:tblCellMar>
        </w:tblPrEx>
        <w:tc>
          <w:tcPr>
            <w:tcW w:w="490" w:type="dxa"/>
            <w:gridSpan w:val="2"/>
          </w:tcPr>
          <w:p w:rsidR="001C7BF9" w:rsidRPr="00C9680B" w:rsidRDefault="001C7BF9">
            <w:pPr>
              <w:spacing w:before="0" w:line="240" w:lineRule="atLeast"/>
              <w:jc w:val="left"/>
              <w:rPr>
                <w:b/>
                <w:i/>
                <w:snapToGrid w:val="0"/>
                <w:color w:val="000000"/>
                <w:sz w:val="17"/>
                <w:lang w:eastAsia="sv-SE"/>
              </w:rPr>
            </w:pPr>
            <w:r w:rsidRPr="00C9680B">
              <w:rPr>
                <w:b/>
                <w:i/>
                <w:snapToGrid w:val="0"/>
                <w:color w:val="000000"/>
                <w:sz w:val="17"/>
                <w:lang w:eastAsia="sv-SE"/>
              </w:rPr>
              <w:t>6000</w:t>
            </w:r>
          </w:p>
        </w:tc>
        <w:tc>
          <w:tcPr>
            <w:tcW w:w="3793" w:type="dxa"/>
          </w:tcPr>
          <w:p w:rsidR="001C7BF9" w:rsidRPr="00C9680B" w:rsidRDefault="001C7BF9">
            <w:pPr>
              <w:spacing w:before="0" w:line="240" w:lineRule="atLeast"/>
              <w:jc w:val="left"/>
              <w:rPr>
                <w:b/>
                <w:i/>
                <w:snapToGrid w:val="0"/>
                <w:color w:val="000000"/>
                <w:sz w:val="17"/>
                <w:lang w:eastAsia="sv-SE"/>
              </w:rPr>
            </w:pPr>
            <w:r w:rsidRPr="00C9680B">
              <w:rPr>
                <w:b/>
                <w:i/>
                <w:snapToGrid w:val="0"/>
                <w:color w:val="000000"/>
                <w:sz w:val="17"/>
                <w:lang w:eastAsia="sv-SE"/>
              </w:rPr>
              <w:t>Bidrag m.m från EU:</w:t>
            </w:r>
          </w:p>
        </w:tc>
        <w:tc>
          <w:tcPr>
            <w:tcW w:w="992" w:type="dxa"/>
          </w:tcPr>
          <w:p w:rsidR="001C7BF9" w:rsidRPr="00C9680B" w:rsidRDefault="001C7BF9">
            <w:pPr>
              <w:spacing w:before="0" w:line="240" w:lineRule="atLeast"/>
              <w:jc w:val="right"/>
              <w:rPr>
                <w:b/>
                <w:i/>
                <w:snapToGrid w:val="0"/>
                <w:color w:val="000000"/>
                <w:sz w:val="17"/>
                <w:lang w:eastAsia="sv-SE"/>
              </w:rPr>
            </w:pPr>
            <w:r w:rsidRPr="00C9680B">
              <w:rPr>
                <w:b/>
                <w:i/>
                <w:snapToGrid w:val="0"/>
                <w:color w:val="000000"/>
                <w:sz w:val="17"/>
                <w:lang w:eastAsia="sv-SE"/>
              </w:rPr>
              <w:t>10 556 100</w:t>
            </w:r>
          </w:p>
        </w:tc>
        <w:tc>
          <w:tcPr>
            <w:tcW w:w="992" w:type="dxa"/>
          </w:tcPr>
          <w:p w:rsidR="001C7BF9" w:rsidRPr="00C9680B" w:rsidRDefault="001C7BF9">
            <w:pPr>
              <w:spacing w:before="0" w:line="240" w:lineRule="atLeast"/>
              <w:jc w:val="right"/>
              <w:rPr>
                <w:b/>
                <w:i/>
                <w:snapToGrid w:val="0"/>
                <w:color w:val="000000"/>
                <w:sz w:val="17"/>
                <w:lang w:eastAsia="sv-SE"/>
              </w:rPr>
            </w:pPr>
          </w:p>
        </w:tc>
        <w:tc>
          <w:tcPr>
            <w:tcW w:w="1134" w:type="dxa"/>
          </w:tcPr>
          <w:p w:rsidR="001C7BF9" w:rsidRPr="00C9680B" w:rsidRDefault="001C7BF9">
            <w:pPr>
              <w:spacing w:before="0" w:line="240" w:lineRule="atLeast"/>
              <w:jc w:val="right"/>
              <w:rPr>
                <w:b/>
                <w:i/>
                <w:snapToGrid w:val="0"/>
                <w:color w:val="000000"/>
                <w:sz w:val="17"/>
                <w:lang w:eastAsia="sv-SE"/>
              </w:rPr>
            </w:pPr>
          </w:p>
        </w:tc>
        <w:tc>
          <w:tcPr>
            <w:tcW w:w="1276" w:type="dxa"/>
          </w:tcPr>
          <w:p w:rsidR="001C7BF9" w:rsidRPr="00C9680B" w:rsidRDefault="001C7BF9">
            <w:pPr>
              <w:spacing w:before="0" w:line="240" w:lineRule="atLeast"/>
              <w:jc w:val="right"/>
              <w:rPr>
                <w:b/>
                <w:i/>
                <w:snapToGrid w:val="0"/>
                <w:color w:val="000000"/>
                <w:sz w:val="17"/>
                <w:lang w:eastAsia="sv-SE"/>
              </w:rPr>
            </w:pPr>
          </w:p>
        </w:tc>
        <w:tc>
          <w:tcPr>
            <w:tcW w:w="1276" w:type="dxa"/>
          </w:tcPr>
          <w:p w:rsidR="001C7BF9" w:rsidRPr="00C9680B" w:rsidRDefault="001C7BF9">
            <w:pPr>
              <w:spacing w:before="0" w:line="240" w:lineRule="atLeast"/>
              <w:jc w:val="right"/>
              <w:rPr>
                <w:b/>
                <w:i/>
                <w:snapToGrid w:val="0"/>
                <w:color w:val="000000"/>
                <w:sz w:val="17"/>
                <w:lang w:eastAsia="sv-SE"/>
              </w:rPr>
            </w:pPr>
          </w:p>
        </w:tc>
      </w:tr>
      <w:tr w:rsidR="00000000" w:rsidRPr="00C9680B">
        <w:tblPrEx>
          <w:tblCellMar>
            <w:top w:w="0" w:type="dxa"/>
            <w:bottom w:w="0" w:type="dxa"/>
          </w:tblCellMar>
        </w:tblPrEx>
        <w:tc>
          <w:tcPr>
            <w:tcW w:w="4283" w:type="dxa"/>
            <w:hMerge w:val="restart"/>
          </w:tcPr>
          <w:p w:rsidR="001C7BF9" w:rsidRPr="00C9680B" w:rsidRDefault="001C7BF9">
            <w:pPr>
              <w:spacing w:before="0" w:line="100" w:lineRule="exact"/>
              <w:jc w:val="left"/>
              <w:rPr>
                <w:b/>
                <w:snapToGrid w:val="0"/>
                <w:color w:val="000000"/>
                <w:sz w:val="17"/>
                <w:lang w:eastAsia="sv-SE"/>
              </w:rPr>
            </w:pPr>
          </w:p>
        </w:tc>
        <w:tc>
          <w:tcPr>
            <w:gridSpan w:val="2"/>
            <w:hMerge/>
          </w:tcPr>
          <w:p w:rsidR="001C7BF9" w:rsidRPr="00C9680B" w:rsidRDefault="001C7BF9">
            <w:pPr>
              <w:spacing w:before="0" w:line="100" w:lineRule="exact"/>
              <w:jc w:val="left"/>
              <w:rPr>
                <w:b/>
                <w:snapToGrid w:val="0"/>
                <w:color w:val="000000"/>
                <w:sz w:val="17"/>
                <w:lang w:eastAsia="sv-SE"/>
              </w:rPr>
            </w:pPr>
          </w:p>
        </w:tc>
        <w:tc>
          <w:tcPr>
            <w:tcW w:w="992" w:type="dxa"/>
          </w:tcPr>
          <w:p w:rsidR="001C7BF9" w:rsidRPr="00C9680B" w:rsidRDefault="001C7BF9">
            <w:pPr>
              <w:spacing w:before="0" w:line="100" w:lineRule="exact"/>
              <w:jc w:val="right"/>
              <w:rPr>
                <w:b/>
                <w:snapToGrid w:val="0"/>
                <w:color w:val="000000"/>
                <w:sz w:val="17"/>
                <w:lang w:eastAsia="sv-SE"/>
              </w:rPr>
            </w:pPr>
          </w:p>
        </w:tc>
        <w:tc>
          <w:tcPr>
            <w:tcW w:w="992" w:type="dxa"/>
          </w:tcPr>
          <w:p w:rsidR="001C7BF9" w:rsidRPr="00C9680B" w:rsidRDefault="001C7BF9">
            <w:pPr>
              <w:spacing w:before="0" w:line="100" w:lineRule="exact"/>
              <w:jc w:val="right"/>
              <w:rPr>
                <w:b/>
                <w:snapToGrid w:val="0"/>
                <w:color w:val="000000"/>
                <w:sz w:val="17"/>
                <w:lang w:eastAsia="sv-SE"/>
              </w:rPr>
            </w:pPr>
          </w:p>
        </w:tc>
        <w:tc>
          <w:tcPr>
            <w:tcW w:w="1134" w:type="dxa"/>
          </w:tcPr>
          <w:p w:rsidR="001C7BF9" w:rsidRPr="00C9680B" w:rsidRDefault="001C7BF9">
            <w:pPr>
              <w:spacing w:before="0" w:line="100" w:lineRule="exact"/>
              <w:jc w:val="right"/>
              <w:rPr>
                <w:b/>
                <w:snapToGrid w:val="0"/>
                <w:color w:val="000000"/>
                <w:sz w:val="17"/>
                <w:lang w:eastAsia="sv-SE"/>
              </w:rPr>
            </w:pPr>
          </w:p>
        </w:tc>
        <w:tc>
          <w:tcPr>
            <w:tcW w:w="1276" w:type="dxa"/>
          </w:tcPr>
          <w:p w:rsidR="001C7BF9" w:rsidRPr="00C9680B" w:rsidRDefault="001C7BF9">
            <w:pPr>
              <w:spacing w:before="0" w:line="100" w:lineRule="exact"/>
              <w:jc w:val="right"/>
              <w:rPr>
                <w:b/>
                <w:snapToGrid w:val="0"/>
                <w:color w:val="000000"/>
                <w:sz w:val="17"/>
                <w:lang w:eastAsia="sv-SE"/>
              </w:rPr>
            </w:pPr>
          </w:p>
        </w:tc>
        <w:tc>
          <w:tcPr>
            <w:tcW w:w="1276" w:type="dxa"/>
          </w:tcPr>
          <w:p w:rsidR="001C7BF9" w:rsidRPr="00C9680B" w:rsidRDefault="001C7BF9">
            <w:pPr>
              <w:spacing w:before="0" w:line="100" w:lineRule="exact"/>
              <w:jc w:val="right"/>
              <w:rPr>
                <w:b/>
                <w:snapToGrid w:val="0"/>
                <w:color w:val="000000"/>
                <w:sz w:val="17"/>
                <w:lang w:eastAsia="sv-SE"/>
              </w:rPr>
            </w:pPr>
          </w:p>
        </w:tc>
      </w:tr>
      <w:tr w:rsidR="00000000" w:rsidRPr="00C9680B">
        <w:tblPrEx>
          <w:tblCellMar>
            <w:top w:w="0" w:type="dxa"/>
            <w:bottom w:w="0" w:type="dxa"/>
          </w:tblCellMar>
        </w:tblPrEx>
        <w:tc>
          <w:tcPr>
            <w:tcW w:w="4283" w:type="dxa"/>
            <w:hMerge w:val="restart"/>
            <w:tcBorders>
              <w:bottom w:val="single" w:sz="4" w:space="0" w:color="auto"/>
            </w:tcBorders>
          </w:tcPr>
          <w:p w:rsidR="001C7BF9" w:rsidRPr="00C9680B" w:rsidRDefault="001C7BF9">
            <w:pPr>
              <w:spacing w:before="0" w:line="240" w:lineRule="atLeast"/>
              <w:jc w:val="left"/>
              <w:rPr>
                <w:b/>
                <w:snapToGrid w:val="0"/>
                <w:color w:val="000000"/>
                <w:sz w:val="17"/>
                <w:lang w:eastAsia="sv-SE"/>
              </w:rPr>
            </w:pPr>
            <w:r w:rsidRPr="00C9680B">
              <w:rPr>
                <w:b/>
                <w:snapToGrid w:val="0"/>
                <w:color w:val="000000"/>
                <w:sz w:val="17"/>
                <w:lang w:eastAsia="sv-SE"/>
              </w:rPr>
              <w:t>Summa statsbudgetens i</w:t>
            </w:r>
            <w:r w:rsidRPr="00C9680B">
              <w:rPr>
                <w:b/>
                <w:snapToGrid w:val="0"/>
                <w:color w:val="000000"/>
                <w:sz w:val="17"/>
                <w:lang w:eastAsia="sv-SE"/>
              </w:rPr>
              <w:t>n</w:t>
            </w:r>
            <w:r w:rsidRPr="00C9680B">
              <w:rPr>
                <w:b/>
                <w:snapToGrid w:val="0"/>
                <w:color w:val="000000"/>
                <w:sz w:val="17"/>
                <w:lang w:eastAsia="sv-SE"/>
              </w:rPr>
              <w:t>komster</w:t>
            </w:r>
          </w:p>
        </w:tc>
        <w:tc>
          <w:tcPr>
            <w:gridSpan w:val="2"/>
            <w:hMerge/>
            <w:tcBorders>
              <w:bottom w:val="single" w:sz="4" w:space="0" w:color="auto"/>
            </w:tcBorders>
          </w:tcPr>
          <w:p w:rsidR="001C7BF9" w:rsidRPr="00C9680B" w:rsidRDefault="001C7BF9">
            <w:pPr>
              <w:spacing w:before="0" w:line="240" w:lineRule="atLeast"/>
              <w:jc w:val="left"/>
              <w:rPr>
                <w:b/>
                <w:snapToGrid w:val="0"/>
                <w:color w:val="000000"/>
                <w:sz w:val="17"/>
                <w:lang w:eastAsia="sv-SE"/>
              </w:rPr>
            </w:pPr>
          </w:p>
        </w:tc>
        <w:tc>
          <w:tcPr>
            <w:tcW w:w="992" w:type="dxa"/>
            <w:tcBorders>
              <w:bottom w:val="single" w:sz="4" w:space="0" w:color="auto"/>
            </w:tcBorders>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717 144 713</w:t>
            </w:r>
          </w:p>
        </w:tc>
        <w:tc>
          <w:tcPr>
            <w:tcW w:w="992" w:type="dxa"/>
            <w:tcBorders>
              <w:bottom w:val="single" w:sz="4" w:space="0" w:color="auto"/>
            </w:tcBorders>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+81 800 000</w:t>
            </w:r>
          </w:p>
        </w:tc>
        <w:tc>
          <w:tcPr>
            <w:tcW w:w="1134" w:type="dxa"/>
            <w:tcBorders>
              <w:bottom w:val="single" w:sz="4" w:space="0" w:color="auto"/>
            </w:tcBorders>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+53 630 000</w:t>
            </w:r>
          </w:p>
        </w:tc>
        <w:tc>
          <w:tcPr>
            <w:tcW w:w="1276" w:type="dxa"/>
            <w:tcBorders>
              <w:bottom w:val="single" w:sz="4" w:space="0" w:color="auto"/>
            </w:tcBorders>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+39 815 000</w:t>
            </w:r>
          </w:p>
        </w:tc>
        <w:tc>
          <w:tcPr>
            <w:tcW w:w="1276" w:type="dxa"/>
            <w:tcBorders>
              <w:bottom w:val="single" w:sz="4" w:space="0" w:color="auto"/>
            </w:tcBorders>
          </w:tcPr>
          <w:p w:rsidR="001C7BF9" w:rsidRPr="00C9680B" w:rsidRDefault="001C7BF9">
            <w:pPr>
              <w:spacing w:before="0" w:line="240" w:lineRule="atLeast"/>
              <w:jc w:val="right"/>
              <w:rPr>
                <w:b/>
                <w:snapToGrid w:val="0"/>
                <w:color w:val="000000"/>
                <w:sz w:val="17"/>
                <w:lang w:eastAsia="sv-SE"/>
              </w:rPr>
            </w:pPr>
            <w:r w:rsidRPr="00C9680B">
              <w:rPr>
                <w:b/>
                <w:snapToGrid w:val="0"/>
                <w:color w:val="000000"/>
                <w:sz w:val="17"/>
                <w:lang w:eastAsia="sv-SE"/>
              </w:rPr>
              <w:t>+68 695 000</w:t>
            </w:r>
          </w:p>
        </w:tc>
      </w:tr>
    </w:tbl>
    <w:p w:rsidR="001C7BF9" w:rsidRPr="00C9680B" w:rsidRDefault="001C7BF9"/>
    <w:p w:rsidR="001C7BF9" w:rsidRPr="00C9680B" w:rsidRDefault="001C7BF9">
      <w:pPr>
        <w:pStyle w:val="Normaltindrag"/>
      </w:pPr>
    </w:p>
    <w:p w:rsidR="001C7BF9" w:rsidRPr="00C9680B" w:rsidRDefault="001C7BF9">
      <w:pPr>
        <w:pStyle w:val="Normaltindrag"/>
      </w:pPr>
    </w:p>
    <w:p w:rsidR="001C7BF9" w:rsidRPr="00C9680B" w:rsidRDefault="001C7BF9">
      <w:pPr>
        <w:pStyle w:val="Normaltindrag"/>
        <w:sectPr w:rsidR="00000000" w:rsidRPr="00C9680B">
          <w:headerReference w:type="even" r:id="rId26"/>
          <w:headerReference w:type="default" r:id="rId27"/>
          <w:footerReference w:type="even" r:id="rId28"/>
          <w:footerReference w:type="default" r:id="rId29"/>
          <w:headerReference w:type="first" r:id="rId30"/>
          <w:footerReference w:type="first" r:id="rId31"/>
          <w:footnotePr>
            <w:numRestart w:val="eachSect"/>
          </w:footnotePr>
          <w:pgSz w:w="16838" w:h="11906" w:orient="landscape" w:code="9"/>
          <w:pgMar w:top="2976" w:right="1020" w:bottom="2976" w:left="4422" w:header="340" w:footer="227" w:gutter="0"/>
          <w:cols w:space="720"/>
          <w:titlePg/>
        </w:sectPr>
      </w:pPr>
    </w:p>
    <w:p w:rsidR="001C7BF9" w:rsidRPr="00C9680B" w:rsidRDefault="001C7BF9">
      <w:pPr>
        <w:pStyle w:val="Rubrik2"/>
      </w:pPr>
      <w:bookmarkStart w:id="44" w:name="_Toc498910647"/>
      <w:r w:rsidRPr="00C9680B">
        <w:t>Förteckning över av utskottet i punkt 5 avstyrkta motionsyrkanden</w:t>
      </w:r>
      <w:bookmarkEnd w:id="44"/>
      <w:r w:rsidRPr="00C9680B">
        <w:t xml:space="preserve"> </w:t>
      </w:r>
    </w:p>
    <w:p w:rsidR="001C7BF9" w:rsidRPr="00C9680B" w:rsidRDefault="001C7BF9">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418"/>
        <w:gridCol w:w="3629"/>
        <w:gridCol w:w="1077"/>
      </w:tblGrid>
      <w:tr w:rsidR="00000000" w:rsidRPr="00C9680B">
        <w:tblPrEx>
          <w:tblCellMar>
            <w:top w:w="0" w:type="dxa"/>
            <w:bottom w:w="0" w:type="dxa"/>
          </w:tblCellMar>
        </w:tblPrEx>
        <w:tc>
          <w:tcPr>
            <w:tcW w:w="1418" w:type="dxa"/>
            <w:tcBorders>
              <w:top w:val="single" w:sz="4" w:space="0" w:color="auto"/>
            </w:tcBorders>
          </w:tcPr>
          <w:p w:rsidR="001C7BF9" w:rsidRPr="00C9680B" w:rsidRDefault="001C7BF9">
            <w:r w:rsidRPr="00C9680B">
              <w:t>Motion</w:t>
            </w:r>
          </w:p>
        </w:tc>
        <w:tc>
          <w:tcPr>
            <w:tcW w:w="3629" w:type="dxa"/>
            <w:tcBorders>
              <w:top w:val="single" w:sz="4" w:space="0" w:color="auto"/>
            </w:tcBorders>
          </w:tcPr>
          <w:p w:rsidR="001C7BF9" w:rsidRPr="00C9680B" w:rsidRDefault="001C7BF9">
            <w:pPr>
              <w:jc w:val="left"/>
            </w:pPr>
            <w:r w:rsidRPr="00C9680B">
              <w:t>Motionärer</w:t>
            </w:r>
          </w:p>
        </w:tc>
        <w:tc>
          <w:tcPr>
            <w:tcW w:w="1077" w:type="dxa"/>
            <w:tcBorders>
              <w:top w:val="single" w:sz="4" w:space="0" w:color="auto"/>
            </w:tcBorders>
          </w:tcPr>
          <w:p w:rsidR="001C7BF9" w:rsidRPr="00C9680B" w:rsidRDefault="001C7BF9">
            <w:pPr>
              <w:jc w:val="left"/>
            </w:pPr>
            <w:r w:rsidRPr="00C9680B">
              <w:t>Yrkanden</w:t>
            </w:r>
          </w:p>
        </w:tc>
      </w:tr>
      <w:tr w:rsidR="00000000" w:rsidRPr="00C9680B">
        <w:tblPrEx>
          <w:tblCellMar>
            <w:top w:w="0" w:type="dxa"/>
            <w:bottom w:w="0" w:type="dxa"/>
          </w:tblCellMar>
        </w:tblPrEx>
        <w:tc>
          <w:tcPr>
            <w:tcW w:w="1418" w:type="dxa"/>
            <w:tcBorders>
              <w:top w:val="single" w:sz="4" w:space="0" w:color="auto"/>
            </w:tcBorders>
          </w:tcPr>
          <w:p w:rsidR="001C7BF9" w:rsidRPr="00C9680B" w:rsidRDefault="001C7BF9">
            <w:pPr>
              <w:spacing w:before="0"/>
            </w:pPr>
          </w:p>
        </w:tc>
        <w:tc>
          <w:tcPr>
            <w:tcW w:w="3629" w:type="dxa"/>
            <w:tcBorders>
              <w:top w:val="single" w:sz="4" w:space="0" w:color="auto"/>
            </w:tcBorders>
          </w:tcPr>
          <w:p w:rsidR="001C7BF9" w:rsidRPr="00C9680B" w:rsidRDefault="001C7BF9">
            <w:pPr>
              <w:spacing w:before="0"/>
              <w:jc w:val="left"/>
            </w:pPr>
          </w:p>
        </w:tc>
        <w:tc>
          <w:tcPr>
            <w:tcW w:w="1077" w:type="dxa"/>
            <w:tcBorders>
              <w:top w:val="single" w:sz="4" w:space="0" w:color="auto"/>
            </w:tcBorders>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pStyle w:val="R2"/>
            </w:pPr>
          </w:p>
        </w:tc>
        <w:tc>
          <w:tcPr>
            <w:tcW w:w="3629" w:type="dxa"/>
          </w:tcPr>
          <w:p w:rsidR="001C7BF9" w:rsidRPr="00C9680B" w:rsidRDefault="001C7BF9">
            <w:pPr>
              <w:pStyle w:val="R2"/>
            </w:pPr>
            <w:r w:rsidRPr="00C9680B">
              <w:t>Utgifter</w:t>
            </w:r>
          </w:p>
        </w:tc>
        <w:tc>
          <w:tcPr>
            <w:tcW w:w="1077" w:type="dxa"/>
          </w:tcPr>
          <w:p w:rsidR="001C7BF9" w:rsidRPr="00C9680B" w:rsidRDefault="001C7BF9">
            <w:pPr>
              <w:pStyle w:val="R2"/>
            </w:pPr>
          </w:p>
        </w:tc>
      </w:tr>
      <w:tr w:rsidR="00000000" w:rsidRPr="00C9680B">
        <w:tblPrEx>
          <w:tblCellMar>
            <w:top w:w="0" w:type="dxa"/>
            <w:bottom w:w="0" w:type="dxa"/>
          </w:tblCellMar>
        </w:tblPrEx>
        <w:tc>
          <w:tcPr>
            <w:tcW w:w="1418" w:type="dxa"/>
          </w:tcPr>
          <w:p w:rsidR="001C7BF9" w:rsidRPr="00C9680B" w:rsidRDefault="001C7BF9">
            <w:pPr>
              <w:spacing w:before="0"/>
              <w:rPr>
                <w:i/>
              </w:rPr>
            </w:pPr>
            <w:r w:rsidRPr="00C9680B">
              <w:rPr>
                <w:i/>
              </w:rPr>
              <w:t xml:space="preserve">Punkt 5 a </w:t>
            </w:r>
          </w:p>
        </w:tc>
        <w:tc>
          <w:tcPr>
            <w:tcW w:w="3629" w:type="dxa"/>
          </w:tcPr>
          <w:p w:rsidR="001C7BF9" w:rsidRPr="00C9680B" w:rsidRDefault="001C7BF9">
            <w:pPr>
              <w:pStyle w:val="Ordfranden"/>
              <w:keepNext w:val="0"/>
              <w:spacing w:before="0"/>
              <w:rPr>
                <w:noProof w:val="0"/>
              </w:rPr>
            </w:pPr>
            <w:r w:rsidRPr="00C9680B">
              <w:rPr>
                <w:noProof w:val="0"/>
              </w:rPr>
              <w:t>Utgiftstak för staten 2001–2003</w:t>
            </w:r>
          </w:p>
          <w:p w:rsidR="001C7BF9" w:rsidRPr="00C9680B" w:rsidRDefault="001C7BF9">
            <w:pPr>
              <w:spacing w:before="0"/>
              <w:jc w:val="left"/>
              <w:rPr>
                <w:i/>
              </w:rPr>
            </w:pPr>
            <w:r w:rsidRPr="00C9680B">
              <w:rPr>
                <w:i/>
              </w:rPr>
              <w:t xml:space="preserve">(prop. 2000/01:1 punkt 2) </w:t>
            </w:r>
          </w:p>
        </w:tc>
        <w:tc>
          <w:tcPr>
            <w:tcW w:w="1077" w:type="dxa"/>
          </w:tcPr>
          <w:p w:rsidR="001C7BF9" w:rsidRPr="00C9680B" w:rsidRDefault="001C7BF9">
            <w:pPr>
              <w:spacing w:before="0"/>
              <w:jc w:val="left"/>
              <w:rPr>
                <w:i/>
              </w:rPr>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2000/01:Fi208</w:t>
            </w:r>
          </w:p>
        </w:tc>
        <w:tc>
          <w:tcPr>
            <w:tcW w:w="3629" w:type="dxa"/>
          </w:tcPr>
          <w:p w:rsidR="001C7BF9" w:rsidRPr="00C9680B" w:rsidRDefault="001C7BF9">
            <w:pPr>
              <w:spacing w:before="0"/>
              <w:jc w:val="left"/>
            </w:pPr>
            <w:r w:rsidRPr="00C9680B">
              <w:t xml:space="preserve">Bo Lundgren m.fl. (m) </w:t>
            </w:r>
          </w:p>
        </w:tc>
        <w:tc>
          <w:tcPr>
            <w:tcW w:w="1077" w:type="dxa"/>
          </w:tcPr>
          <w:p w:rsidR="001C7BF9" w:rsidRPr="00C9680B" w:rsidRDefault="001C7BF9">
            <w:pPr>
              <w:spacing w:before="0"/>
              <w:jc w:val="left"/>
            </w:pPr>
            <w:r w:rsidRPr="00C9680B">
              <w:t>3</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2000/01:Fi209</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2, 8</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2000/01:Fi210</w:t>
            </w:r>
          </w:p>
        </w:tc>
        <w:tc>
          <w:tcPr>
            <w:tcW w:w="3629" w:type="dxa"/>
          </w:tcPr>
          <w:p w:rsidR="001C7BF9" w:rsidRPr="00C9680B" w:rsidRDefault="001C7BF9">
            <w:pPr>
              <w:spacing w:before="0"/>
              <w:jc w:val="left"/>
            </w:pPr>
            <w:r w:rsidRPr="00C9680B">
              <w:t xml:space="preserve">Lennart Daléus m.fl. (c) </w:t>
            </w:r>
          </w:p>
        </w:tc>
        <w:tc>
          <w:tcPr>
            <w:tcW w:w="1077" w:type="dxa"/>
          </w:tcPr>
          <w:p w:rsidR="001C7BF9" w:rsidRPr="00C9680B" w:rsidRDefault="001C7BF9">
            <w:pPr>
              <w:spacing w:before="0"/>
              <w:jc w:val="left"/>
            </w:pPr>
            <w:r w:rsidRPr="00C9680B">
              <w:t>2</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2000/01:Fi211</w:t>
            </w:r>
          </w:p>
        </w:tc>
        <w:tc>
          <w:tcPr>
            <w:tcW w:w="3629" w:type="dxa"/>
          </w:tcPr>
          <w:p w:rsidR="001C7BF9" w:rsidRPr="00C9680B" w:rsidRDefault="001C7BF9">
            <w:pPr>
              <w:spacing w:before="0"/>
              <w:jc w:val="left"/>
            </w:pPr>
            <w:r w:rsidRPr="00C9680B">
              <w:t xml:space="preserve">Lars Leijonborg m.fl. (fp) </w:t>
            </w:r>
          </w:p>
        </w:tc>
        <w:tc>
          <w:tcPr>
            <w:tcW w:w="1077" w:type="dxa"/>
          </w:tcPr>
          <w:p w:rsidR="001C7BF9" w:rsidRPr="00C9680B" w:rsidRDefault="001C7BF9">
            <w:pPr>
              <w:spacing w:before="0"/>
              <w:jc w:val="left"/>
            </w:pPr>
            <w:r w:rsidRPr="00C9680B">
              <w:t>2</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r w:rsidRPr="00C9680B">
              <w:rPr>
                <w:i/>
              </w:rPr>
              <w:t xml:space="preserve">Punkt 5 b </w:t>
            </w:r>
          </w:p>
        </w:tc>
        <w:tc>
          <w:tcPr>
            <w:tcW w:w="3629" w:type="dxa"/>
          </w:tcPr>
          <w:p w:rsidR="001C7BF9" w:rsidRPr="00C9680B" w:rsidRDefault="001C7BF9">
            <w:pPr>
              <w:spacing w:before="0"/>
              <w:rPr>
                <w:i/>
              </w:rPr>
            </w:pPr>
            <w:r w:rsidRPr="00C9680B">
              <w:rPr>
                <w:i/>
              </w:rPr>
              <w:t xml:space="preserve">Utgiftstak för den offentliga sektorn åren 2001–2003 (prop. 2000/01:1 punkt 3)  </w:t>
            </w:r>
          </w:p>
        </w:tc>
        <w:tc>
          <w:tcPr>
            <w:tcW w:w="1077" w:type="dxa"/>
          </w:tcPr>
          <w:p w:rsidR="001C7BF9" w:rsidRPr="00C9680B" w:rsidRDefault="001C7BF9">
            <w:pPr>
              <w:spacing w:before="0"/>
              <w:jc w:val="left"/>
              <w:rPr>
                <w:i/>
              </w:rPr>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2000/01:Fi208</w:t>
            </w:r>
          </w:p>
        </w:tc>
        <w:tc>
          <w:tcPr>
            <w:tcW w:w="3629" w:type="dxa"/>
          </w:tcPr>
          <w:p w:rsidR="001C7BF9" w:rsidRPr="00C9680B" w:rsidRDefault="001C7BF9">
            <w:pPr>
              <w:spacing w:before="0"/>
              <w:jc w:val="left"/>
            </w:pPr>
            <w:r w:rsidRPr="00C9680B">
              <w:t xml:space="preserve">Bo Lundgren m.fl. (m) </w:t>
            </w:r>
          </w:p>
        </w:tc>
        <w:tc>
          <w:tcPr>
            <w:tcW w:w="1077" w:type="dxa"/>
          </w:tcPr>
          <w:p w:rsidR="001C7BF9" w:rsidRPr="00C9680B" w:rsidRDefault="001C7BF9">
            <w:pPr>
              <w:spacing w:before="0"/>
              <w:jc w:val="left"/>
            </w:pPr>
            <w:r w:rsidRPr="00C9680B">
              <w:t>2</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2000/01:Fi209</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3</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2000/01:Fi211</w:t>
            </w:r>
          </w:p>
        </w:tc>
        <w:tc>
          <w:tcPr>
            <w:tcW w:w="3629" w:type="dxa"/>
          </w:tcPr>
          <w:p w:rsidR="001C7BF9" w:rsidRPr="00C9680B" w:rsidRDefault="001C7BF9">
            <w:pPr>
              <w:spacing w:before="0"/>
              <w:jc w:val="left"/>
            </w:pPr>
            <w:r w:rsidRPr="00C9680B">
              <w:t xml:space="preserve">Lars Leijonborg m.fl. (fp) </w:t>
            </w:r>
          </w:p>
        </w:tc>
        <w:tc>
          <w:tcPr>
            <w:tcW w:w="1077" w:type="dxa"/>
          </w:tcPr>
          <w:p w:rsidR="001C7BF9" w:rsidRPr="00C9680B" w:rsidRDefault="001C7BF9">
            <w:pPr>
              <w:spacing w:before="0"/>
              <w:jc w:val="left"/>
            </w:pPr>
            <w:r w:rsidRPr="00C9680B">
              <w:t>3</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r w:rsidRPr="00C9680B">
              <w:rPr>
                <w:i/>
              </w:rPr>
              <w:t xml:space="preserve">Punkt 5 c </w:t>
            </w:r>
          </w:p>
        </w:tc>
        <w:tc>
          <w:tcPr>
            <w:tcW w:w="3629" w:type="dxa"/>
          </w:tcPr>
          <w:p w:rsidR="001C7BF9" w:rsidRPr="00C9680B" w:rsidRDefault="001C7BF9">
            <w:pPr>
              <w:spacing w:before="0"/>
              <w:rPr>
                <w:i/>
              </w:rPr>
            </w:pPr>
            <w:r w:rsidRPr="00C9680B">
              <w:rPr>
                <w:i/>
              </w:rPr>
              <w:t>Fördelning av statens utgifter på utgiftsom</w:t>
            </w:r>
            <w:r w:rsidRPr="00C9680B">
              <w:rPr>
                <w:i/>
              </w:rPr>
              <w:softHyphen/>
              <w:t xml:space="preserve">råden budgetåret 2001 </w:t>
            </w:r>
          </w:p>
          <w:p w:rsidR="001C7BF9" w:rsidRPr="00C9680B" w:rsidRDefault="001C7BF9">
            <w:pPr>
              <w:spacing w:before="0"/>
              <w:rPr>
                <w:i/>
              </w:rPr>
            </w:pPr>
            <w:r w:rsidRPr="00C9680B">
              <w:rPr>
                <w:i/>
              </w:rPr>
              <w:t xml:space="preserve">(prop. 2000/01:1 punkt 8) </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2000/01:Fi208</w:t>
            </w:r>
          </w:p>
        </w:tc>
        <w:tc>
          <w:tcPr>
            <w:tcW w:w="3629" w:type="dxa"/>
          </w:tcPr>
          <w:p w:rsidR="001C7BF9" w:rsidRPr="00C9680B" w:rsidRDefault="001C7BF9">
            <w:pPr>
              <w:spacing w:before="0"/>
              <w:jc w:val="left"/>
            </w:pPr>
            <w:r w:rsidRPr="00C9680B">
              <w:t xml:space="preserve">Bo Lundgren m.fl. (m) </w:t>
            </w:r>
          </w:p>
        </w:tc>
        <w:tc>
          <w:tcPr>
            <w:tcW w:w="1077" w:type="dxa"/>
          </w:tcPr>
          <w:p w:rsidR="001C7BF9" w:rsidRPr="00C9680B" w:rsidRDefault="001C7BF9">
            <w:pPr>
              <w:spacing w:before="0"/>
              <w:jc w:val="left"/>
            </w:pPr>
            <w:r w:rsidRPr="00C9680B">
              <w:t>5</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2000/01:Fi209</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6</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2000/01:Fi210</w:t>
            </w:r>
          </w:p>
        </w:tc>
        <w:tc>
          <w:tcPr>
            <w:tcW w:w="3629" w:type="dxa"/>
          </w:tcPr>
          <w:p w:rsidR="001C7BF9" w:rsidRPr="00C9680B" w:rsidRDefault="001C7BF9">
            <w:pPr>
              <w:spacing w:before="0"/>
              <w:jc w:val="left"/>
            </w:pPr>
            <w:r w:rsidRPr="00C9680B">
              <w:t xml:space="preserve">Lennart Daléus m.fl. (c) </w:t>
            </w:r>
          </w:p>
        </w:tc>
        <w:tc>
          <w:tcPr>
            <w:tcW w:w="1077" w:type="dxa"/>
          </w:tcPr>
          <w:p w:rsidR="001C7BF9" w:rsidRPr="00C9680B" w:rsidRDefault="001C7BF9">
            <w:pPr>
              <w:spacing w:before="0"/>
              <w:jc w:val="left"/>
            </w:pPr>
            <w:r w:rsidRPr="00C9680B">
              <w:t>4</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2000/01:Fi211</w:t>
            </w:r>
          </w:p>
        </w:tc>
        <w:tc>
          <w:tcPr>
            <w:tcW w:w="3629" w:type="dxa"/>
          </w:tcPr>
          <w:p w:rsidR="001C7BF9" w:rsidRPr="00C9680B" w:rsidRDefault="001C7BF9">
            <w:pPr>
              <w:spacing w:before="0"/>
              <w:jc w:val="left"/>
            </w:pPr>
            <w:r w:rsidRPr="00C9680B">
              <w:t xml:space="preserve">Lars Leijonborg m.fl. (fp) </w:t>
            </w:r>
          </w:p>
        </w:tc>
        <w:tc>
          <w:tcPr>
            <w:tcW w:w="1077" w:type="dxa"/>
          </w:tcPr>
          <w:p w:rsidR="001C7BF9" w:rsidRPr="00C9680B" w:rsidRDefault="001C7BF9">
            <w:pPr>
              <w:spacing w:before="0"/>
              <w:jc w:val="left"/>
            </w:pPr>
            <w:r w:rsidRPr="00C9680B">
              <w:t>6</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r w:rsidRPr="00C9680B">
              <w:rPr>
                <w:i/>
              </w:rPr>
              <w:t xml:space="preserve">Punkt 5 d </w:t>
            </w:r>
          </w:p>
        </w:tc>
        <w:tc>
          <w:tcPr>
            <w:tcW w:w="3629" w:type="dxa"/>
          </w:tcPr>
          <w:p w:rsidR="001C7BF9" w:rsidRPr="00C9680B" w:rsidRDefault="001C7BF9">
            <w:pPr>
              <w:spacing w:before="0"/>
              <w:rPr>
                <w:i/>
              </w:rPr>
            </w:pPr>
            <w:r w:rsidRPr="00C9680B">
              <w:rPr>
                <w:i/>
              </w:rPr>
              <w:t>Förändringar av anslagsbehållningar 2001 (prop. 2000/01:1 punkt. 9)</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pStyle w:val="Deltagare"/>
              <w:keepLines w:val="0"/>
              <w:spacing w:before="0" w:line="250" w:lineRule="atLeast"/>
              <w:rPr>
                <w:noProof w:val="0"/>
              </w:rPr>
            </w:pPr>
            <w:r w:rsidRPr="00C9680B">
              <w:rPr>
                <w:noProof w:val="0"/>
              </w:rPr>
              <w:t>2000/01:Fi211</w:t>
            </w:r>
          </w:p>
        </w:tc>
        <w:tc>
          <w:tcPr>
            <w:tcW w:w="3629" w:type="dxa"/>
          </w:tcPr>
          <w:p w:rsidR="001C7BF9" w:rsidRPr="00C9680B" w:rsidRDefault="001C7BF9">
            <w:pPr>
              <w:spacing w:before="0"/>
              <w:jc w:val="left"/>
            </w:pPr>
            <w:r w:rsidRPr="00C9680B">
              <w:t xml:space="preserve">Lars Leijonborg m.fl. (fp) </w:t>
            </w:r>
          </w:p>
        </w:tc>
        <w:tc>
          <w:tcPr>
            <w:tcW w:w="1077" w:type="dxa"/>
          </w:tcPr>
          <w:p w:rsidR="001C7BF9" w:rsidRPr="00C9680B" w:rsidRDefault="001C7BF9">
            <w:pPr>
              <w:spacing w:before="0"/>
              <w:jc w:val="left"/>
            </w:pPr>
            <w:r w:rsidRPr="00C9680B">
              <w:t>7</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bl>
    <w:p w:rsidR="001C7BF9" w:rsidRPr="00C9680B" w:rsidRDefault="001C7BF9">
      <w:r w:rsidRPr="00C9680B">
        <w:br w:type="page"/>
      </w:r>
    </w:p>
    <w:tbl>
      <w:tblPr>
        <w:tblW w:w="0" w:type="auto"/>
        <w:tblInd w:w="-70" w:type="dxa"/>
        <w:tblLayout w:type="fixed"/>
        <w:tblCellMar>
          <w:left w:w="70" w:type="dxa"/>
          <w:right w:w="70" w:type="dxa"/>
        </w:tblCellMar>
        <w:tblLook w:val="0000" w:firstRow="0" w:lastRow="0" w:firstColumn="0" w:lastColumn="0" w:noHBand="0" w:noVBand="0"/>
      </w:tblPr>
      <w:tblGrid>
        <w:gridCol w:w="1418"/>
        <w:gridCol w:w="3629"/>
        <w:gridCol w:w="1077"/>
      </w:tblGrid>
      <w:tr w:rsidR="00000000" w:rsidRPr="00C9680B">
        <w:tblPrEx>
          <w:tblCellMar>
            <w:top w:w="0" w:type="dxa"/>
            <w:bottom w:w="0" w:type="dxa"/>
          </w:tblCellMar>
        </w:tblPrEx>
        <w:tc>
          <w:tcPr>
            <w:tcW w:w="1418" w:type="dxa"/>
            <w:tcBorders>
              <w:top w:val="single" w:sz="4" w:space="0" w:color="auto"/>
            </w:tcBorders>
          </w:tcPr>
          <w:p w:rsidR="001C7BF9" w:rsidRPr="00C9680B" w:rsidRDefault="001C7BF9">
            <w:r w:rsidRPr="00C9680B">
              <w:t>Motion</w:t>
            </w:r>
          </w:p>
        </w:tc>
        <w:tc>
          <w:tcPr>
            <w:tcW w:w="3629" w:type="dxa"/>
            <w:tcBorders>
              <w:top w:val="single" w:sz="4" w:space="0" w:color="auto"/>
            </w:tcBorders>
          </w:tcPr>
          <w:p w:rsidR="001C7BF9" w:rsidRPr="00C9680B" w:rsidRDefault="001C7BF9">
            <w:pPr>
              <w:jc w:val="left"/>
            </w:pPr>
            <w:r w:rsidRPr="00C9680B">
              <w:t>Motionärer</w:t>
            </w:r>
          </w:p>
        </w:tc>
        <w:tc>
          <w:tcPr>
            <w:tcW w:w="1077" w:type="dxa"/>
            <w:tcBorders>
              <w:top w:val="single" w:sz="4" w:space="0" w:color="auto"/>
            </w:tcBorders>
          </w:tcPr>
          <w:p w:rsidR="001C7BF9" w:rsidRPr="00C9680B" w:rsidRDefault="001C7BF9">
            <w:pPr>
              <w:jc w:val="left"/>
            </w:pPr>
            <w:r w:rsidRPr="00C9680B">
              <w:t>Yrkanden</w:t>
            </w:r>
          </w:p>
        </w:tc>
      </w:tr>
      <w:tr w:rsidR="00000000" w:rsidRPr="00C9680B">
        <w:tblPrEx>
          <w:tblCellMar>
            <w:top w:w="0" w:type="dxa"/>
            <w:bottom w:w="0" w:type="dxa"/>
          </w:tblCellMar>
        </w:tblPrEx>
        <w:tc>
          <w:tcPr>
            <w:tcW w:w="1418" w:type="dxa"/>
            <w:tcBorders>
              <w:top w:val="single" w:sz="4" w:space="0" w:color="auto"/>
            </w:tcBorders>
          </w:tcPr>
          <w:p w:rsidR="001C7BF9" w:rsidRPr="00C9680B" w:rsidRDefault="001C7BF9">
            <w:pPr>
              <w:spacing w:before="0"/>
            </w:pPr>
          </w:p>
        </w:tc>
        <w:tc>
          <w:tcPr>
            <w:tcW w:w="3629" w:type="dxa"/>
            <w:tcBorders>
              <w:top w:val="single" w:sz="4" w:space="0" w:color="auto"/>
            </w:tcBorders>
          </w:tcPr>
          <w:p w:rsidR="001C7BF9" w:rsidRPr="00C9680B" w:rsidRDefault="001C7BF9">
            <w:pPr>
              <w:spacing w:before="0"/>
              <w:jc w:val="left"/>
            </w:pPr>
          </w:p>
        </w:tc>
        <w:tc>
          <w:tcPr>
            <w:tcW w:w="1077" w:type="dxa"/>
            <w:tcBorders>
              <w:top w:val="single" w:sz="4" w:space="0" w:color="auto"/>
            </w:tcBorders>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pStyle w:val="R2"/>
              <w:spacing w:before="0"/>
            </w:pPr>
          </w:p>
        </w:tc>
        <w:tc>
          <w:tcPr>
            <w:tcW w:w="3629" w:type="dxa"/>
          </w:tcPr>
          <w:p w:rsidR="001C7BF9" w:rsidRPr="00C9680B" w:rsidRDefault="001C7BF9">
            <w:pPr>
              <w:pStyle w:val="R2"/>
              <w:spacing w:before="375"/>
            </w:pPr>
            <w:r w:rsidRPr="00C9680B">
              <w:t>Inkomster</w:t>
            </w:r>
          </w:p>
        </w:tc>
        <w:tc>
          <w:tcPr>
            <w:tcW w:w="1077" w:type="dxa"/>
          </w:tcPr>
          <w:p w:rsidR="001C7BF9" w:rsidRPr="00C9680B" w:rsidRDefault="001C7BF9">
            <w:pPr>
              <w:pStyle w:val="R2"/>
            </w:pPr>
          </w:p>
        </w:tc>
      </w:tr>
      <w:tr w:rsidR="00000000" w:rsidRPr="00C9680B">
        <w:tblPrEx>
          <w:tblCellMar>
            <w:top w:w="0" w:type="dxa"/>
            <w:bottom w:w="0" w:type="dxa"/>
          </w:tblCellMar>
        </w:tblPrEx>
        <w:tc>
          <w:tcPr>
            <w:tcW w:w="1418" w:type="dxa"/>
          </w:tcPr>
          <w:p w:rsidR="001C7BF9" w:rsidRPr="00C9680B" w:rsidRDefault="001C7BF9">
            <w:pPr>
              <w:spacing w:before="0"/>
              <w:rPr>
                <w:i/>
              </w:rPr>
            </w:pPr>
          </w:p>
        </w:tc>
        <w:tc>
          <w:tcPr>
            <w:tcW w:w="3629" w:type="dxa"/>
          </w:tcPr>
          <w:p w:rsidR="001C7BF9" w:rsidRPr="00C9680B" w:rsidRDefault="001C7BF9">
            <w:pPr>
              <w:spacing w:before="0"/>
              <w:rPr>
                <w:i/>
              </w:rPr>
            </w:pPr>
            <w:r w:rsidRPr="00C9680B">
              <w:rPr>
                <w:i/>
              </w:rPr>
              <w:t xml:space="preserve">Skattepolitikens inriktning </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2000/01:Fi208</w:t>
            </w:r>
          </w:p>
        </w:tc>
        <w:tc>
          <w:tcPr>
            <w:tcW w:w="3629" w:type="dxa"/>
          </w:tcPr>
          <w:p w:rsidR="001C7BF9" w:rsidRPr="00C9680B" w:rsidRDefault="001C7BF9">
            <w:pPr>
              <w:spacing w:before="0"/>
              <w:jc w:val="left"/>
            </w:pPr>
            <w:r w:rsidRPr="00C9680B">
              <w:t xml:space="preserve">Bo Lundgren m.fl. (m) </w:t>
            </w:r>
          </w:p>
        </w:tc>
        <w:tc>
          <w:tcPr>
            <w:tcW w:w="1077" w:type="dxa"/>
          </w:tcPr>
          <w:p w:rsidR="001C7BF9" w:rsidRPr="00C9680B" w:rsidRDefault="001C7BF9">
            <w:pPr>
              <w:spacing w:before="0"/>
              <w:jc w:val="left"/>
              <w:rPr>
                <w:b/>
              </w:rPr>
            </w:pPr>
            <w:r w:rsidRPr="00C9680B">
              <w:t>19, 20, 27</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2000/01:Fi209</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12</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2000/01:Fi211</w:t>
            </w:r>
          </w:p>
        </w:tc>
        <w:tc>
          <w:tcPr>
            <w:tcW w:w="3629" w:type="dxa"/>
          </w:tcPr>
          <w:p w:rsidR="001C7BF9" w:rsidRPr="00C9680B" w:rsidRDefault="001C7BF9">
            <w:pPr>
              <w:spacing w:before="0"/>
              <w:jc w:val="left"/>
            </w:pPr>
            <w:r w:rsidRPr="00C9680B">
              <w:t xml:space="preserve">Lars Leijonborg m.fl. (fp) </w:t>
            </w:r>
          </w:p>
        </w:tc>
        <w:tc>
          <w:tcPr>
            <w:tcW w:w="1077" w:type="dxa"/>
          </w:tcPr>
          <w:p w:rsidR="001C7BF9" w:rsidRPr="00C9680B" w:rsidRDefault="001C7BF9">
            <w:pPr>
              <w:spacing w:before="0"/>
              <w:jc w:val="left"/>
            </w:pPr>
            <w:r w:rsidRPr="00C9680B">
              <w:t>26, 27</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2000/01:Sk321</w:t>
            </w:r>
          </w:p>
        </w:tc>
        <w:tc>
          <w:tcPr>
            <w:tcW w:w="3629" w:type="dxa"/>
          </w:tcPr>
          <w:p w:rsidR="001C7BF9" w:rsidRPr="00C9680B" w:rsidRDefault="001C7BF9">
            <w:pPr>
              <w:spacing w:before="0"/>
              <w:jc w:val="left"/>
            </w:pPr>
            <w:r w:rsidRPr="00C9680B">
              <w:t xml:space="preserve">Lennart Daléus m.fl. (c) </w:t>
            </w:r>
          </w:p>
        </w:tc>
        <w:tc>
          <w:tcPr>
            <w:tcW w:w="1077" w:type="dxa"/>
          </w:tcPr>
          <w:p w:rsidR="001C7BF9" w:rsidRPr="00C9680B" w:rsidRDefault="001C7BF9">
            <w:pPr>
              <w:spacing w:before="0"/>
              <w:jc w:val="left"/>
            </w:pPr>
            <w:r w:rsidRPr="00C9680B">
              <w:t>1</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2000/01:Sk323</w:t>
            </w:r>
          </w:p>
        </w:tc>
        <w:tc>
          <w:tcPr>
            <w:tcW w:w="3629" w:type="dxa"/>
          </w:tcPr>
          <w:p w:rsidR="001C7BF9" w:rsidRPr="00C9680B" w:rsidRDefault="001C7BF9">
            <w:pPr>
              <w:spacing w:before="0"/>
              <w:jc w:val="left"/>
            </w:pPr>
            <w:r w:rsidRPr="00C9680B">
              <w:t xml:space="preserve">Alf Svensson m.fl. (kd) </w:t>
            </w:r>
          </w:p>
        </w:tc>
        <w:tc>
          <w:tcPr>
            <w:tcW w:w="1077" w:type="dxa"/>
          </w:tcPr>
          <w:p w:rsidR="001C7BF9" w:rsidRPr="00C9680B" w:rsidRDefault="001C7BF9">
            <w:pPr>
              <w:spacing w:before="0"/>
              <w:jc w:val="left"/>
            </w:pPr>
            <w:r w:rsidRPr="00C9680B">
              <w:t>2–7, 52</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2000/01:Sk324</w:t>
            </w:r>
          </w:p>
        </w:tc>
        <w:tc>
          <w:tcPr>
            <w:tcW w:w="3629" w:type="dxa"/>
          </w:tcPr>
          <w:p w:rsidR="001C7BF9" w:rsidRPr="00C9680B" w:rsidRDefault="001C7BF9">
            <w:pPr>
              <w:spacing w:before="0"/>
              <w:jc w:val="left"/>
            </w:pPr>
            <w:r w:rsidRPr="00C9680B">
              <w:t xml:space="preserve">Lars Leijonborg m.fl. (fp) </w:t>
            </w:r>
          </w:p>
        </w:tc>
        <w:tc>
          <w:tcPr>
            <w:tcW w:w="1077" w:type="dxa"/>
          </w:tcPr>
          <w:p w:rsidR="001C7BF9" w:rsidRPr="00C9680B" w:rsidRDefault="001C7BF9">
            <w:pPr>
              <w:spacing w:before="0"/>
              <w:jc w:val="left"/>
            </w:pPr>
            <w:r w:rsidRPr="00C9680B">
              <w:t>1</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r w:rsidRPr="00C9680B">
              <w:rPr>
                <w:i/>
              </w:rPr>
              <w:t xml:space="preserve">Punkt 5 f </w:t>
            </w:r>
          </w:p>
        </w:tc>
        <w:tc>
          <w:tcPr>
            <w:tcW w:w="3629" w:type="dxa"/>
          </w:tcPr>
          <w:p w:rsidR="001C7BF9" w:rsidRPr="00C9680B" w:rsidRDefault="001C7BF9">
            <w:pPr>
              <w:spacing w:before="0"/>
              <w:rPr>
                <w:i/>
              </w:rPr>
            </w:pPr>
            <w:r w:rsidRPr="00C9680B">
              <w:rPr>
                <w:i/>
              </w:rPr>
              <w:t xml:space="preserve">Inkomstskatten för år 2001 </w:t>
            </w:r>
          </w:p>
          <w:p w:rsidR="001C7BF9" w:rsidRPr="00C9680B" w:rsidRDefault="001C7BF9">
            <w:pPr>
              <w:spacing w:before="0"/>
              <w:rPr>
                <w:i/>
                <w:sz w:val="17"/>
              </w:rPr>
            </w:pPr>
            <w:r w:rsidRPr="00C9680B">
              <w:rPr>
                <w:i/>
              </w:rPr>
              <w:t>(prop. 2000/01:1 punkterna 24, 25, 27–31)</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2000/01:Sk313</w:t>
            </w:r>
          </w:p>
        </w:tc>
        <w:tc>
          <w:tcPr>
            <w:tcW w:w="3629" w:type="dxa"/>
          </w:tcPr>
          <w:p w:rsidR="001C7BF9" w:rsidRPr="00C9680B" w:rsidRDefault="001C7BF9">
            <w:pPr>
              <w:spacing w:before="0"/>
              <w:jc w:val="left"/>
            </w:pPr>
            <w:r w:rsidRPr="00C9680B">
              <w:t xml:space="preserve">Carl Fredrik Graf m.fl. (m) </w:t>
            </w:r>
          </w:p>
        </w:tc>
        <w:tc>
          <w:tcPr>
            <w:tcW w:w="1077" w:type="dxa"/>
          </w:tcPr>
          <w:p w:rsidR="001C7BF9" w:rsidRPr="00C9680B" w:rsidRDefault="001C7BF9">
            <w:pPr>
              <w:spacing w:before="0"/>
              <w:jc w:val="left"/>
            </w:pPr>
            <w:r w:rsidRPr="00C9680B">
              <w:t>2 delvis, 3, 4–6 delvis,  12–20</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2000/01:Sk319</w:t>
            </w:r>
          </w:p>
        </w:tc>
        <w:tc>
          <w:tcPr>
            <w:tcW w:w="3629" w:type="dxa"/>
          </w:tcPr>
          <w:p w:rsidR="001C7BF9" w:rsidRPr="00C9680B" w:rsidRDefault="001C7BF9">
            <w:pPr>
              <w:spacing w:before="0"/>
              <w:jc w:val="left"/>
            </w:pPr>
            <w:r w:rsidRPr="00C9680B">
              <w:t xml:space="preserve">Bo Lundgren m.fl. (m) </w:t>
            </w: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2000/01:Sk321</w:t>
            </w:r>
          </w:p>
        </w:tc>
        <w:tc>
          <w:tcPr>
            <w:tcW w:w="3629" w:type="dxa"/>
          </w:tcPr>
          <w:p w:rsidR="001C7BF9" w:rsidRPr="00C9680B" w:rsidRDefault="001C7BF9">
            <w:pPr>
              <w:spacing w:before="0"/>
              <w:jc w:val="left"/>
            </w:pPr>
            <w:r w:rsidRPr="00C9680B">
              <w:t xml:space="preserve">Lennart Daléus m.fl. (c) </w:t>
            </w:r>
          </w:p>
        </w:tc>
        <w:tc>
          <w:tcPr>
            <w:tcW w:w="1077" w:type="dxa"/>
          </w:tcPr>
          <w:p w:rsidR="001C7BF9" w:rsidRPr="00C9680B" w:rsidRDefault="001C7BF9">
            <w:pPr>
              <w:spacing w:before="0"/>
              <w:jc w:val="left"/>
            </w:pPr>
            <w:r w:rsidRPr="00C9680B">
              <w:t>2–6</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2000/01:Sk323</w:t>
            </w:r>
          </w:p>
        </w:tc>
        <w:tc>
          <w:tcPr>
            <w:tcW w:w="3629" w:type="dxa"/>
          </w:tcPr>
          <w:p w:rsidR="001C7BF9" w:rsidRPr="00C9680B" w:rsidRDefault="001C7BF9">
            <w:pPr>
              <w:spacing w:before="0"/>
              <w:jc w:val="left"/>
            </w:pPr>
            <w:r w:rsidRPr="00C9680B">
              <w:t xml:space="preserve">Alf Svensson m.fl. (kd) </w:t>
            </w:r>
          </w:p>
        </w:tc>
        <w:tc>
          <w:tcPr>
            <w:tcW w:w="1077" w:type="dxa"/>
          </w:tcPr>
          <w:p w:rsidR="001C7BF9" w:rsidRPr="00C9680B" w:rsidRDefault="001C7BF9">
            <w:pPr>
              <w:spacing w:before="0"/>
              <w:jc w:val="left"/>
            </w:pPr>
            <w:r w:rsidRPr="00C9680B">
              <w:t>8–12, 14,  15, 54, 55</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2000/01:Sk324</w:t>
            </w:r>
          </w:p>
        </w:tc>
        <w:tc>
          <w:tcPr>
            <w:tcW w:w="3629" w:type="dxa"/>
          </w:tcPr>
          <w:p w:rsidR="001C7BF9" w:rsidRPr="00C9680B" w:rsidRDefault="001C7BF9">
            <w:pPr>
              <w:spacing w:before="0"/>
              <w:jc w:val="left"/>
            </w:pPr>
            <w:r w:rsidRPr="00C9680B">
              <w:t xml:space="preserve">Lars Leijonborg m.fl. (fp) </w:t>
            </w:r>
          </w:p>
        </w:tc>
        <w:tc>
          <w:tcPr>
            <w:tcW w:w="1077" w:type="dxa"/>
          </w:tcPr>
          <w:p w:rsidR="001C7BF9" w:rsidRPr="00C9680B" w:rsidRDefault="001C7BF9">
            <w:pPr>
              <w:spacing w:before="0"/>
              <w:jc w:val="left"/>
            </w:pPr>
            <w:r w:rsidRPr="00C9680B">
              <w:t>2–5</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2000/01:Sf308</w:t>
            </w:r>
          </w:p>
        </w:tc>
        <w:tc>
          <w:tcPr>
            <w:tcW w:w="3629" w:type="dxa"/>
          </w:tcPr>
          <w:p w:rsidR="001C7BF9" w:rsidRPr="00C9680B" w:rsidRDefault="001C7BF9">
            <w:pPr>
              <w:spacing w:before="0"/>
              <w:jc w:val="left"/>
            </w:pPr>
            <w:r w:rsidRPr="00C9680B">
              <w:t xml:space="preserve">Lars Leijonborg m.fl. (fp) </w:t>
            </w:r>
          </w:p>
        </w:tc>
        <w:tc>
          <w:tcPr>
            <w:tcW w:w="1077" w:type="dxa"/>
          </w:tcPr>
          <w:p w:rsidR="001C7BF9" w:rsidRPr="00C9680B" w:rsidRDefault="001C7BF9">
            <w:pPr>
              <w:spacing w:before="0"/>
              <w:jc w:val="left"/>
            </w:pPr>
            <w:r w:rsidRPr="00C9680B">
              <w:t>1</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2000/01:N385</w:t>
            </w:r>
          </w:p>
        </w:tc>
        <w:tc>
          <w:tcPr>
            <w:tcW w:w="3629" w:type="dxa"/>
          </w:tcPr>
          <w:p w:rsidR="001C7BF9" w:rsidRPr="00C9680B" w:rsidRDefault="001C7BF9">
            <w:pPr>
              <w:spacing w:before="0"/>
              <w:jc w:val="left"/>
            </w:pPr>
            <w:r w:rsidRPr="00C9680B">
              <w:t xml:space="preserve">Bo Lundgren m.fl. (m) </w:t>
            </w:r>
          </w:p>
        </w:tc>
        <w:tc>
          <w:tcPr>
            <w:tcW w:w="1077" w:type="dxa"/>
          </w:tcPr>
          <w:p w:rsidR="001C7BF9" w:rsidRPr="00C9680B" w:rsidRDefault="001C7BF9">
            <w:pPr>
              <w:spacing w:before="0"/>
              <w:jc w:val="left"/>
            </w:pPr>
            <w:r w:rsidRPr="00C9680B">
              <w:t>8</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r w:rsidRPr="00C9680B">
              <w:rPr>
                <w:i/>
              </w:rPr>
              <w:t xml:space="preserve">Punkt 5 g </w:t>
            </w:r>
          </w:p>
        </w:tc>
        <w:tc>
          <w:tcPr>
            <w:tcW w:w="3629" w:type="dxa"/>
          </w:tcPr>
          <w:p w:rsidR="001C7BF9" w:rsidRPr="00C9680B" w:rsidRDefault="001C7BF9">
            <w:pPr>
              <w:spacing w:before="0"/>
              <w:jc w:val="left"/>
              <w:rPr>
                <w:i/>
              </w:rPr>
            </w:pPr>
            <w:r w:rsidRPr="00C9680B">
              <w:rPr>
                <w:i/>
              </w:rPr>
              <w:t xml:space="preserve">Utökade reseavdrag </w:t>
            </w:r>
          </w:p>
          <w:p w:rsidR="001C7BF9" w:rsidRPr="00C9680B" w:rsidRDefault="001C7BF9">
            <w:pPr>
              <w:spacing w:before="0"/>
              <w:jc w:val="left"/>
              <w:rPr>
                <w:i/>
              </w:rPr>
            </w:pPr>
            <w:r w:rsidRPr="00C9680B">
              <w:rPr>
                <w:i/>
              </w:rPr>
              <w:t xml:space="preserve">(prop. 2000/01:1 punkt 24)  </w:t>
            </w:r>
          </w:p>
        </w:tc>
        <w:tc>
          <w:tcPr>
            <w:tcW w:w="1077" w:type="dxa"/>
          </w:tcPr>
          <w:p w:rsidR="001C7BF9" w:rsidRPr="00C9680B" w:rsidRDefault="001C7BF9">
            <w:pPr>
              <w:spacing w:before="0"/>
              <w:jc w:val="left"/>
              <w:rPr>
                <w:i/>
              </w:rPr>
            </w:pPr>
          </w:p>
        </w:tc>
      </w:tr>
      <w:tr w:rsidR="00000000" w:rsidRPr="00C9680B">
        <w:tblPrEx>
          <w:tblCellMar>
            <w:top w:w="0" w:type="dxa"/>
            <w:bottom w:w="0" w:type="dxa"/>
          </w:tblCellMar>
        </w:tblPrEx>
        <w:tc>
          <w:tcPr>
            <w:tcW w:w="1418" w:type="dxa"/>
          </w:tcPr>
          <w:p w:rsidR="001C7BF9" w:rsidRPr="00C9680B" w:rsidRDefault="001C7BF9">
            <w:pPr>
              <w:pStyle w:val="Reservantfrslag"/>
            </w:pPr>
            <w:r w:rsidRPr="00C9680B">
              <w:t>2000/01:Sk313</w:t>
            </w:r>
          </w:p>
        </w:tc>
        <w:tc>
          <w:tcPr>
            <w:tcW w:w="3629" w:type="dxa"/>
          </w:tcPr>
          <w:p w:rsidR="001C7BF9" w:rsidRPr="00C9680B" w:rsidRDefault="001C7BF9">
            <w:pPr>
              <w:spacing w:before="0"/>
              <w:jc w:val="left"/>
            </w:pPr>
            <w:r w:rsidRPr="00C9680B">
              <w:t xml:space="preserve">Carl Fredrik Graf m.fl. (m) </w:t>
            </w:r>
          </w:p>
        </w:tc>
        <w:tc>
          <w:tcPr>
            <w:tcW w:w="1077" w:type="dxa"/>
          </w:tcPr>
          <w:p w:rsidR="001C7BF9" w:rsidRPr="00C9680B" w:rsidRDefault="001C7BF9">
            <w:pPr>
              <w:spacing w:before="0"/>
              <w:jc w:val="left"/>
            </w:pPr>
            <w:r w:rsidRPr="00C9680B">
              <w:t xml:space="preserve">21, 22 </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2000/01:Sk321</w:t>
            </w:r>
          </w:p>
        </w:tc>
        <w:tc>
          <w:tcPr>
            <w:tcW w:w="3629" w:type="dxa"/>
          </w:tcPr>
          <w:p w:rsidR="001C7BF9" w:rsidRPr="00C9680B" w:rsidRDefault="001C7BF9">
            <w:pPr>
              <w:spacing w:before="0"/>
              <w:jc w:val="left"/>
            </w:pPr>
            <w:r w:rsidRPr="00C9680B">
              <w:t xml:space="preserve">Lennart Daléus m.fl. (c) </w:t>
            </w:r>
          </w:p>
        </w:tc>
        <w:tc>
          <w:tcPr>
            <w:tcW w:w="1077" w:type="dxa"/>
          </w:tcPr>
          <w:p w:rsidR="001C7BF9" w:rsidRPr="00C9680B" w:rsidRDefault="001C7BF9">
            <w:pPr>
              <w:spacing w:before="0"/>
              <w:jc w:val="left"/>
            </w:pPr>
            <w:r w:rsidRPr="00C9680B">
              <w:t xml:space="preserve">7, 8 </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2000/01:Sk323</w:t>
            </w:r>
          </w:p>
        </w:tc>
        <w:tc>
          <w:tcPr>
            <w:tcW w:w="3629" w:type="dxa"/>
          </w:tcPr>
          <w:p w:rsidR="001C7BF9" w:rsidRPr="00C9680B" w:rsidRDefault="001C7BF9">
            <w:pPr>
              <w:spacing w:before="0"/>
              <w:jc w:val="left"/>
            </w:pPr>
            <w:r w:rsidRPr="00C9680B">
              <w:t xml:space="preserve">Alf Svensson m.fl. (kd) </w:t>
            </w:r>
          </w:p>
        </w:tc>
        <w:tc>
          <w:tcPr>
            <w:tcW w:w="1077" w:type="dxa"/>
          </w:tcPr>
          <w:p w:rsidR="001C7BF9" w:rsidRPr="00C9680B" w:rsidRDefault="001C7BF9">
            <w:pPr>
              <w:spacing w:before="0"/>
              <w:jc w:val="left"/>
            </w:pPr>
            <w:r w:rsidRPr="00C9680B">
              <w:t>13</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2000/01:Sk324</w:t>
            </w:r>
          </w:p>
        </w:tc>
        <w:tc>
          <w:tcPr>
            <w:tcW w:w="3629" w:type="dxa"/>
          </w:tcPr>
          <w:p w:rsidR="001C7BF9" w:rsidRPr="00C9680B" w:rsidRDefault="001C7BF9">
            <w:pPr>
              <w:spacing w:before="0"/>
              <w:jc w:val="left"/>
            </w:pPr>
            <w:r w:rsidRPr="00C9680B">
              <w:t xml:space="preserve">Lars Leijonborg m.fl. (fp) </w:t>
            </w:r>
          </w:p>
        </w:tc>
        <w:tc>
          <w:tcPr>
            <w:tcW w:w="1077" w:type="dxa"/>
          </w:tcPr>
          <w:p w:rsidR="001C7BF9" w:rsidRPr="00C9680B" w:rsidRDefault="001C7BF9">
            <w:pPr>
              <w:spacing w:before="0"/>
              <w:jc w:val="left"/>
            </w:pPr>
            <w:r w:rsidRPr="00C9680B">
              <w:t>6</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2000/01:N385</w:t>
            </w:r>
          </w:p>
        </w:tc>
        <w:tc>
          <w:tcPr>
            <w:tcW w:w="3629" w:type="dxa"/>
          </w:tcPr>
          <w:p w:rsidR="001C7BF9" w:rsidRPr="00C9680B" w:rsidRDefault="001C7BF9">
            <w:pPr>
              <w:spacing w:before="0"/>
              <w:jc w:val="left"/>
            </w:pPr>
            <w:r w:rsidRPr="00C9680B">
              <w:t xml:space="preserve">Bo Lundgren m.fl. (m) </w:t>
            </w:r>
          </w:p>
        </w:tc>
        <w:tc>
          <w:tcPr>
            <w:tcW w:w="1077" w:type="dxa"/>
          </w:tcPr>
          <w:p w:rsidR="001C7BF9" w:rsidRPr="00C9680B" w:rsidRDefault="001C7BF9">
            <w:pPr>
              <w:spacing w:before="0"/>
              <w:jc w:val="left"/>
            </w:pPr>
            <w:r w:rsidRPr="00C9680B">
              <w:t>7</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p>
        </w:tc>
        <w:tc>
          <w:tcPr>
            <w:tcW w:w="3629" w:type="dxa"/>
          </w:tcPr>
          <w:p w:rsidR="001C7BF9" w:rsidRPr="00C9680B" w:rsidRDefault="001C7BF9">
            <w:pPr>
              <w:spacing w:before="0"/>
              <w:rPr>
                <w:i/>
              </w:rPr>
            </w:pPr>
            <w:r w:rsidRPr="00C9680B">
              <w:rPr>
                <w:i/>
              </w:rPr>
              <w:t xml:space="preserve">Pensionssparande </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2000/01:Sk313</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31</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2000/01:Sk323</w:t>
            </w:r>
          </w:p>
        </w:tc>
        <w:tc>
          <w:tcPr>
            <w:tcW w:w="3629" w:type="dxa"/>
          </w:tcPr>
          <w:p w:rsidR="001C7BF9" w:rsidRPr="00C9680B" w:rsidRDefault="001C7BF9">
            <w:pPr>
              <w:spacing w:before="0"/>
              <w:jc w:val="left"/>
            </w:pPr>
            <w:r w:rsidRPr="00C9680B">
              <w:t xml:space="preserve">Alf  Svensson m.fl. (kd) </w:t>
            </w:r>
          </w:p>
        </w:tc>
        <w:tc>
          <w:tcPr>
            <w:tcW w:w="1077" w:type="dxa"/>
          </w:tcPr>
          <w:p w:rsidR="001C7BF9" w:rsidRPr="00C9680B" w:rsidRDefault="001C7BF9">
            <w:pPr>
              <w:spacing w:before="0"/>
              <w:jc w:val="left"/>
            </w:pPr>
            <w:r w:rsidRPr="00C9680B">
              <w:t>43</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2000/01:Sk324</w:t>
            </w:r>
          </w:p>
        </w:tc>
        <w:tc>
          <w:tcPr>
            <w:tcW w:w="3629" w:type="dxa"/>
          </w:tcPr>
          <w:p w:rsidR="001C7BF9" w:rsidRPr="00C9680B" w:rsidRDefault="001C7BF9">
            <w:pPr>
              <w:spacing w:before="0"/>
              <w:jc w:val="left"/>
            </w:pPr>
            <w:r w:rsidRPr="00C9680B">
              <w:t xml:space="preserve">Lars Leijonborg m.fl. (fp) </w:t>
            </w:r>
          </w:p>
        </w:tc>
        <w:tc>
          <w:tcPr>
            <w:tcW w:w="1077" w:type="dxa"/>
          </w:tcPr>
          <w:p w:rsidR="001C7BF9" w:rsidRPr="00C9680B" w:rsidRDefault="001C7BF9">
            <w:pPr>
              <w:spacing w:before="0"/>
              <w:jc w:val="left"/>
            </w:pPr>
            <w:r w:rsidRPr="00C9680B">
              <w:t>10</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p>
        </w:tc>
        <w:tc>
          <w:tcPr>
            <w:tcW w:w="3629" w:type="dxa"/>
          </w:tcPr>
          <w:p w:rsidR="001C7BF9" w:rsidRPr="00C9680B" w:rsidRDefault="001C7BF9">
            <w:pPr>
              <w:spacing w:before="0"/>
              <w:rPr>
                <w:i/>
              </w:rPr>
            </w:pPr>
            <w:r w:rsidRPr="00C9680B">
              <w:rPr>
                <w:i/>
              </w:rPr>
              <w:t xml:space="preserve">Yrkesfiskare </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pStyle w:val="Deltagare"/>
              <w:keepLines w:val="0"/>
              <w:spacing w:before="0" w:line="250" w:lineRule="atLeast"/>
              <w:rPr>
                <w:noProof w:val="0"/>
              </w:rPr>
            </w:pPr>
            <w:r w:rsidRPr="00C9680B">
              <w:rPr>
                <w:noProof w:val="0"/>
              </w:rPr>
              <w:t>2000/01:Sk314</w:t>
            </w:r>
          </w:p>
        </w:tc>
        <w:tc>
          <w:tcPr>
            <w:tcW w:w="3629" w:type="dxa"/>
          </w:tcPr>
          <w:p w:rsidR="001C7BF9" w:rsidRPr="00C9680B" w:rsidRDefault="001C7BF9">
            <w:pPr>
              <w:spacing w:before="0"/>
              <w:jc w:val="left"/>
            </w:pPr>
            <w:r w:rsidRPr="00C9680B">
              <w:t xml:space="preserve">Kent Olsson (m) </w:t>
            </w: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2000/01:Sk323</w:t>
            </w:r>
          </w:p>
        </w:tc>
        <w:tc>
          <w:tcPr>
            <w:tcW w:w="3629" w:type="dxa"/>
          </w:tcPr>
          <w:p w:rsidR="001C7BF9" w:rsidRPr="00C9680B" w:rsidRDefault="001C7BF9">
            <w:pPr>
              <w:spacing w:before="0"/>
              <w:jc w:val="left"/>
            </w:pPr>
            <w:r w:rsidRPr="00C9680B">
              <w:t xml:space="preserve">Alf Svensson m.fl. (kd) </w:t>
            </w:r>
          </w:p>
        </w:tc>
        <w:tc>
          <w:tcPr>
            <w:tcW w:w="1077" w:type="dxa"/>
          </w:tcPr>
          <w:p w:rsidR="001C7BF9" w:rsidRPr="00C9680B" w:rsidRDefault="001C7BF9">
            <w:pPr>
              <w:spacing w:before="0"/>
              <w:jc w:val="left"/>
            </w:pPr>
            <w:r w:rsidRPr="00C9680B">
              <w:t>34</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2000/01:MJ243</w:t>
            </w:r>
          </w:p>
        </w:tc>
        <w:tc>
          <w:tcPr>
            <w:tcW w:w="3629" w:type="dxa"/>
          </w:tcPr>
          <w:p w:rsidR="001C7BF9" w:rsidRPr="00C9680B" w:rsidRDefault="001C7BF9">
            <w:pPr>
              <w:spacing w:before="0"/>
              <w:jc w:val="left"/>
            </w:pPr>
            <w:r w:rsidRPr="00C9680B">
              <w:t xml:space="preserve">Alf  Svensson m.fl. (kd) </w:t>
            </w:r>
          </w:p>
        </w:tc>
        <w:tc>
          <w:tcPr>
            <w:tcW w:w="1077" w:type="dxa"/>
          </w:tcPr>
          <w:p w:rsidR="001C7BF9" w:rsidRPr="00C9680B" w:rsidRDefault="001C7BF9">
            <w:pPr>
              <w:spacing w:before="0"/>
              <w:jc w:val="left"/>
            </w:pPr>
            <w:r w:rsidRPr="00C9680B">
              <w:t>16</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2000/01:MJ418</w:t>
            </w:r>
          </w:p>
        </w:tc>
        <w:tc>
          <w:tcPr>
            <w:tcW w:w="3629" w:type="dxa"/>
          </w:tcPr>
          <w:p w:rsidR="001C7BF9" w:rsidRPr="00C9680B" w:rsidRDefault="001C7BF9">
            <w:pPr>
              <w:spacing w:before="0"/>
              <w:jc w:val="left"/>
            </w:pPr>
            <w:r w:rsidRPr="00C9680B">
              <w:t xml:space="preserve">Åsa Torstensson m.fl. (c) </w:t>
            </w:r>
          </w:p>
        </w:tc>
        <w:tc>
          <w:tcPr>
            <w:tcW w:w="1077" w:type="dxa"/>
          </w:tcPr>
          <w:p w:rsidR="001C7BF9" w:rsidRPr="00C9680B" w:rsidRDefault="001C7BF9">
            <w:pPr>
              <w:spacing w:before="0"/>
              <w:jc w:val="left"/>
            </w:pPr>
            <w:r w:rsidRPr="00C9680B">
              <w:t>9</w:t>
            </w:r>
          </w:p>
        </w:tc>
      </w:tr>
    </w:tbl>
    <w:p w:rsidR="001C7BF9" w:rsidRPr="00C9680B" w:rsidRDefault="001C7BF9"/>
    <w:tbl>
      <w:tblPr>
        <w:tblW w:w="0" w:type="auto"/>
        <w:tblInd w:w="-70" w:type="dxa"/>
        <w:tblLayout w:type="fixed"/>
        <w:tblCellMar>
          <w:left w:w="70" w:type="dxa"/>
          <w:right w:w="70" w:type="dxa"/>
        </w:tblCellMar>
        <w:tblLook w:val="0000" w:firstRow="0" w:lastRow="0" w:firstColumn="0" w:lastColumn="0" w:noHBand="0" w:noVBand="0"/>
      </w:tblPr>
      <w:tblGrid>
        <w:gridCol w:w="1418"/>
        <w:gridCol w:w="3629"/>
        <w:gridCol w:w="1077"/>
      </w:tblGrid>
      <w:tr w:rsidR="00000000" w:rsidRPr="00C9680B">
        <w:tblPrEx>
          <w:tblCellMar>
            <w:top w:w="0" w:type="dxa"/>
            <w:bottom w:w="0" w:type="dxa"/>
          </w:tblCellMar>
        </w:tblPrEx>
        <w:tc>
          <w:tcPr>
            <w:tcW w:w="1418" w:type="dxa"/>
            <w:tcBorders>
              <w:top w:val="single" w:sz="4" w:space="0" w:color="auto"/>
            </w:tcBorders>
          </w:tcPr>
          <w:p w:rsidR="001C7BF9" w:rsidRPr="00C9680B" w:rsidRDefault="001C7BF9">
            <w:pPr>
              <w:spacing w:before="0"/>
            </w:pPr>
            <w:r w:rsidRPr="00C9680B">
              <w:t>Motion</w:t>
            </w:r>
          </w:p>
        </w:tc>
        <w:tc>
          <w:tcPr>
            <w:tcW w:w="3629" w:type="dxa"/>
            <w:tcBorders>
              <w:top w:val="single" w:sz="4" w:space="0" w:color="auto"/>
            </w:tcBorders>
          </w:tcPr>
          <w:p w:rsidR="001C7BF9" w:rsidRPr="00C9680B" w:rsidRDefault="001C7BF9">
            <w:pPr>
              <w:spacing w:before="0"/>
              <w:jc w:val="left"/>
            </w:pPr>
            <w:r w:rsidRPr="00C9680B">
              <w:t>Motionärer</w:t>
            </w:r>
          </w:p>
        </w:tc>
        <w:tc>
          <w:tcPr>
            <w:tcW w:w="1077" w:type="dxa"/>
            <w:tcBorders>
              <w:top w:val="single" w:sz="4" w:space="0" w:color="auto"/>
            </w:tcBorders>
          </w:tcPr>
          <w:p w:rsidR="001C7BF9" w:rsidRPr="00C9680B" w:rsidRDefault="001C7BF9">
            <w:pPr>
              <w:spacing w:before="0"/>
              <w:jc w:val="left"/>
            </w:pPr>
            <w:r w:rsidRPr="00C9680B">
              <w:t>Yrkanden</w:t>
            </w:r>
          </w:p>
        </w:tc>
      </w:tr>
      <w:tr w:rsidR="00000000" w:rsidRPr="00C9680B">
        <w:tblPrEx>
          <w:tblCellMar>
            <w:top w:w="0" w:type="dxa"/>
            <w:bottom w:w="0" w:type="dxa"/>
          </w:tblCellMar>
        </w:tblPrEx>
        <w:tc>
          <w:tcPr>
            <w:tcW w:w="1418" w:type="dxa"/>
            <w:tcBorders>
              <w:top w:val="single" w:sz="4" w:space="0" w:color="auto"/>
            </w:tcBorders>
          </w:tcPr>
          <w:p w:rsidR="001C7BF9" w:rsidRPr="00C9680B" w:rsidRDefault="001C7BF9">
            <w:pPr>
              <w:spacing w:before="0"/>
            </w:pPr>
          </w:p>
        </w:tc>
        <w:tc>
          <w:tcPr>
            <w:tcW w:w="3629" w:type="dxa"/>
            <w:tcBorders>
              <w:top w:val="single" w:sz="4" w:space="0" w:color="auto"/>
            </w:tcBorders>
          </w:tcPr>
          <w:p w:rsidR="001C7BF9" w:rsidRPr="00C9680B" w:rsidRDefault="001C7BF9">
            <w:pPr>
              <w:spacing w:before="0"/>
              <w:jc w:val="left"/>
            </w:pPr>
          </w:p>
        </w:tc>
        <w:tc>
          <w:tcPr>
            <w:tcW w:w="1077" w:type="dxa"/>
            <w:tcBorders>
              <w:top w:val="single" w:sz="4" w:space="0" w:color="auto"/>
            </w:tcBorders>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p>
        </w:tc>
        <w:tc>
          <w:tcPr>
            <w:tcW w:w="3629" w:type="dxa"/>
          </w:tcPr>
          <w:p w:rsidR="001C7BF9" w:rsidRPr="00C9680B" w:rsidRDefault="001C7BF9">
            <w:pPr>
              <w:spacing w:before="0"/>
              <w:rPr>
                <w:i/>
              </w:rPr>
            </w:pPr>
            <w:r w:rsidRPr="00C9680B">
              <w:rPr>
                <w:i/>
              </w:rPr>
              <w:t>Hushållsnära tjänster</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2000/01:Fi208</w:t>
            </w:r>
          </w:p>
        </w:tc>
        <w:tc>
          <w:tcPr>
            <w:tcW w:w="3629" w:type="dxa"/>
          </w:tcPr>
          <w:p w:rsidR="001C7BF9" w:rsidRPr="00C9680B" w:rsidRDefault="001C7BF9">
            <w:pPr>
              <w:spacing w:before="0"/>
              <w:jc w:val="left"/>
            </w:pPr>
            <w:r w:rsidRPr="00C9680B">
              <w:t>Bo Lundgren m.fl. (m)</w:t>
            </w:r>
          </w:p>
        </w:tc>
        <w:tc>
          <w:tcPr>
            <w:tcW w:w="1077" w:type="dxa"/>
          </w:tcPr>
          <w:p w:rsidR="001C7BF9" w:rsidRPr="00C9680B" w:rsidRDefault="001C7BF9">
            <w:pPr>
              <w:spacing w:before="0"/>
              <w:jc w:val="left"/>
            </w:pPr>
            <w:r w:rsidRPr="00C9680B">
              <w:t>12</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2000/01:Sk313</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43</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2000/01:Sk321</w:t>
            </w:r>
          </w:p>
        </w:tc>
        <w:tc>
          <w:tcPr>
            <w:tcW w:w="3629" w:type="dxa"/>
          </w:tcPr>
          <w:p w:rsidR="001C7BF9" w:rsidRPr="00C9680B" w:rsidRDefault="001C7BF9">
            <w:pPr>
              <w:spacing w:before="0"/>
              <w:jc w:val="left"/>
            </w:pPr>
            <w:r w:rsidRPr="00C9680B">
              <w:t>Lennart Daléus m.fl. (c)</w:t>
            </w:r>
          </w:p>
        </w:tc>
        <w:tc>
          <w:tcPr>
            <w:tcW w:w="1077" w:type="dxa"/>
          </w:tcPr>
          <w:p w:rsidR="001C7BF9" w:rsidRPr="00C9680B" w:rsidRDefault="001C7BF9">
            <w:pPr>
              <w:spacing w:before="0"/>
              <w:jc w:val="left"/>
            </w:pPr>
            <w:r w:rsidRPr="00C9680B">
              <w:t>23</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2000/01:Sk323</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38</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2000/01:Sk324</w:t>
            </w:r>
          </w:p>
        </w:tc>
        <w:tc>
          <w:tcPr>
            <w:tcW w:w="3629" w:type="dxa"/>
          </w:tcPr>
          <w:p w:rsidR="001C7BF9" w:rsidRPr="00C9680B" w:rsidRDefault="001C7BF9">
            <w:pPr>
              <w:spacing w:before="0"/>
              <w:jc w:val="left"/>
            </w:pPr>
            <w:r w:rsidRPr="00C9680B">
              <w:t>Lars Leijonborg m.fl. (fp)</w:t>
            </w:r>
          </w:p>
        </w:tc>
        <w:tc>
          <w:tcPr>
            <w:tcW w:w="1077" w:type="dxa"/>
          </w:tcPr>
          <w:p w:rsidR="001C7BF9" w:rsidRPr="00C9680B" w:rsidRDefault="001C7BF9">
            <w:pPr>
              <w:spacing w:before="0"/>
              <w:jc w:val="left"/>
            </w:pPr>
            <w:r w:rsidRPr="00C9680B">
              <w:t>7</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2000/01:Sf308</w:t>
            </w:r>
          </w:p>
        </w:tc>
        <w:tc>
          <w:tcPr>
            <w:tcW w:w="3629" w:type="dxa"/>
          </w:tcPr>
          <w:p w:rsidR="001C7BF9" w:rsidRPr="00C9680B" w:rsidRDefault="001C7BF9">
            <w:pPr>
              <w:spacing w:before="0"/>
              <w:jc w:val="left"/>
            </w:pPr>
            <w:r w:rsidRPr="00C9680B">
              <w:t>Lars Leijonborg m.fl. (fp)</w:t>
            </w:r>
          </w:p>
        </w:tc>
        <w:tc>
          <w:tcPr>
            <w:tcW w:w="1077" w:type="dxa"/>
          </w:tcPr>
          <w:p w:rsidR="001C7BF9" w:rsidRPr="00C9680B" w:rsidRDefault="001C7BF9">
            <w:pPr>
              <w:spacing w:before="0"/>
              <w:jc w:val="left"/>
            </w:pPr>
            <w:r w:rsidRPr="00C9680B">
              <w:t>10</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p>
        </w:tc>
        <w:tc>
          <w:tcPr>
            <w:tcW w:w="3629" w:type="dxa"/>
          </w:tcPr>
          <w:p w:rsidR="001C7BF9" w:rsidRPr="00C9680B" w:rsidRDefault="001C7BF9">
            <w:pPr>
              <w:spacing w:before="0"/>
              <w:rPr>
                <w:i/>
              </w:rPr>
            </w:pPr>
            <w:r w:rsidRPr="00C9680B">
              <w:rPr>
                <w:i/>
              </w:rPr>
              <w:t>Skatt på royalty</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pStyle w:val="Deltagare"/>
              <w:keepLines w:val="0"/>
              <w:spacing w:before="0" w:line="250" w:lineRule="atLeast"/>
              <w:rPr>
                <w:noProof w:val="0"/>
              </w:rPr>
            </w:pPr>
            <w:r w:rsidRPr="00C9680B">
              <w:rPr>
                <w:noProof w:val="0"/>
              </w:rPr>
              <w:t>2000/01:Sk313</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40</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2000/01:Sk323</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35</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r w:rsidRPr="00C9680B">
              <w:rPr>
                <w:i/>
              </w:rPr>
              <w:t xml:space="preserve">Punkt 5 h </w:t>
            </w:r>
          </w:p>
        </w:tc>
        <w:tc>
          <w:tcPr>
            <w:tcW w:w="3629" w:type="dxa"/>
          </w:tcPr>
          <w:p w:rsidR="001C7BF9" w:rsidRPr="00C9680B" w:rsidRDefault="001C7BF9">
            <w:pPr>
              <w:spacing w:before="0"/>
              <w:rPr>
                <w:i/>
              </w:rPr>
            </w:pPr>
            <w:r w:rsidRPr="00C9680B">
              <w:rPr>
                <w:i/>
              </w:rPr>
              <w:t>Kapitalvinstbeskattning av bostäder</w:t>
            </w:r>
          </w:p>
          <w:p w:rsidR="001C7BF9" w:rsidRPr="00C9680B" w:rsidRDefault="001C7BF9">
            <w:pPr>
              <w:spacing w:before="0"/>
              <w:rPr>
                <w:i/>
              </w:rPr>
            </w:pPr>
            <w:r w:rsidRPr="00C9680B">
              <w:rPr>
                <w:i/>
              </w:rPr>
              <w:t>(prop. 2000/01:1 punkt 24)</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2000/01:Sk313</w:t>
            </w:r>
          </w:p>
        </w:tc>
        <w:tc>
          <w:tcPr>
            <w:tcW w:w="3629" w:type="dxa"/>
          </w:tcPr>
          <w:p w:rsidR="001C7BF9" w:rsidRPr="00C9680B" w:rsidRDefault="001C7BF9">
            <w:pPr>
              <w:spacing w:before="0"/>
              <w:jc w:val="left"/>
            </w:pPr>
            <w:r w:rsidRPr="00C9680B">
              <w:t xml:space="preserve">Carl Fredrik Graf m.fl. (m) </w:t>
            </w:r>
          </w:p>
        </w:tc>
        <w:tc>
          <w:tcPr>
            <w:tcW w:w="1077" w:type="dxa"/>
          </w:tcPr>
          <w:p w:rsidR="001C7BF9" w:rsidRPr="00C9680B" w:rsidRDefault="001C7BF9">
            <w:pPr>
              <w:spacing w:before="0"/>
              <w:jc w:val="left"/>
            </w:pPr>
            <w:r w:rsidRPr="00C9680B">
              <w:t>2 delvis</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p>
        </w:tc>
        <w:tc>
          <w:tcPr>
            <w:tcW w:w="3629" w:type="dxa"/>
          </w:tcPr>
          <w:p w:rsidR="001C7BF9" w:rsidRPr="00C9680B" w:rsidRDefault="001C7BF9">
            <w:pPr>
              <w:spacing w:before="0"/>
              <w:rPr>
                <w:i/>
              </w:rPr>
            </w:pPr>
            <w:r w:rsidRPr="00C9680B">
              <w:rPr>
                <w:i/>
              </w:rPr>
              <w:t xml:space="preserve">Inkomst av kapital </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pStyle w:val="Deltagare"/>
              <w:keepLines w:val="0"/>
              <w:spacing w:before="0" w:line="250" w:lineRule="atLeast"/>
              <w:rPr>
                <w:noProof w:val="0"/>
              </w:rPr>
            </w:pPr>
            <w:r w:rsidRPr="00C9680B">
              <w:rPr>
                <w:noProof w:val="0"/>
              </w:rPr>
              <w:t>2000/01:Sk313</w:t>
            </w:r>
          </w:p>
        </w:tc>
        <w:tc>
          <w:tcPr>
            <w:tcW w:w="3629" w:type="dxa"/>
          </w:tcPr>
          <w:p w:rsidR="001C7BF9" w:rsidRPr="00C9680B" w:rsidRDefault="001C7BF9">
            <w:pPr>
              <w:spacing w:before="0"/>
              <w:jc w:val="left"/>
            </w:pPr>
            <w:r w:rsidRPr="00C9680B">
              <w:t xml:space="preserve">Carl Fredrik Graf m.fl. (m) </w:t>
            </w:r>
          </w:p>
        </w:tc>
        <w:tc>
          <w:tcPr>
            <w:tcW w:w="1077" w:type="dxa"/>
          </w:tcPr>
          <w:p w:rsidR="001C7BF9" w:rsidRPr="00C9680B" w:rsidRDefault="001C7BF9">
            <w:pPr>
              <w:spacing w:before="0"/>
              <w:jc w:val="left"/>
            </w:pPr>
            <w:r w:rsidRPr="00C9680B">
              <w:t>39, 44</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2000/01:Sk323</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25, 39, 47</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r w:rsidRPr="00C9680B">
              <w:rPr>
                <w:i/>
              </w:rPr>
              <w:t xml:space="preserve">Punkt 5 i  </w:t>
            </w:r>
          </w:p>
        </w:tc>
        <w:tc>
          <w:tcPr>
            <w:tcW w:w="3629" w:type="dxa"/>
          </w:tcPr>
          <w:p w:rsidR="001C7BF9" w:rsidRPr="00C9680B" w:rsidRDefault="001C7BF9">
            <w:pPr>
              <w:spacing w:before="0"/>
              <w:rPr>
                <w:i/>
              </w:rPr>
            </w:pPr>
            <w:r w:rsidRPr="00C9680B">
              <w:rPr>
                <w:i/>
              </w:rPr>
              <w:t xml:space="preserve">Beskattning av sjömän </w:t>
            </w:r>
          </w:p>
          <w:p w:rsidR="001C7BF9" w:rsidRPr="00C9680B" w:rsidRDefault="001C7BF9">
            <w:pPr>
              <w:spacing w:before="0"/>
              <w:rPr>
                <w:i/>
                <w:sz w:val="17"/>
              </w:rPr>
            </w:pPr>
            <w:r w:rsidRPr="00C9680B">
              <w:rPr>
                <w:i/>
              </w:rPr>
              <w:t>(prop. 2000/01:1 punkt 39)</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pStyle w:val="Deltagare"/>
              <w:keepLines w:val="0"/>
              <w:spacing w:before="0" w:line="250" w:lineRule="atLeast"/>
              <w:rPr>
                <w:noProof w:val="0"/>
              </w:rPr>
            </w:pPr>
            <w:r w:rsidRPr="00C9680B">
              <w:rPr>
                <w:noProof w:val="0"/>
              </w:rPr>
              <w:t>2000/01:Sk321</w:t>
            </w:r>
          </w:p>
        </w:tc>
        <w:tc>
          <w:tcPr>
            <w:tcW w:w="3629" w:type="dxa"/>
          </w:tcPr>
          <w:p w:rsidR="001C7BF9" w:rsidRPr="00C9680B" w:rsidRDefault="001C7BF9">
            <w:pPr>
              <w:spacing w:before="0"/>
              <w:jc w:val="left"/>
            </w:pPr>
            <w:r w:rsidRPr="00C9680B">
              <w:t>Lennart Daléus m.fl. (c)</w:t>
            </w:r>
          </w:p>
        </w:tc>
        <w:tc>
          <w:tcPr>
            <w:tcW w:w="1077" w:type="dxa"/>
          </w:tcPr>
          <w:p w:rsidR="001C7BF9" w:rsidRPr="00C9680B" w:rsidRDefault="001C7BF9">
            <w:pPr>
              <w:spacing w:before="0"/>
              <w:jc w:val="left"/>
            </w:pPr>
            <w:r w:rsidRPr="00C9680B">
              <w:t>24</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p>
        </w:tc>
        <w:tc>
          <w:tcPr>
            <w:tcW w:w="3629" w:type="dxa"/>
          </w:tcPr>
          <w:p w:rsidR="001C7BF9" w:rsidRPr="00C9680B" w:rsidRDefault="001C7BF9">
            <w:pPr>
              <w:spacing w:before="0"/>
              <w:rPr>
                <w:i/>
              </w:rPr>
            </w:pPr>
            <w:r w:rsidRPr="00C9680B">
              <w:rPr>
                <w:i/>
              </w:rPr>
              <w:t xml:space="preserve">Företagsbeskattning </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pStyle w:val="Deltagare"/>
              <w:keepLines w:val="0"/>
              <w:spacing w:before="0" w:line="250" w:lineRule="atLeast"/>
              <w:rPr>
                <w:noProof w:val="0"/>
              </w:rPr>
            </w:pPr>
            <w:r w:rsidRPr="00C9680B">
              <w:rPr>
                <w:noProof w:val="0"/>
              </w:rPr>
              <w:t>2000/01:Sk313</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45</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2000/01:Sk323</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36, 37</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2000/01:Sk324</w:t>
            </w:r>
          </w:p>
        </w:tc>
        <w:tc>
          <w:tcPr>
            <w:tcW w:w="3629" w:type="dxa"/>
          </w:tcPr>
          <w:p w:rsidR="001C7BF9" w:rsidRPr="00C9680B" w:rsidRDefault="001C7BF9">
            <w:pPr>
              <w:spacing w:before="0"/>
              <w:jc w:val="left"/>
            </w:pPr>
            <w:r w:rsidRPr="00C9680B">
              <w:t>Lars Leijonborg m.fl. (fp)</w:t>
            </w:r>
          </w:p>
        </w:tc>
        <w:tc>
          <w:tcPr>
            <w:tcW w:w="1077" w:type="dxa"/>
          </w:tcPr>
          <w:p w:rsidR="001C7BF9" w:rsidRPr="00C9680B" w:rsidRDefault="001C7BF9">
            <w:pPr>
              <w:spacing w:before="0"/>
              <w:jc w:val="left"/>
            </w:pPr>
            <w:r w:rsidRPr="00C9680B">
              <w:t>18</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r w:rsidRPr="00C9680B">
              <w:rPr>
                <w:i/>
              </w:rPr>
              <w:t xml:space="preserve">Punkt 5 j </w:t>
            </w:r>
          </w:p>
        </w:tc>
        <w:tc>
          <w:tcPr>
            <w:tcW w:w="3629" w:type="dxa"/>
          </w:tcPr>
          <w:p w:rsidR="001C7BF9" w:rsidRPr="00C9680B" w:rsidRDefault="001C7BF9">
            <w:pPr>
              <w:spacing w:before="0"/>
              <w:rPr>
                <w:i/>
              </w:rPr>
            </w:pPr>
            <w:r w:rsidRPr="00C9680B">
              <w:rPr>
                <w:i/>
              </w:rPr>
              <w:t>Förändrade avgiftsnivåer för social</w:t>
            </w:r>
            <w:r w:rsidRPr="00C9680B">
              <w:rPr>
                <w:i/>
              </w:rPr>
              <w:softHyphen/>
              <w:t>avgifter</w:t>
            </w:r>
          </w:p>
          <w:p w:rsidR="001C7BF9" w:rsidRPr="00C9680B" w:rsidRDefault="001C7BF9">
            <w:pPr>
              <w:spacing w:before="0"/>
              <w:rPr>
                <w:i/>
              </w:rPr>
            </w:pPr>
            <w:r w:rsidRPr="00C9680B">
              <w:rPr>
                <w:i/>
              </w:rPr>
              <w:t xml:space="preserve">(prop. 2000/01:1 punkt 26) </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pStyle w:val="Deltagare"/>
              <w:keepLines w:val="0"/>
              <w:spacing w:before="0" w:line="250" w:lineRule="atLeast"/>
              <w:rPr>
                <w:noProof w:val="0"/>
              </w:rPr>
            </w:pPr>
            <w:r w:rsidRPr="00C9680B">
              <w:rPr>
                <w:noProof w:val="0"/>
              </w:rPr>
              <w:t>2000/01:Sk313</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4–6 delvis, 25</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2000/01:Sk321</w:t>
            </w:r>
          </w:p>
        </w:tc>
        <w:tc>
          <w:tcPr>
            <w:tcW w:w="3629" w:type="dxa"/>
          </w:tcPr>
          <w:p w:rsidR="001C7BF9" w:rsidRPr="00C9680B" w:rsidRDefault="001C7BF9">
            <w:pPr>
              <w:spacing w:before="0"/>
              <w:jc w:val="left"/>
            </w:pPr>
            <w:r w:rsidRPr="00C9680B">
              <w:t>Lennart Daléus m.fl. (c)</w:t>
            </w:r>
          </w:p>
        </w:tc>
        <w:tc>
          <w:tcPr>
            <w:tcW w:w="1077" w:type="dxa"/>
          </w:tcPr>
          <w:p w:rsidR="001C7BF9" w:rsidRPr="00C9680B" w:rsidRDefault="001C7BF9">
            <w:pPr>
              <w:spacing w:before="0"/>
              <w:jc w:val="left"/>
            </w:pPr>
            <w:r w:rsidRPr="00C9680B">
              <w:t>18, 25</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2000/01:Sk323</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22–24</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2000/01:N324</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6</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p>
        </w:tc>
        <w:tc>
          <w:tcPr>
            <w:tcW w:w="3629" w:type="dxa"/>
          </w:tcPr>
          <w:p w:rsidR="001C7BF9" w:rsidRPr="00C9680B" w:rsidRDefault="001C7BF9">
            <w:pPr>
              <w:spacing w:before="0"/>
              <w:rPr>
                <w:i/>
              </w:rPr>
            </w:pPr>
            <w:r w:rsidRPr="00C9680B">
              <w:rPr>
                <w:i/>
              </w:rPr>
              <w:t>Löneskatt på vinstandelar</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pStyle w:val="Deltagare"/>
              <w:keepLines w:val="0"/>
              <w:spacing w:before="0" w:line="250" w:lineRule="atLeast"/>
              <w:rPr>
                <w:noProof w:val="0"/>
              </w:rPr>
            </w:pPr>
            <w:r w:rsidRPr="00C9680B">
              <w:rPr>
                <w:noProof w:val="0"/>
              </w:rPr>
              <w:t>2000/01:Sk323</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46</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2000/01:Sk324</w:t>
            </w:r>
          </w:p>
        </w:tc>
        <w:tc>
          <w:tcPr>
            <w:tcW w:w="3629" w:type="dxa"/>
          </w:tcPr>
          <w:p w:rsidR="001C7BF9" w:rsidRPr="00C9680B" w:rsidRDefault="001C7BF9">
            <w:pPr>
              <w:spacing w:before="0"/>
              <w:jc w:val="left"/>
            </w:pPr>
            <w:r w:rsidRPr="00C9680B">
              <w:t>Lars Leijonborg m.fl. (fp)</w:t>
            </w:r>
          </w:p>
        </w:tc>
        <w:tc>
          <w:tcPr>
            <w:tcW w:w="1077" w:type="dxa"/>
          </w:tcPr>
          <w:p w:rsidR="001C7BF9" w:rsidRPr="00C9680B" w:rsidRDefault="001C7BF9">
            <w:pPr>
              <w:spacing w:before="0"/>
              <w:jc w:val="left"/>
            </w:pPr>
            <w:r w:rsidRPr="00C9680B">
              <w:t>8</w:t>
            </w:r>
          </w:p>
        </w:tc>
      </w:tr>
      <w:tr w:rsidR="00000000" w:rsidRPr="00C9680B">
        <w:tblPrEx>
          <w:tblCellMar>
            <w:top w:w="0" w:type="dxa"/>
            <w:bottom w:w="0" w:type="dxa"/>
          </w:tblCellMar>
        </w:tblPrEx>
        <w:tc>
          <w:tcPr>
            <w:tcW w:w="1418" w:type="dxa"/>
          </w:tcPr>
          <w:p w:rsidR="001C7BF9" w:rsidRPr="00C9680B" w:rsidRDefault="001C7BF9"/>
        </w:tc>
        <w:tc>
          <w:tcPr>
            <w:tcW w:w="3629" w:type="dxa"/>
          </w:tcPr>
          <w:p w:rsidR="001C7BF9" w:rsidRPr="00C9680B" w:rsidRDefault="001C7BF9">
            <w:pPr>
              <w:jc w:val="left"/>
            </w:pPr>
          </w:p>
        </w:tc>
        <w:tc>
          <w:tcPr>
            <w:tcW w:w="1077" w:type="dxa"/>
          </w:tcPr>
          <w:p w:rsidR="001C7BF9" w:rsidRPr="00C9680B" w:rsidRDefault="001C7BF9">
            <w:pPr>
              <w:jc w:val="left"/>
            </w:pPr>
          </w:p>
        </w:tc>
      </w:tr>
    </w:tbl>
    <w:p w:rsidR="001C7BF9" w:rsidRPr="00C9680B" w:rsidRDefault="001C7BF9">
      <w:r w:rsidRPr="00C9680B">
        <w:br w:type="page"/>
      </w:r>
    </w:p>
    <w:tbl>
      <w:tblPr>
        <w:tblW w:w="0" w:type="auto"/>
        <w:tblInd w:w="-70" w:type="dxa"/>
        <w:tblLayout w:type="fixed"/>
        <w:tblCellMar>
          <w:left w:w="70" w:type="dxa"/>
          <w:right w:w="70" w:type="dxa"/>
        </w:tblCellMar>
        <w:tblLook w:val="0000" w:firstRow="0" w:lastRow="0" w:firstColumn="0" w:lastColumn="0" w:noHBand="0" w:noVBand="0"/>
      </w:tblPr>
      <w:tblGrid>
        <w:gridCol w:w="1418"/>
        <w:gridCol w:w="3629"/>
        <w:gridCol w:w="1077"/>
      </w:tblGrid>
      <w:tr w:rsidR="00000000" w:rsidRPr="00C9680B">
        <w:tblPrEx>
          <w:tblCellMar>
            <w:top w:w="0" w:type="dxa"/>
            <w:bottom w:w="0" w:type="dxa"/>
          </w:tblCellMar>
        </w:tblPrEx>
        <w:tc>
          <w:tcPr>
            <w:tcW w:w="1418" w:type="dxa"/>
            <w:tcBorders>
              <w:top w:val="single" w:sz="4" w:space="0" w:color="auto"/>
            </w:tcBorders>
          </w:tcPr>
          <w:p w:rsidR="001C7BF9" w:rsidRPr="00C9680B" w:rsidRDefault="001C7BF9">
            <w:pPr>
              <w:spacing w:before="0"/>
            </w:pPr>
            <w:r w:rsidRPr="00C9680B">
              <w:t>Motion</w:t>
            </w:r>
          </w:p>
        </w:tc>
        <w:tc>
          <w:tcPr>
            <w:tcW w:w="3629" w:type="dxa"/>
            <w:tcBorders>
              <w:top w:val="single" w:sz="4" w:space="0" w:color="auto"/>
            </w:tcBorders>
          </w:tcPr>
          <w:p w:rsidR="001C7BF9" w:rsidRPr="00C9680B" w:rsidRDefault="001C7BF9">
            <w:pPr>
              <w:spacing w:before="0"/>
              <w:jc w:val="left"/>
            </w:pPr>
            <w:r w:rsidRPr="00C9680B">
              <w:t>Motionärer</w:t>
            </w:r>
          </w:p>
        </w:tc>
        <w:tc>
          <w:tcPr>
            <w:tcW w:w="1077" w:type="dxa"/>
            <w:tcBorders>
              <w:top w:val="single" w:sz="4" w:space="0" w:color="auto"/>
            </w:tcBorders>
          </w:tcPr>
          <w:p w:rsidR="001C7BF9" w:rsidRPr="00C9680B" w:rsidRDefault="001C7BF9">
            <w:pPr>
              <w:spacing w:before="0"/>
              <w:jc w:val="left"/>
            </w:pPr>
            <w:r w:rsidRPr="00C9680B">
              <w:t>Yrkanden</w:t>
            </w:r>
          </w:p>
        </w:tc>
      </w:tr>
      <w:tr w:rsidR="00000000" w:rsidRPr="00C9680B">
        <w:tblPrEx>
          <w:tblCellMar>
            <w:top w:w="0" w:type="dxa"/>
            <w:bottom w:w="0" w:type="dxa"/>
          </w:tblCellMar>
        </w:tblPrEx>
        <w:tc>
          <w:tcPr>
            <w:tcW w:w="1418" w:type="dxa"/>
            <w:tcBorders>
              <w:top w:val="single" w:sz="4" w:space="0" w:color="auto"/>
            </w:tcBorders>
          </w:tcPr>
          <w:p w:rsidR="001C7BF9" w:rsidRPr="00C9680B" w:rsidRDefault="001C7BF9">
            <w:pPr>
              <w:spacing w:before="0"/>
            </w:pPr>
          </w:p>
        </w:tc>
        <w:tc>
          <w:tcPr>
            <w:tcW w:w="3629" w:type="dxa"/>
            <w:tcBorders>
              <w:top w:val="single" w:sz="4" w:space="0" w:color="auto"/>
            </w:tcBorders>
          </w:tcPr>
          <w:p w:rsidR="001C7BF9" w:rsidRPr="00C9680B" w:rsidRDefault="001C7BF9">
            <w:pPr>
              <w:spacing w:before="0"/>
              <w:jc w:val="left"/>
            </w:pPr>
          </w:p>
        </w:tc>
        <w:tc>
          <w:tcPr>
            <w:tcW w:w="1077" w:type="dxa"/>
            <w:tcBorders>
              <w:top w:val="single" w:sz="4" w:space="0" w:color="auto"/>
            </w:tcBorders>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r w:rsidRPr="00C9680B">
              <w:rPr>
                <w:i/>
              </w:rPr>
              <w:t xml:space="preserve">Punkt 5 k </w:t>
            </w:r>
          </w:p>
        </w:tc>
        <w:tc>
          <w:tcPr>
            <w:tcW w:w="3629" w:type="dxa"/>
          </w:tcPr>
          <w:p w:rsidR="001C7BF9" w:rsidRPr="00C9680B" w:rsidRDefault="001C7BF9">
            <w:pPr>
              <w:pStyle w:val="Reservantfrslag"/>
              <w:jc w:val="left"/>
              <w:rPr>
                <w:i/>
              </w:rPr>
            </w:pPr>
            <w:r w:rsidRPr="00C9680B">
              <w:rPr>
                <w:i/>
              </w:rPr>
              <w:t>Fastighetsskatt på bostäder</w:t>
            </w:r>
          </w:p>
          <w:p w:rsidR="001C7BF9" w:rsidRPr="00C9680B" w:rsidRDefault="001C7BF9">
            <w:pPr>
              <w:pStyle w:val="Reservantfrslag"/>
              <w:jc w:val="left"/>
              <w:rPr>
                <w:i/>
              </w:rPr>
            </w:pPr>
            <w:r w:rsidRPr="00C9680B">
              <w:rPr>
                <w:i/>
              </w:rPr>
              <w:t xml:space="preserve">(prop. 2000/01:1 punkt 23) </w:t>
            </w:r>
          </w:p>
        </w:tc>
        <w:tc>
          <w:tcPr>
            <w:tcW w:w="1077" w:type="dxa"/>
          </w:tcPr>
          <w:p w:rsidR="001C7BF9" w:rsidRPr="00C9680B" w:rsidRDefault="001C7BF9">
            <w:pPr>
              <w:spacing w:before="0"/>
              <w:jc w:val="left"/>
              <w:rPr>
                <w:i/>
              </w:rPr>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2000/01:Sk308</w:t>
            </w:r>
          </w:p>
        </w:tc>
        <w:tc>
          <w:tcPr>
            <w:tcW w:w="3629" w:type="dxa"/>
          </w:tcPr>
          <w:p w:rsidR="001C7BF9" w:rsidRPr="00C9680B" w:rsidRDefault="001C7BF9">
            <w:pPr>
              <w:spacing w:before="0"/>
              <w:jc w:val="left"/>
            </w:pPr>
            <w:r w:rsidRPr="00C9680B">
              <w:t>Kent Olsson och Inger René (m)</w:t>
            </w: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2000/01:Sk313</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1, 32–35</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2000/01:Sk316</w:t>
            </w:r>
          </w:p>
        </w:tc>
        <w:tc>
          <w:tcPr>
            <w:tcW w:w="3629" w:type="dxa"/>
          </w:tcPr>
          <w:p w:rsidR="001C7BF9" w:rsidRPr="00C9680B" w:rsidRDefault="001C7BF9">
            <w:pPr>
              <w:spacing w:before="0"/>
              <w:jc w:val="left"/>
            </w:pPr>
            <w:r w:rsidRPr="00C9680B">
              <w:t>Kenth Skårvik (fp)</w:t>
            </w: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2000/01:Sk321</w:t>
            </w:r>
          </w:p>
        </w:tc>
        <w:tc>
          <w:tcPr>
            <w:tcW w:w="3629" w:type="dxa"/>
          </w:tcPr>
          <w:p w:rsidR="001C7BF9" w:rsidRPr="00C9680B" w:rsidRDefault="001C7BF9">
            <w:pPr>
              <w:spacing w:before="0"/>
              <w:jc w:val="left"/>
            </w:pPr>
            <w:r w:rsidRPr="00C9680B">
              <w:t>Lennart Daléus m.fl. (c)</w:t>
            </w:r>
          </w:p>
        </w:tc>
        <w:tc>
          <w:tcPr>
            <w:tcW w:w="1077" w:type="dxa"/>
          </w:tcPr>
          <w:p w:rsidR="001C7BF9" w:rsidRPr="00C9680B" w:rsidRDefault="001C7BF9">
            <w:pPr>
              <w:spacing w:before="0"/>
              <w:jc w:val="left"/>
            </w:pPr>
            <w:r w:rsidRPr="00C9680B">
              <w:t>11, 12, 15, 16</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2000/01:Sk322</w:t>
            </w:r>
          </w:p>
        </w:tc>
        <w:tc>
          <w:tcPr>
            <w:tcW w:w="3629" w:type="dxa"/>
          </w:tcPr>
          <w:p w:rsidR="001C7BF9" w:rsidRPr="00C9680B" w:rsidRDefault="001C7BF9">
            <w:pPr>
              <w:spacing w:before="0"/>
              <w:jc w:val="left"/>
            </w:pPr>
            <w:r w:rsidRPr="00C9680B">
              <w:t>Kenneth Lantz m.fl. (kd)</w:t>
            </w:r>
          </w:p>
        </w:tc>
        <w:tc>
          <w:tcPr>
            <w:tcW w:w="1077" w:type="dxa"/>
          </w:tcPr>
          <w:p w:rsidR="001C7BF9" w:rsidRPr="00C9680B" w:rsidRDefault="001C7BF9">
            <w:pPr>
              <w:spacing w:before="0"/>
              <w:jc w:val="left"/>
            </w:pPr>
            <w:r w:rsidRPr="00C9680B">
              <w:t>3</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2000/01:Sk323</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16–21, 53</w:t>
            </w:r>
          </w:p>
        </w:tc>
      </w:tr>
      <w:tr w:rsidR="00000000" w:rsidRPr="00C9680B">
        <w:tblPrEx>
          <w:tblCellMar>
            <w:top w:w="0" w:type="dxa"/>
            <w:bottom w:w="0" w:type="dxa"/>
          </w:tblCellMar>
        </w:tblPrEx>
        <w:tc>
          <w:tcPr>
            <w:tcW w:w="1418" w:type="dxa"/>
          </w:tcPr>
          <w:p w:rsidR="001C7BF9" w:rsidRPr="00C9680B" w:rsidRDefault="001C7BF9">
            <w:pPr>
              <w:pStyle w:val="Reservantfrslag"/>
            </w:pPr>
            <w:r w:rsidRPr="00C9680B">
              <w:t>2000/01:Sk324</w:t>
            </w:r>
          </w:p>
        </w:tc>
        <w:tc>
          <w:tcPr>
            <w:tcW w:w="3629" w:type="dxa"/>
          </w:tcPr>
          <w:p w:rsidR="001C7BF9" w:rsidRPr="00C9680B" w:rsidRDefault="001C7BF9">
            <w:pPr>
              <w:spacing w:before="0"/>
              <w:jc w:val="left"/>
            </w:pPr>
            <w:r w:rsidRPr="00C9680B">
              <w:t>Lars Leijonborg m.fl. (fp)</w:t>
            </w:r>
          </w:p>
        </w:tc>
        <w:tc>
          <w:tcPr>
            <w:tcW w:w="1077" w:type="dxa"/>
          </w:tcPr>
          <w:p w:rsidR="001C7BF9" w:rsidRPr="00C9680B" w:rsidRDefault="001C7BF9">
            <w:pPr>
              <w:spacing w:before="0"/>
              <w:jc w:val="left"/>
            </w:pPr>
            <w:r w:rsidRPr="00C9680B">
              <w:t>13</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2000/01:Sk621</w:t>
            </w:r>
          </w:p>
        </w:tc>
        <w:tc>
          <w:tcPr>
            <w:tcW w:w="3629" w:type="dxa"/>
          </w:tcPr>
          <w:p w:rsidR="001C7BF9" w:rsidRPr="00C9680B" w:rsidRDefault="001C7BF9">
            <w:pPr>
              <w:spacing w:before="0"/>
              <w:jc w:val="left"/>
            </w:pPr>
            <w:r w:rsidRPr="00C9680B">
              <w:t>Bo Lundgren m.fl. (m)</w:t>
            </w:r>
          </w:p>
        </w:tc>
        <w:tc>
          <w:tcPr>
            <w:tcW w:w="1077" w:type="dxa"/>
          </w:tcPr>
          <w:p w:rsidR="001C7BF9" w:rsidRPr="00C9680B" w:rsidRDefault="001C7BF9">
            <w:pPr>
              <w:spacing w:before="0"/>
              <w:jc w:val="left"/>
            </w:pPr>
            <w:r w:rsidRPr="00C9680B">
              <w:t>1, 2, 4</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2000/01:N385</w:t>
            </w:r>
          </w:p>
        </w:tc>
        <w:tc>
          <w:tcPr>
            <w:tcW w:w="3629" w:type="dxa"/>
          </w:tcPr>
          <w:p w:rsidR="001C7BF9" w:rsidRPr="00C9680B" w:rsidRDefault="001C7BF9">
            <w:pPr>
              <w:spacing w:before="0"/>
              <w:jc w:val="left"/>
            </w:pPr>
            <w:r w:rsidRPr="00C9680B">
              <w:t>Bo Lundgren m.fl. (m)</w:t>
            </w:r>
          </w:p>
        </w:tc>
        <w:tc>
          <w:tcPr>
            <w:tcW w:w="1077" w:type="dxa"/>
          </w:tcPr>
          <w:p w:rsidR="001C7BF9" w:rsidRPr="00C9680B" w:rsidRDefault="001C7BF9">
            <w:pPr>
              <w:spacing w:before="0"/>
              <w:jc w:val="left"/>
            </w:pPr>
            <w:r w:rsidRPr="00C9680B">
              <w:t>9</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2000/01:Bo235</w:t>
            </w:r>
          </w:p>
        </w:tc>
        <w:tc>
          <w:tcPr>
            <w:tcW w:w="3629" w:type="dxa"/>
          </w:tcPr>
          <w:p w:rsidR="001C7BF9" w:rsidRPr="00C9680B" w:rsidRDefault="001C7BF9">
            <w:pPr>
              <w:spacing w:before="0"/>
              <w:jc w:val="left"/>
            </w:pPr>
            <w:r w:rsidRPr="00C9680B">
              <w:t>Yvonne Ångström och Helena Bar</w:t>
            </w:r>
            <w:r w:rsidRPr="00C9680B">
              <w:t>g</w:t>
            </w:r>
            <w:r w:rsidRPr="00C9680B">
              <w:t>holtz (fp)</w:t>
            </w:r>
          </w:p>
        </w:tc>
        <w:tc>
          <w:tcPr>
            <w:tcW w:w="1077" w:type="dxa"/>
          </w:tcPr>
          <w:p w:rsidR="001C7BF9" w:rsidRPr="00C9680B" w:rsidRDefault="001C7BF9">
            <w:pPr>
              <w:spacing w:before="0"/>
              <w:jc w:val="left"/>
            </w:pPr>
            <w:r w:rsidRPr="00C9680B">
              <w:t>12</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2000/01:Bo414</w:t>
            </w:r>
          </w:p>
        </w:tc>
        <w:tc>
          <w:tcPr>
            <w:tcW w:w="3629" w:type="dxa"/>
          </w:tcPr>
          <w:p w:rsidR="001C7BF9" w:rsidRPr="00C9680B" w:rsidRDefault="001C7BF9">
            <w:pPr>
              <w:spacing w:before="0"/>
              <w:jc w:val="left"/>
            </w:pPr>
            <w:r w:rsidRPr="00C9680B">
              <w:t>Bo Lundgren m.fl. (m)</w:t>
            </w:r>
          </w:p>
        </w:tc>
        <w:tc>
          <w:tcPr>
            <w:tcW w:w="1077" w:type="dxa"/>
          </w:tcPr>
          <w:p w:rsidR="001C7BF9" w:rsidRPr="00C9680B" w:rsidRDefault="001C7BF9">
            <w:pPr>
              <w:spacing w:before="0"/>
              <w:jc w:val="left"/>
            </w:pPr>
            <w:r w:rsidRPr="00C9680B">
              <w:t>11, 12, 14</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p>
        </w:tc>
        <w:tc>
          <w:tcPr>
            <w:tcW w:w="3629" w:type="dxa"/>
          </w:tcPr>
          <w:p w:rsidR="001C7BF9" w:rsidRPr="00C9680B" w:rsidRDefault="001C7BF9">
            <w:pPr>
              <w:spacing w:before="0"/>
              <w:rPr>
                <w:i/>
              </w:rPr>
            </w:pPr>
            <w:r w:rsidRPr="00C9680B">
              <w:rPr>
                <w:i/>
              </w:rPr>
              <w:t xml:space="preserve">Förmögenhetsbeskattning </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pStyle w:val="Deltagare"/>
              <w:keepLines w:val="0"/>
              <w:spacing w:before="0" w:line="250" w:lineRule="atLeast"/>
              <w:rPr>
                <w:noProof w:val="0"/>
              </w:rPr>
            </w:pPr>
            <w:r w:rsidRPr="00C9680B">
              <w:rPr>
                <w:noProof w:val="0"/>
              </w:rPr>
              <w:t>2000/01:Sk306</w:t>
            </w:r>
          </w:p>
        </w:tc>
        <w:tc>
          <w:tcPr>
            <w:tcW w:w="3629" w:type="dxa"/>
          </w:tcPr>
          <w:p w:rsidR="001C7BF9" w:rsidRPr="00C9680B" w:rsidRDefault="001C7BF9">
            <w:pPr>
              <w:spacing w:before="0"/>
              <w:jc w:val="left"/>
            </w:pPr>
            <w:r w:rsidRPr="00C9680B">
              <w:t>Marietta de Pourbaix-Lundin (m)</w:t>
            </w: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2000/01:Sk313</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7, 36–38</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2000/01:Sk321</w:t>
            </w:r>
          </w:p>
        </w:tc>
        <w:tc>
          <w:tcPr>
            <w:tcW w:w="3629" w:type="dxa"/>
          </w:tcPr>
          <w:p w:rsidR="001C7BF9" w:rsidRPr="00C9680B" w:rsidRDefault="001C7BF9">
            <w:pPr>
              <w:spacing w:before="0"/>
              <w:jc w:val="left"/>
            </w:pPr>
            <w:r w:rsidRPr="00C9680B">
              <w:t>Lennart Daléus m.fl. (c)</w:t>
            </w:r>
          </w:p>
        </w:tc>
        <w:tc>
          <w:tcPr>
            <w:tcW w:w="1077" w:type="dxa"/>
          </w:tcPr>
          <w:p w:rsidR="001C7BF9" w:rsidRPr="00C9680B" w:rsidRDefault="001C7BF9">
            <w:pPr>
              <w:spacing w:before="0"/>
              <w:jc w:val="left"/>
            </w:pPr>
            <w:r w:rsidRPr="00C9680B">
              <w:t>17</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2000/01:Sk322</w:t>
            </w:r>
          </w:p>
        </w:tc>
        <w:tc>
          <w:tcPr>
            <w:tcW w:w="3629" w:type="dxa"/>
          </w:tcPr>
          <w:p w:rsidR="001C7BF9" w:rsidRPr="00C9680B" w:rsidRDefault="001C7BF9">
            <w:pPr>
              <w:spacing w:before="0"/>
              <w:jc w:val="left"/>
            </w:pPr>
            <w:r w:rsidRPr="00C9680B">
              <w:t>Kenneth Lantz m.fl. (kd)</w:t>
            </w:r>
          </w:p>
        </w:tc>
        <w:tc>
          <w:tcPr>
            <w:tcW w:w="1077" w:type="dxa"/>
          </w:tcPr>
          <w:p w:rsidR="001C7BF9" w:rsidRPr="00C9680B" w:rsidRDefault="001C7BF9">
            <w:pPr>
              <w:spacing w:before="0"/>
              <w:jc w:val="left"/>
            </w:pPr>
            <w:r w:rsidRPr="00C9680B">
              <w:t>5</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2000/01:Sk323</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40–42</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2000/01:Sk324</w:t>
            </w:r>
          </w:p>
        </w:tc>
        <w:tc>
          <w:tcPr>
            <w:tcW w:w="3629" w:type="dxa"/>
          </w:tcPr>
          <w:p w:rsidR="001C7BF9" w:rsidRPr="00C9680B" w:rsidRDefault="001C7BF9">
            <w:pPr>
              <w:spacing w:before="0"/>
              <w:jc w:val="left"/>
            </w:pPr>
            <w:r w:rsidRPr="00C9680B">
              <w:t>Lars Leijonborg m.fl. (fp)</w:t>
            </w:r>
          </w:p>
        </w:tc>
        <w:tc>
          <w:tcPr>
            <w:tcW w:w="1077" w:type="dxa"/>
          </w:tcPr>
          <w:p w:rsidR="001C7BF9" w:rsidRPr="00C9680B" w:rsidRDefault="001C7BF9">
            <w:pPr>
              <w:spacing w:before="0"/>
              <w:jc w:val="left"/>
            </w:pPr>
            <w:r w:rsidRPr="00C9680B">
              <w:t>14</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2000/01:Sk621</w:t>
            </w:r>
          </w:p>
        </w:tc>
        <w:tc>
          <w:tcPr>
            <w:tcW w:w="3629" w:type="dxa"/>
          </w:tcPr>
          <w:p w:rsidR="001C7BF9" w:rsidRPr="00C9680B" w:rsidRDefault="001C7BF9">
            <w:pPr>
              <w:spacing w:before="0"/>
              <w:jc w:val="left"/>
            </w:pPr>
            <w:r w:rsidRPr="00C9680B">
              <w:t>Bo Lundgren m.fl. (m)</w:t>
            </w:r>
          </w:p>
        </w:tc>
        <w:tc>
          <w:tcPr>
            <w:tcW w:w="1077" w:type="dxa"/>
          </w:tcPr>
          <w:p w:rsidR="001C7BF9" w:rsidRPr="00C9680B" w:rsidRDefault="001C7BF9">
            <w:pPr>
              <w:spacing w:before="0"/>
              <w:jc w:val="left"/>
            </w:pPr>
            <w:r w:rsidRPr="00C9680B">
              <w:t>6</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r w:rsidRPr="00C9680B">
              <w:rPr>
                <w:i/>
              </w:rPr>
              <w:t xml:space="preserve">Punkt 5 m </w:t>
            </w:r>
          </w:p>
        </w:tc>
        <w:tc>
          <w:tcPr>
            <w:tcW w:w="3629" w:type="dxa"/>
          </w:tcPr>
          <w:p w:rsidR="001C7BF9" w:rsidRPr="00C9680B" w:rsidRDefault="001C7BF9">
            <w:pPr>
              <w:spacing w:before="0"/>
              <w:rPr>
                <w:i/>
              </w:rPr>
            </w:pPr>
            <w:r w:rsidRPr="00C9680B">
              <w:rPr>
                <w:i/>
              </w:rPr>
              <w:t>Mervärdesskatt på resor</w:t>
            </w:r>
          </w:p>
          <w:p w:rsidR="001C7BF9" w:rsidRPr="00C9680B" w:rsidRDefault="001C7BF9">
            <w:pPr>
              <w:spacing w:before="0"/>
              <w:rPr>
                <w:i/>
              </w:rPr>
            </w:pPr>
            <w:r w:rsidRPr="00C9680B">
              <w:rPr>
                <w:i/>
              </w:rPr>
              <w:t>(prop. 2000/01:1 punkt 40)</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2000/01:Sk313</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11</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2000/01:Sk318</w:t>
            </w:r>
          </w:p>
        </w:tc>
        <w:tc>
          <w:tcPr>
            <w:tcW w:w="3629" w:type="dxa"/>
          </w:tcPr>
          <w:p w:rsidR="001C7BF9" w:rsidRPr="00C9680B" w:rsidRDefault="001C7BF9">
            <w:pPr>
              <w:spacing w:before="0"/>
              <w:jc w:val="left"/>
            </w:pPr>
            <w:r w:rsidRPr="00C9680B">
              <w:t>Jarl Lander och Hans Stenberg (s)</w:t>
            </w: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p>
        </w:tc>
        <w:tc>
          <w:tcPr>
            <w:tcW w:w="3629" w:type="dxa"/>
          </w:tcPr>
          <w:p w:rsidR="001C7BF9" w:rsidRPr="00C9680B" w:rsidRDefault="001C7BF9">
            <w:pPr>
              <w:spacing w:before="0"/>
              <w:jc w:val="left"/>
              <w:rPr>
                <w:i/>
              </w:rPr>
            </w:pPr>
            <w:r w:rsidRPr="00C9680B">
              <w:rPr>
                <w:i/>
              </w:rPr>
              <w:t xml:space="preserve">Mervärdesskatt på böcker, tidningar och kultur  </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2000/01:Sk303</w:t>
            </w:r>
          </w:p>
        </w:tc>
        <w:tc>
          <w:tcPr>
            <w:tcW w:w="3629" w:type="dxa"/>
          </w:tcPr>
          <w:p w:rsidR="001C7BF9" w:rsidRPr="00C9680B" w:rsidRDefault="001C7BF9">
            <w:pPr>
              <w:spacing w:before="0"/>
              <w:jc w:val="left"/>
            </w:pPr>
            <w:r w:rsidRPr="00C9680B">
              <w:t>Margareta Cederfelt (m)</w:t>
            </w: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pStyle w:val="Deltagare"/>
              <w:keepLines w:val="0"/>
              <w:spacing w:before="0" w:line="250" w:lineRule="atLeast"/>
              <w:rPr>
                <w:noProof w:val="0"/>
              </w:rPr>
            </w:pPr>
            <w:r w:rsidRPr="00C9680B">
              <w:rPr>
                <w:noProof w:val="0"/>
              </w:rPr>
              <w:t>2000/01:Sk313</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41, 42</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2000/01:Sk324</w:t>
            </w:r>
          </w:p>
        </w:tc>
        <w:tc>
          <w:tcPr>
            <w:tcW w:w="3629" w:type="dxa"/>
          </w:tcPr>
          <w:p w:rsidR="001C7BF9" w:rsidRPr="00C9680B" w:rsidRDefault="001C7BF9">
            <w:pPr>
              <w:spacing w:before="0"/>
              <w:jc w:val="left"/>
            </w:pPr>
            <w:r w:rsidRPr="00C9680B">
              <w:t>Lars Leijonborg m.fl. (fp)</w:t>
            </w:r>
          </w:p>
        </w:tc>
        <w:tc>
          <w:tcPr>
            <w:tcW w:w="1077" w:type="dxa"/>
          </w:tcPr>
          <w:p w:rsidR="001C7BF9" w:rsidRPr="00C9680B" w:rsidRDefault="001C7BF9">
            <w:pPr>
              <w:spacing w:before="0"/>
              <w:jc w:val="left"/>
            </w:pPr>
            <w:r w:rsidRPr="00C9680B">
              <w:t>22</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2000/01:Ub227</w:t>
            </w:r>
          </w:p>
        </w:tc>
        <w:tc>
          <w:tcPr>
            <w:tcW w:w="3629" w:type="dxa"/>
          </w:tcPr>
          <w:p w:rsidR="001C7BF9" w:rsidRPr="00C9680B" w:rsidRDefault="001C7BF9">
            <w:pPr>
              <w:spacing w:before="0"/>
              <w:jc w:val="left"/>
            </w:pPr>
            <w:r w:rsidRPr="00C9680B">
              <w:t>Lars Leijonborg m.fl. (fp)</w:t>
            </w:r>
          </w:p>
        </w:tc>
        <w:tc>
          <w:tcPr>
            <w:tcW w:w="1077" w:type="dxa"/>
          </w:tcPr>
          <w:p w:rsidR="001C7BF9" w:rsidRPr="00C9680B" w:rsidRDefault="001C7BF9">
            <w:pPr>
              <w:spacing w:before="0"/>
              <w:jc w:val="left"/>
            </w:pPr>
            <w:r w:rsidRPr="00C9680B">
              <w:t>7</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r w:rsidRPr="00C9680B">
              <w:rPr>
                <w:i/>
              </w:rPr>
              <w:t xml:space="preserve">Punkt 5 n </w:t>
            </w:r>
          </w:p>
        </w:tc>
        <w:tc>
          <w:tcPr>
            <w:tcW w:w="3629" w:type="dxa"/>
          </w:tcPr>
          <w:p w:rsidR="001C7BF9" w:rsidRPr="00C9680B" w:rsidRDefault="001C7BF9">
            <w:pPr>
              <w:spacing w:before="0"/>
              <w:rPr>
                <w:i/>
              </w:rPr>
            </w:pPr>
            <w:r w:rsidRPr="00C9680B">
              <w:rPr>
                <w:i/>
              </w:rPr>
              <w:t xml:space="preserve">Skatt på alkohol och tobak </w:t>
            </w:r>
          </w:p>
          <w:p w:rsidR="001C7BF9" w:rsidRPr="00C9680B" w:rsidRDefault="001C7BF9">
            <w:pPr>
              <w:spacing w:before="0"/>
              <w:rPr>
                <w:i/>
              </w:rPr>
            </w:pPr>
            <w:r w:rsidRPr="00C9680B">
              <w:rPr>
                <w:i/>
              </w:rPr>
              <w:t>(prop. 2000/01:1 punkterna 37 och 38)</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pStyle w:val="Deltagare"/>
              <w:keepLines w:val="0"/>
              <w:spacing w:before="0" w:line="250" w:lineRule="atLeast"/>
              <w:rPr>
                <w:noProof w:val="0"/>
              </w:rPr>
            </w:pPr>
            <w:r w:rsidRPr="00C9680B">
              <w:rPr>
                <w:noProof w:val="0"/>
              </w:rPr>
              <w:t>2000/01:Sk313</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9, 10</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2000/01:Sk1028</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13–15</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bl>
    <w:p w:rsidR="001C7BF9" w:rsidRPr="00C9680B" w:rsidRDefault="001C7BF9">
      <w:r w:rsidRPr="00C9680B">
        <w:br w:type="page"/>
      </w:r>
    </w:p>
    <w:tbl>
      <w:tblPr>
        <w:tblW w:w="0" w:type="auto"/>
        <w:tblInd w:w="-70" w:type="dxa"/>
        <w:tblLayout w:type="fixed"/>
        <w:tblCellMar>
          <w:left w:w="70" w:type="dxa"/>
          <w:right w:w="70" w:type="dxa"/>
        </w:tblCellMar>
        <w:tblLook w:val="0000" w:firstRow="0" w:lastRow="0" w:firstColumn="0" w:lastColumn="0" w:noHBand="0" w:noVBand="0"/>
      </w:tblPr>
      <w:tblGrid>
        <w:gridCol w:w="1418"/>
        <w:gridCol w:w="3629"/>
        <w:gridCol w:w="1077"/>
      </w:tblGrid>
      <w:tr w:rsidR="00000000" w:rsidRPr="00C9680B">
        <w:tblPrEx>
          <w:tblCellMar>
            <w:top w:w="0" w:type="dxa"/>
            <w:bottom w:w="0" w:type="dxa"/>
          </w:tblCellMar>
        </w:tblPrEx>
        <w:tc>
          <w:tcPr>
            <w:tcW w:w="1418" w:type="dxa"/>
            <w:tcBorders>
              <w:top w:val="single" w:sz="4" w:space="0" w:color="auto"/>
            </w:tcBorders>
          </w:tcPr>
          <w:p w:rsidR="001C7BF9" w:rsidRPr="00C9680B" w:rsidRDefault="001C7BF9">
            <w:pPr>
              <w:spacing w:before="0"/>
            </w:pPr>
            <w:r w:rsidRPr="00C9680B">
              <w:t>Motion</w:t>
            </w:r>
          </w:p>
        </w:tc>
        <w:tc>
          <w:tcPr>
            <w:tcW w:w="3629" w:type="dxa"/>
            <w:tcBorders>
              <w:top w:val="single" w:sz="4" w:space="0" w:color="auto"/>
            </w:tcBorders>
          </w:tcPr>
          <w:p w:rsidR="001C7BF9" w:rsidRPr="00C9680B" w:rsidRDefault="001C7BF9">
            <w:pPr>
              <w:spacing w:before="0"/>
              <w:jc w:val="left"/>
            </w:pPr>
            <w:r w:rsidRPr="00C9680B">
              <w:t>Motionärer</w:t>
            </w:r>
          </w:p>
        </w:tc>
        <w:tc>
          <w:tcPr>
            <w:tcW w:w="1077" w:type="dxa"/>
            <w:tcBorders>
              <w:top w:val="single" w:sz="4" w:space="0" w:color="auto"/>
            </w:tcBorders>
          </w:tcPr>
          <w:p w:rsidR="001C7BF9" w:rsidRPr="00C9680B" w:rsidRDefault="001C7BF9">
            <w:pPr>
              <w:spacing w:before="0"/>
              <w:jc w:val="left"/>
            </w:pPr>
            <w:r w:rsidRPr="00C9680B">
              <w:t>Yrkanden</w:t>
            </w:r>
          </w:p>
        </w:tc>
      </w:tr>
      <w:tr w:rsidR="00000000" w:rsidRPr="00C9680B">
        <w:tblPrEx>
          <w:tblCellMar>
            <w:top w:w="0" w:type="dxa"/>
            <w:bottom w:w="0" w:type="dxa"/>
          </w:tblCellMar>
        </w:tblPrEx>
        <w:tc>
          <w:tcPr>
            <w:tcW w:w="1418" w:type="dxa"/>
            <w:tcBorders>
              <w:top w:val="single" w:sz="4" w:space="0" w:color="auto"/>
            </w:tcBorders>
          </w:tcPr>
          <w:p w:rsidR="001C7BF9" w:rsidRPr="00C9680B" w:rsidRDefault="001C7BF9">
            <w:pPr>
              <w:spacing w:before="0"/>
            </w:pPr>
          </w:p>
        </w:tc>
        <w:tc>
          <w:tcPr>
            <w:tcW w:w="3629" w:type="dxa"/>
            <w:tcBorders>
              <w:top w:val="single" w:sz="4" w:space="0" w:color="auto"/>
            </w:tcBorders>
          </w:tcPr>
          <w:p w:rsidR="001C7BF9" w:rsidRPr="00C9680B" w:rsidRDefault="001C7BF9">
            <w:pPr>
              <w:spacing w:before="0"/>
              <w:jc w:val="left"/>
            </w:pPr>
          </w:p>
        </w:tc>
        <w:tc>
          <w:tcPr>
            <w:tcW w:w="1077" w:type="dxa"/>
            <w:tcBorders>
              <w:top w:val="single" w:sz="4" w:space="0" w:color="auto"/>
            </w:tcBorders>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r w:rsidRPr="00C9680B">
              <w:rPr>
                <w:i/>
              </w:rPr>
              <w:t xml:space="preserve">Punkt 5 o </w:t>
            </w:r>
          </w:p>
        </w:tc>
        <w:tc>
          <w:tcPr>
            <w:tcW w:w="3629" w:type="dxa"/>
          </w:tcPr>
          <w:p w:rsidR="001C7BF9" w:rsidRPr="00C9680B" w:rsidRDefault="001C7BF9">
            <w:pPr>
              <w:spacing w:before="0"/>
              <w:jc w:val="left"/>
              <w:rPr>
                <w:i/>
              </w:rPr>
            </w:pPr>
            <w:r w:rsidRPr="00C9680B">
              <w:rPr>
                <w:i/>
              </w:rPr>
              <w:t>Förskjutning av skatteuttaget från energi</w:t>
            </w:r>
            <w:r w:rsidRPr="00C9680B">
              <w:rPr>
                <w:i/>
              </w:rPr>
              <w:softHyphen/>
            </w:r>
            <w:r w:rsidRPr="00C9680B">
              <w:rPr>
                <w:i/>
              </w:rPr>
              <w:softHyphen/>
              <w:t xml:space="preserve">-skatt till koldioxidskatt </w:t>
            </w:r>
          </w:p>
          <w:p w:rsidR="001C7BF9" w:rsidRPr="00C9680B" w:rsidRDefault="001C7BF9">
            <w:pPr>
              <w:spacing w:before="0"/>
              <w:jc w:val="left"/>
              <w:rPr>
                <w:i/>
              </w:rPr>
            </w:pPr>
            <w:r w:rsidRPr="00C9680B">
              <w:rPr>
                <w:i/>
              </w:rPr>
              <w:t>(prop. 2000/01:1 punkt 34)</w:t>
            </w:r>
          </w:p>
        </w:tc>
        <w:tc>
          <w:tcPr>
            <w:tcW w:w="1077" w:type="dxa"/>
          </w:tcPr>
          <w:p w:rsidR="001C7BF9" w:rsidRPr="00C9680B" w:rsidRDefault="001C7BF9">
            <w:pPr>
              <w:spacing w:before="0"/>
              <w:jc w:val="left"/>
              <w:rPr>
                <w:i/>
              </w:rPr>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2000/01:Sk313</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8 delvis, 26</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2000/01:Sk1028</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3 delvis</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r w:rsidRPr="00C9680B">
              <w:rPr>
                <w:i/>
              </w:rPr>
              <w:t xml:space="preserve">Punkt 5 p </w:t>
            </w:r>
          </w:p>
        </w:tc>
        <w:tc>
          <w:tcPr>
            <w:tcW w:w="3629" w:type="dxa"/>
          </w:tcPr>
          <w:p w:rsidR="001C7BF9" w:rsidRPr="00C9680B" w:rsidRDefault="001C7BF9">
            <w:pPr>
              <w:spacing w:before="0"/>
              <w:rPr>
                <w:i/>
              </w:rPr>
            </w:pPr>
            <w:r w:rsidRPr="00C9680B">
              <w:rPr>
                <w:i/>
              </w:rPr>
              <w:t xml:space="preserve">Höjd koldioxidskatt </w:t>
            </w:r>
          </w:p>
          <w:p w:rsidR="001C7BF9" w:rsidRPr="00C9680B" w:rsidRDefault="001C7BF9">
            <w:pPr>
              <w:spacing w:before="0"/>
              <w:rPr>
                <w:i/>
              </w:rPr>
            </w:pPr>
            <w:r w:rsidRPr="00C9680B">
              <w:rPr>
                <w:i/>
              </w:rPr>
              <w:t>(prop. 2000/01:1 punkt 34)</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pStyle w:val="Deltagare"/>
              <w:keepLines w:val="0"/>
              <w:spacing w:before="0" w:line="250" w:lineRule="atLeast"/>
              <w:rPr>
                <w:noProof w:val="0"/>
              </w:rPr>
            </w:pPr>
            <w:r w:rsidRPr="00C9680B">
              <w:rPr>
                <w:noProof w:val="0"/>
              </w:rPr>
              <w:t>2000/01:Sk313</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8, 23, båda de</w:t>
            </w:r>
            <w:r w:rsidRPr="00C9680B">
              <w:t>l</w:t>
            </w:r>
            <w:r w:rsidRPr="00C9680B">
              <w:t>vis</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2000/01:Sk321</w:t>
            </w:r>
          </w:p>
        </w:tc>
        <w:tc>
          <w:tcPr>
            <w:tcW w:w="3629" w:type="dxa"/>
          </w:tcPr>
          <w:p w:rsidR="001C7BF9" w:rsidRPr="00C9680B" w:rsidRDefault="001C7BF9">
            <w:pPr>
              <w:spacing w:before="0"/>
              <w:jc w:val="left"/>
            </w:pPr>
            <w:r w:rsidRPr="00C9680B">
              <w:t>Lennart Daléus m.fl. (c)</w:t>
            </w:r>
          </w:p>
        </w:tc>
        <w:tc>
          <w:tcPr>
            <w:tcW w:w="1077" w:type="dxa"/>
          </w:tcPr>
          <w:p w:rsidR="001C7BF9" w:rsidRPr="00C9680B" w:rsidRDefault="001C7BF9">
            <w:pPr>
              <w:spacing w:before="0"/>
              <w:jc w:val="left"/>
            </w:pPr>
            <w:r w:rsidRPr="00C9680B">
              <w:t>27, 28</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2000/01:Sk1028</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3, 4, båda delvis</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pStyle w:val="Reservantfrslag"/>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r w:rsidRPr="00C9680B">
              <w:rPr>
                <w:i/>
              </w:rPr>
              <w:t xml:space="preserve">Punkt 5 q </w:t>
            </w:r>
          </w:p>
        </w:tc>
        <w:tc>
          <w:tcPr>
            <w:tcW w:w="3629" w:type="dxa"/>
          </w:tcPr>
          <w:p w:rsidR="001C7BF9" w:rsidRPr="00C9680B" w:rsidRDefault="001C7BF9">
            <w:pPr>
              <w:spacing w:before="0"/>
              <w:rPr>
                <w:i/>
              </w:rPr>
            </w:pPr>
            <w:r w:rsidRPr="00C9680B">
              <w:rPr>
                <w:i/>
              </w:rPr>
              <w:t>Höjd energiskatt på el</w:t>
            </w:r>
          </w:p>
          <w:p w:rsidR="001C7BF9" w:rsidRPr="00C9680B" w:rsidRDefault="001C7BF9">
            <w:pPr>
              <w:spacing w:before="0"/>
              <w:rPr>
                <w:i/>
              </w:rPr>
            </w:pPr>
            <w:r w:rsidRPr="00C9680B">
              <w:rPr>
                <w:i/>
              </w:rPr>
              <w:t>(prop. 2000/01:1 punkt 34)</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2000/01:Sk313</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8, 23, båda de</w:t>
            </w:r>
            <w:r w:rsidRPr="00C9680B">
              <w:t>l</w:t>
            </w:r>
            <w:r w:rsidRPr="00C9680B">
              <w:t xml:space="preserve">vis </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2000/01:Sk323</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49</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2000/01:Sk1028</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3, 4, båda delvis</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p>
        </w:tc>
        <w:tc>
          <w:tcPr>
            <w:tcW w:w="3629" w:type="dxa"/>
          </w:tcPr>
          <w:p w:rsidR="001C7BF9" w:rsidRPr="00C9680B" w:rsidRDefault="001C7BF9">
            <w:pPr>
              <w:spacing w:before="0"/>
              <w:rPr>
                <w:i/>
              </w:rPr>
            </w:pPr>
            <w:r w:rsidRPr="00C9680B">
              <w:rPr>
                <w:i/>
              </w:rPr>
              <w:t>Vissa miljöskatter</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pStyle w:val="Deltagare"/>
              <w:keepLines w:val="0"/>
              <w:spacing w:before="0" w:line="250" w:lineRule="atLeast"/>
              <w:rPr>
                <w:noProof w:val="0"/>
              </w:rPr>
            </w:pPr>
            <w:r w:rsidRPr="00C9680B">
              <w:rPr>
                <w:noProof w:val="0"/>
              </w:rPr>
              <w:t>2000/01:Sk321</w:t>
            </w:r>
          </w:p>
        </w:tc>
        <w:tc>
          <w:tcPr>
            <w:tcW w:w="3629" w:type="dxa"/>
          </w:tcPr>
          <w:p w:rsidR="001C7BF9" w:rsidRPr="00C9680B" w:rsidRDefault="001C7BF9">
            <w:pPr>
              <w:spacing w:before="0"/>
              <w:jc w:val="left"/>
            </w:pPr>
            <w:r w:rsidRPr="00C9680B">
              <w:t xml:space="preserve">Lennart Daléus m.fl. (c) </w:t>
            </w:r>
          </w:p>
        </w:tc>
        <w:tc>
          <w:tcPr>
            <w:tcW w:w="1077" w:type="dxa"/>
          </w:tcPr>
          <w:p w:rsidR="001C7BF9" w:rsidRPr="00C9680B" w:rsidRDefault="001C7BF9">
            <w:pPr>
              <w:spacing w:before="0"/>
              <w:jc w:val="left"/>
            </w:pPr>
            <w:r w:rsidRPr="00C9680B">
              <w:t>29–31</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r w:rsidRPr="00C9680B">
              <w:rPr>
                <w:i/>
              </w:rPr>
              <w:t xml:space="preserve">Punkt 5 r </w:t>
            </w:r>
          </w:p>
        </w:tc>
        <w:tc>
          <w:tcPr>
            <w:tcW w:w="3629" w:type="dxa"/>
          </w:tcPr>
          <w:p w:rsidR="001C7BF9" w:rsidRPr="00C9680B" w:rsidRDefault="001C7BF9">
            <w:pPr>
              <w:spacing w:before="0"/>
              <w:rPr>
                <w:i/>
              </w:rPr>
            </w:pPr>
            <w:r w:rsidRPr="00C9680B">
              <w:rPr>
                <w:i/>
              </w:rPr>
              <w:t xml:space="preserve">Beskattning av drivmedel </w:t>
            </w:r>
          </w:p>
          <w:p w:rsidR="001C7BF9" w:rsidRPr="00C9680B" w:rsidRDefault="001C7BF9">
            <w:pPr>
              <w:spacing w:before="0"/>
              <w:rPr>
                <w:i/>
              </w:rPr>
            </w:pPr>
            <w:r w:rsidRPr="00C9680B">
              <w:rPr>
                <w:i/>
              </w:rPr>
              <w:t>(prop. 2000/01:1 punkt 34)</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pStyle w:val="Deltagare"/>
              <w:keepLines w:val="0"/>
              <w:spacing w:before="0" w:line="250" w:lineRule="atLeast"/>
              <w:rPr>
                <w:noProof w:val="0"/>
              </w:rPr>
            </w:pPr>
            <w:r w:rsidRPr="00C9680B">
              <w:rPr>
                <w:noProof w:val="0"/>
              </w:rPr>
              <w:t>2000/01:Sk301</w:t>
            </w:r>
          </w:p>
        </w:tc>
        <w:tc>
          <w:tcPr>
            <w:tcW w:w="3629" w:type="dxa"/>
          </w:tcPr>
          <w:p w:rsidR="001C7BF9" w:rsidRPr="00C9680B" w:rsidRDefault="001C7BF9">
            <w:pPr>
              <w:spacing w:before="0"/>
              <w:jc w:val="left"/>
            </w:pPr>
            <w:r w:rsidRPr="00C9680B">
              <w:t>Rolf Gunnarsson (m)</w:t>
            </w: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2000/01:Sk302</w:t>
            </w:r>
          </w:p>
        </w:tc>
        <w:tc>
          <w:tcPr>
            <w:tcW w:w="3629" w:type="dxa"/>
          </w:tcPr>
          <w:p w:rsidR="001C7BF9" w:rsidRPr="00C9680B" w:rsidRDefault="001C7BF9">
            <w:pPr>
              <w:spacing w:before="0"/>
              <w:jc w:val="left"/>
            </w:pPr>
            <w:r w:rsidRPr="00C9680B">
              <w:t>Rolf Gunnarsson (m)</w:t>
            </w: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2000/01:Sk304</w:t>
            </w:r>
          </w:p>
        </w:tc>
        <w:tc>
          <w:tcPr>
            <w:tcW w:w="3629" w:type="dxa"/>
          </w:tcPr>
          <w:p w:rsidR="001C7BF9" w:rsidRPr="00C9680B" w:rsidRDefault="001C7BF9">
            <w:pPr>
              <w:spacing w:before="0"/>
              <w:jc w:val="left"/>
            </w:pPr>
            <w:r w:rsidRPr="00C9680B">
              <w:t>Stefan Hagfeldt (m)</w:t>
            </w: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2000/01:Sk305</w:t>
            </w:r>
          </w:p>
        </w:tc>
        <w:tc>
          <w:tcPr>
            <w:tcW w:w="3629" w:type="dxa"/>
          </w:tcPr>
          <w:p w:rsidR="001C7BF9" w:rsidRPr="00C9680B" w:rsidRDefault="001C7BF9">
            <w:pPr>
              <w:spacing w:before="0"/>
              <w:jc w:val="left"/>
            </w:pPr>
            <w:r w:rsidRPr="00C9680B">
              <w:t>Catharina Elmsäter-Svärd och Margareta Cederfelt (m)</w:t>
            </w: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2000/01:Sk307</w:t>
            </w:r>
          </w:p>
        </w:tc>
        <w:tc>
          <w:tcPr>
            <w:tcW w:w="3629" w:type="dxa"/>
          </w:tcPr>
          <w:p w:rsidR="001C7BF9" w:rsidRPr="00C9680B" w:rsidRDefault="001C7BF9">
            <w:pPr>
              <w:spacing w:before="0"/>
              <w:jc w:val="left"/>
            </w:pPr>
            <w:r w:rsidRPr="00C9680B">
              <w:t>Elizabeth Nyström och Anita Sidén (m)</w:t>
            </w: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2000/01:Sk311</w:t>
            </w:r>
          </w:p>
        </w:tc>
        <w:tc>
          <w:tcPr>
            <w:tcW w:w="3629" w:type="dxa"/>
          </w:tcPr>
          <w:p w:rsidR="001C7BF9" w:rsidRPr="00C9680B" w:rsidRDefault="001C7BF9">
            <w:pPr>
              <w:spacing w:before="0"/>
              <w:jc w:val="left"/>
            </w:pPr>
            <w:r w:rsidRPr="00C9680B">
              <w:t>Nils Fredrik Aurelius och Leif Carlson (m)</w:t>
            </w:r>
          </w:p>
        </w:tc>
        <w:tc>
          <w:tcPr>
            <w:tcW w:w="1077" w:type="dxa"/>
          </w:tcPr>
          <w:p w:rsidR="001C7BF9" w:rsidRPr="00C9680B" w:rsidRDefault="001C7BF9">
            <w:pPr>
              <w:spacing w:before="0"/>
              <w:jc w:val="left"/>
            </w:pPr>
            <w:r w:rsidRPr="00C9680B">
              <w:t>1</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2000/01:Sk312</w:t>
            </w:r>
          </w:p>
        </w:tc>
        <w:tc>
          <w:tcPr>
            <w:tcW w:w="3629" w:type="dxa"/>
          </w:tcPr>
          <w:p w:rsidR="001C7BF9" w:rsidRPr="00C9680B" w:rsidRDefault="001C7BF9">
            <w:pPr>
              <w:spacing w:before="0"/>
              <w:jc w:val="left"/>
            </w:pPr>
            <w:r w:rsidRPr="00C9680B">
              <w:t>Berit Adolfsson och Inger René (m)</w:t>
            </w:r>
          </w:p>
        </w:tc>
        <w:tc>
          <w:tcPr>
            <w:tcW w:w="1077" w:type="dxa"/>
          </w:tcPr>
          <w:p w:rsidR="001C7BF9" w:rsidRPr="00C9680B" w:rsidRDefault="001C7BF9">
            <w:pPr>
              <w:spacing w:before="0"/>
              <w:jc w:val="left"/>
            </w:pPr>
            <w:r w:rsidRPr="00C9680B">
              <w:t>1, 2</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2000/01:Sk313</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24</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2000/01:Sk315</w:t>
            </w:r>
          </w:p>
        </w:tc>
        <w:tc>
          <w:tcPr>
            <w:tcW w:w="3629" w:type="dxa"/>
          </w:tcPr>
          <w:p w:rsidR="001C7BF9" w:rsidRPr="00C9680B" w:rsidRDefault="001C7BF9">
            <w:pPr>
              <w:spacing w:before="0"/>
              <w:jc w:val="left"/>
            </w:pPr>
            <w:r w:rsidRPr="00C9680B">
              <w:t>Roy Hansson (m)</w:t>
            </w: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2000/01:Sk317</w:t>
            </w:r>
          </w:p>
        </w:tc>
        <w:tc>
          <w:tcPr>
            <w:tcW w:w="3629" w:type="dxa"/>
          </w:tcPr>
          <w:p w:rsidR="001C7BF9" w:rsidRPr="00C9680B" w:rsidRDefault="001C7BF9">
            <w:pPr>
              <w:spacing w:before="0"/>
              <w:jc w:val="left"/>
            </w:pPr>
            <w:r w:rsidRPr="00C9680B">
              <w:t>Jeppe Johnsson och Anders G Hö</w:t>
            </w:r>
            <w:r w:rsidRPr="00C9680B">
              <w:t>g</w:t>
            </w:r>
            <w:r w:rsidRPr="00C9680B">
              <w:t>mark (m)</w:t>
            </w: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2000/01:Sk320</w:t>
            </w:r>
          </w:p>
        </w:tc>
        <w:tc>
          <w:tcPr>
            <w:tcW w:w="3629" w:type="dxa"/>
          </w:tcPr>
          <w:p w:rsidR="001C7BF9" w:rsidRPr="00C9680B" w:rsidRDefault="001C7BF9">
            <w:pPr>
              <w:spacing w:before="0"/>
              <w:jc w:val="left"/>
            </w:pPr>
            <w:r w:rsidRPr="00C9680B">
              <w:t>Olle Lindström och Anders Sjölund (m)</w:t>
            </w:r>
          </w:p>
        </w:tc>
        <w:tc>
          <w:tcPr>
            <w:tcW w:w="1077" w:type="dxa"/>
          </w:tcPr>
          <w:p w:rsidR="001C7BF9" w:rsidRPr="00C9680B" w:rsidRDefault="001C7BF9">
            <w:pPr>
              <w:spacing w:before="0"/>
              <w:jc w:val="left"/>
            </w:pPr>
            <w:r w:rsidRPr="00C9680B">
              <w:t>1, 2</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2000/01:Sk321</w:t>
            </w:r>
          </w:p>
        </w:tc>
        <w:tc>
          <w:tcPr>
            <w:tcW w:w="3629" w:type="dxa"/>
          </w:tcPr>
          <w:p w:rsidR="001C7BF9" w:rsidRPr="00C9680B" w:rsidRDefault="001C7BF9">
            <w:pPr>
              <w:spacing w:before="0"/>
              <w:jc w:val="left"/>
            </w:pPr>
            <w:r w:rsidRPr="00C9680B">
              <w:t>Lennart Daléus m.fl. (c)</w:t>
            </w:r>
          </w:p>
        </w:tc>
        <w:tc>
          <w:tcPr>
            <w:tcW w:w="1077" w:type="dxa"/>
          </w:tcPr>
          <w:p w:rsidR="001C7BF9" w:rsidRPr="00C9680B" w:rsidRDefault="001C7BF9">
            <w:pPr>
              <w:spacing w:before="0"/>
              <w:jc w:val="left"/>
            </w:pPr>
            <w:r w:rsidRPr="00C9680B">
              <w:t>22</w:t>
            </w:r>
          </w:p>
        </w:tc>
      </w:tr>
    </w:tbl>
    <w:p w:rsidR="001C7BF9" w:rsidRPr="00C9680B" w:rsidRDefault="001C7BF9">
      <w:r w:rsidRPr="00C9680B">
        <w:br w:type="page"/>
      </w:r>
    </w:p>
    <w:tbl>
      <w:tblPr>
        <w:tblW w:w="0" w:type="auto"/>
        <w:tblInd w:w="-70" w:type="dxa"/>
        <w:tblLayout w:type="fixed"/>
        <w:tblCellMar>
          <w:left w:w="70" w:type="dxa"/>
          <w:right w:w="70" w:type="dxa"/>
        </w:tblCellMar>
        <w:tblLook w:val="0000" w:firstRow="0" w:lastRow="0" w:firstColumn="0" w:lastColumn="0" w:noHBand="0" w:noVBand="0"/>
      </w:tblPr>
      <w:tblGrid>
        <w:gridCol w:w="1418"/>
        <w:gridCol w:w="3629"/>
        <w:gridCol w:w="1077"/>
      </w:tblGrid>
      <w:tr w:rsidR="00000000" w:rsidRPr="00C9680B">
        <w:tblPrEx>
          <w:tblCellMar>
            <w:top w:w="0" w:type="dxa"/>
            <w:bottom w:w="0" w:type="dxa"/>
          </w:tblCellMar>
        </w:tblPrEx>
        <w:tc>
          <w:tcPr>
            <w:tcW w:w="1418" w:type="dxa"/>
            <w:tcBorders>
              <w:top w:val="single" w:sz="4" w:space="0" w:color="auto"/>
            </w:tcBorders>
          </w:tcPr>
          <w:p w:rsidR="001C7BF9" w:rsidRPr="00C9680B" w:rsidRDefault="001C7BF9">
            <w:pPr>
              <w:spacing w:before="0"/>
            </w:pPr>
            <w:r w:rsidRPr="00C9680B">
              <w:t>Motion</w:t>
            </w:r>
          </w:p>
        </w:tc>
        <w:tc>
          <w:tcPr>
            <w:tcW w:w="3629" w:type="dxa"/>
            <w:tcBorders>
              <w:top w:val="single" w:sz="4" w:space="0" w:color="auto"/>
            </w:tcBorders>
          </w:tcPr>
          <w:p w:rsidR="001C7BF9" w:rsidRPr="00C9680B" w:rsidRDefault="001C7BF9">
            <w:pPr>
              <w:spacing w:before="0"/>
              <w:jc w:val="left"/>
            </w:pPr>
            <w:r w:rsidRPr="00C9680B">
              <w:t>Motionärer</w:t>
            </w:r>
          </w:p>
        </w:tc>
        <w:tc>
          <w:tcPr>
            <w:tcW w:w="1077" w:type="dxa"/>
            <w:tcBorders>
              <w:top w:val="single" w:sz="4" w:space="0" w:color="auto"/>
            </w:tcBorders>
          </w:tcPr>
          <w:p w:rsidR="001C7BF9" w:rsidRPr="00C9680B" w:rsidRDefault="001C7BF9">
            <w:pPr>
              <w:spacing w:before="0"/>
              <w:jc w:val="left"/>
            </w:pPr>
            <w:r w:rsidRPr="00C9680B">
              <w:t>Yrkanden</w:t>
            </w:r>
          </w:p>
        </w:tc>
      </w:tr>
      <w:tr w:rsidR="00000000" w:rsidRPr="00C9680B">
        <w:tblPrEx>
          <w:tblCellMar>
            <w:top w:w="0" w:type="dxa"/>
            <w:bottom w:w="0" w:type="dxa"/>
          </w:tblCellMar>
        </w:tblPrEx>
        <w:tc>
          <w:tcPr>
            <w:tcW w:w="1418" w:type="dxa"/>
            <w:tcBorders>
              <w:top w:val="single" w:sz="4" w:space="0" w:color="auto"/>
            </w:tcBorders>
          </w:tcPr>
          <w:p w:rsidR="001C7BF9" w:rsidRPr="00C9680B" w:rsidRDefault="001C7BF9">
            <w:pPr>
              <w:spacing w:before="0"/>
            </w:pPr>
          </w:p>
        </w:tc>
        <w:tc>
          <w:tcPr>
            <w:tcW w:w="3629" w:type="dxa"/>
            <w:tcBorders>
              <w:top w:val="single" w:sz="4" w:space="0" w:color="auto"/>
            </w:tcBorders>
          </w:tcPr>
          <w:p w:rsidR="001C7BF9" w:rsidRPr="00C9680B" w:rsidRDefault="001C7BF9">
            <w:pPr>
              <w:spacing w:before="0"/>
              <w:jc w:val="left"/>
            </w:pPr>
          </w:p>
        </w:tc>
        <w:tc>
          <w:tcPr>
            <w:tcW w:w="1077" w:type="dxa"/>
            <w:tcBorders>
              <w:top w:val="single" w:sz="4" w:space="0" w:color="auto"/>
            </w:tcBorders>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2000/01:Sk323</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31–33</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2000/01:Sk620</w:t>
            </w:r>
          </w:p>
        </w:tc>
        <w:tc>
          <w:tcPr>
            <w:tcW w:w="3629" w:type="dxa"/>
          </w:tcPr>
          <w:p w:rsidR="001C7BF9" w:rsidRPr="00C9680B" w:rsidRDefault="001C7BF9">
            <w:pPr>
              <w:spacing w:before="0"/>
              <w:jc w:val="left"/>
            </w:pPr>
            <w:r w:rsidRPr="00C9680B">
              <w:t>Ingvar Eriksson och Olle Lindström (m)</w:t>
            </w:r>
          </w:p>
        </w:tc>
        <w:tc>
          <w:tcPr>
            <w:tcW w:w="1077" w:type="dxa"/>
          </w:tcPr>
          <w:p w:rsidR="001C7BF9" w:rsidRPr="00C9680B" w:rsidRDefault="001C7BF9">
            <w:pPr>
              <w:spacing w:before="0"/>
              <w:jc w:val="left"/>
            </w:pPr>
            <w:r w:rsidRPr="00C9680B">
              <w:t>4</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2000/01:Sk1025</w:t>
            </w:r>
          </w:p>
        </w:tc>
        <w:tc>
          <w:tcPr>
            <w:tcW w:w="3629" w:type="dxa"/>
          </w:tcPr>
          <w:p w:rsidR="001C7BF9" w:rsidRPr="00C9680B" w:rsidRDefault="001C7BF9">
            <w:pPr>
              <w:spacing w:before="0"/>
              <w:jc w:val="left"/>
            </w:pPr>
            <w:r w:rsidRPr="00C9680B">
              <w:t>Catharina Elmsäter-Svärd m.fl. (m)</w:t>
            </w:r>
          </w:p>
        </w:tc>
        <w:tc>
          <w:tcPr>
            <w:tcW w:w="1077" w:type="dxa"/>
          </w:tcPr>
          <w:p w:rsidR="001C7BF9" w:rsidRPr="00C9680B" w:rsidRDefault="001C7BF9">
            <w:pPr>
              <w:spacing w:before="0"/>
              <w:jc w:val="left"/>
            </w:pPr>
            <w:r w:rsidRPr="00C9680B">
              <w:t>1</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2000/01:Sk1028</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11, 12</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2000/01:Sk1029</w:t>
            </w:r>
          </w:p>
        </w:tc>
        <w:tc>
          <w:tcPr>
            <w:tcW w:w="3629" w:type="dxa"/>
          </w:tcPr>
          <w:p w:rsidR="001C7BF9" w:rsidRPr="00C9680B" w:rsidRDefault="001C7BF9">
            <w:pPr>
              <w:spacing w:before="0"/>
              <w:jc w:val="left"/>
            </w:pPr>
            <w:r w:rsidRPr="00C9680B">
              <w:t>Christel Anderberg (m)</w:t>
            </w:r>
          </w:p>
        </w:tc>
        <w:tc>
          <w:tcPr>
            <w:tcW w:w="1077" w:type="dxa"/>
          </w:tcPr>
          <w:p w:rsidR="001C7BF9" w:rsidRPr="00C9680B" w:rsidRDefault="001C7BF9">
            <w:pPr>
              <w:spacing w:before="0"/>
              <w:jc w:val="left"/>
            </w:pPr>
            <w:r w:rsidRPr="00C9680B">
              <w:t>2</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2000/01:T212</w:t>
            </w:r>
          </w:p>
        </w:tc>
        <w:tc>
          <w:tcPr>
            <w:tcW w:w="3629" w:type="dxa"/>
          </w:tcPr>
          <w:p w:rsidR="001C7BF9" w:rsidRPr="00C9680B" w:rsidRDefault="001C7BF9">
            <w:pPr>
              <w:spacing w:before="0"/>
              <w:jc w:val="left"/>
            </w:pPr>
            <w:r w:rsidRPr="00C9680B">
              <w:t>Johnny Gylling m.fl. (kd)</w:t>
            </w:r>
          </w:p>
        </w:tc>
        <w:tc>
          <w:tcPr>
            <w:tcW w:w="1077" w:type="dxa"/>
          </w:tcPr>
          <w:p w:rsidR="001C7BF9" w:rsidRPr="00C9680B" w:rsidRDefault="001C7BF9">
            <w:pPr>
              <w:spacing w:before="0"/>
              <w:jc w:val="left"/>
            </w:pPr>
            <w:r w:rsidRPr="00C9680B">
              <w:t>8</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2000/01:N385</w:t>
            </w:r>
          </w:p>
        </w:tc>
        <w:tc>
          <w:tcPr>
            <w:tcW w:w="3629" w:type="dxa"/>
          </w:tcPr>
          <w:p w:rsidR="001C7BF9" w:rsidRPr="00C9680B" w:rsidRDefault="001C7BF9">
            <w:pPr>
              <w:spacing w:before="0"/>
              <w:jc w:val="left"/>
            </w:pPr>
            <w:r w:rsidRPr="00C9680B">
              <w:t>Bo Lundgren m.fl. (m)</w:t>
            </w:r>
          </w:p>
        </w:tc>
        <w:tc>
          <w:tcPr>
            <w:tcW w:w="1077" w:type="dxa"/>
          </w:tcPr>
          <w:p w:rsidR="001C7BF9" w:rsidRPr="00C9680B" w:rsidRDefault="001C7BF9">
            <w:pPr>
              <w:spacing w:before="0"/>
              <w:jc w:val="left"/>
            </w:pPr>
            <w:r w:rsidRPr="00C9680B">
              <w:t>6</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p>
        </w:tc>
        <w:tc>
          <w:tcPr>
            <w:tcW w:w="3629" w:type="dxa"/>
          </w:tcPr>
          <w:p w:rsidR="001C7BF9" w:rsidRPr="00C9680B" w:rsidRDefault="001C7BF9">
            <w:pPr>
              <w:spacing w:before="0"/>
              <w:rPr>
                <w:i/>
              </w:rPr>
            </w:pPr>
            <w:r w:rsidRPr="00C9680B">
              <w:rPr>
                <w:i/>
              </w:rPr>
              <w:t>Skatt på kärnkraftsel</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pStyle w:val="Deltagare"/>
              <w:keepLines w:val="0"/>
              <w:spacing w:before="0" w:line="250" w:lineRule="atLeast"/>
              <w:rPr>
                <w:noProof w:val="0"/>
              </w:rPr>
            </w:pPr>
            <w:r w:rsidRPr="00C9680B">
              <w:rPr>
                <w:noProof w:val="0"/>
              </w:rPr>
              <w:t>2000/01:Sk309</w:t>
            </w:r>
          </w:p>
        </w:tc>
        <w:tc>
          <w:tcPr>
            <w:tcW w:w="3629" w:type="dxa"/>
          </w:tcPr>
          <w:p w:rsidR="001C7BF9" w:rsidRPr="00C9680B" w:rsidRDefault="001C7BF9">
            <w:pPr>
              <w:spacing w:before="0"/>
              <w:jc w:val="left"/>
            </w:pPr>
            <w:r w:rsidRPr="00C9680B">
              <w:t>Elisabeth Nyström och Kent Olsson (m)</w:t>
            </w: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2000/01:Sk313</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28, 29</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2000/01:Sk1028</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5, 6</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p>
        </w:tc>
        <w:tc>
          <w:tcPr>
            <w:tcW w:w="3629" w:type="dxa"/>
          </w:tcPr>
          <w:p w:rsidR="001C7BF9" w:rsidRPr="00C9680B" w:rsidRDefault="001C7BF9">
            <w:pPr>
              <w:spacing w:before="0"/>
              <w:rPr>
                <w:i/>
              </w:rPr>
            </w:pPr>
            <w:r w:rsidRPr="00C9680B">
              <w:rPr>
                <w:i/>
              </w:rPr>
              <w:t>Jordbrukets beskattning</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pStyle w:val="Deltagare"/>
              <w:keepLines w:val="0"/>
              <w:spacing w:before="0" w:line="250" w:lineRule="atLeast"/>
              <w:rPr>
                <w:noProof w:val="0"/>
              </w:rPr>
            </w:pPr>
            <w:r w:rsidRPr="00C9680B">
              <w:rPr>
                <w:noProof w:val="0"/>
              </w:rPr>
              <w:t>2000/01:Sk313</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27, 30</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2000/01:Sk320</w:t>
            </w:r>
          </w:p>
        </w:tc>
        <w:tc>
          <w:tcPr>
            <w:tcW w:w="3629" w:type="dxa"/>
          </w:tcPr>
          <w:p w:rsidR="001C7BF9" w:rsidRPr="00C9680B" w:rsidRDefault="001C7BF9">
            <w:pPr>
              <w:spacing w:before="0"/>
              <w:jc w:val="left"/>
            </w:pPr>
            <w:r w:rsidRPr="00C9680B">
              <w:t>Olle Lindström och Anders Sjölund (m)</w:t>
            </w:r>
          </w:p>
        </w:tc>
        <w:tc>
          <w:tcPr>
            <w:tcW w:w="1077" w:type="dxa"/>
          </w:tcPr>
          <w:p w:rsidR="001C7BF9" w:rsidRPr="00C9680B" w:rsidRDefault="001C7BF9">
            <w:pPr>
              <w:spacing w:before="0"/>
              <w:jc w:val="left"/>
            </w:pPr>
            <w:r w:rsidRPr="00C9680B">
              <w:t>3</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2000/01:Sk321</w:t>
            </w:r>
          </w:p>
        </w:tc>
        <w:tc>
          <w:tcPr>
            <w:tcW w:w="3629" w:type="dxa"/>
          </w:tcPr>
          <w:p w:rsidR="001C7BF9" w:rsidRPr="00C9680B" w:rsidRDefault="001C7BF9">
            <w:pPr>
              <w:spacing w:before="0"/>
              <w:jc w:val="left"/>
            </w:pPr>
            <w:r w:rsidRPr="00C9680B">
              <w:t>Lennart Daléus m.fl. (c)</w:t>
            </w:r>
          </w:p>
        </w:tc>
        <w:tc>
          <w:tcPr>
            <w:tcW w:w="1077" w:type="dxa"/>
          </w:tcPr>
          <w:p w:rsidR="001C7BF9" w:rsidRPr="00C9680B" w:rsidRDefault="001C7BF9">
            <w:pPr>
              <w:spacing w:before="0"/>
              <w:jc w:val="left"/>
            </w:pPr>
            <w:r w:rsidRPr="00C9680B">
              <w:t>21</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2000/01:Sk323</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26–29</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2000/01:Sk1028</w:t>
            </w:r>
          </w:p>
        </w:tc>
        <w:tc>
          <w:tcPr>
            <w:tcW w:w="3629" w:type="dxa"/>
          </w:tcPr>
          <w:p w:rsidR="001C7BF9" w:rsidRPr="00C9680B" w:rsidRDefault="001C7BF9">
            <w:pPr>
              <w:spacing w:before="0"/>
              <w:jc w:val="left"/>
            </w:pPr>
            <w:r w:rsidRPr="00C9680B">
              <w:t>Carl Fredrik Graf m.fl. (m)</w:t>
            </w:r>
          </w:p>
        </w:tc>
        <w:tc>
          <w:tcPr>
            <w:tcW w:w="1077" w:type="dxa"/>
          </w:tcPr>
          <w:p w:rsidR="001C7BF9" w:rsidRPr="00C9680B" w:rsidRDefault="001C7BF9">
            <w:pPr>
              <w:spacing w:before="0"/>
              <w:jc w:val="left"/>
            </w:pPr>
            <w:r w:rsidRPr="00C9680B">
              <w:t>9, 10</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2000/01:MJ244</w:t>
            </w:r>
          </w:p>
        </w:tc>
        <w:tc>
          <w:tcPr>
            <w:tcW w:w="3629" w:type="dxa"/>
          </w:tcPr>
          <w:p w:rsidR="001C7BF9" w:rsidRPr="00C9680B" w:rsidRDefault="001C7BF9">
            <w:pPr>
              <w:spacing w:before="0"/>
              <w:jc w:val="left"/>
            </w:pPr>
            <w:r w:rsidRPr="00C9680B">
              <w:t>Ingvar Eriksson m.fl. (m)</w:t>
            </w:r>
          </w:p>
        </w:tc>
        <w:tc>
          <w:tcPr>
            <w:tcW w:w="1077" w:type="dxa"/>
          </w:tcPr>
          <w:p w:rsidR="001C7BF9" w:rsidRPr="00C9680B" w:rsidRDefault="001C7BF9">
            <w:pPr>
              <w:spacing w:before="0"/>
              <w:jc w:val="left"/>
            </w:pPr>
            <w:r w:rsidRPr="00C9680B">
              <w:t>5</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2000/01:MJ256</w:t>
            </w:r>
          </w:p>
        </w:tc>
        <w:tc>
          <w:tcPr>
            <w:tcW w:w="3629" w:type="dxa"/>
          </w:tcPr>
          <w:p w:rsidR="001C7BF9" w:rsidRPr="00C9680B" w:rsidRDefault="001C7BF9">
            <w:pPr>
              <w:spacing w:before="0"/>
              <w:jc w:val="left"/>
            </w:pPr>
            <w:r w:rsidRPr="00C9680B">
              <w:t>Ingvar Eriksson m.fl. (m)</w:t>
            </w:r>
          </w:p>
        </w:tc>
        <w:tc>
          <w:tcPr>
            <w:tcW w:w="1077" w:type="dxa"/>
          </w:tcPr>
          <w:p w:rsidR="001C7BF9" w:rsidRPr="00C9680B" w:rsidRDefault="001C7BF9">
            <w:pPr>
              <w:spacing w:before="0"/>
              <w:jc w:val="left"/>
            </w:pPr>
            <w:r w:rsidRPr="00C9680B">
              <w:t>4</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2000/01:N385</w:t>
            </w:r>
          </w:p>
        </w:tc>
        <w:tc>
          <w:tcPr>
            <w:tcW w:w="3629" w:type="dxa"/>
          </w:tcPr>
          <w:p w:rsidR="001C7BF9" w:rsidRPr="00C9680B" w:rsidRDefault="001C7BF9">
            <w:pPr>
              <w:spacing w:before="0"/>
              <w:jc w:val="left"/>
            </w:pPr>
            <w:r w:rsidRPr="00C9680B">
              <w:t>Bo Lundgren m.fl. (m)</w:t>
            </w:r>
          </w:p>
        </w:tc>
        <w:tc>
          <w:tcPr>
            <w:tcW w:w="1077" w:type="dxa"/>
          </w:tcPr>
          <w:p w:rsidR="001C7BF9" w:rsidRPr="00C9680B" w:rsidRDefault="001C7BF9">
            <w:pPr>
              <w:spacing w:before="0"/>
              <w:jc w:val="left"/>
            </w:pPr>
            <w:r w:rsidRPr="00C9680B">
              <w:t>10, 11</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r w:rsidRPr="00C9680B">
              <w:rPr>
                <w:i/>
              </w:rPr>
              <w:t xml:space="preserve">Punkt 5 u </w:t>
            </w:r>
          </w:p>
        </w:tc>
        <w:tc>
          <w:tcPr>
            <w:tcW w:w="3629" w:type="dxa"/>
          </w:tcPr>
          <w:p w:rsidR="001C7BF9" w:rsidRPr="00C9680B" w:rsidRDefault="001C7BF9">
            <w:pPr>
              <w:spacing w:before="0"/>
              <w:rPr>
                <w:i/>
              </w:rPr>
            </w:pPr>
            <w:r w:rsidRPr="00C9680B">
              <w:rPr>
                <w:i/>
              </w:rPr>
              <w:t>Fordonsskatt och försäljningsskatt</w:t>
            </w:r>
          </w:p>
          <w:p w:rsidR="001C7BF9" w:rsidRPr="00C9680B" w:rsidRDefault="001C7BF9">
            <w:pPr>
              <w:spacing w:before="0"/>
              <w:rPr>
                <w:i/>
              </w:rPr>
            </w:pPr>
            <w:r w:rsidRPr="00C9680B">
              <w:rPr>
                <w:i/>
              </w:rPr>
              <w:t>(prop. 2000/01:1 punkterna 35 och 36)</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pStyle w:val="Deltagare"/>
              <w:keepLines w:val="0"/>
              <w:spacing w:before="0" w:line="250" w:lineRule="atLeast"/>
              <w:rPr>
                <w:noProof w:val="0"/>
              </w:rPr>
            </w:pPr>
            <w:r w:rsidRPr="00C9680B">
              <w:rPr>
                <w:noProof w:val="0"/>
              </w:rPr>
              <w:t>2000/01:Sk323</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51</w:t>
            </w:r>
          </w:p>
        </w:tc>
      </w:tr>
      <w:tr w:rsidR="00000000" w:rsidRPr="00C9680B">
        <w:tblPrEx>
          <w:tblCellMar>
            <w:top w:w="0" w:type="dxa"/>
            <w:bottom w:w="0" w:type="dxa"/>
          </w:tblCellMar>
        </w:tblPrEx>
        <w:tc>
          <w:tcPr>
            <w:tcW w:w="1418" w:type="dxa"/>
          </w:tcPr>
          <w:p w:rsidR="001C7BF9" w:rsidRPr="00C9680B" w:rsidRDefault="001C7BF9">
            <w:pPr>
              <w:spacing w:before="0"/>
            </w:pPr>
          </w:p>
        </w:tc>
        <w:tc>
          <w:tcPr>
            <w:tcW w:w="3629" w:type="dxa"/>
          </w:tcPr>
          <w:p w:rsidR="001C7BF9" w:rsidRPr="00C9680B" w:rsidRDefault="001C7BF9">
            <w:pPr>
              <w:spacing w:before="0"/>
              <w:jc w:val="left"/>
            </w:pPr>
          </w:p>
        </w:tc>
        <w:tc>
          <w:tcPr>
            <w:tcW w:w="1077" w:type="dxa"/>
          </w:tcPr>
          <w:p w:rsidR="001C7BF9" w:rsidRPr="00C9680B" w:rsidRDefault="001C7BF9">
            <w:pPr>
              <w:spacing w:before="0"/>
              <w:jc w:val="left"/>
            </w:pPr>
          </w:p>
        </w:tc>
      </w:tr>
      <w:tr w:rsidR="00000000" w:rsidRPr="00C9680B">
        <w:tblPrEx>
          <w:tblCellMar>
            <w:top w:w="0" w:type="dxa"/>
            <w:bottom w:w="0" w:type="dxa"/>
          </w:tblCellMar>
        </w:tblPrEx>
        <w:tc>
          <w:tcPr>
            <w:tcW w:w="1418" w:type="dxa"/>
          </w:tcPr>
          <w:p w:rsidR="001C7BF9" w:rsidRPr="00C9680B" w:rsidRDefault="001C7BF9">
            <w:pPr>
              <w:spacing w:before="0"/>
              <w:rPr>
                <w:i/>
              </w:rPr>
            </w:pPr>
            <w:r w:rsidRPr="00C9680B">
              <w:rPr>
                <w:i/>
              </w:rPr>
              <w:t xml:space="preserve">Punkt 5 v </w:t>
            </w:r>
          </w:p>
        </w:tc>
        <w:tc>
          <w:tcPr>
            <w:tcW w:w="3629" w:type="dxa"/>
          </w:tcPr>
          <w:p w:rsidR="001C7BF9" w:rsidRPr="00C9680B" w:rsidRDefault="001C7BF9">
            <w:pPr>
              <w:spacing w:before="0"/>
              <w:rPr>
                <w:i/>
              </w:rPr>
            </w:pPr>
            <w:r w:rsidRPr="00C9680B">
              <w:rPr>
                <w:i/>
              </w:rPr>
              <w:t>Beräkning av statsbudgetens  inkomster för budgetåret 2001 (prop. 2000/01:1 punkt 7)</w:t>
            </w:r>
          </w:p>
        </w:tc>
        <w:tc>
          <w:tcPr>
            <w:tcW w:w="1077" w:type="dxa"/>
          </w:tcPr>
          <w:p w:rsidR="001C7BF9" w:rsidRPr="00C9680B" w:rsidRDefault="001C7BF9">
            <w:pPr>
              <w:spacing w:before="0"/>
              <w:rPr>
                <w:i/>
              </w:rPr>
            </w:pP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2000/01:Fi208</w:t>
            </w:r>
          </w:p>
        </w:tc>
        <w:tc>
          <w:tcPr>
            <w:tcW w:w="3629" w:type="dxa"/>
          </w:tcPr>
          <w:p w:rsidR="001C7BF9" w:rsidRPr="00C9680B" w:rsidRDefault="001C7BF9">
            <w:pPr>
              <w:spacing w:before="0"/>
              <w:jc w:val="left"/>
            </w:pPr>
            <w:r w:rsidRPr="00C9680B">
              <w:t>Bo Lundgren m.fl. (m)</w:t>
            </w:r>
          </w:p>
        </w:tc>
        <w:tc>
          <w:tcPr>
            <w:tcW w:w="1077" w:type="dxa"/>
          </w:tcPr>
          <w:p w:rsidR="001C7BF9" w:rsidRPr="00C9680B" w:rsidRDefault="001C7BF9">
            <w:pPr>
              <w:spacing w:before="0"/>
              <w:jc w:val="left"/>
            </w:pPr>
            <w:r w:rsidRPr="00C9680B">
              <w:t>7</w:t>
            </w:r>
          </w:p>
        </w:tc>
      </w:tr>
      <w:tr w:rsidR="00000000" w:rsidRPr="00C9680B">
        <w:tblPrEx>
          <w:tblCellMar>
            <w:top w:w="0" w:type="dxa"/>
            <w:bottom w:w="0" w:type="dxa"/>
          </w:tblCellMar>
        </w:tblPrEx>
        <w:tc>
          <w:tcPr>
            <w:tcW w:w="1418" w:type="dxa"/>
          </w:tcPr>
          <w:p w:rsidR="001C7BF9" w:rsidRPr="00C9680B" w:rsidRDefault="001C7BF9">
            <w:pPr>
              <w:pStyle w:val="Deltagare"/>
              <w:keepLines w:val="0"/>
              <w:spacing w:before="0" w:line="250" w:lineRule="atLeast"/>
              <w:rPr>
                <w:noProof w:val="0"/>
              </w:rPr>
            </w:pPr>
            <w:r w:rsidRPr="00C9680B">
              <w:rPr>
                <w:noProof w:val="0"/>
              </w:rPr>
              <w:t>2000/01:Fi209</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5</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2000/01:Fi210</w:t>
            </w:r>
          </w:p>
        </w:tc>
        <w:tc>
          <w:tcPr>
            <w:tcW w:w="3629" w:type="dxa"/>
          </w:tcPr>
          <w:p w:rsidR="001C7BF9" w:rsidRPr="00C9680B" w:rsidRDefault="001C7BF9">
            <w:pPr>
              <w:spacing w:before="0"/>
              <w:jc w:val="left"/>
            </w:pPr>
            <w:r w:rsidRPr="00C9680B">
              <w:t>Lennart Daléus m.fl. (c)</w:t>
            </w:r>
          </w:p>
        </w:tc>
        <w:tc>
          <w:tcPr>
            <w:tcW w:w="1077" w:type="dxa"/>
          </w:tcPr>
          <w:p w:rsidR="001C7BF9" w:rsidRPr="00C9680B" w:rsidRDefault="001C7BF9">
            <w:pPr>
              <w:spacing w:before="0"/>
              <w:jc w:val="left"/>
            </w:pPr>
            <w:r w:rsidRPr="00C9680B">
              <w:t>3</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2000/01:Fi211</w:t>
            </w:r>
          </w:p>
        </w:tc>
        <w:tc>
          <w:tcPr>
            <w:tcW w:w="3629" w:type="dxa"/>
          </w:tcPr>
          <w:p w:rsidR="001C7BF9" w:rsidRPr="00C9680B" w:rsidRDefault="001C7BF9">
            <w:pPr>
              <w:spacing w:before="0"/>
              <w:jc w:val="left"/>
            </w:pPr>
            <w:r w:rsidRPr="00C9680B">
              <w:t>Lars Leijonborg m.fl. (fp)</w:t>
            </w:r>
          </w:p>
        </w:tc>
        <w:tc>
          <w:tcPr>
            <w:tcW w:w="1077" w:type="dxa"/>
          </w:tcPr>
          <w:p w:rsidR="001C7BF9" w:rsidRPr="00C9680B" w:rsidRDefault="001C7BF9">
            <w:pPr>
              <w:spacing w:before="0"/>
              <w:jc w:val="left"/>
            </w:pPr>
            <w:r w:rsidRPr="00C9680B">
              <w:t>5</w:t>
            </w:r>
          </w:p>
        </w:tc>
      </w:tr>
      <w:tr w:rsidR="00000000" w:rsidRPr="00C9680B">
        <w:tblPrEx>
          <w:tblCellMar>
            <w:top w:w="0" w:type="dxa"/>
            <w:bottom w:w="0" w:type="dxa"/>
          </w:tblCellMar>
        </w:tblPrEx>
        <w:tc>
          <w:tcPr>
            <w:tcW w:w="1418" w:type="dxa"/>
          </w:tcPr>
          <w:p w:rsidR="001C7BF9" w:rsidRPr="00C9680B" w:rsidRDefault="001C7BF9">
            <w:pPr>
              <w:spacing w:before="0"/>
            </w:pPr>
            <w:r w:rsidRPr="00C9680B">
              <w:t>2000/01:Sk323</w:t>
            </w:r>
          </w:p>
        </w:tc>
        <w:tc>
          <w:tcPr>
            <w:tcW w:w="3629" w:type="dxa"/>
          </w:tcPr>
          <w:p w:rsidR="001C7BF9" w:rsidRPr="00C9680B" w:rsidRDefault="001C7BF9">
            <w:pPr>
              <w:spacing w:before="0"/>
              <w:jc w:val="left"/>
            </w:pPr>
            <w:r w:rsidRPr="00C9680B">
              <w:t>Alf Svensson m.fl. (kd)</w:t>
            </w:r>
          </w:p>
        </w:tc>
        <w:tc>
          <w:tcPr>
            <w:tcW w:w="1077" w:type="dxa"/>
          </w:tcPr>
          <w:p w:rsidR="001C7BF9" w:rsidRPr="00C9680B" w:rsidRDefault="001C7BF9">
            <w:pPr>
              <w:spacing w:before="0"/>
              <w:jc w:val="left"/>
            </w:pPr>
            <w:r w:rsidRPr="00C9680B">
              <w:t>1</w:t>
            </w:r>
          </w:p>
        </w:tc>
      </w:tr>
      <w:tr w:rsidR="00000000" w:rsidRPr="00C9680B">
        <w:tblPrEx>
          <w:tblCellMar>
            <w:top w:w="0" w:type="dxa"/>
            <w:bottom w:w="0" w:type="dxa"/>
          </w:tblCellMar>
        </w:tblPrEx>
        <w:tc>
          <w:tcPr>
            <w:tcW w:w="1418" w:type="dxa"/>
            <w:tcBorders>
              <w:bottom w:val="single" w:sz="4" w:space="0" w:color="auto"/>
            </w:tcBorders>
          </w:tcPr>
          <w:p w:rsidR="001C7BF9" w:rsidRPr="00C9680B" w:rsidRDefault="001C7BF9">
            <w:pPr>
              <w:spacing w:before="0"/>
            </w:pPr>
          </w:p>
        </w:tc>
        <w:tc>
          <w:tcPr>
            <w:tcW w:w="3629" w:type="dxa"/>
            <w:tcBorders>
              <w:bottom w:val="single" w:sz="4" w:space="0" w:color="auto"/>
            </w:tcBorders>
          </w:tcPr>
          <w:p w:rsidR="001C7BF9" w:rsidRPr="00C9680B" w:rsidRDefault="001C7BF9">
            <w:pPr>
              <w:spacing w:before="0"/>
              <w:jc w:val="left"/>
            </w:pPr>
          </w:p>
        </w:tc>
        <w:tc>
          <w:tcPr>
            <w:tcW w:w="1077" w:type="dxa"/>
            <w:tcBorders>
              <w:bottom w:val="single" w:sz="4" w:space="0" w:color="auto"/>
            </w:tcBorders>
          </w:tcPr>
          <w:p w:rsidR="001C7BF9" w:rsidRPr="00C9680B" w:rsidRDefault="001C7BF9">
            <w:pPr>
              <w:spacing w:before="0"/>
              <w:jc w:val="left"/>
            </w:pPr>
          </w:p>
        </w:tc>
      </w:tr>
    </w:tbl>
    <w:p w:rsidR="001C7BF9" w:rsidRPr="00C9680B" w:rsidRDefault="001C7BF9">
      <w:pPr>
        <w:pStyle w:val="Normaltindrag"/>
      </w:pPr>
    </w:p>
    <w:p w:rsidR="001C7BF9" w:rsidRPr="00C9680B" w:rsidRDefault="001C7BF9">
      <w:pPr>
        <w:pStyle w:val="Normaltindrag"/>
        <w:sectPr w:rsidR="00000000" w:rsidRPr="00C9680B">
          <w:headerReference w:type="even" r:id="rId32"/>
          <w:headerReference w:type="default" r:id="rId33"/>
          <w:footerReference w:type="even" r:id="rId34"/>
          <w:footerReference w:type="default" r:id="rId35"/>
          <w:headerReference w:type="first" r:id="rId36"/>
          <w:footerReference w:type="first" r:id="rId37"/>
          <w:footnotePr>
            <w:numRestart w:val="eachSect"/>
          </w:footnotePr>
          <w:pgSz w:w="11906" w:h="16838" w:code="9"/>
          <w:pgMar w:top="907" w:right="4649" w:bottom="4508" w:left="1304" w:header="340" w:footer="227" w:gutter="0"/>
          <w:cols w:space="720"/>
          <w:titlePg/>
        </w:sectPr>
      </w:pPr>
    </w:p>
    <w:p w:rsidR="001C7BF9" w:rsidRPr="00C9680B" w:rsidRDefault="001C7BF9">
      <w:pPr>
        <w:pStyle w:val="Rubrik1"/>
        <w:rPr>
          <w:noProof w:val="0"/>
        </w:rPr>
      </w:pPr>
      <w:bookmarkStart w:id="45" w:name="_Toc498910648"/>
      <w:r w:rsidRPr="00C9680B">
        <w:rPr>
          <w:noProof w:val="0"/>
        </w:rPr>
        <w:t>Redogörelse för ärendet</w:t>
      </w:r>
      <w:bookmarkEnd w:id="45"/>
    </w:p>
    <w:p w:rsidR="001C7BF9" w:rsidRPr="00C9680B" w:rsidRDefault="001C7BF9">
      <w:pPr>
        <w:pStyle w:val="Rubrik2"/>
        <w:spacing w:before="0"/>
      </w:pPr>
      <w:bookmarkStart w:id="46" w:name="_Toc498910649"/>
      <w:r w:rsidRPr="00C9680B">
        <w:t>Bakgrund</w:t>
      </w:r>
      <w:bookmarkEnd w:id="46"/>
    </w:p>
    <w:p w:rsidR="001C7BF9" w:rsidRPr="00C9680B" w:rsidRDefault="001C7BF9">
      <w:bookmarkStart w:id="47" w:name="_Toc498069858"/>
      <w:r w:rsidRPr="00C9680B">
        <w:t xml:space="preserve">I detta betänkande behandlas regeringens och partiernas förslag till fördelning av statsutgifterna på utgiftsområden. Betänkandet, ibland kallat </w:t>
      </w:r>
      <w:r w:rsidRPr="00C9680B">
        <w:rPr>
          <w:i/>
        </w:rPr>
        <w:t>rambetä</w:t>
      </w:r>
      <w:r w:rsidRPr="00C9680B">
        <w:rPr>
          <w:i/>
        </w:rPr>
        <w:t>n</w:t>
      </w:r>
      <w:r w:rsidRPr="00C9680B">
        <w:rPr>
          <w:i/>
        </w:rPr>
        <w:t>kandet</w:t>
      </w:r>
      <w:r w:rsidRPr="00C9680B">
        <w:t>, utgör underlaget för riksdagens beslut om statsbudgeten och utgift</w:t>
      </w:r>
      <w:r w:rsidRPr="00C9680B">
        <w:t>s</w:t>
      </w:r>
      <w:r w:rsidRPr="00C9680B">
        <w:t xml:space="preserve">ramar för de olika utgiftsområdena. I riksdagens </w:t>
      </w:r>
      <w:r w:rsidRPr="00C9680B">
        <w:rPr>
          <w:i/>
        </w:rPr>
        <w:t>rambeslutsmodell</w:t>
      </w:r>
      <w:r w:rsidRPr="00C9680B">
        <w:t xml:space="preserve"> innebär beslutet om ramarna att en utgiftsram fastställs för varje utgiftsområde som i den fortsatta beredningen av anslagen inte får överskridas. Ett förslag från ett utskott till fördelning av anslagen inom ett utgiftsområde kan inte behandlas av riksdagen förrän riksdagen fattat beslutet om ramarna (RO 5:12). De olika fackutskotten som bereder och lägger fra</w:t>
      </w:r>
      <w:r w:rsidRPr="00C9680B">
        <w:t xml:space="preserve">m förslag till beslut om anslagen inom respektive utgiftsområde kan göra omprioriteringar mellan anslagen men får inte lägga fram ett förslag som går utöver den fastställda ramen. Inte heller får förslag läggas fram reservationsvis som överskrider ramen. </w:t>
      </w:r>
    </w:p>
    <w:p w:rsidR="001C7BF9" w:rsidRPr="00C9680B" w:rsidRDefault="001C7BF9">
      <w:pPr>
        <w:pStyle w:val="Normaltindrag"/>
      </w:pPr>
      <w:r w:rsidRPr="00C9680B">
        <w:t xml:space="preserve">Riksdagen fastställer statsbudgetens sammansättning i stort genom </w:t>
      </w:r>
      <w:r w:rsidRPr="00C9680B">
        <w:rPr>
          <w:i/>
        </w:rPr>
        <w:t>ett</w:t>
      </w:r>
      <w:r w:rsidRPr="00C9680B">
        <w:t xml:space="preserve"> sä</w:t>
      </w:r>
      <w:r w:rsidRPr="00C9680B">
        <w:t>r</w:t>
      </w:r>
      <w:r w:rsidRPr="00C9680B">
        <w:t>skilt beslut som i</w:t>
      </w:r>
      <w:r w:rsidRPr="00C9680B">
        <w:t>n</w:t>
      </w:r>
      <w:r w:rsidRPr="00C9680B">
        <w:t>nefattar</w:t>
      </w:r>
    </w:p>
    <w:p w:rsidR="001C7BF9" w:rsidRPr="00C9680B" w:rsidRDefault="001C7BF9">
      <w:pPr>
        <w:pStyle w:val="Normaltindrag"/>
      </w:pPr>
      <w:r w:rsidRPr="00C9680B">
        <w:t xml:space="preserve">dels utgiftsramar för utgiftsområden, </w:t>
      </w:r>
    </w:p>
    <w:p w:rsidR="001C7BF9" w:rsidRPr="00C9680B" w:rsidRDefault="001C7BF9">
      <w:pPr>
        <w:pStyle w:val="Normaltindrag"/>
      </w:pPr>
      <w:r w:rsidRPr="00C9680B">
        <w:t>dels en beräkning av inkomsterna på statsbudgeten (inklusive skatteförsl</w:t>
      </w:r>
      <w:r w:rsidRPr="00C9680B">
        <w:t>a</w:t>
      </w:r>
      <w:r w:rsidRPr="00C9680B">
        <w:t xml:space="preserve">gen. </w:t>
      </w:r>
    </w:p>
    <w:p w:rsidR="001C7BF9" w:rsidRPr="00C9680B" w:rsidRDefault="001C7BF9">
      <w:r w:rsidRPr="00C9680B">
        <w:t>Detta beslut ingår som punkt 5 i Utskottets förslag till riksdagsbeslut.           Utskottets motivering för förslaget behandlas i betänkandet i avsnitten          2.4–4.1.28.</w:t>
      </w:r>
    </w:p>
    <w:p w:rsidR="001C7BF9" w:rsidRPr="00C9680B" w:rsidRDefault="001C7BF9">
      <w:pPr>
        <w:pStyle w:val="Rubrik2"/>
      </w:pPr>
      <w:bookmarkStart w:id="48" w:name="_Toc498910650"/>
      <w:r w:rsidRPr="00C9680B">
        <w:t>Ärendet och dess beredning</w:t>
      </w:r>
      <w:bookmarkEnd w:id="47"/>
      <w:bookmarkEnd w:id="48"/>
    </w:p>
    <w:p w:rsidR="001C7BF9" w:rsidRPr="00C9680B" w:rsidRDefault="001C7BF9">
      <w:bookmarkStart w:id="49" w:name="_Toc436662440"/>
      <w:bookmarkStart w:id="50" w:name="_Toc466097710"/>
      <w:bookmarkStart w:id="51" w:name="_Toc466882322"/>
      <w:r w:rsidRPr="00C9680B">
        <w:t xml:space="preserve">I detta betänkande behandlar utskottet </w:t>
      </w:r>
    </w:p>
    <w:p w:rsidR="001C7BF9" w:rsidRPr="00C9680B" w:rsidRDefault="001C7BF9">
      <w:r w:rsidRPr="00C9680B">
        <w:rPr>
          <w:i/>
        </w:rPr>
        <w:t>dels</w:t>
      </w:r>
      <w:r w:rsidRPr="00C9680B">
        <w:t xml:space="preserve"> proposition 2000/01:1 Budget</w:t>
      </w:r>
      <w:r w:rsidRPr="00C9680B">
        <w:softHyphen/>
        <w:t>propo</w:t>
      </w:r>
      <w:r w:rsidRPr="00C9680B">
        <w:softHyphen/>
        <w:t>sitionen för 2001 om förslag till statsbudget, finansplan m.m. punkterna 1–14 och 23–39 och 40 (delvis),</w:t>
      </w:r>
    </w:p>
    <w:p w:rsidR="001C7BF9" w:rsidRPr="00C9680B" w:rsidRDefault="001C7BF9">
      <w:r w:rsidRPr="00C9680B">
        <w:rPr>
          <w:i/>
        </w:rPr>
        <w:t xml:space="preserve">dels </w:t>
      </w:r>
      <w:r w:rsidRPr="00C9680B">
        <w:t>regeringens skrivelse 1999/2000:150 Årsredovisning för staten 1999,</w:t>
      </w:r>
    </w:p>
    <w:p w:rsidR="001C7BF9" w:rsidRPr="00C9680B" w:rsidRDefault="001C7BF9">
      <w:r w:rsidRPr="00C9680B">
        <w:rPr>
          <w:i/>
        </w:rPr>
        <w:t>dels</w:t>
      </w:r>
      <w:r w:rsidRPr="00C9680B">
        <w:t xml:space="preserve"> de motioner som väckts med anledning av ärendet under allmänna m</w:t>
      </w:r>
      <w:r w:rsidRPr="00C9680B">
        <w:t>o</w:t>
      </w:r>
      <w:r w:rsidRPr="00C9680B">
        <w:t>tionstiden 2000 enligt förtec</w:t>
      </w:r>
      <w:r w:rsidRPr="00C9680B">
        <w:t>k</w:t>
      </w:r>
      <w:r w:rsidRPr="00C9680B">
        <w:t xml:space="preserve">ningen i </w:t>
      </w:r>
      <w:r w:rsidRPr="00C9680B">
        <w:rPr>
          <w:i/>
        </w:rPr>
        <w:t>bilaga 1</w:t>
      </w:r>
      <w:r w:rsidRPr="00C9680B">
        <w:t>.</w:t>
      </w:r>
    </w:p>
    <w:p w:rsidR="001C7BF9" w:rsidRPr="00C9680B" w:rsidRDefault="001C7BF9">
      <w:r w:rsidRPr="00C9680B">
        <w:t xml:space="preserve">Finansplanens avsnitt 6 </w:t>
      </w:r>
      <w:r w:rsidRPr="00C9680B">
        <w:rPr>
          <w:i/>
        </w:rPr>
        <w:t>Prognos och tilläggsbudget 2000</w:t>
      </w:r>
      <w:r w:rsidRPr="00C9680B">
        <w:t xml:space="preserve"> (punkterna 15–22) behandlas i finansutskottets betänkande 2000/01:FiU11.</w:t>
      </w:r>
    </w:p>
    <w:p w:rsidR="001C7BF9" w:rsidRPr="00C9680B" w:rsidRDefault="001C7BF9">
      <w:pPr>
        <w:pStyle w:val="Rubrik3"/>
        <w:rPr>
          <w:noProof w:val="0"/>
        </w:rPr>
      </w:pPr>
      <w:bookmarkStart w:id="52" w:name="_Toc466097708"/>
      <w:bookmarkStart w:id="53" w:name="_Toc466882321"/>
      <w:bookmarkStart w:id="54" w:name="_Toc498763482"/>
      <w:bookmarkStart w:id="55" w:name="_Toc498910651"/>
      <w:r w:rsidRPr="00C9680B">
        <w:rPr>
          <w:noProof w:val="0"/>
        </w:rPr>
        <w:t>Regeringens lagförslag</w:t>
      </w:r>
      <w:bookmarkEnd w:id="52"/>
      <w:bookmarkEnd w:id="53"/>
      <w:bookmarkEnd w:id="54"/>
      <w:bookmarkEnd w:id="55"/>
    </w:p>
    <w:p w:rsidR="001C7BF9" w:rsidRPr="00C9680B" w:rsidRDefault="001C7BF9">
      <w:r w:rsidRPr="00C9680B">
        <w:t xml:space="preserve">De lagförslag som regeringen lägger fram i budgetpropositionen återges i </w:t>
      </w:r>
      <w:r w:rsidRPr="00C9680B">
        <w:rPr>
          <w:i/>
        </w:rPr>
        <w:t>bilaga 2</w:t>
      </w:r>
      <w:r w:rsidRPr="00C9680B">
        <w:t xml:space="preserve"> i betänka</w:t>
      </w:r>
      <w:r w:rsidRPr="00C9680B">
        <w:t>n</w:t>
      </w:r>
      <w:r w:rsidRPr="00C9680B">
        <w:t xml:space="preserve">det. </w:t>
      </w:r>
    </w:p>
    <w:p w:rsidR="001C7BF9" w:rsidRPr="00C9680B" w:rsidRDefault="001C7BF9">
      <w:pPr>
        <w:pStyle w:val="Normaltindrag"/>
        <w:rPr>
          <w:b/>
        </w:rPr>
      </w:pPr>
      <w:r w:rsidRPr="00C9680B">
        <w:t xml:space="preserve">Utskottet föreslår vissa justeringar i förhållande till regeringens förslag (avsnitt 3.9). Utskottets förslag till ändringar finns i </w:t>
      </w:r>
      <w:r w:rsidRPr="00C9680B">
        <w:rPr>
          <w:i/>
        </w:rPr>
        <w:t xml:space="preserve">bilaga 3 </w:t>
      </w:r>
      <w:r w:rsidRPr="00C9680B">
        <w:t>i</w:t>
      </w:r>
      <w:r w:rsidRPr="00C9680B">
        <w:rPr>
          <w:i/>
        </w:rPr>
        <w:t xml:space="preserve"> </w:t>
      </w:r>
      <w:r w:rsidRPr="00C9680B">
        <w:t>betänka</w:t>
      </w:r>
      <w:r w:rsidRPr="00C9680B">
        <w:t>n</w:t>
      </w:r>
      <w:r w:rsidRPr="00C9680B">
        <w:t>det</w:t>
      </w:r>
      <w:r w:rsidRPr="00C9680B">
        <w:rPr>
          <w:i/>
        </w:rPr>
        <w:t>.</w:t>
      </w:r>
    </w:p>
    <w:p w:rsidR="001C7BF9" w:rsidRPr="00C9680B" w:rsidRDefault="001C7BF9">
      <w:pPr>
        <w:pStyle w:val="Normaltindrag"/>
      </w:pPr>
      <w:r w:rsidRPr="00C9680B">
        <w:t>Utskottet har dessutom överlämnat förslaget till lag om ändring i 7 kap. 1 § mervärdesskatte</w:t>
      </w:r>
      <w:r w:rsidRPr="00C9680B">
        <w:softHyphen/>
        <w:t>lagen (1994:200) till skatteutskottet för en lagteknisk sa</w:t>
      </w:r>
      <w:r w:rsidRPr="00C9680B">
        <w:t>m</w:t>
      </w:r>
      <w:r w:rsidRPr="00C9680B">
        <w:t>ordning med det förslag om ändring i samma paragraf som läggs fram i pr</w:t>
      </w:r>
      <w:r w:rsidRPr="00C9680B">
        <w:t>o</w:t>
      </w:r>
      <w:r w:rsidRPr="00C9680B">
        <w:t>position 2000/01:23 om sänkt mervärdesskatt på tillträde till djurpa</w:t>
      </w:r>
      <w:r w:rsidRPr="00C9680B">
        <w:t>r</w:t>
      </w:r>
      <w:r w:rsidRPr="00C9680B">
        <w:t>ker.</w:t>
      </w:r>
    </w:p>
    <w:p w:rsidR="001C7BF9" w:rsidRPr="00C9680B" w:rsidRDefault="001C7BF9">
      <w:pPr>
        <w:pStyle w:val="Rubrik4"/>
        <w:rPr>
          <w:noProof w:val="0"/>
        </w:rPr>
      </w:pPr>
      <w:bookmarkStart w:id="56" w:name="_Toc498763483"/>
      <w:bookmarkStart w:id="57" w:name="_Toc498910652"/>
      <w:r w:rsidRPr="00C9680B">
        <w:rPr>
          <w:noProof w:val="0"/>
        </w:rPr>
        <w:t>Lagrådets yttrande</w:t>
      </w:r>
      <w:bookmarkEnd w:id="49"/>
      <w:bookmarkEnd w:id="50"/>
      <w:bookmarkEnd w:id="51"/>
      <w:bookmarkEnd w:id="56"/>
      <w:bookmarkEnd w:id="57"/>
    </w:p>
    <w:p w:rsidR="001C7BF9" w:rsidRPr="00C9680B" w:rsidRDefault="001C7BF9">
      <w:r w:rsidRPr="00C9680B">
        <w:t>Finansutskottet har under ärendets behandling inhämtat Lagrådets yttrande över förslaget till lag om underlag för förmögenhetsskatt i vissa fall vid 2001 års taxering (propositionens punkt 33). Lagrå</w:t>
      </w:r>
      <w:r w:rsidRPr="00C9680B">
        <w:softHyphen/>
        <w:t>det har föreslagit en viss o</w:t>
      </w:r>
      <w:r w:rsidRPr="00C9680B">
        <w:t>m</w:t>
      </w:r>
      <w:r w:rsidRPr="00C9680B">
        <w:t xml:space="preserve">formulering av lagtexten. Utskottet tillstyrker Lagrådets förslag till ändring. </w:t>
      </w:r>
    </w:p>
    <w:p w:rsidR="001C7BF9" w:rsidRPr="00C9680B" w:rsidRDefault="001C7BF9">
      <w:r w:rsidRPr="00C9680B">
        <w:t xml:space="preserve">Yttrandet återfinns i </w:t>
      </w:r>
      <w:r w:rsidRPr="00C9680B">
        <w:rPr>
          <w:i/>
        </w:rPr>
        <w:t>bilaga 4</w:t>
      </w:r>
      <w:r w:rsidRPr="00C9680B">
        <w:t xml:space="preserve"> till betänkandet.</w:t>
      </w:r>
    </w:p>
    <w:p w:rsidR="001C7BF9" w:rsidRPr="00C9680B" w:rsidRDefault="001C7BF9">
      <w:pPr>
        <w:pStyle w:val="Rubrik3"/>
        <w:rPr>
          <w:noProof w:val="0"/>
        </w:rPr>
      </w:pPr>
      <w:bookmarkStart w:id="58" w:name="_Toc436662441"/>
      <w:bookmarkStart w:id="59" w:name="_Toc466097711"/>
      <w:bookmarkStart w:id="60" w:name="_Toc466882323"/>
      <w:bookmarkStart w:id="61" w:name="_Toc498763484"/>
      <w:bookmarkStart w:id="62" w:name="_Toc498910653"/>
      <w:r w:rsidRPr="00C9680B">
        <w:rPr>
          <w:noProof w:val="0"/>
        </w:rPr>
        <w:t>Yttranden från andra utskott</w:t>
      </w:r>
      <w:bookmarkEnd w:id="58"/>
      <w:bookmarkEnd w:id="59"/>
      <w:bookmarkEnd w:id="60"/>
      <w:bookmarkEnd w:id="61"/>
      <w:bookmarkEnd w:id="62"/>
    </w:p>
    <w:p w:rsidR="001C7BF9" w:rsidRPr="00C9680B" w:rsidRDefault="001C7BF9">
      <w:pPr>
        <w:pStyle w:val="Vinkela"/>
      </w:pPr>
      <w:r w:rsidRPr="00C9680B">
        <w:t>Yttranden över budgetpropositionens förslag jämte motioner i de delar som berör respektive utskotts beredningsområde har inkommit från</w:t>
      </w:r>
    </w:p>
    <w:p w:rsidR="001C7BF9" w:rsidRPr="00C9680B" w:rsidRDefault="001C7BF9">
      <w:pPr>
        <w:pStyle w:val="Vinkela"/>
      </w:pPr>
      <w:r w:rsidRPr="00C9680B">
        <w:t xml:space="preserve">– konstitutionsutskottet (2000/01:KU1y), </w:t>
      </w:r>
    </w:p>
    <w:p w:rsidR="001C7BF9" w:rsidRPr="00C9680B" w:rsidRDefault="001C7BF9">
      <w:pPr>
        <w:spacing w:before="0"/>
      </w:pPr>
      <w:r w:rsidRPr="00C9680B">
        <w:t xml:space="preserve">– skatteutskottet (2000/01:SkU1y), </w:t>
      </w:r>
    </w:p>
    <w:p w:rsidR="001C7BF9" w:rsidRPr="00C9680B" w:rsidRDefault="001C7BF9">
      <w:pPr>
        <w:spacing w:before="0"/>
      </w:pPr>
      <w:r w:rsidRPr="00C9680B">
        <w:t>– justitieutskottet (2000/01:JuU1y),</w:t>
      </w:r>
    </w:p>
    <w:p w:rsidR="001C7BF9" w:rsidRPr="00C9680B" w:rsidRDefault="001C7BF9">
      <w:pPr>
        <w:spacing w:before="0"/>
      </w:pPr>
      <w:r w:rsidRPr="00C9680B">
        <w:t>– utrikesutskottet (2000/01:UU1y),</w:t>
      </w:r>
    </w:p>
    <w:p w:rsidR="001C7BF9" w:rsidRPr="00C9680B" w:rsidRDefault="001C7BF9">
      <w:pPr>
        <w:spacing w:before="0"/>
      </w:pPr>
      <w:r w:rsidRPr="00C9680B">
        <w:t>– försvarsutskottet (2000/01:FöU1y),</w:t>
      </w:r>
    </w:p>
    <w:p w:rsidR="001C7BF9" w:rsidRPr="00C9680B" w:rsidRDefault="001C7BF9">
      <w:pPr>
        <w:spacing w:before="0"/>
      </w:pPr>
      <w:r w:rsidRPr="00C9680B">
        <w:t>– socialförsäkringsutskottet (2000/01:SfU1y),</w:t>
      </w:r>
    </w:p>
    <w:p w:rsidR="001C7BF9" w:rsidRPr="00C9680B" w:rsidRDefault="001C7BF9">
      <w:pPr>
        <w:spacing w:before="0"/>
      </w:pPr>
      <w:r w:rsidRPr="00C9680B">
        <w:t>– socialutskottet (2000/01:SoU1y),</w:t>
      </w:r>
    </w:p>
    <w:p w:rsidR="001C7BF9" w:rsidRPr="00C9680B" w:rsidRDefault="001C7BF9">
      <w:pPr>
        <w:spacing w:before="0"/>
      </w:pPr>
      <w:r w:rsidRPr="00C9680B">
        <w:t>– kulturutskottet (protokollsutdrag 2000/01:2.1),</w:t>
      </w:r>
    </w:p>
    <w:p w:rsidR="001C7BF9" w:rsidRPr="00C9680B" w:rsidRDefault="001C7BF9">
      <w:pPr>
        <w:spacing w:before="0"/>
      </w:pPr>
      <w:r w:rsidRPr="00C9680B">
        <w:t>– trafikutskottet (protokollsutdrag 2000/01:3.2),</w:t>
      </w:r>
    </w:p>
    <w:p w:rsidR="001C7BF9" w:rsidRPr="00C9680B" w:rsidRDefault="001C7BF9">
      <w:pPr>
        <w:spacing w:before="0"/>
      </w:pPr>
      <w:r w:rsidRPr="00C9680B">
        <w:t>– näringsutskottet (protokollsutdrag 2000/01:4.4),</w:t>
      </w:r>
    </w:p>
    <w:p w:rsidR="001C7BF9" w:rsidRPr="00C9680B" w:rsidRDefault="001C7BF9">
      <w:pPr>
        <w:spacing w:before="0"/>
      </w:pPr>
      <w:r w:rsidRPr="00C9680B">
        <w:t xml:space="preserve">– arbetsmarknadsutskottet (protokollsutdrag 2000/01:5 bilagorna 3 och 4) och </w:t>
      </w:r>
    </w:p>
    <w:p w:rsidR="001C7BF9" w:rsidRPr="00C9680B" w:rsidRDefault="001C7BF9">
      <w:pPr>
        <w:spacing w:before="0"/>
      </w:pPr>
      <w:r w:rsidRPr="00C9680B">
        <w:t>– bostadsutsko</w:t>
      </w:r>
      <w:r w:rsidRPr="00C9680B">
        <w:t>t</w:t>
      </w:r>
      <w:r w:rsidRPr="00C9680B">
        <w:t xml:space="preserve">tet (2000/01:BoU1y). </w:t>
      </w:r>
    </w:p>
    <w:p w:rsidR="001C7BF9" w:rsidRPr="00C9680B" w:rsidRDefault="001C7BF9">
      <w:pPr>
        <w:pStyle w:val="Vinkela"/>
      </w:pPr>
      <w:r w:rsidRPr="00C9680B">
        <w:t xml:space="preserve">Yttrandena återfinns i </w:t>
      </w:r>
      <w:r w:rsidRPr="00C9680B">
        <w:rPr>
          <w:i/>
        </w:rPr>
        <w:t>bilagorna 5–16</w:t>
      </w:r>
      <w:r w:rsidRPr="00C9680B">
        <w:t xml:space="preserve"> i</w:t>
      </w:r>
      <w:r w:rsidRPr="00C9680B">
        <w:rPr>
          <w:i/>
        </w:rPr>
        <w:t xml:space="preserve"> del 2</w:t>
      </w:r>
      <w:r w:rsidRPr="00C9680B">
        <w:t xml:space="preserve"> av betänkandet.</w:t>
      </w:r>
    </w:p>
    <w:p w:rsidR="001C7BF9" w:rsidRPr="00C9680B" w:rsidRDefault="001C7BF9">
      <w:r w:rsidRPr="00C9680B">
        <w:t>Utbildningsutskottet samt miljö- och jordbruksutskottet har avstått från att yttra sig.</w:t>
      </w:r>
    </w:p>
    <w:p w:rsidR="001C7BF9" w:rsidRPr="00C9680B" w:rsidRDefault="001C7BF9">
      <w:pPr>
        <w:pStyle w:val="Rubrik3"/>
        <w:rPr>
          <w:noProof w:val="0"/>
        </w:rPr>
      </w:pPr>
      <w:bookmarkStart w:id="63" w:name="_Toc372919485"/>
      <w:bookmarkStart w:id="64" w:name="_Toc372921826"/>
      <w:bookmarkStart w:id="65" w:name="_Toc403824084"/>
      <w:bookmarkStart w:id="66" w:name="_Toc404084261"/>
      <w:bookmarkStart w:id="67" w:name="_Toc436662442"/>
      <w:bookmarkStart w:id="68" w:name="_Toc466097712"/>
      <w:bookmarkStart w:id="69" w:name="_Toc466882324"/>
      <w:bookmarkStart w:id="70" w:name="_Toc498763485"/>
      <w:bookmarkStart w:id="71" w:name="_Toc498910654"/>
      <w:r w:rsidRPr="00C9680B">
        <w:rPr>
          <w:noProof w:val="0"/>
        </w:rPr>
        <w:t>Utfrågning</w:t>
      </w:r>
      <w:bookmarkEnd w:id="63"/>
      <w:bookmarkEnd w:id="64"/>
      <w:r w:rsidRPr="00C9680B">
        <w:rPr>
          <w:noProof w:val="0"/>
        </w:rPr>
        <w:t>ar</w:t>
      </w:r>
      <w:bookmarkEnd w:id="65"/>
      <w:bookmarkEnd w:id="66"/>
      <w:bookmarkEnd w:id="67"/>
      <w:bookmarkEnd w:id="68"/>
      <w:bookmarkEnd w:id="69"/>
      <w:bookmarkEnd w:id="70"/>
      <w:bookmarkEnd w:id="71"/>
    </w:p>
    <w:p w:rsidR="001C7BF9" w:rsidRPr="00C9680B" w:rsidRDefault="001C7BF9">
      <w:r w:rsidRPr="00C9680B">
        <w:t xml:space="preserve">Utskottet anordnade den 10 oktober 2000 en offentlig utfrågning om </w:t>
      </w:r>
      <w:r w:rsidRPr="00C9680B">
        <w:rPr>
          <w:i/>
        </w:rPr>
        <w:t>den aktuella penningpolitiken</w:t>
      </w:r>
      <w:r w:rsidRPr="00C9680B">
        <w:t xml:space="preserve"> med riksbankschefen Urban Bäc</w:t>
      </w:r>
      <w:r w:rsidRPr="00C9680B">
        <w:t>k</w:t>
      </w:r>
      <w:r w:rsidRPr="00C9680B">
        <w:t xml:space="preserve">ström. </w:t>
      </w:r>
    </w:p>
    <w:p w:rsidR="001C7BF9" w:rsidRPr="00C9680B" w:rsidRDefault="001C7BF9">
      <w:pPr>
        <w:pStyle w:val="Normaltindrag"/>
      </w:pPr>
      <w:r w:rsidRPr="00C9680B">
        <w:t xml:space="preserve">Protokoll från utfrågningen finns i </w:t>
      </w:r>
      <w:r w:rsidRPr="00C9680B">
        <w:rPr>
          <w:i/>
        </w:rPr>
        <w:t>bilaga 17</w:t>
      </w:r>
      <w:r w:rsidRPr="00C9680B">
        <w:t xml:space="preserve"> i </w:t>
      </w:r>
      <w:r w:rsidRPr="00C9680B">
        <w:rPr>
          <w:i/>
        </w:rPr>
        <w:t>del 2</w:t>
      </w:r>
      <w:r w:rsidRPr="00C9680B">
        <w:t xml:space="preserve"> av betänka</w:t>
      </w:r>
      <w:r w:rsidRPr="00C9680B">
        <w:t>n</w:t>
      </w:r>
      <w:r w:rsidRPr="00C9680B">
        <w:t>det.</w:t>
      </w:r>
    </w:p>
    <w:p w:rsidR="001C7BF9" w:rsidRPr="00C9680B" w:rsidRDefault="001C7BF9">
      <w:pPr>
        <w:pStyle w:val="Vinkela"/>
        <w:rPr>
          <w:b/>
        </w:rPr>
      </w:pPr>
      <w:r w:rsidRPr="00C9680B">
        <w:t>Den 26 och 27 oktober 2000 informerade statssekreterare Sven Hegelund och finansrådet Annika Lundius, Finansdepartementet, om statens ägande och fina</w:t>
      </w:r>
      <w:r w:rsidRPr="00C9680B">
        <w:t>n</w:t>
      </w:r>
      <w:r w:rsidRPr="00C9680B">
        <w:t>sieringen av en eventuell nyemission av aktier i OM Gruppen AB.</w:t>
      </w:r>
    </w:p>
    <w:p w:rsidR="001C7BF9" w:rsidRPr="00C9680B" w:rsidRDefault="001C7BF9">
      <w:pPr>
        <w:pStyle w:val="Rubrik3"/>
        <w:rPr>
          <w:noProof w:val="0"/>
        </w:rPr>
      </w:pPr>
      <w:bookmarkStart w:id="72" w:name="_Toc498763486"/>
      <w:bookmarkStart w:id="73" w:name="_Toc498910655"/>
      <w:r w:rsidRPr="00C9680B">
        <w:rPr>
          <w:noProof w:val="0"/>
        </w:rPr>
        <w:t>Skrivelser</w:t>
      </w:r>
      <w:bookmarkEnd w:id="72"/>
      <w:bookmarkEnd w:id="73"/>
    </w:p>
    <w:p w:rsidR="001C7BF9" w:rsidRPr="00C9680B" w:rsidRDefault="001C7BF9">
      <w:r w:rsidRPr="00C9680B">
        <w:t>Skrivelser i ärendet har inkommit från Svenska Kommunförbundet, Sveriges Fastighetsägareförbund, Sveriges Pensionärsförbund och Småhusägare mot boend</w:t>
      </w:r>
      <w:r w:rsidRPr="00C9680B">
        <w:t>e</w:t>
      </w:r>
      <w:r w:rsidRPr="00C9680B">
        <w:t>skatt samt från ett antal privatpersoner.</w:t>
      </w:r>
    </w:p>
    <w:p w:rsidR="001C7BF9" w:rsidRPr="00C9680B" w:rsidRDefault="001C7BF9">
      <w:pPr>
        <w:pStyle w:val="Normaltindrag"/>
        <w:sectPr w:rsidR="00000000" w:rsidRPr="00C9680B">
          <w:headerReference w:type="even" r:id="rId38"/>
          <w:headerReference w:type="default" r:id="rId39"/>
          <w:footerReference w:type="even" r:id="rId40"/>
          <w:footerReference w:type="default" r:id="rId41"/>
          <w:headerReference w:type="first" r:id="rId42"/>
          <w:footerReference w:type="first" r:id="rId43"/>
          <w:footnotePr>
            <w:numRestart w:val="eachSect"/>
          </w:footnotePr>
          <w:pgSz w:w="11906" w:h="16838" w:code="9"/>
          <w:pgMar w:top="907" w:right="4649" w:bottom="4508" w:left="1304" w:header="340" w:footer="227" w:gutter="0"/>
          <w:cols w:space="720"/>
          <w:titlePg/>
        </w:sectPr>
      </w:pPr>
    </w:p>
    <w:p w:rsidR="001C7BF9" w:rsidRPr="00C9680B" w:rsidRDefault="001C7BF9">
      <w:pPr>
        <w:pStyle w:val="Rubrik2"/>
        <w:spacing w:before="0" w:after="680"/>
        <w:rPr>
          <w:sz w:val="32"/>
        </w:rPr>
      </w:pPr>
      <w:bookmarkStart w:id="74" w:name="_Toc498763487"/>
      <w:bookmarkStart w:id="75" w:name="_Toc498910656"/>
      <w:r w:rsidRPr="00C9680B">
        <w:rPr>
          <w:sz w:val="32"/>
        </w:rPr>
        <w:t>Utskottets överväganden</w:t>
      </w:r>
      <w:bookmarkEnd w:id="74"/>
      <w:bookmarkEnd w:id="75"/>
    </w:p>
    <w:p w:rsidR="001C7BF9" w:rsidRPr="00C9680B" w:rsidRDefault="001C7BF9">
      <w:pPr>
        <w:pStyle w:val="Rubrik1"/>
        <w:spacing w:after="62"/>
        <w:rPr>
          <w:b/>
          <w:noProof w:val="0"/>
          <w:sz w:val="27"/>
        </w:rPr>
      </w:pPr>
      <w:bookmarkStart w:id="76" w:name="_Toc498250368"/>
      <w:bookmarkStart w:id="77" w:name="_Toc498910657"/>
      <w:r w:rsidRPr="00C9680B">
        <w:rPr>
          <w:b/>
          <w:noProof w:val="0"/>
          <w:sz w:val="27"/>
        </w:rPr>
        <w:t>1 Den ekonomiska politiken</w:t>
      </w:r>
      <w:bookmarkEnd w:id="76"/>
      <w:bookmarkEnd w:id="77"/>
    </w:p>
    <w:p w:rsidR="001C7BF9" w:rsidRPr="00C9680B" w:rsidRDefault="001C7BF9">
      <w:pPr>
        <w:pStyle w:val="Rubrik2"/>
        <w:spacing w:before="40"/>
      </w:pPr>
      <w:bookmarkStart w:id="78" w:name="_Toc498250369"/>
      <w:bookmarkStart w:id="79" w:name="_Toc498910658"/>
      <w:r w:rsidRPr="00C9680B">
        <w:t>1.1 Den internationella utvecklingen</w:t>
      </w:r>
      <w:bookmarkEnd w:id="78"/>
      <w:bookmarkEnd w:id="79"/>
    </w:p>
    <w:p w:rsidR="001C7BF9" w:rsidRPr="00C9680B" w:rsidRDefault="001C7BF9">
      <w:pPr>
        <w:pStyle w:val="Rubrik3"/>
        <w:spacing w:before="110"/>
        <w:rPr>
          <w:noProof w:val="0"/>
        </w:rPr>
      </w:pPr>
      <w:bookmarkStart w:id="80" w:name="_Toc498250370"/>
      <w:bookmarkStart w:id="81" w:name="_Toc498910659"/>
      <w:r w:rsidRPr="00C9680B">
        <w:rPr>
          <w:noProof w:val="0"/>
        </w:rPr>
        <w:t>1.1.1 Hög tillväxt i  världsekonomin</w:t>
      </w:r>
      <w:bookmarkEnd w:id="80"/>
      <w:bookmarkEnd w:id="81"/>
    </w:p>
    <w:p w:rsidR="001C7BF9" w:rsidRPr="00C9680B" w:rsidRDefault="001C7BF9">
      <w:r w:rsidRPr="00C9680B">
        <w:t>Efter avmattningen 1998/1999 i samband med bl.a. den ekonomiska krisen i delar av Asien, Latinamerika och Ryssland är utsikterna mycket goda för en hög ekonomisk tillväxt i världsekonomin under de kommande åren. Tillvä</w:t>
      </w:r>
      <w:r w:rsidRPr="00C9680B">
        <w:t>x</w:t>
      </w:r>
      <w:r w:rsidRPr="00C9680B">
        <w:t xml:space="preserve">ten tilltar i så gott som alla delar av världen, vilket är en situation som inte inträffat sedan slutet av 1980-talet. </w:t>
      </w:r>
    </w:p>
    <w:p w:rsidR="001C7BF9" w:rsidRPr="00C9680B" w:rsidRDefault="001C7BF9">
      <w:pPr>
        <w:pStyle w:val="Normaltindrag"/>
      </w:pPr>
      <w:r w:rsidRPr="00C9680B">
        <w:t>Uppgången i Förenta staterna, som varit en viktig motor i världsekonomin under senare delen av 1990-talet, dämpas efter de senaste årens historiskt sett mycket höga tillväxttal, men BNP-tillväxten väntas ändå bli relativt hög. I EU stiger däremot tillväxttakten samtidigt som den pågående återhämtningen i Asien och Latinamerika förstärks, enligt regeringens bedömning i budgetpr</w:t>
      </w:r>
      <w:r w:rsidRPr="00C9680B">
        <w:t>o</w:t>
      </w:r>
      <w:r w:rsidRPr="00C9680B">
        <w:t>positionen. Även i Japan ökar tillväxttakten under de närmaste åren, men uppgången är fortfarande bräcklig och regeringen räknar inte med någon kraftig återhäm</w:t>
      </w:r>
      <w:r w:rsidRPr="00C9680B">
        <w:t>t</w:t>
      </w:r>
      <w:r w:rsidRPr="00C9680B">
        <w:t>ning.</w:t>
      </w:r>
    </w:p>
    <w:p w:rsidR="001C7BF9" w:rsidRPr="00C9680B" w:rsidRDefault="001C7BF9">
      <w:pPr>
        <w:pStyle w:val="Normaltindrag"/>
      </w:pPr>
      <w:r w:rsidRPr="00C9680B">
        <w:t>Sammantaget väntas BNP i världen stiga med 4,5 % i år, vilket är drygt 0,5 procentenheter mer än vad regeringen förväntade sig i vårpropositionen. Nästa år sjunker tillväxttakten till 4 %, på grund av den lägre aktiviteten i Förenta staternas ekonomi. Under perioden 2002–2003 sjunker tillväxten ytterligare något, till i genomsnitt  3,7 % per å</w:t>
      </w:r>
      <w:r w:rsidRPr="00C9680B">
        <w:t xml:space="preserve">r. </w:t>
      </w:r>
    </w:p>
    <w:p w:rsidR="001C7BF9" w:rsidRPr="00C9680B" w:rsidRDefault="001C7BF9">
      <w:pPr>
        <w:pStyle w:val="tabellrubrikFiU1"/>
        <w:outlineLvl w:val="0"/>
      </w:pPr>
      <w:r w:rsidRPr="00C9680B">
        <w:t>Diagram 1. Tillväxten i olika delar av världen</w:t>
      </w:r>
    </w:p>
    <w:p w:rsidR="001C7BF9" w:rsidRPr="00C9680B" w:rsidRDefault="001C7BF9">
      <w:pPr>
        <w:spacing w:before="0" w:line="180" w:lineRule="atLeast"/>
        <w:outlineLvl w:val="0"/>
        <w:rPr>
          <w:sz w:val="14"/>
        </w:rPr>
      </w:pPr>
      <w:r w:rsidRPr="00C9680B">
        <w:rPr>
          <w:sz w:val="14"/>
        </w:rPr>
        <w:t>BNP-tillväxt i procent</w:t>
      </w:r>
    </w:p>
    <w:p w:rsidR="001C7BF9" w:rsidRPr="00C9680B" w:rsidRDefault="00C9680B">
      <w:pPr>
        <w:pStyle w:val="Normaltindrag"/>
        <w:ind w:left="-510"/>
      </w:pPr>
      <w:r w:rsidRPr="00C9680B">
        <w:rPr>
          <w:noProof/>
        </w:rPr>
        <w:drawing>
          <wp:inline distT="0" distB="0" distL="0" distR="0">
            <wp:extent cx="4109085" cy="23183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l="-780" t="9393" r="47531" b="30060"/>
                    <a:stretch>
                      <a:fillRect/>
                    </a:stretch>
                  </pic:blipFill>
                  <pic:spPr bwMode="auto">
                    <a:xfrm>
                      <a:off x="0" y="0"/>
                      <a:ext cx="4109085" cy="2318385"/>
                    </a:xfrm>
                    <a:prstGeom prst="rect">
                      <a:avLst/>
                    </a:prstGeom>
                    <a:noFill/>
                    <a:ln>
                      <a:noFill/>
                    </a:ln>
                  </pic:spPr>
                </pic:pic>
              </a:graphicData>
            </a:graphic>
          </wp:inline>
        </w:drawing>
      </w:r>
    </w:p>
    <w:p w:rsidR="001C7BF9" w:rsidRPr="00C9680B" w:rsidRDefault="001C7BF9">
      <w:r w:rsidRPr="00C9680B">
        <w:t>Den högre efterfrågan i världsekonomin, uppgången i EU och Asien samt sammansättningen av den stigande efterfrågan kommer att markant gynna den svenska exportindustrin. Regeringen gör bedömningen att världsmar</w:t>
      </w:r>
      <w:r w:rsidRPr="00C9680B">
        <w:t>k</w:t>
      </w:r>
      <w:r w:rsidRPr="00C9680B">
        <w:t>nadstillväxten för den svenska exporten nästan fördubblas i år, från 5,5 % i fjol till 10,1 % i år. Nästa år väntas den öka med 8,6 %.</w:t>
      </w:r>
    </w:p>
    <w:p w:rsidR="001C7BF9" w:rsidRPr="00C9680B" w:rsidRDefault="001C7BF9">
      <w:pPr>
        <w:pStyle w:val="tabellrubrikFiU1"/>
        <w:outlineLvl w:val="0"/>
      </w:pPr>
      <w:r w:rsidRPr="00C9680B">
        <w:t xml:space="preserve">Tabell 1. Tillväxt, inflation och arbetslöshet i världsekonomin </w:t>
      </w:r>
    </w:p>
    <w:p w:rsidR="001C7BF9" w:rsidRPr="00C9680B" w:rsidRDefault="00C9680B">
      <w:pPr>
        <w:pStyle w:val="Tabell"/>
        <w:spacing w:line="240" w:lineRule="atLeast"/>
      </w:pPr>
      <w:r w:rsidRPr="00C9680B">
        <w:rPr>
          <w:noProof/>
        </w:rPr>
        <w:drawing>
          <wp:inline distT="0" distB="0" distL="0" distR="0">
            <wp:extent cx="3494405" cy="47351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94405" cy="4735195"/>
                    </a:xfrm>
                    <a:prstGeom prst="rect">
                      <a:avLst/>
                    </a:prstGeom>
                    <a:noFill/>
                    <a:ln>
                      <a:noFill/>
                    </a:ln>
                  </pic:spPr>
                </pic:pic>
              </a:graphicData>
            </a:graphic>
          </wp:inline>
        </w:drawing>
      </w:r>
    </w:p>
    <w:p w:rsidR="001C7BF9" w:rsidRPr="00C9680B" w:rsidRDefault="001C7BF9">
      <w:pPr>
        <w:pStyle w:val="Rubrik3"/>
        <w:rPr>
          <w:noProof w:val="0"/>
        </w:rPr>
      </w:pPr>
      <w:bookmarkStart w:id="82" w:name="_Toc498250371"/>
      <w:bookmarkStart w:id="83" w:name="_Toc498910660"/>
      <w:r w:rsidRPr="00C9680B">
        <w:rPr>
          <w:noProof w:val="0"/>
        </w:rPr>
        <w:t>1.1.2 Mjuklandning i Förenta staterna</w:t>
      </w:r>
      <w:bookmarkEnd w:id="82"/>
      <w:bookmarkEnd w:id="83"/>
      <w:r w:rsidRPr="00C9680B">
        <w:rPr>
          <w:noProof w:val="0"/>
        </w:rPr>
        <w:t xml:space="preserve"> </w:t>
      </w:r>
    </w:p>
    <w:p w:rsidR="001C7BF9" w:rsidRPr="00C9680B" w:rsidRDefault="001C7BF9">
      <w:r w:rsidRPr="00C9680B">
        <w:t xml:space="preserve">Uppgången i Förenta staternas ekonomi är nu inne på sitt tionde år (enligt det amerikanska konjunkturinstitutet, National Bureau of Economic Research </w:t>
      </w:r>
      <w:r w:rsidRPr="00C9680B">
        <w:sym w:font="Symbol" w:char="F05B"/>
      </w:r>
      <w:r w:rsidRPr="00C9680B">
        <w:t>NBER</w:t>
      </w:r>
      <w:r w:rsidRPr="00C9680B">
        <w:sym w:font="Symbol" w:char="F05D"/>
      </w:r>
      <w:r w:rsidRPr="00C9680B">
        <w:t xml:space="preserve"> påbörjades den nuvarande expansionen i mars 1991, i samband med att det s.k. Kuwaitkriget tog slut). Regeringen räknar i budgetpropositionen med att konjunkturen når sin topp i år med en tillväxttakt på 5 %. Det är den högsta tillväxttakt som noterats i Förenta staterna sedan början av 1970-talet, om man undantar 1984 då BNP steg med 7 %. Precis som tidigare drivs årets tillväxt av en stark privat konsumtion som framför allt understöds av den stigande sysselsättningen, en historiskt låg arbetslöshet </w:t>
      </w:r>
      <w:r w:rsidRPr="00C9680B">
        <w:t>och stigande reali</w:t>
      </w:r>
      <w:r w:rsidRPr="00C9680B">
        <w:t>n</w:t>
      </w:r>
      <w:r w:rsidRPr="00C9680B">
        <w:t>komster. Konsumtionen och den snabba uppgången i produktiviteten och därmed förväntningar om stigande vinster har också gett en hög investering</w:t>
      </w:r>
      <w:r w:rsidRPr="00C9680B">
        <w:t>s</w:t>
      </w:r>
      <w:r w:rsidRPr="00C9680B">
        <w:t>verksamhet, framför allt inom den IT–relaterade sektorn. Spegelbilden av den kraftiga konsumtionen är ett lågt privat finansiellt sparande och ett rekordhögt underskott i bytesbalansen på mo</w:t>
      </w:r>
      <w:r w:rsidRPr="00C9680B">
        <w:t>t</w:t>
      </w:r>
      <w:r w:rsidRPr="00C9680B">
        <w:t>svarande ungefär 4 % av BNP.</w:t>
      </w:r>
    </w:p>
    <w:p w:rsidR="001C7BF9" w:rsidRPr="00C9680B" w:rsidRDefault="001C7BF9">
      <w:pPr>
        <w:pStyle w:val="Normaltindrag"/>
      </w:pPr>
      <w:r w:rsidRPr="00C9680B">
        <w:t>Trots den höga tillväxten har inflationen varit relativt blygsam. De senaste månaderna har dock pristrycket ökat, främst till föl</w:t>
      </w:r>
      <w:r w:rsidRPr="00C9680B">
        <w:t>jd av det stigande oljepr</w:t>
      </w:r>
      <w:r w:rsidRPr="00C9680B">
        <w:t>i</w:t>
      </w:r>
      <w:r w:rsidRPr="00C9680B">
        <w:t>set och det stora suget efter arbetskraft. För att motverka en högre prisö</w:t>
      </w:r>
      <w:r w:rsidRPr="00C9680B">
        <w:t>k</w:t>
      </w:r>
      <w:r w:rsidRPr="00C9680B">
        <w:t>ningstakt har centralbanken, Federal Reserve, successivt höjt styrräntorna, senast vid mitten av maj i år, till en nivå på 6,5 %.</w:t>
      </w:r>
    </w:p>
    <w:p w:rsidR="001C7BF9" w:rsidRPr="00C9680B" w:rsidRDefault="001C7BF9">
      <w:pPr>
        <w:pStyle w:val="Normaltindrag"/>
      </w:pPr>
      <w:r w:rsidRPr="00C9680B">
        <w:t>Regeringen gör bedömningen att de högre räntorna, höga oljepriser och en svag utveckling av aktiekurserna leder till att aktiviteten i Förenta staternas ekonomi dämpas under de närmaste åren. Redan nu finns tecken på att hu</w:t>
      </w:r>
      <w:r w:rsidRPr="00C9680B">
        <w:t>s</w:t>
      </w:r>
      <w:r w:rsidRPr="00C9680B">
        <w:t>hållens konsumtion mattats av samtidigt som aktiviteten på bostadsmarkn</w:t>
      </w:r>
      <w:r w:rsidRPr="00C9680B">
        <w:t>a</w:t>
      </w:r>
      <w:r w:rsidRPr="00C9680B">
        <w:t>den avtagit. Till exempel har försäljningen och konsumtionen av varaktiga varor dämpats ganska markant hittills i år. Även investeringarna dämpas till följd av den högre räntenivån och ökade arbetskraftskostnader. Detta betyder, enligt regeringens bedömning, att tillväxttakten under nästa år mjuklandar på omkring 3 %, samt</w:t>
      </w:r>
      <w:r w:rsidRPr="00C9680B">
        <w:t>i</w:t>
      </w:r>
      <w:r w:rsidRPr="00C9680B">
        <w:t>digt som pristrycket i ekonomin avtar.</w:t>
      </w:r>
    </w:p>
    <w:p w:rsidR="001C7BF9" w:rsidRPr="00C9680B" w:rsidRDefault="001C7BF9">
      <w:pPr>
        <w:pStyle w:val="Normaltindrag"/>
      </w:pPr>
      <w:r w:rsidRPr="00C9680B">
        <w:t>Flertalet prognosmakare har under de senaste åren ganska grovt misstagit si</w:t>
      </w:r>
      <w:r w:rsidRPr="00C9680B">
        <w:t>g på styrkan i Förenta staternas ekonomi. En viktig fråga när det gäller bedömningen av Förenta staternas framtida tillväxt är om de senaste årens snabba uppgång i produktiviteten är hållbar. Fortsätter produktiviteten att växa och därmed också den möjliga BNP-tillväxten kan tillväxttakten i Fö</w:t>
      </w:r>
      <w:r w:rsidRPr="00C9680B">
        <w:t>r</w:t>
      </w:r>
      <w:r w:rsidRPr="00C9680B">
        <w:t>enta staterna under de närmaste åren bli högre än förväntat. En utebliven avmattning i konjunkturen kan emellertid leda till att styrräntorna höjs kraftigt och att nedgången i aktiviteten blir mer abrupt och tillväxt</w:t>
      </w:r>
      <w:r w:rsidRPr="00C9680B">
        <w:t>en under nästa år blir lägre än vad som förutses i budgetpropos</w:t>
      </w:r>
      <w:r w:rsidRPr="00C9680B">
        <w:t>i</w:t>
      </w:r>
      <w:r w:rsidRPr="00C9680B">
        <w:t>tionen.</w:t>
      </w:r>
    </w:p>
    <w:p w:rsidR="001C7BF9" w:rsidRPr="00C9680B" w:rsidRDefault="001C7BF9">
      <w:pPr>
        <w:pStyle w:val="Rubrik3"/>
        <w:rPr>
          <w:noProof w:val="0"/>
        </w:rPr>
      </w:pPr>
      <w:bookmarkStart w:id="84" w:name="_Toc498250372"/>
      <w:bookmarkStart w:id="85" w:name="_Toc498910661"/>
      <w:r w:rsidRPr="00C9680B">
        <w:rPr>
          <w:noProof w:val="0"/>
        </w:rPr>
        <w:t>1.1.3 Frågetecken i Japan men stark återhämtning i övriga Asien</w:t>
      </w:r>
      <w:bookmarkEnd w:id="84"/>
      <w:bookmarkEnd w:id="85"/>
    </w:p>
    <w:p w:rsidR="001C7BF9" w:rsidRPr="00C9680B" w:rsidRDefault="001C7BF9">
      <w:r w:rsidRPr="00C9680B">
        <w:t>Japan brottas sedan mitten av 1990-talet med en deflationistisk ekonomisk utveckling, med en obefintlig inflation, svag tillväxt, stigande arbetslöshet, och kraftigt försämrade statsfinanser. Utvecklingen under första halvåret i år tyder på en fortsatt, om än svag återhämtning i den japanska ekonomin. I</w:t>
      </w:r>
      <w:r w:rsidRPr="00C9680B">
        <w:t>n</w:t>
      </w:r>
      <w:r w:rsidRPr="00C9680B">
        <w:t>dustriproduktionen har ökat relativt kraftigt sedan årsskiftet samtidigt som investeringarna och vinstnivån i näringslivet stigit. Framför allt är det en stigande export till övriga länder i Asien som driver upp produkti</w:t>
      </w:r>
      <w:r w:rsidRPr="00C9680B">
        <w:t>o</w:t>
      </w:r>
      <w:r w:rsidRPr="00C9680B">
        <w:t>nen.</w:t>
      </w:r>
    </w:p>
    <w:p w:rsidR="001C7BF9" w:rsidRPr="00C9680B" w:rsidRDefault="001C7BF9">
      <w:pPr>
        <w:pStyle w:val="Normaltindrag"/>
      </w:pPr>
      <w:r w:rsidRPr="00C9680B">
        <w:t>Dessvärre finns det inga tydliga tecken på en mer varaktig återhämtning i den inhemska japanska ekonomin. Arbetslösheten är rekordhög med japanska mått mätt och inkomsterna för de japanska hushållen utvecklas svagt. Den japanska centralbanken, som sedan början av 1999 fört en nollränt</w:t>
      </w:r>
      <w:r w:rsidRPr="00C9680B">
        <w:t>epolitik, höjde nyligen styrräntan med 0,25 procentenheter, men fortfarande är infl</w:t>
      </w:r>
      <w:r w:rsidRPr="00C9680B">
        <w:t>a</w:t>
      </w:r>
      <w:r w:rsidRPr="00C9680B">
        <w:t>tionstakten i det närmaste noll och återhämtningen i ekonomin skör. Bland riskerna för en fortsatt dämpad utveckling finns den snabbt växande statsskulden som i år förväntas bli störst i hela OECD-området. Dessutom visar de offentliga finanserna ett unde</w:t>
      </w:r>
      <w:r w:rsidRPr="00C9680B">
        <w:t>r</w:t>
      </w:r>
      <w:r w:rsidRPr="00C9680B">
        <w:t>skott motsvarande 6–7 % av BNP.</w:t>
      </w:r>
    </w:p>
    <w:p w:rsidR="001C7BF9" w:rsidRPr="00C9680B" w:rsidRDefault="001C7BF9">
      <w:pPr>
        <w:pStyle w:val="Normaltindrag"/>
      </w:pPr>
      <w:r w:rsidRPr="00C9680B">
        <w:t>Regeringen räknar i budgetpropositionen med att Japans BNP i år stiger med 1,2 % för att öka med 1,4 % 2001.</w:t>
      </w:r>
    </w:p>
    <w:p w:rsidR="001C7BF9" w:rsidRPr="00C9680B" w:rsidRDefault="001C7BF9">
      <w:pPr>
        <w:pStyle w:val="Normaltindrag"/>
      </w:pPr>
      <w:r w:rsidRPr="00C9680B">
        <w:t>Uppgången i de tidigare krisdrabbade länderna i Sydostasien fortsätter att tillta. Återhämtningen, som hittills i huvudsak berott på ökad export, blir nu bredare och driven av en starkt stigande inhemsk efterfrågan. Regeringen gör bedömningen att BNP i regionen som helhet stiger med omkring 6,5 % i år och drygt 6 % nästa år.</w:t>
      </w:r>
    </w:p>
    <w:p w:rsidR="001C7BF9" w:rsidRPr="00C9680B" w:rsidRDefault="001C7BF9">
      <w:pPr>
        <w:pStyle w:val="Rubrik3"/>
        <w:rPr>
          <w:noProof w:val="0"/>
        </w:rPr>
      </w:pPr>
      <w:bookmarkStart w:id="86" w:name="_Toc498250373"/>
      <w:bookmarkStart w:id="87" w:name="_Toc498910662"/>
      <w:r w:rsidRPr="00C9680B">
        <w:rPr>
          <w:noProof w:val="0"/>
        </w:rPr>
        <w:t>1.1.4 Hög och bredare tillväxt i Europa</w:t>
      </w:r>
      <w:bookmarkEnd w:id="86"/>
      <w:bookmarkEnd w:id="87"/>
    </w:p>
    <w:p w:rsidR="001C7BF9" w:rsidRPr="00C9680B" w:rsidRDefault="001C7BF9">
      <w:r w:rsidRPr="00C9680B">
        <w:t>Den ekonomiska statistiken för första halvåret i år visar på en stark uppgång i industrikonjunkturen i EMU-länderna samtidigt som hushållens förtroende och förväntningar om den framtida ekonomiska utvecklingen ligger kvar på en historiskt hög nivå. Detta i kombination med stigande sysselsättning, ök</w:t>
      </w:r>
      <w:r w:rsidRPr="00C9680B">
        <w:t>a</w:t>
      </w:r>
      <w:r w:rsidRPr="00C9680B">
        <w:t>de inkomster, förbättrade offentliga finanser, planerade skattesänkningar i flera större euroländer, relativt låga räntor, svag euro och en god internati</w:t>
      </w:r>
      <w:r w:rsidRPr="00C9680B">
        <w:t>o</w:t>
      </w:r>
      <w:r w:rsidRPr="00C9680B">
        <w:t>nell tillväxt talar för en hög tillväxt i o</w:t>
      </w:r>
      <w:r w:rsidRPr="00C9680B">
        <w:t>m</w:t>
      </w:r>
      <w:r w:rsidRPr="00C9680B">
        <w:t>rådet under de närmaste åren.</w:t>
      </w:r>
    </w:p>
    <w:p w:rsidR="001C7BF9" w:rsidRPr="00C9680B" w:rsidRDefault="001C7BF9">
      <w:pPr>
        <w:pStyle w:val="Normaltindrag"/>
      </w:pPr>
      <w:r w:rsidRPr="00C9680B">
        <w:t>Regeringen bedömer i budgetpropositionen att BNP i euroområdet i g</w:t>
      </w:r>
      <w:r w:rsidRPr="00C9680B">
        <w:t>e</w:t>
      </w:r>
      <w:r w:rsidRPr="00C9680B">
        <w:t>nomsnitt stiger med 3,5 % i år, efter en uppgång i fjol på 2,4 %. Nästa år väntas en tillväxttakt på 3,2 %, dvs. något lägre än i år bl.a. till följd av den europeiska centralbankens, ECB:s, räntehöjningar det senaste året och det högre oljepriset. Regeringen antar dessutom att eurons värde på den intern</w:t>
      </w:r>
      <w:r w:rsidRPr="00C9680B">
        <w:t>a</w:t>
      </w:r>
      <w:r w:rsidRPr="00C9680B">
        <w:t>tionella valutamarknaden stiger under perioden, vilket minskar utrikesha</w:t>
      </w:r>
      <w:r w:rsidRPr="00C9680B">
        <w:t>n</w:t>
      </w:r>
      <w:r w:rsidRPr="00C9680B">
        <w:t>delns bidrag till til</w:t>
      </w:r>
      <w:r w:rsidRPr="00C9680B">
        <w:t>l</w:t>
      </w:r>
      <w:r w:rsidRPr="00C9680B">
        <w:t>växten.</w:t>
      </w:r>
    </w:p>
    <w:p w:rsidR="001C7BF9" w:rsidRPr="00C9680B" w:rsidRDefault="001C7BF9">
      <w:pPr>
        <w:pStyle w:val="Normaltindrag"/>
      </w:pPr>
      <w:r w:rsidRPr="00C9680B">
        <w:t>Den tidigare tydliga skillnaden i ekonomisk tillväxt mellan olika länder i euroområdet avtar något fra</w:t>
      </w:r>
      <w:r w:rsidRPr="00C9680B">
        <w:t>möver. Framför allt handlar det om att den ek</w:t>
      </w:r>
      <w:r w:rsidRPr="00C9680B">
        <w:t>o</w:t>
      </w:r>
      <w:r w:rsidRPr="00C9680B">
        <w:t>nomiska aktiviteten i två av de största länderna – Tyskland och Italien – st</w:t>
      </w:r>
      <w:r w:rsidRPr="00C9680B">
        <w:t>i</w:t>
      </w:r>
      <w:r w:rsidRPr="00C9680B">
        <w:t xml:space="preserve">ger. I Tyskland väntas BNP öka både i år och under nästa år med 3 %, jämfört med en uppgång i fjol på 1,6 %. I Italien stiger tillväxttakten till omkring 3 % under 2000 och 2001, efter en situation där Italien under andra hälften av 1990-talet stadigt legat omkring 1 procentenhet under den genomsnittliga tillväxttakten i EU och EMU-området. </w:t>
      </w:r>
    </w:p>
    <w:p w:rsidR="001C7BF9" w:rsidRPr="00C9680B" w:rsidRDefault="001C7BF9">
      <w:pPr>
        <w:pStyle w:val="Normaltindrag"/>
      </w:pPr>
      <w:r w:rsidRPr="00C9680B">
        <w:t>Den högre tillväxten bidrar till att sysselsä</w:t>
      </w:r>
      <w:r w:rsidRPr="00C9680B">
        <w:t>ttningen stiger relativt kraftigt. Reg</w:t>
      </w:r>
      <w:r w:rsidRPr="00C9680B">
        <w:t>e</w:t>
      </w:r>
      <w:r w:rsidRPr="00C9680B">
        <w:t>ringen bedömer i budgetpropositionen att antalet sysselsatta i EMU-området ökar med omkring 1,5 % per år under de kommande åren. Detta betyder i sin tur att arbetslösheten faller med ca 1,5 procentenheter mellan åren 2000 och 2001. Skillnaden mellan länderna är dock ganska stor. I Fran</w:t>
      </w:r>
      <w:r w:rsidRPr="00C9680B">
        <w:t>k</w:t>
      </w:r>
      <w:r w:rsidRPr="00C9680B">
        <w:t>rike väntas en sysselsättningstillväxt på mellan 2–2,5 % per år medan den i Tyskland begränsas till ungefär 1 %. Som framgår av diagram 2 kommer arbetslösheten i EU och euroområdet att f</w:t>
      </w:r>
      <w:r w:rsidRPr="00C9680B">
        <w:t>ortfarande vara betydligt högre än i t.ex. Förenta staterna där arbetslösheten under de senaste åren gått ned till nivåer som få trodde var möjl</w:t>
      </w:r>
      <w:r w:rsidRPr="00C9680B">
        <w:t>i</w:t>
      </w:r>
      <w:r w:rsidRPr="00C9680B">
        <w:t xml:space="preserve">ga för bara några år sedan. </w:t>
      </w:r>
    </w:p>
    <w:p w:rsidR="001C7BF9" w:rsidRPr="00C9680B" w:rsidRDefault="001C7BF9">
      <w:pPr>
        <w:pStyle w:val="Normaltindrag"/>
      </w:pPr>
      <w:r w:rsidRPr="00C9680B">
        <w:t>Inflationen i EMU-området har stadigt stigit sedan mitten av 1999, till en inflationstakt i augusti i år på i genomsnitt 2,3 %. Uppgången förklaras till stor del av det stigande oljepriset och försvagningen av euron. Även när det gäller inflation är skillnaden mellan EMU-länderna relativt stor. Endast Tyskland, Frankrike och Österrike l</w:t>
      </w:r>
      <w:r w:rsidRPr="00C9680B">
        <w:t>åg i augusti under inflationsgenomsnittet medan alla andra länder låg en bra bit över genomsnittet. Irland har den hö</w:t>
      </w:r>
      <w:r w:rsidRPr="00C9680B">
        <w:t>g</w:t>
      </w:r>
      <w:r w:rsidRPr="00C9680B">
        <w:t>sta inflationen med prisökningar över de senaste tolv månaderna på 5,7 % i augusti. Regeringen räknar med att inflationen i EMU-området stiger till i genomsnitt 2,2 % i år för att gå ned till 1,8 % nästa år i takt med att bl.a. euron appreci</w:t>
      </w:r>
      <w:r w:rsidRPr="00C9680B">
        <w:t>e</w:t>
      </w:r>
      <w:r w:rsidRPr="00C9680B">
        <w:t xml:space="preserve">ras. </w:t>
      </w:r>
    </w:p>
    <w:p w:rsidR="001C7BF9" w:rsidRPr="00C9680B" w:rsidRDefault="001C7BF9">
      <w:pPr>
        <w:pStyle w:val="tabellrubrikFiU1"/>
        <w:outlineLvl w:val="0"/>
      </w:pPr>
      <w:r w:rsidRPr="00C9680B">
        <w:t>Diagram 2. Arbetslösheten i euroområdet, EU och Förenta staterna</w:t>
      </w:r>
    </w:p>
    <w:p w:rsidR="001C7BF9" w:rsidRPr="00C9680B" w:rsidRDefault="001C7BF9">
      <w:pPr>
        <w:spacing w:before="0"/>
        <w:outlineLvl w:val="0"/>
        <w:rPr>
          <w:sz w:val="14"/>
        </w:rPr>
      </w:pPr>
      <w:r w:rsidRPr="00C9680B">
        <w:rPr>
          <w:sz w:val="14"/>
        </w:rPr>
        <w:t>Procent av arbetskraften</w:t>
      </w:r>
    </w:p>
    <w:p w:rsidR="001C7BF9" w:rsidRPr="00C9680B" w:rsidRDefault="00C9680B">
      <w:pPr>
        <w:pStyle w:val="Citat"/>
        <w:spacing w:before="122" w:line="240" w:lineRule="atLeast"/>
        <w:ind w:left="-57"/>
      </w:pPr>
      <w:r w:rsidRPr="00C9680B">
        <w:rPr>
          <w:noProof/>
        </w:rPr>
        <w:drawing>
          <wp:inline distT="0" distB="0" distL="0" distR="0">
            <wp:extent cx="3549015" cy="21228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l="780" t="1253" r="29610" b="37575"/>
                    <a:stretch>
                      <a:fillRect/>
                    </a:stretch>
                  </pic:blipFill>
                  <pic:spPr bwMode="auto">
                    <a:xfrm>
                      <a:off x="0" y="0"/>
                      <a:ext cx="3549015" cy="2122805"/>
                    </a:xfrm>
                    <a:prstGeom prst="rect">
                      <a:avLst/>
                    </a:prstGeom>
                    <a:noFill/>
                    <a:ln>
                      <a:noFill/>
                    </a:ln>
                  </pic:spPr>
                </pic:pic>
              </a:graphicData>
            </a:graphic>
          </wp:inline>
        </w:drawing>
      </w:r>
    </w:p>
    <w:p w:rsidR="001C7BF9" w:rsidRPr="00C9680B" w:rsidRDefault="001C7BF9">
      <w:pPr>
        <w:pStyle w:val="Fotnotstext"/>
        <w:outlineLvl w:val="0"/>
        <w:rPr>
          <w:sz w:val="14"/>
        </w:rPr>
      </w:pPr>
      <w:r w:rsidRPr="00C9680B">
        <w:rPr>
          <w:sz w:val="14"/>
        </w:rPr>
        <w:t>Källa: Finansdepartementet</w:t>
      </w:r>
    </w:p>
    <w:p w:rsidR="001C7BF9" w:rsidRPr="00C9680B" w:rsidRDefault="001C7BF9">
      <w:r w:rsidRPr="00C9680B">
        <w:t>Danmark, Norge och Storbritannien är, vid sidan av Tyskland, några av de viktigaste marknaderna för den svenska exportindustrin. Storbritannien är nu inne på sitt åttonde år av hög tillväxttakt. Den främsta drivkraften bakom uppgången är en stark privat konsumtion och regeringen räknar med att den brittiska tillväxttakten i år stiger till 3 %, efter en ökning i fjol på drygt 2 %. Stigande priser till följd av bl.a. en stram arbetsmarknad och en lätt expansiv finanspolitik väntas leda till en ytterligare åt</w:t>
      </w:r>
      <w:r w:rsidRPr="00C9680B">
        <w:t>stramning av penningpolitiken. Det bidrar till att dämpa konsumtionen och den ekonomiska tillväxten under de kommande åren. Under nästa år förväntas tillväxttakten gå ned till 2,6 %. I Norge har den ekonomiska aktiviteten på nytt börjat öka efter avmattningen under framför allt början av 1999. Det är främst hushållskonsumtionen som stiger. Tillväxten i den norska ekonomin ökar till knappt 3 % per år under perioden 2000 till 2001. I Danmark är däremot den inhemska efterfrågan fortsatt svag. Anledningen är bl</w:t>
      </w:r>
      <w:r w:rsidRPr="00C9680B">
        <w:t>.a. att de danska räntorna är högre än i flertalet övriga europeiska länder samtidigt som efterfrågan dämpas av den åtstra</w:t>
      </w:r>
      <w:r w:rsidRPr="00C9680B">
        <w:t>m</w:t>
      </w:r>
      <w:r w:rsidRPr="00C9680B">
        <w:t>ning som den danska regeringen inledde 1998. Till följd av en svagare dansk krona och ett ökat tillväxtbidrag från utrikeshandeln stiger BNP i år med drygt 2 % och med knappt 2,5 % 2001, enligt regeringens bedömning i bu</w:t>
      </w:r>
      <w:r w:rsidRPr="00C9680B">
        <w:t>d</w:t>
      </w:r>
      <w:r w:rsidRPr="00C9680B">
        <w:t>getpropositionen.</w:t>
      </w:r>
    </w:p>
    <w:p w:rsidR="001C7BF9" w:rsidRPr="00C9680B" w:rsidRDefault="001C7BF9">
      <w:pPr>
        <w:pStyle w:val="Rubrik3"/>
        <w:rPr>
          <w:noProof w:val="0"/>
        </w:rPr>
      </w:pPr>
      <w:bookmarkStart w:id="88" w:name="_Toc498250374"/>
      <w:bookmarkStart w:id="89" w:name="_Toc498910663"/>
      <w:r w:rsidRPr="00C9680B">
        <w:rPr>
          <w:noProof w:val="0"/>
        </w:rPr>
        <w:t>1.1.5 Höga oljepriser lyfter den ryska ekonomin</w:t>
      </w:r>
      <w:bookmarkEnd w:id="88"/>
      <w:bookmarkEnd w:id="89"/>
    </w:p>
    <w:p w:rsidR="001C7BF9" w:rsidRPr="00C9680B" w:rsidRDefault="001C7BF9">
      <w:r w:rsidRPr="00C9680B">
        <w:t>Stigande oljepriser och en kraftig depreciering av rubeln är några av förkl</w:t>
      </w:r>
      <w:r w:rsidRPr="00C9680B">
        <w:t>a</w:t>
      </w:r>
      <w:r w:rsidRPr="00C9680B">
        <w:t>ringarna till varför den ryska ekonomin i fjol växte med drygt 3 %, trots den djupa ekonomiska kris som tog fart hösten 1998. Regeringen räknar med att tillväxttakten fortsätter att stiga, till omkring 6 % i år och 5 % nästa år, till följd av bl.a. den nya skattereformen, privatiseringar, avregleringar och andra strukturella reformer i Ryssland. Osäkerheten är dock relativt stor. Kraftigt sjunkande energipriser kan snabbt försämra tillväxtu</w:t>
      </w:r>
      <w:r w:rsidRPr="00C9680B">
        <w:t>t</w:t>
      </w:r>
      <w:r w:rsidRPr="00C9680B">
        <w:t xml:space="preserve">sikterna. </w:t>
      </w:r>
    </w:p>
    <w:p w:rsidR="001C7BF9" w:rsidRPr="00C9680B" w:rsidRDefault="001C7BF9">
      <w:pPr>
        <w:pStyle w:val="Normaltindrag"/>
      </w:pPr>
      <w:r w:rsidRPr="00C9680B">
        <w:t>Till  följd av ett kraftigt inflöde av utländskt kapita</w:t>
      </w:r>
      <w:r w:rsidRPr="00C9680B">
        <w:t>l och en stabil inhemsk efterfrågan växte den polska ekonomin i fjol med ca 4 %. Den förbättrade konjunkturen i EU innebär bl.a. att den polska tillväxttakten stiger till o</w:t>
      </w:r>
      <w:r w:rsidRPr="00C9680B">
        <w:t>m</w:t>
      </w:r>
      <w:r w:rsidRPr="00C9680B">
        <w:t>kring 5 % både i år och under 2001. Bland de baltiska länderna var det endast Lettland som uppvisade en positiv tillväxttakt i fjol, men återhämtningen är nu tydlig i hela regionen. Tillväxten i Estland, Lettland och Litauen kommer sammantaget att uppgå till ca 3,5 % i år och 4,5 % nästa år, enligt regeringens b</w:t>
      </w:r>
      <w:r w:rsidRPr="00C9680B">
        <w:t>e</w:t>
      </w:r>
      <w:r w:rsidRPr="00C9680B">
        <w:t>dömning.</w:t>
      </w:r>
    </w:p>
    <w:p w:rsidR="001C7BF9" w:rsidRPr="00C9680B" w:rsidRDefault="001C7BF9">
      <w:pPr>
        <w:pStyle w:val="Rubrik3"/>
        <w:rPr>
          <w:noProof w:val="0"/>
        </w:rPr>
      </w:pPr>
      <w:bookmarkStart w:id="90" w:name="_Toc498250375"/>
      <w:bookmarkStart w:id="91" w:name="_Toc498910664"/>
      <w:r w:rsidRPr="00C9680B">
        <w:rPr>
          <w:noProof w:val="0"/>
        </w:rPr>
        <w:t>1.1.6 Osäkerhete</w:t>
      </w:r>
      <w:r w:rsidRPr="00C9680B">
        <w:rPr>
          <w:noProof w:val="0"/>
        </w:rPr>
        <w:t>r i den internationella bedömningen</w:t>
      </w:r>
      <w:bookmarkEnd w:id="90"/>
      <w:bookmarkEnd w:id="91"/>
    </w:p>
    <w:p w:rsidR="001C7BF9" w:rsidRPr="00C9680B" w:rsidRDefault="001C7BF9">
      <w:r w:rsidRPr="00C9680B">
        <w:t>Sammanfattningsvis räknar regeringen med att den internationella tillväxten fö</w:t>
      </w:r>
      <w:r w:rsidRPr="00C9680B">
        <w:t>r</w:t>
      </w:r>
      <w:r w:rsidRPr="00C9680B">
        <w:t>bättras under de närmaste åren jämfört med utvecklingen i slutet av 1990-talet. Uppgången blir relativt bred, i den meningen att tillväxten blir hög i de flesta områden eller länder i världsekonomin. I EU förbättras konjunkturen och i de tidigare krisdrabbade länderna i Asien förstärks återhämtningen. I USA förväntas en viss avmattning men tillväxttalen blir ändå jämförelsevis höga. Även i Japan stiger den ekonomiska aktiviteten, men återhämtningen efter 1990-talets defl</w:t>
      </w:r>
      <w:r w:rsidRPr="00C9680B">
        <w:t>a</w:t>
      </w:r>
      <w:r w:rsidRPr="00C9680B">
        <w:t xml:space="preserve">tionsekonomi är svag och utdragen. </w:t>
      </w:r>
    </w:p>
    <w:p w:rsidR="001C7BF9" w:rsidRPr="00C9680B" w:rsidRDefault="001C7BF9">
      <w:pPr>
        <w:pStyle w:val="Normaltindrag"/>
      </w:pPr>
      <w:r w:rsidRPr="00C9680B">
        <w:t>Det finns flera risker i bedömningen av den internationella utvecklingen. En risk är att tillväxten och efterfrågan blir alltför kraftig med den effekten att inflationen ökar. Det skulle i så fall kunna leda till högre räntor än förväntat och därmed även en svagare tillväxt än väntat. Ett annat osäkerhetsmoment är oljeprisets utveckling. Regeringen räknar i budgetpropositionen med att olj</w:t>
      </w:r>
      <w:r w:rsidRPr="00C9680B">
        <w:t>e</w:t>
      </w:r>
      <w:r w:rsidRPr="00C9680B">
        <w:t>priset sjunker under resten av innevarande år och under nästa år. Skulle olj</w:t>
      </w:r>
      <w:r w:rsidRPr="00C9680B">
        <w:t>e</w:t>
      </w:r>
      <w:r w:rsidRPr="00C9680B">
        <w:t>priset ligga kvar på nuvarande höga nivå eller stiga ytterligare innebär det, allt annat lika, en högre inflation och en svagare tillväxt både internationellt och i Sverige. Efterfrågan dämpas genom att hushållens realinkomster och vinste</w:t>
      </w:r>
      <w:r w:rsidRPr="00C9680B">
        <w:t>r</w:t>
      </w:r>
      <w:r w:rsidRPr="00C9680B">
        <w:t>na i företagen utvecklas sämre. Vidare kan de höga oljepriserna i förlängnin</w:t>
      </w:r>
      <w:r w:rsidRPr="00C9680B">
        <w:t>g</w:t>
      </w:r>
      <w:r w:rsidRPr="00C9680B">
        <w:t>en leda till en stramare penningpolitik som i sin tur verkar återhållande på den internationella tillväxten. Ett antal</w:t>
      </w:r>
      <w:r w:rsidRPr="00C9680B">
        <w:t xml:space="preserve"> faktorer kan dock minska effekterna av höga oljepriser. Jämfört med t.ex. situationen under de s.k. oljeprischockerna under 1970-talet är oljeberoendet i dag betydligt lägre än det var då. Des</w:t>
      </w:r>
      <w:r w:rsidRPr="00C9680B">
        <w:t>s</w:t>
      </w:r>
      <w:r w:rsidRPr="00C9680B">
        <w:t xml:space="preserve">utom är det reala oljepriset, trots det senaste årets kraftiga uppgång, i dag betydligt lägre än tidigare. I t.ex. Förenta staterna är det reala oljepriset i dag ungefär en tredjedel av priset vid oljekrisen i slutet av 1970-talet. </w:t>
      </w:r>
    </w:p>
    <w:p w:rsidR="001C7BF9" w:rsidRPr="00C9680B" w:rsidRDefault="001C7BF9">
      <w:pPr>
        <w:pStyle w:val="Normaltindrag"/>
      </w:pPr>
      <w:r w:rsidRPr="00C9680B">
        <w:t>En ytterligare risk är att avmattningen i Förenta staternas ekonomi blir mer dramatis</w:t>
      </w:r>
      <w:r w:rsidRPr="00C9680B">
        <w:t>k än vad som förväntas i regeringens bedömning. Förutom en svag</w:t>
      </w:r>
      <w:r w:rsidRPr="00C9680B">
        <w:t>a</w:t>
      </w:r>
      <w:r w:rsidRPr="00C9680B">
        <w:t>re konjunktur i Förenta staterna skulle en sådan utveckling via finans- och var</w:t>
      </w:r>
      <w:r w:rsidRPr="00C9680B">
        <w:t>u</w:t>
      </w:r>
      <w:r w:rsidRPr="00C9680B">
        <w:t>marknaderna sprida sig till övriga delar av världen.</w:t>
      </w:r>
    </w:p>
    <w:p w:rsidR="001C7BF9" w:rsidRPr="00C9680B" w:rsidRDefault="001C7BF9">
      <w:pPr>
        <w:pStyle w:val="Rubrik2"/>
      </w:pPr>
      <w:bookmarkStart w:id="92" w:name="_Toc498250376"/>
      <w:bookmarkStart w:id="93" w:name="_Toc498910665"/>
      <w:r w:rsidRPr="00C9680B">
        <w:t>1.2 Den ekonomiska utvecklingen i Sverige</w:t>
      </w:r>
      <w:bookmarkEnd w:id="92"/>
      <w:bookmarkEnd w:id="93"/>
    </w:p>
    <w:p w:rsidR="001C7BF9" w:rsidRPr="00C9680B" w:rsidRDefault="001C7BF9">
      <w:pPr>
        <w:pStyle w:val="Rubrik3"/>
        <w:spacing w:before="110"/>
        <w:rPr>
          <w:noProof w:val="0"/>
        </w:rPr>
      </w:pPr>
      <w:bookmarkStart w:id="94" w:name="_Toc498250377"/>
      <w:bookmarkStart w:id="95" w:name="_Toc498910666"/>
      <w:r w:rsidRPr="00C9680B">
        <w:rPr>
          <w:noProof w:val="0"/>
        </w:rPr>
        <w:t>1.2.1 Konjunkturen 2000 och 2001 och utsikterna fram till 2003</w:t>
      </w:r>
      <w:bookmarkEnd w:id="94"/>
      <w:bookmarkEnd w:id="95"/>
    </w:p>
    <w:p w:rsidR="001C7BF9" w:rsidRPr="00C9680B" w:rsidRDefault="001C7BF9">
      <w:r w:rsidRPr="00C9680B">
        <w:t>De senaste årens mycket gynnsamma utveckling i den svenska ekonomin håller i sig. Under de sista två åren på 1990-talet steg den samlade produkti</w:t>
      </w:r>
      <w:r w:rsidRPr="00C9680B">
        <w:t>o</w:t>
      </w:r>
      <w:r w:rsidRPr="00C9680B">
        <w:t>nen i Sverige med i genomsnitt 3,4 % per år. Sysselsättningen ökade under samma period med nära 2 % per år och den öppna arbetslösheten sjönk kra</w:t>
      </w:r>
      <w:r w:rsidRPr="00C9680B">
        <w:t>f</w:t>
      </w:r>
      <w:r w:rsidRPr="00C9680B">
        <w:t>tigt. Samtidigt låg inflationen kvar på en mycket låg nivå. Motorn i förbät</w:t>
      </w:r>
      <w:r w:rsidRPr="00C9680B">
        <w:t>t</w:t>
      </w:r>
      <w:r w:rsidRPr="00C9680B">
        <w:t>ringen har framför allt varit den inhemska efterfrågan, med en kraftigt ökad hushållskonsumtion och omfattande investeringar.</w:t>
      </w:r>
    </w:p>
    <w:p w:rsidR="001C7BF9" w:rsidRPr="00C9680B" w:rsidRDefault="001C7BF9">
      <w:pPr>
        <w:pStyle w:val="Normaltindrag"/>
      </w:pPr>
      <w:r w:rsidRPr="00C9680B">
        <w:t>Det statistiska utfallet under våren och sommaren i år visar att konjunkt</w:t>
      </w:r>
      <w:r w:rsidRPr="00C9680B">
        <w:t>u</w:t>
      </w:r>
      <w:r w:rsidRPr="00C9680B">
        <w:t>ren har fortsatt att förbättrats. Både hushållens konsumtion och industripr</w:t>
      </w:r>
      <w:r w:rsidRPr="00C9680B">
        <w:t>o</w:t>
      </w:r>
      <w:r w:rsidRPr="00C9680B">
        <w:t>duktionen har ökat kraftigt under första halvåret i år. Den oväntat snabba förbättringen av den internationella konjunkturen har också bidragit till en markant ökning av den svenska exporten jämfört med samma period i fjol. Uppgången är bred, i den meningen att samtliga delar i ekonomin växer (e</w:t>
      </w:r>
      <w:r w:rsidRPr="00C9680B">
        <w:t>n</w:t>
      </w:r>
      <w:r w:rsidRPr="00C9680B">
        <w:t xml:space="preserve">ligt Statistiska centralbyrån </w:t>
      </w:r>
      <w:r w:rsidRPr="00C9680B">
        <w:sym w:font="Symbol" w:char="F05B"/>
      </w:r>
      <w:r w:rsidRPr="00C9680B">
        <w:t>SCB</w:t>
      </w:r>
      <w:r w:rsidRPr="00C9680B">
        <w:sym w:font="Symbol" w:char="F05D"/>
      </w:r>
      <w:r w:rsidRPr="00C9680B">
        <w:t xml:space="preserve"> var dock den offentliga konsumtionen oväntat svag under första halvåret i år). Inflationen ligger kvar</w:t>
      </w:r>
      <w:r w:rsidRPr="00C9680B">
        <w:t xml:space="preserve"> på både inte</w:t>
      </w:r>
      <w:r w:rsidRPr="00C9680B">
        <w:t>r</w:t>
      </w:r>
      <w:r w:rsidRPr="00C9680B">
        <w:t>nationellt sett och historiskt sett låg nivå, även om inflationstakten stigit något det senaste året, framför allt till följd av stigande oljepriser. Sysselsättningen har fortsatt att öka samtidigt som arbetslösheten har gått ned ytterlig</w:t>
      </w:r>
      <w:r w:rsidRPr="00C9680B">
        <w:t>a</w:t>
      </w:r>
      <w:r w:rsidRPr="00C9680B">
        <w:t>re.</w:t>
      </w:r>
    </w:p>
    <w:p w:rsidR="001C7BF9" w:rsidRPr="00C9680B" w:rsidRDefault="001C7BF9">
      <w:pPr>
        <w:pStyle w:val="tabellrubrikFiU1"/>
        <w:spacing w:after="0"/>
        <w:outlineLvl w:val="0"/>
      </w:pPr>
      <w:r w:rsidRPr="00C9680B">
        <w:t xml:space="preserve">Diagram 3. De svenska hushållens och företagens framtidstro </w:t>
      </w:r>
      <w:r w:rsidRPr="00C9680B">
        <w:rPr>
          <w:vertAlign w:val="superscript"/>
        </w:rPr>
        <w:t>1</w:t>
      </w:r>
    </w:p>
    <w:p w:rsidR="001C7BF9" w:rsidRPr="00C9680B" w:rsidRDefault="001C7BF9">
      <w:pPr>
        <w:spacing w:line="240" w:lineRule="atLeast"/>
        <w:ind w:left="-57"/>
      </w:pPr>
      <w:r w:rsidRPr="00C9680B">
        <w:t xml:space="preserve"> </w:t>
      </w:r>
      <w:r w:rsidR="00C9680B" w:rsidRPr="00C9680B">
        <w:rPr>
          <w:noProof/>
        </w:rPr>
        <w:drawing>
          <wp:inline distT="0" distB="0" distL="0" distR="0">
            <wp:extent cx="3646805" cy="204089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l="4425" t="4706" b="6273"/>
                    <a:stretch>
                      <a:fillRect/>
                    </a:stretch>
                  </pic:blipFill>
                  <pic:spPr bwMode="auto">
                    <a:xfrm>
                      <a:off x="0" y="0"/>
                      <a:ext cx="3646805" cy="2040890"/>
                    </a:xfrm>
                    <a:prstGeom prst="rect">
                      <a:avLst/>
                    </a:prstGeom>
                    <a:noFill/>
                    <a:ln>
                      <a:noFill/>
                    </a:ln>
                  </pic:spPr>
                </pic:pic>
              </a:graphicData>
            </a:graphic>
          </wp:inline>
        </w:drawing>
      </w:r>
    </w:p>
    <w:p w:rsidR="001C7BF9" w:rsidRPr="00C9680B" w:rsidRDefault="001C7BF9">
      <w:pPr>
        <w:pStyle w:val="Normaltindrag"/>
        <w:spacing w:before="40"/>
        <w:outlineLvl w:val="0"/>
        <w:rPr>
          <w:sz w:val="14"/>
        </w:rPr>
      </w:pPr>
      <w:r w:rsidRPr="00C9680B">
        <w:rPr>
          <w:sz w:val="14"/>
          <w:vertAlign w:val="superscript"/>
        </w:rPr>
        <w:t>1</w:t>
      </w:r>
      <w:r w:rsidRPr="00C9680B">
        <w:rPr>
          <w:sz w:val="14"/>
        </w:rPr>
        <w:t xml:space="preserve"> Skillnaden mellan andelen positiva och negativa</w:t>
      </w:r>
    </w:p>
    <w:p w:rsidR="001C7BF9" w:rsidRPr="00C9680B" w:rsidRDefault="001C7BF9">
      <w:pPr>
        <w:pStyle w:val="Normaltindrag"/>
        <w:spacing w:line="170" w:lineRule="atLeast"/>
        <w:rPr>
          <w:sz w:val="14"/>
        </w:rPr>
      </w:pPr>
      <w:r w:rsidRPr="00C9680B">
        <w:rPr>
          <w:sz w:val="14"/>
        </w:rPr>
        <w:t>Källa: Statistiska centralbyrån</w:t>
      </w:r>
    </w:p>
    <w:p w:rsidR="001C7BF9" w:rsidRPr="00C9680B" w:rsidRDefault="001C7BF9">
      <w:r w:rsidRPr="00C9680B">
        <w:t>Den starka inhemska och internationella efterfrågan, en fortsatt stigande sysselsättning och en ökad produktivitet gör att tillväxten förblir hög även under de närmaste åren, enligt regeringens bedömning i budgetpropositionen. BNP bedöms i år stiga med 3,9 % för att gå upp med ytterligare 3,5 % under 2001. Det är 0,1 respektive 0,5 procentenheter högre än vad regeringen rä</w:t>
      </w:r>
      <w:r w:rsidRPr="00C9680B">
        <w:t>k</w:t>
      </w:r>
      <w:r w:rsidRPr="00C9680B">
        <w:t>nade med i vårpropositionen. Även inflationen bedöms bli fortsatt låg trots den höga tillvä</w:t>
      </w:r>
      <w:r w:rsidRPr="00C9680B">
        <w:t>x</w:t>
      </w:r>
      <w:r w:rsidRPr="00C9680B">
        <w:t>ten och de höga oljepriserna.</w:t>
      </w:r>
    </w:p>
    <w:p w:rsidR="001C7BF9" w:rsidRPr="00C9680B" w:rsidRDefault="001C7BF9">
      <w:pPr>
        <w:pStyle w:val="tabellrubrikFiU1"/>
        <w:outlineLvl w:val="0"/>
        <w:rPr>
          <w:vertAlign w:val="superscript"/>
        </w:rPr>
      </w:pPr>
      <w:r w:rsidRPr="00C9680B">
        <w:t xml:space="preserve">Tabell 2. Bidrag till tillväxten </w:t>
      </w:r>
      <w:r w:rsidRPr="00C9680B">
        <w:rPr>
          <w:vertAlign w:val="superscript"/>
        </w:rPr>
        <w:t>1</w:t>
      </w:r>
    </w:p>
    <w:p w:rsidR="001C7BF9" w:rsidRPr="00C9680B" w:rsidRDefault="001C7BF9">
      <w:pPr>
        <w:pStyle w:val="Tabell"/>
        <w:outlineLvl w:val="0"/>
      </w:pPr>
      <w:r w:rsidRPr="00C9680B">
        <w:t>Procentenheter</w:t>
      </w:r>
    </w:p>
    <w:p w:rsidR="001C7BF9" w:rsidRPr="00C9680B" w:rsidRDefault="00C9680B">
      <w:r w:rsidRPr="00C9680B">
        <w:rPr>
          <w:noProof/>
        </w:rPr>
        <w:drawing>
          <wp:inline distT="0" distB="0" distL="0" distR="0">
            <wp:extent cx="3771900" cy="17145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t="5910"/>
                    <a:stretch>
                      <a:fillRect/>
                    </a:stretch>
                  </pic:blipFill>
                  <pic:spPr bwMode="auto">
                    <a:xfrm>
                      <a:off x="0" y="0"/>
                      <a:ext cx="3771900" cy="1714500"/>
                    </a:xfrm>
                    <a:prstGeom prst="rect">
                      <a:avLst/>
                    </a:prstGeom>
                    <a:noFill/>
                    <a:ln>
                      <a:noFill/>
                    </a:ln>
                  </pic:spPr>
                </pic:pic>
              </a:graphicData>
            </a:graphic>
          </wp:inline>
        </w:drawing>
      </w:r>
    </w:p>
    <w:p w:rsidR="001C7BF9" w:rsidRPr="00C9680B" w:rsidRDefault="001C7BF9"/>
    <w:p w:rsidR="001C7BF9" w:rsidRPr="00C9680B" w:rsidRDefault="001C7BF9">
      <w:r w:rsidRPr="00C9680B">
        <w:t>Som framgår av tabell 2 är det den inhemska efterfrågan som kommer att vara tillväxtmotorn i den svenska ekonomin även under de närmaste åren. Stigande sysselsättning och en fortsatt god inkomstutveckling gör att hushållens ko</w:t>
      </w:r>
      <w:r w:rsidRPr="00C9680B">
        <w:t>n</w:t>
      </w:r>
      <w:r w:rsidRPr="00C9680B">
        <w:t>sumtion ökar starkt även i år och under nästa år. Hushållens reala disponibla inkomster stiger i år med 3,4 % (exklusive effekten av att Svenska kyrkan fr.o.m. i år ingår i hushållssektorn) och med 4,2 % nästa år, vilket kan jämf</w:t>
      </w:r>
      <w:r w:rsidRPr="00C9680B">
        <w:t>ö</w:t>
      </w:r>
      <w:r w:rsidRPr="00C9680B">
        <w:t>ras med en ökning under 1999 på 3,3 %. Förutom stigande sysselsättning förklaras inkomstökningen bl.a. av årets skattesänkningar och de förslag till ytterligare skattesänkningar som föreslås i budgetpropositionen samt den låga inflationen. Hushållens konsumtionsvilja förstärks ock</w:t>
      </w:r>
      <w:r w:rsidRPr="00C9680B">
        <w:t>så av en starkt förbät</w:t>
      </w:r>
      <w:r w:rsidRPr="00C9680B">
        <w:t>t</w:t>
      </w:r>
      <w:r w:rsidRPr="00C9680B">
        <w:t>rad förmögenhetsställning. Trots den svaga aktiekursutvecklingen hittills i år visar statistik från Statistiska centralbyrån (SCB) och Finansinspektionen (FI) att hushållens nettoförmögenhet ökat med mer än 400 miljarder kronor sedan halvårsskiftet 1999. Av diagram 3 framgår också att hushållens förväntningar om framtiden är historiskt höga. Investeringarnas bidrag till tillväxten avtar något i år, men ökar igen under 2001 i takt med att kapacitetsutnyttjandet i ekonomin stiger. Bosta</w:t>
      </w:r>
      <w:r w:rsidRPr="00C9680B">
        <w:t xml:space="preserve">dsinvesteringarna väntas stiga 4,5 % i år och knappt 14  % nästa år. Med tanke på att bostadsbyggandet är lågt i utgångsläget är det relativt svaga siffror. Enligt regeringen begränsas bostadsbyggandet av bl.a. bristen på planerad tomtmark i expansiva områden. </w:t>
      </w:r>
    </w:p>
    <w:p w:rsidR="001C7BF9" w:rsidRPr="00C9680B" w:rsidRDefault="001C7BF9">
      <w:pPr>
        <w:pStyle w:val="Normaltindrag"/>
      </w:pPr>
      <w:r w:rsidRPr="00C9680B">
        <w:t>Förbättringen i den internationella konjunkturen gör att den svenska e</w:t>
      </w:r>
      <w:r w:rsidRPr="00C9680B">
        <w:t>x</w:t>
      </w:r>
      <w:r w:rsidRPr="00C9680B">
        <w:t>porten växer starkt framöver. Teleproduktindustrin, vars exportleveranser steg mycket kraftig under första halvåret i år jämfört med samma tid i fjol, väntas fortsätta att gå bra samtidigt som exporten från mer traditionella och mer konjunkturberoende branscher som motorfordonsindustrin och skogs- och stålindustrin ökar markant. Sammantaget innebär detta att utrikeshandelns bidrag till tillväxten stiger under de kommande två åren, efter en svag u</w:t>
      </w:r>
      <w:r w:rsidRPr="00C9680B">
        <w:t>t</w:t>
      </w:r>
      <w:r w:rsidRPr="00C9680B">
        <w:t>veckling 1998 och 1999.</w:t>
      </w:r>
    </w:p>
    <w:p w:rsidR="001C7BF9" w:rsidRPr="00C9680B" w:rsidRDefault="001C7BF9">
      <w:pPr>
        <w:pStyle w:val="Normaltindrag"/>
      </w:pPr>
      <w:r w:rsidRPr="00C9680B">
        <w:t xml:space="preserve">Den svenska ekonomin fortsätter att </w:t>
      </w:r>
      <w:r w:rsidRPr="00C9680B">
        <w:t>växa med historiskt höga tal under de närmaste två åren. Uppgången i både produktionen och sysselsättningen har –som redovisades ovan – kunnat ske till en bibehållen låg inflation, bl.a. på grund av att det i utgångsläget funnits en hög grad av lediga resurser i ek</w:t>
      </w:r>
      <w:r w:rsidRPr="00C9680B">
        <w:t>o</w:t>
      </w:r>
      <w:r w:rsidRPr="00C9680B">
        <w:t>nomin. Enligt regeringens bedömning visar det faktum att inflationen fortf</w:t>
      </w:r>
      <w:r w:rsidRPr="00C9680B">
        <w:t>a</w:t>
      </w:r>
      <w:r w:rsidRPr="00C9680B">
        <w:t>rande är låg att det alltjämt finns lediga resurser i ekonomin. En del tecken tyder på att resursläget i ekonomin skärpts under det senaste året. Till exe</w:t>
      </w:r>
      <w:r w:rsidRPr="00C9680B">
        <w:t>m</w:t>
      </w:r>
      <w:r w:rsidRPr="00C9680B">
        <w:t xml:space="preserve">pel har bristen </w:t>
      </w:r>
      <w:r w:rsidRPr="00C9680B">
        <w:t>på vissa grupper av arbetskraft stigit, enligt både Konjunktu</w:t>
      </w:r>
      <w:r w:rsidRPr="00C9680B">
        <w:t>r</w:t>
      </w:r>
      <w:r w:rsidRPr="00C9680B">
        <w:t>institutets (KI) olika barometrar och Arbetsmarknadsstyrelsens (AMS) unde</w:t>
      </w:r>
      <w:r w:rsidRPr="00C9680B">
        <w:t>r</w:t>
      </w:r>
      <w:r w:rsidRPr="00C9680B">
        <w:t>sökningar. Men fortfarande är nivåerna på den rapporterade arbetskraftsbri</w:t>
      </w:r>
      <w:r w:rsidRPr="00C9680B">
        <w:t>s</w:t>
      </w:r>
      <w:r w:rsidRPr="00C9680B">
        <w:t>ten relativt låga i ett historiskt perspektiv. Regeringen gör i budgetpropositi</w:t>
      </w:r>
      <w:r w:rsidRPr="00C9680B">
        <w:t>o</w:t>
      </w:r>
      <w:r w:rsidRPr="00C9680B">
        <w:t xml:space="preserve">nen bedömningen att situationen på arbetsmarknaden ansträngs ytterligare under nästa år, vilket bl.a. i kombination med en något svagare internationell utveckling betyder att BNP-tillväxten går ned något jämfört med i år </w:t>
      </w:r>
      <w:r w:rsidRPr="00C9680B">
        <w:t>samt att den kraftiga tillväxttakten i sysselsättningen dämpas. Det s.k. produktionsg</w:t>
      </w:r>
      <w:r w:rsidRPr="00C9680B">
        <w:t>a</w:t>
      </w:r>
      <w:r w:rsidRPr="00C9680B">
        <w:t>pet, dvs. skillnaden mellan faktisk och möjlig produktion, bedöms enligt  regeringen vara borta i slutet av 2001. Det innebär att tillväxten efter 2001 till stor del bestäms av produktivitetsökningar och möjligheterna att öka resur</w:t>
      </w:r>
      <w:r w:rsidRPr="00C9680B">
        <w:t>s</w:t>
      </w:r>
      <w:r w:rsidRPr="00C9680B">
        <w:t>utnyttjandet ytterligare utan att inflationen tar fart. Regeringen redovisar i budgetpropositionen ingen regelrätt prognos över utvecklingen efter 2001, utan antar i stället att ekonomin växer i</w:t>
      </w:r>
      <w:r w:rsidRPr="00C9680B">
        <w:t xml:space="preserve"> linje med den långsiktiga tillväxttre</w:t>
      </w:r>
      <w:r w:rsidRPr="00C9680B">
        <w:t>n</w:t>
      </w:r>
      <w:r w:rsidRPr="00C9680B">
        <w:t>den på 2 % per år. Tillväxtförmågan väntas dock bli någon tiondel högre under 2001 och 2002 eftersom den planerade nedtrappningen av Kunskap</w:t>
      </w:r>
      <w:r w:rsidRPr="00C9680B">
        <w:t>s</w:t>
      </w:r>
      <w:r w:rsidRPr="00C9680B">
        <w:t>lyftet och antalet personer i arbetsmarknadspolitiska åtgärder frigör resurser och minskar risken för överhettning i ekonomin. Sammantaget väntas BNP stiga med 2,1 % per år under 2001 och 2002.</w:t>
      </w:r>
    </w:p>
    <w:p w:rsidR="001C7BF9" w:rsidRPr="00C9680B" w:rsidRDefault="001C7BF9">
      <w:pPr>
        <w:pStyle w:val="Rubrik3"/>
        <w:rPr>
          <w:noProof w:val="0"/>
        </w:rPr>
      </w:pPr>
      <w:bookmarkStart w:id="96" w:name="_Toc498250378"/>
      <w:bookmarkStart w:id="97" w:name="_Toc498910667"/>
      <w:r w:rsidRPr="00C9680B">
        <w:rPr>
          <w:noProof w:val="0"/>
        </w:rPr>
        <w:t>1.2.2 Prognosförutsättningar och nyckeltal</w:t>
      </w:r>
      <w:bookmarkEnd w:id="96"/>
      <w:bookmarkEnd w:id="97"/>
      <w:r w:rsidRPr="00C9680B">
        <w:rPr>
          <w:noProof w:val="0"/>
        </w:rPr>
        <w:t xml:space="preserve"> </w:t>
      </w:r>
    </w:p>
    <w:p w:rsidR="001C7BF9" w:rsidRPr="00C9680B" w:rsidRDefault="001C7BF9">
      <w:r w:rsidRPr="00C9680B">
        <w:t>Regeringens prognos i budgetpropositionen bygger på den information som fanns tillgänglig t.o.m. den 8 september 2000. Bedömningarna baseras på underlag från SCB, OECD och KI. En viktig förutsättning för prognosens resultat är att de avtalsmässiga löneökningarna och löneglidningen hålls til</w:t>
      </w:r>
      <w:r w:rsidRPr="00C9680B">
        <w:t>l</w:t>
      </w:r>
      <w:r w:rsidRPr="00C9680B">
        <w:t>baka och att de totala löneökningarna begränsas till 3,5 % per år. Som redov</w:t>
      </w:r>
      <w:r w:rsidRPr="00C9680B">
        <w:t>i</w:t>
      </w:r>
      <w:r w:rsidRPr="00C9680B">
        <w:t>sades ovan utgår kalkylerna för 2002 och 2003 från att det s.k. produktion</w:t>
      </w:r>
      <w:r w:rsidRPr="00C9680B">
        <w:t>s</w:t>
      </w:r>
      <w:r w:rsidRPr="00C9680B">
        <w:t>gapet sluts under 2001 och att tillväxten därefter följer den långsiktigt no</w:t>
      </w:r>
      <w:r w:rsidRPr="00C9680B">
        <w:t>r</w:t>
      </w:r>
      <w:r w:rsidRPr="00C9680B">
        <w:t>mala tillväxttrenden. Ökade arbetskraftsresurser i ekonomin på grund av att antalet deltagare i Kunskapslyftet och de arbetsmarknadspolitiska progra</w:t>
      </w:r>
      <w:r w:rsidRPr="00C9680B">
        <w:t>m</w:t>
      </w:r>
      <w:r w:rsidRPr="00C9680B">
        <w:t xml:space="preserve">men minskas gör dock att tillväxten under dessa år blir något högre än den långsiktiga trenden. </w:t>
      </w:r>
    </w:p>
    <w:p w:rsidR="001C7BF9" w:rsidRPr="00C9680B" w:rsidRDefault="001C7BF9">
      <w:r w:rsidRPr="00C9680B">
        <w:t>I tabellerna 3 och 4 redovisas förut</w:t>
      </w:r>
      <w:r w:rsidRPr="00C9680B">
        <w:t>sättningarna för och nyckeltalen i reg</w:t>
      </w:r>
      <w:r w:rsidRPr="00C9680B">
        <w:t>e</w:t>
      </w:r>
      <w:r w:rsidRPr="00C9680B">
        <w:t>ringens prognos. I punkterna nedan sammanfattas de viktigaste förutsättnin</w:t>
      </w:r>
      <w:r w:rsidRPr="00C9680B">
        <w:t>g</w:t>
      </w:r>
      <w:r w:rsidRPr="00C9680B">
        <w:t>arna och de viktigaste skillnaderna mot de bedömningar som regeringen gjorde i vårpropos</w:t>
      </w:r>
      <w:r w:rsidRPr="00C9680B">
        <w:t>i</w:t>
      </w:r>
      <w:r w:rsidRPr="00C9680B">
        <w:t>tionen.</w:t>
      </w:r>
    </w:p>
    <w:p w:rsidR="001C7BF9" w:rsidRPr="00C9680B" w:rsidRDefault="001C7BF9">
      <w:pPr>
        <w:numPr>
          <w:ilvl w:val="0"/>
          <w:numId w:val="1248"/>
        </w:numPr>
      </w:pPr>
      <w:r w:rsidRPr="00C9680B">
        <w:t>Den accelererande tillväxttakten i Förenta staternas ekonomi under första halvåret i år, en kraftigare uppgång än väntat i t.ex. EU och Asien har gjort att regeringen, jämfört med vårpropositionen, skrivit upp den fö</w:t>
      </w:r>
      <w:r w:rsidRPr="00C9680B">
        <w:t>r</w:t>
      </w:r>
      <w:r w:rsidRPr="00C9680B">
        <w:t>väntade tillväxten i världsekonomin med 0,5 procentenheter i år och 0,3 procentenheter nästa år. Även antagandet för världsekonomins tillväxt under 2002 och 2003 ligger något högre än i vårpropositionen. Den sta</w:t>
      </w:r>
      <w:r w:rsidRPr="00C9680B">
        <w:t>r</w:t>
      </w:r>
      <w:r w:rsidRPr="00C9680B">
        <w:t>kare tillväxten och ett högt oljepris, gör också att den internationella i</w:t>
      </w:r>
      <w:r w:rsidRPr="00C9680B">
        <w:t>n</w:t>
      </w:r>
      <w:r w:rsidRPr="00C9680B">
        <w:t>flationen ökar något. Inflationen i EU (mätt med EU:s harmoniserade konsumentprisindex, HIKP) väntas stiga med i genomsnitt 2 % i år och 1,8 % 2001. Regeringen antar i prognosen att världsmarknadspriset på olja uppgår till 2</w:t>
      </w:r>
      <w:r w:rsidRPr="00C9680B">
        <w:t>6 dollar per fat i slutet av 2000 och 24 dollar per fat i slutet av nästa år.</w:t>
      </w:r>
    </w:p>
    <w:p w:rsidR="001C7BF9" w:rsidRPr="00C9680B" w:rsidRDefault="001C7BF9">
      <w:pPr>
        <w:pStyle w:val="tabellrubrikFiU1"/>
        <w:spacing w:after="0"/>
        <w:outlineLvl w:val="0"/>
      </w:pPr>
      <w:r w:rsidRPr="00C9680B">
        <w:t xml:space="preserve">Tabell 3. Prognosförutsättningar 2000–2003  </w:t>
      </w:r>
    </w:p>
    <w:p w:rsidR="001C7BF9" w:rsidRPr="00C9680B" w:rsidRDefault="00C9680B">
      <w:pPr>
        <w:pStyle w:val="Citat"/>
        <w:spacing w:before="122" w:after="120" w:line="240" w:lineRule="atLeast"/>
        <w:ind w:left="0"/>
      </w:pPr>
      <w:r w:rsidRPr="00C9680B">
        <w:rPr>
          <w:noProof/>
        </w:rPr>
        <w:drawing>
          <wp:inline distT="0" distB="0" distL="0" distR="0">
            <wp:extent cx="3913505" cy="22586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t="5847"/>
                    <a:stretch>
                      <a:fillRect/>
                    </a:stretch>
                  </pic:blipFill>
                  <pic:spPr bwMode="auto">
                    <a:xfrm>
                      <a:off x="0" y="0"/>
                      <a:ext cx="3913505" cy="2258695"/>
                    </a:xfrm>
                    <a:prstGeom prst="rect">
                      <a:avLst/>
                    </a:prstGeom>
                    <a:noFill/>
                    <a:ln>
                      <a:noFill/>
                    </a:ln>
                  </pic:spPr>
                </pic:pic>
              </a:graphicData>
            </a:graphic>
          </wp:inline>
        </w:drawing>
      </w:r>
    </w:p>
    <w:p w:rsidR="001C7BF9" w:rsidRPr="00C9680B" w:rsidRDefault="001C7BF9">
      <w:pPr>
        <w:numPr>
          <w:ilvl w:val="0"/>
          <w:numId w:val="1249"/>
        </w:numPr>
      </w:pPr>
      <w:r w:rsidRPr="00C9680B">
        <w:t>Den starka konjunkturen väntas leda till att centralbankerna i t.ex. Fö</w:t>
      </w:r>
      <w:r w:rsidRPr="00C9680B">
        <w:t>r</w:t>
      </w:r>
      <w:r w:rsidRPr="00C9680B">
        <w:t>enta staterna och euroområdet höjer sina styrräntor ytterligare några snäpp. Förenta staternas centralbank, Federal Reserve, väntas höja sin styrränta med 0,25 procentenheter mot slutet av i år för att nästa år ste</w:t>
      </w:r>
      <w:r w:rsidRPr="00C9680B">
        <w:t>g</w:t>
      </w:r>
      <w:r w:rsidRPr="00C9680B">
        <w:t>vis lätta på penningpolitiken. Den europeiska centralbanken bedöms höja styrräntan till 5 % i slutet av 2001. Regeringen utgår också från att Rik</w:t>
      </w:r>
      <w:r w:rsidRPr="00C9680B">
        <w:t>s</w:t>
      </w:r>
      <w:r w:rsidRPr="00C9680B">
        <w:t>banken höjer sin s.k. reporänta för att hålla inflationen inom inflation</w:t>
      </w:r>
      <w:r w:rsidRPr="00C9680B">
        <w:t>s</w:t>
      </w:r>
      <w:r w:rsidRPr="00C9680B">
        <w:t xml:space="preserve">målet – dvs. en inflation på 2 % med ett toleransintervall på </w:t>
      </w:r>
      <w:r w:rsidRPr="00C9680B">
        <w:rPr>
          <w:rFonts w:ascii="Lucida Console" w:hAnsi="Lucida Console"/>
        </w:rPr>
        <w:t>±</w:t>
      </w:r>
      <w:r w:rsidRPr="00C9680B">
        <w:t xml:space="preserve"> 1 %. Den sven</w:t>
      </w:r>
      <w:r w:rsidRPr="00C9680B">
        <w:t>ska reporäntan antas uppgå till 4,25 % i slutet av i år och 4,75 % i slutet av 2001. Både de svenska och internationella obligationsräntorna bedöms dock bli något lägre under prognosperioden jämfört med den prognos regeringen gjorde i vårpropositi</w:t>
      </w:r>
      <w:r w:rsidRPr="00C9680B">
        <w:t>o</w:t>
      </w:r>
      <w:r w:rsidRPr="00C9680B">
        <w:t>nen.</w:t>
      </w:r>
    </w:p>
    <w:p w:rsidR="001C7BF9" w:rsidRPr="00C9680B" w:rsidRDefault="001C7BF9">
      <w:pPr>
        <w:numPr>
          <w:ilvl w:val="0"/>
          <w:numId w:val="1251"/>
        </w:numPr>
      </w:pPr>
      <w:r w:rsidRPr="00C9680B">
        <w:t>Regeringen räknar med att en avmattning i Förenta staternas ekonomi och en starkare konjunktur i Europa på sikt leder till att euron stärks mot dollarn. Det innebär i sin tur till att även den svenska kronan stärks efte</w:t>
      </w:r>
      <w:r w:rsidRPr="00C9680B">
        <w:t>r</w:t>
      </w:r>
      <w:r w:rsidRPr="00C9680B">
        <w:t>som kronan väntas följa eurons kursutveckling relativt tätt under de nä</w:t>
      </w:r>
      <w:r w:rsidRPr="00C9680B">
        <w:t>r</w:t>
      </w:r>
      <w:r w:rsidRPr="00C9680B">
        <w:t>maste åren. Dollarns kraftiga uppgång under det senaste året har eme</w:t>
      </w:r>
      <w:r w:rsidRPr="00C9680B">
        <w:t>l</w:t>
      </w:r>
      <w:r w:rsidRPr="00C9680B">
        <w:t>lertid fört med sig att regeringen skrivit upp prognosen för dollarns värde för hela prognosperioden. Det innebär också att kronans sammantagna värde mätt med TCW-index nu bedöms ligga kring 123 i slutet av i år och 121 i slutet av nästa, vilket kan jämföras med förväntningarna i vå</w:t>
      </w:r>
      <w:r w:rsidRPr="00C9680B">
        <w:t>r</w:t>
      </w:r>
      <w:r w:rsidRPr="00C9680B">
        <w:t>propositionen på 122 i slutet av i år och 119 i slutet av 2001.</w:t>
      </w:r>
    </w:p>
    <w:p w:rsidR="001C7BF9" w:rsidRPr="00C9680B" w:rsidRDefault="001C7BF9">
      <w:pPr>
        <w:pStyle w:val="tabellrubrikFiU1"/>
        <w:spacing w:after="0"/>
        <w:outlineLvl w:val="0"/>
      </w:pPr>
      <w:r w:rsidRPr="00C9680B">
        <w:t>Tabell 4. Nyckeltal 20</w:t>
      </w:r>
      <w:r w:rsidRPr="00C9680B">
        <w:t xml:space="preserve">00–2003 </w:t>
      </w:r>
    </w:p>
    <w:p w:rsidR="001C7BF9" w:rsidRPr="00C9680B" w:rsidRDefault="00C9680B">
      <w:pPr>
        <w:pStyle w:val="Citat"/>
        <w:spacing w:before="122" w:after="120" w:line="240" w:lineRule="atLeast"/>
        <w:ind w:left="0"/>
      </w:pPr>
      <w:r w:rsidRPr="00C9680B">
        <w:rPr>
          <w:noProof/>
        </w:rPr>
        <w:drawing>
          <wp:inline distT="0" distB="0" distL="0" distR="0">
            <wp:extent cx="4201795" cy="36849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01795" cy="3684905"/>
                    </a:xfrm>
                    <a:prstGeom prst="rect">
                      <a:avLst/>
                    </a:prstGeom>
                    <a:noFill/>
                    <a:ln>
                      <a:noFill/>
                    </a:ln>
                  </pic:spPr>
                </pic:pic>
              </a:graphicData>
            </a:graphic>
          </wp:inline>
        </w:drawing>
      </w:r>
    </w:p>
    <w:p w:rsidR="001C7BF9" w:rsidRPr="00C9680B" w:rsidRDefault="001C7BF9">
      <w:pPr>
        <w:numPr>
          <w:ilvl w:val="0"/>
          <w:numId w:val="1253"/>
        </w:numPr>
      </w:pPr>
      <w:r w:rsidRPr="00C9680B">
        <w:t>Trots den höga tillväxten räknar regeringen med att inflationen förblir låg under de närmaste åren. Mätt med konsumentprisindex (KPI) väntas pr</w:t>
      </w:r>
      <w:r w:rsidRPr="00C9680B">
        <w:t>i</w:t>
      </w:r>
      <w:r w:rsidRPr="00C9680B">
        <w:t>serna öka med i genomsnitt 1,2 % i år och 1,4 % nästa år. Mätt med det underliggande inflationsmåttet, UND1X, det mått som Riksbanken för närvarande använder som grund för utformningen av penningpolitiken, stiger pr</w:t>
      </w:r>
      <w:r w:rsidRPr="00C9680B">
        <w:t>i</w:t>
      </w:r>
      <w:r w:rsidRPr="00C9680B">
        <w:t>serna med i genomsnitt 1,3 % i år och 1,1 % 2001.</w:t>
      </w:r>
    </w:p>
    <w:p w:rsidR="001C7BF9" w:rsidRPr="00C9680B" w:rsidRDefault="001C7BF9">
      <w:pPr>
        <w:numPr>
          <w:ilvl w:val="0"/>
          <w:numId w:val="1254"/>
        </w:numPr>
      </w:pPr>
      <w:r w:rsidRPr="00C9680B">
        <w:t>Sysselsättningen stiger snabbare än vad regeringen räknade med i vå</w:t>
      </w:r>
      <w:r w:rsidRPr="00C9680B">
        <w:t>r</w:t>
      </w:r>
      <w:r w:rsidRPr="00C9680B">
        <w:t>propositionen. Till följd av en högre tillväxt och ett ökat antal nyanmälda lediga platser till arbetsförmedlingarna förväntar sig regeringen att ant</w:t>
      </w:r>
      <w:r w:rsidRPr="00C9680B">
        <w:t>a</w:t>
      </w:r>
      <w:r w:rsidRPr="00C9680B">
        <w:t>let sysselsatta ökar med 2 % i år (81 000 personer) och 1,3 % nästa år (53 000 personer). Det är 0,3 respektive 0,4 procentenheter högre än i vårpropositionen. Antalet deltagare i konjunkturberoende arbetsmar</w:t>
      </w:r>
      <w:r w:rsidRPr="00C9680B">
        <w:t>k</w:t>
      </w:r>
      <w:r w:rsidRPr="00C9680B">
        <w:t>nadspolitiska åtgärder antas sjunka till i genomsnitt 115 000 personer åren 2000 och 2001. Det är 20 000 personer färre än vad som antogs i vårpropositi</w:t>
      </w:r>
      <w:r w:rsidRPr="00C9680B">
        <w:t>onen. Antalet deltagare väntas dessutom sjunka ytterligare, till 90 000 pers</w:t>
      </w:r>
      <w:r w:rsidRPr="00C9680B">
        <w:t>o</w:t>
      </w:r>
      <w:r w:rsidRPr="00C9680B">
        <w:t xml:space="preserve">ner år 2003. </w:t>
      </w:r>
    </w:p>
    <w:p w:rsidR="001C7BF9" w:rsidRPr="00C9680B" w:rsidRDefault="001C7BF9">
      <w:pPr>
        <w:numPr>
          <w:ilvl w:val="0"/>
          <w:numId w:val="1256"/>
        </w:numPr>
      </w:pPr>
      <w:r w:rsidRPr="00C9680B">
        <w:t>Den högre sysselsättningen och den starkare tillväxten leder också till att överskottet i de offentliga finanserna stiger mer än beräknat i år och u</w:t>
      </w:r>
      <w:r w:rsidRPr="00C9680B">
        <w:t>n</w:t>
      </w:r>
      <w:r w:rsidRPr="00C9680B">
        <w:t>der nästa år. Överskottet i år blir motsvarande 3,4 % av BNP för att nästa år stiga till 3,5 % av BNP. Det är 0,6 respektive 0,3 procentenheter mer än vad regeringen kalkylerade med i vårpropositionen. I siffrorna för 2002 och 2003 har beräkningstekniskt överskott i de offentliga finanse</w:t>
      </w:r>
      <w:r w:rsidRPr="00C9680B">
        <w:t>r</w:t>
      </w:r>
      <w:r w:rsidRPr="00C9680B">
        <w:t>na utöver det budgetpolitiska målet på 2 % av BNP förts till hushåll</w:t>
      </w:r>
      <w:r w:rsidRPr="00C9680B">
        <w:t>s</w:t>
      </w:r>
      <w:r w:rsidRPr="00C9680B">
        <w:t xml:space="preserve">sektorn. </w:t>
      </w:r>
    </w:p>
    <w:p w:rsidR="001C7BF9" w:rsidRPr="00C9680B" w:rsidRDefault="001C7BF9">
      <w:pPr>
        <w:numPr>
          <w:ilvl w:val="0"/>
          <w:numId w:val="1257"/>
        </w:numPr>
      </w:pPr>
      <w:r w:rsidRPr="00C9680B">
        <w:t xml:space="preserve">Hushållens reala disponibla inkomster stiger i år med 3,4 % (exklusive effekterna av att Svenska kyrkan fr.o.m. i år ingår i hushållssektorn). </w:t>
      </w:r>
      <w:r w:rsidRPr="00C9680B">
        <w:t>Den fortsatta sysselsättningsökningen, de planerade skatteförändringarna, höjningen av barnbidraget och det nya studiestödssystemet gör att i</w:t>
      </w:r>
      <w:r w:rsidRPr="00C9680B">
        <w:t>n</w:t>
      </w:r>
      <w:r w:rsidRPr="00C9680B">
        <w:t>komsterna ökar ytterligare nästa år, med 4,2 %. Det är en årlig ökning som endast överträffats vid några enstaka tillfällen under de senaste tre</w:t>
      </w:r>
      <w:r w:rsidRPr="00C9680B">
        <w:t>t</w:t>
      </w:r>
      <w:r w:rsidRPr="00C9680B">
        <w:t>tio åren.</w:t>
      </w:r>
    </w:p>
    <w:p w:rsidR="001C7BF9" w:rsidRPr="00C9680B" w:rsidRDefault="001C7BF9">
      <w:pPr>
        <w:pStyle w:val="Rubrik3"/>
        <w:rPr>
          <w:noProof w:val="0"/>
        </w:rPr>
      </w:pPr>
      <w:bookmarkStart w:id="98" w:name="_Toc498250379"/>
      <w:bookmarkStart w:id="99" w:name="_Toc498910668"/>
      <w:r w:rsidRPr="00C9680B">
        <w:rPr>
          <w:noProof w:val="0"/>
        </w:rPr>
        <w:t>1.2.3 Försörjningsbalansen</w:t>
      </w:r>
      <w:bookmarkEnd w:id="98"/>
      <w:bookmarkEnd w:id="99"/>
    </w:p>
    <w:p w:rsidR="001C7BF9" w:rsidRPr="00C9680B" w:rsidRDefault="001C7BF9">
      <w:r w:rsidRPr="00C9680B">
        <w:t>Under förutsättning att den internationella konjunkturen och ekonomin i Förenta staterna utvecklas utan större överraskningar och att resurssituationen i den svenska  ekonomin inte försämras kraftigt växer Sveriges BNP med i genomsnitt 3,7 % under de kommande två åren, enligt regeringens bedö</w:t>
      </w:r>
      <w:r w:rsidRPr="00C9680B">
        <w:t>m</w:t>
      </w:r>
      <w:r w:rsidRPr="00C9680B">
        <w:t>ning. Det är 0,3 procentenheter högre än vad regeringen kalkylerade med i vårpropositionen. Slår prognosen in innebär det att svensk ekonomi växer med i genomsnitt 3,6 % per år under fyraårsperioden 1998–2001. Historiskt sett är detta en för svenska förhållanden hög tillväxttakt. De senaste trettio åren har den årliga tillväxttakten överstigit 3 % under endast ett fåtal år. S</w:t>
      </w:r>
      <w:r w:rsidRPr="00C9680B">
        <w:t>e</w:t>
      </w:r>
      <w:r w:rsidRPr="00C9680B">
        <w:t>nast tillväxttalen var så höga under en fyraårsperiod var under 1960-talet. Regeringen räknar också med att Sveriges BNP under de nä</w:t>
      </w:r>
      <w:r w:rsidRPr="00C9680B">
        <w:t xml:space="preserve">rmaste två åren, precis som under 1998 och 1999, växer snabbare än genomsnittet i EU. </w:t>
      </w:r>
    </w:p>
    <w:p w:rsidR="001C7BF9" w:rsidRPr="00C9680B" w:rsidRDefault="001C7BF9">
      <w:r w:rsidRPr="00C9680B">
        <w:t>De olika delarna av försörjningsbalansen utvecklar sig enligt regeringens bedö</w:t>
      </w:r>
      <w:r w:rsidRPr="00C9680B">
        <w:t>m</w:t>
      </w:r>
      <w:r w:rsidRPr="00C9680B">
        <w:t>ning på följande sätt (se tabell 5 nedan):</w:t>
      </w:r>
    </w:p>
    <w:p w:rsidR="001C7BF9" w:rsidRPr="00C9680B" w:rsidRDefault="001C7BF9">
      <w:pPr>
        <w:numPr>
          <w:ilvl w:val="0"/>
          <w:numId w:val="1258"/>
        </w:numPr>
        <w:ind w:left="357" w:hanging="357"/>
      </w:pPr>
      <w:r w:rsidRPr="00C9680B">
        <w:t>Tillväxten i den svenska ekonomin under de närmaste två åren blir både hög och balanserad. Balanserad i den meningen att alla delar av försör</w:t>
      </w:r>
      <w:r w:rsidRPr="00C9680B">
        <w:t>j</w:t>
      </w:r>
      <w:r w:rsidRPr="00C9680B">
        <w:t>ningsbalansen ger positiva bidrag till tillväxten. Den inhemska efterfr</w:t>
      </w:r>
      <w:r w:rsidRPr="00C9680B">
        <w:t>å</w:t>
      </w:r>
      <w:r w:rsidRPr="00C9680B">
        <w:t>gan kommer dock i likhet med tidigare att vara den absolut starkaste drivkraften i den svenska ekonomin. Fortsatt stigande sysselsättning, en mycket god inkomstutveckling, en fortsatt hög optimism i hushållsse</w:t>
      </w:r>
      <w:r w:rsidRPr="00C9680B">
        <w:t>k</w:t>
      </w:r>
      <w:r w:rsidRPr="00C9680B">
        <w:t>torn och en stark förmögenhetsställning bidrar till att hushållens ko</w:t>
      </w:r>
      <w:r w:rsidRPr="00C9680B">
        <w:t>n</w:t>
      </w:r>
      <w:r w:rsidRPr="00C9680B">
        <w:t>sumtion stiger med 3,7 % i år och 3,4 % nästa år (exklusive effekter av att Svenska kyrkan fr.o.m i år ingår i hushållssektorn). Investeringarnas bidrag till t</w:t>
      </w:r>
      <w:r w:rsidRPr="00C9680B">
        <w:t>illväxten minskar något, men som framgår av tabell 5 stiger investeringarna  under perioden betydligt mer än BNP.</w:t>
      </w:r>
    </w:p>
    <w:p w:rsidR="001C7BF9" w:rsidRPr="00C9680B" w:rsidRDefault="001C7BF9">
      <w:pPr>
        <w:numPr>
          <w:ilvl w:val="0"/>
          <w:numId w:val="1258"/>
        </w:numPr>
        <w:ind w:left="357" w:hanging="357"/>
      </w:pPr>
      <w:r w:rsidRPr="00C9680B">
        <w:t>Enligt SCB:s preliminära nationalräkenskaper utvecklades den komm</w:t>
      </w:r>
      <w:r w:rsidRPr="00C9680B">
        <w:t>u</w:t>
      </w:r>
      <w:r w:rsidRPr="00C9680B">
        <w:t>nala konsumtionen svagt under första halvåret i år. Till följd av detta har regeringen jämfört med vårpropositionen justerat ned utvecklingen i den kommunala konsumtionen under 2000. Regeringen betraktar dock fö</w:t>
      </w:r>
      <w:r w:rsidRPr="00C9680B">
        <w:t>r</w:t>
      </w:r>
      <w:r w:rsidRPr="00C9680B">
        <w:t>svagningen som tillfällig och har därför skrivit upp prognosen för peri</w:t>
      </w:r>
      <w:r w:rsidRPr="00C9680B">
        <w:t>o</w:t>
      </w:r>
      <w:r w:rsidRPr="00C9680B">
        <w:t>den därefter, dvs. 2001–2003. Under denna period bedöms den komm</w:t>
      </w:r>
      <w:r w:rsidRPr="00C9680B">
        <w:t>u</w:t>
      </w:r>
      <w:r w:rsidRPr="00C9680B">
        <w:t>nala konsumtionen stiga med i genomsnitt 1 % per år, till följd av stiga</w:t>
      </w:r>
      <w:r w:rsidRPr="00C9680B">
        <w:t>n</w:t>
      </w:r>
      <w:r w:rsidRPr="00C9680B">
        <w:t>de skatteinkomster och ökade statsbidrag. I vårpropositionen räknade r</w:t>
      </w:r>
      <w:r w:rsidRPr="00C9680B">
        <w:t>e</w:t>
      </w:r>
      <w:r w:rsidRPr="00C9680B">
        <w:t>geringen med en ök</w:t>
      </w:r>
      <w:r w:rsidRPr="00C9680B">
        <w:t>ning i den kommunala konsumtionen på i genomsnitt omkring 0,5 % per år peri</w:t>
      </w:r>
      <w:r w:rsidRPr="00C9680B">
        <w:t>o</w:t>
      </w:r>
      <w:r w:rsidRPr="00C9680B">
        <w:t>den 2001–2003.</w:t>
      </w:r>
    </w:p>
    <w:p w:rsidR="001C7BF9" w:rsidRPr="00C9680B" w:rsidRDefault="001C7BF9">
      <w:pPr>
        <w:pStyle w:val="tabellrubrikFiU1"/>
        <w:spacing w:after="120"/>
        <w:outlineLvl w:val="0"/>
      </w:pPr>
      <w:r w:rsidRPr="00C9680B">
        <w:t>Tabell 5. Försörjningsbalansen 2000–2003</w:t>
      </w:r>
    </w:p>
    <w:p w:rsidR="001C7BF9" w:rsidRPr="00C9680B" w:rsidRDefault="00C9680B">
      <w:pPr>
        <w:pStyle w:val="Normaltindrag"/>
        <w:spacing w:after="240"/>
        <w:ind w:firstLine="0"/>
      </w:pPr>
      <w:r w:rsidRPr="00C9680B">
        <w:rPr>
          <w:noProof/>
        </w:rPr>
        <w:drawing>
          <wp:inline distT="0" distB="0" distL="0" distR="0">
            <wp:extent cx="4277995" cy="280860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t="4121"/>
                    <a:stretch>
                      <a:fillRect/>
                    </a:stretch>
                  </pic:blipFill>
                  <pic:spPr bwMode="auto">
                    <a:xfrm>
                      <a:off x="0" y="0"/>
                      <a:ext cx="4277995" cy="2808605"/>
                    </a:xfrm>
                    <a:prstGeom prst="rect">
                      <a:avLst/>
                    </a:prstGeom>
                    <a:noFill/>
                    <a:ln>
                      <a:noFill/>
                    </a:ln>
                  </pic:spPr>
                </pic:pic>
              </a:graphicData>
            </a:graphic>
          </wp:inline>
        </w:drawing>
      </w:r>
    </w:p>
    <w:p w:rsidR="001C7BF9" w:rsidRPr="00C9680B" w:rsidRDefault="001C7BF9">
      <w:pPr>
        <w:numPr>
          <w:ilvl w:val="0"/>
          <w:numId w:val="1258"/>
        </w:numPr>
        <w:ind w:left="375" w:hanging="284"/>
      </w:pPr>
      <w:r w:rsidRPr="00C9680B">
        <w:t>Till följd av den goda internationella konjunkturen och god konkurren</w:t>
      </w:r>
      <w:r w:rsidRPr="00C9680B">
        <w:t>s</w:t>
      </w:r>
      <w:r w:rsidRPr="00C9680B">
        <w:t>kraft för den svenska exportindustrin har regeringen, i förhållande till vårpropositionen, även justerat upp prognoserna för den svenska expo</w:t>
      </w:r>
      <w:r w:rsidRPr="00C9680B">
        <w:t>r</w:t>
      </w:r>
      <w:r w:rsidRPr="00C9680B">
        <w:t>ten.</w:t>
      </w:r>
    </w:p>
    <w:p w:rsidR="001C7BF9" w:rsidRPr="00C9680B" w:rsidRDefault="001C7BF9">
      <w:pPr>
        <w:pStyle w:val="Rubrik3"/>
        <w:rPr>
          <w:noProof w:val="0"/>
        </w:rPr>
      </w:pPr>
      <w:bookmarkStart w:id="100" w:name="_Toc498250380"/>
      <w:r w:rsidRPr="00C9680B">
        <w:rPr>
          <w:noProof w:val="0"/>
        </w:rPr>
        <w:br w:type="page"/>
      </w:r>
      <w:bookmarkStart w:id="101" w:name="_Toc498910669"/>
      <w:r w:rsidRPr="00C9680B">
        <w:rPr>
          <w:noProof w:val="0"/>
        </w:rPr>
        <w:t>1.2.4 God världskonjunktur höjer den svenska exporten</w:t>
      </w:r>
      <w:bookmarkEnd w:id="100"/>
      <w:bookmarkEnd w:id="101"/>
    </w:p>
    <w:p w:rsidR="001C7BF9" w:rsidRPr="00C9680B" w:rsidRDefault="001C7BF9">
      <w:r w:rsidRPr="00C9680B">
        <w:t>Trots en svag internationell konjunktur steg den svenska varuexporten i fjol med drygt 5 %. Det som framför allt höll uppe exportsiffrorna var en mycket stark utveckling av exporten av olika teleprodukter. Under de närmaste åren stiger den internationella efterfrågan på svenska exportprodukter starkt samt</w:t>
      </w:r>
      <w:r w:rsidRPr="00C9680B">
        <w:t>i</w:t>
      </w:r>
      <w:r w:rsidRPr="00C9680B">
        <w:t>digt som efterfrågan blir bredare, i den meningen att efterfrågan stiger ma</w:t>
      </w:r>
      <w:r w:rsidRPr="00C9680B">
        <w:t>r</w:t>
      </w:r>
      <w:r w:rsidRPr="00C9680B">
        <w:t>kant även för de mer traditionella och konjunkturkänsliga exportbranscherna som motorfo</w:t>
      </w:r>
      <w:r w:rsidRPr="00C9680B">
        <w:t>r</w:t>
      </w:r>
      <w:r w:rsidRPr="00C9680B">
        <w:t>dons-, skogs- och stålindustrierna.</w:t>
      </w:r>
    </w:p>
    <w:p w:rsidR="001C7BF9" w:rsidRPr="00C9680B" w:rsidRDefault="001C7BF9">
      <w:pPr>
        <w:pStyle w:val="Normaltindrag"/>
      </w:pPr>
      <w:r w:rsidRPr="00C9680B">
        <w:t>En starkare och bredare internationell tillväxt, en i utgångsläget god ko</w:t>
      </w:r>
      <w:r w:rsidRPr="00C9680B">
        <w:t>n</w:t>
      </w:r>
      <w:r w:rsidRPr="00C9680B">
        <w:t>kurrenskraft och en för svensk exportindustri gynnsam sammansättning av den internationella tillväxten gör att regeringen räknar med att varuexporten stiger med 10,7 % i år och med 7,9 % nästa år. Det är 2,5 respektive 0,8 pr</w:t>
      </w:r>
      <w:r w:rsidRPr="00C9680B">
        <w:t>o</w:t>
      </w:r>
      <w:r w:rsidRPr="00C9680B">
        <w:t>centenheter högre än vad regeringen kalkylerade med i vårpropositionen. Förbättringen bygger bl.a. på att exporten av teleprodukter fortsätter att växa starkt. Ökningen av efterfrågan på teleprodukter är globalt sett mycket hög och i växande och Sverige har i förhållande till andra lä</w:t>
      </w:r>
      <w:r w:rsidRPr="00C9680B">
        <w:t>nder en mycket hög andel teleprodukter i exporten. Under de senaste tio åren har teleprodukternas andel av den totala varue</w:t>
      </w:r>
      <w:r w:rsidRPr="00C9680B">
        <w:t>x</w:t>
      </w:r>
      <w:r w:rsidRPr="00C9680B">
        <w:t xml:space="preserve">porten stigit från 5 % till omkring 15 %. </w:t>
      </w:r>
    </w:p>
    <w:p w:rsidR="001C7BF9" w:rsidRPr="00C9680B" w:rsidRDefault="001C7BF9">
      <w:pPr>
        <w:pStyle w:val="tabellrubrikFiU1"/>
        <w:outlineLvl w:val="0"/>
      </w:pPr>
      <w:r w:rsidRPr="00C9680B">
        <w:t>Diagram 4. Exporten av bearbetade varor</w:t>
      </w:r>
    </w:p>
    <w:p w:rsidR="001C7BF9" w:rsidRPr="00C9680B" w:rsidRDefault="00C9680B">
      <w:pPr>
        <w:pStyle w:val="Citat"/>
        <w:spacing w:before="122" w:line="240" w:lineRule="atLeast"/>
        <w:ind w:left="-113"/>
      </w:pPr>
      <w:r w:rsidRPr="00C9680B">
        <w:rPr>
          <w:noProof/>
        </w:rPr>
        <w:drawing>
          <wp:inline distT="0" distB="0" distL="0" distR="0">
            <wp:extent cx="3891915" cy="24384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91915" cy="2438400"/>
                    </a:xfrm>
                    <a:prstGeom prst="rect">
                      <a:avLst/>
                    </a:prstGeom>
                    <a:noFill/>
                    <a:ln>
                      <a:noFill/>
                    </a:ln>
                  </pic:spPr>
                </pic:pic>
              </a:graphicData>
            </a:graphic>
          </wp:inline>
        </w:drawing>
      </w:r>
      <w:r w:rsidR="001C7BF9" w:rsidRPr="00C9680B">
        <w:t>Som framgår av diagram 4 gör regeringen bedömningen att svensk exporti</w:t>
      </w:r>
      <w:r w:rsidR="001C7BF9" w:rsidRPr="00C9680B">
        <w:t>n</w:t>
      </w:r>
      <w:r w:rsidR="001C7BF9" w:rsidRPr="00C9680B">
        <w:t>dustri fortsätter att ta marknadsandelar på världsmarknaden under de närmaste åren. Exporttillväxten mattas dock av något på lite längre sikt eftersom reg</w:t>
      </w:r>
      <w:r w:rsidR="001C7BF9" w:rsidRPr="00C9680B">
        <w:t>e</w:t>
      </w:r>
      <w:r w:rsidR="001C7BF9" w:rsidRPr="00C9680B">
        <w:t>ringen bl.a. räknar med att den svenska kronans värde på den internationella valutamarknaden successivt stiger under progn</w:t>
      </w:r>
      <w:r w:rsidR="001C7BF9" w:rsidRPr="00C9680B">
        <w:t>o</w:t>
      </w:r>
      <w:r w:rsidR="001C7BF9" w:rsidRPr="00C9680B">
        <w:t>sperioden.</w:t>
      </w:r>
    </w:p>
    <w:p w:rsidR="001C7BF9" w:rsidRPr="00C9680B" w:rsidRDefault="001C7BF9">
      <w:pPr>
        <w:pStyle w:val="Rubrik3"/>
        <w:rPr>
          <w:noProof w:val="0"/>
        </w:rPr>
      </w:pPr>
      <w:bookmarkStart w:id="102" w:name="_Toc498250381"/>
      <w:r w:rsidRPr="00C9680B">
        <w:rPr>
          <w:noProof w:val="0"/>
        </w:rPr>
        <w:br w:type="page"/>
      </w:r>
      <w:bookmarkStart w:id="103" w:name="_Toc498910670"/>
      <w:r w:rsidRPr="00C9680B">
        <w:rPr>
          <w:noProof w:val="0"/>
        </w:rPr>
        <w:t>1.2.5 Kraftig förbättring på arbetsmarknaden</w:t>
      </w:r>
      <w:bookmarkEnd w:id="102"/>
      <w:bookmarkEnd w:id="103"/>
    </w:p>
    <w:p w:rsidR="001C7BF9" w:rsidRPr="00C9680B" w:rsidRDefault="001C7BF9">
      <w:r w:rsidRPr="00C9680B">
        <w:t>Som framgår av diagrammen 5 och 6 har läget på den svenska arbetsmarkn</w:t>
      </w:r>
      <w:r w:rsidRPr="00C9680B">
        <w:t>a</w:t>
      </w:r>
      <w:r w:rsidRPr="00C9680B">
        <w:t>den förbättrats markant under de senaste åren. Mellan 1997 och 1999 steg sysselsättningen med omkring 150 000 personer samtidigt som arbetslösheten sjönk från 8 % av arbetskraften till 5,6 % i genomsnitt under 1999, enligt SCB:s arbetskraftsundersökningar (AKU). Framför allt ökade antalet jobb i den privata tjänstesektorn, men sysselsättningen steg även i den kommunala se</w:t>
      </w:r>
      <w:r w:rsidRPr="00C9680B">
        <w:t>k</w:t>
      </w:r>
      <w:r w:rsidRPr="00C9680B">
        <w:t xml:space="preserve">torn. </w:t>
      </w:r>
    </w:p>
    <w:p w:rsidR="001C7BF9" w:rsidRPr="00C9680B" w:rsidRDefault="001C7BF9">
      <w:r w:rsidRPr="00C9680B">
        <w:t xml:space="preserve">Utvecklingen hittills i år visar att arbetsmarknadsläget förbättrats ytterligare. Fram till augusti har antalet sysselsatta ökat </w:t>
      </w:r>
      <w:r w:rsidRPr="00C9680B">
        <w:t>med omkring 70 000 personer jämfört med samma period i fjol. Den öppna arbetslösheten har fallit från i genomsnitt 5,6 % de första åtta månaderna 1999 till i genomsnitt 4,9 % under samma period i år. Räknar man in de personer som deltar i s.k. konjunkturb</w:t>
      </w:r>
      <w:r w:rsidRPr="00C9680B">
        <w:t>e</w:t>
      </w:r>
      <w:r w:rsidRPr="00C9680B">
        <w:t>roende åtgärder, t.ex. arbetsmarknadsutbildning, aktivitetsgarantin, anstäl</w:t>
      </w:r>
      <w:r w:rsidRPr="00C9680B">
        <w:t>l</w:t>
      </w:r>
      <w:r w:rsidRPr="00C9680B">
        <w:t>ningsstöd, förstärkt anställningsstöd etc, uppgick arbetslösheten enligt detta s.k. obalanstal i augusti i år till 7,7 % av arbetskraften, enligt AMS statistik. Det är en nedgång m</w:t>
      </w:r>
      <w:r w:rsidRPr="00C9680B">
        <w:t>ed 1,9 procentenheter jämfört med augusti 1999. I likhet med tidigare har huvuddelen av årets ökning skett i näringslivets tjänstese</w:t>
      </w:r>
      <w:r w:rsidRPr="00C9680B">
        <w:t>k</w:t>
      </w:r>
      <w:r w:rsidRPr="00C9680B">
        <w:t>tor, medan sysselsättningen inom industrin endast ökat svagt, trots den kra</w:t>
      </w:r>
      <w:r w:rsidRPr="00C9680B">
        <w:t>f</w:t>
      </w:r>
      <w:r w:rsidRPr="00C9680B">
        <w:t xml:space="preserve">tigt stigande industriproduktionen. Till skillnad från tidigare har emellertid sysselsättningsuppgången i den kommunala sektorn varit svag under första halvåret i år, men regeringen gör bedömningen att ökade skatteinkomster och höjda statsbidrag leder till att sysselsättningen i sektorn stiger på nytt </w:t>
      </w:r>
      <w:r w:rsidRPr="00C9680B">
        <w:t>fra</w:t>
      </w:r>
      <w:r w:rsidRPr="00C9680B">
        <w:t>m</w:t>
      </w:r>
      <w:r w:rsidRPr="00C9680B">
        <w:t>över.</w:t>
      </w:r>
    </w:p>
    <w:p w:rsidR="001C7BF9" w:rsidRPr="00C9680B" w:rsidRDefault="001C7BF9">
      <w:pPr>
        <w:pStyle w:val="tabellrubrikFiU1"/>
        <w:outlineLvl w:val="0"/>
      </w:pPr>
      <w:r w:rsidRPr="00C9680B">
        <w:t>Diagram 5. Sysselsättningen 1995 – augusti 2000</w:t>
      </w:r>
    </w:p>
    <w:p w:rsidR="001C7BF9" w:rsidRPr="00C9680B" w:rsidRDefault="00C9680B">
      <w:pPr>
        <w:spacing w:line="240" w:lineRule="atLeast"/>
      </w:pPr>
      <w:r w:rsidRPr="00C9680B">
        <w:rPr>
          <w:noProof/>
        </w:rPr>
        <w:drawing>
          <wp:inline distT="0" distB="0" distL="0" distR="0">
            <wp:extent cx="3380105" cy="197040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l="1558" t="1253" r="22208" b="25676"/>
                    <a:stretch>
                      <a:fillRect/>
                    </a:stretch>
                  </pic:blipFill>
                  <pic:spPr bwMode="auto">
                    <a:xfrm>
                      <a:off x="0" y="0"/>
                      <a:ext cx="3380105" cy="1970405"/>
                    </a:xfrm>
                    <a:prstGeom prst="rect">
                      <a:avLst/>
                    </a:prstGeom>
                    <a:noFill/>
                    <a:ln>
                      <a:noFill/>
                    </a:ln>
                  </pic:spPr>
                </pic:pic>
              </a:graphicData>
            </a:graphic>
          </wp:inline>
        </w:drawing>
      </w:r>
    </w:p>
    <w:p w:rsidR="001C7BF9" w:rsidRPr="00C9680B" w:rsidRDefault="001C7BF9">
      <w:pPr>
        <w:pStyle w:val="Fotnotstext"/>
        <w:outlineLvl w:val="0"/>
        <w:rPr>
          <w:sz w:val="14"/>
        </w:rPr>
      </w:pPr>
      <w:r w:rsidRPr="00C9680B">
        <w:rPr>
          <w:sz w:val="14"/>
        </w:rPr>
        <w:t>Källa: Statistiska centralbyrån</w:t>
      </w:r>
    </w:p>
    <w:p w:rsidR="001C7BF9" w:rsidRPr="00C9680B" w:rsidRDefault="001C7BF9">
      <w:r w:rsidRPr="00C9680B">
        <w:t>Den fortsatt höga efterfrågan både i Sverige och internationellt talar för att sysselsättningen fortsätter att stiga under resten av i år och under nästa år. Detta intryck förstärks också av att antalet nyanmälda lediga platser till la</w:t>
      </w:r>
      <w:r w:rsidRPr="00C9680B">
        <w:t>n</w:t>
      </w:r>
      <w:r w:rsidRPr="00C9680B">
        <w:t>dets arbetsförmedlingar fortfarande ligger på en hög nivå. Antalet nyanmälda lediga platser har historiskt sett varit en god indikator på sysselsättningsu</w:t>
      </w:r>
      <w:r w:rsidRPr="00C9680B">
        <w:t>t</w:t>
      </w:r>
      <w:r w:rsidRPr="00C9680B">
        <w:t>vecklingen under de kommande sex till tolv månaderna. I Konjunkturinstit</w:t>
      </w:r>
      <w:r w:rsidRPr="00C9680B">
        <w:t>u</w:t>
      </w:r>
      <w:r w:rsidRPr="00C9680B">
        <w:t>tets olika barometrar kan man också utläsa att företagen inom t.ex. industrin, byggsektorn och handeln räknar med att öka antalet anställda framöver. Även rapporter och intervjuundersökningar från Arbetsmarknadsstyrelsen (AMS) pekar mot en fortsatt st</w:t>
      </w:r>
      <w:r w:rsidRPr="00C9680B">
        <w:t>i</w:t>
      </w:r>
      <w:r w:rsidRPr="00C9680B">
        <w:t>gande sysselsättning.</w:t>
      </w:r>
    </w:p>
    <w:p w:rsidR="001C7BF9" w:rsidRPr="00C9680B" w:rsidRDefault="001C7BF9">
      <w:pPr>
        <w:pStyle w:val="Normaltindrag"/>
      </w:pPr>
      <w:r w:rsidRPr="00C9680B">
        <w:t>Enligt re</w:t>
      </w:r>
      <w:r w:rsidRPr="00C9680B">
        <w:t>geringens bedömning i budgetpropositionen stiger sysselsättnin</w:t>
      </w:r>
      <w:r w:rsidRPr="00C9680B">
        <w:t>g</w:t>
      </w:r>
      <w:r w:rsidRPr="00C9680B">
        <w:t>en i år med 2 %, eller 81 000 personer. Till följd av en något svagare tillväxt och en mer ansträngd situation på arbetsmarknaden under nästa år ökar  sy</w:t>
      </w:r>
      <w:r w:rsidRPr="00C9680B">
        <w:t>s</w:t>
      </w:r>
      <w:r w:rsidRPr="00C9680B">
        <w:t>selsättningen mindre under 2001, med 1,3 % eller 53 000 personer. Regerin</w:t>
      </w:r>
      <w:r w:rsidRPr="00C9680B">
        <w:t>g</w:t>
      </w:r>
      <w:r w:rsidRPr="00C9680B">
        <w:t>en räknar vidare med att utbudet av arbetskraft ökar med 1 % (44 000 pers</w:t>
      </w:r>
      <w:r w:rsidRPr="00C9680B">
        <w:t>o</w:t>
      </w:r>
      <w:r w:rsidRPr="00C9680B">
        <w:t xml:space="preserve">ner)  i år och 0,4 % (17 000 personer) nästa år. Givet dessa bedömningar sjunker den öppna arbetslösheten från 5,6 % 1999, till i genomsnitt 4,6 % </w:t>
      </w:r>
      <w:r w:rsidRPr="00C9680B">
        <w:t>2000 och 3,8 % 2001. I kalkylerna för 2002 och 2003 antar regeringen att ekonomin växer med 2,1 % per år. Sysselsättningen förväntas stiga i en något snabbare takt än den arbetsföra befolkningen, med i genomsnitt 0,5 % både 2002 och 2003. Arbetslösheten väntas dock stiga med ett par tiondelar under  2002 och 2003. Anledningen är bl.a. att det dröjer innan alla som kommer ut på arbetsmarknaden till följd av neddragningarna av Kunskapslyftet och de arbetsmarknadspolitiska progra</w:t>
      </w:r>
      <w:r w:rsidRPr="00C9680B">
        <w:t>m</w:t>
      </w:r>
      <w:r w:rsidRPr="00C9680B">
        <w:t>men får jobb.</w:t>
      </w:r>
    </w:p>
    <w:p w:rsidR="001C7BF9" w:rsidRPr="00C9680B" w:rsidRDefault="001C7BF9">
      <w:pPr>
        <w:pStyle w:val="tabellrubrikFiU1"/>
        <w:outlineLvl w:val="0"/>
      </w:pPr>
      <w:r w:rsidRPr="00C9680B">
        <w:t>Diagram 6. Den ö</w:t>
      </w:r>
      <w:r w:rsidRPr="00C9680B">
        <w:t>ppna arbetslösheten 1995 – augusti 2000</w:t>
      </w:r>
    </w:p>
    <w:p w:rsidR="001C7BF9" w:rsidRPr="00C9680B" w:rsidRDefault="00C9680B">
      <w:pPr>
        <w:pStyle w:val="Citat"/>
        <w:spacing w:before="122" w:line="240" w:lineRule="atLeast"/>
        <w:ind w:left="-57"/>
      </w:pPr>
      <w:r w:rsidRPr="00C9680B">
        <w:rPr>
          <w:noProof/>
        </w:rPr>
        <w:drawing>
          <wp:inline distT="0" distB="0" distL="0" distR="0">
            <wp:extent cx="3401695" cy="211201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l="1169" t="1253" r="23376" b="26303"/>
                    <a:stretch>
                      <a:fillRect/>
                    </a:stretch>
                  </pic:blipFill>
                  <pic:spPr bwMode="auto">
                    <a:xfrm>
                      <a:off x="0" y="0"/>
                      <a:ext cx="3401695" cy="2112010"/>
                    </a:xfrm>
                    <a:prstGeom prst="rect">
                      <a:avLst/>
                    </a:prstGeom>
                    <a:noFill/>
                    <a:ln>
                      <a:noFill/>
                    </a:ln>
                  </pic:spPr>
                </pic:pic>
              </a:graphicData>
            </a:graphic>
          </wp:inline>
        </w:drawing>
      </w:r>
    </w:p>
    <w:p w:rsidR="001C7BF9" w:rsidRPr="00C9680B" w:rsidRDefault="001C7BF9">
      <w:pPr>
        <w:pStyle w:val="Fotnotstext"/>
        <w:outlineLvl w:val="0"/>
        <w:rPr>
          <w:sz w:val="14"/>
        </w:rPr>
      </w:pPr>
      <w:r w:rsidRPr="00C9680B">
        <w:rPr>
          <w:sz w:val="14"/>
        </w:rPr>
        <w:t>Källa: Statistiska centralbyrån</w:t>
      </w:r>
    </w:p>
    <w:p w:rsidR="001C7BF9" w:rsidRPr="00C9680B" w:rsidRDefault="001C7BF9">
      <w:pPr>
        <w:spacing w:before="187"/>
      </w:pPr>
      <w:r w:rsidRPr="00C9680B">
        <w:t>Som framgår av tabell 6 innebär regeringens prognos fram till 2001 och ka</w:t>
      </w:r>
      <w:r w:rsidRPr="00C9680B">
        <w:t>l</w:t>
      </w:r>
      <w:r w:rsidRPr="00C9680B">
        <w:t>kylerna fram till 2003 att sysselsättningsgraden i ekonomin, dvs. antalet sy</w:t>
      </w:r>
      <w:r w:rsidRPr="00C9680B">
        <w:t>s</w:t>
      </w:r>
      <w:r w:rsidRPr="00C9680B">
        <w:t>selsatta i åldrarna 20–64 år i procent av befolkningen i samma åldersgrupp, stiger från 75,9 % 1999 till 77,7 % 2001 och 78 % 2003. Riksdagens och regeringens mål för sysselsättningen är att sysselsättningsgraden för dessa åldersgrupper skall stiga till 80 % år 2004.</w:t>
      </w:r>
    </w:p>
    <w:p w:rsidR="001C7BF9" w:rsidRPr="00C9680B" w:rsidRDefault="001C7BF9">
      <w:pPr>
        <w:pStyle w:val="tabellrubrikFiU1"/>
        <w:outlineLvl w:val="0"/>
      </w:pPr>
      <w:r w:rsidRPr="00C9680B">
        <w:br w:type="page"/>
        <w:t>Tabell 6. Nyckeltal för arbetsmarknaden</w:t>
      </w:r>
    </w:p>
    <w:p w:rsidR="001C7BF9" w:rsidRPr="00C9680B" w:rsidRDefault="00C9680B">
      <w:pPr>
        <w:spacing w:before="240"/>
      </w:pPr>
      <w:r w:rsidRPr="00C9680B">
        <w:rPr>
          <w:noProof/>
        </w:rPr>
        <w:drawing>
          <wp:inline distT="0" distB="0" distL="0" distR="0">
            <wp:extent cx="3913505" cy="21824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13505" cy="2182495"/>
                    </a:xfrm>
                    <a:prstGeom prst="rect">
                      <a:avLst/>
                    </a:prstGeom>
                    <a:noFill/>
                    <a:ln>
                      <a:noFill/>
                    </a:ln>
                  </pic:spPr>
                </pic:pic>
              </a:graphicData>
            </a:graphic>
          </wp:inline>
        </w:drawing>
      </w:r>
    </w:p>
    <w:p w:rsidR="001C7BF9" w:rsidRPr="00C9680B" w:rsidRDefault="001C7BF9">
      <w:pPr>
        <w:spacing w:before="0"/>
      </w:pPr>
      <w:r w:rsidRPr="00C9680B">
        <w:t>Regeringen anger en rad osäkerheter i bedömningen av arbetsmarknadsu</w:t>
      </w:r>
      <w:r w:rsidRPr="00C9680B">
        <w:t>t</w:t>
      </w:r>
      <w:r w:rsidRPr="00C9680B">
        <w:t>vecklingen. En sådan osäkerhet är svårigheten att avgöra storleken på arbet</w:t>
      </w:r>
      <w:r w:rsidRPr="00C9680B">
        <w:t>s</w:t>
      </w:r>
      <w:r w:rsidRPr="00C9680B">
        <w:t>kraftspotentialen. Till exempel är det inte omöjligt att arbetsmarknaden och lönebildningen fungerar bättre än vad som antas i prognosen och kalkylen. I ett sådant fall skulle BNP stiga kraftigare under de närmaste åren och nivån på sysselsättningen år 2003 vara högre än vad som förväntas i budgetpropos</w:t>
      </w:r>
      <w:r w:rsidRPr="00C9680B">
        <w:t>i</w:t>
      </w:r>
      <w:r w:rsidRPr="00C9680B">
        <w:t xml:space="preserve">tionen. Å andra sidan kan utvecklingen bli den motsatta. Det är inte heller omöjligt att bristsituationen och matchningsproblemen </w:t>
      </w:r>
      <w:r w:rsidRPr="00C9680B">
        <w:t>på den svenska a</w:t>
      </w:r>
      <w:r w:rsidRPr="00C9680B">
        <w:t>r</w:t>
      </w:r>
      <w:r w:rsidRPr="00C9680B">
        <w:t>betsmarknaden har underskattats. Ett speciellt osäkerhetsmoment är 2001 års lönerörelse som kommer att genomföras i en situation med lägre arbetslöshet och högre sysselsättning jämfört med de förhållanden som rådde vid 1995 års och 1998 års avtalsröre</w:t>
      </w:r>
      <w:r w:rsidRPr="00C9680B">
        <w:t>l</w:t>
      </w:r>
      <w:r w:rsidRPr="00C9680B">
        <w:t>ser.</w:t>
      </w:r>
    </w:p>
    <w:p w:rsidR="001C7BF9" w:rsidRPr="00C9680B" w:rsidRDefault="001C7BF9">
      <w:pPr>
        <w:pStyle w:val="tabellrubrikFiU1"/>
        <w:outlineLvl w:val="0"/>
      </w:pPr>
      <w:r w:rsidRPr="00C9680B">
        <w:t>Tabell 7. Sysselsättningen fördelad på branscher</w:t>
      </w:r>
    </w:p>
    <w:p w:rsidR="001C7BF9" w:rsidRPr="00C9680B" w:rsidRDefault="00C9680B">
      <w:pPr>
        <w:ind w:left="-57"/>
      </w:pPr>
      <w:bookmarkStart w:id="104" w:name="_Toc498250382"/>
      <w:r w:rsidRPr="00C9680B">
        <w:rPr>
          <w:noProof/>
        </w:rPr>
        <w:drawing>
          <wp:inline distT="0" distB="0" distL="0" distR="0">
            <wp:extent cx="3651885" cy="194310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51885" cy="1943100"/>
                    </a:xfrm>
                    <a:prstGeom prst="rect">
                      <a:avLst/>
                    </a:prstGeom>
                    <a:noFill/>
                    <a:ln>
                      <a:noFill/>
                    </a:ln>
                  </pic:spPr>
                </pic:pic>
              </a:graphicData>
            </a:graphic>
          </wp:inline>
        </w:drawing>
      </w:r>
    </w:p>
    <w:p w:rsidR="001C7BF9" w:rsidRPr="00C9680B" w:rsidRDefault="001C7BF9">
      <w:pPr>
        <w:pStyle w:val="Rubrik3"/>
        <w:rPr>
          <w:noProof w:val="0"/>
        </w:rPr>
      </w:pPr>
      <w:bookmarkStart w:id="105" w:name="_Toc498910671"/>
      <w:r w:rsidRPr="00C9680B">
        <w:rPr>
          <w:noProof w:val="0"/>
        </w:rPr>
        <w:t>1.2.6 Ny information efter det att regeringens prognos färdigställts</w:t>
      </w:r>
      <w:bookmarkEnd w:id="104"/>
      <w:bookmarkEnd w:id="105"/>
    </w:p>
    <w:p w:rsidR="001C7BF9" w:rsidRPr="00C9680B" w:rsidRDefault="001C7BF9">
      <w:r w:rsidRPr="00C9680B">
        <w:t>Sedan regeringen avslutade sitt budgetarbete har ny information presenterats om både den internationella och den svenska konjunkturu</w:t>
      </w:r>
      <w:r w:rsidRPr="00C9680B">
        <w:t>t</w:t>
      </w:r>
      <w:r w:rsidRPr="00C9680B">
        <w:t>vecklingen.</w:t>
      </w:r>
    </w:p>
    <w:p w:rsidR="001C7BF9" w:rsidRPr="00C9680B" w:rsidRDefault="001C7BF9">
      <w:pPr>
        <w:pStyle w:val="Normaltindrag"/>
      </w:pPr>
      <w:r w:rsidRPr="00C9680B">
        <w:t>En del av den senaste tidens statistikflöde från Förenta staterna pekar mot en mer dämpad aktivitet i ekonomin under de senaste månaderna efter den mycket starka utvecklingen under första halvåret i år. Till exempel steg d</w:t>
      </w:r>
      <w:r w:rsidRPr="00C9680B">
        <w:t>e</w:t>
      </w:r>
      <w:r w:rsidRPr="00C9680B">
        <w:t>taljhandeln under augusti med 3,6 % räknat på årsbasis. Det kan jämföras med en uppgång under andra kvartalet i år på i genomsnitt 5,1 %. Vidare har försäljningen av både nya och befintliga hem varit i stort sett oförändrad perioden juli–augusti jämfört med andra kvartalet. Men bilden av utvecklin</w:t>
      </w:r>
      <w:r w:rsidRPr="00C9680B">
        <w:t>g</w:t>
      </w:r>
      <w:r w:rsidRPr="00C9680B">
        <w:t>en i den inhemska efterfrågan och hushållskonsumtionen är långt i från ent</w:t>
      </w:r>
      <w:r w:rsidRPr="00C9680B">
        <w:t>y</w:t>
      </w:r>
      <w:r w:rsidRPr="00C9680B">
        <w:t xml:space="preserve">dig. De amerikanska hushållens förtroende för den ekonomiska utvecklingen ligger fortfarande kvar på en historiskt sett mycket hög nivå. </w:t>
      </w:r>
      <w:r w:rsidRPr="00C9680B">
        <w:t>I september steg dessutom förtroendet med cirka en indexenhet jämfört med augusti, från 140,8 i augusti till 141,9 i september. Förtroendetalet har i genomsnitt legat omkring 100 under perioden 1978–1999, vilket visar att hushållens nuvarande uppfattning om den ekonomiska fra</w:t>
      </w:r>
      <w:r w:rsidRPr="00C9680B">
        <w:t>m</w:t>
      </w:r>
      <w:r w:rsidRPr="00C9680B">
        <w:t>tiden fortfarande är mycket positiv.</w:t>
      </w:r>
    </w:p>
    <w:p w:rsidR="001C7BF9" w:rsidRPr="00C9680B" w:rsidRDefault="001C7BF9">
      <w:pPr>
        <w:pStyle w:val="Normaltindrag"/>
      </w:pPr>
      <w:r w:rsidRPr="00C9680B">
        <w:t>Inköpschefernas index, det s.k. NAPM, vilket är ett konjunkturindex för industrisektorn, steg några tiondelar i september efter att tidigare ha sjunkit i sex månader i rad. Nivån på index är dock fo</w:t>
      </w:r>
      <w:r w:rsidRPr="00C9680B">
        <w:t>rtfarande relativt låg, vilket indikerar en fortsatt dämpad produktionsutveckling i den sammantagna til</w:t>
      </w:r>
      <w:r w:rsidRPr="00C9680B">
        <w:t>l</w:t>
      </w:r>
      <w:r w:rsidRPr="00C9680B">
        <w:t>verkningsindustrin. Skillnaden mellan olika grenar i tillverkningsindustrin är dock stor. Nästan uteslutande är det den högteknologiska industrin som svarar för uppgången, medan flertalet av de traditionella sektorerna brottas med minskad produktion bl.a. till följd av den höga dollarkursen. I augusti ökade produktionen av datorer, halvledare och kommunikationsutrustning med 3,3 %,vilket ger en uppgång på</w:t>
      </w:r>
      <w:r w:rsidRPr="00C9680B">
        <w:t xml:space="preserve"> årsbasis med 50 %.</w:t>
      </w:r>
    </w:p>
    <w:p w:rsidR="001C7BF9" w:rsidRPr="00C9680B" w:rsidRDefault="001C7BF9">
      <w:pPr>
        <w:pStyle w:val="Normaltindrag"/>
      </w:pPr>
      <w:r w:rsidRPr="00C9680B">
        <w:t>Nya uppgifter visar också att läget på arbetsmarknaden är fortsatt stramt och inflationstrycket är i stigande. Enligt statistik från Förenta staternas a</w:t>
      </w:r>
      <w:r w:rsidRPr="00C9680B">
        <w:t>r</w:t>
      </w:r>
      <w:r w:rsidRPr="00C9680B">
        <w:t>betsmarknadsdepartement minskade arbetslösheten från 4,1 % i augusti till 3,9 % i september. Arbetslösheten har under det senaste året stadigt pendlat mellan 3,9 % och 4,1 %. De nya siffrorna visar också att sysselsättningen under tredje kvartalet ökat med i genomsnitt 202 000 personer per månad. Det är högre än genomsnittet hittills i år på 194 000 personer per månad, men lägre än under 1999 då sysselsättningen steg med i genomsnitt 229 000 pe</w:t>
      </w:r>
      <w:r w:rsidRPr="00C9680B">
        <w:t>r</w:t>
      </w:r>
      <w:r w:rsidRPr="00C9680B">
        <w:t>soner per månad. Till följd av bl.a. stigande energipriser ste</w:t>
      </w:r>
      <w:r w:rsidRPr="00C9680B">
        <w:t>g också infl</w:t>
      </w:r>
      <w:r w:rsidRPr="00C9680B">
        <w:t>a</w:t>
      </w:r>
      <w:r w:rsidRPr="00C9680B">
        <w:t xml:space="preserve">tionstakten under de senaste tolv månaderna till 3,5 % i september, jämfört med 3,3 % i  augusti. </w:t>
      </w:r>
    </w:p>
    <w:p w:rsidR="001C7BF9" w:rsidRPr="00C9680B" w:rsidRDefault="001C7BF9">
      <w:pPr>
        <w:pStyle w:val="Normaltindrag"/>
      </w:pPr>
      <w:r w:rsidRPr="00C9680B">
        <w:t>Den första preliminära beräkningen av Förenta staternas nationalräkensk</w:t>
      </w:r>
      <w:r w:rsidRPr="00C9680B">
        <w:t>a</w:t>
      </w:r>
      <w:r w:rsidRPr="00C9680B">
        <w:t>per för tredje kvartalet, som Handelsdepartementet offentliggjorde i slutet av oktober 2000, visar att BNP under tredje kvartalet steg med 2,7 % i årstakt. Det kan jämföras med en uppgång under andra kvartalet med 5,6 % i årstakt. Bland annat minskade investeringsverksamheten jämfört med andra kvart</w:t>
      </w:r>
      <w:r w:rsidRPr="00C9680B">
        <w:t>a</w:t>
      </w:r>
      <w:r w:rsidRPr="00C9680B">
        <w:t>let.</w:t>
      </w:r>
    </w:p>
    <w:p w:rsidR="001C7BF9" w:rsidRPr="00C9680B" w:rsidRDefault="001C7BF9">
      <w:pPr>
        <w:pStyle w:val="Normaltindrag"/>
      </w:pPr>
      <w:r w:rsidRPr="00C9680B">
        <w:t>Den senaste statistiken visar också att återhämtningen i den japanska ek</w:t>
      </w:r>
      <w:r w:rsidRPr="00C9680B">
        <w:t>o</w:t>
      </w:r>
      <w:r w:rsidRPr="00C9680B">
        <w:t>nomin håller i sig, men att det i likhet med tidigare framför allt är industr</w:t>
      </w:r>
      <w:r w:rsidRPr="00C9680B">
        <w:t>i</w:t>
      </w:r>
      <w:r w:rsidRPr="00C9680B">
        <w:t>sektorn som står för uppgången. Företagens förväntningar om den närmaste framtiden fortsätter att öka, visar den japanska centralbankens senaste ra</w:t>
      </w:r>
      <w:r w:rsidRPr="00C9680B">
        <w:t>p</w:t>
      </w:r>
      <w:r w:rsidRPr="00C9680B">
        <w:t>port, den s.k. Tankan.  Nya uppgifter visar också att industriproduktionen fortsätter att stiga kraftigt, upp 7 % i augusti jämfört med samma månad i fjol. Även om arbetslösheten sjönk i augusti, från 4,7 % i juli till 4,6 % i augusti, visar hushållens konsumtion mycket få tecken på a</w:t>
      </w:r>
      <w:r w:rsidRPr="00C9680B">
        <w:t>tt öka. Tvärtom sjönk den privata konsumtionen i augusti jämfört med samma månad i fjol. Och  trots stigande oljepriser råder det alltjämt deflation i Japan. I augusti föll kons</w:t>
      </w:r>
      <w:r w:rsidRPr="00C9680B">
        <w:t>u</w:t>
      </w:r>
      <w:r w:rsidRPr="00C9680B">
        <w:t>mentpriserna med 1,8 % sett över de senaste tolv månaderna.</w:t>
      </w:r>
    </w:p>
    <w:p w:rsidR="001C7BF9" w:rsidRPr="00C9680B" w:rsidRDefault="001C7BF9">
      <w:pPr>
        <w:pStyle w:val="Normaltindrag"/>
      </w:pPr>
      <w:r w:rsidRPr="00C9680B">
        <w:t>De senaste månadernas ekonomiska statistik från EU och euroområdet är blandad. Å ena sidan tyder uppgifter om industriproduktionen och företagens framtidsförväntningar på att industrikonjunkturen mattats något under de senaste månaderna efter den starka uppgången i våras. Å</w:t>
      </w:r>
      <w:r w:rsidRPr="00C9680B">
        <w:t xml:space="preserve"> andra sidan steg industripr</w:t>
      </w:r>
      <w:r w:rsidRPr="00C9680B">
        <w:t>o</w:t>
      </w:r>
      <w:r w:rsidRPr="00C9680B">
        <w:t>duktionen i Tyskland överraskande starkt i augusti.  Det s.k. IFO-index, en barometer för tyska industrins förtroende och förväntningar, föll däremot i september för tredje månaden i rad.  Förväntningarna i IFO-index har tidigare visat sig vara en god indikator på industrins utveckling i såväl Tyskland som hela e</w:t>
      </w:r>
      <w:r w:rsidRPr="00C9680B">
        <w:t>u</w:t>
      </w:r>
      <w:r w:rsidRPr="00C9680B">
        <w:t>roområdet.</w:t>
      </w:r>
    </w:p>
    <w:p w:rsidR="001C7BF9" w:rsidRPr="00C9680B" w:rsidRDefault="001C7BF9">
      <w:pPr>
        <w:pStyle w:val="Normaltindrag"/>
      </w:pPr>
      <w:r w:rsidRPr="00C9680B">
        <w:t>Efter att ha legat på historiskt höga nivåer minskade EU-hushållens ek</w:t>
      </w:r>
      <w:r w:rsidRPr="00C9680B">
        <w:t>o</w:t>
      </w:r>
      <w:r w:rsidRPr="00C9680B">
        <w:t>nomiska framtidsförväntningar påtagligt i september, enligt EU-kommissionens barometer. Nedgången kan bero på de högre oljepriserna och räntehöjningarna från den europeiska centralbanken, ECB:s sida. ECB höjde sin styrränta med 0,25 procentenheter i slutet av augusti och med ytterligare 0,25 procentenheter i början av oktober för att dämpa inflationstrycket i e</w:t>
      </w:r>
      <w:r w:rsidRPr="00C9680B">
        <w:t>u</w:t>
      </w:r>
      <w:r w:rsidRPr="00C9680B">
        <w:t>roområdet. Enligt Eurostats uppgifter steg inflationen i euroområdet från 2,3 % i augusti till 2,8 % i september. I EU som helhet steg inflationsta</w:t>
      </w:r>
      <w:r w:rsidRPr="00C9680B">
        <w:t>kten med från 2,0 % till 2,5 % under samma period. Den kraftiga uppgången i september förklaras till en stor del av det stigande oljepriset och följdeffekter av prisuppgången på olja. Rensat för energipriserna låg inflationstakten  i september i euro- respektive EU-området på 1,6 r</w:t>
      </w:r>
      <w:r w:rsidRPr="00C9680B">
        <w:t>e</w:t>
      </w:r>
      <w:r w:rsidRPr="00C9680B">
        <w:t>spektive 1,4 %.</w:t>
      </w:r>
    </w:p>
    <w:p w:rsidR="001C7BF9" w:rsidRPr="00C9680B" w:rsidRDefault="001C7BF9">
      <w:pPr>
        <w:pStyle w:val="Normaltindrag"/>
      </w:pPr>
      <w:r w:rsidRPr="00C9680B">
        <w:t>Kurserna på de större aktiebörserna har sjunkit under september och okt</w:t>
      </w:r>
      <w:r w:rsidRPr="00C9680B">
        <w:t>o</w:t>
      </w:r>
      <w:r w:rsidRPr="00C9680B">
        <w:t>ber. Samtidigt steg priset på råolja ytterligare något under perioden. Den amerikanska dollarn har också under de senaste månaderna fortsatt att stärkas mot t.ex. euron och den svenska kronan. I slutet av september genomförde ECB tillsammans med centralbankerna i Förenta staterna, Japan och Storbr</w:t>
      </w:r>
      <w:r w:rsidRPr="00C9680B">
        <w:t>i</w:t>
      </w:r>
      <w:r w:rsidRPr="00C9680B">
        <w:t>tannien en samordnad intervention på valutamarknaden för att stabilisera euron. Euron stärktes kraftigt i samband med interventionen men under okt</w:t>
      </w:r>
      <w:r w:rsidRPr="00C9680B">
        <w:t>o</w:t>
      </w:r>
      <w:r w:rsidRPr="00C9680B">
        <w:t>ber har euron försvagats på nytt.</w:t>
      </w:r>
    </w:p>
    <w:p w:rsidR="001C7BF9" w:rsidRPr="00C9680B" w:rsidRDefault="001C7BF9">
      <w:r w:rsidRPr="00C9680B">
        <w:t>Regeringens prognos i budgetpro</w:t>
      </w:r>
      <w:r w:rsidRPr="00C9680B">
        <w:t>positionen bygger bl.a. på den snabbversion av nationalräkenskapers utfall under andra kvartalet och första halvåret i år som Statistiska centralbyrån (SCB) publicerade i början av augusti. I slutet av september presenterade SCB de ordinarie beräkningarna för utfallet under första halvåret. Enligt de nya reviderade räkenskaperna justerades BNP-tillväxten för första halvåret i år upp med 0,3 procentenheter, från beräknade 3,5 % i snabbversionen till 3,8 %. Framför allt är det kommunernas konsu</w:t>
      </w:r>
      <w:r w:rsidRPr="00C9680B">
        <w:t>m</w:t>
      </w:r>
      <w:r w:rsidRPr="00C9680B">
        <w:t xml:space="preserve">tionsutgifter </w:t>
      </w:r>
      <w:r w:rsidRPr="00C9680B">
        <w:t>som skrivits upp. I snabbversionen beräknades att kommunernas konsumtion under första halvåret stigit med 0,1 % (exklusive effekterna av att Svenska kyrkan fr.o.m. år 2000 ingår i hushållssektorn). I den nya reviderade versionen anges att den steg med 1,7 %. Samtidigt har emellertid den statliga konsumtionen skrivits ned relativt kraftigt. Enligt de reviderade räkenskape</w:t>
      </w:r>
      <w:r w:rsidRPr="00C9680B">
        <w:t>r</w:t>
      </w:r>
      <w:r w:rsidRPr="00C9680B">
        <w:t>na sjönk den statliga konsumtionen under första halvåret med 4 % jämfört med samma period i fjol. Nedgången beror bl.a. på ökad försäljnin</w:t>
      </w:r>
      <w:r w:rsidRPr="00C9680B">
        <w:t>g från försvaret, Banverket och Vägverket. Enligt uppgift från Finansdepartementet håller Ekonomistyrningsverket (ESV) och SCB på att närmare undersöka bakgrunden till siffrorna. Vidare uppreviderades såväl hushållskonsumtionen som exporten och importen samt investeringarna jämfört med snabbversionen i augusti.</w:t>
      </w:r>
    </w:p>
    <w:p w:rsidR="001C7BF9" w:rsidRPr="00C9680B" w:rsidRDefault="001C7BF9">
      <w:pPr>
        <w:pStyle w:val="Normaltindrag"/>
      </w:pPr>
      <w:r w:rsidRPr="00C9680B">
        <w:t>De svenska hushållens konsumtion fortsätter att utvecklas starkt, enligt SCB:s senaste utfallsstatistik. Till exempel ökade detaljhandelns omsättning kraftigt under juli och oväntat kraftigt under au</w:t>
      </w:r>
      <w:r w:rsidRPr="00C9680B">
        <w:t>gusti. Enligt Handelns Utre</w:t>
      </w:r>
      <w:r w:rsidRPr="00C9680B">
        <w:t>d</w:t>
      </w:r>
      <w:r w:rsidRPr="00C9680B">
        <w:t>ningsinstituts (HUI:s) s.k. snabbindex fortsatte omsättningen att öka i se</w:t>
      </w:r>
      <w:r w:rsidRPr="00C9680B">
        <w:t>p</w:t>
      </w:r>
      <w:r w:rsidRPr="00C9680B">
        <w:t>tember. Hushållens optimism om både Sveriges och den egna ekonomins utveckling minskade något i september, enligt SCB:s undersökning av hu</w:t>
      </w:r>
      <w:r w:rsidRPr="00C9680B">
        <w:t>s</w:t>
      </w:r>
      <w:r w:rsidRPr="00C9680B">
        <w:t>hållens inköpsplaner, den s.k. Hippen. Hushållens förväntningar ligger dock fortfarande kvar på en historiskt sett hög nivå.</w:t>
      </w:r>
    </w:p>
    <w:p w:rsidR="001C7BF9" w:rsidRPr="00C9680B" w:rsidRDefault="001C7BF9">
      <w:pPr>
        <w:pStyle w:val="Normaltindrag"/>
      </w:pPr>
      <w:r w:rsidRPr="00C9680B">
        <w:t>Att döma av SCB:s senaste arbetskraftsundersökningar (AKU) har läget på arbetsmarknaden ytterligare förbättrats under den senaste tiden. I septem</w:t>
      </w:r>
      <w:r w:rsidRPr="00C9680B">
        <w:t>ber i år uppgick antalet sysselsatta till 4 180 000 personer. Det är hela 136 000 personer fler eller en ökning med 3,4 % jämfört med samma månad i fjol. Ökningen var störst inom framför allt den privata tjänstesektorn och i den kommunala sektorn. Den öppna arbetslösheten sjönk i september till 4,1 %, vilket är  1,4 pr</w:t>
      </w:r>
      <w:r w:rsidRPr="00C9680B">
        <w:t>o</w:t>
      </w:r>
      <w:r w:rsidRPr="00C9680B">
        <w:t xml:space="preserve">centenheter, eller 58 000 personer, lägre än september i fjol. </w:t>
      </w:r>
    </w:p>
    <w:p w:rsidR="001C7BF9" w:rsidRPr="00C9680B" w:rsidRDefault="001C7BF9">
      <w:pPr>
        <w:pStyle w:val="Normaltindrag"/>
      </w:pPr>
      <w:r w:rsidRPr="00C9680B">
        <w:t>Inflationstrycket i den svenska ekonomin fortsätter att vara begränsat. Konsumentpriserna (KPI) steg i september med 0,7 % jämf</w:t>
      </w:r>
      <w:r w:rsidRPr="00C9680B">
        <w:t>ört med augusti, vilket gav en inflationstakt över de senaste 12 månaderna på 1,3 %, samma inflationstal som i augusti. Uppgången i september förklaras till stor del av höjda priser på drivmedel och olja. Om dessa produkter exkluderas från KPI sjönk inflationstakten i september jämfört med augusti. Inflationstakten enligt det underliggande inflationsmåttet,  UND1X, uppgick i september till 1,3 %. Även det samma värde som i augusti. Inflationstakten enligt måttet U</w:t>
      </w:r>
      <w:r w:rsidRPr="00C9680B">
        <w:t>N</w:t>
      </w:r>
      <w:r w:rsidRPr="00C9680B">
        <w:t>DINHX, dvs. KPI minus importerade varor, lå</w:t>
      </w:r>
      <w:r w:rsidRPr="00C9680B">
        <w:t>g i september för tredje mån</w:t>
      </w:r>
      <w:r w:rsidRPr="00C9680B">
        <w:t>a</w:t>
      </w:r>
      <w:r w:rsidRPr="00C9680B">
        <w:t>den i rad på 1 %.</w:t>
      </w:r>
    </w:p>
    <w:p w:rsidR="001C7BF9" w:rsidRPr="00C9680B" w:rsidRDefault="001C7BF9">
      <w:pPr>
        <w:pStyle w:val="Normaltindrag"/>
      </w:pPr>
      <w:r w:rsidRPr="00C9680B">
        <w:t>Den svenska industrikonjunkturen är fortsatt mycket god, även om up</w:t>
      </w:r>
      <w:r w:rsidRPr="00C9680B">
        <w:t>p</w:t>
      </w:r>
      <w:r w:rsidRPr="00C9680B">
        <w:t>gifterna i Konjunkturinstitutets (KI:s) barometer för tredje kvartalet i år, som presenterades i slutet av oktober, tyder på att tillväxten under sommaren varit något lugnare jämfört med den kraftiga uppgången i våras. Enligt barometern ökade inte orderingången och produktionen i tillverkningsindustrin under tredje kvartalet lika mycket som under första halvåret och uppgången var lägre än vad företagen förväntat sig. Men trots detta är orderläget fortfarande extremt gott och fyra av fem företag är nöjda me</w:t>
      </w:r>
      <w:r w:rsidRPr="00C9680B">
        <w:t>d storleken på orderstocken. Det är omdömen som ligger i nivå med de tidigare toppåren i slutet av 1980-talet. Företagen förväntar sig också en god orderingång under fjärde kvartalet. Teleprodukt- och metallvaruindustrin är mycket optimistiska om utvecklingen under årets fjärde och sista kvartal. Enligt barometern har inte heller arbet</w:t>
      </w:r>
      <w:r w:rsidRPr="00C9680B">
        <w:t>s</w:t>
      </w:r>
      <w:r w:rsidRPr="00C9680B">
        <w:t>kraftsbristen ökat nämnvärt under sommaren och tidiga hösten. Andelen företag i tillverkningsindustrin som anger brist på arbetskraft som det främsta hindret för ökad produkt</w:t>
      </w:r>
      <w:r w:rsidRPr="00C9680B">
        <w:t>ion uppgick i slutet av tredje kvartalet till 14 %, vilket historiskt sett är en mycket måttlig siffra. Antalet sysselsatta har ökat och industrin förväntar sig en fortsatt sysselsättningsökning under fjärde kvartalet. Skillnaden mellan olika industrigrenar är dock stor. Byggandet fortsatte att öka under sommarmånaderna. Dessutom ökade orderstocken påtagligt och företagen är optimistiska om utvecklingen under resten av året. Konjunkturen inom tjänstesektorn var stark under tredje kvartalet och föret</w:t>
      </w:r>
      <w:r w:rsidRPr="00C9680B">
        <w:t>a</w:t>
      </w:r>
      <w:r w:rsidRPr="00C9680B">
        <w:t>gen räk</w:t>
      </w:r>
      <w:r w:rsidRPr="00C9680B">
        <w:t>nar med en fortsatt ökad aktivitet under fjärde kvartalet, enligt bar</w:t>
      </w:r>
      <w:r w:rsidRPr="00C9680B">
        <w:t>o</w:t>
      </w:r>
      <w:r w:rsidRPr="00C9680B">
        <w:t>metern. Nästan alla företag i detaljhandeln är nöjda med försäljningsläget, dock redovisades inom bilhandeln en avmattning under tredje kvartalet. Även så gott som alla företag inom sektorerna datakonsulter och uppdragsverksa</w:t>
      </w:r>
      <w:r w:rsidRPr="00C9680B">
        <w:t>m</w:t>
      </w:r>
      <w:r w:rsidRPr="00C9680B">
        <w:t>het redovisar en positiv konjunktur. Inom dessa branscher är dock bristen på arbetskraft stor. Drygt hälften av företagen i branscherna anger arbetskraft</w:t>
      </w:r>
      <w:r w:rsidRPr="00C9680B">
        <w:t>s</w:t>
      </w:r>
      <w:r w:rsidRPr="00C9680B">
        <w:t>brist som den trängsta sektorn i verksa</w:t>
      </w:r>
      <w:r w:rsidRPr="00C9680B">
        <w:t>m</w:t>
      </w:r>
      <w:r w:rsidRPr="00C9680B">
        <w:t>heten.</w:t>
      </w:r>
    </w:p>
    <w:p w:rsidR="001C7BF9" w:rsidRPr="00C9680B" w:rsidRDefault="001C7BF9">
      <w:r w:rsidRPr="00C9680B">
        <w:t>Sedan regeringe</w:t>
      </w:r>
      <w:r w:rsidRPr="00C9680B">
        <w:t>n offentliggjorde sin konjunkturprognos för 2000 och 2001 har flera prognosinstitut, t.ex. Svenska Handelsbanken, SEB, Sveriges Indus</w:t>
      </w:r>
      <w:r w:rsidRPr="00C9680B">
        <w:t>t</w:t>
      </w:r>
      <w:r w:rsidRPr="00C9680B">
        <w:t>riförbund, Merita Nordbanken och Handelns Utredningsinstitut, presenterat nya prognoser för den svenska utvecklingen. I genomsnitt räknar dessa med att BNP stiger med 4,3 % i år och 3,7 % nästa år. Det kan jämföras med reg</w:t>
      </w:r>
      <w:r w:rsidRPr="00C9680B">
        <w:t>e</w:t>
      </w:r>
      <w:r w:rsidRPr="00C9680B">
        <w:t>rin</w:t>
      </w:r>
      <w:r w:rsidRPr="00C9680B">
        <w:t>g</w:t>
      </w:r>
      <w:r w:rsidRPr="00C9680B">
        <w:t>ens bedömning om en BNP-tillväxt i år på 3,9 % och nästa år på 3,5 %.</w:t>
      </w:r>
    </w:p>
    <w:p w:rsidR="001C7BF9" w:rsidRPr="00C9680B" w:rsidRDefault="001C7BF9">
      <w:pPr>
        <w:pStyle w:val="Rubrik3"/>
        <w:rPr>
          <w:noProof w:val="0"/>
        </w:rPr>
      </w:pPr>
      <w:bookmarkStart w:id="106" w:name="_Toc498250383"/>
      <w:bookmarkStart w:id="107" w:name="_Toc498910672"/>
      <w:r w:rsidRPr="00C9680B">
        <w:rPr>
          <w:noProof w:val="0"/>
        </w:rPr>
        <w:t>1.2.7 Finansutskottets syn på budgetpropositionens och partimotionernas konjunktu</w:t>
      </w:r>
      <w:r w:rsidRPr="00C9680B">
        <w:rPr>
          <w:noProof w:val="0"/>
        </w:rPr>
        <w:t>rbedömningar</w:t>
      </w:r>
      <w:bookmarkEnd w:id="106"/>
      <w:bookmarkEnd w:id="107"/>
      <w:r w:rsidRPr="00C9680B">
        <w:rPr>
          <w:noProof w:val="0"/>
        </w:rPr>
        <w:t xml:space="preserve">  </w:t>
      </w:r>
    </w:p>
    <w:p w:rsidR="001C7BF9" w:rsidRPr="00C9680B" w:rsidRDefault="001C7BF9">
      <w:r w:rsidRPr="00C9680B">
        <w:t>Utskottet delar regeringens bedömning att den svenska ekonomin utvecklas gynnsamt. Förutsättningarna för en fortsatt hög svensk tillväxt utan starkt stigande inflationstryck är goda under de närmaste åren. Den inhemska efte</w:t>
      </w:r>
      <w:r w:rsidRPr="00C9680B">
        <w:t>r</w:t>
      </w:r>
      <w:r w:rsidRPr="00C9680B">
        <w:t>frågan utvecklas väl. Hushållens konsumtion stiger stark till följd av den ökade sysselsättningen, den lägre arbetslösheten, kraftigt stigande inkomster  som stiger ytterligare genom t.ex. de skattesänkningar som föreslås i budge</w:t>
      </w:r>
      <w:r w:rsidRPr="00C9680B">
        <w:t>t</w:t>
      </w:r>
      <w:r w:rsidRPr="00C9680B">
        <w:t>propositionen och en i utgångsläget stark förmögenhetsställning i hushåll</w:t>
      </w:r>
      <w:r w:rsidRPr="00C9680B">
        <w:t>s</w:t>
      </w:r>
      <w:r w:rsidRPr="00C9680B">
        <w:t>sektorn.</w:t>
      </w:r>
    </w:p>
    <w:p w:rsidR="001C7BF9" w:rsidRPr="00C9680B" w:rsidRDefault="001C7BF9">
      <w:pPr>
        <w:pStyle w:val="Normaltindrag"/>
      </w:pPr>
      <w:r w:rsidRPr="00C9680B">
        <w:t xml:space="preserve">Den internationella konjunkturen har också förstärkts under det senaste året, vilket gynnar den svenska exportindustrin. Uppgången i världsekonomin är bred genom att tillväxten stiger i så gott som </w:t>
      </w:r>
      <w:r w:rsidRPr="00C9680B">
        <w:t>alla länder och områden. I Förenta staterna når tillväxttakten i år nivåer som med något undantag inte skådats sedan början av 1970-talet. Sannolikt dämpas tillväxten framöver efter de senaste årens kraftiga expansion. I EU har konjunkturen förbättrats markant under våren, och i de tidigare krisdrabbade länderna i Asien breddas återhämtningen till att även omfatta den inhemska delen av ekonomin. Även i Japan stiger tillväxten även om uppgången är svag och återhämtningen hittills framför allt är märkbar inom</w:t>
      </w:r>
      <w:r w:rsidRPr="00C9680B">
        <w:t xml:space="preserve"> industrisektorn. Sammantaget talar detta för en bred och stigande efterfrågan av svenska exportprodukter. Resultatet av Sv</w:t>
      </w:r>
      <w:r w:rsidRPr="00C9680B">
        <w:t>e</w:t>
      </w:r>
      <w:r w:rsidRPr="00C9680B">
        <w:t>riges samlade utrikesaffärer, dvs. bytesbalansen, visar på stora överskott, trots den starka tillväxten i den inhemska ekonomin.</w:t>
      </w:r>
    </w:p>
    <w:p w:rsidR="001C7BF9" w:rsidRPr="00C9680B" w:rsidRDefault="001C7BF9">
      <w:pPr>
        <w:pStyle w:val="Normaltindrag"/>
      </w:pPr>
      <w:r w:rsidRPr="00C9680B">
        <w:t>Till detta kommer att överskotten i de offentliga finanserna stiger samtidigt som den svenska inflationen är en av de lägsta i EU-området. Trots stigande oljepriser och en försvagad svensk krona har dessutom inte företagens och hushållens inflationsförväntnin</w:t>
      </w:r>
      <w:r w:rsidRPr="00C9680B">
        <w:t>gar stigit speciellt mycket under året. Infl</w:t>
      </w:r>
      <w:r w:rsidRPr="00C9680B">
        <w:t>a</w:t>
      </w:r>
      <w:r w:rsidRPr="00C9680B">
        <w:t xml:space="preserve">tionsförväntningarna ligger också väl inom Riksbankens inflationsmål på 2 % med ett toleransintervall på </w:t>
      </w:r>
      <w:r w:rsidRPr="00C9680B">
        <w:sym w:font="Symbol" w:char="F0B1"/>
      </w:r>
      <w:r w:rsidRPr="00C9680B">
        <w:t xml:space="preserve"> 1 %. Obligationsräntorna har sjunkit sedan årsskiftet och den tidigare stora skillnaden mellan den tyska och den svenska obligationsräntan har utraderats. Tidvis under våren och nu under hösten har den svenska obligation</w:t>
      </w:r>
      <w:r w:rsidRPr="00C9680B">
        <w:t>s</w:t>
      </w:r>
      <w:r w:rsidRPr="00C9680B">
        <w:t>räntan t.o.m. legat under den tyska.</w:t>
      </w:r>
    </w:p>
    <w:p w:rsidR="001C7BF9" w:rsidRPr="00C9680B" w:rsidRDefault="001C7BF9">
      <w:pPr>
        <w:pStyle w:val="Normaltindrag"/>
      </w:pPr>
      <w:r w:rsidRPr="00C9680B">
        <w:t xml:space="preserve">Industrikonjunkturen är stark, även om KI:s senaste barometer tyder på en något lugnare uppgång under </w:t>
      </w:r>
      <w:r w:rsidRPr="00C9680B">
        <w:t>tredje kvartalet i år jämfört med den mycket kraftiga uppgången under första halvåret. Produktionsnivån är hög och o</w:t>
      </w:r>
      <w:r w:rsidRPr="00C9680B">
        <w:t>r</w:t>
      </w:r>
      <w:r w:rsidRPr="00C9680B">
        <w:t>derläget totalt sett mycket gott. Företagen är dessutom optimistiska om u</w:t>
      </w:r>
      <w:r w:rsidRPr="00C9680B">
        <w:t>t</w:t>
      </w:r>
      <w:r w:rsidRPr="00C9680B">
        <w:t xml:space="preserve">vecklingen under resten av året och början av 2001. </w:t>
      </w:r>
    </w:p>
    <w:p w:rsidR="001C7BF9" w:rsidRPr="00C9680B" w:rsidRDefault="001C7BF9">
      <w:pPr>
        <w:pStyle w:val="Normaltindrag"/>
      </w:pPr>
      <w:r w:rsidRPr="00C9680B">
        <w:t>Samtidigt delar utskottet regeringens bedömning att det finns en viss os</w:t>
      </w:r>
      <w:r w:rsidRPr="00C9680B">
        <w:t>ä</w:t>
      </w:r>
      <w:r w:rsidRPr="00C9680B">
        <w:t>kerhet om utvecklingen på lite längre sikt. De senaste årens mycket kraftiga tillväxt i den svenska ekonomin har skett utan att det uppstått några större generella bristsituationer på arbetsmarknaden, även om vissa tecken finns på att resursläget har skärpts. Och trots att sysselsättningen de senaste tre åren stigit med omkring 250 000 personer har löneökningarna varit måttliga och mer återhållsa</w:t>
      </w:r>
      <w:r w:rsidRPr="00C9680B">
        <w:t>m</w:t>
      </w:r>
      <w:r w:rsidRPr="00C9680B">
        <w:t xml:space="preserve">ma jämfört med tidigare mönster under t.ex. 1970- och 1980-talen. Löneutfallet hittills i år pekar inte heller </w:t>
      </w:r>
      <w:r w:rsidRPr="00C9680B">
        <w:t>mot att löneökningstakten eller löneglidningen är starkt stigande. Detta i kombination med den låga inflati</w:t>
      </w:r>
      <w:r w:rsidRPr="00C9680B">
        <w:t>o</w:t>
      </w:r>
      <w:r w:rsidRPr="00C9680B">
        <w:t>nen talar för att det fortfarande finns lediga resurser i den svenska ekonomin och att BNP kan växa med höga tal även i år och under nästa år utan att bris</w:t>
      </w:r>
      <w:r w:rsidRPr="00C9680B">
        <w:t>t</w:t>
      </w:r>
      <w:r w:rsidRPr="00C9680B">
        <w:t>situationen försämras markant. KI:s senaste barometer för tredje kvartalet i år visar också att bristen på arbetskraft inom t.ex. industrin fortfarande är b</w:t>
      </w:r>
      <w:r w:rsidRPr="00C9680B">
        <w:t>e</w:t>
      </w:r>
      <w:r w:rsidRPr="00C9680B">
        <w:t>gränsad. Men det är en situation som snabbt kan förändras. Det är också svårt att bedöma om</w:t>
      </w:r>
      <w:r w:rsidRPr="00C9680B">
        <w:t xml:space="preserve"> eller när bristsituationer som hotar en balanserad löne- och prisutveckling uppstår. Ett speciellt osäkerhetsmoment är därför 2001 års avtalsrörelse som kommer att genomföras i ett läge där arbetslösheten är betydligt lägre och sysselsättningen är högre än den var vid 1995 och 1998 års avtal</w:t>
      </w:r>
      <w:r w:rsidRPr="00C9680B">
        <w:t>s</w:t>
      </w:r>
      <w:r w:rsidRPr="00C9680B">
        <w:t xml:space="preserve">rörelser. </w:t>
      </w:r>
    </w:p>
    <w:p w:rsidR="001C7BF9" w:rsidRPr="00C9680B" w:rsidRDefault="001C7BF9">
      <w:pPr>
        <w:pStyle w:val="Normaltindrag"/>
      </w:pPr>
      <w:r w:rsidRPr="00C9680B">
        <w:t>Förutsatt att den internationella konjunkturen utvecklas gynnsamt och att resurssituationen i den svenska ekonomin inte snabbt försämras stiger Sver</w:t>
      </w:r>
      <w:r w:rsidRPr="00C9680B">
        <w:t>i</w:t>
      </w:r>
      <w:r w:rsidRPr="00C9680B">
        <w:t>ges BNP relativt kraftigt under de närmaste åren. En allt större del av den svenska exportindustrin gynnas av en högre aktivitet i världsekonomin samt</w:t>
      </w:r>
      <w:r w:rsidRPr="00C9680B">
        <w:t>i</w:t>
      </w:r>
      <w:r w:rsidRPr="00C9680B">
        <w:t>digt som den inhemska efterfrågan fortsätter att öka i en hög takt. Sysselsät</w:t>
      </w:r>
      <w:r w:rsidRPr="00C9680B">
        <w:t>t</w:t>
      </w:r>
      <w:r w:rsidRPr="00C9680B">
        <w:t>ningen stiger y</w:t>
      </w:r>
      <w:r w:rsidRPr="00C9680B">
        <w:t>t</w:t>
      </w:r>
      <w:r w:rsidRPr="00C9680B">
        <w:t>terligare och arbetslösheten går ned.</w:t>
      </w:r>
    </w:p>
    <w:p w:rsidR="001C7BF9" w:rsidRPr="00C9680B" w:rsidRDefault="001C7BF9">
      <w:r w:rsidRPr="00C9680B">
        <w:t>I partimotionerna görs inga allvarliga invändningar mot den konjunkturpr</w:t>
      </w:r>
      <w:r w:rsidRPr="00C9680B">
        <w:t>o</w:t>
      </w:r>
      <w:r w:rsidRPr="00C9680B">
        <w:t xml:space="preserve">gnos för 2000 och 2001 som presenteras i budgetpropositionen. Samtliga partier delar bilden av en god konjunktur både internationellt och i Sverige. I </w:t>
      </w:r>
      <w:r w:rsidRPr="00C9680B">
        <w:rPr>
          <w:i/>
        </w:rPr>
        <w:t>motion Fi211 (fp)</w:t>
      </w:r>
      <w:r w:rsidRPr="00C9680B">
        <w:t xml:space="preserve"> gör motionärerna bedömningen att Förenta staterna nu förefaller komma ned på en tillväxt som ligger i linje med den långsiktiga tillväxtpotentialen utan en överhettning som skulle framtvinga snabba ränt</w:t>
      </w:r>
      <w:r w:rsidRPr="00C9680B">
        <w:t>e</w:t>
      </w:r>
      <w:r w:rsidRPr="00C9680B">
        <w:t>höjningar.</w:t>
      </w:r>
    </w:p>
    <w:p w:rsidR="001C7BF9" w:rsidRPr="00C9680B" w:rsidRDefault="001C7BF9">
      <w:pPr>
        <w:pStyle w:val="Normaltindrag"/>
      </w:pPr>
      <w:r w:rsidRPr="00C9680B">
        <w:t xml:space="preserve">”Risken för att en snabb dämpning av den amerikanska ekonomin skulle få negativa återverkningar på omvärlden har därmed minskat </w:t>
      </w:r>
      <w:r w:rsidRPr="00C9680B">
        <w:t>betydligt”, enligt m</w:t>
      </w:r>
      <w:r w:rsidRPr="00C9680B">
        <w:t>o</w:t>
      </w:r>
      <w:r w:rsidRPr="00C9680B">
        <w:t>tionärerna.</w:t>
      </w:r>
    </w:p>
    <w:p w:rsidR="001C7BF9" w:rsidRPr="00C9680B" w:rsidRDefault="001C7BF9">
      <w:pPr>
        <w:pStyle w:val="Normaltindrag"/>
      </w:pPr>
      <w:r w:rsidRPr="00C9680B">
        <w:t xml:space="preserve">I </w:t>
      </w:r>
      <w:r w:rsidRPr="00C9680B">
        <w:rPr>
          <w:i/>
        </w:rPr>
        <w:t>motion Fi209 (kd)</w:t>
      </w:r>
      <w:r w:rsidRPr="00C9680B">
        <w:t xml:space="preserve"> skriver motionärerna att den svenska ekonomin nu är inne i en period av hög tillväxt från en mycket låg nivå. Motionärerna ko</w:t>
      </w:r>
      <w:r w:rsidRPr="00C9680B">
        <w:t>n</w:t>
      </w:r>
      <w:r w:rsidRPr="00C9680B">
        <w:t>staterar också att regeringen vad gäller bedömningen av tillväxten 2000 ligger några tiondelar under geno</w:t>
      </w:r>
      <w:r w:rsidRPr="00C9680B">
        <w:t>m</w:t>
      </w:r>
      <w:r w:rsidRPr="00C9680B">
        <w:t>snittsprognosen bland andra bedömare.</w:t>
      </w:r>
    </w:p>
    <w:p w:rsidR="001C7BF9" w:rsidRPr="00C9680B" w:rsidRDefault="001C7BF9">
      <w:pPr>
        <w:pStyle w:val="Normaltindrag"/>
      </w:pPr>
      <w:r w:rsidRPr="00C9680B">
        <w:t xml:space="preserve">Centerpartiet anser i sin </w:t>
      </w:r>
      <w:r w:rsidRPr="00C9680B">
        <w:rPr>
          <w:i/>
        </w:rPr>
        <w:t>motion Fi210</w:t>
      </w:r>
      <w:r w:rsidRPr="00C9680B">
        <w:t xml:space="preserve"> att regeringen gör rätt i sin försikt</w:t>
      </w:r>
      <w:r w:rsidRPr="00C9680B">
        <w:t>i</w:t>
      </w:r>
      <w:r w:rsidRPr="00C9680B">
        <w:t>ga bedömning.</w:t>
      </w:r>
    </w:p>
    <w:p w:rsidR="001C7BF9" w:rsidRPr="00C9680B" w:rsidRDefault="001C7BF9">
      <w:pPr>
        <w:pStyle w:val="Normaltindrag"/>
      </w:pPr>
      <w:r w:rsidRPr="00C9680B">
        <w:t>”Tillväxten kan mycket väl bli några tiondels procent högre, och det är bättre med en försiktig bedömning som överträffas än en budget som bygger på til</w:t>
      </w:r>
      <w:r w:rsidRPr="00C9680B">
        <w:t>l</w:t>
      </w:r>
      <w:r w:rsidRPr="00C9680B">
        <w:t>växtförväntningar som inte uppnås.”</w:t>
      </w:r>
    </w:p>
    <w:p w:rsidR="001C7BF9" w:rsidRPr="00C9680B" w:rsidRDefault="001C7BF9">
      <w:pPr>
        <w:pStyle w:val="Normaltindrag"/>
      </w:pPr>
      <w:r w:rsidRPr="00C9680B">
        <w:t>Centerpartiet menar vidare i motionen att det i dagsläget visserligen inte finns något tecken på en bristsituation på den totala arbetsmarknaden, men att bristen är fullt synlig och ökande inom alltfler branscher. Fortsätter denna utveckling så leder det till en allt stramare arbetsmarknad med tilltagande matchningsproblem, vilket bromsar tillväxten, menar motionäre</w:t>
      </w:r>
      <w:r w:rsidRPr="00C9680B">
        <w:t>r</w:t>
      </w:r>
      <w:r w:rsidRPr="00C9680B">
        <w:t>na.</w:t>
      </w:r>
    </w:p>
    <w:p w:rsidR="001C7BF9" w:rsidRPr="00C9680B" w:rsidRDefault="001C7BF9">
      <w:pPr>
        <w:pStyle w:val="Rubrik2"/>
      </w:pPr>
      <w:bookmarkStart w:id="108" w:name="_Toc498250384"/>
      <w:bookmarkStart w:id="109" w:name="_Toc498910673"/>
      <w:r w:rsidRPr="00C9680B">
        <w:t>1.3 Inriktningen av den allmänna ekonomiska politiken</w:t>
      </w:r>
      <w:bookmarkEnd w:id="108"/>
      <w:bookmarkEnd w:id="109"/>
    </w:p>
    <w:p w:rsidR="001C7BF9" w:rsidRPr="00C9680B" w:rsidRDefault="001C7BF9">
      <w:pPr>
        <w:pStyle w:val="Utskottsfrslagikorthet-Rubrik"/>
        <w:outlineLvl w:val="0"/>
        <w:rPr>
          <w:noProof w:val="0"/>
        </w:rPr>
      </w:pPr>
      <w:r w:rsidRPr="00C9680B">
        <w:rPr>
          <w:noProof w:val="0"/>
        </w:rPr>
        <w:t>Utskottets förslag i korthet</w:t>
      </w:r>
    </w:p>
    <w:p w:rsidR="001C7BF9" w:rsidRPr="00C9680B" w:rsidRDefault="001C7BF9">
      <w:pPr>
        <w:pStyle w:val="Utskottsfrslagikorthet-Text"/>
      </w:pPr>
      <w:r w:rsidRPr="00C9680B">
        <w:t>Riksdagen godkänner det förslag till allmänna riktlinjer för den ekonomiska politiken som regeringen redovisar i budgetpropositi</w:t>
      </w:r>
      <w:r w:rsidRPr="00C9680B">
        <w:t>o</w:t>
      </w:r>
      <w:r w:rsidRPr="00C9680B">
        <w:t>nen. Förslaget bygger på en överenskommelse mellan Socialdem</w:t>
      </w:r>
      <w:r w:rsidRPr="00C9680B">
        <w:t>o</w:t>
      </w:r>
      <w:r w:rsidRPr="00C9680B">
        <w:t>kraterna, Vänsterpartiet och Miljöpartiet de gröna. Riksdagen avslår motsvarande förslag i motione</w:t>
      </w:r>
      <w:r w:rsidRPr="00C9680B">
        <w:t>r</w:t>
      </w:r>
      <w:r w:rsidRPr="00C9680B">
        <w:t>na.</w:t>
      </w:r>
    </w:p>
    <w:p w:rsidR="001C7BF9" w:rsidRPr="00C9680B" w:rsidRDefault="001C7BF9">
      <w:pPr>
        <w:pStyle w:val="Utskottsfrslagikorthet-Text"/>
      </w:pPr>
      <w:r w:rsidRPr="00C9680B">
        <w:t xml:space="preserve">  Jämför reservation 1 (m, kd, fp, c).</w:t>
      </w:r>
    </w:p>
    <w:p w:rsidR="001C7BF9" w:rsidRPr="00C9680B" w:rsidRDefault="001C7BF9">
      <w:pPr>
        <w:pStyle w:val="Rubrik3"/>
        <w:rPr>
          <w:noProof w:val="0"/>
        </w:rPr>
      </w:pPr>
      <w:bookmarkStart w:id="110" w:name="_Toc498250385"/>
      <w:r w:rsidRPr="00C9680B">
        <w:rPr>
          <w:noProof w:val="0"/>
        </w:rPr>
        <w:br w:type="page"/>
      </w:r>
      <w:bookmarkStart w:id="111" w:name="_Toc498910674"/>
      <w:r w:rsidRPr="00C9680B">
        <w:rPr>
          <w:noProof w:val="0"/>
        </w:rPr>
        <w:t>1.3.1 Finansutskottets förslag till inriktning av den allmänna ekonomiska politiken</w:t>
      </w:r>
      <w:bookmarkEnd w:id="110"/>
      <w:bookmarkEnd w:id="111"/>
    </w:p>
    <w:p w:rsidR="001C7BF9" w:rsidRPr="00C9680B" w:rsidRDefault="001C7BF9">
      <w:r w:rsidRPr="00C9680B">
        <w:t>Den svenska ekonomin utvecklas väl. Sysselsättningen stiger, arbetslösheten sjunker och inflationen är låg. Förutsatt att den internationella konjunkturen fortsätter att förbättras kommer den svenska ekonomin att växa med historiskt höga tal, kring 3–4 %, under de närmaste åren.</w:t>
      </w:r>
    </w:p>
    <w:p w:rsidR="001C7BF9" w:rsidRPr="00C9680B" w:rsidRDefault="001C7BF9">
      <w:pPr>
        <w:pStyle w:val="Normaltindrag"/>
      </w:pPr>
      <w:r w:rsidRPr="00C9680B">
        <w:t>Sverige står starkt i början av det nya seklet. Sverige har en världsledande position inom ett antal viktiga områden i den globala och informationsinte</w:t>
      </w:r>
      <w:r w:rsidRPr="00C9680B">
        <w:t>n</w:t>
      </w:r>
      <w:r w:rsidRPr="00C9680B">
        <w:t>siva ekonomin. De offentliga finanserna är sanerade och visar överskott. Den offentliga skulden minskar i snabb takt. Trots att den ekonomiska aktiviteten är hög är inflationen en av de lägsta i industrivärlden samtidigt som ränten</w:t>
      </w:r>
      <w:r w:rsidRPr="00C9680B">
        <w:t>i</w:t>
      </w:r>
      <w:r w:rsidRPr="00C9680B">
        <w:t>vån ligger under den nivå som noteras i så gott som alla EU-länder. Den inhemska ekonomin växer starkt och bytesbalansen visar höga överskott. Alltfler deltar i arbetslivet. Arbetslösheten sjunker och sysselsättningen for</w:t>
      </w:r>
      <w:r w:rsidRPr="00C9680B">
        <w:t>t</w:t>
      </w:r>
      <w:r w:rsidRPr="00C9680B">
        <w:t>sätter att stiga.</w:t>
      </w:r>
    </w:p>
    <w:p w:rsidR="001C7BF9" w:rsidRPr="00C9680B" w:rsidRDefault="001C7BF9">
      <w:pPr>
        <w:pStyle w:val="Normaltindrag"/>
      </w:pPr>
      <w:r w:rsidRPr="00C9680B">
        <w:t xml:space="preserve">Den stora utmaningen nu är att Sverige </w:t>
      </w:r>
      <w:r w:rsidRPr="00C9680B">
        <w:t>på nytt skall närma sig en situation med full sysselsättning. Målet att halvera arbetslösheten från 8 % 1996 till 4 % år 2000 är i praktiken redan uppnått och målet att andelen reguljärt sy</w:t>
      </w:r>
      <w:r w:rsidRPr="00C9680B">
        <w:t>s</w:t>
      </w:r>
      <w:r w:rsidRPr="00C9680B">
        <w:t>selsatta mellan 20 och 64 år skall öka till minst 80 % skall uppnås 2004. Uppgiften för den ekonomiska politiken är därför att understödja och förlänga de senaste årens mycket goda ekonomiska utveckling. Den ekonomiska pol</w:t>
      </w:r>
      <w:r w:rsidRPr="00C9680B">
        <w:t>i</w:t>
      </w:r>
      <w:r w:rsidRPr="00C9680B">
        <w:t>tiken skall inriktas på fortsatt starka offentliga finanser och låg inflation, bl.a. för att Sverig</w:t>
      </w:r>
      <w:r w:rsidRPr="00C9680B">
        <w:t>e även skall klara de långsiktiga utmaningar som ställs till följd av den demografiska utvecklingen. Risken för att ekonomin blir överhettad skall motverkas genom att finanspolitiken anpassas till efterfrågeläget och produktionskap</w:t>
      </w:r>
      <w:r w:rsidRPr="00C9680B">
        <w:t>a</w:t>
      </w:r>
      <w:r w:rsidRPr="00C9680B">
        <w:t>citeten.</w:t>
      </w:r>
    </w:p>
    <w:p w:rsidR="001C7BF9" w:rsidRPr="00C9680B" w:rsidRDefault="001C7BF9">
      <w:pPr>
        <w:pStyle w:val="Normaltindrag"/>
      </w:pPr>
      <w:r w:rsidRPr="00C9680B">
        <w:t xml:space="preserve"> Den svenska ekonomins långsiktiga produktionsförmåga skall höjas g</w:t>
      </w:r>
      <w:r w:rsidRPr="00C9680B">
        <w:t>e</w:t>
      </w:r>
      <w:r w:rsidRPr="00C9680B">
        <w:t>nom att lediga arbetskraftsresurser mobiliseras, konkurrensen befrämjas och betydande satsningar görs i utbildning och kompetensutveckling. Sverige skall fortsätta att utvecklas som en framstående kunskapsnation. För att til</w:t>
      </w:r>
      <w:r w:rsidRPr="00C9680B">
        <w:t>l</w:t>
      </w:r>
      <w:r w:rsidRPr="00C9680B">
        <w:t>växten skall bli långsiktigt hållbar måste den också komma alla till del. Det innebär att rättvisan skall stärkas genom en aktiv fördelningspolitik och g</w:t>
      </w:r>
      <w:r w:rsidRPr="00C9680B">
        <w:t>e</w:t>
      </w:r>
      <w:r w:rsidRPr="00C9680B">
        <w:t xml:space="preserve">nom åtgärder som förbättrar utvecklingsmöjligheterna för alla medborgare oavsett kön, etnisk eller kulturell tillhörighet eller var </w:t>
      </w:r>
      <w:r w:rsidRPr="00C9680B">
        <w:t>i landet man bor. Til</w:t>
      </w:r>
      <w:r w:rsidRPr="00C9680B">
        <w:t>l</w:t>
      </w:r>
      <w:r w:rsidRPr="00C9680B">
        <w:t>växt och rättvisa går enligt utskottets mening hand i hand. En stabil och u</w:t>
      </w:r>
      <w:r w:rsidRPr="00C9680B">
        <w:t>t</w:t>
      </w:r>
      <w:r w:rsidRPr="00C9680B">
        <w:t>hållig uppgång bygger på delaktighet, att alla bidrar efter sin förmåga. Til</w:t>
      </w:r>
      <w:r w:rsidRPr="00C9680B">
        <w:t>l</w:t>
      </w:r>
      <w:r w:rsidRPr="00C9680B">
        <w:t>växten skall vara ekol</w:t>
      </w:r>
      <w:r w:rsidRPr="00C9680B">
        <w:t>o</w:t>
      </w:r>
      <w:r w:rsidRPr="00C9680B">
        <w:t xml:space="preserve">giskt hållbar. </w:t>
      </w:r>
    </w:p>
    <w:p w:rsidR="001C7BF9" w:rsidRPr="00C9680B" w:rsidRDefault="001C7BF9">
      <w:pPr>
        <w:pStyle w:val="Normaltindrag"/>
      </w:pPr>
      <w:r w:rsidRPr="00C9680B">
        <w:t>De växande överskotten i de offentliga finanserna och de gynnsamma u</w:t>
      </w:r>
      <w:r w:rsidRPr="00C9680B">
        <w:t>t</w:t>
      </w:r>
      <w:r w:rsidRPr="00C9680B">
        <w:t>sikterna för den svenska ekonomin innebär, enligt utskottets mening, att det är möjligt att gå vidare med välfärdsreformer, att förbättra tillväxtförutsättnin</w:t>
      </w:r>
      <w:r w:rsidRPr="00C9680B">
        <w:t>g</w:t>
      </w:r>
      <w:r w:rsidRPr="00C9680B">
        <w:t>arna, öka rättvisan och amortera på den offentliga skulden. Det breda å</w:t>
      </w:r>
      <w:r w:rsidRPr="00C9680B">
        <w:t>t</w:t>
      </w:r>
      <w:r w:rsidRPr="00C9680B">
        <w:t>gärdsprogram inom sysselsättnings- och arbetsmarknadspolitiken som för</w:t>
      </w:r>
      <w:r w:rsidRPr="00C9680B">
        <w:t>e</w:t>
      </w:r>
      <w:r w:rsidRPr="00C9680B">
        <w:t>slogs i våras fullföljs.</w:t>
      </w:r>
    </w:p>
    <w:p w:rsidR="001C7BF9" w:rsidRPr="00C9680B" w:rsidRDefault="001C7BF9">
      <w:pPr>
        <w:pStyle w:val="Normaltindrag"/>
      </w:pPr>
      <w:r w:rsidRPr="00C9680B">
        <w:t>Barnen står i centrum för politiken. En mycket stor satsning görs på sk</w:t>
      </w:r>
      <w:r w:rsidRPr="00C9680B">
        <w:t>o</w:t>
      </w:r>
      <w:r w:rsidRPr="00C9680B">
        <w:t>lan. Under perioden 2001–2003 tillförs skolan ytterligare 17,5 miljarder kr</w:t>
      </w:r>
      <w:r w:rsidRPr="00C9680B">
        <w:t>o</w:t>
      </w:r>
      <w:r w:rsidRPr="00C9680B">
        <w:t>nor. En bred familjepolitisk reform genomförs stegvis bl.a. i syfte att öka rättvisan, arbetskraftsutbudet och sysselsättningen. Barn till arbetssökande ges rätt till förskoleverksamhet och den 1 januari 2002 införs en maxtaxa i barnomsorgen. Föräldraförsäkringen utökas och barn- och studiebidrag höjs.</w:t>
      </w:r>
    </w:p>
    <w:p w:rsidR="001C7BF9" w:rsidRPr="00C9680B" w:rsidRDefault="001C7BF9">
      <w:pPr>
        <w:pStyle w:val="Normaltindrag"/>
      </w:pPr>
      <w:r w:rsidRPr="00C9680B">
        <w:t>En rad andra åtgärder vidtas för att förbättra arbetsmarknaden, utbildnin</w:t>
      </w:r>
      <w:r w:rsidRPr="00C9680B">
        <w:t>g</w:t>
      </w:r>
      <w:r w:rsidRPr="00C9680B">
        <w:t>en och för att ytterligare förbättra företagens tillväxtbetingelser och öka til</w:t>
      </w:r>
      <w:r w:rsidRPr="00C9680B">
        <w:t>l</w:t>
      </w:r>
      <w:r w:rsidRPr="00C9680B">
        <w:t>växten i hela Sverige. Infrastrukturen inom IT-sektorn byggs ut genom en stor statlig satsning. Ett program för att öka sysselsättningen bland människor med invandrarbakgrund genomförs. De sämst ställda pensionärernas ekonomi förbättras genom att bostadstillägget och det särskilda bostadstillägget höjs och genom att den tillfälliga höjningen av pensionstillskottet permanentas. De senaste årens stora satsningar på vård, skola oc</w:t>
      </w:r>
      <w:r w:rsidRPr="00C9680B">
        <w:t>h omsorg fortsätter och tan</w:t>
      </w:r>
      <w:r w:rsidRPr="00C9680B">
        <w:t>d</w:t>
      </w:r>
      <w:r w:rsidRPr="00C9680B">
        <w:t>vården får ytterl</w:t>
      </w:r>
      <w:r w:rsidRPr="00C9680B">
        <w:t>i</w:t>
      </w:r>
      <w:r w:rsidRPr="00C9680B">
        <w:t>gare resurstillskott.</w:t>
      </w:r>
    </w:p>
    <w:p w:rsidR="001C7BF9" w:rsidRPr="00C9680B" w:rsidRDefault="001C7BF9">
      <w:pPr>
        <w:pStyle w:val="Normaltindrag"/>
      </w:pPr>
      <w:r w:rsidRPr="00C9680B">
        <w:t>Ekonomins gynnsamma utveckling och de starka offentliga finanserna i</w:t>
      </w:r>
      <w:r w:rsidRPr="00C9680B">
        <w:t>n</w:t>
      </w:r>
      <w:r w:rsidRPr="00C9680B">
        <w:t>nebär att det är möjligt att gå vidare med den inkomstskattereform som pr</w:t>
      </w:r>
      <w:r w:rsidRPr="00C9680B">
        <w:t>e</w:t>
      </w:r>
      <w:r w:rsidRPr="00C9680B">
        <w:t>senterades i förra årets budgetproposition. Löntagarna kompenseras därför med ytterligare en fjärdedel av egenavgifterna fr.o.m. 2001. Vidare höjs skiktgränsen för statlig inkomstskatt ytterligare så att andelen skattebetalare som betalar statsskatt sjunker till 16 %. Reseavdraget höjs till 16 kr milen och fastighetsskatten sänks för att kompensera för stigande taxeringsvärden. Samtidigt höjs fribeloppet i förmögenhetsskatten och för</w:t>
      </w:r>
      <w:r w:rsidRPr="00C9680B">
        <w:t xml:space="preserve"> att undvika att pe</w:t>
      </w:r>
      <w:r w:rsidRPr="00C9680B">
        <w:t>r</w:t>
      </w:r>
      <w:r w:rsidRPr="00C9680B">
        <w:t>soner med låga inkomster får betala en för stor andel av inkomsten i fasti</w:t>
      </w:r>
      <w:r w:rsidRPr="00C9680B">
        <w:t>g</w:t>
      </w:r>
      <w:r w:rsidRPr="00C9680B">
        <w:t>hetsskatt skall en begränsningsregel införas. Ett ytterligare steg i den gröna skatteväxlingen tas genom att koldioxidskatten, dieselskatten och elskatten höjs samtidigt som arbetsgivaravgiften sänks och grundavdraget i inkoms</w:t>
      </w:r>
      <w:r w:rsidRPr="00C9680B">
        <w:t>t</w:t>
      </w:r>
      <w:r w:rsidRPr="00C9680B">
        <w:t xml:space="preserve">skatten höjs. </w:t>
      </w:r>
    </w:p>
    <w:p w:rsidR="001C7BF9" w:rsidRPr="00C9680B" w:rsidRDefault="001C7BF9">
      <w:pPr>
        <w:pStyle w:val="Normaltindrag"/>
      </w:pPr>
      <w:r w:rsidRPr="00C9680B">
        <w:t>Att den svenska  lönebildningen fungerar väl är enligt utskottets mening av avgörande betydelse för en fortsatt hög tillväxt och stigande sysselsättning. Det är väsentligt att</w:t>
      </w:r>
      <w:r w:rsidRPr="00C9680B">
        <w:t xml:space="preserve"> de nominella löneökningarna förblir måttliga även om den öppna arbetslösheten minskar snabbt och efterfrågan på arbetskraft stiger. Åtgärder vidtas för att förbättra lönebildningen och minska riskerna för flas</w:t>
      </w:r>
      <w:r w:rsidRPr="00C9680B">
        <w:t>k</w:t>
      </w:r>
      <w:r w:rsidRPr="00C9680B">
        <w:t>halsar och överhettning på arbetsmarknaden. Ytterligare satsningar görs för att öka konkurrensen och effektiviteten på marknaderna. För att motverka den känsla av ökad otrygghet som alltfler upplever får rättsväsendet ett kraftigt resurstillskott. En del av rättvisepolitiken är att visa internationel</w:t>
      </w:r>
      <w:r w:rsidRPr="00C9680B">
        <w:t>l solidaritet. Därför höjs bistå</w:t>
      </w:r>
      <w:r w:rsidRPr="00C9680B">
        <w:t>n</w:t>
      </w:r>
      <w:r w:rsidRPr="00C9680B">
        <w:t>det.</w:t>
      </w:r>
    </w:p>
    <w:p w:rsidR="001C7BF9" w:rsidRPr="00C9680B" w:rsidRDefault="001C7BF9">
      <w:pPr>
        <w:pStyle w:val="Normaltindrag"/>
      </w:pPr>
      <w:r w:rsidRPr="00C9680B">
        <w:t>Enligt utskottets mening är det tillfredsställande att budgetpropositionen bygger på en överenskommelse mellan Socialdemokraterna, Vänsterpartiet och Miljöpartiet de gröna. Samarbetet rör ekonomi, sysselsättning, rättvisa, jämställdhet och miljö. Samarbetspartierna står bakom riktlinjerna för den ekonomiska politiken, budgetpolitiken, utgiftstaken, tilläggsbudgeten för 2000 och de nu föreslagna skatteförändringarna. Samarbetet visar att det finns en politisk majoritet f</w:t>
      </w:r>
      <w:r w:rsidRPr="00C9680B">
        <w:t>ör en ekonomisk politik som är inriktad på full sysse</w:t>
      </w:r>
      <w:r w:rsidRPr="00C9680B">
        <w:t>l</w:t>
      </w:r>
      <w:r w:rsidRPr="00C9680B">
        <w:t>sättning, ett offentligt överskott om 2 % av BNP över en konjunkturcykel och prisstab</w:t>
      </w:r>
      <w:r w:rsidRPr="00C9680B">
        <w:t>i</w:t>
      </w:r>
      <w:r w:rsidRPr="00C9680B">
        <w:t xml:space="preserve">litet. </w:t>
      </w:r>
    </w:p>
    <w:p w:rsidR="001C7BF9" w:rsidRPr="00C9680B" w:rsidRDefault="001C7BF9">
      <w:pPr>
        <w:pStyle w:val="Rubrik3"/>
        <w:rPr>
          <w:noProof w:val="0"/>
        </w:rPr>
      </w:pPr>
      <w:bookmarkStart w:id="112" w:name="_Toc498250386"/>
      <w:bookmarkStart w:id="113" w:name="_Toc498910675"/>
      <w:r w:rsidRPr="00C9680B">
        <w:rPr>
          <w:noProof w:val="0"/>
        </w:rPr>
        <w:t>1.3.2 Partimotionernas förslag till inriktning av den allmänna ekonomiska politiken</w:t>
      </w:r>
      <w:bookmarkEnd w:id="112"/>
      <w:bookmarkEnd w:id="113"/>
    </w:p>
    <w:p w:rsidR="001C7BF9" w:rsidRPr="00C9680B" w:rsidRDefault="001C7BF9">
      <w:r w:rsidRPr="00C9680B">
        <w:t xml:space="preserve">I </w:t>
      </w:r>
      <w:r w:rsidRPr="00C9680B">
        <w:rPr>
          <w:i/>
        </w:rPr>
        <w:t>Moderata samlingspartiets motion Fi208</w:t>
      </w:r>
      <w:r w:rsidRPr="00C9680B">
        <w:t xml:space="preserve"> anförs att det faktum att vi under de senaste trettio åren halkat efter ordentligt i OECD:s tillväxtliga visar att det finns strukturella brister i den svenska ekonomin. De avregleringar som g</w:t>
      </w:r>
      <w:r w:rsidRPr="00C9680B">
        <w:t>e</w:t>
      </w:r>
      <w:r w:rsidRPr="00C9680B">
        <w:t xml:space="preserve">nomfördes i början av 1990-talet bidrar till dagens starka tillväxt. Men trots den goda konjunkturen präglas Sverige av hög total arbetslöshet, utflyttning och utförsäljning av företag och arbetskraft, en tilltagande brist på arbetskraft och en stor segregation i ekonomin. Detta </w:t>
      </w:r>
      <w:r w:rsidRPr="00C9680B">
        <w:t>visar att tillväxtpotentialen i den svenska ekonomin inte ökat tillräckligt för att förhindra en fortsatt efterslä</w:t>
      </w:r>
      <w:r w:rsidRPr="00C9680B">
        <w:t>p</w:t>
      </w:r>
      <w:r w:rsidRPr="00C9680B">
        <w:t>ning. Det visar också, enligt motionärerna, att utbudsreformeringen av ek</w:t>
      </w:r>
      <w:r w:rsidRPr="00C9680B">
        <w:t>o</w:t>
      </w:r>
      <w:r w:rsidRPr="00C9680B">
        <w:t>nomin måste fortsätta. Detta ställer bl.a. krav på en politik för företagande och på reformer på arbetsmarknaden. Bättre förutsättningar för kreativitet, företagsamhet och möjlighet att leva på sin lön skapas enligt motionärerna bl.a. genom sänkta och slopade skatter på företagande, arbete och sparande. Till exempel bör i</w:t>
      </w:r>
      <w:r w:rsidRPr="00C9680B">
        <w:t>nkomstskatterna reformeras och sänkas, dubbelbeskattnin</w:t>
      </w:r>
      <w:r w:rsidRPr="00C9680B">
        <w:t>g</w:t>
      </w:r>
      <w:r w:rsidRPr="00C9680B">
        <w:t>en på aktier och förmögenhetsskatten slopas och en avveckling av fastighet</w:t>
      </w:r>
      <w:r w:rsidRPr="00C9680B">
        <w:t>s</w:t>
      </w:r>
      <w:r w:rsidRPr="00C9680B">
        <w:t>skatten påbörjas. Skatten på hus</w:t>
      </w:r>
      <w:r w:rsidRPr="00C9680B">
        <w:softHyphen/>
        <w:t>hålls</w:t>
      </w:r>
      <w:r w:rsidRPr="00C9680B">
        <w:softHyphen/>
        <w:t>nära tjänster och skatten på bensin och diesel bör sänkas. Totalt föreslås i motionen skattesänkningar under de ko</w:t>
      </w:r>
      <w:r w:rsidRPr="00C9680B">
        <w:t>m</w:t>
      </w:r>
      <w:r w:rsidRPr="00C9680B">
        <w:t>mande tre åren på 106 miljarder kronor. Vidare måste företagskrånglet min</w:t>
      </w:r>
      <w:r w:rsidRPr="00C9680B">
        <w:t>s</w:t>
      </w:r>
      <w:r w:rsidRPr="00C9680B">
        <w:t xml:space="preserve">kas genom färre och enklare regler och energiförsörjningen tryggas genom att kärnkraften bibehålls. Utbildningspolitiken måste läggas om och forskningen </w:t>
      </w:r>
      <w:r w:rsidRPr="00C9680B">
        <w:t>förstärkas. Kompetenskonton bör införas för att uppmuntra ett livslångt lära</w:t>
      </w:r>
      <w:r w:rsidRPr="00C9680B">
        <w:t>n</w:t>
      </w:r>
      <w:r w:rsidRPr="00C9680B">
        <w:t>de. Arbetsmarknadspolitiken bör reformeras, arbetsrätten ses över och lön</w:t>
      </w:r>
      <w:r w:rsidRPr="00C9680B">
        <w:t>e</w:t>
      </w:r>
      <w:r w:rsidRPr="00C9680B">
        <w:t>bildningssystemet måste bli flexiblare. Vidare bör konkurrenstrycket i ek</w:t>
      </w:r>
      <w:r w:rsidRPr="00C9680B">
        <w:t>o</w:t>
      </w:r>
      <w:r w:rsidRPr="00C9680B">
        <w:t>nomin ökas genom avregleringar av t.ex. bostadsmarknaden, vården, omso</w:t>
      </w:r>
      <w:r w:rsidRPr="00C9680B">
        <w:t>r</w:t>
      </w:r>
      <w:r w:rsidRPr="00C9680B">
        <w:t xml:space="preserve">gen och utbildningen. Hyressättningen på bostadsmarknaden måste bli mer marknadsmässig för att t.ex. öka rörligheten på arbetsmarknaden. För att öka konkurrensen och den privata företagsamheten bör också de statliga </w:t>
      </w:r>
      <w:r w:rsidRPr="00C9680B">
        <w:t>företagen privatiseras i en betydligt snabbare takt än vad regeringen räknar med. Sver</w:t>
      </w:r>
      <w:r w:rsidRPr="00C9680B">
        <w:t>i</w:t>
      </w:r>
      <w:r w:rsidRPr="00C9680B">
        <w:t>ges behov av utbyggda och förbättrade vägar är stort. Som ett första steg i en upprustning av det svenska vägnätet föreslår motionärerna att 30 miljarder kronor anslås under de närmaste åren. Friheten och mångfalden i samhället bör ökas genom att t.ex. en nationell sjukvårdsförsäkring, en skolpeng och en äldrepeng införs. Enligt motionärerna är den gröna skatteväxlingen ett mycket tvivelaktigt projekt och konsekvenserna f</w:t>
      </w:r>
      <w:r w:rsidRPr="00C9680B">
        <w:t>ör samhället kan bli mycket negat</w:t>
      </w:r>
      <w:r w:rsidRPr="00C9680B">
        <w:t>i</w:t>
      </w:r>
      <w:r w:rsidRPr="00C9680B">
        <w:t>va. De offentliga utgifternas andel av ekonomin måste sänkas för att minska statsfinansernas konjunkturkänslighet och öka medborgarnas frihet. Besp</w:t>
      </w:r>
      <w:r w:rsidRPr="00C9680B">
        <w:t>a</w:t>
      </w:r>
      <w:r w:rsidRPr="00C9680B">
        <w:t>ringar motsvarande 64 miljarder kronor presenteras i motionen. För att fö</w:t>
      </w:r>
      <w:r w:rsidRPr="00C9680B">
        <w:t>r</w:t>
      </w:r>
      <w:r w:rsidRPr="00C9680B">
        <w:t>bättra barnfamiljernas ekonomiska situation och öka deras valfrihet bör a</w:t>
      </w:r>
      <w:r w:rsidRPr="00C9680B">
        <w:t>v</w:t>
      </w:r>
      <w:r w:rsidRPr="00C9680B">
        <w:t>dragsrätt för styrkta barnomsorgskostnader och ett barnomsorgskonto införas. Motionärerna avvisar regeringens förslag till maxtaxa. De kommunala ver</w:t>
      </w:r>
      <w:r w:rsidRPr="00C9680B">
        <w:t>k</w:t>
      </w:r>
      <w:r w:rsidRPr="00C9680B">
        <w:t>samheterna måste fokuseras på kär</w:t>
      </w:r>
      <w:r w:rsidRPr="00C9680B">
        <w:t>nverksamheterna så att medborgarna får ut mer av varje skattekrona, vilket enligt motionärerna underlättas av införandet av en skolpeng och en allmän hälsovårdsförsäkring. En översyn bör snarast göras för att bl.a. minska kommunernas obligatoriska åtaganden. Verksa</w:t>
      </w:r>
      <w:r w:rsidRPr="00C9680B">
        <w:t>m</w:t>
      </w:r>
      <w:r w:rsidRPr="00C9680B">
        <w:t>heter bör avregleras och utsättas för konkurrens. Enligt motionärerna bör inte statsbidragen till kommunerna höjas, eftersom kommunernas skatteinkomster nu stiger snabbt. Kommunernas ekonomiska problem löses bäst genom en politik som ökar den all</w:t>
      </w:r>
      <w:r w:rsidRPr="00C9680B">
        <w:t>männa tillväxten. Euron bör införas så snart som möjligt och det långsiktiga målet för budgetpolitiken bör vara att de offentliga finanserna skall vara i balans över konjunkturcykeln. I stället för ett högt offentligt sparande förs sparandet därmed över i den privata sektorn. Lägre utgifts- och skattekvoter minskar enligt motionärerna behovet av en offentlig förmögenhetsuppbyggnad över konjunkturcykeln (yrkandena 1, 9–11, 13–18, 21–22 och 24–26).</w:t>
      </w:r>
    </w:p>
    <w:p w:rsidR="001C7BF9" w:rsidRPr="00C9680B" w:rsidRDefault="001C7BF9">
      <w:r w:rsidRPr="00C9680B">
        <w:t xml:space="preserve">I </w:t>
      </w:r>
      <w:r w:rsidRPr="00C9680B">
        <w:rPr>
          <w:i/>
        </w:rPr>
        <w:t>Kristdemokraternas motion Fi209</w:t>
      </w:r>
      <w:r w:rsidRPr="00C9680B">
        <w:t xml:space="preserve"> anförs att regeringen i budgetpropositi</w:t>
      </w:r>
      <w:r w:rsidRPr="00C9680B">
        <w:t>o</w:t>
      </w:r>
      <w:r w:rsidRPr="00C9680B">
        <w:t>nen ägnar föga politisk kraft åt företagsklimatet och de strukturella problem som gjort att Sverige sedan 1970-talet halkat långt ned i OECD-ländernas välståndsliga. Trots den goda konjunkturen är den totala arbetslösheten hög, det svenska näringslivet säljs ut till utländska ägare och en begynnande a</w:t>
      </w:r>
      <w:r w:rsidRPr="00C9680B">
        <w:t>r</w:t>
      </w:r>
      <w:r w:rsidRPr="00C9680B">
        <w:t xml:space="preserve">betskraftsbrist hotar att göra konjunkturförbättringen kortvarig. Det är nu hög tid att rätta till strukturfelen i den svenska ekonomin. </w:t>
      </w:r>
      <w:r w:rsidRPr="00C9680B">
        <w:t>Rekordhögt skattetryck och inkomstprövade bidrag och avgifter gör att det lönar sig dåligt att arbeta. Arbetsmarknaden och lönebildningen fungerar dåligt och i stora delar av ekonomin är konkurrensen svag. För att öka sysselsättningen, minska arbet</w:t>
      </w:r>
      <w:r w:rsidRPr="00C9680B">
        <w:t>s</w:t>
      </w:r>
      <w:r w:rsidRPr="00C9680B">
        <w:t>lösheten och trygga välfärden föreslås bl.a. att inkomstskatten sänks i vanliga inkomstlägen genom höjning av grundavdraget och genom skattereduktion. Arbetsgivaravgifterna sänks och en femtioprocentig skattereduktion på hu</w:t>
      </w:r>
      <w:r w:rsidRPr="00C9680B">
        <w:t>s</w:t>
      </w:r>
      <w:r w:rsidRPr="00C9680B">
        <w:t>hållens köp av tjänster i det egna hemm</w:t>
      </w:r>
      <w:r w:rsidRPr="00C9680B">
        <w:t>et införs. Vidare bör rimliga och rät</w:t>
      </w:r>
      <w:r w:rsidRPr="00C9680B">
        <w:t>t</w:t>
      </w:r>
      <w:r w:rsidRPr="00C9680B">
        <w:t>visa konkurrensvillkor för jordbruket, åkeri- och transportsektorn skapas. Förmögenhetsskatten och regeringens nya värnskatt bör avvecklas. Dessutom bör t.ex. dubbelbeskattningen på utdelningsinkomster avskaffas och en lin</w:t>
      </w:r>
      <w:r w:rsidRPr="00C9680B">
        <w:t>d</w:t>
      </w:r>
      <w:r w:rsidRPr="00C9680B">
        <w:t>ring i beskattningen av personal</w:t>
      </w:r>
      <w:r w:rsidRPr="00C9680B">
        <w:softHyphen/>
        <w:t>optioner införas. Sammantaget förslås skatt</w:t>
      </w:r>
      <w:r w:rsidRPr="00C9680B">
        <w:t>e</w:t>
      </w:r>
      <w:r w:rsidRPr="00C9680B">
        <w:t>sänkningar under de kommande tre åren på omkring 56 miljarder kronor. Arbetsmarknadens funktionssätt måste förbättras för att minska riskerna för arbetskraftsbrist och stigan</w:t>
      </w:r>
      <w:r w:rsidRPr="00C9680B">
        <w:t>de inflationstryck. Villkoren för lönebildningen bör förbättras genom t.ex. en högre egenfinansiering i en ny obligatorisk arbetslöshetsförsäkring. Antalet arbetsmarknadspolitiska åtgärder bör minskas och regelverket förenklas. Konkurrensen måste öka inom t.ex. detaljhandeln, byggsektorn och den offentliga sektorn. För att öka effektiviteten i vården och omsorgen anser motionärerna att konkurrensen skall öka genom att bl.a. fler privata initiativ tillåts. Kvarvarande konkurrenshämmande regleringar i den pri</w:t>
      </w:r>
      <w:r w:rsidRPr="00C9680B">
        <w:t>vata sektorn bör avvecklas. De regelförenklingar som Småföretagsdeleg</w:t>
      </w:r>
      <w:r w:rsidRPr="00C9680B">
        <w:t>a</w:t>
      </w:r>
      <w:r w:rsidRPr="00C9680B">
        <w:t>tionen föreslår bör snarast genomföras. Motionärerna anför vidare att reg</w:t>
      </w:r>
      <w:r w:rsidRPr="00C9680B">
        <w:t>e</w:t>
      </w:r>
      <w:r w:rsidRPr="00C9680B">
        <w:t>ringens okänsliga budgetsanering drabbat utsatta grupper hårt, bl.a. pension</w:t>
      </w:r>
      <w:r w:rsidRPr="00C9680B">
        <w:t>ä</w:t>
      </w:r>
      <w:r w:rsidRPr="00C9680B">
        <w:t>rerna. Motionärerna föreslår därför att bl.a. pensionstillskottet höjs, inkoms</w:t>
      </w:r>
      <w:r w:rsidRPr="00C9680B">
        <w:t>t</w:t>
      </w:r>
      <w:r w:rsidRPr="00C9680B">
        <w:t>prövningen av änkepensionen slopas och omställningspensionen för efterl</w:t>
      </w:r>
      <w:r w:rsidRPr="00C9680B">
        <w:t>e</w:t>
      </w:r>
      <w:r w:rsidRPr="00C9680B">
        <w:t>vande återställs. Pensionärernas situation förbättras också genom grunda</w:t>
      </w:r>
      <w:r w:rsidRPr="00C9680B">
        <w:t>v</w:t>
      </w:r>
      <w:r w:rsidRPr="00C9680B">
        <w:t>dragshöjningen. Kristdemokraterna kritiserar även regeringen för va</w:t>
      </w:r>
      <w:r w:rsidRPr="00C9680B">
        <w:t>let av samarbetspartier. Vänsterpartiet och Miljöpartiet är av tradition negativa till ekonomisk tillväxt, och deras inflytande över regeringspolitiken ökar ytterl</w:t>
      </w:r>
      <w:r w:rsidRPr="00C9680B">
        <w:t>i</w:t>
      </w:r>
      <w:r w:rsidRPr="00C9680B">
        <w:t>gare osäkerheten om regeringens ekonomiska kurs. Familjepolitiken bör  reformeras bl.a. för att öka valfriheten inom barnomsorgen. Avdragsrätt för styrkta barnomsorgskostnader samt ett barnomsorgskonto bör införas. Reg</w:t>
      </w:r>
      <w:r w:rsidRPr="00C9680B">
        <w:t>e</w:t>
      </w:r>
      <w:r w:rsidRPr="00C9680B">
        <w:t>ringens förslag till maxtaxa avvisas. Vidare bör familjernas situation stärkas genom att bl.a. garantinivån i föräldraförsäkringe</w:t>
      </w:r>
      <w:r w:rsidRPr="00C9680B">
        <w:t>n och barnbidraget höjs och att en statlig skattereduktion för varje barn upp till 16 år införs. Enligt moti</w:t>
      </w:r>
      <w:r w:rsidRPr="00C9680B">
        <w:t>o</w:t>
      </w:r>
      <w:r w:rsidRPr="00C9680B">
        <w:t>närerna bör också socialförsäkringssystemen reformeras och mer utvecklas mot fonderade system. För att se över marginaleffekterna i skatte- och socia</w:t>
      </w:r>
      <w:r w:rsidRPr="00C9680B">
        <w:t>l</w:t>
      </w:r>
      <w:r w:rsidRPr="00C9680B">
        <w:t>försäkringssystemen bör det ske överläggningar mellan de fem partier som står bakom pensionsreformen. För att minska statsfinansernas konjunktu</w:t>
      </w:r>
      <w:r w:rsidRPr="00C9680B">
        <w:t>r</w:t>
      </w:r>
      <w:r w:rsidRPr="00C9680B">
        <w:t>känslighet bör statsskulden avbetalas i en snabbare takt än vad regeringen föreslår, bl.a. genom att fler sta</w:t>
      </w:r>
      <w:r w:rsidRPr="00C9680B">
        <w:t xml:space="preserve">tliga företag säljs ut. En sådan utförsäljning motiveras också av att staten måste renodla sin roll. Motionärerna vill ersätta överskottsmålet i de offentliga finanserna med ett mål för statens finanser (yrkandena 1 och 10). I </w:t>
      </w:r>
      <w:r w:rsidRPr="00C9680B">
        <w:rPr>
          <w:i/>
        </w:rPr>
        <w:t>motion Fi204</w:t>
      </w:r>
      <w:r w:rsidRPr="00C9680B">
        <w:t xml:space="preserve"> av Tuve Skånberg och Fanny Rizell (kd) framförs att den ekonomiska etiken måste förstärkas genom att t.ex. familjen sätts i fokus och att skolan åte</w:t>
      </w:r>
      <w:r w:rsidRPr="00C9680B">
        <w:t>r</w:t>
      </w:r>
      <w:r w:rsidRPr="00C9680B">
        <w:t xml:space="preserve">får sin värdeöverförande funktion.  </w:t>
      </w:r>
    </w:p>
    <w:p w:rsidR="001C7BF9" w:rsidRPr="00C9680B" w:rsidRDefault="001C7BF9">
      <w:r w:rsidRPr="00C9680B">
        <w:t xml:space="preserve">I </w:t>
      </w:r>
      <w:r w:rsidRPr="00C9680B">
        <w:rPr>
          <w:i/>
        </w:rPr>
        <w:t>Centerpartiets motion Fi210</w:t>
      </w:r>
      <w:r w:rsidRPr="00C9680B">
        <w:t xml:space="preserve"> anförs att regeringen i budgetpropositionen inte lägger fram några förslag som på allvar möter dagens problem och framtidens utmaningar. Regeringens s.k. reformbudget är istället till stora delar en åte</w:t>
      </w:r>
      <w:r w:rsidRPr="00C9680B">
        <w:t>r</w:t>
      </w:r>
      <w:r w:rsidRPr="00C9680B">
        <w:t>gång till en politik som tidigare visat sig vara ohållbar. I stället för nödvänd</w:t>
      </w:r>
      <w:r w:rsidRPr="00C9680B">
        <w:t>i</w:t>
      </w:r>
      <w:r w:rsidRPr="00C9680B">
        <w:t>ga strukturreformer som tar ned den höga arbetslösheten, minskar de regi</w:t>
      </w:r>
      <w:r w:rsidRPr="00C9680B">
        <w:t>o</w:t>
      </w:r>
      <w:r w:rsidRPr="00C9680B">
        <w:t>nala obalanserna, minskar klyftorna mellan hög- och låginkomsttagare och sänker den höga sjukfrånvaron ökar regeringen utgifter</w:t>
      </w:r>
      <w:r w:rsidRPr="00C9680B">
        <w:t>na kraftigt – u</w:t>
      </w:r>
      <w:r w:rsidRPr="00C9680B">
        <w:t>t</w:t>
      </w:r>
      <w:r w:rsidRPr="00C9680B">
        <w:t>giftskvoten och skattekvoten förblir hög. Denna svenska modell med världens högsta skatter och offentliga utgifter har hämmat tillväxten och välfärden i Sverige under de senaste trettio åren. Enligt Centerpartiet bör en viktig inrik</w:t>
      </w:r>
      <w:r w:rsidRPr="00C9680B">
        <w:t>t</w:t>
      </w:r>
      <w:r w:rsidRPr="00C9680B">
        <w:t>ning av den ekonomiska politiken vara att långsiktigt sänka såväl skatternas som utgifternas andel av BNP ned till samma nivåer som i jämförbara OECD-länder. I motionen presenteras ett antal reformer inom olika områden. Några av dessa omr</w:t>
      </w:r>
      <w:r w:rsidRPr="00C9680B">
        <w:t>å</w:t>
      </w:r>
      <w:r w:rsidRPr="00C9680B">
        <w:t>den är:</w:t>
      </w:r>
    </w:p>
    <w:p w:rsidR="001C7BF9" w:rsidRPr="00C9680B" w:rsidRDefault="001C7BF9">
      <w:pPr>
        <w:numPr>
          <w:ilvl w:val="0"/>
          <w:numId w:val="1261"/>
        </w:numPr>
      </w:pPr>
      <w:r w:rsidRPr="00C9680B">
        <w:rPr>
          <w:b/>
        </w:rPr>
        <w:t>Skolan och den h</w:t>
      </w:r>
      <w:r w:rsidRPr="00C9680B">
        <w:rPr>
          <w:b/>
        </w:rPr>
        <w:t>ögre utbildningen</w:t>
      </w:r>
      <w:r w:rsidRPr="00C9680B">
        <w:t>. Skolan ges ytterligare 6 miljarder kronor under de närmaste åren. Pengarna skall gå direkt till kommunerna och innebär att kommunerna kan öka kvaliteten samt anställa fler meda</w:t>
      </w:r>
      <w:r w:rsidRPr="00C9680B">
        <w:t>r</w:t>
      </w:r>
      <w:r w:rsidRPr="00C9680B">
        <w:t>betare i skolorna. Forskningen måste förstärkas och studiemedelssyste</w:t>
      </w:r>
      <w:r w:rsidRPr="00C9680B">
        <w:t>m</w:t>
      </w:r>
      <w:r w:rsidRPr="00C9680B">
        <w:t>et förbättras genom att principen hälften bidrag och hälften lån eta</w:t>
      </w:r>
      <w:r w:rsidRPr="00C9680B">
        <w:t>b</w:t>
      </w:r>
      <w:r w:rsidRPr="00C9680B">
        <w:t>leras.</w:t>
      </w:r>
    </w:p>
    <w:p w:rsidR="001C7BF9" w:rsidRPr="00C9680B" w:rsidRDefault="001C7BF9">
      <w:pPr>
        <w:numPr>
          <w:ilvl w:val="0"/>
          <w:numId w:val="1262"/>
        </w:numPr>
      </w:pPr>
      <w:r w:rsidRPr="00C9680B">
        <w:rPr>
          <w:b/>
        </w:rPr>
        <w:t>Skattesystemet</w:t>
      </w:r>
      <w:r w:rsidRPr="00C9680B">
        <w:t>. Skatteförslag presenteras som skall stimulera arbete och kunskap och stärka människornas ställning på arbetsmarknaden och uppmuntra företagande. En inkomstskattereform genomförs stegvis u</w:t>
      </w:r>
      <w:r w:rsidRPr="00C9680B">
        <w:t>n</w:t>
      </w:r>
      <w:r w:rsidRPr="00C9680B">
        <w:t>der perioden fram till 2003 med tyngdpunkt på sänkta skatter för låg- och medelinkomsttagare. Grundavdraget höjs och den s.k. LO-puckeln tas bort. En riktad skattereduktion införs och grundavdraget ersätts fr.o.m. 2003 av en rak skattereduktion som skall komma alla till del. Vidare höjs reseavdraget och frysningen av tax</w:t>
      </w:r>
      <w:r w:rsidRPr="00C9680B">
        <w:t>eringsvärdena förlängs samtidigt som skattesatserna i fastighetsskatten sänks. En skattereduktion på hushål</w:t>
      </w:r>
      <w:r w:rsidRPr="00C9680B">
        <w:t>l</w:t>
      </w:r>
      <w:r w:rsidRPr="00C9680B">
        <w:t xml:space="preserve">stjänster införs. </w:t>
      </w:r>
    </w:p>
    <w:p w:rsidR="001C7BF9" w:rsidRPr="00C9680B" w:rsidRDefault="001C7BF9">
      <w:pPr>
        <w:numPr>
          <w:ilvl w:val="0"/>
          <w:numId w:val="1262"/>
        </w:numPr>
      </w:pPr>
      <w:r w:rsidRPr="00C9680B">
        <w:rPr>
          <w:b/>
        </w:rPr>
        <w:t>Företagande</w:t>
      </w:r>
      <w:r w:rsidRPr="00C9680B">
        <w:t>. Arbetsgivaravgifterna måste fortsätta att sänkas, bl.a. genom en växling mot betydligt högre skatter på miljöskadlig verksa</w:t>
      </w:r>
      <w:r w:rsidRPr="00C9680B">
        <w:t>m</w:t>
      </w:r>
      <w:r w:rsidRPr="00C9680B">
        <w:t>het. Regelverket som omger företagandet måste förenklas och motion</w:t>
      </w:r>
      <w:r w:rsidRPr="00C9680B">
        <w:t>ä</w:t>
      </w:r>
      <w:r w:rsidRPr="00C9680B">
        <w:t>rerna föreslår ett system med individuella kompetenskonton. Det svenska jordbrukets konkurrenskraft måste förstärkas genom bl.a. att den s.k. ryggsäcken lyfts av.</w:t>
      </w:r>
    </w:p>
    <w:p w:rsidR="001C7BF9" w:rsidRPr="00C9680B" w:rsidRDefault="001C7BF9">
      <w:pPr>
        <w:numPr>
          <w:ilvl w:val="0"/>
          <w:numId w:val="1265"/>
        </w:numPr>
      </w:pPr>
      <w:r w:rsidRPr="00C9680B">
        <w:rPr>
          <w:b/>
        </w:rPr>
        <w:t xml:space="preserve">Arbetsmarknaden. </w:t>
      </w:r>
      <w:r w:rsidRPr="00C9680B">
        <w:t>För att få ned arbetslösheten måste arbetsmarknad</w:t>
      </w:r>
      <w:r w:rsidRPr="00C9680B">
        <w:t>s</w:t>
      </w:r>
      <w:r w:rsidRPr="00C9680B">
        <w:t>politiken förnyas och decentraliseras. En utbildningsgaranti bör införas, volymåtgärderna bör fasas ut och större vikt bör läggas på yrkesinriktade utbildningar. Vidare bör s.k. övergångsarbetsmarknader inrättas. AMS bör i större utsträckning decentraliseras och försörjningsstöden vid a</w:t>
      </w:r>
      <w:r w:rsidRPr="00C9680B">
        <w:t>r</w:t>
      </w:r>
      <w:r w:rsidRPr="00C9680B">
        <w:t>betslöshet bör sa</w:t>
      </w:r>
      <w:r w:rsidRPr="00C9680B">
        <w:t>m</w:t>
      </w:r>
      <w:r w:rsidRPr="00C9680B">
        <w:t>ordnas.</w:t>
      </w:r>
    </w:p>
    <w:p w:rsidR="001C7BF9" w:rsidRPr="00C9680B" w:rsidRDefault="001C7BF9">
      <w:pPr>
        <w:numPr>
          <w:ilvl w:val="0"/>
          <w:numId w:val="1266"/>
        </w:numPr>
      </w:pPr>
      <w:r w:rsidRPr="00C9680B">
        <w:rPr>
          <w:b/>
        </w:rPr>
        <w:t xml:space="preserve">Regionalpolitik och kommunikationer. </w:t>
      </w:r>
      <w:r w:rsidRPr="00C9680B">
        <w:t>För att hela Sverige skall u</w:t>
      </w:r>
      <w:r w:rsidRPr="00C9680B">
        <w:t>t</w:t>
      </w:r>
      <w:r w:rsidRPr="00C9680B">
        <w:t>vecklas bör bl.a. en digital allemansrätt införas, satsningar göras på vä</w:t>
      </w:r>
      <w:r w:rsidRPr="00C9680B">
        <w:t>g</w:t>
      </w:r>
      <w:r w:rsidRPr="00C9680B">
        <w:t>nätet och forskningsresurser ges till de regionala högskolorna. Vidare f</w:t>
      </w:r>
      <w:r w:rsidRPr="00C9680B">
        <w:t>ö</w:t>
      </w:r>
      <w:r w:rsidRPr="00C9680B">
        <w:t>reslås ett system för avskrivning av studi</w:t>
      </w:r>
      <w:r w:rsidRPr="00C9680B">
        <w:t>e</w:t>
      </w:r>
      <w:r w:rsidRPr="00C9680B">
        <w:t>skulder.</w:t>
      </w:r>
    </w:p>
    <w:p w:rsidR="001C7BF9" w:rsidRPr="00C9680B" w:rsidRDefault="001C7BF9">
      <w:r w:rsidRPr="00C9680B">
        <w:t>Motionärerna vill vidare införa en vård- och hjälpmedelsgaranti och anser att vården och omsorgen behöver fler privata och kooperativa driftsformer.  Dessutom föreslås ett antal rehabiliteringsinsatser. Arbetsgivarinträdet i den offentliga sektorn bör också förlängas till två månader</w:t>
      </w:r>
      <w:r w:rsidRPr="00C9680B">
        <w:t>. Familjepolitiken bör förnyas genom bl.a. ett barnomsorgskonto och rätt till avdrag för barno</w:t>
      </w:r>
      <w:r w:rsidRPr="00C9680B">
        <w:t>m</w:t>
      </w:r>
      <w:r w:rsidRPr="00C9680B">
        <w:t>sorgskostnader. Även avdragsrätt för resor till och från barnomsorgen bör införas. Vidare bör den lägsta nivån i föräldrapenningen höjas. Regeringens förslag till maxtaxa i barnomsorgen avvisas. Enligt motionärerna bör också biståndsmålet på 1 % av BNI återupprättas i en snabbare och jämnare takt än vad som nu sker (yrka</w:t>
      </w:r>
      <w:r w:rsidRPr="00C9680B">
        <w:t>n</w:t>
      </w:r>
      <w:r w:rsidRPr="00C9680B">
        <w:t>dena 1 och 6).</w:t>
      </w:r>
    </w:p>
    <w:p w:rsidR="001C7BF9" w:rsidRPr="00C9680B" w:rsidRDefault="001C7BF9">
      <w:r w:rsidRPr="00C9680B">
        <w:t xml:space="preserve">I </w:t>
      </w:r>
      <w:r w:rsidRPr="00C9680B">
        <w:rPr>
          <w:i/>
        </w:rPr>
        <w:t>Folkpartiet liberalernas motion Fi211</w:t>
      </w:r>
      <w:r w:rsidRPr="00C9680B">
        <w:t xml:space="preserve"> konstateras att det nu råder ”Fördel Sverige”. Det senaste decenniets strukturreformer som t.ex. avregleringen av finans- och telemarknaderna, skattereformen, EU-medlemskapet och rik</w:t>
      </w:r>
      <w:r w:rsidRPr="00C9680B">
        <w:t>s</w:t>
      </w:r>
      <w:r w:rsidRPr="00C9680B">
        <w:t>banksreformen, och den starka internationella utvecklingen är de faktorer som förklarar dagens goda tillväxt. För att rusta Sverige för en långsiktigt uthållig tillväxt måste man nu, enligt motionärerna, ta vara på situationen och fortsätta med ekonomiska strukturreformer. Ett program för a</w:t>
      </w:r>
      <w:r w:rsidRPr="00C9680B">
        <w:t>tt långsiktigt stärka Sv</w:t>
      </w:r>
      <w:r w:rsidRPr="00C9680B">
        <w:t>e</w:t>
      </w:r>
      <w:r w:rsidRPr="00C9680B">
        <w:t>riges position som avancerat industri-, tjänste- och kunskapsland presenteras i motionen. Som en del i detta bör en skattereform med inriktning på sänkt skatt på arbete och risksparande genomföras. Principerna från 1990/91 års skattereform – hälften kvar och att de allra flesta bara skall betala kommuna</w:t>
      </w:r>
      <w:r w:rsidRPr="00C9680B">
        <w:t>l</w:t>
      </w:r>
      <w:r w:rsidRPr="00C9680B">
        <w:t>skatt – skall återupprättas. Brytpunkten för gränsen för egenavgifter höjs, den s.k. LO-puckeln och värnskatten avskaffas och en skattereduktion på 3 000 kronor per person införs. Vi</w:t>
      </w:r>
      <w:r w:rsidRPr="00C9680B">
        <w:t>dare bör fastighetsskatten reformeras och i a</w:t>
      </w:r>
      <w:r w:rsidRPr="00C9680B">
        <w:t>v</w:t>
      </w:r>
      <w:r w:rsidRPr="00C9680B">
        <w:t>vaktan på det bör taxeringsvärdena vara fortsatt frysta och skattesatserna sänkas. För att hindra utflyttningen av företag och skapa förutsättningar för fler företag bör arbetsgivaravgifterna i tjänstesektorn sänkas, den s.k. dubbe</w:t>
      </w:r>
      <w:r w:rsidRPr="00C9680B">
        <w:t>l</w:t>
      </w:r>
      <w:r w:rsidRPr="00C9680B">
        <w:t>skatten på aktiesparande avskaffas och skattereglerna för fåmansbolagen ändras. Den nuvarande beskattningen av personaloptioner måste ses över för att underlätta för de snabbväxande företagen. Motionärerna är positiva till en grön ska</w:t>
      </w:r>
      <w:r w:rsidRPr="00C9680B">
        <w:t>tteväxling, men menar att hittills har enbart miljöskatterna höjts utan att skatten på arbete sänkts i motsvarande grad. Reglerna för att driva företag måste förenklas. Trots att regeringen säger sig vilja förbättra villkoren för företagen har mycket lite hänt. Den svenska arbetsmarknaden måste reform</w:t>
      </w:r>
      <w:r w:rsidRPr="00C9680B">
        <w:t>e</w:t>
      </w:r>
      <w:r w:rsidRPr="00C9680B">
        <w:t>ras. Arbetsförmedlingens funktionssätt bör ses över och arbetslöshetsförsä</w:t>
      </w:r>
      <w:r w:rsidRPr="00C9680B">
        <w:t>k</w:t>
      </w:r>
      <w:r w:rsidRPr="00C9680B">
        <w:t>ringen måste reformeras ytterligare, genom t.ex. en högre egenfinansiering. Behovet att förändra arbetsrätten är, enligt motionärerna,</w:t>
      </w:r>
      <w:r w:rsidRPr="00C9680B">
        <w:t xml:space="preserve">  större än på länge. De förändringar som gjorts är inte tillräckliga. Dessutom behövs en arbet</w:t>
      </w:r>
      <w:r w:rsidRPr="00C9680B">
        <w:t>s</w:t>
      </w:r>
      <w:r w:rsidRPr="00C9680B">
        <w:t>tidsreform som förbättrar möjligheterna till såväl individuella som geme</w:t>
      </w:r>
      <w:r w:rsidRPr="00C9680B">
        <w:t>n</w:t>
      </w:r>
      <w:r w:rsidRPr="00C9680B">
        <w:t>samma överenskommelser om arbetstidens längd och förläggning. Dagens socialförsäkringar bör omvandlas till tre riktiga, obligatoriska och från statens budget fristående försäkringar. I försäkringarna skall det råda raka rör mellan avgifter och förmåner. Bostadspolitiken måste förnyas för att bl.a. bygga bort bostadsbristen i tillväxtområdena</w:t>
      </w:r>
      <w:r w:rsidRPr="00C9680B">
        <w:t>. Förutom sänkt fastighetsskatt bör bl.a. hyressättningssystemet utvecklas. Familjepolitiken bör moderniseras så att föräldrarna själva kan forma sin vardag. Ett barnomsorgskonto och avdrag</w:t>
      </w:r>
      <w:r w:rsidRPr="00C9680B">
        <w:t>s</w:t>
      </w:r>
      <w:r w:rsidRPr="00C9680B">
        <w:t>rätt för barnomsorgskostnader bör införas samtidigt som det bör råda fri et</w:t>
      </w:r>
      <w:r w:rsidRPr="00C9680B">
        <w:t>a</w:t>
      </w:r>
      <w:r w:rsidRPr="00C9680B">
        <w:t>bleringsrätt för privata alternativ i barnomsorgen. För att effektivisera ko</w:t>
      </w:r>
      <w:r w:rsidRPr="00C9680B">
        <w:t>m</w:t>
      </w:r>
      <w:r w:rsidRPr="00C9680B">
        <w:t>munverksamheten bör uppgifterna koncentreras till kärnverksamheterna, vilket bl.a. innebär att kommunala bolag bör säljas ut. I princip bör all ver</w:t>
      </w:r>
      <w:r w:rsidRPr="00C9680B">
        <w:t>k</w:t>
      </w:r>
      <w:r w:rsidRPr="00C9680B">
        <w:t>samhet inom den offen</w:t>
      </w:r>
      <w:r w:rsidRPr="00C9680B">
        <w:t>tliga sektorn som inte är myndighetsutövning vara konkurrensutsatt. Vården och skolan bör avregleras. Medborgaren bör gara</w:t>
      </w:r>
      <w:r w:rsidRPr="00C9680B">
        <w:t>n</w:t>
      </w:r>
      <w:r w:rsidRPr="00C9680B">
        <w:t>teras större makt genom vårdgaranti, skol- och äldrepeng. Den mest priorit</w:t>
      </w:r>
      <w:r w:rsidRPr="00C9680B">
        <w:t>e</w:t>
      </w:r>
      <w:r w:rsidRPr="00C9680B">
        <w:t>rade uppgiften i Folkpartiets jämställdhetspolitik är, enligt motionärerna, att avskaffa löneskillnaderna mellan män och kvinnor. Ett nytt system med ind</w:t>
      </w:r>
      <w:r w:rsidRPr="00C9680B">
        <w:t>i</w:t>
      </w:r>
      <w:r w:rsidRPr="00C9680B">
        <w:t>viduella utbildningskonton bör genomföras genom att det avdragsgilla pe</w:t>
      </w:r>
      <w:r w:rsidRPr="00C9680B">
        <w:t>n</w:t>
      </w:r>
      <w:r w:rsidRPr="00C9680B">
        <w:t>sionssparandet breddas till ett pensions- och utvecklingssparande. Resurserna till forsk</w:t>
      </w:r>
      <w:r w:rsidRPr="00C9680B">
        <w:t>ningen bör också höjas för att Sverige skall kunna återvinna den position på vetenskapens område vi en gång hade, menar motionärerna. För att stärka ekonomins position inför nästa lågkonjunktur bör statsskulden a</w:t>
      </w:r>
      <w:r w:rsidRPr="00C9680B">
        <w:t>v</w:t>
      </w:r>
      <w:r w:rsidRPr="00C9680B">
        <w:t>betalas snabbare. Det skall bl.a. ske genom en utförsäljning av statliga för</w:t>
      </w:r>
      <w:r w:rsidRPr="00C9680B">
        <w:t>e</w:t>
      </w:r>
      <w:r w:rsidRPr="00C9680B">
        <w:t>tag. Enligt motionärerna bör staten endast i undantagsfall driva företag. M</w:t>
      </w:r>
      <w:r w:rsidRPr="00C9680B">
        <w:t>o</w:t>
      </w:r>
      <w:r w:rsidRPr="00C9680B">
        <w:t>tionärerna kritiserar regeringen för att överskottet i de offentliga finanserna nästa år fastslås till enbart 2,5 % av BNP. Det bör vara minst 3 %</w:t>
      </w:r>
      <w:r w:rsidRPr="00C9680B">
        <w:t xml:space="preserve"> med tanke på den goda ko</w:t>
      </w:r>
      <w:r w:rsidRPr="00C9680B">
        <w:t>n</w:t>
      </w:r>
      <w:r w:rsidRPr="00C9680B">
        <w:t>junkturen (yrkande 1).</w:t>
      </w:r>
    </w:p>
    <w:p w:rsidR="001C7BF9" w:rsidRPr="00C9680B" w:rsidRDefault="001C7BF9">
      <w:pPr>
        <w:pStyle w:val="Rubrik3"/>
        <w:rPr>
          <w:noProof w:val="0"/>
        </w:rPr>
      </w:pPr>
      <w:bookmarkStart w:id="114" w:name="_Toc498250387"/>
      <w:r w:rsidRPr="00C9680B">
        <w:rPr>
          <w:noProof w:val="0"/>
        </w:rPr>
        <w:br w:type="page"/>
      </w:r>
      <w:bookmarkStart w:id="115" w:name="_Toc498910676"/>
      <w:r w:rsidRPr="00C9680B">
        <w:rPr>
          <w:noProof w:val="0"/>
        </w:rPr>
        <w:t>1.3.3 Finansutskottets ställningstagande till partimotionernas förslag till i</w:t>
      </w:r>
      <w:r w:rsidRPr="00C9680B">
        <w:rPr>
          <w:noProof w:val="0"/>
        </w:rPr>
        <w:t>n</w:t>
      </w:r>
      <w:r w:rsidRPr="00C9680B">
        <w:rPr>
          <w:noProof w:val="0"/>
        </w:rPr>
        <w:t>riktning av den allmänna ekonomiska politiken</w:t>
      </w:r>
      <w:bookmarkEnd w:id="114"/>
      <w:bookmarkEnd w:id="115"/>
    </w:p>
    <w:p w:rsidR="001C7BF9" w:rsidRPr="00C9680B" w:rsidRDefault="001C7BF9">
      <w:r w:rsidRPr="00C9680B">
        <w:rPr>
          <w:i/>
        </w:rPr>
        <w:t>Utskottet</w:t>
      </w:r>
      <w:r w:rsidRPr="00C9680B">
        <w:t xml:space="preserve"> kan med glädje konstatera att läget på den svenska arbetsmarknaden förbättrats markant. Sysselsättningen har ökat mycket kraftigt samtidigt som både den öppna och den totala arbetslösheten sjunkit rejält. Sedan slutet av sommaren 1997 har sysselsättningen i säsongsrensade siffror stigit med o</w:t>
      </w:r>
      <w:r w:rsidRPr="00C9680B">
        <w:t>m</w:t>
      </w:r>
      <w:r w:rsidRPr="00C9680B">
        <w:t>kring 270 000 personer och den öppna arbetslösheten gått ned med 3,2 pr</w:t>
      </w:r>
      <w:r w:rsidRPr="00C9680B">
        <w:t>o</w:t>
      </w:r>
      <w:r w:rsidRPr="00C9680B">
        <w:t>centenheter. Enligt SCB:s senaste s.k. arbetskraftsundersökning (AKU) var 4 374 000 personer sysselsatta i september 2000, vilket är 136 000 pers</w:t>
      </w:r>
      <w:r w:rsidRPr="00C9680B">
        <w:t>oner eller 3,4 % fler än i september 1999. Det är troligtvis den största tolvmån</w:t>
      </w:r>
      <w:r w:rsidRPr="00C9680B">
        <w:t>a</w:t>
      </w:r>
      <w:r w:rsidRPr="00C9680B">
        <w:t>dersökningen under en enskild månad som noterats i modern tid. Samtidigt sjönk den öppna arbetslösheten från 5,5 % i september 1999 till 4,1 % i se</w:t>
      </w:r>
      <w:r w:rsidRPr="00C9680B">
        <w:t>p</w:t>
      </w:r>
      <w:r w:rsidRPr="00C9680B">
        <w:t>tember 2000.</w:t>
      </w:r>
    </w:p>
    <w:p w:rsidR="001C7BF9" w:rsidRPr="00C9680B" w:rsidRDefault="001C7BF9">
      <w:pPr>
        <w:pStyle w:val="R4"/>
      </w:pPr>
      <w:r w:rsidRPr="00C9680B">
        <w:t xml:space="preserve">Den öppna arbetslösheten når 4 %-målet </w:t>
      </w:r>
    </w:p>
    <w:p w:rsidR="001C7BF9" w:rsidRPr="00C9680B" w:rsidRDefault="001C7BF9">
      <w:r w:rsidRPr="00C9680B">
        <w:t>Detta innebär att målet om en halvering av den öppna arbetslösheten till 4 % år 2000 som regering och riksdag satte upp 1996 nu snabbt närmar sig.  I september var den öppna arbetslösheten för män 4 % och för kvinnor 4,2 %. Att döma av Arbetsmarknadsstyrelsens (AMS) veckostatistik kommer dock både män och kvinnor att nå målet senast under november, kanske redan i oktober i år. Även riksdagens och regeringens s.k. sysselsättningsmål, dvs. att antalet sysselsatta i åldrarna 20–64 år som andel av befolkningen</w:t>
      </w:r>
      <w:r w:rsidRPr="00C9680B">
        <w:t xml:space="preserve"> i samma åldersgrupp skall uppgå till 80 % 2004, utvecklas väl. I september i år var sysselsättningsgraden för denna åldersgrupp 77,8 %, en uppgång med 2,3 procentenheter sedan förra året.</w:t>
      </w:r>
    </w:p>
    <w:p w:rsidR="001C7BF9" w:rsidRPr="00C9680B" w:rsidRDefault="001C7BF9">
      <w:pPr>
        <w:pStyle w:val="Normaltindrag"/>
      </w:pPr>
      <w:r w:rsidRPr="00C9680B">
        <w:t>Samtidigt som detta är en mycket uppmuntrande utveckling vill utskottet poängtera att arbetsmarknadsstatistiken även visar att skillnaderna mellan olika regioner i Sverige är mycket stora. Det totala s.k. obalanstalet, dvs. andelen öppet arbetslösa plus andelen personer i konjunkturberoende arbet</w:t>
      </w:r>
      <w:r w:rsidRPr="00C9680B">
        <w:t>s</w:t>
      </w:r>
      <w:r w:rsidRPr="00C9680B">
        <w:t>marknadspolitiska program, uppgick i hela riket till 7,2 % i september i år, enligt AMS uppgifter. I Stockholms län var siffran 3,7 % medan den i Nor</w:t>
      </w:r>
      <w:r w:rsidRPr="00C9680B">
        <w:t>r</w:t>
      </w:r>
      <w:r w:rsidRPr="00C9680B">
        <w:t>bottens län uppgick till 13,1 %. Ett positivt inslag i detta är emellertid att såväl den öppna som den totala arbetslösheten under det senaste året sjunkit mest i bl.a. Norrbottens och Jämtlands län.</w:t>
      </w:r>
    </w:p>
    <w:p w:rsidR="001C7BF9" w:rsidRPr="00C9680B" w:rsidRDefault="001C7BF9">
      <w:pPr>
        <w:pStyle w:val="Normaltindrag"/>
      </w:pPr>
      <w:r w:rsidRPr="00C9680B">
        <w:t>Mycket tyder på att sysselsättningen totalt sett fortsätter att stiga framöver, till följd av den höga tillväxten i den svenska ekonomin. Antalet nyanmälda ledig</w:t>
      </w:r>
      <w:r w:rsidRPr="00C9680B">
        <w:t>a platser till arbetsförmedlingarna ligger på en hög nivå och i t.ex. Ko</w:t>
      </w:r>
      <w:r w:rsidRPr="00C9680B">
        <w:t>n</w:t>
      </w:r>
      <w:r w:rsidRPr="00C9680B">
        <w:t>junkturinstitutets olika barometrar förutser företagen en fortsatt ökad sysse</w:t>
      </w:r>
      <w:r w:rsidRPr="00C9680B">
        <w:t>l</w:t>
      </w:r>
      <w:r w:rsidRPr="00C9680B">
        <w:t>sättning. Den öppna arbetslösheten sjunker, som påtalats ovan, ned mot 4 % under resten av året. Mätt som årsgenomsnitt bedöms den öppna arbetslösh</w:t>
      </w:r>
      <w:r w:rsidRPr="00C9680B">
        <w:t>e</w:t>
      </w:r>
      <w:r w:rsidRPr="00C9680B">
        <w:t xml:space="preserve">ten sjunka till 4,6 % i år och 3,8 % nästa år. </w:t>
      </w:r>
    </w:p>
    <w:p w:rsidR="001C7BF9" w:rsidRPr="00C9680B" w:rsidRDefault="001C7BF9">
      <w:pPr>
        <w:pStyle w:val="Normaltindrag"/>
      </w:pPr>
      <w:r w:rsidRPr="00C9680B">
        <w:t xml:space="preserve">Statistik och uppgifter från SCB, KI och AMS visar att det för tillfället inte råder någon generell bristsituation på den svenska arbetsmarknaden. Med stöd av t.ex. </w:t>
      </w:r>
      <w:r w:rsidRPr="00C9680B">
        <w:t>KI:s tjänstebarometer och AMS rapporter kan utskottet dock konstat</w:t>
      </w:r>
      <w:r w:rsidRPr="00C9680B">
        <w:t>e</w:t>
      </w:r>
      <w:r w:rsidRPr="00C9680B">
        <w:t>ra att rekryteringssvårigheterna allmänt ökat något under det senaste året och att det finns tydliga brister inom särskilda yrkesgrupper. I en intervjuunde</w:t>
      </w:r>
      <w:r w:rsidRPr="00C9680B">
        <w:t>r</w:t>
      </w:r>
      <w:r w:rsidRPr="00C9680B">
        <w:t>sökning som AMS genomförde i september i år med 17 000 arbetsgivare angav 73 % att de fått tillräckligt med sökande till sina anmälda lediga pla</w:t>
      </w:r>
      <w:r w:rsidRPr="00C9680B">
        <w:t>t</w:t>
      </w:r>
      <w:r w:rsidRPr="00C9680B">
        <w:t>ser. För ett år sedan var den siffran 77 %. En annan uppgift som tyder på att rekryteringssvårigheterna tilltagit en del i takt med den stigande</w:t>
      </w:r>
      <w:r w:rsidRPr="00C9680B">
        <w:t xml:space="preserve"> tillväxten är att antalet kvarstående lediga platser vid mån</w:t>
      </w:r>
      <w:r w:rsidRPr="00C9680B">
        <w:t>a</w:t>
      </w:r>
      <w:r w:rsidRPr="00C9680B">
        <w:t>dens slut ökat.</w:t>
      </w:r>
    </w:p>
    <w:p w:rsidR="001C7BF9" w:rsidRPr="00C9680B" w:rsidRDefault="001C7BF9">
      <w:pPr>
        <w:pStyle w:val="Normaltindrag"/>
      </w:pPr>
      <w:r w:rsidRPr="00C9680B">
        <w:t>För att skapa utrymme för en fortsatt ökad sysselsättning och förhindra olika typer av arbetskraftsbrist är det enligt utskottets mening utomordentligt viktigt att lönebildningen och den svenska arbetsmarknadens sätt att fungera förbättras. I traditionell svensk arbetsmarknadspolitisk anda måste arbetsli</w:t>
      </w:r>
      <w:r w:rsidRPr="00C9680B">
        <w:t>n</w:t>
      </w:r>
      <w:r w:rsidRPr="00C9680B">
        <w:t>jen, som numera kan betraktas som en arbets- och kompetenslinje, hävdas. Matchningen mellan arbetssökande och lediga platser måste effektiviseras så att sysselsättningen kan fortsätta att öka utan att inflationsdrivande och til</w:t>
      </w:r>
      <w:r w:rsidRPr="00C9680B">
        <w:t>l</w:t>
      </w:r>
      <w:r w:rsidRPr="00C9680B">
        <w:t>växthämmande flaskhalsar uppstår. Arbetsförmedlingarnas verksamhet måste i ännu högre grad inriktas på att förhindra bristsituationer och förmedla lediga jobb. Vakanstiderna måste kortas och långtidsarbetslösheten minskas. Fö</w:t>
      </w:r>
      <w:r w:rsidRPr="00C9680B">
        <w:t>r</w:t>
      </w:r>
      <w:r w:rsidRPr="00C9680B">
        <w:t>medlingarna måste dock även fortsättningsvis prioritera p</w:t>
      </w:r>
      <w:r w:rsidRPr="00C9680B">
        <w:t>ersoner som är långtidsarbets</w:t>
      </w:r>
      <w:r w:rsidRPr="00C9680B">
        <w:softHyphen/>
        <w:t>lösa och långtidsinskrivna. Stora ansträngningar måste göras för att öka sysselsättningsgraden bland t.ex. äldre, funktionshindrade och uto</w:t>
      </w:r>
      <w:r w:rsidRPr="00C9680B">
        <w:t>m</w:t>
      </w:r>
      <w:r w:rsidRPr="00C9680B">
        <w:t>nordiska gru</w:t>
      </w:r>
      <w:r w:rsidRPr="00C9680B">
        <w:t>p</w:t>
      </w:r>
      <w:r w:rsidRPr="00C9680B">
        <w:t>per.</w:t>
      </w:r>
    </w:p>
    <w:p w:rsidR="001C7BF9" w:rsidRPr="00C9680B" w:rsidRDefault="001C7BF9">
      <w:pPr>
        <w:pStyle w:val="R4"/>
      </w:pPr>
      <w:r w:rsidRPr="00C9680B">
        <w:t>Omläggning av arbetsmarknadspolitiken</w:t>
      </w:r>
    </w:p>
    <w:p w:rsidR="001C7BF9" w:rsidRPr="00C9680B" w:rsidRDefault="001C7BF9">
      <w:r w:rsidRPr="00C9680B">
        <w:t>Utskottet konstaterar att arbetsmarknadspolitiken under det senaste året lagts om i en betydligt mer tillväxtfrämjande riktning. Volymmålen har tagits bort och inslagen av matchning och utbildning har ökat. I regeringens reglering</w:t>
      </w:r>
      <w:r w:rsidRPr="00C9680B">
        <w:t>s</w:t>
      </w:r>
      <w:r w:rsidRPr="00C9680B">
        <w:t>brev till Arbetsmarknadsverket för 2000 anges att målen för arbetsmarknad</w:t>
      </w:r>
      <w:r w:rsidRPr="00C9680B">
        <w:t>s</w:t>
      </w:r>
      <w:r w:rsidRPr="00C9680B">
        <w:t>politiken skall vara att vakanstiderna för lediga platser skall hållas nere, att långtidsarbetslösheten skall minskas och att långa tider utan arbete skall mo</w:t>
      </w:r>
      <w:r w:rsidRPr="00C9680B">
        <w:t>t</w:t>
      </w:r>
      <w:r w:rsidRPr="00C9680B">
        <w:t>verkas. Åtgärderna inriktas i allt högre grad mot sektorer där brist på arbet</w:t>
      </w:r>
      <w:r w:rsidRPr="00C9680B">
        <w:t>s</w:t>
      </w:r>
      <w:r w:rsidRPr="00C9680B">
        <w:t>kraft bedöms uppkomma. Till exempel har en bristyrkesutbildning för redan anställda införts som en försöksverksamhet och ett förstärkt anställningsstöd har införts för att öka de långtidsinskrivnas mö</w:t>
      </w:r>
      <w:r w:rsidRPr="00C9680B">
        <w:t>jligheter att få ett reguljärt arbete. Utskottet vill i anslutning till detta nämna att det förstärkta anstäl</w:t>
      </w:r>
      <w:r w:rsidRPr="00C9680B">
        <w:t>l</w:t>
      </w:r>
      <w:r w:rsidRPr="00C9680B">
        <w:t>ningsstödet för personer som varit inskrivna i arbetsförmedlingen under två år i september omfattade drygt 10 000 personer. Vidare kan utskottet notera att det även pågår ett arbete med att minska i floran av arbetsmarknadspolitiska åtgärder och förenkla det arbetsmarknadspolitiska regelverket. En följd av detta är också att regeringen i budgetpropositionen bedömer att antalet delt</w:t>
      </w:r>
      <w:r w:rsidRPr="00C9680B">
        <w:t>a</w:t>
      </w:r>
      <w:r w:rsidRPr="00C9680B">
        <w:t>gare i de konjunk</w:t>
      </w:r>
      <w:r w:rsidRPr="00C9680B">
        <w:t>turberoende arbetsmarknadspolitiska programmen i år och under nästa år sjunker till 115 000 personer. Det är 20 000 färre än vad reg</w:t>
      </w:r>
      <w:r w:rsidRPr="00C9680B">
        <w:t>e</w:t>
      </w:r>
      <w:r w:rsidRPr="00C9680B">
        <w:t xml:space="preserve">ringen bedömde i samband med vårpropositionen. Antalet deltagare väntas fortsätta minska efter 2001, till 90  000 personer 2003. </w:t>
      </w:r>
    </w:p>
    <w:p w:rsidR="001C7BF9" w:rsidRPr="00C9680B" w:rsidRDefault="001C7BF9">
      <w:pPr>
        <w:pStyle w:val="Normaltindrag"/>
      </w:pPr>
      <w:r w:rsidRPr="00C9680B">
        <w:t>Omläggningen av arbetsmarknadspolitiken tydliggjordes ytterligare i den arbetsmarknadspolitiska proposition (1999/2000:98) som regeringen lämnade till riksdagen i våras. Som en följd av propositionen infördes fr.o.m. 1 augusti i år en aktivitetsgara</w:t>
      </w:r>
      <w:r w:rsidRPr="00C9680B">
        <w:t>nti för personer som är eller löper risk att bli långtidsa</w:t>
      </w:r>
      <w:r w:rsidRPr="00C9680B">
        <w:t>r</w:t>
      </w:r>
      <w:r w:rsidRPr="00C9680B">
        <w:t>betslösa. Inom kort beslutar dessutom riksdagen också om en relativt omfa</w:t>
      </w:r>
      <w:r w:rsidRPr="00C9680B">
        <w:t>t</w:t>
      </w:r>
      <w:r w:rsidRPr="00C9680B">
        <w:t>tande reformering av arbetslöshetsförsäkringen, i den meningen att försä</w:t>
      </w:r>
      <w:r w:rsidRPr="00C9680B">
        <w:t>k</w:t>
      </w:r>
      <w:r w:rsidRPr="00C9680B">
        <w:t>ringens roll som omställningsförsäkring förtydligas. Det s.k. förstärkta a</w:t>
      </w:r>
      <w:r w:rsidRPr="00C9680B">
        <w:t>n</w:t>
      </w:r>
      <w:r w:rsidRPr="00C9680B">
        <w:t>ställningsstödet har utökats och anslaget för särskilda åtgärder för arbetsha</w:t>
      </w:r>
      <w:r w:rsidRPr="00C9680B">
        <w:t>n</w:t>
      </w:r>
      <w:r w:rsidRPr="00C9680B">
        <w:t xml:space="preserve">dikappade förstärks. </w:t>
      </w:r>
    </w:p>
    <w:p w:rsidR="001C7BF9" w:rsidRPr="00C9680B" w:rsidRDefault="001C7BF9">
      <w:pPr>
        <w:pStyle w:val="Normaltindrag"/>
      </w:pPr>
      <w:r w:rsidRPr="00C9680B">
        <w:t>Till insatserna för att öka arbetskraftsutbudet och minska riskerna för i</w:t>
      </w:r>
      <w:r w:rsidRPr="00C9680B">
        <w:t>n</w:t>
      </w:r>
      <w:r w:rsidRPr="00C9680B">
        <w:t>flationsdrivande flaskhalsar skall enligt utskottets mening också läggas de reformer och de medel som satsas på att effektivisera och öka utbildningen och kompetensutvecklingen. Dessutom vidtas en rad åtgärder för att öka invandrarnas deltagande på arbetsmarknaden. Bland annat förstärks den kompletterande utbildningen för arbetslösa invandrare med utländsk utbil</w:t>
      </w:r>
      <w:r w:rsidRPr="00C9680B">
        <w:t>d</w:t>
      </w:r>
      <w:r w:rsidRPr="00C9680B">
        <w:t>ning inom hälso- och sjukvårdsområdet. Vidare genomförs en kompletterande utbildning för personer med utländsk utbildning inom lärarområdet och in</w:t>
      </w:r>
      <w:r w:rsidRPr="00C9680B">
        <w:t>om teknik och naturvetenskap. Den s.k. valideringen av utländsk yrkeskompetens utökas, och en försöksverksamhet med alternativ platsförmedling för invan</w:t>
      </w:r>
      <w:r w:rsidRPr="00C9680B">
        <w:t>d</w:t>
      </w:r>
      <w:r w:rsidRPr="00C9680B">
        <w:t>rare prövas. Ytterligare åtgärder som kan nämnas är att Högskoleverket har fått i uppdrag att analysera hur högskolans utbildningsutbud bättre skall ku</w:t>
      </w:r>
      <w:r w:rsidRPr="00C9680B">
        <w:t>n</w:t>
      </w:r>
      <w:r w:rsidRPr="00C9680B">
        <w:t xml:space="preserve">na anpassas till arbetsmarknadens behov. Enligt utskottets mening bidrar också förslagen om maxtaxa i barnomsorgen och de skattesänkningar för särskilt låg- och medelinkomsttagare som genomförts i år och de </w:t>
      </w:r>
      <w:r w:rsidRPr="00C9680B">
        <w:t>ytterligare sänkningar som föreslås i budgetpropositionen till att öka utbudet av arbet</w:t>
      </w:r>
      <w:r w:rsidRPr="00C9680B">
        <w:t>s</w:t>
      </w:r>
      <w:r w:rsidRPr="00C9680B">
        <w:t>kraft.</w:t>
      </w:r>
    </w:p>
    <w:p w:rsidR="001C7BF9" w:rsidRPr="00C9680B" w:rsidRDefault="001C7BF9">
      <w:pPr>
        <w:pStyle w:val="R4"/>
      </w:pPr>
      <w:r w:rsidRPr="00C9680B">
        <w:t xml:space="preserve">Lönebildningen inför ett avgörande prov </w:t>
      </w:r>
    </w:p>
    <w:p w:rsidR="001C7BF9" w:rsidRPr="00C9680B" w:rsidRDefault="001C7BF9">
      <w:r w:rsidRPr="00C9680B">
        <w:t>Den svenska lönebildningen ställs inför ett betydelsefullt prov i samband med 2001 års avtalsrörelse. De senaste åren har löneökningarna varit måttliga trots den kraftigt stigande tillväxten. Nästa år skall, för första gången efter den ekonomiska krisen under 1990-talet, huvuddelen av arbetsmarknaden fö</w:t>
      </w:r>
      <w:r w:rsidRPr="00C9680B">
        <w:t>r</w:t>
      </w:r>
      <w:r w:rsidRPr="00C9680B">
        <w:t>handla om nya löner i en miljö där arbetslösheten sjunker och efterfrågan på arbetskraft stiger starkt. Enligt utskottets mening är det dock svårt att bedöma om lönebildningen fullt ut har anpassats till de krav som ställs i dagens snabbväxande låginflationsekonomi. Om tillväxten och sysselsättningen skall kunna fortsätta att öka är det av avgörande betydelse att löneökningarna även i fortsättningen hamnar på en måttlig nivå. Risken finns att den svenska ek</w:t>
      </w:r>
      <w:r w:rsidRPr="00C9680B">
        <w:t>o</w:t>
      </w:r>
      <w:r w:rsidRPr="00C9680B">
        <w:t xml:space="preserve">nomin vid alltför stora löneökningar hamnar i en </w:t>
      </w:r>
      <w:r w:rsidRPr="00C9680B">
        <w:t>överhettningssituation med tendenser till stigande inflation, räntehöjningar, svagare tillväxt och ökad arbetslöshet. I en sådan situation äventyras utrymmet för fortsatta framtida skattesänkningar och finanspolitiken kommer in i ett nytt läge. Enligt utsko</w:t>
      </w:r>
      <w:r w:rsidRPr="00C9680B">
        <w:t>t</w:t>
      </w:r>
      <w:r w:rsidRPr="00C9680B">
        <w:t>tets mening är det i detta sammanhang angeläget att även företagens styrelser och företagsledningar tar sitt ansvar genom att hålla tillbaka alltför höga ersättningar på ledningsn</w:t>
      </w:r>
      <w:r w:rsidRPr="00C9680B">
        <w:t>i</w:t>
      </w:r>
      <w:r w:rsidRPr="00C9680B">
        <w:t>vå.</w:t>
      </w:r>
    </w:p>
    <w:p w:rsidR="001C7BF9" w:rsidRPr="00C9680B" w:rsidRDefault="001C7BF9">
      <w:pPr>
        <w:pStyle w:val="Normaltindrag"/>
      </w:pPr>
      <w:r w:rsidRPr="00C9680B">
        <w:t>Utskottet vill dock framhålla att de grundläggande förutsättningarna f</w:t>
      </w:r>
      <w:r w:rsidRPr="00C9680B">
        <w:t>ör en måttlig lönerörelse ändå är relativt goda. Förtroendet för låginflationspolit</w:t>
      </w:r>
      <w:r w:rsidRPr="00C9680B">
        <w:t>i</w:t>
      </w:r>
      <w:r w:rsidRPr="00C9680B">
        <w:t>ken bland ekonomins olika aktörer är hög, vilket innebär att risken minskat för att avtalade löneökningar skall gröpas ur av en kraftig och okontrollerad inflation. Löntagarna har också under de senaste åren fått relativt  höga rea</w:t>
      </w:r>
      <w:r w:rsidRPr="00C9680B">
        <w:t>l</w:t>
      </w:r>
      <w:r w:rsidRPr="00C9680B">
        <w:t>löneökningar trots att de nominella lönepåslagen varit måttfulla. Till det kommer att företagen och arbetsgivarna i dag är mycket medvetna om svåri</w:t>
      </w:r>
      <w:r w:rsidRPr="00C9680B">
        <w:t>g</w:t>
      </w:r>
      <w:r w:rsidRPr="00C9680B">
        <w:t>heterna att vältra över stigande lönekostnader p</w:t>
      </w:r>
      <w:r w:rsidRPr="00C9680B">
        <w:t>å konsumenterna. Utskottet kan i det här sammanhanget även konstatera att lönebildningens instituti</w:t>
      </w:r>
      <w:r w:rsidRPr="00C9680B">
        <w:t>o</w:t>
      </w:r>
      <w:r w:rsidRPr="00C9680B">
        <w:t>nella omgivning har förändrats en hel del under de senaste åren. Inom t.ex. industrin och inom delar av handeln har nya samarbetsavtal tecknats. Avtalen utgör den ram inom vilken avtalsförhandlingarna bedrivs. Vidare har Me</w:t>
      </w:r>
      <w:r w:rsidRPr="00C9680B">
        <w:t>d</w:t>
      </w:r>
      <w:r w:rsidRPr="00C9680B">
        <w:t xml:space="preserve">lingsinstitutet inrättats, vars uppgift är att understödja avtalsparterna i deras strävan att uppnå både en stabil reallöneutveckling och en snabb och uthållig uppgång i sysselsättningen. </w:t>
      </w:r>
    </w:p>
    <w:p w:rsidR="001C7BF9" w:rsidRPr="00C9680B" w:rsidRDefault="001C7BF9">
      <w:pPr>
        <w:pStyle w:val="R4"/>
      </w:pPr>
      <w:r w:rsidRPr="00C9680B">
        <w:t>Arbetsrätten</w:t>
      </w:r>
    </w:p>
    <w:p w:rsidR="001C7BF9" w:rsidRPr="00C9680B" w:rsidRDefault="001C7BF9">
      <w:r w:rsidRPr="00C9680B">
        <w:t>När det gäller arbetsrätten är det utskottets principiella uppfattning att det i många fall finns överdrivna föreställningar om att förändringar i arbet</w:t>
      </w:r>
      <w:r w:rsidRPr="00C9680B">
        <w:t>s</w:t>
      </w:r>
      <w:r w:rsidRPr="00C9680B">
        <w:t>rättslagstiftningen skall ge betydande effekter på tillväxten och sysselsät</w:t>
      </w:r>
      <w:r w:rsidRPr="00C9680B">
        <w:t>t</w:t>
      </w:r>
      <w:r w:rsidRPr="00C9680B">
        <w:t>ningen. Utskottets uppfattning styrks också av den studie av arbetsrätten i olika OECD-länder som OECD publicerade förra året i Employment Outlook. Enligt OECD visar jämförelsen att arbetsrättens utformning har inga eller endast begränsade effekter på den totala sysselsättningen och den totala a</w:t>
      </w:r>
      <w:r w:rsidRPr="00C9680B">
        <w:t>r</w:t>
      </w:r>
      <w:r w:rsidRPr="00C9680B">
        <w:t>betslösheten i ett land. Möjligtvis kan utformningen av arbetsrätten, enligt OECD, i viss mån påverka den demografiska sammansättningen av</w:t>
      </w:r>
      <w:r w:rsidRPr="00C9680B">
        <w:t xml:space="preserve"> arbetslö</w:t>
      </w:r>
      <w:r w:rsidRPr="00C9680B">
        <w:t>s</w:t>
      </w:r>
      <w:r w:rsidRPr="00C9680B">
        <w:t xml:space="preserve">heten och sysselsättningen, t.ex. att en viss grupp av människor i högre grad än andra drabbas av arbetslöshet om t.ex. arbetsrätten är kraftigt reglerande. Enligt OECD är dock den effekten statistiskt sett osäker. </w:t>
      </w:r>
    </w:p>
    <w:p w:rsidR="001C7BF9" w:rsidRPr="00C9680B" w:rsidRDefault="001C7BF9">
      <w:pPr>
        <w:pStyle w:val="R4"/>
      </w:pPr>
      <w:r w:rsidRPr="00C9680B">
        <w:t>Företagen och globaliseringen</w:t>
      </w:r>
    </w:p>
    <w:p w:rsidR="001C7BF9" w:rsidRPr="00C9680B" w:rsidRDefault="001C7BF9">
      <w:r w:rsidRPr="00C9680B">
        <w:t>Innan utskottet går in på frågorna kring konkurrens och företagsklimat vill utskottet kort kommentera diskussionen i bl.a. partimotionerna om försäl</w:t>
      </w:r>
      <w:r w:rsidRPr="00C9680B">
        <w:t>j</w:t>
      </w:r>
      <w:r w:rsidRPr="00C9680B">
        <w:t>ningar av företag till utlandet och den pågående internationella omstruktur</w:t>
      </w:r>
      <w:r w:rsidRPr="00C9680B">
        <w:t>e</w:t>
      </w:r>
      <w:r w:rsidRPr="00C9680B">
        <w:t>ringen i bransch efter bransch. Det är utomordentligt viktigt att globaliserin</w:t>
      </w:r>
      <w:r w:rsidRPr="00C9680B">
        <w:t>g</w:t>
      </w:r>
      <w:r w:rsidRPr="00C9680B">
        <w:t>ens och det ökade utlandsägandets effekter på näringslivet och sysselsättnin</w:t>
      </w:r>
      <w:r w:rsidRPr="00C9680B">
        <w:t>g</w:t>
      </w:r>
      <w:r w:rsidRPr="00C9680B">
        <w:t>en noga analyseras. Enligt utskottets uppfattning är detta inte en fråga som är unik för Sverige. Runt om i både Europa och övriga industrivärlden pågår en intensiv debatt om utländska förvärv, företagsutflyttningar, sammanslagnin</w:t>
      </w:r>
      <w:r w:rsidRPr="00C9680B">
        <w:t>g</w:t>
      </w:r>
      <w:r w:rsidRPr="00C9680B">
        <w:t>ar och företagsklimat. Debatten är emellertid of</w:t>
      </w:r>
      <w:r w:rsidRPr="00C9680B">
        <w:t>ta osaklig och behäftad med undergångstoner. Enligt utskottets mening finns det mycket som tyder på att utländska investeringar i Sverige kan spela en viktig roll för utvecklingen i svensk ekonomi. I många fall tillför nya internationella ägare nytt kapital, ny kompetens och nya förutsättningar för en ökad expa</w:t>
      </w:r>
      <w:r w:rsidRPr="00C9680B">
        <w:t>n</w:t>
      </w:r>
      <w:r w:rsidRPr="00C9680B">
        <w:t>sion.</w:t>
      </w:r>
    </w:p>
    <w:p w:rsidR="001C7BF9" w:rsidRPr="00C9680B" w:rsidRDefault="001C7BF9">
      <w:pPr>
        <w:pStyle w:val="Normaltindrag"/>
      </w:pPr>
      <w:r w:rsidRPr="00C9680B">
        <w:t>Bilden av en ödesmättad utförsäljning av svenska företag måste komplett</w:t>
      </w:r>
      <w:r w:rsidRPr="00C9680B">
        <w:t>e</w:t>
      </w:r>
      <w:r w:rsidRPr="00C9680B">
        <w:t>ras med att även svenska företag i stor utsträckning köper utländska företag för att stärka sin ställning och kompetens. Riksbankens betalningsbalansst</w:t>
      </w:r>
      <w:r w:rsidRPr="00C9680B">
        <w:t>a</w:t>
      </w:r>
      <w:r w:rsidRPr="00C9680B">
        <w:t>tistik visar att svenska företag under första halvåret i år direktinvesterade i utlandet för 200 miljarder kronor. Under samma period köpte utländska för</w:t>
      </w:r>
      <w:r w:rsidRPr="00C9680B">
        <w:t>e</w:t>
      </w:r>
      <w:r w:rsidRPr="00C9680B">
        <w:t>tag svenska företag för 152 miljarder kronor. Hittills i år har alltså svenska företag investerat mer i utlandet än vad utländska företag gjort i Sverige. Riksbankens siffror visar vidare att direktinveste</w:t>
      </w:r>
      <w:r w:rsidRPr="00C9680B">
        <w:t>ringarna, både in- och utg</w:t>
      </w:r>
      <w:r w:rsidRPr="00C9680B">
        <w:t>å</w:t>
      </w:r>
      <w:r w:rsidRPr="00C9680B">
        <w:t>ende, ökade starkt mot slutet av 1990-talet, men att flödena under hela 1990-talet i stort sett varit i balans. Under perioden 1993–1999 gjorde svenska företag direktinvesteringar i utlandet för omkring 634 miljarder kronor, m</w:t>
      </w:r>
      <w:r w:rsidRPr="00C9680B">
        <w:t>e</w:t>
      </w:r>
      <w:r w:rsidRPr="00C9680B">
        <w:t>dan utländska företag direktinvesterade i Sverige för omkring 632 miljarder kronor (i dessa siffror har för 1999 fusionen mellan Astra och Zeneca rensats bort eftersom Astras innehav i Zeneca är bokfört som ett portföljinnehav medan Zenecas innehav i Astra b</w:t>
      </w:r>
      <w:r w:rsidRPr="00C9680B">
        <w:t>etraktas som en direktinvestering). Utskottet vill i anslutning till frågan om globaliseringen erinra om att regeringen nyl</w:t>
      </w:r>
      <w:r w:rsidRPr="00C9680B">
        <w:t>i</w:t>
      </w:r>
      <w:r w:rsidRPr="00C9680B">
        <w:t>gen tillsatte en utredning om internationaliseringens betydelse för svenska skatt</w:t>
      </w:r>
      <w:r w:rsidRPr="00C9680B">
        <w:t>e</w:t>
      </w:r>
      <w:r w:rsidRPr="00C9680B">
        <w:t>baser och Sveriges framtida skattestruktur.</w:t>
      </w:r>
    </w:p>
    <w:p w:rsidR="001C7BF9" w:rsidRPr="00C9680B" w:rsidRDefault="001C7BF9">
      <w:pPr>
        <w:pStyle w:val="R4"/>
      </w:pPr>
      <w:r w:rsidRPr="00C9680B">
        <w:t xml:space="preserve">Sverige – en av världens främsta IT-nationer </w:t>
      </w:r>
    </w:p>
    <w:p w:rsidR="001C7BF9" w:rsidRPr="00C9680B" w:rsidRDefault="001C7BF9">
      <w:r w:rsidRPr="00C9680B">
        <w:t>Utlandets kraftigt stigande intresse för Sverige, svenska företag och svenskt näringsliv beror till en del på Sveriges framgångar inom den kraftigt expand</w:t>
      </w:r>
      <w:r w:rsidRPr="00C9680B">
        <w:t>e</w:t>
      </w:r>
      <w:r w:rsidRPr="00C9680B">
        <w:t>rande IT-sektorn. Vid sidan av direktinvesteringar i svenska IT-företag sker också ett betydande inflöde av utländska investeringar när det gäller forskning och utveckling inom IT. Att Sverige utvecklats till en av världens mest fra</w:t>
      </w:r>
      <w:r w:rsidRPr="00C9680B">
        <w:t>m</w:t>
      </w:r>
      <w:r w:rsidRPr="00C9680B">
        <w:t>stående nationer på IT-området förklaras bl.a. av att användningen av den nya informationstekniken är mycket hög inom både offentlig och privat sektor, vilket bl.a. beror på den stora persondatorreformen 1998. Dessutom är a</w:t>
      </w:r>
      <w:r w:rsidRPr="00C9680B">
        <w:t>n</w:t>
      </w:r>
      <w:r w:rsidRPr="00C9680B">
        <w:t xml:space="preserve">vändningen av IT inom den svenska industrin större än </w:t>
      </w:r>
      <w:r w:rsidRPr="00C9680B">
        <w:t>i många andra länder. De senaste åren har antalet företag inom IT-sektorn fullkomligt exploderat, och Sverige är bl.a. världsledande inom områden som trådlös kommunikation och Internetanvändning. Vid flera tillfällen har Stockholm utsetts till Nordens och Eur</w:t>
      </w:r>
      <w:r w:rsidRPr="00C9680B">
        <w:t>o</w:t>
      </w:r>
      <w:r w:rsidRPr="00C9680B">
        <w:t xml:space="preserve">pas IT-huvudstad. </w:t>
      </w:r>
    </w:p>
    <w:p w:rsidR="001C7BF9" w:rsidRPr="00C9680B" w:rsidRDefault="001C7BF9">
      <w:pPr>
        <w:pStyle w:val="Normaltindrag"/>
      </w:pPr>
      <w:r w:rsidRPr="00C9680B">
        <w:t>Helt avgörande för Sverige, den svenska tillväxten och sysselsättningen är att Sveriges konkurrenskraft är hög och företagsklimatet gott. Det grundlä</w:t>
      </w:r>
      <w:r w:rsidRPr="00C9680B">
        <w:t>g</w:t>
      </w:r>
      <w:r w:rsidRPr="00C9680B">
        <w:t>gande klimatet för företagande, expansion och högre sysselsättning är nu också enligt utskottets mening mycket gott. Det visar inte minst den i intern</w:t>
      </w:r>
      <w:r w:rsidRPr="00C9680B">
        <w:t>a</w:t>
      </w:r>
      <w:r w:rsidRPr="00C9680B">
        <w:t>tionell jämförelse mycket starka e</w:t>
      </w:r>
      <w:r w:rsidRPr="00C9680B">
        <w:t>x</w:t>
      </w:r>
      <w:r w:rsidRPr="00C9680B">
        <w:t>pansionen inom den svenska IT-sektorn.</w:t>
      </w:r>
    </w:p>
    <w:p w:rsidR="001C7BF9" w:rsidRPr="00C9680B" w:rsidRDefault="001C7BF9">
      <w:pPr>
        <w:pStyle w:val="Normaltindrag"/>
      </w:pPr>
      <w:r w:rsidRPr="00C9680B">
        <w:t>De offentliga finanserna har sanerats, vilket har gett en stabil och hållbar makroekonomisk situation. Räntorna har sjunkit kraftigt både i förhållande till tidigare under 1990-talet och till räntenivåerna under 1970- och 1980-talen. Under det senaste halvåret har också de svenska obli</w:t>
      </w:r>
      <w:r w:rsidRPr="00C9680B">
        <w:t>gationsräntorna legat på samma nivå som de tyska obligationsräntorna. Tidvis i våras och nu under hösten har de svenska obligationsräntorna för första gången i modern tid t.o.m. legat under de tyska. Det kan jämföras med ett räntegap mot Tyskland sommaren 1994 på mellan 4 och 5 procentenheter. Innebörden av denna utveckling är att svenska företag och hushåll kan finansiera sig till samma eller t.o.m. en lägre kostnad än de tyska kan. Det stimulerar både företagens investeringar och den inhemska efterfrågan.</w:t>
      </w:r>
      <w:r w:rsidRPr="00C9680B">
        <w:t xml:space="preserve"> Nivån på näringslivets invest</w:t>
      </w:r>
      <w:r w:rsidRPr="00C9680B">
        <w:t>e</w:t>
      </w:r>
      <w:r w:rsidRPr="00C9680B">
        <w:t xml:space="preserve">ringar är i dagsläget mycket hög och investeringarna väntas fortsätta att öka starkt både i år och under nästa år. </w:t>
      </w:r>
    </w:p>
    <w:p w:rsidR="001C7BF9" w:rsidRPr="00C9680B" w:rsidRDefault="001C7BF9">
      <w:pPr>
        <w:pStyle w:val="Normaltindrag"/>
      </w:pPr>
      <w:r w:rsidRPr="00C9680B">
        <w:t>En annan mycket viktig del i tillväxts- och företagsklimatet är att inflati</w:t>
      </w:r>
      <w:r w:rsidRPr="00C9680B">
        <w:t>o</w:t>
      </w:r>
      <w:r w:rsidRPr="00C9680B">
        <w:t>nen fallit kraftigt under senare år, till en nivå som understiger den i våra vi</w:t>
      </w:r>
      <w:r w:rsidRPr="00C9680B">
        <w:t>k</w:t>
      </w:r>
      <w:r w:rsidRPr="00C9680B">
        <w:t>tigaste konkurrentländer. Samtidigt har löneökningarna under de senaste åren varit måttliga, trots högkonjunkturen och att sysselsättningen sedan 1997 stigit med omkring 270 000 personer. Bland annat som en följd av denna utveckling har de svenska företagen under en stor del av 1990-talet markant ökat sina andelar på världsmarknaden samtidigt som icke konjunkturkänsliga kun</w:t>
      </w:r>
      <w:r w:rsidRPr="00C9680B">
        <w:softHyphen/>
        <w:t>skaps</w:t>
      </w:r>
      <w:r w:rsidRPr="00C9680B">
        <w:softHyphen/>
        <w:t xml:space="preserve">intensiva branscher ökat sina andelar av svensk </w:t>
      </w:r>
      <w:r w:rsidRPr="00C9680B">
        <w:t>export. Om konku</w:t>
      </w:r>
      <w:r w:rsidRPr="00C9680B">
        <w:t>r</w:t>
      </w:r>
      <w:r w:rsidRPr="00C9680B">
        <w:t>renskraften skall kunna bevaras och sysselsättningen stiga ytterligare är det enligt utskottets mening av avgörande vikt att löneökningarna förblir måttliga. Som utskottet redovisat tidigare utsätts ekonomin för ett avgörande prov 2001 då nya löneavtal på huvuddelen av arbetsmarknaden skall förhandlas fram i en omgivning av låg a</w:t>
      </w:r>
      <w:r w:rsidRPr="00C9680B">
        <w:t>r</w:t>
      </w:r>
      <w:r w:rsidRPr="00C9680B">
        <w:t>betslöshet och stark efterfrågan på arbetskraft.</w:t>
      </w:r>
    </w:p>
    <w:p w:rsidR="001C7BF9" w:rsidRPr="00C9680B" w:rsidRDefault="001C7BF9">
      <w:pPr>
        <w:pStyle w:val="R4"/>
      </w:pPr>
      <w:r w:rsidRPr="00C9680B">
        <w:t>Konkurrensklimatet förbättras</w:t>
      </w:r>
    </w:p>
    <w:p w:rsidR="001C7BF9" w:rsidRPr="00C9680B" w:rsidRDefault="001C7BF9">
      <w:r w:rsidRPr="00C9680B">
        <w:t>Utskottet konstaterar vidare att konkurrensen och ekonomins tillväxtvillkor har förbättrats. Vid sidan av omläggningen av pensions- och skattesystemen och förändringen av den statliga budgetprocessen har ett antal åtgärder vidt</w:t>
      </w:r>
      <w:r w:rsidRPr="00C9680B">
        <w:t>a</w:t>
      </w:r>
      <w:r w:rsidRPr="00C9680B">
        <w:t>gits för att förbättra konkurrensklimatet på varumarknaderna. Regleringarna på el- och telemarknaderna har helt eller delvis avskaffats samtidigt som en ny konkurrenslagstiftning införts. Vidare har inrikesflyget, järnvägstranspo</w:t>
      </w:r>
      <w:r w:rsidRPr="00C9680B">
        <w:t>r</w:t>
      </w:r>
      <w:r w:rsidRPr="00C9680B">
        <w:t xml:space="preserve">terna och den långväga busstrafiken öppnats för konkurrens. Den offentliga upphandlingen har reglerats i en ny lag, och ett råd för konkurrens på lika villkor mellan privat och offentlig sektor har inrättats. För att förstärka det konkurrensbefrämjande arbetet föreslår regeringen </w:t>
      </w:r>
      <w:r w:rsidRPr="00C9680B">
        <w:t>i budgetpropositionen att Konkurrensverket tillförs ytterligare 5 miljoner kronor fr.o.m. 2001. Utskottet vill i sammanhanget erinra om att regeringen i början av sommaren överlä</w:t>
      </w:r>
      <w:r w:rsidRPr="00C9680B">
        <w:t>m</w:t>
      </w:r>
      <w:r w:rsidRPr="00C9680B">
        <w:t>nade en proposition till riksdagen med förslag om hur konkurrenspolitiken skall förnyas för att understödja en fortsatt hög tillväxt och en fortsatt stiga</w:t>
      </w:r>
      <w:r w:rsidRPr="00C9680B">
        <w:t>n</w:t>
      </w:r>
      <w:r w:rsidRPr="00C9680B">
        <w:t>de sysselsättning. Åtgärder som föreslås är bl.a. att konsumentperspektivet i konkurrenspolitiken skall sättas mer i fokus samt att övervakningen av ko</w:t>
      </w:r>
      <w:r w:rsidRPr="00C9680B">
        <w:t>n</w:t>
      </w:r>
      <w:r w:rsidRPr="00C9680B">
        <w:t>kurrensen på olika marknad</w:t>
      </w:r>
      <w:r w:rsidRPr="00C9680B">
        <w:t>er skall effektiviseras. Vidare skall arbetet med att undanröja de hinder för en effektiv konkurrens som finns i gränslandet mellan offentlig och privat verksa</w:t>
      </w:r>
      <w:r w:rsidRPr="00C9680B">
        <w:t>m</w:t>
      </w:r>
      <w:r w:rsidRPr="00C9680B">
        <w:t xml:space="preserve">het fortsätta. </w:t>
      </w:r>
    </w:p>
    <w:p w:rsidR="001C7BF9" w:rsidRPr="00C9680B" w:rsidRDefault="001C7BF9">
      <w:pPr>
        <w:pStyle w:val="R4"/>
      </w:pPr>
      <w:r w:rsidRPr="00C9680B">
        <w:t>Sverige – en framstående kunskapsnation</w:t>
      </w:r>
    </w:p>
    <w:p w:rsidR="001C7BF9" w:rsidRPr="00C9680B" w:rsidRDefault="001C7BF9">
      <w:r w:rsidRPr="00C9680B">
        <w:t>Enligt utskottets mening är den svenska företagsbeskattningen som helhet konkurrenskraftig i ett internationellt perspektiv. Utbildnings- och kunskaps</w:t>
      </w:r>
      <w:r w:rsidRPr="00C9680B">
        <w:softHyphen/>
        <w:t>nivån hos den svenska arbetskraften är hög och ökar ytterligare genom de satsningar på kunskap och kompetens som regeringen vidtar i alla delar av utbildningssystemet. Sverige skall konkurrera med kompetens och välutbildad arbetskraft. Utgångspunkten är att Sverige även i fortsättningen skall vara en framstående kunskapsnation. I budgetpropositionen förslår regeringen därför kraftigt utökade resurser till skolan. Under perioden 2001–2006 skall skolan tillföras 17,5 miljarder kronor. Nästa år stiger resurse</w:t>
      </w:r>
      <w:r w:rsidRPr="00C9680B">
        <w:t>rna med 0,5 miljarder kronor och därefter ökar tilldelningen med 1 miljard kronor per år fram tills nivån 5 miljarder kronor nås. Expansionen inom högskolan fortsätter och antalet utbildningsplatser stiger med omkring 100 000 mellan 1997 och 2003. Utbyggnaden har hittills varit koncentrerad till naturvetenskapliga och tekni</w:t>
      </w:r>
      <w:r w:rsidRPr="00C9680B">
        <w:t>s</w:t>
      </w:r>
      <w:r w:rsidRPr="00C9680B">
        <w:t>ka ämnen, men nu sker successivt en breddning. Regeringen anger dessutom i budgetpropositionen att det långsiktiga målet är att 50 % av en årskull skall ha börjat på högskolan vid 25 års</w:t>
      </w:r>
      <w:r w:rsidRPr="00C9680B">
        <w:t xml:space="preserve"> ålder. Studiestödet reformeras och bidragets andel av studiemedlen höjs. En fortsatt satsning görs på forskningen. De statliga anslagen till grundforskning och forskarutbildning ökar med närmare 1,3 miljarder kronor fram till 2003.</w:t>
      </w:r>
    </w:p>
    <w:p w:rsidR="001C7BF9" w:rsidRPr="00C9680B" w:rsidRDefault="001C7BF9">
      <w:pPr>
        <w:pStyle w:val="Normaltindrag"/>
      </w:pPr>
      <w:r w:rsidRPr="00C9680B">
        <w:t>Enligt utskottets mening finns det också anledning att påpeka att en viktig del i näringsklimatet är det faktum att Sveriges inhemska efterfrågan nu växer starkt efter en svag utveckling under nästan hela 1990-talet. Det gynnar spec</w:t>
      </w:r>
      <w:r w:rsidRPr="00C9680B">
        <w:t>i</w:t>
      </w:r>
      <w:r w:rsidRPr="00C9680B">
        <w:t>ellt de mindre företagen som till stor del är inriktade på hemmamarkn</w:t>
      </w:r>
      <w:r w:rsidRPr="00C9680B">
        <w:t>a</w:t>
      </w:r>
      <w:r w:rsidRPr="00C9680B">
        <w:t>den.</w:t>
      </w:r>
    </w:p>
    <w:p w:rsidR="001C7BF9" w:rsidRPr="00C9680B" w:rsidRDefault="001C7BF9">
      <w:pPr>
        <w:pStyle w:val="R4"/>
      </w:pPr>
      <w:r w:rsidRPr="00C9680B">
        <w:t>Regelverket för företagen</w:t>
      </w:r>
    </w:p>
    <w:p w:rsidR="001C7BF9" w:rsidRPr="00C9680B" w:rsidRDefault="001C7BF9">
      <w:r w:rsidRPr="00C9680B">
        <w:t>I den offensiv för uthållig tillväxt och ökad sysselsättning som regeringen första gången presenterade i vårpropositionen 1998, och som nu senast följs upp i budgetpropositionen 2000, spelar företagande och småföretagande en avgörande roll. Därför har riksdagen under de senaste åren beslutat om en rad förbättringar för företagen och då framför allt för de mindre företagen. Exe</w:t>
      </w:r>
      <w:r w:rsidRPr="00C9680B">
        <w:t>m</w:t>
      </w:r>
      <w:r w:rsidRPr="00C9680B">
        <w:t>pelvis har enskilda näringsidkare och delägare i handelsbolag fått regler som är mer likvärdiga dem som gäller för aktiebolag. För nystartad enskild n</w:t>
      </w:r>
      <w:r w:rsidRPr="00C9680B">
        <w:t>ä</w:t>
      </w:r>
      <w:r w:rsidRPr="00C9680B">
        <w:t>ringsverksamhet har möjlighet införts att kvitta underskott i aktiv näring</w:t>
      </w:r>
      <w:r w:rsidRPr="00C9680B">
        <w:t>s</w:t>
      </w:r>
      <w:r w:rsidRPr="00C9680B">
        <w:t>verksamhet mot tjänsteinkomster. Dessutom har lättnader i ägarbeskattningen för ägare till onoterade aktiebolag genomförts. Arbetsgivaravgifterna har reducerats för att särskilt gynna de mindre företagen. Reglerna för skatt</w:t>
      </w:r>
      <w:r w:rsidRPr="00C9680B">
        <w:t>e</w:t>
      </w:r>
      <w:r w:rsidRPr="00C9680B">
        <w:t>tillägg vid periodiseringsfel i momsredovisningen har lindrat</w:t>
      </w:r>
      <w:r w:rsidRPr="00C9680B">
        <w:t>s. Vidare har reserveringsmöjligheterna för enskilda näringsidkare och handelsbolag fö</w:t>
      </w:r>
      <w:r w:rsidRPr="00C9680B">
        <w:t>r</w:t>
      </w:r>
      <w:r w:rsidRPr="00C9680B">
        <w:t>stärkts ytterligare. Avdragsreglerna för pensionskostnader, beskattningen av personaloptioner och avdraget för pensionssparande för enskilda näringsidk</w:t>
      </w:r>
      <w:r w:rsidRPr="00C9680B">
        <w:t>a</w:t>
      </w:r>
      <w:r w:rsidRPr="00C9680B">
        <w:t>re har förenklats etc. Informationen kring nyföretagande och stödet till koop</w:t>
      </w:r>
      <w:r w:rsidRPr="00C9680B">
        <w:t>e</w:t>
      </w:r>
      <w:r w:rsidRPr="00C9680B">
        <w:t>rativ utveckling har utökats. Villkoren för avsättningar till periodiseringsfo</w:t>
      </w:r>
      <w:r w:rsidRPr="00C9680B">
        <w:t>n</w:t>
      </w:r>
      <w:r w:rsidRPr="00C9680B">
        <w:t xml:space="preserve">der har förbättrats. Ett utrymme har avsatts för en lättnad i beskattningen av utländska experter (en proposition i </w:t>
      </w:r>
      <w:r w:rsidRPr="00C9680B">
        <w:t>ärendet lämnades nyligen till riksdagen). Dröjsmålsavgiften vid betalning av tull har sänkts och kupong</w:t>
      </w:r>
      <w:r w:rsidRPr="00C9680B">
        <w:softHyphen/>
        <w:t>skatten för utdelning på näringsbetingade aktier till utländska ägare har avskaffats. Fle</w:t>
      </w:r>
      <w:r w:rsidRPr="00C9680B">
        <w:t>r</w:t>
      </w:r>
      <w:r w:rsidRPr="00C9680B">
        <w:t>talet av de s.k. stoppreglerna för fåmansföretag har tagits bort och de s.k. 3:12-reglerna som reglerar beskattning av utdelning och reavinst på aktier i fåmansföretag är föremål för översyn. Nyligen blev det också tillåtet för företag att under vissa förutsättningar köpa tillbaka egna aktier. För att säke</w:t>
      </w:r>
      <w:r w:rsidRPr="00C9680B">
        <w:t>r</w:t>
      </w:r>
      <w:r w:rsidRPr="00C9680B">
        <w:t>ställa och</w:t>
      </w:r>
      <w:r w:rsidRPr="00C9680B">
        <w:t xml:space="preserve"> utveckla tillgången på kunskap och kompetens vidareutvecklas teknik- och kunskapsöverföring från bl.a. högskolor till små och medelstora företag. Fullständig kvittningsrätt har införts för reavinster på onoterade aktier mot förluster på noterade aktier. Kvittningsbegränsningen för vinster och förluster på marknadsnoterade blandfonder har slopats samtidigt som reglerna om schablonavdrag för ökade levnadsomkostnader har förenklats och förbät</w:t>
      </w:r>
      <w:r w:rsidRPr="00C9680B">
        <w:t>t</w:t>
      </w:r>
      <w:r w:rsidRPr="00C9680B">
        <w:t xml:space="preserve">rats. </w:t>
      </w:r>
    </w:p>
    <w:p w:rsidR="001C7BF9" w:rsidRPr="00C9680B" w:rsidRDefault="001C7BF9">
      <w:pPr>
        <w:pStyle w:val="R4"/>
      </w:pPr>
      <w:r w:rsidRPr="00C9680B">
        <w:t>Förenkling av regelverket</w:t>
      </w:r>
    </w:p>
    <w:p w:rsidR="001C7BF9" w:rsidRPr="00C9680B" w:rsidRDefault="001C7BF9">
      <w:r w:rsidRPr="00C9680B">
        <w:t>När det gäller Småföretagsdelegationens förslag till åtgärder för att förbättra för småföretagen vill utskottet erinra om att Näringsdepartementet i en pr</w:t>
      </w:r>
      <w:r w:rsidRPr="00C9680B">
        <w:t>o</w:t>
      </w:r>
      <w:r w:rsidRPr="00C9680B">
        <w:t>memoria till näringsutskottet i våras redovisade en avstämning av arbetet med regelförenklingar. Av promemorian framgår att regeringen bedömer att o</w:t>
      </w:r>
      <w:r w:rsidRPr="00C9680B">
        <w:t>m</w:t>
      </w:r>
      <w:r w:rsidRPr="00C9680B">
        <w:t>kring 75 % av de 83 enskilda förslag som Småföretagsdelegationen lämnat är viktiga och i någon form bör genomföras. Drygt 40 % av förslagen är redan genomförda eller befinner sig i en genomförandefas. Ytterligare drygt 30 % av förslagen u</w:t>
      </w:r>
      <w:r w:rsidRPr="00C9680B">
        <w:t>t</w:t>
      </w:r>
      <w:r w:rsidRPr="00C9680B">
        <w:t xml:space="preserve">reds eller bereds inom Näringsdepartementet. </w:t>
      </w:r>
    </w:p>
    <w:p w:rsidR="001C7BF9" w:rsidRPr="00C9680B" w:rsidRDefault="001C7BF9">
      <w:pPr>
        <w:pStyle w:val="Normaltindrag"/>
      </w:pPr>
      <w:r w:rsidRPr="00C9680B">
        <w:t>Utskottet vill i anslutning till detta erinra om att regeringen även i början</w:t>
      </w:r>
      <w:r w:rsidRPr="00C9680B">
        <w:t xml:space="preserve"> av sommaren lämnade en redogörelse till riksdagen om förenklingsarbetet med särskild inriktning på småföretagen (skr. 1999/2000:148). I skrivelsen anges att det övergripande målet är att förbättra småföretagens arbetsföru</w:t>
      </w:r>
      <w:r w:rsidRPr="00C9680B">
        <w:t>t</w:t>
      </w:r>
      <w:r w:rsidRPr="00C9680B">
        <w:t>sättningar, konkurrensförmåga och villkor i övrigt för att öka sysselsättningen och tillväxten. Ett viktigt delmål, som regeringen sätter upp, är att inom en treårsperiod tydligt minska regelverkens administrativa börda för småföret</w:t>
      </w:r>
      <w:r w:rsidRPr="00C9680B">
        <w:t>a</w:t>
      </w:r>
      <w:r w:rsidRPr="00C9680B">
        <w:t>gen. Målet skall löpande följas upp och resultaten redov</w:t>
      </w:r>
      <w:r w:rsidRPr="00C9680B">
        <w:t>isas för riksdagen. Förutom detta redovisas i skrivelsen bl.a. hur myndigheterna under 1999 tillämpat förordningen om särskild konsekvensanalys av reglers effekter för småföretagens villkor.</w:t>
      </w:r>
    </w:p>
    <w:p w:rsidR="001C7BF9" w:rsidRPr="00C9680B" w:rsidRDefault="001C7BF9">
      <w:pPr>
        <w:pStyle w:val="R4"/>
      </w:pPr>
      <w:r w:rsidRPr="00C9680B">
        <w:t>Tillväxt i hela Sverige</w:t>
      </w:r>
    </w:p>
    <w:p w:rsidR="001C7BF9" w:rsidRPr="00C9680B" w:rsidRDefault="001C7BF9">
      <w:r w:rsidRPr="00C9680B">
        <w:t>Som utskottet påpekat tidigare är det viktigt att konstatera att de senaste årens kraftiga tillväxt- och sysselsättningsökning inte är jämnt fördelad i landet. I många län och kommuner brottas man med utflyttning och en svag arbet</w:t>
      </w:r>
      <w:r w:rsidRPr="00C9680B">
        <w:t>s</w:t>
      </w:r>
      <w:r w:rsidRPr="00C9680B">
        <w:t>marknad, medan det i andra regioner snarare råder brist på arbetskraft och inflyttningen är stor. Denna situation är enligt utskottets mening ett allvarligt hot mot en balans</w:t>
      </w:r>
      <w:r w:rsidRPr="00C9680B">
        <w:t>e</w:t>
      </w:r>
      <w:r w:rsidRPr="00C9680B">
        <w:t xml:space="preserve">rad regional utveckling i landet. </w:t>
      </w:r>
    </w:p>
    <w:p w:rsidR="001C7BF9" w:rsidRPr="00C9680B" w:rsidRDefault="001C7BF9">
      <w:pPr>
        <w:pStyle w:val="Normaltindrag"/>
      </w:pPr>
      <w:r w:rsidRPr="00C9680B">
        <w:t>Ett viktig mål i den ekonomiska politiken och i näringspolitiken är därför att hela Sverige skall växa. Staten har ett övergripande ansvar för utvecklin</w:t>
      </w:r>
      <w:r w:rsidRPr="00C9680B">
        <w:t>g</w:t>
      </w:r>
      <w:r w:rsidRPr="00C9680B">
        <w:t>en i hela landet samtidigt som det även krävs aktiva lokala insatser i alla delar av landet för att skapa förutsättningar för högre tillväxt och ökad sysselsät</w:t>
      </w:r>
      <w:r w:rsidRPr="00C9680B">
        <w:t>t</w:t>
      </w:r>
      <w:r w:rsidRPr="00C9680B">
        <w:t>ning. Genom det kommunala utjämningssystemet sker en långtgående utjä</w:t>
      </w:r>
      <w:r w:rsidRPr="00C9680B">
        <w:t>m</w:t>
      </w:r>
      <w:r w:rsidRPr="00C9680B">
        <w:t>ning av skatteinkomster och strukturellt betingade merkostnader. Därigenom ökar förutsättningarna för alla kommuner och landsting i landet att kunna erbjuda sina i</w:t>
      </w:r>
      <w:r w:rsidRPr="00C9680B">
        <w:t>n</w:t>
      </w:r>
      <w:r w:rsidRPr="00C9680B">
        <w:t>vånare en bra vård, omsorg och skola.</w:t>
      </w:r>
    </w:p>
    <w:p w:rsidR="001C7BF9" w:rsidRPr="00C9680B" w:rsidRDefault="001C7BF9">
      <w:pPr>
        <w:pStyle w:val="Normaltindrag"/>
      </w:pPr>
      <w:r w:rsidRPr="00C9680B">
        <w:t>Inriktningen av regionalpolitiken är att skapa förutsättningar för hållbar ekon</w:t>
      </w:r>
      <w:r w:rsidRPr="00C9680B">
        <w:t>omisk tillväxt, rättvisa och valfrihet, så att likvärdiga levnadsvillkor skapas för medborgarna i hela riket. Decentraliseringen av högskolan, insatser för att öka underhåll, bärighet och rekonstruktion av vägar och järnvägar, satsningarna inom infrastrukturen, som t.ex. Botniabanan och förbättringen av Ådalsbanan, och de senaste årens stora bidragsökningar för att säkra en god kvalitet inom skolan, vården och omsorgen är några av de åtgärder som vidtas för att skapa förbättrade möjligheter runt om i landet</w:t>
      </w:r>
      <w:r w:rsidRPr="00C9680B">
        <w:t>. Detta förstärks ytterl</w:t>
      </w:r>
      <w:r w:rsidRPr="00C9680B">
        <w:t>i</w:t>
      </w:r>
      <w:r w:rsidRPr="00C9680B">
        <w:t>gare av de satsningar på t.ex. skolan som regeringen föreslår i budgetpropos</w:t>
      </w:r>
      <w:r w:rsidRPr="00C9680B">
        <w:t>i</w:t>
      </w:r>
      <w:r w:rsidRPr="00C9680B">
        <w:t>tionen.</w:t>
      </w:r>
    </w:p>
    <w:p w:rsidR="001C7BF9" w:rsidRPr="00C9680B" w:rsidRDefault="001C7BF9">
      <w:pPr>
        <w:pStyle w:val="R4"/>
      </w:pPr>
      <w:r w:rsidRPr="00C9680B">
        <w:t>Utbyggnaden av IT-infrastrukturen</w:t>
      </w:r>
    </w:p>
    <w:p w:rsidR="001C7BF9" w:rsidRPr="00C9680B" w:rsidRDefault="001C7BF9">
      <w:r w:rsidRPr="00C9680B">
        <w:t xml:space="preserve"> En annan åtgärd är den pågående utbyggnaden av IT-infrastrukturen. Ett viktigt inslag i IT-satsningen är att även hushåll och företag i glesbygd skall få tillgång till snabb dataöverföring till en rimlig kostnad. För statens del beräknas utbyggnaden kosta ca 8,3 miljarder kronor, och den skall pågå fram t.o.m. 2004. Regelverket kring utbyggnaden förutsätter att marknadens olika aktörer satsar ungefär lika mycket som staten, vilket innebär en sammanlagd satsning på s.k. bredband på runt 17 miljarder kronor</w:t>
      </w:r>
      <w:r w:rsidRPr="00C9680B">
        <w:t xml:space="preserve"> under en fyraårsperiod. Det första steget är en utbyggnad av stomnätet till landets alla kommuner. Av pengarna avsätts 2,6 miljarder kronor för utbyggnad av nätet i glesbygden, dvs. till de orter och områden där marknaden sannolikt inte kommer att ta på sig finansieringsansvaret för en utbyggnad. Det andra steget är en anslutning av nätet till hushåll och företag. Regeringen presenterade nyligen en propos</w:t>
      </w:r>
      <w:r w:rsidRPr="00C9680B">
        <w:t>i</w:t>
      </w:r>
      <w:r w:rsidRPr="00C9680B">
        <w:t>tion om skattereduktion för utgifter vid anslutningar för tele- och datako</w:t>
      </w:r>
      <w:r w:rsidRPr="00C9680B">
        <w:t>m</w:t>
      </w:r>
      <w:r w:rsidRPr="00C9680B">
        <w:t xml:space="preserve">munikation. Utgångspunkten </w:t>
      </w:r>
      <w:r w:rsidRPr="00C9680B">
        <w:t>för förslaget är att stimulera företag och hushåll utanför större tätorter till bredbandsanslutningar.  I korhet är förslaget så utformat att subvention utgår över ett visst belopp. Genom denna konstru</w:t>
      </w:r>
      <w:r w:rsidRPr="00C9680B">
        <w:t>k</w:t>
      </w:r>
      <w:r w:rsidRPr="00C9680B">
        <w:t>tion får förslaget en god regionalpolitisk profil eftersom de regioner som har höga anslutningskostn</w:t>
      </w:r>
      <w:r w:rsidRPr="00C9680B">
        <w:t>a</w:t>
      </w:r>
      <w:r w:rsidRPr="00C9680B">
        <w:t>der gynnas.</w:t>
      </w:r>
    </w:p>
    <w:p w:rsidR="001C7BF9" w:rsidRPr="00C9680B" w:rsidRDefault="001C7BF9">
      <w:pPr>
        <w:pStyle w:val="Normaltindrag"/>
      </w:pPr>
      <w:r w:rsidRPr="00C9680B">
        <w:t>Enligt utskottets mening är utbyggnaden av infrastrukturen inom IT-området en mycket viktig del i ambitionen att ytterligare stärka Sveriges ställning som en av världens ledande IT-nationer. Dessut</w:t>
      </w:r>
      <w:r w:rsidRPr="00C9680B">
        <w:t>om är utbyggnaden viktig för att öka utvecklingskraften i alla delar av vårt avlånga land. Utsko</w:t>
      </w:r>
      <w:r w:rsidRPr="00C9680B">
        <w:t>t</w:t>
      </w:r>
      <w:r w:rsidRPr="00C9680B">
        <w:t>tet vill här också nämna att regeringen i budgetpropositionen anger att ett särskilt program skall utarbetas för att uppmuntra företag i de regionalpol</w:t>
      </w:r>
      <w:r w:rsidRPr="00C9680B">
        <w:t>i</w:t>
      </w:r>
      <w:r w:rsidRPr="00C9680B">
        <w:t>tiskt högst prioriterade områdena att använda modern informationsteknik i sin verksa</w:t>
      </w:r>
      <w:r w:rsidRPr="00C9680B">
        <w:t>m</w:t>
      </w:r>
      <w:r w:rsidRPr="00C9680B">
        <w:t xml:space="preserve">het. </w:t>
      </w:r>
    </w:p>
    <w:p w:rsidR="001C7BF9" w:rsidRPr="00C9680B" w:rsidRDefault="001C7BF9">
      <w:pPr>
        <w:pStyle w:val="Normaltindrag"/>
      </w:pPr>
      <w:r w:rsidRPr="00C9680B">
        <w:t>Utskottet vill i detta sammanhang också erinra om de regionala s.k. til</w:t>
      </w:r>
      <w:r w:rsidRPr="00C9680B">
        <w:t>l</w:t>
      </w:r>
      <w:r w:rsidRPr="00C9680B">
        <w:t>växtavtalen. I samtliga län har företrädare för statliga myndigheter, komm</w:t>
      </w:r>
      <w:r w:rsidRPr="00C9680B">
        <w:t>u</w:t>
      </w:r>
      <w:r w:rsidRPr="00C9680B">
        <w:t>ner, landsting, regionala självstyrelseorgan, företag, arbetsmarknadens parter, utbildningsväsendet och många andra arbetat fram gemensamma förslag om hur länets tillväxt och sysselsättning skall kunna öka. Tillväxtavtalen är enligt utskottets mening en viktig process som inneburit en lokal och regional m</w:t>
      </w:r>
      <w:r w:rsidRPr="00C9680B">
        <w:t>o</w:t>
      </w:r>
      <w:r w:rsidRPr="00C9680B">
        <w:t>bilisering för en bättre ekonomisk utveckling. Utskottet vill i samband med detta också peka på de lokala utvecklingsavtal som nu</w:t>
      </w:r>
      <w:r w:rsidRPr="00C9680B">
        <w:t xml:space="preserve"> tecknas mellan staten och vissa kommuner om insatser i storstadsregionernas mest utsatta bostad</w:t>
      </w:r>
      <w:r w:rsidRPr="00C9680B">
        <w:t>s</w:t>
      </w:r>
      <w:r w:rsidRPr="00C9680B">
        <w:t xml:space="preserve">områden. </w:t>
      </w:r>
    </w:p>
    <w:p w:rsidR="001C7BF9" w:rsidRPr="00C9680B" w:rsidRDefault="001C7BF9">
      <w:pPr>
        <w:pStyle w:val="Normaltindrag"/>
      </w:pPr>
      <w:r w:rsidRPr="00C9680B">
        <w:t>För utvecklingen inom olika regioner är det också viktigt att länen fullt ut utnyttjar de resurser från EU:s strukturfonder som ställs till Sveriges förf</w:t>
      </w:r>
      <w:r w:rsidRPr="00C9680B">
        <w:t>o</w:t>
      </w:r>
      <w:r w:rsidRPr="00C9680B">
        <w:t>gande. Sammanlagt handlar det om ungefär 17 miljarder kronor under peri</w:t>
      </w:r>
      <w:r w:rsidRPr="00C9680B">
        <w:t>o</w:t>
      </w:r>
      <w:r w:rsidRPr="00C9680B">
        <w:t>den t.o.m. 2006. Till sist vill utskottet erinra om att den parlamentariska reg</w:t>
      </w:r>
      <w:r w:rsidRPr="00C9680B">
        <w:t>i</w:t>
      </w:r>
      <w:r w:rsidRPr="00C9680B">
        <w:t>onalpolitiska kommittén nyligen presenterade sina analyser och förslag till framtida inriktning och utformning av regionalpolitiken. Regeringen anger i budgetpropositionen att den avser att återkomma till riksdagen med anledning av kommitténs slutbetä</w:t>
      </w:r>
      <w:r w:rsidRPr="00C9680B">
        <w:t>n</w:t>
      </w:r>
      <w:r w:rsidRPr="00C9680B">
        <w:t>kande.</w:t>
      </w:r>
    </w:p>
    <w:p w:rsidR="001C7BF9" w:rsidRPr="00C9680B" w:rsidRDefault="001C7BF9">
      <w:pPr>
        <w:pStyle w:val="R4"/>
      </w:pPr>
      <w:r w:rsidRPr="00C9680B">
        <w:t>Sänkta inkomstskatter</w:t>
      </w:r>
    </w:p>
    <w:p w:rsidR="001C7BF9" w:rsidRPr="00C9680B" w:rsidRDefault="001C7BF9">
      <w:r w:rsidRPr="00C9680B">
        <w:t>När det gäller skatterna vill utskottet framhålla att regeringen i samband med budgetpropositionen för 2000 tog det första steget i en inkomstskattereform. Bland annat infördes en skattereduktion som kompenserar för en fjärdedel av de egenavgifter som tas ut för att finansiera det nya ålderspensionssystemet. Samtidigt höjdes gränsen för statlig inkomstskatt och den temporära skatter</w:t>
      </w:r>
      <w:r w:rsidRPr="00C9680B">
        <w:t>e</w:t>
      </w:r>
      <w:r w:rsidRPr="00C9680B">
        <w:t>duktionen riktad mot låginkomsttagare förlängdes. Skattesänkningarna bidrar till att minska de marginaleffekter som är särskilt kännbara för låg- och m</w:t>
      </w:r>
      <w:r w:rsidRPr="00C9680B">
        <w:t>e</w:t>
      </w:r>
      <w:r w:rsidRPr="00C9680B">
        <w:t>delinkomsttagare. Det leder i sin tur till att arbetskraftsutbudet stiger, vilket är en nödvändig utveckling om vi skall kunna bibehålla och förstärka den kraft</w:t>
      </w:r>
      <w:r w:rsidRPr="00C9680B">
        <w:t>i</w:t>
      </w:r>
      <w:r w:rsidRPr="00C9680B">
        <w:t xml:space="preserve">ga uppgången i den svenska ekonomin. Som framgår ovan under avsnittet om regelverken för företagen har även en rad skattesänkningar som riktar sig mot företagen genomförts. </w:t>
      </w:r>
    </w:p>
    <w:p w:rsidR="001C7BF9" w:rsidRPr="00C9680B" w:rsidRDefault="001C7BF9">
      <w:pPr>
        <w:pStyle w:val="Normaltindrag"/>
      </w:pPr>
      <w:r w:rsidRPr="00C9680B">
        <w:t>Till följd av de fortsat</w:t>
      </w:r>
      <w:r w:rsidRPr="00C9680B">
        <w:t>t förbättrade offentliga finanserna och efter en a</w:t>
      </w:r>
      <w:r w:rsidRPr="00C9680B">
        <w:t>v</w:t>
      </w:r>
      <w:r w:rsidRPr="00C9680B">
        <w:t>vägning mot efterfrågeutvecklingen i den svenska ekonomin föreslår reg</w:t>
      </w:r>
      <w:r w:rsidRPr="00C9680B">
        <w:t>e</w:t>
      </w:r>
      <w:r w:rsidRPr="00C9680B">
        <w:t>ringen i budgetpropositionen att ytterligare en fjärdedel av egenavgifterna kompenseras fr.o.m. 2001. Genom detta förslag får löntagarna kompensation för hälften av de egenavgifter som de betalar. Regeringen föreslår även att skiktgränsen för statlig inkomstskatt höjs så att andelen skattebetalare som betalar statsskatt sjunker till 16 %. I likhet med tidigare innebär sänkningarna att ma</w:t>
      </w:r>
      <w:r w:rsidRPr="00C9680B">
        <w:t>rginalskatterna för låg- och medelinkomsttagare minskar. Vidare för</w:t>
      </w:r>
      <w:r w:rsidRPr="00C9680B">
        <w:t>e</w:t>
      </w:r>
      <w:r w:rsidRPr="00C9680B">
        <w:t>slås att reseavdraget höjs till 16 kr milen. Dessutom sänks skattesatsen i fa</w:t>
      </w:r>
      <w:r w:rsidRPr="00C9680B">
        <w:t>s</w:t>
      </w:r>
      <w:r w:rsidRPr="00C9680B">
        <w:t>tighetsskatten till 1,2 % av taxeringsvärdet för småhus och 0,7 % av tax</w:t>
      </w:r>
      <w:r w:rsidRPr="00C9680B">
        <w:t>e</w:t>
      </w:r>
      <w:r w:rsidRPr="00C9680B">
        <w:t>ringsvärdet för hyreshus, för att kompensera för att taxeringsvärdena stiger kraftigt nästa år. Samtidigt höjs fribeloppet i förmögenhetsskatten till 1 miljon kronor för ensamstående och 1,5 miljoner kronor för sambeskattade par. För att undvika att personer med låga inkomster får betala en f</w:t>
      </w:r>
      <w:r w:rsidRPr="00C9680B">
        <w:t>ör stor andel av inkomsten i fastighetsskatt anger regeringen i budgetpropositionen att den under våren 2001 avser att föreslå en begränsningsregel. Vidare föreslås att skatten på vinsten vid försäljning av privatbostäder höjs från 15 % till 20%.</w:t>
      </w:r>
    </w:p>
    <w:p w:rsidR="001C7BF9" w:rsidRPr="00C9680B" w:rsidRDefault="001C7BF9">
      <w:pPr>
        <w:pStyle w:val="Normaltindrag"/>
      </w:pPr>
      <w:r w:rsidRPr="00C9680B">
        <w:t>Utskottet delar regeringens uppfattning i budgetpropositionen att nivån på skatterna bl.a. bestäms av vilka välfärds- och fördelningspolitiska ambitioner man har. Enligt utskottets mening riskerar de mycket omfattande skattesän</w:t>
      </w:r>
      <w:r w:rsidRPr="00C9680B">
        <w:t>k</w:t>
      </w:r>
      <w:r w:rsidRPr="00C9680B">
        <w:t>ningar som föreslås i Moderata samlingspartiets motion Fi208 att leda till stora nedskärningar av viktig offentlig verksamhet. Dessutom ökar risken för instabila statsfinanser. En sådan utveckling kommer att få starkt negativa konsekvenser för den svenska välfä</w:t>
      </w:r>
      <w:r w:rsidRPr="00C9680B">
        <w:t>r</w:t>
      </w:r>
      <w:r w:rsidRPr="00C9680B">
        <w:t>den.</w:t>
      </w:r>
    </w:p>
    <w:p w:rsidR="001C7BF9" w:rsidRPr="00C9680B" w:rsidRDefault="001C7BF9">
      <w:pPr>
        <w:pStyle w:val="R4"/>
      </w:pPr>
      <w:r w:rsidRPr="00C9680B">
        <w:t>Grön skatteväxling och ett ekologiskt hållbart Sverige</w:t>
      </w:r>
    </w:p>
    <w:p w:rsidR="001C7BF9" w:rsidRPr="00C9680B" w:rsidRDefault="001C7BF9">
      <w:r w:rsidRPr="00C9680B">
        <w:t>Som ett ytterligare steg i den gröna skatteväxlingen föreslår regeringen i budgetpropositionen att koldioxidskatten, dieselskatten och elskatten höjs samtidigt som arbetsgivaravgiften sänks och grundavdraget i beskattningen höjs med 1 200 kr. Totalt omfattar skattevä</w:t>
      </w:r>
      <w:r w:rsidRPr="00C9680B">
        <w:t>x</w:t>
      </w:r>
      <w:r w:rsidRPr="00C9680B">
        <w:t xml:space="preserve">lingen 3,3 miljarder kronor. </w:t>
      </w:r>
    </w:p>
    <w:p w:rsidR="001C7BF9" w:rsidRPr="00C9680B" w:rsidRDefault="001C7BF9">
      <w:pPr>
        <w:pStyle w:val="Normaltindrag"/>
      </w:pPr>
      <w:r w:rsidRPr="00C9680B">
        <w:t>En god miljö och en ekologiskt hållbar utveckling är enligt utskottets m</w:t>
      </w:r>
      <w:r w:rsidRPr="00C9680B">
        <w:t>e</w:t>
      </w:r>
      <w:r w:rsidRPr="00C9680B">
        <w:t>ning ett av den ekonomiska politikens viktigaste mål. Sverige skall vara ett mönsterland för en ekologiskt hållbar utveckling. Regeringen presenterar också i budgetpropositionen en strategi för den fortsatta gröna skatteväxlin</w:t>
      </w:r>
      <w:r w:rsidRPr="00C9680B">
        <w:t>g</w:t>
      </w:r>
      <w:r w:rsidRPr="00C9680B">
        <w:t>en. Det främsta syftet med en grön skatteväxling är att öka miljörelateringen av skattesystemet. Det leder till att ekonomiska styrmedel ges en ökad tyngd i miljöpolitiken vid sidan av administrativa och informativa styrmedel. Ek</w:t>
      </w:r>
      <w:r w:rsidRPr="00C9680B">
        <w:t>o</w:t>
      </w:r>
      <w:r w:rsidRPr="00C9680B">
        <w:t>nomiska styrmedel ger, rätt utformade, kostnadseffekti</w:t>
      </w:r>
      <w:r w:rsidRPr="00C9680B">
        <w:t>va signaler till mar</w:t>
      </w:r>
      <w:r w:rsidRPr="00C9680B">
        <w:t>k</w:t>
      </w:r>
      <w:r w:rsidRPr="00C9680B">
        <w:t>nadens aktörer att skapa förutsättningar för en miljöanpassad och resurssnål livsstil och teknik. Genom miljöskatter sätter man ett pris på miljön och det blir dyrare att t.ex. släppa ut föroreningar till luft eller vatten. Härigenom får ekonomins aktörer själva bära kostnaderna för miljöeffekterna de orsakar på samma sätt som de får betala för varor och tjänster.</w:t>
      </w:r>
    </w:p>
    <w:p w:rsidR="001C7BF9" w:rsidRPr="00C9680B" w:rsidRDefault="001C7BF9">
      <w:pPr>
        <w:pStyle w:val="Normaltindrag"/>
      </w:pPr>
      <w:r w:rsidRPr="00C9680B">
        <w:t>Grön skatteväxling innebär ingen höjning av det totala skatteuttaget. Höjda skatter på energi och miljöutsläpp balanseras me</w:t>
      </w:r>
      <w:r w:rsidRPr="00C9680B">
        <w:t>d en sänkning av andra ska</w:t>
      </w:r>
      <w:r w:rsidRPr="00C9680B">
        <w:t>t</w:t>
      </w:r>
      <w:r w:rsidRPr="00C9680B">
        <w:t xml:space="preserve">ter, främst på arbete. </w:t>
      </w:r>
    </w:p>
    <w:p w:rsidR="001C7BF9" w:rsidRPr="00C9680B" w:rsidRDefault="001C7BF9">
      <w:pPr>
        <w:pStyle w:val="Normaltindrag"/>
      </w:pPr>
      <w:r w:rsidRPr="00C9680B">
        <w:t>Effekten av de olika stegen i skatteväxlingen, hur de påverkar t.ex. välfärd, inkomstfördelning, olika regioner och de konkurrensutsatta sektorerna i sa</w:t>
      </w:r>
      <w:r w:rsidRPr="00C9680B">
        <w:t>m</w:t>
      </w:r>
      <w:r w:rsidRPr="00C9680B">
        <w:t>hället måste löpande följas. I likhet med Skatteväxlingskommittén görs b</w:t>
      </w:r>
      <w:r w:rsidRPr="00C9680B">
        <w:t>e</w:t>
      </w:r>
      <w:r w:rsidRPr="00C9680B">
        <w:t>dömningen att utrymmet för en ytterligare skatteväxling är ungefär i samma storleksordning som det som utnyttjats under 1980- och 1990-talen. Omräknat i dagens penningvärde och dagens BNP-nivå innebär det ett utrymme på ungefär 30 miljarder kronor under perioden 2001–2010. Vidare anges bl.a. att en central del i en grön skatteväxling är en reformering av energiskattesy</w:t>
      </w:r>
      <w:r w:rsidRPr="00C9680B">
        <w:t>s</w:t>
      </w:r>
      <w:r w:rsidRPr="00C9680B">
        <w:t>temet och att den gröna skatteväxlingen, rätt genomförd, kan bidra</w:t>
      </w:r>
      <w:r w:rsidRPr="00C9680B">
        <w:t xml:space="preserve"> till full sysselsättning och en bättre livsmiljö för våra barn och barnbarn.</w:t>
      </w:r>
    </w:p>
    <w:p w:rsidR="001C7BF9" w:rsidRPr="00C9680B" w:rsidRDefault="001C7BF9">
      <w:pPr>
        <w:pStyle w:val="Normaltindrag"/>
      </w:pPr>
      <w:r w:rsidRPr="00C9680B">
        <w:t>Utskottet vill i anslutning till detta också hänvisa till de gröna nyckeltal som sedan 1999 redovisas i budget- och vårpropositionerna. Nyckeltalen är ett komplement till de ekonomiska nyckeltalen och i budgetpropositionen för 2001 redovisas nyckeltal för energianvän</w:t>
      </w:r>
      <w:r w:rsidRPr="00C9680B">
        <w:t>d</w:t>
      </w:r>
      <w:r w:rsidRPr="00C9680B">
        <w:t>ning och energieffektivitet.</w:t>
      </w:r>
    </w:p>
    <w:p w:rsidR="001C7BF9" w:rsidRPr="00C9680B" w:rsidRDefault="001C7BF9">
      <w:pPr>
        <w:pStyle w:val="Normaltindrag"/>
      </w:pPr>
      <w:r w:rsidRPr="00C9680B">
        <w:t>För att nå den högt uppsatta målsättningen om en ekologiskt hållbar u</w:t>
      </w:r>
      <w:r w:rsidRPr="00C9680B">
        <w:t>t</w:t>
      </w:r>
      <w:r w:rsidRPr="00C9680B">
        <w:t>veckling genomförs en mängd åtgärder inom olika områden. I budgetpropos</w:t>
      </w:r>
      <w:r w:rsidRPr="00C9680B">
        <w:t>i</w:t>
      </w:r>
      <w:r w:rsidRPr="00C9680B">
        <w:t>tionen föreslår regeringen dessutom att momsen på kollektivtrafik halveras för att gynna kollektivtrafiken. I avvaktan på alternativa styrmedel behålls den s.k. miljöbonusen för vindkraftsproducerad el ytterligare ett par år. Som en följd av de förslag som lämnades i vårpropositionen förlängs bl.a. de l</w:t>
      </w:r>
      <w:r w:rsidRPr="00C9680B">
        <w:t>o</w:t>
      </w:r>
      <w:r w:rsidRPr="00C9680B">
        <w:t xml:space="preserve">kala investeringsprogrammen och anslagen för markinköp, biotopskydd, marksanering, kalkning, samt miljöforskning och miljöövervakning </w:t>
      </w:r>
      <w:r w:rsidRPr="00C9680B">
        <w:t>förstärks ytterligare utöver de kraftiga ökningar av anslagen som tidigare geno</w:t>
      </w:r>
      <w:r w:rsidRPr="00C9680B">
        <w:t>m</w:t>
      </w:r>
      <w:r w:rsidRPr="00C9680B">
        <w:t>förts.</w:t>
      </w:r>
    </w:p>
    <w:p w:rsidR="001C7BF9" w:rsidRPr="00C9680B" w:rsidRDefault="001C7BF9">
      <w:pPr>
        <w:pStyle w:val="Rubrik4"/>
        <w:rPr>
          <w:noProof w:val="0"/>
        </w:rPr>
      </w:pPr>
      <w:bookmarkStart w:id="116" w:name="_Toc498910677"/>
      <w:r w:rsidRPr="00C9680B">
        <w:rPr>
          <w:noProof w:val="0"/>
        </w:rPr>
        <w:t>Privatisering och avreglering</w:t>
      </w:r>
      <w:bookmarkEnd w:id="116"/>
    </w:p>
    <w:p w:rsidR="001C7BF9" w:rsidRPr="00C9680B" w:rsidRDefault="001C7BF9">
      <w:r w:rsidRPr="00C9680B">
        <w:t>När det gäller frågor om förändringar av de svenska socialförsäkringarna och avregleringar och privatiseringar av t.ex. vård- och omsorgssektorerna  vill utskottet erinra om att principerna om en solidariskt finansierad och rättvist fördelad sjukvård är några av de mest centrala inslagen i den generella vä</w:t>
      </w:r>
      <w:r w:rsidRPr="00C9680B">
        <w:t>l</w:t>
      </w:r>
      <w:r w:rsidRPr="00C9680B">
        <w:t>färdspolitiken. Det finns enligt utskottet heller inga belägg för att Sverige skulle vinna på att överge skattefinansieringen av vården. Internationella erfarenheter tyder tvärtom på att de skattefinansierade hälso- och sjukvård</w:t>
      </w:r>
      <w:r w:rsidRPr="00C9680B">
        <w:t>s</w:t>
      </w:r>
      <w:r w:rsidRPr="00C9680B">
        <w:t>systemen fungerar bättre i t.ex. fördelningspolitiskt avseende än försäkring</w:t>
      </w:r>
      <w:r w:rsidRPr="00C9680B">
        <w:t>s</w:t>
      </w:r>
      <w:r w:rsidRPr="00C9680B">
        <w:t xml:space="preserve">finansierade system. </w:t>
      </w:r>
    </w:p>
    <w:p w:rsidR="001C7BF9" w:rsidRPr="00C9680B" w:rsidRDefault="001C7BF9">
      <w:pPr>
        <w:pStyle w:val="Normaltindrag"/>
      </w:pPr>
      <w:r w:rsidRPr="00C9680B">
        <w:t>Enligt utskottets mening skulle förslagen i t.ex. Moderata samlingspartiets motion Fi208 om omfattande avregleringar och privatiseringar i den statliga och kommunala sektorn leda till</w:t>
      </w:r>
      <w:r w:rsidRPr="00C9680B">
        <w:t xml:space="preserve"> en dramatisk förändring av de offentliga verksamheterna. Följden skulle sannolikt bli en mycket instabil situation till skada för medborgarna. Effektiviteten och produktiviteten inom t.ex. vården, omsorgen och skolan skulle drabbas hårt. I motion Fi208 föreslås också mycket stora skattesänkningar genom bl.a. sänkningar av den kommunala utdebiteringen. Det är utskottets övertygelse att skattesänkningar av denna omfattning oundvikligen leder till stora nedskärningar av viktig och angel</w:t>
      </w:r>
      <w:r w:rsidRPr="00C9680B">
        <w:t>ä</w:t>
      </w:r>
      <w:r w:rsidRPr="00C9680B">
        <w:t>gen offentlig verksamh</w:t>
      </w:r>
      <w:r w:rsidRPr="00C9680B">
        <w:t>et. Dessutom får stora skattesänkningar av den här typen helt oacceptabla fördelningspolitiska konsekvenser. Skadorna på den svenska generella välfärden skulle bli betydande. Utskottets uppfattning är vidare att skattesänkningar av detta slag kan leda till instabila statsfinanser med negativa effekter på både företagsklimatet och den ekonomiska tillvä</w:t>
      </w:r>
      <w:r w:rsidRPr="00C9680B">
        <w:t>x</w:t>
      </w:r>
      <w:r w:rsidRPr="00C9680B">
        <w:t>ten. Erfarenheterna av den snabba försämringen av statsfinanserna i början av 1990-talet avskräcker.</w:t>
      </w:r>
    </w:p>
    <w:p w:rsidR="001C7BF9" w:rsidRPr="00C9680B" w:rsidRDefault="001C7BF9">
      <w:pPr>
        <w:pStyle w:val="R4"/>
      </w:pPr>
      <w:r w:rsidRPr="00C9680B">
        <w:t xml:space="preserve">Offentliga bidrag bidrar till en jämnare fördelning </w:t>
      </w:r>
    </w:p>
    <w:p w:rsidR="001C7BF9" w:rsidRPr="00C9680B" w:rsidRDefault="001C7BF9">
      <w:r w:rsidRPr="00C9680B">
        <w:t>Utskottet vill i detta sammanhang peka på den studie av fördelningen av offentliga bidrag till barnomsorg, utbildning samt hälso- och sjukvård som redovisades i budgetpropositionen för 2000 (1999/2000:1, bilaga 4). Unde</w:t>
      </w:r>
      <w:r w:rsidRPr="00C9680B">
        <w:t>r</w:t>
      </w:r>
      <w:r w:rsidRPr="00C9680B">
        <w:t>sökningen visar tydligt att de resurser som fördelas via de offentliga ver</w:t>
      </w:r>
      <w:r w:rsidRPr="00C9680B">
        <w:t>k</w:t>
      </w:r>
      <w:r w:rsidRPr="00C9680B">
        <w:t>samheterna klart bidrar till en jämnare fördelning i samhället. Framför allt blir omfördelningen över livet tydlig när effekterna av de subventionerade offen</w:t>
      </w:r>
      <w:r w:rsidRPr="00C9680B">
        <w:t>t</w:t>
      </w:r>
      <w:r w:rsidRPr="00C9680B">
        <w:t>liga tjänsterna undersöks. Till exempel beräknas personer i åttiofemårsåldern få vård och omsorg för i genomsnitt 103 000 kr per år. Ungdomar erhåller ca 20 000 kr per år i form av främst utbildning, medan personer i femtiofemår</w:t>
      </w:r>
      <w:r w:rsidRPr="00C9680B">
        <w:t>s</w:t>
      </w:r>
      <w:r w:rsidRPr="00C9680B">
        <w:t>åldern endast utnyttjar offentliga tjänster för 1</w:t>
      </w:r>
      <w:r w:rsidRPr="00C9680B">
        <w:t>3 000 kr. När det gäller su</w:t>
      </w:r>
      <w:r w:rsidRPr="00C9680B">
        <w:t>b</w:t>
      </w:r>
      <w:r w:rsidRPr="00C9680B">
        <w:t>ventioner av utbildning visar studien att snedrekryteringen till den högre utbildningen fortfarande är betydande. Subventionerna till högskolan gynnar framför allt barn till högutbildade och tjänstemän. Däremot har klyftan i antalet utbildningsår mellan olika grupper i samhället minskat markant de senaste åren. Andra resultat är t.ex. att barnfamiljer och pensionärer gynnas och att subventionerna påtagligt minskar inkomstspridningen. Personer med relativt låg ekonomisk standard e</w:t>
      </w:r>
      <w:r w:rsidRPr="00C9680B">
        <w:t>rhåller mer, både i absoluta och relativa termer, än de välbeställda. Vidare gynnas kvinnor mer än män av den offen</w:t>
      </w:r>
      <w:r w:rsidRPr="00C9680B">
        <w:t>t</w:t>
      </w:r>
      <w:r w:rsidRPr="00C9680B">
        <w:t>liga tjän</w:t>
      </w:r>
      <w:r w:rsidRPr="00C9680B">
        <w:t>s</w:t>
      </w:r>
      <w:r w:rsidRPr="00C9680B">
        <w:t xml:space="preserve">tesektorn. </w:t>
      </w:r>
    </w:p>
    <w:p w:rsidR="001C7BF9" w:rsidRPr="00C9680B" w:rsidRDefault="001C7BF9">
      <w:pPr>
        <w:pStyle w:val="R4"/>
      </w:pPr>
      <w:r w:rsidRPr="00C9680B">
        <w:t>Ökade resurser till vården, skolan och omsorgen</w:t>
      </w:r>
    </w:p>
    <w:p w:rsidR="001C7BF9" w:rsidRPr="00C9680B" w:rsidRDefault="001C7BF9">
      <w:r w:rsidRPr="00C9680B">
        <w:t>Den omfattande och lyckade saneringen av de offentliga finanserna har under de senaste åren skapat utrymme för satsningar på att öka resurserna och fö</w:t>
      </w:r>
      <w:r w:rsidRPr="00C9680B">
        <w:t>r</w:t>
      </w:r>
      <w:r w:rsidRPr="00C9680B">
        <w:t>bättra kvaliteten inom skolan, vården och omsorgen av barn och gamla. Den nu starka inkomstutvecklingen i den svenska ekonomin innebär dessutom att skatteintäkterna i den kommunala sektorn ökar markant under de närmaste åren.</w:t>
      </w:r>
    </w:p>
    <w:p w:rsidR="001C7BF9" w:rsidRPr="00C9680B" w:rsidRDefault="001C7BF9">
      <w:pPr>
        <w:pStyle w:val="Normaltindrag"/>
      </w:pPr>
      <w:r w:rsidRPr="00C9680B">
        <w:t>I år är resursöverföringen från staten till kommuner och landsting 21,3 miljarder kronor högre jämfört med situationen 1996. Nästa år tillförs ko</w:t>
      </w:r>
      <w:r w:rsidRPr="00C9680B">
        <w:t>m</w:t>
      </w:r>
      <w:r w:rsidRPr="00C9680B">
        <w:t>muner och landsting ytterligare 4 miljarder kronor, i enlighet med tidigare aviseringar. Av dessa medel skall 1 miljard kronor gå till vård- och omsorg</w:t>
      </w:r>
      <w:r w:rsidRPr="00C9680B">
        <w:t>s</w:t>
      </w:r>
      <w:r w:rsidRPr="00C9680B">
        <w:t>sektorn och 700 miljoner kronor till särskilda insatser till de kommuner och landsting som har problem med att nå balans. Därutöver får kommunsektorn ytterligare 1,3 miljarder kronor genom att de 200 kr som alla skattskyldiga betalar i inkomstskatt överförs till kommuner och land</w:t>
      </w:r>
      <w:r w:rsidRPr="00C9680B">
        <w:t>s</w:t>
      </w:r>
      <w:r w:rsidRPr="00C9680B">
        <w:t>ting.</w:t>
      </w:r>
    </w:p>
    <w:p w:rsidR="001C7BF9" w:rsidRPr="00C9680B" w:rsidRDefault="001C7BF9">
      <w:pPr>
        <w:pStyle w:val="Normaltindrag"/>
      </w:pPr>
      <w:r w:rsidRPr="00C9680B">
        <w:t>Enligt utskottets mening är det nödvändigt att kommunernas och land</w:t>
      </w:r>
      <w:r w:rsidRPr="00C9680B">
        <w:t>s</w:t>
      </w:r>
      <w:r w:rsidRPr="00C9680B">
        <w:t>tingens ekonomi förstärks ytterligare. Behoven inom vården, skolan och omsorgen är fortfarande stora. Inom ramen för försvarsuppgörelsen görs en särskild satsning på vård och omsorg om totalt ca 8 miljarder kronor under perioden 2002–2004. Av medlen skall 1 miljard kronor utbetalas 2002, 3 miljarder kronor 2003 och 4 miljarder kronor 2004. Till detta skall sedan läggas den kraftiga satsning på skolan under perioden 2001–2006 om totalt 17,5 miljarder kronor som regeringen presenterar i budgetpropositionen o</w:t>
      </w:r>
      <w:r w:rsidRPr="00C9680B">
        <w:t>ch som utskottet redovisat tidigare. Nästa år tillförs skolan 0,5 miljarder kronor och därefter ökar tilldelningen med 1 miljard kronor per år fram till 2006.</w:t>
      </w:r>
    </w:p>
    <w:p w:rsidR="001C7BF9" w:rsidRPr="00C9680B" w:rsidRDefault="001C7BF9">
      <w:pPr>
        <w:pStyle w:val="Normaltindrag"/>
      </w:pPr>
      <w:r w:rsidRPr="00C9680B">
        <w:t>Sammantaget innebär detta att den kommunala sektorn år 2003 tillförs nästan 29 miljarder kronor jämfört med 1996, i vilka ingår 0,5 miljarder kr</w:t>
      </w:r>
      <w:r w:rsidRPr="00C9680B">
        <w:t>o</w:t>
      </w:r>
      <w:r w:rsidRPr="00C9680B">
        <w:t>nor 2001 och 2002 för kvalitetssäkring av barnomsorgen för de kommuner som inför maxtaxa. Ovanpå detta tillkommer de resurser som regeringen satsar inom ramen för en familjepolitisk reform, t.ex. erhåller de kommuner som inför maxtaxa statsbidrag. För att kommunerna skall fortsätta att priorit</w:t>
      </w:r>
      <w:r w:rsidRPr="00C9680B">
        <w:t>e</w:t>
      </w:r>
      <w:r w:rsidRPr="00C9680B">
        <w:t>ra skola, vård och omsorg aviserade regeringen i vårpropositionen att staten även tar över kommunernas underskott i det kommunala momssy</w:t>
      </w:r>
      <w:r w:rsidRPr="00C9680B">
        <w:softHyphen/>
        <w:t>stemet om högst 4,3 miljarder kronor i år. Förslaget fullföljs i budgetproposit</w:t>
      </w:r>
      <w:r w:rsidRPr="00C9680B">
        <w:t>ionen. Utskottet vill i detta sammanhang också erinra om att det vid sidan av dessa resursstärkande åtgärder görs en mängd satsningar för att öka kvaliteten och effektiviteten inom t.ex. skolan och vården.</w:t>
      </w:r>
    </w:p>
    <w:p w:rsidR="001C7BF9" w:rsidRPr="00C9680B" w:rsidRDefault="001C7BF9">
      <w:pPr>
        <w:pStyle w:val="R4"/>
      </w:pPr>
      <w:r w:rsidRPr="00C9680B">
        <w:t>Behovet av offentlig och kommunal verksamhet växer</w:t>
      </w:r>
    </w:p>
    <w:p w:rsidR="001C7BF9" w:rsidRPr="00C9680B" w:rsidRDefault="001C7BF9">
      <w:r w:rsidRPr="00C9680B">
        <w:t>Långtidsutredningen visade nyligen med all önskvärd tydlighet att behoven av offentlig och kommunal verksamhet fortsätter att öka starkt framöver, bl.a. till följd av den demografiska utvecklingen och den allt högre andelen äldre i befolkningen. Detta ställer stora krav på en väl fungerande offentlig sektor med starka och sunda offentliga finanser. Därtill krävs en god ekonomisk tillväxt och en ökad sysselsättning. Till följd av den höga tillväxten och den stigande sysselsättningen bedöms kommunernas och l</w:t>
      </w:r>
      <w:r w:rsidRPr="00C9680B">
        <w:t>andstingens skattei</w:t>
      </w:r>
      <w:r w:rsidRPr="00C9680B">
        <w:t>n</w:t>
      </w:r>
      <w:r w:rsidRPr="00C9680B">
        <w:t xml:space="preserve">komster öka med omkring 70 miljarder kronor under perioden 2000–2003. Detta visar enligt utskottets mening på vikten av att åtgärder vidtas så att den nuvarande höga tillväxten i den svenska ekonomin blir långvarig och uthållig. </w:t>
      </w:r>
    </w:p>
    <w:p w:rsidR="001C7BF9" w:rsidRPr="00C9680B" w:rsidRDefault="001C7BF9">
      <w:pPr>
        <w:pStyle w:val="Normaltindrag"/>
      </w:pPr>
      <w:r w:rsidRPr="00C9680B">
        <w:t>Vid sidan av detta är det enligt utskottets mening också mycket viktigt att de resurser som redan finns i den kommunala sektorn används mer effektivt. Den pågående omdaningen och effektiviseringen av den kommunala ver</w:t>
      </w:r>
      <w:r w:rsidRPr="00C9680B">
        <w:t>k</w:t>
      </w:r>
      <w:r w:rsidRPr="00C9680B">
        <w:t>samheten måste fortsätta även om statsbidragen till kommunerna och ska</w:t>
      </w:r>
      <w:r w:rsidRPr="00C9680B">
        <w:t>t</w:t>
      </w:r>
      <w:r w:rsidRPr="00C9680B">
        <w:t>teintäkterna ökar.</w:t>
      </w:r>
    </w:p>
    <w:p w:rsidR="001C7BF9" w:rsidRPr="00C9680B" w:rsidRDefault="001C7BF9">
      <w:pPr>
        <w:pStyle w:val="R4"/>
      </w:pPr>
      <w:r w:rsidRPr="00C9680B">
        <w:t>Pensionerna</w:t>
      </w:r>
    </w:p>
    <w:p w:rsidR="001C7BF9" w:rsidRPr="00C9680B" w:rsidRDefault="001C7BF9">
      <w:r w:rsidRPr="00C9680B">
        <w:t xml:space="preserve"> I Kristdemokraternas motion Fi209 hävdas att regeringens okänsliga budge</w:t>
      </w:r>
      <w:r w:rsidRPr="00C9680B">
        <w:t>t</w:t>
      </w:r>
      <w:r w:rsidRPr="00C9680B">
        <w:t>sanering drabbat pensionärerna hårt. Utskottet vill med anledning av detta anföra följande. Regeringen gjorde tidigt klart att när statsfinanserna stärks och ekonomin börjar växa skall situationen först förbättras för de grupper i samhället som drabbats extra hårt av de svåra tiderna. Redan i budgetpropos</w:t>
      </w:r>
      <w:r w:rsidRPr="00C9680B">
        <w:t>i</w:t>
      </w:r>
      <w:r w:rsidRPr="00C9680B">
        <w:t>tionen för 1999 föreslog regeringen därför en förbättring av pensionärernas ekonomi med omkring 4 miljarder kronor. Det reducerade prisbasbeloppet för pensionärer ersattes fr.o.m. 1999 av det fulla prisba</w:t>
      </w:r>
      <w:r w:rsidRPr="00C9680B">
        <w:t>sbeloppet samtidigt som bostadstillägget till pensionerna höjdes för att gynna de sämst ställda pensi</w:t>
      </w:r>
      <w:r w:rsidRPr="00C9680B">
        <w:t>o</w:t>
      </w:r>
      <w:r w:rsidRPr="00C9680B">
        <w:t>närerna. I enlighet med de förslag som lämnades i vårpropositionen föreslår också regeringen i budgetpropositionen att bostadstillägget höjs ytterligare samtidigt som den tillfälliga höjningen av pensionstillskottet permanentas. Dessutom höjs i förhållande till vårpropositionen det särskilda bostadstillä</w:t>
      </w:r>
      <w:r w:rsidRPr="00C9680B">
        <w:t>g</w:t>
      </w:r>
      <w:r w:rsidRPr="00C9680B">
        <w:t>get ytterligare, vilket gynnar de sämst ställda pensionärerna. I samband med den gröna skatteväxling som</w:t>
      </w:r>
      <w:r w:rsidRPr="00C9680B">
        <w:t xml:space="preserve"> presenteras i budgetpropositionen höjs grunda</w:t>
      </w:r>
      <w:r w:rsidRPr="00C9680B">
        <w:t>v</w:t>
      </w:r>
      <w:r w:rsidRPr="00C9680B">
        <w:t>draget i inkomstbeskattningen med 1 200 kr. Det gäller såväl det allmänna grundavdraget som det särskilda grundavdraget för pensi</w:t>
      </w:r>
      <w:r w:rsidRPr="00C9680B">
        <w:t>o</w:t>
      </w:r>
      <w:r w:rsidRPr="00C9680B">
        <w:t xml:space="preserve">närer. </w:t>
      </w:r>
    </w:p>
    <w:p w:rsidR="001C7BF9" w:rsidRPr="00C9680B" w:rsidRDefault="001C7BF9">
      <w:pPr>
        <w:pStyle w:val="Normaltindrag"/>
      </w:pPr>
      <w:r w:rsidRPr="00C9680B">
        <w:t>Utskottet vill i sammanhanget också peka på att de satsningar som nu görs och planeras inom vården och omsorgen är av utomordentligt stor betydelse, inte minst för äldre och pensionärer. Som tidigare redovisades ovan under rubriken Privatisering och avreglering går en stor del av de offentliga tjän</w:t>
      </w:r>
      <w:r w:rsidRPr="00C9680B">
        <w:t>s</w:t>
      </w:r>
      <w:r w:rsidRPr="00C9680B">
        <w:t>terna inom vården och omsorgen till personer i de högre å</w:t>
      </w:r>
      <w:r w:rsidRPr="00C9680B">
        <w:t>l</w:t>
      </w:r>
      <w:r w:rsidRPr="00C9680B">
        <w:t>dersgrupperna.</w:t>
      </w:r>
    </w:p>
    <w:p w:rsidR="001C7BF9" w:rsidRPr="00C9680B" w:rsidRDefault="001C7BF9">
      <w:pPr>
        <w:pStyle w:val="R4"/>
      </w:pPr>
      <w:r w:rsidRPr="00C9680B">
        <w:br w:type="page"/>
        <w:t>Saneringen av de offentliga finanserna</w:t>
      </w:r>
    </w:p>
    <w:p w:rsidR="001C7BF9" w:rsidRPr="00C9680B" w:rsidRDefault="001C7BF9">
      <w:r w:rsidRPr="00C9680B">
        <w:t>Utskottet har vid flera tillfällen behandlat budgetkonsolideringens effekter på fördelning i samhället (senast i bet. 1999/2000:FiU20). Enligt utskottets up</w:t>
      </w:r>
      <w:r w:rsidRPr="00C9680B">
        <w:t>p</w:t>
      </w:r>
      <w:r w:rsidRPr="00C9680B">
        <w:t>fattning fanns det inte något alternativ till saneringen av de offentliga fina</w:t>
      </w:r>
      <w:r w:rsidRPr="00C9680B">
        <w:t>n</w:t>
      </w:r>
      <w:r w:rsidRPr="00C9680B">
        <w:t>serna. Den var nödvändig för att återställa förtroendet för svensk ekonomi och få ned de höga räntor som allvarligt dämpade tillväxtkraften, inte minst i de mindre och medelstora företagen. Den var också nödvändig för att säkra den framtida välfärden. Enligt utskottets mening är det också viktigt att inse att den nuvarande kraftiga uppgången i den svenska ekonomin till en ganska stor del beror på det faktum att Sverige nu har sa</w:t>
      </w:r>
      <w:r w:rsidRPr="00C9680B">
        <w:t>nerat de offentliga finanserna och etablerat ett överskott. En symboliskt viktig händelse och ett tydligt bevis för den här utvecklingen är, som utskottet nämnt tidigare, att nivån på de svenska obligationsräntorna under det senaste halvåret legat i nivå eller t.o.m. under nivån på de tyska obligationsräntorna. Den förda ekonomiska politiken har också förbättrat den svenska ekonomins motståndskraft mot internationell oro, vilket inte minst blev tydligt i samband med Asienkrisen under 1998/99.</w:t>
      </w:r>
    </w:p>
    <w:p w:rsidR="001C7BF9" w:rsidRPr="00C9680B" w:rsidRDefault="001C7BF9">
      <w:pPr>
        <w:pStyle w:val="R4"/>
      </w:pPr>
      <w:r w:rsidRPr="00C9680B">
        <w:t>Stor fördelnin</w:t>
      </w:r>
      <w:r w:rsidRPr="00C9680B">
        <w:t>gspolitisk utmaning</w:t>
      </w:r>
    </w:p>
    <w:p w:rsidR="001C7BF9" w:rsidRPr="00C9680B" w:rsidRDefault="001C7BF9">
      <w:r w:rsidRPr="00C9680B">
        <w:t>Sedan regeringsskiftet hösten 1994 har regeringen löpande redovisat unde</w:t>
      </w:r>
      <w:r w:rsidRPr="00C9680B">
        <w:t>r</w:t>
      </w:r>
      <w:r w:rsidRPr="00C9680B">
        <w:t>sökningar av fördelningseffekterna av saneringen av de offentliga finanserna. Under senare år har studierna breddats till att även omfatta undersökningar av t.ex. den regionala inkomstfördelningen, inkomstfördelningen i olika länder och hur utnyttjandet av offentliga tjänster ser ut mellan olika grupper i sa</w:t>
      </w:r>
      <w:r w:rsidRPr="00C9680B">
        <w:t>m</w:t>
      </w:r>
      <w:r w:rsidRPr="00C9680B">
        <w:t>hället. Utskottet vill i detta sammanhang hänvisa till en bilaga som redovis</w:t>
      </w:r>
      <w:r w:rsidRPr="00C9680B">
        <w:t>a</w:t>
      </w:r>
      <w:r w:rsidRPr="00C9680B">
        <w:t>des i vårpropositionen (prop. 1999/2000:100, bilaga 3). I bilagan visas bl.a. att en ökad lönespridning under 1990-talet mot</w:t>
      </w:r>
      <w:r w:rsidRPr="00C9680B">
        <w:t>verkats av en ökad utjämning genom skatte- och bidragssystemet och att Sverige trots den ekonomisk krisen under förra årtiondet lyckats bevara en av de jämnaste inkomstfördelningarna bland OECD-länderna. Den sammantagna inkomstspridningen minskade fram till 1995, men därefter har den ökat något. Dock har barnfamiljernas ekonomi förbättrats något under de senaste åren. En viktig lärdom av resultaten i bilaga 3 och andra fördelningsstudier, som t.ex. delrapporten från Kommittén Vä</w:t>
      </w:r>
      <w:r w:rsidRPr="00C9680B">
        <w:t>l</w:t>
      </w:r>
      <w:r w:rsidRPr="00C9680B">
        <w:t>färdsbokslut, är att fler mä</w:t>
      </w:r>
      <w:r w:rsidRPr="00C9680B">
        <w:t>nniskor blivit marginaliserade till följd av den ekonomiska krisen. Till exempel har antalet människor som är långtidsa</w:t>
      </w:r>
      <w:r w:rsidRPr="00C9680B">
        <w:t>r</w:t>
      </w:r>
      <w:r w:rsidRPr="00C9680B">
        <w:t>betslösa, långtidssjuka eller beroende av socialbidrag under långa tider ökat samtidigt som invandrare och andra grupper har svårt att få jobb, även om de har en god utbildning. Var tionde person i förvärvsaktiv ålder är i dag till mer än hälften beroende av sociala transfereringar. Resultaten visar enligt utsko</w:t>
      </w:r>
      <w:r w:rsidRPr="00C9680B">
        <w:t>t</w:t>
      </w:r>
      <w:r w:rsidRPr="00C9680B">
        <w:t>tets mening hur viktigt det är att den ekonomiska politiken bygger på både til</w:t>
      </w:r>
      <w:r w:rsidRPr="00C9680B">
        <w:t>lväxt och rättvisa. Enligt utskottets mening innebär den ökade internation</w:t>
      </w:r>
      <w:r w:rsidRPr="00C9680B">
        <w:t>a</w:t>
      </w:r>
      <w:r w:rsidRPr="00C9680B">
        <w:t>liseringen att risken för fördelningspolitiska problem ökar. Gapet mellan välutbildade i de snabbväxande sektorerna med hög lön och de med låg u</w:t>
      </w:r>
      <w:r w:rsidRPr="00C9680B">
        <w:t>t</w:t>
      </w:r>
      <w:r w:rsidRPr="00C9680B">
        <w:t>bildning som fastnar i låglönejobb tenderar att öka. Den stora utmaningen är därför enligt utskottets mening att minska klyftorna och antalet personer som är ekonomiskt marginaliserade. Det är bl.a. i detta perspektiv som regeringens satsningar på utbildning, integration och arbete skall ses</w:t>
      </w:r>
      <w:r w:rsidRPr="00C9680B">
        <w:t>.</w:t>
      </w:r>
    </w:p>
    <w:p w:rsidR="001C7BF9" w:rsidRPr="00C9680B" w:rsidRDefault="001C7BF9">
      <w:pPr>
        <w:pStyle w:val="Normaltindrag"/>
      </w:pPr>
      <w:r w:rsidRPr="00C9680B">
        <w:t>I budgetpropositionen redovisas en genomgång av fördelningsprofilen av förslagen om skatteförändringar, höjda barnbidrag och höjda bostadstillägg till pensionärerna. Förslagen har sammantagna en gynnsam fördelningsprofil. Kvi</w:t>
      </w:r>
      <w:r w:rsidRPr="00C9680B">
        <w:t>n</w:t>
      </w:r>
      <w:r w:rsidRPr="00C9680B">
        <w:t xml:space="preserve">norna gynnas något mer än männen av förslagen. </w:t>
      </w:r>
    </w:p>
    <w:p w:rsidR="001C7BF9" w:rsidRPr="00C9680B" w:rsidRDefault="001C7BF9">
      <w:pPr>
        <w:pStyle w:val="R4"/>
      </w:pPr>
      <w:r w:rsidRPr="00C9680B">
        <w:t>Reformering av barn- och familjepolitiken</w:t>
      </w:r>
    </w:p>
    <w:p w:rsidR="001C7BF9" w:rsidRPr="00C9680B" w:rsidRDefault="001C7BF9">
      <w:r w:rsidRPr="00C9680B">
        <w:t>När det gäller familjepolitiken vill utskottet erinra om att regeringen i budge</w:t>
      </w:r>
      <w:r w:rsidRPr="00C9680B">
        <w:t>t</w:t>
      </w:r>
      <w:r w:rsidRPr="00C9680B">
        <w:t>propositionen fortsätter den stegvisa reformeringen av familjepolitiken som framfördes i vårpropositionen. Utgångspunkten är att Sverige skall vara ett land där alla barn och ungdomar får en bra uppväxt. Från och med den 1 juli 2001 ges barn till arbetssökande rätt till barnomsorg och 2002 införs en ma</w:t>
      </w:r>
      <w:r w:rsidRPr="00C9680B">
        <w:t>x</w:t>
      </w:r>
      <w:r w:rsidRPr="00C9680B">
        <w:t>taxa i barnomsorgen, och kommunerna tillförs även medel för att kvalitet</w:t>
      </w:r>
      <w:r w:rsidRPr="00C9680B">
        <w:t>s</w:t>
      </w:r>
      <w:r w:rsidRPr="00C9680B">
        <w:t xml:space="preserve">säkra barnomsorgen. Samtidigt förlängs föräldraförsäkringen med en månad och inom ramen för den förlängda föräldraförsäkringen införs </w:t>
      </w:r>
      <w:r w:rsidRPr="00C9680B">
        <w:t>ytterligare en s.k. pappa- och mammamånad. Vidare återinförs de s.k. kontaktdagarna i den tillfälliga föräldrapenningen. Dessutom införs rätt till barnomsorg för barn till föräldrar som är föräldralediga med yngre syskon. År 2003 införs en allmän förskola för 4- och 5-åringar. Vid sidan av detta höjs barn- och studiebidragen med 100 kr i månaden 2001. Även de s.k. flerbarnstilläggen höjs i motsv</w:t>
      </w:r>
      <w:r w:rsidRPr="00C9680B">
        <w:t>a</w:t>
      </w:r>
      <w:r w:rsidRPr="00C9680B">
        <w:t>rande grad. Sammantaget innebär dessa satsningar att tillskotten till barnf</w:t>
      </w:r>
      <w:r w:rsidRPr="00C9680B">
        <w:t>a</w:t>
      </w:r>
      <w:r w:rsidRPr="00C9680B">
        <w:t>miljerna år 2003 uppgår till 9 miljar</w:t>
      </w:r>
      <w:r w:rsidRPr="00C9680B">
        <w:t>der kronor. Räknar man in reformeringen av studiestödssystemet stiger siffran med ytterligare 6 miljarder kr</w:t>
      </w:r>
      <w:r w:rsidRPr="00C9680B">
        <w:t>o</w:t>
      </w:r>
      <w:r w:rsidRPr="00C9680B">
        <w:t>nor.</w:t>
      </w:r>
    </w:p>
    <w:p w:rsidR="001C7BF9" w:rsidRPr="00C9680B" w:rsidRDefault="001C7BF9">
      <w:pPr>
        <w:pStyle w:val="Rubrik4"/>
        <w:rPr>
          <w:noProof w:val="0"/>
        </w:rPr>
      </w:pPr>
      <w:bookmarkStart w:id="117" w:name="_Toc498910678"/>
      <w:r w:rsidRPr="00C9680B">
        <w:rPr>
          <w:noProof w:val="0"/>
        </w:rPr>
        <w:t>Överskottsmålet i de offentliga finanserna</w:t>
      </w:r>
      <w:bookmarkEnd w:id="117"/>
    </w:p>
    <w:p w:rsidR="001C7BF9" w:rsidRPr="00C9680B" w:rsidRDefault="001C7BF9">
      <w:r w:rsidRPr="00C9680B">
        <w:t>I motion Fi211 kritiserar Folkpartiet liberalerna regeringen för att målet om överskott i de offentliga finanserna under 2001 på 2,5 % är för litet. Det borde minst vara 3 % med tanke på den starka konjun</w:t>
      </w:r>
      <w:r w:rsidRPr="00C9680B">
        <w:t>k</w:t>
      </w:r>
      <w:r w:rsidRPr="00C9680B">
        <w:t>turen.</w:t>
      </w:r>
    </w:p>
    <w:p w:rsidR="001C7BF9" w:rsidRPr="00C9680B" w:rsidRDefault="001C7BF9">
      <w:pPr>
        <w:pStyle w:val="Normaltindrag"/>
      </w:pPr>
      <w:r w:rsidRPr="00C9680B">
        <w:t>Sunda offentliga finanser är enligt utskottets mening ett mycket viktigt ekonomiskt politiskt mål för att bl.a. säkra en god välfärd, minska klyftorna och öka säkerhetsmarginalen inför nästa lågkonjunktur. Utskottet vill i sa</w:t>
      </w:r>
      <w:r w:rsidRPr="00C9680B">
        <w:t>m</w:t>
      </w:r>
      <w:r w:rsidRPr="00C9680B">
        <w:t>manhanget erinra om att budgetpolitiken styrs av två övergripande mål. De sammantagna offentliga finanserna skall visa ett överskott på 2 % av BNP över en konjunkturcykel, och de statliga utgifterna skall hållas inom de up</w:t>
      </w:r>
      <w:r w:rsidRPr="00C9680B">
        <w:t>p</w:t>
      </w:r>
      <w:r w:rsidRPr="00C9680B">
        <w:t>satta utgiftst</w:t>
      </w:r>
      <w:r w:rsidRPr="00C9680B">
        <w:t>a</w:t>
      </w:r>
      <w:r w:rsidRPr="00C9680B">
        <w:t xml:space="preserve">ken. </w:t>
      </w:r>
    </w:p>
    <w:p w:rsidR="001C7BF9" w:rsidRPr="00C9680B" w:rsidRDefault="001C7BF9">
      <w:pPr>
        <w:pStyle w:val="Normaltindrag"/>
      </w:pPr>
      <w:r w:rsidRPr="00C9680B">
        <w:t>I samband med 1997 års ekonomiska vårproposition fastställdes målen för de offentliga finanserna fram t.o.m. 2001. Till följd av den pågående konsol</w:t>
      </w:r>
      <w:r w:rsidRPr="00C9680B">
        <w:t>i</w:t>
      </w:r>
      <w:r w:rsidRPr="00C9680B">
        <w:t>deringen av statsfinanserna och de då relativt svaga ekonomiska utsikterna beslutades om en infasning av målet för att dämpa eventuella negativa effe</w:t>
      </w:r>
      <w:r w:rsidRPr="00C9680B">
        <w:t>k</w:t>
      </w:r>
      <w:r w:rsidRPr="00C9680B">
        <w:t>ter på samhällsekonomin. För 1998 skulle de offentliga finanserna vara i balans. För 1999 bestämdes att överskottet skulle uppgå till 0,5 % av BNP. Åren 2000 och 2001 skulle överskottet uppgå till 1,5 % respektive 2 % av BNP. I anslutning till budgetpropositionen för 1999 höjdes ambitionen och målet för 2000 höjdes från tidigare 1,5 % till 2 % av BNP.</w:t>
      </w:r>
    </w:p>
    <w:p w:rsidR="001C7BF9" w:rsidRPr="00C9680B" w:rsidRDefault="001C7BF9">
      <w:pPr>
        <w:pStyle w:val="Normaltindrag"/>
      </w:pPr>
      <w:r w:rsidRPr="00C9680B">
        <w:t xml:space="preserve"> Utskot</w:t>
      </w:r>
      <w:r w:rsidRPr="00C9680B">
        <w:t>tet kan konstatera att erfarenheten hittills av de preciserade bu</w:t>
      </w:r>
      <w:r w:rsidRPr="00C9680B">
        <w:t>d</w:t>
      </w:r>
      <w:r w:rsidRPr="00C9680B">
        <w:t>getmålen är mycket god. Målen har utan svårighet uppnåtts och även öve</w:t>
      </w:r>
      <w:r w:rsidRPr="00C9680B">
        <w:t>r</w:t>
      </w:r>
      <w:r w:rsidRPr="00C9680B">
        <w:t xml:space="preserve">skridits. Åren 1998 och 1999 visade de offentliga finanserna ett överskott på 1,9 % av BNP, vilket är 1,9 respektive 1,4 procentenheter över målet för respektive år. I år väntas, enligt prognoserna i vårpropositionen, ett överskott på 3,4 % jämfört med målet på 2,0 %. </w:t>
      </w:r>
    </w:p>
    <w:p w:rsidR="001C7BF9" w:rsidRPr="00C9680B" w:rsidRDefault="001C7BF9">
      <w:pPr>
        <w:pStyle w:val="Normaltindrag"/>
      </w:pPr>
      <w:r w:rsidRPr="00C9680B">
        <w:t>Denna framgångsrika utveckling har bidragit till att pressa ned statssku</w:t>
      </w:r>
      <w:r w:rsidRPr="00C9680B">
        <w:t>l</w:t>
      </w:r>
      <w:r w:rsidRPr="00C9680B">
        <w:t>den, sänka räntenivån i samhället och därmed även räntekostnaderna i bu</w:t>
      </w:r>
      <w:r w:rsidRPr="00C9680B">
        <w:t>d</w:t>
      </w:r>
      <w:r w:rsidRPr="00C9680B">
        <w:t>geten. Detta har i sin tur bl.a. skapat utrymme för de senaste årens satsningar på sysselsättningen, vården, skolan och omsorgen och de nya reformer som föreslås i vårpropositionen. Det är utskottets övertygelse att förutsättningarna för att nå målen skulle ha varit mycket sämre med de budgetalternativ som t.ex. Folkpart</w:t>
      </w:r>
      <w:r w:rsidRPr="00C9680B">
        <w:t>i</w:t>
      </w:r>
      <w:r w:rsidRPr="00C9680B">
        <w:t>et liberalerna presenterat för den aktuella perioden.</w:t>
      </w:r>
    </w:p>
    <w:p w:rsidR="001C7BF9" w:rsidRPr="00C9680B" w:rsidRDefault="001C7BF9">
      <w:pPr>
        <w:pStyle w:val="Normaltindrag"/>
      </w:pPr>
      <w:r w:rsidRPr="00C9680B">
        <w:t>I budgetpropositionen föreslår regeringen att målet för 2001 h</w:t>
      </w:r>
      <w:r w:rsidRPr="00C9680B">
        <w:t>öjs från 2 % till 2,5 %. Utifrån den bedömning av konjunkturen och tillväxten som kan göras i dagsläget kommer överskottet i de offentliga finanserna att överstiga målet på 2,5 % med omkring 1 procentenhet. Utskottet vill dock erinra om att regeringen i budgetpropositionen anger att överskottet som överstiger målet beror på extraordinära inkomster och är en säkerhetsmarginal som inte ko</w:t>
      </w:r>
      <w:r w:rsidRPr="00C9680B">
        <w:t>m</w:t>
      </w:r>
      <w:r w:rsidRPr="00C9680B">
        <w:t>mer att utnyttjas för reformer. Regeringen anger också i budgetpropositionen att om tillväxten av konjunkturmässiga skäl v</w:t>
      </w:r>
      <w:r w:rsidRPr="00C9680B">
        <w:t>äsentligt avviker från den b</w:t>
      </w:r>
      <w:r w:rsidRPr="00C9680B">
        <w:t>e</w:t>
      </w:r>
      <w:r w:rsidRPr="00C9680B">
        <w:t>räknade skall motsvarande avvikelse från öve</w:t>
      </w:r>
      <w:r w:rsidRPr="00C9680B">
        <w:t>r</w:t>
      </w:r>
      <w:r w:rsidRPr="00C9680B">
        <w:t xml:space="preserve">skottsmålet tolereras. </w:t>
      </w:r>
    </w:p>
    <w:p w:rsidR="001C7BF9" w:rsidRPr="00C9680B" w:rsidRDefault="001C7BF9">
      <w:pPr>
        <w:pStyle w:val="R4"/>
      </w:pPr>
      <w:r w:rsidRPr="00C9680B">
        <w:t>OECD:s BNP-statistik</w:t>
      </w:r>
    </w:p>
    <w:p w:rsidR="001C7BF9" w:rsidRPr="00C9680B" w:rsidRDefault="001C7BF9">
      <w:r w:rsidRPr="00C9680B">
        <w:t>Moderata samlingspartiet och Kristdemokraterna använder i den politiska argumentation något de kallar för OECD:s tillväxt- eller välfärdsliga. Vad det handlar om är den statistik som OECD sammanställer av köpkraftskorriger</w:t>
      </w:r>
      <w:r w:rsidRPr="00C9680B">
        <w:t>a</w:t>
      </w:r>
      <w:r w:rsidRPr="00C9680B">
        <w:t>de BNP-uppgifter per capita. Sverige har, enligt t.ex. Moderata samlingspart</w:t>
      </w:r>
      <w:r w:rsidRPr="00C9680B">
        <w:t>i</w:t>
      </w:r>
      <w:r w:rsidRPr="00C9680B">
        <w:t>ets motion Fi208, på trettio år rasat från en fjärde- till en femtondeplats i ligan 1999.</w:t>
      </w:r>
    </w:p>
    <w:p w:rsidR="001C7BF9" w:rsidRPr="00C9680B" w:rsidRDefault="001C7BF9">
      <w:pPr>
        <w:pStyle w:val="Normaltindrag"/>
      </w:pPr>
      <w:r w:rsidRPr="00C9680B">
        <w:t>Som utskottet påpekat vid tidigare behandlingar (senast i bet. 1999/2000: FiU20) är OECD:s statistik så osäker att man bör vara mycket försiktig med att dra alltför långtgående slutsatser av uppgifterna. Möjligheten till jämföre</w:t>
      </w:r>
      <w:r w:rsidRPr="00C9680B">
        <w:t>l</w:t>
      </w:r>
      <w:r w:rsidRPr="00C9680B">
        <w:t>ser mellan länderna är mycket begränsad, enligt bl.a. OECD:s egna uppgifter. Des</w:t>
      </w:r>
      <w:r w:rsidRPr="00C9680B">
        <w:t>s</w:t>
      </w:r>
      <w:r w:rsidRPr="00C9680B">
        <w:t>utom har måttet stora brister som mått på den ekonomiska välfärden.</w:t>
      </w:r>
    </w:p>
    <w:p w:rsidR="001C7BF9" w:rsidRPr="00C9680B" w:rsidRDefault="001C7BF9">
      <w:pPr>
        <w:pStyle w:val="Normaltindrag"/>
      </w:pPr>
      <w:r w:rsidRPr="00C9680B">
        <w:t>Även valet av tidsperiod är av avgörande betydelse för resultatet. Arbeta</w:t>
      </w:r>
      <w:r w:rsidRPr="00C9680B">
        <w:t>r</w:t>
      </w:r>
      <w:r w:rsidRPr="00C9680B">
        <w:t>rörelsens Ekonomiska Råd (AER) har i en rapport (nr 5) visat att om i stället 1947 används som utgångsår och 1997 som slutår och BNP per innevånare i åldrarna 15–64 år används som välfärdsmått blir resultatet en allmän, mycket kraftig utjämning mellan OECD-länderna. Sveriges placeringar ändrades under perioden från plats sex till plats åtta. Samtidigt ökade Sveriges nivå från knappt 60 % till knappt 80 % av Förenta staternas nivå.</w:t>
      </w:r>
    </w:p>
    <w:p w:rsidR="001C7BF9" w:rsidRPr="00C9680B" w:rsidRDefault="001C7BF9">
      <w:pPr>
        <w:pStyle w:val="Normaltindrag"/>
      </w:pPr>
      <w:r w:rsidRPr="00C9680B">
        <w:t xml:space="preserve">Utskottet kan konstatera att svensk ekonomi tappat i relativ position under </w:t>
      </w:r>
      <w:r w:rsidRPr="00C9680B">
        <w:t>framför allt två perioder de senaste trettio åren – under andra hälften av 1970-talet och i början av 1990-talet. Den absolut största nedgången kom i början av 1990-talet då Sveriges BNP föll samtidigt som flera andra länder fortsatte att ha en positiv tillväxt.</w:t>
      </w:r>
    </w:p>
    <w:p w:rsidR="001C7BF9" w:rsidRPr="00C9680B" w:rsidRDefault="001C7BF9">
      <w:pPr>
        <w:pStyle w:val="R4"/>
      </w:pPr>
      <w:r w:rsidRPr="00C9680B">
        <w:t>Sveriges relativa  position förbättras</w:t>
      </w:r>
    </w:p>
    <w:p w:rsidR="001C7BF9" w:rsidRPr="00C9680B" w:rsidRDefault="001C7BF9">
      <w:r w:rsidRPr="00C9680B">
        <w:t>De senaste åren har emellertid Sveriges tillväxt varit högre än genomsnittet i såväl OECD som EU, samtidigt som inflationen varit en av de lägsta i indus</w:t>
      </w:r>
      <w:r w:rsidRPr="00C9680B">
        <w:t>t</w:t>
      </w:r>
      <w:r w:rsidRPr="00C9680B">
        <w:t>rivärlden. Detta i kombination med en fortsatt hög tillväxt de närmaste åren innebär att Sveriges relativa position har förbättrats och kommer att förbättras en hel del framöver. Utskottet vill erinra om att en hög, uthållig ekonomisk tillväxt är en viktig del av regeringens ekonomiska politik. Det bör också tilläggas att tillväxten skall vara ekologiskt hål</w:t>
      </w:r>
      <w:r w:rsidRPr="00C9680B">
        <w:t>l</w:t>
      </w:r>
      <w:r w:rsidRPr="00C9680B">
        <w:t>bar.</w:t>
      </w:r>
    </w:p>
    <w:p w:rsidR="001C7BF9" w:rsidRPr="00C9680B" w:rsidRDefault="001C7BF9">
      <w:pPr>
        <w:pStyle w:val="Normaltindrag"/>
      </w:pPr>
      <w:r w:rsidRPr="00C9680B">
        <w:t>Utskottet vill i sammanhanget passa på att kort redogöra för en vidareu</w:t>
      </w:r>
      <w:r w:rsidRPr="00C9680B">
        <w:t>t</w:t>
      </w:r>
      <w:r w:rsidRPr="00C9680B">
        <w:t>veckling av den köpkraftskorrigerade BNP-statistiken som EU:s statistiko</w:t>
      </w:r>
      <w:r w:rsidRPr="00C9680B">
        <w:t>r</w:t>
      </w:r>
      <w:r w:rsidRPr="00C9680B">
        <w:t>gan, Eurostat, publicerade i fjol. Eurostat har undersökt den köpkraftskorrig</w:t>
      </w:r>
      <w:r w:rsidRPr="00C9680B">
        <w:t>e</w:t>
      </w:r>
      <w:r w:rsidRPr="00C9680B">
        <w:t>rade produktionsnivån för olika regioner inom EU-länderna under perioden 1994–1996. Resultatet visar på en ganska stor skillnad mellan de fattigaste och rikaste regionerna i flertalet länder. Den största spridningen finns enligt Eurostat i Tyskland (inklusive östra Tyskland), där skillnaden i BNP per invånare (köpkraftskorrigerat) mellan den fattigaste och d</w:t>
      </w:r>
      <w:r w:rsidRPr="00C9680B">
        <w:t>en rikaste delen av landet uppgick till omkring 140 indexenheter. Näst störst var spridningen i Österrike (drygt 95 indexenheters skillnad), följt av Belgien (drygt 90 inde</w:t>
      </w:r>
      <w:r w:rsidRPr="00C9680B">
        <w:t>x</w:t>
      </w:r>
      <w:r w:rsidRPr="00C9680B">
        <w:t>enheter), Frankrike (80 indexenheter) och Italien (omkring 75 indexenheter). Enligt Eurostats uppgifter är Sverige det land som har den minsta spridningen mellan olika regioner. Skillnaden mellan den region med lägst BNP per capita och den med högst BNP per capita uppgick till ungefär 30 indexenheter. I likhet med OECD:s BNP-mått är även</w:t>
      </w:r>
      <w:r w:rsidRPr="00C9680B">
        <w:t xml:space="preserve"> Eurostats beräkningar behäftade med stora statistiska problem. Men enligt utskottets mening kan man ändå dra följande, för svenskt vidkommande, viktiga slutsats – de regionala klyftorna i Sverige förefaller vara betydligt mindre än i flert</w:t>
      </w:r>
      <w:r w:rsidRPr="00C9680B">
        <w:t>a</w:t>
      </w:r>
      <w:r w:rsidRPr="00C9680B">
        <w:t>let övriga länder i EU.</w:t>
      </w:r>
    </w:p>
    <w:p w:rsidR="001C7BF9" w:rsidRPr="00C9680B" w:rsidRDefault="001C7BF9">
      <w:pPr>
        <w:pStyle w:val="Normaltindrag"/>
      </w:pPr>
      <w:r w:rsidRPr="00C9680B">
        <w:t>Utskottet vill i likhet med vid tidigare behandlingar också erinra om att det finns andra undersökningar som kan komplettera OECD:s mått och därmed bidra till att fördjupa diskussionen om ekonomisk välfärd. En sådan unde</w:t>
      </w:r>
      <w:r w:rsidRPr="00C9680B">
        <w:t>r</w:t>
      </w:r>
      <w:r w:rsidRPr="00C9680B">
        <w:t>sökning är den rapport om utvecklingsnivån i världen som FN:s utvecklings- och biståndsorgan, UNDP, publicerar varje år. En annan intressant rapport, där perspektivet visserligen är något snävare, är ESO:s (Expertgruppen för studier i offentlig ekonomi) nyligen publicerade undersökning med titeln ”Med många mått mätt”. Rapporten är en s.k. benchmarkstudie över Sverige och innehåller en jämförelse mellan Sverige och andra länder när det gäller utvecklingen i tolv olika samhällssektorer – makroekonomi, arbet</w:t>
      </w:r>
      <w:r w:rsidRPr="00C9680B">
        <w:t>smarknad, näringsliv, utrikesha</w:t>
      </w:r>
      <w:r w:rsidRPr="00C9680B">
        <w:t>n</w:t>
      </w:r>
      <w:r w:rsidRPr="00C9680B">
        <w:t>del, investeringar, skatter, utbildning, forskning, IT-sektorn, infrastruktur, hälso- och sjukvård, socialförsäkringssektorn, förde</w:t>
      </w:r>
      <w:r w:rsidRPr="00C9680B">
        <w:t>l</w:t>
      </w:r>
      <w:r w:rsidRPr="00C9680B">
        <w:t>ningspolitik samt miljö- och energifrågor. Sveriges position jämfört med förhållandena i Danmark, Nederländerna, Tyskland, Frankrike, Storbritann</w:t>
      </w:r>
      <w:r w:rsidRPr="00C9680B">
        <w:t>i</w:t>
      </w:r>
      <w:r w:rsidRPr="00C9680B">
        <w:t>en, USA och Japan har undersökts för totalt 155 olika indikatorer. Siffrorna avser framför allt 1998, men i vissa fall är dock det statistiska underlaget äldre. Kortfattat visar resultaten i rapporten a</w:t>
      </w:r>
      <w:r w:rsidRPr="00C9680B">
        <w:t>tt Sverige totalt sett klarar sig bra. I 67 av de 155 indikatorerna placerar sig Sverige på första eller andra plats. När det gäller sektorer som hälso- och sjukvård, socialförsäkringar, inkomstfördelning och IT-sektorn ligger Sverige till övervägande delen över den geno</w:t>
      </w:r>
      <w:r w:rsidRPr="00C9680B">
        <w:t>m</w:t>
      </w:r>
      <w:r w:rsidRPr="00C9680B">
        <w:t>snittliga nivån i undersökningen.</w:t>
      </w:r>
    </w:p>
    <w:p w:rsidR="001C7BF9" w:rsidRPr="00C9680B" w:rsidRDefault="001C7BF9">
      <w:pPr>
        <w:pStyle w:val="R4"/>
      </w:pPr>
      <w:r w:rsidRPr="00C9680B">
        <w:t>Jämställdhet</w:t>
      </w:r>
    </w:p>
    <w:p w:rsidR="001C7BF9" w:rsidRPr="00C9680B" w:rsidRDefault="001C7BF9">
      <w:r w:rsidRPr="00C9680B">
        <w:t>Centrala mål i den ekonomiska politiken är rättvisa och jämställdhet. Även om vi i Sverige har kommit långt med jämställdheten mellan män och kvinnor i jämförelse med andra länder, återstår mycket att göra. Vårt samhälle är fortfarande till stora delar styrt utifrån manliga normer. Arbetsmarknaden är alltjämt mycket könsuppdelad och kvinnors arbete är ofta lägre värderat. Kvinnor har sämre karriärmöjligheter, sämre lön och mindre makt som en följd av att de är kvinnor. För att bryta detta mönster måste den</w:t>
      </w:r>
      <w:r w:rsidRPr="00C9680B">
        <w:t xml:space="preserve"> övergripande ekonomiska politiken få ett ännu tydligare genusperspektiv än i dag. </w:t>
      </w:r>
    </w:p>
    <w:p w:rsidR="001C7BF9" w:rsidRPr="00C9680B" w:rsidRDefault="001C7BF9">
      <w:pPr>
        <w:pStyle w:val="Normaltindrag"/>
      </w:pPr>
      <w:r w:rsidRPr="00C9680B">
        <w:t xml:space="preserve">Välfärden och jämställdheten är intimt förknippade med varandra. Det är inte en slump att länder som Danmark, Norge, Finland och Sverige är mer jämställda än de flesta andra länder. Det är den utbyggda generella välfärden och den höga förvärvsfrekvensen för kvinnor som har gett möjligheter till detta. </w:t>
      </w:r>
    </w:p>
    <w:p w:rsidR="001C7BF9" w:rsidRPr="00C9680B" w:rsidRDefault="001C7BF9">
      <w:pPr>
        <w:pStyle w:val="Normaltindrag"/>
      </w:pPr>
      <w:r w:rsidRPr="00C9680B">
        <w:t>Kvinnors och mäns lika värde och rätt till egen försörjning skall vara en självklarhet i Sverige. En egen inkomst är förutsättningen för fria och själ</w:t>
      </w:r>
      <w:r w:rsidRPr="00C9680B">
        <w:t>v</w:t>
      </w:r>
      <w:r w:rsidRPr="00C9680B">
        <w:t>ständiga val i vardagen. Det skall aldrig accepteras att kvinnors kunskaper och erfarenheter värderas lägre. Politiken måste därför med kraft inriktas på kvinnors rätt till arbete med rättvisa löner, en väl utbyggd gemensam sektor, kvinnofrid samt en strategi för att få jämställdhet på alla områden och fler kvinnor på olika beslut</w:t>
      </w:r>
      <w:r w:rsidRPr="00C9680B">
        <w:t>s</w:t>
      </w:r>
      <w:r w:rsidRPr="00C9680B">
        <w:t xml:space="preserve">nivåer. </w:t>
      </w:r>
    </w:p>
    <w:p w:rsidR="001C7BF9" w:rsidRPr="00C9680B" w:rsidRDefault="001C7BF9">
      <w:pPr>
        <w:pStyle w:val="Normaltindrag"/>
      </w:pPr>
      <w:r w:rsidRPr="00C9680B">
        <w:t>De reformer som utskottet redovisat ovan, som t.ex. den stegvis reform</w:t>
      </w:r>
      <w:r w:rsidRPr="00C9680B">
        <w:t>e</w:t>
      </w:r>
      <w:r w:rsidRPr="00C9680B">
        <w:t>rade barn- och familjepolitiken, satsningarna på skola, vård och omsorg och programmen för att öka sysselsättningen och minska arbetslösheten, är v</w:t>
      </w:r>
      <w:r w:rsidRPr="00C9680B">
        <w:t>ä</w:t>
      </w:r>
      <w:r w:rsidRPr="00C9680B">
        <w:t>sentliga steg i utvecklingen mot en större rättvisa och ökad jämställdhet me</w:t>
      </w:r>
      <w:r w:rsidRPr="00C9680B">
        <w:t>l</w:t>
      </w:r>
      <w:r w:rsidRPr="00C9680B">
        <w:t>lan män och kvinnor. En avgörande del i jämställdhetspolitiken är att motve</w:t>
      </w:r>
      <w:r w:rsidRPr="00C9680B">
        <w:t>r</w:t>
      </w:r>
      <w:r w:rsidRPr="00C9680B">
        <w:t>ka löneskillnader på grund av kön. Utskottet vill i anslutning till detta bl.a. erinra om att riksdagen nyligen beslutade om en skärpning av jämställdhet</w:t>
      </w:r>
      <w:r w:rsidRPr="00C9680B">
        <w:t>s</w:t>
      </w:r>
      <w:r w:rsidRPr="00C9680B">
        <w:t>lagen. Den nya lagen är tydligare och mer effektiv när d</w:t>
      </w:r>
      <w:r w:rsidRPr="00C9680B">
        <w:t>et gäller att motverka att lön sätts efter könstillhöri</w:t>
      </w:r>
      <w:r w:rsidRPr="00C9680B">
        <w:t>g</w:t>
      </w:r>
      <w:r w:rsidRPr="00C9680B">
        <w:t xml:space="preserve">het på den svenska arbetsmarknaden. </w:t>
      </w:r>
    </w:p>
    <w:p w:rsidR="001C7BF9" w:rsidRPr="00C9680B" w:rsidRDefault="001C7BF9">
      <w:pPr>
        <w:pStyle w:val="Normaltindrag"/>
      </w:pPr>
      <w:r w:rsidRPr="00C9680B">
        <w:t>Utskottet vill också erinra om att regeringens utgångspunkt i jä</w:t>
      </w:r>
      <w:r w:rsidRPr="00C9680B">
        <w:t>m</w:t>
      </w:r>
      <w:r w:rsidRPr="00C9680B">
        <w:t>ställdhets</w:t>
      </w:r>
      <w:r w:rsidRPr="00C9680B">
        <w:softHyphen/>
        <w:t>arbetet är att såväl den politiska som den verkställande delen av regeringsa</w:t>
      </w:r>
      <w:r w:rsidRPr="00C9680B">
        <w:t>r</w:t>
      </w:r>
      <w:r w:rsidRPr="00C9680B">
        <w:t>betet skall genomsyras av ett jämställdhetsperspektiv. Till exempel gäller att olika förhållanden och villkor för kvinnor och män skall synliggöras, att varje fråga skall prövas ur ett jämställdhetsperspektiv och att konsekvenserna av hur förändringar kan tänkas utfalla för kvinnor respektive män skall analys</w:t>
      </w:r>
      <w:r w:rsidRPr="00C9680B">
        <w:t>e</w:t>
      </w:r>
      <w:r w:rsidRPr="00C9680B">
        <w:t>ras.</w:t>
      </w:r>
    </w:p>
    <w:p w:rsidR="001C7BF9" w:rsidRPr="00C9680B" w:rsidRDefault="001C7BF9">
      <w:pPr>
        <w:pStyle w:val="Normaltindrag"/>
      </w:pPr>
      <w:r w:rsidRPr="00C9680B">
        <w:t>Utskottet vill i sammanhanget också erinra om att det inför varje viktig r</w:t>
      </w:r>
      <w:r w:rsidRPr="00C9680B">
        <w:t>e</w:t>
      </w:r>
      <w:r w:rsidRPr="00C9680B">
        <w:t>gelförändring i skatte- och transfereringssystemet i Regeringskansliet geno</w:t>
      </w:r>
      <w:r w:rsidRPr="00C9680B">
        <w:t>m</w:t>
      </w:r>
      <w:r w:rsidRPr="00C9680B">
        <w:t>förs en analys av de olika åtgärdernas fördelningseffekter. Beräkningarna omfattar t.ex. utfallet för kvinnor respektive män samt hur åtgärden samma</w:t>
      </w:r>
      <w:r w:rsidRPr="00C9680B">
        <w:t>n</w:t>
      </w:r>
      <w:r w:rsidRPr="00C9680B">
        <w:t>taget påverkar inkomstspridningen. Resultaten redovisas löpande i bl.a. u</w:t>
      </w:r>
      <w:r w:rsidRPr="00C9680B">
        <w:t>t</w:t>
      </w:r>
      <w:r w:rsidRPr="00C9680B">
        <w:t>redningsbetänkanden och propositioner.  Som utskottet tidigare nämnt redov</w:t>
      </w:r>
      <w:r w:rsidRPr="00C9680B">
        <w:t>i</w:t>
      </w:r>
      <w:r w:rsidRPr="00C9680B">
        <w:t>sas i budgetpropositionen för 2001 fördelningseffekterna av förslagen till skatteförändring, höjda barnbidrag och höjda bostadstillägg ti</w:t>
      </w:r>
      <w:r w:rsidRPr="00C9680B">
        <w:t>ll pensionärerna. Till exempel framgår av redovisningen att kvinnor gynnas något mer än män av de föreslagna åtgä</w:t>
      </w:r>
      <w:r w:rsidRPr="00C9680B">
        <w:t>r</w:t>
      </w:r>
      <w:r w:rsidRPr="00C9680B">
        <w:t>derna.</w:t>
      </w:r>
    </w:p>
    <w:p w:rsidR="001C7BF9" w:rsidRPr="00C9680B" w:rsidRDefault="001C7BF9">
      <w:pPr>
        <w:pStyle w:val="Normaltindrag"/>
      </w:pPr>
      <w:r w:rsidRPr="00C9680B">
        <w:t>Även i andra fördelningspolitiska studier som utarbetas av Finansdepart</w:t>
      </w:r>
      <w:r w:rsidRPr="00C9680B">
        <w:t>e</w:t>
      </w:r>
      <w:r w:rsidRPr="00C9680B">
        <w:t>mentets fördelningspolitiska enhet har regelmässigt en uppdelning börjat utvecklas av resultaten på kvinnor respektive män. Sedan 1994 har redovi</w:t>
      </w:r>
      <w:r w:rsidRPr="00C9680B">
        <w:t>s</w:t>
      </w:r>
      <w:r w:rsidRPr="00C9680B">
        <w:t>ningar av olika typer av fördelningseffekter, som t.ex. fördelningseffekterna av saneringen av de offentliga finanserna, regional inkomstfördelning, förde</w:t>
      </w:r>
      <w:r w:rsidRPr="00C9680B">
        <w:t>l</w:t>
      </w:r>
      <w:r w:rsidRPr="00C9680B">
        <w:t>ning när det gäller utnyttjandet av offentlig service och tjänster etc. löpande publicerats som bilagor till vår- och budgetpropositionerna. I budgetpropos</w:t>
      </w:r>
      <w:r w:rsidRPr="00C9680B">
        <w:t>i</w:t>
      </w:r>
      <w:r w:rsidRPr="00C9680B">
        <w:t>tionen för 2001 behandlas i bilaga 4 den ur välfärdssy</w:t>
      </w:r>
      <w:r w:rsidRPr="00C9680B">
        <w:t>npunkt så viktiga fö</w:t>
      </w:r>
      <w:r w:rsidRPr="00C9680B">
        <w:t>r</w:t>
      </w:r>
      <w:r w:rsidRPr="00C9680B">
        <w:t>delningen av offentlig produktion, arbete i hemmet och fritid samt hur hu</w:t>
      </w:r>
      <w:r w:rsidRPr="00C9680B">
        <w:t>s</w:t>
      </w:r>
      <w:r w:rsidRPr="00C9680B">
        <w:t>hållen anpassar sig efter olika regelförändringar. Utskottet vill i anslutning till detta också erinra om att det i vårpropositionen för 2000 bilaga 3 finns en redovisning av hur utvecklingen av arbetet med fördelningsanalyser och fördelningsstatistik fortskrider. Redovisningen begärdes av utskottet i sa</w:t>
      </w:r>
      <w:r w:rsidRPr="00C9680B">
        <w:t>m</w:t>
      </w:r>
      <w:r w:rsidRPr="00C9680B">
        <w:t>band med behandlingen av budgetpropositionen för 1999.</w:t>
      </w:r>
    </w:p>
    <w:p w:rsidR="001C7BF9" w:rsidRPr="00C9680B" w:rsidRDefault="001C7BF9">
      <w:pPr>
        <w:pStyle w:val="Normaltindrag"/>
      </w:pPr>
      <w:r w:rsidRPr="00C9680B">
        <w:t>I frågor som rör budgeten och den ekonomiska politiken a</w:t>
      </w:r>
      <w:r w:rsidRPr="00C9680B">
        <w:t>rbetar regeringen med könsperspektivet på flera olika plan. Sedan 1999 har en arbetsgrupp med representanter från bl.a. olika departement och myndigheter arbetat med att ta fram metoder för att könsuppdela uppgifter för ett antal anslag i budgeten. I samband därmed har Statistiska centralbyrån (SCB) tillförts ökade resurser för att ta fram nödvändigt statistiskt underlag för könsuppdelning av anslag. I startgroparna ligger nu ett projekt inom Näringsdepartementet om att integr</w:t>
      </w:r>
      <w:r w:rsidRPr="00C9680B">
        <w:t>e</w:t>
      </w:r>
      <w:r w:rsidRPr="00C9680B">
        <w:t>ra könsperspektivet i den stat</w:t>
      </w:r>
      <w:r w:rsidRPr="00C9680B">
        <w:t>liga budgetprocessen. Projektet skall pågå under 2001 och syftet är bl.a. att utarbeta förslag till struktur för det fortsatta jä</w:t>
      </w:r>
      <w:r w:rsidRPr="00C9680B">
        <w:t>m</w:t>
      </w:r>
      <w:r w:rsidRPr="00C9680B">
        <w:t>ställdhetsarbetet i budgetprocessen, att visa hur en koppling kan göras mellan mål, budget och resultatredovisning samt att utveckla en strategi för uppföl</w:t>
      </w:r>
      <w:r w:rsidRPr="00C9680B">
        <w:t>j</w:t>
      </w:r>
      <w:r w:rsidRPr="00C9680B">
        <w:t>ning och utvärdering av jä</w:t>
      </w:r>
      <w:r w:rsidRPr="00C9680B">
        <w:t>m</w:t>
      </w:r>
      <w:r w:rsidRPr="00C9680B">
        <w:t>ställdhetspolitiken.</w:t>
      </w:r>
    </w:p>
    <w:p w:rsidR="001C7BF9" w:rsidRPr="00C9680B" w:rsidRDefault="001C7BF9">
      <w:pPr>
        <w:pStyle w:val="Normaltindrag"/>
      </w:pPr>
      <w:r w:rsidRPr="00C9680B">
        <w:t xml:space="preserve">Utskottet vill understryka att jämställdhet berör alla samhällsområden. Jämställdhet handlar om rättvisa och fördelning av ekonomisk och politisk makt. Det handlar om demokrati, </w:t>
      </w:r>
      <w:r w:rsidRPr="00C9680B">
        <w:t>om att värdera kvinnor och män lika. Därför är det också viktigt att genusperspektivet blir en naturlig del i budgetproce</w:t>
      </w:r>
      <w:r w:rsidRPr="00C9680B">
        <w:t>s</w:t>
      </w:r>
      <w:r w:rsidRPr="00C9680B">
        <w:t>sen och i finansplanen. För att nå ett solidariskt, rättvist och jämställt sa</w:t>
      </w:r>
      <w:r w:rsidRPr="00C9680B">
        <w:t>m</w:t>
      </w:r>
      <w:r w:rsidRPr="00C9680B">
        <w:t>hälle är det nödvändigt att det i beslutsunderlagen finns konsekvensanalyser utifrån ett genu</w:t>
      </w:r>
      <w:r w:rsidRPr="00C9680B">
        <w:t>s</w:t>
      </w:r>
      <w:r w:rsidRPr="00C9680B">
        <w:t xml:space="preserve">perspektiv.  </w:t>
      </w:r>
    </w:p>
    <w:p w:rsidR="001C7BF9" w:rsidRPr="00C9680B" w:rsidRDefault="001C7BF9">
      <w:r w:rsidRPr="00C9680B">
        <w:t xml:space="preserve">Utskottet kan sammanfattningsvis konstatera att jämställdhet är en fråga med högsta prioritet. Mycket återstår att göra. Utskottet ser mycket positivt på att regeringen arbetar intensivt med att på olika </w:t>
      </w:r>
      <w:r w:rsidRPr="00C9680B">
        <w:t>sätt införliva könsperspektivet i budgetprocessen och i den ekonomiska politiken samt att i övrigt utveckla jämställdhetsarbetet.</w:t>
      </w:r>
    </w:p>
    <w:p w:rsidR="001C7BF9" w:rsidRPr="00C9680B" w:rsidRDefault="001C7BF9">
      <w:pPr>
        <w:pStyle w:val="R4"/>
      </w:pPr>
      <w:r w:rsidRPr="00C9680B">
        <w:t>(s), (v) och (mp) i samarbete</w:t>
      </w:r>
    </w:p>
    <w:p w:rsidR="001C7BF9" w:rsidRPr="00C9680B" w:rsidRDefault="001C7BF9">
      <w:r w:rsidRPr="00C9680B">
        <w:t>Utskottet tillbakavisar också Kristdemokraternas angrepp i motion Fi209 på Vänsterpartiet och Miljöpartiet de gröna. En redovisning av resultaten i ek</w:t>
      </w:r>
      <w:r w:rsidRPr="00C9680B">
        <w:t>o</w:t>
      </w:r>
      <w:r w:rsidRPr="00C9680B">
        <w:t>nomin duger bra som svar på Kristdemokraternas attack: Tillväxten är hist</w:t>
      </w:r>
      <w:r w:rsidRPr="00C9680B">
        <w:t>o</w:t>
      </w:r>
      <w:r w:rsidRPr="00C9680B">
        <w:t xml:space="preserve">riskt hög, sysselsättningen stiger snabbare än på mycket länge, arbetslösheten sjunker kraftigt, inflationen och räntenivån är en av de lägsta i världen, de offentliga finanserna och bytesbalansen visar stora överskott, medborgarnas realinkomster stiger starkt, Sverige är världsledande i flera i de snabbast växande branscherna och runt om världen början man tala om det svenska undret. </w:t>
      </w:r>
    </w:p>
    <w:p w:rsidR="001C7BF9" w:rsidRPr="00C9680B" w:rsidRDefault="001C7BF9">
      <w:pPr>
        <w:pStyle w:val="Normaltindrag"/>
      </w:pPr>
      <w:r w:rsidRPr="00C9680B">
        <w:t>Regeringens och de bägge samarbetspartiernas mål</w:t>
      </w:r>
      <w:r w:rsidRPr="00C9680B">
        <w:t xml:space="preserve"> är att under mandatp</w:t>
      </w:r>
      <w:r w:rsidRPr="00C9680B">
        <w:t>e</w:t>
      </w:r>
      <w:r w:rsidRPr="00C9680B">
        <w:t>rioden försöka skapa en så stor uppslutning som möjligt för en politik för full sysselsättning. Som tidigare berör samarbetet i budgetpropositionen fem områden – ekonomi, sysselsättning, rättvisa, jämställdhet och miljö. Enligt utskottets mening ger samarbetet en signal till omvärlden att det finns en politisk majoritet för en ekonomisk politik som är inriktad på full sysselsät</w:t>
      </w:r>
      <w:r w:rsidRPr="00C9680B">
        <w:t>t</w:t>
      </w:r>
      <w:r w:rsidRPr="00C9680B">
        <w:t>ning, rättvis fördelning, ett offentligt överskott om 2 % av BNP över en ko</w:t>
      </w:r>
      <w:r w:rsidRPr="00C9680B">
        <w:t>n</w:t>
      </w:r>
      <w:r w:rsidRPr="00C9680B">
        <w:t xml:space="preserve">junkturcykel och prisstabilitet. </w:t>
      </w:r>
      <w:r w:rsidRPr="00C9680B">
        <w:t>Samarbetspartierna står bakom riktlinjerna för den ekonomiska politiken, budgetpolitiken, utgiftstaken, tilläggsbudgeten för 2000, anslagen för 2001 och de nu föreslagna skatteförändrin</w:t>
      </w:r>
      <w:r w:rsidRPr="00C9680B">
        <w:t>g</w:t>
      </w:r>
      <w:r w:rsidRPr="00C9680B">
        <w:t>arna.</w:t>
      </w:r>
    </w:p>
    <w:p w:rsidR="001C7BF9" w:rsidRPr="00C9680B" w:rsidRDefault="001C7BF9">
      <w:r w:rsidRPr="00C9680B">
        <w:t>Med hänvisning till vad som anförts ovan avstyrker utskottet förslagen i m</w:t>
      </w:r>
      <w:r w:rsidRPr="00C9680B">
        <w:t>o</w:t>
      </w:r>
      <w:r w:rsidRPr="00C9680B">
        <w:t>tionerna Fi204 (kd), Fi208 (m) yrkandena 1, 9–11, 13–18, 21–22, 24–26, Fi209 (kd) yrkandena 1 och 10, Fi210 (c) yrkandena 1 och 6 och Fi211 (fp) yrkande 1.</w:t>
      </w:r>
    </w:p>
    <w:p w:rsidR="001C7BF9" w:rsidRPr="00C9680B" w:rsidRDefault="001C7BF9">
      <w:pPr>
        <w:pStyle w:val="Rubrik2"/>
      </w:pPr>
      <w:bookmarkStart w:id="118" w:name="_Toc498250388"/>
      <w:bookmarkStart w:id="119" w:name="_Toc498910679"/>
      <w:r w:rsidRPr="00C9680B">
        <w:t>1.4 Det europeiska valutasamarbetet</w:t>
      </w:r>
      <w:bookmarkEnd w:id="118"/>
      <w:bookmarkEnd w:id="119"/>
    </w:p>
    <w:p w:rsidR="001C7BF9" w:rsidRPr="00C9680B" w:rsidRDefault="001C7BF9">
      <w:pPr>
        <w:pStyle w:val="Rubrik3"/>
        <w:spacing w:before="110"/>
        <w:rPr>
          <w:noProof w:val="0"/>
        </w:rPr>
      </w:pPr>
      <w:bookmarkStart w:id="120" w:name="_Toc498250389"/>
      <w:bookmarkStart w:id="121" w:name="_Toc498910680"/>
      <w:r w:rsidRPr="00C9680B">
        <w:rPr>
          <w:noProof w:val="0"/>
        </w:rPr>
        <w:t>1.4.1 Former för ställningstagande till euro</w:t>
      </w:r>
      <w:bookmarkEnd w:id="120"/>
      <w:bookmarkEnd w:id="121"/>
    </w:p>
    <w:p w:rsidR="001C7BF9" w:rsidRPr="00C9680B" w:rsidRDefault="001C7BF9">
      <w:pPr>
        <w:pStyle w:val="Utskottsfrslagikorthet-Rubrik"/>
        <w:outlineLvl w:val="0"/>
        <w:rPr>
          <w:noProof w:val="0"/>
        </w:rPr>
      </w:pPr>
      <w:r w:rsidRPr="00C9680B">
        <w:rPr>
          <w:noProof w:val="0"/>
        </w:rPr>
        <w:t>Utskottets förslag i korthet</w:t>
      </w:r>
    </w:p>
    <w:p w:rsidR="001C7BF9" w:rsidRPr="00C9680B" w:rsidRDefault="001C7BF9">
      <w:pPr>
        <w:pStyle w:val="Utskottsfrslagikorthet-Text"/>
      </w:pPr>
      <w:r w:rsidRPr="00C9680B">
        <w:t>Utskottet delar regeringens uppfattning i budgetpropositionen att ett eventuellt svenskt deltagande i EMU måste ha ett brett folkligt stöd och att frågan därför skall prövas av svenska folket i en folko</w:t>
      </w:r>
      <w:r w:rsidRPr="00C9680B">
        <w:t>m</w:t>
      </w:r>
      <w:r w:rsidRPr="00C9680B">
        <w:t>röstning. Det är också utskottets principiella uppfattning att info</w:t>
      </w:r>
      <w:r w:rsidRPr="00C9680B">
        <w:t>r</w:t>
      </w:r>
      <w:r w:rsidRPr="00C9680B">
        <w:t>mationen vid en eventuell folkomröstning måste vara allsidig och saklig. Dessutom bör resurserna mellan de olika alternativen så långt det är möjligt vara jämt fördelade och öppet redovisade. U</w:t>
      </w:r>
      <w:r w:rsidRPr="00C9680B">
        <w:t>t</w:t>
      </w:r>
      <w:r w:rsidRPr="00C9680B">
        <w:t>skottet avstyrker motionerna.</w:t>
      </w:r>
    </w:p>
    <w:p w:rsidR="001C7BF9" w:rsidRPr="00C9680B" w:rsidRDefault="001C7BF9">
      <w:pPr>
        <w:pStyle w:val="Utskottsfrslagikorthet-Text"/>
      </w:pPr>
      <w:r w:rsidRPr="00C9680B">
        <w:t xml:space="preserve"> Jämför reservationerna 2 (m), 3 (v), 4 (kd), 5 (c), 6 (mp) och 7 (fp).</w:t>
      </w:r>
    </w:p>
    <w:p w:rsidR="001C7BF9" w:rsidRPr="00C9680B" w:rsidRDefault="001C7BF9">
      <w:pPr>
        <w:pStyle w:val="Rubrik4"/>
        <w:rPr>
          <w:noProof w:val="0"/>
        </w:rPr>
      </w:pPr>
      <w:r w:rsidRPr="00C9680B">
        <w:rPr>
          <w:noProof w:val="0"/>
        </w:rPr>
        <w:br w:type="page"/>
      </w:r>
      <w:bookmarkStart w:id="122" w:name="_Toc498763512"/>
      <w:bookmarkStart w:id="123" w:name="_Toc498910681"/>
      <w:r w:rsidRPr="00C9680B">
        <w:rPr>
          <w:noProof w:val="0"/>
        </w:rPr>
        <w:t>Motionerna</w:t>
      </w:r>
      <w:bookmarkEnd w:id="122"/>
      <w:bookmarkEnd w:id="123"/>
    </w:p>
    <w:p w:rsidR="001C7BF9" w:rsidRPr="00C9680B" w:rsidRDefault="001C7BF9">
      <w:r w:rsidRPr="00C9680B">
        <w:t xml:space="preserve">I </w:t>
      </w:r>
      <w:r w:rsidRPr="00C9680B">
        <w:rPr>
          <w:i/>
        </w:rPr>
        <w:t>motion</w:t>
      </w:r>
      <w:r w:rsidRPr="00C9680B">
        <w:t xml:space="preserve"> </w:t>
      </w:r>
      <w:r w:rsidRPr="00C9680B">
        <w:rPr>
          <w:i/>
        </w:rPr>
        <w:t>K398</w:t>
      </w:r>
      <w:r w:rsidRPr="00C9680B">
        <w:t xml:space="preserve"> av Lars Leijonborg m.fl. (fp) menar motionärerna att ett EMU-medlemskap ökar förutsättningarna för en god svensk tillväxt. Priserna sju</w:t>
      </w:r>
      <w:r w:rsidRPr="00C9680B">
        <w:t>n</w:t>
      </w:r>
      <w:r w:rsidRPr="00C9680B">
        <w:t>ker som en följd av ökade möjligheter till jämförelse och ökad konkurrens. Det tjänar svenska konsumenter på. Sammantaget ökar välfärden – mer resu</w:t>
      </w:r>
      <w:r w:rsidRPr="00C9680B">
        <w:t>r</w:t>
      </w:r>
      <w:r w:rsidRPr="00C9680B">
        <w:t xml:space="preserve">ser finns tillgängliga för såväl privat konsumtion som vård, skola och omsorg. Motionärerna anser att Sverige bör fastställa en tidtabell för inträdet i EMU:s tredje fas. Tidtabellen bör utformas enligt följande fem </w:t>
      </w:r>
      <w:r w:rsidRPr="00C9680B">
        <w:t>steg: 1. Regeringen avger en skriftlig avsiktsförklaring till riksdagen där dess EMU-politik och tidtabell redovisas. 2. En nationell övergångsplan sätts upp och genomförs så snabbt som möjligt. 3. En folkomröstning genomförs. Datum bör snarast fastställas och siktet bör vara inställt på en omröstning hösten 2001. 4. Efter ett ja i omröstningen tas förhandlingar upp med euroländerna om ett svenskt inträde i ERM2. 5. Siktet bör vara inställt på att Sverige går med i EMU inom 18 månader efter ett ja i omröstn</w:t>
      </w:r>
      <w:r w:rsidRPr="00C9680B">
        <w:t>ingen 2001, dvs. under första halvåret 2003 (yrkande 11).</w:t>
      </w:r>
    </w:p>
    <w:p w:rsidR="001C7BF9" w:rsidRPr="00C9680B" w:rsidRDefault="001C7BF9">
      <w:r w:rsidRPr="00C9680B">
        <w:t xml:space="preserve">I </w:t>
      </w:r>
      <w:r w:rsidRPr="00C9680B">
        <w:rPr>
          <w:i/>
        </w:rPr>
        <w:t>motion</w:t>
      </w:r>
      <w:r w:rsidRPr="00C9680B">
        <w:t xml:space="preserve"> </w:t>
      </w:r>
      <w:r w:rsidRPr="00C9680B">
        <w:rPr>
          <w:i/>
        </w:rPr>
        <w:t>Fi207</w:t>
      </w:r>
      <w:r w:rsidRPr="00C9680B">
        <w:t xml:space="preserve"> av Karin Pilsäter m.fl. (fp) framhålls att två av de mest up</w:t>
      </w:r>
      <w:r w:rsidRPr="00C9680B">
        <w:t>p</w:t>
      </w:r>
      <w:r w:rsidRPr="00C9680B">
        <w:t>märksammade besluten om svensk ekonomisk politik under senare tid är regeringspartiets och LO:s principiella ja till EMU. Dessvärre verkar det som om regeringen inte vill kännas vid besluten. I t.ex. budgetpropositionen nämns inget om detta. Enligt motionärerna är det viktigt för tillväxt-, stabil</w:t>
      </w:r>
      <w:r w:rsidRPr="00C9680B">
        <w:t>i</w:t>
      </w:r>
      <w:r w:rsidRPr="00C9680B">
        <w:t>tets- och fördelningspolitiken att Sverige snarast blir fullvärdig medlem i EMU (yrkande 1). Motionärerna kräver också att en svensk folkom</w:t>
      </w:r>
      <w:r w:rsidRPr="00C9680B">
        <w:t>röstning om EMU kommer till stånd under hösten 2001. Annars riskerar Sverige att stå utanför EMU även under nästa mandatperiod (yrkande 2). Vidare menar motionärerna att en nationell övergångsplan, för såväl den offentliga förval</w:t>
      </w:r>
      <w:r w:rsidRPr="00C9680B">
        <w:t>t</w:t>
      </w:r>
      <w:r w:rsidRPr="00C9680B">
        <w:t>ningen som för företag och banker, bör sättas upp och genomföras snarast möjligt (yrkande 3).</w:t>
      </w:r>
    </w:p>
    <w:p w:rsidR="001C7BF9" w:rsidRPr="00C9680B" w:rsidRDefault="001C7BF9">
      <w:r w:rsidRPr="00C9680B">
        <w:t xml:space="preserve">I </w:t>
      </w:r>
      <w:r w:rsidRPr="00C9680B">
        <w:rPr>
          <w:i/>
        </w:rPr>
        <w:t>motion</w:t>
      </w:r>
      <w:r w:rsidRPr="00C9680B">
        <w:t xml:space="preserve"> </w:t>
      </w:r>
      <w:r w:rsidRPr="00C9680B">
        <w:rPr>
          <w:i/>
        </w:rPr>
        <w:t>Fi208</w:t>
      </w:r>
      <w:r w:rsidRPr="00C9680B">
        <w:t xml:space="preserve"> av Bo Lundgren m.fl. (m) framhålls att det är av stor vikt att euron fortsatt kan bidra till att vitalisera den europeiska ekonomin samt att Sverige är en del av denna process. Det ger stabila förutsättningar för svenskt näringsliv och svensk ekonomi. Det underlättar för svenska konsumenter och ger en ökad konkurrens med lägre priser som följd. Sverige bör därför efte</w:t>
      </w:r>
      <w:r w:rsidRPr="00C9680B">
        <w:t>r</w:t>
      </w:r>
      <w:r w:rsidRPr="00C9680B">
        <w:t>sträva att så snart som möjligt göra euron till svensk valuta. Så snart ett svenskt beslut är fattat bör Sverige ansluta sig til</w:t>
      </w:r>
      <w:r w:rsidRPr="00C9680B">
        <w:t>l ERM2 (yrkande 23).</w:t>
      </w:r>
    </w:p>
    <w:p w:rsidR="001C7BF9" w:rsidRPr="00C9680B" w:rsidRDefault="001C7BF9">
      <w:r w:rsidRPr="00C9680B">
        <w:t xml:space="preserve">I </w:t>
      </w:r>
      <w:r w:rsidRPr="00C9680B">
        <w:rPr>
          <w:i/>
        </w:rPr>
        <w:t>motion</w:t>
      </w:r>
      <w:r w:rsidRPr="00C9680B">
        <w:t xml:space="preserve"> </w:t>
      </w:r>
      <w:r w:rsidRPr="00C9680B">
        <w:rPr>
          <w:i/>
        </w:rPr>
        <w:t>Fi209</w:t>
      </w:r>
      <w:r w:rsidRPr="00C9680B">
        <w:t xml:space="preserve"> av Alf Svensson m.fl. (kd) anförs att Sverige bör delta i EMU-samarbetet fullt ut. Vidare bör en folkomröstning genomföras. Folkomrös</w:t>
      </w:r>
      <w:r w:rsidRPr="00C9680B">
        <w:t>t</w:t>
      </w:r>
      <w:r w:rsidRPr="00C9680B">
        <w:t>ningen bör föregås av överläggningar mellan ledarna för samtliga riksdag</w:t>
      </w:r>
      <w:r w:rsidRPr="00C9680B">
        <w:t>s</w:t>
      </w:r>
      <w:r w:rsidRPr="00C9680B">
        <w:t>partier. Av tidsskäl är det ej möjligt att genomföra en folkomröstning i år. Det svenska ordförandeskapet i EU omöjliggör en folkomröstning våren 2001. Mycket talar därför, enligt motionärerna, för att en folkomröstning bör vänta till efter valet 2002. Det bör också i en folkomröstning endas</w:t>
      </w:r>
      <w:r w:rsidRPr="00C9680B">
        <w:t>t finnas två alte</w:t>
      </w:r>
      <w:r w:rsidRPr="00C9680B">
        <w:t>r</w:t>
      </w:r>
      <w:r w:rsidRPr="00C9680B">
        <w:t>nativ – ja till deltagande i EMU och nej till deltagande i EMU (yrkande 9).</w:t>
      </w:r>
    </w:p>
    <w:p w:rsidR="001C7BF9" w:rsidRPr="00C9680B" w:rsidRDefault="001C7BF9">
      <w:r w:rsidRPr="00C9680B">
        <w:t xml:space="preserve">I </w:t>
      </w:r>
      <w:r w:rsidRPr="00C9680B">
        <w:rPr>
          <w:i/>
        </w:rPr>
        <w:t>motion Fi212</w:t>
      </w:r>
      <w:r w:rsidRPr="00C9680B">
        <w:t xml:space="preserve"> av Matz Hammarström m.fl. (mp) framhålls att det i dag finns en majoritet av riksdagspartier som är positiva till en folkomröstning om ett deltagande i EMU:s sista steg. Att välja huruvida vi skall gå med i EMU eller ej är ett beslut av samma dignitet som valet att gå med i EU. Därför är det enligt motionärerna självklart att detta val skall göras i en folkomröstning, bl.a. för att utslaget om vad befolkningen anser i denna framtidsfråga skall bli så tydligt som möjligt (yrkande 1). Enligt moti</w:t>
      </w:r>
      <w:r w:rsidRPr="00C9680B">
        <w:t>onärerna bör en folkomrös</w:t>
      </w:r>
      <w:r w:rsidRPr="00C9680B">
        <w:t>t</w:t>
      </w:r>
      <w:r w:rsidRPr="00C9680B">
        <w:t>ning hållas i samband med nästa riksdagsval, dvs. den tredje söndagen i se</w:t>
      </w:r>
      <w:r w:rsidRPr="00C9680B">
        <w:t>p</w:t>
      </w:r>
      <w:r w:rsidRPr="00C9680B">
        <w:t>tember 2002 (yrkande 2).</w:t>
      </w:r>
    </w:p>
    <w:p w:rsidR="001C7BF9" w:rsidRPr="00C9680B" w:rsidRDefault="001C7BF9">
      <w:r w:rsidRPr="00C9680B">
        <w:t xml:space="preserve">I </w:t>
      </w:r>
      <w:r w:rsidRPr="00C9680B">
        <w:rPr>
          <w:i/>
        </w:rPr>
        <w:t>motion</w:t>
      </w:r>
      <w:r w:rsidRPr="00C9680B">
        <w:t xml:space="preserve"> </w:t>
      </w:r>
      <w:r w:rsidRPr="00C9680B">
        <w:rPr>
          <w:i/>
        </w:rPr>
        <w:t>Fi214</w:t>
      </w:r>
      <w:r w:rsidRPr="00C9680B">
        <w:t xml:space="preserve"> av Lena Sandlin-Hedman m.fl. (s) menas att fördelning av kampanjresurser inför folkomröstningen till EU 1994 var mycket sned. All</w:t>
      </w:r>
      <w:r w:rsidRPr="00C9680B">
        <w:t>t</w:t>
      </w:r>
      <w:r w:rsidRPr="00C9680B">
        <w:t>för stor ojämlikhet vad avser ekonomiska kampanjmedel strider mot dem</w:t>
      </w:r>
      <w:r w:rsidRPr="00C9680B">
        <w:t>o</w:t>
      </w:r>
      <w:r w:rsidRPr="00C9680B">
        <w:t>kratins grundprinciper. För att inte samma sak skall upprepas inför en folko</w:t>
      </w:r>
      <w:r w:rsidRPr="00C9680B">
        <w:t>m</w:t>
      </w:r>
      <w:r w:rsidRPr="00C9680B">
        <w:t>röstning om EMU är det angeläget att de båda alternativen i EMU-frågan erhåller likvärdiga resurser och att frågan symboliseras av öppenhet och transparens. En kommitté bör inrättas med uppgift att övervaka och publicera a</w:t>
      </w:r>
      <w:r w:rsidRPr="00C9680B">
        <w:t>ll tillgänglig information om de ekonomiska stöd som ges till och mottas av de båda alternativen. Alla organisationer som aktivt deltar i EMU-frågan bör uppmanas att frivilligt till kommittén offentliggöra alla ekonomiska bidrag (yrkande 1). Vidare bör riksdagen uttala att den ser en jämn resursfördelning mellan alternativen som önskvärd och att man genom offentliga bidrag till kampanjorganisationerna skall försöka åstadkomma en så totalt sett jämn resursfördelning som möjligt (yrka</w:t>
      </w:r>
      <w:r w:rsidRPr="00C9680B">
        <w:t>n</w:t>
      </w:r>
      <w:r w:rsidRPr="00C9680B">
        <w:t>de 2).</w:t>
      </w:r>
    </w:p>
    <w:p w:rsidR="001C7BF9" w:rsidRPr="00C9680B" w:rsidRDefault="001C7BF9">
      <w:r w:rsidRPr="00C9680B">
        <w:t xml:space="preserve">I </w:t>
      </w:r>
      <w:r w:rsidRPr="00C9680B">
        <w:rPr>
          <w:i/>
        </w:rPr>
        <w:t>motion</w:t>
      </w:r>
      <w:r w:rsidRPr="00C9680B">
        <w:t xml:space="preserve"> </w:t>
      </w:r>
      <w:r w:rsidRPr="00C9680B">
        <w:rPr>
          <w:i/>
        </w:rPr>
        <w:t>Fi218</w:t>
      </w:r>
      <w:r w:rsidRPr="00C9680B">
        <w:t xml:space="preserve"> av Gudrun Schyman m.fl. (v) framhålls att EMU handlar om centrala frågor om välfärdssamhällets och demokratins framtid. Därför är det viktigt att olika synsätt och värderingar på ett likvärdigt sätt får genomslag i informationen. För att väljarna skall få en allsidig bild av de olika alternativen bör en parlamentarisk kommitté tillsättas, vars syfte är att förbereda folko</w:t>
      </w:r>
      <w:r w:rsidRPr="00C9680B">
        <w:t>m</w:t>
      </w:r>
      <w:r w:rsidRPr="00C9680B">
        <w:t>röstningen. Kommittén bör bl.a. hantera och förbereda myndigheternas i</w:t>
      </w:r>
      <w:r w:rsidRPr="00C9680B">
        <w:t>n</w:t>
      </w:r>
      <w:r w:rsidRPr="00C9680B">
        <w:t>formation samt garantera dess saklighet. Vidare bör d</w:t>
      </w:r>
      <w:r w:rsidRPr="00C9680B">
        <w:t>en övervaka att bidrag</w:t>
      </w:r>
      <w:r w:rsidRPr="00C9680B">
        <w:t>s</w:t>
      </w:r>
      <w:r w:rsidRPr="00C9680B">
        <w:t>givare  redovisar de bidrag som betalats ut till olika kampanjorganisationer samt fördela medlen på ett rättvist sätt mellan ja- och nej-sidan (yrkande 1). I fjol undertecknade EU ett avtal med svenska myndigheter om att Sverige skall delta i EU:s eurokampanjer. Upplägget av kampanjerna är påtagligt ensidiga och därför bör det svenska deltagandet i kampanjerna avbrytas (y</w:t>
      </w:r>
      <w:r w:rsidRPr="00C9680B">
        <w:t>r</w:t>
      </w:r>
      <w:r w:rsidRPr="00C9680B">
        <w:t>kande 2).</w:t>
      </w:r>
    </w:p>
    <w:p w:rsidR="001C7BF9" w:rsidRPr="00C9680B" w:rsidRDefault="001C7BF9">
      <w:r w:rsidRPr="00C9680B">
        <w:t xml:space="preserve">I </w:t>
      </w:r>
      <w:r w:rsidRPr="00C9680B">
        <w:rPr>
          <w:i/>
        </w:rPr>
        <w:t>motion Fi220</w:t>
      </w:r>
      <w:r w:rsidRPr="00C9680B">
        <w:t xml:space="preserve"> av Sven Bergström och Åsa Torstensson (c) menar motion</w:t>
      </w:r>
      <w:r w:rsidRPr="00C9680B">
        <w:t>ä</w:t>
      </w:r>
      <w:r w:rsidRPr="00C9680B">
        <w:t>rerna att Danmarks nej till EMU påtagligt kommer att påverka det svenska ställningstagandet till EMU:s tredje steg. Vidare visar utvecklingen att euron hittills inte varit någon framgång. Valutan har kraftigt förlorat i värde samt</w:t>
      </w:r>
      <w:r w:rsidRPr="00C9680B">
        <w:t>i</w:t>
      </w:r>
      <w:r w:rsidRPr="00C9680B">
        <w:t>digt som det finns spänningar mellan de olika länderna i euroområdet. Enligt motionärerna visar detta att det varken finns politiska eller ekonomiska skäl att ge upp kronan och ansluta sig till valutaunionen. Sver</w:t>
      </w:r>
      <w:r w:rsidRPr="00C9680B">
        <w:t>ige bör därför lägga alla planer på att inträda i valutaunionen på hyllan under överskådlig tid. Det bör klargöras att en EMU-anslutning inte längre är aktuell (yrkande 1). Sver</w:t>
      </w:r>
      <w:r w:rsidRPr="00C9680B">
        <w:t>i</w:t>
      </w:r>
      <w:r w:rsidRPr="00C9680B">
        <w:t>ge bör i stället utarbeta en strategi för hur vårt land bäst kan bidra till att u</w:t>
      </w:r>
      <w:r w:rsidRPr="00C9680B">
        <w:t>t</w:t>
      </w:r>
      <w:r w:rsidRPr="00C9680B">
        <w:t>veckla samarbetet i Europa som en självständig stat, gärna i samarbete med Danmark, Storbritannien och Norge (yrkande 2).</w:t>
      </w:r>
    </w:p>
    <w:p w:rsidR="001C7BF9" w:rsidRPr="00C9680B" w:rsidRDefault="001C7BF9">
      <w:r w:rsidRPr="00C9680B">
        <w:t xml:space="preserve">I </w:t>
      </w:r>
      <w:r w:rsidRPr="00C9680B">
        <w:rPr>
          <w:i/>
        </w:rPr>
        <w:t>motion</w:t>
      </w:r>
      <w:r w:rsidRPr="00C9680B">
        <w:t xml:space="preserve"> </w:t>
      </w:r>
      <w:r w:rsidRPr="00C9680B">
        <w:rPr>
          <w:i/>
        </w:rPr>
        <w:t>U510</w:t>
      </w:r>
      <w:r w:rsidRPr="00C9680B">
        <w:t xml:space="preserve"> av Marianne Andersson m.fl. (c) anförs att Centerpartiet avv</w:t>
      </w:r>
      <w:r w:rsidRPr="00C9680B">
        <w:t>i</w:t>
      </w:r>
      <w:r w:rsidRPr="00C9680B">
        <w:t>sar ett svenskt medlemskap i EMU:s tredje etapp, eftersom nackdelarna med ett svenskt inträde överväger de fördelar som finns. Centerpartiet kommer dock noga att följa utvecklingen i valutaunionen och återkommande pröva giltigheten i argumenten för och emot. Sveriges långsiktiga relationer till EMU får värderas utifrån vunna erfarenheter. Förutom utvecklingen inom EMU kommer Sveriges relation till EMU att påverkas av hur Storbritannien</w:t>
      </w:r>
      <w:r w:rsidRPr="00C9680B">
        <w:t xml:space="preserve"> och Danmark agerar samt hur EU:s utvidgningsprocess fortskrider (yrkande 15). Motionärerna anför vidare att om en riksdagsmajoritet avser att aktualis</w:t>
      </w:r>
      <w:r w:rsidRPr="00C9680B">
        <w:t>e</w:t>
      </w:r>
      <w:r w:rsidRPr="00C9680B">
        <w:t>ra ett medlemskap i EMU skall frågan avgöras av medborgarna i en folko</w:t>
      </w:r>
      <w:r w:rsidRPr="00C9680B">
        <w:t>m</w:t>
      </w:r>
      <w:r w:rsidRPr="00C9680B">
        <w:t>röstning. En folkomröstning brådskar dock inte. En folkomröstning måste dock utlysas i god tid – minst ett år i förväg – och innehålla två tydliga alte</w:t>
      </w:r>
      <w:r w:rsidRPr="00C9680B">
        <w:t>r</w:t>
      </w:r>
      <w:r w:rsidRPr="00C9680B">
        <w:t>nativ. Båda sidor bör av staten tillförsäkras likvärdiga ekonomiska resurser (yrkande 16).</w:t>
      </w:r>
    </w:p>
    <w:p w:rsidR="001C7BF9" w:rsidRPr="00C9680B" w:rsidRDefault="001C7BF9">
      <w:r w:rsidRPr="00C9680B">
        <w:t xml:space="preserve">I </w:t>
      </w:r>
      <w:r w:rsidRPr="00C9680B">
        <w:rPr>
          <w:i/>
        </w:rPr>
        <w:t>motion</w:t>
      </w:r>
      <w:r w:rsidRPr="00C9680B">
        <w:t xml:space="preserve"> </w:t>
      </w:r>
      <w:r w:rsidRPr="00C9680B">
        <w:rPr>
          <w:i/>
        </w:rPr>
        <w:t>U513</w:t>
      </w:r>
      <w:r w:rsidRPr="00C9680B">
        <w:t xml:space="preserve"> av Bo Lundgren m.fl. (m) anförs att Sverige snarast bör a</w:t>
      </w:r>
      <w:r w:rsidRPr="00C9680B">
        <w:t>n</w:t>
      </w:r>
      <w:r w:rsidRPr="00C9680B">
        <w:t>sluta sig till de tolv länder som nu genomför den gemensamma valutan – euron. Regeringen bör presentera en tidtabell över processen för beslut om euron. Så snart ett beslut om svensk euroanslutning är fattat bör Sverige a</w:t>
      </w:r>
      <w:r w:rsidRPr="00C9680B">
        <w:t>n</w:t>
      </w:r>
      <w:r w:rsidRPr="00C9680B">
        <w:t>sluta sig till ERM2. Vidare menar motionärerna att en informationsinsats i syfte att öka kunskapen och intresset hos svenska folket bör genomföras (yrkande 4).</w:t>
      </w:r>
    </w:p>
    <w:p w:rsidR="001C7BF9" w:rsidRPr="00C9680B" w:rsidRDefault="001C7BF9">
      <w:pPr>
        <w:pStyle w:val="Rubrik4"/>
        <w:rPr>
          <w:noProof w:val="0"/>
        </w:rPr>
      </w:pPr>
      <w:bookmarkStart w:id="124" w:name="_Toc498763513"/>
      <w:bookmarkStart w:id="125" w:name="_Toc498910682"/>
      <w:r w:rsidRPr="00C9680B">
        <w:rPr>
          <w:noProof w:val="0"/>
        </w:rPr>
        <w:t>Finansutskottets ställningstagande</w:t>
      </w:r>
      <w:bookmarkEnd w:id="124"/>
      <w:bookmarkEnd w:id="125"/>
    </w:p>
    <w:p w:rsidR="001C7BF9" w:rsidRPr="00C9680B" w:rsidRDefault="001C7BF9">
      <w:r w:rsidRPr="00C9680B">
        <w:t>I slutet av 1997 beslutade riksdagen att Sverige inte skulle införa EU:s g</w:t>
      </w:r>
      <w:r w:rsidRPr="00C9680B">
        <w:t>e</w:t>
      </w:r>
      <w:r w:rsidRPr="00C9680B">
        <w:t>mensamma valuta, euron, när den s.k. tredje etappen av EMU inleddes den 1 januari 1999 (prop. 1997/98:25, bet. 1997/98:FiU9, rskr. 1997/98:75).</w:t>
      </w:r>
    </w:p>
    <w:p w:rsidR="001C7BF9" w:rsidRPr="00C9680B" w:rsidRDefault="001C7BF9">
      <w:pPr>
        <w:pStyle w:val="Normaltindrag"/>
      </w:pPr>
      <w:r w:rsidRPr="00C9680B">
        <w:t xml:space="preserve">Riksdagen beslutade samtidigt att Sverige bör hålla dörren öppen för ett eventuellt framtida deltagande i valutaunionen och att om det efter den 1 januari 1999 bedöms lämpligt att Sverige deltar skall frågan underställas svenska folket för prövning. </w:t>
      </w:r>
    </w:p>
    <w:p w:rsidR="001C7BF9" w:rsidRPr="00C9680B" w:rsidRDefault="001C7BF9">
      <w:pPr>
        <w:pStyle w:val="Normaltindrag"/>
      </w:pPr>
      <w:r w:rsidRPr="00C9680B">
        <w:t>Utskottet delar regeringens uppfattning i budgetpropositionen att ett beslut om ett svenskt deltagande i valutaunionen måste ha ett brett folkligt stöd och att frågan därför skall underställas svenska folket för prövning i en folko</w:t>
      </w:r>
      <w:r w:rsidRPr="00C9680B">
        <w:t>m</w:t>
      </w:r>
      <w:r w:rsidRPr="00C9680B">
        <w:t>röstning. Utskottet delar också regeringens uppfattning att det för närvarande inte heller är aktuellt att delta i det e</w:t>
      </w:r>
      <w:r w:rsidRPr="00C9680B">
        <w:t>u</w:t>
      </w:r>
      <w:r w:rsidRPr="00C9680B">
        <w:t>ropeiska växelkurssamarbetet ERM2.</w:t>
      </w:r>
    </w:p>
    <w:p w:rsidR="001C7BF9" w:rsidRPr="00C9680B" w:rsidRDefault="001C7BF9">
      <w:pPr>
        <w:pStyle w:val="Normaltindrag"/>
      </w:pPr>
      <w:r w:rsidRPr="00C9680B">
        <w:t>När det gäller EMU-information och kampanjmedel är det utskottets pri</w:t>
      </w:r>
      <w:r w:rsidRPr="00C9680B">
        <w:t>n</w:t>
      </w:r>
      <w:r w:rsidRPr="00C9680B">
        <w:t>cipiella uppfattning att den information som de olika sidorna för fram i a</w:t>
      </w:r>
      <w:r w:rsidRPr="00C9680B">
        <w:t>n</w:t>
      </w:r>
      <w:r w:rsidRPr="00C9680B">
        <w:t>slutning till en eventuell folkomröstning måste vara saklig och allsidig. Des</w:t>
      </w:r>
      <w:r w:rsidRPr="00C9680B">
        <w:t>s</w:t>
      </w:r>
      <w:r w:rsidRPr="00C9680B">
        <w:t>utom bör de kampanjresurser som de olika alternativen i en omröstning förf</w:t>
      </w:r>
      <w:r w:rsidRPr="00C9680B">
        <w:t>o</w:t>
      </w:r>
      <w:r w:rsidRPr="00C9680B">
        <w:t>gar över, så långt det är möjligt, vara jämt fördelade och öppet redovisade. Utskottet är däremot i dagsläget inte berett att ta ställning till hur dessa pri</w:t>
      </w:r>
      <w:r w:rsidRPr="00C9680B">
        <w:t>n</w:t>
      </w:r>
      <w:r w:rsidRPr="00C9680B">
        <w:t>ciper skall kunna tillgodoses, eftersom det ännu inte finns något beslut om när en folkomröstning skall genomföras. Det är oc</w:t>
      </w:r>
      <w:r w:rsidRPr="00C9680B">
        <w:t>kså viktigt att sådana frågor kan lösas i största mö</w:t>
      </w:r>
      <w:r w:rsidRPr="00C9680B">
        <w:t>j</w:t>
      </w:r>
      <w:r w:rsidRPr="00C9680B">
        <w:t>liga samförstånd mellan de politiska partierna.</w:t>
      </w:r>
    </w:p>
    <w:p w:rsidR="001C7BF9" w:rsidRPr="00C9680B" w:rsidRDefault="001C7BF9">
      <w:pPr>
        <w:pStyle w:val="Normaltindrag"/>
      </w:pPr>
      <w:r w:rsidRPr="00C9680B">
        <w:t>Våren 1999 ingick regeringen ett samarbetsavtal med EU-kommissionen och Europaparlamentet om att kommissionen skulle bidra med omkring 5 miljoner kronor till regeringens euroinformation. Utgångspunkten för sa</w:t>
      </w:r>
      <w:r w:rsidRPr="00C9680B">
        <w:t>m</w:t>
      </w:r>
      <w:r w:rsidRPr="00C9680B">
        <w:t>arbetet är att den information som ges skall vara saklig och konkret och inte ta ställning till huruvida Sverige bör gå med i den gemensamma valutan eller inte. Informationen handlar t.ex. om hur det enskilda företaget påverkas av valutaunionen och euron. Som ett led i detta informationsarbete presenterade regeringen i slutet av 1999 en utökad och innehållsrik webbplats för euroi</w:t>
      </w:r>
      <w:r w:rsidRPr="00C9680B">
        <w:t>n</w:t>
      </w:r>
      <w:r w:rsidRPr="00C9680B">
        <w:t>formationen. Webbplatsen kan nås via adressen www.regeringe</w:t>
      </w:r>
      <w:bookmarkStart w:id="126" w:name="_Hlt497271657"/>
      <w:r w:rsidRPr="00C9680B">
        <w:t>n</w:t>
      </w:r>
      <w:bookmarkEnd w:id="126"/>
      <w:r w:rsidRPr="00C9680B">
        <w:t>.se/eu</w:t>
      </w:r>
      <w:bookmarkStart w:id="127" w:name="_Hlt497218296"/>
      <w:r w:rsidRPr="00C9680B">
        <w:t>r</w:t>
      </w:r>
      <w:bookmarkEnd w:id="127"/>
      <w:r w:rsidRPr="00C9680B">
        <w:t>o. Enligt utskottets mening uppfyller informationen sitt syft</w:t>
      </w:r>
      <w:r w:rsidRPr="00C9680B">
        <w:t>e och det finns dä</w:t>
      </w:r>
      <w:r w:rsidRPr="00C9680B">
        <w:t>r</w:t>
      </w:r>
      <w:r w:rsidRPr="00C9680B">
        <w:t>för ingen anledning att stoppa informationen eller avbryta samarbetet mellan regeringen och EU-kommissionen.</w:t>
      </w:r>
    </w:p>
    <w:p w:rsidR="001C7BF9" w:rsidRPr="00C9680B" w:rsidRDefault="001C7BF9">
      <w:r w:rsidRPr="00C9680B">
        <w:t>Med anledning av vad som anförts ovan avstyrker utskottet motionerna K398 (fp) yrkande 11, Fi207 (fp), Fi208 (m) yrkande 23, Fi209 (kd) yrkande 9, Fi212 (mp), Fi214 (s), Fi218 (v), Fi220 (c), U510 (c) yrkandena 15 och 16 och U513 (m) yrkande 4.</w:t>
      </w:r>
    </w:p>
    <w:p w:rsidR="001C7BF9" w:rsidRPr="00C9680B" w:rsidRDefault="001C7BF9">
      <w:pPr>
        <w:pStyle w:val="Rubrik3"/>
        <w:rPr>
          <w:noProof w:val="0"/>
        </w:rPr>
      </w:pPr>
      <w:bookmarkStart w:id="128" w:name="_Toc498250390"/>
      <w:bookmarkStart w:id="129" w:name="_Toc498910683"/>
      <w:r w:rsidRPr="00C9680B">
        <w:rPr>
          <w:noProof w:val="0"/>
        </w:rPr>
        <w:t>1.4.2 Analyser av effekter av att införa euro</w:t>
      </w:r>
      <w:bookmarkEnd w:id="128"/>
      <w:bookmarkEnd w:id="129"/>
    </w:p>
    <w:p w:rsidR="001C7BF9" w:rsidRPr="00C9680B" w:rsidRDefault="001C7BF9">
      <w:pPr>
        <w:pStyle w:val="Utskottsfrslagikorthet-Rubrik"/>
        <w:outlineLvl w:val="0"/>
        <w:rPr>
          <w:noProof w:val="0"/>
        </w:rPr>
      </w:pPr>
      <w:r w:rsidRPr="00C9680B">
        <w:rPr>
          <w:noProof w:val="0"/>
        </w:rPr>
        <w:t>Utskottets förslag i korthet</w:t>
      </w:r>
    </w:p>
    <w:p w:rsidR="001C7BF9" w:rsidRPr="00C9680B" w:rsidRDefault="001C7BF9">
      <w:pPr>
        <w:pStyle w:val="Utskottsfrslagikorthet-Text"/>
      </w:pPr>
      <w:r w:rsidRPr="00C9680B">
        <w:t>Det är viktigt att olika effekter av ett eventuellt svenskt deltagande i valutaunionens tredje steg noga utreds och analyseras. Nyligen til</w:t>
      </w:r>
      <w:r w:rsidRPr="00C9680B">
        <w:t>l</w:t>
      </w:r>
      <w:r w:rsidRPr="00C9680B">
        <w:t>satte regeringen en kommitté med uppgift att analysera förändrade förutsättningar för finanspolitiken vid ett eventuellt deltagande i valutaunionen. Utskottet avstyrker moti</w:t>
      </w:r>
      <w:r w:rsidRPr="00C9680B">
        <w:t>o</w:t>
      </w:r>
      <w:r w:rsidRPr="00C9680B">
        <w:t>nerna.</w:t>
      </w:r>
    </w:p>
    <w:p w:rsidR="001C7BF9" w:rsidRPr="00C9680B" w:rsidRDefault="001C7BF9">
      <w:pPr>
        <w:pStyle w:val="Utskottsfrslagikorthet-Text"/>
      </w:pPr>
      <w:r w:rsidRPr="00C9680B">
        <w:t xml:space="preserve">  Jämför reservation 8 (v).</w:t>
      </w:r>
    </w:p>
    <w:p w:rsidR="001C7BF9" w:rsidRPr="00C9680B" w:rsidRDefault="001C7BF9">
      <w:pPr>
        <w:pStyle w:val="Rubrik4"/>
        <w:rPr>
          <w:noProof w:val="0"/>
        </w:rPr>
      </w:pPr>
      <w:bookmarkStart w:id="130" w:name="_Toc498763515"/>
      <w:bookmarkStart w:id="131" w:name="_Toc498910684"/>
      <w:r w:rsidRPr="00C9680B">
        <w:rPr>
          <w:noProof w:val="0"/>
        </w:rPr>
        <w:t>Motionerna</w:t>
      </w:r>
      <w:bookmarkEnd w:id="130"/>
      <w:bookmarkEnd w:id="131"/>
    </w:p>
    <w:p w:rsidR="001C7BF9" w:rsidRPr="00C9680B" w:rsidRDefault="001C7BF9">
      <w:r w:rsidRPr="00C9680B">
        <w:t xml:space="preserve">I </w:t>
      </w:r>
      <w:r w:rsidRPr="00C9680B">
        <w:rPr>
          <w:i/>
        </w:rPr>
        <w:t>motion Fi201</w:t>
      </w:r>
      <w:r w:rsidRPr="00C9680B">
        <w:t xml:space="preserve"> av Gudrun Schyman m.fl. (v) menar motionärerna att ett svenskt EMU-medlemskap sannolikt innebär ökade krav på förändring i offentlig verksamhet, i socialförsäkringssystemen och på arbetsmarknaden. Alla dessa områden är centrala i arbetet för att nå ett jämställt samhälle och de utgör alla grunden i vår välfärd. Därför måste riksdag och regering ta sitt ansvar och tillsätta en utredning som belyser ett EMU-medlemskaps konse</w:t>
      </w:r>
      <w:r w:rsidRPr="00C9680B">
        <w:t>k</w:t>
      </w:r>
      <w:r w:rsidRPr="00C9680B">
        <w:t>venser för kvinnor och män.</w:t>
      </w:r>
    </w:p>
    <w:p w:rsidR="001C7BF9" w:rsidRPr="00C9680B" w:rsidRDefault="001C7BF9">
      <w:r w:rsidRPr="00C9680B">
        <w:t xml:space="preserve">I </w:t>
      </w:r>
      <w:r w:rsidRPr="00C9680B">
        <w:rPr>
          <w:i/>
        </w:rPr>
        <w:t>motion Fi206</w:t>
      </w:r>
      <w:r w:rsidRPr="00C9680B">
        <w:t xml:space="preserve"> av Camilla Sköld Jansson m.fl. (v) anförs att ett eventuellt svenskt EMU-medlemskap sannolikt skulle innebära stora påfrestningar på både näringslivet och den offentliga sektorns verksamhet i Norrland. Därför finns det enligt motionärerna starka skäl att utreda vilka konsekvenser ett svenskt medlemskap i EMU får för Norrland (yrkande 1). Dessutom bör utredas hur och i vilken utsträckning negativa effekter kan motverkas. Ett motverkande medel som diskuteras är de s.k. buffertfonderna. Motionärer</w:t>
      </w:r>
      <w:r w:rsidRPr="00C9680B">
        <w:t>na framhåller dock att buffertfonderna på ett avgörande sätt knappast kan bära anpassningen vid en svårare ekonomisk kris. Vidare förhindrar förmodligen EU:s regelverk att buffertfonder används till regionalt riktade insatser, efte</w:t>
      </w:r>
      <w:r w:rsidRPr="00C9680B">
        <w:t>r</w:t>
      </w:r>
      <w:r w:rsidRPr="00C9680B">
        <w:t>som det skulle snedvrida konkurrensen (yrkande 2).</w:t>
      </w:r>
    </w:p>
    <w:p w:rsidR="001C7BF9" w:rsidRPr="00C9680B" w:rsidRDefault="001C7BF9">
      <w:pPr>
        <w:pStyle w:val="Rubrik4"/>
        <w:rPr>
          <w:noProof w:val="0"/>
        </w:rPr>
      </w:pPr>
      <w:bookmarkStart w:id="132" w:name="_Toc498763516"/>
      <w:bookmarkStart w:id="133" w:name="_Toc498910685"/>
      <w:r w:rsidRPr="00C9680B">
        <w:rPr>
          <w:noProof w:val="0"/>
        </w:rPr>
        <w:t>Finansutskottets ställningstagande</w:t>
      </w:r>
      <w:bookmarkEnd w:id="132"/>
      <w:bookmarkEnd w:id="133"/>
    </w:p>
    <w:p w:rsidR="001C7BF9" w:rsidRPr="00C9680B" w:rsidRDefault="001C7BF9">
      <w:r w:rsidRPr="00C9680B">
        <w:t>När det gäller effekter av ett eventuellt svenskt medlemskap i EMU är det utskottets uppfattning att dessa noga måste studeras och analyseras. I den stora offentliga utredningen om Sverige och EMU, den s.k. EMU-utredningen (SOU 1996:158), gjordes en bred och omfattande genomgång av de allmänna effekterna av en valutaunion och effekterna för Sverige av att delta respektive inte delta i valutaunionen. I utredningen och utredningens underlagsrapporter behandlades en del konsekvenser för olika regioner i lande</w:t>
      </w:r>
      <w:r w:rsidRPr="00C9680B">
        <w:t>t. Utskottet utgår från att regeringen i sin fortlöpande utvärdering och beredning av den ek</w:t>
      </w:r>
      <w:r w:rsidRPr="00C9680B">
        <w:t>o</w:t>
      </w:r>
      <w:r w:rsidRPr="00C9680B">
        <w:t>nomiska politiken och EMU-politiken fortsätter att beakta olika regionala konsekvenser av ett eventuellt svenskt EMU-medlemskap. Utskottet utgår också från att regeringen, i den mån det är möjligt, även bereder EMU-frågan i perspektivet hur ett medlemskap i valutaunionen särskilt påverkar kvinnor respektive män.</w:t>
      </w:r>
    </w:p>
    <w:p w:rsidR="001C7BF9" w:rsidRPr="00C9680B" w:rsidRDefault="001C7BF9">
      <w:pPr>
        <w:pStyle w:val="Normaltindrag"/>
      </w:pPr>
      <w:r w:rsidRPr="00C9680B">
        <w:t>En viktig fråga är hur förutsättningarna för den övergripande finanspolit</w:t>
      </w:r>
      <w:r w:rsidRPr="00C9680B">
        <w:t>i</w:t>
      </w:r>
      <w:r w:rsidRPr="00C9680B">
        <w:t>ken förändras av ett EMU-medlemskap, vilka ekonomisk-politiska medel som står till förfogande när man befinner sig innanför valutaunionen och vilken effekt och träffsäkerhet de har. Vid ett deltagande i valutaunionen lämnas den nationella penningpolitiken över till ECB och ansvaret för att motverka i</w:t>
      </w:r>
      <w:r w:rsidRPr="00C9680B">
        <w:t>n</w:t>
      </w:r>
      <w:r w:rsidRPr="00C9680B">
        <w:t>hemska ekonomiska störningar och konjunktursvängningar blir till stor del  en fråga för finanspolitiken. Speciellt tydligt och avgörande blir detta i de fall konjunkturen skiljer sig åt mellan länderna i EMU-o</w:t>
      </w:r>
      <w:r w:rsidRPr="00C9680B">
        <w:t>mrådet eller om något eller några av länderna drabbas av s.k. asymmetriska ekonomiska störningar, dvs. stora störningar som drabbar det enskilda landet värre än regionen som helhet.</w:t>
      </w:r>
    </w:p>
    <w:p w:rsidR="001C7BF9" w:rsidRPr="00C9680B" w:rsidRDefault="001C7BF9">
      <w:pPr>
        <w:pStyle w:val="Normaltindrag"/>
      </w:pPr>
      <w:r w:rsidRPr="00C9680B">
        <w:t>Regeringen tillsatte nyligen en kommitté med uppdrag att analysera fö</w:t>
      </w:r>
      <w:r w:rsidRPr="00C9680B">
        <w:t>r</w:t>
      </w:r>
      <w:r w:rsidRPr="00C9680B">
        <w:t>ändrade förutsättningar för svensk stabiliseringspolitik vid ett eventuellt de</w:t>
      </w:r>
      <w:r w:rsidRPr="00C9680B">
        <w:t>l</w:t>
      </w:r>
      <w:r w:rsidRPr="00C9680B">
        <w:t>tagande i den ekonomiska och monetära unionen. Enligt direktiven skall utredningen bl.a. analysera behovet av nya ekonomisk-politiska instrument eller andra institutionella förändringar som krävs för att stabiliseringspolitiken skall vara effektiv. Vidare skall EMU-ländernas erfarenhet hittills av att b</w:t>
      </w:r>
      <w:r w:rsidRPr="00C9680B">
        <w:t>e</w:t>
      </w:r>
      <w:r w:rsidRPr="00C9680B">
        <w:t>driva stabiliseringspolitik i valutaunionen kartläggas, och dessutom skall behovet av ytterligare buffert i de offentliga finan</w:t>
      </w:r>
      <w:r w:rsidRPr="00C9680B">
        <w:t>serna utöver vad som följer av Sveriges och EU:s budgetmål analyseras. En annan viktig fråga som ko</w:t>
      </w:r>
      <w:r w:rsidRPr="00C9680B">
        <w:t>m</w:t>
      </w:r>
      <w:r w:rsidRPr="00C9680B">
        <w:t>mittén skall utreda är vad som kan göras för att öka flexibiliteten i de reala lönekostnaderna. I det sammanhanget skall också behovet och konsekvense</w:t>
      </w:r>
      <w:r w:rsidRPr="00C9680B">
        <w:t>r</w:t>
      </w:r>
      <w:r w:rsidRPr="00C9680B">
        <w:t>na av särskilda s.k. buffertfonder av den typ som finns i Finland analyseras. Ytterligare en uppgift för utredningen är att undersöka hur t.ex. den förändr</w:t>
      </w:r>
      <w:r w:rsidRPr="00C9680B">
        <w:t>a</w:t>
      </w:r>
      <w:r w:rsidRPr="00C9680B">
        <w:t>de budgetprocessen, 1990-talets skattereform och det nya pensionssystemet påverkat de offentliga finanser</w:t>
      </w:r>
      <w:r w:rsidRPr="00C9680B">
        <w:t>nas konjunkturkänslighet samt bedöma vilka konsekvenser konjunkturkänsligheten har för möjligheterna att bedriva en effektiv svensk finanspolitik. Ordförande i kommittén är ambassadör Bengt K. Johansson och övriga ledamöter är professor Lars Calmfors, generald</w:t>
      </w:r>
      <w:r w:rsidRPr="00C9680B">
        <w:t>i</w:t>
      </w:r>
      <w:r w:rsidRPr="00C9680B">
        <w:t>rektör Ingemar Hansson, fil. dr. Nils Lundgren, chefsekonom Irma Rosenberg och professor Inga Persson.</w:t>
      </w:r>
    </w:p>
    <w:p w:rsidR="001C7BF9" w:rsidRPr="00C9680B" w:rsidRDefault="001C7BF9">
      <w:pPr>
        <w:pStyle w:val="Normaltindrag"/>
      </w:pPr>
      <w:r w:rsidRPr="00C9680B">
        <w:t>Med anledning av vad som anförts ovan avstyrker utskottet motionerna Fi201 (v) och Fi206 (v).</w:t>
      </w:r>
    </w:p>
    <w:p w:rsidR="001C7BF9" w:rsidRPr="00C9680B" w:rsidRDefault="001C7BF9">
      <w:pPr>
        <w:pStyle w:val="Innehll"/>
        <w:spacing w:after="480"/>
        <w:rPr>
          <w:noProof w:val="0"/>
        </w:rPr>
        <w:sectPr w:rsidR="00000000" w:rsidRPr="00C9680B">
          <w:headerReference w:type="even" r:id="rId57"/>
          <w:headerReference w:type="default" r:id="rId58"/>
          <w:footerReference w:type="even" r:id="rId59"/>
          <w:footerReference w:type="default" r:id="rId60"/>
          <w:headerReference w:type="first" r:id="rId61"/>
          <w:footerReference w:type="first" r:id="rId62"/>
          <w:footnotePr>
            <w:numRestart w:val="eachSect"/>
          </w:footnotePr>
          <w:pgSz w:w="11906" w:h="16838" w:code="9"/>
          <w:pgMar w:top="907" w:right="4649" w:bottom="4508" w:left="1304" w:header="340" w:footer="227" w:gutter="0"/>
          <w:cols w:space="720"/>
          <w:titlePg/>
        </w:sectPr>
      </w:pPr>
    </w:p>
    <w:p w:rsidR="001C7BF9" w:rsidRPr="00C9680B" w:rsidRDefault="001C7BF9">
      <w:pPr>
        <w:pStyle w:val="Rubrik1"/>
        <w:rPr>
          <w:noProof w:val="0"/>
        </w:rPr>
      </w:pPr>
      <w:bookmarkStart w:id="134" w:name="_Toc498245125"/>
      <w:bookmarkStart w:id="135" w:name="_Toc498910686"/>
      <w:r w:rsidRPr="00C9680B">
        <w:rPr>
          <w:noProof w:val="0"/>
        </w:rPr>
        <w:t>2 Budgetpolitikens inriktning och utgiftstak för staten</w:t>
      </w:r>
      <w:bookmarkEnd w:id="134"/>
      <w:bookmarkEnd w:id="135"/>
    </w:p>
    <w:p w:rsidR="001C7BF9" w:rsidRPr="00C9680B" w:rsidRDefault="001C7BF9">
      <w:pPr>
        <w:pStyle w:val="Rubrik2"/>
        <w:spacing w:before="0"/>
      </w:pPr>
      <w:bookmarkStart w:id="136" w:name="_Toc435867500"/>
      <w:bookmarkStart w:id="137" w:name="_Toc436662493"/>
      <w:bookmarkStart w:id="138" w:name="_Toc466179187"/>
      <w:bookmarkStart w:id="139" w:name="_Toc466882365"/>
      <w:bookmarkStart w:id="140" w:name="_Toc498245126"/>
      <w:bookmarkStart w:id="141" w:name="_Toc498910687"/>
      <w:r w:rsidRPr="00C9680B">
        <w:t>2.1 Utformningen av utskottets förslag till rambeslut</w:t>
      </w:r>
      <w:bookmarkEnd w:id="140"/>
      <w:bookmarkEnd w:id="141"/>
    </w:p>
    <w:p w:rsidR="001C7BF9" w:rsidRPr="00C9680B" w:rsidRDefault="001C7BF9">
      <w:r w:rsidRPr="00C9680B">
        <w:t>Enligt riksdagsordningen (5 kap. 12 §) skall riksdagen i ett och samma beslut fastställa ramarna för de olika utgiftsområdena och en beräkning av statsbu</w:t>
      </w:r>
      <w:r w:rsidRPr="00C9680B">
        <w:t>d</w:t>
      </w:r>
      <w:r w:rsidRPr="00C9680B">
        <w:t>getens inkomster. Av detta följer att i beslutet också ingår att ta ställning till hur stora förändringar som kommer att ske av anslagsbehållningarna under året. Vidare ingår att ta ställning till vilka förändringar som skall göras av olika skatte- och avgiftsregler och beräkna effekterna av dessa inkomstfö</w:t>
      </w:r>
      <w:r w:rsidRPr="00C9680B">
        <w:t>r</w:t>
      </w:r>
      <w:r w:rsidRPr="00C9680B">
        <w:t>slag. Utifrån de regler som kommer att gälla under nästa år görs en beräkning av hur stora inkomsterna på statsbudgeten blir. För att kunna beräkna uppl</w:t>
      </w:r>
      <w:r w:rsidRPr="00C9680B">
        <w:t>å</w:t>
      </w:r>
      <w:r w:rsidRPr="00C9680B">
        <w:t>ningsbehovet görs också en bedömning av hur netto</w:t>
      </w:r>
      <w:r w:rsidRPr="00C9680B">
        <w:t>t av myndigheternas m.fl. in- och utlåning i Riksgäldskontoret utvecklas under budgetåret. Genom att riksdagen tar ställning till dessa storheter framkommer budgetsaldot som en restpost, och detta saldo visar statens amorteringar/upplåningsbehov under året.</w:t>
      </w:r>
    </w:p>
    <w:p w:rsidR="001C7BF9" w:rsidRPr="00C9680B" w:rsidRDefault="001C7BF9">
      <w:pPr>
        <w:pStyle w:val="Normaltindrag"/>
      </w:pPr>
      <w:r w:rsidRPr="00C9680B">
        <w:t xml:space="preserve">Beslutsordningen innebär alltså att riksdagen tar ställning till alla dessa poster genom </w:t>
      </w:r>
      <w:r w:rsidRPr="00C9680B">
        <w:rPr>
          <w:i/>
        </w:rPr>
        <w:t>ett</w:t>
      </w:r>
      <w:r w:rsidRPr="00C9680B">
        <w:t xml:space="preserve"> beslut.</w:t>
      </w:r>
    </w:p>
    <w:p w:rsidR="001C7BF9" w:rsidRPr="00C9680B" w:rsidRDefault="001C7BF9">
      <w:pPr>
        <w:pStyle w:val="Normaltindrag"/>
      </w:pPr>
      <w:r w:rsidRPr="00C9680B">
        <w:t>Mot denna bakgrund har utskottet i en beslutspunkt sammanfört alla fö</w:t>
      </w:r>
      <w:r w:rsidRPr="00C9680B">
        <w:t>r</w:t>
      </w:r>
      <w:r w:rsidRPr="00C9680B">
        <w:t>slag som avser utgiftsramar m.m. och beräkningen av statsbudgetens i</w:t>
      </w:r>
      <w:r w:rsidRPr="00C9680B">
        <w:t>n</w:t>
      </w:r>
      <w:r w:rsidRPr="00C9680B">
        <w:t>komster.</w:t>
      </w:r>
    </w:p>
    <w:p w:rsidR="001C7BF9" w:rsidRPr="00C9680B" w:rsidRDefault="001C7BF9">
      <w:pPr>
        <w:pStyle w:val="Normaltindrag"/>
      </w:pPr>
      <w:r w:rsidRPr="00C9680B">
        <w:t>Följande punkter i propositionens förslag till riksdagsbeslut behandlas i detta sa</w:t>
      </w:r>
      <w:r w:rsidRPr="00C9680B">
        <w:t>m</w:t>
      </w:r>
      <w:r w:rsidRPr="00C9680B">
        <w:t>manhang:</w:t>
      </w:r>
    </w:p>
    <w:p w:rsidR="001C7BF9" w:rsidRPr="00C9680B" w:rsidRDefault="001C7BF9">
      <w:pPr>
        <w:pStyle w:val="Normaltindrag"/>
        <w:numPr>
          <w:ilvl w:val="0"/>
          <w:numId w:val="170"/>
        </w:numPr>
      </w:pPr>
      <w:r w:rsidRPr="00C9680B">
        <w:t>punkt 2 om utgiftstak för staten inklusive ålderspensionssystemet vid sidan av statsbudgeten 2001–2003,</w:t>
      </w:r>
    </w:p>
    <w:p w:rsidR="001C7BF9" w:rsidRPr="00C9680B" w:rsidRDefault="001C7BF9">
      <w:pPr>
        <w:pStyle w:val="Normaltindrag"/>
        <w:numPr>
          <w:ilvl w:val="0"/>
          <w:numId w:val="170"/>
        </w:numPr>
      </w:pPr>
      <w:r w:rsidRPr="00C9680B">
        <w:t>punkt 3 om reviderad beräkning av de offentliga utgifterna för åren 2001–2003,</w:t>
      </w:r>
    </w:p>
    <w:p w:rsidR="001C7BF9" w:rsidRPr="00C9680B" w:rsidRDefault="001C7BF9">
      <w:pPr>
        <w:pStyle w:val="Normaltindrag"/>
        <w:numPr>
          <w:ilvl w:val="0"/>
          <w:numId w:val="170"/>
        </w:numPr>
      </w:pPr>
      <w:r w:rsidRPr="00C9680B">
        <w:t>punkt 6 om beräkning av förändringarna av myndigheternas m.fl. in- och utlåning i Riksgäldskontoret 2001 samt beräkningen av överföring av m</w:t>
      </w:r>
      <w:r w:rsidRPr="00C9680B">
        <w:t>e</w:t>
      </w:r>
      <w:r w:rsidRPr="00C9680B">
        <w:t>del från AP-fonden 2001,</w:t>
      </w:r>
    </w:p>
    <w:p w:rsidR="001C7BF9" w:rsidRPr="00C9680B" w:rsidRDefault="001C7BF9">
      <w:pPr>
        <w:pStyle w:val="Normaltindrag"/>
        <w:numPr>
          <w:ilvl w:val="0"/>
          <w:numId w:val="170"/>
        </w:numPr>
      </w:pPr>
      <w:r w:rsidRPr="00C9680B">
        <w:t>punkt 7 om beräkning av statsbudgetens inkomster 2001,</w:t>
      </w:r>
    </w:p>
    <w:p w:rsidR="001C7BF9" w:rsidRPr="00C9680B" w:rsidRDefault="001C7BF9">
      <w:pPr>
        <w:pStyle w:val="Normaltindrag"/>
        <w:numPr>
          <w:ilvl w:val="0"/>
          <w:numId w:val="170"/>
        </w:numPr>
      </w:pPr>
      <w:r w:rsidRPr="00C9680B">
        <w:t>punkt 8 om fördelning av utgifterna på utgiftsområden 2001,</w:t>
      </w:r>
    </w:p>
    <w:p w:rsidR="001C7BF9" w:rsidRPr="00C9680B" w:rsidRDefault="001C7BF9">
      <w:pPr>
        <w:pStyle w:val="Normaltindrag"/>
        <w:numPr>
          <w:ilvl w:val="0"/>
          <w:numId w:val="170"/>
        </w:numPr>
      </w:pPr>
      <w:r w:rsidRPr="00C9680B">
        <w:t>punkt 9 om beräkningen av förändringar av anslagsbehållningar 2001 och</w:t>
      </w:r>
    </w:p>
    <w:p w:rsidR="001C7BF9" w:rsidRPr="00C9680B" w:rsidRDefault="001C7BF9">
      <w:pPr>
        <w:pStyle w:val="Normaltindrag"/>
        <w:numPr>
          <w:ilvl w:val="0"/>
          <w:numId w:val="170"/>
        </w:numPr>
      </w:pPr>
      <w:r w:rsidRPr="00C9680B">
        <w:t>punkterna 23–40 om lagförslag som avser skattefrågor med budgeteffekt 2001.</w:t>
      </w:r>
    </w:p>
    <w:p w:rsidR="001C7BF9" w:rsidRPr="00C9680B" w:rsidRDefault="001C7BF9">
      <w:r w:rsidRPr="00C9680B">
        <w:t>Lagförslaget under punkt 40 har överlämnats till skatteutskottet för lagteknisk samordning med motsvarande lagrum i proposition 2000/01:23.</w:t>
      </w:r>
    </w:p>
    <w:p w:rsidR="001C7BF9" w:rsidRPr="00C9680B" w:rsidRDefault="001C7BF9">
      <w:pPr>
        <w:pStyle w:val="Normaltindrag"/>
      </w:pPr>
      <w:r w:rsidRPr="00C9680B">
        <w:t>Partimotionernas motsvarande yrkanden behandlas också samlat i samma b</w:t>
      </w:r>
      <w:r w:rsidRPr="00C9680B">
        <w:t>e</w:t>
      </w:r>
      <w:r w:rsidRPr="00C9680B">
        <w:t>slut.</w:t>
      </w:r>
    </w:p>
    <w:p w:rsidR="001C7BF9" w:rsidRPr="00C9680B" w:rsidRDefault="001C7BF9">
      <w:pPr>
        <w:pStyle w:val="Normaltindrag"/>
      </w:pPr>
      <w:r w:rsidRPr="00C9680B">
        <w:t>Motiven till utskottets ställningstagande redovisas på de efterföljande s</w:t>
      </w:r>
      <w:r w:rsidRPr="00C9680B">
        <w:t>i</w:t>
      </w:r>
      <w:r w:rsidRPr="00C9680B">
        <w:t xml:space="preserve">dorna under rubriken 2.4 </w:t>
      </w:r>
      <w:r w:rsidRPr="00C9680B">
        <w:rPr>
          <w:i/>
        </w:rPr>
        <w:t>Budgetpolitikens inriktning</w:t>
      </w:r>
      <w:r w:rsidRPr="00C9680B">
        <w:t xml:space="preserve"> efter det att utskottet först behandlat 2.2 </w:t>
      </w:r>
      <w:r w:rsidRPr="00C9680B">
        <w:rPr>
          <w:i/>
        </w:rPr>
        <w:t>Budgetutvecklingen och</w:t>
      </w:r>
      <w:r w:rsidRPr="00C9680B">
        <w:t xml:space="preserve"> 2.3 </w:t>
      </w:r>
      <w:r w:rsidRPr="00C9680B">
        <w:rPr>
          <w:i/>
        </w:rPr>
        <w:t>Mål för budgetpolitiken</w:t>
      </w:r>
      <w:r w:rsidRPr="00C9680B">
        <w:t>. U</w:t>
      </w:r>
      <w:r w:rsidRPr="00C9680B">
        <w:t>t</w:t>
      </w:r>
      <w:r w:rsidRPr="00C9680B">
        <w:t>skottet tar i detta sammanhang ställning till regeringens respektive motione</w:t>
      </w:r>
      <w:r w:rsidRPr="00C9680B">
        <w:t>r</w:t>
      </w:r>
      <w:r w:rsidRPr="00C9680B">
        <w:t>nas olika budgetförslag parti för parti och bedömer därvid förslagens budge</w:t>
      </w:r>
      <w:r w:rsidRPr="00C9680B">
        <w:t>t</w:t>
      </w:r>
      <w:r w:rsidRPr="00C9680B">
        <w:t xml:space="preserve">politiska effekter under rubriken 2.4.3 </w:t>
      </w:r>
      <w:r w:rsidRPr="00C9680B">
        <w:rPr>
          <w:i/>
        </w:rPr>
        <w:t>Finansutskottets sammanfattande bedömning av budgetförsl</w:t>
      </w:r>
      <w:r w:rsidRPr="00C9680B">
        <w:rPr>
          <w:i/>
        </w:rPr>
        <w:t>a</w:t>
      </w:r>
      <w:r w:rsidRPr="00C9680B">
        <w:rPr>
          <w:i/>
        </w:rPr>
        <w:t>gen.</w:t>
      </w:r>
      <w:r w:rsidRPr="00C9680B">
        <w:t xml:space="preserve"> </w:t>
      </w:r>
    </w:p>
    <w:p w:rsidR="001C7BF9" w:rsidRPr="00C9680B" w:rsidRDefault="001C7BF9">
      <w:pPr>
        <w:pStyle w:val="Normaltindrag"/>
        <w:rPr>
          <w:i/>
        </w:rPr>
      </w:pPr>
      <w:r w:rsidRPr="00C9680B">
        <w:t xml:space="preserve">I avsnitt 2.5 </w:t>
      </w:r>
      <w:r w:rsidRPr="00C9680B">
        <w:rPr>
          <w:i/>
        </w:rPr>
        <w:t>Utgiftstak för staten och den offentliga sektorn</w:t>
      </w:r>
      <w:r w:rsidRPr="00C9680B">
        <w:t xml:space="preserve"> behandlar u</w:t>
      </w:r>
      <w:r w:rsidRPr="00C9680B">
        <w:t>t</w:t>
      </w:r>
      <w:r w:rsidRPr="00C9680B">
        <w:t xml:space="preserve">skottet den samlade nivån för statsutgifterna som den kommer till uttryck i utgiftstaket. Utskottet tar därefter ställning till vilka ramar som skall gälla för de olika utgiftsområdena när riksdagen i andra steget av budgetprocessen fördelar utgifterna på anslagen. Det görs i avsnitt 2.6 </w:t>
      </w:r>
      <w:r w:rsidRPr="00C9680B">
        <w:rPr>
          <w:i/>
        </w:rPr>
        <w:t>Fördelning av statens utgifter på utgiftso</w:t>
      </w:r>
      <w:r w:rsidRPr="00C9680B">
        <w:rPr>
          <w:i/>
        </w:rPr>
        <w:t>m</w:t>
      </w:r>
      <w:r w:rsidRPr="00C9680B">
        <w:rPr>
          <w:i/>
        </w:rPr>
        <w:t>råden 2001.</w:t>
      </w:r>
    </w:p>
    <w:p w:rsidR="001C7BF9" w:rsidRPr="00C9680B" w:rsidRDefault="001C7BF9">
      <w:pPr>
        <w:pStyle w:val="Normaltindrag"/>
      </w:pPr>
      <w:r w:rsidRPr="00C9680B">
        <w:t xml:space="preserve">I två avsnitt behandlar utskottet de förslag som gäller 2.8 </w:t>
      </w:r>
      <w:r w:rsidRPr="00C9680B">
        <w:rPr>
          <w:i/>
        </w:rPr>
        <w:t>Anslagsbehål</w:t>
      </w:r>
      <w:r w:rsidRPr="00C9680B">
        <w:rPr>
          <w:i/>
        </w:rPr>
        <w:t>l</w:t>
      </w:r>
      <w:r w:rsidRPr="00C9680B">
        <w:rPr>
          <w:i/>
        </w:rPr>
        <w:t xml:space="preserve">ningar </w:t>
      </w:r>
      <w:r w:rsidRPr="00C9680B">
        <w:t xml:space="preserve">och 2.9 </w:t>
      </w:r>
      <w:r w:rsidRPr="00C9680B">
        <w:rPr>
          <w:i/>
        </w:rPr>
        <w:t>Myndigheternas in- och utlåning i Riksgäldskontoret.</w:t>
      </w:r>
    </w:p>
    <w:p w:rsidR="001C7BF9" w:rsidRPr="00C9680B" w:rsidRDefault="001C7BF9">
      <w:pPr>
        <w:pStyle w:val="Normaltindrag"/>
      </w:pPr>
      <w:r w:rsidRPr="00C9680B">
        <w:t xml:space="preserve">Därefter redovisar utskottet sitt ställningstagande mer i detalj vad gäller olika inkomstförslag (avsnitt 3) och de olika utgiftsområdena (avsnitt 4.1). </w:t>
      </w:r>
    </w:p>
    <w:p w:rsidR="001C7BF9" w:rsidRPr="00C9680B" w:rsidRDefault="001C7BF9">
      <w:pPr>
        <w:pStyle w:val="Normaltindrag"/>
      </w:pPr>
      <w:r w:rsidRPr="00C9680B">
        <w:t>I avsnitt 3</w:t>
      </w:r>
      <w:r w:rsidRPr="00C9680B">
        <w:rPr>
          <w:i/>
        </w:rPr>
        <w:t xml:space="preserve"> Inkomster</w:t>
      </w:r>
      <w:r w:rsidRPr="00C9680B">
        <w:t xml:space="preserve"> behandlar utskottet olika inkomstförslag. Avsnittet är disponerat på följande sätt. Under rubriken 3.2</w:t>
      </w:r>
      <w:r w:rsidRPr="00C9680B">
        <w:rPr>
          <w:i/>
        </w:rPr>
        <w:t xml:space="preserve"> Skattepolitikens allmänna inriktning</w:t>
      </w:r>
      <w:r w:rsidRPr="00C9680B">
        <w:t xml:space="preserve"> tar utskottet först ställning till de samlade förslagen i kommitté- och partimotionerna, vilka utgör oppositionspartiernas samlade alternativ till inkomstförslaget i budgetpropositionen. Därefter går utskottet över till att behandla de specifika förslagen i propositionen och de i det sammanhanget väckta motionerna. Förslag om inkomstförändringar som tagits up</w:t>
      </w:r>
      <w:r w:rsidRPr="00C9680B">
        <w:t>p i olika motionsyrkanden avseende inkomståret 2001 behandlas i huvudsak i den ordning respektive i</w:t>
      </w:r>
      <w:r w:rsidRPr="00C9680B">
        <w:t>n</w:t>
      </w:r>
      <w:r w:rsidRPr="00C9680B">
        <w:t>komsttitel redovisas i statsbudgeten.</w:t>
      </w:r>
    </w:p>
    <w:p w:rsidR="001C7BF9" w:rsidRPr="00C9680B" w:rsidRDefault="001C7BF9">
      <w:pPr>
        <w:pStyle w:val="Normaltindrag"/>
      </w:pPr>
      <w:r w:rsidRPr="00C9680B">
        <w:t xml:space="preserve">I avsnitt 4 </w:t>
      </w:r>
      <w:r w:rsidRPr="00C9680B">
        <w:rPr>
          <w:i/>
        </w:rPr>
        <w:t>Utgifter</w:t>
      </w:r>
      <w:r w:rsidRPr="00C9680B">
        <w:t xml:space="preserve"> behandlar finansutskottet de förslag i propositionen och motionerna som gäller utgiftsområden. Det görs under rubriken 4.1 </w:t>
      </w:r>
      <w:r w:rsidRPr="00C9680B">
        <w:rPr>
          <w:i/>
        </w:rPr>
        <w:t>Förde</w:t>
      </w:r>
      <w:r w:rsidRPr="00C9680B">
        <w:rPr>
          <w:i/>
        </w:rPr>
        <w:t>l</w:t>
      </w:r>
      <w:r w:rsidRPr="00C9680B">
        <w:rPr>
          <w:i/>
        </w:rPr>
        <w:t>ning av utgifter på utgiftsområden 2001.</w:t>
      </w:r>
      <w:r w:rsidRPr="00C9680B">
        <w:t xml:space="preserve"> I detta sammanhang behandlas bl.a. yrkanden om att omfördela resu</w:t>
      </w:r>
      <w:r w:rsidRPr="00C9680B">
        <w:t>r</w:t>
      </w:r>
      <w:r w:rsidRPr="00C9680B">
        <w:t>ser från ett utgiftsområde till ett annat.</w:t>
      </w:r>
    </w:p>
    <w:p w:rsidR="001C7BF9" w:rsidRPr="00C9680B" w:rsidRDefault="001C7BF9">
      <w:pPr>
        <w:pStyle w:val="Normaltindrag"/>
      </w:pPr>
      <w:r w:rsidRPr="00C9680B">
        <w:t>Finansutskottets förslag till beslut beträffande budgetförslagen för 2001 återfinns i punkt 5 i förslaget till riksdagsbeslut. De lagförslag som omfattas av beslutet behandlas i punkt 6, men deras materiella innehåll har des</w:t>
      </w:r>
      <w:r w:rsidRPr="00C9680B">
        <w:t>sföri</w:t>
      </w:r>
      <w:r w:rsidRPr="00C9680B">
        <w:t>n</w:t>
      </w:r>
      <w:r w:rsidRPr="00C9680B">
        <w:t>nan godkänts i punkt 5. I punkt 5 hänvisas dessutom till två sammanställnin</w:t>
      </w:r>
      <w:r w:rsidRPr="00C9680B">
        <w:t>g</w:t>
      </w:r>
      <w:r w:rsidRPr="00C9680B">
        <w:t>ar återgivna i omedelbar anslutning till utskottets förslag till riksdagsbeslut.</w:t>
      </w:r>
    </w:p>
    <w:p w:rsidR="001C7BF9" w:rsidRPr="00C9680B" w:rsidRDefault="001C7BF9">
      <w:pPr>
        <w:pStyle w:val="Normaltindrag"/>
      </w:pPr>
      <w:r w:rsidRPr="00C9680B">
        <w:t>I den första sammanställningen redovisas i tabellform utskottets och rese</w:t>
      </w:r>
      <w:r w:rsidRPr="00C9680B">
        <w:t>r</w:t>
      </w:r>
      <w:r w:rsidRPr="00C9680B">
        <w:t>vanternas förslag till dels fördelning av utgifter på utgiftsområden m.m., dels beräkning av statsbudgetens inkomster fördelat på i</w:t>
      </w:r>
      <w:r w:rsidRPr="00C9680B">
        <w:t>n</w:t>
      </w:r>
      <w:r w:rsidRPr="00C9680B">
        <w:t>komsttitlar.</w:t>
      </w:r>
    </w:p>
    <w:p w:rsidR="001C7BF9" w:rsidRPr="00C9680B" w:rsidRDefault="001C7BF9">
      <w:pPr>
        <w:pStyle w:val="Normaltindrag"/>
      </w:pPr>
      <w:r w:rsidRPr="00C9680B">
        <w:t>I den andra sammanställningen redovisas samtliga motionsyrkanden, up</w:t>
      </w:r>
      <w:r w:rsidRPr="00C9680B">
        <w:t>p</w:t>
      </w:r>
      <w:r w:rsidRPr="00C9680B">
        <w:t>rä</w:t>
      </w:r>
      <w:r w:rsidRPr="00C9680B">
        <w:t>k</w:t>
      </w:r>
      <w:r w:rsidRPr="00C9680B">
        <w:t>nade ämnesområdesvis, som finansutskottet avstyrker i punkt 5.</w:t>
      </w:r>
    </w:p>
    <w:p w:rsidR="001C7BF9" w:rsidRPr="00C9680B" w:rsidRDefault="001C7BF9">
      <w:pPr>
        <w:pStyle w:val="Normaltindrag"/>
      </w:pPr>
      <w:r w:rsidRPr="00C9680B">
        <w:t xml:space="preserve">I </w:t>
      </w:r>
      <w:r w:rsidRPr="00C9680B">
        <w:rPr>
          <w:i/>
        </w:rPr>
        <w:t>bilaga 2</w:t>
      </w:r>
      <w:r w:rsidRPr="00C9680B">
        <w:t xml:space="preserve"> återges de lagförslag i budgetpropositionen som utskottet b</w:t>
      </w:r>
      <w:r w:rsidRPr="00C9680B">
        <w:t>e</w:t>
      </w:r>
      <w:r w:rsidRPr="00C9680B">
        <w:t xml:space="preserve">handlar i detta betänkande och i </w:t>
      </w:r>
      <w:r w:rsidRPr="00C9680B">
        <w:rPr>
          <w:i/>
        </w:rPr>
        <w:t>bilaga 3</w:t>
      </w:r>
      <w:r w:rsidRPr="00C9680B">
        <w:t xml:space="preserve"> utskottets förslag till ändringar av regerin</w:t>
      </w:r>
      <w:r w:rsidRPr="00C9680B">
        <w:t>g</w:t>
      </w:r>
      <w:r w:rsidRPr="00C9680B">
        <w:t>ens lagförslag. En hänvisning görs i punkt 6 till dessa bilagor.</w:t>
      </w:r>
    </w:p>
    <w:p w:rsidR="001C7BF9" w:rsidRPr="00C9680B" w:rsidRDefault="001C7BF9">
      <w:pPr>
        <w:pStyle w:val="Normaltindrag"/>
      </w:pPr>
    </w:p>
    <w:p w:rsidR="001C7BF9" w:rsidRPr="00C9680B" w:rsidRDefault="001C7BF9">
      <w:pPr>
        <w:pStyle w:val="Rubrik2"/>
      </w:pPr>
      <w:bookmarkStart w:id="142" w:name="_Toc498245127"/>
      <w:bookmarkStart w:id="143" w:name="_Toc498910688"/>
      <w:r w:rsidRPr="00C9680B">
        <w:t>2.2 Budgetutvecklingen</w:t>
      </w:r>
      <w:bookmarkEnd w:id="136"/>
      <w:bookmarkEnd w:id="137"/>
      <w:bookmarkEnd w:id="138"/>
      <w:bookmarkEnd w:id="139"/>
      <w:bookmarkEnd w:id="142"/>
      <w:bookmarkEnd w:id="143"/>
    </w:p>
    <w:p w:rsidR="001C7BF9" w:rsidRPr="00C9680B" w:rsidRDefault="001C7BF9">
      <w:r w:rsidRPr="00C9680B">
        <w:t>Systemet med utgiftstak har nu använts i fyra år och har i allt väsentligt fu</w:t>
      </w:r>
      <w:r w:rsidRPr="00C9680B">
        <w:t>n</w:t>
      </w:r>
      <w:r w:rsidRPr="00C9680B">
        <w:t>gerat väl. De för respektive år fastlagda utgiftstaken har hållits och regeringen räknar med att kunna klara även det utgiftstak som lagts fast för 2000. För att säkerställa detta har emellertid vissa utgiftsbegränsande åtgärder måst vidt</w:t>
      </w:r>
      <w:r w:rsidRPr="00C9680B">
        <w:t>a</w:t>
      </w:r>
      <w:r w:rsidRPr="00C9680B">
        <w:t>gas. Nya, lägre begränsningsbelopp har införts på bl.a. försvars- och utbil</w:t>
      </w:r>
      <w:r w:rsidRPr="00C9680B">
        <w:t>d</w:t>
      </w:r>
      <w:r w:rsidRPr="00C9680B">
        <w:t xml:space="preserve">ningsområdena och myndigheternas möjlighet att utnyttja tidigare, upparbetat anslagssparande har stramats upp i betydande utsträckning. </w:t>
      </w:r>
    </w:p>
    <w:p w:rsidR="001C7BF9" w:rsidRPr="00C9680B" w:rsidRDefault="001C7BF9">
      <w:pPr>
        <w:pStyle w:val="Normaltindrag"/>
      </w:pPr>
      <w:r w:rsidRPr="00C9680B">
        <w:t xml:space="preserve">Kvarstående budgeteringsmarginal för 2000 beräknas nu till </w:t>
      </w:r>
      <w:r w:rsidRPr="00C9680B">
        <w:t>0,6 miljarder kronor. Regeringens uppfattning är att utgiftstaket skall hållas, och om så erfordras kommer man enligt propositionen att vidta de ytterligare åtgärder som krävs för att säkerställa detta.</w:t>
      </w:r>
    </w:p>
    <w:p w:rsidR="001C7BF9" w:rsidRPr="00C9680B" w:rsidRDefault="001C7BF9">
      <w:pPr>
        <w:pStyle w:val="Normaltindrag"/>
      </w:pPr>
      <w:r w:rsidRPr="00C9680B">
        <w:t>Statsbudgeten väntas i år uppvisa ett överskott på 76 miljarder kronor, vi</w:t>
      </w:r>
      <w:r w:rsidRPr="00C9680B">
        <w:t>l</w:t>
      </w:r>
      <w:r w:rsidRPr="00C9680B">
        <w:t>ket är något mindre än man tidigare räknade med. Nedgången förklaras fra</w:t>
      </w:r>
      <w:r w:rsidRPr="00C9680B">
        <w:t>m</w:t>
      </w:r>
      <w:r w:rsidRPr="00C9680B">
        <w:t>för allt av att inkomsterna från försäljning av statliga aktier nu väntas bli 33 miljarder kronor lägre än vad man räknade med i vårpropositionen för detta år.</w:t>
      </w:r>
    </w:p>
    <w:p w:rsidR="001C7BF9" w:rsidRPr="00C9680B" w:rsidRDefault="001C7BF9">
      <w:pPr>
        <w:pStyle w:val="Normaltindrag"/>
      </w:pPr>
      <w:r w:rsidRPr="00C9680B">
        <w:t>Det uppkomna budgetöverskottet används för att amortera statsskulden, och tillsammans med effekten av vissa skulddispositioner kommer statssku</w:t>
      </w:r>
      <w:r w:rsidRPr="00C9680B">
        <w:t>l</w:t>
      </w:r>
      <w:r w:rsidRPr="00C9680B">
        <w:t>den i år att minska med närmare 100 miljarder kronor till 1 275 miljarder kronor.</w:t>
      </w:r>
    </w:p>
    <w:p w:rsidR="001C7BF9" w:rsidRPr="00C9680B" w:rsidRDefault="001C7BF9">
      <w:pPr>
        <w:pStyle w:val="Normaltindrag"/>
      </w:pPr>
      <w:r w:rsidRPr="00C9680B">
        <w:t>Det bör dock noteras att det redovisade överskottet helt bärs upp av olika engångseffekter. Utan extraordinära inkomster från försäljning av statligt aktieinnehav samt en större överföring från AP-fonden skulle statsbudgeten detta år i stället ha uppvisat ett underskott på 12 miljarder kronor. Enbart försäljningen av aktier i Telia gav exempelvis ett tillskott till statsbudgeten på ca 61 miljarder kronor.</w:t>
      </w:r>
    </w:p>
    <w:p w:rsidR="001C7BF9" w:rsidRPr="00C9680B" w:rsidRDefault="001C7BF9">
      <w:pPr>
        <w:pStyle w:val="Normaltindrag"/>
      </w:pPr>
      <w:r w:rsidRPr="00C9680B">
        <w:t>För åren framöver förutses en något måttligare budgetu</w:t>
      </w:r>
      <w:r w:rsidRPr="00C9680B">
        <w:t>t</w:t>
      </w:r>
      <w:r w:rsidRPr="00C9680B">
        <w:t>veckling.</w:t>
      </w:r>
    </w:p>
    <w:p w:rsidR="001C7BF9" w:rsidRPr="00C9680B" w:rsidRDefault="001C7BF9">
      <w:pPr>
        <w:pStyle w:val="Normaltindrag"/>
      </w:pPr>
      <w:r w:rsidRPr="00C9680B">
        <w:t>Sålunda begränsar sig överskottet i statsbudgeten 2001 till 41 miljarder kronor, vilket i jämförelse med prognoserna i vårpropositionen dock är en förbättring med 52 miljarder kronor. Även detta år bärs överskottet upp av vissa större engångseffekter, och utan dessa skulle ett underskott på 28 mi</w:t>
      </w:r>
      <w:r w:rsidRPr="00C9680B">
        <w:t>l</w:t>
      </w:r>
      <w:r w:rsidRPr="00C9680B">
        <w:t>jarder kronor ha uppkommit.</w:t>
      </w:r>
    </w:p>
    <w:p w:rsidR="001C7BF9" w:rsidRPr="00C9680B" w:rsidRDefault="001C7BF9">
      <w:pPr>
        <w:pStyle w:val="Normaltindrag"/>
      </w:pPr>
      <w:r w:rsidRPr="00C9680B">
        <w:t>Det för 2001 föreslagna utgiftstaket överstiger utgiftstaket för innevarande år med 24 miljarder kronor. Härav används 13 miljarder kronor för olika beslutade eller föreslagna reformer som träder i kraft 2001, däribland höjda statsbidrag till kommuner och landsting (4 mdkr) samt höjt barnbidrag (2,4 mdkr). Det höjda utgiftstaket ger också utrymme för dels en pris- och lön</w:t>
      </w:r>
      <w:r w:rsidRPr="00C9680B">
        <w:t>e</w:t>
      </w:r>
      <w:r w:rsidRPr="00C9680B">
        <w:t>omräkning av myndigheternas förvaltningsanslag med 3 miljarder kronor, dels volymökningar inom Socialdepartementets ansvarsområde med 4 milja</w:t>
      </w:r>
      <w:r w:rsidRPr="00C9680B">
        <w:t>r</w:t>
      </w:r>
      <w:r w:rsidRPr="00C9680B">
        <w:t>der kronor. Den senare volymökningen avser framför allt utgifterna för sju</w:t>
      </w:r>
      <w:r w:rsidRPr="00C9680B">
        <w:t>k</w:t>
      </w:r>
      <w:r w:rsidRPr="00C9680B">
        <w:t>penningen. Resterande 4 miljarder kronor av det höjda utgiftstaket binds upp av att regeringen till 2001 har senarelagt utbetalningen av ett lika stort belopp i arealersättning.</w:t>
      </w:r>
    </w:p>
    <w:p w:rsidR="001C7BF9" w:rsidRPr="00C9680B" w:rsidRDefault="001C7BF9">
      <w:pPr>
        <w:pStyle w:val="Normaltindrag"/>
      </w:pPr>
      <w:r w:rsidRPr="00C9680B">
        <w:t>Mätt i nominella termer ökar alltså utgiftstaket med 24 miljarder kronor nästa år, men ställt i relation till BNP mi</w:t>
      </w:r>
      <w:r w:rsidRPr="00C9680B">
        <w:t>nskar det från 37 % 2000 till 36,2 % 2001.</w:t>
      </w:r>
    </w:p>
    <w:p w:rsidR="001C7BF9" w:rsidRPr="00C9680B" w:rsidRDefault="001C7BF9">
      <w:pPr>
        <w:pStyle w:val="Normaltindrag"/>
      </w:pPr>
      <w:r w:rsidRPr="00C9680B">
        <w:t>Under 2001 väntas statsskulden minska med 131 miljarder kronor till 1 145 miljarder kronor. Därefter ligger den under de båda närmast efterfö</w:t>
      </w:r>
      <w:r w:rsidRPr="00C9680B">
        <w:t>l</w:t>
      </w:r>
      <w:r w:rsidRPr="00C9680B">
        <w:t>jande åren kvar på denna nominella nivå, men mätt som andel av BNP for</w:t>
      </w:r>
      <w:r w:rsidRPr="00C9680B">
        <w:t>t</w:t>
      </w:r>
      <w:r w:rsidRPr="00C9680B">
        <w:t>sätter den att minska. Under fyraårsperioden 1999–2003 sjunker statsskulden från motsvarande 69,7 till 48,9 % av BNP, dvs. med 21 procente</w:t>
      </w:r>
      <w:r w:rsidRPr="00C9680B">
        <w:t>n</w:t>
      </w:r>
      <w:r w:rsidRPr="00C9680B">
        <w:t>heter.</w:t>
      </w:r>
    </w:p>
    <w:p w:rsidR="001C7BF9" w:rsidRPr="00C9680B" w:rsidRDefault="001C7BF9">
      <w:pPr>
        <w:pStyle w:val="Normaltindrag"/>
      </w:pPr>
      <w:r w:rsidRPr="00C9680B">
        <w:t>Av budgetpropositionen framgår att överskotten i den offentliga sektorn under åren 2002 och 2003 kommer att överstiga den målsatta nivån 2 % av BNP. Regeringen har därför i sina prognoser för de båda åren förutsatt att ett belopp motsvarande det överskjutande överskottet skall tillföras hushål</w:t>
      </w:r>
      <w:r w:rsidRPr="00C9680B">
        <w:t>lsse</w:t>
      </w:r>
      <w:r w:rsidRPr="00C9680B">
        <w:t>k</w:t>
      </w:r>
      <w:r w:rsidRPr="00C9680B">
        <w:t>torn i en eller annan form under respektive år. Eftersom det ännu inte är klart vilken form överföringarna kommer att få, har de i prognoserna reserverats som en berä</w:t>
      </w:r>
      <w:r w:rsidRPr="00C9680B">
        <w:t>k</w:t>
      </w:r>
      <w:r w:rsidRPr="00C9680B">
        <w:t>ningsteknisk överföring till hushållen för respektive år.</w:t>
      </w:r>
    </w:p>
    <w:p w:rsidR="001C7BF9" w:rsidRPr="00C9680B" w:rsidRDefault="001C7BF9">
      <w:pPr>
        <w:pStyle w:val="Normaltindrag"/>
      </w:pPr>
      <w:r w:rsidRPr="00C9680B">
        <w:t>Efter dessa beräkningstekniska överföringar väntas statsbudgeten uppvisa ett underskott på 17 miljarder kronor 2002 och 10 miljarder kronor under 2003.</w:t>
      </w:r>
    </w:p>
    <w:p w:rsidR="001C7BF9" w:rsidRPr="00C9680B" w:rsidRDefault="001C7BF9">
      <w:r w:rsidRPr="00C9680B">
        <w:t>Statsbudgetens utveckling under åren 1999–2003 samt budgetsaldot rensat från större engångseffekter framgår av efterföljande tabell som är hämtad ur budge</w:t>
      </w:r>
      <w:r w:rsidRPr="00C9680B">
        <w:t>t</w:t>
      </w:r>
      <w:r w:rsidRPr="00C9680B">
        <w:t>propositionen.</w:t>
      </w:r>
    </w:p>
    <w:p w:rsidR="001C7BF9" w:rsidRPr="00C9680B" w:rsidRDefault="001C7BF9">
      <w:pPr>
        <w:pStyle w:val="TabellrubrikPer"/>
        <w:keepNext/>
        <w:outlineLvl w:val="0"/>
        <w:rPr>
          <w:b/>
          <w:caps w:val="0"/>
          <w:spacing w:val="0"/>
          <w:sz w:val="17"/>
        </w:rPr>
      </w:pPr>
      <w:r w:rsidRPr="00C9680B">
        <w:rPr>
          <w:b/>
          <w:caps w:val="0"/>
          <w:spacing w:val="0"/>
          <w:sz w:val="17"/>
        </w:rPr>
        <w:t>Tabell 8. Statsbudgetens saldo justerat för större engångseffekter 1999–2003</w:t>
      </w:r>
    </w:p>
    <w:p w:rsidR="001C7BF9" w:rsidRPr="00C9680B" w:rsidRDefault="001C7BF9">
      <w:pPr>
        <w:pStyle w:val="Tabell"/>
        <w:keepNext/>
        <w:spacing w:line="190" w:lineRule="exact"/>
        <w:outlineLvl w:val="0"/>
      </w:pPr>
      <w:r w:rsidRPr="00C9680B">
        <w:t xml:space="preserve">Miljarder kronor </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47"/>
        <w:gridCol w:w="567"/>
        <w:gridCol w:w="567"/>
        <w:gridCol w:w="567"/>
        <w:gridCol w:w="567"/>
        <w:gridCol w:w="567"/>
      </w:tblGrid>
      <w:tr w:rsidR="00000000" w:rsidRPr="00C9680B">
        <w:tblPrEx>
          <w:tblCellMar>
            <w:top w:w="0" w:type="dxa"/>
            <w:bottom w:w="0" w:type="dxa"/>
          </w:tblCellMar>
        </w:tblPrEx>
        <w:trPr>
          <w:tblHeader/>
        </w:trPr>
        <w:tc>
          <w:tcPr>
            <w:tcW w:w="3147" w:type="dxa"/>
            <w:tcBorders>
              <w:top w:val="single" w:sz="4" w:space="0" w:color="auto"/>
              <w:left w:val="nil"/>
              <w:bottom w:val="nil"/>
              <w:right w:val="nil"/>
            </w:tcBorders>
          </w:tcPr>
          <w:p w:rsidR="001C7BF9" w:rsidRPr="00C9680B" w:rsidRDefault="001C7BF9">
            <w:pPr>
              <w:keepNext/>
              <w:keepLines/>
              <w:rPr>
                <w:b/>
                <w:sz w:val="17"/>
              </w:rPr>
            </w:pPr>
          </w:p>
        </w:tc>
        <w:tc>
          <w:tcPr>
            <w:tcW w:w="567" w:type="dxa"/>
            <w:tcBorders>
              <w:top w:val="single" w:sz="4" w:space="0" w:color="auto"/>
              <w:left w:val="nil"/>
              <w:bottom w:val="single" w:sz="4" w:space="0" w:color="auto"/>
              <w:right w:val="nil"/>
            </w:tcBorders>
          </w:tcPr>
          <w:p w:rsidR="001C7BF9" w:rsidRPr="00C9680B" w:rsidRDefault="001C7BF9">
            <w:pPr>
              <w:keepNext/>
              <w:keepLines/>
              <w:jc w:val="right"/>
              <w:rPr>
                <w:b/>
                <w:sz w:val="17"/>
              </w:rPr>
            </w:pPr>
            <w:r w:rsidRPr="00C9680B">
              <w:rPr>
                <w:b/>
                <w:sz w:val="17"/>
              </w:rPr>
              <w:t>1999</w:t>
            </w:r>
          </w:p>
        </w:tc>
        <w:tc>
          <w:tcPr>
            <w:tcW w:w="567" w:type="dxa"/>
            <w:tcBorders>
              <w:top w:val="single" w:sz="4" w:space="0" w:color="auto"/>
              <w:left w:val="nil"/>
              <w:bottom w:val="single" w:sz="4" w:space="0" w:color="auto"/>
              <w:right w:val="nil"/>
            </w:tcBorders>
          </w:tcPr>
          <w:p w:rsidR="001C7BF9" w:rsidRPr="00C9680B" w:rsidRDefault="001C7BF9">
            <w:pPr>
              <w:keepNext/>
              <w:keepLines/>
              <w:jc w:val="right"/>
              <w:rPr>
                <w:b/>
                <w:sz w:val="17"/>
              </w:rPr>
            </w:pPr>
            <w:r w:rsidRPr="00C9680B">
              <w:rPr>
                <w:b/>
                <w:sz w:val="17"/>
              </w:rPr>
              <w:t>2000</w:t>
            </w:r>
          </w:p>
        </w:tc>
        <w:tc>
          <w:tcPr>
            <w:tcW w:w="567" w:type="dxa"/>
            <w:tcBorders>
              <w:top w:val="single" w:sz="4" w:space="0" w:color="auto"/>
              <w:left w:val="nil"/>
              <w:bottom w:val="single" w:sz="4" w:space="0" w:color="auto"/>
              <w:right w:val="nil"/>
            </w:tcBorders>
          </w:tcPr>
          <w:p w:rsidR="001C7BF9" w:rsidRPr="00C9680B" w:rsidRDefault="001C7BF9">
            <w:pPr>
              <w:keepNext/>
              <w:keepLines/>
              <w:jc w:val="right"/>
              <w:rPr>
                <w:b/>
                <w:sz w:val="17"/>
              </w:rPr>
            </w:pPr>
            <w:r w:rsidRPr="00C9680B">
              <w:rPr>
                <w:b/>
                <w:sz w:val="17"/>
              </w:rPr>
              <w:t>2001</w:t>
            </w:r>
          </w:p>
        </w:tc>
        <w:tc>
          <w:tcPr>
            <w:tcW w:w="567" w:type="dxa"/>
            <w:tcBorders>
              <w:top w:val="single" w:sz="4" w:space="0" w:color="auto"/>
              <w:left w:val="nil"/>
              <w:bottom w:val="single" w:sz="4" w:space="0" w:color="auto"/>
              <w:right w:val="nil"/>
            </w:tcBorders>
          </w:tcPr>
          <w:p w:rsidR="001C7BF9" w:rsidRPr="00C9680B" w:rsidRDefault="001C7BF9">
            <w:pPr>
              <w:keepNext/>
              <w:keepLines/>
              <w:jc w:val="right"/>
              <w:rPr>
                <w:b/>
                <w:sz w:val="17"/>
              </w:rPr>
            </w:pPr>
            <w:r w:rsidRPr="00C9680B">
              <w:rPr>
                <w:b/>
                <w:sz w:val="17"/>
              </w:rPr>
              <w:t>2002</w:t>
            </w:r>
          </w:p>
        </w:tc>
        <w:tc>
          <w:tcPr>
            <w:tcW w:w="567" w:type="dxa"/>
            <w:tcBorders>
              <w:top w:val="single" w:sz="4" w:space="0" w:color="auto"/>
              <w:left w:val="nil"/>
              <w:bottom w:val="nil"/>
              <w:right w:val="nil"/>
            </w:tcBorders>
          </w:tcPr>
          <w:p w:rsidR="001C7BF9" w:rsidRPr="00C9680B" w:rsidRDefault="001C7BF9">
            <w:pPr>
              <w:keepNext/>
              <w:keepLines/>
              <w:jc w:val="right"/>
              <w:rPr>
                <w:b/>
                <w:sz w:val="17"/>
              </w:rPr>
            </w:pPr>
            <w:r w:rsidRPr="00C9680B">
              <w:rPr>
                <w:b/>
                <w:sz w:val="17"/>
              </w:rPr>
              <w:t>2003</w:t>
            </w:r>
          </w:p>
        </w:tc>
      </w:tr>
      <w:tr w:rsidR="00000000" w:rsidRPr="00C9680B">
        <w:tblPrEx>
          <w:tblCellMar>
            <w:top w:w="0" w:type="dxa"/>
            <w:bottom w:w="0" w:type="dxa"/>
          </w:tblCellMar>
        </w:tblPrEx>
        <w:trPr>
          <w:trHeight w:hRule="exact" w:val="60"/>
          <w:tblHeader/>
        </w:trPr>
        <w:tc>
          <w:tcPr>
            <w:tcW w:w="3147" w:type="dxa"/>
            <w:tcBorders>
              <w:top w:val="single" w:sz="4" w:space="0" w:color="auto"/>
              <w:left w:val="nil"/>
              <w:bottom w:val="nil"/>
              <w:right w:val="nil"/>
            </w:tcBorders>
          </w:tcPr>
          <w:p w:rsidR="001C7BF9" w:rsidRPr="00C9680B" w:rsidRDefault="001C7BF9">
            <w:pPr>
              <w:pStyle w:val="Fotnotstext"/>
              <w:keepNext/>
              <w:keepLines/>
              <w:spacing w:line="250" w:lineRule="atLeast"/>
            </w:pPr>
          </w:p>
        </w:tc>
        <w:tc>
          <w:tcPr>
            <w:tcW w:w="567" w:type="dxa"/>
            <w:tcBorders>
              <w:top w:val="nil"/>
              <w:left w:val="nil"/>
              <w:bottom w:val="nil"/>
              <w:right w:val="nil"/>
            </w:tcBorders>
          </w:tcPr>
          <w:p w:rsidR="001C7BF9" w:rsidRPr="00C9680B" w:rsidRDefault="001C7BF9">
            <w:pPr>
              <w:keepNext/>
              <w:keepLines/>
              <w:jc w:val="right"/>
              <w:rPr>
                <w:sz w:val="17"/>
              </w:rPr>
            </w:pPr>
          </w:p>
        </w:tc>
        <w:tc>
          <w:tcPr>
            <w:tcW w:w="567" w:type="dxa"/>
            <w:tcBorders>
              <w:top w:val="nil"/>
              <w:left w:val="nil"/>
              <w:bottom w:val="nil"/>
              <w:right w:val="nil"/>
            </w:tcBorders>
          </w:tcPr>
          <w:p w:rsidR="001C7BF9" w:rsidRPr="00C9680B" w:rsidRDefault="001C7BF9">
            <w:pPr>
              <w:keepNext/>
              <w:keepLines/>
              <w:jc w:val="right"/>
              <w:rPr>
                <w:sz w:val="17"/>
              </w:rPr>
            </w:pPr>
          </w:p>
        </w:tc>
        <w:tc>
          <w:tcPr>
            <w:tcW w:w="567" w:type="dxa"/>
            <w:tcBorders>
              <w:top w:val="nil"/>
              <w:left w:val="nil"/>
              <w:bottom w:val="nil"/>
              <w:right w:val="nil"/>
            </w:tcBorders>
          </w:tcPr>
          <w:p w:rsidR="001C7BF9" w:rsidRPr="00C9680B" w:rsidRDefault="001C7BF9">
            <w:pPr>
              <w:keepNext/>
              <w:keepLines/>
              <w:jc w:val="right"/>
              <w:rPr>
                <w:sz w:val="17"/>
              </w:rPr>
            </w:pPr>
          </w:p>
        </w:tc>
        <w:tc>
          <w:tcPr>
            <w:tcW w:w="567" w:type="dxa"/>
            <w:tcBorders>
              <w:top w:val="nil"/>
              <w:left w:val="nil"/>
              <w:bottom w:val="nil"/>
              <w:right w:val="nil"/>
            </w:tcBorders>
          </w:tcPr>
          <w:p w:rsidR="001C7BF9" w:rsidRPr="00C9680B" w:rsidRDefault="001C7BF9">
            <w:pPr>
              <w:keepNext/>
              <w:keepLines/>
              <w:jc w:val="right"/>
              <w:rPr>
                <w:sz w:val="17"/>
              </w:rPr>
            </w:pPr>
          </w:p>
        </w:tc>
        <w:tc>
          <w:tcPr>
            <w:tcW w:w="567" w:type="dxa"/>
            <w:tcBorders>
              <w:top w:val="single" w:sz="4" w:space="0" w:color="auto"/>
              <w:left w:val="nil"/>
              <w:bottom w:val="nil"/>
              <w:right w:val="nil"/>
            </w:tcBorders>
          </w:tcPr>
          <w:p w:rsidR="001C7BF9" w:rsidRPr="00C9680B" w:rsidRDefault="001C7BF9">
            <w:pPr>
              <w:keepNext/>
              <w:keepLines/>
              <w:jc w:val="right"/>
              <w:rPr>
                <w:sz w:val="17"/>
              </w:rPr>
            </w:pPr>
          </w:p>
        </w:tc>
      </w:tr>
      <w:tr w:rsidR="00000000" w:rsidRPr="00C9680B">
        <w:tblPrEx>
          <w:tblCellMar>
            <w:top w:w="0" w:type="dxa"/>
            <w:bottom w:w="0" w:type="dxa"/>
          </w:tblCellMar>
        </w:tblPrEx>
        <w:trPr>
          <w:tblHeader/>
        </w:trPr>
        <w:tc>
          <w:tcPr>
            <w:tcW w:w="3147" w:type="dxa"/>
            <w:tcBorders>
              <w:top w:val="nil"/>
              <w:left w:val="nil"/>
              <w:bottom w:val="nil"/>
              <w:right w:val="nil"/>
            </w:tcBorders>
          </w:tcPr>
          <w:p w:rsidR="001C7BF9" w:rsidRPr="00C9680B" w:rsidRDefault="001C7BF9">
            <w:pPr>
              <w:keepNext/>
              <w:keepLines/>
              <w:spacing w:before="0"/>
              <w:rPr>
                <w:b/>
                <w:sz w:val="17"/>
              </w:rPr>
            </w:pPr>
            <w:r w:rsidRPr="00C9680B">
              <w:rPr>
                <w:b/>
                <w:sz w:val="17"/>
              </w:rPr>
              <w:t>Statsbudgetens saldo¹</w:t>
            </w:r>
          </w:p>
        </w:tc>
        <w:tc>
          <w:tcPr>
            <w:tcW w:w="567" w:type="dxa"/>
            <w:tcBorders>
              <w:top w:val="nil"/>
              <w:left w:val="nil"/>
              <w:bottom w:val="nil"/>
              <w:right w:val="nil"/>
            </w:tcBorders>
          </w:tcPr>
          <w:p w:rsidR="001C7BF9" w:rsidRPr="00C9680B" w:rsidRDefault="001C7BF9">
            <w:pPr>
              <w:keepNext/>
              <w:keepLines/>
              <w:spacing w:before="0"/>
              <w:jc w:val="right"/>
              <w:rPr>
                <w:b/>
                <w:sz w:val="17"/>
              </w:rPr>
            </w:pPr>
            <w:r w:rsidRPr="00C9680B">
              <w:rPr>
                <w:b/>
                <w:sz w:val="17"/>
              </w:rPr>
              <w:t>+82</w:t>
            </w:r>
          </w:p>
        </w:tc>
        <w:tc>
          <w:tcPr>
            <w:tcW w:w="567" w:type="dxa"/>
            <w:tcBorders>
              <w:top w:val="nil"/>
              <w:left w:val="nil"/>
              <w:bottom w:val="nil"/>
              <w:right w:val="nil"/>
            </w:tcBorders>
          </w:tcPr>
          <w:p w:rsidR="001C7BF9" w:rsidRPr="00C9680B" w:rsidRDefault="001C7BF9">
            <w:pPr>
              <w:keepNext/>
              <w:keepLines/>
              <w:spacing w:before="0"/>
              <w:jc w:val="right"/>
              <w:rPr>
                <w:b/>
                <w:sz w:val="17"/>
              </w:rPr>
            </w:pPr>
            <w:r w:rsidRPr="00C9680B">
              <w:rPr>
                <w:b/>
                <w:sz w:val="17"/>
              </w:rPr>
              <w:t>+76</w:t>
            </w:r>
          </w:p>
        </w:tc>
        <w:tc>
          <w:tcPr>
            <w:tcW w:w="567" w:type="dxa"/>
            <w:tcBorders>
              <w:top w:val="nil"/>
              <w:left w:val="nil"/>
              <w:bottom w:val="nil"/>
              <w:right w:val="nil"/>
            </w:tcBorders>
          </w:tcPr>
          <w:p w:rsidR="001C7BF9" w:rsidRPr="00C9680B" w:rsidRDefault="001C7BF9">
            <w:pPr>
              <w:keepNext/>
              <w:keepLines/>
              <w:spacing w:before="0"/>
              <w:jc w:val="right"/>
              <w:rPr>
                <w:b/>
                <w:sz w:val="17"/>
              </w:rPr>
            </w:pPr>
            <w:r w:rsidRPr="00C9680B">
              <w:rPr>
                <w:b/>
                <w:sz w:val="17"/>
              </w:rPr>
              <w:t>+41</w:t>
            </w:r>
          </w:p>
        </w:tc>
        <w:tc>
          <w:tcPr>
            <w:tcW w:w="567" w:type="dxa"/>
            <w:tcBorders>
              <w:top w:val="nil"/>
              <w:left w:val="nil"/>
              <w:bottom w:val="nil"/>
              <w:right w:val="nil"/>
            </w:tcBorders>
          </w:tcPr>
          <w:p w:rsidR="001C7BF9" w:rsidRPr="00C9680B" w:rsidRDefault="001C7BF9">
            <w:pPr>
              <w:keepNext/>
              <w:keepLines/>
              <w:spacing w:before="0"/>
              <w:jc w:val="right"/>
              <w:rPr>
                <w:b/>
                <w:sz w:val="17"/>
              </w:rPr>
            </w:pPr>
            <w:r w:rsidRPr="00C9680B">
              <w:rPr>
                <w:b/>
                <w:sz w:val="17"/>
              </w:rPr>
              <w:t>+13</w:t>
            </w:r>
          </w:p>
        </w:tc>
        <w:tc>
          <w:tcPr>
            <w:tcW w:w="567" w:type="dxa"/>
            <w:tcBorders>
              <w:top w:val="nil"/>
              <w:left w:val="nil"/>
              <w:bottom w:val="nil"/>
              <w:right w:val="nil"/>
            </w:tcBorders>
          </w:tcPr>
          <w:p w:rsidR="001C7BF9" w:rsidRPr="00C9680B" w:rsidRDefault="001C7BF9">
            <w:pPr>
              <w:keepNext/>
              <w:keepLines/>
              <w:spacing w:before="0"/>
              <w:jc w:val="right"/>
              <w:rPr>
                <w:b/>
                <w:sz w:val="17"/>
              </w:rPr>
            </w:pPr>
            <w:r w:rsidRPr="00C9680B">
              <w:rPr>
                <w:b/>
                <w:sz w:val="17"/>
              </w:rPr>
              <w:t>+27</w:t>
            </w:r>
          </w:p>
        </w:tc>
      </w:tr>
      <w:tr w:rsidR="00000000" w:rsidRPr="00C9680B">
        <w:tblPrEx>
          <w:tblCellMar>
            <w:top w:w="0" w:type="dxa"/>
            <w:bottom w:w="0" w:type="dxa"/>
          </w:tblCellMar>
        </w:tblPrEx>
        <w:trPr>
          <w:tblHeader/>
        </w:trPr>
        <w:tc>
          <w:tcPr>
            <w:tcW w:w="3147" w:type="dxa"/>
            <w:tcBorders>
              <w:top w:val="nil"/>
              <w:left w:val="nil"/>
              <w:bottom w:val="nil"/>
              <w:right w:val="nil"/>
            </w:tcBorders>
          </w:tcPr>
          <w:p w:rsidR="001C7BF9" w:rsidRPr="00C9680B" w:rsidRDefault="001C7BF9">
            <w:pPr>
              <w:keepNext/>
              <w:keepLines/>
              <w:spacing w:before="0"/>
              <w:rPr>
                <w:sz w:val="17"/>
              </w:rPr>
            </w:pPr>
            <w:r w:rsidRPr="00C9680B">
              <w:rPr>
                <w:sz w:val="17"/>
              </w:rPr>
              <w:t>Beräkningsteknisk överföring till hushå</w:t>
            </w:r>
            <w:r w:rsidRPr="00C9680B">
              <w:rPr>
                <w:sz w:val="17"/>
              </w:rPr>
              <w:t>l</w:t>
            </w:r>
            <w:r w:rsidRPr="00C9680B">
              <w:rPr>
                <w:sz w:val="17"/>
              </w:rPr>
              <w:t>len</w:t>
            </w:r>
          </w:p>
        </w:tc>
        <w:tc>
          <w:tcPr>
            <w:tcW w:w="567" w:type="dxa"/>
            <w:tcBorders>
              <w:top w:val="nil"/>
              <w:left w:val="nil"/>
              <w:bottom w:val="nil"/>
              <w:right w:val="nil"/>
            </w:tcBorders>
          </w:tcPr>
          <w:p w:rsidR="001C7BF9" w:rsidRPr="00C9680B" w:rsidRDefault="001C7BF9">
            <w:pPr>
              <w:keepNext/>
              <w:keepLines/>
              <w:spacing w:before="0"/>
              <w:jc w:val="right"/>
              <w:rPr>
                <w:sz w:val="17"/>
              </w:rPr>
            </w:pPr>
            <w:r w:rsidRPr="00C9680B">
              <w:rPr>
                <w:sz w:val="17"/>
              </w:rPr>
              <w:t>–</w:t>
            </w:r>
          </w:p>
        </w:tc>
        <w:tc>
          <w:tcPr>
            <w:tcW w:w="567" w:type="dxa"/>
            <w:tcBorders>
              <w:top w:val="nil"/>
              <w:left w:val="nil"/>
              <w:bottom w:val="nil"/>
              <w:right w:val="nil"/>
            </w:tcBorders>
          </w:tcPr>
          <w:p w:rsidR="001C7BF9" w:rsidRPr="00C9680B" w:rsidRDefault="001C7BF9">
            <w:pPr>
              <w:keepNext/>
              <w:keepLines/>
              <w:spacing w:before="0"/>
              <w:jc w:val="right"/>
              <w:rPr>
                <w:sz w:val="17"/>
              </w:rPr>
            </w:pPr>
            <w:r w:rsidRPr="00C9680B">
              <w:rPr>
                <w:sz w:val="17"/>
              </w:rPr>
              <w:t>–</w:t>
            </w:r>
          </w:p>
        </w:tc>
        <w:tc>
          <w:tcPr>
            <w:tcW w:w="567" w:type="dxa"/>
            <w:tcBorders>
              <w:top w:val="nil"/>
              <w:left w:val="nil"/>
              <w:bottom w:val="nil"/>
              <w:right w:val="nil"/>
            </w:tcBorders>
          </w:tcPr>
          <w:p w:rsidR="001C7BF9" w:rsidRPr="00C9680B" w:rsidRDefault="001C7BF9">
            <w:pPr>
              <w:keepNext/>
              <w:keepLines/>
              <w:spacing w:before="0"/>
              <w:jc w:val="right"/>
              <w:rPr>
                <w:sz w:val="17"/>
              </w:rPr>
            </w:pPr>
            <w:r w:rsidRPr="00C9680B">
              <w:rPr>
                <w:sz w:val="17"/>
              </w:rPr>
              <w:t>–</w:t>
            </w:r>
          </w:p>
        </w:tc>
        <w:tc>
          <w:tcPr>
            <w:tcW w:w="567" w:type="dxa"/>
            <w:tcBorders>
              <w:top w:val="nil"/>
              <w:left w:val="nil"/>
              <w:bottom w:val="nil"/>
              <w:right w:val="nil"/>
            </w:tcBorders>
          </w:tcPr>
          <w:p w:rsidR="001C7BF9" w:rsidRPr="00C9680B" w:rsidRDefault="001C7BF9">
            <w:pPr>
              <w:keepNext/>
              <w:keepLines/>
              <w:spacing w:before="0"/>
              <w:jc w:val="right"/>
              <w:rPr>
                <w:sz w:val="17"/>
              </w:rPr>
            </w:pPr>
            <w:r w:rsidRPr="00C9680B">
              <w:rPr>
                <w:sz w:val="17"/>
              </w:rPr>
              <w:t xml:space="preserve">-30 </w:t>
            </w:r>
          </w:p>
        </w:tc>
        <w:tc>
          <w:tcPr>
            <w:tcW w:w="567" w:type="dxa"/>
            <w:tcBorders>
              <w:top w:val="nil"/>
              <w:left w:val="nil"/>
              <w:bottom w:val="nil"/>
              <w:right w:val="nil"/>
            </w:tcBorders>
          </w:tcPr>
          <w:p w:rsidR="001C7BF9" w:rsidRPr="00C9680B" w:rsidRDefault="001C7BF9">
            <w:pPr>
              <w:keepNext/>
              <w:keepLines/>
              <w:spacing w:before="0"/>
              <w:jc w:val="right"/>
              <w:rPr>
                <w:sz w:val="17"/>
              </w:rPr>
            </w:pPr>
            <w:r w:rsidRPr="00C9680B">
              <w:rPr>
                <w:sz w:val="17"/>
              </w:rPr>
              <w:t>-37</w:t>
            </w:r>
          </w:p>
        </w:tc>
      </w:tr>
      <w:tr w:rsidR="00000000" w:rsidRPr="00C9680B">
        <w:tblPrEx>
          <w:tblCellMar>
            <w:top w:w="0" w:type="dxa"/>
            <w:bottom w:w="0" w:type="dxa"/>
          </w:tblCellMar>
        </w:tblPrEx>
        <w:trPr>
          <w:tblHeader/>
        </w:trPr>
        <w:tc>
          <w:tcPr>
            <w:tcW w:w="3147" w:type="dxa"/>
            <w:tcBorders>
              <w:top w:val="nil"/>
              <w:left w:val="nil"/>
              <w:bottom w:val="nil"/>
              <w:right w:val="nil"/>
            </w:tcBorders>
          </w:tcPr>
          <w:p w:rsidR="001C7BF9" w:rsidRPr="00C9680B" w:rsidRDefault="001C7BF9">
            <w:pPr>
              <w:keepNext/>
              <w:keepLines/>
              <w:spacing w:before="0" w:line="220" w:lineRule="exact"/>
              <w:rPr>
                <w:b/>
                <w:sz w:val="17"/>
              </w:rPr>
            </w:pPr>
            <w:r w:rsidRPr="00C9680B">
              <w:rPr>
                <w:b/>
                <w:sz w:val="17"/>
              </w:rPr>
              <w:t>Statsbudgetens saldo (efter berä</w:t>
            </w:r>
            <w:r w:rsidRPr="00C9680B">
              <w:rPr>
                <w:b/>
                <w:sz w:val="17"/>
              </w:rPr>
              <w:t>k</w:t>
            </w:r>
            <w:r w:rsidRPr="00C9680B">
              <w:rPr>
                <w:b/>
                <w:sz w:val="17"/>
              </w:rPr>
              <w:t>nings-</w:t>
            </w:r>
          </w:p>
          <w:p w:rsidR="001C7BF9" w:rsidRPr="00C9680B" w:rsidRDefault="001C7BF9">
            <w:pPr>
              <w:keepNext/>
              <w:keepLines/>
              <w:spacing w:before="0" w:line="190" w:lineRule="exact"/>
              <w:rPr>
                <w:b/>
                <w:sz w:val="17"/>
              </w:rPr>
            </w:pPr>
            <w:r w:rsidRPr="00C9680B">
              <w:rPr>
                <w:b/>
                <w:sz w:val="17"/>
              </w:rPr>
              <w:t>teknisk överföring till hushå</w:t>
            </w:r>
            <w:r w:rsidRPr="00C9680B">
              <w:rPr>
                <w:b/>
                <w:sz w:val="17"/>
              </w:rPr>
              <w:t>l</w:t>
            </w:r>
            <w:r w:rsidRPr="00C9680B">
              <w:rPr>
                <w:b/>
                <w:sz w:val="17"/>
              </w:rPr>
              <w:t>len)¹</w:t>
            </w:r>
          </w:p>
        </w:tc>
        <w:tc>
          <w:tcPr>
            <w:tcW w:w="567" w:type="dxa"/>
            <w:tcBorders>
              <w:top w:val="nil"/>
              <w:left w:val="nil"/>
              <w:bottom w:val="nil"/>
              <w:right w:val="nil"/>
            </w:tcBorders>
          </w:tcPr>
          <w:p w:rsidR="001C7BF9" w:rsidRPr="00C9680B" w:rsidRDefault="001C7BF9">
            <w:pPr>
              <w:keepNext/>
              <w:keepLines/>
              <w:spacing w:before="0"/>
              <w:jc w:val="right"/>
              <w:rPr>
                <w:b/>
                <w:sz w:val="17"/>
              </w:rPr>
            </w:pPr>
          </w:p>
          <w:p w:rsidR="001C7BF9" w:rsidRPr="00C9680B" w:rsidRDefault="001C7BF9">
            <w:pPr>
              <w:keepNext/>
              <w:keepLines/>
              <w:spacing w:before="0" w:line="190" w:lineRule="exact"/>
              <w:jc w:val="right"/>
              <w:rPr>
                <w:b/>
                <w:sz w:val="17"/>
              </w:rPr>
            </w:pPr>
            <w:r w:rsidRPr="00C9680B">
              <w:rPr>
                <w:b/>
                <w:sz w:val="17"/>
              </w:rPr>
              <w:t>+82</w:t>
            </w:r>
          </w:p>
        </w:tc>
        <w:tc>
          <w:tcPr>
            <w:tcW w:w="567" w:type="dxa"/>
            <w:tcBorders>
              <w:top w:val="nil"/>
              <w:left w:val="nil"/>
              <w:bottom w:val="nil"/>
              <w:right w:val="nil"/>
            </w:tcBorders>
          </w:tcPr>
          <w:p w:rsidR="001C7BF9" w:rsidRPr="00C9680B" w:rsidRDefault="001C7BF9">
            <w:pPr>
              <w:keepNext/>
              <w:keepLines/>
              <w:spacing w:before="0"/>
              <w:jc w:val="right"/>
              <w:rPr>
                <w:b/>
                <w:sz w:val="17"/>
              </w:rPr>
            </w:pPr>
          </w:p>
          <w:p w:rsidR="001C7BF9" w:rsidRPr="00C9680B" w:rsidRDefault="001C7BF9">
            <w:pPr>
              <w:keepNext/>
              <w:keepLines/>
              <w:spacing w:before="0" w:line="190" w:lineRule="exact"/>
              <w:jc w:val="right"/>
              <w:rPr>
                <w:b/>
                <w:sz w:val="17"/>
              </w:rPr>
            </w:pPr>
            <w:r w:rsidRPr="00C9680B">
              <w:rPr>
                <w:b/>
                <w:sz w:val="17"/>
              </w:rPr>
              <w:t>+76</w:t>
            </w:r>
          </w:p>
        </w:tc>
        <w:tc>
          <w:tcPr>
            <w:tcW w:w="567" w:type="dxa"/>
            <w:tcBorders>
              <w:top w:val="nil"/>
              <w:left w:val="nil"/>
              <w:bottom w:val="nil"/>
              <w:right w:val="nil"/>
            </w:tcBorders>
          </w:tcPr>
          <w:p w:rsidR="001C7BF9" w:rsidRPr="00C9680B" w:rsidRDefault="001C7BF9">
            <w:pPr>
              <w:keepNext/>
              <w:keepLines/>
              <w:spacing w:before="0"/>
              <w:jc w:val="right"/>
              <w:rPr>
                <w:b/>
                <w:sz w:val="17"/>
              </w:rPr>
            </w:pPr>
          </w:p>
          <w:p w:rsidR="001C7BF9" w:rsidRPr="00C9680B" w:rsidRDefault="001C7BF9">
            <w:pPr>
              <w:keepNext/>
              <w:keepLines/>
              <w:spacing w:before="0" w:line="190" w:lineRule="exact"/>
              <w:jc w:val="right"/>
              <w:rPr>
                <w:b/>
                <w:sz w:val="17"/>
              </w:rPr>
            </w:pPr>
            <w:r w:rsidRPr="00C9680B">
              <w:rPr>
                <w:b/>
                <w:sz w:val="17"/>
              </w:rPr>
              <w:t>+41</w:t>
            </w:r>
          </w:p>
        </w:tc>
        <w:tc>
          <w:tcPr>
            <w:tcW w:w="567" w:type="dxa"/>
            <w:tcBorders>
              <w:top w:val="nil"/>
              <w:left w:val="nil"/>
              <w:bottom w:val="nil"/>
              <w:right w:val="nil"/>
            </w:tcBorders>
          </w:tcPr>
          <w:p w:rsidR="001C7BF9" w:rsidRPr="00C9680B" w:rsidRDefault="001C7BF9">
            <w:pPr>
              <w:keepNext/>
              <w:keepLines/>
              <w:spacing w:before="0"/>
              <w:jc w:val="right"/>
              <w:rPr>
                <w:b/>
                <w:sz w:val="17"/>
              </w:rPr>
            </w:pPr>
          </w:p>
          <w:p w:rsidR="001C7BF9" w:rsidRPr="00C9680B" w:rsidRDefault="001C7BF9">
            <w:pPr>
              <w:keepNext/>
              <w:keepLines/>
              <w:spacing w:before="0" w:line="190" w:lineRule="exact"/>
              <w:jc w:val="right"/>
              <w:rPr>
                <w:b/>
                <w:sz w:val="17"/>
              </w:rPr>
            </w:pPr>
            <w:r w:rsidRPr="00C9680B">
              <w:rPr>
                <w:b/>
                <w:sz w:val="17"/>
              </w:rPr>
              <w:t>-17</w:t>
            </w:r>
          </w:p>
        </w:tc>
        <w:tc>
          <w:tcPr>
            <w:tcW w:w="567" w:type="dxa"/>
            <w:tcBorders>
              <w:top w:val="nil"/>
              <w:left w:val="nil"/>
              <w:bottom w:val="nil"/>
              <w:right w:val="nil"/>
            </w:tcBorders>
          </w:tcPr>
          <w:p w:rsidR="001C7BF9" w:rsidRPr="00C9680B" w:rsidRDefault="001C7BF9">
            <w:pPr>
              <w:keepNext/>
              <w:keepLines/>
              <w:spacing w:before="0"/>
              <w:jc w:val="right"/>
              <w:rPr>
                <w:b/>
                <w:sz w:val="17"/>
              </w:rPr>
            </w:pPr>
          </w:p>
          <w:p w:rsidR="001C7BF9" w:rsidRPr="00C9680B" w:rsidRDefault="001C7BF9">
            <w:pPr>
              <w:keepNext/>
              <w:keepLines/>
              <w:spacing w:before="0" w:line="190" w:lineRule="exact"/>
              <w:jc w:val="right"/>
              <w:rPr>
                <w:b/>
                <w:sz w:val="17"/>
              </w:rPr>
            </w:pPr>
            <w:r w:rsidRPr="00C9680B">
              <w:rPr>
                <w:b/>
                <w:sz w:val="17"/>
              </w:rPr>
              <w:t>-10</w:t>
            </w:r>
          </w:p>
        </w:tc>
      </w:tr>
      <w:tr w:rsidR="00000000" w:rsidRPr="00C9680B">
        <w:tblPrEx>
          <w:tblCellMar>
            <w:top w:w="0" w:type="dxa"/>
            <w:bottom w:w="0" w:type="dxa"/>
          </w:tblCellMar>
        </w:tblPrEx>
        <w:trPr>
          <w:tblHeader/>
        </w:trPr>
        <w:tc>
          <w:tcPr>
            <w:tcW w:w="3147" w:type="dxa"/>
            <w:tcBorders>
              <w:top w:val="nil"/>
              <w:left w:val="nil"/>
              <w:bottom w:val="nil"/>
              <w:right w:val="nil"/>
            </w:tcBorders>
          </w:tcPr>
          <w:p w:rsidR="001C7BF9" w:rsidRPr="00C9680B" w:rsidRDefault="001C7BF9">
            <w:pPr>
              <w:keepNext/>
              <w:keepLines/>
              <w:spacing w:before="0"/>
              <w:rPr>
                <w:b/>
                <w:sz w:val="17"/>
              </w:rPr>
            </w:pPr>
            <w:r w:rsidRPr="00C9680B">
              <w:rPr>
                <w:b/>
                <w:sz w:val="17"/>
              </w:rPr>
              <w:t>Större engångseffekter¹</w:t>
            </w:r>
          </w:p>
        </w:tc>
        <w:tc>
          <w:tcPr>
            <w:tcW w:w="567" w:type="dxa"/>
            <w:tcBorders>
              <w:top w:val="nil"/>
              <w:left w:val="nil"/>
              <w:bottom w:val="nil"/>
              <w:right w:val="nil"/>
            </w:tcBorders>
          </w:tcPr>
          <w:p w:rsidR="001C7BF9" w:rsidRPr="00C9680B" w:rsidRDefault="001C7BF9">
            <w:pPr>
              <w:keepNext/>
              <w:keepLines/>
              <w:spacing w:before="0"/>
              <w:jc w:val="right"/>
              <w:rPr>
                <w:b/>
                <w:sz w:val="17"/>
              </w:rPr>
            </w:pPr>
            <w:r w:rsidRPr="00C9680B">
              <w:rPr>
                <w:b/>
                <w:sz w:val="17"/>
              </w:rPr>
              <w:t>+72</w:t>
            </w:r>
          </w:p>
        </w:tc>
        <w:tc>
          <w:tcPr>
            <w:tcW w:w="567" w:type="dxa"/>
            <w:tcBorders>
              <w:top w:val="nil"/>
              <w:left w:val="nil"/>
              <w:bottom w:val="nil"/>
              <w:right w:val="nil"/>
            </w:tcBorders>
          </w:tcPr>
          <w:p w:rsidR="001C7BF9" w:rsidRPr="00C9680B" w:rsidRDefault="001C7BF9">
            <w:pPr>
              <w:keepNext/>
              <w:keepLines/>
              <w:spacing w:before="0"/>
              <w:jc w:val="right"/>
              <w:rPr>
                <w:b/>
                <w:sz w:val="17"/>
              </w:rPr>
            </w:pPr>
            <w:r w:rsidRPr="00C9680B">
              <w:rPr>
                <w:b/>
                <w:sz w:val="17"/>
              </w:rPr>
              <w:t>+88</w:t>
            </w:r>
          </w:p>
        </w:tc>
        <w:tc>
          <w:tcPr>
            <w:tcW w:w="567" w:type="dxa"/>
            <w:tcBorders>
              <w:top w:val="nil"/>
              <w:left w:val="nil"/>
              <w:bottom w:val="nil"/>
              <w:right w:val="nil"/>
            </w:tcBorders>
          </w:tcPr>
          <w:p w:rsidR="001C7BF9" w:rsidRPr="00C9680B" w:rsidRDefault="001C7BF9">
            <w:pPr>
              <w:keepNext/>
              <w:keepLines/>
              <w:spacing w:before="0"/>
              <w:jc w:val="right"/>
              <w:rPr>
                <w:b/>
                <w:sz w:val="17"/>
              </w:rPr>
            </w:pPr>
            <w:r w:rsidRPr="00C9680B">
              <w:rPr>
                <w:b/>
                <w:sz w:val="17"/>
              </w:rPr>
              <w:t>+69</w:t>
            </w:r>
          </w:p>
        </w:tc>
        <w:tc>
          <w:tcPr>
            <w:tcW w:w="567" w:type="dxa"/>
            <w:tcBorders>
              <w:top w:val="nil"/>
              <w:left w:val="nil"/>
              <w:bottom w:val="nil"/>
              <w:right w:val="nil"/>
            </w:tcBorders>
          </w:tcPr>
          <w:p w:rsidR="001C7BF9" w:rsidRPr="00C9680B" w:rsidRDefault="001C7BF9">
            <w:pPr>
              <w:keepNext/>
              <w:keepLines/>
              <w:spacing w:before="0"/>
              <w:jc w:val="right"/>
              <w:rPr>
                <w:b/>
                <w:sz w:val="17"/>
              </w:rPr>
            </w:pPr>
            <w:r w:rsidRPr="00C9680B">
              <w:rPr>
                <w:b/>
                <w:sz w:val="17"/>
              </w:rPr>
              <w:t>+24</w:t>
            </w:r>
          </w:p>
        </w:tc>
        <w:tc>
          <w:tcPr>
            <w:tcW w:w="567" w:type="dxa"/>
            <w:tcBorders>
              <w:top w:val="nil"/>
              <w:left w:val="nil"/>
              <w:bottom w:val="nil"/>
              <w:right w:val="nil"/>
            </w:tcBorders>
          </w:tcPr>
          <w:p w:rsidR="001C7BF9" w:rsidRPr="00C9680B" w:rsidRDefault="001C7BF9">
            <w:pPr>
              <w:keepNext/>
              <w:keepLines/>
              <w:spacing w:before="0"/>
              <w:jc w:val="right"/>
              <w:rPr>
                <w:b/>
                <w:sz w:val="17"/>
              </w:rPr>
            </w:pPr>
            <w:r w:rsidRPr="00C9680B">
              <w:rPr>
                <w:b/>
                <w:sz w:val="17"/>
              </w:rPr>
              <w:t>+29</w:t>
            </w:r>
          </w:p>
        </w:tc>
      </w:tr>
      <w:tr w:rsidR="00000000" w:rsidRPr="00C9680B">
        <w:tblPrEx>
          <w:tblCellMar>
            <w:top w:w="0" w:type="dxa"/>
            <w:bottom w:w="0" w:type="dxa"/>
          </w:tblCellMar>
        </w:tblPrEx>
        <w:trPr>
          <w:trHeight w:hRule="exact" w:val="200"/>
          <w:tblHeader/>
        </w:trPr>
        <w:tc>
          <w:tcPr>
            <w:tcW w:w="3147" w:type="dxa"/>
            <w:tcBorders>
              <w:top w:val="nil"/>
              <w:left w:val="nil"/>
              <w:bottom w:val="nil"/>
              <w:right w:val="nil"/>
            </w:tcBorders>
          </w:tcPr>
          <w:p w:rsidR="001C7BF9" w:rsidRPr="00C9680B" w:rsidRDefault="001C7BF9">
            <w:pPr>
              <w:keepNext/>
              <w:keepLines/>
              <w:spacing w:before="0" w:line="180" w:lineRule="atLeast"/>
              <w:rPr>
                <w:sz w:val="17"/>
              </w:rPr>
            </w:pPr>
            <w:r w:rsidRPr="00C9680B">
              <w:rPr>
                <w:sz w:val="17"/>
              </w:rPr>
              <w:t>varav Försäljning av statliga bolag m.m.</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+1</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+75</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+15</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+15</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+15</w:t>
            </w:r>
          </w:p>
        </w:tc>
      </w:tr>
      <w:tr w:rsidR="00000000" w:rsidRPr="00C9680B">
        <w:tblPrEx>
          <w:tblCellMar>
            <w:top w:w="0" w:type="dxa"/>
            <w:bottom w:w="0" w:type="dxa"/>
          </w:tblCellMar>
        </w:tblPrEx>
        <w:trPr>
          <w:trHeight w:hRule="exact" w:val="200"/>
          <w:tblHeader/>
        </w:trPr>
        <w:tc>
          <w:tcPr>
            <w:tcW w:w="3147" w:type="dxa"/>
            <w:tcBorders>
              <w:top w:val="nil"/>
              <w:left w:val="nil"/>
              <w:bottom w:val="nil"/>
              <w:right w:val="nil"/>
            </w:tcBorders>
          </w:tcPr>
          <w:p w:rsidR="001C7BF9" w:rsidRPr="00C9680B" w:rsidRDefault="001C7BF9">
            <w:pPr>
              <w:keepNext/>
              <w:keepLines/>
              <w:spacing w:before="0" w:line="180" w:lineRule="atLeast"/>
              <w:rPr>
                <w:sz w:val="17"/>
              </w:rPr>
            </w:pPr>
            <w:r w:rsidRPr="00C9680B">
              <w:rPr>
                <w:sz w:val="17"/>
              </w:rPr>
              <w:t xml:space="preserve">          Överkonsolidering av SPP</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+8</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w:t>
            </w:r>
          </w:p>
        </w:tc>
      </w:tr>
      <w:tr w:rsidR="00000000" w:rsidRPr="00C9680B">
        <w:tblPrEx>
          <w:tblCellMar>
            <w:top w:w="0" w:type="dxa"/>
            <w:bottom w:w="0" w:type="dxa"/>
          </w:tblCellMar>
        </w:tblPrEx>
        <w:trPr>
          <w:trHeight w:hRule="exact" w:val="200"/>
          <w:tblHeader/>
        </w:trPr>
        <w:tc>
          <w:tcPr>
            <w:tcW w:w="3147" w:type="dxa"/>
            <w:tcBorders>
              <w:top w:val="nil"/>
              <w:left w:val="nil"/>
              <w:bottom w:val="nil"/>
              <w:right w:val="nil"/>
            </w:tcBorders>
          </w:tcPr>
          <w:p w:rsidR="001C7BF9" w:rsidRPr="00C9680B" w:rsidRDefault="001C7BF9">
            <w:pPr>
              <w:keepNext/>
              <w:keepLines/>
              <w:spacing w:before="0" w:line="180" w:lineRule="atLeast"/>
              <w:rPr>
                <w:sz w:val="17"/>
              </w:rPr>
            </w:pPr>
            <w:r w:rsidRPr="00C9680B">
              <w:rPr>
                <w:sz w:val="17"/>
              </w:rPr>
              <w:t xml:space="preserve">          Överföring från AP-fonden¹</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+45</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+45</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+46</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+9</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+14</w:t>
            </w:r>
          </w:p>
        </w:tc>
      </w:tr>
      <w:tr w:rsidR="00000000" w:rsidRPr="00C9680B">
        <w:tblPrEx>
          <w:tblCellMar>
            <w:top w:w="0" w:type="dxa"/>
            <w:bottom w:w="0" w:type="dxa"/>
          </w:tblCellMar>
        </w:tblPrEx>
        <w:trPr>
          <w:trHeight w:hRule="exact" w:val="200"/>
          <w:tblHeader/>
        </w:trPr>
        <w:tc>
          <w:tcPr>
            <w:tcW w:w="3147" w:type="dxa"/>
            <w:tcBorders>
              <w:top w:val="nil"/>
              <w:left w:val="nil"/>
              <w:bottom w:val="nil"/>
              <w:right w:val="nil"/>
            </w:tcBorders>
          </w:tcPr>
          <w:p w:rsidR="001C7BF9" w:rsidRPr="00C9680B" w:rsidRDefault="001C7BF9">
            <w:pPr>
              <w:pStyle w:val="Fotnotstext"/>
              <w:keepNext/>
              <w:keepLines/>
              <w:spacing w:line="180" w:lineRule="atLeast"/>
            </w:pPr>
            <w:r w:rsidRPr="00C9680B">
              <w:t xml:space="preserve">          Premiepensionsmedel, netto</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+26</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-32</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w:t>
            </w:r>
          </w:p>
        </w:tc>
        <w:tc>
          <w:tcPr>
            <w:tcW w:w="567" w:type="dxa"/>
            <w:tcBorders>
              <w:top w:val="nil"/>
              <w:left w:val="nil"/>
              <w:bottom w:val="nil"/>
              <w:right w:val="nil"/>
            </w:tcBorders>
          </w:tcPr>
          <w:p w:rsidR="001C7BF9" w:rsidRPr="00C9680B" w:rsidRDefault="001C7BF9">
            <w:pPr>
              <w:keepNext/>
              <w:keepLines/>
              <w:spacing w:before="0" w:line="180" w:lineRule="atLeast"/>
              <w:jc w:val="right"/>
              <w:rPr>
                <w:sz w:val="17"/>
              </w:rPr>
            </w:pPr>
            <w:r w:rsidRPr="00C9680B">
              <w:rPr>
                <w:sz w:val="17"/>
              </w:rPr>
              <w:t>–</w:t>
            </w:r>
          </w:p>
        </w:tc>
      </w:tr>
      <w:tr w:rsidR="00000000" w:rsidRPr="00C9680B">
        <w:tblPrEx>
          <w:tblCellMar>
            <w:top w:w="0" w:type="dxa"/>
            <w:bottom w:w="0" w:type="dxa"/>
          </w:tblCellMar>
        </w:tblPrEx>
        <w:trPr>
          <w:tblHeader/>
        </w:trPr>
        <w:tc>
          <w:tcPr>
            <w:tcW w:w="3147" w:type="dxa"/>
            <w:tcBorders>
              <w:top w:val="nil"/>
              <w:left w:val="nil"/>
              <w:bottom w:val="nil"/>
              <w:right w:val="nil"/>
            </w:tcBorders>
          </w:tcPr>
          <w:p w:rsidR="001C7BF9" w:rsidRPr="00C9680B" w:rsidRDefault="001C7BF9">
            <w:pPr>
              <w:keepNext/>
              <w:keepLines/>
              <w:spacing w:before="0"/>
              <w:rPr>
                <w:b/>
                <w:sz w:val="17"/>
              </w:rPr>
            </w:pPr>
            <w:r w:rsidRPr="00C9680B">
              <w:rPr>
                <w:b/>
                <w:sz w:val="17"/>
              </w:rPr>
              <w:t>Underliggande budgetsaldo</w:t>
            </w:r>
          </w:p>
        </w:tc>
        <w:tc>
          <w:tcPr>
            <w:tcW w:w="567" w:type="dxa"/>
            <w:tcBorders>
              <w:top w:val="nil"/>
              <w:left w:val="nil"/>
              <w:bottom w:val="nil"/>
              <w:right w:val="nil"/>
            </w:tcBorders>
          </w:tcPr>
          <w:p w:rsidR="001C7BF9" w:rsidRPr="00C9680B" w:rsidRDefault="001C7BF9">
            <w:pPr>
              <w:keepNext/>
              <w:keepLines/>
              <w:spacing w:before="0"/>
              <w:jc w:val="right"/>
              <w:rPr>
                <w:b/>
                <w:sz w:val="17"/>
              </w:rPr>
            </w:pPr>
            <w:r w:rsidRPr="00C9680B">
              <w:rPr>
                <w:b/>
                <w:sz w:val="17"/>
              </w:rPr>
              <w:t>+10</w:t>
            </w:r>
          </w:p>
        </w:tc>
        <w:tc>
          <w:tcPr>
            <w:tcW w:w="567" w:type="dxa"/>
            <w:tcBorders>
              <w:top w:val="nil"/>
              <w:left w:val="nil"/>
              <w:bottom w:val="nil"/>
              <w:right w:val="nil"/>
            </w:tcBorders>
          </w:tcPr>
          <w:p w:rsidR="001C7BF9" w:rsidRPr="00C9680B" w:rsidRDefault="001C7BF9">
            <w:pPr>
              <w:keepNext/>
              <w:keepLines/>
              <w:spacing w:before="0"/>
              <w:jc w:val="right"/>
              <w:rPr>
                <w:b/>
                <w:sz w:val="17"/>
              </w:rPr>
            </w:pPr>
            <w:r w:rsidRPr="00C9680B">
              <w:rPr>
                <w:b/>
                <w:sz w:val="17"/>
              </w:rPr>
              <w:t>-12</w:t>
            </w:r>
          </w:p>
        </w:tc>
        <w:tc>
          <w:tcPr>
            <w:tcW w:w="567" w:type="dxa"/>
            <w:tcBorders>
              <w:top w:val="nil"/>
              <w:left w:val="nil"/>
              <w:bottom w:val="nil"/>
              <w:right w:val="nil"/>
            </w:tcBorders>
          </w:tcPr>
          <w:p w:rsidR="001C7BF9" w:rsidRPr="00C9680B" w:rsidRDefault="001C7BF9">
            <w:pPr>
              <w:keepNext/>
              <w:keepLines/>
              <w:spacing w:before="0"/>
              <w:jc w:val="right"/>
              <w:rPr>
                <w:b/>
                <w:sz w:val="17"/>
              </w:rPr>
            </w:pPr>
            <w:r w:rsidRPr="00C9680B">
              <w:rPr>
                <w:b/>
                <w:sz w:val="17"/>
              </w:rPr>
              <w:t>-28</w:t>
            </w:r>
          </w:p>
        </w:tc>
        <w:tc>
          <w:tcPr>
            <w:tcW w:w="567" w:type="dxa"/>
            <w:tcBorders>
              <w:top w:val="nil"/>
              <w:left w:val="nil"/>
              <w:bottom w:val="nil"/>
              <w:right w:val="nil"/>
            </w:tcBorders>
          </w:tcPr>
          <w:p w:rsidR="001C7BF9" w:rsidRPr="00C9680B" w:rsidRDefault="001C7BF9">
            <w:pPr>
              <w:keepNext/>
              <w:keepLines/>
              <w:spacing w:before="0"/>
              <w:jc w:val="right"/>
              <w:rPr>
                <w:b/>
                <w:sz w:val="17"/>
              </w:rPr>
            </w:pPr>
            <w:r w:rsidRPr="00C9680B">
              <w:rPr>
                <w:b/>
                <w:sz w:val="17"/>
              </w:rPr>
              <w:t>-40</w:t>
            </w:r>
          </w:p>
        </w:tc>
        <w:tc>
          <w:tcPr>
            <w:tcW w:w="567" w:type="dxa"/>
            <w:tcBorders>
              <w:top w:val="nil"/>
              <w:left w:val="nil"/>
              <w:bottom w:val="nil"/>
              <w:right w:val="nil"/>
            </w:tcBorders>
          </w:tcPr>
          <w:p w:rsidR="001C7BF9" w:rsidRPr="00C9680B" w:rsidRDefault="001C7BF9">
            <w:pPr>
              <w:keepNext/>
              <w:keepLines/>
              <w:spacing w:before="0"/>
              <w:jc w:val="right"/>
              <w:rPr>
                <w:b/>
                <w:sz w:val="17"/>
              </w:rPr>
            </w:pPr>
            <w:r w:rsidRPr="00C9680B">
              <w:rPr>
                <w:b/>
                <w:sz w:val="17"/>
              </w:rPr>
              <w:t>-39</w:t>
            </w:r>
          </w:p>
        </w:tc>
      </w:tr>
      <w:tr w:rsidR="00000000" w:rsidRPr="00C9680B">
        <w:tblPrEx>
          <w:tblCellMar>
            <w:top w:w="0" w:type="dxa"/>
            <w:bottom w:w="0" w:type="dxa"/>
          </w:tblCellMar>
        </w:tblPrEx>
        <w:trPr>
          <w:trHeight w:hRule="exact" w:val="60"/>
          <w:tblHeader/>
        </w:trPr>
        <w:tc>
          <w:tcPr>
            <w:tcW w:w="3147" w:type="dxa"/>
            <w:tcBorders>
              <w:top w:val="nil"/>
              <w:left w:val="nil"/>
              <w:bottom w:val="single" w:sz="4" w:space="0" w:color="auto"/>
              <w:right w:val="nil"/>
            </w:tcBorders>
          </w:tcPr>
          <w:p w:rsidR="001C7BF9" w:rsidRPr="00C9680B" w:rsidRDefault="001C7BF9">
            <w:pPr>
              <w:keepNext/>
              <w:keepLines/>
              <w:rPr>
                <w:sz w:val="17"/>
              </w:rPr>
            </w:pPr>
          </w:p>
        </w:tc>
        <w:tc>
          <w:tcPr>
            <w:tcW w:w="567" w:type="dxa"/>
            <w:tcBorders>
              <w:top w:val="nil"/>
              <w:left w:val="nil"/>
              <w:bottom w:val="single" w:sz="4" w:space="0" w:color="auto"/>
              <w:right w:val="nil"/>
            </w:tcBorders>
          </w:tcPr>
          <w:p w:rsidR="001C7BF9" w:rsidRPr="00C9680B" w:rsidRDefault="001C7BF9">
            <w:pPr>
              <w:keepNext/>
              <w:keepLines/>
              <w:jc w:val="right"/>
              <w:rPr>
                <w:sz w:val="17"/>
              </w:rPr>
            </w:pPr>
          </w:p>
        </w:tc>
        <w:tc>
          <w:tcPr>
            <w:tcW w:w="567" w:type="dxa"/>
            <w:tcBorders>
              <w:top w:val="nil"/>
              <w:left w:val="nil"/>
              <w:bottom w:val="single" w:sz="4" w:space="0" w:color="auto"/>
              <w:right w:val="nil"/>
            </w:tcBorders>
          </w:tcPr>
          <w:p w:rsidR="001C7BF9" w:rsidRPr="00C9680B" w:rsidRDefault="001C7BF9">
            <w:pPr>
              <w:keepNext/>
              <w:keepLines/>
              <w:jc w:val="right"/>
              <w:rPr>
                <w:sz w:val="17"/>
              </w:rPr>
            </w:pPr>
          </w:p>
        </w:tc>
        <w:tc>
          <w:tcPr>
            <w:tcW w:w="567" w:type="dxa"/>
            <w:tcBorders>
              <w:top w:val="nil"/>
              <w:left w:val="nil"/>
              <w:bottom w:val="single" w:sz="4" w:space="0" w:color="auto"/>
              <w:right w:val="nil"/>
            </w:tcBorders>
          </w:tcPr>
          <w:p w:rsidR="001C7BF9" w:rsidRPr="00C9680B" w:rsidRDefault="001C7BF9">
            <w:pPr>
              <w:keepNext/>
              <w:keepLines/>
              <w:jc w:val="right"/>
              <w:rPr>
                <w:sz w:val="17"/>
              </w:rPr>
            </w:pPr>
          </w:p>
        </w:tc>
        <w:tc>
          <w:tcPr>
            <w:tcW w:w="567" w:type="dxa"/>
            <w:tcBorders>
              <w:top w:val="nil"/>
              <w:left w:val="nil"/>
              <w:bottom w:val="single" w:sz="4" w:space="0" w:color="auto"/>
              <w:right w:val="nil"/>
            </w:tcBorders>
          </w:tcPr>
          <w:p w:rsidR="001C7BF9" w:rsidRPr="00C9680B" w:rsidRDefault="001C7BF9">
            <w:pPr>
              <w:keepNext/>
              <w:keepLines/>
              <w:jc w:val="right"/>
              <w:rPr>
                <w:sz w:val="17"/>
              </w:rPr>
            </w:pPr>
          </w:p>
        </w:tc>
        <w:tc>
          <w:tcPr>
            <w:tcW w:w="567" w:type="dxa"/>
            <w:tcBorders>
              <w:top w:val="nil"/>
              <w:left w:val="nil"/>
              <w:bottom w:val="single" w:sz="4" w:space="0" w:color="auto"/>
              <w:right w:val="nil"/>
            </w:tcBorders>
          </w:tcPr>
          <w:p w:rsidR="001C7BF9" w:rsidRPr="00C9680B" w:rsidRDefault="001C7BF9">
            <w:pPr>
              <w:keepNext/>
              <w:keepLines/>
              <w:jc w:val="right"/>
              <w:rPr>
                <w:sz w:val="17"/>
              </w:rPr>
            </w:pPr>
          </w:p>
        </w:tc>
      </w:tr>
    </w:tbl>
    <w:p w:rsidR="001C7BF9" w:rsidRPr="00C9680B" w:rsidRDefault="001C7BF9">
      <w:pPr>
        <w:pStyle w:val="Tabell"/>
        <w:keepNext/>
        <w:keepLines/>
        <w:spacing w:line="60" w:lineRule="exact"/>
        <w:rPr>
          <w:sz w:val="6"/>
        </w:rPr>
      </w:pPr>
      <w:bookmarkStart w:id="144" w:name="_Toc452873152"/>
      <w:bookmarkStart w:id="145" w:name="_Toc453408088"/>
      <w:bookmarkStart w:id="146" w:name="_Toc466179188"/>
      <w:bookmarkStart w:id="147" w:name="_Toc466882366"/>
    </w:p>
    <w:p w:rsidR="001C7BF9" w:rsidRPr="00C9680B" w:rsidRDefault="001C7BF9">
      <w:pPr>
        <w:pStyle w:val="Tabell"/>
        <w:keepLines/>
        <w:spacing w:line="200" w:lineRule="exact"/>
        <w:ind w:left="142" w:hanging="142"/>
        <w:rPr>
          <w:sz w:val="16"/>
        </w:rPr>
      </w:pPr>
      <w:r w:rsidRPr="00C9680B">
        <w:rPr>
          <w:sz w:val="16"/>
        </w:rPr>
        <w:t>¹ Värdena för 2001, 2002 och 2003 har i jämförelse med tabellerna 4.17 och 4.18 i budge</w:t>
      </w:r>
      <w:r w:rsidRPr="00C9680B">
        <w:rPr>
          <w:sz w:val="16"/>
        </w:rPr>
        <w:t>t</w:t>
      </w:r>
      <w:r w:rsidRPr="00C9680B">
        <w:rPr>
          <w:sz w:val="16"/>
        </w:rPr>
        <w:t>propositionen korrigerats med hänsyn till regeringens beslut den 19 oktober 2000 om överföring av en större post obligationer från AP-fonden (se efterföljande avsnitt). Korr</w:t>
      </w:r>
      <w:r w:rsidRPr="00C9680B">
        <w:rPr>
          <w:sz w:val="16"/>
        </w:rPr>
        <w:t>i</w:t>
      </w:r>
      <w:r w:rsidRPr="00C9680B">
        <w:rPr>
          <w:sz w:val="16"/>
        </w:rPr>
        <w:t>geringarna påverkar beloppen på de fyra rader som är markerade med ¹. Däremot påverkas inte det underliggande budgetsa</w:t>
      </w:r>
      <w:r w:rsidRPr="00C9680B">
        <w:rPr>
          <w:sz w:val="16"/>
        </w:rPr>
        <w:t>l</w:t>
      </w:r>
      <w:r w:rsidRPr="00C9680B">
        <w:rPr>
          <w:sz w:val="16"/>
        </w:rPr>
        <w:t>dot.</w:t>
      </w:r>
    </w:p>
    <w:p w:rsidR="001C7BF9" w:rsidRPr="00C9680B" w:rsidRDefault="001C7BF9">
      <w:pPr>
        <w:pStyle w:val="Tabell"/>
        <w:keepLines/>
        <w:spacing w:line="200" w:lineRule="exact"/>
        <w:ind w:left="142" w:hanging="142"/>
        <w:rPr>
          <w:sz w:val="16"/>
        </w:rPr>
      </w:pPr>
    </w:p>
    <w:p w:rsidR="001C7BF9" w:rsidRPr="00C9680B" w:rsidRDefault="001C7BF9">
      <w:pPr>
        <w:pStyle w:val="Utskottetsvervganden-RubrikFrslagspunkt"/>
        <w:outlineLvl w:val="0"/>
      </w:pPr>
      <w:bookmarkStart w:id="148" w:name="_Toc498245128"/>
      <w:bookmarkStart w:id="149" w:name="_Toc498910689"/>
      <w:bookmarkEnd w:id="144"/>
      <w:bookmarkEnd w:id="145"/>
      <w:bookmarkEnd w:id="146"/>
      <w:bookmarkEnd w:id="147"/>
      <w:r w:rsidRPr="00C9680B">
        <w:t>2.3 Mål för budgetpolitiken</w:t>
      </w:r>
      <w:bookmarkEnd w:id="148"/>
      <w:bookmarkEnd w:id="149"/>
    </w:p>
    <w:p w:rsidR="001C7BF9" w:rsidRPr="00C9680B" w:rsidRDefault="001C7BF9">
      <w:pPr>
        <w:pStyle w:val="Utskottsfrslagikorthet-Rubrik"/>
        <w:outlineLvl w:val="0"/>
        <w:rPr>
          <w:noProof w:val="0"/>
        </w:rPr>
      </w:pPr>
      <w:r w:rsidRPr="00C9680B">
        <w:rPr>
          <w:noProof w:val="0"/>
        </w:rPr>
        <w:t>Utskottets förslag i korthet</w:t>
      </w:r>
    </w:p>
    <w:p w:rsidR="001C7BF9" w:rsidRPr="00C9680B" w:rsidRDefault="001C7BF9">
      <w:pPr>
        <w:pStyle w:val="Utskottsfrslagikorthet-Rubrik"/>
        <w:spacing w:before="0"/>
        <w:rPr>
          <w:b w:val="0"/>
          <w:noProof w:val="0"/>
        </w:rPr>
      </w:pPr>
      <w:r w:rsidRPr="00C9680B">
        <w:rPr>
          <w:b w:val="0"/>
          <w:noProof w:val="0"/>
        </w:rPr>
        <w:t>Riksdagen bifaller regeringens förslag om att målet för överskottet i de offentliga finanserna skall höjas från 2,0 till 2,5 % av BNP för 2001 (punkt 4) och avslår därmed motionerna Fi208 (m) yrkande 4 och 8, Fi209 (kd) yrkande 4 samt Fi211 (fp) yrkande 4.</w:t>
      </w:r>
    </w:p>
    <w:p w:rsidR="001C7BF9" w:rsidRPr="00C9680B" w:rsidRDefault="001C7BF9">
      <w:pPr>
        <w:pStyle w:val="Utskottsfrslagikorthet-Text"/>
      </w:pPr>
      <w:r w:rsidRPr="00C9680B">
        <w:t>Jämför reservationerna 9 (m), 10 (kd) och 11 (fp).</w:t>
      </w:r>
    </w:p>
    <w:p w:rsidR="001C7BF9" w:rsidRPr="00C9680B" w:rsidRDefault="001C7BF9">
      <w:pPr>
        <w:pStyle w:val="Tabell"/>
        <w:keepNext/>
      </w:pPr>
    </w:p>
    <w:p w:rsidR="001C7BF9" w:rsidRPr="00C9680B" w:rsidRDefault="001C7BF9">
      <w:r w:rsidRPr="00C9680B">
        <w:t>Riksdagen har lagt fast ett långsiktigt mål för budgetpolitiken som innebär att de offentliga finanserna skall uppvisa ett överskott på i genomsnitt 2 % av BNP sett över en konjunkturcykel. Samma nivå har hittills också gällt som delmål för vart och ett av åren 2000–2003.</w:t>
      </w:r>
    </w:p>
    <w:p w:rsidR="001C7BF9" w:rsidRPr="00C9680B" w:rsidRDefault="001C7BF9">
      <w:pPr>
        <w:pStyle w:val="Normaltindrag"/>
      </w:pPr>
      <w:r w:rsidRPr="00C9680B">
        <w:t>De som mål angivna överskotten skall användas för att minska den offen</w:t>
      </w:r>
      <w:r w:rsidRPr="00C9680B">
        <w:t>t</w:t>
      </w:r>
      <w:r w:rsidRPr="00C9680B">
        <w:t>liga nettoskulden.</w:t>
      </w:r>
    </w:p>
    <w:p w:rsidR="001C7BF9" w:rsidRPr="00C9680B" w:rsidRDefault="001C7BF9">
      <w:pPr>
        <w:pStyle w:val="Normaltindrag"/>
      </w:pPr>
      <w:r w:rsidRPr="00C9680B">
        <w:t>Riksdagen lägger varje år också fast ett utgiftstak för de närmaste tre åren, vilket sätter en gräns för hur stora utgifter som staten kan dra på sig. Utgifts</w:t>
      </w:r>
      <w:r w:rsidRPr="00C9680B">
        <w:softHyphen/>
        <w:t>taket omfattar dels de egentliga utgifterna på statsbudgeten exklusive statsskuldsräntor, dels utgifterna för ålderspensionssystemet vid sidan av statsbudgeten. Dessutom ingår i utgiftstaket en budgeteringsmarg</w:t>
      </w:r>
      <w:r w:rsidRPr="00C9680B">
        <w:t>i</w:t>
      </w:r>
      <w:r w:rsidRPr="00C9680B">
        <w:t>nal.</w:t>
      </w:r>
    </w:p>
    <w:p w:rsidR="001C7BF9" w:rsidRPr="00C9680B" w:rsidRDefault="001C7BF9">
      <w:pPr>
        <w:pStyle w:val="Normaltindrag"/>
      </w:pPr>
      <w:r w:rsidRPr="00C9680B">
        <w:t>Enligt tidigare riksdagsbeslut skall utgiftstaket för staten uppgå till 792 miljarder kronor 2001 samt till 817 resp. 847 miljarder kronor för de därpå följande åren.</w:t>
      </w:r>
    </w:p>
    <w:p w:rsidR="001C7BF9" w:rsidRPr="00C9680B" w:rsidRDefault="001C7BF9">
      <w:pPr>
        <w:pStyle w:val="R4"/>
      </w:pPr>
      <w:r w:rsidRPr="00C9680B">
        <w:t>Budgetpropositionen</w:t>
      </w:r>
    </w:p>
    <w:p w:rsidR="001C7BF9" w:rsidRPr="00C9680B" w:rsidRDefault="001C7BF9">
      <w:r w:rsidRPr="00C9680B">
        <w:t>I år beräknas de offentliga finanserna uppvisa ett överskott på 3,4 % av BNP, dvs. klart över tvåprocentsmålet. Resursutnyttjandet i ekonomin kan enligt regeringens bedömning nu öka mer än vad som tidigare ansågs möjligt utan att inflationen tar fart. I nuvarande konjunkturläge skulle emellertid risken för överhettning öka markant om finanspolitiken inriktas på att hålla nere öve</w:t>
      </w:r>
      <w:r w:rsidRPr="00C9680B">
        <w:t>r</w:t>
      </w:r>
      <w:r w:rsidRPr="00C9680B">
        <w:t>skottet till 2 % genom förslag om kraftiga skattesänkningar och utgiftsö</w:t>
      </w:r>
      <w:r w:rsidRPr="00C9680B">
        <w:t>k</w:t>
      </w:r>
      <w:r w:rsidRPr="00C9680B">
        <w:t>ningar. Historiska erfarenheter visar entydigt att i ett överhettat läge blir de mänskliga och samhäll</w:t>
      </w:r>
      <w:r w:rsidRPr="00C9680B">
        <w:t>s</w:t>
      </w:r>
      <w:r w:rsidRPr="00C9680B">
        <w:t>ekonomiska påfrestningarna stora.</w:t>
      </w:r>
    </w:p>
    <w:p w:rsidR="001C7BF9" w:rsidRPr="00C9680B" w:rsidRDefault="001C7BF9">
      <w:pPr>
        <w:pStyle w:val="Normaltindrag"/>
      </w:pPr>
      <w:r w:rsidRPr="00C9680B">
        <w:t>För att minska risken för överhettning föreslår regeringen därför att målet för överskottet i de offentliga finanserna under 2001 skall höjas från 2,0 till 2,5 % av BNP (punkt 4). Om tillväxten av konjunkturmässiga skäl väsentligt skulle avvika från den beräknade bör dock, enligt regeringen, motsvara</w:t>
      </w:r>
      <w:r w:rsidRPr="00C9680B">
        <w:t>nde avvikelse från överskottsmålet toler</w:t>
      </w:r>
      <w:r w:rsidRPr="00C9680B">
        <w:t>e</w:t>
      </w:r>
      <w:r w:rsidRPr="00C9680B">
        <w:t>ras.</w:t>
      </w:r>
    </w:p>
    <w:p w:rsidR="001C7BF9" w:rsidRPr="00C9680B" w:rsidRDefault="001C7BF9">
      <w:pPr>
        <w:pStyle w:val="Normaltindrag"/>
      </w:pPr>
      <w:r w:rsidRPr="00C9680B">
        <w:t>Överskottet i de offentliga finanserna väntas även efter denna höjning överstiga det föreslagna målet med en procentenhet. Detta överskjutande överskott skall enligt regeringen ses som en säkerhetsmarginal och kommer inte att utnyt</w:t>
      </w:r>
      <w:r w:rsidRPr="00C9680B">
        <w:t>t</w:t>
      </w:r>
      <w:r w:rsidRPr="00C9680B">
        <w:t>jas för reformer.</w:t>
      </w:r>
    </w:p>
    <w:p w:rsidR="001C7BF9" w:rsidRPr="00C9680B" w:rsidRDefault="001C7BF9">
      <w:r w:rsidRPr="00C9680B">
        <w:t>Normalt omprövas inte ett en gång fastlagt utgiftstak. I budgetpropositionen föreslår emellertid regeringen att de tidigare fastställda nivåerna på utgiftst</w:t>
      </w:r>
      <w:r w:rsidRPr="00C9680B">
        <w:t>a</w:t>
      </w:r>
      <w:r w:rsidRPr="00C9680B">
        <w:t>ket för 2001–2003 skall anpassas till två budgettekniska förändringar. Just</w:t>
      </w:r>
      <w:r w:rsidRPr="00C9680B">
        <w:t>e</w:t>
      </w:r>
      <w:r w:rsidRPr="00C9680B">
        <w:t>ringen är föranledd dels av att behovet av generella statsbidrag minskar nästa år med hänsyn till de effekter som två av regeringens inkomstskatteförslag har på kommunernas skatteinkomster, dels av att vissa kostnader för statens upplåning förs över från utgiftsområde 2 Samhällsekonomi och finansförval</w:t>
      </w:r>
      <w:r w:rsidRPr="00C9680B">
        <w:t>t</w:t>
      </w:r>
      <w:r w:rsidRPr="00C9680B">
        <w:t>ning till utgiftsområde 26 Statsskuldsräntor m.m. som inte omfattas av utgif</w:t>
      </w:r>
      <w:r w:rsidRPr="00C9680B">
        <w:t>t</w:t>
      </w:r>
      <w:r w:rsidRPr="00C9680B">
        <w:t>s</w:t>
      </w:r>
      <w:r w:rsidRPr="00C9680B">
        <w:softHyphen/>
        <w:t>taket.</w:t>
      </w:r>
    </w:p>
    <w:p w:rsidR="001C7BF9" w:rsidRPr="00C9680B" w:rsidRDefault="001C7BF9">
      <w:pPr>
        <w:pStyle w:val="Normaltindrag"/>
      </w:pPr>
      <w:r w:rsidRPr="00C9680B">
        <w:t>De föreslagna förändringarna av inkomstskatte</w:t>
      </w:r>
      <w:r w:rsidRPr="00C9680B">
        <w:t>n ökar kommunernas ska</w:t>
      </w:r>
      <w:r w:rsidRPr="00C9680B">
        <w:t>t</w:t>
      </w:r>
      <w:r w:rsidRPr="00C9680B">
        <w:t>teinkomster med 3,0 miljarder kronor och det generella statsbidraget till kommuner och landsting bör därför minskas med ett lika stor belopp. Den föreslagna omfördelningen av kostnaderna för statens upplåning minskar utgifterna under utgiftstaket med 0,3 miljarder kronor 2001 och med 0,2 miljarder kronor under såväl 2002 som 2003. Utgiftstaket bör därför minskas med avrundat 3 miljarder kronor under vart och ett av de tre åren.</w:t>
      </w:r>
    </w:p>
    <w:p w:rsidR="001C7BF9" w:rsidRPr="00C9680B" w:rsidRDefault="001C7BF9">
      <w:pPr>
        <w:pStyle w:val="Normaltindrag"/>
      </w:pPr>
      <w:r w:rsidRPr="00C9680B">
        <w:t>Regeringen föreslår sålunda att utgiftstaken för åren 200</w:t>
      </w:r>
      <w:r w:rsidRPr="00C9680B">
        <w:t>1–2003 fastställs till 789, 814 respektive 844 miljarder kronor.</w:t>
      </w:r>
    </w:p>
    <w:p w:rsidR="001C7BF9" w:rsidRPr="00C9680B" w:rsidRDefault="001C7BF9">
      <w:pPr>
        <w:pStyle w:val="R4"/>
      </w:pPr>
      <w:bookmarkStart w:id="150" w:name="_Toc436662495"/>
      <w:r w:rsidRPr="00C9680B">
        <w:t>Motionerna</w:t>
      </w:r>
      <w:bookmarkEnd w:id="150"/>
    </w:p>
    <w:p w:rsidR="001C7BF9" w:rsidRPr="00C9680B" w:rsidRDefault="001C7BF9">
      <w:r w:rsidRPr="00C9680B">
        <w:rPr>
          <w:i/>
          <w:color w:val="000000"/>
        </w:rPr>
        <w:t>Moderata samlingspartiet</w:t>
      </w:r>
      <w:r w:rsidRPr="00C9680B">
        <w:rPr>
          <w:color w:val="000000"/>
        </w:rPr>
        <w:t xml:space="preserve"> föreslår i </w:t>
      </w:r>
      <w:r w:rsidRPr="00C9680B">
        <w:rPr>
          <w:i/>
          <w:color w:val="000000"/>
        </w:rPr>
        <w:t>motion Fi208</w:t>
      </w:r>
      <w:r w:rsidRPr="00C9680B">
        <w:rPr>
          <w:color w:val="000000"/>
        </w:rPr>
        <w:t xml:space="preserve"> att de offentliga finanserna skall vara i balans över en konjunkturcykel (yrkande 4) och att riksdagen skall fastställa ett mål om en lägre utgiftskvot för den offentliga sektorn </w:t>
      </w:r>
      <w:r w:rsidRPr="00C9680B">
        <w:t>(yrkande 8)</w:t>
      </w:r>
      <w:r w:rsidRPr="00C9680B">
        <w:rPr>
          <w:color w:val="000000"/>
        </w:rPr>
        <w:t>. Enligt propositionen väntas utgiftskvoten för 2003 motsvara närmare 53 %, vilket motionärerna anser vara mycket högt sett i en internationell jämförelse. På medellång sikt bör enligt deras mening utgiftstaken därför bestämmas så att de offentliga utgifterna understiger 50 % av BNP. På längre si</w:t>
      </w:r>
      <w:r w:rsidRPr="00C9680B">
        <w:rPr>
          <w:color w:val="000000"/>
        </w:rPr>
        <w:t>kt bör målet vara att föra den svenska utgiftskvoten närmare genomsnittet i OECD.</w:t>
      </w:r>
    </w:p>
    <w:p w:rsidR="001C7BF9" w:rsidRPr="00C9680B" w:rsidRDefault="001C7BF9">
      <w:pPr>
        <w:pStyle w:val="Normaltindrag"/>
        <w:rPr>
          <w:color w:val="000000"/>
        </w:rPr>
      </w:pPr>
      <w:r w:rsidRPr="00C9680B">
        <w:rPr>
          <w:color w:val="000000"/>
        </w:rPr>
        <w:t>Moderata samlingspartiet anser dessutom att utgiftstaket för staten bör fastställas till nivåer som för 2001 och 2002 överstiger regeringens med 16 respektive 6 miljard kronor och som för det därpå följande året understiger regeringens förslag med 2 miljarder kronor. Partiets högre nivå på utgiftstaket föranleds framför allt av att kommunerna kompenseras för effekterna av moderata skatt</w:t>
      </w:r>
      <w:r w:rsidRPr="00C9680B">
        <w:rPr>
          <w:color w:val="000000"/>
        </w:rPr>
        <w:t>e</w:t>
      </w:r>
      <w:r w:rsidRPr="00C9680B">
        <w:rPr>
          <w:color w:val="000000"/>
        </w:rPr>
        <w:t>sänkningar genom ökade statsbidrag.</w:t>
      </w:r>
    </w:p>
    <w:p w:rsidR="001C7BF9" w:rsidRPr="00C9680B" w:rsidRDefault="001C7BF9">
      <w:r w:rsidRPr="00C9680B">
        <w:rPr>
          <w:i/>
        </w:rPr>
        <w:t>Kristdemokraterna</w:t>
      </w:r>
      <w:r w:rsidRPr="00C9680B">
        <w:t xml:space="preserve"> erinrar i </w:t>
      </w:r>
      <w:r w:rsidRPr="00C9680B">
        <w:rPr>
          <w:i/>
        </w:rPr>
        <w:t>motion Fi209</w:t>
      </w:r>
      <w:r w:rsidRPr="00C9680B">
        <w:t xml:space="preserve"> om att sparandet i den offentliga sektorn visserligen motsvarar 2 % av BNP, men att mer än hela detta spara</w:t>
      </w:r>
      <w:r w:rsidRPr="00C9680B">
        <w:t>n</w:t>
      </w:r>
      <w:r w:rsidRPr="00C9680B">
        <w:t>de ligger i ålderspensionssystemet under åren framöver. Någon ökad buffert för statsfinanserna finns inte efter 2001 utan regeringen räknar då med att statens finansiella sparande skall vara negativt och uppvisa ett underskott på 20 miljarder kronor 2002 och 27 miljarder kronor 2003. Regeringen kan klara amorteringarna på statsskulden enbart genom försäljning av statliga företa</w:t>
      </w:r>
      <w:r w:rsidRPr="00C9680B">
        <w:t>g och genom engångsvisa överföringar från AP-fonden till statskassan. En annan direkt följd av regeringens sätt att sköta statsfinanserna är som moti</w:t>
      </w:r>
      <w:r w:rsidRPr="00C9680B">
        <w:t>o</w:t>
      </w:r>
      <w:r w:rsidRPr="00C9680B">
        <w:t>närerna ser det att statsskulden 2002 nu beräknas bli ca 100 miljarder kronor högre än vad man utgick ifrån i vårpropositionen för ett och ett halvt år sedan.</w:t>
      </w:r>
    </w:p>
    <w:p w:rsidR="001C7BF9" w:rsidRPr="00C9680B" w:rsidRDefault="001C7BF9">
      <w:pPr>
        <w:pStyle w:val="Normaltindrag"/>
        <w:rPr>
          <w:color w:val="000000"/>
        </w:rPr>
      </w:pPr>
      <w:r w:rsidRPr="00C9680B">
        <w:rPr>
          <w:color w:val="000000"/>
        </w:rPr>
        <w:t>Regeringens förslag till överskottsmål för de offentliga finanserna bör e</w:t>
      </w:r>
      <w:r w:rsidRPr="00C9680B">
        <w:rPr>
          <w:color w:val="000000"/>
        </w:rPr>
        <w:t>n</w:t>
      </w:r>
      <w:r w:rsidRPr="00C9680B">
        <w:rPr>
          <w:color w:val="000000"/>
        </w:rPr>
        <w:t>ligt motionärernas mening kompletteras och senare ersättas med ett mål för statens finansiella sparande. Regeringen bör återkomma till riksdagen med ett förslag om att det skall råda balans i statens finansiella sparande över en konjunkturcykel (yrkande 4). Ett sådant mål för det finansiella sparandet i staten blir liktydigt med att statsskulden inte ökar över tiden ens i nominella termer. Om staten har balans i det finansiella sparandet över en konjunkturc</w:t>
      </w:r>
      <w:r w:rsidRPr="00C9680B">
        <w:rPr>
          <w:color w:val="000000"/>
        </w:rPr>
        <w:t>y</w:t>
      </w:r>
      <w:r w:rsidRPr="00C9680B">
        <w:rPr>
          <w:color w:val="000000"/>
        </w:rPr>
        <w:t>kel innebär det också att skatteuttaget inte blir</w:t>
      </w:r>
      <w:r w:rsidRPr="00C9680B">
        <w:rPr>
          <w:color w:val="000000"/>
        </w:rPr>
        <w:t xml:space="preserve"> större än nödvändigt.</w:t>
      </w:r>
    </w:p>
    <w:p w:rsidR="001C7BF9" w:rsidRPr="00C9680B" w:rsidRDefault="001C7BF9">
      <w:pPr>
        <w:pStyle w:val="Normaltindrag"/>
        <w:rPr>
          <w:color w:val="000000"/>
        </w:rPr>
      </w:pPr>
      <w:r w:rsidRPr="00C9680B">
        <w:rPr>
          <w:color w:val="000000"/>
        </w:rPr>
        <w:t>Kristdemokraternas förslag till utgiftstak för åren 2001–2003 understiger regeringens med 8, 12 respektive 21 miljarder kronor.</w:t>
      </w:r>
    </w:p>
    <w:p w:rsidR="001C7BF9" w:rsidRPr="00C9680B" w:rsidRDefault="001C7BF9">
      <w:r w:rsidRPr="00C9680B">
        <w:rPr>
          <w:i/>
        </w:rPr>
        <w:t>Centerpartiet</w:t>
      </w:r>
      <w:r w:rsidRPr="00C9680B">
        <w:t xml:space="preserve"> har i </w:t>
      </w:r>
      <w:r w:rsidRPr="00C9680B">
        <w:rPr>
          <w:i/>
        </w:rPr>
        <w:t>motion Fi210</w:t>
      </w:r>
      <w:r w:rsidRPr="00C9680B">
        <w:t xml:space="preserve"> inga erinringar mot det av regeringen för</w:t>
      </w:r>
      <w:r w:rsidRPr="00C9680B">
        <w:t>e</w:t>
      </w:r>
      <w:r w:rsidRPr="00C9680B">
        <w:t>slagna överskottsmålet för 2001.</w:t>
      </w:r>
    </w:p>
    <w:p w:rsidR="001C7BF9" w:rsidRPr="00C9680B" w:rsidRDefault="001C7BF9">
      <w:pPr>
        <w:pStyle w:val="Normaltindrag"/>
      </w:pPr>
      <w:r w:rsidRPr="00C9680B">
        <w:t>Centerpartiets förslag till utgiftstak för de tre efterföljande åren understiger r</w:t>
      </w:r>
      <w:r w:rsidRPr="00C9680B">
        <w:t>e</w:t>
      </w:r>
      <w:r w:rsidRPr="00C9680B">
        <w:t>geringens med 8, 15 respektive 29 miljarder kronor.</w:t>
      </w:r>
    </w:p>
    <w:p w:rsidR="001C7BF9" w:rsidRPr="00C9680B" w:rsidRDefault="001C7BF9">
      <w:r w:rsidRPr="00C9680B">
        <w:rPr>
          <w:i/>
        </w:rPr>
        <w:t>Folkpartiet liberalerna</w:t>
      </w:r>
      <w:r w:rsidRPr="00C9680B">
        <w:t xml:space="preserve"> föreslår i </w:t>
      </w:r>
      <w:r w:rsidRPr="00C9680B">
        <w:rPr>
          <w:i/>
        </w:rPr>
        <w:t>motion Fi211</w:t>
      </w:r>
      <w:r w:rsidRPr="00C9680B">
        <w:t xml:space="preserve"> att målet för det finansiella sparandet i den offentliga sektorn skall motsvara 3,0 % av BNP 2001 (yrka</w:t>
      </w:r>
      <w:r w:rsidRPr="00C9680B">
        <w:t>n</w:t>
      </w:r>
      <w:r w:rsidRPr="00C9680B">
        <w:t>de 4). Motionärerna erinrar om att de tidigare ställt sig bakom det långsiktiga målet om ett överskott i de offentliga finanserna på i genomsnitt 2 % av BNP sett över en konjunkturcykel. Skall genomsnittet kunna ligga på denna nivå måste enligt deras mening överskottsmålet givetvis vara högre i en högko</w:t>
      </w:r>
      <w:r w:rsidRPr="00C9680B">
        <w:t>n</w:t>
      </w:r>
      <w:r w:rsidRPr="00C9680B">
        <w:t xml:space="preserve">junktur för att kunna väga upp en lägre nivå i en lågkonjunktur. Motionärerna </w:t>
      </w:r>
      <w:r w:rsidRPr="00C9680B">
        <w:t>anser för egen del att det av regeringen föreslagna överskottsmålet på 2,5 % för 2001 är för lågt med hänsyn till statsfinansernas höga konjunkturkänsli</w:t>
      </w:r>
      <w:r w:rsidRPr="00C9680B">
        <w:t>g</w:t>
      </w:r>
      <w:r w:rsidRPr="00C9680B">
        <w:t>het. De föreslår dä</w:t>
      </w:r>
      <w:r w:rsidRPr="00C9680B">
        <w:t>r</w:t>
      </w:r>
      <w:r w:rsidRPr="00C9680B">
        <w:t>för att målet skall sättas till minst 3 % detta år.</w:t>
      </w:r>
    </w:p>
    <w:p w:rsidR="001C7BF9" w:rsidRPr="00C9680B" w:rsidRDefault="001C7BF9">
      <w:pPr>
        <w:pStyle w:val="Normaltindrag"/>
      </w:pPr>
      <w:r w:rsidRPr="00C9680B">
        <w:t>Folkpartiets förslag till utgiftstak understiger för de tre närmaste åren reg</w:t>
      </w:r>
      <w:r w:rsidRPr="00C9680B">
        <w:t>e</w:t>
      </w:r>
      <w:r w:rsidRPr="00C9680B">
        <w:t>ringens med 17, 20 respektive 27 miljarder kr</w:t>
      </w:r>
      <w:r w:rsidRPr="00C9680B">
        <w:t>o</w:t>
      </w:r>
      <w:r w:rsidRPr="00C9680B">
        <w:t>nor.</w:t>
      </w:r>
    </w:p>
    <w:p w:rsidR="001C7BF9" w:rsidRPr="00C9680B" w:rsidRDefault="001C7BF9">
      <w:pPr>
        <w:pStyle w:val="R4"/>
      </w:pPr>
      <w:r w:rsidRPr="00C9680B">
        <w:t>Finansutskottets ställningstagande</w:t>
      </w:r>
    </w:p>
    <w:p w:rsidR="001C7BF9" w:rsidRPr="00C9680B" w:rsidRDefault="001C7BF9">
      <w:r w:rsidRPr="00C9680B">
        <w:t>Budgetpolitiken har under senare år inriktats mot ett antal fleråriga mål, som har det gemensamt att de är tydliga och lätta att i efterhand avläsa. Hittills uppnådda mål har överträffats med bred marginal. Överskottet i de offentliga finanserna beräknas 2000 motsvara 3,4 % av BNP, dvs. det kommer att ligga klart över målet på 2,0 %, och för nästa år visar prognoserna att de offentliga finanserna kommer att utvecklas så gynnsamt att det föreslagna överskott</w:t>
      </w:r>
      <w:r w:rsidRPr="00C9680B">
        <w:t>s</w:t>
      </w:r>
      <w:r w:rsidRPr="00C9680B">
        <w:t xml:space="preserve">målet på 2,5 % kommer att överträffas med drygt 20 miljarder kronor. Även för de båda därpå följande åren förutses en fortsatt gynnsam utveckling med överskott av ungefär samma omfattning. </w:t>
      </w:r>
    </w:p>
    <w:p w:rsidR="001C7BF9" w:rsidRPr="00C9680B" w:rsidRDefault="001C7BF9">
      <w:pPr>
        <w:pStyle w:val="Normaltindrag"/>
      </w:pPr>
      <w:r w:rsidRPr="00C9680B">
        <w:t>Folkpartiet kritiserar regeringen för att den i nuvarande högkonjunktur nöjer sig med ett överskott på 2,5 % fastän det då borde ha varit högre för att genomsnittet över en konjunkturcykel skall kunna nå denna nivå. Utskottet vill med anledning härav erinra om att överskottsmål för enskilda år hittills har lagts fast fö</w:t>
      </w:r>
      <w:r w:rsidRPr="00C9680B">
        <w:t>r perioden 1999–2003 och under vart och ett av dessa fyra år har eller väntas dessa mål antingen bli uppnådda eller överträffade. Även 1998 var överskottet betryggande. Det framgår av följa</w:t>
      </w:r>
      <w:r w:rsidRPr="00C9680B">
        <w:t>n</w:t>
      </w:r>
      <w:r w:rsidRPr="00C9680B">
        <w:t>de sammanställning.</w:t>
      </w:r>
    </w:p>
    <w:p w:rsidR="001C7BF9" w:rsidRPr="00C9680B" w:rsidRDefault="001C7BF9">
      <w:pPr>
        <w:pStyle w:val="Normaltindrag"/>
      </w:pPr>
    </w:p>
    <w:p w:rsidR="001C7BF9" w:rsidRPr="00C9680B" w:rsidRDefault="001C7BF9">
      <w:pPr>
        <w:pStyle w:val="TabellrubrikPer"/>
        <w:keepNext/>
        <w:widowControl w:val="0"/>
        <w:spacing w:after="60"/>
        <w:outlineLvl w:val="0"/>
        <w:rPr>
          <w:b/>
          <w:caps w:val="0"/>
          <w:spacing w:val="0"/>
          <w:sz w:val="17"/>
        </w:rPr>
      </w:pPr>
      <w:r w:rsidRPr="00C9680B">
        <w:rPr>
          <w:b/>
          <w:caps w:val="0"/>
          <w:spacing w:val="0"/>
          <w:sz w:val="17"/>
        </w:rPr>
        <w:t>Tabell 9. Finansiellt sparande i den offentliga sektorn 1999–2003</w:t>
      </w:r>
    </w:p>
    <w:p w:rsidR="001C7BF9" w:rsidRPr="00C9680B" w:rsidRDefault="001C7BF9">
      <w:pPr>
        <w:pStyle w:val="Tabell"/>
        <w:keepNext/>
        <w:keepLines/>
        <w:spacing w:after="40" w:line="190" w:lineRule="exact"/>
        <w:outlineLvl w:val="0"/>
        <w:rPr>
          <w:sz w:val="14"/>
        </w:rPr>
      </w:pPr>
      <w:r w:rsidRPr="00C9680B">
        <w:rPr>
          <w:sz w:val="14"/>
        </w:rPr>
        <w:t>Målsatta respektive beräknade finansiella överskott</w:t>
      </w:r>
    </w:p>
    <w:tbl>
      <w:tblPr>
        <w:tblW w:w="0" w:type="auto"/>
        <w:tblLayout w:type="fixed"/>
        <w:tblCellMar>
          <w:left w:w="0" w:type="dxa"/>
          <w:right w:w="0" w:type="dxa"/>
        </w:tblCellMar>
        <w:tblLook w:val="0000" w:firstRow="0" w:lastRow="0" w:firstColumn="0" w:lastColumn="0" w:noHBand="0" w:noVBand="0"/>
      </w:tblPr>
      <w:tblGrid>
        <w:gridCol w:w="3515"/>
        <w:gridCol w:w="471"/>
        <w:gridCol w:w="471"/>
        <w:gridCol w:w="471"/>
        <w:gridCol w:w="471"/>
        <w:gridCol w:w="471"/>
        <w:gridCol w:w="471"/>
      </w:tblGrid>
      <w:tr w:rsidR="00000000" w:rsidRPr="00C9680B">
        <w:tblPrEx>
          <w:tblCellMar>
            <w:top w:w="0" w:type="dxa"/>
            <w:left w:w="0" w:type="dxa"/>
            <w:bottom w:w="0" w:type="dxa"/>
            <w:right w:w="0" w:type="dxa"/>
          </w:tblCellMar>
        </w:tblPrEx>
        <w:tc>
          <w:tcPr>
            <w:tcW w:w="3515" w:type="dxa"/>
            <w:tcBorders>
              <w:top w:val="single" w:sz="6" w:space="0" w:color="auto"/>
              <w:bottom w:val="single" w:sz="6" w:space="0" w:color="auto"/>
            </w:tcBorders>
          </w:tcPr>
          <w:p w:rsidR="001C7BF9" w:rsidRPr="00C9680B" w:rsidRDefault="001C7BF9">
            <w:pPr>
              <w:pStyle w:val="Tabell"/>
              <w:keepNext/>
              <w:keepLines/>
              <w:rPr>
                <w:b/>
              </w:rPr>
            </w:pPr>
          </w:p>
        </w:tc>
        <w:tc>
          <w:tcPr>
            <w:tcW w:w="471" w:type="dxa"/>
            <w:tcBorders>
              <w:top w:val="single" w:sz="6" w:space="0" w:color="auto"/>
              <w:bottom w:val="single" w:sz="6" w:space="0" w:color="auto"/>
            </w:tcBorders>
          </w:tcPr>
          <w:p w:rsidR="001C7BF9" w:rsidRPr="00C9680B" w:rsidRDefault="001C7BF9">
            <w:pPr>
              <w:pStyle w:val="Tabell"/>
              <w:keepNext/>
              <w:keepLines/>
              <w:ind w:right="57"/>
              <w:jc w:val="right"/>
              <w:rPr>
                <w:b/>
              </w:rPr>
            </w:pPr>
            <w:r w:rsidRPr="00C9680B">
              <w:rPr>
                <w:b/>
              </w:rPr>
              <w:t>1998</w:t>
            </w:r>
          </w:p>
        </w:tc>
        <w:tc>
          <w:tcPr>
            <w:tcW w:w="471" w:type="dxa"/>
            <w:tcBorders>
              <w:top w:val="single" w:sz="6" w:space="0" w:color="auto"/>
              <w:bottom w:val="single" w:sz="6" w:space="0" w:color="auto"/>
            </w:tcBorders>
          </w:tcPr>
          <w:p w:rsidR="001C7BF9" w:rsidRPr="00C9680B" w:rsidRDefault="001C7BF9">
            <w:pPr>
              <w:pStyle w:val="Tabell"/>
              <w:keepNext/>
              <w:keepLines/>
              <w:ind w:right="57"/>
              <w:jc w:val="right"/>
              <w:rPr>
                <w:b/>
              </w:rPr>
            </w:pPr>
            <w:r w:rsidRPr="00C9680B">
              <w:rPr>
                <w:b/>
              </w:rPr>
              <w:t>1999</w:t>
            </w:r>
          </w:p>
        </w:tc>
        <w:tc>
          <w:tcPr>
            <w:tcW w:w="471" w:type="dxa"/>
            <w:tcBorders>
              <w:top w:val="single" w:sz="6" w:space="0" w:color="auto"/>
              <w:bottom w:val="single" w:sz="6" w:space="0" w:color="auto"/>
            </w:tcBorders>
          </w:tcPr>
          <w:p w:rsidR="001C7BF9" w:rsidRPr="00C9680B" w:rsidRDefault="001C7BF9">
            <w:pPr>
              <w:pStyle w:val="Tabell"/>
              <w:keepNext/>
              <w:keepLines/>
              <w:ind w:right="57"/>
              <w:jc w:val="right"/>
              <w:rPr>
                <w:b/>
              </w:rPr>
            </w:pPr>
            <w:r w:rsidRPr="00C9680B">
              <w:rPr>
                <w:b/>
              </w:rPr>
              <w:t>2000</w:t>
            </w:r>
          </w:p>
        </w:tc>
        <w:tc>
          <w:tcPr>
            <w:tcW w:w="471" w:type="dxa"/>
            <w:tcBorders>
              <w:top w:val="single" w:sz="6" w:space="0" w:color="auto"/>
              <w:bottom w:val="single" w:sz="6" w:space="0" w:color="auto"/>
            </w:tcBorders>
          </w:tcPr>
          <w:p w:rsidR="001C7BF9" w:rsidRPr="00C9680B" w:rsidRDefault="001C7BF9">
            <w:pPr>
              <w:pStyle w:val="Tabell"/>
              <w:keepNext/>
              <w:keepLines/>
              <w:ind w:right="57"/>
              <w:jc w:val="right"/>
              <w:rPr>
                <w:b/>
              </w:rPr>
            </w:pPr>
            <w:r w:rsidRPr="00C9680B">
              <w:rPr>
                <w:b/>
              </w:rPr>
              <w:t>2001</w:t>
            </w:r>
          </w:p>
        </w:tc>
        <w:tc>
          <w:tcPr>
            <w:tcW w:w="471" w:type="dxa"/>
            <w:tcBorders>
              <w:top w:val="single" w:sz="6" w:space="0" w:color="auto"/>
              <w:bottom w:val="single" w:sz="6" w:space="0" w:color="auto"/>
            </w:tcBorders>
          </w:tcPr>
          <w:p w:rsidR="001C7BF9" w:rsidRPr="00C9680B" w:rsidRDefault="001C7BF9">
            <w:pPr>
              <w:pStyle w:val="Tabell"/>
              <w:keepNext/>
              <w:keepLines/>
              <w:ind w:right="57"/>
              <w:jc w:val="right"/>
              <w:rPr>
                <w:b/>
              </w:rPr>
            </w:pPr>
            <w:r w:rsidRPr="00C9680B">
              <w:rPr>
                <w:b/>
              </w:rPr>
              <w:t>2002</w:t>
            </w:r>
          </w:p>
        </w:tc>
        <w:tc>
          <w:tcPr>
            <w:tcW w:w="471" w:type="dxa"/>
            <w:tcBorders>
              <w:top w:val="single" w:sz="6" w:space="0" w:color="auto"/>
              <w:bottom w:val="single" w:sz="6" w:space="0" w:color="auto"/>
            </w:tcBorders>
          </w:tcPr>
          <w:p w:rsidR="001C7BF9" w:rsidRPr="00C9680B" w:rsidRDefault="001C7BF9">
            <w:pPr>
              <w:pStyle w:val="Tabell"/>
              <w:keepNext/>
              <w:keepLines/>
              <w:ind w:right="57"/>
              <w:jc w:val="right"/>
              <w:rPr>
                <w:b/>
              </w:rPr>
            </w:pPr>
            <w:r w:rsidRPr="00C9680B">
              <w:rPr>
                <w:b/>
              </w:rPr>
              <w:t>2003</w:t>
            </w:r>
          </w:p>
        </w:tc>
      </w:tr>
      <w:tr w:rsidR="00000000" w:rsidRPr="00C9680B">
        <w:tblPrEx>
          <w:tblCellMar>
            <w:top w:w="0" w:type="dxa"/>
            <w:left w:w="0" w:type="dxa"/>
            <w:bottom w:w="0" w:type="dxa"/>
            <w:right w:w="0" w:type="dxa"/>
          </w:tblCellMar>
        </w:tblPrEx>
        <w:trPr>
          <w:trHeight w:hRule="exact" w:val="40"/>
        </w:trPr>
        <w:tc>
          <w:tcPr>
            <w:tcW w:w="3515" w:type="dxa"/>
          </w:tcPr>
          <w:p w:rsidR="001C7BF9" w:rsidRPr="00C9680B" w:rsidRDefault="001C7BF9">
            <w:pPr>
              <w:pStyle w:val="Tabell"/>
              <w:keepNext/>
              <w:keepLines/>
              <w:spacing w:line="240" w:lineRule="auto"/>
            </w:pPr>
          </w:p>
        </w:tc>
        <w:tc>
          <w:tcPr>
            <w:tcW w:w="471" w:type="dxa"/>
          </w:tcPr>
          <w:p w:rsidR="001C7BF9" w:rsidRPr="00C9680B" w:rsidRDefault="001C7BF9">
            <w:pPr>
              <w:pStyle w:val="Tabell"/>
              <w:keepNext/>
              <w:keepLines/>
              <w:spacing w:line="240" w:lineRule="auto"/>
              <w:ind w:right="57"/>
              <w:jc w:val="right"/>
            </w:pPr>
          </w:p>
        </w:tc>
        <w:tc>
          <w:tcPr>
            <w:tcW w:w="471" w:type="dxa"/>
          </w:tcPr>
          <w:p w:rsidR="001C7BF9" w:rsidRPr="00C9680B" w:rsidRDefault="001C7BF9">
            <w:pPr>
              <w:pStyle w:val="Tabell"/>
              <w:keepNext/>
              <w:keepLines/>
              <w:spacing w:line="240" w:lineRule="auto"/>
              <w:ind w:right="57"/>
              <w:jc w:val="right"/>
            </w:pPr>
          </w:p>
        </w:tc>
        <w:tc>
          <w:tcPr>
            <w:tcW w:w="471" w:type="dxa"/>
          </w:tcPr>
          <w:p w:rsidR="001C7BF9" w:rsidRPr="00C9680B" w:rsidRDefault="001C7BF9">
            <w:pPr>
              <w:pStyle w:val="Tabell"/>
              <w:keepNext/>
              <w:keepLines/>
              <w:spacing w:line="240" w:lineRule="auto"/>
              <w:ind w:right="57"/>
              <w:jc w:val="right"/>
            </w:pPr>
          </w:p>
        </w:tc>
        <w:tc>
          <w:tcPr>
            <w:tcW w:w="471" w:type="dxa"/>
          </w:tcPr>
          <w:p w:rsidR="001C7BF9" w:rsidRPr="00C9680B" w:rsidRDefault="001C7BF9">
            <w:pPr>
              <w:pStyle w:val="Tabell"/>
              <w:keepNext/>
              <w:keepLines/>
              <w:spacing w:line="240" w:lineRule="auto"/>
              <w:ind w:right="57"/>
              <w:jc w:val="right"/>
            </w:pPr>
          </w:p>
        </w:tc>
        <w:tc>
          <w:tcPr>
            <w:tcW w:w="471" w:type="dxa"/>
          </w:tcPr>
          <w:p w:rsidR="001C7BF9" w:rsidRPr="00C9680B" w:rsidRDefault="001C7BF9">
            <w:pPr>
              <w:pStyle w:val="Tabell"/>
              <w:keepNext/>
              <w:keepLines/>
              <w:spacing w:line="240" w:lineRule="auto"/>
              <w:ind w:right="57"/>
              <w:jc w:val="right"/>
            </w:pPr>
          </w:p>
        </w:tc>
        <w:tc>
          <w:tcPr>
            <w:tcW w:w="471" w:type="dxa"/>
          </w:tcPr>
          <w:p w:rsidR="001C7BF9" w:rsidRPr="00C9680B" w:rsidRDefault="001C7BF9">
            <w:pPr>
              <w:pStyle w:val="Tabell"/>
              <w:keepNext/>
              <w:keepLines/>
              <w:spacing w:line="240" w:lineRule="auto"/>
              <w:ind w:right="57"/>
              <w:jc w:val="right"/>
            </w:pPr>
          </w:p>
        </w:tc>
      </w:tr>
      <w:tr w:rsidR="00000000" w:rsidRPr="00C9680B">
        <w:tblPrEx>
          <w:tblCellMar>
            <w:top w:w="0" w:type="dxa"/>
            <w:left w:w="0" w:type="dxa"/>
            <w:bottom w:w="0" w:type="dxa"/>
            <w:right w:w="0" w:type="dxa"/>
          </w:tblCellMar>
        </w:tblPrEx>
        <w:tc>
          <w:tcPr>
            <w:tcW w:w="3515" w:type="dxa"/>
          </w:tcPr>
          <w:p w:rsidR="001C7BF9" w:rsidRPr="00C9680B" w:rsidRDefault="001C7BF9">
            <w:pPr>
              <w:pStyle w:val="Tabell"/>
              <w:keepNext/>
              <w:keepLines/>
              <w:spacing w:line="240" w:lineRule="auto"/>
            </w:pPr>
            <w:r w:rsidRPr="00C9680B">
              <w:t>Beräknat finansiellt sparande i milja</w:t>
            </w:r>
            <w:r w:rsidRPr="00C9680B">
              <w:t>r</w:t>
            </w:r>
            <w:r w:rsidRPr="00C9680B">
              <w:t>der kronor</w:t>
            </w:r>
          </w:p>
        </w:tc>
        <w:tc>
          <w:tcPr>
            <w:tcW w:w="471" w:type="dxa"/>
          </w:tcPr>
          <w:p w:rsidR="001C7BF9" w:rsidRPr="00C9680B" w:rsidRDefault="001C7BF9">
            <w:pPr>
              <w:pStyle w:val="Tabell"/>
              <w:keepNext/>
              <w:keepLines/>
              <w:spacing w:line="240" w:lineRule="auto"/>
              <w:ind w:right="57"/>
              <w:jc w:val="right"/>
            </w:pPr>
            <w:r w:rsidRPr="00C9680B">
              <w:t>43,9</w:t>
            </w:r>
          </w:p>
        </w:tc>
        <w:tc>
          <w:tcPr>
            <w:tcW w:w="471" w:type="dxa"/>
          </w:tcPr>
          <w:p w:rsidR="001C7BF9" w:rsidRPr="00C9680B" w:rsidRDefault="001C7BF9">
            <w:pPr>
              <w:pStyle w:val="Tabell"/>
              <w:keepNext/>
              <w:keepLines/>
              <w:spacing w:line="240" w:lineRule="auto"/>
              <w:ind w:right="57"/>
              <w:jc w:val="right"/>
            </w:pPr>
            <w:r w:rsidRPr="00C9680B">
              <w:t>36,9</w:t>
            </w:r>
          </w:p>
        </w:tc>
        <w:tc>
          <w:tcPr>
            <w:tcW w:w="471" w:type="dxa"/>
          </w:tcPr>
          <w:p w:rsidR="001C7BF9" w:rsidRPr="00C9680B" w:rsidRDefault="001C7BF9">
            <w:pPr>
              <w:pStyle w:val="Tabell"/>
              <w:keepNext/>
              <w:keepLines/>
              <w:spacing w:line="240" w:lineRule="auto"/>
              <w:ind w:right="57"/>
              <w:jc w:val="right"/>
            </w:pPr>
            <w:r w:rsidRPr="00C9680B">
              <w:t>71,3</w:t>
            </w:r>
          </w:p>
        </w:tc>
        <w:tc>
          <w:tcPr>
            <w:tcW w:w="471" w:type="dxa"/>
          </w:tcPr>
          <w:p w:rsidR="001C7BF9" w:rsidRPr="00C9680B" w:rsidRDefault="001C7BF9">
            <w:pPr>
              <w:pStyle w:val="Tabell"/>
              <w:keepNext/>
              <w:keepLines/>
              <w:spacing w:line="240" w:lineRule="auto"/>
              <w:ind w:right="57"/>
              <w:jc w:val="right"/>
            </w:pPr>
            <w:r w:rsidRPr="00C9680B">
              <w:t>75,7</w:t>
            </w:r>
          </w:p>
        </w:tc>
        <w:tc>
          <w:tcPr>
            <w:tcW w:w="471" w:type="dxa"/>
          </w:tcPr>
          <w:p w:rsidR="001C7BF9" w:rsidRPr="00C9680B" w:rsidRDefault="001C7BF9">
            <w:pPr>
              <w:pStyle w:val="Tabell"/>
              <w:keepNext/>
              <w:keepLines/>
              <w:spacing w:line="240" w:lineRule="auto"/>
              <w:ind w:right="57"/>
              <w:jc w:val="right"/>
            </w:pPr>
            <w:r w:rsidRPr="00C9680B">
              <w:t>74,9</w:t>
            </w:r>
          </w:p>
        </w:tc>
        <w:tc>
          <w:tcPr>
            <w:tcW w:w="471" w:type="dxa"/>
          </w:tcPr>
          <w:p w:rsidR="001C7BF9" w:rsidRPr="00C9680B" w:rsidRDefault="001C7BF9">
            <w:pPr>
              <w:pStyle w:val="Tabell"/>
              <w:keepNext/>
              <w:keepLines/>
              <w:spacing w:line="240" w:lineRule="auto"/>
              <w:ind w:right="57"/>
              <w:jc w:val="right"/>
            </w:pPr>
            <w:r w:rsidRPr="00C9680B">
              <w:t>84,1</w:t>
            </w:r>
          </w:p>
        </w:tc>
      </w:tr>
      <w:tr w:rsidR="00000000" w:rsidRPr="00C9680B">
        <w:tblPrEx>
          <w:tblCellMar>
            <w:top w:w="0" w:type="dxa"/>
            <w:left w:w="0" w:type="dxa"/>
            <w:bottom w:w="0" w:type="dxa"/>
            <w:right w:w="0" w:type="dxa"/>
          </w:tblCellMar>
        </w:tblPrEx>
        <w:tc>
          <w:tcPr>
            <w:tcW w:w="3515" w:type="dxa"/>
          </w:tcPr>
          <w:p w:rsidR="001C7BF9" w:rsidRPr="00C9680B" w:rsidRDefault="001C7BF9">
            <w:pPr>
              <w:pStyle w:val="Tabell"/>
              <w:keepNext/>
              <w:keepLines/>
              <w:spacing w:line="240" w:lineRule="auto"/>
            </w:pPr>
            <w:r w:rsidRPr="00C9680B">
              <w:t>Beräknat finansiellt sparande i % av BNP¹</w:t>
            </w:r>
          </w:p>
        </w:tc>
        <w:tc>
          <w:tcPr>
            <w:tcW w:w="471" w:type="dxa"/>
          </w:tcPr>
          <w:p w:rsidR="001C7BF9" w:rsidRPr="00C9680B" w:rsidRDefault="001C7BF9">
            <w:pPr>
              <w:pStyle w:val="Tabell"/>
              <w:keepNext/>
              <w:keepLines/>
              <w:spacing w:line="240" w:lineRule="auto"/>
              <w:ind w:right="57"/>
              <w:jc w:val="right"/>
            </w:pPr>
            <w:r w:rsidRPr="00C9680B">
              <w:t>2,3</w:t>
            </w:r>
          </w:p>
        </w:tc>
        <w:tc>
          <w:tcPr>
            <w:tcW w:w="471" w:type="dxa"/>
          </w:tcPr>
          <w:p w:rsidR="001C7BF9" w:rsidRPr="00C9680B" w:rsidRDefault="001C7BF9">
            <w:pPr>
              <w:pStyle w:val="Tabell"/>
              <w:keepNext/>
              <w:keepLines/>
              <w:spacing w:line="240" w:lineRule="auto"/>
              <w:ind w:right="57"/>
              <w:jc w:val="right"/>
            </w:pPr>
            <w:r w:rsidRPr="00C9680B">
              <w:t>1,9</w:t>
            </w:r>
          </w:p>
        </w:tc>
        <w:tc>
          <w:tcPr>
            <w:tcW w:w="471" w:type="dxa"/>
          </w:tcPr>
          <w:p w:rsidR="001C7BF9" w:rsidRPr="00C9680B" w:rsidRDefault="001C7BF9">
            <w:pPr>
              <w:pStyle w:val="Tabell"/>
              <w:keepNext/>
              <w:keepLines/>
              <w:spacing w:line="240" w:lineRule="auto"/>
              <w:ind w:right="57"/>
              <w:jc w:val="right"/>
            </w:pPr>
            <w:r w:rsidRPr="00C9680B">
              <w:t>3,4</w:t>
            </w:r>
          </w:p>
        </w:tc>
        <w:tc>
          <w:tcPr>
            <w:tcW w:w="471" w:type="dxa"/>
          </w:tcPr>
          <w:p w:rsidR="001C7BF9" w:rsidRPr="00C9680B" w:rsidRDefault="001C7BF9">
            <w:pPr>
              <w:pStyle w:val="Tabell"/>
              <w:keepNext/>
              <w:keepLines/>
              <w:spacing w:line="240" w:lineRule="auto"/>
              <w:ind w:right="57"/>
              <w:jc w:val="right"/>
            </w:pPr>
            <w:r w:rsidRPr="00C9680B">
              <w:t>3,5</w:t>
            </w:r>
          </w:p>
        </w:tc>
        <w:tc>
          <w:tcPr>
            <w:tcW w:w="471" w:type="dxa"/>
          </w:tcPr>
          <w:p w:rsidR="001C7BF9" w:rsidRPr="00C9680B" w:rsidRDefault="001C7BF9">
            <w:pPr>
              <w:pStyle w:val="Tabell"/>
              <w:keepNext/>
              <w:keepLines/>
              <w:spacing w:line="240" w:lineRule="auto"/>
              <w:ind w:right="57"/>
              <w:jc w:val="right"/>
            </w:pPr>
            <w:r w:rsidRPr="00C9680B">
              <w:t>2,0</w:t>
            </w:r>
          </w:p>
        </w:tc>
        <w:tc>
          <w:tcPr>
            <w:tcW w:w="471" w:type="dxa"/>
          </w:tcPr>
          <w:p w:rsidR="001C7BF9" w:rsidRPr="00C9680B" w:rsidRDefault="001C7BF9">
            <w:pPr>
              <w:pStyle w:val="Tabell"/>
              <w:keepNext/>
              <w:keepLines/>
              <w:spacing w:line="240" w:lineRule="auto"/>
              <w:ind w:right="57"/>
              <w:jc w:val="right"/>
            </w:pPr>
            <w:r w:rsidRPr="00C9680B">
              <w:t>2,0</w:t>
            </w:r>
          </w:p>
        </w:tc>
      </w:tr>
      <w:tr w:rsidR="00000000" w:rsidRPr="00C9680B">
        <w:tblPrEx>
          <w:tblCellMar>
            <w:top w:w="0" w:type="dxa"/>
            <w:left w:w="0" w:type="dxa"/>
            <w:bottom w:w="0" w:type="dxa"/>
            <w:right w:w="0" w:type="dxa"/>
          </w:tblCellMar>
        </w:tblPrEx>
        <w:tc>
          <w:tcPr>
            <w:tcW w:w="3515" w:type="dxa"/>
          </w:tcPr>
          <w:p w:rsidR="001C7BF9" w:rsidRPr="00C9680B" w:rsidRDefault="001C7BF9">
            <w:pPr>
              <w:pStyle w:val="Tabell"/>
              <w:keepNext/>
              <w:keepLines/>
            </w:pPr>
            <w:r w:rsidRPr="00C9680B">
              <w:t>Målsatt finansiellt sparande i % av BNP</w:t>
            </w:r>
          </w:p>
        </w:tc>
        <w:tc>
          <w:tcPr>
            <w:tcW w:w="471" w:type="dxa"/>
          </w:tcPr>
          <w:p w:rsidR="001C7BF9" w:rsidRPr="00C9680B" w:rsidRDefault="001C7BF9">
            <w:pPr>
              <w:pStyle w:val="Tabell"/>
              <w:keepNext/>
              <w:keepLines/>
              <w:ind w:right="57"/>
              <w:jc w:val="right"/>
            </w:pPr>
            <w:r w:rsidRPr="00C9680B">
              <w:t>–</w:t>
            </w:r>
          </w:p>
        </w:tc>
        <w:tc>
          <w:tcPr>
            <w:tcW w:w="471" w:type="dxa"/>
          </w:tcPr>
          <w:p w:rsidR="001C7BF9" w:rsidRPr="00C9680B" w:rsidRDefault="001C7BF9">
            <w:pPr>
              <w:pStyle w:val="Tabell"/>
              <w:keepNext/>
              <w:keepLines/>
              <w:ind w:right="57"/>
              <w:jc w:val="right"/>
            </w:pPr>
            <w:r w:rsidRPr="00C9680B">
              <w:t>0,5</w:t>
            </w:r>
          </w:p>
        </w:tc>
        <w:tc>
          <w:tcPr>
            <w:tcW w:w="471" w:type="dxa"/>
          </w:tcPr>
          <w:p w:rsidR="001C7BF9" w:rsidRPr="00C9680B" w:rsidRDefault="001C7BF9">
            <w:pPr>
              <w:pStyle w:val="Tabell"/>
              <w:keepNext/>
              <w:keepLines/>
              <w:ind w:right="57"/>
              <w:jc w:val="right"/>
            </w:pPr>
            <w:r w:rsidRPr="00C9680B">
              <w:t>2,0</w:t>
            </w:r>
          </w:p>
        </w:tc>
        <w:tc>
          <w:tcPr>
            <w:tcW w:w="471" w:type="dxa"/>
          </w:tcPr>
          <w:p w:rsidR="001C7BF9" w:rsidRPr="00C9680B" w:rsidRDefault="001C7BF9">
            <w:pPr>
              <w:pStyle w:val="Tabell"/>
              <w:keepNext/>
              <w:keepLines/>
              <w:ind w:right="57"/>
              <w:jc w:val="right"/>
            </w:pPr>
            <w:r w:rsidRPr="00C9680B">
              <w:t>2,5</w:t>
            </w:r>
          </w:p>
        </w:tc>
        <w:tc>
          <w:tcPr>
            <w:tcW w:w="471" w:type="dxa"/>
          </w:tcPr>
          <w:p w:rsidR="001C7BF9" w:rsidRPr="00C9680B" w:rsidRDefault="001C7BF9">
            <w:pPr>
              <w:pStyle w:val="Tabell"/>
              <w:keepNext/>
              <w:keepLines/>
              <w:ind w:right="57"/>
              <w:jc w:val="right"/>
            </w:pPr>
            <w:r w:rsidRPr="00C9680B">
              <w:t>2,0</w:t>
            </w:r>
          </w:p>
        </w:tc>
        <w:tc>
          <w:tcPr>
            <w:tcW w:w="471" w:type="dxa"/>
          </w:tcPr>
          <w:p w:rsidR="001C7BF9" w:rsidRPr="00C9680B" w:rsidRDefault="001C7BF9">
            <w:pPr>
              <w:pStyle w:val="Tabell"/>
              <w:keepNext/>
              <w:keepLines/>
              <w:ind w:right="57"/>
              <w:jc w:val="right"/>
            </w:pPr>
            <w:r w:rsidRPr="00C9680B">
              <w:t>2,0</w:t>
            </w:r>
          </w:p>
        </w:tc>
      </w:tr>
      <w:tr w:rsidR="00000000" w:rsidRPr="00C9680B">
        <w:tblPrEx>
          <w:tblCellMar>
            <w:top w:w="0" w:type="dxa"/>
            <w:left w:w="0" w:type="dxa"/>
            <w:bottom w:w="0" w:type="dxa"/>
            <w:right w:w="0" w:type="dxa"/>
          </w:tblCellMar>
        </w:tblPrEx>
        <w:tc>
          <w:tcPr>
            <w:tcW w:w="3515" w:type="dxa"/>
          </w:tcPr>
          <w:p w:rsidR="001C7BF9" w:rsidRPr="00C9680B" w:rsidRDefault="001C7BF9">
            <w:pPr>
              <w:pStyle w:val="Tabell"/>
              <w:keepNext/>
              <w:keepLines/>
              <w:rPr>
                <w:b/>
              </w:rPr>
            </w:pPr>
            <w:r w:rsidRPr="00C9680B">
              <w:rPr>
                <w:b/>
              </w:rPr>
              <w:t>Överskjutande finansiellt sparande i % av BNP</w:t>
            </w:r>
          </w:p>
        </w:tc>
        <w:tc>
          <w:tcPr>
            <w:tcW w:w="471" w:type="dxa"/>
          </w:tcPr>
          <w:p w:rsidR="001C7BF9" w:rsidRPr="00C9680B" w:rsidRDefault="001C7BF9">
            <w:pPr>
              <w:pStyle w:val="Tabell"/>
              <w:keepNext/>
              <w:keepLines/>
              <w:ind w:right="57"/>
              <w:jc w:val="right"/>
              <w:rPr>
                <w:b/>
              </w:rPr>
            </w:pPr>
            <w:r w:rsidRPr="00C9680B">
              <w:rPr>
                <w:b/>
              </w:rPr>
              <w:t>–</w:t>
            </w:r>
          </w:p>
        </w:tc>
        <w:tc>
          <w:tcPr>
            <w:tcW w:w="471" w:type="dxa"/>
          </w:tcPr>
          <w:p w:rsidR="001C7BF9" w:rsidRPr="00C9680B" w:rsidRDefault="001C7BF9">
            <w:pPr>
              <w:pStyle w:val="Tabell"/>
              <w:keepNext/>
              <w:keepLines/>
              <w:ind w:right="57"/>
              <w:jc w:val="right"/>
              <w:rPr>
                <w:b/>
              </w:rPr>
            </w:pPr>
            <w:r w:rsidRPr="00C9680B">
              <w:rPr>
                <w:b/>
              </w:rPr>
              <w:t>+1,4</w:t>
            </w:r>
          </w:p>
        </w:tc>
        <w:tc>
          <w:tcPr>
            <w:tcW w:w="471" w:type="dxa"/>
          </w:tcPr>
          <w:p w:rsidR="001C7BF9" w:rsidRPr="00C9680B" w:rsidRDefault="001C7BF9">
            <w:pPr>
              <w:pStyle w:val="Tabell"/>
              <w:keepNext/>
              <w:keepLines/>
              <w:ind w:right="57"/>
              <w:jc w:val="right"/>
              <w:rPr>
                <w:b/>
              </w:rPr>
            </w:pPr>
            <w:r w:rsidRPr="00C9680B">
              <w:rPr>
                <w:b/>
              </w:rPr>
              <w:t>+1,4</w:t>
            </w:r>
          </w:p>
        </w:tc>
        <w:tc>
          <w:tcPr>
            <w:tcW w:w="471" w:type="dxa"/>
          </w:tcPr>
          <w:p w:rsidR="001C7BF9" w:rsidRPr="00C9680B" w:rsidRDefault="001C7BF9">
            <w:pPr>
              <w:pStyle w:val="Tabell"/>
              <w:keepNext/>
              <w:keepLines/>
              <w:ind w:right="57"/>
              <w:jc w:val="right"/>
              <w:rPr>
                <w:b/>
              </w:rPr>
            </w:pPr>
            <w:r w:rsidRPr="00C9680B">
              <w:rPr>
                <w:b/>
              </w:rPr>
              <w:t>+1,0</w:t>
            </w:r>
          </w:p>
        </w:tc>
        <w:tc>
          <w:tcPr>
            <w:tcW w:w="471" w:type="dxa"/>
          </w:tcPr>
          <w:p w:rsidR="001C7BF9" w:rsidRPr="00C9680B" w:rsidRDefault="001C7BF9">
            <w:pPr>
              <w:pStyle w:val="Tabell"/>
              <w:keepNext/>
              <w:keepLines/>
              <w:ind w:right="57"/>
              <w:jc w:val="right"/>
              <w:rPr>
                <w:b/>
              </w:rPr>
            </w:pPr>
            <w:r w:rsidRPr="00C9680B">
              <w:rPr>
                <w:b/>
              </w:rPr>
              <w:t>±0,0</w:t>
            </w:r>
          </w:p>
        </w:tc>
        <w:tc>
          <w:tcPr>
            <w:tcW w:w="471" w:type="dxa"/>
          </w:tcPr>
          <w:p w:rsidR="001C7BF9" w:rsidRPr="00C9680B" w:rsidRDefault="001C7BF9">
            <w:pPr>
              <w:pStyle w:val="Tabell"/>
              <w:keepNext/>
              <w:keepLines/>
              <w:ind w:right="57"/>
              <w:jc w:val="right"/>
              <w:rPr>
                <w:b/>
              </w:rPr>
            </w:pPr>
            <w:r w:rsidRPr="00C9680B">
              <w:rPr>
                <w:b/>
              </w:rPr>
              <w:t>±0,0</w:t>
            </w:r>
          </w:p>
        </w:tc>
      </w:tr>
      <w:tr w:rsidR="00000000" w:rsidRPr="00C9680B">
        <w:tblPrEx>
          <w:tblCellMar>
            <w:top w:w="0" w:type="dxa"/>
            <w:left w:w="0" w:type="dxa"/>
            <w:bottom w:w="0" w:type="dxa"/>
            <w:right w:w="0" w:type="dxa"/>
          </w:tblCellMar>
        </w:tblPrEx>
        <w:trPr>
          <w:trHeight w:hRule="exact" w:val="40"/>
        </w:trPr>
        <w:tc>
          <w:tcPr>
            <w:tcW w:w="3515" w:type="dxa"/>
            <w:tcBorders>
              <w:bottom w:val="single" w:sz="6" w:space="0" w:color="auto"/>
            </w:tcBorders>
          </w:tcPr>
          <w:p w:rsidR="001C7BF9" w:rsidRPr="00C9680B" w:rsidRDefault="001C7BF9">
            <w:pPr>
              <w:pStyle w:val="Tabell"/>
              <w:keepNext/>
              <w:keepLines/>
              <w:rPr>
                <w:b/>
              </w:rPr>
            </w:pPr>
          </w:p>
        </w:tc>
        <w:tc>
          <w:tcPr>
            <w:tcW w:w="471" w:type="dxa"/>
            <w:tcBorders>
              <w:bottom w:val="single" w:sz="6" w:space="0" w:color="auto"/>
            </w:tcBorders>
          </w:tcPr>
          <w:p w:rsidR="001C7BF9" w:rsidRPr="00C9680B" w:rsidRDefault="001C7BF9">
            <w:pPr>
              <w:pStyle w:val="Tabell"/>
              <w:keepNext/>
              <w:keepLines/>
              <w:ind w:right="57"/>
              <w:jc w:val="right"/>
              <w:rPr>
                <w:b/>
              </w:rPr>
            </w:pPr>
          </w:p>
        </w:tc>
        <w:tc>
          <w:tcPr>
            <w:tcW w:w="471" w:type="dxa"/>
            <w:tcBorders>
              <w:bottom w:val="single" w:sz="6" w:space="0" w:color="auto"/>
            </w:tcBorders>
          </w:tcPr>
          <w:p w:rsidR="001C7BF9" w:rsidRPr="00C9680B" w:rsidRDefault="001C7BF9">
            <w:pPr>
              <w:pStyle w:val="Tabell"/>
              <w:keepNext/>
              <w:keepLines/>
              <w:ind w:right="57"/>
              <w:jc w:val="right"/>
              <w:rPr>
                <w:b/>
              </w:rPr>
            </w:pPr>
          </w:p>
        </w:tc>
        <w:tc>
          <w:tcPr>
            <w:tcW w:w="471" w:type="dxa"/>
            <w:tcBorders>
              <w:bottom w:val="single" w:sz="6" w:space="0" w:color="auto"/>
            </w:tcBorders>
          </w:tcPr>
          <w:p w:rsidR="001C7BF9" w:rsidRPr="00C9680B" w:rsidRDefault="001C7BF9">
            <w:pPr>
              <w:pStyle w:val="Tabell"/>
              <w:keepNext/>
              <w:keepLines/>
              <w:ind w:right="57"/>
              <w:jc w:val="right"/>
              <w:rPr>
                <w:b/>
              </w:rPr>
            </w:pPr>
          </w:p>
        </w:tc>
        <w:tc>
          <w:tcPr>
            <w:tcW w:w="471" w:type="dxa"/>
            <w:tcBorders>
              <w:bottom w:val="single" w:sz="6" w:space="0" w:color="auto"/>
            </w:tcBorders>
          </w:tcPr>
          <w:p w:rsidR="001C7BF9" w:rsidRPr="00C9680B" w:rsidRDefault="001C7BF9">
            <w:pPr>
              <w:pStyle w:val="Tabell"/>
              <w:keepNext/>
              <w:keepLines/>
              <w:ind w:right="57"/>
              <w:jc w:val="right"/>
              <w:rPr>
                <w:b/>
              </w:rPr>
            </w:pPr>
          </w:p>
        </w:tc>
        <w:tc>
          <w:tcPr>
            <w:tcW w:w="471" w:type="dxa"/>
            <w:tcBorders>
              <w:bottom w:val="single" w:sz="6" w:space="0" w:color="auto"/>
            </w:tcBorders>
          </w:tcPr>
          <w:p w:rsidR="001C7BF9" w:rsidRPr="00C9680B" w:rsidRDefault="001C7BF9">
            <w:pPr>
              <w:pStyle w:val="Tabell"/>
              <w:keepNext/>
              <w:keepLines/>
              <w:ind w:right="57"/>
              <w:jc w:val="right"/>
              <w:rPr>
                <w:b/>
              </w:rPr>
            </w:pPr>
          </w:p>
        </w:tc>
        <w:tc>
          <w:tcPr>
            <w:tcW w:w="471" w:type="dxa"/>
            <w:tcBorders>
              <w:bottom w:val="single" w:sz="6" w:space="0" w:color="auto"/>
            </w:tcBorders>
          </w:tcPr>
          <w:p w:rsidR="001C7BF9" w:rsidRPr="00C9680B" w:rsidRDefault="001C7BF9">
            <w:pPr>
              <w:pStyle w:val="Tabell"/>
              <w:keepNext/>
              <w:keepLines/>
              <w:ind w:right="57"/>
              <w:jc w:val="right"/>
              <w:rPr>
                <w:b/>
              </w:rPr>
            </w:pPr>
          </w:p>
        </w:tc>
      </w:tr>
    </w:tbl>
    <w:p w:rsidR="001C7BF9" w:rsidRPr="00C9680B" w:rsidRDefault="001C7BF9">
      <w:pPr>
        <w:pStyle w:val="Tabell"/>
        <w:keepNext/>
        <w:keepLines/>
        <w:spacing w:line="200" w:lineRule="exact"/>
        <w:rPr>
          <w:sz w:val="16"/>
        </w:rPr>
      </w:pPr>
      <w:r w:rsidRPr="00C9680B">
        <w:rPr>
          <w:sz w:val="16"/>
        </w:rPr>
        <w:t xml:space="preserve">¹ Finansiellt sparande efter beräkningsteknisk överföring 2002 och 2003. </w:t>
      </w:r>
    </w:p>
    <w:p w:rsidR="001C7BF9" w:rsidRPr="00C9680B" w:rsidRDefault="001C7BF9">
      <w:pPr>
        <w:pStyle w:val="Tabell"/>
        <w:keepLines/>
        <w:spacing w:line="200" w:lineRule="exact"/>
        <w:rPr>
          <w:sz w:val="6"/>
        </w:rPr>
      </w:pPr>
    </w:p>
    <w:p w:rsidR="001C7BF9" w:rsidRPr="00C9680B" w:rsidRDefault="001C7BF9">
      <w:r w:rsidRPr="00C9680B">
        <w:t>Det överskjutande överskottet 2001 skall enligt regeringen ses som en säke</w:t>
      </w:r>
      <w:r w:rsidRPr="00C9680B">
        <w:t>r</w:t>
      </w:r>
      <w:r w:rsidRPr="00C9680B">
        <w:t>hetsmarginal och kommer inte att utnyttjas för reformer. För 2002 och 2003 beräknas det finansiella sparandet motsvara 3,3 respektive 3,6 % av BNP, men det överskjutande överskottet under dessa båda år har i regeringens ka</w:t>
      </w:r>
      <w:r w:rsidRPr="00C9680B">
        <w:t>l</w:t>
      </w:r>
      <w:r w:rsidRPr="00C9680B">
        <w:t>kyler tills vidare satts av som en beräkningsteknisk överföring till hushållen vilket förklarar varför det finansiella sparandet då exakt motsvarar de målsatta nivåerna. Enligt tidigare fastlagda principer ämnar regeringen ta i anspråk denna berä</w:t>
      </w:r>
      <w:r w:rsidRPr="00C9680B">
        <w:t>k</w:t>
      </w:r>
      <w:r w:rsidRPr="00C9680B">
        <w:t>ningstekniska överföring för skattesänkni</w:t>
      </w:r>
      <w:r w:rsidRPr="00C9680B">
        <w:t>ngar eller nya utgifts</w:t>
      </w:r>
      <w:r w:rsidRPr="00C9680B">
        <w:softHyphen/>
        <w:t>åtaganden som tillfaller hushållen. Men även om så sker kommer överskottet i de offentliga finanserna under åren 1998–2003 att ha varit så stort att det med råge överstiger den målsatta genomsnittsnivån på 2 % under en sammanhän</w:t>
      </w:r>
      <w:r w:rsidRPr="00C9680B">
        <w:t>g</w:t>
      </w:r>
      <w:r w:rsidRPr="00C9680B">
        <w:t>ande sexårsperiod, dvs. en period som i stort motsvarar en normal konjun</w:t>
      </w:r>
      <w:r w:rsidRPr="00C9680B">
        <w:t>k</w:t>
      </w:r>
      <w:r w:rsidRPr="00C9680B">
        <w:t>turcykel.</w:t>
      </w:r>
    </w:p>
    <w:p w:rsidR="001C7BF9" w:rsidRPr="00C9680B" w:rsidRDefault="001C7BF9">
      <w:pPr>
        <w:pStyle w:val="Normaltindrag"/>
      </w:pPr>
      <w:r w:rsidRPr="00C9680B">
        <w:t>Enligt utskottets mening bör finanspolitiken utformas på ett sådant sätt att det uppställda genomsnittsmålet uppnås. Mot bakgrund av utvecklingen sedan 1998 framstår enligt utsk</w:t>
      </w:r>
      <w:r w:rsidRPr="00C9680B">
        <w:t>ottets mening den av regeringen valda uppläggnin</w:t>
      </w:r>
      <w:r w:rsidRPr="00C9680B">
        <w:t>g</w:t>
      </w:r>
      <w:r w:rsidRPr="00C9680B">
        <w:t>en som väl avvägd. Utskottet finner därför inte skäl att tillstyrka Folkpartiets förslag om ett högre öve</w:t>
      </w:r>
      <w:r w:rsidRPr="00C9680B">
        <w:t>r</w:t>
      </w:r>
      <w:r w:rsidRPr="00C9680B">
        <w:t>skottsmål för 2001.</w:t>
      </w:r>
    </w:p>
    <w:p w:rsidR="001C7BF9" w:rsidRPr="00C9680B" w:rsidRDefault="001C7BF9">
      <w:r w:rsidRPr="00C9680B">
        <w:t xml:space="preserve">Kristdemokraterna anser att det nuvarande överskottsmålet på 2 % för de </w:t>
      </w:r>
      <w:r w:rsidRPr="00C9680B">
        <w:rPr>
          <w:i/>
        </w:rPr>
        <w:t>offentliga</w:t>
      </w:r>
      <w:r w:rsidRPr="00C9680B">
        <w:t xml:space="preserve"> finanserna skall kompletteras med ett mål med krav på balans i </w:t>
      </w:r>
      <w:r w:rsidRPr="00C9680B">
        <w:rPr>
          <w:i/>
        </w:rPr>
        <w:t>statens</w:t>
      </w:r>
      <w:r w:rsidRPr="00C9680B">
        <w:t xml:space="preserve"> finansiella sparande sett över en konjunkturcykel. Ett sådant balan</w:t>
      </w:r>
      <w:r w:rsidRPr="00C9680B">
        <w:t>s</w:t>
      </w:r>
      <w:r w:rsidRPr="00C9680B">
        <w:t>mål för staten blir enligt deras mening liktydigt med att statsskulden inte ökar över tiden ens i nominella termer.</w:t>
      </w:r>
    </w:p>
    <w:p w:rsidR="001C7BF9" w:rsidRPr="00C9680B" w:rsidRDefault="001C7BF9">
      <w:pPr>
        <w:pStyle w:val="Normaltindrag"/>
      </w:pPr>
      <w:r w:rsidRPr="00C9680B">
        <w:t>Utskottet vill med anledning härav erinra om att nuvarande finansiella mål utgår från den bas som allmänt används i internationella sammanhang och som finns definierad i ett internationellt regelverk för nationalräkenskaper som Sverige som medlem</w:t>
      </w:r>
      <w:r w:rsidRPr="00C9680B">
        <w:t xml:space="preserve"> i EU är skyldig att följa. Det är den offentliga se</w:t>
      </w:r>
      <w:r w:rsidRPr="00C9680B">
        <w:t>k</w:t>
      </w:r>
      <w:r w:rsidRPr="00C9680B">
        <w:t xml:space="preserve">torns finansiella sparande som utgör grund för jämförelser länder emellan, inte statens finansiella ställning. Det är också denna bas som används i EU:s stabilitetspakt genom vilken Sverige förbundit sig att hålla de </w:t>
      </w:r>
      <w:r w:rsidRPr="00C9680B">
        <w:rPr>
          <w:i/>
        </w:rPr>
        <w:t>offentliga</w:t>
      </w:r>
      <w:r w:rsidRPr="00C9680B">
        <w:t xml:space="preserve"> f</w:t>
      </w:r>
      <w:r w:rsidRPr="00C9680B">
        <w:t>i</w:t>
      </w:r>
      <w:r w:rsidRPr="00C9680B">
        <w:t>nanserna nära balans eller i överskott. Skuldkriteriet enligt Maastrichtvillk</w:t>
      </w:r>
      <w:r w:rsidRPr="00C9680B">
        <w:t>o</w:t>
      </w:r>
      <w:r w:rsidRPr="00C9680B">
        <w:t xml:space="preserve">ren utgår dessutom från den </w:t>
      </w:r>
      <w:r w:rsidRPr="00C9680B">
        <w:rPr>
          <w:i/>
        </w:rPr>
        <w:t>o</w:t>
      </w:r>
      <w:r w:rsidRPr="00C9680B">
        <w:rPr>
          <w:i/>
        </w:rPr>
        <w:t>f</w:t>
      </w:r>
      <w:r w:rsidRPr="00C9680B">
        <w:rPr>
          <w:i/>
        </w:rPr>
        <w:t>fentliga</w:t>
      </w:r>
      <w:r w:rsidRPr="00C9680B">
        <w:t xml:space="preserve"> sektorns bruttoskuld.</w:t>
      </w:r>
    </w:p>
    <w:p w:rsidR="001C7BF9" w:rsidRPr="00C9680B" w:rsidRDefault="001C7BF9">
      <w:pPr>
        <w:pStyle w:val="Normaltindrag"/>
      </w:pPr>
      <w:r w:rsidRPr="00C9680B">
        <w:t>Genom pensionsreformen har ålderspensionssystemet visserligen fått en mer fristående ställ</w:t>
      </w:r>
      <w:r w:rsidRPr="00C9680B">
        <w:t>ning, men definitionsmässigt är det fortfarande en del av den offentliga sektorn, och det går inte att bortse från vare sig dess eller kommunsektorns finansiella ställning när finanspolitiken utformas. Ett öve</w:t>
      </w:r>
      <w:r w:rsidRPr="00C9680B">
        <w:t>r</w:t>
      </w:r>
      <w:r w:rsidRPr="00C9680B">
        <w:t>skottsmål som omfattar hela den offentliga sektorn är därför enligt utskottets mening ett mer ändamålsenligt styrinstrument än ett mål som endast gäller den statliga se</w:t>
      </w:r>
      <w:r w:rsidRPr="00C9680B">
        <w:t>k</w:t>
      </w:r>
      <w:r w:rsidRPr="00C9680B">
        <w:t>torn.</w:t>
      </w:r>
    </w:p>
    <w:p w:rsidR="001C7BF9" w:rsidRPr="00C9680B" w:rsidRDefault="001C7BF9">
      <w:pPr>
        <w:pStyle w:val="Normaltindrag"/>
      </w:pPr>
      <w:r w:rsidRPr="00C9680B">
        <w:t>Användningen av mål som omfattar endast en del av den offentliga sektorn kan dessutom leda till oönskade konsekvenser. Så t.ex.</w:t>
      </w:r>
      <w:r w:rsidRPr="00C9680B">
        <w:t xml:space="preserve"> ger under åren 1999–2003 infasningen av det nya ålderspensionssystemet upphov till kraftiga vari</w:t>
      </w:r>
      <w:r w:rsidRPr="00C9680B">
        <w:t>a</w:t>
      </w:r>
      <w:r w:rsidRPr="00C9680B">
        <w:t>tioner i statens finansiella sparande liksom i det finansiella sparandet för ålderspensionssystemet; variationer som är en följd av interna överföringar mellan dessa båda system och som inte framträder vid en bedömning av den konsoliderade offentliga sektorn.</w:t>
      </w:r>
    </w:p>
    <w:p w:rsidR="001C7BF9" w:rsidRPr="00C9680B" w:rsidRDefault="001C7BF9">
      <w:pPr>
        <w:pStyle w:val="Normaltindrag"/>
      </w:pPr>
      <w:r w:rsidRPr="00C9680B">
        <w:t>Fullt genomfört kommer pensionssystemet att leda till att statsfinanserna försvagas med ca 60 miljarder kronor per år. För att i viss mån motverka denna f</w:t>
      </w:r>
      <w:r w:rsidRPr="00C9680B">
        <w:t>örsvagning har riksdagen tidigare beslutat att 45 miljarder kronor skall överföras till statsbudgeten under vart och ett av åren 1999 och 2000. Under 2001 skall ytterligare en överföring på 155 miljarder kronor göras i form av bostad</w:t>
      </w:r>
      <w:r w:rsidRPr="00C9680B">
        <w:t>s</w:t>
      </w:r>
      <w:r w:rsidRPr="00C9680B">
        <w:t xml:space="preserve">obligationer och statsobligationer. </w:t>
      </w:r>
    </w:p>
    <w:p w:rsidR="001C7BF9" w:rsidRPr="00C9680B" w:rsidRDefault="001C7BF9">
      <w:pPr>
        <w:pStyle w:val="Normaltindrag"/>
      </w:pPr>
      <w:r w:rsidRPr="00C9680B">
        <w:t>Överföringen av statsobligationerna, vars nominella värde beräknas till 75 miljarder kronor, påverkar inte budgetsaldot. Dessa obligationer skrivs i stä</w:t>
      </w:r>
      <w:r w:rsidRPr="00C9680B">
        <w:t>l</w:t>
      </w:r>
      <w:r w:rsidRPr="00C9680B">
        <w:t xml:space="preserve">let av direkt mot statsskulden som minskar med ett lika stort belopp. </w:t>
      </w:r>
    </w:p>
    <w:p w:rsidR="001C7BF9" w:rsidRPr="00C9680B" w:rsidRDefault="001C7BF9">
      <w:pPr>
        <w:pStyle w:val="Normaltindrag"/>
      </w:pPr>
      <w:r w:rsidRPr="00C9680B">
        <w:t>De överförda bostadsobligationerna kommer successivt att förfalla till b</w:t>
      </w:r>
      <w:r w:rsidRPr="00C9680B">
        <w:t>e</w:t>
      </w:r>
      <w:r w:rsidRPr="00C9680B">
        <w:t>talning och i takt med att så sker får de förfallna beloppen genomslag på statsbudgeten. I budgetpropositionen antogs att 27,6 miljarder kronor av de överförda bostadsobligationerna skulle förfalla till betalning under 2001 medan resterande obligationer skulle lösas in under åren därefter. Den 19 oktober 2000 har emellertid regeringen på förslag av utredningsmannen Carl Johan Åberg slutligt bestämt vilken sammansättning som de överförda b</w:t>
      </w:r>
      <w:r w:rsidRPr="00C9680B">
        <w:t>o</w:t>
      </w:r>
      <w:r w:rsidRPr="00C9680B">
        <w:t xml:space="preserve">stadsobligationerna skall ha, och denna sammansättning avviker från </w:t>
      </w:r>
      <w:r w:rsidRPr="00C9680B">
        <w:t>tidigare gjorda antaganden. Enligt regeringsbeslutet är det sammanlagda värdet på portföljen med bostadsobligationer i princip oförändrat. Däremot har förfa</w:t>
      </w:r>
      <w:r w:rsidRPr="00C9680B">
        <w:t>l</w:t>
      </w:r>
      <w:r w:rsidRPr="00C9680B">
        <w:t>lotidpunkten för de ingående obligationerna fått en annan fördelning över tiden, och som en följd härav räknar man nu med att 46 miljarder kronor i stället för 28 miljarder kronor kommer att tillföras statsbudgeten 2001. Bu</w:t>
      </w:r>
      <w:r w:rsidRPr="00C9680B">
        <w:t>d</w:t>
      </w:r>
      <w:r w:rsidRPr="00C9680B">
        <w:t>getsaldot förbättras därigenom detta år med ett lika stort belopp.</w:t>
      </w:r>
    </w:p>
    <w:p w:rsidR="001C7BF9" w:rsidRPr="00C9680B" w:rsidRDefault="001C7BF9">
      <w:pPr>
        <w:pStyle w:val="Normaltindrag"/>
      </w:pPr>
      <w:r w:rsidRPr="00C9680B">
        <w:t>Annorlunda uttryckt kommer således endast 46 av de överförda 155</w:t>
      </w:r>
      <w:r w:rsidRPr="00C9680B">
        <w:t xml:space="preserve"> mi</w:t>
      </w:r>
      <w:r w:rsidRPr="00C9680B">
        <w:t>l</w:t>
      </w:r>
      <w:r w:rsidRPr="00C9680B">
        <w:t xml:space="preserve">jarder kronorna att påverka </w:t>
      </w:r>
      <w:r w:rsidRPr="00C9680B">
        <w:rPr>
          <w:i/>
        </w:rPr>
        <w:t>budgetsaldot</w:t>
      </w:r>
      <w:r w:rsidRPr="00C9680B">
        <w:t xml:space="preserve"> under 2001. Dessa 46 miljarder kronor kommer emellertid tillsammans med de överförda statsobligationerna på nominellt 75 miljarder kronor att bidra till att </w:t>
      </w:r>
      <w:r w:rsidRPr="00C9680B">
        <w:rPr>
          <w:i/>
        </w:rPr>
        <w:t>statsskulden</w:t>
      </w:r>
      <w:r w:rsidRPr="00C9680B">
        <w:t xml:space="preserve"> samma år min</w:t>
      </w:r>
      <w:r w:rsidRPr="00C9680B">
        <w:t>s</w:t>
      </w:r>
      <w:r w:rsidRPr="00C9680B">
        <w:t>kar med 131 miljarder kronor.</w:t>
      </w:r>
    </w:p>
    <w:p w:rsidR="001C7BF9" w:rsidRPr="00C9680B" w:rsidRDefault="001C7BF9">
      <w:pPr>
        <w:pStyle w:val="Normaltindrag"/>
      </w:pPr>
      <w:r w:rsidRPr="00C9680B">
        <w:t xml:space="preserve">Statens förmögenhetsställning påverkas däremot omedelbart och fullt ut av överföringen vilket innebär att statens </w:t>
      </w:r>
      <w:r w:rsidRPr="00C9680B">
        <w:rPr>
          <w:i/>
        </w:rPr>
        <w:t>finansiella sparande</w:t>
      </w:r>
      <w:r w:rsidRPr="00C9680B">
        <w:t xml:space="preserve"> kommer att fö</w:t>
      </w:r>
      <w:r w:rsidRPr="00C9680B">
        <w:t>r</w:t>
      </w:r>
      <w:r w:rsidRPr="00C9680B">
        <w:t>bät</w:t>
      </w:r>
      <w:r w:rsidRPr="00C9680B">
        <w:t>t</w:t>
      </w:r>
      <w:r w:rsidRPr="00C9680B">
        <w:t>ras under 2001 med 155 miljarder kronor.</w:t>
      </w:r>
    </w:p>
    <w:p w:rsidR="001C7BF9" w:rsidRPr="00C9680B" w:rsidRDefault="001C7BF9">
      <w:pPr>
        <w:pStyle w:val="Normaltindrag"/>
      </w:pPr>
      <w:r w:rsidRPr="00C9680B">
        <w:t>I efterföljande tabell redovisas hur det finansiella sparandet utvecklas u</w:t>
      </w:r>
      <w:r w:rsidRPr="00C9680B">
        <w:t>n</w:t>
      </w:r>
      <w:r w:rsidRPr="00C9680B">
        <w:t>der femårsperioden 1999–2003 för dels den konsoliderade offentliga sektorn som helhet, dels de tre delsektorerna staten, ålderspensionssystemet och kommu</w:t>
      </w:r>
      <w:r w:rsidRPr="00C9680B">
        <w:t>n</w:t>
      </w:r>
      <w:r w:rsidRPr="00C9680B">
        <w:t>sektorn.</w:t>
      </w:r>
    </w:p>
    <w:p w:rsidR="001C7BF9" w:rsidRPr="00C9680B" w:rsidRDefault="001C7BF9">
      <w:pPr>
        <w:pStyle w:val="TabellrubrikPer"/>
        <w:keepNext/>
        <w:widowControl w:val="0"/>
        <w:spacing w:after="60"/>
        <w:outlineLvl w:val="0"/>
        <w:rPr>
          <w:b/>
          <w:caps w:val="0"/>
          <w:spacing w:val="0"/>
          <w:sz w:val="17"/>
        </w:rPr>
      </w:pPr>
      <w:r w:rsidRPr="00C9680B">
        <w:rPr>
          <w:b/>
          <w:caps w:val="0"/>
          <w:spacing w:val="0"/>
          <w:sz w:val="17"/>
        </w:rPr>
        <w:t>Tabell 10. Finansiellt sparande i den offentliga sektorns delsektorer 1999–2003</w:t>
      </w:r>
    </w:p>
    <w:p w:rsidR="001C7BF9" w:rsidRPr="00C9680B" w:rsidRDefault="001C7BF9">
      <w:pPr>
        <w:pStyle w:val="Tabell"/>
        <w:keepNext/>
        <w:keepLines/>
        <w:widowControl w:val="0"/>
        <w:spacing w:after="40" w:line="190" w:lineRule="exact"/>
        <w:outlineLvl w:val="0"/>
        <w:rPr>
          <w:sz w:val="14"/>
        </w:rPr>
      </w:pPr>
      <w:r w:rsidRPr="00C9680B">
        <w:rPr>
          <w:sz w:val="14"/>
        </w:rPr>
        <w:t xml:space="preserve">Miljarder kronor, löpande priser </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59"/>
        <w:gridCol w:w="493"/>
        <w:gridCol w:w="493"/>
        <w:gridCol w:w="493"/>
        <w:gridCol w:w="493"/>
        <w:gridCol w:w="493"/>
      </w:tblGrid>
      <w:tr w:rsidR="00000000" w:rsidRPr="00C9680B">
        <w:tblPrEx>
          <w:tblCellMar>
            <w:top w:w="0" w:type="dxa"/>
            <w:bottom w:w="0" w:type="dxa"/>
          </w:tblCellMar>
        </w:tblPrEx>
        <w:trPr>
          <w:tblHeader/>
        </w:trPr>
        <w:tc>
          <w:tcPr>
            <w:tcW w:w="3459" w:type="dxa"/>
            <w:tcBorders>
              <w:top w:val="single" w:sz="4" w:space="0" w:color="auto"/>
              <w:left w:val="nil"/>
              <w:bottom w:val="nil"/>
              <w:right w:val="nil"/>
            </w:tcBorders>
          </w:tcPr>
          <w:p w:rsidR="001C7BF9" w:rsidRPr="00C9680B" w:rsidRDefault="001C7BF9">
            <w:pPr>
              <w:keepNext/>
              <w:keepLines/>
              <w:widowControl w:val="0"/>
              <w:rPr>
                <w:b/>
                <w:sz w:val="17"/>
              </w:rPr>
            </w:pPr>
          </w:p>
        </w:tc>
        <w:tc>
          <w:tcPr>
            <w:tcW w:w="493" w:type="dxa"/>
            <w:tcBorders>
              <w:top w:val="single" w:sz="4" w:space="0" w:color="auto"/>
              <w:left w:val="nil"/>
              <w:bottom w:val="single" w:sz="4" w:space="0" w:color="auto"/>
              <w:right w:val="nil"/>
            </w:tcBorders>
          </w:tcPr>
          <w:p w:rsidR="001C7BF9" w:rsidRPr="00C9680B" w:rsidRDefault="001C7BF9">
            <w:pPr>
              <w:keepNext/>
              <w:keepLines/>
              <w:widowControl w:val="0"/>
              <w:jc w:val="right"/>
              <w:rPr>
                <w:b/>
                <w:sz w:val="17"/>
              </w:rPr>
            </w:pPr>
            <w:r w:rsidRPr="00C9680B">
              <w:rPr>
                <w:b/>
                <w:sz w:val="17"/>
              </w:rPr>
              <w:t>1999</w:t>
            </w:r>
          </w:p>
        </w:tc>
        <w:tc>
          <w:tcPr>
            <w:tcW w:w="493" w:type="dxa"/>
            <w:tcBorders>
              <w:top w:val="single" w:sz="4" w:space="0" w:color="auto"/>
              <w:left w:val="nil"/>
              <w:bottom w:val="single" w:sz="4" w:space="0" w:color="auto"/>
              <w:right w:val="nil"/>
            </w:tcBorders>
          </w:tcPr>
          <w:p w:rsidR="001C7BF9" w:rsidRPr="00C9680B" w:rsidRDefault="001C7BF9">
            <w:pPr>
              <w:keepNext/>
              <w:keepLines/>
              <w:widowControl w:val="0"/>
              <w:jc w:val="right"/>
              <w:rPr>
                <w:b/>
                <w:sz w:val="17"/>
              </w:rPr>
            </w:pPr>
            <w:r w:rsidRPr="00C9680B">
              <w:rPr>
                <w:b/>
                <w:sz w:val="17"/>
              </w:rPr>
              <w:t>2000</w:t>
            </w:r>
          </w:p>
        </w:tc>
        <w:tc>
          <w:tcPr>
            <w:tcW w:w="493" w:type="dxa"/>
            <w:tcBorders>
              <w:top w:val="single" w:sz="4" w:space="0" w:color="auto"/>
              <w:left w:val="nil"/>
              <w:bottom w:val="single" w:sz="4" w:space="0" w:color="auto"/>
              <w:right w:val="nil"/>
            </w:tcBorders>
          </w:tcPr>
          <w:p w:rsidR="001C7BF9" w:rsidRPr="00C9680B" w:rsidRDefault="001C7BF9">
            <w:pPr>
              <w:keepNext/>
              <w:keepLines/>
              <w:widowControl w:val="0"/>
              <w:jc w:val="right"/>
              <w:rPr>
                <w:b/>
                <w:sz w:val="17"/>
              </w:rPr>
            </w:pPr>
            <w:r w:rsidRPr="00C9680B">
              <w:rPr>
                <w:b/>
                <w:sz w:val="17"/>
              </w:rPr>
              <w:t>2001</w:t>
            </w:r>
          </w:p>
        </w:tc>
        <w:tc>
          <w:tcPr>
            <w:tcW w:w="493" w:type="dxa"/>
            <w:tcBorders>
              <w:top w:val="single" w:sz="4" w:space="0" w:color="auto"/>
              <w:left w:val="nil"/>
              <w:bottom w:val="single" w:sz="4" w:space="0" w:color="auto"/>
              <w:right w:val="nil"/>
            </w:tcBorders>
          </w:tcPr>
          <w:p w:rsidR="001C7BF9" w:rsidRPr="00C9680B" w:rsidRDefault="001C7BF9">
            <w:pPr>
              <w:keepNext/>
              <w:keepLines/>
              <w:widowControl w:val="0"/>
              <w:jc w:val="right"/>
              <w:rPr>
                <w:b/>
                <w:sz w:val="17"/>
              </w:rPr>
            </w:pPr>
            <w:r w:rsidRPr="00C9680B">
              <w:rPr>
                <w:b/>
                <w:sz w:val="17"/>
              </w:rPr>
              <w:t>2002</w:t>
            </w:r>
          </w:p>
        </w:tc>
        <w:tc>
          <w:tcPr>
            <w:tcW w:w="493" w:type="dxa"/>
            <w:tcBorders>
              <w:top w:val="single" w:sz="4" w:space="0" w:color="auto"/>
              <w:left w:val="nil"/>
              <w:bottom w:val="nil"/>
              <w:right w:val="nil"/>
            </w:tcBorders>
          </w:tcPr>
          <w:p w:rsidR="001C7BF9" w:rsidRPr="00C9680B" w:rsidRDefault="001C7BF9">
            <w:pPr>
              <w:keepNext/>
              <w:keepLines/>
              <w:widowControl w:val="0"/>
              <w:jc w:val="right"/>
              <w:rPr>
                <w:b/>
                <w:sz w:val="17"/>
              </w:rPr>
            </w:pPr>
            <w:r w:rsidRPr="00C9680B">
              <w:rPr>
                <w:b/>
                <w:sz w:val="17"/>
              </w:rPr>
              <w:t>2003</w:t>
            </w:r>
          </w:p>
        </w:tc>
      </w:tr>
      <w:tr w:rsidR="00000000" w:rsidRPr="00C9680B">
        <w:tblPrEx>
          <w:tblCellMar>
            <w:top w:w="0" w:type="dxa"/>
            <w:bottom w:w="0" w:type="dxa"/>
          </w:tblCellMar>
        </w:tblPrEx>
        <w:trPr>
          <w:trHeight w:hRule="exact" w:val="60"/>
          <w:tblHeader/>
        </w:trPr>
        <w:tc>
          <w:tcPr>
            <w:tcW w:w="3459" w:type="dxa"/>
            <w:tcBorders>
              <w:top w:val="single" w:sz="4" w:space="0" w:color="auto"/>
              <w:left w:val="nil"/>
              <w:bottom w:val="nil"/>
              <w:right w:val="nil"/>
            </w:tcBorders>
          </w:tcPr>
          <w:p w:rsidR="001C7BF9" w:rsidRPr="00C9680B" w:rsidRDefault="001C7BF9">
            <w:pPr>
              <w:keepNext/>
              <w:keepLines/>
              <w:widowControl w:val="0"/>
              <w:rPr>
                <w:sz w:val="17"/>
              </w:rPr>
            </w:pPr>
          </w:p>
        </w:tc>
        <w:tc>
          <w:tcPr>
            <w:tcW w:w="493" w:type="dxa"/>
            <w:tcBorders>
              <w:top w:val="nil"/>
              <w:left w:val="nil"/>
              <w:bottom w:val="nil"/>
              <w:right w:val="nil"/>
            </w:tcBorders>
          </w:tcPr>
          <w:p w:rsidR="001C7BF9" w:rsidRPr="00C9680B" w:rsidRDefault="001C7BF9">
            <w:pPr>
              <w:keepNext/>
              <w:keepLines/>
              <w:widowControl w:val="0"/>
              <w:jc w:val="right"/>
              <w:rPr>
                <w:sz w:val="17"/>
              </w:rPr>
            </w:pPr>
          </w:p>
        </w:tc>
        <w:tc>
          <w:tcPr>
            <w:tcW w:w="493" w:type="dxa"/>
            <w:tcBorders>
              <w:top w:val="nil"/>
              <w:left w:val="nil"/>
              <w:bottom w:val="nil"/>
              <w:right w:val="nil"/>
            </w:tcBorders>
          </w:tcPr>
          <w:p w:rsidR="001C7BF9" w:rsidRPr="00C9680B" w:rsidRDefault="001C7BF9">
            <w:pPr>
              <w:keepNext/>
              <w:keepLines/>
              <w:widowControl w:val="0"/>
              <w:jc w:val="right"/>
              <w:rPr>
                <w:sz w:val="17"/>
              </w:rPr>
            </w:pPr>
          </w:p>
        </w:tc>
        <w:tc>
          <w:tcPr>
            <w:tcW w:w="493" w:type="dxa"/>
            <w:tcBorders>
              <w:top w:val="nil"/>
              <w:left w:val="nil"/>
              <w:bottom w:val="nil"/>
              <w:right w:val="nil"/>
            </w:tcBorders>
          </w:tcPr>
          <w:p w:rsidR="001C7BF9" w:rsidRPr="00C9680B" w:rsidRDefault="001C7BF9">
            <w:pPr>
              <w:keepNext/>
              <w:keepLines/>
              <w:widowControl w:val="0"/>
              <w:jc w:val="right"/>
              <w:rPr>
                <w:sz w:val="17"/>
              </w:rPr>
            </w:pPr>
          </w:p>
        </w:tc>
        <w:tc>
          <w:tcPr>
            <w:tcW w:w="493" w:type="dxa"/>
            <w:tcBorders>
              <w:top w:val="nil"/>
              <w:left w:val="nil"/>
              <w:bottom w:val="nil"/>
              <w:right w:val="nil"/>
            </w:tcBorders>
          </w:tcPr>
          <w:p w:rsidR="001C7BF9" w:rsidRPr="00C9680B" w:rsidRDefault="001C7BF9">
            <w:pPr>
              <w:keepNext/>
              <w:keepLines/>
              <w:widowControl w:val="0"/>
              <w:jc w:val="right"/>
              <w:rPr>
                <w:sz w:val="17"/>
              </w:rPr>
            </w:pPr>
          </w:p>
        </w:tc>
        <w:tc>
          <w:tcPr>
            <w:tcW w:w="493" w:type="dxa"/>
            <w:tcBorders>
              <w:top w:val="single" w:sz="4" w:space="0" w:color="auto"/>
              <w:left w:val="nil"/>
              <w:bottom w:val="nil"/>
              <w:right w:val="nil"/>
            </w:tcBorders>
          </w:tcPr>
          <w:p w:rsidR="001C7BF9" w:rsidRPr="00C9680B" w:rsidRDefault="001C7BF9">
            <w:pPr>
              <w:keepNext/>
              <w:keepLines/>
              <w:widowControl w:val="0"/>
              <w:jc w:val="right"/>
              <w:rPr>
                <w:sz w:val="17"/>
              </w:rPr>
            </w:pPr>
          </w:p>
        </w:tc>
      </w:tr>
      <w:tr w:rsidR="00000000" w:rsidRPr="00C9680B">
        <w:tblPrEx>
          <w:tblCellMar>
            <w:top w:w="0" w:type="dxa"/>
            <w:bottom w:w="0" w:type="dxa"/>
          </w:tblCellMar>
        </w:tblPrEx>
        <w:trPr>
          <w:tblHeader/>
        </w:trPr>
        <w:tc>
          <w:tcPr>
            <w:tcW w:w="3459" w:type="dxa"/>
            <w:tcBorders>
              <w:top w:val="nil"/>
              <w:left w:val="nil"/>
              <w:bottom w:val="nil"/>
              <w:right w:val="nil"/>
            </w:tcBorders>
          </w:tcPr>
          <w:p w:rsidR="001C7BF9" w:rsidRPr="00C9680B" w:rsidRDefault="001C7BF9">
            <w:pPr>
              <w:keepNext/>
              <w:keepLines/>
              <w:widowControl w:val="0"/>
              <w:spacing w:before="0" w:line="190" w:lineRule="exact"/>
              <w:rPr>
                <w:b/>
                <w:sz w:val="17"/>
              </w:rPr>
            </w:pPr>
            <w:r w:rsidRPr="00C9680B">
              <w:rPr>
                <w:b/>
                <w:sz w:val="17"/>
              </w:rPr>
              <w:t>Finansiellt sparande före beräkningsteknisk överföring</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b/>
                <w:sz w:val="17"/>
              </w:rPr>
            </w:pP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b/>
                <w:sz w:val="17"/>
              </w:rPr>
            </w:pP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b/>
                <w:sz w:val="17"/>
              </w:rPr>
            </w:pP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b/>
                <w:sz w:val="17"/>
              </w:rPr>
            </w:pP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b/>
                <w:sz w:val="17"/>
              </w:rPr>
            </w:pPr>
          </w:p>
        </w:tc>
      </w:tr>
      <w:tr w:rsidR="00000000" w:rsidRPr="00C9680B">
        <w:tblPrEx>
          <w:tblCellMar>
            <w:top w:w="0" w:type="dxa"/>
            <w:bottom w:w="0" w:type="dxa"/>
          </w:tblCellMar>
        </w:tblPrEx>
        <w:trPr>
          <w:tblHeader/>
        </w:trPr>
        <w:tc>
          <w:tcPr>
            <w:tcW w:w="3459" w:type="dxa"/>
            <w:tcBorders>
              <w:top w:val="nil"/>
              <w:left w:val="nil"/>
              <w:bottom w:val="nil"/>
              <w:right w:val="nil"/>
            </w:tcBorders>
          </w:tcPr>
          <w:p w:rsidR="001C7BF9" w:rsidRPr="00C9680B" w:rsidRDefault="001C7BF9">
            <w:pPr>
              <w:keepNext/>
              <w:keepLines/>
              <w:widowControl w:val="0"/>
              <w:rPr>
                <w:sz w:val="17"/>
              </w:rPr>
            </w:pPr>
            <w:r w:rsidRPr="00C9680B">
              <w:rPr>
                <w:sz w:val="17"/>
              </w:rPr>
              <w:t>Offentlig sektor</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36,9</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71,3</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75,7</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 xml:space="preserve">74,9 </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84,1</w:t>
            </w:r>
          </w:p>
        </w:tc>
      </w:tr>
      <w:tr w:rsidR="00000000" w:rsidRPr="00C9680B">
        <w:tblPrEx>
          <w:tblCellMar>
            <w:top w:w="0" w:type="dxa"/>
            <w:bottom w:w="0" w:type="dxa"/>
          </w:tblCellMar>
        </w:tblPrEx>
        <w:trPr>
          <w:tblHeader/>
        </w:trPr>
        <w:tc>
          <w:tcPr>
            <w:tcW w:w="3459" w:type="dxa"/>
            <w:tcBorders>
              <w:top w:val="nil"/>
              <w:left w:val="nil"/>
              <w:bottom w:val="nil"/>
              <w:right w:val="nil"/>
            </w:tcBorders>
          </w:tcPr>
          <w:p w:rsidR="001C7BF9" w:rsidRPr="00C9680B" w:rsidRDefault="001C7BF9">
            <w:pPr>
              <w:keepNext/>
              <w:keepLines/>
              <w:widowControl w:val="0"/>
              <w:spacing w:before="0" w:line="190" w:lineRule="exact"/>
              <w:rPr>
                <w:i/>
                <w:sz w:val="17"/>
              </w:rPr>
            </w:pPr>
            <w:r w:rsidRPr="00C9680B">
              <w:rPr>
                <w:i/>
                <w:sz w:val="17"/>
              </w:rPr>
              <w:t xml:space="preserve">      procent av BNP</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1,9</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3,4</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3,5</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3,3</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3,6</w:t>
            </w:r>
          </w:p>
        </w:tc>
      </w:tr>
      <w:tr w:rsidR="00000000" w:rsidRPr="00C9680B">
        <w:tblPrEx>
          <w:tblCellMar>
            <w:top w:w="0" w:type="dxa"/>
            <w:bottom w:w="0" w:type="dxa"/>
          </w:tblCellMar>
        </w:tblPrEx>
        <w:trPr>
          <w:tblHeader/>
        </w:trPr>
        <w:tc>
          <w:tcPr>
            <w:tcW w:w="3459" w:type="dxa"/>
            <w:tcBorders>
              <w:top w:val="nil"/>
              <w:left w:val="nil"/>
              <w:bottom w:val="nil"/>
              <w:right w:val="nil"/>
            </w:tcBorders>
          </w:tcPr>
          <w:p w:rsidR="001C7BF9" w:rsidRPr="00C9680B" w:rsidRDefault="001C7BF9">
            <w:pPr>
              <w:keepNext/>
              <w:keepLines/>
              <w:widowControl w:val="0"/>
              <w:rPr>
                <w:sz w:val="17"/>
              </w:rPr>
            </w:pPr>
            <w:r w:rsidRPr="00C9680B">
              <w:rPr>
                <w:sz w:val="17"/>
              </w:rPr>
              <w:t>Statlig sektor</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76,5</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5,9</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157,6</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9,8</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9,4</w:t>
            </w:r>
          </w:p>
        </w:tc>
      </w:tr>
      <w:tr w:rsidR="00000000" w:rsidRPr="00C9680B">
        <w:tblPrEx>
          <w:tblCellMar>
            <w:top w:w="0" w:type="dxa"/>
            <w:bottom w:w="0" w:type="dxa"/>
          </w:tblCellMar>
        </w:tblPrEx>
        <w:trPr>
          <w:tblHeader/>
        </w:trPr>
        <w:tc>
          <w:tcPr>
            <w:tcW w:w="3459" w:type="dxa"/>
            <w:tcBorders>
              <w:top w:val="nil"/>
              <w:left w:val="nil"/>
              <w:bottom w:val="nil"/>
              <w:right w:val="nil"/>
            </w:tcBorders>
          </w:tcPr>
          <w:p w:rsidR="001C7BF9" w:rsidRPr="00C9680B" w:rsidRDefault="001C7BF9">
            <w:pPr>
              <w:keepNext/>
              <w:keepLines/>
              <w:widowControl w:val="0"/>
              <w:spacing w:before="0" w:line="190" w:lineRule="exact"/>
              <w:rPr>
                <w:i/>
                <w:sz w:val="17"/>
              </w:rPr>
            </w:pPr>
            <w:r w:rsidRPr="00C9680B">
              <w:rPr>
                <w:i/>
                <w:sz w:val="17"/>
              </w:rPr>
              <w:t xml:space="preserve">      procent av BNP</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3,9</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0,3</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7,2</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0,4</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0,4</w:t>
            </w:r>
          </w:p>
        </w:tc>
      </w:tr>
      <w:tr w:rsidR="00000000" w:rsidRPr="00C9680B">
        <w:tblPrEx>
          <w:tblCellMar>
            <w:top w:w="0" w:type="dxa"/>
            <w:bottom w:w="0" w:type="dxa"/>
          </w:tblCellMar>
        </w:tblPrEx>
        <w:trPr>
          <w:tblHeader/>
        </w:trPr>
        <w:tc>
          <w:tcPr>
            <w:tcW w:w="3459" w:type="dxa"/>
            <w:tcBorders>
              <w:top w:val="nil"/>
              <w:left w:val="nil"/>
              <w:bottom w:val="nil"/>
              <w:right w:val="nil"/>
            </w:tcBorders>
          </w:tcPr>
          <w:p w:rsidR="001C7BF9" w:rsidRPr="00C9680B" w:rsidRDefault="001C7BF9">
            <w:pPr>
              <w:keepNext/>
              <w:keepLines/>
              <w:widowControl w:val="0"/>
              <w:rPr>
                <w:sz w:val="17"/>
              </w:rPr>
            </w:pPr>
            <w:r w:rsidRPr="00C9680B">
              <w:rPr>
                <w:sz w:val="17"/>
              </w:rPr>
              <w:t>Beräkningsteknisk överföring till hu</w:t>
            </w:r>
            <w:r w:rsidRPr="00C9680B">
              <w:rPr>
                <w:sz w:val="17"/>
              </w:rPr>
              <w:t>s</w:t>
            </w:r>
            <w:r w:rsidRPr="00C9680B">
              <w:rPr>
                <w:sz w:val="17"/>
              </w:rPr>
              <w:t>hållssektorn</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29,5</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36,8</w:t>
            </w:r>
          </w:p>
        </w:tc>
      </w:tr>
      <w:tr w:rsidR="00000000" w:rsidRPr="00C9680B">
        <w:tblPrEx>
          <w:tblCellMar>
            <w:top w:w="0" w:type="dxa"/>
            <w:bottom w:w="0" w:type="dxa"/>
          </w:tblCellMar>
        </w:tblPrEx>
        <w:trPr>
          <w:trHeight w:hRule="exact" w:val="40"/>
          <w:tblHeader/>
        </w:trPr>
        <w:tc>
          <w:tcPr>
            <w:tcW w:w="3459" w:type="dxa"/>
            <w:tcBorders>
              <w:top w:val="nil"/>
              <w:left w:val="nil"/>
              <w:bottom w:val="nil"/>
              <w:right w:val="nil"/>
            </w:tcBorders>
          </w:tcPr>
          <w:p w:rsidR="001C7BF9" w:rsidRPr="00C9680B" w:rsidRDefault="001C7BF9">
            <w:pPr>
              <w:pStyle w:val="Fotnotstext"/>
              <w:keepNext/>
              <w:keepLines/>
              <w:widowControl w:val="0"/>
              <w:spacing w:before="62" w:line="250" w:lineRule="atLeast"/>
            </w:pPr>
          </w:p>
        </w:tc>
        <w:tc>
          <w:tcPr>
            <w:tcW w:w="493" w:type="dxa"/>
            <w:tcBorders>
              <w:top w:val="nil"/>
              <w:left w:val="nil"/>
              <w:bottom w:val="nil"/>
              <w:right w:val="nil"/>
            </w:tcBorders>
          </w:tcPr>
          <w:p w:rsidR="001C7BF9" w:rsidRPr="00C9680B" w:rsidRDefault="001C7BF9">
            <w:pPr>
              <w:keepNext/>
              <w:keepLines/>
              <w:widowControl w:val="0"/>
              <w:jc w:val="right"/>
              <w:rPr>
                <w:sz w:val="17"/>
              </w:rPr>
            </w:pPr>
          </w:p>
        </w:tc>
        <w:tc>
          <w:tcPr>
            <w:tcW w:w="493" w:type="dxa"/>
            <w:tcBorders>
              <w:top w:val="nil"/>
              <w:left w:val="nil"/>
              <w:bottom w:val="nil"/>
              <w:right w:val="nil"/>
            </w:tcBorders>
          </w:tcPr>
          <w:p w:rsidR="001C7BF9" w:rsidRPr="00C9680B" w:rsidRDefault="001C7BF9">
            <w:pPr>
              <w:keepNext/>
              <w:keepLines/>
              <w:widowControl w:val="0"/>
              <w:jc w:val="right"/>
              <w:rPr>
                <w:sz w:val="17"/>
              </w:rPr>
            </w:pPr>
          </w:p>
        </w:tc>
        <w:tc>
          <w:tcPr>
            <w:tcW w:w="493" w:type="dxa"/>
            <w:tcBorders>
              <w:top w:val="nil"/>
              <w:left w:val="nil"/>
              <w:bottom w:val="nil"/>
              <w:right w:val="nil"/>
            </w:tcBorders>
          </w:tcPr>
          <w:p w:rsidR="001C7BF9" w:rsidRPr="00C9680B" w:rsidRDefault="001C7BF9">
            <w:pPr>
              <w:keepNext/>
              <w:keepLines/>
              <w:widowControl w:val="0"/>
              <w:jc w:val="right"/>
              <w:rPr>
                <w:sz w:val="17"/>
              </w:rPr>
            </w:pPr>
          </w:p>
        </w:tc>
        <w:tc>
          <w:tcPr>
            <w:tcW w:w="493" w:type="dxa"/>
            <w:tcBorders>
              <w:top w:val="nil"/>
              <w:left w:val="nil"/>
              <w:bottom w:val="nil"/>
              <w:right w:val="nil"/>
            </w:tcBorders>
          </w:tcPr>
          <w:p w:rsidR="001C7BF9" w:rsidRPr="00C9680B" w:rsidRDefault="001C7BF9">
            <w:pPr>
              <w:keepNext/>
              <w:keepLines/>
              <w:widowControl w:val="0"/>
              <w:jc w:val="right"/>
              <w:rPr>
                <w:sz w:val="17"/>
              </w:rPr>
            </w:pPr>
          </w:p>
        </w:tc>
        <w:tc>
          <w:tcPr>
            <w:tcW w:w="493" w:type="dxa"/>
            <w:tcBorders>
              <w:top w:val="nil"/>
              <w:left w:val="nil"/>
              <w:bottom w:val="nil"/>
              <w:right w:val="nil"/>
            </w:tcBorders>
          </w:tcPr>
          <w:p w:rsidR="001C7BF9" w:rsidRPr="00C9680B" w:rsidRDefault="001C7BF9">
            <w:pPr>
              <w:keepNext/>
              <w:keepLines/>
              <w:widowControl w:val="0"/>
              <w:jc w:val="right"/>
              <w:rPr>
                <w:sz w:val="17"/>
              </w:rPr>
            </w:pPr>
          </w:p>
        </w:tc>
      </w:tr>
      <w:tr w:rsidR="00000000" w:rsidRPr="00C9680B">
        <w:tblPrEx>
          <w:tblCellMar>
            <w:top w:w="0" w:type="dxa"/>
            <w:bottom w:w="0" w:type="dxa"/>
          </w:tblCellMar>
        </w:tblPrEx>
        <w:trPr>
          <w:tblHeader/>
        </w:trPr>
        <w:tc>
          <w:tcPr>
            <w:tcW w:w="3459" w:type="dxa"/>
            <w:tcBorders>
              <w:top w:val="nil"/>
              <w:left w:val="nil"/>
              <w:bottom w:val="nil"/>
              <w:right w:val="nil"/>
            </w:tcBorders>
          </w:tcPr>
          <w:p w:rsidR="001C7BF9" w:rsidRPr="00C9680B" w:rsidRDefault="001C7BF9">
            <w:pPr>
              <w:keepNext/>
              <w:keepLines/>
              <w:widowControl w:val="0"/>
              <w:spacing w:line="190" w:lineRule="exact"/>
              <w:rPr>
                <w:b/>
                <w:sz w:val="17"/>
              </w:rPr>
            </w:pPr>
            <w:r w:rsidRPr="00C9680B">
              <w:rPr>
                <w:b/>
                <w:sz w:val="17"/>
              </w:rPr>
              <w:t>Finansiellt sparande efter beräkningsteknisk överföring</w:t>
            </w:r>
          </w:p>
        </w:tc>
        <w:tc>
          <w:tcPr>
            <w:tcW w:w="493" w:type="dxa"/>
            <w:tcBorders>
              <w:top w:val="nil"/>
              <w:left w:val="nil"/>
              <w:bottom w:val="nil"/>
              <w:right w:val="nil"/>
            </w:tcBorders>
          </w:tcPr>
          <w:p w:rsidR="001C7BF9" w:rsidRPr="00C9680B" w:rsidRDefault="001C7BF9">
            <w:pPr>
              <w:keepNext/>
              <w:keepLines/>
              <w:widowControl w:val="0"/>
              <w:spacing w:line="190" w:lineRule="exact"/>
              <w:jc w:val="right"/>
              <w:rPr>
                <w:b/>
                <w:sz w:val="17"/>
              </w:rPr>
            </w:pPr>
          </w:p>
        </w:tc>
        <w:tc>
          <w:tcPr>
            <w:tcW w:w="493" w:type="dxa"/>
            <w:tcBorders>
              <w:top w:val="nil"/>
              <w:left w:val="nil"/>
              <w:bottom w:val="nil"/>
              <w:right w:val="nil"/>
            </w:tcBorders>
          </w:tcPr>
          <w:p w:rsidR="001C7BF9" w:rsidRPr="00C9680B" w:rsidRDefault="001C7BF9">
            <w:pPr>
              <w:keepNext/>
              <w:keepLines/>
              <w:widowControl w:val="0"/>
              <w:spacing w:line="190" w:lineRule="exact"/>
              <w:jc w:val="right"/>
              <w:rPr>
                <w:b/>
                <w:sz w:val="17"/>
              </w:rPr>
            </w:pPr>
          </w:p>
        </w:tc>
        <w:tc>
          <w:tcPr>
            <w:tcW w:w="493" w:type="dxa"/>
            <w:tcBorders>
              <w:top w:val="nil"/>
              <w:left w:val="nil"/>
              <w:bottom w:val="nil"/>
              <w:right w:val="nil"/>
            </w:tcBorders>
          </w:tcPr>
          <w:p w:rsidR="001C7BF9" w:rsidRPr="00C9680B" w:rsidRDefault="001C7BF9">
            <w:pPr>
              <w:keepNext/>
              <w:keepLines/>
              <w:widowControl w:val="0"/>
              <w:spacing w:line="190" w:lineRule="exact"/>
              <w:jc w:val="right"/>
              <w:rPr>
                <w:b/>
                <w:sz w:val="17"/>
              </w:rPr>
            </w:pPr>
          </w:p>
        </w:tc>
        <w:tc>
          <w:tcPr>
            <w:tcW w:w="493" w:type="dxa"/>
            <w:tcBorders>
              <w:top w:val="nil"/>
              <w:left w:val="nil"/>
              <w:bottom w:val="nil"/>
              <w:right w:val="nil"/>
            </w:tcBorders>
          </w:tcPr>
          <w:p w:rsidR="001C7BF9" w:rsidRPr="00C9680B" w:rsidRDefault="001C7BF9">
            <w:pPr>
              <w:keepNext/>
              <w:keepLines/>
              <w:widowControl w:val="0"/>
              <w:spacing w:line="190" w:lineRule="exact"/>
              <w:jc w:val="right"/>
              <w:rPr>
                <w:b/>
                <w:sz w:val="17"/>
              </w:rPr>
            </w:pPr>
          </w:p>
        </w:tc>
        <w:tc>
          <w:tcPr>
            <w:tcW w:w="493" w:type="dxa"/>
            <w:tcBorders>
              <w:top w:val="nil"/>
              <w:left w:val="nil"/>
              <w:bottom w:val="nil"/>
              <w:right w:val="nil"/>
            </w:tcBorders>
          </w:tcPr>
          <w:p w:rsidR="001C7BF9" w:rsidRPr="00C9680B" w:rsidRDefault="001C7BF9">
            <w:pPr>
              <w:keepNext/>
              <w:keepLines/>
              <w:widowControl w:val="0"/>
              <w:spacing w:line="190" w:lineRule="exact"/>
              <w:jc w:val="right"/>
              <w:rPr>
                <w:b/>
                <w:sz w:val="17"/>
              </w:rPr>
            </w:pPr>
          </w:p>
        </w:tc>
      </w:tr>
      <w:tr w:rsidR="00000000" w:rsidRPr="00C9680B">
        <w:tblPrEx>
          <w:tblCellMar>
            <w:top w:w="0" w:type="dxa"/>
            <w:bottom w:w="0" w:type="dxa"/>
          </w:tblCellMar>
        </w:tblPrEx>
        <w:trPr>
          <w:tblHeader/>
        </w:trPr>
        <w:tc>
          <w:tcPr>
            <w:tcW w:w="3459" w:type="dxa"/>
            <w:tcBorders>
              <w:top w:val="nil"/>
              <w:left w:val="nil"/>
              <w:bottom w:val="nil"/>
              <w:right w:val="nil"/>
            </w:tcBorders>
          </w:tcPr>
          <w:p w:rsidR="001C7BF9" w:rsidRPr="00C9680B" w:rsidRDefault="001C7BF9">
            <w:pPr>
              <w:keepNext/>
              <w:keepLines/>
              <w:widowControl w:val="0"/>
              <w:rPr>
                <w:sz w:val="17"/>
              </w:rPr>
            </w:pPr>
            <w:r w:rsidRPr="00C9680B">
              <w:rPr>
                <w:sz w:val="17"/>
              </w:rPr>
              <w:t>Offentlig sektor</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36,9</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71,3</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75,7</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 xml:space="preserve">45,4 </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47,3</w:t>
            </w:r>
          </w:p>
        </w:tc>
      </w:tr>
      <w:tr w:rsidR="00000000" w:rsidRPr="00C9680B">
        <w:tblPrEx>
          <w:tblCellMar>
            <w:top w:w="0" w:type="dxa"/>
            <w:bottom w:w="0" w:type="dxa"/>
          </w:tblCellMar>
        </w:tblPrEx>
        <w:trPr>
          <w:tblHeader/>
        </w:trPr>
        <w:tc>
          <w:tcPr>
            <w:tcW w:w="3459" w:type="dxa"/>
            <w:tcBorders>
              <w:top w:val="nil"/>
              <w:left w:val="nil"/>
              <w:bottom w:val="nil"/>
              <w:right w:val="nil"/>
            </w:tcBorders>
          </w:tcPr>
          <w:p w:rsidR="001C7BF9" w:rsidRPr="00C9680B" w:rsidRDefault="001C7BF9">
            <w:pPr>
              <w:keepNext/>
              <w:keepLines/>
              <w:widowControl w:val="0"/>
              <w:spacing w:before="0" w:line="190" w:lineRule="exact"/>
              <w:rPr>
                <w:i/>
                <w:sz w:val="17"/>
              </w:rPr>
            </w:pPr>
            <w:r w:rsidRPr="00C9680B">
              <w:rPr>
                <w:i/>
                <w:sz w:val="17"/>
              </w:rPr>
              <w:t xml:space="preserve">      procent av BNP</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1,9</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3,4</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3,5</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2,0</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2,0</w:t>
            </w:r>
          </w:p>
        </w:tc>
      </w:tr>
      <w:tr w:rsidR="00000000" w:rsidRPr="00C9680B">
        <w:tblPrEx>
          <w:tblCellMar>
            <w:top w:w="0" w:type="dxa"/>
            <w:bottom w:w="0" w:type="dxa"/>
          </w:tblCellMar>
        </w:tblPrEx>
        <w:trPr>
          <w:trHeight w:hRule="exact" w:val="40"/>
          <w:tblHeader/>
        </w:trPr>
        <w:tc>
          <w:tcPr>
            <w:tcW w:w="3459" w:type="dxa"/>
            <w:tcBorders>
              <w:top w:val="nil"/>
              <w:left w:val="nil"/>
              <w:bottom w:val="nil"/>
              <w:right w:val="nil"/>
            </w:tcBorders>
          </w:tcPr>
          <w:p w:rsidR="001C7BF9" w:rsidRPr="00C9680B" w:rsidRDefault="001C7BF9">
            <w:pPr>
              <w:keepNext/>
              <w:keepLines/>
              <w:widowControl w:val="0"/>
              <w:rPr>
                <w:b/>
                <w:sz w:val="17"/>
              </w:rPr>
            </w:pPr>
          </w:p>
        </w:tc>
        <w:tc>
          <w:tcPr>
            <w:tcW w:w="493" w:type="dxa"/>
            <w:tcBorders>
              <w:top w:val="nil"/>
              <w:left w:val="nil"/>
              <w:bottom w:val="nil"/>
              <w:right w:val="nil"/>
            </w:tcBorders>
          </w:tcPr>
          <w:p w:rsidR="001C7BF9" w:rsidRPr="00C9680B" w:rsidRDefault="001C7BF9">
            <w:pPr>
              <w:keepNext/>
              <w:keepLines/>
              <w:widowControl w:val="0"/>
              <w:jc w:val="right"/>
              <w:rPr>
                <w:b/>
                <w:sz w:val="17"/>
              </w:rPr>
            </w:pPr>
          </w:p>
        </w:tc>
        <w:tc>
          <w:tcPr>
            <w:tcW w:w="493" w:type="dxa"/>
            <w:tcBorders>
              <w:top w:val="nil"/>
              <w:left w:val="nil"/>
              <w:bottom w:val="nil"/>
              <w:right w:val="nil"/>
            </w:tcBorders>
          </w:tcPr>
          <w:p w:rsidR="001C7BF9" w:rsidRPr="00C9680B" w:rsidRDefault="001C7BF9">
            <w:pPr>
              <w:keepNext/>
              <w:keepLines/>
              <w:widowControl w:val="0"/>
              <w:jc w:val="right"/>
              <w:rPr>
                <w:b/>
                <w:sz w:val="17"/>
              </w:rPr>
            </w:pPr>
          </w:p>
        </w:tc>
        <w:tc>
          <w:tcPr>
            <w:tcW w:w="493" w:type="dxa"/>
            <w:tcBorders>
              <w:top w:val="nil"/>
              <w:left w:val="nil"/>
              <w:bottom w:val="nil"/>
              <w:right w:val="nil"/>
            </w:tcBorders>
          </w:tcPr>
          <w:p w:rsidR="001C7BF9" w:rsidRPr="00C9680B" w:rsidRDefault="001C7BF9">
            <w:pPr>
              <w:keepNext/>
              <w:keepLines/>
              <w:widowControl w:val="0"/>
              <w:jc w:val="right"/>
              <w:rPr>
                <w:b/>
                <w:sz w:val="17"/>
              </w:rPr>
            </w:pPr>
          </w:p>
        </w:tc>
        <w:tc>
          <w:tcPr>
            <w:tcW w:w="493" w:type="dxa"/>
            <w:tcBorders>
              <w:top w:val="nil"/>
              <w:left w:val="nil"/>
              <w:bottom w:val="nil"/>
              <w:right w:val="nil"/>
            </w:tcBorders>
          </w:tcPr>
          <w:p w:rsidR="001C7BF9" w:rsidRPr="00C9680B" w:rsidRDefault="001C7BF9">
            <w:pPr>
              <w:keepNext/>
              <w:keepLines/>
              <w:widowControl w:val="0"/>
              <w:jc w:val="right"/>
              <w:rPr>
                <w:b/>
                <w:sz w:val="17"/>
              </w:rPr>
            </w:pPr>
          </w:p>
        </w:tc>
        <w:tc>
          <w:tcPr>
            <w:tcW w:w="493" w:type="dxa"/>
            <w:tcBorders>
              <w:top w:val="nil"/>
              <w:left w:val="nil"/>
              <w:bottom w:val="nil"/>
              <w:right w:val="nil"/>
            </w:tcBorders>
          </w:tcPr>
          <w:p w:rsidR="001C7BF9" w:rsidRPr="00C9680B" w:rsidRDefault="001C7BF9">
            <w:pPr>
              <w:keepNext/>
              <w:keepLines/>
              <w:widowControl w:val="0"/>
              <w:jc w:val="right"/>
              <w:rPr>
                <w:b/>
                <w:sz w:val="17"/>
              </w:rPr>
            </w:pPr>
          </w:p>
        </w:tc>
      </w:tr>
      <w:tr w:rsidR="00000000" w:rsidRPr="00C9680B">
        <w:tblPrEx>
          <w:tblCellMar>
            <w:top w:w="0" w:type="dxa"/>
            <w:bottom w:w="0" w:type="dxa"/>
          </w:tblCellMar>
        </w:tblPrEx>
        <w:trPr>
          <w:trHeight w:hRule="exact" w:val="180"/>
          <w:tblHeader/>
        </w:trPr>
        <w:tc>
          <w:tcPr>
            <w:tcW w:w="3459" w:type="dxa"/>
            <w:tcBorders>
              <w:top w:val="nil"/>
              <w:left w:val="nil"/>
              <w:bottom w:val="nil"/>
              <w:right w:val="nil"/>
            </w:tcBorders>
          </w:tcPr>
          <w:p w:rsidR="001C7BF9" w:rsidRPr="00C9680B" w:rsidRDefault="001C7BF9">
            <w:pPr>
              <w:keepNext/>
              <w:keepLines/>
              <w:widowControl w:val="0"/>
              <w:spacing w:before="0" w:line="190" w:lineRule="exact"/>
              <w:rPr>
                <w:sz w:val="17"/>
              </w:rPr>
            </w:pPr>
            <w:r w:rsidRPr="00C9680B">
              <w:rPr>
                <w:sz w:val="17"/>
              </w:rPr>
              <w:t>varav:</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sz w:val="17"/>
              </w:rPr>
            </w:pP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sz w:val="17"/>
              </w:rPr>
            </w:pP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sz w:val="17"/>
              </w:rPr>
            </w:pP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sz w:val="17"/>
              </w:rPr>
            </w:pP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sz w:val="17"/>
              </w:rPr>
            </w:pPr>
          </w:p>
        </w:tc>
      </w:tr>
      <w:tr w:rsidR="00000000" w:rsidRPr="00C9680B">
        <w:tblPrEx>
          <w:tblCellMar>
            <w:top w:w="0" w:type="dxa"/>
            <w:bottom w:w="0" w:type="dxa"/>
          </w:tblCellMar>
        </w:tblPrEx>
        <w:trPr>
          <w:tblHeader/>
        </w:trPr>
        <w:tc>
          <w:tcPr>
            <w:tcW w:w="3459" w:type="dxa"/>
            <w:tcBorders>
              <w:top w:val="nil"/>
              <w:left w:val="nil"/>
              <w:bottom w:val="nil"/>
              <w:right w:val="nil"/>
            </w:tcBorders>
          </w:tcPr>
          <w:p w:rsidR="001C7BF9" w:rsidRPr="00C9680B" w:rsidRDefault="001C7BF9">
            <w:pPr>
              <w:keepNext/>
              <w:keepLines/>
              <w:widowControl w:val="0"/>
              <w:rPr>
                <w:sz w:val="17"/>
              </w:rPr>
            </w:pPr>
            <w:r w:rsidRPr="00C9680B">
              <w:rPr>
                <w:sz w:val="17"/>
              </w:rPr>
              <w:t xml:space="preserve">  Statlig sektor</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76,5</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5,9</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157,6</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-19,7</w:t>
            </w:r>
          </w:p>
        </w:tc>
        <w:tc>
          <w:tcPr>
            <w:tcW w:w="493" w:type="dxa"/>
            <w:tcBorders>
              <w:top w:val="nil"/>
              <w:left w:val="nil"/>
              <w:bottom w:val="nil"/>
              <w:right w:val="nil"/>
            </w:tcBorders>
          </w:tcPr>
          <w:p w:rsidR="001C7BF9" w:rsidRPr="00C9680B" w:rsidRDefault="001C7BF9">
            <w:pPr>
              <w:keepNext/>
              <w:keepLines/>
              <w:widowControl w:val="0"/>
              <w:jc w:val="right"/>
              <w:rPr>
                <w:sz w:val="17"/>
              </w:rPr>
            </w:pPr>
            <w:r w:rsidRPr="00C9680B">
              <w:rPr>
                <w:sz w:val="17"/>
              </w:rPr>
              <w:t>-27,4</w:t>
            </w:r>
          </w:p>
        </w:tc>
      </w:tr>
      <w:tr w:rsidR="00000000" w:rsidRPr="00C9680B">
        <w:tblPrEx>
          <w:tblCellMar>
            <w:top w:w="0" w:type="dxa"/>
            <w:bottom w:w="0" w:type="dxa"/>
          </w:tblCellMar>
        </w:tblPrEx>
        <w:trPr>
          <w:trHeight w:hRule="exact" w:val="180"/>
          <w:tblHeader/>
        </w:trPr>
        <w:tc>
          <w:tcPr>
            <w:tcW w:w="3459" w:type="dxa"/>
            <w:tcBorders>
              <w:top w:val="nil"/>
              <w:left w:val="nil"/>
              <w:bottom w:val="nil"/>
              <w:right w:val="nil"/>
            </w:tcBorders>
          </w:tcPr>
          <w:p w:rsidR="001C7BF9" w:rsidRPr="00C9680B" w:rsidRDefault="001C7BF9">
            <w:pPr>
              <w:keepNext/>
              <w:keepLines/>
              <w:widowControl w:val="0"/>
              <w:spacing w:before="0" w:line="190" w:lineRule="exact"/>
              <w:rPr>
                <w:i/>
                <w:sz w:val="17"/>
              </w:rPr>
            </w:pPr>
            <w:r w:rsidRPr="00C9680B">
              <w:rPr>
                <w:i/>
                <w:sz w:val="17"/>
              </w:rPr>
              <w:t xml:space="preserve">        procent av BNP</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3,9</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0,3</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7,2</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-0,9</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-1,2</w:t>
            </w:r>
          </w:p>
        </w:tc>
      </w:tr>
      <w:tr w:rsidR="00000000" w:rsidRPr="00C9680B">
        <w:tblPrEx>
          <w:tblCellMar>
            <w:top w:w="0" w:type="dxa"/>
            <w:bottom w:w="0" w:type="dxa"/>
          </w:tblCellMar>
        </w:tblPrEx>
        <w:trPr>
          <w:tblHeader/>
        </w:trPr>
        <w:tc>
          <w:tcPr>
            <w:tcW w:w="3459" w:type="dxa"/>
            <w:tcBorders>
              <w:top w:val="nil"/>
              <w:left w:val="nil"/>
              <w:bottom w:val="nil"/>
              <w:right w:val="nil"/>
            </w:tcBorders>
          </w:tcPr>
          <w:p w:rsidR="001C7BF9" w:rsidRPr="00C9680B" w:rsidRDefault="001C7BF9">
            <w:pPr>
              <w:keepNext/>
              <w:keepLines/>
              <w:widowControl w:val="0"/>
              <w:spacing w:before="20"/>
              <w:rPr>
                <w:sz w:val="17"/>
              </w:rPr>
            </w:pPr>
            <w:r w:rsidRPr="00C9680B">
              <w:rPr>
                <w:sz w:val="17"/>
              </w:rPr>
              <w:t xml:space="preserve">  Ålderspensionssystemet</w:t>
            </w:r>
          </w:p>
        </w:tc>
        <w:tc>
          <w:tcPr>
            <w:tcW w:w="493" w:type="dxa"/>
            <w:tcBorders>
              <w:top w:val="nil"/>
              <w:left w:val="nil"/>
              <w:bottom w:val="nil"/>
              <w:right w:val="nil"/>
            </w:tcBorders>
          </w:tcPr>
          <w:p w:rsidR="001C7BF9" w:rsidRPr="00C9680B" w:rsidRDefault="001C7BF9">
            <w:pPr>
              <w:keepNext/>
              <w:keepLines/>
              <w:widowControl w:val="0"/>
              <w:spacing w:before="20"/>
              <w:jc w:val="right"/>
              <w:rPr>
                <w:sz w:val="17"/>
              </w:rPr>
            </w:pPr>
            <w:r w:rsidRPr="00C9680B">
              <w:rPr>
                <w:sz w:val="17"/>
              </w:rPr>
              <w:t>-36,7</w:t>
            </w:r>
          </w:p>
        </w:tc>
        <w:tc>
          <w:tcPr>
            <w:tcW w:w="493" w:type="dxa"/>
            <w:tcBorders>
              <w:top w:val="nil"/>
              <w:left w:val="nil"/>
              <w:bottom w:val="nil"/>
              <w:right w:val="nil"/>
            </w:tcBorders>
          </w:tcPr>
          <w:p w:rsidR="001C7BF9" w:rsidRPr="00C9680B" w:rsidRDefault="001C7BF9">
            <w:pPr>
              <w:keepNext/>
              <w:keepLines/>
              <w:widowControl w:val="0"/>
              <w:spacing w:before="20"/>
              <w:jc w:val="right"/>
              <w:rPr>
                <w:sz w:val="17"/>
              </w:rPr>
            </w:pPr>
            <w:r w:rsidRPr="00C9680B">
              <w:rPr>
                <w:sz w:val="17"/>
              </w:rPr>
              <w:t>52,4</w:t>
            </w:r>
          </w:p>
        </w:tc>
        <w:tc>
          <w:tcPr>
            <w:tcW w:w="493" w:type="dxa"/>
            <w:tcBorders>
              <w:top w:val="nil"/>
              <w:left w:val="nil"/>
              <w:bottom w:val="nil"/>
              <w:right w:val="nil"/>
            </w:tcBorders>
          </w:tcPr>
          <w:p w:rsidR="001C7BF9" w:rsidRPr="00C9680B" w:rsidRDefault="001C7BF9">
            <w:pPr>
              <w:keepNext/>
              <w:keepLines/>
              <w:widowControl w:val="0"/>
              <w:spacing w:before="20"/>
              <w:jc w:val="right"/>
              <w:rPr>
                <w:sz w:val="17"/>
              </w:rPr>
            </w:pPr>
            <w:r w:rsidRPr="00C9680B">
              <w:rPr>
                <w:sz w:val="17"/>
              </w:rPr>
              <w:t>-99,5</w:t>
            </w:r>
          </w:p>
        </w:tc>
        <w:tc>
          <w:tcPr>
            <w:tcW w:w="493" w:type="dxa"/>
            <w:tcBorders>
              <w:top w:val="nil"/>
              <w:left w:val="nil"/>
              <w:bottom w:val="nil"/>
              <w:right w:val="nil"/>
            </w:tcBorders>
          </w:tcPr>
          <w:p w:rsidR="001C7BF9" w:rsidRPr="00C9680B" w:rsidRDefault="001C7BF9">
            <w:pPr>
              <w:keepNext/>
              <w:keepLines/>
              <w:widowControl w:val="0"/>
              <w:spacing w:before="20"/>
              <w:jc w:val="right"/>
              <w:rPr>
                <w:sz w:val="17"/>
              </w:rPr>
            </w:pPr>
            <w:r w:rsidRPr="00C9680B">
              <w:rPr>
                <w:sz w:val="17"/>
              </w:rPr>
              <w:t>58,1</w:t>
            </w:r>
          </w:p>
        </w:tc>
        <w:tc>
          <w:tcPr>
            <w:tcW w:w="493" w:type="dxa"/>
            <w:tcBorders>
              <w:top w:val="nil"/>
              <w:left w:val="nil"/>
              <w:bottom w:val="nil"/>
              <w:right w:val="nil"/>
            </w:tcBorders>
          </w:tcPr>
          <w:p w:rsidR="001C7BF9" w:rsidRPr="00C9680B" w:rsidRDefault="001C7BF9">
            <w:pPr>
              <w:keepNext/>
              <w:keepLines/>
              <w:widowControl w:val="0"/>
              <w:spacing w:before="20"/>
              <w:jc w:val="right"/>
              <w:rPr>
                <w:sz w:val="17"/>
              </w:rPr>
            </w:pPr>
            <w:r w:rsidRPr="00C9680B">
              <w:rPr>
                <w:sz w:val="17"/>
              </w:rPr>
              <w:t>68,3</w:t>
            </w:r>
          </w:p>
        </w:tc>
      </w:tr>
      <w:tr w:rsidR="00000000" w:rsidRPr="00C9680B">
        <w:tblPrEx>
          <w:tblCellMar>
            <w:top w:w="0" w:type="dxa"/>
            <w:bottom w:w="0" w:type="dxa"/>
          </w:tblCellMar>
        </w:tblPrEx>
        <w:trPr>
          <w:trHeight w:hRule="exact" w:val="180"/>
          <w:tblHeader/>
        </w:trPr>
        <w:tc>
          <w:tcPr>
            <w:tcW w:w="3459" w:type="dxa"/>
            <w:tcBorders>
              <w:top w:val="nil"/>
              <w:left w:val="nil"/>
              <w:bottom w:val="nil"/>
              <w:right w:val="nil"/>
            </w:tcBorders>
          </w:tcPr>
          <w:p w:rsidR="001C7BF9" w:rsidRPr="00C9680B" w:rsidRDefault="001C7BF9">
            <w:pPr>
              <w:keepNext/>
              <w:keepLines/>
              <w:widowControl w:val="0"/>
              <w:spacing w:before="0" w:line="190" w:lineRule="exact"/>
              <w:rPr>
                <w:i/>
                <w:sz w:val="17"/>
              </w:rPr>
            </w:pPr>
            <w:r w:rsidRPr="00C9680B">
              <w:rPr>
                <w:i/>
                <w:sz w:val="17"/>
              </w:rPr>
              <w:t xml:space="preserve">        procent av BNP</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-1,9</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2,5</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-4,6</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2,6</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2,9</w:t>
            </w:r>
          </w:p>
        </w:tc>
      </w:tr>
      <w:tr w:rsidR="00000000" w:rsidRPr="00C9680B">
        <w:tblPrEx>
          <w:tblCellMar>
            <w:top w:w="0" w:type="dxa"/>
            <w:bottom w:w="0" w:type="dxa"/>
          </w:tblCellMar>
        </w:tblPrEx>
        <w:trPr>
          <w:tblHeader/>
        </w:trPr>
        <w:tc>
          <w:tcPr>
            <w:tcW w:w="3459" w:type="dxa"/>
            <w:tcBorders>
              <w:top w:val="nil"/>
              <w:left w:val="nil"/>
              <w:bottom w:val="nil"/>
              <w:right w:val="nil"/>
            </w:tcBorders>
          </w:tcPr>
          <w:p w:rsidR="001C7BF9" w:rsidRPr="00C9680B" w:rsidRDefault="001C7BF9">
            <w:pPr>
              <w:keepNext/>
              <w:keepLines/>
              <w:widowControl w:val="0"/>
              <w:spacing w:before="20"/>
              <w:rPr>
                <w:sz w:val="17"/>
              </w:rPr>
            </w:pPr>
            <w:r w:rsidRPr="00C9680B">
              <w:rPr>
                <w:sz w:val="17"/>
              </w:rPr>
              <w:t xml:space="preserve">  Kommunsektorn</w:t>
            </w:r>
          </w:p>
        </w:tc>
        <w:tc>
          <w:tcPr>
            <w:tcW w:w="493" w:type="dxa"/>
            <w:tcBorders>
              <w:top w:val="nil"/>
              <w:left w:val="nil"/>
              <w:bottom w:val="nil"/>
              <w:right w:val="nil"/>
            </w:tcBorders>
          </w:tcPr>
          <w:p w:rsidR="001C7BF9" w:rsidRPr="00C9680B" w:rsidRDefault="001C7BF9">
            <w:pPr>
              <w:keepNext/>
              <w:keepLines/>
              <w:widowControl w:val="0"/>
              <w:spacing w:before="20"/>
              <w:jc w:val="right"/>
              <w:rPr>
                <w:sz w:val="17"/>
              </w:rPr>
            </w:pPr>
            <w:r w:rsidRPr="00C9680B">
              <w:rPr>
                <w:sz w:val="17"/>
              </w:rPr>
              <w:t>-2,9</w:t>
            </w:r>
          </w:p>
        </w:tc>
        <w:tc>
          <w:tcPr>
            <w:tcW w:w="493" w:type="dxa"/>
            <w:tcBorders>
              <w:top w:val="nil"/>
              <w:left w:val="nil"/>
              <w:bottom w:val="nil"/>
              <w:right w:val="nil"/>
            </w:tcBorders>
          </w:tcPr>
          <w:p w:rsidR="001C7BF9" w:rsidRPr="00C9680B" w:rsidRDefault="001C7BF9">
            <w:pPr>
              <w:keepNext/>
              <w:keepLines/>
              <w:widowControl w:val="0"/>
              <w:spacing w:before="20"/>
              <w:jc w:val="right"/>
              <w:rPr>
                <w:sz w:val="17"/>
              </w:rPr>
            </w:pPr>
            <w:r w:rsidRPr="00C9680B">
              <w:rPr>
                <w:sz w:val="17"/>
              </w:rPr>
              <w:t>13,0</w:t>
            </w:r>
          </w:p>
        </w:tc>
        <w:tc>
          <w:tcPr>
            <w:tcW w:w="493" w:type="dxa"/>
            <w:tcBorders>
              <w:top w:val="nil"/>
              <w:left w:val="nil"/>
              <w:bottom w:val="nil"/>
              <w:right w:val="nil"/>
            </w:tcBorders>
          </w:tcPr>
          <w:p w:rsidR="001C7BF9" w:rsidRPr="00C9680B" w:rsidRDefault="001C7BF9">
            <w:pPr>
              <w:keepNext/>
              <w:keepLines/>
              <w:widowControl w:val="0"/>
              <w:spacing w:before="20"/>
              <w:jc w:val="right"/>
              <w:rPr>
                <w:sz w:val="17"/>
              </w:rPr>
            </w:pPr>
            <w:r w:rsidRPr="00C9680B">
              <w:rPr>
                <w:sz w:val="17"/>
              </w:rPr>
              <w:t>17,6</w:t>
            </w:r>
          </w:p>
        </w:tc>
        <w:tc>
          <w:tcPr>
            <w:tcW w:w="493" w:type="dxa"/>
            <w:tcBorders>
              <w:top w:val="nil"/>
              <w:left w:val="nil"/>
              <w:bottom w:val="nil"/>
              <w:right w:val="nil"/>
            </w:tcBorders>
          </w:tcPr>
          <w:p w:rsidR="001C7BF9" w:rsidRPr="00C9680B" w:rsidRDefault="001C7BF9">
            <w:pPr>
              <w:keepNext/>
              <w:keepLines/>
              <w:widowControl w:val="0"/>
              <w:spacing w:before="20"/>
              <w:jc w:val="right"/>
              <w:rPr>
                <w:sz w:val="17"/>
              </w:rPr>
            </w:pPr>
            <w:r w:rsidRPr="00C9680B">
              <w:rPr>
                <w:sz w:val="17"/>
              </w:rPr>
              <w:t>7,1</w:t>
            </w:r>
          </w:p>
        </w:tc>
        <w:tc>
          <w:tcPr>
            <w:tcW w:w="493" w:type="dxa"/>
            <w:tcBorders>
              <w:top w:val="nil"/>
              <w:left w:val="nil"/>
              <w:bottom w:val="nil"/>
              <w:right w:val="nil"/>
            </w:tcBorders>
          </w:tcPr>
          <w:p w:rsidR="001C7BF9" w:rsidRPr="00C9680B" w:rsidRDefault="001C7BF9">
            <w:pPr>
              <w:keepNext/>
              <w:keepLines/>
              <w:widowControl w:val="0"/>
              <w:spacing w:before="20"/>
              <w:jc w:val="right"/>
              <w:rPr>
                <w:sz w:val="17"/>
              </w:rPr>
            </w:pPr>
            <w:r w:rsidRPr="00C9680B">
              <w:rPr>
                <w:sz w:val="17"/>
              </w:rPr>
              <w:t>6,5</w:t>
            </w:r>
          </w:p>
        </w:tc>
      </w:tr>
      <w:tr w:rsidR="00000000" w:rsidRPr="00C9680B">
        <w:tblPrEx>
          <w:tblCellMar>
            <w:top w:w="0" w:type="dxa"/>
            <w:bottom w:w="0" w:type="dxa"/>
          </w:tblCellMar>
        </w:tblPrEx>
        <w:trPr>
          <w:trHeight w:hRule="exact" w:val="180"/>
          <w:tblHeader/>
        </w:trPr>
        <w:tc>
          <w:tcPr>
            <w:tcW w:w="3459" w:type="dxa"/>
            <w:tcBorders>
              <w:top w:val="nil"/>
              <w:left w:val="nil"/>
              <w:bottom w:val="nil"/>
              <w:right w:val="nil"/>
            </w:tcBorders>
          </w:tcPr>
          <w:p w:rsidR="001C7BF9" w:rsidRPr="00C9680B" w:rsidRDefault="001C7BF9">
            <w:pPr>
              <w:keepNext/>
              <w:keepLines/>
              <w:widowControl w:val="0"/>
              <w:spacing w:before="0" w:line="190" w:lineRule="exact"/>
              <w:rPr>
                <w:i/>
                <w:sz w:val="17"/>
              </w:rPr>
            </w:pPr>
            <w:r w:rsidRPr="00C9680B">
              <w:rPr>
                <w:i/>
                <w:sz w:val="17"/>
              </w:rPr>
              <w:t xml:space="preserve">        procent av BNP</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-0,1</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0,6</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0,8</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0,3</w:t>
            </w:r>
          </w:p>
        </w:tc>
        <w:tc>
          <w:tcPr>
            <w:tcW w:w="493" w:type="dxa"/>
            <w:tcBorders>
              <w:top w:val="nil"/>
              <w:left w:val="nil"/>
              <w:bottom w:val="nil"/>
              <w:right w:val="nil"/>
            </w:tcBorders>
          </w:tcPr>
          <w:p w:rsidR="001C7BF9" w:rsidRPr="00C9680B" w:rsidRDefault="001C7BF9">
            <w:pPr>
              <w:keepNext/>
              <w:keepLines/>
              <w:widowControl w:val="0"/>
              <w:spacing w:before="0" w:line="190" w:lineRule="exact"/>
              <w:jc w:val="right"/>
              <w:rPr>
                <w:i/>
                <w:sz w:val="17"/>
              </w:rPr>
            </w:pPr>
            <w:r w:rsidRPr="00C9680B">
              <w:rPr>
                <w:i/>
                <w:sz w:val="17"/>
              </w:rPr>
              <w:t>0,3</w:t>
            </w:r>
          </w:p>
        </w:tc>
      </w:tr>
      <w:tr w:rsidR="00000000" w:rsidRPr="00C9680B">
        <w:tblPrEx>
          <w:tblCellMar>
            <w:top w:w="0" w:type="dxa"/>
            <w:bottom w:w="0" w:type="dxa"/>
          </w:tblCellMar>
        </w:tblPrEx>
        <w:trPr>
          <w:trHeight w:hRule="exact" w:val="60"/>
          <w:tblHeader/>
        </w:trPr>
        <w:tc>
          <w:tcPr>
            <w:tcW w:w="3459" w:type="dxa"/>
            <w:tcBorders>
              <w:top w:val="nil"/>
              <w:left w:val="nil"/>
              <w:bottom w:val="single" w:sz="4" w:space="0" w:color="auto"/>
              <w:right w:val="nil"/>
            </w:tcBorders>
          </w:tcPr>
          <w:p w:rsidR="001C7BF9" w:rsidRPr="00C9680B" w:rsidRDefault="001C7BF9">
            <w:pPr>
              <w:pStyle w:val="Fotnotstext"/>
              <w:keepNext/>
              <w:keepLines/>
              <w:widowControl w:val="0"/>
              <w:spacing w:before="62" w:line="250" w:lineRule="atLeast"/>
            </w:pPr>
          </w:p>
        </w:tc>
        <w:tc>
          <w:tcPr>
            <w:tcW w:w="493" w:type="dxa"/>
            <w:tcBorders>
              <w:top w:val="nil"/>
              <w:left w:val="nil"/>
              <w:bottom w:val="single" w:sz="4" w:space="0" w:color="auto"/>
              <w:right w:val="nil"/>
            </w:tcBorders>
          </w:tcPr>
          <w:p w:rsidR="001C7BF9" w:rsidRPr="00C9680B" w:rsidRDefault="001C7BF9">
            <w:pPr>
              <w:keepNext/>
              <w:keepLines/>
              <w:widowControl w:val="0"/>
              <w:jc w:val="right"/>
              <w:rPr>
                <w:sz w:val="17"/>
              </w:rPr>
            </w:pPr>
          </w:p>
        </w:tc>
        <w:tc>
          <w:tcPr>
            <w:tcW w:w="493" w:type="dxa"/>
            <w:tcBorders>
              <w:top w:val="nil"/>
              <w:left w:val="nil"/>
              <w:bottom w:val="single" w:sz="4" w:space="0" w:color="auto"/>
              <w:right w:val="nil"/>
            </w:tcBorders>
          </w:tcPr>
          <w:p w:rsidR="001C7BF9" w:rsidRPr="00C9680B" w:rsidRDefault="001C7BF9">
            <w:pPr>
              <w:keepNext/>
              <w:keepLines/>
              <w:widowControl w:val="0"/>
              <w:jc w:val="right"/>
              <w:rPr>
                <w:sz w:val="17"/>
              </w:rPr>
            </w:pPr>
          </w:p>
        </w:tc>
        <w:tc>
          <w:tcPr>
            <w:tcW w:w="493" w:type="dxa"/>
            <w:tcBorders>
              <w:top w:val="nil"/>
              <w:left w:val="nil"/>
              <w:bottom w:val="single" w:sz="4" w:space="0" w:color="auto"/>
              <w:right w:val="nil"/>
            </w:tcBorders>
          </w:tcPr>
          <w:p w:rsidR="001C7BF9" w:rsidRPr="00C9680B" w:rsidRDefault="001C7BF9">
            <w:pPr>
              <w:keepNext/>
              <w:keepLines/>
              <w:widowControl w:val="0"/>
              <w:jc w:val="right"/>
              <w:rPr>
                <w:sz w:val="17"/>
              </w:rPr>
            </w:pPr>
          </w:p>
        </w:tc>
        <w:tc>
          <w:tcPr>
            <w:tcW w:w="493" w:type="dxa"/>
            <w:tcBorders>
              <w:top w:val="nil"/>
              <w:left w:val="nil"/>
              <w:bottom w:val="single" w:sz="4" w:space="0" w:color="auto"/>
              <w:right w:val="nil"/>
            </w:tcBorders>
          </w:tcPr>
          <w:p w:rsidR="001C7BF9" w:rsidRPr="00C9680B" w:rsidRDefault="001C7BF9">
            <w:pPr>
              <w:keepNext/>
              <w:keepLines/>
              <w:widowControl w:val="0"/>
              <w:jc w:val="right"/>
              <w:rPr>
                <w:sz w:val="17"/>
              </w:rPr>
            </w:pPr>
          </w:p>
        </w:tc>
        <w:tc>
          <w:tcPr>
            <w:tcW w:w="493" w:type="dxa"/>
            <w:tcBorders>
              <w:top w:val="nil"/>
              <w:left w:val="nil"/>
              <w:bottom w:val="single" w:sz="4" w:space="0" w:color="auto"/>
              <w:right w:val="nil"/>
            </w:tcBorders>
          </w:tcPr>
          <w:p w:rsidR="001C7BF9" w:rsidRPr="00C9680B" w:rsidRDefault="001C7BF9">
            <w:pPr>
              <w:keepNext/>
              <w:keepLines/>
              <w:widowControl w:val="0"/>
              <w:jc w:val="right"/>
              <w:rPr>
                <w:sz w:val="17"/>
              </w:rPr>
            </w:pPr>
          </w:p>
        </w:tc>
      </w:tr>
    </w:tbl>
    <w:p w:rsidR="001C7BF9" w:rsidRPr="00C9680B" w:rsidRDefault="001C7BF9">
      <w:pPr>
        <w:pStyle w:val="Normaltindrag"/>
        <w:spacing w:line="60" w:lineRule="exact"/>
      </w:pPr>
    </w:p>
    <w:p w:rsidR="001C7BF9" w:rsidRPr="00C9680B" w:rsidRDefault="001C7BF9">
      <w:pPr>
        <w:pStyle w:val="Tabell"/>
      </w:pPr>
    </w:p>
    <w:p w:rsidR="001C7BF9" w:rsidRPr="00C9680B" w:rsidRDefault="001C7BF9">
      <w:r w:rsidRPr="00C9680B">
        <w:t>Såsom framgår av tabellen utvecklas det finansiella sparandet i den offentliga sektorn tämligen jämt över åren medan statens finansiella sparande varierar mycket påtagligt inte minst beroende på överföringarna från AP-fonden. Nästa år väntas överskottet i statens finansiella sparande motsvara 7,2 % av BNP och om det av Kristdemokraterna föreslagna balanskravet omsätts på detta mycket betydande överskott skulle finanspolitiken detta år behöva lättas med ytterligare drygt 150 miljarder kronor i form av skatte</w:t>
      </w:r>
      <w:r w:rsidRPr="00C9680B">
        <w:t>sänkningar och nya utgiftsåtaganden. Självklart skulle detta leda till helt orimliga konsekvenser, inte minst mot bakgrund av att man redan året därpå skulle behöva strama åt statsfinanserna i mycket betydande utsträckning.</w:t>
      </w:r>
    </w:p>
    <w:p w:rsidR="001C7BF9" w:rsidRPr="00C9680B" w:rsidRDefault="001C7BF9">
      <w:pPr>
        <w:pStyle w:val="Normaltindrag"/>
      </w:pPr>
      <w:r w:rsidRPr="00C9680B">
        <w:t>I motionen antyds att det av regeringen använda överskottsmålet skulle l</w:t>
      </w:r>
      <w:r w:rsidRPr="00C9680B">
        <w:t>e</w:t>
      </w:r>
      <w:r w:rsidRPr="00C9680B">
        <w:t>da till en överbeskattning. Har staten bara balans i sitt finansiella sparande över en konjunkturcykel blir inte skatteuttaget större än nödvändigt, påpekar motionärerna. Men eftersom det av Kristdemokraterna föreslagna balanskr</w:t>
      </w:r>
      <w:r w:rsidRPr="00C9680B">
        <w:t>a</w:t>
      </w:r>
      <w:r w:rsidRPr="00C9680B">
        <w:t>vet för staten förutsätter att målet för den offentliga sektorns finansiella sp</w:t>
      </w:r>
      <w:r w:rsidRPr="00C9680B">
        <w:t>a</w:t>
      </w:r>
      <w:r w:rsidRPr="00C9680B">
        <w:t>rande skärps med motsvarande en procentenhet av BNP under 2002 och 2003 blir slutsatsen att Kristdemokraterna anser att det är nödvändigt med en större ”överbeskattning” än vad regeringen förordar för d</w:t>
      </w:r>
      <w:r w:rsidRPr="00C9680B">
        <w:t>essa år.</w:t>
      </w:r>
    </w:p>
    <w:p w:rsidR="001C7BF9" w:rsidRPr="00C9680B" w:rsidRDefault="001C7BF9">
      <w:pPr>
        <w:pStyle w:val="Normaltindrag"/>
      </w:pPr>
      <w:r w:rsidRPr="00C9680B">
        <w:t>Motionärerna hävdar också att ett mål om balans i statens finansiella sp</w:t>
      </w:r>
      <w:r w:rsidRPr="00C9680B">
        <w:t>a</w:t>
      </w:r>
      <w:r w:rsidRPr="00C9680B">
        <w:t>rande blir liktydigt med att statsskulden inte ökar över tiden, ens i nominella termer. Enligt utskottets mening finns det ett samband mellan statens finans</w:t>
      </w:r>
      <w:r w:rsidRPr="00C9680B">
        <w:t>i</w:t>
      </w:r>
      <w:r w:rsidRPr="00C9680B">
        <w:t xml:space="preserve">ella sparande och statsskuldens utveckling, men detta samband är inte rakt. Ett balanskrav är således inte liktydigt med att statsskulden inte kan öka. Skillnaden mellan statens finansiella sparande och statsskuldens förändring kan tvärtom vara betydande, vilket framgår av efterföljande diagram. </w:t>
      </w:r>
    </w:p>
    <w:p w:rsidR="001C7BF9" w:rsidRPr="00C9680B" w:rsidRDefault="001C7BF9">
      <w:pPr>
        <w:pStyle w:val="Normaltindrag"/>
      </w:pPr>
    </w:p>
    <w:p w:rsidR="001C7BF9" w:rsidRPr="00C9680B" w:rsidRDefault="001C7BF9">
      <w:pPr>
        <w:pStyle w:val="Reservanter"/>
        <w:ind w:left="0"/>
        <w:outlineLvl w:val="0"/>
        <w:rPr>
          <w:b/>
          <w:sz w:val="17"/>
        </w:rPr>
      </w:pPr>
      <w:r w:rsidRPr="00C9680B">
        <w:rPr>
          <w:b/>
          <w:sz w:val="17"/>
        </w:rPr>
        <w:t>Diagram 7. Statens finansiella sparande samt statsskuldens minskning</w:t>
      </w:r>
    </w:p>
    <w:p w:rsidR="001C7BF9" w:rsidRPr="00C9680B" w:rsidRDefault="00C9680B">
      <w:pPr>
        <w:pStyle w:val="Tabell"/>
        <w:keepNext/>
        <w:keepLines/>
        <w:spacing w:line="240" w:lineRule="auto"/>
        <w:ind w:left="-227"/>
      </w:pPr>
      <w:r w:rsidRPr="00C9680B">
        <w:rPr>
          <w:noProof/>
        </w:rPr>
        <w:drawing>
          <wp:inline distT="0" distB="0" distL="0" distR="0">
            <wp:extent cx="3739515" cy="241109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39515" cy="2411095"/>
                    </a:xfrm>
                    <a:prstGeom prst="rect">
                      <a:avLst/>
                    </a:prstGeom>
                    <a:noFill/>
                    <a:ln>
                      <a:noFill/>
                    </a:ln>
                  </pic:spPr>
                </pic:pic>
              </a:graphicData>
            </a:graphic>
          </wp:inline>
        </w:drawing>
      </w:r>
    </w:p>
    <w:p w:rsidR="001C7BF9" w:rsidRPr="00C9680B" w:rsidRDefault="001C7BF9">
      <w:pPr>
        <w:keepNext/>
        <w:keepLines/>
        <w:spacing w:line="180" w:lineRule="exact"/>
        <w:rPr>
          <w:sz w:val="16"/>
        </w:rPr>
      </w:pPr>
      <w:r w:rsidRPr="00C9680B">
        <w:rPr>
          <w:sz w:val="16"/>
        </w:rPr>
        <w:t>Anm. För att underlätta jämförelsen redovisas en minskning av statsskulden som en positiv stapel och omvänt. Angivna värden på statsskuldens förändring 2001–2003 bygger på effekterna av regeringens beslut den 19 oktober 2000 om överföringen av medel från AP-fonden.</w:t>
      </w:r>
    </w:p>
    <w:p w:rsidR="001C7BF9" w:rsidRPr="00C9680B" w:rsidRDefault="001C7BF9">
      <w:pPr>
        <w:pStyle w:val="Normaltindrag"/>
        <w:spacing w:line="60" w:lineRule="exact"/>
      </w:pPr>
    </w:p>
    <w:p w:rsidR="001C7BF9" w:rsidRPr="00C9680B" w:rsidRDefault="001C7BF9">
      <w:pPr>
        <w:pStyle w:val="Tabell"/>
      </w:pPr>
    </w:p>
    <w:p w:rsidR="001C7BF9" w:rsidRPr="00C9680B" w:rsidRDefault="001C7BF9">
      <w:r w:rsidRPr="00C9680B">
        <w:t>Kristdemokraterna kritiserar regeringen för att statsskulden vid utgången av 2002 nu beräknas bli drygt 100 miljarder kronor högre än i motsvarande prognos i vårpropositionen för ett och ett halvt år sedan. I motionen ses detta som en annan direkt följd av regeringens sätt att sköta stat</w:t>
      </w:r>
      <w:r w:rsidRPr="00C9680B">
        <w:t>s</w:t>
      </w:r>
      <w:r w:rsidRPr="00C9680B">
        <w:t>finanserna.</w:t>
      </w:r>
    </w:p>
    <w:p w:rsidR="001C7BF9" w:rsidRPr="00C9680B" w:rsidRDefault="001C7BF9">
      <w:pPr>
        <w:pStyle w:val="Normaltindrag"/>
      </w:pPr>
      <w:r w:rsidRPr="00C9680B">
        <w:t>Såsom motionärerna mycket riktigt påpekar räknar regeringen nu med att statsskulden vid utgången av 2002 kommer att vara ca 103 miljarder kronor större än vad som antogs i 1999 års vårproposition. Den främsta anledningen till detta är pensionsuppgörelsen sommaren 1999 som ensam svarar för en lika stor ökning av statsskulden. Bakom denna uppgörelse står även Kristd</w:t>
      </w:r>
      <w:r w:rsidRPr="00C9680B">
        <w:t>e</w:t>
      </w:r>
      <w:r w:rsidRPr="00C9680B">
        <w:t>mokraterna.</w:t>
      </w:r>
    </w:p>
    <w:p w:rsidR="001C7BF9" w:rsidRPr="00C9680B" w:rsidRDefault="001C7BF9">
      <w:pPr>
        <w:pStyle w:val="Normaltindrag"/>
      </w:pPr>
      <w:r w:rsidRPr="00C9680B">
        <w:t>Den försvagning av statsfinanserna som är direkt föranledd av pe</w:t>
      </w:r>
      <w:r w:rsidRPr="00C9680B">
        <w:t>n</w:t>
      </w:r>
      <w:r w:rsidRPr="00C9680B">
        <w:t>sions</w:t>
      </w:r>
      <w:r w:rsidRPr="00C9680B">
        <w:softHyphen/>
        <w:t>uppgörelsen motsvaras i huvudsak av en lika stor förstärkning av AP-fonden. Uppgörelsen har således medfört att sparandet inom den offentliga sektorn omfördelats från statsbudgeten till AP-fonden, vilket enligt utskottets mening framstår som välmotiverat då andelen äldre väntas öka kraftigt i framtiden vilket l</w:t>
      </w:r>
      <w:r w:rsidRPr="00C9680B">
        <w:t>e</w:t>
      </w:r>
      <w:r w:rsidRPr="00C9680B">
        <w:t>der till en ökad belastning på AP-fonden.</w:t>
      </w:r>
    </w:p>
    <w:p w:rsidR="001C7BF9" w:rsidRPr="00C9680B" w:rsidRDefault="001C7BF9">
      <w:r w:rsidRPr="00C9680B">
        <w:t>Moderata samlingspartiet föreslår att riksdagen som mål för budgetpolitiken skall lägga fast dels att den offentliga utgiftskvoten skall understiga 50</w:t>
      </w:r>
      <w:r w:rsidRPr="00C9680B">
        <w:t> % av BNP på medellång sikt, dels att de offentliga finanserna skall vara i balans över en konjunkturcykel.</w:t>
      </w:r>
    </w:p>
    <w:p w:rsidR="001C7BF9" w:rsidRPr="00C9680B" w:rsidRDefault="001C7BF9">
      <w:pPr>
        <w:pStyle w:val="Normaltindrag"/>
      </w:pPr>
      <w:r w:rsidRPr="00C9680B">
        <w:t>Förra året motsvarade de offentliga utgifterna 58,4 % av BNP. Det var u</w:t>
      </w:r>
      <w:r w:rsidRPr="00C9680B">
        <w:t>n</w:t>
      </w:r>
      <w:r w:rsidRPr="00C9680B">
        <w:t>gefär samma nivå som 1990, dvs. året innan den ekonomiska kris som bidrog till att utgiftskvoten steg till som högst 70 % 1993. I år och nästa år väntas utgiftskvoten minska med motsvarande närmare 5 % av BNP. Bakom denna snabba förbättring ligger en stark BNP-tillväxt som både ökar nämnaren i utgiftskvoten och leder till lägre utgifter för arbetslösheten. Till detta kommer en låg inflation som resulterar i motsvarande låga nominella ökning av pe</w:t>
      </w:r>
      <w:r w:rsidRPr="00C9680B">
        <w:t>n</w:t>
      </w:r>
      <w:r w:rsidRPr="00C9680B">
        <w:t>sioner och andra indexerade utgifter. Även en minskad statss</w:t>
      </w:r>
      <w:r w:rsidRPr="00C9680B">
        <w:t>kuld och låga räntor medför sänkta rä</w:t>
      </w:r>
      <w:r w:rsidRPr="00C9680B">
        <w:t>n</w:t>
      </w:r>
      <w:r w:rsidRPr="00C9680B">
        <w:t>teutgifter.</w:t>
      </w:r>
    </w:p>
    <w:p w:rsidR="001C7BF9" w:rsidRPr="00C9680B" w:rsidRDefault="001C7BF9">
      <w:pPr>
        <w:pStyle w:val="Normaltindrag"/>
      </w:pPr>
      <w:r w:rsidRPr="00C9680B">
        <w:t>Under 2000 sjunker utgifterna även i reala termer med 2,8 %. Till en min</w:t>
      </w:r>
      <w:r w:rsidRPr="00C9680B">
        <w:t>d</w:t>
      </w:r>
      <w:r w:rsidRPr="00C9680B">
        <w:t>re del, eller motsvarande 0,8 %, beror detta på att Svenska kyrkan skilts från staten. Nedgången sammanhänger emellertid också med att ränteutgifterna minskar kraftigt. Exklusive dessa båda effekter minskar utgifterna i reala termer med 0,2 %.</w:t>
      </w:r>
    </w:p>
    <w:p w:rsidR="001C7BF9" w:rsidRPr="00C9680B" w:rsidRDefault="001C7BF9">
      <w:pPr>
        <w:pStyle w:val="Normaltindrag"/>
      </w:pPr>
      <w:r w:rsidRPr="00C9680B">
        <w:t>År 2003 väntas utgiftskvoten ha sjunkit till 52,9 % av BNP. På tio år har de offentliga utgifternas andel av BNP då minskat med 17 %. Vad Moderata samlingspartiet föreslår är således att utgiftskvoten skall minskas med ytterl</w:t>
      </w:r>
      <w:r w:rsidRPr="00C9680B">
        <w:t>i</w:t>
      </w:r>
      <w:r w:rsidRPr="00C9680B">
        <w:t>gare tre procentenheter på medellång sikt och att detta skall slås fast i ett nytt budgetpol</w:t>
      </w:r>
      <w:r w:rsidRPr="00C9680B">
        <w:t>i</w:t>
      </w:r>
      <w:r w:rsidRPr="00C9680B">
        <w:t>tiskt mål.</w:t>
      </w:r>
    </w:p>
    <w:p w:rsidR="001C7BF9" w:rsidRPr="00C9680B" w:rsidRDefault="001C7BF9">
      <w:pPr>
        <w:pStyle w:val="Normaltindrag"/>
      </w:pPr>
      <w:r w:rsidRPr="00C9680B">
        <w:t>Enligt utskottet mening framstår det inte som motiverat att införa ytterlig</w:t>
      </w:r>
      <w:r w:rsidRPr="00C9680B">
        <w:t>a</w:t>
      </w:r>
      <w:r w:rsidRPr="00C9680B">
        <w:t>re ett budgetpolitiskt mål, bl.a. med hänsyn till att ett nytt utgiftsmål kan skapa oklarhet om relationen mellan olika mål och försvåra en rationell bu</w:t>
      </w:r>
      <w:r w:rsidRPr="00C9680B">
        <w:t>d</w:t>
      </w:r>
      <w:r w:rsidRPr="00C9680B">
        <w:t>getpolitik.</w:t>
      </w:r>
    </w:p>
    <w:p w:rsidR="001C7BF9" w:rsidRPr="00C9680B" w:rsidRDefault="001C7BF9">
      <w:pPr>
        <w:pStyle w:val="Normaltindrag"/>
      </w:pPr>
      <w:r w:rsidRPr="00C9680B">
        <w:t>Utskottet finner inte heller anledning att ompröva det tidigare fastlagda målet för sparandet i den offentliga sektorn på i genomsnitt 2 % sett över en konjun</w:t>
      </w:r>
      <w:r w:rsidRPr="00C9680B">
        <w:t>k</w:t>
      </w:r>
      <w:r w:rsidRPr="00C9680B">
        <w:t>turcykel.</w:t>
      </w:r>
    </w:p>
    <w:p w:rsidR="001C7BF9" w:rsidRPr="00C9680B" w:rsidRDefault="001C7BF9">
      <w:pPr>
        <w:pStyle w:val="Normaltindrag"/>
      </w:pPr>
      <w:r w:rsidRPr="00C9680B">
        <w:t>Med det anförda tillstyrker utskottet regeringens förslag att höja målet för överskottet i den offentliga sektorn från 2,0 till 2,5 % av BNP för 2001 (punkt 4) och avstyrker motionerna Fi208 (m) yrkandena 4 och 8, Fi209 (kd) yrka</w:t>
      </w:r>
      <w:r w:rsidRPr="00C9680B">
        <w:t>n</w:t>
      </w:r>
      <w:r w:rsidRPr="00C9680B">
        <w:t>de 4 samt Fi211 (fp) yrka</w:t>
      </w:r>
      <w:r w:rsidRPr="00C9680B">
        <w:t>n</w:t>
      </w:r>
      <w:r w:rsidRPr="00C9680B">
        <w:t>de 4.</w:t>
      </w:r>
    </w:p>
    <w:p w:rsidR="001C7BF9" w:rsidRPr="00C9680B" w:rsidRDefault="001C7BF9">
      <w:pPr>
        <w:pStyle w:val="Normaltindrag"/>
        <w:rPr>
          <w:b/>
        </w:rPr>
      </w:pPr>
      <w:r w:rsidRPr="00C9680B">
        <w:t>Utskottet återkommer till frågan om utgiftstaket för staten i avsnitt 2.5.1.</w:t>
      </w:r>
    </w:p>
    <w:p w:rsidR="001C7BF9" w:rsidRPr="00C9680B" w:rsidRDefault="001C7BF9">
      <w:pPr>
        <w:pStyle w:val="Utskottetsvervganden-RubrikFrslagspunkt"/>
        <w:outlineLvl w:val="0"/>
      </w:pPr>
      <w:bookmarkStart w:id="151" w:name="_Toc498245129"/>
      <w:bookmarkStart w:id="152" w:name="_Toc498910690"/>
      <w:r w:rsidRPr="00C9680B">
        <w:t>2.4 Budgetpolitikens inriktning</w:t>
      </w:r>
      <w:bookmarkEnd w:id="151"/>
      <w:bookmarkEnd w:id="152"/>
    </w:p>
    <w:p w:rsidR="001C7BF9" w:rsidRPr="00C9680B" w:rsidRDefault="001C7BF9">
      <w:pPr>
        <w:pStyle w:val="Utskottsfrslagikorthet-Rubrik"/>
        <w:outlineLvl w:val="0"/>
        <w:rPr>
          <w:noProof w:val="0"/>
        </w:rPr>
      </w:pPr>
      <w:r w:rsidRPr="00C9680B">
        <w:rPr>
          <w:noProof w:val="0"/>
        </w:rPr>
        <w:t>Utskottets delförslag i korthet</w:t>
      </w:r>
    </w:p>
    <w:p w:rsidR="001C7BF9" w:rsidRPr="00C9680B" w:rsidRDefault="001C7BF9">
      <w:pPr>
        <w:pStyle w:val="Utskottsfrslagikorthet-Text"/>
        <w:keepNext/>
        <w:keepLines/>
      </w:pPr>
      <w:r w:rsidRPr="00C9680B">
        <w:t>Riksdagen bifaller regeringens förslag till inriktning av budgetpol</w:t>
      </w:r>
      <w:r w:rsidRPr="00C9680B">
        <w:t>i</w:t>
      </w:r>
      <w:r w:rsidRPr="00C9680B">
        <w:t>tiken och avslår därmed de alternativa förslag som redovisas i m</w:t>
      </w:r>
      <w:r w:rsidRPr="00C9680B">
        <w:t>o</w:t>
      </w:r>
      <w:r w:rsidRPr="00C9680B">
        <w:t>tionerna Fi208 (m), Fi209 (kd), Fi210 (c) och Fi211 (fp).</w:t>
      </w:r>
    </w:p>
    <w:p w:rsidR="001C7BF9" w:rsidRPr="00C9680B" w:rsidRDefault="001C7BF9">
      <w:pPr>
        <w:pStyle w:val="Utskottsfrslagikorthet-Text"/>
        <w:keepNext/>
        <w:keepLines/>
      </w:pPr>
      <w:r w:rsidRPr="00C9680B">
        <w:t>De formella beslut som direkt hör ihop med detta ställningstagande behandlar utskottet i efterföljande avsnitt 2.5, 2.6, 2.8, 2.9, 3 och 4.1.</w:t>
      </w:r>
    </w:p>
    <w:p w:rsidR="001C7BF9" w:rsidRPr="00C9680B" w:rsidRDefault="001C7BF9">
      <w:pPr>
        <w:pStyle w:val="Utskottsfrslagikorthet-Text"/>
        <w:keepNext/>
        <w:keepLines/>
      </w:pPr>
      <w:r w:rsidRPr="00C9680B">
        <w:t>Jämför reservationerna 12 (m), 13 (kd), 14 (c) och 15 (fp).</w:t>
      </w:r>
    </w:p>
    <w:p w:rsidR="001C7BF9" w:rsidRPr="00C9680B" w:rsidRDefault="001C7BF9">
      <w:pPr>
        <w:pStyle w:val="Normaltindrag"/>
        <w:keepNext/>
        <w:keepLines/>
      </w:pPr>
    </w:p>
    <w:p w:rsidR="001C7BF9" w:rsidRPr="00C9680B" w:rsidRDefault="001C7BF9">
      <w:pPr>
        <w:pStyle w:val="Rubrik3"/>
        <w:spacing w:before="123"/>
        <w:rPr>
          <w:noProof w:val="0"/>
        </w:rPr>
      </w:pPr>
      <w:bookmarkStart w:id="153" w:name="_Toc435867503"/>
      <w:bookmarkStart w:id="154" w:name="_Toc436662497"/>
      <w:bookmarkStart w:id="155" w:name="_Toc466179191"/>
      <w:bookmarkStart w:id="156" w:name="_Toc466882369"/>
      <w:bookmarkStart w:id="157" w:name="_Toc498245130"/>
      <w:bookmarkStart w:id="158" w:name="_Toc498910691"/>
      <w:r w:rsidRPr="00C9680B">
        <w:rPr>
          <w:noProof w:val="0"/>
        </w:rPr>
        <w:t>2.4.1 Trepartiöverenskommelse om budgetpolitiken</w:t>
      </w:r>
      <w:bookmarkEnd w:id="153"/>
      <w:bookmarkEnd w:id="154"/>
      <w:bookmarkEnd w:id="155"/>
      <w:bookmarkEnd w:id="156"/>
      <w:bookmarkEnd w:id="157"/>
      <w:bookmarkEnd w:id="158"/>
    </w:p>
    <w:p w:rsidR="001C7BF9" w:rsidRPr="00C9680B" w:rsidRDefault="001C7BF9">
      <w:r w:rsidRPr="00C9680B">
        <w:t>Av budgetpropositionen framgår att regeringen avser att skapa största möjliga uppslutning kring en politik för full sysselsättning. Arbetsmarknadens parter har en viktig roll i detta sammanhang.</w:t>
      </w:r>
    </w:p>
    <w:p w:rsidR="001C7BF9" w:rsidRPr="00C9680B" w:rsidRDefault="001C7BF9">
      <w:pPr>
        <w:pStyle w:val="Normaltindrag"/>
      </w:pPr>
      <w:r w:rsidRPr="00C9680B">
        <w:t>Budgetpropositionen bygger på en överenskommelse mellan Socialdem</w:t>
      </w:r>
      <w:r w:rsidRPr="00C9680B">
        <w:t>o</w:t>
      </w:r>
      <w:r w:rsidRPr="00C9680B">
        <w:t>kraterna, Vänsterpartiet och Miljöpartiet, vilka står bakom riktlinjerna för den ekonomiska politiken, budgetpolitiken, utgiftstaken, tilläggsbudgeten för 2000, anslagen för 2001 och de nu föreslagna skatteförändrin</w:t>
      </w:r>
      <w:r w:rsidRPr="00C9680B">
        <w:t>g</w:t>
      </w:r>
      <w:r w:rsidRPr="00C9680B">
        <w:t>arna.</w:t>
      </w:r>
    </w:p>
    <w:p w:rsidR="001C7BF9" w:rsidRPr="00C9680B" w:rsidRDefault="001C7BF9">
      <w:pPr>
        <w:pStyle w:val="Normaltindrag"/>
      </w:pPr>
      <w:r w:rsidRPr="00C9680B">
        <w:t>Samarbetet mellan de tre partierna berör fem områden – ekonomi, sysse</w:t>
      </w:r>
      <w:r w:rsidRPr="00C9680B">
        <w:t>l</w:t>
      </w:r>
      <w:r w:rsidRPr="00C9680B">
        <w:t>sättning, rättvisa, jämställdhet och miljö – och innefattar både konkreta fö</w:t>
      </w:r>
      <w:r w:rsidRPr="00C9680B">
        <w:t>r</w:t>
      </w:r>
      <w:r w:rsidRPr="00C9680B">
        <w:t>slag och åtaganden inför framtiden. Enligt propositionen bekräftas genom detta samarbete att det finns en politisk majoritet för en ekonomisk politik som är inriktad på full sysselsättning, prisstabilitet och ett överskott i den offentliga sektorns finanser på i genomsnitt 2 % av BNP sett över en ko</w:t>
      </w:r>
      <w:r w:rsidRPr="00C9680B">
        <w:t>n</w:t>
      </w:r>
      <w:r w:rsidRPr="00C9680B">
        <w:t>junkturcykel. Denna politik syftar dessutom till jämlikhet, jämställdhet och ekologisk hållbarhet.</w:t>
      </w:r>
    </w:p>
    <w:p w:rsidR="001C7BF9" w:rsidRPr="00C9680B" w:rsidRDefault="001C7BF9">
      <w:pPr>
        <w:pStyle w:val="Rubrik3"/>
        <w:rPr>
          <w:noProof w:val="0"/>
        </w:rPr>
      </w:pPr>
      <w:bookmarkStart w:id="159" w:name="_Toc435867504"/>
      <w:bookmarkStart w:id="160" w:name="_Toc436662498"/>
      <w:bookmarkStart w:id="161" w:name="_Toc466179192"/>
      <w:bookmarkStart w:id="162" w:name="_Toc466882370"/>
      <w:bookmarkStart w:id="163" w:name="_Toc498245131"/>
      <w:bookmarkStart w:id="164" w:name="_Toc498910692"/>
      <w:r w:rsidRPr="00C9680B">
        <w:rPr>
          <w:noProof w:val="0"/>
        </w:rPr>
        <w:t>2.4.2 De politiska alternativen</w:t>
      </w:r>
      <w:bookmarkEnd w:id="159"/>
      <w:bookmarkEnd w:id="160"/>
      <w:bookmarkEnd w:id="161"/>
      <w:bookmarkEnd w:id="162"/>
      <w:bookmarkEnd w:id="163"/>
      <w:bookmarkEnd w:id="164"/>
    </w:p>
    <w:p w:rsidR="001C7BF9" w:rsidRPr="00C9680B" w:rsidRDefault="001C7BF9">
      <w:pPr>
        <w:pStyle w:val="R4"/>
        <w:spacing w:before="123"/>
      </w:pPr>
      <w:r w:rsidRPr="00C9680B">
        <w:t>Budgetpropositionen</w:t>
      </w:r>
    </w:p>
    <w:p w:rsidR="001C7BF9" w:rsidRPr="00C9680B" w:rsidRDefault="001C7BF9">
      <w:r w:rsidRPr="00C9680B">
        <w:t>För 2001 föreslår regeringen att målet om ett överskott i de offentliga fina</w:t>
      </w:r>
      <w:r w:rsidRPr="00C9680B">
        <w:t>n</w:t>
      </w:r>
      <w:r w:rsidRPr="00C9680B">
        <w:t>serna skall höjas från 2,0 till 2,5 % av BNP. Höjningen vidtas för att minska risken för överhettning. Även efter höjningen finns det ett överskjutande överskott som regeringen ser som en säkerhetsmarginal, vilken inte kommer att utnyttjas för reformer.</w:t>
      </w:r>
    </w:p>
    <w:p w:rsidR="001C7BF9" w:rsidRPr="00C9680B" w:rsidRDefault="001C7BF9">
      <w:pPr>
        <w:pStyle w:val="Normaltindrag"/>
      </w:pPr>
      <w:r w:rsidRPr="00C9680B">
        <w:t>Utgiftstaken för 2001–2003 ligger fast, men deras nivåer sänks med 3 miljarder kronor som en teknisk anpassning till att behovet av statsbidrag till kommunerna minskar med anledning av regeringens förslag till inkomstska</w:t>
      </w:r>
      <w:r w:rsidRPr="00C9680B">
        <w:t>t</w:t>
      </w:r>
      <w:r w:rsidRPr="00C9680B">
        <w:t>tesänkningar.</w:t>
      </w:r>
    </w:p>
    <w:p w:rsidR="001C7BF9" w:rsidRPr="00C9680B" w:rsidRDefault="001C7BF9">
      <w:pPr>
        <w:pStyle w:val="Normaltindrag"/>
      </w:pPr>
      <w:r w:rsidRPr="00C9680B">
        <w:t>Trots höjt överskottsmål och outnyttjad säkerhetsmarginal finns det enligt propositionen ett utrymme att både öka utgifterna och sänka skatterna utan att för den skull risken för överhettning ökar v</w:t>
      </w:r>
      <w:r w:rsidRPr="00C9680B">
        <w:t>ä</w:t>
      </w:r>
      <w:r w:rsidRPr="00C9680B">
        <w:t>sentligt.</w:t>
      </w:r>
    </w:p>
    <w:p w:rsidR="001C7BF9" w:rsidRPr="00C9680B" w:rsidRDefault="001C7BF9">
      <w:pPr>
        <w:pStyle w:val="Normaltindrag"/>
      </w:pPr>
      <w:r w:rsidRPr="00C9680B">
        <w:t>I budgetpropositionen återkommer regeringen till de reformer som redov</w:t>
      </w:r>
      <w:r w:rsidRPr="00C9680B">
        <w:t>i</w:t>
      </w:r>
      <w:r w:rsidRPr="00C9680B">
        <w:t>sats redan i vårpropositionen eller i tidigare propositioner. Regeringen för</w:t>
      </w:r>
      <w:r w:rsidRPr="00C9680B">
        <w:t>e</w:t>
      </w:r>
      <w:r w:rsidRPr="00C9680B">
        <w:t>slår nu dessutom skattesänkningar på ca 13 miljarder kronor för nästa år. Vidare föreslås att de senaste årens frysning av taxeringsvärdena på småhus och hyreshus upphör och att kopplingen mellan taxeringsvärden och mar</w:t>
      </w:r>
      <w:r w:rsidRPr="00C9680B">
        <w:t>k</w:t>
      </w:r>
      <w:r w:rsidRPr="00C9680B">
        <w:t>nadsvärden återställs. För att undvika att skatteintäkterna ökar som en följd av de höjda taxeringsvärdena föreslår regeringen också att skattesatsen för sm</w:t>
      </w:r>
      <w:r w:rsidRPr="00C9680B">
        <w:t>å</w:t>
      </w:r>
      <w:r w:rsidRPr="00C9680B">
        <w:t>hus och hyreshus sänks samt att förmögenhetsskattens frib</w:t>
      </w:r>
      <w:r w:rsidRPr="00C9680B">
        <w:t>elopp justeras.</w:t>
      </w:r>
    </w:p>
    <w:p w:rsidR="001C7BF9" w:rsidRPr="00C9680B" w:rsidRDefault="001C7BF9">
      <w:pPr>
        <w:pStyle w:val="Normaltindrag"/>
      </w:pPr>
      <w:r w:rsidRPr="00C9680B">
        <w:t>Regeringens förslag medför att finanspolitiken nästa år blir expansiv, vi</w:t>
      </w:r>
      <w:r w:rsidRPr="00C9680B">
        <w:t>l</w:t>
      </w:r>
      <w:r w:rsidRPr="00C9680B">
        <w:t>ket enligt propositionen skall ses mot bakgrund av att det då finns lediga resurser i svensk ekonomi. Finanspolitiken blir dock inte lika expansiv som om hela utrymmet över det tidigare fastställda överskottsmålet på 2 % hade använts.</w:t>
      </w:r>
    </w:p>
    <w:p w:rsidR="001C7BF9" w:rsidRPr="00C9680B" w:rsidRDefault="001C7BF9">
      <w:pPr>
        <w:pStyle w:val="Normaltindrag"/>
      </w:pPr>
      <w:r w:rsidRPr="00C9680B">
        <w:t>Regeringen bedömer nu att det är möjligt att genomföra andra steget i den förra året påbörjade inkomstskattereformen. Förslaget innebär att ytterligare 25 % av den allmänna pensionsavgiften kompenseras från och med 2001. Vidare föreslås att den nedre skiktgränsen för uttag av</w:t>
      </w:r>
      <w:r w:rsidRPr="00C9680B">
        <w:t xml:space="preserve"> statlig inkomstskatt höjs nästa år, vilket minskar andelen skattskyldiga som betalar statlig i</w:t>
      </w:r>
      <w:r w:rsidRPr="00C9680B">
        <w:t>n</w:t>
      </w:r>
      <w:r w:rsidRPr="00C9680B">
        <w:t>komstskatt. Varaktigt ger dessa båda förslag ett skattebortfall på drygt 13 miljarder kronor per år. I propositionen framhålls att skattesänkningarna bidrar till att de marginaleffekter som slår hårt mot låg- och medelinkomstt</w:t>
      </w:r>
      <w:r w:rsidRPr="00C9680B">
        <w:t>a</w:t>
      </w:r>
      <w:r w:rsidRPr="00C9680B">
        <w:t>gare minskar.</w:t>
      </w:r>
    </w:p>
    <w:p w:rsidR="001C7BF9" w:rsidRPr="00C9680B" w:rsidRDefault="001C7BF9">
      <w:pPr>
        <w:pStyle w:val="Normaltindrag"/>
      </w:pPr>
      <w:r w:rsidRPr="00C9680B">
        <w:t>En grön skatteväxling föreslås varvid höjda skatter på energi och miljöu</w:t>
      </w:r>
      <w:r w:rsidRPr="00C9680B">
        <w:t>t</w:t>
      </w:r>
      <w:r w:rsidRPr="00C9680B">
        <w:t>släpp balanseras av sänkta arbetsgivaravgifter och en höjning av grundavdr</w:t>
      </w:r>
      <w:r w:rsidRPr="00C9680B">
        <w:t>a</w:t>
      </w:r>
      <w:r w:rsidRPr="00C9680B">
        <w:t>gen vid inkomstbeskattningen. Bland annat skall skatten på diesel höjas och för att motverka de negativa effekter detta har på kollektivtrafiken föreslås samtidigt att mervärdesskatteuttaget på personbefordran halveras från 12 till 6 %. Även r</w:t>
      </w:r>
      <w:r w:rsidRPr="00C9680B">
        <w:t>e</w:t>
      </w:r>
      <w:r w:rsidRPr="00C9680B">
        <w:t>seavdraget höjs fr.o.m. nästa år till 16 kr per mil.</w:t>
      </w:r>
    </w:p>
    <w:p w:rsidR="001C7BF9" w:rsidRPr="00C9680B" w:rsidRDefault="001C7BF9">
      <w:pPr>
        <w:pStyle w:val="Normaltindrag"/>
      </w:pPr>
      <w:r w:rsidRPr="00C9680B">
        <w:t>Reformeringen av fastighetstaxeringen innebär att effekten av de frisläppta taxeringsvärdena motverkas av att uttaget av fastighetsskatt sä</w:t>
      </w:r>
      <w:r w:rsidRPr="00C9680B">
        <w:t>nks från 1,5 % till för småhus 1,2 % och för hyreshus och bostadsrättsföreningar 0,7 %. Ett förslag som begränsar uttaget av fastighetsskatt på vissa permanentbostäder kommer att presenteras senare. Dessutom föreslås att reavinstskatten för privatbostäder höjs från 15 till 20 %.</w:t>
      </w:r>
    </w:p>
    <w:p w:rsidR="001C7BF9" w:rsidRPr="00C9680B" w:rsidRDefault="001C7BF9">
      <w:pPr>
        <w:pStyle w:val="Normaltindrag"/>
      </w:pPr>
      <w:r w:rsidRPr="00C9680B">
        <w:t>För att motverka att de frisläppta taxeringsvärdena slår igenom vid förm</w:t>
      </w:r>
      <w:r w:rsidRPr="00C9680B">
        <w:t>ö</w:t>
      </w:r>
      <w:r w:rsidRPr="00C9680B">
        <w:t>genhetsbeskattningen kommer fribeloppet i förmögenhetsskatten nästa år att höjas från 0,9 miljoner kronor till 1,0 miljon kronor för ensamstående och till 1,5 miljoner kronor för samb</w:t>
      </w:r>
      <w:r w:rsidRPr="00C9680B">
        <w:t>e</w:t>
      </w:r>
      <w:r w:rsidRPr="00C9680B">
        <w:t>skattade par.</w:t>
      </w:r>
    </w:p>
    <w:p w:rsidR="001C7BF9" w:rsidRPr="00C9680B" w:rsidRDefault="001C7BF9">
      <w:pPr>
        <w:pStyle w:val="Normaltindrag"/>
      </w:pPr>
      <w:r w:rsidRPr="00C9680B">
        <w:t>De i budgetpropositionen framförda skatteförslagen är av följande omfat</w:t>
      </w:r>
      <w:r w:rsidRPr="00C9680B">
        <w:t>t</w:t>
      </w:r>
      <w:r w:rsidRPr="00C9680B">
        <w:t>ning.</w:t>
      </w:r>
    </w:p>
    <w:p w:rsidR="001C7BF9" w:rsidRPr="00C9680B" w:rsidRDefault="001C7BF9">
      <w:pPr>
        <w:pStyle w:val="Normaltindrag"/>
        <w:keepLines/>
        <w:spacing w:line="240" w:lineRule="auto"/>
        <w:rPr>
          <w:sz w:val="18"/>
        </w:rPr>
      </w:pPr>
    </w:p>
    <w:p w:rsidR="001C7BF9" w:rsidRPr="00C9680B" w:rsidRDefault="001C7BF9">
      <w:pPr>
        <w:pStyle w:val="TabellrubrikPer"/>
        <w:keepNext/>
        <w:widowControl w:val="0"/>
        <w:spacing w:after="60"/>
        <w:outlineLvl w:val="0"/>
        <w:rPr>
          <w:b/>
          <w:caps w:val="0"/>
          <w:spacing w:val="0"/>
          <w:sz w:val="17"/>
        </w:rPr>
      </w:pPr>
      <w:bookmarkStart w:id="165" w:name="_Toc421506198"/>
      <w:r w:rsidRPr="00C9680B">
        <w:rPr>
          <w:b/>
          <w:caps w:val="0"/>
          <w:spacing w:val="0"/>
          <w:sz w:val="17"/>
        </w:rPr>
        <w:t>Tabell 11. Regeringens förslag till skattesänkningar 2001–200</w:t>
      </w:r>
      <w:bookmarkEnd w:id="165"/>
      <w:r w:rsidRPr="00C9680B">
        <w:rPr>
          <w:b/>
          <w:caps w:val="0"/>
          <w:spacing w:val="0"/>
          <w:sz w:val="17"/>
        </w:rPr>
        <w:t>3</w:t>
      </w:r>
    </w:p>
    <w:p w:rsidR="001C7BF9" w:rsidRPr="00C9680B" w:rsidRDefault="001C7BF9">
      <w:pPr>
        <w:pStyle w:val="Tabell"/>
        <w:keepNext/>
        <w:widowControl w:val="0"/>
        <w:spacing w:after="40"/>
        <w:outlineLvl w:val="0"/>
        <w:rPr>
          <w:sz w:val="14"/>
        </w:rPr>
      </w:pPr>
      <w:r w:rsidRPr="00C9680B">
        <w:rPr>
          <w:sz w:val="14"/>
        </w:rPr>
        <w:t>Belopp i miljarder kronor</w:t>
      </w:r>
    </w:p>
    <w:tbl>
      <w:tblPr>
        <w:tblW w:w="0" w:type="auto"/>
        <w:tblLayout w:type="fixed"/>
        <w:tblCellMar>
          <w:left w:w="0" w:type="dxa"/>
          <w:right w:w="0" w:type="dxa"/>
        </w:tblCellMar>
        <w:tblLook w:val="0000" w:firstRow="0" w:lastRow="0" w:firstColumn="0" w:lastColumn="0" w:noHBand="0" w:noVBand="0"/>
      </w:tblPr>
      <w:tblGrid>
        <w:gridCol w:w="3119"/>
        <w:gridCol w:w="680"/>
        <w:gridCol w:w="680"/>
        <w:gridCol w:w="680"/>
        <w:gridCol w:w="737"/>
      </w:tblGrid>
      <w:tr w:rsidR="00000000" w:rsidRPr="00C9680B">
        <w:tblPrEx>
          <w:tblCellMar>
            <w:top w:w="0" w:type="dxa"/>
            <w:left w:w="0" w:type="dxa"/>
            <w:bottom w:w="0" w:type="dxa"/>
            <w:right w:w="0" w:type="dxa"/>
          </w:tblCellMar>
        </w:tblPrEx>
        <w:tc>
          <w:tcPr>
            <w:tcW w:w="3119" w:type="dxa"/>
            <w:tcBorders>
              <w:top w:val="single" w:sz="6" w:space="0" w:color="auto"/>
              <w:bottom w:val="single" w:sz="6" w:space="0" w:color="auto"/>
            </w:tcBorders>
          </w:tcPr>
          <w:p w:rsidR="001C7BF9" w:rsidRPr="00C9680B" w:rsidRDefault="001C7BF9">
            <w:pPr>
              <w:pStyle w:val="Tabell"/>
              <w:keepNext/>
              <w:widowControl w:val="0"/>
              <w:rPr>
                <w:b/>
              </w:rPr>
            </w:pPr>
          </w:p>
        </w:tc>
        <w:tc>
          <w:tcPr>
            <w:tcW w:w="680" w:type="dxa"/>
            <w:tcBorders>
              <w:top w:val="single" w:sz="6" w:space="0" w:color="auto"/>
              <w:bottom w:val="single" w:sz="6" w:space="0" w:color="auto"/>
            </w:tcBorders>
          </w:tcPr>
          <w:p w:rsidR="001C7BF9" w:rsidRPr="00C9680B" w:rsidRDefault="001C7BF9">
            <w:pPr>
              <w:pStyle w:val="Tabell"/>
              <w:keepNext/>
              <w:widowControl w:val="0"/>
              <w:ind w:right="57"/>
              <w:jc w:val="right"/>
              <w:rPr>
                <w:b/>
              </w:rPr>
            </w:pPr>
            <w:r w:rsidRPr="00C9680B">
              <w:rPr>
                <w:b/>
              </w:rPr>
              <w:t>2001</w:t>
            </w:r>
          </w:p>
        </w:tc>
        <w:tc>
          <w:tcPr>
            <w:tcW w:w="680" w:type="dxa"/>
            <w:tcBorders>
              <w:top w:val="single" w:sz="6" w:space="0" w:color="auto"/>
              <w:bottom w:val="single" w:sz="6" w:space="0" w:color="auto"/>
            </w:tcBorders>
          </w:tcPr>
          <w:p w:rsidR="001C7BF9" w:rsidRPr="00C9680B" w:rsidRDefault="001C7BF9">
            <w:pPr>
              <w:pStyle w:val="Tabell"/>
              <w:keepNext/>
              <w:widowControl w:val="0"/>
              <w:ind w:right="57"/>
              <w:jc w:val="right"/>
              <w:rPr>
                <w:b/>
              </w:rPr>
            </w:pPr>
            <w:r w:rsidRPr="00C9680B">
              <w:rPr>
                <w:b/>
              </w:rPr>
              <w:t>2002</w:t>
            </w:r>
          </w:p>
        </w:tc>
        <w:tc>
          <w:tcPr>
            <w:tcW w:w="680" w:type="dxa"/>
            <w:tcBorders>
              <w:top w:val="single" w:sz="6" w:space="0" w:color="auto"/>
              <w:bottom w:val="single" w:sz="6" w:space="0" w:color="auto"/>
            </w:tcBorders>
          </w:tcPr>
          <w:p w:rsidR="001C7BF9" w:rsidRPr="00C9680B" w:rsidRDefault="001C7BF9">
            <w:pPr>
              <w:pStyle w:val="Tabell"/>
              <w:keepNext/>
              <w:widowControl w:val="0"/>
              <w:ind w:right="57"/>
              <w:jc w:val="right"/>
              <w:rPr>
                <w:b/>
              </w:rPr>
            </w:pPr>
            <w:r w:rsidRPr="00C9680B">
              <w:rPr>
                <w:b/>
              </w:rPr>
              <w:t>2003</w:t>
            </w:r>
          </w:p>
        </w:tc>
        <w:tc>
          <w:tcPr>
            <w:tcW w:w="737" w:type="dxa"/>
            <w:tcBorders>
              <w:top w:val="single" w:sz="6" w:space="0" w:color="auto"/>
              <w:bottom w:val="single" w:sz="6" w:space="0" w:color="auto"/>
            </w:tcBorders>
          </w:tcPr>
          <w:p w:rsidR="001C7BF9" w:rsidRPr="00C9680B" w:rsidRDefault="001C7BF9">
            <w:pPr>
              <w:pStyle w:val="Tabell"/>
              <w:keepNext/>
              <w:widowControl w:val="0"/>
              <w:ind w:right="57"/>
              <w:jc w:val="right"/>
              <w:rPr>
                <w:b/>
              </w:rPr>
            </w:pPr>
            <w:r w:rsidRPr="00C9680B">
              <w:rPr>
                <w:b/>
              </w:rPr>
              <w:t>Varaktig effekt</w:t>
            </w:r>
          </w:p>
        </w:tc>
      </w:tr>
      <w:tr w:rsidR="00000000" w:rsidRPr="00C9680B">
        <w:tblPrEx>
          <w:tblCellMar>
            <w:top w:w="0" w:type="dxa"/>
            <w:left w:w="0" w:type="dxa"/>
            <w:bottom w:w="0" w:type="dxa"/>
            <w:right w:w="0" w:type="dxa"/>
          </w:tblCellMar>
        </w:tblPrEx>
        <w:trPr>
          <w:trHeight w:hRule="exact" w:val="200"/>
        </w:trPr>
        <w:tc>
          <w:tcPr>
            <w:tcW w:w="3119" w:type="dxa"/>
          </w:tcPr>
          <w:p w:rsidR="001C7BF9" w:rsidRPr="00C9680B" w:rsidRDefault="001C7BF9">
            <w:pPr>
              <w:pStyle w:val="Tabell"/>
              <w:keepNext/>
              <w:widowControl w:val="0"/>
              <w:spacing w:line="240" w:lineRule="auto"/>
            </w:pPr>
            <w:r w:rsidRPr="00C9680B">
              <w:t>Andra steget i inkomstskatter</w:t>
            </w:r>
            <w:r w:rsidRPr="00C9680B">
              <w:t>e</w:t>
            </w:r>
            <w:r w:rsidRPr="00C9680B">
              <w:t>formen</w:t>
            </w:r>
          </w:p>
        </w:tc>
        <w:tc>
          <w:tcPr>
            <w:tcW w:w="680" w:type="dxa"/>
          </w:tcPr>
          <w:p w:rsidR="001C7BF9" w:rsidRPr="00C9680B" w:rsidRDefault="001C7BF9">
            <w:pPr>
              <w:pStyle w:val="Tabell"/>
              <w:keepNext/>
              <w:widowControl w:val="0"/>
              <w:spacing w:line="240" w:lineRule="auto"/>
              <w:ind w:right="57"/>
              <w:jc w:val="right"/>
            </w:pPr>
            <w:r w:rsidRPr="00C9680B">
              <w:t>12,50</w:t>
            </w:r>
          </w:p>
        </w:tc>
        <w:tc>
          <w:tcPr>
            <w:tcW w:w="680" w:type="dxa"/>
          </w:tcPr>
          <w:p w:rsidR="001C7BF9" w:rsidRPr="00C9680B" w:rsidRDefault="001C7BF9">
            <w:pPr>
              <w:pStyle w:val="Tabell"/>
              <w:keepNext/>
              <w:widowControl w:val="0"/>
              <w:spacing w:line="240" w:lineRule="auto"/>
              <w:ind w:right="57"/>
              <w:jc w:val="right"/>
            </w:pPr>
            <w:r w:rsidRPr="00C9680B">
              <w:t>13,80</w:t>
            </w:r>
          </w:p>
        </w:tc>
        <w:tc>
          <w:tcPr>
            <w:tcW w:w="680" w:type="dxa"/>
          </w:tcPr>
          <w:p w:rsidR="001C7BF9" w:rsidRPr="00C9680B" w:rsidRDefault="001C7BF9">
            <w:pPr>
              <w:pStyle w:val="Tabell"/>
              <w:keepNext/>
              <w:widowControl w:val="0"/>
              <w:spacing w:line="240" w:lineRule="auto"/>
              <w:ind w:right="57"/>
              <w:jc w:val="right"/>
            </w:pPr>
            <w:r w:rsidRPr="00C9680B">
              <w:t>15,00</w:t>
            </w:r>
          </w:p>
        </w:tc>
        <w:tc>
          <w:tcPr>
            <w:tcW w:w="737" w:type="dxa"/>
          </w:tcPr>
          <w:p w:rsidR="001C7BF9" w:rsidRPr="00C9680B" w:rsidRDefault="001C7BF9">
            <w:pPr>
              <w:pStyle w:val="Tabell"/>
              <w:keepNext/>
              <w:widowControl w:val="0"/>
              <w:spacing w:line="240" w:lineRule="auto"/>
              <w:ind w:right="57"/>
              <w:jc w:val="right"/>
            </w:pPr>
            <w:r w:rsidRPr="00C9680B">
              <w:t>13,36</w:t>
            </w:r>
          </w:p>
        </w:tc>
      </w:tr>
      <w:tr w:rsidR="00000000" w:rsidRPr="00C9680B">
        <w:tblPrEx>
          <w:tblCellMar>
            <w:top w:w="0" w:type="dxa"/>
            <w:left w:w="0" w:type="dxa"/>
            <w:bottom w:w="0" w:type="dxa"/>
            <w:right w:w="0" w:type="dxa"/>
          </w:tblCellMar>
        </w:tblPrEx>
        <w:trPr>
          <w:trHeight w:hRule="exact" w:val="200"/>
        </w:trPr>
        <w:tc>
          <w:tcPr>
            <w:tcW w:w="3119" w:type="dxa"/>
          </w:tcPr>
          <w:p w:rsidR="001C7BF9" w:rsidRPr="00C9680B" w:rsidRDefault="001C7BF9">
            <w:pPr>
              <w:pStyle w:val="Tabell"/>
              <w:keepNext/>
              <w:widowControl w:val="0"/>
              <w:spacing w:line="240" w:lineRule="auto"/>
            </w:pPr>
            <w:r w:rsidRPr="00C9680B">
              <w:t>Sänkt moms på kollektivtrafik</w:t>
            </w:r>
          </w:p>
        </w:tc>
        <w:tc>
          <w:tcPr>
            <w:tcW w:w="680" w:type="dxa"/>
          </w:tcPr>
          <w:p w:rsidR="001C7BF9" w:rsidRPr="00C9680B" w:rsidRDefault="001C7BF9">
            <w:pPr>
              <w:pStyle w:val="Tabell"/>
              <w:keepNext/>
              <w:widowControl w:val="0"/>
              <w:spacing w:line="240" w:lineRule="auto"/>
              <w:ind w:right="57"/>
              <w:jc w:val="right"/>
            </w:pPr>
            <w:r w:rsidRPr="00C9680B">
              <w:t>0,88</w:t>
            </w:r>
          </w:p>
        </w:tc>
        <w:tc>
          <w:tcPr>
            <w:tcW w:w="680" w:type="dxa"/>
          </w:tcPr>
          <w:p w:rsidR="001C7BF9" w:rsidRPr="00C9680B" w:rsidRDefault="001C7BF9">
            <w:pPr>
              <w:pStyle w:val="Tabell"/>
              <w:keepNext/>
              <w:widowControl w:val="0"/>
              <w:spacing w:line="240" w:lineRule="auto"/>
              <w:ind w:right="57"/>
              <w:jc w:val="right"/>
            </w:pPr>
            <w:r w:rsidRPr="00C9680B">
              <w:t>0,81</w:t>
            </w:r>
          </w:p>
        </w:tc>
        <w:tc>
          <w:tcPr>
            <w:tcW w:w="680" w:type="dxa"/>
          </w:tcPr>
          <w:p w:rsidR="001C7BF9" w:rsidRPr="00C9680B" w:rsidRDefault="001C7BF9">
            <w:pPr>
              <w:pStyle w:val="Tabell"/>
              <w:keepNext/>
              <w:widowControl w:val="0"/>
              <w:spacing w:line="240" w:lineRule="auto"/>
              <w:ind w:right="57"/>
              <w:jc w:val="right"/>
            </w:pPr>
            <w:r w:rsidRPr="00C9680B">
              <w:t>0,81</w:t>
            </w:r>
          </w:p>
        </w:tc>
        <w:tc>
          <w:tcPr>
            <w:tcW w:w="737" w:type="dxa"/>
          </w:tcPr>
          <w:p w:rsidR="001C7BF9" w:rsidRPr="00C9680B" w:rsidRDefault="001C7BF9">
            <w:pPr>
              <w:pStyle w:val="Tabell"/>
              <w:keepNext/>
              <w:widowControl w:val="0"/>
              <w:spacing w:line="240" w:lineRule="auto"/>
              <w:ind w:right="57"/>
              <w:jc w:val="right"/>
            </w:pPr>
            <w:r w:rsidRPr="00C9680B">
              <w:t>0,81</w:t>
            </w:r>
          </w:p>
        </w:tc>
      </w:tr>
      <w:tr w:rsidR="00000000" w:rsidRPr="00C9680B">
        <w:tblPrEx>
          <w:tblCellMar>
            <w:top w:w="0" w:type="dxa"/>
            <w:left w:w="0" w:type="dxa"/>
            <w:bottom w:w="0" w:type="dxa"/>
            <w:right w:w="0" w:type="dxa"/>
          </w:tblCellMar>
        </w:tblPrEx>
        <w:trPr>
          <w:trHeight w:hRule="exact" w:val="200"/>
        </w:trPr>
        <w:tc>
          <w:tcPr>
            <w:tcW w:w="3119" w:type="dxa"/>
          </w:tcPr>
          <w:p w:rsidR="001C7BF9" w:rsidRPr="00C9680B" w:rsidRDefault="001C7BF9">
            <w:pPr>
              <w:pStyle w:val="Tabell"/>
              <w:keepNext/>
              <w:widowControl w:val="0"/>
              <w:spacing w:line="240" w:lineRule="auto"/>
            </w:pPr>
            <w:r w:rsidRPr="00C9680B">
              <w:t>Höjt reseavdrag till 16 kr/mil</w:t>
            </w:r>
          </w:p>
        </w:tc>
        <w:tc>
          <w:tcPr>
            <w:tcW w:w="680" w:type="dxa"/>
          </w:tcPr>
          <w:p w:rsidR="001C7BF9" w:rsidRPr="00C9680B" w:rsidRDefault="001C7BF9">
            <w:pPr>
              <w:pStyle w:val="Tabell"/>
              <w:keepNext/>
              <w:widowControl w:val="0"/>
              <w:spacing w:line="240" w:lineRule="auto"/>
              <w:ind w:right="57"/>
              <w:jc w:val="right"/>
            </w:pPr>
            <w:r w:rsidRPr="00C9680B">
              <w:t>0,00</w:t>
            </w:r>
          </w:p>
        </w:tc>
        <w:tc>
          <w:tcPr>
            <w:tcW w:w="680" w:type="dxa"/>
          </w:tcPr>
          <w:p w:rsidR="001C7BF9" w:rsidRPr="00C9680B" w:rsidRDefault="001C7BF9">
            <w:pPr>
              <w:pStyle w:val="Tabell"/>
              <w:keepNext/>
              <w:widowControl w:val="0"/>
              <w:spacing w:line="240" w:lineRule="auto"/>
              <w:ind w:right="57"/>
              <w:jc w:val="right"/>
            </w:pPr>
            <w:r w:rsidRPr="00C9680B">
              <w:t>0,25</w:t>
            </w:r>
          </w:p>
        </w:tc>
        <w:tc>
          <w:tcPr>
            <w:tcW w:w="680" w:type="dxa"/>
          </w:tcPr>
          <w:p w:rsidR="001C7BF9" w:rsidRPr="00C9680B" w:rsidRDefault="001C7BF9">
            <w:pPr>
              <w:pStyle w:val="Tabell"/>
              <w:keepNext/>
              <w:widowControl w:val="0"/>
              <w:spacing w:line="240" w:lineRule="auto"/>
              <w:ind w:right="57"/>
              <w:jc w:val="right"/>
            </w:pPr>
            <w:r w:rsidRPr="00C9680B">
              <w:t>0,25</w:t>
            </w:r>
          </w:p>
        </w:tc>
        <w:tc>
          <w:tcPr>
            <w:tcW w:w="737" w:type="dxa"/>
          </w:tcPr>
          <w:p w:rsidR="001C7BF9" w:rsidRPr="00C9680B" w:rsidRDefault="001C7BF9">
            <w:pPr>
              <w:pStyle w:val="Tabell"/>
              <w:keepNext/>
              <w:widowControl w:val="0"/>
              <w:spacing w:line="240" w:lineRule="auto"/>
              <w:ind w:right="57"/>
              <w:jc w:val="right"/>
            </w:pPr>
            <w:r w:rsidRPr="00C9680B">
              <w:t>0,25</w:t>
            </w:r>
          </w:p>
        </w:tc>
      </w:tr>
      <w:tr w:rsidR="00000000" w:rsidRPr="00C9680B">
        <w:tblPrEx>
          <w:tblCellMar>
            <w:top w:w="0" w:type="dxa"/>
            <w:left w:w="0" w:type="dxa"/>
            <w:bottom w:w="0" w:type="dxa"/>
            <w:right w:w="0" w:type="dxa"/>
          </w:tblCellMar>
        </w:tblPrEx>
        <w:trPr>
          <w:trHeight w:hRule="exact" w:val="200"/>
        </w:trPr>
        <w:tc>
          <w:tcPr>
            <w:tcW w:w="3119" w:type="dxa"/>
          </w:tcPr>
          <w:p w:rsidR="001C7BF9" w:rsidRPr="00C9680B" w:rsidRDefault="001C7BF9">
            <w:pPr>
              <w:pStyle w:val="Tabell"/>
              <w:keepNext/>
              <w:widowControl w:val="0"/>
              <w:spacing w:line="240" w:lineRule="auto"/>
            </w:pPr>
            <w:r w:rsidRPr="00C9680B">
              <w:t>Övrigt</w:t>
            </w:r>
          </w:p>
        </w:tc>
        <w:tc>
          <w:tcPr>
            <w:tcW w:w="680" w:type="dxa"/>
          </w:tcPr>
          <w:p w:rsidR="001C7BF9" w:rsidRPr="00C9680B" w:rsidRDefault="001C7BF9">
            <w:pPr>
              <w:pStyle w:val="Tabell"/>
              <w:keepNext/>
              <w:widowControl w:val="0"/>
              <w:spacing w:line="240" w:lineRule="auto"/>
              <w:ind w:right="57"/>
              <w:jc w:val="right"/>
            </w:pPr>
            <w:r w:rsidRPr="00C9680B">
              <w:t>0,28</w:t>
            </w:r>
          </w:p>
        </w:tc>
        <w:tc>
          <w:tcPr>
            <w:tcW w:w="680" w:type="dxa"/>
          </w:tcPr>
          <w:p w:rsidR="001C7BF9" w:rsidRPr="00C9680B" w:rsidRDefault="001C7BF9">
            <w:pPr>
              <w:pStyle w:val="Tabell"/>
              <w:keepNext/>
              <w:widowControl w:val="0"/>
              <w:spacing w:line="240" w:lineRule="auto"/>
              <w:ind w:right="57"/>
              <w:jc w:val="right"/>
            </w:pPr>
            <w:r w:rsidRPr="00C9680B">
              <w:t>0,29</w:t>
            </w:r>
          </w:p>
        </w:tc>
        <w:tc>
          <w:tcPr>
            <w:tcW w:w="680" w:type="dxa"/>
          </w:tcPr>
          <w:p w:rsidR="001C7BF9" w:rsidRPr="00C9680B" w:rsidRDefault="001C7BF9">
            <w:pPr>
              <w:pStyle w:val="Tabell"/>
              <w:keepNext/>
              <w:widowControl w:val="0"/>
              <w:spacing w:line="240" w:lineRule="auto"/>
              <w:ind w:right="57"/>
              <w:jc w:val="right"/>
            </w:pPr>
            <w:r w:rsidRPr="00C9680B">
              <w:t>0,29</w:t>
            </w:r>
          </w:p>
        </w:tc>
        <w:tc>
          <w:tcPr>
            <w:tcW w:w="737" w:type="dxa"/>
          </w:tcPr>
          <w:p w:rsidR="001C7BF9" w:rsidRPr="00C9680B" w:rsidRDefault="001C7BF9">
            <w:pPr>
              <w:pStyle w:val="Tabell"/>
              <w:keepNext/>
              <w:widowControl w:val="0"/>
              <w:spacing w:line="240" w:lineRule="auto"/>
              <w:ind w:right="57"/>
              <w:jc w:val="right"/>
            </w:pPr>
            <w:r w:rsidRPr="00C9680B">
              <w:t>0,29</w:t>
            </w:r>
          </w:p>
        </w:tc>
      </w:tr>
      <w:tr w:rsidR="00000000" w:rsidRPr="00C9680B">
        <w:tblPrEx>
          <w:tblCellMar>
            <w:top w:w="0" w:type="dxa"/>
            <w:left w:w="0" w:type="dxa"/>
            <w:bottom w:w="0" w:type="dxa"/>
            <w:right w:w="0" w:type="dxa"/>
          </w:tblCellMar>
        </w:tblPrEx>
        <w:tc>
          <w:tcPr>
            <w:tcW w:w="3119" w:type="dxa"/>
          </w:tcPr>
          <w:p w:rsidR="001C7BF9" w:rsidRPr="00C9680B" w:rsidRDefault="001C7BF9">
            <w:pPr>
              <w:pStyle w:val="Tabell"/>
              <w:keepNext/>
              <w:widowControl w:val="0"/>
              <w:spacing w:before="60"/>
            </w:pPr>
            <w:r w:rsidRPr="00C9680B">
              <w:t>Grön skatteväxling innefattande</w:t>
            </w:r>
          </w:p>
        </w:tc>
        <w:tc>
          <w:tcPr>
            <w:tcW w:w="680" w:type="dxa"/>
          </w:tcPr>
          <w:p w:rsidR="001C7BF9" w:rsidRPr="00C9680B" w:rsidRDefault="001C7BF9">
            <w:pPr>
              <w:pStyle w:val="Tabell"/>
              <w:keepNext/>
              <w:widowControl w:val="0"/>
              <w:spacing w:before="60"/>
              <w:ind w:right="57"/>
              <w:jc w:val="right"/>
            </w:pPr>
            <w:r w:rsidRPr="00C9680B">
              <w:t>-0,14</w:t>
            </w:r>
          </w:p>
        </w:tc>
        <w:tc>
          <w:tcPr>
            <w:tcW w:w="680" w:type="dxa"/>
          </w:tcPr>
          <w:p w:rsidR="001C7BF9" w:rsidRPr="00C9680B" w:rsidRDefault="001C7BF9">
            <w:pPr>
              <w:pStyle w:val="Tabell"/>
              <w:keepNext/>
              <w:widowControl w:val="0"/>
              <w:spacing w:before="60"/>
              <w:ind w:right="57"/>
              <w:jc w:val="right"/>
            </w:pPr>
            <w:r w:rsidRPr="00C9680B">
              <w:t>0,30</w:t>
            </w:r>
          </w:p>
        </w:tc>
        <w:tc>
          <w:tcPr>
            <w:tcW w:w="680" w:type="dxa"/>
          </w:tcPr>
          <w:p w:rsidR="001C7BF9" w:rsidRPr="00C9680B" w:rsidRDefault="001C7BF9">
            <w:pPr>
              <w:pStyle w:val="Tabell"/>
              <w:keepNext/>
              <w:widowControl w:val="0"/>
              <w:spacing w:before="60"/>
              <w:ind w:right="57"/>
              <w:jc w:val="right"/>
            </w:pPr>
            <w:r w:rsidRPr="00C9680B">
              <w:t>0,36</w:t>
            </w:r>
          </w:p>
        </w:tc>
        <w:tc>
          <w:tcPr>
            <w:tcW w:w="737" w:type="dxa"/>
          </w:tcPr>
          <w:p w:rsidR="001C7BF9" w:rsidRPr="00C9680B" w:rsidRDefault="001C7BF9">
            <w:pPr>
              <w:pStyle w:val="Tabell"/>
              <w:keepNext/>
              <w:widowControl w:val="0"/>
              <w:spacing w:before="60"/>
              <w:ind w:right="57"/>
              <w:jc w:val="right"/>
            </w:pPr>
            <w:r w:rsidRPr="00C9680B">
              <w:t>0,26</w:t>
            </w:r>
          </w:p>
        </w:tc>
      </w:tr>
      <w:tr w:rsidR="00000000" w:rsidRPr="00C9680B">
        <w:tblPrEx>
          <w:tblCellMar>
            <w:top w:w="0" w:type="dxa"/>
            <w:left w:w="0" w:type="dxa"/>
            <w:bottom w:w="0" w:type="dxa"/>
            <w:right w:w="0" w:type="dxa"/>
          </w:tblCellMar>
        </w:tblPrEx>
        <w:tc>
          <w:tcPr>
            <w:tcW w:w="3119" w:type="dxa"/>
          </w:tcPr>
          <w:p w:rsidR="001C7BF9" w:rsidRPr="00C9680B" w:rsidRDefault="001C7BF9">
            <w:pPr>
              <w:pStyle w:val="Tabell"/>
              <w:keepNext/>
              <w:widowControl w:val="0"/>
              <w:spacing w:line="160" w:lineRule="exact"/>
              <w:rPr>
                <w:i/>
                <w:sz w:val="15"/>
              </w:rPr>
            </w:pPr>
            <w:r w:rsidRPr="00C9680B">
              <w:rPr>
                <w:i/>
                <w:sz w:val="15"/>
              </w:rPr>
              <w:t xml:space="preserve">     Höjt grundavdrag (+1 200 kr)</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2,57</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2,80</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2,80</w:t>
            </w:r>
          </w:p>
        </w:tc>
        <w:tc>
          <w:tcPr>
            <w:tcW w:w="737" w:type="dxa"/>
          </w:tcPr>
          <w:p w:rsidR="001C7BF9" w:rsidRPr="00C9680B" w:rsidRDefault="001C7BF9">
            <w:pPr>
              <w:pStyle w:val="Tabell"/>
              <w:keepNext/>
              <w:widowControl w:val="0"/>
              <w:spacing w:line="160" w:lineRule="exact"/>
              <w:ind w:right="57"/>
              <w:jc w:val="right"/>
              <w:rPr>
                <w:i/>
                <w:sz w:val="15"/>
              </w:rPr>
            </w:pPr>
            <w:r w:rsidRPr="00C9680B">
              <w:rPr>
                <w:i/>
                <w:sz w:val="15"/>
              </w:rPr>
              <w:t>2,80</w:t>
            </w:r>
          </w:p>
        </w:tc>
      </w:tr>
      <w:tr w:rsidR="00000000" w:rsidRPr="00C9680B">
        <w:tblPrEx>
          <w:tblCellMar>
            <w:top w:w="0" w:type="dxa"/>
            <w:left w:w="0" w:type="dxa"/>
            <w:bottom w:w="0" w:type="dxa"/>
            <w:right w:w="0" w:type="dxa"/>
          </w:tblCellMar>
        </w:tblPrEx>
        <w:tc>
          <w:tcPr>
            <w:tcW w:w="3119" w:type="dxa"/>
          </w:tcPr>
          <w:p w:rsidR="001C7BF9" w:rsidRPr="00C9680B" w:rsidRDefault="001C7BF9">
            <w:pPr>
              <w:pStyle w:val="Tabell"/>
              <w:keepNext/>
              <w:widowControl w:val="0"/>
              <w:spacing w:line="160" w:lineRule="exact"/>
              <w:rPr>
                <w:i/>
                <w:sz w:val="15"/>
              </w:rPr>
            </w:pPr>
            <w:r w:rsidRPr="00C9680B">
              <w:rPr>
                <w:i/>
                <w:sz w:val="15"/>
              </w:rPr>
              <w:t xml:space="preserve">     Sänkt allmän löneavgift med 0,1 %-enheter</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0,47</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0,45</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0,40</w:t>
            </w:r>
          </w:p>
        </w:tc>
        <w:tc>
          <w:tcPr>
            <w:tcW w:w="737" w:type="dxa"/>
          </w:tcPr>
          <w:p w:rsidR="001C7BF9" w:rsidRPr="00C9680B" w:rsidRDefault="001C7BF9">
            <w:pPr>
              <w:pStyle w:val="Tabell"/>
              <w:keepNext/>
              <w:widowControl w:val="0"/>
              <w:spacing w:line="160" w:lineRule="exact"/>
              <w:ind w:right="57"/>
              <w:jc w:val="right"/>
              <w:rPr>
                <w:i/>
                <w:sz w:val="15"/>
              </w:rPr>
            </w:pPr>
            <w:r w:rsidRPr="00C9680B">
              <w:rPr>
                <w:i/>
                <w:sz w:val="15"/>
              </w:rPr>
              <w:t>0,45</w:t>
            </w:r>
          </w:p>
        </w:tc>
      </w:tr>
      <w:tr w:rsidR="00000000" w:rsidRPr="00C9680B">
        <w:tblPrEx>
          <w:tblCellMar>
            <w:top w:w="0" w:type="dxa"/>
            <w:left w:w="0" w:type="dxa"/>
            <w:bottom w:w="0" w:type="dxa"/>
            <w:right w:w="0" w:type="dxa"/>
          </w:tblCellMar>
        </w:tblPrEx>
        <w:trPr>
          <w:trHeight w:hRule="exact" w:val="200"/>
        </w:trPr>
        <w:tc>
          <w:tcPr>
            <w:tcW w:w="3119" w:type="dxa"/>
          </w:tcPr>
          <w:p w:rsidR="001C7BF9" w:rsidRPr="00C9680B" w:rsidRDefault="001C7BF9">
            <w:pPr>
              <w:pStyle w:val="Tabell"/>
              <w:keepNext/>
              <w:widowControl w:val="0"/>
              <w:spacing w:line="160" w:lineRule="exact"/>
              <w:rPr>
                <w:i/>
                <w:sz w:val="15"/>
              </w:rPr>
            </w:pPr>
            <w:r w:rsidRPr="00C9680B">
              <w:rPr>
                <w:i/>
                <w:sz w:val="15"/>
              </w:rPr>
              <w:t xml:space="preserve">     Höjda miljöskatter (på el, CO</w:t>
            </w:r>
            <w:r w:rsidRPr="00C9680B">
              <w:rPr>
                <w:i/>
                <w:sz w:val="15"/>
                <w:vertAlign w:val="subscript"/>
              </w:rPr>
              <w:t>2</w:t>
            </w:r>
            <w:r w:rsidRPr="00C9680B">
              <w:rPr>
                <w:i/>
                <w:sz w:val="15"/>
              </w:rPr>
              <w:t xml:space="preserve"> och diesel)</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-3,18</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-2,95</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-2,84</w:t>
            </w:r>
          </w:p>
        </w:tc>
        <w:tc>
          <w:tcPr>
            <w:tcW w:w="737" w:type="dxa"/>
          </w:tcPr>
          <w:p w:rsidR="001C7BF9" w:rsidRPr="00C9680B" w:rsidRDefault="001C7BF9">
            <w:pPr>
              <w:pStyle w:val="Tabell"/>
              <w:keepNext/>
              <w:widowControl w:val="0"/>
              <w:spacing w:line="160" w:lineRule="exact"/>
              <w:ind w:right="57"/>
              <w:jc w:val="right"/>
              <w:rPr>
                <w:i/>
                <w:sz w:val="15"/>
              </w:rPr>
            </w:pPr>
            <w:r w:rsidRPr="00C9680B">
              <w:rPr>
                <w:i/>
                <w:sz w:val="15"/>
              </w:rPr>
              <w:t>-2,99</w:t>
            </w:r>
          </w:p>
        </w:tc>
      </w:tr>
      <w:tr w:rsidR="00000000" w:rsidRPr="00C9680B">
        <w:tblPrEx>
          <w:tblCellMar>
            <w:top w:w="0" w:type="dxa"/>
            <w:left w:w="0" w:type="dxa"/>
            <w:bottom w:w="0" w:type="dxa"/>
            <w:right w:w="0" w:type="dxa"/>
          </w:tblCellMar>
        </w:tblPrEx>
        <w:tc>
          <w:tcPr>
            <w:tcW w:w="3119" w:type="dxa"/>
          </w:tcPr>
          <w:p w:rsidR="001C7BF9" w:rsidRPr="00C9680B" w:rsidRDefault="001C7BF9">
            <w:pPr>
              <w:pStyle w:val="Tabell"/>
              <w:keepNext/>
              <w:widowControl w:val="0"/>
              <w:spacing w:before="60"/>
            </w:pPr>
            <w:r w:rsidRPr="00C9680B">
              <w:t>Kompensation för höjda tax</w:t>
            </w:r>
            <w:r w:rsidRPr="00C9680B">
              <w:t>e</w:t>
            </w:r>
            <w:r w:rsidRPr="00C9680B">
              <w:t>ringsvärden</w:t>
            </w:r>
          </w:p>
        </w:tc>
        <w:tc>
          <w:tcPr>
            <w:tcW w:w="680" w:type="dxa"/>
          </w:tcPr>
          <w:p w:rsidR="001C7BF9" w:rsidRPr="00C9680B" w:rsidRDefault="001C7BF9">
            <w:pPr>
              <w:pStyle w:val="Tabell"/>
              <w:keepNext/>
              <w:widowControl w:val="0"/>
              <w:spacing w:before="60"/>
              <w:ind w:right="57"/>
              <w:jc w:val="right"/>
            </w:pPr>
            <w:r w:rsidRPr="00C9680B">
              <w:t>3,37</w:t>
            </w:r>
          </w:p>
        </w:tc>
        <w:tc>
          <w:tcPr>
            <w:tcW w:w="680" w:type="dxa"/>
          </w:tcPr>
          <w:p w:rsidR="001C7BF9" w:rsidRPr="00C9680B" w:rsidRDefault="001C7BF9">
            <w:pPr>
              <w:pStyle w:val="Tabell"/>
              <w:keepNext/>
              <w:widowControl w:val="0"/>
              <w:spacing w:before="60"/>
              <w:ind w:right="57"/>
              <w:jc w:val="right"/>
            </w:pPr>
            <w:r w:rsidRPr="00C9680B">
              <w:t>8,47</w:t>
            </w:r>
          </w:p>
        </w:tc>
        <w:tc>
          <w:tcPr>
            <w:tcW w:w="680" w:type="dxa"/>
          </w:tcPr>
          <w:p w:rsidR="001C7BF9" w:rsidRPr="00C9680B" w:rsidRDefault="001C7BF9">
            <w:pPr>
              <w:pStyle w:val="Tabell"/>
              <w:keepNext/>
              <w:widowControl w:val="0"/>
              <w:spacing w:before="60"/>
              <w:ind w:right="57"/>
              <w:jc w:val="right"/>
            </w:pPr>
            <w:r w:rsidRPr="00C9680B">
              <w:t>13,07</w:t>
            </w:r>
          </w:p>
        </w:tc>
        <w:tc>
          <w:tcPr>
            <w:tcW w:w="737" w:type="dxa"/>
          </w:tcPr>
          <w:p w:rsidR="001C7BF9" w:rsidRPr="00C9680B" w:rsidRDefault="001C7BF9">
            <w:pPr>
              <w:pStyle w:val="Tabell"/>
              <w:keepNext/>
              <w:widowControl w:val="0"/>
              <w:spacing w:before="60"/>
              <w:ind w:right="57"/>
              <w:jc w:val="right"/>
            </w:pPr>
            <w:r w:rsidRPr="00C9680B">
              <w:t>8,83</w:t>
            </w:r>
          </w:p>
        </w:tc>
      </w:tr>
      <w:tr w:rsidR="00000000" w:rsidRPr="00C9680B">
        <w:tblPrEx>
          <w:tblCellMar>
            <w:top w:w="0" w:type="dxa"/>
            <w:left w:w="0" w:type="dxa"/>
            <w:bottom w:w="0" w:type="dxa"/>
            <w:right w:w="0" w:type="dxa"/>
          </w:tblCellMar>
        </w:tblPrEx>
        <w:tc>
          <w:tcPr>
            <w:tcW w:w="3119" w:type="dxa"/>
          </w:tcPr>
          <w:p w:rsidR="001C7BF9" w:rsidRPr="00C9680B" w:rsidRDefault="001C7BF9">
            <w:pPr>
              <w:pStyle w:val="Tabell"/>
              <w:keepNext/>
              <w:widowControl w:val="0"/>
              <w:spacing w:line="160" w:lineRule="exact"/>
              <w:rPr>
                <w:i/>
                <w:sz w:val="15"/>
              </w:rPr>
            </w:pPr>
            <w:r w:rsidRPr="00C9680B">
              <w:rPr>
                <w:i/>
                <w:sz w:val="15"/>
              </w:rPr>
              <w:t xml:space="preserve">     Sänkt fastighetsskatt för småhus till 1,2 %</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1,07</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2,89</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2,87</w:t>
            </w:r>
          </w:p>
        </w:tc>
        <w:tc>
          <w:tcPr>
            <w:tcW w:w="737" w:type="dxa"/>
          </w:tcPr>
          <w:p w:rsidR="001C7BF9" w:rsidRPr="00C9680B" w:rsidRDefault="001C7BF9">
            <w:pPr>
              <w:pStyle w:val="Tabell"/>
              <w:keepNext/>
              <w:widowControl w:val="0"/>
              <w:spacing w:line="160" w:lineRule="exact"/>
              <w:ind w:right="57"/>
              <w:jc w:val="right"/>
              <w:rPr>
                <w:i/>
                <w:sz w:val="15"/>
              </w:rPr>
            </w:pPr>
            <w:r w:rsidRPr="00C9680B">
              <w:rPr>
                <w:i/>
                <w:sz w:val="15"/>
              </w:rPr>
              <w:t>2,87</w:t>
            </w:r>
          </w:p>
        </w:tc>
      </w:tr>
      <w:tr w:rsidR="00000000" w:rsidRPr="00C9680B">
        <w:tblPrEx>
          <w:tblCellMar>
            <w:top w:w="0" w:type="dxa"/>
            <w:left w:w="0" w:type="dxa"/>
            <w:bottom w:w="0" w:type="dxa"/>
            <w:right w:w="0" w:type="dxa"/>
          </w:tblCellMar>
        </w:tblPrEx>
        <w:tc>
          <w:tcPr>
            <w:tcW w:w="3119" w:type="dxa"/>
          </w:tcPr>
          <w:p w:rsidR="001C7BF9" w:rsidRPr="00C9680B" w:rsidRDefault="001C7BF9">
            <w:pPr>
              <w:pStyle w:val="Tabell"/>
              <w:keepNext/>
              <w:widowControl w:val="0"/>
              <w:spacing w:line="160" w:lineRule="exact"/>
              <w:rPr>
                <w:i/>
                <w:sz w:val="15"/>
              </w:rPr>
            </w:pPr>
            <w:r w:rsidRPr="00C9680B">
              <w:rPr>
                <w:i/>
                <w:sz w:val="15"/>
              </w:rPr>
              <w:t xml:space="preserve">     Sänkt fastighetsskatt för hyreshus till 0,7 %</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3,71</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8,27</w:t>
            </w:r>
          </w:p>
        </w:tc>
        <w:tc>
          <w:tcPr>
            <w:tcW w:w="737" w:type="dxa"/>
          </w:tcPr>
          <w:p w:rsidR="001C7BF9" w:rsidRPr="00C9680B" w:rsidRDefault="001C7BF9">
            <w:pPr>
              <w:pStyle w:val="Tabell"/>
              <w:keepNext/>
              <w:widowControl w:val="0"/>
              <w:spacing w:line="160" w:lineRule="exact"/>
              <w:ind w:right="57"/>
              <w:jc w:val="right"/>
              <w:rPr>
                <w:i/>
                <w:sz w:val="15"/>
              </w:rPr>
            </w:pPr>
            <w:r w:rsidRPr="00C9680B">
              <w:rPr>
                <w:i/>
                <w:sz w:val="15"/>
              </w:rPr>
              <w:t>3,70</w:t>
            </w:r>
          </w:p>
        </w:tc>
      </w:tr>
      <w:tr w:rsidR="00000000" w:rsidRPr="00C9680B">
        <w:tblPrEx>
          <w:tblCellMar>
            <w:top w:w="0" w:type="dxa"/>
            <w:left w:w="0" w:type="dxa"/>
            <w:bottom w:w="0" w:type="dxa"/>
            <w:right w:w="0" w:type="dxa"/>
          </w:tblCellMar>
        </w:tblPrEx>
        <w:tc>
          <w:tcPr>
            <w:tcW w:w="3119" w:type="dxa"/>
          </w:tcPr>
          <w:p w:rsidR="001C7BF9" w:rsidRPr="00C9680B" w:rsidRDefault="001C7BF9">
            <w:pPr>
              <w:pStyle w:val="Tabell"/>
              <w:keepNext/>
              <w:widowControl w:val="0"/>
              <w:spacing w:line="160" w:lineRule="exact"/>
              <w:rPr>
                <w:i/>
                <w:sz w:val="15"/>
              </w:rPr>
            </w:pPr>
            <w:r w:rsidRPr="00C9680B">
              <w:rPr>
                <w:i/>
                <w:sz w:val="15"/>
              </w:rPr>
              <w:t xml:space="preserve">     Begränsningsregel fasti</w:t>
            </w:r>
            <w:r w:rsidRPr="00C9680B">
              <w:rPr>
                <w:i/>
                <w:sz w:val="15"/>
              </w:rPr>
              <w:t>g</w:t>
            </w:r>
            <w:r w:rsidRPr="00C9680B">
              <w:rPr>
                <w:i/>
                <w:sz w:val="15"/>
              </w:rPr>
              <w:t>hetsskatt</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0,15</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0,41</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0,40</w:t>
            </w:r>
          </w:p>
        </w:tc>
        <w:tc>
          <w:tcPr>
            <w:tcW w:w="737" w:type="dxa"/>
          </w:tcPr>
          <w:p w:rsidR="001C7BF9" w:rsidRPr="00C9680B" w:rsidRDefault="001C7BF9">
            <w:pPr>
              <w:pStyle w:val="Tabell"/>
              <w:keepNext/>
              <w:widowControl w:val="0"/>
              <w:spacing w:line="160" w:lineRule="exact"/>
              <w:ind w:right="57"/>
              <w:jc w:val="right"/>
              <w:rPr>
                <w:i/>
                <w:sz w:val="15"/>
              </w:rPr>
            </w:pPr>
            <w:r w:rsidRPr="00C9680B">
              <w:rPr>
                <w:i/>
                <w:sz w:val="15"/>
              </w:rPr>
              <w:t>0,40</w:t>
            </w:r>
          </w:p>
        </w:tc>
      </w:tr>
      <w:tr w:rsidR="00000000" w:rsidRPr="00C9680B">
        <w:tblPrEx>
          <w:tblCellMar>
            <w:top w:w="0" w:type="dxa"/>
            <w:left w:w="0" w:type="dxa"/>
            <w:bottom w:w="0" w:type="dxa"/>
            <w:right w:w="0" w:type="dxa"/>
          </w:tblCellMar>
        </w:tblPrEx>
        <w:tc>
          <w:tcPr>
            <w:tcW w:w="3119" w:type="dxa"/>
          </w:tcPr>
          <w:p w:rsidR="001C7BF9" w:rsidRPr="00C9680B" w:rsidRDefault="001C7BF9">
            <w:pPr>
              <w:pStyle w:val="Tabell"/>
              <w:keepNext/>
              <w:widowControl w:val="0"/>
              <w:spacing w:line="160" w:lineRule="exact"/>
              <w:rPr>
                <w:i/>
                <w:sz w:val="15"/>
              </w:rPr>
            </w:pPr>
            <w:r w:rsidRPr="00C9680B">
              <w:rPr>
                <w:i/>
                <w:sz w:val="15"/>
              </w:rPr>
              <w:t xml:space="preserve">     Höjd reavinstskatt för pr</w:t>
            </w:r>
            <w:r w:rsidRPr="00C9680B">
              <w:rPr>
                <w:i/>
                <w:sz w:val="15"/>
              </w:rPr>
              <w:t>i</w:t>
            </w:r>
            <w:r w:rsidRPr="00C9680B">
              <w:rPr>
                <w:i/>
                <w:sz w:val="15"/>
              </w:rPr>
              <w:t>vatbostäder</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-1,30</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-1,30</w:t>
            </w:r>
          </w:p>
        </w:tc>
        <w:tc>
          <w:tcPr>
            <w:tcW w:w="737" w:type="dxa"/>
          </w:tcPr>
          <w:p w:rsidR="001C7BF9" w:rsidRPr="00C9680B" w:rsidRDefault="001C7BF9">
            <w:pPr>
              <w:pStyle w:val="Tabell"/>
              <w:keepNext/>
              <w:widowControl w:val="0"/>
              <w:spacing w:line="160" w:lineRule="exact"/>
              <w:ind w:right="57"/>
              <w:jc w:val="right"/>
              <w:rPr>
                <w:i/>
                <w:sz w:val="15"/>
              </w:rPr>
            </w:pPr>
            <w:r w:rsidRPr="00C9680B">
              <w:rPr>
                <w:i/>
                <w:sz w:val="15"/>
              </w:rPr>
              <w:t>-1,00</w:t>
            </w:r>
          </w:p>
        </w:tc>
      </w:tr>
      <w:tr w:rsidR="00000000" w:rsidRPr="00C9680B">
        <w:tblPrEx>
          <w:tblCellMar>
            <w:top w:w="0" w:type="dxa"/>
            <w:left w:w="0" w:type="dxa"/>
            <w:bottom w:w="0" w:type="dxa"/>
            <w:right w:w="0" w:type="dxa"/>
          </w:tblCellMar>
        </w:tblPrEx>
        <w:trPr>
          <w:trHeight w:hRule="exact" w:val="200"/>
        </w:trPr>
        <w:tc>
          <w:tcPr>
            <w:tcW w:w="3119" w:type="dxa"/>
          </w:tcPr>
          <w:p w:rsidR="001C7BF9" w:rsidRPr="00C9680B" w:rsidRDefault="001C7BF9">
            <w:pPr>
              <w:pStyle w:val="Tabell"/>
              <w:keepNext/>
              <w:widowControl w:val="0"/>
              <w:spacing w:line="160" w:lineRule="exact"/>
              <w:rPr>
                <w:i/>
                <w:sz w:val="15"/>
              </w:rPr>
            </w:pPr>
            <w:r w:rsidRPr="00C9680B">
              <w:rPr>
                <w:i/>
                <w:sz w:val="15"/>
              </w:rPr>
              <w:t xml:space="preserve">     Höjda fribelopp i förmöge</w:t>
            </w:r>
            <w:r w:rsidRPr="00C9680B">
              <w:rPr>
                <w:i/>
                <w:sz w:val="15"/>
              </w:rPr>
              <w:t>n</w:t>
            </w:r>
            <w:r w:rsidRPr="00C9680B">
              <w:rPr>
                <w:i/>
                <w:sz w:val="15"/>
              </w:rPr>
              <w:t>hetsskatten</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2,15</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2,76</w:t>
            </w:r>
          </w:p>
        </w:tc>
        <w:tc>
          <w:tcPr>
            <w:tcW w:w="680" w:type="dxa"/>
          </w:tcPr>
          <w:p w:rsidR="001C7BF9" w:rsidRPr="00C9680B" w:rsidRDefault="001C7BF9">
            <w:pPr>
              <w:pStyle w:val="Tabell"/>
              <w:keepNext/>
              <w:widowControl w:val="0"/>
              <w:spacing w:line="160" w:lineRule="exact"/>
              <w:ind w:right="57"/>
              <w:jc w:val="right"/>
              <w:rPr>
                <w:i/>
                <w:sz w:val="15"/>
              </w:rPr>
            </w:pPr>
            <w:r w:rsidRPr="00C9680B">
              <w:rPr>
                <w:i/>
                <w:sz w:val="15"/>
              </w:rPr>
              <w:t>2,83</w:t>
            </w:r>
          </w:p>
        </w:tc>
        <w:tc>
          <w:tcPr>
            <w:tcW w:w="737" w:type="dxa"/>
          </w:tcPr>
          <w:p w:rsidR="001C7BF9" w:rsidRPr="00C9680B" w:rsidRDefault="001C7BF9">
            <w:pPr>
              <w:pStyle w:val="Tabell"/>
              <w:keepNext/>
              <w:widowControl w:val="0"/>
              <w:spacing w:line="160" w:lineRule="exact"/>
              <w:ind w:right="57"/>
              <w:jc w:val="right"/>
              <w:rPr>
                <w:i/>
                <w:sz w:val="15"/>
              </w:rPr>
            </w:pPr>
            <w:r w:rsidRPr="00C9680B">
              <w:rPr>
                <w:i/>
                <w:sz w:val="15"/>
              </w:rPr>
              <w:t>2,86</w:t>
            </w:r>
          </w:p>
        </w:tc>
      </w:tr>
      <w:tr w:rsidR="00000000" w:rsidRPr="00C9680B">
        <w:tblPrEx>
          <w:tblCellMar>
            <w:top w:w="0" w:type="dxa"/>
            <w:left w:w="0" w:type="dxa"/>
            <w:bottom w:w="0" w:type="dxa"/>
            <w:right w:w="0" w:type="dxa"/>
          </w:tblCellMar>
        </w:tblPrEx>
        <w:tc>
          <w:tcPr>
            <w:tcW w:w="3119" w:type="dxa"/>
          </w:tcPr>
          <w:p w:rsidR="001C7BF9" w:rsidRPr="00C9680B" w:rsidRDefault="001C7BF9">
            <w:pPr>
              <w:pStyle w:val="Tabell"/>
              <w:keepNext/>
              <w:widowControl w:val="0"/>
              <w:rPr>
                <w:b/>
              </w:rPr>
            </w:pPr>
            <w:r w:rsidRPr="00C9680B">
              <w:rPr>
                <w:b/>
              </w:rPr>
              <w:t>Summa skattesänkningar i BP för 2001</w:t>
            </w:r>
          </w:p>
        </w:tc>
        <w:tc>
          <w:tcPr>
            <w:tcW w:w="680" w:type="dxa"/>
          </w:tcPr>
          <w:p w:rsidR="001C7BF9" w:rsidRPr="00C9680B" w:rsidRDefault="001C7BF9">
            <w:pPr>
              <w:pStyle w:val="Tabell"/>
              <w:keepNext/>
              <w:widowControl w:val="0"/>
              <w:ind w:right="57"/>
              <w:jc w:val="right"/>
              <w:rPr>
                <w:b/>
              </w:rPr>
            </w:pPr>
            <w:r w:rsidRPr="00C9680B">
              <w:rPr>
                <w:b/>
              </w:rPr>
              <w:t>16,89</w:t>
            </w:r>
          </w:p>
        </w:tc>
        <w:tc>
          <w:tcPr>
            <w:tcW w:w="680" w:type="dxa"/>
          </w:tcPr>
          <w:p w:rsidR="001C7BF9" w:rsidRPr="00C9680B" w:rsidRDefault="001C7BF9">
            <w:pPr>
              <w:pStyle w:val="Tabell"/>
              <w:keepNext/>
              <w:widowControl w:val="0"/>
              <w:ind w:right="57"/>
              <w:jc w:val="right"/>
              <w:rPr>
                <w:b/>
              </w:rPr>
            </w:pPr>
            <w:r w:rsidRPr="00C9680B">
              <w:rPr>
                <w:b/>
              </w:rPr>
              <w:t>23,92</w:t>
            </w:r>
          </w:p>
        </w:tc>
        <w:tc>
          <w:tcPr>
            <w:tcW w:w="680" w:type="dxa"/>
          </w:tcPr>
          <w:p w:rsidR="001C7BF9" w:rsidRPr="00C9680B" w:rsidRDefault="001C7BF9">
            <w:pPr>
              <w:pStyle w:val="Tabell"/>
              <w:keepNext/>
              <w:widowControl w:val="0"/>
              <w:ind w:right="57"/>
              <w:jc w:val="right"/>
              <w:rPr>
                <w:b/>
              </w:rPr>
            </w:pPr>
            <w:r w:rsidRPr="00C9680B">
              <w:rPr>
                <w:b/>
              </w:rPr>
              <w:t>29,78</w:t>
            </w:r>
          </w:p>
        </w:tc>
        <w:tc>
          <w:tcPr>
            <w:tcW w:w="737" w:type="dxa"/>
          </w:tcPr>
          <w:p w:rsidR="001C7BF9" w:rsidRPr="00C9680B" w:rsidRDefault="001C7BF9">
            <w:pPr>
              <w:pStyle w:val="Tabell"/>
              <w:keepNext/>
              <w:widowControl w:val="0"/>
              <w:ind w:right="57"/>
              <w:jc w:val="right"/>
              <w:rPr>
                <w:b/>
              </w:rPr>
            </w:pPr>
            <w:r w:rsidRPr="00C9680B">
              <w:rPr>
                <w:b/>
              </w:rPr>
              <w:t>23,80</w:t>
            </w:r>
          </w:p>
        </w:tc>
      </w:tr>
      <w:tr w:rsidR="00000000" w:rsidRPr="00C9680B">
        <w:tblPrEx>
          <w:tblCellMar>
            <w:top w:w="0" w:type="dxa"/>
            <w:left w:w="0" w:type="dxa"/>
            <w:bottom w:w="0" w:type="dxa"/>
            <w:right w:w="0" w:type="dxa"/>
          </w:tblCellMar>
        </w:tblPrEx>
        <w:trPr>
          <w:trHeight w:hRule="exact" w:val="60"/>
        </w:trPr>
        <w:tc>
          <w:tcPr>
            <w:tcW w:w="3119" w:type="dxa"/>
            <w:tcBorders>
              <w:bottom w:val="single" w:sz="4" w:space="0" w:color="auto"/>
            </w:tcBorders>
          </w:tcPr>
          <w:p w:rsidR="001C7BF9" w:rsidRPr="00C9680B" w:rsidRDefault="001C7BF9">
            <w:pPr>
              <w:pStyle w:val="Tabell"/>
              <w:keepNext/>
              <w:widowControl w:val="0"/>
              <w:rPr>
                <w:b/>
              </w:rPr>
            </w:pPr>
          </w:p>
        </w:tc>
        <w:tc>
          <w:tcPr>
            <w:tcW w:w="680" w:type="dxa"/>
            <w:tcBorders>
              <w:bottom w:val="single" w:sz="4" w:space="0" w:color="auto"/>
            </w:tcBorders>
          </w:tcPr>
          <w:p w:rsidR="001C7BF9" w:rsidRPr="00C9680B" w:rsidRDefault="001C7BF9">
            <w:pPr>
              <w:pStyle w:val="Tabell"/>
              <w:keepNext/>
              <w:widowControl w:val="0"/>
              <w:ind w:right="57"/>
              <w:jc w:val="right"/>
              <w:rPr>
                <w:b/>
              </w:rPr>
            </w:pPr>
          </w:p>
        </w:tc>
        <w:tc>
          <w:tcPr>
            <w:tcW w:w="680" w:type="dxa"/>
            <w:tcBorders>
              <w:bottom w:val="single" w:sz="4" w:space="0" w:color="auto"/>
            </w:tcBorders>
          </w:tcPr>
          <w:p w:rsidR="001C7BF9" w:rsidRPr="00C9680B" w:rsidRDefault="001C7BF9">
            <w:pPr>
              <w:pStyle w:val="Tabell"/>
              <w:keepNext/>
              <w:widowControl w:val="0"/>
              <w:ind w:right="57"/>
              <w:jc w:val="right"/>
              <w:rPr>
                <w:b/>
              </w:rPr>
            </w:pPr>
          </w:p>
        </w:tc>
        <w:tc>
          <w:tcPr>
            <w:tcW w:w="680" w:type="dxa"/>
            <w:tcBorders>
              <w:bottom w:val="single" w:sz="4" w:space="0" w:color="auto"/>
            </w:tcBorders>
          </w:tcPr>
          <w:p w:rsidR="001C7BF9" w:rsidRPr="00C9680B" w:rsidRDefault="001C7BF9">
            <w:pPr>
              <w:pStyle w:val="Tabell"/>
              <w:keepNext/>
              <w:widowControl w:val="0"/>
              <w:ind w:right="57"/>
              <w:jc w:val="right"/>
              <w:rPr>
                <w:b/>
              </w:rPr>
            </w:pPr>
          </w:p>
        </w:tc>
        <w:tc>
          <w:tcPr>
            <w:tcW w:w="737" w:type="dxa"/>
            <w:tcBorders>
              <w:bottom w:val="single" w:sz="4" w:space="0" w:color="auto"/>
            </w:tcBorders>
          </w:tcPr>
          <w:p w:rsidR="001C7BF9" w:rsidRPr="00C9680B" w:rsidRDefault="001C7BF9">
            <w:pPr>
              <w:pStyle w:val="Tabell"/>
              <w:keepNext/>
              <w:widowControl w:val="0"/>
              <w:ind w:right="57"/>
              <w:jc w:val="right"/>
              <w:rPr>
                <w:b/>
              </w:rPr>
            </w:pPr>
          </w:p>
        </w:tc>
      </w:tr>
    </w:tbl>
    <w:p w:rsidR="001C7BF9" w:rsidRPr="00C9680B" w:rsidRDefault="001C7BF9">
      <w:pPr>
        <w:keepLines/>
        <w:spacing w:line="60" w:lineRule="exact"/>
      </w:pPr>
    </w:p>
    <w:p w:rsidR="001C7BF9" w:rsidRPr="00C9680B" w:rsidRDefault="001C7BF9">
      <w:pPr>
        <w:spacing w:before="187"/>
      </w:pPr>
      <w:r w:rsidRPr="00C9680B">
        <w:t>Regeringens budgetförslag innehåller också satsningar som främst påverkar budgetens utgiftssida. Av de utgiftsreformer som träder i kraft 2001 har flera förslag redan presenterats i vårpropositionen eller i tidigare propositioner. Dit hör en ökad satsning på skola, vård och omsorg. Barnbidraget höjs och de sämst ställda pensionärerna tillförs ökade resurser. Första steget i maxtaxer</w:t>
      </w:r>
      <w:r w:rsidRPr="00C9680B">
        <w:t>e</w:t>
      </w:r>
      <w:r w:rsidRPr="00C9680B">
        <w:t>formen genomförs. Biståndet höjs och regeringens satsning på tillväxt, jä</w:t>
      </w:r>
      <w:r w:rsidRPr="00C9680B">
        <w:t>m</w:t>
      </w:r>
      <w:r w:rsidRPr="00C9680B">
        <w:t>ställdhet, rät</w:t>
      </w:r>
      <w:r w:rsidRPr="00C9680B">
        <w:t>t</w:t>
      </w:r>
      <w:r w:rsidRPr="00C9680B">
        <w:t>visa och full sysselsättning fullföljs.</w:t>
      </w:r>
    </w:p>
    <w:p w:rsidR="001C7BF9" w:rsidRPr="00C9680B" w:rsidRDefault="001C7BF9">
      <w:pPr>
        <w:pStyle w:val="Normaltindrag"/>
      </w:pPr>
      <w:r w:rsidRPr="00C9680B">
        <w:t>Tyngdpunkten i de nu föreslagna satsningarna ligger i ett resurstillskott till skolan, väghållning och tandvård. Framför allt skolan föreslås få kraftigt ökade resurser under åren framöver. Redan nästa år tillförs skolan 0,5 milja</w:t>
      </w:r>
      <w:r w:rsidRPr="00C9680B">
        <w:t>r</w:t>
      </w:r>
      <w:r w:rsidRPr="00C9680B">
        <w:t xml:space="preserve">der kronor och under de kommande åren ökar resurserna till skolan varje år med 1 miljard kronor. Från 2006 tillförs skolan 5 miljarder kronor mer än i dag. </w:t>
      </w:r>
    </w:p>
    <w:p w:rsidR="001C7BF9" w:rsidRPr="00C9680B" w:rsidRDefault="001C7BF9">
      <w:pPr>
        <w:pStyle w:val="Normaltindrag"/>
      </w:pPr>
      <w:r w:rsidRPr="00C9680B">
        <w:t>De nu föreslagna utgiftsökningarna uppgår under perioden 2001–2003 till 1,0, 2,1 respektive 4,5 miljarder kronor.</w:t>
      </w:r>
    </w:p>
    <w:p w:rsidR="001C7BF9" w:rsidRPr="00C9680B" w:rsidRDefault="001C7BF9">
      <w:pPr>
        <w:pStyle w:val="Normaltindrag"/>
      </w:pPr>
      <w:r w:rsidRPr="00C9680B">
        <w:t>Sammantaget väntas således de utgiftsökningar och skatteförändringar som redovisas i budgetpropositionen leda till en nettoförsvagning av den offentliga sektorn med 17,9 miljarder kronor 2001, med 26,0 miljarder kronor 2002 och med 34,3 miljarder kronor 2003.</w:t>
      </w:r>
    </w:p>
    <w:p w:rsidR="001C7BF9" w:rsidRPr="00C9680B" w:rsidRDefault="001C7BF9">
      <w:pPr>
        <w:pStyle w:val="Normaltindrag"/>
      </w:pPr>
      <w:r w:rsidRPr="00C9680B">
        <w:t>Trots detta räknar regeringen med att den offentliga sektorns finansiella sparande kommer att utvecklas på ett sådant sätt att uppställda budgetpolitiska mål inte bara uppnås utan för de närmaste åren även överträffas. Av den i propositionen lämnade redovisningen framgår att överskotten väntas bli av följande storlek.</w:t>
      </w:r>
    </w:p>
    <w:p w:rsidR="001C7BF9" w:rsidRPr="00C9680B" w:rsidRDefault="001C7BF9">
      <w:pPr>
        <w:pStyle w:val="Normaltindrag"/>
        <w:keepLines/>
        <w:spacing w:line="180" w:lineRule="exact"/>
        <w:rPr>
          <w:sz w:val="18"/>
        </w:rPr>
      </w:pPr>
    </w:p>
    <w:p w:rsidR="001C7BF9" w:rsidRPr="00C9680B" w:rsidRDefault="001C7BF9">
      <w:pPr>
        <w:pStyle w:val="TabellrubrikPer"/>
        <w:keepNext/>
        <w:keepLines/>
        <w:spacing w:line="190" w:lineRule="exact"/>
        <w:rPr>
          <w:b/>
          <w:caps w:val="0"/>
          <w:spacing w:val="0"/>
          <w:sz w:val="17"/>
        </w:rPr>
      </w:pPr>
      <w:r w:rsidRPr="00C9680B">
        <w:rPr>
          <w:b/>
          <w:caps w:val="0"/>
          <w:spacing w:val="0"/>
          <w:sz w:val="17"/>
        </w:rPr>
        <w:t>Tabell 12. Den offentliga sektorns finansiella sparande 2001–2003 i regeringens budgetalternativ</w:t>
      </w:r>
    </w:p>
    <w:p w:rsidR="001C7BF9" w:rsidRPr="00C9680B" w:rsidRDefault="001C7BF9">
      <w:pPr>
        <w:pStyle w:val="Tabell"/>
        <w:keepNext/>
        <w:keepLines/>
        <w:spacing w:after="40" w:line="190" w:lineRule="exact"/>
        <w:rPr>
          <w:sz w:val="14"/>
        </w:rPr>
      </w:pPr>
      <w:r w:rsidRPr="00C9680B">
        <w:rPr>
          <w:sz w:val="14"/>
        </w:rPr>
        <w:t>Belopp i miljarder kronor</w:t>
      </w:r>
    </w:p>
    <w:tbl>
      <w:tblPr>
        <w:tblW w:w="0" w:type="auto"/>
        <w:tblLayout w:type="fixed"/>
        <w:tblCellMar>
          <w:left w:w="0" w:type="dxa"/>
          <w:right w:w="0" w:type="dxa"/>
        </w:tblCellMar>
        <w:tblLook w:val="0000" w:firstRow="0" w:lastRow="0" w:firstColumn="0" w:lastColumn="0" w:noHBand="0" w:noVBand="0"/>
      </w:tblPr>
      <w:tblGrid>
        <w:gridCol w:w="2920"/>
        <w:gridCol w:w="20"/>
        <w:gridCol w:w="737"/>
        <w:gridCol w:w="737"/>
        <w:gridCol w:w="737"/>
        <w:gridCol w:w="737"/>
      </w:tblGrid>
      <w:tr w:rsidR="00000000" w:rsidRPr="00C9680B">
        <w:tblPrEx>
          <w:tblCellMar>
            <w:top w:w="0" w:type="dxa"/>
            <w:left w:w="0" w:type="dxa"/>
            <w:bottom w:w="0" w:type="dxa"/>
            <w:right w:w="0" w:type="dxa"/>
          </w:tblCellMar>
        </w:tblPrEx>
        <w:trPr>
          <w:cantSplit/>
        </w:trPr>
        <w:tc>
          <w:tcPr>
            <w:tcW w:w="2920" w:type="dxa"/>
            <w:tcBorders>
              <w:top w:val="single" w:sz="6" w:space="0" w:color="auto"/>
              <w:bottom w:val="single" w:sz="4" w:space="0" w:color="auto"/>
            </w:tcBorders>
          </w:tcPr>
          <w:p w:rsidR="001C7BF9" w:rsidRPr="00C9680B" w:rsidRDefault="001C7BF9">
            <w:pPr>
              <w:pStyle w:val="Tabell"/>
              <w:keepNext/>
              <w:keepLines/>
              <w:rPr>
                <w:b/>
              </w:rPr>
            </w:pPr>
          </w:p>
        </w:tc>
        <w:tc>
          <w:tcPr>
            <w:tcW w:w="20" w:type="dxa"/>
            <w:tcBorders>
              <w:top w:val="single" w:sz="6" w:space="0" w:color="auto"/>
              <w:bottom w:val="single" w:sz="4" w:space="0" w:color="auto"/>
            </w:tcBorders>
          </w:tcPr>
          <w:p w:rsidR="001C7BF9" w:rsidRPr="00C9680B" w:rsidRDefault="001C7BF9">
            <w:pPr>
              <w:pStyle w:val="Tabell"/>
              <w:keepNext/>
              <w:keepLines/>
              <w:rPr>
                <w:b/>
              </w:rPr>
            </w:pPr>
          </w:p>
        </w:tc>
        <w:tc>
          <w:tcPr>
            <w:tcW w:w="737" w:type="dxa"/>
            <w:tcBorders>
              <w:top w:val="single" w:sz="6" w:space="0" w:color="auto"/>
              <w:bottom w:val="single" w:sz="4" w:space="0" w:color="auto"/>
            </w:tcBorders>
          </w:tcPr>
          <w:p w:rsidR="001C7BF9" w:rsidRPr="00C9680B" w:rsidRDefault="001C7BF9">
            <w:pPr>
              <w:pStyle w:val="Tabell"/>
              <w:keepNext/>
              <w:keepLines/>
              <w:ind w:right="57"/>
              <w:jc w:val="right"/>
              <w:rPr>
                <w:b/>
              </w:rPr>
            </w:pPr>
            <w:r w:rsidRPr="00C9680B">
              <w:rPr>
                <w:b/>
              </w:rPr>
              <w:t>2000</w:t>
            </w:r>
          </w:p>
        </w:tc>
        <w:tc>
          <w:tcPr>
            <w:tcW w:w="737" w:type="dxa"/>
            <w:tcBorders>
              <w:top w:val="single" w:sz="6" w:space="0" w:color="auto"/>
              <w:bottom w:val="single" w:sz="4" w:space="0" w:color="auto"/>
            </w:tcBorders>
          </w:tcPr>
          <w:p w:rsidR="001C7BF9" w:rsidRPr="00C9680B" w:rsidRDefault="001C7BF9">
            <w:pPr>
              <w:pStyle w:val="Tabell"/>
              <w:keepNext/>
              <w:keepLines/>
              <w:ind w:right="57"/>
              <w:jc w:val="right"/>
              <w:rPr>
                <w:b/>
              </w:rPr>
            </w:pPr>
            <w:r w:rsidRPr="00C9680B">
              <w:rPr>
                <w:b/>
              </w:rPr>
              <w:t>2001</w:t>
            </w:r>
          </w:p>
        </w:tc>
        <w:tc>
          <w:tcPr>
            <w:tcW w:w="737" w:type="dxa"/>
            <w:tcBorders>
              <w:top w:val="single" w:sz="6" w:space="0" w:color="auto"/>
              <w:bottom w:val="single" w:sz="4" w:space="0" w:color="auto"/>
            </w:tcBorders>
          </w:tcPr>
          <w:p w:rsidR="001C7BF9" w:rsidRPr="00C9680B" w:rsidRDefault="001C7BF9">
            <w:pPr>
              <w:pStyle w:val="Tabell"/>
              <w:keepNext/>
              <w:keepLines/>
              <w:ind w:right="57"/>
              <w:jc w:val="right"/>
              <w:rPr>
                <w:b/>
              </w:rPr>
            </w:pPr>
            <w:r w:rsidRPr="00C9680B">
              <w:rPr>
                <w:b/>
              </w:rPr>
              <w:t>2002</w:t>
            </w:r>
          </w:p>
        </w:tc>
        <w:tc>
          <w:tcPr>
            <w:tcW w:w="737" w:type="dxa"/>
            <w:tcBorders>
              <w:top w:val="single" w:sz="6" w:space="0" w:color="auto"/>
              <w:bottom w:val="single" w:sz="4" w:space="0" w:color="auto"/>
            </w:tcBorders>
          </w:tcPr>
          <w:p w:rsidR="001C7BF9" w:rsidRPr="00C9680B" w:rsidRDefault="001C7BF9">
            <w:pPr>
              <w:pStyle w:val="Tabell"/>
              <w:keepNext/>
              <w:keepLines/>
              <w:ind w:right="57"/>
              <w:jc w:val="right"/>
              <w:rPr>
                <w:b/>
              </w:rPr>
            </w:pPr>
            <w:r w:rsidRPr="00C9680B">
              <w:rPr>
                <w:b/>
              </w:rPr>
              <w:t>2003</w:t>
            </w:r>
          </w:p>
        </w:tc>
      </w:tr>
      <w:tr w:rsidR="00000000" w:rsidRPr="00C9680B">
        <w:tblPrEx>
          <w:tblCellMar>
            <w:top w:w="0" w:type="dxa"/>
            <w:left w:w="0" w:type="dxa"/>
            <w:bottom w:w="0" w:type="dxa"/>
            <w:right w:w="0" w:type="dxa"/>
          </w:tblCellMar>
        </w:tblPrEx>
        <w:trPr>
          <w:cantSplit/>
          <w:trHeight w:hRule="exact" w:val="60"/>
        </w:trPr>
        <w:tc>
          <w:tcPr>
            <w:tcW w:w="2920" w:type="dxa"/>
          </w:tcPr>
          <w:p w:rsidR="001C7BF9" w:rsidRPr="00C9680B" w:rsidRDefault="001C7BF9">
            <w:pPr>
              <w:pStyle w:val="Tabell"/>
              <w:keepNext/>
              <w:keepLines/>
            </w:pPr>
          </w:p>
        </w:tc>
        <w:tc>
          <w:tcPr>
            <w:tcW w:w="20" w:type="dxa"/>
          </w:tcPr>
          <w:p w:rsidR="001C7BF9" w:rsidRPr="00C9680B" w:rsidRDefault="001C7BF9">
            <w:pPr>
              <w:pStyle w:val="Tabell"/>
              <w:keepNext/>
              <w:keepLines/>
            </w:pPr>
          </w:p>
        </w:tc>
        <w:tc>
          <w:tcPr>
            <w:tcW w:w="737" w:type="dxa"/>
          </w:tcPr>
          <w:p w:rsidR="001C7BF9" w:rsidRPr="00C9680B" w:rsidRDefault="001C7BF9">
            <w:pPr>
              <w:pStyle w:val="Tabell"/>
              <w:keepNext/>
              <w:keepLines/>
              <w:ind w:right="57"/>
              <w:jc w:val="right"/>
            </w:pPr>
          </w:p>
        </w:tc>
        <w:tc>
          <w:tcPr>
            <w:tcW w:w="737" w:type="dxa"/>
          </w:tcPr>
          <w:p w:rsidR="001C7BF9" w:rsidRPr="00C9680B" w:rsidRDefault="001C7BF9">
            <w:pPr>
              <w:pStyle w:val="Tabell"/>
              <w:keepNext/>
              <w:keepLines/>
              <w:ind w:right="57"/>
              <w:jc w:val="right"/>
            </w:pPr>
          </w:p>
        </w:tc>
        <w:tc>
          <w:tcPr>
            <w:tcW w:w="737" w:type="dxa"/>
          </w:tcPr>
          <w:p w:rsidR="001C7BF9" w:rsidRPr="00C9680B" w:rsidRDefault="001C7BF9">
            <w:pPr>
              <w:pStyle w:val="Tabell"/>
              <w:keepNext/>
              <w:keepLines/>
              <w:ind w:right="57"/>
              <w:jc w:val="right"/>
            </w:pPr>
          </w:p>
        </w:tc>
        <w:tc>
          <w:tcPr>
            <w:tcW w:w="737" w:type="dxa"/>
          </w:tcPr>
          <w:p w:rsidR="001C7BF9" w:rsidRPr="00C9680B" w:rsidRDefault="001C7BF9">
            <w:pPr>
              <w:pStyle w:val="Tabell"/>
              <w:keepNext/>
              <w:keepLines/>
              <w:ind w:right="57"/>
              <w:jc w:val="right"/>
            </w:pPr>
          </w:p>
        </w:tc>
      </w:tr>
      <w:tr w:rsidR="00000000" w:rsidRPr="00C9680B">
        <w:tblPrEx>
          <w:tblCellMar>
            <w:top w:w="0" w:type="dxa"/>
            <w:left w:w="0" w:type="dxa"/>
            <w:bottom w:w="0" w:type="dxa"/>
            <w:right w:w="0" w:type="dxa"/>
          </w:tblCellMar>
        </w:tblPrEx>
        <w:trPr>
          <w:cantSplit/>
        </w:trPr>
        <w:tc>
          <w:tcPr>
            <w:tcW w:w="2920" w:type="dxa"/>
          </w:tcPr>
          <w:p w:rsidR="001C7BF9" w:rsidRPr="00C9680B" w:rsidRDefault="001C7BF9">
            <w:pPr>
              <w:pStyle w:val="Tabell"/>
              <w:keepNext/>
              <w:keepLines/>
            </w:pPr>
            <w:r w:rsidRPr="00C9680B">
              <w:t>Inkomster</w:t>
            </w:r>
          </w:p>
        </w:tc>
        <w:tc>
          <w:tcPr>
            <w:tcW w:w="20" w:type="dxa"/>
          </w:tcPr>
          <w:p w:rsidR="001C7BF9" w:rsidRPr="00C9680B" w:rsidRDefault="001C7BF9">
            <w:pPr>
              <w:pStyle w:val="Tabell"/>
              <w:keepNext/>
              <w:keepLines/>
            </w:pPr>
          </w:p>
        </w:tc>
        <w:tc>
          <w:tcPr>
            <w:tcW w:w="737" w:type="dxa"/>
          </w:tcPr>
          <w:p w:rsidR="001C7BF9" w:rsidRPr="00C9680B" w:rsidRDefault="001C7BF9">
            <w:pPr>
              <w:pStyle w:val="Tabell"/>
              <w:keepNext/>
              <w:keepLines/>
              <w:ind w:right="57"/>
              <w:jc w:val="right"/>
            </w:pPr>
            <w:r w:rsidRPr="00C9680B">
              <w:t>+1 218,7</w:t>
            </w:r>
          </w:p>
        </w:tc>
        <w:tc>
          <w:tcPr>
            <w:tcW w:w="737" w:type="dxa"/>
          </w:tcPr>
          <w:p w:rsidR="001C7BF9" w:rsidRPr="00C9680B" w:rsidRDefault="001C7BF9">
            <w:pPr>
              <w:pStyle w:val="Tabell"/>
              <w:keepNext/>
              <w:keepLines/>
              <w:ind w:right="57"/>
              <w:jc w:val="right"/>
            </w:pPr>
            <w:r w:rsidRPr="00C9680B">
              <w:t>+1 248,1</w:t>
            </w:r>
          </w:p>
        </w:tc>
        <w:tc>
          <w:tcPr>
            <w:tcW w:w="737" w:type="dxa"/>
          </w:tcPr>
          <w:p w:rsidR="001C7BF9" w:rsidRPr="00C9680B" w:rsidRDefault="001C7BF9">
            <w:pPr>
              <w:pStyle w:val="Tabell"/>
              <w:keepNext/>
              <w:keepLines/>
              <w:ind w:right="57"/>
              <w:jc w:val="right"/>
            </w:pPr>
            <w:r w:rsidRPr="00C9680B">
              <w:t>+1 281,2</w:t>
            </w:r>
          </w:p>
        </w:tc>
        <w:tc>
          <w:tcPr>
            <w:tcW w:w="737" w:type="dxa"/>
          </w:tcPr>
          <w:p w:rsidR="001C7BF9" w:rsidRPr="00C9680B" w:rsidRDefault="001C7BF9">
            <w:pPr>
              <w:pStyle w:val="Tabell"/>
              <w:keepNext/>
              <w:keepLines/>
              <w:ind w:right="57"/>
              <w:jc w:val="right"/>
            </w:pPr>
            <w:r w:rsidRPr="00C9680B">
              <w:t>+1 335,4</w:t>
            </w:r>
          </w:p>
        </w:tc>
      </w:tr>
      <w:tr w:rsidR="00000000" w:rsidRPr="00C9680B">
        <w:tblPrEx>
          <w:tblCellMar>
            <w:top w:w="0" w:type="dxa"/>
            <w:left w:w="0" w:type="dxa"/>
            <w:bottom w:w="0" w:type="dxa"/>
            <w:right w:w="0" w:type="dxa"/>
          </w:tblCellMar>
        </w:tblPrEx>
        <w:trPr>
          <w:cantSplit/>
        </w:trPr>
        <w:tc>
          <w:tcPr>
            <w:tcW w:w="2920" w:type="dxa"/>
          </w:tcPr>
          <w:p w:rsidR="001C7BF9" w:rsidRPr="00C9680B" w:rsidRDefault="001C7BF9">
            <w:pPr>
              <w:pStyle w:val="Tabell"/>
              <w:keepNext/>
              <w:keepLines/>
            </w:pPr>
            <w:r w:rsidRPr="00C9680B">
              <w:t>Utgifter</w:t>
            </w:r>
          </w:p>
        </w:tc>
        <w:tc>
          <w:tcPr>
            <w:tcW w:w="20" w:type="dxa"/>
          </w:tcPr>
          <w:p w:rsidR="001C7BF9" w:rsidRPr="00C9680B" w:rsidRDefault="001C7BF9">
            <w:pPr>
              <w:pStyle w:val="Tabell"/>
              <w:keepNext/>
              <w:keepLines/>
            </w:pPr>
          </w:p>
        </w:tc>
        <w:tc>
          <w:tcPr>
            <w:tcW w:w="737" w:type="dxa"/>
          </w:tcPr>
          <w:p w:rsidR="001C7BF9" w:rsidRPr="00C9680B" w:rsidRDefault="001C7BF9">
            <w:pPr>
              <w:pStyle w:val="Tabell"/>
              <w:keepNext/>
              <w:keepLines/>
              <w:ind w:right="57"/>
              <w:jc w:val="right"/>
            </w:pPr>
            <w:r w:rsidRPr="00C9680B">
              <w:t>-1 147,4</w:t>
            </w:r>
          </w:p>
        </w:tc>
        <w:tc>
          <w:tcPr>
            <w:tcW w:w="737" w:type="dxa"/>
          </w:tcPr>
          <w:p w:rsidR="001C7BF9" w:rsidRPr="00C9680B" w:rsidRDefault="001C7BF9">
            <w:pPr>
              <w:pStyle w:val="Tabell"/>
              <w:keepNext/>
              <w:keepLines/>
              <w:ind w:right="57"/>
              <w:jc w:val="right"/>
            </w:pPr>
            <w:r w:rsidRPr="00C9680B">
              <w:t>-1 172,4</w:t>
            </w:r>
          </w:p>
        </w:tc>
        <w:tc>
          <w:tcPr>
            <w:tcW w:w="737" w:type="dxa"/>
          </w:tcPr>
          <w:p w:rsidR="001C7BF9" w:rsidRPr="00C9680B" w:rsidRDefault="001C7BF9">
            <w:pPr>
              <w:pStyle w:val="Tabell"/>
              <w:keepNext/>
              <w:keepLines/>
              <w:ind w:right="57"/>
              <w:jc w:val="right"/>
            </w:pPr>
            <w:r w:rsidRPr="00C9680B">
              <w:t>-1 206,3</w:t>
            </w:r>
          </w:p>
        </w:tc>
        <w:tc>
          <w:tcPr>
            <w:tcW w:w="737" w:type="dxa"/>
          </w:tcPr>
          <w:p w:rsidR="001C7BF9" w:rsidRPr="00C9680B" w:rsidRDefault="001C7BF9">
            <w:pPr>
              <w:pStyle w:val="Tabell"/>
              <w:keepNext/>
              <w:keepLines/>
              <w:ind w:right="57"/>
              <w:jc w:val="right"/>
            </w:pPr>
            <w:r w:rsidRPr="00C9680B">
              <w:t>-1 251,2</w:t>
            </w:r>
          </w:p>
        </w:tc>
      </w:tr>
      <w:tr w:rsidR="00000000" w:rsidRPr="00C9680B">
        <w:tblPrEx>
          <w:tblCellMar>
            <w:top w:w="0" w:type="dxa"/>
            <w:left w:w="0" w:type="dxa"/>
            <w:bottom w:w="0" w:type="dxa"/>
            <w:right w:w="0" w:type="dxa"/>
          </w:tblCellMar>
        </w:tblPrEx>
        <w:trPr>
          <w:cantSplit/>
        </w:trPr>
        <w:tc>
          <w:tcPr>
            <w:tcW w:w="2920" w:type="dxa"/>
          </w:tcPr>
          <w:p w:rsidR="001C7BF9" w:rsidRPr="00C9680B" w:rsidRDefault="001C7BF9">
            <w:pPr>
              <w:pStyle w:val="Tabell"/>
              <w:keepNext/>
              <w:keepLines/>
              <w:rPr>
                <w:b/>
              </w:rPr>
            </w:pPr>
            <w:r w:rsidRPr="00C9680B">
              <w:rPr>
                <w:b/>
              </w:rPr>
              <w:t>Finansiellt sparande</w:t>
            </w:r>
          </w:p>
        </w:tc>
        <w:tc>
          <w:tcPr>
            <w:tcW w:w="20" w:type="dxa"/>
          </w:tcPr>
          <w:p w:rsidR="001C7BF9" w:rsidRPr="00C9680B" w:rsidRDefault="001C7BF9">
            <w:pPr>
              <w:pStyle w:val="Tabell"/>
              <w:keepNext/>
              <w:keepLines/>
              <w:rPr>
                <w:b/>
              </w:rPr>
            </w:pPr>
          </w:p>
        </w:tc>
        <w:tc>
          <w:tcPr>
            <w:tcW w:w="737" w:type="dxa"/>
          </w:tcPr>
          <w:p w:rsidR="001C7BF9" w:rsidRPr="00C9680B" w:rsidRDefault="001C7BF9">
            <w:pPr>
              <w:pStyle w:val="Tabell"/>
              <w:keepNext/>
              <w:keepLines/>
              <w:ind w:right="57"/>
              <w:jc w:val="right"/>
              <w:rPr>
                <w:b/>
              </w:rPr>
            </w:pPr>
            <w:r w:rsidRPr="00C9680B">
              <w:rPr>
                <w:b/>
              </w:rPr>
              <w:t>+71,3</w:t>
            </w:r>
          </w:p>
        </w:tc>
        <w:tc>
          <w:tcPr>
            <w:tcW w:w="737" w:type="dxa"/>
          </w:tcPr>
          <w:p w:rsidR="001C7BF9" w:rsidRPr="00C9680B" w:rsidRDefault="001C7BF9">
            <w:pPr>
              <w:pStyle w:val="Tabell"/>
              <w:keepNext/>
              <w:keepLines/>
              <w:ind w:right="57"/>
              <w:jc w:val="right"/>
              <w:rPr>
                <w:b/>
              </w:rPr>
            </w:pPr>
            <w:r w:rsidRPr="00C9680B">
              <w:rPr>
                <w:b/>
              </w:rPr>
              <w:t>+75,7</w:t>
            </w:r>
          </w:p>
        </w:tc>
        <w:tc>
          <w:tcPr>
            <w:tcW w:w="737" w:type="dxa"/>
          </w:tcPr>
          <w:p w:rsidR="001C7BF9" w:rsidRPr="00C9680B" w:rsidRDefault="001C7BF9">
            <w:pPr>
              <w:pStyle w:val="Tabell"/>
              <w:keepNext/>
              <w:keepLines/>
              <w:ind w:right="57"/>
              <w:jc w:val="right"/>
              <w:rPr>
                <w:b/>
              </w:rPr>
            </w:pPr>
            <w:r w:rsidRPr="00C9680B">
              <w:rPr>
                <w:b/>
              </w:rPr>
              <w:t>+74,9</w:t>
            </w:r>
          </w:p>
        </w:tc>
        <w:tc>
          <w:tcPr>
            <w:tcW w:w="737" w:type="dxa"/>
          </w:tcPr>
          <w:p w:rsidR="001C7BF9" w:rsidRPr="00C9680B" w:rsidRDefault="001C7BF9">
            <w:pPr>
              <w:pStyle w:val="Tabell"/>
              <w:keepNext/>
              <w:keepLines/>
              <w:ind w:right="57"/>
              <w:jc w:val="right"/>
              <w:rPr>
                <w:b/>
              </w:rPr>
            </w:pPr>
            <w:r w:rsidRPr="00C9680B">
              <w:rPr>
                <w:b/>
              </w:rPr>
              <w:t>+84,1</w:t>
            </w:r>
          </w:p>
        </w:tc>
      </w:tr>
      <w:tr w:rsidR="00000000" w:rsidRPr="00C9680B">
        <w:tblPrEx>
          <w:tblCellMar>
            <w:top w:w="0" w:type="dxa"/>
            <w:left w:w="0" w:type="dxa"/>
            <w:bottom w:w="0" w:type="dxa"/>
            <w:right w:w="0" w:type="dxa"/>
          </w:tblCellMar>
        </w:tblPrEx>
        <w:trPr>
          <w:cantSplit/>
        </w:trPr>
        <w:tc>
          <w:tcPr>
            <w:tcW w:w="2920" w:type="dxa"/>
          </w:tcPr>
          <w:p w:rsidR="001C7BF9" w:rsidRPr="00C9680B" w:rsidRDefault="001C7BF9">
            <w:pPr>
              <w:pStyle w:val="Tabell"/>
              <w:keepNext/>
              <w:keepLines/>
            </w:pPr>
            <w:r w:rsidRPr="00C9680B">
              <w:t>Finansiellt sparande i % av BNP</w:t>
            </w:r>
          </w:p>
        </w:tc>
        <w:tc>
          <w:tcPr>
            <w:tcW w:w="20" w:type="dxa"/>
          </w:tcPr>
          <w:p w:rsidR="001C7BF9" w:rsidRPr="00C9680B" w:rsidRDefault="001C7BF9">
            <w:pPr>
              <w:pStyle w:val="Tabell"/>
              <w:keepNext/>
              <w:keepLines/>
            </w:pPr>
          </w:p>
        </w:tc>
        <w:tc>
          <w:tcPr>
            <w:tcW w:w="737" w:type="dxa"/>
          </w:tcPr>
          <w:p w:rsidR="001C7BF9" w:rsidRPr="00C9680B" w:rsidRDefault="001C7BF9">
            <w:pPr>
              <w:pStyle w:val="Tabell"/>
              <w:keepNext/>
              <w:keepLines/>
              <w:ind w:right="57"/>
              <w:jc w:val="right"/>
            </w:pPr>
            <w:r w:rsidRPr="00C9680B">
              <w:t>+3,4</w:t>
            </w:r>
          </w:p>
        </w:tc>
        <w:tc>
          <w:tcPr>
            <w:tcW w:w="737" w:type="dxa"/>
          </w:tcPr>
          <w:p w:rsidR="001C7BF9" w:rsidRPr="00C9680B" w:rsidRDefault="001C7BF9">
            <w:pPr>
              <w:pStyle w:val="Tabell"/>
              <w:keepNext/>
              <w:keepLines/>
              <w:ind w:right="57"/>
              <w:jc w:val="right"/>
            </w:pPr>
            <w:r w:rsidRPr="00C9680B">
              <w:t>+3,5</w:t>
            </w:r>
          </w:p>
        </w:tc>
        <w:tc>
          <w:tcPr>
            <w:tcW w:w="737" w:type="dxa"/>
          </w:tcPr>
          <w:p w:rsidR="001C7BF9" w:rsidRPr="00C9680B" w:rsidRDefault="001C7BF9">
            <w:pPr>
              <w:pStyle w:val="Tabell"/>
              <w:keepNext/>
              <w:keepLines/>
              <w:ind w:right="57"/>
              <w:jc w:val="right"/>
            </w:pPr>
            <w:r w:rsidRPr="00C9680B">
              <w:t>+3,3¹</w:t>
            </w:r>
          </w:p>
        </w:tc>
        <w:tc>
          <w:tcPr>
            <w:tcW w:w="737" w:type="dxa"/>
          </w:tcPr>
          <w:p w:rsidR="001C7BF9" w:rsidRPr="00C9680B" w:rsidRDefault="001C7BF9">
            <w:pPr>
              <w:pStyle w:val="Tabell"/>
              <w:keepNext/>
              <w:keepLines/>
              <w:ind w:right="57"/>
              <w:jc w:val="right"/>
            </w:pPr>
            <w:r w:rsidRPr="00C9680B">
              <w:t>+3,6¹</w:t>
            </w:r>
          </w:p>
        </w:tc>
      </w:tr>
      <w:tr w:rsidR="00000000" w:rsidRPr="00C9680B">
        <w:tblPrEx>
          <w:tblCellMar>
            <w:top w:w="0" w:type="dxa"/>
            <w:left w:w="0" w:type="dxa"/>
            <w:bottom w:w="0" w:type="dxa"/>
            <w:right w:w="0" w:type="dxa"/>
          </w:tblCellMar>
        </w:tblPrEx>
        <w:trPr>
          <w:cantSplit/>
        </w:trPr>
        <w:tc>
          <w:tcPr>
            <w:tcW w:w="2920" w:type="dxa"/>
          </w:tcPr>
          <w:p w:rsidR="001C7BF9" w:rsidRPr="00C9680B" w:rsidRDefault="001C7BF9">
            <w:pPr>
              <w:pStyle w:val="Tabell"/>
              <w:keepNext/>
              <w:keepLines/>
            </w:pPr>
            <w:r w:rsidRPr="00C9680B">
              <w:t>Målsatt överskott i % av BNP</w:t>
            </w:r>
          </w:p>
        </w:tc>
        <w:tc>
          <w:tcPr>
            <w:tcW w:w="20" w:type="dxa"/>
          </w:tcPr>
          <w:p w:rsidR="001C7BF9" w:rsidRPr="00C9680B" w:rsidRDefault="001C7BF9">
            <w:pPr>
              <w:pStyle w:val="Tabell"/>
              <w:keepNext/>
              <w:keepLines/>
            </w:pPr>
          </w:p>
        </w:tc>
        <w:tc>
          <w:tcPr>
            <w:tcW w:w="737" w:type="dxa"/>
          </w:tcPr>
          <w:p w:rsidR="001C7BF9" w:rsidRPr="00C9680B" w:rsidRDefault="001C7BF9">
            <w:pPr>
              <w:pStyle w:val="Tabell"/>
              <w:keepNext/>
              <w:keepLines/>
              <w:ind w:right="57"/>
              <w:jc w:val="right"/>
            </w:pPr>
            <w:r w:rsidRPr="00C9680B">
              <w:t>+2,0</w:t>
            </w:r>
          </w:p>
        </w:tc>
        <w:tc>
          <w:tcPr>
            <w:tcW w:w="737" w:type="dxa"/>
          </w:tcPr>
          <w:p w:rsidR="001C7BF9" w:rsidRPr="00C9680B" w:rsidRDefault="001C7BF9">
            <w:pPr>
              <w:pStyle w:val="Tabell"/>
              <w:keepNext/>
              <w:keepLines/>
              <w:ind w:right="57"/>
              <w:jc w:val="right"/>
            </w:pPr>
            <w:r w:rsidRPr="00C9680B">
              <w:t>+2,5</w:t>
            </w:r>
          </w:p>
        </w:tc>
        <w:tc>
          <w:tcPr>
            <w:tcW w:w="737" w:type="dxa"/>
          </w:tcPr>
          <w:p w:rsidR="001C7BF9" w:rsidRPr="00C9680B" w:rsidRDefault="001C7BF9">
            <w:pPr>
              <w:pStyle w:val="Tabell"/>
              <w:keepNext/>
              <w:keepLines/>
              <w:ind w:right="57"/>
              <w:jc w:val="right"/>
            </w:pPr>
            <w:r w:rsidRPr="00C9680B">
              <w:t>+2,0</w:t>
            </w:r>
          </w:p>
        </w:tc>
        <w:tc>
          <w:tcPr>
            <w:tcW w:w="737" w:type="dxa"/>
          </w:tcPr>
          <w:p w:rsidR="001C7BF9" w:rsidRPr="00C9680B" w:rsidRDefault="001C7BF9">
            <w:pPr>
              <w:pStyle w:val="Tabell"/>
              <w:keepNext/>
              <w:keepLines/>
              <w:ind w:right="57"/>
              <w:jc w:val="right"/>
            </w:pPr>
            <w:r w:rsidRPr="00C9680B">
              <w:t>+2,0</w:t>
            </w:r>
          </w:p>
        </w:tc>
      </w:tr>
      <w:tr w:rsidR="00000000" w:rsidRPr="00C9680B">
        <w:tblPrEx>
          <w:tblCellMar>
            <w:top w:w="0" w:type="dxa"/>
            <w:left w:w="0" w:type="dxa"/>
            <w:bottom w:w="0" w:type="dxa"/>
            <w:right w:w="0" w:type="dxa"/>
          </w:tblCellMar>
        </w:tblPrEx>
        <w:trPr>
          <w:cantSplit/>
          <w:trHeight w:hRule="exact" w:val="40"/>
        </w:trPr>
        <w:tc>
          <w:tcPr>
            <w:tcW w:w="2920" w:type="dxa"/>
            <w:tcBorders>
              <w:bottom w:val="single" w:sz="6" w:space="0" w:color="auto"/>
            </w:tcBorders>
          </w:tcPr>
          <w:p w:rsidR="001C7BF9" w:rsidRPr="00C9680B" w:rsidRDefault="001C7BF9">
            <w:pPr>
              <w:pStyle w:val="Tabell"/>
              <w:keepNext/>
              <w:keepLines/>
            </w:pPr>
          </w:p>
        </w:tc>
        <w:tc>
          <w:tcPr>
            <w:tcW w:w="20" w:type="dxa"/>
            <w:tcBorders>
              <w:bottom w:val="single" w:sz="6" w:space="0" w:color="auto"/>
            </w:tcBorders>
          </w:tcPr>
          <w:p w:rsidR="001C7BF9" w:rsidRPr="00C9680B" w:rsidRDefault="001C7BF9">
            <w:pPr>
              <w:pStyle w:val="Tabell"/>
              <w:keepNext/>
              <w:keepLines/>
            </w:pPr>
            <w:r w:rsidRPr="00C9680B">
              <w:t xml:space="preserve"> </w:t>
            </w:r>
          </w:p>
        </w:tc>
        <w:tc>
          <w:tcPr>
            <w:tcW w:w="737" w:type="dxa"/>
            <w:tcBorders>
              <w:bottom w:val="single" w:sz="6" w:space="0" w:color="auto"/>
            </w:tcBorders>
          </w:tcPr>
          <w:p w:rsidR="001C7BF9" w:rsidRPr="00C9680B" w:rsidRDefault="001C7BF9">
            <w:pPr>
              <w:pStyle w:val="Tabell"/>
              <w:keepNext/>
              <w:keepLines/>
              <w:ind w:right="57"/>
              <w:jc w:val="right"/>
            </w:pPr>
          </w:p>
        </w:tc>
        <w:tc>
          <w:tcPr>
            <w:tcW w:w="737" w:type="dxa"/>
            <w:tcBorders>
              <w:bottom w:val="single" w:sz="6" w:space="0" w:color="auto"/>
            </w:tcBorders>
          </w:tcPr>
          <w:p w:rsidR="001C7BF9" w:rsidRPr="00C9680B" w:rsidRDefault="001C7BF9">
            <w:pPr>
              <w:pStyle w:val="Tabell"/>
              <w:keepNext/>
              <w:keepLines/>
              <w:ind w:right="57"/>
              <w:jc w:val="right"/>
            </w:pPr>
          </w:p>
        </w:tc>
        <w:tc>
          <w:tcPr>
            <w:tcW w:w="737" w:type="dxa"/>
            <w:tcBorders>
              <w:bottom w:val="single" w:sz="6" w:space="0" w:color="auto"/>
            </w:tcBorders>
          </w:tcPr>
          <w:p w:rsidR="001C7BF9" w:rsidRPr="00C9680B" w:rsidRDefault="001C7BF9">
            <w:pPr>
              <w:pStyle w:val="Tabell"/>
              <w:keepNext/>
              <w:keepLines/>
              <w:ind w:right="57"/>
              <w:jc w:val="right"/>
            </w:pPr>
          </w:p>
        </w:tc>
        <w:tc>
          <w:tcPr>
            <w:tcW w:w="737" w:type="dxa"/>
            <w:tcBorders>
              <w:bottom w:val="single" w:sz="6" w:space="0" w:color="auto"/>
            </w:tcBorders>
          </w:tcPr>
          <w:p w:rsidR="001C7BF9" w:rsidRPr="00C9680B" w:rsidRDefault="001C7BF9">
            <w:pPr>
              <w:pStyle w:val="Tabell"/>
              <w:keepNext/>
              <w:keepLines/>
              <w:ind w:right="57"/>
              <w:jc w:val="right"/>
            </w:pPr>
          </w:p>
        </w:tc>
      </w:tr>
    </w:tbl>
    <w:p w:rsidR="001C7BF9" w:rsidRPr="00C9680B" w:rsidRDefault="001C7BF9">
      <w:pPr>
        <w:pStyle w:val="Normaltindrag"/>
        <w:keepNext/>
        <w:keepLines/>
        <w:spacing w:line="40" w:lineRule="exact"/>
        <w:ind w:left="113" w:hanging="113"/>
        <w:rPr>
          <w:sz w:val="16"/>
        </w:rPr>
      </w:pPr>
    </w:p>
    <w:p w:rsidR="001C7BF9" w:rsidRPr="00C9680B" w:rsidRDefault="001C7BF9">
      <w:pPr>
        <w:pStyle w:val="Normaltindrag"/>
        <w:keepLines/>
        <w:spacing w:line="170" w:lineRule="exact"/>
        <w:ind w:left="142" w:hanging="142"/>
        <w:rPr>
          <w:sz w:val="16"/>
        </w:rPr>
      </w:pPr>
      <w:r w:rsidRPr="00C9680B">
        <w:rPr>
          <w:sz w:val="16"/>
        </w:rPr>
        <w:t>¹  Härav har regeringen för avsikt att ta i anspråk 1,3 procentenheter 2002 och 1,6 proce</w:t>
      </w:r>
      <w:r w:rsidRPr="00C9680B">
        <w:rPr>
          <w:sz w:val="16"/>
        </w:rPr>
        <w:t>n</w:t>
      </w:r>
      <w:r w:rsidRPr="00C9680B">
        <w:rPr>
          <w:sz w:val="16"/>
        </w:rPr>
        <w:t>tenheter 2003 för en överföring till hushållen.</w:t>
      </w:r>
    </w:p>
    <w:p w:rsidR="001C7BF9" w:rsidRPr="00C9680B" w:rsidRDefault="001C7BF9">
      <w:pPr>
        <w:keepNext/>
        <w:spacing w:before="187"/>
      </w:pPr>
      <w:r w:rsidRPr="00C9680B">
        <w:t>Den gynnsamma utvecklingen inom den offentliga sektorn återspeglar sig också i statens finanser. Statsbudgetens inkomster väntas 2000 överstiga utgifterna med 76 miljarder kronor. Eftersom budgetsaldot definitionsmässigt är liktydigt med statens lånebehov innebär detta att staten kommer att amort</w:t>
      </w:r>
      <w:r w:rsidRPr="00C9680B">
        <w:t>e</w:t>
      </w:r>
      <w:r w:rsidRPr="00C9680B">
        <w:t>ra statsskulden med ett lika stort belopp.</w:t>
      </w:r>
    </w:p>
    <w:p w:rsidR="001C7BF9" w:rsidRPr="00C9680B" w:rsidRDefault="001C7BF9">
      <w:pPr>
        <w:pStyle w:val="Normaltindrag"/>
        <w:keepNext/>
      </w:pPr>
      <w:r w:rsidRPr="00C9680B">
        <w:t>Regeringens nu redovisade inriktning av budgetpolitiken väntas enligt propositionen få följande effekt på statsbudgeten under de nä</w:t>
      </w:r>
      <w:r w:rsidRPr="00C9680B">
        <w:t>r</w:t>
      </w:r>
      <w:r w:rsidRPr="00C9680B">
        <w:t>maste tre åren.</w:t>
      </w:r>
    </w:p>
    <w:p w:rsidR="001C7BF9" w:rsidRPr="00C9680B" w:rsidRDefault="001C7BF9">
      <w:pPr>
        <w:pStyle w:val="TabellrubrikPer"/>
        <w:keepNext/>
        <w:keepLines/>
        <w:widowControl w:val="0"/>
        <w:spacing w:line="190" w:lineRule="exact"/>
        <w:outlineLvl w:val="0"/>
        <w:rPr>
          <w:b/>
          <w:caps w:val="0"/>
          <w:spacing w:val="0"/>
          <w:sz w:val="17"/>
        </w:rPr>
      </w:pPr>
      <w:bookmarkStart w:id="166" w:name="_Toc403914260"/>
      <w:bookmarkStart w:id="167" w:name="_Toc421506201"/>
      <w:r w:rsidRPr="00C9680B">
        <w:rPr>
          <w:b/>
          <w:caps w:val="0"/>
          <w:spacing w:val="0"/>
          <w:sz w:val="17"/>
        </w:rPr>
        <w:t>Tabell 13. Lånebehov enligt regeringens budgetförslag</w:t>
      </w:r>
      <w:bookmarkEnd w:id="166"/>
      <w:r w:rsidRPr="00C9680B">
        <w:rPr>
          <w:b/>
          <w:caps w:val="0"/>
          <w:spacing w:val="0"/>
          <w:sz w:val="17"/>
        </w:rPr>
        <w:t xml:space="preserve"> 2000–2003</w:t>
      </w:r>
      <w:bookmarkEnd w:id="167"/>
    </w:p>
    <w:p w:rsidR="001C7BF9" w:rsidRPr="00C9680B" w:rsidRDefault="001C7BF9">
      <w:pPr>
        <w:pStyle w:val="Tabell"/>
        <w:keepNext/>
        <w:keepLines/>
        <w:widowControl w:val="0"/>
        <w:spacing w:after="40" w:line="190" w:lineRule="exact"/>
        <w:outlineLvl w:val="0"/>
        <w:rPr>
          <w:sz w:val="14"/>
        </w:rPr>
      </w:pPr>
      <w:r w:rsidRPr="00C9680B">
        <w:rPr>
          <w:sz w:val="14"/>
        </w:rPr>
        <w:t>Belopp i miljarder kronor</w:t>
      </w:r>
    </w:p>
    <w:tbl>
      <w:tblPr>
        <w:tblW w:w="0" w:type="auto"/>
        <w:tblLayout w:type="fixed"/>
        <w:tblCellMar>
          <w:left w:w="0" w:type="dxa"/>
          <w:right w:w="0" w:type="dxa"/>
        </w:tblCellMar>
        <w:tblLook w:val="0000" w:firstRow="0" w:lastRow="0" w:firstColumn="0" w:lastColumn="0" w:noHBand="0" w:noVBand="0"/>
      </w:tblPr>
      <w:tblGrid>
        <w:gridCol w:w="3402"/>
        <w:gridCol w:w="624"/>
        <w:gridCol w:w="567"/>
        <w:gridCol w:w="624"/>
        <w:gridCol w:w="624"/>
      </w:tblGrid>
      <w:tr w:rsidR="00000000" w:rsidRPr="00C9680B">
        <w:tblPrEx>
          <w:tblCellMar>
            <w:top w:w="0" w:type="dxa"/>
            <w:left w:w="0" w:type="dxa"/>
            <w:bottom w:w="0" w:type="dxa"/>
            <w:right w:w="0" w:type="dxa"/>
          </w:tblCellMar>
        </w:tblPrEx>
        <w:tc>
          <w:tcPr>
            <w:tcW w:w="3402" w:type="dxa"/>
            <w:tcBorders>
              <w:top w:val="single" w:sz="6" w:space="0" w:color="auto"/>
              <w:bottom w:val="single" w:sz="6" w:space="0" w:color="auto"/>
            </w:tcBorders>
          </w:tcPr>
          <w:p w:rsidR="001C7BF9" w:rsidRPr="00C9680B" w:rsidRDefault="001C7BF9">
            <w:pPr>
              <w:pStyle w:val="Tabell"/>
              <w:keepNext/>
              <w:keepLines/>
              <w:widowControl w:val="0"/>
              <w:rPr>
                <w:b/>
              </w:rPr>
            </w:pPr>
          </w:p>
        </w:tc>
        <w:tc>
          <w:tcPr>
            <w:tcW w:w="624" w:type="dxa"/>
            <w:tcBorders>
              <w:top w:val="single" w:sz="6" w:space="0" w:color="auto"/>
              <w:bottom w:val="single" w:sz="6" w:space="0" w:color="auto"/>
            </w:tcBorders>
          </w:tcPr>
          <w:p w:rsidR="001C7BF9" w:rsidRPr="00C9680B" w:rsidRDefault="001C7BF9">
            <w:pPr>
              <w:pStyle w:val="Tabell"/>
              <w:keepNext/>
              <w:keepLines/>
              <w:widowControl w:val="0"/>
              <w:ind w:right="57"/>
              <w:jc w:val="right"/>
              <w:rPr>
                <w:b/>
              </w:rPr>
            </w:pPr>
            <w:r w:rsidRPr="00C9680B">
              <w:rPr>
                <w:b/>
              </w:rPr>
              <w:t>2000</w:t>
            </w:r>
          </w:p>
        </w:tc>
        <w:tc>
          <w:tcPr>
            <w:tcW w:w="567" w:type="dxa"/>
            <w:tcBorders>
              <w:top w:val="single" w:sz="6" w:space="0" w:color="auto"/>
              <w:bottom w:val="single" w:sz="6" w:space="0" w:color="auto"/>
            </w:tcBorders>
          </w:tcPr>
          <w:p w:rsidR="001C7BF9" w:rsidRPr="00C9680B" w:rsidRDefault="001C7BF9">
            <w:pPr>
              <w:pStyle w:val="Tabell"/>
              <w:keepNext/>
              <w:keepLines/>
              <w:widowControl w:val="0"/>
              <w:ind w:right="57"/>
              <w:jc w:val="right"/>
              <w:rPr>
                <w:b/>
              </w:rPr>
            </w:pPr>
            <w:r w:rsidRPr="00C9680B">
              <w:rPr>
                <w:b/>
              </w:rPr>
              <w:t>2001</w:t>
            </w:r>
          </w:p>
        </w:tc>
        <w:tc>
          <w:tcPr>
            <w:tcW w:w="624" w:type="dxa"/>
            <w:tcBorders>
              <w:top w:val="single" w:sz="6" w:space="0" w:color="auto"/>
              <w:bottom w:val="single" w:sz="6" w:space="0" w:color="auto"/>
            </w:tcBorders>
          </w:tcPr>
          <w:p w:rsidR="001C7BF9" w:rsidRPr="00C9680B" w:rsidRDefault="001C7BF9">
            <w:pPr>
              <w:pStyle w:val="Tabell"/>
              <w:keepNext/>
              <w:keepLines/>
              <w:widowControl w:val="0"/>
              <w:ind w:right="57"/>
              <w:jc w:val="right"/>
              <w:rPr>
                <w:b/>
              </w:rPr>
            </w:pPr>
            <w:r w:rsidRPr="00C9680B">
              <w:rPr>
                <w:b/>
              </w:rPr>
              <w:t>2002</w:t>
            </w:r>
          </w:p>
        </w:tc>
        <w:tc>
          <w:tcPr>
            <w:tcW w:w="624" w:type="dxa"/>
            <w:tcBorders>
              <w:top w:val="single" w:sz="6" w:space="0" w:color="auto"/>
              <w:bottom w:val="single" w:sz="6" w:space="0" w:color="auto"/>
            </w:tcBorders>
          </w:tcPr>
          <w:p w:rsidR="001C7BF9" w:rsidRPr="00C9680B" w:rsidRDefault="001C7BF9">
            <w:pPr>
              <w:pStyle w:val="Tabell"/>
              <w:keepNext/>
              <w:keepLines/>
              <w:widowControl w:val="0"/>
              <w:ind w:right="57"/>
              <w:jc w:val="right"/>
              <w:rPr>
                <w:b/>
              </w:rPr>
            </w:pPr>
            <w:r w:rsidRPr="00C9680B">
              <w:rPr>
                <w:b/>
              </w:rPr>
              <w:t>2003</w:t>
            </w:r>
          </w:p>
        </w:tc>
      </w:tr>
      <w:tr w:rsidR="00000000" w:rsidRPr="00C9680B">
        <w:tblPrEx>
          <w:tblCellMar>
            <w:top w:w="0" w:type="dxa"/>
            <w:left w:w="0" w:type="dxa"/>
            <w:bottom w:w="0" w:type="dxa"/>
            <w:right w:w="0" w:type="dxa"/>
          </w:tblCellMar>
        </w:tblPrEx>
        <w:trPr>
          <w:trHeight w:hRule="exact" w:val="60"/>
        </w:trPr>
        <w:tc>
          <w:tcPr>
            <w:tcW w:w="3402" w:type="dxa"/>
          </w:tcPr>
          <w:p w:rsidR="001C7BF9" w:rsidRPr="00C9680B" w:rsidRDefault="001C7BF9">
            <w:pPr>
              <w:pStyle w:val="Tabell"/>
              <w:keepNext/>
              <w:keepLines/>
              <w:widowControl w:val="0"/>
            </w:pPr>
          </w:p>
        </w:tc>
        <w:tc>
          <w:tcPr>
            <w:tcW w:w="624" w:type="dxa"/>
          </w:tcPr>
          <w:p w:rsidR="001C7BF9" w:rsidRPr="00C9680B" w:rsidRDefault="001C7BF9">
            <w:pPr>
              <w:pStyle w:val="Tabell"/>
              <w:keepNext/>
              <w:keepLines/>
              <w:widowControl w:val="0"/>
              <w:ind w:right="57"/>
              <w:jc w:val="right"/>
            </w:pPr>
          </w:p>
        </w:tc>
        <w:tc>
          <w:tcPr>
            <w:tcW w:w="567" w:type="dxa"/>
          </w:tcPr>
          <w:p w:rsidR="001C7BF9" w:rsidRPr="00C9680B" w:rsidRDefault="001C7BF9">
            <w:pPr>
              <w:pStyle w:val="Tabell"/>
              <w:keepNext/>
              <w:keepLines/>
              <w:widowControl w:val="0"/>
              <w:ind w:right="57"/>
              <w:jc w:val="right"/>
            </w:pPr>
          </w:p>
        </w:tc>
        <w:tc>
          <w:tcPr>
            <w:tcW w:w="624" w:type="dxa"/>
          </w:tcPr>
          <w:p w:rsidR="001C7BF9" w:rsidRPr="00C9680B" w:rsidRDefault="001C7BF9">
            <w:pPr>
              <w:pStyle w:val="Tabell"/>
              <w:keepNext/>
              <w:keepLines/>
              <w:widowControl w:val="0"/>
              <w:ind w:right="57"/>
              <w:jc w:val="right"/>
            </w:pPr>
          </w:p>
        </w:tc>
        <w:tc>
          <w:tcPr>
            <w:tcW w:w="624" w:type="dxa"/>
          </w:tcPr>
          <w:p w:rsidR="001C7BF9" w:rsidRPr="00C9680B" w:rsidRDefault="001C7BF9">
            <w:pPr>
              <w:pStyle w:val="Tabell"/>
              <w:keepNext/>
              <w:keepLines/>
              <w:widowControl w:val="0"/>
              <w:ind w:right="57"/>
              <w:jc w:val="right"/>
            </w:pPr>
          </w:p>
        </w:tc>
      </w:tr>
      <w:tr w:rsidR="00000000" w:rsidRPr="00C9680B">
        <w:tblPrEx>
          <w:tblCellMar>
            <w:top w:w="0" w:type="dxa"/>
            <w:left w:w="0" w:type="dxa"/>
            <w:bottom w:w="0" w:type="dxa"/>
            <w:right w:w="0" w:type="dxa"/>
          </w:tblCellMar>
        </w:tblPrEx>
        <w:tc>
          <w:tcPr>
            <w:tcW w:w="3402" w:type="dxa"/>
          </w:tcPr>
          <w:p w:rsidR="001C7BF9" w:rsidRPr="00C9680B" w:rsidRDefault="001C7BF9">
            <w:pPr>
              <w:pStyle w:val="Tabell"/>
              <w:keepNext/>
              <w:keepLines/>
              <w:widowControl w:val="0"/>
            </w:pPr>
            <w:r w:rsidRPr="00C9680B">
              <w:t>Inkomster</w:t>
            </w:r>
          </w:p>
        </w:tc>
        <w:tc>
          <w:tcPr>
            <w:tcW w:w="624" w:type="dxa"/>
          </w:tcPr>
          <w:p w:rsidR="001C7BF9" w:rsidRPr="00C9680B" w:rsidRDefault="001C7BF9">
            <w:pPr>
              <w:pStyle w:val="Tabell"/>
              <w:keepNext/>
              <w:keepLines/>
              <w:widowControl w:val="0"/>
              <w:ind w:right="57"/>
              <w:jc w:val="right"/>
            </w:pPr>
            <w:r w:rsidRPr="00C9680B">
              <w:t>+781,6</w:t>
            </w:r>
          </w:p>
        </w:tc>
        <w:tc>
          <w:tcPr>
            <w:tcW w:w="567" w:type="dxa"/>
          </w:tcPr>
          <w:p w:rsidR="001C7BF9" w:rsidRPr="00C9680B" w:rsidRDefault="001C7BF9">
            <w:pPr>
              <w:pStyle w:val="Tabell"/>
              <w:keepNext/>
              <w:keepLines/>
              <w:widowControl w:val="0"/>
              <w:ind w:right="57"/>
              <w:jc w:val="right"/>
            </w:pPr>
            <w:r w:rsidRPr="00C9680B">
              <w:t>+717,1</w:t>
            </w:r>
          </w:p>
        </w:tc>
        <w:tc>
          <w:tcPr>
            <w:tcW w:w="624" w:type="dxa"/>
          </w:tcPr>
          <w:p w:rsidR="001C7BF9" w:rsidRPr="00C9680B" w:rsidRDefault="001C7BF9">
            <w:pPr>
              <w:pStyle w:val="Tabell"/>
              <w:keepNext/>
              <w:keepLines/>
              <w:widowControl w:val="0"/>
              <w:ind w:right="57"/>
              <w:jc w:val="right"/>
            </w:pPr>
            <w:r w:rsidRPr="00C9680B">
              <w:t>+731,8</w:t>
            </w:r>
          </w:p>
        </w:tc>
        <w:tc>
          <w:tcPr>
            <w:tcW w:w="624" w:type="dxa"/>
          </w:tcPr>
          <w:p w:rsidR="001C7BF9" w:rsidRPr="00C9680B" w:rsidRDefault="001C7BF9">
            <w:pPr>
              <w:pStyle w:val="Tabell"/>
              <w:keepNext/>
              <w:keepLines/>
              <w:widowControl w:val="0"/>
              <w:ind w:right="57"/>
              <w:jc w:val="right"/>
            </w:pPr>
            <w:r w:rsidRPr="00C9680B">
              <w:t>+756,3</w:t>
            </w:r>
          </w:p>
        </w:tc>
      </w:tr>
      <w:tr w:rsidR="00000000" w:rsidRPr="00C9680B">
        <w:tblPrEx>
          <w:tblCellMar>
            <w:top w:w="0" w:type="dxa"/>
            <w:left w:w="0" w:type="dxa"/>
            <w:bottom w:w="0" w:type="dxa"/>
            <w:right w:w="0" w:type="dxa"/>
          </w:tblCellMar>
        </w:tblPrEx>
        <w:tc>
          <w:tcPr>
            <w:tcW w:w="3402" w:type="dxa"/>
          </w:tcPr>
          <w:p w:rsidR="001C7BF9" w:rsidRPr="00C9680B" w:rsidRDefault="001C7BF9">
            <w:pPr>
              <w:pStyle w:val="Tabell"/>
              <w:keepNext/>
              <w:keepLines/>
              <w:widowControl w:val="0"/>
            </w:pPr>
            <w:r w:rsidRPr="00C9680B">
              <w:t>Utgifter exkl. statsskuld</w:t>
            </w:r>
            <w:r w:rsidRPr="00C9680B">
              <w:t>s</w:t>
            </w:r>
            <w:r w:rsidRPr="00C9680B">
              <w:t>räntor</w:t>
            </w:r>
          </w:p>
        </w:tc>
        <w:tc>
          <w:tcPr>
            <w:tcW w:w="624" w:type="dxa"/>
          </w:tcPr>
          <w:p w:rsidR="001C7BF9" w:rsidRPr="00C9680B" w:rsidRDefault="001C7BF9">
            <w:pPr>
              <w:pStyle w:val="Tabell"/>
              <w:keepNext/>
              <w:keepLines/>
              <w:widowControl w:val="0"/>
              <w:ind w:right="57"/>
              <w:jc w:val="right"/>
            </w:pPr>
            <w:r w:rsidRPr="00C9680B">
              <w:t>-624,4</w:t>
            </w:r>
          </w:p>
        </w:tc>
        <w:tc>
          <w:tcPr>
            <w:tcW w:w="567" w:type="dxa"/>
          </w:tcPr>
          <w:p w:rsidR="001C7BF9" w:rsidRPr="00C9680B" w:rsidRDefault="001C7BF9">
            <w:pPr>
              <w:pStyle w:val="Tabell"/>
              <w:keepNext/>
              <w:keepLines/>
              <w:widowControl w:val="0"/>
              <w:ind w:right="57"/>
              <w:jc w:val="right"/>
            </w:pPr>
            <w:r w:rsidRPr="00C9680B">
              <w:t>-643,2</w:t>
            </w:r>
          </w:p>
        </w:tc>
        <w:tc>
          <w:tcPr>
            <w:tcW w:w="624" w:type="dxa"/>
          </w:tcPr>
          <w:p w:rsidR="001C7BF9" w:rsidRPr="00C9680B" w:rsidRDefault="001C7BF9">
            <w:pPr>
              <w:pStyle w:val="Tabell"/>
              <w:keepNext/>
              <w:keepLines/>
              <w:widowControl w:val="0"/>
              <w:ind w:right="57"/>
              <w:jc w:val="right"/>
            </w:pPr>
            <w:r w:rsidRPr="00C9680B">
              <w:t>-654,7</w:t>
            </w:r>
          </w:p>
        </w:tc>
        <w:tc>
          <w:tcPr>
            <w:tcW w:w="624" w:type="dxa"/>
          </w:tcPr>
          <w:p w:rsidR="001C7BF9" w:rsidRPr="00C9680B" w:rsidRDefault="001C7BF9">
            <w:pPr>
              <w:pStyle w:val="Tabell"/>
              <w:keepNext/>
              <w:keepLines/>
              <w:widowControl w:val="0"/>
              <w:ind w:right="57"/>
              <w:jc w:val="right"/>
            </w:pPr>
            <w:r w:rsidRPr="00C9680B">
              <w:t>-677,3</w:t>
            </w:r>
          </w:p>
        </w:tc>
      </w:tr>
      <w:tr w:rsidR="00000000" w:rsidRPr="00C9680B">
        <w:tblPrEx>
          <w:tblCellMar>
            <w:top w:w="0" w:type="dxa"/>
            <w:left w:w="0" w:type="dxa"/>
            <w:bottom w:w="0" w:type="dxa"/>
            <w:right w:w="0" w:type="dxa"/>
          </w:tblCellMar>
        </w:tblPrEx>
        <w:tc>
          <w:tcPr>
            <w:tcW w:w="3402" w:type="dxa"/>
          </w:tcPr>
          <w:p w:rsidR="001C7BF9" w:rsidRPr="00C9680B" w:rsidRDefault="001C7BF9">
            <w:pPr>
              <w:pStyle w:val="Tabell"/>
              <w:keepNext/>
              <w:keepLines/>
              <w:widowControl w:val="0"/>
            </w:pPr>
            <w:r w:rsidRPr="00C9680B">
              <w:t>Statsskuldsräntor m.m.</w:t>
            </w:r>
          </w:p>
        </w:tc>
        <w:tc>
          <w:tcPr>
            <w:tcW w:w="624" w:type="dxa"/>
          </w:tcPr>
          <w:p w:rsidR="001C7BF9" w:rsidRPr="00C9680B" w:rsidRDefault="001C7BF9">
            <w:pPr>
              <w:pStyle w:val="Tabell"/>
              <w:keepNext/>
              <w:keepLines/>
              <w:widowControl w:val="0"/>
              <w:ind w:right="57"/>
              <w:jc w:val="right"/>
            </w:pPr>
            <w:r w:rsidRPr="00C9680B">
              <w:t>-88,0</w:t>
            </w:r>
          </w:p>
        </w:tc>
        <w:tc>
          <w:tcPr>
            <w:tcW w:w="567" w:type="dxa"/>
          </w:tcPr>
          <w:p w:rsidR="001C7BF9" w:rsidRPr="00C9680B" w:rsidRDefault="001C7BF9">
            <w:pPr>
              <w:pStyle w:val="Tabell"/>
              <w:keepNext/>
              <w:keepLines/>
              <w:widowControl w:val="0"/>
              <w:ind w:right="57"/>
              <w:jc w:val="right"/>
            </w:pPr>
            <w:r w:rsidRPr="00C9680B">
              <w:t>-70,9</w:t>
            </w:r>
          </w:p>
        </w:tc>
        <w:tc>
          <w:tcPr>
            <w:tcW w:w="624" w:type="dxa"/>
          </w:tcPr>
          <w:p w:rsidR="001C7BF9" w:rsidRPr="00C9680B" w:rsidRDefault="001C7BF9">
            <w:pPr>
              <w:pStyle w:val="Tabell"/>
              <w:keepNext/>
              <w:keepLines/>
              <w:widowControl w:val="0"/>
              <w:ind w:right="57"/>
              <w:jc w:val="right"/>
            </w:pPr>
            <w:r w:rsidRPr="00C9680B">
              <w:t>-65,4</w:t>
            </w:r>
          </w:p>
        </w:tc>
        <w:tc>
          <w:tcPr>
            <w:tcW w:w="624" w:type="dxa"/>
          </w:tcPr>
          <w:p w:rsidR="001C7BF9" w:rsidRPr="00C9680B" w:rsidRDefault="001C7BF9">
            <w:pPr>
              <w:pStyle w:val="Tabell"/>
              <w:keepNext/>
              <w:keepLines/>
              <w:widowControl w:val="0"/>
              <w:ind w:right="57"/>
              <w:jc w:val="right"/>
            </w:pPr>
            <w:r w:rsidRPr="00C9680B">
              <w:t>-58,1</w:t>
            </w:r>
          </w:p>
        </w:tc>
      </w:tr>
      <w:tr w:rsidR="00000000" w:rsidRPr="00C9680B">
        <w:tblPrEx>
          <w:tblCellMar>
            <w:top w:w="0" w:type="dxa"/>
            <w:left w:w="0" w:type="dxa"/>
            <w:bottom w:w="0" w:type="dxa"/>
            <w:right w:w="0" w:type="dxa"/>
          </w:tblCellMar>
        </w:tblPrEx>
        <w:tc>
          <w:tcPr>
            <w:tcW w:w="3402" w:type="dxa"/>
          </w:tcPr>
          <w:p w:rsidR="001C7BF9" w:rsidRPr="00C9680B" w:rsidRDefault="001C7BF9">
            <w:pPr>
              <w:pStyle w:val="Tabell"/>
              <w:keepNext/>
              <w:keepLines/>
              <w:widowControl w:val="0"/>
              <w:rPr>
                <w:b/>
              </w:rPr>
            </w:pPr>
            <w:r w:rsidRPr="00C9680B">
              <w:rPr>
                <w:b/>
              </w:rPr>
              <w:t>Netto</w:t>
            </w:r>
          </w:p>
        </w:tc>
        <w:tc>
          <w:tcPr>
            <w:tcW w:w="624" w:type="dxa"/>
          </w:tcPr>
          <w:p w:rsidR="001C7BF9" w:rsidRPr="00C9680B" w:rsidRDefault="001C7BF9">
            <w:pPr>
              <w:pStyle w:val="Tabell"/>
              <w:keepNext/>
              <w:keepLines/>
              <w:widowControl w:val="0"/>
              <w:ind w:right="57"/>
              <w:jc w:val="right"/>
              <w:rPr>
                <w:b/>
              </w:rPr>
            </w:pPr>
            <w:r w:rsidRPr="00C9680B">
              <w:rPr>
                <w:b/>
              </w:rPr>
              <w:t>+69,3</w:t>
            </w:r>
          </w:p>
        </w:tc>
        <w:tc>
          <w:tcPr>
            <w:tcW w:w="567" w:type="dxa"/>
          </w:tcPr>
          <w:p w:rsidR="001C7BF9" w:rsidRPr="00C9680B" w:rsidRDefault="001C7BF9">
            <w:pPr>
              <w:pStyle w:val="Tabell"/>
              <w:keepNext/>
              <w:keepLines/>
              <w:widowControl w:val="0"/>
              <w:ind w:right="57"/>
              <w:jc w:val="right"/>
              <w:rPr>
                <w:b/>
              </w:rPr>
            </w:pPr>
            <w:r w:rsidRPr="00C9680B">
              <w:rPr>
                <w:b/>
              </w:rPr>
              <w:t>+3,0</w:t>
            </w:r>
          </w:p>
        </w:tc>
        <w:tc>
          <w:tcPr>
            <w:tcW w:w="624" w:type="dxa"/>
          </w:tcPr>
          <w:p w:rsidR="001C7BF9" w:rsidRPr="00C9680B" w:rsidRDefault="001C7BF9">
            <w:pPr>
              <w:pStyle w:val="Tabell"/>
              <w:keepNext/>
              <w:keepLines/>
              <w:widowControl w:val="0"/>
              <w:ind w:right="57"/>
              <w:jc w:val="right"/>
              <w:rPr>
                <w:b/>
              </w:rPr>
            </w:pPr>
            <w:r w:rsidRPr="00C9680B">
              <w:rPr>
                <w:b/>
              </w:rPr>
              <w:t>+11,7</w:t>
            </w:r>
          </w:p>
        </w:tc>
        <w:tc>
          <w:tcPr>
            <w:tcW w:w="624" w:type="dxa"/>
          </w:tcPr>
          <w:p w:rsidR="001C7BF9" w:rsidRPr="00C9680B" w:rsidRDefault="001C7BF9">
            <w:pPr>
              <w:pStyle w:val="Tabell"/>
              <w:keepNext/>
              <w:keepLines/>
              <w:widowControl w:val="0"/>
              <w:ind w:right="57"/>
              <w:jc w:val="right"/>
              <w:rPr>
                <w:b/>
              </w:rPr>
            </w:pPr>
            <w:r w:rsidRPr="00C9680B">
              <w:rPr>
                <w:b/>
              </w:rPr>
              <w:t>+20,9</w:t>
            </w:r>
          </w:p>
        </w:tc>
      </w:tr>
      <w:tr w:rsidR="00000000" w:rsidRPr="00C9680B">
        <w:tblPrEx>
          <w:tblCellMar>
            <w:top w:w="0" w:type="dxa"/>
            <w:left w:w="0" w:type="dxa"/>
            <w:bottom w:w="0" w:type="dxa"/>
            <w:right w:w="0" w:type="dxa"/>
          </w:tblCellMar>
        </w:tblPrEx>
        <w:tc>
          <w:tcPr>
            <w:tcW w:w="3402" w:type="dxa"/>
          </w:tcPr>
          <w:p w:rsidR="001C7BF9" w:rsidRPr="00C9680B" w:rsidRDefault="001C7BF9">
            <w:pPr>
              <w:pStyle w:val="Tabell"/>
              <w:keepNext/>
              <w:keepLines/>
              <w:widowControl w:val="0"/>
            </w:pPr>
            <w:r w:rsidRPr="00C9680B">
              <w:t>Riksgäldskontorets nettoutlåning m.m.</w:t>
            </w:r>
          </w:p>
        </w:tc>
        <w:tc>
          <w:tcPr>
            <w:tcW w:w="624" w:type="dxa"/>
          </w:tcPr>
          <w:p w:rsidR="001C7BF9" w:rsidRPr="00C9680B" w:rsidRDefault="001C7BF9">
            <w:pPr>
              <w:pStyle w:val="Tabell"/>
              <w:keepNext/>
              <w:keepLines/>
              <w:widowControl w:val="0"/>
              <w:ind w:right="57"/>
              <w:jc w:val="right"/>
            </w:pPr>
            <w:r w:rsidRPr="00C9680B">
              <w:t>-38,1</w:t>
            </w:r>
          </w:p>
        </w:tc>
        <w:tc>
          <w:tcPr>
            <w:tcW w:w="567" w:type="dxa"/>
          </w:tcPr>
          <w:p w:rsidR="001C7BF9" w:rsidRPr="00C9680B" w:rsidRDefault="001C7BF9">
            <w:pPr>
              <w:pStyle w:val="Tabell"/>
              <w:keepNext/>
              <w:keepLines/>
              <w:widowControl w:val="0"/>
              <w:ind w:right="57"/>
              <w:jc w:val="right"/>
            </w:pPr>
            <w:r w:rsidRPr="00C9680B">
              <w:t>-8,3</w:t>
            </w:r>
          </w:p>
        </w:tc>
        <w:tc>
          <w:tcPr>
            <w:tcW w:w="624" w:type="dxa"/>
          </w:tcPr>
          <w:p w:rsidR="001C7BF9" w:rsidRPr="00C9680B" w:rsidRDefault="001C7BF9">
            <w:pPr>
              <w:pStyle w:val="Tabell"/>
              <w:keepNext/>
              <w:keepLines/>
              <w:widowControl w:val="0"/>
              <w:ind w:right="57"/>
              <w:jc w:val="right"/>
            </w:pPr>
            <w:r w:rsidRPr="00C9680B">
              <w:t>-7,5</w:t>
            </w:r>
          </w:p>
        </w:tc>
        <w:tc>
          <w:tcPr>
            <w:tcW w:w="624" w:type="dxa"/>
          </w:tcPr>
          <w:p w:rsidR="001C7BF9" w:rsidRPr="00C9680B" w:rsidRDefault="001C7BF9">
            <w:pPr>
              <w:pStyle w:val="Tabell"/>
              <w:keepNext/>
              <w:keepLines/>
              <w:widowControl w:val="0"/>
              <w:ind w:right="57"/>
              <w:jc w:val="right"/>
            </w:pPr>
            <w:r w:rsidRPr="00C9680B">
              <w:t>-7,8</w:t>
            </w:r>
          </w:p>
        </w:tc>
      </w:tr>
      <w:tr w:rsidR="00000000" w:rsidRPr="00C9680B">
        <w:tblPrEx>
          <w:tblCellMar>
            <w:top w:w="0" w:type="dxa"/>
            <w:left w:w="0" w:type="dxa"/>
            <w:bottom w:w="0" w:type="dxa"/>
            <w:right w:w="0" w:type="dxa"/>
          </w:tblCellMar>
        </w:tblPrEx>
        <w:tc>
          <w:tcPr>
            <w:tcW w:w="3402" w:type="dxa"/>
          </w:tcPr>
          <w:p w:rsidR="001C7BF9" w:rsidRPr="00C9680B" w:rsidRDefault="001C7BF9">
            <w:pPr>
              <w:pStyle w:val="Tabell"/>
              <w:keepNext/>
              <w:keepLines/>
              <w:widowControl w:val="0"/>
            </w:pPr>
            <w:r w:rsidRPr="00C9680B">
              <w:t>Överföring från AP-fonden¹</w:t>
            </w:r>
          </w:p>
        </w:tc>
        <w:tc>
          <w:tcPr>
            <w:tcW w:w="624" w:type="dxa"/>
          </w:tcPr>
          <w:p w:rsidR="001C7BF9" w:rsidRPr="00C9680B" w:rsidRDefault="001C7BF9">
            <w:pPr>
              <w:pStyle w:val="Tabell"/>
              <w:keepNext/>
              <w:keepLines/>
              <w:widowControl w:val="0"/>
              <w:ind w:right="57"/>
              <w:jc w:val="right"/>
            </w:pPr>
            <w:r w:rsidRPr="00C9680B">
              <w:t>+45,0</w:t>
            </w:r>
          </w:p>
        </w:tc>
        <w:tc>
          <w:tcPr>
            <w:tcW w:w="567" w:type="dxa"/>
          </w:tcPr>
          <w:p w:rsidR="001C7BF9" w:rsidRPr="00C9680B" w:rsidRDefault="001C7BF9">
            <w:pPr>
              <w:pStyle w:val="Tabell"/>
              <w:keepNext/>
              <w:keepLines/>
              <w:widowControl w:val="0"/>
              <w:ind w:right="57"/>
              <w:jc w:val="right"/>
            </w:pPr>
            <w:r w:rsidRPr="00C9680B">
              <w:t>+45,7</w:t>
            </w:r>
          </w:p>
        </w:tc>
        <w:tc>
          <w:tcPr>
            <w:tcW w:w="624" w:type="dxa"/>
          </w:tcPr>
          <w:p w:rsidR="001C7BF9" w:rsidRPr="00C9680B" w:rsidRDefault="001C7BF9">
            <w:pPr>
              <w:pStyle w:val="Tabell"/>
              <w:keepNext/>
              <w:keepLines/>
              <w:widowControl w:val="0"/>
              <w:ind w:right="57"/>
              <w:jc w:val="right"/>
            </w:pPr>
            <w:r w:rsidRPr="00C9680B">
              <w:t>+8,7</w:t>
            </w:r>
          </w:p>
        </w:tc>
        <w:tc>
          <w:tcPr>
            <w:tcW w:w="624" w:type="dxa"/>
          </w:tcPr>
          <w:p w:rsidR="001C7BF9" w:rsidRPr="00C9680B" w:rsidRDefault="001C7BF9">
            <w:pPr>
              <w:pStyle w:val="Tabell"/>
              <w:keepNext/>
              <w:keepLines/>
              <w:widowControl w:val="0"/>
              <w:ind w:right="57"/>
              <w:jc w:val="right"/>
            </w:pPr>
            <w:r w:rsidRPr="00C9680B">
              <w:t>+13,7</w:t>
            </w:r>
          </w:p>
        </w:tc>
      </w:tr>
      <w:tr w:rsidR="00000000" w:rsidRPr="00C9680B">
        <w:tblPrEx>
          <w:tblCellMar>
            <w:top w:w="0" w:type="dxa"/>
            <w:left w:w="0" w:type="dxa"/>
            <w:bottom w:w="0" w:type="dxa"/>
            <w:right w:w="0" w:type="dxa"/>
          </w:tblCellMar>
        </w:tblPrEx>
        <w:tc>
          <w:tcPr>
            <w:tcW w:w="3402" w:type="dxa"/>
          </w:tcPr>
          <w:p w:rsidR="001C7BF9" w:rsidRPr="00C9680B" w:rsidRDefault="001C7BF9">
            <w:pPr>
              <w:pStyle w:val="Tabell"/>
              <w:keepNext/>
              <w:keepLines/>
              <w:widowControl w:val="0"/>
            </w:pPr>
            <w:r w:rsidRPr="00C9680B">
              <w:t>Beräkningsteknisk överföring</w:t>
            </w:r>
          </w:p>
        </w:tc>
        <w:tc>
          <w:tcPr>
            <w:tcW w:w="624" w:type="dxa"/>
          </w:tcPr>
          <w:p w:rsidR="001C7BF9" w:rsidRPr="00C9680B" w:rsidRDefault="001C7BF9">
            <w:pPr>
              <w:pStyle w:val="Tabell"/>
              <w:keepNext/>
              <w:keepLines/>
              <w:widowControl w:val="0"/>
              <w:ind w:right="57"/>
              <w:jc w:val="right"/>
            </w:pPr>
            <w:r w:rsidRPr="00C9680B">
              <w:t>–</w:t>
            </w:r>
          </w:p>
        </w:tc>
        <w:tc>
          <w:tcPr>
            <w:tcW w:w="567" w:type="dxa"/>
          </w:tcPr>
          <w:p w:rsidR="001C7BF9" w:rsidRPr="00C9680B" w:rsidRDefault="001C7BF9">
            <w:pPr>
              <w:pStyle w:val="Tabell"/>
              <w:keepNext/>
              <w:keepLines/>
              <w:widowControl w:val="0"/>
              <w:ind w:right="57"/>
              <w:jc w:val="right"/>
            </w:pPr>
            <w:r w:rsidRPr="00C9680B">
              <w:t>–</w:t>
            </w:r>
          </w:p>
        </w:tc>
        <w:tc>
          <w:tcPr>
            <w:tcW w:w="624" w:type="dxa"/>
          </w:tcPr>
          <w:p w:rsidR="001C7BF9" w:rsidRPr="00C9680B" w:rsidRDefault="001C7BF9">
            <w:pPr>
              <w:pStyle w:val="Tabell"/>
              <w:keepNext/>
              <w:keepLines/>
              <w:widowControl w:val="0"/>
              <w:ind w:right="57"/>
              <w:jc w:val="right"/>
            </w:pPr>
            <w:r w:rsidRPr="00C9680B">
              <w:t>-29,5</w:t>
            </w:r>
          </w:p>
        </w:tc>
        <w:tc>
          <w:tcPr>
            <w:tcW w:w="624" w:type="dxa"/>
          </w:tcPr>
          <w:p w:rsidR="001C7BF9" w:rsidRPr="00C9680B" w:rsidRDefault="001C7BF9">
            <w:pPr>
              <w:pStyle w:val="Tabell"/>
              <w:keepNext/>
              <w:keepLines/>
              <w:widowControl w:val="0"/>
              <w:ind w:right="57"/>
              <w:jc w:val="right"/>
            </w:pPr>
            <w:r w:rsidRPr="00C9680B">
              <w:t>-36,8</w:t>
            </w:r>
          </w:p>
        </w:tc>
      </w:tr>
      <w:tr w:rsidR="00000000" w:rsidRPr="00C9680B">
        <w:tblPrEx>
          <w:tblCellMar>
            <w:top w:w="0" w:type="dxa"/>
            <w:left w:w="0" w:type="dxa"/>
            <w:bottom w:w="0" w:type="dxa"/>
            <w:right w:w="0" w:type="dxa"/>
          </w:tblCellMar>
        </w:tblPrEx>
        <w:tc>
          <w:tcPr>
            <w:tcW w:w="3402" w:type="dxa"/>
          </w:tcPr>
          <w:p w:rsidR="001C7BF9" w:rsidRPr="00C9680B" w:rsidRDefault="001C7BF9">
            <w:pPr>
              <w:pStyle w:val="Tabell"/>
              <w:keepNext/>
              <w:keepLines/>
              <w:widowControl w:val="0"/>
              <w:rPr>
                <w:b/>
              </w:rPr>
            </w:pPr>
            <w:r w:rsidRPr="00C9680B">
              <w:rPr>
                <w:b/>
              </w:rPr>
              <w:t>Amortering av statssku</w:t>
            </w:r>
            <w:r w:rsidRPr="00C9680B">
              <w:rPr>
                <w:b/>
              </w:rPr>
              <w:t>l</w:t>
            </w:r>
            <w:r w:rsidRPr="00C9680B">
              <w:rPr>
                <w:b/>
              </w:rPr>
              <w:t>den</w:t>
            </w:r>
          </w:p>
        </w:tc>
        <w:tc>
          <w:tcPr>
            <w:tcW w:w="624" w:type="dxa"/>
          </w:tcPr>
          <w:p w:rsidR="001C7BF9" w:rsidRPr="00C9680B" w:rsidRDefault="001C7BF9">
            <w:pPr>
              <w:pStyle w:val="Tabell"/>
              <w:keepNext/>
              <w:keepLines/>
              <w:widowControl w:val="0"/>
              <w:ind w:right="57"/>
              <w:jc w:val="right"/>
              <w:rPr>
                <w:b/>
              </w:rPr>
            </w:pPr>
            <w:r w:rsidRPr="00C9680B">
              <w:rPr>
                <w:b/>
              </w:rPr>
              <w:t>76,2</w:t>
            </w:r>
          </w:p>
        </w:tc>
        <w:tc>
          <w:tcPr>
            <w:tcW w:w="567" w:type="dxa"/>
          </w:tcPr>
          <w:p w:rsidR="001C7BF9" w:rsidRPr="00C9680B" w:rsidRDefault="001C7BF9">
            <w:pPr>
              <w:pStyle w:val="Tabell"/>
              <w:keepNext/>
              <w:keepLines/>
              <w:widowControl w:val="0"/>
              <w:ind w:right="57"/>
              <w:jc w:val="right"/>
              <w:rPr>
                <w:b/>
              </w:rPr>
            </w:pPr>
            <w:r w:rsidRPr="00C9680B">
              <w:rPr>
                <w:b/>
              </w:rPr>
              <w:t>40,5</w:t>
            </w:r>
          </w:p>
        </w:tc>
        <w:tc>
          <w:tcPr>
            <w:tcW w:w="624" w:type="dxa"/>
          </w:tcPr>
          <w:p w:rsidR="001C7BF9" w:rsidRPr="00C9680B" w:rsidRDefault="001C7BF9">
            <w:pPr>
              <w:pStyle w:val="Tabell"/>
              <w:keepNext/>
              <w:keepLines/>
              <w:widowControl w:val="0"/>
              <w:ind w:right="57"/>
              <w:jc w:val="right"/>
              <w:rPr>
                <w:b/>
              </w:rPr>
            </w:pPr>
            <w:r w:rsidRPr="00C9680B">
              <w:rPr>
                <w:b/>
              </w:rPr>
              <w:t>-16,6</w:t>
            </w:r>
          </w:p>
        </w:tc>
        <w:tc>
          <w:tcPr>
            <w:tcW w:w="624" w:type="dxa"/>
          </w:tcPr>
          <w:p w:rsidR="001C7BF9" w:rsidRPr="00C9680B" w:rsidRDefault="001C7BF9">
            <w:pPr>
              <w:pStyle w:val="Tabell"/>
              <w:keepNext/>
              <w:keepLines/>
              <w:widowControl w:val="0"/>
              <w:ind w:right="57"/>
              <w:jc w:val="right"/>
              <w:rPr>
                <w:b/>
              </w:rPr>
            </w:pPr>
            <w:r w:rsidRPr="00C9680B">
              <w:rPr>
                <w:b/>
              </w:rPr>
              <w:t>-10,0</w:t>
            </w:r>
          </w:p>
        </w:tc>
      </w:tr>
      <w:tr w:rsidR="00000000" w:rsidRPr="00C9680B">
        <w:tblPrEx>
          <w:tblCellMar>
            <w:top w:w="0" w:type="dxa"/>
            <w:left w:w="0" w:type="dxa"/>
            <w:bottom w:w="0" w:type="dxa"/>
            <w:right w:w="0" w:type="dxa"/>
          </w:tblCellMar>
        </w:tblPrEx>
        <w:trPr>
          <w:trHeight w:hRule="exact" w:val="80"/>
        </w:trPr>
        <w:tc>
          <w:tcPr>
            <w:tcW w:w="3402" w:type="dxa"/>
            <w:tcBorders>
              <w:bottom w:val="single" w:sz="4" w:space="0" w:color="auto"/>
            </w:tcBorders>
          </w:tcPr>
          <w:p w:rsidR="001C7BF9" w:rsidRPr="00C9680B" w:rsidRDefault="001C7BF9">
            <w:pPr>
              <w:pStyle w:val="Tabell"/>
              <w:keepNext/>
              <w:keepLines/>
              <w:widowControl w:val="0"/>
            </w:pPr>
          </w:p>
        </w:tc>
        <w:tc>
          <w:tcPr>
            <w:tcW w:w="624" w:type="dxa"/>
            <w:tcBorders>
              <w:bottom w:val="single" w:sz="4" w:space="0" w:color="auto"/>
            </w:tcBorders>
          </w:tcPr>
          <w:p w:rsidR="001C7BF9" w:rsidRPr="00C9680B" w:rsidRDefault="001C7BF9">
            <w:pPr>
              <w:pStyle w:val="Tabell"/>
              <w:keepNext/>
              <w:keepLines/>
              <w:widowControl w:val="0"/>
              <w:ind w:right="57"/>
              <w:jc w:val="right"/>
            </w:pPr>
          </w:p>
        </w:tc>
        <w:tc>
          <w:tcPr>
            <w:tcW w:w="567" w:type="dxa"/>
            <w:tcBorders>
              <w:bottom w:val="single" w:sz="4" w:space="0" w:color="auto"/>
            </w:tcBorders>
          </w:tcPr>
          <w:p w:rsidR="001C7BF9" w:rsidRPr="00C9680B" w:rsidRDefault="001C7BF9">
            <w:pPr>
              <w:pStyle w:val="Tabell"/>
              <w:keepNext/>
              <w:keepLines/>
              <w:widowControl w:val="0"/>
              <w:ind w:right="57"/>
              <w:jc w:val="right"/>
            </w:pPr>
          </w:p>
        </w:tc>
        <w:tc>
          <w:tcPr>
            <w:tcW w:w="624" w:type="dxa"/>
            <w:tcBorders>
              <w:bottom w:val="single" w:sz="4" w:space="0" w:color="auto"/>
            </w:tcBorders>
          </w:tcPr>
          <w:p w:rsidR="001C7BF9" w:rsidRPr="00C9680B" w:rsidRDefault="001C7BF9">
            <w:pPr>
              <w:pStyle w:val="Tabell"/>
              <w:keepNext/>
              <w:keepLines/>
              <w:widowControl w:val="0"/>
              <w:ind w:right="57"/>
              <w:jc w:val="right"/>
            </w:pPr>
          </w:p>
        </w:tc>
        <w:tc>
          <w:tcPr>
            <w:tcW w:w="624" w:type="dxa"/>
            <w:tcBorders>
              <w:bottom w:val="single" w:sz="4" w:space="0" w:color="auto"/>
            </w:tcBorders>
          </w:tcPr>
          <w:p w:rsidR="001C7BF9" w:rsidRPr="00C9680B" w:rsidRDefault="001C7BF9">
            <w:pPr>
              <w:pStyle w:val="Tabell"/>
              <w:keepNext/>
              <w:keepLines/>
              <w:widowControl w:val="0"/>
              <w:ind w:right="57"/>
              <w:jc w:val="right"/>
            </w:pPr>
          </w:p>
        </w:tc>
      </w:tr>
    </w:tbl>
    <w:p w:rsidR="001C7BF9" w:rsidRPr="00C9680B" w:rsidRDefault="001C7BF9">
      <w:pPr>
        <w:pStyle w:val="Tabell"/>
        <w:keepLines/>
        <w:widowControl w:val="0"/>
        <w:ind w:left="142" w:hanging="142"/>
        <w:rPr>
          <w:sz w:val="16"/>
        </w:rPr>
      </w:pPr>
      <w:r w:rsidRPr="00C9680B">
        <w:t xml:space="preserve">¹ </w:t>
      </w:r>
      <w:r w:rsidRPr="00C9680B">
        <w:rPr>
          <w:sz w:val="16"/>
        </w:rPr>
        <w:t>Överföringen från AP-fonden under 2001–2003 enligt regeringens beslut den 19 oktober 2000.</w:t>
      </w:r>
    </w:p>
    <w:p w:rsidR="001C7BF9" w:rsidRPr="00C9680B" w:rsidRDefault="001C7BF9">
      <w:pPr>
        <w:spacing w:before="187"/>
      </w:pPr>
      <w:r w:rsidRPr="00C9680B">
        <w:rPr>
          <w:snapToGrid w:val="0"/>
          <w:lang w:eastAsia="sv-SE"/>
        </w:rPr>
        <w:t>Regeringen har vid utformningen av sitt budgetförslag förutsatt att tidigare beslutade utgiftstak för 2001–2003 i princip skall ligga fast. Dock föreslås att man skall göra en teknisk anpassning av utgiftstaket med hänsyn till att beh</w:t>
      </w:r>
      <w:r w:rsidRPr="00C9680B">
        <w:rPr>
          <w:snapToGrid w:val="0"/>
          <w:lang w:eastAsia="sv-SE"/>
        </w:rPr>
        <w:t>o</w:t>
      </w:r>
      <w:r w:rsidRPr="00C9680B">
        <w:rPr>
          <w:snapToGrid w:val="0"/>
          <w:lang w:eastAsia="sv-SE"/>
        </w:rPr>
        <w:t xml:space="preserve">vet av generella statsbidrag till kommunerna minskar med netto 3 miljarder kronor </w:t>
      </w:r>
      <w:r w:rsidRPr="00C9680B">
        <w:t xml:space="preserve">till följd av föreslagna inkomstskatteändringar. </w:t>
      </w:r>
      <w:r w:rsidRPr="00C9680B">
        <w:rPr>
          <w:snapToGrid w:val="0"/>
          <w:lang w:eastAsia="sv-SE"/>
        </w:rPr>
        <w:t>Efter denna anpassning har utgiftstaket för staten följande sammansättning i regeringens budgetfö</w:t>
      </w:r>
      <w:r w:rsidRPr="00C9680B">
        <w:rPr>
          <w:snapToGrid w:val="0"/>
          <w:lang w:eastAsia="sv-SE"/>
        </w:rPr>
        <w:t>r</w:t>
      </w:r>
      <w:r w:rsidRPr="00C9680B">
        <w:rPr>
          <w:snapToGrid w:val="0"/>
          <w:lang w:eastAsia="sv-SE"/>
        </w:rPr>
        <w:t>slag.</w:t>
      </w:r>
    </w:p>
    <w:p w:rsidR="001C7BF9" w:rsidRPr="00C9680B" w:rsidRDefault="001C7BF9">
      <w:pPr>
        <w:pStyle w:val="TabellrubrikPer"/>
        <w:keepNext/>
        <w:widowControl w:val="0"/>
        <w:spacing w:line="190" w:lineRule="exact"/>
        <w:outlineLvl w:val="0"/>
        <w:rPr>
          <w:b/>
          <w:caps w:val="0"/>
          <w:spacing w:val="0"/>
          <w:sz w:val="17"/>
        </w:rPr>
      </w:pPr>
      <w:bookmarkStart w:id="168" w:name="_Toc403914261"/>
      <w:bookmarkStart w:id="169" w:name="_Toc421506202"/>
      <w:r w:rsidRPr="00C9680B">
        <w:rPr>
          <w:b/>
          <w:caps w:val="0"/>
          <w:spacing w:val="0"/>
          <w:sz w:val="17"/>
        </w:rPr>
        <w:t>Tabell 14. Utgiftstak för staten 2001–2003</w:t>
      </w:r>
      <w:bookmarkEnd w:id="168"/>
      <w:r w:rsidRPr="00C9680B">
        <w:rPr>
          <w:b/>
          <w:caps w:val="0"/>
          <w:spacing w:val="0"/>
          <w:sz w:val="17"/>
        </w:rPr>
        <w:t xml:space="preserve"> enligt regeringens budgetfö</w:t>
      </w:r>
      <w:r w:rsidRPr="00C9680B">
        <w:rPr>
          <w:b/>
          <w:caps w:val="0"/>
          <w:spacing w:val="0"/>
          <w:sz w:val="17"/>
        </w:rPr>
        <w:t>r</w:t>
      </w:r>
      <w:r w:rsidRPr="00C9680B">
        <w:rPr>
          <w:b/>
          <w:caps w:val="0"/>
          <w:spacing w:val="0"/>
          <w:sz w:val="17"/>
        </w:rPr>
        <w:t>slag</w:t>
      </w:r>
      <w:bookmarkEnd w:id="169"/>
    </w:p>
    <w:p w:rsidR="001C7BF9" w:rsidRPr="00C9680B" w:rsidRDefault="001C7BF9">
      <w:pPr>
        <w:pStyle w:val="Tabell"/>
        <w:keepNext/>
        <w:widowControl w:val="0"/>
        <w:spacing w:after="40" w:line="190" w:lineRule="exact"/>
        <w:outlineLvl w:val="0"/>
        <w:rPr>
          <w:sz w:val="14"/>
        </w:rPr>
      </w:pPr>
      <w:r w:rsidRPr="00C9680B">
        <w:rPr>
          <w:sz w:val="14"/>
        </w:rPr>
        <w:t>Belopp i miljarder kronor</w:t>
      </w:r>
    </w:p>
    <w:tbl>
      <w:tblPr>
        <w:tblW w:w="0" w:type="auto"/>
        <w:tblLayout w:type="fixed"/>
        <w:tblCellMar>
          <w:left w:w="0" w:type="dxa"/>
          <w:right w:w="0" w:type="dxa"/>
        </w:tblCellMar>
        <w:tblLook w:val="0000" w:firstRow="0" w:lastRow="0" w:firstColumn="0" w:lastColumn="0" w:noHBand="0" w:noVBand="0"/>
      </w:tblPr>
      <w:tblGrid>
        <w:gridCol w:w="4111"/>
        <w:gridCol w:w="567"/>
        <w:gridCol w:w="567"/>
        <w:gridCol w:w="567"/>
      </w:tblGrid>
      <w:tr w:rsidR="00000000" w:rsidRPr="00C9680B">
        <w:tblPrEx>
          <w:tblCellMar>
            <w:top w:w="0" w:type="dxa"/>
            <w:left w:w="0" w:type="dxa"/>
            <w:bottom w:w="0" w:type="dxa"/>
            <w:right w:w="0" w:type="dxa"/>
          </w:tblCellMar>
        </w:tblPrEx>
        <w:tc>
          <w:tcPr>
            <w:tcW w:w="4111" w:type="dxa"/>
            <w:tcBorders>
              <w:top w:val="single" w:sz="4" w:space="0" w:color="auto"/>
              <w:bottom w:val="single" w:sz="6" w:space="0" w:color="auto"/>
            </w:tcBorders>
          </w:tcPr>
          <w:p w:rsidR="001C7BF9" w:rsidRPr="00C9680B" w:rsidRDefault="001C7BF9">
            <w:pPr>
              <w:pStyle w:val="Tabell"/>
              <w:keepNext/>
              <w:widowControl w:val="0"/>
              <w:rPr>
                <w:b/>
              </w:rPr>
            </w:pPr>
          </w:p>
        </w:tc>
        <w:tc>
          <w:tcPr>
            <w:tcW w:w="567" w:type="dxa"/>
            <w:tcBorders>
              <w:top w:val="single" w:sz="4" w:space="0" w:color="auto"/>
              <w:bottom w:val="single" w:sz="6" w:space="0" w:color="auto"/>
            </w:tcBorders>
          </w:tcPr>
          <w:p w:rsidR="001C7BF9" w:rsidRPr="00C9680B" w:rsidRDefault="001C7BF9">
            <w:pPr>
              <w:pStyle w:val="Tabell"/>
              <w:keepNext/>
              <w:widowControl w:val="0"/>
              <w:ind w:right="57"/>
              <w:jc w:val="right"/>
              <w:rPr>
                <w:b/>
              </w:rPr>
            </w:pPr>
            <w:r w:rsidRPr="00C9680B">
              <w:rPr>
                <w:b/>
              </w:rPr>
              <w:t>2001</w:t>
            </w:r>
          </w:p>
        </w:tc>
        <w:tc>
          <w:tcPr>
            <w:tcW w:w="567" w:type="dxa"/>
            <w:tcBorders>
              <w:top w:val="single" w:sz="4" w:space="0" w:color="auto"/>
              <w:bottom w:val="single" w:sz="6" w:space="0" w:color="auto"/>
            </w:tcBorders>
          </w:tcPr>
          <w:p w:rsidR="001C7BF9" w:rsidRPr="00C9680B" w:rsidRDefault="001C7BF9">
            <w:pPr>
              <w:pStyle w:val="Tabell"/>
              <w:keepNext/>
              <w:widowControl w:val="0"/>
              <w:ind w:right="57"/>
              <w:jc w:val="right"/>
              <w:rPr>
                <w:b/>
              </w:rPr>
            </w:pPr>
            <w:r w:rsidRPr="00C9680B">
              <w:rPr>
                <w:b/>
              </w:rPr>
              <w:t>2002</w:t>
            </w:r>
          </w:p>
        </w:tc>
        <w:tc>
          <w:tcPr>
            <w:tcW w:w="567" w:type="dxa"/>
            <w:tcBorders>
              <w:top w:val="single" w:sz="4" w:space="0" w:color="auto"/>
              <w:bottom w:val="single" w:sz="6" w:space="0" w:color="auto"/>
            </w:tcBorders>
          </w:tcPr>
          <w:p w:rsidR="001C7BF9" w:rsidRPr="00C9680B" w:rsidRDefault="001C7BF9">
            <w:pPr>
              <w:pStyle w:val="Tabell"/>
              <w:keepNext/>
              <w:widowControl w:val="0"/>
              <w:ind w:right="57"/>
              <w:jc w:val="right"/>
              <w:rPr>
                <w:b/>
              </w:rPr>
            </w:pPr>
            <w:r w:rsidRPr="00C9680B">
              <w:rPr>
                <w:b/>
              </w:rPr>
              <w:t>2003</w:t>
            </w:r>
          </w:p>
        </w:tc>
      </w:tr>
      <w:tr w:rsidR="00000000" w:rsidRPr="00C9680B">
        <w:tblPrEx>
          <w:tblCellMar>
            <w:top w:w="0" w:type="dxa"/>
            <w:left w:w="0" w:type="dxa"/>
            <w:bottom w:w="0" w:type="dxa"/>
            <w:right w:w="0" w:type="dxa"/>
          </w:tblCellMar>
        </w:tblPrEx>
        <w:trPr>
          <w:trHeight w:hRule="exact" w:val="60"/>
        </w:trPr>
        <w:tc>
          <w:tcPr>
            <w:tcW w:w="4111" w:type="dxa"/>
          </w:tcPr>
          <w:p w:rsidR="001C7BF9" w:rsidRPr="00C9680B" w:rsidRDefault="001C7BF9">
            <w:pPr>
              <w:pStyle w:val="Tabell"/>
              <w:keepNext/>
              <w:widowControl w:val="0"/>
              <w:spacing w:line="240" w:lineRule="auto"/>
            </w:pPr>
          </w:p>
        </w:tc>
        <w:tc>
          <w:tcPr>
            <w:tcW w:w="567" w:type="dxa"/>
          </w:tcPr>
          <w:p w:rsidR="001C7BF9" w:rsidRPr="00C9680B" w:rsidRDefault="001C7BF9">
            <w:pPr>
              <w:pStyle w:val="Tabell"/>
              <w:keepNext/>
              <w:widowControl w:val="0"/>
              <w:spacing w:line="240" w:lineRule="auto"/>
              <w:ind w:right="57"/>
              <w:jc w:val="right"/>
            </w:pPr>
          </w:p>
        </w:tc>
        <w:tc>
          <w:tcPr>
            <w:tcW w:w="567" w:type="dxa"/>
          </w:tcPr>
          <w:p w:rsidR="001C7BF9" w:rsidRPr="00C9680B" w:rsidRDefault="001C7BF9">
            <w:pPr>
              <w:pStyle w:val="Tabell"/>
              <w:keepNext/>
              <w:widowControl w:val="0"/>
              <w:spacing w:line="240" w:lineRule="auto"/>
              <w:ind w:right="57"/>
              <w:jc w:val="right"/>
            </w:pPr>
          </w:p>
        </w:tc>
        <w:tc>
          <w:tcPr>
            <w:tcW w:w="567" w:type="dxa"/>
          </w:tcPr>
          <w:p w:rsidR="001C7BF9" w:rsidRPr="00C9680B" w:rsidRDefault="001C7BF9">
            <w:pPr>
              <w:pStyle w:val="Tabell"/>
              <w:keepNext/>
              <w:widowControl w:val="0"/>
              <w:spacing w:line="240" w:lineRule="auto"/>
              <w:ind w:right="57"/>
              <w:jc w:val="right"/>
            </w:pPr>
          </w:p>
        </w:tc>
      </w:tr>
      <w:tr w:rsidR="00000000" w:rsidRPr="00C9680B">
        <w:tblPrEx>
          <w:tblCellMar>
            <w:top w:w="0" w:type="dxa"/>
            <w:left w:w="0" w:type="dxa"/>
            <w:bottom w:w="0" w:type="dxa"/>
            <w:right w:w="0" w:type="dxa"/>
          </w:tblCellMar>
        </w:tblPrEx>
        <w:tc>
          <w:tcPr>
            <w:tcW w:w="4111" w:type="dxa"/>
          </w:tcPr>
          <w:p w:rsidR="001C7BF9" w:rsidRPr="00C9680B" w:rsidRDefault="001C7BF9">
            <w:pPr>
              <w:pStyle w:val="Tabell"/>
              <w:keepNext/>
              <w:widowControl w:val="0"/>
              <w:spacing w:line="240" w:lineRule="auto"/>
            </w:pPr>
            <w:r w:rsidRPr="00C9680B">
              <w:t>Summa utgiftsområden exkl. statsskuldsrä</w:t>
            </w:r>
            <w:r w:rsidRPr="00C9680B">
              <w:t>n</w:t>
            </w:r>
            <w:r w:rsidRPr="00C9680B">
              <w:t>tor</w:t>
            </w:r>
          </w:p>
        </w:tc>
        <w:tc>
          <w:tcPr>
            <w:tcW w:w="567" w:type="dxa"/>
          </w:tcPr>
          <w:p w:rsidR="001C7BF9" w:rsidRPr="00C9680B" w:rsidRDefault="001C7BF9">
            <w:pPr>
              <w:pStyle w:val="Tabell"/>
              <w:keepNext/>
              <w:widowControl w:val="0"/>
              <w:spacing w:line="240" w:lineRule="auto"/>
              <w:ind w:right="57"/>
              <w:jc w:val="right"/>
            </w:pPr>
            <w:r w:rsidRPr="00C9680B">
              <w:t>640,2</w:t>
            </w:r>
          </w:p>
        </w:tc>
        <w:tc>
          <w:tcPr>
            <w:tcW w:w="567" w:type="dxa"/>
          </w:tcPr>
          <w:p w:rsidR="001C7BF9" w:rsidRPr="00C9680B" w:rsidRDefault="001C7BF9">
            <w:pPr>
              <w:pStyle w:val="Tabell"/>
              <w:keepNext/>
              <w:widowControl w:val="0"/>
              <w:spacing w:line="240" w:lineRule="auto"/>
              <w:ind w:right="57"/>
              <w:jc w:val="right"/>
            </w:pPr>
            <w:r w:rsidRPr="00C9680B">
              <w:t>650,2</w:t>
            </w:r>
          </w:p>
        </w:tc>
        <w:tc>
          <w:tcPr>
            <w:tcW w:w="567" w:type="dxa"/>
          </w:tcPr>
          <w:p w:rsidR="001C7BF9" w:rsidRPr="00C9680B" w:rsidRDefault="001C7BF9">
            <w:pPr>
              <w:pStyle w:val="Tabell"/>
              <w:keepNext/>
              <w:widowControl w:val="0"/>
              <w:spacing w:line="240" w:lineRule="auto"/>
              <w:ind w:right="57"/>
              <w:jc w:val="right"/>
            </w:pPr>
            <w:r w:rsidRPr="00C9680B">
              <w:t>673,3</w:t>
            </w:r>
          </w:p>
        </w:tc>
      </w:tr>
      <w:tr w:rsidR="00000000" w:rsidRPr="00C9680B">
        <w:tblPrEx>
          <w:tblCellMar>
            <w:top w:w="0" w:type="dxa"/>
            <w:left w:w="0" w:type="dxa"/>
            <w:bottom w:w="0" w:type="dxa"/>
            <w:right w:w="0" w:type="dxa"/>
          </w:tblCellMar>
        </w:tblPrEx>
        <w:tc>
          <w:tcPr>
            <w:tcW w:w="4111" w:type="dxa"/>
          </w:tcPr>
          <w:p w:rsidR="001C7BF9" w:rsidRPr="00C9680B" w:rsidRDefault="001C7BF9">
            <w:pPr>
              <w:pStyle w:val="Tabell"/>
              <w:keepNext/>
              <w:widowControl w:val="0"/>
            </w:pPr>
            <w:r w:rsidRPr="00C9680B">
              <w:t>Minskning av anslagsbehållningar</w:t>
            </w:r>
          </w:p>
        </w:tc>
        <w:tc>
          <w:tcPr>
            <w:tcW w:w="567" w:type="dxa"/>
          </w:tcPr>
          <w:p w:rsidR="001C7BF9" w:rsidRPr="00C9680B" w:rsidRDefault="001C7BF9">
            <w:pPr>
              <w:pStyle w:val="Tabell"/>
              <w:keepNext/>
              <w:widowControl w:val="0"/>
              <w:ind w:right="57"/>
              <w:jc w:val="right"/>
            </w:pPr>
            <w:r w:rsidRPr="00C9680B">
              <w:t>3,0</w:t>
            </w:r>
          </w:p>
        </w:tc>
        <w:tc>
          <w:tcPr>
            <w:tcW w:w="567" w:type="dxa"/>
          </w:tcPr>
          <w:p w:rsidR="001C7BF9" w:rsidRPr="00C9680B" w:rsidRDefault="001C7BF9">
            <w:pPr>
              <w:pStyle w:val="Tabell"/>
              <w:keepNext/>
              <w:widowControl w:val="0"/>
              <w:ind w:right="57"/>
              <w:jc w:val="right"/>
            </w:pPr>
            <w:r w:rsidRPr="00C9680B">
              <w:t>4,5</w:t>
            </w:r>
          </w:p>
        </w:tc>
        <w:tc>
          <w:tcPr>
            <w:tcW w:w="567" w:type="dxa"/>
          </w:tcPr>
          <w:p w:rsidR="001C7BF9" w:rsidRPr="00C9680B" w:rsidRDefault="001C7BF9">
            <w:pPr>
              <w:pStyle w:val="Tabell"/>
              <w:keepNext/>
              <w:widowControl w:val="0"/>
              <w:ind w:right="57"/>
              <w:jc w:val="right"/>
            </w:pPr>
            <w:r w:rsidRPr="00C9680B">
              <w:t>4,0</w:t>
            </w:r>
          </w:p>
        </w:tc>
      </w:tr>
      <w:tr w:rsidR="00000000" w:rsidRPr="00C9680B">
        <w:tblPrEx>
          <w:tblCellMar>
            <w:top w:w="0" w:type="dxa"/>
            <w:left w:w="0" w:type="dxa"/>
            <w:bottom w:w="0" w:type="dxa"/>
            <w:right w:w="0" w:type="dxa"/>
          </w:tblCellMar>
        </w:tblPrEx>
        <w:tc>
          <w:tcPr>
            <w:tcW w:w="4111" w:type="dxa"/>
          </w:tcPr>
          <w:p w:rsidR="001C7BF9" w:rsidRPr="00C9680B" w:rsidRDefault="001C7BF9">
            <w:pPr>
              <w:pStyle w:val="Tabell"/>
              <w:keepNext/>
              <w:widowControl w:val="0"/>
            </w:pPr>
            <w:r w:rsidRPr="00C9680B">
              <w:t>Ålderspensionssystemet utanför statsbudg</w:t>
            </w:r>
            <w:r w:rsidRPr="00C9680B">
              <w:t>e</w:t>
            </w:r>
            <w:r w:rsidRPr="00C9680B">
              <w:t>ten</w:t>
            </w:r>
          </w:p>
        </w:tc>
        <w:tc>
          <w:tcPr>
            <w:tcW w:w="567" w:type="dxa"/>
          </w:tcPr>
          <w:p w:rsidR="001C7BF9" w:rsidRPr="00C9680B" w:rsidRDefault="001C7BF9">
            <w:pPr>
              <w:pStyle w:val="Tabell"/>
              <w:keepNext/>
              <w:widowControl w:val="0"/>
              <w:ind w:right="57"/>
              <w:jc w:val="right"/>
            </w:pPr>
            <w:r w:rsidRPr="00C9680B">
              <w:t>144,6</w:t>
            </w:r>
          </w:p>
        </w:tc>
        <w:tc>
          <w:tcPr>
            <w:tcW w:w="567" w:type="dxa"/>
          </w:tcPr>
          <w:p w:rsidR="001C7BF9" w:rsidRPr="00C9680B" w:rsidRDefault="001C7BF9">
            <w:pPr>
              <w:pStyle w:val="Tabell"/>
              <w:keepNext/>
              <w:widowControl w:val="0"/>
              <w:ind w:right="57"/>
              <w:jc w:val="right"/>
            </w:pPr>
            <w:r w:rsidRPr="00C9680B">
              <w:t>150,1</w:t>
            </w:r>
          </w:p>
        </w:tc>
        <w:tc>
          <w:tcPr>
            <w:tcW w:w="567" w:type="dxa"/>
          </w:tcPr>
          <w:p w:rsidR="001C7BF9" w:rsidRPr="00C9680B" w:rsidRDefault="001C7BF9">
            <w:pPr>
              <w:pStyle w:val="Tabell"/>
              <w:keepNext/>
              <w:widowControl w:val="0"/>
              <w:ind w:right="57"/>
              <w:jc w:val="right"/>
            </w:pPr>
            <w:r w:rsidRPr="00C9680B">
              <w:t>149,5</w:t>
            </w:r>
          </w:p>
        </w:tc>
      </w:tr>
      <w:tr w:rsidR="00000000" w:rsidRPr="00C9680B">
        <w:tblPrEx>
          <w:tblCellMar>
            <w:top w:w="0" w:type="dxa"/>
            <w:left w:w="0" w:type="dxa"/>
            <w:bottom w:w="0" w:type="dxa"/>
            <w:right w:w="0" w:type="dxa"/>
          </w:tblCellMar>
        </w:tblPrEx>
        <w:tc>
          <w:tcPr>
            <w:tcW w:w="4111" w:type="dxa"/>
          </w:tcPr>
          <w:p w:rsidR="001C7BF9" w:rsidRPr="00C9680B" w:rsidRDefault="001C7BF9">
            <w:pPr>
              <w:pStyle w:val="Tabell"/>
              <w:keepNext/>
              <w:widowControl w:val="0"/>
            </w:pPr>
            <w:r w:rsidRPr="00C9680B">
              <w:t>Summa takbegränsade utgifter</w:t>
            </w:r>
          </w:p>
        </w:tc>
        <w:tc>
          <w:tcPr>
            <w:tcW w:w="567" w:type="dxa"/>
          </w:tcPr>
          <w:p w:rsidR="001C7BF9" w:rsidRPr="00C9680B" w:rsidRDefault="001C7BF9">
            <w:pPr>
              <w:pStyle w:val="Tabell"/>
              <w:keepNext/>
              <w:widowControl w:val="0"/>
              <w:ind w:right="57"/>
              <w:jc w:val="right"/>
            </w:pPr>
            <w:r w:rsidRPr="00C9680B">
              <w:t>787,8</w:t>
            </w:r>
          </w:p>
        </w:tc>
        <w:tc>
          <w:tcPr>
            <w:tcW w:w="567" w:type="dxa"/>
          </w:tcPr>
          <w:p w:rsidR="001C7BF9" w:rsidRPr="00C9680B" w:rsidRDefault="001C7BF9">
            <w:pPr>
              <w:pStyle w:val="Tabell"/>
              <w:keepNext/>
              <w:widowControl w:val="0"/>
              <w:ind w:right="57"/>
              <w:jc w:val="right"/>
            </w:pPr>
            <w:r w:rsidRPr="00C9680B">
              <w:t>804,8</w:t>
            </w:r>
          </w:p>
        </w:tc>
        <w:tc>
          <w:tcPr>
            <w:tcW w:w="567" w:type="dxa"/>
          </w:tcPr>
          <w:p w:rsidR="001C7BF9" w:rsidRPr="00C9680B" w:rsidRDefault="001C7BF9">
            <w:pPr>
              <w:pStyle w:val="Tabell"/>
              <w:keepNext/>
              <w:widowControl w:val="0"/>
              <w:ind w:right="57"/>
              <w:jc w:val="right"/>
            </w:pPr>
            <w:r w:rsidRPr="00C9680B">
              <w:t>826,8</w:t>
            </w:r>
          </w:p>
        </w:tc>
      </w:tr>
      <w:tr w:rsidR="00000000" w:rsidRPr="00C9680B">
        <w:tblPrEx>
          <w:tblCellMar>
            <w:top w:w="0" w:type="dxa"/>
            <w:left w:w="0" w:type="dxa"/>
            <w:bottom w:w="0" w:type="dxa"/>
            <w:right w:w="0" w:type="dxa"/>
          </w:tblCellMar>
        </w:tblPrEx>
        <w:tc>
          <w:tcPr>
            <w:tcW w:w="4111" w:type="dxa"/>
          </w:tcPr>
          <w:p w:rsidR="001C7BF9" w:rsidRPr="00C9680B" w:rsidRDefault="001C7BF9">
            <w:pPr>
              <w:pStyle w:val="Tabell"/>
              <w:keepNext/>
              <w:widowControl w:val="0"/>
            </w:pPr>
            <w:r w:rsidRPr="00C9680B">
              <w:t>Budgeteringsmarginal</w:t>
            </w:r>
          </w:p>
        </w:tc>
        <w:tc>
          <w:tcPr>
            <w:tcW w:w="567" w:type="dxa"/>
          </w:tcPr>
          <w:p w:rsidR="001C7BF9" w:rsidRPr="00C9680B" w:rsidRDefault="001C7BF9">
            <w:pPr>
              <w:pStyle w:val="Tabell"/>
              <w:keepNext/>
              <w:widowControl w:val="0"/>
              <w:ind w:right="57"/>
              <w:jc w:val="right"/>
            </w:pPr>
            <w:r w:rsidRPr="00C9680B">
              <w:t>1,2</w:t>
            </w:r>
          </w:p>
        </w:tc>
        <w:tc>
          <w:tcPr>
            <w:tcW w:w="567" w:type="dxa"/>
          </w:tcPr>
          <w:p w:rsidR="001C7BF9" w:rsidRPr="00C9680B" w:rsidRDefault="001C7BF9">
            <w:pPr>
              <w:pStyle w:val="Tabell"/>
              <w:keepNext/>
              <w:widowControl w:val="0"/>
              <w:ind w:right="57"/>
              <w:jc w:val="right"/>
            </w:pPr>
            <w:r w:rsidRPr="00C9680B">
              <w:t>9,2</w:t>
            </w:r>
          </w:p>
        </w:tc>
        <w:tc>
          <w:tcPr>
            <w:tcW w:w="567" w:type="dxa"/>
          </w:tcPr>
          <w:p w:rsidR="001C7BF9" w:rsidRPr="00C9680B" w:rsidRDefault="001C7BF9">
            <w:pPr>
              <w:pStyle w:val="Tabell"/>
              <w:keepNext/>
              <w:widowControl w:val="0"/>
              <w:ind w:right="57"/>
              <w:jc w:val="right"/>
            </w:pPr>
            <w:r w:rsidRPr="00C9680B">
              <w:t>17,2</w:t>
            </w:r>
          </w:p>
        </w:tc>
      </w:tr>
      <w:tr w:rsidR="00000000" w:rsidRPr="00C9680B">
        <w:tblPrEx>
          <w:tblCellMar>
            <w:top w:w="0" w:type="dxa"/>
            <w:left w:w="0" w:type="dxa"/>
            <w:bottom w:w="0" w:type="dxa"/>
            <w:right w:w="0" w:type="dxa"/>
          </w:tblCellMar>
        </w:tblPrEx>
        <w:tc>
          <w:tcPr>
            <w:tcW w:w="4111" w:type="dxa"/>
          </w:tcPr>
          <w:p w:rsidR="001C7BF9" w:rsidRPr="00C9680B" w:rsidRDefault="001C7BF9">
            <w:pPr>
              <w:pStyle w:val="Tabell"/>
              <w:keepNext/>
              <w:widowControl w:val="0"/>
              <w:rPr>
                <w:b/>
              </w:rPr>
            </w:pPr>
            <w:r w:rsidRPr="00C9680B">
              <w:rPr>
                <w:b/>
              </w:rPr>
              <w:t>Utgiftstak</w:t>
            </w:r>
          </w:p>
        </w:tc>
        <w:tc>
          <w:tcPr>
            <w:tcW w:w="567" w:type="dxa"/>
          </w:tcPr>
          <w:p w:rsidR="001C7BF9" w:rsidRPr="00C9680B" w:rsidRDefault="001C7BF9">
            <w:pPr>
              <w:pStyle w:val="Tabell"/>
              <w:keepNext/>
              <w:widowControl w:val="0"/>
              <w:ind w:right="57"/>
              <w:jc w:val="right"/>
              <w:rPr>
                <w:b/>
              </w:rPr>
            </w:pPr>
            <w:r w:rsidRPr="00C9680B">
              <w:rPr>
                <w:b/>
              </w:rPr>
              <w:t>789,0</w:t>
            </w:r>
          </w:p>
        </w:tc>
        <w:tc>
          <w:tcPr>
            <w:tcW w:w="567" w:type="dxa"/>
          </w:tcPr>
          <w:p w:rsidR="001C7BF9" w:rsidRPr="00C9680B" w:rsidRDefault="001C7BF9">
            <w:pPr>
              <w:pStyle w:val="Tabell"/>
              <w:keepNext/>
              <w:widowControl w:val="0"/>
              <w:ind w:right="57"/>
              <w:jc w:val="right"/>
              <w:rPr>
                <w:b/>
              </w:rPr>
            </w:pPr>
            <w:r w:rsidRPr="00C9680B">
              <w:rPr>
                <w:b/>
              </w:rPr>
              <w:t>814,0</w:t>
            </w:r>
          </w:p>
        </w:tc>
        <w:tc>
          <w:tcPr>
            <w:tcW w:w="567" w:type="dxa"/>
          </w:tcPr>
          <w:p w:rsidR="001C7BF9" w:rsidRPr="00C9680B" w:rsidRDefault="001C7BF9">
            <w:pPr>
              <w:pStyle w:val="Tabell"/>
              <w:keepNext/>
              <w:widowControl w:val="0"/>
              <w:ind w:right="57"/>
              <w:jc w:val="right"/>
              <w:rPr>
                <w:b/>
              </w:rPr>
            </w:pPr>
            <w:r w:rsidRPr="00C9680B">
              <w:rPr>
                <w:b/>
              </w:rPr>
              <w:t>844,0</w:t>
            </w:r>
          </w:p>
        </w:tc>
      </w:tr>
      <w:tr w:rsidR="00000000" w:rsidRPr="00C9680B">
        <w:tblPrEx>
          <w:tblCellMar>
            <w:top w:w="0" w:type="dxa"/>
            <w:left w:w="0" w:type="dxa"/>
            <w:bottom w:w="0" w:type="dxa"/>
            <w:right w:w="0" w:type="dxa"/>
          </w:tblCellMar>
        </w:tblPrEx>
        <w:trPr>
          <w:trHeight w:hRule="exact" w:val="80"/>
        </w:trPr>
        <w:tc>
          <w:tcPr>
            <w:tcW w:w="4111" w:type="dxa"/>
            <w:tcBorders>
              <w:bottom w:val="single" w:sz="4" w:space="0" w:color="auto"/>
            </w:tcBorders>
          </w:tcPr>
          <w:p w:rsidR="001C7BF9" w:rsidRPr="00C9680B" w:rsidRDefault="001C7BF9">
            <w:pPr>
              <w:pStyle w:val="Tabell"/>
              <w:keepNext/>
              <w:widowControl w:val="0"/>
            </w:pPr>
          </w:p>
        </w:tc>
        <w:tc>
          <w:tcPr>
            <w:tcW w:w="567" w:type="dxa"/>
            <w:tcBorders>
              <w:bottom w:val="single" w:sz="4" w:space="0" w:color="auto"/>
            </w:tcBorders>
          </w:tcPr>
          <w:p w:rsidR="001C7BF9" w:rsidRPr="00C9680B" w:rsidRDefault="001C7BF9">
            <w:pPr>
              <w:pStyle w:val="Tabell"/>
              <w:keepNext/>
              <w:widowControl w:val="0"/>
              <w:ind w:right="57"/>
              <w:jc w:val="right"/>
            </w:pPr>
          </w:p>
        </w:tc>
        <w:tc>
          <w:tcPr>
            <w:tcW w:w="567" w:type="dxa"/>
            <w:tcBorders>
              <w:bottom w:val="single" w:sz="4" w:space="0" w:color="auto"/>
            </w:tcBorders>
          </w:tcPr>
          <w:p w:rsidR="001C7BF9" w:rsidRPr="00C9680B" w:rsidRDefault="001C7BF9">
            <w:pPr>
              <w:pStyle w:val="Tabell"/>
              <w:keepNext/>
              <w:widowControl w:val="0"/>
              <w:ind w:right="57"/>
              <w:jc w:val="right"/>
            </w:pPr>
          </w:p>
        </w:tc>
        <w:tc>
          <w:tcPr>
            <w:tcW w:w="567" w:type="dxa"/>
            <w:tcBorders>
              <w:bottom w:val="single" w:sz="4" w:space="0" w:color="auto"/>
            </w:tcBorders>
          </w:tcPr>
          <w:p w:rsidR="001C7BF9" w:rsidRPr="00C9680B" w:rsidRDefault="001C7BF9">
            <w:pPr>
              <w:pStyle w:val="Tabell"/>
              <w:keepNext/>
              <w:widowControl w:val="0"/>
              <w:ind w:right="57"/>
              <w:jc w:val="right"/>
            </w:pPr>
          </w:p>
        </w:tc>
      </w:tr>
    </w:tbl>
    <w:p w:rsidR="001C7BF9" w:rsidRPr="00C9680B" w:rsidRDefault="001C7BF9">
      <w:pPr>
        <w:pStyle w:val="R4"/>
        <w:keepNext w:val="0"/>
        <w:keepLines w:val="0"/>
        <w:widowControl w:val="0"/>
        <w:suppressAutoHyphens w:val="0"/>
        <w:spacing w:before="0" w:line="60" w:lineRule="exact"/>
      </w:pPr>
    </w:p>
    <w:p w:rsidR="001C7BF9" w:rsidRPr="00C9680B" w:rsidRDefault="001C7BF9">
      <w:pPr>
        <w:pStyle w:val="R4"/>
        <w:outlineLvl w:val="0"/>
      </w:pPr>
      <w:r w:rsidRPr="00C9680B">
        <w:t>Motionerna</w:t>
      </w:r>
    </w:p>
    <w:p w:rsidR="001C7BF9" w:rsidRPr="00C9680B" w:rsidRDefault="001C7BF9">
      <w:r w:rsidRPr="00C9680B">
        <w:t xml:space="preserve">De överordnade målen för </w:t>
      </w:r>
      <w:r w:rsidRPr="00C9680B">
        <w:rPr>
          <w:i/>
        </w:rPr>
        <w:t xml:space="preserve">Moderata samlingspartiets </w:t>
      </w:r>
      <w:r w:rsidRPr="00C9680B">
        <w:t xml:space="preserve">budgetalternativ är enligt </w:t>
      </w:r>
      <w:r w:rsidRPr="00C9680B">
        <w:rPr>
          <w:i/>
        </w:rPr>
        <w:t>motion Fi208</w:t>
      </w:r>
      <w:r w:rsidRPr="00C9680B">
        <w:t xml:space="preserve"> att lägga grunden för en långsiktigt god tillväxt och ett växande välstånd för alla, att skapa förutsättningar som ger alla möjlighet att växa och förverkliga sina ambitioner, att öka valfriheten och återge männ</w:t>
      </w:r>
      <w:r w:rsidRPr="00C9680B">
        <w:t>i</w:t>
      </w:r>
      <w:r w:rsidRPr="00C9680B">
        <w:t>skor kontrollen över sin tillvaro samt att återställa förtroendet för att de åt</w:t>
      </w:r>
      <w:r w:rsidRPr="00C9680B">
        <w:t>a</w:t>
      </w:r>
      <w:r w:rsidRPr="00C9680B">
        <w:t>ganden som måste vara gemensamma också kan fullföljas genom priorit</w:t>
      </w:r>
      <w:r w:rsidRPr="00C9680B">
        <w:t>e</w:t>
      </w:r>
      <w:r w:rsidRPr="00C9680B">
        <w:t>ringar av kärnup</w:t>
      </w:r>
      <w:r w:rsidRPr="00C9680B">
        <w:t>p</w:t>
      </w:r>
      <w:r w:rsidRPr="00C9680B">
        <w:t>gifterna.</w:t>
      </w:r>
    </w:p>
    <w:p w:rsidR="001C7BF9" w:rsidRPr="00C9680B" w:rsidRDefault="001C7BF9">
      <w:pPr>
        <w:pStyle w:val="Normaltindrag"/>
      </w:pPr>
      <w:r w:rsidRPr="00C9680B">
        <w:t xml:space="preserve">Med de moderata förslagen till utgiftstak blir det möjligt </w:t>
      </w:r>
      <w:r w:rsidRPr="00C9680B">
        <w:t>att gradvis min</w:t>
      </w:r>
      <w:r w:rsidRPr="00C9680B">
        <w:t>s</w:t>
      </w:r>
      <w:r w:rsidRPr="00C9680B">
        <w:t>ka de offentliga utgifternas andel av samhällsekonomin. Därmed får man inte bara en minskad konjunkturkänslighet och stabilare offentliga finanser utan också ett större utrymme för enskilt företagande och människors egna fria val.</w:t>
      </w:r>
    </w:p>
    <w:p w:rsidR="001C7BF9" w:rsidRPr="00C9680B" w:rsidRDefault="001C7BF9">
      <w:pPr>
        <w:pStyle w:val="Normaltindrag"/>
      </w:pPr>
      <w:r w:rsidRPr="00C9680B">
        <w:t>Sverige skall enligt motionärerna ha ett ökat privat sparande, inte ett ökat offentligt sparande. Sett över en konjunkturcykel bör därför de offentliga finanserna vara i balans. I rådande konjunkturläge är det dock befogat att ha ett finansiellt överskott som är hö</w:t>
      </w:r>
      <w:r w:rsidRPr="00C9680B">
        <w:t>gre än det av regeringen uppsatta målet, anser motionärerna. Partiets strävan är att pressa ner den offentliga brutt</w:t>
      </w:r>
      <w:r w:rsidRPr="00C9680B">
        <w:t>o</w:t>
      </w:r>
      <w:r w:rsidRPr="00C9680B">
        <w:t>skulden till under 40 % av BNP.</w:t>
      </w:r>
    </w:p>
    <w:p w:rsidR="001C7BF9" w:rsidRPr="00C9680B" w:rsidRDefault="001C7BF9">
      <w:pPr>
        <w:pStyle w:val="Normaltindrag"/>
      </w:pPr>
      <w:r w:rsidRPr="00C9680B">
        <w:t>Motionärerna förordar rejäla skattesänkningar på arbetsinkomster som o</w:t>
      </w:r>
      <w:r w:rsidRPr="00C9680B">
        <w:t>m</w:t>
      </w:r>
      <w:r w:rsidRPr="00C9680B">
        <w:t>fattar alla, men som har sin tyngdpunkt i beskattningen av låg- och medeli</w:t>
      </w:r>
      <w:r w:rsidRPr="00C9680B">
        <w:t>n</w:t>
      </w:r>
      <w:r w:rsidRPr="00C9680B">
        <w:t>komsttagare. Sådana skattesänkningar gör det möjligt att försörja sig på sin egen lön, vilket minskar behovet av bidrag. De i motionen föreslagna skatt</w:t>
      </w:r>
      <w:r w:rsidRPr="00C9680B">
        <w:t>e</w:t>
      </w:r>
      <w:r w:rsidRPr="00C9680B">
        <w:t>sänkningarna har en utbudsstimulerande inriktning och uppgår under de tre närmaste åren till 48, 79 respektive 106 miljarder kronor. De finansieras huvudsakligen genom minskade offentliga utgifter och genom att en del av överskottet i de offentliga finanserna tas i anspråk.</w:t>
      </w:r>
    </w:p>
    <w:p w:rsidR="001C7BF9" w:rsidRPr="00C9680B" w:rsidRDefault="001C7BF9">
      <w:pPr>
        <w:pStyle w:val="Normaltindrag"/>
      </w:pPr>
      <w:r w:rsidRPr="00C9680B">
        <w:t xml:space="preserve">Moderata </w:t>
      </w:r>
      <w:r w:rsidRPr="00C9680B">
        <w:t>samlingspartiet vill införa ett grundavdrag på 50 000 kr per pe</w:t>
      </w:r>
      <w:r w:rsidRPr="00C9680B">
        <w:t>r</w:t>
      </w:r>
      <w:r w:rsidRPr="00C9680B">
        <w:t>son vid den kommunala inkomstbeskattningen. I ett första steg skall detta uppgå till högst 34 000 kr. Partiet vill också införa ett förvärvsavdrag vid den kommunala beskattningen som nästa år skall uppgå till 8 % och som fullt genomfört skall motsvara 20 % av inkomsten upp till den övre gränsen för uttag av egenavgiften. Fram till 2010 skall den statliga inkomstskatten a</w:t>
      </w:r>
      <w:r w:rsidRPr="00C9680B">
        <w:t>v</w:t>
      </w:r>
      <w:r w:rsidRPr="00C9680B">
        <w:t xml:space="preserve">vecklas, men redan nästa år slopas värnskatten och brytpunkten vid vilken </w:t>
      </w:r>
      <w:r w:rsidRPr="00C9680B">
        <w:t>statlig skatt börjar tas ut höjs till den nivå som gäller som övre gräns för uttag av egenavgifter. Under de båda därpå följande åren minskas uttaget av statlig skatt till först 18 % därefter 15 %.</w:t>
      </w:r>
    </w:p>
    <w:p w:rsidR="001C7BF9" w:rsidRPr="00C9680B" w:rsidRDefault="001C7BF9">
      <w:pPr>
        <w:pStyle w:val="Normaltindrag"/>
      </w:pPr>
      <w:r w:rsidRPr="00C9680B">
        <w:t>För barnfamiljer införs 2001 ett grundavdrag med 12 000 kr per barn samt rätt till avdrag för styrkta barnomsorgskostnader.</w:t>
      </w:r>
    </w:p>
    <w:p w:rsidR="001C7BF9" w:rsidRPr="00C9680B" w:rsidRDefault="001C7BF9">
      <w:pPr>
        <w:pStyle w:val="Normaltindrag"/>
      </w:pPr>
      <w:r w:rsidRPr="00C9680B">
        <w:t>Avdraget för pensionsförsäkringar bör enligt motionärerna höjas från ett halvt till ett helt basbelopp.</w:t>
      </w:r>
    </w:p>
    <w:p w:rsidR="001C7BF9" w:rsidRPr="00C9680B" w:rsidRDefault="001C7BF9">
      <w:pPr>
        <w:pStyle w:val="Normaltindrag"/>
      </w:pPr>
      <w:r w:rsidRPr="00C9680B">
        <w:t>Gemensamt med övriga borgerliga partier vill Moderata samlingspartiet införa en skattereduktion motsvarande 50 % av arbetskostnaden för hushålls</w:t>
      </w:r>
      <w:r w:rsidRPr="00C9680B">
        <w:softHyphen/>
        <w:t>nära tjänster. Skattereduktionen skall begränsas till 25 000 kr per hushåll och år.</w:t>
      </w:r>
    </w:p>
    <w:p w:rsidR="001C7BF9" w:rsidRPr="00C9680B" w:rsidRDefault="001C7BF9">
      <w:pPr>
        <w:pStyle w:val="Normaltindrag"/>
      </w:pPr>
      <w:r w:rsidRPr="00C9680B">
        <w:t>Efter hand skall förmögenhetsskatten och fastighetsskatten avvecklas sa</w:t>
      </w:r>
      <w:r w:rsidRPr="00C9680B">
        <w:t>m</w:t>
      </w:r>
      <w:r w:rsidRPr="00C9680B">
        <w:t>tidigt som kapitalinkomstbeskattningen gradvis sänks. Dubbelbeskattningen av utdelningsvinster skall emellertid upphöra redan 2001, då även samb</w:t>
      </w:r>
      <w:r w:rsidRPr="00C9680B">
        <w:t>e</w:t>
      </w:r>
      <w:r w:rsidRPr="00C9680B">
        <w:t>skattningen av förmögenheter skall avvecklas och fribeloppet vid förmöge</w:t>
      </w:r>
      <w:r w:rsidRPr="00C9680B">
        <w:t>n</w:t>
      </w:r>
      <w:r w:rsidRPr="00C9680B">
        <w:t>hetsbeskat</w:t>
      </w:r>
      <w:r w:rsidRPr="00C9680B">
        <w:t>t</w:t>
      </w:r>
      <w:r w:rsidRPr="00C9680B">
        <w:t>ningen höjas till 1,5 miljoner kronor.</w:t>
      </w:r>
    </w:p>
    <w:p w:rsidR="001C7BF9" w:rsidRPr="00C9680B" w:rsidRDefault="001C7BF9">
      <w:pPr>
        <w:pStyle w:val="Normaltindrag"/>
      </w:pPr>
      <w:r w:rsidRPr="00C9680B">
        <w:t>Vid fastighetsbeskattningen skall under de närmaste åren frysningen av nuvarande taxeringsvärden  behållas och uttaget av skatt på villor successivt trappas ner till 0,8 % 2003. Markvärdet skall dessutom tas upp med endast halvt belopp. Regeri</w:t>
      </w:r>
      <w:r w:rsidRPr="00C9680B">
        <w:t>ngens förslag att sänka fastighetsskatten på hyreshus till 0,7 % 2001 godtas av Moderata samlingspartiet.</w:t>
      </w:r>
    </w:p>
    <w:p w:rsidR="001C7BF9" w:rsidRPr="00C9680B" w:rsidRDefault="001C7BF9">
      <w:pPr>
        <w:pStyle w:val="Normaltindrag"/>
      </w:pPr>
      <w:r w:rsidRPr="00C9680B">
        <w:t xml:space="preserve">Bensinskatten vill motionärerna sänka till genomsnittlig europeisk nivå, och inom jordbrukssektorn skall skatten på diesel för arbetsredskap sänkas och kväveavgiften för handelsgödsel tas bort. </w:t>
      </w:r>
    </w:p>
    <w:p w:rsidR="001C7BF9" w:rsidRPr="00C9680B" w:rsidRDefault="001C7BF9">
      <w:pPr>
        <w:pStyle w:val="Normaltindrag"/>
      </w:pPr>
      <w:r w:rsidRPr="00C9680B">
        <w:t>De moderata skattesänkningarna finansieras genom besparingar som under de närmaste tre åren uppgår till netto 36, 51 respektive 64 miljarder kronor samt genom att regeringens förslag till inkomstskattereform avvisas och g</w:t>
      </w:r>
      <w:r w:rsidRPr="00C9680B">
        <w:t>e</w:t>
      </w:r>
      <w:r w:rsidRPr="00C9680B">
        <w:t>nom att motionärerna tar i anspråk de medel som regeringen satt av som en säkerhetsmarginal för 2001 och som en beräkningsteknisk överföring till hushållen för 2002 och 2003.</w:t>
      </w:r>
    </w:p>
    <w:p w:rsidR="001C7BF9" w:rsidRPr="00C9680B" w:rsidRDefault="001C7BF9">
      <w:pPr>
        <w:pStyle w:val="Normaltindrag"/>
      </w:pPr>
      <w:r w:rsidRPr="00C9680B">
        <w:t>Till en del leder besparingarna till att kostnaderna för hushållen ökar. Det sker genom att en ny, frivillig läkemedelsförsäkring införs, genom högre egenavgift till arbetslöshetsförsäkringen, genom att kostnaderna för trafik</w:t>
      </w:r>
      <w:r w:rsidRPr="00C9680B">
        <w:t>o</w:t>
      </w:r>
      <w:r w:rsidRPr="00C9680B">
        <w:t>lycksfall förs över på den obligatoriska trafikförsäkringen, genom att ytterl</w:t>
      </w:r>
      <w:r w:rsidRPr="00C9680B">
        <w:t>i</w:t>
      </w:r>
      <w:r w:rsidRPr="00C9680B">
        <w:t>gare en karensdag införs i sjukförsäkringen samt genom att ersättningsnivån i sjuk- och föräldraförsä</w:t>
      </w:r>
      <w:r w:rsidRPr="00C9680B">
        <w:t>k</w:t>
      </w:r>
      <w:r w:rsidRPr="00C9680B">
        <w:t>ringen samt arbetslöshetsförsäk</w:t>
      </w:r>
      <w:r w:rsidRPr="00C9680B">
        <w:softHyphen/>
        <w:t>ringen sänks till 75 %.</w:t>
      </w:r>
    </w:p>
    <w:p w:rsidR="001C7BF9" w:rsidRPr="00C9680B" w:rsidRDefault="001C7BF9">
      <w:pPr>
        <w:pStyle w:val="Normaltindrag"/>
      </w:pPr>
      <w:r w:rsidRPr="00C9680B">
        <w:t>Motionärerna föreslår också besparingar som inte direkt påverkar hushå</w:t>
      </w:r>
      <w:r w:rsidRPr="00C9680B">
        <w:t>l</w:t>
      </w:r>
      <w:r w:rsidRPr="00C9680B">
        <w:t>lens ekonomi. Det görs bl.a. i form av minskat partistöd, slopat presstöd, minskade utgifter för energiåtgärder samt besparingar till följd av en effekt</w:t>
      </w:r>
      <w:r w:rsidRPr="00C9680B">
        <w:t>i</w:t>
      </w:r>
      <w:r w:rsidRPr="00C9680B">
        <w:t>vare arbetsmarknadspolitik. Biståndet bör enligt deras mening minskas, och vidare föreslår de att det generella statsbidraget till kommuner sänks under åren 2001–2003 med 4, 8, respektive 14 miljarder kronor samt att bidraget till särskilda åtgärder i kommuner, den s.k. ko</w:t>
      </w:r>
      <w:r w:rsidRPr="00C9680B">
        <w:t>m</w:t>
      </w:r>
      <w:r w:rsidRPr="00C9680B">
        <w:t>munakuten, avvecklas helt.</w:t>
      </w:r>
    </w:p>
    <w:p w:rsidR="001C7BF9" w:rsidRPr="00C9680B" w:rsidRDefault="001C7BF9">
      <w:pPr>
        <w:pStyle w:val="Normaltindrag"/>
      </w:pPr>
      <w:r w:rsidRPr="00C9680B">
        <w:t>Regeringens förslag om en allmän förskola och maxtaxa i b</w:t>
      </w:r>
      <w:r w:rsidRPr="00C9680B">
        <w:t>arnomsorgen avvisas av motionärerna som gemensamt med övriga borgerliga partier i stället vill införa ett barnomsorgskonto samt avdragsrätt för styrkta barno</w:t>
      </w:r>
      <w:r w:rsidRPr="00C9680B">
        <w:t>m</w:t>
      </w:r>
      <w:r w:rsidRPr="00C9680B">
        <w:t>sorgskostn</w:t>
      </w:r>
      <w:r w:rsidRPr="00C9680B">
        <w:t>a</w:t>
      </w:r>
      <w:r w:rsidRPr="00C9680B">
        <w:t>der.</w:t>
      </w:r>
    </w:p>
    <w:p w:rsidR="001C7BF9" w:rsidRPr="00C9680B" w:rsidRDefault="001C7BF9">
      <w:pPr>
        <w:pStyle w:val="Normaltindrag"/>
      </w:pPr>
      <w:r w:rsidRPr="00C9680B">
        <w:t>Ökade utgifter föreslås bl.a. för stöd till handikappade och för återställd änkepension, för ökad rättstrygghet och för en satsning på skola, högre u</w:t>
      </w:r>
      <w:r w:rsidRPr="00C9680B">
        <w:t>t</w:t>
      </w:r>
      <w:r w:rsidRPr="00C9680B">
        <w:t>bildning och forskning. Motionärerna avdelar också ytterligare resurser till försvaret och väginvesteringar.</w:t>
      </w:r>
    </w:p>
    <w:p w:rsidR="001C7BF9" w:rsidRPr="00C9680B" w:rsidRDefault="001C7BF9">
      <w:pPr>
        <w:pStyle w:val="Normaltindrag"/>
      </w:pPr>
      <w:r w:rsidRPr="00C9680B">
        <w:t>Moderata samlingspartiet vill under de kommande åren påbörja ett omfa</w:t>
      </w:r>
      <w:r w:rsidRPr="00C9680B">
        <w:t>t</w:t>
      </w:r>
      <w:r w:rsidRPr="00C9680B">
        <w:t>tande privatiseringsprogram som skall omfatta bl.a. Nordbanken, Vin och Sprit, SBAB, Vasakronan och Telia. Partiets förslag till privatiseringar är av betydligt större omfattning än regeringens, och motionärerna räknar med att under de kommande åren kunna avsätta 30 miljarder kronor av dessa i</w:t>
      </w:r>
      <w:r w:rsidRPr="00C9680B">
        <w:t>n</w:t>
      </w:r>
      <w:r w:rsidRPr="00C9680B">
        <w:t>komster för underhåll av och investeringar i vägar. Ytterligare 2 miljarder kronor av försäljningsinkomsterna avsätter man för att etablera två nya un</w:t>
      </w:r>
      <w:r w:rsidRPr="00C9680B">
        <w:t>i</w:t>
      </w:r>
      <w:r w:rsidRPr="00C9680B">
        <w:t>versitet och högskolor.</w:t>
      </w:r>
    </w:p>
    <w:p w:rsidR="001C7BF9" w:rsidRPr="00C9680B" w:rsidRDefault="001C7BF9">
      <w:pPr>
        <w:pStyle w:val="Normaltindrag"/>
      </w:pPr>
      <w:r w:rsidRPr="00C9680B">
        <w:t>De finansiella effekter som motionärernas</w:t>
      </w:r>
      <w:r w:rsidRPr="00C9680B">
        <w:t xml:space="preserve"> förslag har på den konsoliderade offentliga sektorn kan för de kommande tre åren med ledning av motionens uppgifter sammanfattas på följande sätt.</w:t>
      </w:r>
    </w:p>
    <w:p w:rsidR="001C7BF9" w:rsidRPr="00C9680B" w:rsidRDefault="001C7BF9">
      <w:pPr>
        <w:pStyle w:val="TabellrubrikPer"/>
        <w:keepNext/>
        <w:keepLines/>
        <w:spacing w:line="190" w:lineRule="exact"/>
        <w:ind w:left="964" w:hanging="964"/>
        <w:outlineLvl w:val="0"/>
        <w:rPr>
          <w:b/>
          <w:caps w:val="0"/>
          <w:spacing w:val="0"/>
          <w:w w:val="94"/>
          <w:sz w:val="16"/>
        </w:rPr>
      </w:pPr>
      <w:bookmarkStart w:id="170" w:name="_Toc421506203"/>
      <w:r w:rsidRPr="00C9680B">
        <w:rPr>
          <w:b/>
          <w:caps w:val="0"/>
          <w:spacing w:val="0"/>
          <w:w w:val="94"/>
          <w:sz w:val="16"/>
        </w:rPr>
        <w:t>Tabell 15. Finansiella effekter av Moderata samlingspartiets budgetförslag</w:t>
      </w:r>
      <w:bookmarkStart w:id="171" w:name="_Toc421506204"/>
      <w:bookmarkEnd w:id="170"/>
      <w:r w:rsidRPr="00C9680B">
        <w:rPr>
          <w:b/>
          <w:caps w:val="0"/>
          <w:spacing w:val="0"/>
          <w:w w:val="94"/>
          <w:sz w:val="16"/>
        </w:rPr>
        <w:t xml:space="preserve">  2001–200</w:t>
      </w:r>
      <w:bookmarkEnd w:id="171"/>
      <w:r w:rsidRPr="00C9680B">
        <w:rPr>
          <w:b/>
          <w:caps w:val="0"/>
          <w:spacing w:val="0"/>
          <w:w w:val="94"/>
          <w:sz w:val="16"/>
        </w:rPr>
        <w:t>3</w:t>
      </w:r>
    </w:p>
    <w:p w:rsidR="001C7BF9" w:rsidRPr="00C9680B" w:rsidRDefault="001C7BF9">
      <w:pPr>
        <w:pStyle w:val="Tabell"/>
        <w:keepNext/>
        <w:keepLines/>
        <w:spacing w:line="190" w:lineRule="exact"/>
        <w:outlineLvl w:val="0"/>
        <w:rPr>
          <w:sz w:val="14"/>
        </w:rPr>
      </w:pPr>
      <w:r w:rsidRPr="00C9680B">
        <w:rPr>
          <w:sz w:val="14"/>
        </w:rPr>
        <w:t>Offentliga sektorns finansiella sparande</w:t>
      </w:r>
    </w:p>
    <w:p w:rsidR="001C7BF9" w:rsidRPr="00C9680B" w:rsidRDefault="001C7BF9">
      <w:pPr>
        <w:pStyle w:val="Tabell"/>
        <w:keepNext/>
        <w:keepLines/>
        <w:spacing w:after="40" w:line="190" w:lineRule="exact"/>
        <w:rPr>
          <w:sz w:val="14"/>
        </w:rPr>
      </w:pPr>
      <w:r w:rsidRPr="00C9680B">
        <w:rPr>
          <w:sz w:val="14"/>
        </w:rPr>
        <w:t>Belopp i miljarder kronor</w:t>
      </w:r>
    </w:p>
    <w:tbl>
      <w:tblPr>
        <w:tblW w:w="0" w:type="auto"/>
        <w:tblLayout w:type="fixed"/>
        <w:tblCellMar>
          <w:left w:w="0" w:type="dxa"/>
          <w:right w:w="0" w:type="dxa"/>
        </w:tblCellMar>
        <w:tblLook w:val="0000" w:firstRow="0" w:lastRow="0" w:firstColumn="0" w:lastColumn="0" w:noHBand="0" w:noVBand="0"/>
      </w:tblPr>
      <w:tblGrid>
        <w:gridCol w:w="4536"/>
        <w:gridCol w:w="567"/>
        <w:gridCol w:w="567"/>
        <w:gridCol w:w="567"/>
      </w:tblGrid>
      <w:tr w:rsidR="00000000" w:rsidRPr="00C9680B">
        <w:tblPrEx>
          <w:tblCellMar>
            <w:top w:w="0" w:type="dxa"/>
            <w:left w:w="0" w:type="dxa"/>
            <w:bottom w:w="0" w:type="dxa"/>
            <w:right w:w="0" w:type="dxa"/>
          </w:tblCellMar>
        </w:tblPrEx>
        <w:trPr>
          <w:trHeight w:hRule="exact" w:val="220"/>
        </w:trPr>
        <w:tc>
          <w:tcPr>
            <w:tcW w:w="4536" w:type="dxa"/>
            <w:tcBorders>
              <w:top w:val="single" w:sz="6" w:space="0" w:color="auto"/>
              <w:bottom w:val="single" w:sz="6" w:space="0" w:color="auto"/>
            </w:tcBorders>
          </w:tcPr>
          <w:p w:rsidR="001C7BF9" w:rsidRPr="00C9680B" w:rsidRDefault="001C7BF9">
            <w:pPr>
              <w:pStyle w:val="Tabell"/>
              <w:keepNext/>
              <w:keepLines/>
              <w:rPr>
                <w:b/>
                <w:sz w:val="16"/>
              </w:rPr>
            </w:pPr>
          </w:p>
        </w:tc>
        <w:tc>
          <w:tcPr>
            <w:tcW w:w="567"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2001</w:t>
            </w:r>
          </w:p>
        </w:tc>
        <w:tc>
          <w:tcPr>
            <w:tcW w:w="567"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2002</w:t>
            </w:r>
          </w:p>
        </w:tc>
        <w:tc>
          <w:tcPr>
            <w:tcW w:w="567"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2003</w:t>
            </w:r>
          </w:p>
        </w:tc>
      </w:tr>
      <w:tr w:rsidR="00000000" w:rsidRPr="00C9680B">
        <w:tblPrEx>
          <w:tblCellMar>
            <w:top w:w="0" w:type="dxa"/>
            <w:left w:w="0" w:type="dxa"/>
            <w:bottom w:w="0" w:type="dxa"/>
            <w:right w:w="0" w:type="dxa"/>
          </w:tblCellMar>
        </w:tblPrEx>
        <w:trPr>
          <w:trHeight w:hRule="exact" w:val="60"/>
        </w:trPr>
        <w:tc>
          <w:tcPr>
            <w:tcW w:w="4536" w:type="dxa"/>
          </w:tcPr>
          <w:p w:rsidR="001C7BF9" w:rsidRPr="00C9680B" w:rsidRDefault="001C7BF9">
            <w:pPr>
              <w:pStyle w:val="Tabell"/>
              <w:keepNext/>
              <w:keepLines/>
              <w:rPr>
                <w:sz w:val="16"/>
              </w:rPr>
            </w:pPr>
          </w:p>
        </w:tc>
        <w:tc>
          <w:tcPr>
            <w:tcW w:w="567" w:type="dxa"/>
          </w:tcPr>
          <w:p w:rsidR="001C7BF9" w:rsidRPr="00C9680B" w:rsidRDefault="001C7BF9">
            <w:pPr>
              <w:pStyle w:val="Tabell"/>
              <w:keepNext/>
              <w:keepLines/>
              <w:rPr>
                <w:sz w:val="16"/>
              </w:rPr>
            </w:pPr>
          </w:p>
        </w:tc>
        <w:tc>
          <w:tcPr>
            <w:tcW w:w="567" w:type="dxa"/>
          </w:tcPr>
          <w:p w:rsidR="001C7BF9" w:rsidRPr="00C9680B" w:rsidRDefault="001C7BF9">
            <w:pPr>
              <w:pStyle w:val="Tabell"/>
              <w:keepNext/>
              <w:keepLines/>
              <w:rPr>
                <w:sz w:val="16"/>
              </w:rPr>
            </w:pPr>
          </w:p>
        </w:tc>
        <w:tc>
          <w:tcPr>
            <w:tcW w:w="567" w:type="dxa"/>
          </w:tcPr>
          <w:p w:rsidR="001C7BF9" w:rsidRPr="00C9680B" w:rsidRDefault="001C7BF9">
            <w:pPr>
              <w:pStyle w:val="Tabell"/>
              <w:keepNext/>
              <w:keepLines/>
              <w:rPr>
                <w:sz w:val="16"/>
              </w:rPr>
            </w:pP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rPr>
                <w:b/>
                <w:sz w:val="16"/>
              </w:rPr>
            </w:pPr>
            <w:r w:rsidRPr="00C9680B">
              <w:rPr>
                <w:b/>
                <w:sz w:val="16"/>
              </w:rPr>
              <w:t>Nivån på finansiellt sparande i offentlig se</w:t>
            </w:r>
            <w:r w:rsidRPr="00C9680B">
              <w:rPr>
                <w:b/>
                <w:sz w:val="16"/>
              </w:rPr>
              <w:t>k</w:t>
            </w:r>
            <w:r w:rsidRPr="00C9680B">
              <w:rPr>
                <w:b/>
                <w:sz w:val="16"/>
              </w:rPr>
              <w:t>tor enl. regeringen</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75,7</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45,4</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47,3</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rPr>
                <w:sz w:val="16"/>
              </w:rPr>
            </w:pPr>
            <w:r w:rsidRPr="00C9680B">
              <w:rPr>
                <w:sz w:val="16"/>
              </w:rPr>
              <w:t>Utgiftsminskningar, netto</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+36,3</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+51,0</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+63,7</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rPr>
                <w:sz w:val="16"/>
              </w:rPr>
            </w:pPr>
            <w:r w:rsidRPr="00C9680B">
              <w:rPr>
                <w:sz w:val="16"/>
              </w:rPr>
              <w:t>Skattesänkningar, netto</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-48,4</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-79,3</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-106,1</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rPr>
                <w:sz w:val="16"/>
              </w:rPr>
            </w:pPr>
            <w:r w:rsidRPr="00C9680B">
              <w:rPr>
                <w:sz w:val="16"/>
              </w:rPr>
              <w:t>Ränteeffekt av större privatiseringar än regeringen</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+2,1</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+5,1</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+7,4</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rPr>
                <w:b/>
                <w:sz w:val="16"/>
              </w:rPr>
            </w:pPr>
            <w:r w:rsidRPr="00C9680B">
              <w:rPr>
                <w:b/>
                <w:sz w:val="16"/>
              </w:rPr>
              <w:t>Samlad effekt på finansiellt sparande enligt (m)</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-10,0</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-23,2</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-35,0</w:t>
            </w: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tc>
      </w:tr>
      <w:tr w:rsidR="00000000" w:rsidRPr="00C9680B">
        <w:tblPrEx>
          <w:tblCellMar>
            <w:top w:w="0" w:type="dxa"/>
            <w:left w:w="0" w:type="dxa"/>
            <w:bottom w:w="0" w:type="dxa"/>
            <w:right w:w="0" w:type="dxa"/>
          </w:tblCellMar>
        </w:tblPrEx>
        <w:tc>
          <w:tcPr>
            <w:tcW w:w="4536" w:type="dxa"/>
          </w:tcPr>
          <w:p w:rsidR="001C7BF9" w:rsidRPr="00C9680B" w:rsidRDefault="001C7BF9">
            <w:pPr>
              <w:pStyle w:val="Tabell"/>
              <w:keepNext/>
              <w:keepLines/>
              <w:rPr>
                <w:sz w:val="16"/>
              </w:rPr>
            </w:pPr>
            <w:r w:rsidRPr="00C9680B">
              <w:rPr>
                <w:sz w:val="16"/>
              </w:rPr>
              <w:t>Utnyttjande av reserv avsatt i BP som beräkningsteknisk överföring till hushållen 2002 och 2003</w:t>
            </w:r>
          </w:p>
        </w:tc>
        <w:tc>
          <w:tcPr>
            <w:tcW w:w="567" w:type="dxa"/>
          </w:tcPr>
          <w:p w:rsidR="001C7BF9" w:rsidRPr="00C9680B" w:rsidRDefault="001C7BF9">
            <w:pPr>
              <w:pStyle w:val="Tabell"/>
              <w:keepNext/>
              <w:keepLines/>
              <w:ind w:right="57"/>
              <w:jc w:val="right"/>
              <w:rPr>
                <w:sz w:val="16"/>
              </w:rPr>
            </w:pPr>
          </w:p>
          <w:p w:rsidR="001C7BF9" w:rsidRPr="00C9680B" w:rsidRDefault="001C7BF9">
            <w:pPr>
              <w:pStyle w:val="Tabell"/>
              <w:keepNext/>
              <w:keepLines/>
              <w:ind w:right="57"/>
              <w:jc w:val="right"/>
              <w:rPr>
                <w:sz w:val="16"/>
              </w:rPr>
            </w:pPr>
            <w:r w:rsidRPr="00C9680B">
              <w:rPr>
                <w:sz w:val="16"/>
              </w:rPr>
              <w:t>–</w:t>
            </w:r>
          </w:p>
        </w:tc>
        <w:tc>
          <w:tcPr>
            <w:tcW w:w="567" w:type="dxa"/>
          </w:tcPr>
          <w:p w:rsidR="001C7BF9" w:rsidRPr="00C9680B" w:rsidRDefault="001C7BF9">
            <w:pPr>
              <w:pStyle w:val="Tabell"/>
              <w:keepNext/>
              <w:keepLines/>
              <w:ind w:right="57"/>
              <w:jc w:val="right"/>
              <w:rPr>
                <w:sz w:val="16"/>
              </w:rPr>
            </w:pPr>
          </w:p>
          <w:p w:rsidR="001C7BF9" w:rsidRPr="00C9680B" w:rsidRDefault="001C7BF9">
            <w:pPr>
              <w:pStyle w:val="Tabell"/>
              <w:keepNext/>
              <w:keepLines/>
              <w:ind w:right="57"/>
              <w:jc w:val="right"/>
              <w:rPr>
                <w:sz w:val="16"/>
              </w:rPr>
            </w:pPr>
            <w:r w:rsidRPr="00C9680B">
              <w:rPr>
                <w:sz w:val="16"/>
              </w:rPr>
              <w:t>+29,5</w:t>
            </w:r>
          </w:p>
        </w:tc>
        <w:tc>
          <w:tcPr>
            <w:tcW w:w="567" w:type="dxa"/>
          </w:tcPr>
          <w:p w:rsidR="001C7BF9" w:rsidRPr="00C9680B" w:rsidRDefault="001C7BF9">
            <w:pPr>
              <w:pStyle w:val="Tabell"/>
              <w:keepNext/>
              <w:keepLines/>
              <w:ind w:right="57"/>
              <w:jc w:val="right"/>
              <w:rPr>
                <w:sz w:val="16"/>
              </w:rPr>
            </w:pPr>
          </w:p>
          <w:p w:rsidR="001C7BF9" w:rsidRPr="00C9680B" w:rsidRDefault="001C7BF9">
            <w:pPr>
              <w:pStyle w:val="Tabell"/>
              <w:keepNext/>
              <w:keepLines/>
              <w:ind w:right="57"/>
              <w:jc w:val="right"/>
              <w:rPr>
                <w:sz w:val="16"/>
              </w:rPr>
            </w:pPr>
            <w:r w:rsidRPr="00C9680B">
              <w:rPr>
                <w:sz w:val="16"/>
              </w:rPr>
              <w:t>+36,8</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rPr>
                <w:b/>
                <w:sz w:val="16"/>
              </w:rPr>
            </w:pPr>
            <w:r w:rsidRPr="00C9680B">
              <w:rPr>
                <w:b/>
                <w:sz w:val="16"/>
              </w:rPr>
              <w:t>Nivån på finansiellt sparande i offentlig se</w:t>
            </w:r>
            <w:r w:rsidRPr="00C9680B">
              <w:rPr>
                <w:b/>
                <w:sz w:val="16"/>
              </w:rPr>
              <w:t>k</w:t>
            </w:r>
            <w:r w:rsidRPr="00C9680B">
              <w:rPr>
                <w:b/>
                <w:sz w:val="16"/>
              </w:rPr>
              <w:t>tor enligt (m)</w:t>
            </w:r>
          </w:p>
        </w:tc>
        <w:tc>
          <w:tcPr>
            <w:tcW w:w="567" w:type="dxa"/>
          </w:tcPr>
          <w:p w:rsidR="001C7BF9" w:rsidRPr="00C9680B" w:rsidRDefault="001C7BF9">
            <w:pPr>
              <w:pStyle w:val="Tabell"/>
              <w:keepNext/>
              <w:keepLines/>
              <w:ind w:right="57"/>
              <w:jc w:val="right"/>
              <w:rPr>
                <w:b/>
                <w:sz w:val="16"/>
              </w:rPr>
            </w:pPr>
            <w:r w:rsidRPr="00C9680B">
              <w:rPr>
                <w:b/>
                <w:sz w:val="16"/>
              </w:rPr>
              <w:t>65,7</w:t>
            </w:r>
          </w:p>
        </w:tc>
        <w:tc>
          <w:tcPr>
            <w:tcW w:w="567" w:type="dxa"/>
          </w:tcPr>
          <w:p w:rsidR="001C7BF9" w:rsidRPr="00C9680B" w:rsidRDefault="001C7BF9">
            <w:pPr>
              <w:pStyle w:val="Tabell"/>
              <w:keepNext/>
              <w:keepLines/>
              <w:ind w:right="57"/>
              <w:jc w:val="right"/>
              <w:rPr>
                <w:b/>
                <w:sz w:val="16"/>
              </w:rPr>
            </w:pPr>
            <w:r w:rsidRPr="00C9680B">
              <w:rPr>
                <w:b/>
                <w:sz w:val="16"/>
              </w:rPr>
              <w:t>51,7</w:t>
            </w:r>
          </w:p>
        </w:tc>
        <w:tc>
          <w:tcPr>
            <w:tcW w:w="567" w:type="dxa"/>
          </w:tcPr>
          <w:p w:rsidR="001C7BF9" w:rsidRPr="00C9680B" w:rsidRDefault="001C7BF9">
            <w:pPr>
              <w:pStyle w:val="Tabell"/>
              <w:keepNext/>
              <w:keepLines/>
              <w:ind w:right="57"/>
              <w:jc w:val="right"/>
              <w:rPr>
                <w:b/>
                <w:sz w:val="16"/>
              </w:rPr>
            </w:pPr>
            <w:r w:rsidRPr="00C9680B">
              <w:rPr>
                <w:b/>
                <w:sz w:val="16"/>
              </w:rPr>
              <w:t>49,1</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rPr>
                <w:sz w:val="16"/>
              </w:rPr>
            </w:pPr>
            <w:r w:rsidRPr="00C9680B">
              <w:rPr>
                <w:sz w:val="16"/>
              </w:rPr>
              <w:t>Nivå i förhållande till reg. mål om 2,5 resp. 2 % överskott</w:t>
            </w:r>
          </w:p>
        </w:tc>
        <w:tc>
          <w:tcPr>
            <w:tcW w:w="567" w:type="dxa"/>
          </w:tcPr>
          <w:p w:rsidR="001C7BF9" w:rsidRPr="00C9680B" w:rsidRDefault="001C7BF9">
            <w:pPr>
              <w:pStyle w:val="Tabell"/>
              <w:keepNext/>
              <w:keepLines/>
              <w:ind w:right="57"/>
              <w:jc w:val="right"/>
              <w:rPr>
                <w:sz w:val="16"/>
              </w:rPr>
            </w:pPr>
            <w:r w:rsidRPr="00C9680B">
              <w:rPr>
                <w:sz w:val="16"/>
              </w:rPr>
              <w:t>+11,1</w:t>
            </w:r>
          </w:p>
        </w:tc>
        <w:tc>
          <w:tcPr>
            <w:tcW w:w="567" w:type="dxa"/>
          </w:tcPr>
          <w:p w:rsidR="001C7BF9" w:rsidRPr="00C9680B" w:rsidRDefault="001C7BF9">
            <w:pPr>
              <w:pStyle w:val="Tabell"/>
              <w:keepNext/>
              <w:keepLines/>
              <w:ind w:right="57"/>
              <w:jc w:val="right"/>
              <w:rPr>
                <w:sz w:val="16"/>
              </w:rPr>
            </w:pPr>
            <w:r w:rsidRPr="00C9680B">
              <w:rPr>
                <w:sz w:val="16"/>
              </w:rPr>
              <w:t>+6,3</w:t>
            </w:r>
          </w:p>
        </w:tc>
        <w:tc>
          <w:tcPr>
            <w:tcW w:w="567" w:type="dxa"/>
          </w:tcPr>
          <w:p w:rsidR="001C7BF9" w:rsidRPr="00C9680B" w:rsidRDefault="001C7BF9">
            <w:pPr>
              <w:pStyle w:val="Tabell"/>
              <w:keepNext/>
              <w:keepLines/>
              <w:ind w:right="57"/>
              <w:jc w:val="right"/>
              <w:rPr>
                <w:sz w:val="16"/>
              </w:rPr>
            </w:pPr>
            <w:r w:rsidRPr="00C9680B">
              <w:rPr>
                <w:sz w:val="16"/>
              </w:rPr>
              <w:t>+1,8</w:t>
            </w:r>
          </w:p>
        </w:tc>
      </w:tr>
      <w:tr w:rsidR="00000000" w:rsidRPr="00C9680B">
        <w:tblPrEx>
          <w:tblCellMar>
            <w:top w:w="0" w:type="dxa"/>
            <w:left w:w="0" w:type="dxa"/>
            <w:bottom w:w="0" w:type="dxa"/>
            <w:right w:w="0" w:type="dxa"/>
          </w:tblCellMar>
        </w:tblPrEx>
        <w:trPr>
          <w:trHeight w:hRule="exact" w:val="60"/>
        </w:trPr>
        <w:tc>
          <w:tcPr>
            <w:tcW w:w="4536" w:type="dxa"/>
            <w:tcBorders>
              <w:bottom w:val="single" w:sz="6" w:space="0" w:color="auto"/>
            </w:tcBorders>
          </w:tcPr>
          <w:p w:rsidR="001C7BF9" w:rsidRPr="00C9680B" w:rsidRDefault="001C7BF9">
            <w:pPr>
              <w:pStyle w:val="Tabell"/>
              <w:keepNext/>
              <w:keepLines/>
              <w:rPr>
                <w:sz w:val="16"/>
              </w:rPr>
            </w:pPr>
          </w:p>
        </w:tc>
        <w:tc>
          <w:tcPr>
            <w:tcW w:w="567" w:type="dxa"/>
            <w:tcBorders>
              <w:bottom w:val="single" w:sz="6" w:space="0" w:color="auto"/>
            </w:tcBorders>
          </w:tcPr>
          <w:p w:rsidR="001C7BF9" w:rsidRPr="00C9680B" w:rsidRDefault="001C7BF9">
            <w:pPr>
              <w:pStyle w:val="Tabell"/>
              <w:keepNext/>
              <w:keepLines/>
              <w:ind w:right="57"/>
              <w:jc w:val="right"/>
              <w:rPr>
                <w:sz w:val="16"/>
              </w:rPr>
            </w:pPr>
          </w:p>
        </w:tc>
        <w:tc>
          <w:tcPr>
            <w:tcW w:w="567" w:type="dxa"/>
            <w:tcBorders>
              <w:bottom w:val="single" w:sz="6" w:space="0" w:color="auto"/>
            </w:tcBorders>
          </w:tcPr>
          <w:p w:rsidR="001C7BF9" w:rsidRPr="00C9680B" w:rsidRDefault="001C7BF9">
            <w:pPr>
              <w:pStyle w:val="Tabell"/>
              <w:keepNext/>
              <w:keepLines/>
              <w:ind w:right="57"/>
              <w:jc w:val="right"/>
              <w:rPr>
                <w:sz w:val="16"/>
              </w:rPr>
            </w:pPr>
          </w:p>
        </w:tc>
        <w:tc>
          <w:tcPr>
            <w:tcW w:w="567" w:type="dxa"/>
            <w:tcBorders>
              <w:bottom w:val="single" w:sz="6" w:space="0" w:color="auto"/>
            </w:tcBorders>
          </w:tcPr>
          <w:p w:rsidR="001C7BF9" w:rsidRPr="00C9680B" w:rsidRDefault="001C7BF9">
            <w:pPr>
              <w:pStyle w:val="Tabell"/>
              <w:keepNext/>
              <w:keepLines/>
              <w:ind w:right="57"/>
              <w:jc w:val="right"/>
              <w:rPr>
                <w:sz w:val="16"/>
              </w:rPr>
            </w:pPr>
          </w:p>
        </w:tc>
      </w:tr>
    </w:tbl>
    <w:p w:rsidR="001C7BF9" w:rsidRPr="00C9680B" w:rsidRDefault="001C7BF9">
      <w:pPr>
        <w:spacing w:before="312"/>
      </w:pPr>
      <w:r w:rsidRPr="00C9680B">
        <w:t>Moderata samlingspartiet avvisar användningen av en budgeteringsmarginal. Om man till de av Moderaterna föreslagna ändringarna av de takbegränsade utgifterna på statsbudgeten lägger effekten av detta ställningstagande får man fram nivån på det av motionärerna förordade utgiftst</w:t>
      </w:r>
      <w:r w:rsidRPr="00C9680B">
        <w:t>a</w:t>
      </w:r>
      <w:r w:rsidRPr="00C9680B">
        <w:t>ket för staten.</w:t>
      </w:r>
    </w:p>
    <w:p w:rsidR="001C7BF9" w:rsidRPr="00C9680B" w:rsidRDefault="001C7BF9">
      <w:pPr>
        <w:pStyle w:val="TabellrubrikPer"/>
        <w:keepNext/>
        <w:keepLines/>
        <w:spacing w:line="190" w:lineRule="exact"/>
        <w:outlineLvl w:val="0"/>
        <w:rPr>
          <w:b/>
          <w:caps w:val="0"/>
          <w:spacing w:val="0"/>
          <w:sz w:val="16"/>
        </w:rPr>
      </w:pPr>
      <w:bookmarkStart w:id="172" w:name="_Toc421506205"/>
      <w:r w:rsidRPr="00C9680B">
        <w:rPr>
          <w:b/>
          <w:caps w:val="0"/>
          <w:spacing w:val="0"/>
          <w:sz w:val="16"/>
        </w:rPr>
        <w:t>Tabell 16. Moderata samlingspartiets förslag till utgiftstak för staten</w:t>
      </w:r>
      <w:bookmarkEnd w:id="172"/>
      <w:r w:rsidRPr="00C9680B">
        <w:rPr>
          <w:b/>
          <w:caps w:val="0"/>
          <w:spacing w:val="0"/>
          <w:sz w:val="16"/>
        </w:rPr>
        <w:t xml:space="preserve"> 2001–2003</w:t>
      </w:r>
    </w:p>
    <w:p w:rsidR="001C7BF9" w:rsidRPr="00C9680B" w:rsidRDefault="001C7BF9">
      <w:pPr>
        <w:pStyle w:val="Tabell"/>
        <w:keepNext/>
        <w:keepLines/>
        <w:spacing w:after="40" w:line="190" w:lineRule="exact"/>
        <w:outlineLvl w:val="0"/>
        <w:rPr>
          <w:sz w:val="14"/>
        </w:rPr>
      </w:pPr>
      <w:r w:rsidRPr="00C9680B">
        <w:rPr>
          <w:sz w:val="14"/>
        </w:rPr>
        <w:t>Belopp i miljarder kronor</w:t>
      </w:r>
    </w:p>
    <w:tbl>
      <w:tblPr>
        <w:tblW w:w="0" w:type="auto"/>
        <w:tblLayout w:type="fixed"/>
        <w:tblCellMar>
          <w:left w:w="0" w:type="dxa"/>
          <w:right w:w="0" w:type="dxa"/>
        </w:tblCellMar>
        <w:tblLook w:val="0000" w:firstRow="0" w:lastRow="0" w:firstColumn="0" w:lastColumn="0" w:noHBand="0" w:noVBand="0"/>
      </w:tblPr>
      <w:tblGrid>
        <w:gridCol w:w="4111"/>
        <w:gridCol w:w="567"/>
        <w:gridCol w:w="567"/>
        <w:gridCol w:w="567"/>
      </w:tblGrid>
      <w:tr w:rsidR="00000000" w:rsidRPr="00C9680B">
        <w:tblPrEx>
          <w:tblCellMar>
            <w:top w:w="0" w:type="dxa"/>
            <w:left w:w="0" w:type="dxa"/>
            <w:bottom w:w="0" w:type="dxa"/>
            <w:right w:w="0" w:type="dxa"/>
          </w:tblCellMar>
        </w:tblPrEx>
        <w:tc>
          <w:tcPr>
            <w:tcW w:w="4111" w:type="dxa"/>
            <w:tcBorders>
              <w:top w:val="single" w:sz="6" w:space="0" w:color="auto"/>
              <w:bottom w:val="single" w:sz="6" w:space="0" w:color="auto"/>
            </w:tcBorders>
          </w:tcPr>
          <w:p w:rsidR="001C7BF9" w:rsidRPr="00C9680B" w:rsidRDefault="001C7BF9">
            <w:pPr>
              <w:pStyle w:val="Tabell"/>
              <w:keepNext/>
              <w:keepLines/>
              <w:rPr>
                <w:b/>
                <w:sz w:val="16"/>
              </w:rPr>
            </w:pPr>
          </w:p>
        </w:tc>
        <w:tc>
          <w:tcPr>
            <w:tcW w:w="567"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2001</w:t>
            </w:r>
          </w:p>
        </w:tc>
        <w:tc>
          <w:tcPr>
            <w:tcW w:w="567"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2002</w:t>
            </w:r>
          </w:p>
        </w:tc>
        <w:tc>
          <w:tcPr>
            <w:tcW w:w="567"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2003</w:t>
            </w:r>
          </w:p>
        </w:tc>
      </w:tr>
      <w:tr w:rsidR="00000000" w:rsidRPr="00C9680B">
        <w:tblPrEx>
          <w:tblCellMar>
            <w:top w:w="0" w:type="dxa"/>
            <w:left w:w="0" w:type="dxa"/>
            <w:bottom w:w="0" w:type="dxa"/>
            <w:right w:w="0" w:type="dxa"/>
          </w:tblCellMar>
        </w:tblPrEx>
        <w:trPr>
          <w:trHeight w:hRule="exact" w:val="60"/>
        </w:trPr>
        <w:tc>
          <w:tcPr>
            <w:tcW w:w="4111" w:type="dxa"/>
          </w:tcPr>
          <w:p w:rsidR="001C7BF9" w:rsidRPr="00C9680B" w:rsidRDefault="001C7BF9">
            <w:pPr>
              <w:pStyle w:val="Tabell"/>
              <w:keepNext/>
              <w:keepLines/>
              <w:rPr>
                <w:b/>
                <w:sz w:val="16"/>
              </w:rPr>
            </w:pPr>
          </w:p>
        </w:tc>
        <w:tc>
          <w:tcPr>
            <w:tcW w:w="567" w:type="dxa"/>
          </w:tcPr>
          <w:p w:rsidR="001C7BF9" w:rsidRPr="00C9680B" w:rsidRDefault="001C7BF9">
            <w:pPr>
              <w:pStyle w:val="Tabell"/>
              <w:keepNext/>
              <w:keepLines/>
              <w:ind w:right="57"/>
              <w:jc w:val="right"/>
              <w:rPr>
                <w:b/>
                <w:sz w:val="16"/>
              </w:rPr>
            </w:pPr>
          </w:p>
        </w:tc>
        <w:tc>
          <w:tcPr>
            <w:tcW w:w="567" w:type="dxa"/>
          </w:tcPr>
          <w:p w:rsidR="001C7BF9" w:rsidRPr="00C9680B" w:rsidRDefault="001C7BF9">
            <w:pPr>
              <w:pStyle w:val="Tabell"/>
              <w:keepNext/>
              <w:keepLines/>
              <w:ind w:right="57"/>
              <w:jc w:val="right"/>
              <w:rPr>
                <w:b/>
                <w:sz w:val="16"/>
              </w:rPr>
            </w:pPr>
          </w:p>
        </w:tc>
        <w:tc>
          <w:tcPr>
            <w:tcW w:w="567" w:type="dxa"/>
          </w:tcPr>
          <w:p w:rsidR="001C7BF9" w:rsidRPr="00C9680B" w:rsidRDefault="001C7BF9">
            <w:pPr>
              <w:pStyle w:val="Tabell"/>
              <w:keepNext/>
              <w:keepLines/>
              <w:ind w:right="57"/>
              <w:jc w:val="right"/>
              <w:rPr>
                <w:b/>
                <w:sz w:val="16"/>
              </w:rPr>
            </w:pPr>
          </w:p>
        </w:tc>
      </w:tr>
      <w:tr w:rsidR="00000000" w:rsidRPr="00C9680B">
        <w:tblPrEx>
          <w:tblCellMar>
            <w:top w:w="0" w:type="dxa"/>
            <w:left w:w="0" w:type="dxa"/>
            <w:bottom w:w="0" w:type="dxa"/>
            <w:right w:w="0" w:type="dxa"/>
          </w:tblCellMar>
        </w:tblPrEx>
        <w:trPr>
          <w:trHeight w:val="210"/>
        </w:trPr>
        <w:tc>
          <w:tcPr>
            <w:tcW w:w="4111" w:type="dxa"/>
          </w:tcPr>
          <w:p w:rsidR="001C7BF9" w:rsidRPr="00C9680B" w:rsidRDefault="001C7BF9">
            <w:pPr>
              <w:pStyle w:val="Tabell"/>
              <w:keepNext/>
              <w:keepLines/>
              <w:rPr>
                <w:b/>
                <w:sz w:val="16"/>
              </w:rPr>
            </w:pPr>
            <w:r w:rsidRPr="00C9680B">
              <w:rPr>
                <w:b/>
                <w:sz w:val="16"/>
              </w:rPr>
              <w:t>Regeringens förslag till utgiftstak</w:t>
            </w:r>
          </w:p>
        </w:tc>
        <w:tc>
          <w:tcPr>
            <w:tcW w:w="567" w:type="dxa"/>
          </w:tcPr>
          <w:p w:rsidR="001C7BF9" w:rsidRPr="00C9680B" w:rsidRDefault="001C7BF9">
            <w:pPr>
              <w:pStyle w:val="Tabell"/>
              <w:keepNext/>
              <w:keepLines/>
              <w:ind w:right="57"/>
              <w:jc w:val="right"/>
              <w:rPr>
                <w:b/>
                <w:sz w:val="16"/>
              </w:rPr>
            </w:pPr>
            <w:r w:rsidRPr="00C9680B">
              <w:rPr>
                <w:b/>
                <w:sz w:val="16"/>
              </w:rPr>
              <w:t>789,0</w:t>
            </w:r>
          </w:p>
        </w:tc>
        <w:tc>
          <w:tcPr>
            <w:tcW w:w="567" w:type="dxa"/>
          </w:tcPr>
          <w:p w:rsidR="001C7BF9" w:rsidRPr="00C9680B" w:rsidRDefault="001C7BF9">
            <w:pPr>
              <w:pStyle w:val="Tabell"/>
              <w:keepNext/>
              <w:keepLines/>
              <w:ind w:right="57"/>
              <w:jc w:val="right"/>
              <w:rPr>
                <w:b/>
                <w:sz w:val="16"/>
              </w:rPr>
            </w:pPr>
            <w:r w:rsidRPr="00C9680B">
              <w:rPr>
                <w:b/>
                <w:sz w:val="16"/>
              </w:rPr>
              <w:t>814,0</w:t>
            </w:r>
          </w:p>
        </w:tc>
        <w:tc>
          <w:tcPr>
            <w:tcW w:w="567" w:type="dxa"/>
          </w:tcPr>
          <w:p w:rsidR="001C7BF9" w:rsidRPr="00C9680B" w:rsidRDefault="001C7BF9">
            <w:pPr>
              <w:pStyle w:val="Tabell"/>
              <w:keepNext/>
              <w:keepLines/>
              <w:ind w:right="57"/>
              <w:jc w:val="right"/>
              <w:rPr>
                <w:b/>
                <w:sz w:val="16"/>
              </w:rPr>
            </w:pPr>
            <w:r w:rsidRPr="00C9680B">
              <w:rPr>
                <w:b/>
                <w:sz w:val="16"/>
              </w:rPr>
              <w:t>844,0</w:t>
            </w:r>
          </w:p>
        </w:tc>
      </w:tr>
      <w:tr w:rsidR="00000000" w:rsidRPr="00C9680B">
        <w:tblPrEx>
          <w:tblCellMar>
            <w:top w:w="0" w:type="dxa"/>
            <w:left w:w="0" w:type="dxa"/>
            <w:bottom w:w="0" w:type="dxa"/>
            <w:right w:w="0" w:type="dxa"/>
          </w:tblCellMar>
        </w:tblPrEx>
        <w:trPr>
          <w:trHeight w:val="210"/>
        </w:trPr>
        <w:tc>
          <w:tcPr>
            <w:tcW w:w="4111" w:type="dxa"/>
          </w:tcPr>
          <w:p w:rsidR="001C7BF9" w:rsidRPr="00C9680B" w:rsidRDefault="001C7BF9">
            <w:pPr>
              <w:pStyle w:val="Tabell"/>
              <w:keepNext/>
              <w:keepLines/>
              <w:rPr>
                <w:sz w:val="16"/>
              </w:rPr>
            </w:pPr>
            <w:r w:rsidRPr="00C9680B">
              <w:rPr>
                <w:sz w:val="16"/>
              </w:rPr>
              <w:t>Föreslagen ökning av takbegränsade utgifter¹</w:t>
            </w:r>
          </w:p>
        </w:tc>
        <w:tc>
          <w:tcPr>
            <w:tcW w:w="567" w:type="dxa"/>
          </w:tcPr>
          <w:p w:rsidR="001C7BF9" w:rsidRPr="00C9680B" w:rsidRDefault="001C7BF9">
            <w:pPr>
              <w:pStyle w:val="Tabell"/>
              <w:keepNext/>
              <w:keepLines/>
              <w:ind w:right="57"/>
              <w:jc w:val="right"/>
              <w:rPr>
                <w:sz w:val="16"/>
              </w:rPr>
            </w:pPr>
            <w:r w:rsidRPr="00C9680B">
              <w:rPr>
                <w:sz w:val="16"/>
              </w:rPr>
              <w:t>+16,8</w:t>
            </w:r>
          </w:p>
        </w:tc>
        <w:tc>
          <w:tcPr>
            <w:tcW w:w="567" w:type="dxa"/>
          </w:tcPr>
          <w:p w:rsidR="001C7BF9" w:rsidRPr="00C9680B" w:rsidRDefault="001C7BF9">
            <w:pPr>
              <w:pStyle w:val="Tabell"/>
              <w:keepNext/>
              <w:keepLines/>
              <w:ind w:right="57"/>
              <w:jc w:val="right"/>
              <w:rPr>
                <w:sz w:val="16"/>
              </w:rPr>
            </w:pPr>
            <w:r w:rsidRPr="00C9680B">
              <w:rPr>
                <w:sz w:val="16"/>
              </w:rPr>
              <w:t>+14,7</w:t>
            </w:r>
          </w:p>
        </w:tc>
        <w:tc>
          <w:tcPr>
            <w:tcW w:w="567" w:type="dxa"/>
          </w:tcPr>
          <w:p w:rsidR="001C7BF9" w:rsidRPr="00C9680B" w:rsidRDefault="001C7BF9">
            <w:pPr>
              <w:pStyle w:val="Tabell"/>
              <w:keepNext/>
              <w:keepLines/>
              <w:ind w:right="57"/>
              <w:jc w:val="right"/>
              <w:rPr>
                <w:sz w:val="16"/>
              </w:rPr>
            </w:pPr>
            <w:r w:rsidRPr="00C9680B">
              <w:rPr>
                <w:sz w:val="16"/>
              </w:rPr>
              <w:t>+15,4</w:t>
            </w:r>
          </w:p>
        </w:tc>
      </w:tr>
      <w:tr w:rsidR="00000000" w:rsidRPr="00C9680B">
        <w:tblPrEx>
          <w:tblCellMar>
            <w:top w:w="0" w:type="dxa"/>
            <w:left w:w="0" w:type="dxa"/>
            <w:bottom w:w="0" w:type="dxa"/>
            <w:right w:w="0" w:type="dxa"/>
          </w:tblCellMar>
        </w:tblPrEx>
        <w:trPr>
          <w:trHeight w:val="210"/>
        </w:trPr>
        <w:tc>
          <w:tcPr>
            <w:tcW w:w="4111" w:type="dxa"/>
          </w:tcPr>
          <w:p w:rsidR="001C7BF9" w:rsidRPr="00C9680B" w:rsidRDefault="001C7BF9">
            <w:pPr>
              <w:pStyle w:val="Tabell"/>
              <w:keepNext/>
              <w:keepLines/>
              <w:rPr>
                <w:sz w:val="16"/>
              </w:rPr>
            </w:pPr>
            <w:r w:rsidRPr="00C9680B">
              <w:rPr>
                <w:sz w:val="16"/>
              </w:rPr>
              <w:t>Nej till budgeteringsmarg</w:t>
            </w:r>
            <w:r w:rsidRPr="00C9680B">
              <w:rPr>
                <w:sz w:val="16"/>
              </w:rPr>
              <w:t>i</w:t>
            </w:r>
            <w:r w:rsidRPr="00C9680B">
              <w:rPr>
                <w:sz w:val="16"/>
              </w:rPr>
              <w:t>nal</w:t>
            </w:r>
          </w:p>
        </w:tc>
        <w:tc>
          <w:tcPr>
            <w:tcW w:w="567" w:type="dxa"/>
          </w:tcPr>
          <w:p w:rsidR="001C7BF9" w:rsidRPr="00C9680B" w:rsidRDefault="001C7BF9">
            <w:pPr>
              <w:pStyle w:val="Tabell"/>
              <w:keepNext/>
              <w:keepLines/>
              <w:ind w:right="57"/>
              <w:jc w:val="right"/>
              <w:rPr>
                <w:sz w:val="16"/>
              </w:rPr>
            </w:pPr>
            <w:r w:rsidRPr="00C9680B">
              <w:rPr>
                <w:sz w:val="16"/>
              </w:rPr>
              <w:t>-1,2</w:t>
            </w:r>
          </w:p>
        </w:tc>
        <w:tc>
          <w:tcPr>
            <w:tcW w:w="567" w:type="dxa"/>
          </w:tcPr>
          <w:p w:rsidR="001C7BF9" w:rsidRPr="00C9680B" w:rsidRDefault="001C7BF9">
            <w:pPr>
              <w:pStyle w:val="Tabell"/>
              <w:keepNext/>
              <w:keepLines/>
              <w:ind w:right="57"/>
              <w:jc w:val="right"/>
              <w:rPr>
                <w:sz w:val="16"/>
              </w:rPr>
            </w:pPr>
            <w:r w:rsidRPr="00C9680B">
              <w:rPr>
                <w:sz w:val="16"/>
              </w:rPr>
              <w:t>-9,2</w:t>
            </w:r>
          </w:p>
        </w:tc>
        <w:tc>
          <w:tcPr>
            <w:tcW w:w="567" w:type="dxa"/>
          </w:tcPr>
          <w:p w:rsidR="001C7BF9" w:rsidRPr="00C9680B" w:rsidRDefault="001C7BF9">
            <w:pPr>
              <w:pStyle w:val="Tabell"/>
              <w:keepNext/>
              <w:keepLines/>
              <w:ind w:right="57"/>
              <w:jc w:val="right"/>
              <w:rPr>
                <w:sz w:val="16"/>
              </w:rPr>
            </w:pPr>
            <w:r w:rsidRPr="00C9680B">
              <w:rPr>
                <w:sz w:val="16"/>
              </w:rPr>
              <w:t>-17,2</w:t>
            </w:r>
          </w:p>
        </w:tc>
      </w:tr>
      <w:tr w:rsidR="00000000" w:rsidRPr="00C9680B">
        <w:tblPrEx>
          <w:tblCellMar>
            <w:top w:w="0" w:type="dxa"/>
            <w:left w:w="0" w:type="dxa"/>
            <w:bottom w:w="0" w:type="dxa"/>
            <w:right w:w="0" w:type="dxa"/>
          </w:tblCellMar>
        </w:tblPrEx>
        <w:trPr>
          <w:trHeight w:val="210"/>
        </w:trPr>
        <w:tc>
          <w:tcPr>
            <w:tcW w:w="4111" w:type="dxa"/>
          </w:tcPr>
          <w:p w:rsidR="001C7BF9" w:rsidRPr="00C9680B" w:rsidRDefault="001C7BF9">
            <w:pPr>
              <w:pStyle w:val="Tabell"/>
              <w:keepNext/>
              <w:keepLines/>
              <w:rPr>
                <w:sz w:val="16"/>
              </w:rPr>
            </w:pPr>
            <w:r w:rsidRPr="00C9680B">
              <w:rPr>
                <w:sz w:val="16"/>
              </w:rPr>
              <w:t>Avrundningseffekt</w:t>
            </w:r>
          </w:p>
        </w:tc>
        <w:tc>
          <w:tcPr>
            <w:tcW w:w="567" w:type="dxa"/>
          </w:tcPr>
          <w:p w:rsidR="001C7BF9" w:rsidRPr="00C9680B" w:rsidRDefault="001C7BF9">
            <w:pPr>
              <w:pStyle w:val="Tabell"/>
              <w:keepNext/>
              <w:keepLines/>
              <w:ind w:right="57"/>
              <w:jc w:val="right"/>
              <w:rPr>
                <w:sz w:val="16"/>
              </w:rPr>
            </w:pPr>
            <w:r w:rsidRPr="00C9680B">
              <w:rPr>
                <w:sz w:val="16"/>
              </w:rPr>
              <w:t>+0,4</w:t>
            </w:r>
          </w:p>
        </w:tc>
        <w:tc>
          <w:tcPr>
            <w:tcW w:w="567" w:type="dxa"/>
          </w:tcPr>
          <w:p w:rsidR="001C7BF9" w:rsidRPr="00C9680B" w:rsidRDefault="001C7BF9">
            <w:pPr>
              <w:pStyle w:val="Tabell"/>
              <w:keepNext/>
              <w:keepLines/>
              <w:ind w:right="57"/>
              <w:jc w:val="right"/>
              <w:rPr>
                <w:sz w:val="16"/>
              </w:rPr>
            </w:pPr>
            <w:r w:rsidRPr="00C9680B">
              <w:rPr>
                <w:sz w:val="16"/>
              </w:rPr>
              <w:t>+0,5</w:t>
            </w:r>
          </w:p>
        </w:tc>
        <w:tc>
          <w:tcPr>
            <w:tcW w:w="567" w:type="dxa"/>
          </w:tcPr>
          <w:p w:rsidR="001C7BF9" w:rsidRPr="00C9680B" w:rsidRDefault="001C7BF9">
            <w:pPr>
              <w:pStyle w:val="Tabell"/>
              <w:keepNext/>
              <w:keepLines/>
              <w:ind w:right="57"/>
              <w:jc w:val="right"/>
              <w:rPr>
                <w:sz w:val="16"/>
              </w:rPr>
            </w:pPr>
            <w:r w:rsidRPr="00C9680B">
              <w:rPr>
                <w:sz w:val="16"/>
              </w:rPr>
              <w:t>-0,2</w:t>
            </w:r>
          </w:p>
        </w:tc>
      </w:tr>
      <w:tr w:rsidR="00000000" w:rsidRPr="00C9680B">
        <w:tblPrEx>
          <w:tblCellMar>
            <w:top w:w="0" w:type="dxa"/>
            <w:left w:w="0" w:type="dxa"/>
            <w:bottom w:w="0" w:type="dxa"/>
            <w:right w:w="0" w:type="dxa"/>
          </w:tblCellMar>
        </w:tblPrEx>
        <w:trPr>
          <w:trHeight w:val="210"/>
        </w:trPr>
        <w:tc>
          <w:tcPr>
            <w:tcW w:w="4111" w:type="dxa"/>
          </w:tcPr>
          <w:p w:rsidR="001C7BF9" w:rsidRPr="00C9680B" w:rsidRDefault="001C7BF9">
            <w:pPr>
              <w:pStyle w:val="Tabell"/>
              <w:keepNext/>
              <w:keepLines/>
              <w:rPr>
                <w:b/>
                <w:sz w:val="16"/>
              </w:rPr>
            </w:pPr>
            <w:r w:rsidRPr="00C9680B">
              <w:rPr>
                <w:b/>
                <w:sz w:val="16"/>
              </w:rPr>
              <w:t>Utgiftstak för staten enligt (m)¹</w:t>
            </w:r>
          </w:p>
        </w:tc>
        <w:tc>
          <w:tcPr>
            <w:tcW w:w="567" w:type="dxa"/>
          </w:tcPr>
          <w:p w:rsidR="001C7BF9" w:rsidRPr="00C9680B" w:rsidRDefault="001C7BF9">
            <w:pPr>
              <w:pStyle w:val="Tabell"/>
              <w:keepNext/>
              <w:keepLines/>
              <w:ind w:right="57"/>
              <w:jc w:val="right"/>
              <w:rPr>
                <w:b/>
                <w:sz w:val="16"/>
              </w:rPr>
            </w:pPr>
            <w:r w:rsidRPr="00C9680B">
              <w:rPr>
                <w:b/>
                <w:sz w:val="16"/>
              </w:rPr>
              <w:t>805,0</w:t>
            </w:r>
          </w:p>
        </w:tc>
        <w:tc>
          <w:tcPr>
            <w:tcW w:w="567" w:type="dxa"/>
          </w:tcPr>
          <w:p w:rsidR="001C7BF9" w:rsidRPr="00C9680B" w:rsidRDefault="001C7BF9">
            <w:pPr>
              <w:pStyle w:val="Tabell"/>
              <w:keepNext/>
              <w:keepLines/>
              <w:ind w:right="57"/>
              <w:jc w:val="right"/>
              <w:rPr>
                <w:b/>
                <w:sz w:val="16"/>
              </w:rPr>
            </w:pPr>
            <w:r w:rsidRPr="00C9680B">
              <w:rPr>
                <w:b/>
                <w:sz w:val="16"/>
              </w:rPr>
              <w:t>820,0</w:t>
            </w:r>
          </w:p>
        </w:tc>
        <w:tc>
          <w:tcPr>
            <w:tcW w:w="567" w:type="dxa"/>
          </w:tcPr>
          <w:p w:rsidR="001C7BF9" w:rsidRPr="00C9680B" w:rsidRDefault="001C7BF9">
            <w:pPr>
              <w:pStyle w:val="Tabell"/>
              <w:keepNext/>
              <w:keepLines/>
              <w:ind w:right="57"/>
              <w:jc w:val="right"/>
              <w:rPr>
                <w:b/>
                <w:sz w:val="16"/>
              </w:rPr>
            </w:pPr>
            <w:r w:rsidRPr="00C9680B">
              <w:rPr>
                <w:b/>
                <w:sz w:val="16"/>
              </w:rPr>
              <w:t>842,0</w:t>
            </w:r>
          </w:p>
        </w:tc>
      </w:tr>
      <w:tr w:rsidR="00000000" w:rsidRPr="00C9680B">
        <w:tblPrEx>
          <w:tblCellMar>
            <w:top w:w="0" w:type="dxa"/>
            <w:left w:w="0" w:type="dxa"/>
            <w:bottom w:w="0" w:type="dxa"/>
            <w:right w:w="0" w:type="dxa"/>
          </w:tblCellMar>
        </w:tblPrEx>
        <w:trPr>
          <w:trHeight w:hRule="exact" w:val="60"/>
        </w:trPr>
        <w:tc>
          <w:tcPr>
            <w:tcW w:w="4111" w:type="dxa"/>
            <w:tcBorders>
              <w:bottom w:val="single" w:sz="6" w:space="0" w:color="auto"/>
            </w:tcBorders>
          </w:tcPr>
          <w:p w:rsidR="001C7BF9" w:rsidRPr="00C9680B" w:rsidRDefault="001C7BF9">
            <w:pPr>
              <w:pStyle w:val="Tabell"/>
              <w:keepNext/>
              <w:keepLines/>
              <w:rPr>
                <w:sz w:val="16"/>
              </w:rPr>
            </w:pPr>
          </w:p>
        </w:tc>
        <w:tc>
          <w:tcPr>
            <w:tcW w:w="567" w:type="dxa"/>
            <w:tcBorders>
              <w:bottom w:val="single" w:sz="6" w:space="0" w:color="auto"/>
            </w:tcBorders>
          </w:tcPr>
          <w:p w:rsidR="001C7BF9" w:rsidRPr="00C9680B" w:rsidRDefault="001C7BF9">
            <w:pPr>
              <w:pStyle w:val="Tabell"/>
              <w:keepNext/>
              <w:keepLines/>
              <w:ind w:right="57"/>
              <w:jc w:val="right"/>
              <w:rPr>
                <w:sz w:val="16"/>
              </w:rPr>
            </w:pPr>
          </w:p>
        </w:tc>
        <w:tc>
          <w:tcPr>
            <w:tcW w:w="567" w:type="dxa"/>
            <w:tcBorders>
              <w:bottom w:val="single" w:sz="6" w:space="0" w:color="auto"/>
            </w:tcBorders>
          </w:tcPr>
          <w:p w:rsidR="001C7BF9" w:rsidRPr="00C9680B" w:rsidRDefault="001C7BF9">
            <w:pPr>
              <w:pStyle w:val="Tabell"/>
              <w:keepNext/>
              <w:keepLines/>
              <w:ind w:right="57"/>
              <w:jc w:val="right"/>
              <w:rPr>
                <w:sz w:val="16"/>
              </w:rPr>
            </w:pPr>
          </w:p>
        </w:tc>
        <w:tc>
          <w:tcPr>
            <w:tcW w:w="567" w:type="dxa"/>
            <w:tcBorders>
              <w:bottom w:val="single" w:sz="6" w:space="0" w:color="auto"/>
            </w:tcBorders>
          </w:tcPr>
          <w:p w:rsidR="001C7BF9" w:rsidRPr="00C9680B" w:rsidRDefault="001C7BF9">
            <w:pPr>
              <w:pStyle w:val="Tabell"/>
              <w:keepNext/>
              <w:keepLines/>
              <w:ind w:right="57"/>
              <w:jc w:val="right"/>
              <w:rPr>
                <w:sz w:val="16"/>
              </w:rPr>
            </w:pPr>
          </w:p>
        </w:tc>
      </w:tr>
    </w:tbl>
    <w:p w:rsidR="001C7BF9" w:rsidRPr="00C9680B" w:rsidRDefault="001C7BF9">
      <w:pPr>
        <w:pStyle w:val="Tabell"/>
        <w:ind w:left="113" w:hanging="113"/>
        <w:rPr>
          <w:sz w:val="16"/>
        </w:rPr>
      </w:pPr>
      <w:r w:rsidRPr="00C9680B">
        <w:t xml:space="preserve">¹ </w:t>
      </w:r>
      <w:r w:rsidRPr="00C9680B">
        <w:rPr>
          <w:sz w:val="16"/>
        </w:rPr>
        <w:t>Företrädare för Moderata samlingspartiet har under utskottets beredning av ärendet anmält att partiets förslag till ram för utgiftsområde 25 Allmänna bidrag till kommuner skall vara 15 miljarder kronor högre respektive år än vad som finns angivet i motion Fi208 (m). Än</w:t>
      </w:r>
      <w:r w:rsidRPr="00C9680B">
        <w:rPr>
          <w:sz w:val="16"/>
        </w:rPr>
        <w:t>d</w:t>
      </w:r>
      <w:r w:rsidRPr="00C9680B">
        <w:rPr>
          <w:sz w:val="16"/>
        </w:rPr>
        <w:t>ringen slår igenom även på nivån på utgiftstaket för staten men påverkar inte utgiftstaket för den offentliga sektorn.</w:t>
      </w:r>
    </w:p>
    <w:p w:rsidR="001C7BF9" w:rsidRPr="00C9680B" w:rsidRDefault="001C7BF9">
      <w:pPr>
        <w:spacing w:before="187"/>
        <w:rPr>
          <w:sz w:val="18"/>
        </w:rPr>
      </w:pPr>
      <w:r w:rsidRPr="00C9680B">
        <w:t>Moderata samlingspartiet föreslår att staten skall ta över kommunernas kos</w:t>
      </w:r>
      <w:r w:rsidRPr="00C9680B">
        <w:t>t</w:t>
      </w:r>
      <w:r w:rsidRPr="00C9680B">
        <w:t>nader för skolan. Förslaget innebär att kommunerna fr.o.m. 2002 kommer att avlastas en utgift på närmare 53 miljarder kronor samtidigt som belastningen på utgiftsområde 16 Utbildning och universitetsforskning ökar med ett lika stort belopp. Omfördelningens effekt på statsbudgeten neutrali</w:t>
      </w:r>
      <w:r w:rsidRPr="00C9680B">
        <w:softHyphen/>
        <w:t>seras genom att de generella statsbidragen till kommunerna minskas med ett motsvarande belopp i enlighet med finansieringsprincipen. Moderata samlingspartiet för</w:t>
      </w:r>
      <w:r w:rsidRPr="00C9680B">
        <w:t>e</w:t>
      </w:r>
      <w:r w:rsidRPr="00C9680B">
        <w:t>slår därutöver flera åtgärder som får effekt på kommunernas</w:t>
      </w:r>
      <w:r w:rsidRPr="00C9680B">
        <w:t xml:space="preserve"> ekonomi, inte minst en rad skattesänkningar. Även dessa åtgärder regleras i enlighet med finansieringsprincipen över statsbidragen till kommunerna och medför att dessa bidrag höjs med 64 miljarder kronor 2003. De föreslagna kommuna</w:t>
      </w:r>
      <w:r w:rsidRPr="00C9680B">
        <w:t>l</w:t>
      </w:r>
      <w:r w:rsidRPr="00C9680B">
        <w:t>skattesänkningarna höjer alltså nivån på Moderata samlingspartiets förslag till utgiftstak för staten men har ingen effekt på utgiftstaket för hela den offentl</w:t>
      </w:r>
      <w:r w:rsidRPr="00C9680B">
        <w:t>i</w:t>
      </w:r>
      <w:r w:rsidRPr="00C9680B">
        <w:t xml:space="preserve">ga sektorn. Skillnaderna mellan Moderata samlingspartiets och regeringens budgetalternativ framkommer därför tydligare </w:t>
      </w:r>
      <w:r w:rsidRPr="00C9680B">
        <w:t>i utgiftstaket för den offentliga sektorn.</w:t>
      </w:r>
    </w:p>
    <w:p w:rsidR="001C7BF9" w:rsidRPr="00C9680B" w:rsidRDefault="001C7BF9">
      <w:pPr>
        <w:pStyle w:val="TabellrubrikPer"/>
        <w:keepNext/>
        <w:keepLines/>
        <w:tabs>
          <w:tab w:val="left" w:pos="851"/>
        </w:tabs>
        <w:spacing w:line="190" w:lineRule="exact"/>
        <w:outlineLvl w:val="0"/>
        <w:rPr>
          <w:b/>
          <w:caps w:val="0"/>
          <w:spacing w:val="0"/>
          <w:sz w:val="16"/>
        </w:rPr>
      </w:pPr>
      <w:r w:rsidRPr="00C9680B">
        <w:rPr>
          <w:b/>
          <w:caps w:val="0"/>
          <w:spacing w:val="0"/>
          <w:sz w:val="16"/>
        </w:rPr>
        <w:t>Tabell 17. Moderata samlingspartiets förslag till utgiftstak för den offentliga sektorn 2001–2003</w:t>
      </w:r>
    </w:p>
    <w:p w:rsidR="001C7BF9" w:rsidRPr="00C9680B" w:rsidRDefault="001C7BF9">
      <w:pPr>
        <w:pStyle w:val="Tabell"/>
        <w:keepNext/>
        <w:keepLines/>
        <w:spacing w:after="40" w:line="190" w:lineRule="exact"/>
        <w:outlineLvl w:val="0"/>
        <w:rPr>
          <w:sz w:val="14"/>
        </w:rPr>
      </w:pPr>
      <w:r w:rsidRPr="00C9680B">
        <w:rPr>
          <w:sz w:val="14"/>
        </w:rPr>
        <w:t>Belopp i miljarder kronor</w:t>
      </w:r>
    </w:p>
    <w:tbl>
      <w:tblPr>
        <w:tblW w:w="0" w:type="auto"/>
        <w:tblLayout w:type="fixed"/>
        <w:tblCellMar>
          <w:left w:w="0" w:type="dxa"/>
          <w:right w:w="0" w:type="dxa"/>
        </w:tblCellMar>
        <w:tblLook w:val="0000" w:firstRow="0" w:lastRow="0" w:firstColumn="0" w:lastColumn="0" w:noHBand="0" w:noVBand="0"/>
      </w:tblPr>
      <w:tblGrid>
        <w:gridCol w:w="3686"/>
        <w:gridCol w:w="709"/>
        <w:gridCol w:w="709"/>
        <w:gridCol w:w="709"/>
      </w:tblGrid>
      <w:tr w:rsidR="00000000" w:rsidRPr="00C9680B">
        <w:tblPrEx>
          <w:tblCellMar>
            <w:top w:w="0" w:type="dxa"/>
            <w:left w:w="0" w:type="dxa"/>
            <w:bottom w:w="0" w:type="dxa"/>
            <w:right w:w="0" w:type="dxa"/>
          </w:tblCellMar>
        </w:tblPrEx>
        <w:tc>
          <w:tcPr>
            <w:tcW w:w="3686" w:type="dxa"/>
            <w:tcBorders>
              <w:top w:val="single" w:sz="6" w:space="0" w:color="auto"/>
              <w:bottom w:val="single" w:sz="6" w:space="0" w:color="auto"/>
            </w:tcBorders>
          </w:tcPr>
          <w:p w:rsidR="001C7BF9" w:rsidRPr="00C9680B" w:rsidRDefault="001C7BF9">
            <w:pPr>
              <w:pStyle w:val="Tabell"/>
              <w:keepNext/>
              <w:keepLines/>
              <w:rPr>
                <w:b/>
                <w:sz w:val="16"/>
              </w:rPr>
            </w:pPr>
          </w:p>
        </w:tc>
        <w:tc>
          <w:tcPr>
            <w:tcW w:w="709"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2001</w:t>
            </w:r>
          </w:p>
        </w:tc>
        <w:tc>
          <w:tcPr>
            <w:tcW w:w="709"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2002</w:t>
            </w:r>
          </w:p>
        </w:tc>
        <w:tc>
          <w:tcPr>
            <w:tcW w:w="709"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2003</w:t>
            </w:r>
          </w:p>
        </w:tc>
      </w:tr>
      <w:tr w:rsidR="00000000" w:rsidRPr="00C9680B">
        <w:tblPrEx>
          <w:tblCellMar>
            <w:top w:w="0" w:type="dxa"/>
            <w:left w:w="0" w:type="dxa"/>
            <w:bottom w:w="0" w:type="dxa"/>
            <w:right w:w="0" w:type="dxa"/>
          </w:tblCellMar>
        </w:tblPrEx>
        <w:trPr>
          <w:trHeight w:hRule="exact" w:val="60"/>
        </w:trPr>
        <w:tc>
          <w:tcPr>
            <w:tcW w:w="3686" w:type="dxa"/>
          </w:tcPr>
          <w:p w:rsidR="001C7BF9" w:rsidRPr="00C9680B" w:rsidRDefault="001C7BF9">
            <w:pPr>
              <w:pStyle w:val="Tabell"/>
              <w:keepNext/>
              <w:keepLines/>
              <w:rPr>
                <w:b/>
                <w:sz w:val="16"/>
              </w:rPr>
            </w:pPr>
          </w:p>
        </w:tc>
        <w:tc>
          <w:tcPr>
            <w:tcW w:w="709" w:type="dxa"/>
          </w:tcPr>
          <w:p w:rsidR="001C7BF9" w:rsidRPr="00C9680B" w:rsidRDefault="001C7BF9">
            <w:pPr>
              <w:pStyle w:val="Tabell"/>
              <w:keepNext/>
              <w:keepLines/>
              <w:ind w:right="57"/>
              <w:jc w:val="right"/>
              <w:rPr>
                <w:b/>
                <w:sz w:val="16"/>
              </w:rPr>
            </w:pPr>
          </w:p>
        </w:tc>
        <w:tc>
          <w:tcPr>
            <w:tcW w:w="709" w:type="dxa"/>
          </w:tcPr>
          <w:p w:rsidR="001C7BF9" w:rsidRPr="00C9680B" w:rsidRDefault="001C7BF9">
            <w:pPr>
              <w:pStyle w:val="Tabell"/>
              <w:keepNext/>
              <w:keepLines/>
              <w:ind w:right="57"/>
              <w:jc w:val="right"/>
              <w:rPr>
                <w:b/>
                <w:sz w:val="16"/>
              </w:rPr>
            </w:pPr>
          </w:p>
        </w:tc>
        <w:tc>
          <w:tcPr>
            <w:tcW w:w="709" w:type="dxa"/>
          </w:tcPr>
          <w:p w:rsidR="001C7BF9" w:rsidRPr="00C9680B" w:rsidRDefault="001C7BF9">
            <w:pPr>
              <w:pStyle w:val="Tabell"/>
              <w:keepNext/>
              <w:keepLines/>
              <w:ind w:right="57"/>
              <w:jc w:val="right"/>
              <w:rPr>
                <w:b/>
                <w:sz w:val="16"/>
              </w:rPr>
            </w:pPr>
          </w:p>
        </w:tc>
      </w:tr>
      <w:tr w:rsidR="00000000" w:rsidRPr="00C9680B">
        <w:tblPrEx>
          <w:tblCellMar>
            <w:top w:w="0" w:type="dxa"/>
            <w:left w:w="0" w:type="dxa"/>
            <w:bottom w:w="0" w:type="dxa"/>
            <w:right w:w="0" w:type="dxa"/>
          </w:tblCellMar>
        </w:tblPrEx>
        <w:trPr>
          <w:trHeight w:val="210"/>
        </w:trPr>
        <w:tc>
          <w:tcPr>
            <w:tcW w:w="3686" w:type="dxa"/>
          </w:tcPr>
          <w:p w:rsidR="001C7BF9" w:rsidRPr="00C9680B" w:rsidRDefault="001C7BF9">
            <w:pPr>
              <w:pStyle w:val="Tabell"/>
              <w:keepNext/>
              <w:keepLines/>
              <w:spacing w:line="200" w:lineRule="exact"/>
              <w:rPr>
                <w:b/>
                <w:sz w:val="16"/>
              </w:rPr>
            </w:pPr>
            <w:r w:rsidRPr="00C9680B">
              <w:rPr>
                <w:b/>
                <w:sz w:val="16"/>
              </w:rPr>
              <w:t>Regeringens förslag till utgiftstak</w:t>
            </w:r>
          </w:p>
        </w:tc>
        <w:tc>
          <w:tcPr>
            <w:tcW w:w="709" w:type="dxa"/>
          </w:tcPr>
          <w:p w:rsidR="001C7BF9" w:rsidRPr="00C9680B" w:rsidRDefault="001C7BF9">
            <w:pPr>
              <w:pStyle w:val="Tabell"/>
              <w:keepNext/>
              <w:keepLines/>
              <w:spacing w:line="200" w:lineRule="exact"/>
              <w:ind w:right="57"/>
              <w:jc w:val="right"/>
              <w:rPr>
                <w:b/>
                <w:sz w:val="16"/>
              </w:rPr>
            </w:pPr>
            <w:r w:rsidRPr="00C9680B">
              <w:rPr>
                <w:b/>
                <w:sz w:val="16"/>
              </w:rPr>
              <w:t>1 107</w:t>
            </w:r>
          </w:p>
        </w:tc>
        <w:tc>
          <w:tcPr>
            <w:tcW w:w="709" w:type="dxa"/>
          </w:tcPr>
          <w:p w:rsidR="001C7BF9" w:rsidRPr="00C9680B" w:rsidRDefault="001C7BF9">
            <w:pPr>
              <w:pStyle w:val="Tabell"/>
              <w:keepNext/>
              <w:keepLines/>
              <w:spacing w:line="200" w:lineRule="exact"/>
              <w:ind w:right="57"/>
              <w:jc w:val="right"/>
              <w:rPr>
                <w:b/>
                <w:sz w:val="16"/>
              </w:rPr>
            </w:pPr>
            <w:r w:rsidRPr="00C9680B">
              <w:rPr>
                <w:b/>
                <w:sz w:val="16"/>
              </w:rPr>
              <w:t>1 148</w:t>
            </w:r>
          </w:p>
        </w:tc>
        <w:tc>
          <w:tcPr>
            <w:tcW w:w="709" w:type="dxa"/>
          </w:tcPr>
          <w:p w:rsidR="001C7BF9" w:rsidRPr="00C9680B" w:rsidRDefault="001C7BF9">
            <w:pPr>
              <w:pStyle w:val="Tabell"/>
              <w:keepNext/>
              <w:keepLines/>
              <w:spacing w:line="200" w:lineRule="exact"/>
              <w:ind w:right="57"/>
              <w:jc w:val="right"/>
              <w:rPr>
                <w:b/>
                <w:sz w:val="16"/>
              </w:rPr>
            </w:pPr>
            <w:r w:rsidRPr="00C9680B">
              <w:rPr>
                <w:b/>
                <w:sz w:val="16"/>
              </w:rPr>
              <w:t>1 200</w:t>
            </w:r>
          </w:p>
        </w:tc>
      </w:tr>
      <w:tr w:rsidR="00000000" w:rsidRPr="00C9680B">
        <w:tblPrEx>
          <w:tblCellMar>
            <w:top w:w="0" w:type="dxa"/>
            <w:left w:w="0" w:type="dxa"/>
            <w:bottom w:w="0" w:type="dxa"/>
            <w:right w:w="0" w:type="dxa"/>
          </w:tblCellMar>
        </w:tblPrEx>
        <w:trPr>
          <w:trHeight w:val="210"/>
        </w:trPr>
        <w:tc>
          <w:tcPr>
            <w:tcW w:w="3686" w:type="dxa"/>
          </w:tcPr>
          <w:p w:rsidR="001C7BF9" w:rsidRPr="00C9680B" w:rsidRDefault="001C7BF9">
            <w:pPr>
              <w:pStyle w:val="Tabell"/>
              <w:keepNext/>
              <w:keepLines/>
              <w:spacing w:line="200" w:lineRule="exact"/>
              <w:rPr>
                <w:sz w:val="16"/>
              </w:rPr>
            </w:pPr>
            <w:r w:rsidRPr="00C9680B">
              <w:rPr>
                <w:sz w:val="16"/>
              </w:rPr>
              <w:t>M:s högre nivå på det statliga utgiftstaket</w:t>
            </w:r>
          </w:p>
        </w:tc>
        <w:tc>
          <w:tcPr>
            <w:tcW w:w="709" w:type="dxa"/>
          </w:tcPr>
          <w:p w:rsidR="001C7BF9" w:rsidRPr="00C9680B" w:rsidRDefault="001C7BF9">
            <w:pPr>
              <w:pStyle w:val="Tabell"/>
              <w:keepNext/>
              <w:keepLines/>
              <w:spacing w:line="200" w:lineRule="exact"/>
              <w:ind w:right="57"/>
              <w:jc w:val="right"/>
              <w:rPr>
                <w:sz w:val="16"/>
              </w:rPr>
            </w:pPr>
            <w:r w:rsidRPr="00C9680B">
              <w:rPr>
                <w:sz w:val="16"/>
              </w:rPr>
              <w:t>+16</w:t>
            </w:r>
          </w:p>
        </w:tc>
        <w:tc>
          <w:tcPr>
            <w:tcW w:w="709" w:type="dxa"/>
          </w:tcPr>
          <w:p w:rsidR="001C7BF9" w:rsidRPr="00C9680B" w:rsidRDefault="001C7BF9">
            <w:pPr>
              <w:pStyle w:val="Tabell"/>
              <w:keepNext/>
              <w:keepLines/>
              <w:spacing w:line="200" w:lineRule="exact"/>
              <w:ind w:right="57"/>
              <w:jc w:val="right"/>
              <w:rPr>
                <w:sz w:val="16"/>
              </w:rPr>
            </w:pPr>
            <w:r w:rsidRPr="00C9680B">
              <w:rPr>
                <w:sz w:val="16"/>
              </w:rPr>
              <w:t>+6</w:t>
            </w:r>
          </w:p>
        </w:tc>
        <w:tc>
          <w:tcPr>
            <w:tcW w:w="709" w:type="dxa"/>
          </w:tcPr>
          <w:p w:rsidR="001C7BF9" w:rsidRPr="00C9680B" w:rsidRDefault="001C7BF9">
            <w:pPr>
              <w:pStyle w:val="Tabell"/>
              <w:keepNext/>
              <w:keepLines/>
              <w:spacing w:line="200" w:lineRule="exact"/>
              <w:ind w:right="57"/>
              <w:jc w:val="right"/>
              <w:rPr>
                <w:sz w:val="16"/>
              </w:rPr>
            </w:pPr>
            <w:r w:rsidRPr="00C9680B">
              <w:rPr>
                <w:sz w:val="16"/>
              </w:rPr>
              <w:t>-2</w:t>
            </w:r>
          </w:p>
        </w:tc>
      </w:tr>
      <w:tr w:rsidR="00000000" w:rsidRPr="00C9680B">
        <w:tblPrEx>
          <w:tblCellMar>
            <w:top w:w="0" w:type="dxa"/>
            <w:left w:w="0" w:type="dxa"/>
            <w:bottom w:w="0" w:type="dxa"/>
            <w:right w:w="0" w:type="dxa"/>
          </w:tblCellMar>
        </w:tblPrEx>
        <w:trPr>
          <w:trHeight w:val="210"/>
        </w:trPr>
        <w:tc>
          <w:tcPr>
            <w:tcW w:w="3686" w:type="dxa"/>
          </w:tcPr>
          <w:p w:rsidR="001C7BF9" w:rsidRPr="00C9680B" w:rsidRDefault="001C7BF9">
            <w:pPr>
              <w:pStyle w:val="Tabell"/>
              <w:keepNext/>
              <w:keepLines/>
              <w:spacing w:line="200" w:lineRule="exact"/>
              <w:rPr>
                <w:sz w:val="16"/>
              </w:rPr>
            </w:pPr>
            <w:r w:rsidRPr="00C9680B">
              <w:rPr>
                <w:sz w:val="16"/>
              </w:rPr>
              <w:t>M:s justering av nivån för interna tran</w:t>
            </w:r>
            <w:r w:rsidRPr="00C9680B">
              <w:rPr>
                <w:sz w:val="16"/>
              </w:rPr>
              <w:t>s</w:t>
            </w:r>
            <w:r w:rsidRPr="00C9680B">
              <w:rPr>
                <w:sz w:val="16"/>
              </w:rPr>
              <w:t>aktioner¹</w:t>
            </w:r>
          </w:p>
        </w:tc>
        <w:tc>
          <w:tcPr>
            <w:tcW w:w="709" w:type="dxa"/>
          </w:tcPr>
          <w:p w:rsidR="001C7BF9" w:rsidRPr="00C9680B" w:rsidRDefault="001C7BF9">
            <w:pPr>
              <w:pStyle w:val="Tabell"/>
              <w:keepNext/>
              <w:keepLines/>
              <w:spacing w:line="200" w:lineRule="exact"/>
              <w:ind w:right="57"/>
              <w:jc w:val="right"/>
              <w:rPr>
                <w:sz w:val="16"/>
              </w:rPr>
            </w:pPr>
            <w:r w:rsidRPr="00C9680B">
              <w:rPr>
                <w:sz w:val="16"/>
              </w:rPr>
              <w:t>–51</w:t>
            </w:r>
          </w:p>
        </w:tc>
        <w:tc>
          <w:tcPr>
            <w:tcW w:w="709" w:type="dxa"/>
          </w:tcPr>
          <w:p w:rsidR="001C7BF9" w:rsidRPr="00C9680B" w:rsidRDefault="001C7BF9">
            <w:pPr>
              <w:pStyle w:val="Tabell"/>
              <w:keepNext/>
              <w:keepLines/>
              <w:spacing w:line="200" w:lineRule="exact"/>
              <w:ind w:right="57"/>
              <w:jc w:val="right"/>
              <w:rPr>
                <w:sz w:val="16"/>
              </w:rPr>
            </w:pPr>
            <w:r w:rsidRPr="00C9680B">
              <w:rPr>
                <w:sz w:val="16"/>
              </w:rPr>
              <w:t>-118</w:t>
            </w:r>
          </w:p>
        </w:tc>
        <w:tc>
          <w:tcPr>
            <w:tcW w:w="709" w:type="dxa"/>
          </w:tcPr>
          <w:p w:rsidR="001C7BF9" w:rsidRPr="00C9680B" w:rsidRDefault="001C7BF9">
            <w:pPr>
              <w:pStyle w:val="Tabell"/>
              <w:keepNext/>
              <w:keepLines/>
              <w:spacing w:line="200" w:lineRule="exact"/>
              <w:ind w:right="57"/>
              <w:jc w:val="right"/>
              <w:rPr>
                <w:sz w:val="16"/>
              </w:rPr>
            </w:pPr>
            <w:r w:rsidRPr="00C9680B">
              <w:rPr>
                <w:sz w:val="16"/>
              </w:rPr>
              <w:t>-132</w:t>
            </w:r>
          </w:p>
        </w:tc>
      </w:tr>
      <w:tr w:rsidR="00000000" w:rsidRPr="00C9680B">
        <w:tblPrEx>
          <w:tblCellMar>
            <w:top w:w="0" w:type="dxa"/>
            <w:left w:w="0" w:type="dxa"/>
            <w:bottom w:w="0" w:type="dxa"/>
            <w:right w:w="0" w:type="dxa"/>
          </w:tblCellMar>
        </w:tblPrEx>
        <w:trPr>
          <w:trHeight w:val="210"/>
        </w:trPr>
        <w:tc>
          <w:tcPr>
            <w:tcW w:w="3686" w:type="dxa"/>
          </w:tcPr>
          <w:p w:rsidR="001C7BF9" w:rsidRPr="00C9680B" w:rsidRDefault="001C7BF9">
            <w:pPr>
              <w:pStyle w:val="Tabell"/>
              <w:keepNext/>
              <w:keepLines/>
              <w:spacing w:line="200" w:lineRule="exact"/>
              <w:rPr>
                <w:b/>
                <w:sz w:val="16"/>
              </w:rPr>
            </w:pPr>
            <w:r w:rsidRPr="00C9680B">
              <w:rPr>
                <w:b/>
                <w:sz w:val="16"/>
              </w:rPr>
              <w:t>Utgiftstak för offentlig sektor enligt (m)</w:t>
            </w:r>
          </w:p>
        </w:tc>
        <w:tc>
          <w:tcPr>
            <w:tcW w:w="709" w:type="dxa"/>
          </w:tcPr>
          <w:p w:rsidR="001C7BF9" w:rsidRPr="00C9680B" w:rsidRDefault="001C7BF9">
            <w:pPr>
              <w:pStyle w:val="Tabell"/>
              <w:keepNext/>
              <w:keepLines/>
              <w:spacing w:line="200" w:lineRule="exact"/>
              <w:ind w:right="57"/>
              <w:jc w:val="right"/>
              <w:rPr>
                <w:b/>
                <w:sz w:val="16"/>
              </w:rPr>
            </w:pPr>
            <w:r w:rsidRPr="00C9680B">
              <w:rPr>
                <w:b/>
                <w:sz w:val="16"/>
              </w:rPr>
              <w:t>1 072</w:t>
            </w:r>
          </w:p>
        </w:tc>
        <w:tc>
          <w:tcPr>
            <w:tcW w:w="709" w:type="dxa"/>
          </w:tcPr>
          <w:p w:rsidR="001C7BF9" w:rsidRPr="00C9680B" w:rsidRDefault="001C7BF9">
            <w:pPr>
              <w:pStyle w:val="Tabell"/>
              <w:keepNext/>
              <w:keepLines/>
              <w:spacing w:line="200" w:lineRule="exact"/>
              <w:ind w:right="57"/>
              <w:jc w:val="right"/>
              <w:rPr>
                <w:b/>
                <w:sz w:val="16"/>
              </w:rPr>
            </w:pPr>
            <w:r w:rsidRPr="00C9680B">
              <w:rPr>
                <w:b/>
                <w:sz w:val="16"/>
              </w:rPr>
              <w:t>1 036</w:t>
            </w:r>
          </w:p>
        </w:tc>
        <w:tc>
          <w:tcPr>
            <w:tcW w:w="709" w:type="dxa"/>
          </w:tcPr>
          <w:p w:rsidR="001C7BF9" w:rsidRPr="00C9680B" w:rsidRDefault="001C7BF9">
            <w:pPr>
              <w:pStyle w:val="Tabell"/>
              <w:keepNext/>
              <w:keepLines/>
              <w:spacing w:line="200" w:lineRule="exact"/>
              <w:ind w:right="57"/>
              <w:jc w:val="right"/>
              <w:rPr>
                <w:b/>
                <w:sz w:val="16"/>
              </w:rPr>
            </w:pPr>
            <w:r w:rsidRPr="00C9680B">
              <w:rPr>
                <w:b/>
                <w:sz w:val="16"/>
              </w:rPr>
              <w:t>1 066</w:t>
            </w:r>
          </w:p>
        </w:tc>
      </w:tr>
      <w:tr w:rsidR="00000000" w:rsidRPr="00C9680B">
        <w:tblPrEx>
          <w:tblCellMar>
            <w:top w:w="0" w:type="dxa"/>
            <w:left w:w="0" w:type="dxa"/>
            <w:bottom w:w="0" w:type="dxa"/>
            <w:right w:w="0" w:type="dxa"/>
          </w:tblCellMar>
        </w:tblPrEx>
        <w:trPr>
          <w:trHeight w:val="210"/>
        </w:trPr>
        <w:tc>
          <w:tcPr>
            <w:tcW w:w="3686" w:type="dxa"/>
          </w:tcPr>
          <w:p w:rsidR="001C7BF9" w:rsidRPr="00C9680B" w:rsidRDefault="001C7BF9">
            <w:pPr>
              <w:pStyle w:val="Tabell"/>
              <w:keepNext/>
              <w:keepLines/>
              <w:spacing w:line="200" w:lineRule="exact"/>
              <w:rPr>
                <w:sz w:val="16"/>
              </w:rPr>
            </w:pPr>
            <w:r w:rsidRPr="00C9680B">
              <w:rPr>
                <w:sz w:val="16"/>
              </w:rPr>
              <w:t>Avvikelse från regeringen</w:t>
            </w:r>
          </w:p>
        </w:tc>
        <w:tc>
          <w:tcPr>
            <w:tcW w:w="709" w:type="dxa"/>
          </w:tcPr>
          <w:p w:rsidR="001C7BF9" w:rsidRPr="00C9680B" w:rsidRDefault="001C7BF9">
            <w:pPr>
              <w:pStyle w:val="Tabell"/>
              <w:keepNext/>
              <w:keepLines/>
              <w:spacing w:line="200" w:lineRule="exact"/>
              <w:ind w:right="57"/>
              <w:jc w:val="right"/>
              <w:rPr>
                <w:sz w:val="16"/>
              </w:rPr>
            </w:pPr>
            <w:r w:rsidRPr="00C9680B">
              <w:rPr>
                <w:sz w:val="16"/>
              </w:rPr>
              <w:t>-35</w:t>
            </w:r>
          </w:p>
        </w:tc>
        <w:tc>
          <w:tcPr>
            <w:tcW w:w="709" w:type="dxa"/>
          </w:tcPr>
          <w:p w:rsidR="001C7BF9" w:rsidRPr="00C9680B" w:rsidRDefault="001C7BF9">
            <w:pPr>
              <w:pStyle w:val="Tabell"/>
              <w:keepNext/>
              <w:keepLines/>
              <w:spacing w:line="200" w:lineRule="exact"/>
              <w:ind w:right="57"/>
              <w:jc w:val="right"/>
              <w:rPr>
                <w:sz w:val="16"/>
              </w:rPr>
            </w:pPr>
            <w:r w:rsidRPr="00C9680B">
              <w:rPr>
                <w:sz w:val="16"/>
              </w:rPr>
              <w:t>–112</w:t>
            </w:r>
          </w:p>
        </w:tc>
        <w:tc>
          <w:tcPr>
            <w:tcW w:w="709" w:type="dxa"/>
          </w:tcPr>
          <w:p w:rsidR="001C7BF9" w:rsidRPr="00C9680B" w:rsidRDefault="001C7BF9">
            <w:pPr>
              <w:pStyle w:val="Tabell"/>
              <w:keepNext/>
              <w:keepLines/>
              <w:spacing w:line="200" w:lineRule="exact"/>
              <w:ind w:right="57"/>
              <w:jc w:val="right"/>
              <w:rPr>
                <w:sz w:val="16"/>
              </w:rPr>
            </w:pPr>
            <w:r w:rsidRPr="00C9680B">
              <w:rPr>
                <w:sz w:val="16"/>
              </w:rPr>
              <w:t>-134</w:t>
            </w:r>
          </w:p>
        </w:tc>
      </w:tr>
      <w:tr w:rsidR="00000000" w:rsidRPr="00C9680B">
        <w:tblPrEx>
          <w:tblCellMar>
            <w:top w:w="0" w:type="dxa"/>
            <w:left w:w="0" w:type="dxa"/>
            <w:bottom w:w="0" w:type="dxa"/>
            <w:right w:w="0" w:type="dxa"/>
          </w:tblCellMar>
        </w:tblPrEx>
        <w:trPr>
          <w:trHeight w:hRule="exact" w:val="60"/>
        </w:trPr>
        <w:tc>
          <w:tcPr>
            <w:tcW w:w="3686" w:type="dxa"/>
            <w:tcBorders>
              <w:bottom w:val="single" w:sz="4" w:space="0" w:color="auto"/>
            </w:tcBorders>
          </w:tcPr>
          <w:p w:rsidR="001C7BF9" w:rsidRPr="00C9680B" w:rsidRDefault="001C7BF9">
            <w:pPr>
              <w:pStyle w:val="Tabell"/>
              <w:keepNext/>
              <w:keepLines/>
              <w:rPr>
                <w:sz w:val="16"/>
              </w:rPr>
            </w:pPr>
          </w:p>
        </w:tc>
        <w:tc>
          <w:tcPr>
            <w:tcW w:w="709" w:type="dxa"/>
            <w:tcBorders>
              <w:bottom w:val="single" w:sz="4" w:space="0" w:color="auto"/>
            </w:tcBorders>
          </w:tcPr>
          <w:p w:rsidR="001C7BF9" w:rsidRPr="00C9680B" w:rsidRDefault="001C7BF9">
            <w:pPr>
              <w:pStyle w:val="Tabell"/>
              <w:keepNext/>
              <w:keepLines/>
              <w:ind w:right="57"/>
              <w:jc w:val="right"/>
              <w:rPr>
                <w:sz w:val="16"/>
              </w:rPr>
            </w:pPr>
          </w:p>
        </w:tc>
        <w:tc>
          <w:tcPr>
            <w:tcW w:w="709" w:type="dxa"/>
            <w:tcBorders>
              <w:bottom w:val="single" w:sz="4" w:space="0" w:color="auto"/>
            </w:tcBorders>
          </w:tcPr>
          <w:p w:rsidR="001C7BF9" w:rsidRPr="00C9680B" w:rsidRDefault="001C7BF9">
            <w:pPr>
              <w:pStyle w:val="Tabell"/>
              <w:keepNext/>
              <w:keepLines/>
              <w:ind w:right="57"/>
              <w:jc w:val="right"/>
              <w:rPr>
                <w:sz w:val="16"/>
              </w:rPr>
            </w:pPr>
          </w:p>
        </w:tc>
        <w:tc>
          <w:tcPr>
            <w:tcW w:w="709" w:type="dxa"/>
            <w:tcBorders>
              <w:bottom w:val="single" w:sz="4" w:space="0" w:color="auto"/>
            </w:tcBorders>
          </w:tcPr>
          <w:p w:rsidR="001C7BF9" w:rsidRPr="00C9680B" w:rsidRDefault="001C7BF9">
            <w:pPr>
              <w:pStyle w:val="Tabell"/>
              <w:keepNext/>
              <w:keepLines/>
              <w:ind w:right="57"/>
              <w:jc w:val="right"/>
              <w:rPr>
                <w:sz w:val="16"/>
              </w:rPr>
            </w:pPr>
          </w:p>
        </w:tc>
      </w:tr>
    </w:tbl>
    <w:p w:rsidR="001C7BF9" w:rsidRPr="00C9680B" w:rsidRDefault="001C7BF9">
      <w:pPr>
        <w:pStyle w:val="Tabell"/>
        <w:ind w:left="113" w:hanging="113"/>
        <w:rPr>
          <w:sz w:val="16"/>
        </w:rPr>
      </w:pPr>
      <w:r w:rsidRPr="00C9680B">
        <w:t xml:space="preserve">¹ </w:t>
      </w:r>
      <w:r w:rsidRPr="00C9680B">
        <w:rPr>
          <w:sz w:val="16"/>
        </w:rPr>
        <w:t>Se fotnot i anslutning till föregående tabell.</w:t>
      </w:r>
    </w:p>
    <w:p w:rsidR="001C7BF9" w:rsidRPr="00C9680B" w:rsidRDefault="001C7BF9">
      <w:pPr>
        <w:spacing w:before="312"/>
      </w:pPr>
      <w:r w:rsidRPr="00C9680B">
        <w:rPr>
          <w:i/>
        </w:rPr>
        <w:t>Kristdemokraterna</w:t>
      </w:r>
      <w:r w:rsidRPr="00C9680B">
        <w:t xml:space="preserve"> framhåller i </w:t>
      </w:r>
      <w:r w:rsidRPr="00C9680B">
        <w:rPr>
          <w:i/>
        </w:rPr>
        <w:t>motion Fi209</w:t>
      </w:r>
      <w:r w:rsidRPr="00C9680B">
        <w:t xml:space="preserve"> att partiets budgetpolitik tar sikte på att förbättra Sveriges tillväxtförutsättningar genom strukturella r</w:t>
      </w:r>
      <w:r w:rsidRPr="00C9680B">
        <w:t>e</w:t>
      </w:r>
      <w:r w:rsidRPr="00C9680B">
        <w:t>former och strategiska skattesänkningar på såväl arbete som sparande och företaga</w:t>
      </w:r>
      <w:r w:rsidRPr="00C9680B">
        <w:t>n</w:t>
      </w:r>
      <w:r w:rsidRPr="00C9680B">
        <w:t>de.</w:t>
      </w:r>
    </w:p>
    <w:p w:rsidR="001C7BF9" w:rsidRPr="00C9680B" w:rsidRDefault="001C7BF9">
      <w:pPr>
        <w:pStyle w:val="Normaltindrag"/>
      </w:pPr>
      <w:r w:rsidRPr="00C9680B">
        <w:t>Motionärerna ser det som en viktig uppgift att skapa en skattestruktur som gör att fler kan klara sig på sin egen lön och inte tvingas vara beroende av bidrag för att få hushållsekonomin att gå ihop. Därför föreslår de en rad å</w:t>
      </w:r>
      <w:r w:rsidRPr="00C9680B">
        <w:t>t</w:t>
      </w:r>
      <w:r w:rsidRPr="00C9680B">
        <w:t>gärder som är avsedda att tillgodose de</w:t>
      </w:r>
      <w:r w:rsidRPr="00C9680B">
        <w:t>t</w:t>
      </w:r>
      <w:r w:rsidRPr="00C9680B">
        <w:t>ta.</w:t>
      </w:r>
    </w:p>
    <w:p w:rsidR="001C7BF9" w:rsidRPr="00C9680B" w:rsidRDefault="001C7BF9">
      <w:pPr>
        <w:pStyle w:val="Normaltindrag"/>
      </w:pPr>
      <w:r w:rsidRPr="00C9680B">
        <w:t>I detta syfte föreslås bl.a. att grundavdraget vid den kommunala och statl</w:t>
      </w:r>
      <w:r w:rsidRPr="00C9680B">
        <w:t>i</w:t>
      </w:r>
      <w:r w:rsidRPr="00C9680B">
        <w:t>ga inkomstbeskattningen höjs till 20 000 kr redan nästa år. Höjningen av grundavdraget omfattar alla och beräknas ge inkomsttagarna en skattesän</w:t>
      </w:r>
      <w:r w:rsidRPr="00C9680B">
        <w:t>k</w:t>
      </w:r>
      <w:r w:rsidRPr="00C9680B">
        <w:t>ning med drygt 3 000 kr per år. Kommunernas skatteinkomster påverkas inte av förslaget eftersom det tekniskt sett utformas som en statlig skattereduktion som beräknas utifrån den aktuella kommunalskattesatsen.</w:t>
      </w:r>
    </w:p>
    <w:p w:rsidR="001C7BF9" w:rsidRPr="00C9680B" w:rsidRDefault="001C7BF9">
      <w:pPr>
        <w:pStyle w:val="Normaltindrag"/>
      </w:pPr>
      <w:r w:rsidRPr="00C9680B">
        <w:t>Kristdemokraterna vill också införa ett statligt förvärvsavdrag mot ko</w:t>
      </w:r>
      <w:r w:rsidRPr="00C9680B">
        <w:t>m</w:t>
      </w:r>
      <w:r w:rsidRPr="00C9680B">
        <w:t>munalskatten. Förvärvsavdraget skall få göras mot arbetsinkomster och skall under de närmaste tre åren successivt höjas från 6,15 % till 11,55 %.</w:t>
      </w:r>
    </w:p>
    <w:p w:rsidR="001C7BF9" w:rsidRPr="00C9680B" w:rsidRDefault="001C7BF9">
      <w:pPr>
        <w:pStyle w:val="Normaltindrag"/>
      </w:pPr>
      <w:r w:rsidRPr="00C9680B">
        <w:t>Regeringens förslag till skattereduktion för pensionsavgiften avv</w:t>
      </w:r>
      <w:r w:rsidRPr="00C9680B">
        <w:t>i</w:t>
      </w:r>
      <w:r w:rsidRPr="00C9680B">
        <w:t>sas.</w:t>
      </w:r>
    </w:p>
    <w:p w:rsidR="001C7BF9" w:rsidRPr="00C9680B" w:rsidRDefault="001C7BF9">
      <w:pPr>
        <w:pStyle w:val="Normaltindrag"/>
      </w:pPr>
      <w:r w:rsidRPr="00C9680B">
        <w:t>För låginkomsttagare föreslås att den särskilda skattereduktionen skall fö</w:t>
      </w:r>
      <w:r w:rsidRPr="00C9680B">
        <w:t>r</w:t>
      </w:r>
      <w:r w:rsidRPr="00C9680B">
        <w:t>dubblas 2001 för att då uppgå till 2 640 kr per person.</w:t>
      </w:r>
    </w:p>
    <w:p w:rsidR="001C7BF9" w:rsidRPr="00C9680B" w:rsidRDefault="001C7BF9">
      <w:pPr>
        <w:pStyle w:val="Normaltindrag"/>
      </w:pPr>
      <w:r w:rsidRPr="00C9680B">
        <w:t>Uttaget av statlig skatt skall nästa år begränsas till 20 %. Detta år skall också en skattereduktion på 50 % införas för hushållstjänster.</w:t>
      </w:r>
    </w:p>
    <w:p w:rsidR="001C7BF9" w:rsidRPr="00C9680B" w:rsidRDefault="001C7BF9">
      <w:pPr>
        <w:pStyle w:val="Normaltindrag"/>
      </w:pPr>
      <w:r w:rsidRPr="00C9680B">
        <w:t>I motionen föreslås vidare att skatten på aktieutdelningar skall avvecklas i två steg fram till 2002. Även förmögenhetsskatten föreslås bli sänkt i tre steg med början 2001, då sambeskattningen av förmögenheter skall avskaffas. Som en delfinansiering av dessa båda förslag förordar motionärerna att utt</w:t>
      </w:r>
      <w:r w:rsidRPr="00C9680B">
        <w:t>a</w:t>
      </w:r>
      <w:r w:rsidRPr="00C9680B">
        <w:t>get av b</w:t>
      </w:r>
      <w:r w:rsidRPr="00C9680B">
        <w:t>o</w:t>
      </w:r>
      <w:r w:rsidRPr="00C9680B">
        <w:t>lagsskatt höjs till 30 %.</w:t>
      </w:r>
    </w:p>
    <w:p w:rsidR="001C7BF9" w:rsidRPr="00C9680B" w:rsidRDefault="001C7BF9">
      <w:pPr>
        <w:pStyle w:val="Normaltindrag"/>
      </w:pPr>
      <w:r w:rsidRPr="00C9680B">
        <w:t>Motionärerna vill också höja avdragsrätten för pensionssparande till ett basbelopp samt sänka den nedre gränsen för rätt till reseavdrag från dagens 7 000 till 5 000 kr. I motionen föreslås också en större begränsning av ska</w:t>
      </w:r>
      <w:r w:rsidRPr="00C9680B">
        <w:t>t</w:t>
      </w:r>
      <w:r w:rsidRPr="00C9680B">
        <w:t>teuttaget inom jordbruket än vad regeringen för</w:t>
      </w:r>
      <w:r w:rsidRPr="00C9680B">
        <w:t>e</w:t>
      </w:r>
      <w:r w:rsidRPr="00C9680B">
        <w:t>slagit.</w:t>
      </w:r>
    </w:p>
    <w:p w:rsidR="001C7BF9" w:rsidRPr="00C9680B" w:rsidRDefault="001C7BF9">
      <w:pPr>
        <w:pStyle w:val="Normaltindrag"/>
      </w:pPr>
      <w:r w:rsidRPr="00C9680B">
        <w:t>Arbetsgivaravgifterna på lönesummor upp till 900 000 kr bör enligt moti</w:t>
      </w:r>
      <w:r w:rsidRPr="00C9680B">
        <w:t>o</w:t>
      </w:r>
      <w:r w:rsidRPr="00C9680B">
        <w:t>närernas mening sänkas med 10 procentenheter från 2002. Förslaget gäller alla arbetsgivare men gynnar främst småföretagare, påpekar de.</w:t>
      </w:r>
    </w:p>
    <w:p w:rsidR="001C7BF9" w:rsidRPr="00C9680B" w:rsidRDefault="001C7BF9">
      <w:pPr>
        <w:pStyle w:val="Normaltindrag"/>
      </w:pPr>
      <w:r w:rsidRPr="00C9680B">
        <w:t>Kristdemokraterna vill på sikt ersätta fastighetsskatten med en rätt för kommunerna att ta ut avgifter av fastighetsägarna för gatuunderhåll m.m. I ett första steg föreslår partiet att frysningen av taxeringsvärdena skall behållas, att endast en tredjedel av markvärdet över 150 000 kr skall ligga till grund för beskattningen samt att det skatteuttag på 1,2 % som regeringen</w:t>
      </w:r>
      <w:r w:rsidRPr="00C9680B">
        <w:t xml:space="preserve"> föreslår för villor fr.o.m. 2001 oc</w:t>
      </w:r>
      <w:r w:rsidRPr="00C9680B">
        <w:t>k</w:t>
      </w:r>
      <w:r w:rsidRPr="00C9680B">
        <w:t xml:space="preserve">så skall gälla hyreshus. </w:t>
      </w:r>
    </w:p>
    <w:p w:rsidR="001C7BF9" w:rsidRPr="00C9680B" w:rsidRDefault="001C7BF9">
      <w:pPr>
        <w:pStyle w:val="Normaltindrag"/>
      </w:pPr>
      <w:r w:rsidRPr="00C9680B">
        <w:t>Kristdemokraterna vill också sänka fordonsskatten med motsvarande 2 miljarder kronor, men detta förslag är direkt kopplat till en av partiet föresl</w:t>
      </w:r>
      <w:r w:rsidRPr="00C9680B">
        <w:t>a</w:t>
      </w:r>
      <w:r w:rsidRPr="00C9680B">
        <w:t>gen obligatorisk trafikolycksfallsförsäkring som fullt utbyggd väntas bidra till att sjukförsäkringen kan avlastas 4 miljarder kronor. Den sänkta fordonsska</w:t>
      </w:r>
      <w:r w:rsidRPr="00C9680B">
        <w:t>t</w:t>
      </w:r>
      <w:r w:rsidRPr="00C9680B">
        <w:t>ten är avsedd att till viss del kompensera bilägarna för de ökade försäkring</w:t>
      </w:r>
      <w:r w:rsidRPr="00C9680B">
        <w:t>s</w:t>
      </w:r>
      <w:r w:rsidRPr="00C9680B">
        <w:t>kostnade</w:t>
      </w:r>
      <w:r w:rsidRPr="00C9680B">
        <w:t>r</w:t>
      </w:r>
      <w:r w:rsidRPr="00C9680B">
        <w:t>na.</w:t>
      </w:r>
    </w:p>
    <w:p w:rsidR="001C7BF9" w:rsidRPr="00C9680B" w:rsidRDefault="001C7BF9">
      <w:pPr>
        <w:pStyle w:val="Normaltindrag"/>
      </w:pPr>
      <w:r w:rsidRPr="00C9680B">
        <w:t>Liksom övriga borgerliga partier avvisar Kristdemokraterna regeringens förslag till maxtaxereform och föreslår i stället att man fr.o.m. 2002 inför avdragsrätt för styrkta barnomsorgskostnader samt tilldelar barnfamiljerna ett barnomsorgskonto på totalt 40 000 kr.</w:t>
      </w:r>
      <w:r w:rsidRPr="00C9680B">
        <w:t xml:space="preserve"> En del av den barnbidragshöjning som är avsedd att träda i kraft vid årsskiftet vill motionärerna använda för att höja nivån på de inkomstprövade bostadsbidragen med 100 kr per månad och barn. Dessutom utökas den s.k. ytnormen och de individuella inkomstgränserna avskaffas. Syftet härmed uppges vara att gynna de sämst ställda barnfamilje</w:t>
      </w:r>
      <w:r w:rsidRPr="00C9680B">
        <w:t>r</w:t>
      </w:r>
      <w:r w:rsidRPr="00C9680B">
        <w:t>na. I stället för framtida höjningar av barnbidragen vill Kristdemokraterna införa en statlig skatteredu</w:t>
      </w:r>
      <w:r w:rsidRPr="00C9680B">
        <w:t>k</w:t>
      </w:r>
      <w:r w:rsidRPr="00C9680B">
        <w:t>tion för varje barn upp till 16 år.</w:t>
      </w:r>
    </w:p>
    <w:p w:rsidR="001C7BF9" w:rsidRPr="00C9680B" w:rsidRDefault="001C7BF9">
      <w:pPr>
        <w:pStyle w:val="Normaltindrag"/>
      </w:pPr>
      <w:r w:rsidRPr="00C9680B">
        <w:t>För pensionärerna föreslås att</w:t>
      </w:r>
      <w:r w:rsidRPr="00C9680B">
        <w:t xml:space="preserve"> inkomstprövningen av änkepensioner slopas helt och att man, i avvaktan på att det nya pensionssystemet med garantipe</w:t>
      </w:r>
      <w:r w:rsidRPr="00C9680B">
        <w:t>n</w:t>
      </w:r>
      <w:r w:rsidRPr="00C9680B">
        <w:t>sioner träder i kraft, temporärt höjer pensionstillskottet med 200 kr per månad under 2001 och 2002. Vidare föreslås att innehav av fritidsfastighet inte län</w:t>
      </w:r>
      <w:r w:rsidRPr="00C9680B">
        <w:t>g</w:t>
      </w:r>
      <w:r w:rsidRPr="00C9680B">
        <w:t>re skall beaktas vid inkomstprö</w:t>
      </w:r>
      <w:r w:rsidRPr="00C9680B">
        <w:t>v</w:t>
      </w:r>
      <w:r w:rsidRPr="00C9680B">
        <w:t>ningen av bostadstillägg.</w:t>
      </w:r>
    </w:p>
    <w:p w:rsidR="001C7BF9" w:rsidRPr="00C9680B" w:rsidRDefault="001C7BF9">
      <w:pPr>
        <w:pStyle w:val="Normaltindrag"/>
      </w:pPr>
      <w:r w:rsidRPr="00C9680B">
        <w:t>Under den kommande treårsperioden vill Kristdemokraterna satsa ytterl</w:t>
      </w:r>
      <w:r w:rsidRPr="00C9680B">
        <w:t>i</w:t>
      </w:r>
      <w:r w:rsidRPr="00C9680B">
        <w:t>gare 3,5 miljarder kronor på rättsväsendet. Ungefär lika mycket avsätts till bistånd som en del av en femårsplan för att återställa enprocentsnivån. Ytte</w:t>
      </w:r>
      <w:r w:rsidRPr="00C9680B">
        <w:t>r</w:t>
      </w:r>
      <w:r w:rsidRPr="00C9680B">
        <w:t>ligare resurser satsas också på väghållning och väginvesteringar samt på förbättrad banhål</w:t>
      </w:r>
      <w:r w:rsidRPr="00C9680B">
        <w:t>l</w:t>
      </w:r>
      <w:r w:rsidRPr="00C9680B">
        <w:t xml:space="preserve">ning. </w:t>
      </w:r>
    </w:p>
    <w:p w:rsidR="001C7BF9" w:rsidRPr="00C9680B" w:rsidRDefault="001C7BF9">
      <w:pPr>
        <w:pStyle w:val="Normaltindrag"/>
      </w:pPr>
      <w:r w:rsidRPr="00C9680B">
        <w:t>Partiet vill dessutom införa en ny rehabiliteringsförsäkring samt genom ökade kommunbidrag stimulera införandet av en enhetstaxa i äldreomsorgen. Motionärerna framhåller att deras budgetalternativ innebär att kommuner och landsting kommer att få 3 miljarder k</w:t>
      </w:r>
      <w:r w:rsidRPr="00C9680B">
        <w:t>ronor i ytterligare resurser jämfört med regeringens förslag.</w:t>
      </w:r>
    </w:p>
    <w:p w:rsidR="001C7BF9" w:rsidRPr="00C9680B" w:rsidRDefault="001C7BF9">
      <w:pPr>
        <w:pStyle w:val="Normaltindrag"/>
      </w:pPr>
      <w:r w:rsidRPr="00C9680B">
        <w:t>Dessutom påverkas statsbidragsnivån av att flera av partiets förslag har e</w:t>
      </w:r>
      <w:r w:rsidRPr="00C9680B">
        <w:t>f</w:t>
      </w:r>
      <w:r w:rsidRPr="00C9680B">
        <w:t>fekt på kommunernas finanser och att några av dessa effekter föreslås bli neutraliserade i enlighet med finansieringsprincipen. Effekten av övriga fö</w:t>
      </w:r>
      <w:r w:rsidRPr="00C9680B">
        <w:t>r</w:t>
      </w:r>
      <w:r w:rsidRPr="00C9680B">
        <w:t>slag, däribland effekten av det höjda grundavdraget samt införandet av ett förvärvsavdrag, regleras i stället som en avräkning mot statsbudgetens i</w:t>
      </w:r>
      <w:r w:rsidRPr="00C9680B">
        <w:t>n</w:t>
      </w:r>
      <w:r w:rsidRPr="00C9680B">
        <w:t>komster.</w:t>
      </w:r>
    </w:p>
    <w:p w:rsidR="001C7BF9" w:rsidRPr="00C9680B" w:rsidRDefault="001C7BF9">
      <w:pPr>
        <w:pStyle w:val="Normaltindrag"/>
      </w:pPr>
      <w:r w:rsidRPr="00C9680B">
        <w:t>Statsskulden bör enligt Kristdemokraternas mening minskas eftersom de stora räntekostnaderna tränger undan annan offentlig verksamhet och förstä</w:t>
      </w:r>
      <w:r w:rsidRPr="00C9680B">
        <w:t>r</w:t>
      </w:r>
      <w:r w:rsidRPr="00C9680B">
        <w:t>ker statsbudgetens konjunkturkänslighet. Partiet vill därför öka försäljningen av statliga företag under de kommande tre åren med 80, 45 respektive 45 miljarder kronor mer än vad regeringen föreslår och räknar med att på så sätt kunna minska statssku</w:t>
      </w:r>
      <w:r w:rsidRPr="00C9680B">
        <w:t>l</w:t>
      </w:r>
      <w:r w:rsidRPr="00C9680B">
        <w:t>den med ytterligare 156 miljarder kronor.</w:t>
      </w:r>
    </w:p>
    <w:p w:rsidR="001C7BF9" w:rsidRPr="00C9680B" w:rsidRDefault="001C7BF9">
      <w:pPr>
        <w:pStyle w:val="Normaltindrag"/>
      </w:pPr>
      <w:r w:rsidRPr="00C9680B">
        <w:t xml:space="preserve">De nya åtagandena samt skattesänkningarna avses bli finansierade genom utgiftsminskningar på brutto 24, 37 respektive 45 miljarder kronor 2001–2003, samt genom att nästan hela de beräkningstekniska överföringsbeloppen </w:t>
      </w:r>
      <w:r w:rsidRPr="00C9680B">
        <w:t>tas i anspråk 2002 och 2003. Därtill avvisas ett antal av regeringens förslag till skattesänkningar. Exempel på utgiftsminskningar är att ytterligare en karen</w:t>
      </w:r>
      <w:r w:rsidRPr="00C9680B">
        <w:t>s</w:t>
      </w:r>
      <w:r w:rsidRPr="00C9680B">
        <w:t>dag införs i sjukförsäkringen, att den sjukpenninggrundande inkomsten b</w:t>
      </w:r>
      <w:r w:rsidRPr="00C9680B">
        <w:t>e</w:t>
      </w:r>
      <w:r w:rsidRPr="00C9680B">
        <w:t>räknas på ett nytt sätt och att medlemmarnas egenfinansiering av arbetslö</w:t>
      </w:r>
      <w:r w:rsidRPr="00C9680B">
        <w:t>s</w:t>
      </w:r>
      <w:r w:rsidRPr="00C9680B">
        <w:t>hetsförsäkringen höjs till 33 %. En utbyggd satsning på rehabilitering föru</w:t>
      </w:r>
      <w:r w:rsidRPr="00C9680B">
        <w:t>t</w:t>
      </w:r>
      <w:r w:rsidRPr="00C9680B">
        <w:t>sätts också bidra till finansieringen, liksom minskade lokala investeringsb</w:t>
      </w:r>
      <w:r w:rsidRPr="00C9680B">
        <w:t>i</w:t>
      </w:r>
      <w:r w:rsidRPr="00C9680B">
        <w:t>drag, avveckling av vissa statliga IT-satsningar liksom</w:t>
      </w:r>
      <w:r w:rsidRPr="00C9680B">
        <w:t xml:space="preserve"> av svenskt företag</w:t>
      </w:r>
      <w:r w:rsidRPr="00C9680B">
        <w:t>s</w:t>
      </w:r>
      <w:r w:rsidRPr="00C9680B">
        <w:t>stöd inom Östersjömiljarden, minskat presstöd och minskade anslag till Reg</w:t>
      </w:r>
      <w:r w:rsidRPr="00C9680B">
        <w:t>e</w:t>
      </w:r>
      <w:r w:rsidRPr="00C9680B">
        <w:t>ringskansliet. Kristdemokraterna räknar också med att den av dem förordade försäljningen av statliga företag skall leda till minskade utgifter för statsskuldsrä</w:t>
      </w:r>
      <w:r w:rsidRPr="00C9680B">
        <w:t>n</w:t>
      </w:r>
      <w:r w:rsidRPr="00C9680B">
        <w:t>tor.</w:t>
      </w:r>
    </w:p>
    <w:p w:rsidR="001C7BF9" w:rsidRPr="00C9680B" w:rsidRDefault="001C7BF9">
      <w:pPr>
        <w:pStyle w:val="Normaltindrag"/>
      </w:pPr>
      <w:r w:rsidRPr="00C9680B">
        <w:t>Den finansiella effekten av Kristdemokraternas förslag kan med ledning av de uppgifter som lämnas i motionen sammanfattas på fö</w:t>
      </w:r>
      <w:r w:rsidRPr="00C9680B">
        <w:t>l</w:t>
      </w:r>
      <w:r w:rsidRPr="00C9680B">
        <w:t>jande sätt.</w:t>
      </w:r>
    </w:p>
    <w:p w:rsidR="001C7BF9" w:rsidRPr="00C9680B" w:rsidRDefault="001C7BF9">
      <w:pPr>
        <w:pStyle w:val="TabellrubrikPer"/>
        <w:keepNext/>
        <w:keepLines/>
        <w:spacing w:line="190" w:lineRule="exact"/>
        <w:outlineLvl w:val="0"/>
        <w:rPr>
          <w:b/>
          <w:caps w:val="0"/>
          <w:spacing w:val="0"/>
          <w:sz w:val="16"/>
        </w:rPr>
      </w:pPr>
      <w:r w:rsidRPr="00C9680B">
        <w:rPr>
          <w:b/>
          <w:caps w:val="0"/>
          <w:spacing w:val="0"/>
          <w:sz w:val="16"/>
        </w:rPr>
        <w:t>Tabell 18. Finansiella effekter av Kristdemokraternas budgetförslag 2001–2003</w:t>
      </w:r>
    </w:p>
    <w:p w:rsidR="001C7BF9" w:rsidRPr="00C9680B" w:rsidRDefault="001C7BF9">
      <w:pPr>
        <w:pStyle w:val="Tabell"/>
        <w:keepNext/>
        <w:keepLines/>
        <w:spacing w:line="190" w:lineRule="exact"/>
        <w:outlineLvl w:val="0"/>
        <w:rPr>
          <w:sz w:val="14"/>
        </w:rPr>
      </w:pPr>
      <w:r w:rsidRPr="00C9680B">
        <w:rPr>
          <w:sz w:val="14"/>
        </w:rPr>
        <w:t>Offentliga sektorns finansiella sparande</w:t>
      </w:r>
    </w:p>
    <w:p w:rsidR="001C7BF9" w:rsidRPr="00C9680B" w:rsidRDefault="001C7BF9">
      <w:pPr>
        <w:pStyle w:val="Tabell"/>
        <w:keepNext/>
        <w:keepLines/>
        <w:spacing w:after="40" w:line="190" w:lineRule="exact"/>
        <w:rPr>
          <w:sz w:val="14"/>
        </w:rPr>
      </w:pPr>
      <w:r w:rsidRPr="00C9680B">
        <w:rPr>
          <w:sz w:val="14"/>
        </w:rPr>
        <w:t>Belopp i miljarder kronor</w:t>
      </w:r>
    </w:p>
    <w:tbl>
      <w:tblPr>
        <w:tblW w:w="0" w:type="auto"/>
        <w:tblLayout w:type="fixed"/>
        <w:tblCellMar>
          <w:left w:w="0" w:type="dxa"/>
          <w:right w:w="0" w:type="dxa"/>
        </w:tblCellMar>
        <w:tblLook w:val="0000" w:firstRow="0" w:lastRow="0" w:firstColumn="0" w:lastColumn="0" w:noHBand="0" w:noVBand="0"/>
      </w:tblPr>
      <w:tblGrid>
        <w:gridCol w:w="4536"/>
        <w:gridCol w:w="567"/>
        <w:gridCol w:w="567"/>
        <w:gridCol w:w="567"/>
      </w:tblGrid>
      <w:tr w:rsidR="00000000" w:rsidRPr="00C9680B">
        <w:tblPrEx>
          <w:tblCellMar>
            <w:top w:w="0" w:type="dxa"/>
            <w:left w:w="0" w:type="dxa"/>
            <w:bottom w:w="0" w:type="dxa"/>
            <w:right w:w="0" w:type="dxa"/>
          </w:tblCellMar>
        </w:tblPrEx>
        <w:trPr>
          <w:trHeight w:hRule="exact" w:val="220"/>
        </w:trPr>
        <w:tc>
          <w:tcPr>
            <w:tcW w:w="4536" w:type="dxa"/>
            <w:tcBorders>
              <w:top w:val="single" w:sz="6" w:space="0" w:color="auto"/>
              <w:bottom w:val="single" w:sz="6" w:space="0" w:color="auto"/>
            </w:tcBorders>
          </w:tcPr>
          <w:p w:rsidR="001C7BF9" w:rsidRPr="00C9680B" w:rsidRDefault="001C7BF9">
            <w:pPr>
              <w:pStyle w:val="Tabell"/>
              <w:keepNext/>
              <w:keepLines/>
              <w:rPr>
                <w:b/>
                <w:sz w:val="16"/>
              </w:rPr>
            </w:pPr>
          </w:p>
        </w:tc>
        <w:tc>
          <w:tcPr>
            <w:tcW w:w="567"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2001</w:t>
            </w:r>
          </w:p>
        </w:tc>
        <w:tc>
          <w:tcPr>
            <w:tcW w:w="567"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2002</w:t>
            </w:r>
          </w:p>
        </w:tc>
        <w:tc>
          <w:tcPr>
            <w:tcW w:w="567"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2003</w:t>
            </w:r>
          </w:p>
        </w:tc>
      </w:tr>
      <w:tr w:rsidR="00000000" w:rsidRPr="00C9680B">
        <w:tblPrEx>
          <w:tblCellMar>
            <w:top w:w="0" w:type="dxa"/>
            <w:left w:w="0" w:type="dxa"/>
            <w:bottom w:w="0" w:type="dxa"/>
            <w:right w:w="0" w:type="dxa"/>
          </w:tblCellMar>
        </w:tblPrEx>
        <w:trPr>
          <w:trHeight w:hRule="exact" w:val="60"/>
        </w:trPr>
        <w:tc>
          <w:tcPr>
            <w:tcW w:w="4536" w:type="dxa"/>
          </w:tcPr>
          <w:p w:rsidR="001C7BF9" w:rsidRPr="00C9680B" w:rsidRDefault="001C7BF9">
            <w:pPr>
              <w:pStyle w:val="Tabell"/>
              <w:keepNext/>
              <w:keepLines/>
              <w:rPr>
                <w:sz w:val="16"/>
              </w:rPr>
            </w:pPr>
          </w:p>
        </w:tc>
        <w:tc>
          <w:tcPr>
            <w:tcW w:w="567" w:type="dxa"/>
          </w:tcPr>
          <w:p w:rsidR="001C7BF9" w:rsidRPr="00C9680B" w:rsidRDefault="001C7BF9">
            <w:pPr>
              <w:pStyle w:val="Tabell"/>
              <w:keepNext/>
              <w:keepLines/>
              <w:rPr>
                <w:sz w:val="16"/>
              </w:rPr>
            </w:pPr>
          </w:p>
        </w:tc>
        <w:tc>
          <w:tcPr>
            <w:tcW w:w="567" w:type="dxa"/>
          </w:tcPr>
          <w:p w:rsidR="001C7BF9" w:rsidRPr="00C9680B" w:rsidRDefault="001C7BF9">
            <w:pPr>
              <w:pStyle w:val="Tabell"/>
              <w:keepNext/>
              <w:keepLines/>
              <w:rPr>
                <w:sz w:val="16"/>
              </w:rPr>
            </w:pPr>
          </w:p>
        </w:tc>
        <w:tc>
          <w:tcPr>
            <w:tcW w:w="567" w:type="dxa"/>
          </w:tcPr>
          <w:p w:rsidR="001C7BF9" w:rsidRPr="00C9680B" w:rsidRDefault="001C7BF9">
            <w:pPr>
              <w:pStyle w:val="Tabell"/>
              <w:keepNext/>
              <w:keepLines/>
              <w:rPr>
                <w:sz w:val="16"/>
              </w:rPr>
            </w:pP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rPr>
                <w:b/>
                <w:sz w:val="16"/>
              </w:rPr>
            </w:pPr>
            <w:r w:rsidRPr="00C9680B">
              <w:rPr>
                <w:b/>
                <w:sz w:val="16"/>
              </w:rPr>
              <w:t>Nivån på finansiellt sparande i offentlig se</w:t>
            </w:r>
            <w:r w:rsidRPr="00C9680B">
              <w:rPr>
                <w:b/>
                <w:sz w:val="16"/>
              </w:rPr>
              <w:t>k</w:t>
            </w:r>
            <w:r w:rsidRPr="00C9680B">
              <w:rPr>
                <w:b/>
                <w:sz w:val="16"/>
              </w:rPr>
              <w:t>tor enl. regeringen</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75,7</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45,4</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47,3</w:t>
            </w:r>
          </w:p>
        </w:tc>
      </w:tr>
      <w:tr w:rsidR="00000000" w:rsidRPr="00C9680B">
        <w:tblPrEx>
          <w:tblCellMar>
            <w:top w:w="0" w:type="dxa"/>
            <w:left w:w="0" w:type="dxa"/>
            <w:bottom w:w="0" w:type="dxa"/>
            <w:right w:w="0" w:type="dxa"/>
          </w:tblCellMar>
        </w:tblPrEx>
        <w:tc>
          <w:tcPr>
            <w:tcW w:w="4536" w:type="dxa"/>
          </w:tcPr>
          <w:p w:rsidR="001C7BF9" w:rsidRPr="00C9680B" w:rsidRDefault="001C7BF9">
            <w:pPr>
              <w:pStyle w:val="Tabell"/>
              <w:keepNext/>
              <w:keepLines/>
              <w:rPr>
                <w:sz w:val="16"/>
              </w:rPr>
            </w:pPr>
            <w:r w:rsidRPr="00C9680B">
              <w:rPr>
                <w:sz w:val="16"/>
              </w:rPr>
              <w:t>Utgiftsminskningar, netto</w:t>
            </w:r>
          </w:p>
        </w:tc>
        <w:tc>
          <w:tcPr>
            <w:tcW w:w="567" w:type="dxa"/>
          </w:tcPr>
          <w:p w:rsidR="001C7BF9" w:rsidRPr="00C9680B" w:rsidRDefault="001C7BF9">
            <w:pPr>
              <w:pStyle w:val="Tabell"/>
              <w:keepNext/>
              <w:keepLines/>
              <w:ind w:right="57"/>
              <w:jc w:val="right"/>
              <w:rPr>
                <w:sz w:val="16"/>
              </w:rPr>
            </w:pPr>
            <w:r w:rsidRPr="00C9680B">
              <w:rPr>
                <w:sz w:val="16"/>
              </w:rPr>
              <w:t>+8,6</w:t>
            </w:r>
          </w:p>
        </w:tc>
        <w:tc>
          <w:tcPr>
            <w:tcW w:w="567" w:type="dxa"/>
          </w:tcPr>
          <w:p w:rsidR="001C7BF9" w:rsidRPr="00C9680B" w:rsidRDefault="001C7BF9">
            <w:pPr>
              <w:pStyle w:val="Tabell"/>
              <w:keepNext/>
              <w:keepLines/>
              <w:ind w:right="57"/>
              <w:jc w:val="right"/>
              <w:rPr>
                <w:sz w:val="16"/>
              </w:rPr>
            </w:pPr>
            <w:r w:rsidRPr="00C9680B">
              <w:rPr>
                <w:sz w:val="16"/>
              </w:rPr>
              <w:t>+13,0</w:t>
            </w:r>
          </w:p>
        </w:tc>
        <w:tc>
          <w:tcPr>
            <w:tcW w:w="567" w:type="dxa"/>
          </w:tcPr>
          <w:p w:rsidR="001C7BF9" w:rsidRPr="00C9680B" w:rsidRDefault="001C7BF9">
            <w:pPr>
              <w:pStyle w:val="Tabell"/>
              <w:keepNext/>
              <w:keepLines/>
              <w:ind w:right="57"/>
              <w:jc w:val="right"/>
              <w:rPr>
                <w:sz w:val="16"/>
              </w:rPr>
            </w:pPr>
            <w:r w:rsidRPr="00C9680B">
              <w:rPr>
                <w:sz w:val="16"/>
              </w:rPr>
              <w:t>+14,1</w:t>
            </w:r>
          </w:p>
        </w:tc>
      </w:tr>
      <w:tr w:rsidR="00000000" w:rsidRPr="00C9680B">
        <w:tblPrEx>
          <w:tblCellMar>
            <w:top w:w="0" w:type="dxa"/>
            <w:left w:w="0" w:type="dxa"/>
            <w:bottom w:w="0" w:type="dxa"/>
            <w:right w:w="0" w:type="dxa"/>
          </w:tblCellMar>
        </w:tblPrEx>
        <w:tc>
          <w:tcPr>
            <w:tcW w:w="4536" w:type="dxa"/>
          </w:tcPr>
          <w:p w:rsidR="001C7BF9" w:rsidRPr="00C9680B" w:rsidRDefault="001C7BF9">
            <w:pPr>
              <w:pStyle w:val="Tabell"/>
              <w:keepNext/>
              <w:keepLines/>
              <w:rPr>
                <w:sz w:val="16"/>
              </w:rPr>
            </w:pPr>
            <w:r w:rsidRPr="00C9680B">
              <w:rPr>
                <w:sz w:val="16"/>
              </w:rPr>
              <w:t>Skattesänkningar, netto</w:t>
            </w:r>
          </w:p>
        </w:tc>
        <w:tc>
          <w:tcPr>
            <w:tcW w:w="567" w:type="dxa"/>
          </w:tcPr>
          <w:p w:rsidR="001C7BF9" w:rsidRPr="00C9680B" w:rsidRDefault="001C7BF9">
            <w:pPr>
              <w:pStyle w:val="Tabell"/>
              <w:keepNext/>
              <w:keepLines/>
              <w:ind w:right="57"/>
              <w:jc w:val="right"/>
              <w:rPr>
                <w:sz w:val="16"/>
              </w:rPr>
            </w:pPr>
            <w:r w:rsidRPr="00C9680B">
              <w:rPr>
                <w:sz w:val="16"/>
              </w:rPr>
              <w:t>-26,4</w:t>
            </w:r>
          </w:p>
        </w:tc>
        <w:tc>
          <w:tcPr>
            <w:tcW w:w="567" w:type="dxa"/>
          </w:tcPr>
          <w:p w:rsidR="001C7BF9" w:rsidRPr="00C9680B" w:rsidRDefault="001C7BF9">
            <w:pPr>
              <w:pStyle w:val="Tabell"/>
              <w:keepNext/>
              <w:keepLines/>
              <w:ind w:right="57"/>
              <w:jc w:val="right"/>
              <w:rPr>
                <w:sz w:val="16"/>
              </w:rPr>
            </w:pPr>
            <w:r w:rsidRPr="00C9680B">
              <w:rPr>
                <w:sz w:val="16"/>
              </w:rPr>
              <w:t>-47,4</w:t>
            </w:r>
          </w:p>
        </w:tc>
        <w:tc>
          <w:tcPr>
            <w:tcW w:w="567" w:type="dxa"/>
          </w:tcPr>
          <w:p w:rsidR="001C7BF9" w:rsidRPr="00C9680B" w:rsidRDefault="001C7BF9">
            <w:pPr>
              <w:pStyle w:val="Tabell"/>
              <w:keepNext/>
              <w:keepLines/>
              <w:ind w:right="57"/>
              <w:jc w:val="right"/>
              <w:rPr>
                <w:sz w:val="16"/>
              </w:rPr>
            </w:pPr>
            <w:r w:rsidRPr="00C9680B">
              <w:rPr>
                <w:sz w:val="16"/>
              </w:rPr>
              <w:t>-56,0</w:t>
            </w:r>
          </w:p>
        </w:tc>
      </w:tr>
      <w:tr w:rsidR="00000000" w:rsidRPr="00C9680B">
        <w:tblPrEx>
          <w:tblCellMar>
            <w:top w:w="0" w:type="dxa"/>
            <w:left w:w="0" w:type="dxa"/>
            <w:bottom w:w="0" w:type="dxa"/>
            <w:right w:w="0" w:type="dxa"/>
          </w:tblCellMar>
        </w:tblPrEx>
        <w:tc>
          <w:tcPr>
            <w:tcW w:w="4536" w:type="dxa"/>
          </w:tcPr>
          <w:p w:rsidR="001C7BF9" w:rsidRPr="00C9680B" w:rsidRDefault="001C7BF9">
            <w:pPr>
              <w:pStyle w:val="Tabell"/>
              <w:keepNext/>
              <w:keepLines/>
              <w:rPr>
                <w:sz w:val="16"/>
              </w:rPr>
            </w:pPr>
            <w:r w:rsidRPr="00C9680B">
              <w:rPr>
                <w:sz w:val="16"/>
              </w:rPr>
              <w:t>Ränteeffekt av större privatiseringar än regeringen</w:t>
            </w:r>
          </w:p>
        </w:tc>
        <w:tc>
          <w:tcPr>
            <w:tcW w:w="567" w:type="dxa"/>
          </w:tcPr>
          <w:p w:rsidR="001C7BF9" w:rsidRPr="00C9680B" w:rsidRDefault="001C7BF9">
            <w:pPr>
              <w:pStyle w:val="Tabell"/>
              <w:keepNext/>
              <w:keepLines/>
              <w:ind w:right="57"/>
              <w:jc w:val="right"/>
              <w:rPr>
                <w:sz w:val="16"/>
              </w:rPr>
            </w:pPr>
            <w:r w:rsidRPr="00C9680B">
              <w:rPr>
                <w:sz w:val="16"/>
              </w:rPr>
              <w:t>+1,2</w:t>
            </w:r>
          </w:p>
        </w:tc>
        <w:tc>
          <w:tcPr>
            <w:tcW w:w="567" w:type="dxa"/>
          </w:tcPr>
          <w:p w:rsidR="001C7BF9" w:rsidRPr="00C9680B" w:rsidRDefault="001C7BF9">
            <w:pPr>
              <w:pStyle w:val="Tabell"/>
              <w:keepNext/>
              <w:keepLines/>
              <w:ind w:right="57"/>
              <w:jc w:val="right"/>
              <w:rPr>
                <w:sz w:val="16"/>
              </w:rPr>
            </w:pPr>
            <w:r w:rsidRPr="00C9680B">
              <w:rPr>
                <w:sz w:val="16"/>
              </w:rPr>
              <w:t>+5,0</w:t>
            </w:r>
          </w:p>
        </w:tc>
        <w:tc>
          <w:tcPr>
            <w:tcW w:w="567" w:type="dxa"/>
          </w:tcPr>
          <w:p w:rsidR="001C7BF9" w:rsidRPr="00C9680B" w:rsidRDefault="001C7BF9">
            <w:pPr>
              <w:pStyle w:val="Tabell"/>
              <w:keepNext/>
              <w:keepLines/>
              <w:ind w:right="57"/>
              <w:jc w:val="right"/>
              <w:rPr>
                <w:sz w:val="16"/>
              </w:rPr>
            </w:pPr>
            <w:r w:rsidRPr="00C9680B">
              <w:rPr>
                <w:sz w:val="16"/>
              </w:rPr>
              <w:t>+7,4</w:t>
            </w:r>
          </w:p>
        </w:tc>
      </w:tr>
      <w:tr w:rsidR="00000000" w:rsidRPr="00C9680B">
        <w:tblPrEx>
          <w:tblCellMar>
            <w:top w:w="0" w:type="dxa"/>
            <w:left w:w="0" w:type="dxa"/>
            <w:bottom w:w="0" w:type="dxa"/>
            <w:right w:w="0" w:type="dxa"/>
          </w:tblCellMar>
        </w:tblPrEx>
        <w:tc>
          <w:tcPr>
            <w:tcW w:w="4536" w:type="dxa"/>
          </w:tcPr>
          <w:p w:rsidR="001C7BF9" w:rsidRPr="00C9680B" w:rsidRDefault="001C7BF9">
            <w:pPr>
              <w:pStyle w:val="Tabell"/>
              <w:keepNext/>
              <w:keepLines/>
              <w:rPr>
                <w:b/>
                <w:sz w:val="16"/>
              </w:rPr>
            </w:pPr>
            <w:r w:rsidRPr="00C9680B">
              <w:rPr>
                <w:b/>
                <w:sz w:val="16"/>
              </w:rPr>
              <w:t>Samlad effekt på finansiellt sparande enligt (kd)</w:t>
            </w:r>
            <w:r w:rsidRPr="00C9680B">
              <w:rPr>
                <w:sz w:val="16"/>
              </w:rPr>
              <w:t>¹</w:t>
            </w:r>
          </w:p>
        </w:tc>
        <w:tc>
          <w:tcPr>
            <w:tcW w:w="567" w:type="dxa"/>
          </w:tcPr>
          <w:p w:rsidR="001C7BF9" w:rsidRPr="00C9680B" w:rsidRDefault="001C7BF9">
            <w:pPr>
              <w:pStyle w:val="Tabell"/>
              <w:keepNext/>
              <w:keepLines/>
              <w:ind w:right="57"/>
              <w:jc w:val="right"/>
              <w:rPr>
                <w:b/>
                <w:sz w:val="16"/>
              </w:rPr>
            </w:pPr>
            <w:r w:rsidRPr="00C9680B">
              <w:rPr>
                <w:b/>
                <w:sz w:val="16"/>
              </w:rPr>
              <w:t>-16,6</w:t>
            </w:r>
          </w:p>
        </w:tc>
        <w:tc>
          <w:tcPr>
            <w:tcW w:w="567" w:type="dxa"/>
          </w:tcPr>
          <w:p w:rsidR="001C7BF9" w:rsidRPr="00C9680B" w:rsidRDefault="001C7BF9">
            <w:pPr>
              <w:pStyle w:val="Tabell"/>
              <w:keepNext/>
              <w:keepLines/>
              <w:ind w:right="57"/>
              <w:jc w:val="right"/>
              <w:rPr>
                <w:b/>
                <w:sz w:val="16"/>
              </w:rPr>
            </w:pPr>
            <w:r w:rsidRPr="00C9680B">
              <w:rPr>
                <w:b/>
                <w:sz w:val="16"/>
              </w:rPr>
              <w:t>-29,4</w:t>
            </w:r>
          </w:p>
        </w:tc>
        <w:tc>
          <w:tcPr>
            <w:tcW w:w="567" w:type="dxa"/>
          </w:tcPr>
          <w:p w:rsidR="001C7BF9" w:rsidRPr="00C9680B" w:rsidRDefault="001C7BF9">
            <w:pPr>
              <w:pStyle w:val="Tabell"/>
              <w:keepNext/>
              <w:keepLines/>
              <w:ind w:right="57"/>
              <w:jc w:val="right"/>
              <w:rPr>
                <w:b/>
                <w:sz w:val="16"/>
              </w:rPr>
            </w:pPr>
            <w:r w:rsidRPr="00C9680B">
              <w:rPr>
                <w:b/>
                <w:sz w:val="16"/>
              </w:rPr>
              <w:t>-34,5</w:t>
            </w:r>
          </w:p>
        </w:tc>
      </w:tr>
      <w:tr w:rsidR="00000000" w:rsidRPr="00C9680B">
        <w:tblPrEx>
          <w:tblCellMar>
            <w:top w:w="0" w:type="dxa"/>
            <w:left w:w="0" w:type="dxa"/>
            <w:bottom w:w="0" w:type="dxa"/>
            <w:right w:w="0" w:type="dxa"/>
          </w:tblCellMar>
        </w:tblPrEx>
        <w:tc>
          <w:tcPr>
            <w:tcW w:w="4536" w:type="dxa"/>
          </w:tcPr>
          <w:p w:rsidR="001C7BF9" w:rsidRPr="00C9680B" w:rsidRDefault="001C7BF9">
            <w:pPr>
              <w:pStyle w:val="Tabell"/>
              <w:keepNext/>
              <w:keepLines/>
              <w:rPr>
                <w:sz w:val="16"/>
              </w:rPr>
            </w:pPr>
            <w:r w:rsidRPr="00C9680B">
              <w:rPr>
                <w:sz w:val="16"/>
              </w:rPr>
              <w:t>Utnyttjande av reserv avsatt i BP som beräkningsteknisk överföring till hushållen 2002 och 2003</w:t>
            </w:r>
          </w:p>
        </w:tc>
        <w:tc>
          <w:tcPr>
            <w:tcW w:w="567" w:type="dxa"/>
          </w:tcPr>
          <w:p w:rsidR="001C7BF9" w:rsidRPr="00C9680B" w:rsidRDefault="001C7BF9">
            <w:pPr>
              <w:pStyle w:val="Tabell"/>
              <w:keepNext/>
              <w:keepLines/>
              <w:ind w:right="57"/>
              <w:jc w:val="right"/>
              <w:rPr>
                <w:sz w:val="16"/>
              </w:rPr>
            </w:pPr>
          </w:p>
          <w:p w:rsidR="001C7BF9" w:rsidRPr="00C9680B" w:rsidRDefault="001C7BF9">
            <w:pPr>
              <w:pStyle w:val="Tabell"/>
              <w:keepNext/>
              <w:keepLines/>
              <w:ind w:right="57"/>
              <w:jc w:val="right"/>
              <w:rPr>
                <w:sz w:val="16"/>
              </w:rPr>
            </w:pPr>
            <w:r w:rsidRPr="00C9680B">
              <w:rPr>
                <w:sz w:val="16"/>
              </w:rPr>
              <w:t>–</w:t>
            </w:r>
          </w:p>
        </w:tc>
        <w:tc>
          <w:tcPr>
            <w:tcW w:w="567" w:type="dxa"/>
          </w:tcPr>
          <w:p w:rsidR="001C7BF9" w:rsidRPr="00C9680B" w:rsidRDefault="001C7BF9">
            <w:pPr>
              <w:pStyle w:val="Tabell"/>
              <w:keepNext/>
              <w:keepLines/>
              <w:ind w:right="57"/>
              <w:jc w:val="right"/>
              <w:rPr>
                <w:sz w:val="16"/>
              </w:rPr>
            </w:pPr>
          </w:p>
          <w:p w:rsidR="001C7BF9" w:rsidRPr="00C9680B" w:rsidRDefault="001C7BF9">
            <w:pPr>
              <w:pStyle w:val="Tabell"/>
              <w:keepNext/>
              <w:keepLines/>
              <w:ind w:right="57"/>
              <w:jc w:val="right"/>
              <w:rPr>
                <w:sz w:val="16"/>
              </w:rPr>
            </w:pPr>
            <w:r w:rsidRPr="00C9680B">
              <w:rPr>
                <w:sz w:val="16"/>
              </w:rPr>
              <w:t>+29,5</w:t>
            </w:r>
          </w:p>
        </w:tc>
        <w:tc>
          <w:tcPr>
            <w:tcW w:w="567" w:type="dxa"/>
          </w:tcPr>
          <w:p w:rsidR="001C7BF9" w:rsidRPr="00C9680B" w:rsidRDefault="001C7BF9">
            <w:pPr>
              <w:pStyle w:val="Tabell"/>
              <w:keepNext/>
              <w:keepLines/>
              <w:ind w:right="57"/>
              <w:jc w:val="right"/>
              <w:rPr>
                <w:sz w:val="16"/>
              </w:rPr>
            </w:pPr>
          </w:p>
          <w:p w:rsidR="001C7BF9" w:rsidRPr="00C9680B" w:rsidRDefault="001C7BF9">
            <w:pPr>
              <w:pStyle w:val="Tabell"/>
              <w:keepNext/>
              <w:keepLines/>
              <w:ind w:right="57"/>
              <w:jc w:val="right"/>
              <w:rPr>
                <w:sz w:val="16"/>
              </w:rPr>
            </w:pPr>
            <w:r w:rsidRPr="00C9680B">
              <w:rPr>
                <w:sz w:val="16"/>
              </w:rPr>
              <w:t>+36,8</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rPr>
                <w:b/>
                <w:sz w:val="16"/>
              </w:rPr>
            </w:pPr>
            <w:r w:rsidRPr="00C9680B">
              <w:rPr>
                <w:b/>
                <w:sz w:val="16"/>
              </w:rPr>
              <w:t>Nivån på finansiellt sparande i offentlig se</w:t>
            </w:r>
            <w:r w:rsidRPr="00C9680B">
              <w:rPr>
                <w:b/>
                <w:sz w:val="16"/>
              </w:rPr>
              <w:t>k</w:t>
            </w:r>
            <w:r w:rsidRPr="00C9680B">
              <w:rPr>
                <w:b/>
                <w:sz w:val="16"/>
              </w:rPr>
              <w:t>tor enligt (kd)</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59,1</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45,5</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49,6</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rPr>
                <w:sz w:val="16"/>
              </w:rPr>
            </w:pPr>
            <w:r w:rsidRPr="00C9680B">
              <w:rPr>
                <w:sz w:val="16"/>
              </w:rPr>
              <w:t>Nivå i förhållande till reg. mål om 2,5 resp. 2 % överskott</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+4,5</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+0,1</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+2,3</w:t>
            </w:r>
          </w:p>
        </w:tc>
      </w:tr>
      <w:tr w:rsidR="00000000" w:rsidRPr="00C9680B">
        <w:tblPrEx>
          <w:tblCellMar>
            <w:top w:w="0" w:type="dxa"/>
            <w:left w:w="0" w:type="dxa"/>
            <w:bottom w:w="0" w:type="dxa"/>
            <w:right w:w="0" w:type="dxa"/>
          </w:tblCellMar>
        </w:tblPrEx>
        <w:trPr>
          <w:trHeight w:hRule="exact" w:val="60"/>
        </w:trPr>
        <w:tc>
          <w:tcPr>
            <w:tcW w:w="4536" w:type="dxa"/>
            <w:tcBorders>
              <w:bottom w:val="single" w:sz="6" w:space="0" w:color="auto"/>
            </w:tcBorders>
          </w:tcPr>
          <w:p w:rsidR="001C7BF9" w:rsidRPr="00C9680B" w:rsidRDefault="001C7BF9">
            <w:pPr>
              <w:pStyle w:val="Tabell"/>
              <w:keepNext/>
              <w:keepLines/>
              <w:rPr>
                <w:sz w:val="16"/>
              </w:rPr>
            </w:pPr>
          </w:p>
        </w:tc>
        <w:tc>
          <w:tcPr>
            <w:tcW w:w="567" w:type="dxa"/>
            <w:tcBorders>
              <w:bottom w:val="single" w:sz="6" w:space="0" w:color="auto"/>
            </w:tcBorders>
          </w:tcPr>
          <w:p w:rsidR="001C7BF9" w:rsidRPr="00C9680B" w:rsidRDefault="001C7BF9">
            <w:pPr>
              <w:pStyle w:val="Tabell"/>
              <w:keepNext/>
              <w:keepLines/>
              <w:ind w:right="57"/>
              <w:jc w:val="right"/>
              <w:rPr>
                <w:sz w:val="16"/>
              </w:rPr>
            </w:pPr>
          </w:p>
        </w:tc>
        <w:tc>
          <w:tcPr>
            <w:tcW w:w="567" w:type="dxa"/>
            <w:tcBorders>
              <w:bottom w:val="single" w:sz="6" w:space="0" w:color="auto"/>
            </w:tcBorders>
          </w:tcPr>
          <w:p w:rsidR="001C7BF9" w:rsidRPr="00C9680B" w:rsidRDefault="001C7BF9">
            <w:pPr>
              <w:pStyle w:val="Tabell"/>
              <w:keepNext/>
              <w:keepLines/>
              <w:ind w:right="57"/>
              <w:jc w:val="right"/>
              <w:rPr>
                <w:sz w:val="16"/>
              </w:rPr>
            </w:pPr>
          </w:p>
        </w:tc>
        <w:tc>
          <w:tcPr>
            <w:tcW w:w="567" w:type="dxa"/>
            <w:tcBorders>
              <w:bottom w:val="single" w:sz="6" w:space="0" w:color="auto"/>
            </w:tcBorders>
          </w:tcPr>
          <w:p w:rsidR="001C7BF9" w:rsidRPr="00C9680B" w:rsidRDefault="001C7BF9">
            <w:pPr>
              <w:pStyle w:val="Tabell"/>
              <w:keepNext/>
              <w:keepLines/>
              <w:ind w:right="57"/>
              <w:jc w:val="right"/>
              <w:rPr>
                <w:sz w:val="16"/>
              </w:rPr>
            </w:pPr>
          </w:p>
        </w:tc>
      </w:tr>
    </w:tbl>
    <w:p w:rsidR="001C7BF9" w:rsidRPr="00C9680B" w:rsidRDefault="001C7BF9">
      <w:pPr>
        <w:pStyle w:val="Tabell"/>
        <w:ind w:left="113" w:hanging="113"/>
        <w:rPr>
          <w:sz w:val="16"/>
        </w:rPr>
      </w:pPr>
      <w:r w:rsidRPr="00C9680B">
        <w:t xml:space="preserve">¹ </w:t>
      </w:r>
      <w:r w:rsidRPr="00C9680B">
        <w:rPr>
          <w:sz w:val="16"/>
        </w:rPr>
        <w:t>Exklusive försäljning av statliga företag eftersom sådana transaktioner inte ingår i det finansiella spara</w:t>
      </w:r>
      <w:r w:rsidRPr="00C9680B">
        <w:rPr>
          <w:sz w:val="16"/>
        </w:rPr>
        <w:t>n</w:t>
      </w:r>
      <w:r w:rsidRPr="00C9680B">
        <w:rPr>
          <w:sz w:val="16"/>
        </w:rPr>
        <w:t>det.</w:t>
      </w:r>
    </w:p>
    <w:p w:rsidR="001C7BF9" w:rsidRPr="00C9680B" w:rsidRDefault="001C7BF9"/>
    <w:p w:rsidR="001C7BF9" w:rsidRPr="00C9680B" w:rsidRDefault="001C7BF9">
      <w:pPr>
        <w:rPr>
          <w:sz w:val="18"/>
        </w:rPr>
      </w:pPr>
      <w:r w:rsidRPr="00C9680B">
        <w:t>Kristdemokraternas förslag till utgiftstak för de tre åren avviker från regerin</w:t>
      </w:r>
      <w:r w:rsidRPr="00C9680B">
        <w:t>g</w:t>
      </w:r>
      <w:r w:rsidRPr="00C9680B">
        <w:t>ens på följande sätt.</w:t>
      </w:r>
    </w:p>
    <w:p w:rsidR="001C7BF9" w:rsidRPr="00C9680B" w:rsidRDefault="001C7BF9">
      <w:pPr>
        <w:pStyle w:val="TabellrubrikPer"/>
        <w:keepNext/>
        <w:keepLines/>
        <w:spacing w:line="190" w:lineRule="exact"/>
        <w:outlineLvl w:val="0"/>
        <w:rPr>
          <w:b/>
          <w:caps w:val="0"/>
          <w:spacing w:val="0"/>
          <w:sz w:val="16"/>
        </w:rPr>
      </w:pPr>
      <w:r w:rsidRPr="00C9680B">
        <w:rPr>
          <w:b/>
          <w:caps w:val="0"/>
          <w:spacing w:val="0"/>
          <w:sz w:val="16"/>
        </w:rPr>
        <w:t>Tabell 19. Kristdemokraternas förslag till utgiftstak för staten 2001–2003</w:t>
      </w:r>
    </w:p>
    <w:p w:rsidR="001C7BF9" w:rsidRPr="00C9680B" w:rsidRDefault="001C7BF9">
      <w:pPr>
        <w:pStyle w:val="Tabell"/>
        <w:keepNext/>
        <w:keepLines/>
        <w:spacing w:after="40" w:line="190" w:lineRule="exact"/>
        <w:outlineLvl w:val="0"/>
        <w:rPr>
          <w:sz w:val="14"/>
        </w:rPr>
      </w:pPr>
      <w:r w:rsidRPr="00C9680B">
        <w:rPr>
          <w:sz w:val="14"/>
        </w:rPr>
        <w:t>Belopp i miljarder kronor</w:t>
      </w:r>
    </w:p>
    <w:tbl>
      <w:tblPr>
        <w:tblW w:w="0" w:type="auto"/>
        <w:tblLayout w:type="fixed"/>
        <w:tblCellMar>
          <w:left w:w="0" w:type="dxa"/>
          <w:right w:w="0" w:type="dxa"/>
        </w:tblCellMar>
        <w:tblLook w:val="0000" w:firstRow="0" w:lastRow="0" w:firstColumn="0" w:lastColumn="0" w:noHBand="0" w:noVBand="0"/>
      </w:tblPr>
      <w:tblGrid>
        <w:gridCol w:w="3969"/>
        <w:gridCol w:w="624"/>
        <w:gridCol w:w="624"/>
        <w:gridCol w:w="624"/>
      </w:tblGrid>
      <w:tr w:rsidR="00000000" w:rsidRPr="00C9680B">
        <w:tblPrEx>
          <w:tblCellMar>
            <w:top w:w="0" w:type="dxa"/>
            <w:left w:w="0" w:type="dxa"/>
            <w:bottom w:w="0" w:type="dxa"/>
            <w:right w:w="0" w:type="dxa"/>
          </w:tblCellMar>
        </w:tblPrEx>
        <w:tc>
          <w:tcPr>
            <w:tcW w:w="3969" w:type="dxa"/>
            <w:tcBorders>
              <w:top w:val="single" w:sz="6" w:space="0" w:color="auto"/>
              <w:bottom w:val="single" w:sz="6" w:space="0" w:color="auto"/>
            </w:tcBorders>
          </w:tcPr>
          <w:p w:rsidR="001C7BF9" w:rsidRPr="00C9680B" w:rsidRDefault="001C7BF9">
            <w:pPr>
              <w:pStyle w:val="Tabell"/>
              <w:keepNext/>
              <w:keepLines/>
              <w:rPr>
                <w:b/>
                <w:sz w:val="16"/>
              </w:rPr>
            </w:pPr>
          </w:p>
        </w:tc>
        <w:tc>
          <w:tcPr>
            <w:tcW w:w="624"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2001</w:t>
            </w:r>
          </w:p>
        </w:tc>
        <w:tc>
          <w:tcPr>
            <w:tcW w:w="624"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2002</w:t>
            </w:r>
          </w:p>
        </w:tc>
        <w:tc>
          <w:tcPr>
            <w:tcW w:w="624"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2003</w:t>
            </w:r>
          </w:p>
        </w:tc>
      </w:tr>
      <w:tr w:rsidR="00000000" w:rsidRPr="00C9680B">
        <w:tblPrEx>
          <w:tblCellMar>
            <w:top w:w="0" w:type="dxa"/>
            <w:left w:w="0" w:type="dxa"/>
            <w:bottom w:w="0" w:type="dxa"/>
            <w:right w:w="0" w:type="dxa"/>
          </w:tblCellMar>
        </w:tblPrEx>
        <w:trPr>
          <w:trHeight w:hRule="exact" w:val="60"/>
        </w:trPr>
        <w:tc>
          <w:tcPr>
            <w:tcW w:w="3969" w:type="dxa"/>
          </w:tcPr>
          <w:p w:rsidR="001C7BF9" w:rsidRPr="00C9680B" w:rsidRDefault="001C7BF9">
            <w:pPr>
              <w:pStyle w:val="Tabell"/>
              <w:keepNext/>
              <w:keepLines/>
              <w:rPr>
                <w:b/>
                <w:sz w:val="16"/>
              </w:rPr>
            </w:pPr>
          </w:p>
        </w:tc>
        <w:tc>
          <w:tcPr>
            <w:tcW w:w="624" w:type="dxa"/>
          </w:tcPr>
          <w:p w:rsidR="001C7BF9" w:rsidRPr="00C9680B" w:rsidRDefault="001C7BF9">
            <w:pPr>
              <w:pStyle w:val="Tabell"/>
              <w:keepNext/>
              <w:keepLines/>
              <w:ind w:right="57"/>
              <w:jc w:val="right"/>
              <w:rPr>
                <w:b/>
                <w:sz w:val="16"/>
              </w:rPr>
            </w:pPr>
          </w:p>
        </w:tc>
        <w:tc>
          <w:tcPr>
            <w:tcW w:w="624" w:type="dxa"/>
          </w:tcPr>
          <w:p w:rsidR="001C7BF9" w:rsidRPr="00C9680B" w:rsidRDefault="001C7BF9">
            <w:pPr>
              <w:pStyle w:val="Tabell"/>
              <w:keepNext/>
              <w:keepLines/>
              <w:ind w:right="57"/>
              <w:jc w:val="right"/>
              <w:rPr>
                <w:b/>
                <w:sz w:val="16"/>
              </w:rPr>
            </w:pPr>
          </w:p>
        </w:tc>
        <w:tc>
          <w:tcPr>
            <w:tcW w:w="624" w:type="dxa"/>
          </w:tcPr>
          <w:p w:rsidR="001C7BF9" w:rsidRPr="00C9680B" w:rsidRDefault="001C7BF9">
            <w:pPr>
              <w:pStyle w:val="Tabell"/>
              <w:keepNext/>
              <w:keepLines/>
              <w:ind w:right="57"/>
              <w:jc w:val="right"/>
              <w:rPr>
                <w:b/>
                <w:sz w:val="16"/>
              </w:rPr>
            </w:pPr>
          </w:p>
        </w:tc>
      </w:tr>
      <w:tr w:rsidR="00000000" w:rsidRPr="00C9680B">
        <w:tblPrEx>
          <w:tblCellMar>
            <w:top w:w="0" w:type="dxa"/>
            <w:left w:w="0" w:type="dxa"/>
            <w:bottom w:w="0" w:type="dxa"/>
            <w:right w:w="0" w:type="dxa"/>
          </w:tblCellMar>
        </w:tblPrEx>
        <w:tc>
          <w:tcPr>
            <w:tcW w:w="3969" w:type="dxa"/>
          </w:tcPr>
          <w:p w:rsidR="001C7BF9" w:rsidRPr="00C9680B" w:rsidRDefault="001C7BF9">
            <w:pPr>
              <w:pStyle w:val="Tabell"/>
              <w:keepNext/>
              <w:keepLines/>
              <w:rPr>
                <w:b/>
                <w:sz w:val="16"/>
              </w:rPr>
            </w:pPr>
            <w:r w:rsidRPr="00C9680B">
              <w:rPr>
                <w:b/>
                <w:sz w:val="16"/>
              </w:rPr>
              <w:t>Regeringens förslag till utgiftstak</w:t>
            </w:r>
          </w:p>
        </w:tc>
        <w:tc>
          <w:tcPr>
            <w:tcW w:w="624" w:type="dxa"/>
          </w:tcPr>
          <w:p w:rsidR="001C7BF9" w:rsidRPr="00C9680B" w:rsidRDefault="001C7BF9">
            <w:pPr>
              <w:pStyle w:val="Tabell"/>
              <w:keepNext/>
              <w:keepLines/>
              <w:ind w:right="57"/>
              <w:jc w:val="right"/>
              <w:rPr>
                <w:b/>
                <w:sz w:val="16"/>
              </w:rPr>
            </w:pPr>
            <w:r w:rsidRPr="00C9680B">
              <w:rPr>
                <w:b/>
                <w:sz w:val="16"/>
              </w:rPr>
              <w:t>789,0</w:t>
            </w:r>
          </w:p>
        </w:tc>
        <w:tc>
          <w:tcPr>
            <w:tcW w:w="624" w:type="dxa"/>
          </w:tcPr>
          <w:p w:rsidR="001C7BF9" w:rsidRPr="00C9680B" w:rsidRDefault="001C7BF9">
            <w:pPr>
              <w:pStyle w:val="Tabell"/>
              <w:keepNext/>
              <w:keepLines/>
              <w:ind w:right="57"/>
              <w:jc w:val="right"/>
              <w:rPr>
                <w:b/>
                <w:sz w:val="16"/>
              </w:rPr>
            </w:pPr>
            <w:r w:rsidRPr="00C9680B">
              <w:rPr>
                <w:b/>
                <w:sz w:val="16"/>
              </w:rPr>
              <w:t>814,0</w:t>
            </w:r>
          </w:p>
        </w:tc>
        <w:tc>
          <w:tcPr>
            <w:tcW w:w="624" w:type="dxa"/>
          </w:tcPr>
          <w:p w:rsidR="001C7BF9" w:rsidRPr="00C9680B" w:rsidRDefault="001C7BF9">
            <w:pPr>
              <w:pStyle w:val="Tabell"/>
              <w:keepNext/>
              <w:keepLines/>
              <w:ind w:right="57"/>
              <w:jc w:val="right"/>
              <w:rPr>
                <w:b/>
                <w:sz w:val="16"/>
              </w:rPr>
            </w:pPr>
            <w:r w:rsidRPr="00C9680B">
              <w:rPr>
                <w:b/>
                <w:sz w:val="16"/>
              </w:rPr>
              <w:t>844,0</w:t>
            </w:r>
          </w:p>
        </w:tc>
      </w:tr>
      <w:tr w:rsidR="00000000" w:rsidRPr="00C9680B">
        <w:tblPrEx>
          <w:tblCellMar>
            <w:top w:w="0" w:type="dxa"/>
            <w:left w:w="0" w:type="dxa"/>
            <w:bottom w:w="0" w:type="dxa"/>
            <w:right w:w="0" w:type="dxa"/>
          </w:tblCellMar>
        </w:tblPrEx>
        <w:tc>
          <w:tcPr>
            <w:tcW w:w="3969" w:type="dxa"/>
          </w:tcPr>
          <w:p w:rsidR="001C7BF9" w:rsidRPr="00C9680B" w:rsidRDefault="001C7BF9">
            <w:pPr>
              <w:pStyle w:val="Tabell"/>
              <w:keepNext/>
              <w:keepLines/>
              <w:rPr>
                <w:sz w:val="16"/>
              </w:rPr>
            </w:pPr>
            <w:r w:rsidRPr="00C9680B">
              <w:rPr>
                <w:sz w:val="16"/>
              </w:rPr>
              <w:t>Föreslagna utgiftsmins</w:t>
            </w:r>
            <w:r w:rsidRPr="00C9680B">
              <w:rPr>
                <w:sz w:val="16"/>
              </w:rPr>
              <w:t>k</w:t>
            </w:r>
            <w:r w:rsidRPr="00C9680B">
              <w:rPr>
                <w:sz w:val="16"/>
              </w:rPr>
              <w:t>ningar¹</w:t>
            </w:r>
          </w:p>
        </w:tc>
        <w:tc>
          <w:tcPr>
            <w:tcW w:w="624" w:type="dxa"/>
          </w:tcPr>
          <w:p w:rsidR="001C7BF9" w:rsidRPr="00C9680B" w:rsidRDefault="001C7BF9">
            <w:pPr>
              <w:pStyle w:val="Tabell"/>
              <w:keepNext/>
              <w:keepLines/>
              <w:ind w:right="57"/>
              <w:jc w:val="right"/>
              <w:rPr>
                <w:sz w:val="16"/>
              </w:rPr>
            </w:pPr>
            <w:r w:rsidRPr="00C9680B">
              <w:rPr>
                <w:sz w:val="16"/>
              </w:rPr>
              <w:t>-8,6</w:t>
            </w:r>
          </w:p>
        </w:tc>
        <w:tc>
          <w:tcPr>
            <w:tcW w:w="624" w:type="dxa"/>
          </w:tcPr>
          <w:p w:rsidR="001C7BF9" w:rsidRPr="00C9680B" w:rsidRDefault="001C7BF9">
            <w:pPr>
              <w:pStyle w:val="Tabell"/>
              <w:keepNext/>
              <w:keepLines/>
              <w:ind w:right="57"/>
              <w:jc w:val="right"/>
              <w:rPr>
                <w:sz w:val="16"/>
              </w:rPr>
            </w:pPr>
            <w:r w:rsidRPr="00C9680B">
              <w:rPr>
                <w:sz w:val="16"/>
              </w:rPr>
              <w:t>-13,0</w:t>
            </w:r>
          </w:p>
        </w:tc>
        <w:tc>
          <w:tcPr>
            <w:tcW w:w="624" w:type="dxa"/>
          </w:tcPr>
          <w:p w:rsidR="001C7BF9" w:rsidRPr="00C9680B" w:rsidRDefault="001C7BF9">
            <w:pPr>
              <w:pStyle w:val="Tabell"/>
              <w:keepNext/>
              <w:keepLines/>
              <w:ind w:right="57"/>
              <w:jc w:val="right"/>
              <w:rPr>
                <w:sz w:val="16"/>
              </w:rPr>
            </w:pPr>
            <w:r w:rsidRPr="00C9680B">
              <w:rPr>
                <w:sz w:val="16"/>
              </w:rPr>
              <w:t>-14,1</w:t>
            </w:r>
          </w:p>
        </w:tc>
      </w:tr>
      <w:tr w:rsidR="00000000" w:rsidRPr="00C9680B">
        <w:tblPrEx>
          <w:tblCellMar>
            <w:top w:w="0" w:type="dxa"/>
            <w:left w:w="0" w:type="dxa"/>
            <w:bottom w:w="0" w:type="dxa"/>
            <w:right w:w="0" w:type="dxa"/>
          </w:tblCellMar>
        </w:tblPrEx>
        <w:tc>
          <w:tcPr>
            <w:tcW w:w="3969" w:type="dxa"/>
          </w:tcPr>
          <w:p w:rsidR="001C7BF9" w:rsidRPr="00C9680B" w:rsidRDefault="001C7BF9">
            <w:pPr>
              <w:pStyle w:val="Tabell"/>
              <w:keepNext/>
              <w:keepLines/>
              <w:spacing w:line="200" w:lineRule="exact"/>
              <w:rPr>
                <w:sz w:val="16"/>
              </w:rPr>
            </w:pPr>
            <w:r w:rsidRPr="00C9680B">
              <w:rPr>
                <w:sz w:val="16"/>
              </w:rPr>
              <w:t>Ändrad budgeteringsmarg</w:t>
            </w:r>
            <w:r w:rsidRPr="00C9680B">
              <w:rPr>
                <w:sz w:val="16"/>
              </w:rPr>
              <w:t>i</w:t>
            </w:r>
            <w:r w:rsidRPr="00C9680B">
              <w:rPr>
                <w:sz w:val="16"/>
              </w:rPr>
              <w:t>nal</w:t>
            </w:r>
          </w:p>
        </w:tc>
        <w:tc>
          <w:tcPr>
            <w:tcW w:w="624" w:type="dxa"/>
          </w:tcPr>
          <w:p w:rsidR="001C7BF9" w:rsidRPr="00C9680B" w:rsidRDefault="001C7BF9">
            <w:pPr>
              <w:pStyle w:val="Tabell"/>
              <w:keepNext/>
              <w:keepLines/>
              <w:spacing w:line="200" w:lineRule="exact"/>
              <w:ind w:right="57"/>
              <w:jc w:val="right"/>
              <w:rPr>
                <w:sz w:val="16"/>
              </w:rPr>
            </w:pPr>
            <w:r w:rsidRPr="00C9680B">
              <w:rPr>
                <w:sz w:val="16"/>
              </w:rPr>
              <w:t>+0,6</w:t>
            </w:r>
          </w:p>
        </w:tc>
        <w:tc>
          <w:tcPr>
            <w:tcW w:w="624" w:type="dxa"/>
          </w:tcPr>
          <w:p w:rsidR="001C7BF9" w:rsidRPr="00C9680B" w:rsidRDefault="001C7BF9">
            <w:pPr>
              <w:pStyle w:val="Tabell"/>
              <w:keepNext/>
              <w:keepLines/>
              <w:spacing w:line="200" w:lineRule="exact"/>
              <w:ind w:right="57"/>
              <w:jc w:val="right"/>
              <w:rPr>
                <w:sz w:val="16"/>
              </w:rPr>
            </w:pPr>
            <w:r w:rsidRPr="00C9680B">
              <w:rPr>
                <w:sz w:val="16"/>
              </w:rPr>
              <w:t>+1,0</w:t>
            </w:r>
          </w:p>
        </w:tc>
        <w:tc>
          <w:tcPr>
            <w:tcW w:w="624" w:type="dxa"/>
          </w:tcPr>
          <w:p w:rsidR="001C7BF9" w:rsidRPr="00C9680B" w:rsidRDefault="001C7BF9">
            <w:pPr>
              <w:pStyle w:val="Tabell"/>
              <w:keepNext/>
              <w:keepLines/>
              <w:spacing w:line="200" w:lineRule="exact"/>
              <w:ind w:right="57"/>
              <w:jc w:val="right"/>
              <w:rPr>
                <w:sz w:val="16"/>
              </w:rPr>
            </w:pPr>
            <w:r w:rsidRPr="00C9680B">
              <w:rPr>
                <w:sz w:val="16"/>
              </w:rPr>
              <w:t>-6,9</w:t>
            </w:r>
          </w:p>
        </w:tc>
      </w:tr>
      <w:tr w:rsidR="00000000" w:rsidRPr="00C9680B">
        <w:tblPrEx>
          <w:tblCellMar>
            <w:top w:w="0" w:type="dxa"/>
            <w:left w:w="0" w:type="dxa"/>
            <w:bottom w:w="0" w:type="dxa"/>
            <w:right w:w="0" w:type="dxa"/>
          </w:tblCellMar>
        </w:tblPrEx>
        <w:tc>
          <w:tcPr>
            <w:tcW w:w="3969" w:type="dxa"/>
          </w:tcPr>
          <w:p w:rsidR="001C7BF9" w:rsidRPr="00C9680B" w:rsidRDefault="001C7BF9">
            <w:pPr>
              <w:pStyle w:val="Tabell"/>
              <w:keepNext/>
              <w:keepLines/>
              <w:rPr>
                <w:b/>
                <w:sz w:val="16"/>
              </w:rPr>
            </w:pPr>
            <w:r w:rsidRPr="00C9680B">
              <w:rPr>
                <w:b/>
                <w:sz w:val="16"/>
              </w:rPr>
              <w:t>Utgiftstak för staten enligt (kd)</w:t>
            </w:r>
          </w:p>
        </w:tc>
        <w:tc>
          <w:tcPr>
            <w:tcW w:w="624" w:type="dxa"/>
          </w:tcPr>
          <w:p w:rsidR="001C7BF9" w:rsidRPr="00C9680B" w:rsidRDefault="001C7BF9">
            <w:pPr>
              <w:pStyle w:val="Tabell"/>
              <w:keepNext/>
              <w:keepLines/>
              <w:ind w:right="57"/>
              <w:jc w:val="right"/>
              <w:rPr>
                <w:b/>
                <w:sz w:val="16"/>
              </w:rPr>
            </w:pPr>
            <w:r w:rsidRPr="00C9680B">
              <w:rPr>
                <w:b/>
                <w:sz w:val="16"/>
              </w:rPr>
              <w:t>781,0</w:t>
            </w:r>
          </w:p>
        </w:tc>
        <w:tc>
          <w:tcPr>
            <w:tcW w:w="624" w:type="dxa"/>
          </w:tcPr>
          <w:p w:rsidR="001C7BF9" w:rsidRPr="00C9680B" w:rsidRDefault="001C7BF9">
            <w:pPr>
              <w:pStyle w:val="Tabell"/>
              <w:keepNext/>
              <w:keepLines/>
              <w:ind w:right="57"/>
              <w:jc w:val="right"/>
              <w:rPr>
                <w:b/>
                <w:sz w:val="16"/>
              </w:rPr>
            </w:pPr>
            <w:r w:rsidRPr="00C9680B">
              <w:rPr>
                <w:b/>
                <w:sz w:val="16"/>
              </w:rPr>
              <w:t>802,0</w:t>
            </w:r>
          </w:p>
        </w:tc>
        <w:tc>
          <w:tcPr>
            <w:tcW w:w="624" w:type="dxa"/>
          </w:tcPr>
          <w:p w:rsidR="001C7BF9" w:rsidRPr="00C9680B" w:rsidRDefault="001C7BF9">
            <w:pPr>
              <w:pStyle w:val="Tabell"/>
              <w:keepNext/>
              <w:keepLines/>
              <w:ind w:right="57"/>
              <w:jc w:val="right"/>
              <w:rPr>
                <w:b/>
                <w:sz w:val="16"/>
              </w:rPr>
            </w:pPr>
            <w:r w:rsidRPr="00C9680B">
              <w:rPr>
                <w:b/>
                <w:sz w:val="16"/>
              </w:rPr>
              <w:t>823,0</w:t>
            </w:r>
          </w:p>
        </w:tc>
      </w:tr>
      <w:tr w:rsidR="00000000" w:rsidRPr="00C9680B">
        <w:tblPrEx>
          <w:tblCellMar>
            <w:top w:w="0" w:type="dxa"/>
            <w:left w:w="0" w:type="dxa"/>
            <w:bottom w:w="0" w:type="dxa"/>
            <w:right w:w="0" w:type="dxa"/>
          </w:tblCellMar>
        </w:tblPrEx>
        <w:trPr>
          <w:trHeight w:hRule="exact" w:val="60"/>
        </w:trPr>
        <w:tc>
          <w:tcPr>
            <w:tcW w:w="3969" w:type="dxa"/>
            <w:tcBorders>
              <w:bottom w:val="single" w:sz="6" w:space="0" w:color="auto"/>
            </w:tcBorders>
          </w:tcPr>
          <w:p w:rsidR="001C7BF9" w:rsidRPr="00C9680B" w:rsidRDefault="001C7BF9">
            <w:pPr>
              <w:pStyle w:val="Tabell"/>
              <w:keepNext/>
              <w:keepLines/>
              <w:rPr>
                <w:sz w:val="16"/>
              </w:rPr>
            </w:pPr>
          </w:p>
        </w:tc>
        <w:tc>
          <w:tcPr>
            <w:tcW w:w="624" w:type="dxa"/>
            <w:tcBorders>
              <w:bottom w:val="single" w:sz="6" w:space="0" w:color="auto"/>
            </w:tcBorders>
          </w:tcPr>
          <w:p w:rsidR="001C7BF9" w:rsidRPr="00C9680B" w:rsidRDefault="001C7BF9">
            <w:pPr>
              <w:pStyle w:val="Tabell"/>
              <w:keepNext/>
              <w:keepLines/>
              <w:ind w:right="57"/>
              <w:jc w:val="right"/>
              <w:rPr>
                <w:sz w:val="16"/>
              </w:rPr>
            </w:pPr>
          </w:p>
        </w:tc>
        <w:tc>
          <w:tcPr>
            <w:tcW w:w="624" w:type="dxa"/>
            <w:tcBorders>
              <w:bottom w:val="single" w:sz="6" w:space="0" w:color="auto"/>
            </w:tcBorders>
          </w:tcPr>
          <w:p w:rsidR="001C7BF9" w:rsidRPr="00C9680B" w:rsidRDefault="001C7BF9">
            <w:pPr>
              <w:pStyle w:val="Tabell"/>
              <w:keepNext/>
              <w:keepLines/>
              <w:ind w:right="57"/>
              <w:jc w:val="right"/>
              <w:rPr>
                <w:sz w:val="16"/>
              </w:rPr>
            </w:pPr>
          </w:p>
        </w:tc>
        <w:tc>
          <w:tcPr>
            <w:tcW w:w="624" w:type="dxa"/>
            <w:tcBorders>
              <w:bottom w:val="single" w:sz="6" w:space="0" w:color="auto"/>
            </w:tcBorders>
          </w:tcPr>
          <w:p w:rsidR="001C7BF9" w:rsidRPr="00C9680B" w:rsidRDefault="001C7BF9">
            <w:pPr>
              <w:pStyle w:val="Tabell"/>
              <w:keepNext/>
              <w:keepLines/>
              <w:ind w:right="57"/>
              <w:jc w:val="right"/>
              <w:rPr>
                <w:sz w:val="16"/>
              </w:rPr>
            </w:pPr>
          </w:p>
        </w:tc>
      </w:tr>
    </w:tbl>
    <w:p w:rsidR="001C7BF9" w:rsidRPr="00C9680B" w:rsidRDefault="001C7BF9">
      <w:pPr>
        <w:pStyle w:val="Tabell"/>
      </w:pPr>
      <w:r w:rsidRPr="00C9680B">
        <w:t>¹ Exklusive förslag om minskad nivå på statsskuldsräntor.</w:t>
      </w:r>
    </w:p>
    <w:p w:rsidR="001C7BF9" w:rsidRPr="00C9680B" w:rsidRDefault="001C7BF9">
      <w:pPr>
        <w:spacing w:before="187"/>
      </w:pPr>
      <w:r w:rsidRPr="00C9680B">
        <w:t>I motion Fi209 föreslår Kristdemokraterna också att riksdagen skall begära att regeringen presenterar en korrekt och fullständig redovisning av statsbudg</w:t>
      </w:r>
      <w:r w:rsidRPr="00C9680B">
        <w:t>e</w:t>
      </w:r>
      <w:r w:rsidRPr="00C9680B">
        <w:t>tens samtliga inkomster och utgifter i enlighet med budgetlagen (yrkande 8).</w:t>
      </w:r>
    </w:p>
    <w:p w:rsidR="001C7BF9" w:rsidRPr="00C9680B" w:rsidRDefault="001C7BF9">
      <w:pPr>
        <w:spacing w:before="312"/>
      </w:pPr>
      <w:r w:rsidRPr="00C9680B">
        <w:rPr>
          <w:i/>
        </w:rPr>
        <w:t>Centerpartiet</w:t>
      </w:r>
      <w:r w:rsidRPr="00C9680B">
        <w:t xml:space="preserve"> framhåller i </w:t>
      </w:r>
      <w:r w:rsidRPr="00C9680B">
        <w:rPr>
          <w:i/>
        </w:rPr>
        <w:t>motion Fi210</w:t>
      </w:r>
      <w:r w:rsidRPr="00C9680B">
        <w:t xml:space="preserve"> att partiets budgetalternativ utformats för att skapa rättvisa och lika möjligheter för människor i hela landet i en tid präglad av snabb teknisk utveckling, ökad globalisering samt individuell strävan efter självförverkligande. Människor skall ges ökat inflytande och möjlighet att själva bestämma hur de skall forma sina liv för att skapa tryg</w:t>
      </w:r>
      <w:r w:rsidRPr="00C9680B">
        <w:t>g</w:t>
      </w:r>
      <w:r w:rsidRPr="00C9680B">
        <w:t>het och livskval</w:t>
      </w:r>
      <w:r w:rsidRPr="00C9680B">
        <w:t>i</w:t>
      </w:r>
      <w:r w:rsidRPr="00C9680B">
        <w:t>tet.</w:t>
      </w:r>
    </w:p>
    <w:p w:rsidR="001C7BF9" w:rsidRPr="00C9680B" w:rsidRDefault="001C7BF9">
      <w:pPr>
        <w:pStyle w:val="Normaltindrag"/>
        <w:rPr>
          <w:snapToGrid w:val="0"/>
        </w:rPr>
      </w:pPr>
      <w:r w:rsidRPr="00C9680B">
        <w:rPr>
          <w:snapToGrid w:val="0"/>
        </w:rPr>
        <w:t>Centerpartiet vill i ett längre tidsperspektiv sänka skattetryck och u</w:t>
      </w:r>
      <w:r w:rsidRPr="00C9680B">
        <w:rPr>
          <w:snapToGrid w:val="0"/>
        </w:rPr>
        <w:t>t</w:t>
      </w:r>
      <w:r w:rsidRPr="00C9680B">
        <w:rPr>
          <w:snapToGrid w:val="0"/>
        </w:rPr>
        <w:t>giftskvot till de nivåer som gäller för jämförbara OECD-länder. I rådande konjunkturläge, med snabbt stigande BNP, är det möjligt att ta ett steg i denna riktning och ändå låta statens utgifter vara realt oförändrade.</w:t>
      </w:r>
    </w:p>
    <w:p w:rsidR="001C7BF9" w:rsidRPr="00C9680B" w:rsidRDefault="001C7BF9">
      <w:pPr>
        <w:pStyle w:val="Normaltindrag"/>
        <w:rPr>
          <w:snapToGrid w:val="0"/>
        </w:rPr>
      </w:pPr>
      <w:r w:rsidRPr="00C9680B">
        <w:rPr>
          <w:snapToGrid w:val="0"/>
        </w:rPr>
        <w:t>Sett utifrån detta perspektiv föreslås i motionen skattesänkningar avsedda att stimulera till arbete och minskat bidragsberoende. Centerpartiet prioriterar sänkt inkomstskatt för låg- och medelinkomsttagare samt sänkt skatt på för</w:t>
      </w:r>
      <w:r w:rsidRPr="00C9680B">
        <w:rPr>
          <w:snapToGrid w:val="0"/>
        </w:rPr>
        <w:t>e</w:t>
      </w:r>
      <w:r w:rsidRPr="00C9680B">
        <w:rPr>
          <w:snapToGrid w:val="0"/>
        </w:rPr>
        <w:t>tagande och boende. Totalt sänker partiet skatterna med drygt 10 miljarder kronor mer än regeringen 2001 och finansierar detta  genom att göra motsv</w:t>
      </w:r>
      <w:r w:rsidRPr="00C9680B">
        <w:rPr>
          <w:snapToGrid w:val="0"/>
        </w:rPr>
        <w:t>a</w:t>
      </w:r>
      <w:r w:rsidRPr="00C9680B">
        <w:rPr>
          <w:snapToGrid w:val="0"/>
        </w:rPr>
        <w:t>rande besparingar i st</w:t>
      </w:r>
      <w:r w:rsidRPr="00C9680B">
        <w:rPr>
          <w:snapToGrid w:val="0"/>
        </w:rPr>
        <w:t>a</w:t>
      </w:r>
      <w:r w:rsidRPr="00C9680B">
        <w:rPr>
          <w:snapToGrid w:val="0"/>
        </w:rPr>
        <w:t>tens utgifter.</w:t>
      </w:r>
    </w:p>
    <w:p w:rsidR="001C7BF9" w:rsidRPr="00C9680B" w:rsidRDefault="001C7BF9">
      <w:pPr>
        <w:pStyle w:val="Normaltindrag"/>
        <w:rPr>
          <w:snapToGrid w:val="0"/>
        </w:rPr>
      </w:pPr>
      <w:r w:rsidRPr="00C9680B">
        <w:rPr>
          <w:snapToGrid w:val="0"/>
        </w:rPr>
        <w:t>Under de tre närmaste åren vill man stegvis genomföra en inkomstskatter</w:t>
      </w:r>
      <w:r w:rsidRPr="00C9680B">
        <w:rPr>
          <w:snapToGrid w:val="0"/>
        </w:rPr>
        <w:t>e</w:t>
      </w:r>
      <w:r w:rsidRPr="00C9680B">
        <w:rPr>
          <w:snapToGrid w:val="0"/>
        </w:rPr>
        <w:t xml:space="preserve">form med ambitionen att få till stånd ett enkelt och överskådligt skattesystem som sänker skatten och minskar marginaleffekterna för framför allt låg- och medelinkomsttagare. </w:t>
      </w:r>
    </w:p>
    <w:p w:rsidR="001C7BF9" w:rsidRPr="00C9680B" w:rsidRDefault="001C7BF9">
      <w:pPr>
        <w:pStyle w:val="Normaltindrag"/>
        <w:rPr>
          <w:snapToGrid w:val="0"/>
        </w:rPr>
      </w:pPr>
      <w:r w:rsidRPr="00C9680B">
        <w:rPr>
          <w:snapToGrid w:val="0"/>
        </w:rPr>
        <w:t>I ett första steg höjs grundavdraget till 15 000 kr 2001. Grunda</w:t>
      </w:r>
      <w:r w:rsidRPr="00C9680B">
        <w:rPr>
          <w:snapToGrid w:val="0"/>
        </w:rPr>
        <w:t>v</w:t>
      </w:r>
      <w:r w:rsidRPr="00C9680B">
        <w:rPr>
          <w:snapToGrid w:val="0"/>
        </w:rPr>
        <w:t>drags</w:t>
      </w:r>
      <w:r w:rsidRPr="00C9680B">
        <w:rPr>
          <w:snapToGrid w:val="0"/>
        </w:rPr>
        <w:softHyphen/>
        <w:t>höjningen, som omfattar alla skattskyldiga, kombineras med en skatteredu</w:t>
      </w:r>
      <w:r w:rsidRPr="00C9680B">
        <w:rPr>
          <w:snapToGrid w:val="0"/>
        </w:rPr>
        <w:t>k</w:t>
      </w:r>
      <w:r w:rsidRPr="00C9680B">
        <w:rPr>
          <w:snapToGrid w:val="0"/>
        </w:rPr>
        <w:t xml:space="preserve">tion för låginkomsttagare som första året uppgår till 5 400 kr och som endast gäller arbetsinkomster. </w:t>
      </w:r>
    </w:p>
    <w:p w:rsidR="001C7BF9" w:rsidRPr="00C9680B" w:rsidRDefault="001C7BF9">
      <w:pPr>
        <w:pStyle w:val="Normaltindrag"/>
        <w:rPr>
          <w:snapToGrid w:val="0"/>
        </w:rPr>
      </w:pPr>
      <w:r w:rsidRPr="00C9680B">
        <w:rPr>
          <w:snapToGrid w:val="0"/>
        </w:rPr>
        <w:t>I ett andra steg 2002 höjs grundavdraget till 20 000 kr och den riktade skattereduktionen till 9 600 kr.</w:t>
      </w:r>
    </w:p>
    <w:p w:rsidR="001C7BF9" w:rsidRPr="00C9680B" w:rsidRDefault="001C7BF9">
      <w:pPr>
        <w:pStyle w:val="Normaltindrag"/>
      </w:pPr>
      <w:r w:rsidRPr="00C9680B">
        <w:rPr>
          <w:snapToGrid w:val="0"/>
        </w:rPr>
        <w:t>I ett tredje steg 2003 ersätts grundavdraget av en rak skattereduktion på 10 000 kr som kommer alla till del, oavsett om inkomsten kommer från lön, företagsinkomst, a-kassa, sjukpenning eller pension. Den riktade skatteredu</w:t>
      </w:r>
      <w:r w:rsidRPr="00C9680B">
        <w:rPr>
          <w:snapToGrid w:val="0"/>
        </w:rPr>
        <w:t>k</w:t>
      </w:r>
      <w:r w:rsidRPr="00C9680B">
        <w:rPr>
          <w:snapToGrid w:val="0"/>
        </w:rPr>
        <w:t>tionen behålls på oförändrad nivå.</w:t>
      </w:r>
    </w:p>
    <w:p w:rsidR="001C7BF9" w:rsidRPr="00C9680B" w:rsidRDefault="001C7BF9">
      <w:pPr>
        <w:pStyle w:val="Normaltindrag"/>
        <w:rPr>
          <w:snapToGrid w:val="0"/>
        </w:rPr>
      </w:pPr>
      <w:r w:rsidRPr="00C9680B">
        <w:rPr>
          <w:snapToGrid w:val="0"/>
        </w:rPr>
        <w:t>Regeringens förslag att höja reseavdraget från 15 till 16 kr per mil finner motionärerna vara otillräckligt och föreslår för egen del en höjning till 20 kr per mil. Dessutom anser de att även resor till och från barnomsorg skall få inkluderas i avdraget.</w:t>
      </w:r>
    </w:p>
    <w:p w:rsidR="001C7BF9" w:rsidRPr="00C9680B" w:rsidRDefault="001C7BF9">
      <w:pPr>
        <w:pStyle w:val="Normaltindrag"/>
        <w:rPr>
          <w:snapToGrid w:val="0"/>
        </w:rPr>
      </w:pPr>
      <w:r w:rsidRPr="00C9680B">
        <w:t xml:space="preserve">Gemensamt med de övriga borgerliga partierna </w:t>
      </w:r>
      <w:r w:rsidRPr="00C9680B">
        <w:rPr>
          <w:snapToGrid w:val="0"/>
        </w:rPr>
        <w:t>föreslår Centerpartiet oc</w:t>
      </w:r>
      <w:r w:rsidRPr="00C9680B">
        <w:rPr>
          <w:snapToGrid w:val="0"/>
        </w:rPr>
        <w:t>k</w:t>
      </w:r>
      <w:r w:rsidRPr="00C9680B">
        <w:rPr>
          <w:snapToGrid w:val="0"/>
        </w:rPr>
        <w:t>så att avdragsrätt skall införas för styrkta barnomsorgskostnader. Denna a</w:t>
      </w:r>
      <w:r w:rsidRPr="00C9680B">
        <w:rPr>
          <w:snapToGrid w:val="0"/>
        </w:rPr>
        <w:t>v</w:t>
      </w:r>
      <w:r w:rsidRPr="00C9680B">
        <w:rPr>
          <w:snapToGrid w:val="0"/>
        </w:rPr>
        <w:t>drag</w:t>
      </w:r>
      <w:r w:rsidRPr="00C9680B">
        <w:rPr>
          <w:snapToGrid w:val="0"/>
        </w:rPr>
        <w:t>s</w:t>
      </w:r>
      <w:r w:rsidRPr="00C9680B">
        <w:rPr>
          <w:snapToGrid w:val="0"/>
        </w:rPr>
        <w:t>rätt skall uppgå till 50 000 kr per barn och år och införas från 2002.</w:t>
      </w:r>
    </w:p>
    <w:p w:rsidR="001C7BF9" w:rsidRPr="00C9680B" w:rsidRDefault="001C7BF9">
      <w:pPr>
        <w:pStyle w:val="Normaltindrag"/>
        <w:rPr>
          <w:snapToGrid w:val="0"/>
        </w:rPr>
      </w:pPr>
      <w:r w:rsidRPr="00C9680B">
        <w:rPr>
          <w:snapToGrid w:val="0"/>
        </w:rPr>
        <w:t>Gemensamt föreslår de fyra borgerliga partierna även att man skall införa en skattereduktion motsvarande 50 % av arbetskostnaden för ROT-arbeten och hushållstjänster. Som mest skall denna skattereduktion kunna uppgå till 25 000 kr per hushåll och år.</w:t>
      </w:r>
    </w:p>
    <w:p w:rsidR="001C7BF9" w:rsidRPr="00C9680B" w:rsidRDefault="001C7BF9">
      <w:pPr>
        <w:pStyle w:val="Normaltindrag"/>
        <w:rPr>
          <w:snapToGrid w:val="0"/>
        </w:rPr>
      </w:pPr>
      <w:r w:rsidRPr="00C9680B">
        <w:rPr>
          <w:snapToGrid w:val="0"/>
        </w:rPr>
        <w:t>Centerpartiet motsätter sig regeringens förslag till omläggning av fasti</w:t>
      </w:r>
      <w:r w:rsidRPr="00C9680B">
        <w:rPr>
          <w:snapToGrid w:val="0"/>
        </w:rPr>
        <w:t>g</w:t>
      </w:r>
      <w:r w:rsidRPr="00C9680B">
        <w:rPr>
          <w:snapToGrid w:val="0"/>
        </w:rPr>
        <w:t>hetsbeskattningen, inklusive den föreslagna begränsningsregeln och  förslaget om höjd reavinstskatt vid försäljning av bostäder. I stället föreslås i motionen att nuvarande frysning av taxeringsvärdena för småhus och bostadshyreshus förlängs samt att skattesatserna sänks till 1,2 % för småhus och till 1,1 % för bostadsh</w:t>
      </w:r>
      <w:r w:rsidRPr="00C9680B">
        <w:rPr>
          <w:snapToGrid w:val="0"/>
        </w:rPr>
        <w:t>y</w:t>
      </w:r>
      <w:r w:rsidRPr="00C9680B">
        <w:rPr>
          <w:snapToGrid w:val="0"/>
        </w:rPr>
        <w:t>reshus.</w:t>
      </w:r>
    </w:p>
    <w:p w:rsidR="001C7BF9" w:rsidRPr="00C9680B" w:rsidRDefault="001C7BF9">
      <w:pPr>
        <w:pStyle w:val="Normaltindrag"/>
        <w:rPr>
          <w:snapToGrid w:val="0"/>
        </w:rPr>
      </w:pPr>
      <w:r w:rsidRPr="00C9680B">
        <w:rPr>
          <w:snapToGrid w:val="0"/>
        </w:rPr>
        <w:t>Förmögenhetsskatten bör successivt fasas ut och ett första steg i denna riktning skall tas nästa år då sambeskattningen föreslås bli avvecklad.</w:t>
      </w:r>
    </w:p>
    <w:p w:rsidR="001C7BF9" w:rsidRPr="00C9680B" w:rsidRDefault="001C7BF9">
      <w:pPr>
        <w:pStyle w:val="Normaltindrag"/>
        <w:rPr>
          <w:snapToGrid w:val="0"/>
          <w:color w:val="000000"/>
        </w:rPr>
      </w:pPr>
      <w:r w:rsidRPr="00C9680B">
        <w:t>I motionen föreslås också att nedsättningen av arbetsgivaravgifter skall fördubblas. Enligt nuvarande regler får arbetsgivare vid beräkning av arbet</w:t>
      </w:r>
      <w:r w:rsidRPr="00C9680B">
        <w:t>s</w:t>
      </w:r>
      <w:r w:rsidRPr="00C9680B">
        <w:t>givaravgifter göra avdrag från arbetsgivaravgifterna med ett belopp motsv</w:t>
      </w:r>
      <w:r w:rsidRPr="00C9680B">
        <w:t>a</w:t>
      </w:r>
      <w:r w:rsidRPr="00C9680B">
        <w:t>rande 5 % av avgiftsunderlaget upp till en årlig lönesumma på 852 000 kr, dvs. med högst 42 600 kr. Centerpartiet anser att nedsättningen skall fö</w:t>
      </w:r>
      <w:r w:rsidRPr="00C9680B">
        <w:t>r</w:t>
      </w:r>
      <w:r w:rsidRPr="00C9680B">
        <w:t>dubblas och att den skall motsvara 10 % av samma avgiftsunderlag. Samma n</w:t>
      </w:r>
      <w:r w:rsidRPr="00C9680B">
        <w:rPr>
          <w:snapToGrid w:val="0"/>
          <w:color w:val="000000"/>
        </w:rPr>
        <w:t>edsättning skall även egenföretagare få göra upp till en lönesumma på 180 000 kr.</w:t>
      </w:r>
    </w:p>
    <w:p w:rsidR="001C7BF9" w:rsidRPr="00C9680B" w:rsidRDefault="001C7BF9">
      <w:pPr>
        <w:pStyle w:val="Normaltindrag"/>
      </w:pPr>
      <w:r w:rsidRPr="00C9680B">
        <w:t>Regeringens förslag att höja dieselskatten avvisas av motionärerna liksom den föreslagna höjningen av koldioxidskatten i den del den tr</w:t>
      </w:r>
      <w:r w:rsidRPr="00C9680B">
        <w:t>äffar hushållen. Industrins möjligheter att få koldioxidskatten nedsatt bör i stället begränsas. Vidare bör en miljöskatt åter tas ut på inrike</w:t>
      </w:r>
      <w:r w:rsidRPr="00C9680B">
        <w:t>s</w:t>
      </w:r>
      <w:r w:rsidRPr="00C9680B">
        <w:t>flyg.</w:t>
      </w:r>
    </w:p>
    <w:p w:rsidR="001C7BF9" w:rsidRPr="00C9680B" w:rsidRDefault="001C7BF9">
      <w:pPr>
        <w:pStyle w:val="Normaltindrag"/>
      </w:pPr>
      <w:r w:rsidRPr="00C9680B">
        <w:t>Svenskt jordbruk bör enligt motionärerna ges samma konkurrensvillkor som gäller i vår omvärld, och de föreslår därför att de särskilda skatter som belastar jordbruket skall lyftas av.</w:t>
      </w:r>
    </w:p>
    <w:p w:rsidR="001C7BF9" w:rsidRPr="00C9680B" w:rsidRDefault="001C7BF9">
      <w:pPr>
        <w:pStyle w:val="Normaltindrag"/>
      </w:pPr>
      <w:r w:rsidRPr="00C9680B">
        <w:t>Flera av Centerpartiets budgetförslag får indirekt genomslag på komm</w:t>
      </w:r>
      <w:r w:rsidRPr="00C9680B">
        <w:t>u</w:t>
      </w:r>
      <w:r w:rsidRPr="00C9680B">
        <w:t>nernas finanser vilket förutsätts bli reglerat i enlighet med finansieringspri</w:t>
      </w:r>
      <w:r w:rsidRPr="00C9680B">
        <w:t>n</w:t>
      </w:r>
      <w:r w:rsidRPr="00C9680B">
        <w:t xml:space="preserve">cipen. Till en del görs detta över det generella statsbidraget till kommunerna, vars nivå också påverkas av att Centerpartiet vill öka stödet till skolan under de tre närmaste åren med 1, 2 respektive 3 miljarder kronor. Merparten av de föreslagna regleringarna avser emellertid kommunernas skatteinkomster och motionärerna föreslår därför att dessa avräknas direkt mot inkomsttitel </w:t>
      </w:r>
      <w:r w:rsidRPr="00C9680B">
        <w:rPr>
          <w:i/>
        </w:rPr>
        <w:t>1111 Fysiska personers inkomstskatt</w:t>
      </w:r>
      <w:r w:rsidRPr="00C9680B">
        <w:t xml:space="preserve"> på statsbudge</w:t>
      </w:r>
      <w:r w:rsidRPr="00C9680B">
        <w:t>tens inkomstsida.</w:t>
      </w:r>
    </w:p>
    <w:p w:rsidR="001C7BF9" w:rsidRPr="00C9680B" w:rsidRDefault="001C7BF9">
      <w:pPr>
        <w:pStyle w:val="Normaltindrag"/>
      </w:pPr>
      <w:r w:rsidRPr="00C9680B">
        <w:t>På familjepolitikens område föreslår Centerpartiet att man skall införa ett system med barnkonton i stället för den av regeringen föreslagna maxtaxer</w:t>
      </w:r>
      <w:r w:rsidRPr="00C9680B">
        <w:t>e</w:t>
      </w:r>
      <w:r w:rsidRPr="00C9680B">
        <w:t>formen. Partiet vill dessutom höja garantinivån i föräldrapenningen från 60 till 200 kr.</w:t>
      </w:r>
    </w:p>
    <w:p w:rsidR="001C7BF9" w:rsidRPr="00C9680B" w:rsidRDefault="001C7BF9">
      <w:pPr>
        <w:pStyle w:val="Normaltindrag"/>
      </w:pPr>
      <w:r w:rsidRPr="00C9680B">
        <w:t>På arbetsmarknadspolitikens område föreslås att en generell utbildningsg</w:t>
      </w:r>
      <w:r w:rsidRPr="00C9680B">
        <w:t>a</w:t>
      </w:r>
      <w:r w:rsidRPr="00C9680B">
        <w:t>ranti införs. Garantin skall säkerställa att de som tidigare inte fått någon u</w:t>
      </w:r>
      <w:r w:rsidRPr="00C9680B">
        <w:t>t</w:t>
      </w:r>
      <w:r w:rsidRPr="00C9680B">
        <w:t>bildning upp till gymnasienivå ges möjlighet till detta. Partiet vill också fasa ut volymåtgärder från den arbetsmarknadspolitiska arsenalen för att i stället satsa på kvalificerade åtgärder som banar väg för ett återinträde på arbet</w:t>
      </w:r>
      <w:r w:rsidRPr="00C9680B">
        <w:t>s</w:t>
      </w:r>
      <w:r w:rsidRPr="00C9680B">
        <w:t>marknaden. Dessutom vill man inrätta övergångsarbetsmarknader för männ</w:t>
      </w:r>
      <w:r w:rsidRPr="00C9680B">
        <w:t>i</w:t>
      </w:r>
      <w:r w:rsidRPr="00C9680B">
        <w:t>skor som har svårt att komma in på den reguljära arbetsmarknaden. På öve</w:t>
      </w:r>
      <w:r w:rsidRPr="00C9680B">
        <w:t>r</w:t>
      </w:r>
      <w:r w:rsidRPr="00C9680B">
        <w:t>gångsarbetsmarknaderna skall arbetskraften vara billig</w:t>
      </w:r>
      <w:r w:rsidRPr="00C9680B">
        <w:t>are genom att arbetsg</w:t>
      </w:r>
      <w:r w:rsidRPr="00C9680B">
        <w:t>i</w:t>
      </w:r>
      <w:r w:rsidRPr="00C9680B">
        <w:t>va</w:t>
      </w:r>
      <w:r w:rsidRPr="00C9680B">
        <w:t>r</w:t>
      </w:r>
      <w:r w:rsidRPr="00C9680B">
        <w:t>avgifterna sätts ned.</w:t>
      </w:r>
    </w:p>
    <w:p w:rsidR="001C7BF9" w:rsidRPr="00C9680B" w:rsidRDefault="001C7BF9">
      <w:pPr>
        <w:pStyle w:val="Normaltindrag"/>
      </w:pPr>
      <w:r w:rsidRPr="00C9680B">
        <w:t>Ett system med individuella kompetenskonton skall göra det möjligt för den som så önskar att själv eller tillsammans med sin arbetsgivare spara till sin kompetensutveckling under skattemässigt gyn</w:t>
      </w:r>
      <w:r w:rsidRPr="00C9680B">
        <w:t>n</w:t>
      </w:r>
      <w:r w:rsidRPr="00C9680B">
        <w:t>samma villkor.</w:t>
      </w:r>
    </w:p>
    <w:p w:rsidR="001C7BF9" w:rsidRPr="00C9680B" w:rsidRDefault="001C7BF9">
      <w:pPr>
        <w:pStyle w:val="Normaltindrag"/>
      </w:pPr>
      <w:r w:rsidRPr="00C9680B">
        <w:t>Centerpartiet föreslår att olika typer av försörjningsstöd skall samordnas, vilket i partiets budgetalternativ bl.a. kommer till uttryck i en betydande o</w:t>
      </w:r>
      <w:r w:rsidRPr="00C9680B">
        <w:t>m</w:t>
      </w:r>
      <w:r w:rsidRPr="00C9680B">
        <w:t>fördelning av medel från utgiftsområdena 13 Arbetsmarknad och 15 Stud</w:t>
      </w:r>
      <w:r w:rsidRPr="00C9680B">
        <w:t>i</w:t>
      </w:r>
      <w:r w:rsidRPr="00C9680B">
        <w:t>estöd till utgiftsområde 14 Arbetsmarknad och arbetsliv.</w:t>
      </w:r>
    </w:p>
    <w:p w:rsidR="001C7BF9" w:rsidRPr="00C9680B" w:rsidRDefault="001C7BF9">
      <w:pPr>
        <w:pStyle w:val="Normaltindrag"/>
      </w:pPr>
      <w:r w:rsidRPr="00C9680B">
        <w:t>Skolan föreslås under de närmaste tre åren få ett resurstillskott på 1, 2 r</w:t>
      </w:r>
      <w:r w:rsidRPr="00C9680B">
        <w:t>e</w:t>
      </w:r>
      <w:r w:rsidRPr="00C9680B">
        <w:t>spektive 3 miljarder kronor, medel som motionärerna förutsätter skall tillföras kommunerna direkt. En särskild satsning skall göras på matematik, läs- och skrivutveckling. Studiemedelssystemet skall reformeras så att det utgår med lika delar lån och bidrag samt att fribeloppet höjs till två basbelopp.</w:t>
      </w:r>
    </w:p>
    <w:p w:rsidR="001C7BF9" w:rsidRPr="00C9680B" w:rsidRDefault="001C7BF9">
      <w:pPr>
        <w:pStyle w:val="Normaltindrag"/>
      </w:pPr>
      <w:r w:rsidRPr="00C9680B">
        <w:t>I motionen föreslås en förstärkning av resurserna till polis och krimina</w:t>
      </w:r>
      <w:r w:rsidRPr="00C9680B">
        <w:t>l</w:t>
      </w:r>
      <w:r w:rsidRPr="00C9680B">
        <w:t>vård samt till internationellt bistånd. Motionärerna vill också öka satsningen på reh</w:t>
      </w:r>
      <w:r w:rsidRPr="00C9680B">
        <w:t>a</w:t>
      </w:r>
      <w:r w:rsidRPr="00C9680B">
        <w:t xml:space="preserve">bilitering och föreslår i detta syfte en ny vård- och hjälpmedelsgaranti. </w:t>
      </w:r>
    </w:p>
    <w:p w:rsidR="001C7BF9" w:rsidRPr="00C9680B" w:rsidRDefault="001C7BF9">
      <w:pPr>
        <w:pStyle w:val="Normaltindrag"/>
      </w:pPr>
      <w:r w:rsidRPr="00C9680B">
        <w:t>Som ett alternativ till den av regeringen föreslagna höjningen av b</w:t>
      </w:r>
      <w:r w:rsidRPr="00C9680B">
        <w:t>o</w:t>
      </w:r>
      <w:r w:rsidRPr="00C9680B">
        <w:t>stadstillägget till pensionärer föreslås att pensionärer med låg eller ingen ATP nästa år får en höjning av pensionstillskottet med 3 000 kr per år.</w:t>
      </w:r>
    </w:p>
    <w:p w:rsidR="001C7BF9" w:rsidRPr="00C9680B" w:rsidRDefault="001C7BF9">
      <w:pPr>
        <w:pStyle w:val="Normaltindrag"/>
      </w:pPr>
      <w:r w:rsidRPr="00C9680B">
        <w:t>Centerpartiet anser att staten inte bör äga aktier i börsnoterade företag. I motionen förespråkas att statliga företag säljs ut i en omfattning som överst</w:t>
      </w:r>
      <w:r w:rsidRPr="00C9680B">
        <w:t>i</w:t>
      </w:r>
      <w:r w:rsidRPr="00C9680B">
        <w:t>ger regeringens med 50 miljarder kronor under vart och ett av de efterföljande åren. Bland annat vill motionärerna avyttra Telia, MeritaNordbanken, Assi Domän och Apoteksbolaget.</w:t>
      </w:r>
    </w:p>
    <w:p w:rsidR="001C7BF9" w:rsidRPr="00C9680B" w:rsidRDefault="001C7BF9">
      <w:pPr>
        <w:pStyle w:val="Normaltindrag"/>
      </w:pPr>
      <w:r w:rsidRPr="00C9680B">
        <w:t>De i motionen föreslagna skattesänkningarna och nya utgiftsåtagandena förutsätts bli finansierade genom besparingar i Arbetsmarknadsstyrelsens administration samt arbetsmarknadspolitiska åtgärder liksom i förvaltningsa</w:t>
      </w:r>
      <w:r w:rsidRPr="00C9680B">
        <w:t>n</w:t>
      </w:r>
      <w:r w:rsidRPr="00C9680B">
        <w:t>slagen till Regeringskansliet och en rad myndigheter på utgiftsområde 2 Sa</w:t>
      </w:r>
      <w:r w:rsidRPr="00C9680B">
        <w:t>m</w:t>
      </w:r>
      <w:r w:rsidRPr="00C9680B">
        <w:t>hällsekonomi och finansförvaltning. Centerpartiet motsätter sig också att medel anvisas till lokala investeringsprogram. Likaså väntas partiets satsning på rehabilitering bidra till finansieringen genom minskad belastning på utgi</w:t>
      </w:r>
      <w:r w:rsidRPr="00C9680B">
        <w:t>f</w:t>
      </w:r>
      <w:r w:rsidRPr="00C9680B">
        <w:t>terna för sjukpenning. Dessa utgifter liksom utgifterna för föräldraförsäkrin</w:t>
      </w:r>
      <w:r w:rsidRPr="00C9680B">
        <w:t>g</w:t>
      </w:r>
      <w:r w:rsidRPr="00C9680B">
        <w:t>en kommer också att minska till följd av ett förslag att den sjukpenninggru</w:t>
      </w:r>
      <w:r w:rsidRPr="00C9680B">
        <w:t>n</w:t>
      </w:r>
      <w:r w:rsidRPr="00C9680B">
        <w:t>dande inkomsten (SGI) skall beräknas på de försäkrad</w:t>
      </w:r>
      <w:r w:rsidRPr="00C9680B">
        <w:t>es historiska inkomst. De föreslagna skattesänkningarna samt höjningen av garantinivå i föräldrafö</w:t>
      </w:r>
      <w:r w:rsidRPr="00C9680B">
        <w:t>r</w:t>
      </w:r>
      <w:r w:rsidRPr="00C9680B">
        <w:t>säkringen höjer barnfamiljernas inkomster vilket väntas minska behovet av bostadstillägg.</w:t>
      </w:r>
    </w:p>
    <w:p w:rsidR="001C7BF9" w:rsidRPr="00C9680B" w:rsidRDefault="001C7BF9">
      <w:pPr>
        <w:pStyle w:val="Normaltindrag"/>
      </w:pPr>
      <w:r w:rsidRPr="00C9680B">
        <w:t>Centerpartiets budgetalternativ kan med ledning av de uppgifter som red</w:t>
      </w:r>
      <w:r w:rsidRPr="00C9680B">
        <w:t>o</w:t>
      </w:r>
      <w:r w:rsidRPr="00C9680B">
        <w:t>v</w:t>
      </w:r>
      <w:r w:rsidRPr="00C9680B">
        <w:t>i</w:t>
      </w:r>
      <w:r w:rsidRPr="00C9680B">
        <w:t>sas i motionen väntas få följande finansiell effekt på den offentliga sektorn.</w:t>
      </w:r>
    </w:p>
    <w:p w:rsidR="001C7BF9" w:rsidRPr="00C9680B" w:rsidRDefault="001C7BF9">
      <w:pPr>
        <w:pStyle w:val="TabellrubrikPer"/>
        <w:keepNext/>
        <w:keepLines/>
        <w:spacing w:line="190" w:lineRule="exact"/>
        <w:ind w:left="964" w:hanging="964"/>
        <w:outlineLvl w:val="0"/>
        <w:rPr>
          <w:b/>
          <w:caps w:val="0"/>
          <w:spacing w:val="0"/>
          <w:sz w:val="16"/>
        </w:rPr>
      </w:pPr>
      <w:r w:rsidRPr="00C9680B">
        <w:rPr>
          <w:b/>
          <w:caps w:val="0"/>
          <w:spacing w:val="0"/>
          <w:sz w:val="16"/>
        </w:rPr>
        <w:t>Tabell 20. Finansiella effekter av Centerpartiets budgetförslag 2001–2003</w:t>
      </w:r>
    </w:p>
    <w:p w:rsidR="001C7BF9" w:rsidRPr="00C9680B" w:rsidRDefault="001C7BF9">
      <w:pPr>
        <w:pStyle w:val="Tabell"/>
        <w:keepNext/>
        <w:keepLines/>
        <w:spacing w:line="190" w:lineRule="exact"/>
        <w:outlineLvl w:val="0"/>
        <w:rPr>
          <w:sz w:val="14"/>
        </w:rPr>
      </w:pPr>
      <w:r w:rsidRPr="00C9680B">
        <w:rPr>
          <w:sz w:val="14"/>
        </w:rPr>
        <w:t>Offentliga sektorns finansiella sparande</w:t>
      </w:r>
    </w:p>
    <w:p w:rsidR="001C7BF9" w:rsidRPr="00C9680B" w:rsidRDefault="001C7BF9">
      <w:pPr>
        <w:pStyle w:val="Tabell"/>
        <w:keepNext/>
        <w:keepLines/>
        <w:spacing w:after="40" w:line="190" w:lineRule="exact"/>
        <w:rPr>
          <w:sz w:val="14"/>
        </w:rPr>
      </w:pPr>
      <w:r w:rsidRPr="00C9680B">
        <w:rPr>
          <w:sz w:val="14"/>
        </w:rPr>
        <w:t>Belopp i miljarder kronor</w:t>
      </w:r>
    </w:p>
    <w:tbl>
      <w:tblPr>
        <w:tblW w:w="0" w:type="auto"/>
        <w:tblLayout w:type="fixed"/>
        <w:tblCellMar>
          <w:left w:w="0" w:type="dxa"/>
          <w:right w:w="0" w:type="dxa"/>
        </w:tblCellMar>
        <w:tblLook w:val="0000" w:firstRow="0" w:lastRow="0" w:firstColumn="0" w:lastColumn="0" w:noHBand="0" w:noVBand="0"/>
      </w:tblPr>
      <w:tblGrid>
        <w:gridCol w:w="4536"/>
        <w:gridCol w:w="567"/>
        <w:gridCol w:w="567"/>
        <w:gridCol w:w="567"/>
      </w:tblGrid>
      <w:tr w:rsidR="00000000" w:rsidRPr="00C9680B">
        <w:tblPrEx>
          <w:tblCellMar>
            <w:top w:w="0" w:type="dxa"/>
            <w:left w:w="0" w:type="dxa"/>
            <w:bottom w:w="0" w:type="dxa"/>
            <w:right w:w="0" w:type="dxa"/>
          </w:tblCellMar>
        </w:tblPrEx>
        <w:trPr>
          <w:trHeight w:hRule="exact" w:val="220"/>
        </w:trPr>
        <w:tc>
          <w:tcPr>
            <w:tcW w:w="4536" w:type="dxa"/>
            <w:tcBorders>
              <w:top w:val="single" w:sz="6" w:space="0" w:color="auto"/>
              <w:bottom w:val="single" w:sz="6" w:space="0" w:color="auto"/>
            </w:tcBorders>
          </w:tcPr>
          <w:p w:rsidR="001C7BF9" w:rsidRPr="00C9680B" w:rsidRDefault="001C7BF9">
            <w:pPr>
              <w:pStyle w:val="Tabell"/>
              <w:keepNext/>
              <w:keepLines/>
              <w:rPr>
                <w:b/>
                <w:sz w:val="16"/>
              </w:rPr>
            </w:pPr>
          </w:p>
        </w:tc>
        <w:tc>
          <w:tcPr>
            <w:tcW w:w="567"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2001</w:t>
            </w:r>
          </w:p>
        </w:tc>
        <w:tc>
          <w:tcPr>
            <w:tcW w:w="567"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2002</w:t>
            </w:r>
          </w:p>
        </w:tc>
        <w:tc>
          <w:tcPr>
            <w:tcW w:w="567"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2003</w:t>
            </w:r>
          </w:p>
        </w:tc>
      </w:tr>
      <w:tr w:rsidR="00000000" w:rsidRPr="00C9680B">
        <w:tblPrEx>
          <w:tblCellMar>
            <w:top w:w="0" w:type="dxa"/>
            <w:left w:w="0" w:type="dxa"/>
            <w:bottom w:w="0" w:type="dxa"/>
            <w:right w:w="0" w:type="dxa"/>
          </w:tblCellMar>
        </w:tblPrEx>
        <w:trPr>
          <w:trHeight w:hRule="exact" w:val="60"/>
        </w:trPr>
        <w:tc>
          <w:tcPr>
            <w:tcW w:w="4536" w:type="dxa"/>
          </w:tcPr>
          <w:p w:rsidR="001C7BF9" w:rsidRPr="00C9680B" w:rsidRDefault="001C7BF9">
            <w:pPr>
              <w:pStyle w:val="Tabell"/>
              <w:keepNext/>
              <w:keepLines/>
              <w:rPr>
                <w:sz w:val="16"/>
              </w:rPr>
            </w:pPr>
          </w:p>
        </w:tc>
        <w:tc>
          <w:tcPr>
            <w:tcW w:w="567" w:type="dxa"/>
          </w:tcPr>
          <w:p w:rsidR="001C7BF9" w:rsidRPr="00C9680B" w:rsidRDefault="001C7BF9">
            <w:pPr>
              <w:pStyle w:val="Tabell"/>
              <w:keepNext/>
              <w:keepLines/>
              <w:rPr>
                <w:sz w:val="16"/>
              </w:rPr>
            </w:pPr>
          </w:p>
        </w:tc>
        <w:tc>
          <w:tcPr>
            <w:tcW w:w="567" w:type="dxa"/>
          </w:tcPr>
          <w:p w:rsidR="001C7BF9" w:rsidRPr="00C9680B" w:rsidRDefault="001C7BF9">
            <w:pPr>
              <w:pStyle w:val="Tabell"/>
              <w:keepNext/>
              <w:keepLines/>
              <w:rPr>
                <w:sz w:val="16"/>
              </w:rPr>
            </w:pPr>
          </w:p>
        </w:tc>
        <w:tc>
          <w:tcPr>
            <w:tcW w:w="567" w:type="dxa"/>
          </w:tcPr>
          <w:p w:rsidR="001C7BF9" w:rsidRPr="00C9680B" w:rsidRDefault="001C7BF9">
            <w:pPr>
              <w:pStyle w:val="Tabell"/>
              <w:keepNext/>
              <w:keepLines/>
              <w:rPr>
                <w:sz w:val="16"/>
              </w:rPr>
            </w:pP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rPr>
                <w:b/>
                <w:sz w:val="16"/>
              </w:rPr>
            </w:pPr>
            <w:r w:rsidRPr="00C9680B">
              <w:rPr>
                <w:b/>
                <w:sz w:val="16"/>
              </w:rPr>
              <w:t>Nivån på finansiellt sparande i offentlig se</w:t>
            </w:r>
            <w:r w:rsidRPr="00C9680B">
              <w:rPr>
                <w:b/>
                <w:sz w:val="16"/>
              </w:rPr>
              <w:t>k</w:t>
            </w:r>
            <w:r w:rsidRPr="00C9680B">
              <w:rPr>
                <w:b/>
                <w:sz w:val="16"/>
              </w:rPr>
              <w:t>tor enl. regeringen</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75,7</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45,4</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47,3</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rPr>
                <w:sz w:val="16"/>
              </w:rPr>
            </w:pPr>
            <w:r w:rsidRPr="00C9680B">
              <w:rPr>
                <w:sz w:val="16"/>
              </w:rPr>
              <w:t>Utgiftsminskningar, netto</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+11,8</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+13,3</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+15,0</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rPr>
                <w:sz w:val="16"/>
              </w:rPr>
            </w:pPr>
            <w:r w:rsidRPr="00C9680B">
              <w:rPr>
                <w:sz w:val="16"/>
              </w:rPr>
              <w:t>Skattesänkningar, netto</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-10,2</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-36,5</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-57,9</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rPr>
                <w:sz w:val="16"/>
              </w:rPr>
            </w:pPr>
            <w:r w:rsidRPr="00C9680B">
              <w:rPr>
                <w:sz w:val="16"/>
              </w:rPr>
              <w:t>Ränteeffekt av större privatiseringar än regeringen</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+0,9</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+3,2</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+4,7</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rPr>
                <w:b/>
                <w:sz w:val="16"/>
              </w:rPr>
            </w:pPr>
            <w:r w:rsidRPr="00C9680B">
              <w:rPr>
                <w:b/>
                <w:sz w:val="16"/>
              </w:rPr>
              <w:t>Samlad effekt på finansiellt sparande enligt (c)</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+2,4</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-20,0</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-38,2</w:t>
            </w: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p w:rsidR="001C7BF9" w:rsidRPr="00C9680B" w:rsidRDefault="001C7BF9">
            <w:pPr>
              <w:pStyle w:val="Tabell"/>
              <w:keepNext/>
              <w:keepLines/>
              <w:spacing w:line="200" w:lineRule="exact"/>
              <w:ind w:right="57"/>
              <w:jc w:val="right"/>
              <w:rPr>
                <w:b/>
                <w:sz w:val="16"/>
              </w:rPr>
            </w:pPr>
          </w:p>
        </w:tc>
      </w:tr>
      <w:tr w:rsidR="00000000" w:rsidRPr="00C9680B">
        <w:tblPrEx>
          <w:tblCellMar>
            <w:top w:w="0" w:type="dxa"/>
            <w:left w:w="0" w:type="dxa"/>
            <w:bottom w:w="0" w:type="dxa"/>
            <w:right w:w="0" w:type="dxa"/>
          </w:tblCellMar>
        </w:tblPrEx>
        <w:tc>
          <w:tcPr>
            <w:tcW w:w="4536" w:type="dxa"/>
          </w:tcPr>
          <w:p w:rsidR="001C7BF9" w:rsidRPr="00C9680B" w:rsidRDefault="001C7BF9">
            <w:pPr>
              <w:pStyle w:val="Tabell"/>
              <w:keepNext/>
              <w:keepLines/>
              <w:rPr>
                <w:sz w:val="16"/>
              </w:rPr>
            </w:pPr>
            <w:r w:rsidRPr="00C9680B">
              <w:rPr>
                <w:sz w:val="16"/>
              </w:rPr>
              <w:t>Utnyttjande av reserv avsatt i BP som beräkningsteknisk överföring till hushållen 2002 och 2003</w:t>
            </w:r>
          </w:p>
        </w:tc>
        <w:tc>
          <w:tcPr>
            <w:tcW w:w="567" w:type="dxa"/>
          </w:tcPr>
          <w:p w:rsidR="001C7BF9" w:rsidRPr="00C9680B" w:rsidRDefault="001C7BF9">
            <w:pPr>
              <w:pStyle w:val="Tabell"/>
              <w:keepNext/>
              <w:keepLines/>
              <w:ind w:right="57"/>
              <w:jc w:val="right"/>
              <w:rPr>
                <w:sz w:val="16"/>
              </w:rPr>
            </w:pPr>
          </w:p>
          <w:p w:rsidR="001C7BF9" w:rsidRPr="00C9680B" w:rsidRDefault="001C7BF9">
            <w:pPr>
              <w:pStyle w:val="Tabell"/>
              <w:keepNext/>
              <w:keepLines/>
              <w:ind w:right="57"/>
              <w:jc w:val="right"/>
              <w:rPr>
                <w:sz w:val="16"/>
              </w:rPr>
            </w:pPr>
            <w:r w:rsidRPr="00C9680B">
              <w:rPr>
                <w:sz w:val="16"/>
              </w:rPr>
              <w:t>–</w:t>
            </w:r>
          </w:p>
        </w:tc>
        <w:tc>
          <w:tcPr>
            <w:tcW w:w="567" w:type="dxa"/>
          </w:tcPr>
          <w:p w:rsidR="001C7BF9" w:rsidRPr="00C9680B" w:rsidRDefault="001C7BF9">
            <w:pPr>
              <w:pStyle w:val="Tabell"/>
              <w:keepNext/>
              <w:keepLines/>
              <w:ind w:right="57"/>
              <w:jc w:val="right"/>
              <w:rPr>
                <w:sz w:val="16"/>
              </w:rPr>
            </w:pPr>
          </w:p>
          <w:p w:rsidR="001C7BF9" w:rsidRPr="00C9680B" w:rsidRDefault="001C7BF9">
            <w:pPr>
              <w:pStyle w:val="Tabell"/>
              <w:keepNext/>
              <w:keepLines/>
              <w:ind w:right="57"/>
              <w:jc w:val="right"/>
              <w:rPr>
                <w:sz w:val="16"/>
              </w:rPr>
            </w:pPr>
            <w:r w:rsidRPr="00C9680B">
              <w:rPr>
                <w:sz w:val="16"/>
              </w:rPr>
              <w:t>+29,5</w:t>
            </w:r>
          </w:p>
        </w:tc>
        <w:tc>
          <w:tcPr>
            <w:tcW w:w="567" w:type="dxa"/>
          </w:tcPr>
          <w:p w:rsidR="001C7BF9" w:rsidRPr="00C9680B" w:rsidRDefault="001C7BF9">
            <w:pPr>
              <w:pStyle w:val="Tabell"/>
              <w:keepNext/>
              <w:keepLines/>
              <w:ind w:right="57"/>
              <w:jc w:val="right"/>
              <w:rPr>
                <w:sz w:val="16"/>
              </w:rPr>
            </w:pPr>
          </w:p>
          <w:p w:rsidR="001C7BF9" w:rsidRPr="00C9680B" w:rsidRDefault="001C7BF9">
            <w:pPr>
              <w:pStyle w:val="Tabell"/>
              <w:keepNext/>
              <w:keepLines/>
              <w:ind w:right="57"/>
              <w:jc w:val="right"/>
              <w:rPr>
                <w:sz w:val="16"/>
              </w:rPr>
            </w:pPr>
            <w:r w:rsidRPr="00C9680B">
              <w:rPr>
                <w:sz w:val="16"/>
              </w:rPr>
              <w:t>+36,8</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rPr>
                <w:b/>
                <w:sz w:val="16"/>
              </w:rPr>
            </w:pPr>
            <w:r w:rsidRPr="00C9680B">
              <w:rPr>
                <w:b/>
                <w:sz w:val="16"/>
              </w:rPr>
              <w:t>Nivån på finansiellt sparande i offentlig se</w:t>
            </w:r>
            <w:r w:rsidRPr="00C9680B">
              <w:rPr>
                <w:b/>
                <w:sz w:val="16"/>
              </w:rPr>
              <w:t>k</w:t>
            </w:r>
            <w:r w:rsidRPr="00C9680B">
              <w:rPr>
                <w:b/>
                <w:sz w:val="16"/>
              </w:rPr>
              <w:t>tor enligt (c)</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78,1</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54,9</w:t>
            </w:r>
          </w:p>
        </w:tc>
        <w:tc>
          <w:tcPr>
            <w:tcW w:w="567" w:type="dxa"/>
          </w:tcPr>
          <w:p w:rsidR="001C7BF9" w:rsidRPr="00C9680B" w:rsidRDefault="001C7BF9">
            <w:pPr>
              <w:pStyle w:val="Tabell"/>
              <w:keepNext/>
              <w:keepLines/>
              <w:spacing w:line="200" w:lineRule="exact"/>
              <w:ind w:right="57"/>
              <w:jc w:val="right"/>
              <w:rPr>
                <w:b/>
                <w:sz w:val="16"/>
              </w:rPr>
            </w:pPr>
            <w:r w:rsidRPr="00C9680B">
              <w:rPr>
                <w:b/>
                <w:sz w:val="16"/>
              </w:rPr>
              <w:t>45,9</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rPr>
                <w:sz w:val="16"/>
              </w:rPr>
            </w:pPr>
            <w:r w:rsidRPr="00C9680B">
              <w:rPr>
                <w:sz w:val="16"/>
              </w:rPr>
              <w:t>Nivå i förhållande till reg. mål om 2,5 resp. 2 % överskott</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+23,5</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+9,5</w:t>
            </w:r>
          </w:p>
        </w:tc>
        <w:tc>
          <w:tcPr>
            <w:tcW w:w="567" w:type="dxa"/>
          </w:tcPr>
          <w:p w:rsidR="001C7BF9" w:rsidRPr="00C9680B" w:rsidRDefault="001C7BF9">
            <w:pPr>
              <w:pStyle w:val="Tabell"/>
              <w:keepNext/>
              <w:keepLines/>
              <w:spacing w:line="200" w:lineRule="exact"/>
              <w:ind w:right="57"/>
              <w:jc w:val="right"/>
              <w:rPr>
                <w:sz w:val="16"/>
              </w:rPr>
            </w:pPr>
            <w:r w:rsidRPr="00C9680B">
              <w:rPr>
                <w:sz w:val="16"/>
              </w:rPr>
              <w:t>-1,4</w:t>
            </w:r>
          </w:p>
        </w:tc>
      </w:tr>
      <w:tr w:rsidR="00000000" w:rsidRPr="00C9680B">
        <w:tblPrEx>
          <w:tblCellMar>
            <w:top w:w="0" w:type="dxa"/>
            <w:left w:w="0" w:type="dxa"/>
            <w:bottom w:w="0" w:type="dxa"/>
            <w:right w:w="0" w:type="dxa"/>
          </w:tblCellMar>
        </w:tblPrEx>
        <w:trPr>
          <w:trHeight w:hRule="exact" w:val="60"/>
        </w:trPr>
        <w:tc>
          <w:tcPr>
            <w:tcW w:w="4536" w:type="dxa"/>
            <w:tcBorders>
              <w:bottom w:val="single" w:sz="6" w:space="0" w:color="auto"/>
            </w:tcBorders>
          </w:tcPr>
          <w:p w:rsidR="001C7BF9" w:rsidRPr="00C9680B" w:rsidRDefault="001C7BF9">
            <w:pPr>
              <w:pStyle w:val="Tabell"/>
              <w:keepNext/>
              <w:keepLines/>
              <w:rPr>
                <w:sz w:val="16"/>
              </w:rPr>
            </w:pPr>
          </w:p>
        </w:tc>
        <w:tc>
          <w:tcPr>
            <w:tcW w:w="567" w:type="dxa"/>
            <w:tcBorders>
              <w:bottom w:val="single" w:sz="6" w:space="0" w:color="auto"/>
            </w:tcBorders>
          </w:tcPr>
          <w:p w:rsidR="001C7BF9" w:rsidRPr="00C9680B" w:rsidRDefault="001C7BF9">
            <w:pPr>
              <w:pStyle w:val="Tabell"/>
              <w:keepNext/>
              <w:keepLines/>
              <w:ind w:right="57"/>
              <w:jc w:val="right"/>
              <w:rPr>
                <w:sz w:val="16"/>
              </w:rPr>
            </w:pPr>
          </w:p>
        </w:tc>
        <w:tc>
          <w:tcPr>
            <w:tcW w:w="567" w:type="dxa"/>
            <w:tcBorders>
              <w:bottom w:val="single" w:sz="6" w:space="0" w:color="auto"/>
            </w:tcBorders>
          </w:tcPr>
          <w:p w:rsidR="001C7BF9" w:rsidRPr="00C9680B" w:rsidRDefault="001C7BF9">
            <w:pPr>
              <w:pStyle w:val="Tabell"/>
              <w:keepNext/>
              <w:keepLines/>
              <w:ind w:right="57"/>
              <w:jc w:val="right"/>
              <w:rPr>
                <w:sz w:val="16"/>
              </w:rPr>
            </w:pPr>
          </w:p>
        </w:tc>
        <w:tc>
          <w:tcPr>
            <w:tcW w:w="567" w:type="dxa"/>
            <w:tcBorders>
              <w:bottom w:val="single" w:sz="6" w:space="0" w:color="auto"/>
            </w:tcBorders>
          </w:tcPr>
          <w:p w:rsidR="001C7BF9" w:rsidRPr="00C9680B" w:rsidRDefault="001C7BF9">
            <w:pPr>
              <w:pStyle w:val="Tabell"/>
              <w:keepNext/>
              <w:keepLines/>
              <w:ind w:right="57"/>
              <w:jc w:val="right"/>
              <w:rPr>
                <w:sz w:val="16"/>
              </w:rPr>
            </w:pPr>
          </w:p>
        </w:tc>
      </w:tr>
    </w:tbl>
    <w:p w:rsidR="001C7BF9" w:rsidRPr="00C9680B" w:rsidRDefault="001C7BF9">
      <w:pPr>
        <w:spacing w:before="312"/>
      </w:pPr>
      <w:r w:rsidRPr="00C9680B">
        <w:t>Nivån på det av motionärerna föreslagna utgiftstaket för staten under de tre närmast efterföljande åren avviker från regeringens förslag på följande sätt.</w:t>
      </w:r>
    </w:p>
    <w:p w:rsidR="001C7BF9" w:rsidRPr="00C9680B" w:rsidRDefault="001C7BF9">
      <w:pPr>
        <w:pStyle w:val="TabellrubrikPer"/>
        <w:keepNext/>
        <w:keepLines/>
        <w:spacing w:line="190" w:lineRule="exact"/>
        <w:outlineLvl w:val="0"/>
        <w:rPr>
          <w:b/>
          <w:caps w:val="0"/>
          <w:spacing w:val="0"/>
          <w:sz w:val="16"/>
        </w:rPr>
      </w:pPr>
      <w:r w:rsidRPr="00C9680B">
        <w:rPr>
          <w:b/>
          <w:caps w:val="0"/>
          <w:spacing w:val="0"/>
          <w:sz w:val="16"/>
        </w:rPr>
        <w:t>Tabell 21. Centerpartiets förslag till utgiftstak för staten 2001–2003</w:t>
      </w:r>
    </w:p>
    <w:p w:rsidR="001C7BF9" w:rsidRPr="00C9680B" w:rsidRDefault="001C7BF9">
      <w:pPr>
        <w:pStyle w:val="Tabell"/>
        <w:keepNext/>
        <w:keepLines/>
        <w:spacing w:after="40" w:line="190" w:lineRule="exact"/>
        <w:outlineLvl w:val="0"/>
        <w:rPr>
          <w:sz w:val="14"/>
        </w:rPr>
      </w:pPr>
      <w:r w:rsidRPr="00C9680B">
        <w:rPr>
          <w:sz w:val="14"/>
        </w:rPr>
        <w:t>Belopp i miljarder kronor</w:t>
      </w:r>
    </w:p>
    <w:tbl>
      <w:tblPr>
        <w:tblW w:w="0" w:type="auto"/>
        <w:tblLayout w:type="fixed"/>
        <w:tblCellMar>
          <w:left w:w="0" w:type="dxa"/>
          <w:right w:w="0" w:type="dxa"/>
        </w:tblCellMar>
        <w:tblLook w:val="0000" w:firstRow="0" w:lastRow="0" w:firstColumn="0" w:lastColumn="0" w:noHBand="0" w:noVBand="0"/>
      </w:tblPr>
      <w:tblGrid>
        <w:gridCol w:w="3969"/>
        <w:gridCol w:w="624"/>
        <w:gridCol w:w="624"/>
        <w:gridCol w:w="624"/>
      </w:tblGrid>
      <w:tr w:rsidR="00000000" w:rsidRPr="00C9680B">
        <w:tblPrEx>
          <w:tblCellMar>
            <w:top w:w="0" w:type="dxa"/>
            <w:left w:w="0" w:type="dxa"/>
            <w:bottom w:w="0" w:type="dxa"/>
            <w:right w:w="0" w:type="dxa"/>
          </w:tblCellMar>
        </w:tblPrEx>
        <w:tc>
          <w:tcPr>
            <w:tcW w:w="3969" w:type="dxa"/>
            <w:tcBorders>
              <w:top w:val="single" w:sz="6" w:space="0" w:color="auto"/>
              <w:bottom w:val="single" w:sz="6" w:space="0" w:color="auto"/>
            </w:tcBorders>
          </w:tcPr>
          <w:p w:rsidR="001C7BF9" w:rsidRPr="00C9680B" w:rsidRDefault="001C7BF9">
            <w:pPr>
              <w:pStyle w:val="Tabell"/>
              <w:keepNext/>
              <w:keepLines/>
              <w:rPr>
                <w:b/>
                <w:sz w:val="16"/>
              </w:rPr>
            </w:pPr>
          </w:p>
        </w:tc>
        <w:tc>
          <w:tcPr>
            <w:tcW w:w="624"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2001</w:t>
            </w:r>
          </w:p>
        </w:tc>
        <w:tc>
          <w:tcPr>
            <w:tcW w:w="624"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2002</w:t>
            </w:r>
          </w:p>
        </w:tc>
        <w:tc>
          <w:tcPr>
            <w:tcW w:w="624"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2003</w:t>
            </w:r>
          </w:p>
        </w:tc>
      </w:tr>
      <w:tr w:rsidR="00000000" w:rsidRPr="00C9680B">
        <w:tblPrEx>
          <w:tblCellMar>
            <w:top w:w="0" w:type="dxa"/>
            <w:left w:w="0" w:type="dxa"/>
            <w:bottom w:w="0" w:type="dxa"/>
            <w:right w:w="0" w:type="dxa"/>
          </w:tblCellMar>
        </w:tblPrEx>
        <w:trPr>
          <w:trHeight w:hRule="exact" w:val="60"/>
        </w:trPr>
        <w:tc>
          <w:tcPr>
            <w:tcW w:w="3969" w:type="dxa"/>
          </w:tcPr>
          <w:p w:rsidR="001C7BF9" w:rsidRPr="00C9680B" w:rsidRDefault="001C7BF9">
            <w:pPr>
              <w:pStyle w:val="Tabell"/>
              <w:keepNext/>
              <w:keepLines/>
              <w:rPr>
                <w:b/>
                <w:sz w:val="16"/>
              </w:rPr>
            </w:pPr>
          </w:p>
        </w:tc>
        <w:tc>
          <w:tcPr>
            <w:tcW w:w="624" w:type="dxa"/>
          </w:tcPr>
          <w:p w:rsidR="001C7BF9" w:rsidRPr="00C9680B" w:rsidRDefault="001C7BF9">
            <w:pPr>
              <w:pStyle w:val="Tabell"/>
              <w:keepNext/>
              <w:keepLines/>
              <w:ind w:right="57"/>
              <w:jc w:val="right"/>
              <w:rPr>
                <w:b/>
                <w:sz w:val="16"/>
              </w:rPr>
            </w:pPr>
          </w:p>
        </w:tc>
        <w:tc>
          <w:tcPr>
            <w:tcW w:w="624" w:type="dxa"/>
          </w:tcPr>
          <w:p w:rsidR="001C7BF9" w:rsidRPr="00C9680B" w:rsidRDefault="001C7BF9">
            <w:pPr>
              <w:pStyle w:val="Tabell"/>
              <w:keepNext/>
              <w:keepLines/>
              <w:ind w:right="57"/>
              <w:jc w:val="right"/>
              <w:rPr>
                <w:b/>
                <w:sz w:val="16"/>
              </w:rPr>
            </w:pPr>
          </w:p>
        </w:tc>
        <w:tc>
          <w:tcPr>
            <w:tcW w:w="624" w:type="dxa"/>
          </w:tcPr>
          <w:p w:rsidR="001C7BF9" w:rsidRPr="00C9680B" w:rsidRDefault="001C7BF9">
            <w:pPr>
              <w:pStyle w:val="Tabell"/>
              <w:keepNext/>
              <w:keepLines/>
              <w:ind w:right="57"/>
              <w:jc w:val="right"/>
              <w:rPr>
                <w:b/>
                <w:sz w:val="16"/>
              </w:rPr>
            </w:pPr>
          </w:p>
        </w:tc>
      </w:tr>
      <w:tr w:rsidR="00000000" w:rsidRPr="00C9680B">
        <w:tblPrEx>
          <w:tblCellMar>
            <w:top w:w="0" w:type="dxa"/>
            <w:left w:w="0" w:type="dxa"/>
            <w:bottom w:w="0" w:type="dxa"/>
            <w:right w:w="0" w:type="dxa"/>
          </w:tblCellMar>
        </w:tblPrEx>
        <w:tc>
          <w:tcPr>
            <w:tcW w:w="3969" w:type="dxa"/>
          </w:tcPr>
          <w:p w:rsidR="001C7BF9" w:rsidRPr="00C9680B" w:rsidRDefault="001C7BF9">
            <w:pPr>
              <w:pStyle w:val="Tabell"/>
              <w:keepNext/>
              <w:keepLines/>
              <w:rPr>
                <w:b/>
                <w:sz w:val="16"/>
              </w:rPr>
            </w:pPr>
            <w:r w:rsidRPr="00C9680B">
              <w:rPr>
                <w:b/>
                <w:sz w:val="16"/>
              </w:rPr>
              <w:t>Regeringens förslag till utgiftstak</w:t>
            </w:r>
          </w:p>
        </w:tc>
        <w:tc>
          <w:tcPr>
            <w:tcW w:w="624" w:type="dxa"/>
          </w:tcPr>
          <w:p w:rsidR="001C7BF9" w:rsidRPr="00C9680B" w:rsidRDefault="001C7BF9">
            <w:pPr>
              <w:pStyle w:val="Tabell"/>
              <w:keepNext/>
              <w:keepLines/>
              <w:ind w:right="57"/>
              <w:jc w:val="right"/>
              <w:rPr>
                <w:b/>
                <w:sz w:val="16"/>
              </w:rPr>
            </w:pPr>
            <w:r w:rsidRPr="00C9680B">
              <w:rPr>
                <w:b/>
                <w:sz w:val="16"/>
              </w:rPr>
              <w:t>789,0</w:t>
            </w:r>
          </w:p>
        </w:tc>
        <w:tc>
          <w:tcPr>
            <w:tcW w:w="624" w:type="dxa"/>
          </w:tcPr>
          <w:p w:rsidR="001C7BF9" w:rsidRPr="00C9680B" w:rsidRDefault="001C7BF9">
            <w:pPr>
              <w:pStyle w:val="Tabell"/>
              <w:keepNext/>
              <w:keepLines/>
              <w:ind w:right="57"/>
              <w:jc w:val="right"/>
              <w:rPr>
                <w:b/>
                <w:sz w:val="16"/>
              </w:rPr>
            </w:pPr>
            <w:r w:rsidRPr="00C9680B">
              <w:rPr>
                <w:b/>
                <w:sz w:val="16"/>
              </w:rPr>
              <w:t>814,0</w:t>
            </w:r>
          </w:p>
        </w:tc>
        <w:tc>
          <w:tcPr>
            <w:tcW w:w="624" w:type="dxa"/>
          </w:tcPr>
          <w:p w:rsidR="001C7BF9" w:rsidRPr="00C9680B" w:rsidRDefault="001C7BF9">
            <w:pPr>
              <w:pStyle w:val="Tabell"/>
              <w:keepNext/>
              <w:keepLines/>
              <w:ind w:right="57"/>
              <w:jc w:val="right"/>
              <w:rPr>
                <w:b/>
                <w:sz w:val="16"/>
              </w:rPr>
            </w:pPr>
            <w:r w:rsidRPr="00C9680B">
              <w:rPr>
                <w:b/>
                <w:sz w:val="16"/>
              </w:rPr>
              <w:t>844,0</w:t>
            </w:r>
          </w:p>
        </w:tc>
      </w:tr>
      <w:tr w:rsidR="00000000" w:rsidRPr="00C9680B">
        <w:tblPrEx>
          <w:tblCellMar>
            <w:top w:w="0" w:type="dxa"/>
            <w:left w:w="0" w:type="dxa"/>
            <w:bottom w:w="0" w:type="dxa"/>
            <w:right w:w="0" w:type="dxa"/>
          </w:tblCellMar>
        </w:tblPrEx>
        <w:tc>
          <w:tcPr>
            <w:tcW w:w="3969" w:type="dxa"/>
          </w:tcPr>
          <w:p w:rsidR="001C7BF9" w:rsidRPr="00C9680B" w:rsidRDefault="001C7BF9">
            <w:pPr>
              <w:pStyle w:val="Tabell"/>
              <w:keepNext/>
              <w:keepLines/>
              <w:rPr>
                <w:sz w:val="16"/>
              </w:rPr>
            </w:pPr>
            <w:r w:rsidRPr="00C9680B">
              <w:rPr>
                <w:sz w:val="16"/>
              </w:rPr>
              <w:t>Föreslagna utgiftsmins</w:t>
            </w:r>
            <w:r w:rsidRPr="00C9680B">
              <w:rPr>
                <w:sz w:val="16"/>
              </w:rPr>
              <w:t>k</w:t>
            </w:r>
            <w:r w:rsidRPr="00C9680B">
              <w:rPr>
                <w:sz w:val="16"/>
              </w:rPr>
              <w:t>ningar¹</w:t>
            </w:r>
          </w:p>
        </w:tc>
        <w:tc>
          <w:tcPr>
            <w:tcW w:w="624" w:type="dxa"/>
          </w:tcPr>
          <w:p w:rsidR="001C7BF9" w:rsidRPr="00C9680B" w:rsidRDefault="001C7BF9">
            <w:pPr>
              <w:pStyle w:val="Tabell"/>
              <w:keepNext/>
              <w:keepLines/>
              <w:ind w:right="57"/>
              <w:jc w:val="right"/>
              <w:rPr>
                <w:sz w:val="16"/>
              </w:rPr>
            </w:pPr>
            <w:r w:rsidRPr="00C9680B">
              <w:rPr>
                <w:sz w:val="16"/>
              </w:rPr>
              <w:t>-11,5</w:t>
            </w:r>
          </w:p>
        </w:tc>
        <w:tc>
          <w:tcPr>
            <w:tcW w:w="624" w:type="dxa"/>
          </w:tcPr>
          <w:p w:rsidR="001C7BF9" w:rsidRPr="00C9680B" w:rsidRDefault="001C7BF9">
            <w:pPr>
              <w:pStyle w:val="Tabell"/>
              <w:keepNext/>
              <w:keepLines/>
              <w:ind w:right="57"/>
              <w:jc w:val="right"/>
              <w:rPr>
                <w:sz w:val="16"/>
              </w:rPr>
            </w:pPr>
            <w:r w:rsidRPr="00C9680B">
              <w:rPr>
                <w:sz w:val="16"/>
              </w:rPr>
              <w:t>-13,3</w:t>
            </w:r>
          </w:p>
        </w:tc>
        <w:tc>
          <w:tcPr>
            <w:tcW w:w="624" w:type="dxa"/>
          </w:tcPr>
          <w:p w:rsidR="001C7BF9" w:rsidRPr="00C9680B" w:rsidRDefault="001C7BF9">
            <w:pPr>
              <w:pStyle w:val="Tabell"/>
              <w:keepNext/>
              <w:keepLines/>
              <w:ind w:right="57"/>
              <w:jc w:val="right"/>
              <w:rPr>
                <w:sz w:val="16"/>
              </w:rPr>
            </w:pPr>
            <w:r w:rsidRPr="00C9680B">
              <w:rPr>
                <w:sz w:val="16"/>
              </w:rPr>
              <w:t>-15,0</w:t>
            </w:r>
          </w:p>
        </w:tc>
      </w:tr>
      <w:tr w:rsidR="00000000" w:rsidRPr="00C9680B">
        <w:tblPrEx>
          <w:tblCellMar>
            <w:top w:w="0" w:type="dxa"/>
            <w:left w:w="0" w:type="dxa"/>
            <w:bottom w:w="0" w:type="dxa"/>
            <w:right w:w="0" w:type="dxa"/>
          </w:tblCellMar>
        </w:tblPrEx>
        <w:tc>
          <w:tcPr>
            <w:tcW w:w="3969" w:type="dxa"/>
          </w:tcPr>
          <w:p w:rsidR="001C7BF9" w:rsidRPr="00C9680B" w:rsidRDefault="001C7BF9">
            <w:pPr>
              <w:pStyle w:val="Tabell"/>
              <w:keepNext/>
              <w:keepLines/>
              <w:spacing w:line="200" w:lineRule="exact"/>
              <w:rPr>
                <w:sz w:val="16"/>
              </w:rPr>
            </w:pPr>
            <w:r w:rsidRPr="00C9680B">
              <w:rPr>
                <w:sz w:val="16"/>
              </w:rPr>
              <w:t>Ändrad budgeteringsmarg</w:t>
            </w:r>
            <w:r w:rsidRPr="00C9680B">
              <w:rPr>
                <w:sz w:val="16"/>
              </w:rPr>
              <w:t>i</w:t>
            </w:r>
            <w:r w:rsidRPr="00C9680B">
              <w:rPr>
                <w:sz w:val="16"/>
              </w:rPr>
              <w:t>nal</w:t>
            </w:r>
          </w:p>
        </w:tc>
        <w:tc>
          <w:tcPr>
            <w:tcW w:w="624" w:type="dxa"/>
          </w:tcPr>
          <w:p w:rsidR="001C7BF9" w:rsidRPr="00C9680B" w:rsidRDefault="001C7BF9">
            <w:pPr>
              <w:pStyle w:val="Tabell"/>
              <w:keepNext/>
              <w:keepLines/>
              <w:spacing w:line="200" w:lineRule="exact"/>
              <w:ind w:right="57"/>
              <w:jc w:val="right"/>
              <w:rPr>
                <w:sz w:val="16"/>
              </w:rPr>
            </w:pPr>
            <w:r w:rsidRPr="00C9680B">
              <w:rPr>
                <w:sz w:val="16"/>
              </w:rPr>
              <w:t>+3,5</w:t>
            </w:r>
          </w:p>
        </w:tc>
        <w:tc>
          <w:tcPr>
            <w:tcW w:w="624" w:type="dxa"/>
          </w:tcPr>
          <w:p w:rsidR="001C7BF9" w:rsidRPr="00C9680B" w:rsidRDefault="001C7BF9">
            <w:pPr>
              <w:pStyle w:val="Tabell"/>
              <w:keepNext/>
              <w:keepLines/>
              <w:spacing w:line="200" w:lineRule="exact"/>
              <w:ind w:right="57"/>
              <w:jc w:val="right"/>
              <w:rPr>
                <w:sz w:val="16"/>
              </w:rPr>
            </w:pPr>
            <w:r w:rsidRPr="00C9680B">
              <w:rPr>
                <w:sz w:val="16"/>
              </w:rPr>
              <w:t>-1,7</w:t>
            </w:r>
          </w:p>
        </w:tc>
        <w:tc>
          <w:tcPr>
            <w:tcW w:w="624" w:type="dxa"/>
          </w:tcPr>
          <w:p w:rsidR="001C7BF9" w:rsidRPr="00C9680B" w:rsidRDefault="001C7BF9">
            <w:pPr>
              <w:pStyle w:val="Tabell"/>
              <w:keepNext/>
              <w:keepLines/>
              <w:spacing w:line="200" w:lineRule="exact"/>
              <w:ind w:right="57"/>
              <w:jc w:val="right"/>
              <w:rPr>
                <w:sz w:val="16"/>
              </w:rPr>
            </w:pPr>
            <w:r w:rsidRPr="00C9680B">
              <w:rPr>
                <w:sz w:val="16"/>
              </w:rPr>
              <w:t>-14,0</w:t>
            </w:r>
          </w:p>
        </w:tc>
      </w:tr>
      <w:tr w:rsidR="00000000" w:rsidRPr="00C9680B">
        <w:tblPrEx>
          <w:tblCellMar>
            <w:top w:w="0" w:type="dxa"/>
            <w:left w:w="0" w:type="dxa"/>
            <w:bottom w:w="0" w:type="dxa"/>
            <w:right w:w="0" w:type="dxa"/>
          </w:tblCellMar>
        </w:tblPrEx>
        <w:tc>
          <w:tcPr>
            <w:tcW w:w="3969" w:type="dxa"/>
          </w:tcPr>
          <w:p w:rsidR="001C7BF9" w:rsidRPr="00C9680B" w:rsidRDefault="001C7BF9">
            <w:pPr>
              <w:pStyle w:val="Tabell"/>
              <w:keepNext/>
              <w:keepLines/>
              <w:rPr>
                <w:b/>
                <w:sz w:val="16"/>
              </w:rPr>
            </w:pPr>
            <w:r w:rsidRPr="00C9680B">
              <w:rPr>
                <w:b/>
                <w:sz w:val="16"/>
              </w:rPr>
              <w:t>Utgiftstak för staten enligt (c)</w:t>
            </w:r>
          </w:p>
        </w:tc>
        <w:tc>
          <w:tcPr>
            <w:tcW w:w="624" w:type="dxa"/>
          </w:tcPr>
          <w:p w:rsidR="001C7BF9" w:rsidRPr="00C9680B" w:rsidRDefault="001C7BF9">
            <w:pPr>
              <w:pStyle w:val="Tabell"/>
              <w:keepNext/>
              <w:keepLines/>
              <w:ind w:right="57"/>
              <w:jc w:val="right"/>
              <w:rPr>
                <w:b/>
                <w:sz w:val="16"/>
              </w:rPr>
            </w:pPr>
            <w:r w:rsidRPr="00C9680B">
              <w:rPr>
                <w:b/>
                <w:sz w:val="16"/>
              </w:rPr>
              <w:t>781,0</w:t>
            </w:r>
          </w:p>
        </w:tc>
        <w:tc>
          <w:tcPr>
            <w:tcW w:w="624" w:type="dxa"/>
          </w:tcPr>
          <w:p w:rsidR="001C7BF9" w:rsidRPr="00C9680B" w:rsidRDefault="001C7BF9">
            <w:pPr>
              <w:pStyle w:val="Tabell"/>
              <w:keepNext/>
              <w:keepLines/>
              <w:ind w:right="57"/>
              <w:jc w:val="right"/>
              <w:rPr>
                <w:b/>
                <w:sz w:val="16"/>
              </w:rPr>
            </w:pPr>
            <w:r w:rsidRPr="00C9680B">
              <w:rPr>
                <w:b/>
                <w:sz w:val="16"/>
              </w:rPr>
              <w:t>799,0</w:t>
            </w:r>
          </w:p>
        </w:tc>
        <w:tc>
          <w:tcPr>
            <w:tcW w:w="624" w:type="dxa"/>
          </w:tcPr>
          <w:p w:rsidR="001C7BF9" w:rsidRPr="00C9680B" w:rsidRDefault="001C7BF9">
            <w:pPr>
              <w:pStyle w:val="Tabell"/>
              <w:keepNext/>
              <w:keepLines/>
              <w:ind w:right="57"/>
              <w:jc w:val="right"/>
              <w:rPr>
                <w:b/>
                <w:sz w:val="16"/>
              </w:rPr>
            </w:pPr>
            <w:r w:rsidRPr="00C9680B">
              <w:rPr>
                <w:b/>
                <w:sz w:val="16"/>
              </w:rPr>
              <w:t>815,0</w:t>
            </w:r>
          </w:p>
        </w:tc>
      </w:tr>
      <w:tr w:rsidR="00000000" w:rsidRPr="00C9680B">
        <w:tblPrEx>
          <w:tblCellMar>
            <w:top w:w="0" w:type="dxa"/>
            <w:left w:w="0" w:type="dxa"/>
            <w:bottom w:w="0" w:type="dxa"/>
            <w:right w:w="0" w:type="dxa"/>
          </w:tblCellMar>
        </w:tblPrEx>
        <w:trPr>
          <w:trHeight w:hRule="exact" w:val="60"/>
        </w:trPr>
        <w:tc>
          <w:tcPr>
            <w:tcW w:w="3969" w:type="dxa"/>
            <w:tcBorders>
              <w:bottom w:val="single" w:sz="6" w:space="0" w:color="auto"/>
            </w:tcBorders>
          </w:tcPr>
          <w:p w:rsidR="001C7BF9" w:rsidRPr="00C9680B" w:rsidRDefault="001C7BF9">
            <w:pPr>
              <w:pStyle w:val="Tabell"/>
              <w:keepNext/>
              <w:keepLines/>
              <w:rPr>
                <w:sz w:val="16"/>
              </w:rPr>
            </w:pPr>
          </w:p>
        </w:tc>
        <w:tc>
          <w:tcPr>
            <w:tcW w:w="624" w:type="dxa"/>
            <w:tcBorders>
              <w:bottom w:val="single" w:sz="6" w:space="0" w:color="auto"/>
            </w:tcBorders>
          </w:tcPr>
          <w:p w:rsidR="001C7BF9" w:rsidRPr="00C9680B" w:rsidRDefault="001C7BF9">
            <w:pPr>
              <w:pStyle w:val="Tabell"/>
              <w:keepNext/>
              <w:keepLines/>
              <w:ind w:right="57"/>
              <w:jc w:val="right"/>
              <w:rPr>
                <w:sz w:val="16"/>
              </w:rPr>
            </w:pPr>
          </w:p>
        </w:tc>
        <w:tc>
          <w:tcPr>
            <w:tcW w:w="624" w:type="dxa"/>
            <w:tcBorders>
              <w:bottom w:val="single" w:sz="6" w:space="0" w:color="auto"/>
            </w:tcBorders>
          </w:tcPr>
          <w:p w:rsidR="001C7BF9" w:rsidRPr="00C9680B" w:rsidRDefault="001C7BF9">
            <w:pPr>
              <w:pStyle w:val="Tabell"/>
              <w:keepNext/>
              <w:keepLines/>
              <w:ind w:right="57"/>
              <w:jc w:val="right"/>
              <w:rPr>
                <w:sz w:val="16"/>
              </w:rPr>
            </w:pPr>
          </w:p>
        </w:tc>
        <w:tc>
          <w:tcPr>
            <w:tcW w:w="624" w:type="dxa"/>
            <w:tcBorders>
              <w:bottom w:val="single" w:sz="6" w:space="0" w:color="auto"/>
            </w:tcBorders>
          </w:tcPr>
          <w:p w:rsidR="001C7BF9" w:rsidRPr="00C9680B" w:rsidRDefault="001C7BF9">
            <w:pPr>
              <w:pStyle w:val="Tabell"/>
              <w:keepNext/>
              <w:keepLines/>
              <w:ind w:right="57"/>
              <w:jc w:val="right"/>
              <w:rPr>
                <w:sz w:val="16"/>
              </w:rPr>
            </w:pPr>
          </w:p>
        </w:tc>
      </w:tr>
    </w:tbl>
    <w:p w:rsidR="001C7BF9" w:rsidRPr="00C9680B" w:rsidRDefault="001C7BF9">
      <w:pPr>
        <w:pStyle w:val="Tabell"/>
        <w:rPr>
          <w:sz w:val="16"/>
        </w:rPr>
      </w:pPr>
      <w:r w:rsidRPr="00C9680B">
        <w:t>¹</w:t>
      </w:r>
      <w:r w:rsidRPr="00C9680B">
        <w:rPr>
          <w:sz w:val="16"/>
        </w:rPr>
        <w:t xml:space="preserve"> Exklusive förslag om minskad nivå på statsskuldsräntor.</w:t>
      </w:r>
    </w:p>
    <w:p w:rsidR="001C7BF9" w:rsidRPr="00C9680B" w:rsidRDefault="001C7BF9">
      <w:pPr>
        <w:spacing w:before="312"/>
      </w:pPr>
      <w:r w:rsidRPr="00C9680B">
        <w:rPr>
          <w:i/>
        </w:rPr>
        <w:t xml:space="preserve">Folkpartiet liberalerna </w:t>
      </w:r>
      <w:r w:rsidRPr="00C9680B">
        <w:t xml:space="preserve">slår i </w:t>
      </w:r>
      <w:r w:rsidRPr="00C9680B">
        <w:rPr>
          <w:i/>
        </w:rPr>
        <w:t>motion Fi211</w:t>
      </w:r>
      <w:r w:rsidRPr="00C9680B">
        <w:t xml:space="preserve"> fast att dagens svenska skatte- och utgiftstryck måste minska, och att skattetrycket under innevarande mandatp</w:t>
      </w:r>
      <w:r w:rsidRPr="00C9680B">
        <w:t>e</w:t>
      </w:r>
      <w:r w:rsidRPr="00C9680B">
        <w:t>riod måste komma ner till en nivå klart under 50 % av BNP.</w:t>
      </w:r>
    </w:p>
    <w:p w:rsidR="001C7BF9" w:rsidRPr="00C9680B" w:rsidRDefault="001C7BF9">
      <w:pPr>
        <w:pStyle w:val="Normaltindrag"/>
      </w:pPr>
      <w:r w:rsidRPr="00C9680B">
        <w:t>Motionärerna föreslår att man under den närmaste treårsperioden skall g</w:t>
      </w:r>
      <w:r w:rsidRPr="00C9680B">
        <w:t>e</w:t>
      </w:r>
      <w:r w:rsidRPr="00C9680B">
        <w:t>nomföra en inkomstskattereform. Regeringes förslag till sänkning av i</w:t>
      </w:r>
      <w:r w:rsidRPr="00C9680B">
        <w:t>n</w:t>
      </w:r>
      <w:r w:rsidRPr="00C9680B">
        <w:t>komstskatten avvisas eftersom Folkpartiet anser att det är bra att man fått ett pensionssystem med synliga försäkringsavgifter och då bör dessa inte döljas genom en skattekompensation. Skatteförändringarna bör i stället koncentreras på ma</w:t>
      </w:r>
      <w:r w:rsidRPr="00C9680B">
        <w:t>r</w:t>
      </w:r>
      <w:r w:rsidRPr="00C9680B">
        <w:t>ginalskatterna och andra skadliga skatter. Genom att avskaffa värn</w:t>
      </w:r>
      <w:r w:rsidRPr="00C9680B">
        <w:softHyphen/>
        <w:t>skatten, höja brytpunkten för statlig skatt och ta bort den s.k. LO-puckeln vill Folkpartiet återupprätta den grundläggande principen a</w:t>
      </w:r>
      <w:r w:rsidRPr="00C9680B">
        <w:t>tt flertalet skattskyld</w:t>
      </w:r>
      <w:r w:rsidRPr="00C9680B">
        <w:t>i</w:t>
      </w:r>
      <w:r w:rsidRPr="00C9680B">
        <w:t>ga skall ha en marginalskatt på högst 30 % och att marginalskatten i övrigt skall begränsas till högst 50 %.</w:t>
      </w:r>
    </w:p>
    <w:p w:rsidR="001C7BF9" w:rsidRPr="00C9680B" w:rsidRDefault="001C7BF9">
      <w:pPr>
        <w:pStyle w:val="Normaltindrag"/>
      </w:pPr>
      <w:r w:rsidRPr="00C9680B">
        <w:t>I ett första steg föreslår motionärerna att uttaget av statlig skatt begränsas till 20 % – dvs. den s.k. värnskatten avskaffas – och att brytpunkten höjs till en nivå motsvarande den övre gränsen för uttag av egenavgifter. De vill även avskaffa den s.k. LO-puckeln, dvs. de marginaleffekter som uppkommer i inkomstlägen mellan ca 150 000 och 200 000 kr till följd av att grundavd</w:t>
      </w:r>
      <w:r w:rsidRPr="00C9680B">
        <w:t>raget trappas av.</w:t>
      </w:r>
    </w:p>
    <w:p w:rsidR="001C7BF9" w:rsidRPr="00C9680B" w:rsidRDefault="001C7BF9">
      <w:pPr>
        <w:pStyle w:val="Normaltindrag"/>
      </w:pPr>
      <w:r w:rsidRPr="00C9680B">
        <w:t>För att ytterligare sänka inkomstskatten vill de därutöver införa en skatt</w:t>
      </w:r>
      <w:r w:rsidRPr="00C9680B">
        <w:t>e</w:t>
      </w:r>
      <w:r w:rsidRPr="00C9680B">
        <w:t xml:space="preserve">reduktion lika för alla på 3 000 kr per person och år. </w:t>
      </w:r>
    </w:p>
    <w:p w:rsidR="001C7BF9" w:rsidRPr="00C9680B" w:rsidRDefault="001C7BF9">
      <w:pPr>
        <w:pStyle w:val="Normaltindrag"/>
      </w:pPr>
      <w:r w:rsidRPr="00C9680B">
        <w:t>Kostnaderna för de föreslagna skattesänkningarna beräknas i motionen till sammanlagt 42 miljarder kronor.</w:t>
      </w:r>
    </w:p>
    <w:p w:rsidR="001C7BF9" w:rsidRPr="00C9680B" w:rsidRDefault="001C7BF9">
      <w:pPr>
        <w:pStyle w:val="Normaltindrag"/>
      </w:pPr>
      <w:r w:rsidRPr="00C9680B">
        <w:t xml:space="preserve">I ett senare skede bör man gå vidare och ytterligare sänka inkomstskatterna i former som uppmuntrar ökat arbetsutbud, utbildning och risktagande. </w:t>
      </w:r>
    </w:p>
    <w:p w:rsidR="001C7BF9" w:rsidRPr="00C9680B" w:rsidRDefault="001C7BF9">
      <w:pPr>
        <w:pStyle w:val="Normaltindrag"/>
      </w:pPr>
      <w:r w:rsidRPr="00C9680B">
        <w:t>Marginaleffekterna bör dessutom minskas genom att barnfamiljernas i</w:t>
      </w:r>
      <w:r w:rsidRPr="00C9680B">
        <w:t>n</w:t>
      </w:r>
      <w:r w:rsidRPr="00C9680B">
        <w:t>komstprövade bostadsbidrag samt att den av regeringen planerade barnb</w:t>
      </w:r>
      <w:r w:rsidRPr="00C9680B">
        <w:t>i</w:t>
      </w:r>
      <w:r w:rsidRPr="00C9680B">
        <w:t>dragshöjningen för 2001 växlas mot generella barnavdrag och genom enhetl</w:t>
      </w:r>
      <w:r w:rsidRPr="00C9680B">
        <w:t>i</w:t>
      </w:r>
      <w:r w:rsidRPr="00C9680B">
        <w:t>ga barnomsorgstaxor. I stället för regeringens maxtaxa bör ett barnkonto införas samt avdragsrätt för styrkta barnomsorgskostnader. Resor för häm</w:t>
      </w:r>
      <w:r w:rsidRPr="00C9680B">
        <w:t>t</w:t>
      </w:r>
      <w:r w:rsidRPr="00C9680B">
        <w:t>ning och lämning av barn i barnomsorgen bör få inkluderas i reseavdraget. Den av regeringen föreslagna höjningen av nivån på reseavdraget till 16 kr per mil godtas av moti</w:t>
      </w:r>
      <w:r w:rsidRPr="00C9680B">
        <w:t>o</w:t>
      </w:r>
      <w:r w:rsidRPr="00C9680B">
        <w:t>närerna.</w:t>
      </w:r>
    </w:p>
    <w:p w:rsidR="001C7BF9" w:rsidRPr="00C9680B" w:rsidRDefault="001C7BF9">
      <w:pPr>
        <w:pStyle w:val="Normaltindrag"/>
      </w:pPr>
      <w:r w:rsidRPr="00C9680B">
        <w:t>Därutöver föreslås i motionen att skatten</w:t>
      </w:r>
      <w:r w:rsidRPr="00C9680B">
        <w:t xml:space="preserve"> på lämpligt sätt sänks med ytte</w:t>
      </w:r>
      <w:r w:rsidRPr="00C9680B">
        <w:t>r</w:t>
      </w:r>
      <w:r w:rsidRPr="00C9680B">
        <w:t>ligare närmare 16 miljarder kronor som kompensation för de ökade kostnader som föranleds av två försäkringsmässiga reformer som Folkpartiet önskar få till stånd. Den ena reformen gäller sjukförsäkringens kostnader för trafik</w:t>
      </w:r>
      <w:r w:rsidRPr="00C9680B">
        <w:t>o</w:t>
      </w:r>
      <w:r w:rsidRPr="00C9680B">
        <w:t>lycksfall som motionärerna vill lyfta ut ur statsbudgeten och i stället finansi</w:t>
      </w:r>
      <w:r w:rsidRPr="00C9680B">
        <w:t>e</w:t>
      </w:r>
      <w:r w:rsidRPr="00C9680B">
        <w:t>ra över den obligatoriska trafikförsäkringen. Statsbudgeten avlastas därig</w:t>
      </w:r>
      <w:r w:rsidRPr="00C9680B">
        <w:t>e</w:t>
      </w:r>
      <w:r w:rsidRPr="00C9680B">
        <w:t>nom en utgift på ungefär 4 miljarder kronor som i stället kommer att belasta bilismen. Den andra re</w:t>
      </w:r>
      <w:r w:rsidRPr="00C9680B">
        <w:t>formen gäller arbetslöshetsförsäkringen som enligt motionärerna bör vara obligatorisk och bli mer försäkringsmässig genom att de försäkrade själva får svara för ungefär en tredjedel av kostnaderna. Det motsvarar en avgiftshöjning på sammanlagt 11,8 miljarder kronor.</w:t>
      </w:r>
    </w:p>
    <w:p w:rsidR="001C7BF9" w:rsidRPr="00C9680B" w:rsidRDefault="001C7BF9">
      <w:pPr>
        <w:pStyle w:val="Normaltindrag"/>
      </w:pPr>
      <w:r w:rsidRPr="00C9680B">
        <w:t>Den av regeringen föreslagna höjningen av dieselskatten godtas inte av motionärerna som inte heller fullt ut accepterar de skattehöjningar på ene</w:t>
      </w:r>
      <w:r w:rsidRPr="00C9680B">
        <w:t>r</w:t>
      </w:r>
      <w:r w:rsidRPr="00C9680B">
        <w:t>giområdet som regeringen föreslår.</w:t>
      </w:r>
    </w:p>
    <w:p w:rsidR="001C7BF9" w:rsidRPr="00C9680B" w:rsidRDefault="001C7BF9">
      <w:pPr>
        <w:pStyle w:val="Normaltindrag"/>
      </w:pPr>
      <w:r w:rsidRPr="00C9680B">
        <w:t>En skattereduktion på 50 % skall införas fr.o.m. nästa år för arbetskostn</w:t>
      </w:r>
      <w:r w:rsidRPr="00C9680B">
        <w:t>a</w:t>
      </w:r>
      <w:r w:rsidRPr="00C9680B">
        <w:t>der på hushållstjänster upp till 25 000 kr per år.</w:t>
      </w:r>
    </w:p>
    <w:p w:rsidR="001C7BF9" w:rsidRPr="00C9680B" w:rsidRDefault="001C7BF9">
      <w:pPr>
        <w:pStyle w:val="Normaltindrag"/>
      </w:pPr>
      <w:r w:rsidRPr="00C9680B">
        <w:t>Förmögenhetsskatten och dubbelbeskattningen av aktievinster ser Fol</w:t>
      </w:r>
      <w:r w:rsidRPr="00C9680B">
        <w:t>k</w:t>
      </w:r>
      <w:r w:rsidRPr="00C9680B">
        <w:t>partiet som de mest skadliga kapitalskatterna. Partiet vill därför successivt avskaffa dem under de närmaste åren. I ett första steg bör dubbelskatten på utdelningar till fysiska personer halveras och vid förmögenhetsbeskattningen  bör sambeskattningen avskaffas och något år senare bör fribeloppet höjas till 2,1 miljoner kronor. På några års sikt bör dessutom förmögenhetsskatten helt avskaffas.</w:t>
      </w:r>
    </w:p>
    <w:p w:rsidR="001C7BF9" w:rsidRPr="00C9680B" w:rsidRDefault="001C7BF9">
      <w:pPr>
        <w:pStyle w:val="Normaltindrag"/>
      </w:pPr>
      <w:r w:rsidRPr="00C9680B">
        <w:t>Vidare föreslås att beskattningen av personaloptioner ses över och att skattereglerna för fåmansbolag, särskilt d</w:t>
      </w:r>
      <w:r w:rsidRPr="00C9680B">
        <w:t>e s.k. 3:12-reglerna än</w:t>
      </w:r>
      <w:r w:rsidRPr="00C9680B">
        <w:t>d</w:t>
      </w:r>
      <w:r w:rsidRPr="00C9680B">
        <w:t>ras.</w:t>
      </w:r>
    </w:p>
    <w:p w:rsidR="001C7BF9" w:rsidRPr="00C9680B" w:rsidRDefault="001C7BF9">
      <w:pPr>
        <w:pStyle w:val="Normaltindrag"/>
      </w:pPr>
      <w:r w:rsidRPr="00C9680B">
        <w:t>På sikt vill motionärerna avskaffa den nuvarande fastighetsskatten och återinföra den s.k. schablonbeskattningen av egnahem med bibehållen rätt till avdrag för låneräntor. Regeringens förslag till nivåer för uttag av fastighet</w:t>
      </w:r>
      <w:r w:rsidRPr="00C9680B">
        <w:t>s</w:t>
      </w:r>
      <w:r w:rsidRPr="00C9680B">
        <w:t>skatt på villor och flerfamiljshus godtas av motionärerna. Däremot bör enligt deras mening taxeringsvärdena vara fortsatt frysta och man motsätter sig även regeringens förslag till höjd re</w:t>
      </w:r>
      <w:r w:rsidRPr="00C9680B">
        <w:t>a</w:t>
      </w:r>
      <w:r w:rsidRPr="00C9680B">
        <w:t>vinstskatt på privatbostäder.</w:t>
      </w:r>
    </w:p>
    <w:p w:rsidR="001C7BF9" w:rsidRPr="00C9680B" w:rsidRDefault="001C7BF9">
      <w:pPr>
        <w:pStyle w:val="Normaltindrag"/>
      </w:pPr>
      <w:r w:rsidRPr="00C9680B">
        <w:t>Folkpartiet vill under de närmaste åren också minska arbetsgivaravgifterna i den privata tjänstesektorn med först 2 och därefter 5 procentenheter.</w:t>
      </w:r>
    </w:p>
    <w:p w:rsidR="001C7BF9" w:rsidRPr="00C9680B" w:rsidRDefault="001C7BF9">
      <w:pPr>
        <w:pStyle w:val="Normaltindrag"/>
      </w:pPr>
      <w:r w:rsidRPr="00C9680B">
        <w:t>Vidare vill partiet införa ett system med individuella utbildningskonton som kan användas för studier m.m. och som finansieras med hjälp av förtida uttag av pensionssparande. I motionen förordas därför att avdragsrätten för pensionssparande höjs från 0,5 till 1,5 ba</w:t>
      </w:r>
      <w:r w:rsidRPr="00C9680B">
        <w:t>s</w:t>
      </w:r>
      <w:r w:rsidRPr="00C9680B">
        <w:t>belopp.</w:t>
      </w:r>
    </w:p>
    <w:p w:rsidR="001C7BF9" w:rsidRPr="00C9680B" w:rsidRDefault="001C7BF9">
      <w:pPr>
        <w:pStyle w:val="Normaltindrag"/>
      </w:pPr>
      <w:r w:rsidRPr="00C9680B">
        <w:t>I motionen framhålls att Folkpartiet är positivt till frihandel och globalis</w:t>
      </w:r>
      <w:r w:rsidRPr="00C9680B">
        <w:t>e</w:t>
      </w:r>
      <w:r w:rsidRPr="00C9680B">
        <w:t>ring. För att fler skall få del av dess fördelar vill Folkpartiet på statsbudgetens utgiftssida avdela ytterligare resurser till internationellt bistånd. Biståndsa</w:t>
      </w:r>
      <w:r w:rsidRPr="00C9680B">
        <w:t>n</w:t>
      </w:r>
      <w:r w:rsidRPr="00C9680B">
        <w:t>slaget höjs med 1,7 miljarder kronor nästa år i syfte att kunna återställa e</w:t>
      </w:r>
      <w:r w:rsidRPr="00C9680B">
        <w:t>n</w:t>
      </w:r>
      <w:r w:rsidRPr="00C9680B">
        <w:t>procentsmålet inom en femårsperiod. En satsning görs också på en tillgän</w:t>
      </w:r>
      <w:r w:rsidRPr="00C9680B">
        <w:t>g</w:t>
      </w:r>
      <w:r w:rsidRPr="00C9680B">
        <w:t>lighetsreform för handikappade. Staten bör enligt motionärerna helt ta över kostnaderna för assistansersättningen från kommunerna. De vill också åte</w:t>
      </w:r>
      <w:r w:rsidRPr="00C9680B">
        <w:t>r</w:t>
      </w:r>
      <w:r w:rsidRPr="00C9680B">
        <w:t>ställa änkepensionerna till tidigare nivå och ut</w:t>
      </w:r>
      <w:r w:rsidRPr="00C9680B">
        <w:t>sträcka den tid under vilken omställningspension kan utgå till 12 månader. Vidare skall innehav av fritid</w:t>
      </w:r>
      <w:r w:rsidRPr="00C9680B">
        <w:t>s</w:t>
      </w:r>
      <w:r w:rsidRPr="00C9680B">
        <w:t>hus inte påverka nivån på b</w:t>
      </w:r>
      <w:r w:rsidRPr="00C9680B">
        <w:t>o</w:t>
      </w:r>
      <w:r w:rsidRPr="00C9680B">
        <w:t>stadstillägget till pensionärer.</w:t>
      </w:r>
    </w:p>
    <w:p w:rsidR="001C7BF9" w:rsidRPr="00C9680B" w:rsidRDefault="001C7BF9">
      <w:pPr>
        <w:pStyle w:val="Normaltindrag"/>
      </w:pPr>
      <w:r w:rsidRPr="00C9680B">
        <w:t>Kvaliteten på högskoleutbildningen har enligt motionärerna blivit lidande av de senaste årens höga utbyggnadstakt. Utbyggnaden bör därför sänkas och mer resurser satsas på att stärka kvaliteten och lärartätheten. Fakultetsfors</w:t>
      </w:r>
      <w:r w:rsidRPr="00C9680B">
        <w:t>k</w:t>
      </w:r>
      <w:r w:rsidRPr="00C9680B">
        <w:t>ningen tillförs 500 miljoner kronor årligen och studiemedlen räknas upp med 200 kr per månad för alla stud</w:t>
      </w:r>
      <w:r w:rsidRPr="00C9680B">
        <w:t>e</w:t>
      </w:r>
      <w:r w:rsidRPr="00C9680B">
        <w:t>rande.</w:t>
      </w:r>
    </w:p>
    <w:p w:rsidR="001C7BF9" w:rsidRPr="00C9680B" w:rsidRDefault="001C7BF9">
      <w:pPr>
        <w:pStyle w:val="Normaltindrag"/>
      </w:pPr>
      <w:r w:rsidRPr="00C9680B">
        <w:t>Väginvesteringarna bör permanent ökas med 750 miljoner kronor per år. Dessutom bör en tidsbegränsad storstadssatsning på 4 miljarder kronor göras under en tvåårsperiod för att minska de mest akuta trafikproblemen, i första hand i Stockholm och Göteborg.</w:t>
      </w:r>
    </w:p>
    <w:p w:rsidR="001C7BF9" w:rsidRPr="00C9680B" w:rsidRDefault="001C7BF9">
      <w:pPr>
        <w:pStyle w:val="Normaltindrag"/>
      </w:pPr>
      <w:r w:rsidRPr="00C9680B">
        <w:t>Motionärerna drar även upp riktlinjer för en framtida, större socialförsä</w:t>
      </w:r>
      <w:r w:rsidRPr="00C9680B">
        <w:t>k</w:t>
      </w:r>
      <w:r w:rsidRPr="00C9680B">
        <w:t>ringsreform som de vill få till stånd och som skall innefatta pensionsförsä</w:t>
      </w:r>
      <w:r w:rsidRPr="00C9680B">
        <w:t>k</w:t>
      </w:r>
      <w:r w:rsidRPr="00C9680B">
        <w:t>ring, sjukförsäkring och arbetslöshetsförsäkring. De tre försäkringarna skall vara obligatoriska och fristående från statsbudgeten, och det skall vara raka rör mellan avgifter och förmåner. Försäkringarnas oberoende av statsbudg</w:t>
      </w:r>
      <w:r w:rsidRPr="00C9680B">
        <w:t>e</w:t>
      </w:r>
      <w:r w:rsidRPr="00C9680B">
        <w:t>ten skall tryggas genom fristående fonder.</w:t>
      </w:r>
    </w:p>
    <w:p w:rsidR="001C7BF9" w:rsidRPr="00C9680B" w:rsidRDefault="001C7BF9">
      <w:pPr>
        <w:pStyle w:val="Normaltindrag"/>
      </w:pPr>
      <w:r w:rsidRPr="00C9680B">
        <w:t>Folkpartiet anser att staten i endast ett fåtal undantagsfall skall driva för</w:t>
      </w:r>
      <w:r w:rsidRPr="00C9680B">
        <w:t>e</w:t>
      </w:r>
      <w:r w:rsidRPr="00C9680B">
        <w:t>tag. I motionen föreslås därför att staten skall sälja ut statligt ägda bolag mo</w:t>
      </w:r>
      <w:r w:rsidRPr="00C9680B">
        <w:t>t</w:t>
      </w:r>
      <w:r w:rsidRPr="00C9680B">
        <w:t>svarande 95 miljarder kronor 2001, 60 miljarder kronor 2002 och ytterligare 60 miljarder kronor 2003. Statsskulden kan därigenom amorteras snabbare vilket enligt motionärernas redovisning leder till att statsskuldsräntorna under de tre närmaste åren minskar med 1,7, 3,3 respektive 4,0 miljarder kronor i jämförelse med regeringens politik.</w:t>
      </w:r>
    </w:p>
    <w:p w:rsidR="001C7BF9" w:rsidRPr="00C9680B" w:rsidRDefault="001C7BF9">
      <w:pPr>
        <w:pStyle w:val="Normaltindrag"/>
      </w:pPr>
      <w:r w:rsidRPr="00C9680B">
        <w:t>De föreslagna skattesänkningarna och utgiftsåtagandena finansieras genom besparingar, gen</w:t>
      </w:r>
      <w:r w:rsidRPr="00C9680B">
        <w:t>om att delar av regeringens skatteförslag avvisas samt genom satsningar som ger utdelning i form av minskade utgifter eller ökade inkom</w:t>
      </w:r>
      <w:r w:rsidRPr="00C9680B">
        <w:t>s</w:t>
      </w:r>
      <w:r w:rsidRPr="00C9680B">
        <w:t>ter.</w:t>
      </w:r>
    </w:p>
    <w:p w:rsidR="001C7BF9" w:rsidRPr="00C9680B" w:rsidRDefault="001C7BF9">
      <w:pPr>
        <w:pStyle w:val="Normaltindrag"/>
      </w:pPr>
      <w:r w:rsidRPr="00C9680B">
        <w:t>Presstödet kan mot bakgrund av den nya mediesituation som uppkommit begränsas med 400 miljoner kronor, anser motionärerna som också vill b</w:t>
      </w:r>
      <w:r w:rsidRPr="00C9680B">
        <w:t>e</w:t>
      </w:r>
      <w:r w:rsidRPr="00C9680B">
        <w:t>gränsa anslaget till Regeringskansliet med 330 miljoner kronor. Detta kan enligt deras mening ske utan att Sveriges funktion som ordförandeland i EU under första halvåret 2001 drabbas. Vidare blir det till följd av den förbättrade konjunkturen möjligt att minska antalet personer i konjunkturberoende a</w:t>
      </w:r>
      <w:r w:rsidRPr="00C9680B">
        <w:t>r</w:t>
      </w:r>
      <w:r w:rsidRPr="00C9680B">
        <w:t>betsmarknadspolitiska åtgärder. En motsvarande neddragning kan då också göras på den arbetsmarknadspolitiska utbildningen. I det folkpartistiska bu</w:t>
      </w:r>
      <w:r w:rsidRPr="00C9680B">
        <w:t>d</w:t>
      </w:r>
      <w:r w:rsidRPr="00C9680B">
        <w:t>getalternativet minskas dessutom Arbetsmarknadsverkets förva</w:t>
      </w:r>
      <w:r w:rsidRPr="00C9680B">
        <w:t>ltningsanslag med 800 miljoner kronor. Även utgifterna för Kunskapslyftet kan minskas med 25 % till följd av den förbättrade konjunkturen, och en omvandling av vuxenstudiestödet väntas leda till betydande besp</w:t>
      </w:r>
      <w:r w:rsidRPr="00C9680B">
        <w:t>a</w:t>
      </w:r>
      <w:r w:rsidRPr="00C9680B">
        <w:t>ringar.</w:t>
      </w:r>
    </w:p>
    <w:p w:rsidR="001C7BF9" w:rsidRPr="00C9680B" w:rsidRDefault="001C7BF9">
      <w:pPr>
        <w:pStyle w:val="Normaltindrag"/>
      </w:pPr>
      <w:r w:rsidRPr="00C9680B">
        <w:t>Motionärerna vill också påskynda minskningen av utgifterna för ränt</w:t>
      </w:r>
      <w:r w:rsidRPr="00C9680B">
        <w:t>e</w:t>
      </w:r>
      <w:r w:rsidRPr="00C9680B">
        <w:t>bidrag samt dra ner på utgifterna för Boverket. Stora besparingar kan enligt deras mening också göras genom att på nytt ta Barsebäck I i drift eftersom avvecklingskostnader då bortfaller och större delen av åtgärdsprogrammet på energiomr</w:t>
      </w:r>
      <w:r w:rsidRPr="00C9680B">
        <w:t>å</w:t>
      </w:r>
      <w:r w:rsidRPr="00C9680B">
        <w:t>det kan slopas.</w:t>
      </w:r>
    </w:p>
    <w:p w:rsidR="001C7BF9" w:rsidRPr="00C9680B" w:rsidRDefault="001C7BF9">
      <w:pPr>
        <w:pStyle w:val="Normaltindrag"/>
      </w:pPr>
      <w:r w:rsidRPr="00C9680B">
        <w:t>Besparingar kan också göras genom en ökad satsning på rehabilitering, vilket leder till minskade sjukförsäkringskostnader.</w:t>
      </w:r>
    </w:p>
    <w:p w:rsidR="001C7BF9" w:rsidRPr="00C9680B" w:rsidRDefault="001C7BF9">
      <w:pPr>
        <w:pStyle w:val="Normaltindrag"/>
      </w:pPr>
      <w:r w:rsidRPr="00C9680B">
        <w:t>Vidare föreslås att inga ytterligare medel anvisas till vare sig den s.k. kommunakuten eller de lokala investeringsprogrammen, ej heller till den särskilda sto</w:t>
      </w:r>
      <w:r w:rsidRPr="00C9680B">
        <w:t>r</w:t>
      </w:r>
      <w:r w:rsidRPr="00C9680B">
        <w:t>stadssatsningen.</w:t>
      </w:r>
    </w:p>
    <w:p w:rsidR="001C7BF9" w:rsidRPr="00C9680B" w:rsidRDefault="001C7BF9">
      <w:pPr>
        <w:pStyle w:val="Normaltindrag"/>
      </w:pPr>
      <w:r w:rsidRPr="00C9680B">
        <w:t>Motionärerna framhåller att de står bakom den s.k. finansieringsprincipen och reglerar därför de kommunalekonomiska effekterna av några av sina förslag mot det generella statsbidraget till kommuner. Däremot regleras inte effekten av partiets förslag till skatteförändringar på detta sätt. Motionärerna förutsätter emellertid att dessa effekter skall justeras netto så att kommune</w:t>
      </w:r>
      <w:r w:rsidRPr="00C9680B">
        <w:t>r</w:t>
      </w:r>
      <w:r w:rsidRPr="00C9680B">
        <w:t>nas ekonomi inte p</w:t>
      </w:r>
      <w:r w:rsidRPr="00C9680B">
        <w:t>å</w:t>
      </w:r>
      <w:r w:rsidRPr="00C9680B">
        <w:t>verkas.</w:t>
      </w:r>
    </w:p>
    <w:p w:rsidR="001C7BF9" w:rsidRPr="00C9680B" w:rsidRDefault="001C7BF9">
      <w:pPr>
        <w:pStyle w:val="Normaltindrag"/>
      </w:pPr>
      <w:r w:rsidRPr="00C9680B">
        <w:t>Folkpartiets budgetalternativ kan med ledning av de uppgifter som redov</w:t>
      </w:r>
      <w:r w:rsidRPr="00C9680B">
        <w:t>i</w:t>
      </w:r>
      <w:r w:rsidRPr="00C9680B">
        <w:t>sas i motionen sammanfattas på följande sätt.</w:t>
      </w:r>
    </w:p>
    <w:p w:rsidR="001C7BF9" w:rsidRPr="00C9680B" w:rsidRDefault="001C7BF9">
      <w:pPr>
        <w:pStyle w:val="TabellrubrikPer"/>
        <w:keepNext/>
        <w:keepLines/>
        <w:spacing w:line="190" w:lineRule="exact"/>
        <w:outlineLvl w:val="0"/>
        <w:rPr>
          <w:b/>
          <w:caps w:val="0"/>
          <w:spacing w:val="0"/>
          <w:sz w:val="16"/>
        </w:rPr>
      </w:pPr>
      <w:r w:rsidRPr="00C9680B">
        <w:rPr>
          <w:b/>
          <w:caps w:val="0"/>
          <w:spacing w:val="0"/>
          <w:sz w:val="16"/>
        </w:rPr>
        <w:t>Tabell 22. Finansiella effekter av Folkpartiet liberalernas budgetförslag 2001–2003</w:t>
      </w:r>
    </w:p>
    <w:p w:rsidR="001C7BF9" w:rsidRPr="00C9680B" w:rsidRDefault="001C7BF9">
      <w:pPr>
        <w:pStyle w:val="Tabell"/>
        <w:keepNext/>
        <w:keepLines/>
        <w:spacing w:line="190" w:lineRule="exact"/>
        <w:outlineLvl w:val="0"/>
        <w:rPr>
          <w:sz w:val="14"/>
        </w:rPr>
      </w:pPr>
      <w:r w:rsidRPr="00C9680B">
        <w:rPr>
          <w:sz w:val="14"/>
        </w:rPr>
        <w:t>Offentliga sektorns finansiella sparande</w:t>
      </w:r>
    </w:p>
    <w:p w:rsidR="001C7BF9" w:rsidRPr="00C9680B" w:rsidRDefault="001C7BF9">
      <w:pPr>
        <w:pStyle w:val="Tabell"/>
        <w:keepNext/>
        <w:keepLines/>
        <w:spacing w:after="40" w:line="190" w:lineRule="exact"/>
        <w:outlineLvl w:val="0"/>
        <w:rPr>
          <w:sz w:val="14"/>
        </w:rPr>
      </w:pPr>
      <w:r w:rsidRPr="00C9680B">
        <w:rPr>
          <w:sz w:val="14"/>
        </w:rPr>
        <w:t xml:space="preserve">Belopp i miljarder kronor </w:t>
      </w:r>
    </w:p>
    <w:tbl>
      <w:tblPr>
        <w:tblW w:w="0" w:type="auto"/>
        <w:tblLayout w:type="fixed"/>
        <w:tblCellMar>
          <w:left w:w="0" w:type="dxa"/>
          <w:right w:w="0" w:type="dxa"/>
        </w:tblCellMar>
        <w:tblLook w:val="0000" w:firstRow="0" w:lastRow="0" w:firstColumn="0" w:lastColumn="0" w:noHBand="0" w:noVBand="0"/>
      </w:tblPr>
      <w:tblGrid>
        <w:gridCol w:w="4536"/>
        <w:gridCol w:w="624"/>
        <w:gridCol w:w="624"/>
        <w:gridCol w:w="624"/>
      </w:tblGrid>
      <w:tr w:rsidR="00000000" w:rsidRPr="00C9680B">
        <w:tblPrEx>
          <w:tblCellMar>
            <w:top w:w="0" w:type="dxa"/>
            <w:left w:w="0" w:type="dxa"/>
            <w:bottom w:w="0" w:type="dxa"/>
            <w:right w:w="0" w:type="dxa"/>
          </w:tblCellMar>
        </w:tblPrEx>
        <w:tc>
          <w:tcPr>
            <w:tcW w:w="4536" w:type="dxa"/>
            <w:tcBorders>
              <w:top w:val="single" w:sz="6" w:space="0" w:color="auto"/>
              <w:bottom w:val="single" w:sz="6" w:space="0" w:color="auto"/>
            </w:tcBorders>
          </w:tcPr>
          <w:p w:rsidR="001C7BF9" w:rsidRPr="00C9680B" w:rsidRDefault="001C7BF9">
            <w:pPr>
              <w:pStyle w:val="Tabell"/>
              <w:keepNext/>
              <w:keepLines/>
              <w:rPr>
                <w:b/>
                <w:sz w:val="16"/>
              </w:rPr>
            </w:pPr>
          </w:p>
        </w:tc>
        <w:tc>
          <w:tcPr>
            <w:tcW w:w="624"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2001</w:t>
            </w:r>
          </w:p>
        </w:tc>
        <w:tc>
          <w:tcPr>
            <w:tcW w:w="624"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2002</w:t>
            </w:r>
          </w:p>
        </w:tc>
        <w:tc>
          <w:tcPr>
            <w:tcW w:w="624"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2003</w:t>
            </w:r>
          </w:p>
        </w:tc>
      </w:tr>
      <w:tr w:rsidR="00000000" w:rsidRPr="00C9680B">
        <w:tblPrEx>
          <w:tblCellMar>
            <w:top w:w="0" w:type="dxa"/>
            <w:left w:w="0" w:type="dxa"/>
            <w:bottom w:w="0" w:type="dxa"/>
            <w:right w:w="0" w:type="dxa"/>
          </w:tblCellMar>
        </w:tblPrEx>
        <w:trPr>
          <w:trHeight w:hRule="exact" w:val="60"/>
        </w:trPr>
        <w:tc>
          <w:tcPr>
            <w:tcW w:w="4536" w:type="dxa"/>
          </w:tcPr>
          <w:p w:rsidR="001C7BF9" w:rsidRPr="00C9680B" w:rsidRDefault="001C7BF9">
            <w:pPr>
              <w:pStyle w:val="Tabell"/>
              <w:keepNext/>
              <w:keepLines/>
              <w:rPr>
                <w:sz w:val="16"/>
              </w:rPr>
            </w:pPr>
          </w:p>
        </w:tc>
        <w:tc>
          <w:tcPr>
            <w:tcW w:w="624" w:type="dxa"/>
          </w:tcPr>
          <w:p w:rsidR="001C7BF9" w:rsidRPr="00C9680B" w:rsidRDefault="001C7BF9">
            <w:pPr>
              <w:pStyle w:val="Tabell"/>
              <w:keepNext/>
              <w:keepLines/>
              <w:ind w:right="57"/>
              <w:jc w:val="right"/>
              <w:rPr>
                <w:sz w:val="16"/>
              </w:rPr>
            </w:pPr>
          </w:p>
        </w:tc>
        <w:tc>
          <w:tcPr>
            <w:tcW w:w="624" w:type="dxa"/>
          </w:tcPr>
          <w:p w:rsidR="001C7BF9" w:rsidRPr="00C9680B" w:rsidRDefault="001C7BF9">
            <w:pPr>
              <w:pStyle w:val="Tabell"/>
              <w:keepNext/>
              <w:keepLines/>
              <w:ind w:right="57"/>
              <w:jc w:val="right"/>
              <w:rPr>
                <w:sz w:val="16"/>
              </w:rPr>
            </w:pPr>
          </w:p>
        </w:tc>
        <w:tc>
          <w:tcPr>
            <w:tcW w:w="624" w:type="dxa"/>
          </w:tcPr>
          <w:p w:rsidR="001C7BF9" w:rsidRPr="00C9680B" w:rsidRDefault="001C7BF9">
            <w:pPr>
              <w:pStyle w:val="Tabell"/>
              <w:keepNext/>
              <w:keepLines/>
              <w:ind w:right="57"/>
              <w:jc w:val="right"/>
              <w:rPr>
                <w:sz w:val="16"/>
              </w:rPr>
            </w:pPr>
          </w:p>
        </w:tc>
      </w:tr>
      <w:tr w:rsidR="00000000" w:rsidRPr="00C9680B">
        <w:tblPrEx>
          <w:tblCellMar>
            <w:top w:w="0" w:type="dxa"/>
            <w:left w:w="0" w:type="dxa"/>
            <w:bottom w:w="0" w:type="dxa"/>
            <w:right w:w="0" w:type="dxa"/>
          </w:tblCellMar>
        </w:tblPrEx>
        <w:tc>
          <w:tcPr>
            <w:tcW w:w="4536" w:type="dxa"/>
          </w:tcPr>
          <w:p w:rsidR="001C7BF9" w:rsidRPr="00C9680B" w:rsidRDefault="001C7BF9">
            <w:pPr>
              <w:pStyle w:val="Tabell"/>
              <w:keepNext/>
              <w:keepLines/>
              <w:spacing w:line="200" w:lineRule="exact"/>
              <w:rPr>
                <w:b/>
                <w:sz w:val="16"/>
              </w:rPr>
            </w:pPr>
            <w:r w:rsidRPr="00C9680B">
              <w:rPr>
                <w:b/>
                <w:sz w:val="16"/>
              </w:rPr>
              <w:t>Nivån på finansiellt sparande i offentlig sektor enl. Regerin</w:t>
            </w:r>
            <w:r w:rsidRPr="00C9680B">
              <w:rPr>
                <w:b/>
                <w:sz w:val="16"/>
              </w:rPr>
              <w:t>g</w:t>
            </w:r>
            <w:r w:rsidRPr="00C9680B">
              <w:rPr>
                <w:b/>
                <w:sz w:val="16"/>
              </w:rPr>
              <w:t>en</w:t>
            </w:r>
          </w:p>
        </w:tc>
        <w:tc>
          <w:tcPr>
            <w:tcW w:w="624" w:type="dxa"/>
          </w:tcPr>
          <w:p w:rsidR="001C7BF9" w:rsidRPr="00C9680B" w:rsidRDefault="001C7BF9">
            <w:pPr>
              <w:pStyle w:val="Tabell"/>
              <w:keepNext/>
              <w:keepLines/>
              <w:spacing w:line="200" w:lineRule="exact"/>
              <w:ind w:right="57"/>
              <w:jc w:val="right"/>
              <w:rPr>
                <w:b/>
                <w:sz w:val="16"/>
              </w:rPr>
            </w:pPr>
            <w:r w:rsidRPr="00C9680B">
              <w:rPr>
                <w:b/>
                <w:sz w:val="16"/>
              </w:rPr>
              <w:t>75,7</w:t>
            </w:r>
          </w:p>
        </w:tc>
        <w:tc>
          <w:tcPr>
            <w:tcW w:w="624" w:type="dxa"/>
          </w:tcPr>
          <w:p w:rsidR="001C7BF9" w:rsidRPr="00C9680B" w:rsidRDefault="001C7BF9">
            <w:pPr>
              <w:pStyle w:val="Tabell"/>
              <w:keepNext/>
              <w:keepLines/>
              <w:spacing w:line="200" w:lineRule="exact"/>
              <w:ind w:right="57"/>
              <w:jc w:val="right"/>
              <w:rPr>
                <w:b/>
                <w:sz w:val="16"/>
              </w:rPr>
            </w:pPr>
            <w:r w:rsidRPr="00C9680B">
              <w:rPr>
                <w:b/>
                <w:sz w:val="16"/>
              </w:rPr>
              <w:t>45,4</w:t>
            </w:r>
          </w:p>
        </w:tc>
        <w:tc>
          <w:tcPr>
            <w:tcW w:w="624" w:type="dxa"/>
          </w:tcPr>
          <w:p w:rsidR="001C7BF9" w:rsidRPr="00C9680B" w:rsidRDefault="001C7BF9">
            <w:pPr>
              <w:pStyle w:val="Tabell"/>
              <w:keepNext/>
              <w:keepLines/>
              <w:spacing w:line="200" w:lineRule="exact"/>
              <w:ind w:right="57"/>
              <w:jc w:val="right"/>
              <w:rPr>
                <w:b/>
                <w:sz w:val="16"/>
              </w:rPr>
            </w:pPr>
            <w:r w:rsidRPr="00C9680B">
              <w:rPr>
                <w:b/>
                <w:sz w:val="16"/>
              </w:rPr>
              <w:t>47,3</w:t>
            </w:r>
          </w:p>
        </w:tc>
      </w:tr>
      <w:tr w:rsidR="00000000" w:rsidRPr="00C9680B">
        <w:tblPrEx>
          <w:tblCellMar>
            <w:top w:w="0" w:type="dxa"/>
            <w:left w:w="0" w:type="dxa"/>
            <w:bottom w:w="0" w:type="dxa"/>
            <w:right w:w="0" w:type="dxa"/>
          </w:tblCellMar>
        </w:tblPrEx>
        <w:tc>
          <w:tcPr>
            <w:tcW w:w="4536" w:type="dxa"/>
          </w:tcPr>
          <w:p w:rsidR="001C7BF9" w:rsidRPr="00C9680B" w:rsidRDefault="001C7BF9">
            <w:pPr>
              <w:pStyle w:val="Tabell"/>
              <w:keepNext/>
              <w:keepLines/>
              <w:rPr>
                <w:sz w:val="16"/>
              </w:rPr>
            </w:pPr>
            <w:r w:rsidRPr="00C9680B">
              <w:rPr>
                <w:sz w:val="16"/>
              </w:rPr>
              <w:t>Utgiftsminskningar, netto</w:t>
            </w:r>
          </w:p>
        </w:tc>
        <w:tc>
          <w:tcPr>
            <w:tcW w:w="624" w:type="dxa"/>
          </w:tcPr>
          <w:p w:rsidR="001C7BF9" w:rsidRPr="00C9680B" w:rsidRDefault="001C7BF9">
            <w:pPr>
              <w:pStyle w:val="Tabell"/>
              <w:keepNext/>
              <w:keepLines/>
              <w:ind w:right="57"/>
              <w:jc w:val="right"/>
              <w:rPr>
                <w:sz w:val="16"/>
              </w:rPr>
            </w:pPr>
            <w:r w:rsidRPr="00C9680B">
              <w:rPr>
                <w:sz w:val="16"/>
              </w:rPr>
              <w:t>+23,2</w:t>
            </w:r>
          </w:p>
        </w:tc>
        <w:tc>
          <w:tcPr>
            <w:tcW w:w="624" w:type="dxa"/>
          </w:tcPr>
          <w:p w:rsidR="001C7BF9" w:rsidRPr="00C9680B" w:rsidRDefault="001C7BF9">
            <w:pPr>
              <w:pStyle w:val="Tabell"/>
              <w:keepNext/>
              <w:keepLines/>
              <w:ind w:right="57"/>
              <w:jc w:val="right"/>
              <w:rPr>
                <w:sz w:val="16"/>
              </w:rPr>
            </w:pPr>
            <w:r w:rsidRPr="00C9680B">
              <w:rPr>
                <w:sz w:val="16"/>
              </w:rPr>
              <w:t>+31,4</w:t>
            </w:r>
          </w:p>
        </w:tc>
        <w:tc>
          <w:tcPr>
            <w:tcW w:w="624" w:type="dxa"/>
          </w:tcPr>
          <w:p w:rsidR="001C7BF9" w:rsidRPr="00C9680B" w:rsidRDefault="001C7BF9">
            <w:pPr>
              <w:pStyle w:val="Tabell"/>
              <w:keepNext/>
              <w:keepLines/>
              <w:ind w:right="57"/>
              <w:jc w:val="right"/>
              <w:rPr>
                <w:sz w:val="16"/>
              </w:rPr>
            </w:pPr>
            <w:r w:rsidRPr="00C9680B">
              <w:rPr>
                <w:sz w:val="16"/>
              </w:rPr>
              <w:t>+30,3</w:t>
            </w:r>
          </w:p>
        </w:tc>
      </w:tr>
      <w:tr w:rsidR="00000000" w:rsidRPr="00C9680B">
        <w:tblPrEx>
          <w:tblCellMar>
            <w:top w:w="0" w:type="dxa"/>
            <w:left w:w="0" w:type="dxa"/>
            <w:bottom w:w="0" w:type="dxa"/>
            <w:right w:w="0" w:type="dxa"/>
          </w:tblCellMar>
        </w:tblPrEx>
        <w:tc>
          <w:tcPr>
            <w:tcW w:w="4536" w:type="dxa"/>
          </w:tcPr>
          <w:p w:rsidR="001C7BF9" w:rsidRPr="00C9680B" w:rsidRDefault="001C7BF9">
            <w:pPr>
              <w:pStyle w:val="Tabell"/>
              <w:keepNext/>
              <w:keepLines/>
              <w:rPr>
                <w:sz w:val="16"/>
              </w:rPr>
            </w:pPr>
            <w:r w:rsidRPr="00C9680B">
              <w:rPr>
                <w:sz w:val="16"/>
              </w:rPr>
              <w:t>Skattesänkningar, netto</w:t>
            </w:r>
          </w:p>
        </w:tc>
        <w:tc>
          <w:tcPr>
            <w:tcW w:w="624" w:type="dxa"/>
          </w:tcPr>
          <w:p w:rsidR="001C7BF9" w:rsidRPr="00C9680B" w:rsidRDefault="001C7BF9">
            <w:pPr>
              <w:pStyle w:val="Tabell"/>
              <w:keepNext/>
              <w:keepLines/>
              <w:ind w:right="57"/>
              <w:jc w:val="right"/>
              <w:rPr>
                <w:sz w:val="16"/>
              </w:rPr>
            </w:pPr>
            <w:r w:rsidRPr="00C9680B">
              <w:rPr>
                <w:sz w:val="16"/>
              </w:rPr>
              <w:t>-29,2</w:t>
            </w:r>
          </w:p>
        </w:tc>
        <w:tc>
          <w:tcPr>
            <w:tcW w:w="624" w:type="dxa"/>
          </w:tcPr>
          <w:p w:rsidR="001C7BF9" w:rsidRPr="00C9680B" w:rsidRDefault="001C7BF9">
            <w:pPr>
              <w:pStyle w:val="Tabell"/>
              <w:keepNext/>
              <w:keepLines/>
              <w:ind w:right="57"/>
              <w:jc w:val="right"/>
              <w:rPr>
                <w:sz w:val="16"/>
              </w:rPr>
            </w:pPr>
            <w:r w:rsidRPr="00C9680B">
              <w:rPr>
                <w:sz w:val="16"/>
              </w:rPr>
              <w:t>-56,4</w:t>
            </w:r>
          </w:p>
        </w:tc>
        <w:tc>
          <w:tcPr>
            <w:tcW w:w="624" w:type="dxa"/>
          </w:tcPr>
          <w:p w:rsidR="001C7BF9" w:rsidRPr="00C9680B" w:rsidRDefault="001C7BF9">
            <w:pPr>
              <w:pStyle w:val="Tabell"/>
              <w:keepNext/>
              <w:keepLines/>
              <w:ind w:right="57"/>
              <w:jc w:val="right"/>
              <w:rPr>
                <w:sz w:val="16"/>
              </w:rPr>
            </w:pPr>
            <w:r w:rsidRPr="00C9680B">
              <w:rPr>
                <w:sz w:val="16"/>
              </w:rPr>
              <w:t>-62,9</w:t>
            </w:r>
          </w:p>
        </w:tc>
      </w:tr>
      <w:tr w:rsidR="00000000" w:rsidRPr="00C9680B">
        <w:tblPrEx>
          <w:tblCellMar>
            <w:top w:w="0" w:type="dxa"/>
            <w:left w:w="0" w:type="dxa"/>
            <w:bottom w:w="0" w:type="dxa"/>
            <w:right w:w="0" w:type="dxa"/>
          </w:tblCellMar>
        </w:tblPrEx>
        <w:tc>
          <w:tcPr>
            <w:tcW w:w="4536" w:type="dxa"/>
          </w:tcPr>
          <w:p w:rsidR="001C7BF9" w:rsidRPr="00C9680B" w:rsidRDefault="001C7BF9">
            <w:pPr>
              <w:pStyle w:val="Tabell"/>
              <w:keepNext/>
              <w:keepLines/>
              <w:rPr>
                <w:sz w:val="16"/>
              </w:rPr>
            </w:pPr>
            <w:r w:rsidRPr="00C9680B">
              <w:rPr>
                <w:sz w:val="16"/>
              </w:rPr>
              <w:t>Ränteeffekt av större privatiseringar än regerin</w:t>
            </w:r>
            <w:r w:rsidRPr="00C9680B">
              <w:rPr>
                <w:sz w:val="16"/>
              </w:rPr>
              <w:t>g</w:t>
            </w:r>
            <w:r w:rsidRPr="00C9680B">
              <w:rPr>
                <w:sz w:val="16"/>
              </w:rPr>
              <w:t>en</w:t>
            </w:r>
          </w:p>
        </w:tc>
        <w:tc>
          <w:tcPr>
            <w:tcW w:w="624" w:type="dxa"/>
          </w:tcPr>
          <w:p w:rsidR="001C7BF9" w:rsidRPr="00C9680B" w:rsidRDefault="001C7BF9">
            <w:pPr>
              <w:pStyle w:val="Tabell"/>
              <w:keepNext/>
              <w:keepLines/>
              <w:ind w:right="57"/>
              <w:jc w:val="right"/>
              <w:rPr>
                <w:sz w:val="16"/>
              </w:rPr>
            </w:pPr>
            <w:r w:rsidRPr="00C9680B">
              <w:rPr>
                <w:sz w:val="16"/>
              </w:rPr>
              <w:t>+1,7</w:t>
            </w:r>
          </w:p>
        </w:tc>
        <w:tc>
          <w:tcPr>
            <w:tcW w:w="624" w:type="dxa"/>
          </w:tcPr>
          <w:p w:rsidR="001C7BF9" w:rsidRPr="00C9680B" w:rsidRDefault="001C7BF9">
            <w:pPr>
              <w:pStyle w:val="Tabell"/>
              <w:keepNext/>
              <w:keepLines/>
              <w:ind w:right="57"/>
              <w:jc w:val="right"/>
              <w:rPr>
                <w:sz w:val="16"/>
              </w:rPr>
            </w:pPr>
            <w:r w:rsidRPr="00C9680B">
              <w:rPr>
                <w:sz w:val="16"/>
              </w:rPr>
              <w:t>+3,3</w:t>
            </w:r>
          </w:p>
        </w:tc>
        <w:tc>
          <w:tcPr>
            <w:tcW w:w="624" w:type="dxa"/>
          </w:tcPr>
          <w:p w:rsidR="001C7BF9" w:rsidRPr="00C9680B" w:rsidRDefault="001C7BF9">
            <w:pPr>
              <w:pStyle w:val="Tabell"/>
              <w:keepNext/>
              <w:keepLines/>
              <w:ind w:right="57"/>
              <w:jc w:val="right"/>
              <w:rPr>
                <w:sz w:val="16"/>
              </w:rPr>
            </w:pPr>
            <w:r w:rsidRPr="00C9680B">
              <w:rPr>
                <w:sz w:val="16"/>
              </w:rPr>
              <w:t>+4,0</w:t>
            </w:r>
          </w:p>
        </w:tc>
      </w:tr>
      <w:tr w:rsidR="00000000" w:rsidRPr="00C9680B">
        <w:tblPrEx>
          <w:tblCellMar>
            <w:top w:w="0" w:type="dxa"/>
            <w:left w:w="0" w:type="dxa"/>
            <w:bottom w:w="0" w:type="dxa"/>
            <w:right w:w="0" w:type="dxa"/>
          </w:tblCellMar>
        </w:tblPrEx>
        <w:tc>
          <w:tcPr>
            <w:tcW w:w="4536" w:type="dxa"/>
          </w:tcPr>
          <w:p w:rsidR="001C7BF9" w:rsidRPr="00C9680B" w:rsidRDefault="001C7BF9">
            <w:pPr>
              <w:pStyle w:val="Tabell"/>
              <w:keepNext/>
              <w:keepLines/>
              <w:spacing w:line="200" w:lineRule="exact"/>
              <w:rPr>
                <w:b/>
                <w:sz w:val="16"/>
              </w:rPr>
            </w:pPr>
            <w:r w:rsidRPr="00C9680B">
              <w:rPr>
                <w:b/>
                <w:sz w:val="16"/>
              </w:rPr>
              <w:t>Samlad effekt på finansiellt sparande enligt (fp)</w:t>
            </w:r>
            <w:r w:rsidRPr="00C9680B">
              <w:rPr>
                <w:sz w:val="16"/>
              </w:rPr>
              <w:t>¹</w:t>
            </w:r>
          </w:p>
        </w:tc>
        <w:tc>
          <w:tcPr>
            <w:tcW w:w="624" w:type="dxa"/>
          </w:tcPr>
          <w:p w:rsidR="001C7BF9" w:rsidRPr="00C9680B" w:rsidRDefault="001C7BF9">
            <w:pPr>
              <w:pStyle w:val="Tabell"/>
              <w:keepNext/>
              <w:keepLines/>
              <w:spacing w:line="200" w:lineRule="exact"/>
              <w:ind w:right="57"/>
              <w:jc w:val="right"/>
              <w:rPr>
                <w:b/>
                <w:sz w:val="16"/>
              </w:rPr>
            </w:pPr>
            <w:r w:rsidRPr="00C9680B">
              <w:rPr>
                <w:b/>
                <w:sz w:val="16"/>
              </w:rPr>
              <w:t>-4,3</w:t>
            </w:r>
          </w:p>
        </w:tc>
        <w:tc>
          <w:tcPr>
            <w:tcW w:w="624" w:type="dxa"/>
          </w:tcPr>
          <w:p w:rsidR="001C7BF9" w:rsidRPr="00C9680B" w:rsidRDefault="001C7BF9">
            <w:pPr>
              <w:pStyle w:val="Tabell"/>
              <w:keepNext/>
              <w:keepLines/>
              <w:spacing w:line="200" w:lineRule="exact"/>
              <w:ind w:right="57"/>
              <w:jc w:val="right"/>
              <w:rPr>
                <w:b/>
                <w:sz w:val="16"/>
              </w:rPr>
            </w:pPr>
            <w:r w:rsidRPr="00C9680B">
              <w:rPr>
                <w:b/>
                <w:sz w:val="16"/>
              </w:rPr>
              <w:t>-21,7</w:t>
            </w:r>
          </w:p>
        </w:tc>
        <w:tc>
          <w:tcPr>
            <w:tcW w:w="624" w:type="dxa"/>
          </w:tcPr>
          <w:p w:rsidR="001C7BF9" w:rsidRPr="00C9680B" w:rsidRDefault="001C7BF9">
            <w:pPr>
              <w:pStyle w:val="Tabell"/>
              <w:keepNext/>
              <w:keepLines/>
              <w:spacing w:line="200" w:lineRule="exact"/>
              <w:ind w:right="57"/>
              <w:jc w:val="right"/>
              <w:rPr>
                <w:b/>
                <w:sz w:val="16"/>
              </w:rPr>
            </w:pPr>
            <w:r w:rsidRPr="00C9680B">
              <w:rPr>
                <w:b/>
                <w:sz w:val="16"/>
              </w:rPr>
              <w:t>-28,6</w:t>
            </w:r>
          </w:p>
        </w:tc>
      </w:tr>
      <w:tr w:rsidR="00000000" w:rsidRPr="00C9680B">
        <w:tblPrEx>
          <w:tblCellMar>
            <w:top w:w="0" w:type="dxa"/>
            <w:left w:w="0" w:type="dxa"/>
            <w:bottom w:w="0" w:type="dxa"/>
            <w:right w:w="0" w:type="dxa"/>
          </w:tblCellMar>
        </w:tblPrEx>
        <w:tc>
          <w:tcPr>
            <w:tcW w:w="4536" w:type="dxa"/>
          </w:tcPr>
          <w:p w:rsidR="001C7BF9" w:rsidRPr="00C9680B" w:rsidRDefault="001C7BF9">
            <w:pPr>
              <w:pStyle w:val="Tabell"/>
              <w:keepNext/>
              <w:keepLines/>
              <w:jc w:val="left"/>
              <w:rPr>
                <w:sz w:val="16"/>
              </w:rPr>
            </w:pPr>
            <w:r w:rsidRPr="00C9680B">
              <w:rPr>
                <w:sz w:val="16"/>
              </w:rPr>
              <w:t>Utnyttjande av reserv avsatt i BP som beräkningsteknisk överföring till hushållen 2002 och 2003</w:t>
            </w:r>
          </w:p>
        </w:tc>
        <w:tc>
          <w:tcPr>
            <w:tcW w:w="624" w:type="dxa"/>
          </w:tcPr>
          <w:p w:rsidR="001C7BF9" w:rsidRPr="00C9680B" w:rsidRDefault="001C7BF9">
            <w:pPr>
              <w:pStyle w:val="Tabell"/>
              <w:keepNext/>
              <w:keepLines/>
              <w:ind w:right="57"/>
              <w:jc w:val="right"/>
              <w:rPr>
                <w:sz w:val="16"/>
              </w:rPr>
            </w:pPr>
          </w:p>
          <w:p w:rsidR="001C7BF9" w:rsidRPr="00C9680B" w:rsidRDefault="001C7BF9">
            <w:pPr>
              <w:pStyle w:val="Tabell"/>
              <w:keepNext/>
              <w:keepLines/>
              <w:ind w:right="57"/>
              <w:jc w:val="right"/>
              <w:rPr>
                <w:sz w:val="16"/>
              </w:rPr>
            </w:pPr>
            <w:r w:rsidRPr="00C9680B">
              <w:rPr>
                <w:sz w:val="16"/>
              </w:rPr>
              <w:t>–</w:t>
            </w:r>
          </w:p>
        </w:tc>
        <w:tc>
          <w:tcPr>
            <w:tcW w:w="624" w:type="dxa"/>
          </w:tcPr>
          <w:p w:rsidR="001C7BF9" w:rsidRPr="00C9680B" w:rsidRDefault="001C7BF9">
            <w:pPr>
              <w:pStyle w:val="Tabell"/>
              <w:keepNext/>
              <w:keepLines/>
              <w:ind w:right="57"/>
              <w:jc w:val="right"/>
              <w:rPr>
                <w:sz w:val="16"/>
              </w:rPr>
            </w:pPr>
          </w:p>
          <w:p w:rsidR="001C7BF9" w:rsidRPr="00C9680B" w:rsidRDefault="001C7BF9">
            <w:pPr>
              <w:pStyle w:val="Tabell"/>
              <w:keepNext/>
              <w:keepLines/>
              <w:ind w:right="57"/>
              <w:jc w:val="right"/>
              <w:rPr>
                <w:sz w:val="16"/>
              </w:rPr>
            </w:pPr>
            <w:r w:rsidRPr="00C9680B">
              <w:rPr>
                <w:sz w:val="16"/>
              </w:rPr>
              <w:t>+29,5</w:t>
            </w:r>
          </w:p>
        </w:tc>
        <w:tc>
          <w:tcPr>
            <w:tcW w:w="624" w:type="dxa"/>
          </w:tcPr>
          <w:p w:rsidR="001C7BF9" w:rsidRPr="00C9680B" w:rsidRDefault="001C7BF9">
            <w:pPr>
              <w:pStyle w:val="Tabell"/>
              <w:keepNext/>
              <w:keepLines/>
              <w:ind w:right="57"/>
              <w:jc w:val="right"/>
              <w:rPr>
                <w:sz w:val="16"/>
              </w:rPr>
            </w:pPr>
          </w:p>
          <w:p w:rsidR="001C7BF9" w:rsidRPr="00C9680B" w:rsidRDefault="001C7BF9">
            <w:pPr>
              <w:pStyle w:val="Tabell"/>
              <w:keepNext/>
              <w:keepLines/>
              <w:ind w:right="57"/>
              <w:jc w:val="right"/>
              <w:rPr>
                <w:sz w:val="16"/>
              </w:rPr>
            </w:pPr>
            <w:r w:rsidRPr="00C9680B">
              <w:rPr>
                <w:sz w:val="16"/>
              </w:rPr>
              <w:t>+36,8</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rPr>
                <w:b/>
                <w:sz w:val="16"/>
              </w:rPr>
            </w:pPr>
            <w:r w:rsidRPr="00C9680B">
              <w:rPr>
                <w:b/>
                <w:sz w:val="16"/>
              </w:rPr>
              <w:t>Nivån på finansiellt sparande i offentlig se</w:t>
            </w:r>
            <w:r w:rsidRPr="00C9680B">
              <w:rPr>
                <w:b/>
                <w:sz w:val="16"/>
              </w:rPr>
              <w:t>k</w:t>
            </w:r>
            <w:r w:rsidRPr="00C9680B">
              <w:rPr>
                <w:b/>
                <w:sz w:val="16"/>
              </w:rPr>
              <w:t>tor enligt (fp)</w:t>
            </w:r>
          </w:p>
        </w:tc>
        <w:tc>
          <w:tcPr>
            <w:tcW w:w="624" w:type="dxa"/>
          </w:tcPr>
          <w:p w:rsidR="001C7BF9" w:rsidRPr="00C9680B" w:rsidRDefault="001C7BF9">
            <w:pPr>
              <w:pStyle w:val="Tabell"/>
              <w:keepNext/>
              <w:keepLines/>
              <w:spacing w:line="200" w:lineRule="exact"/>
              <w:ind w:right="57"/>
              <w:jc w:val="right"/>
              <w:rPr>
                <w:b/>
                <w:sz w:val="16"/>
              </w:rPr>
            </w:pPr>
            <w:r w:rsidRPr="00C9680B">
              <w:rPr>
                <w:b/>
                <w:sz w:val="16"/>
              </w:rPr>
              <w:t>71,4</w:t>
            </w:r>
          </w:p>
        </w:tc>
        <w:tc>
          <w:tcPr>
            <w:tcW w:w="624" w:type="dxa"/>
          </w:tcPr>
          <w:p w:rsidR="001C7BF9" w:rsidRPr="00C9680B" w:rsidRDefault="001C7BF9">
            <w:pPr>
              <w:pStyle w:val="Tabell"/>
              <w:keepNext/>
              <w:keepLines/>
              <w:spacing w:line="200" w:lineRule="exact"/>
              <w:ind w:right="57"/>
              <w:jc w:val="right"/>
              <w:rPr>
                <w:b/>
                <w:sz w:val="16"/>
              </w:rPr>
            </w:pPr>
            <w:r w:rsidRPr="00C9680B">
              <w:rPr>
                <w:b/>
                <w:sz w:val="16"/>
              </w:rPr>
              <w:t>53,2</w:t>
            </w:r>
          </w:p>
        </w:tc>
        <w:tc>
          <w:tcPr>
            <w:tcW w:w="624" w:type="dxa"/>
          </w:tcPr>
          <w:p w:rsidR="001C7BF9" w:rsidRPr="00C9680B" w:rsidRDefault="001C7BF9">
            <w:pPr>
              <w:pStyle w:val="Tabell"/>
              <w:keepNext/>
              <w:keepLines/>
              <w:spacing w:line="200" w:lineRule="exact"/>
              <w:ind w:right="57"/>
              <w:jc w:val="right"/>
              <w:rPr>
                <w:b/>
                <w:sz w:val="16"/>
              </w:rPr>
            </w:pPr>
            <w:r w:rsidRPr="00C9680B">
              <w:rPr>
                <w:b/>
                <w:sz w:val="16"/>
              </w:rPr>
              <w:t>55,5</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rPr>
                <w:sz w:val="16"/>
              </w:rPr>
            </w:pPr>
            <w:r w:rsidRPr="00C9680B">
              <w:rPr>
                <w:sz w:val="16"/>
              </w:rPr>
              <w:t>Nivå i förhållande till reg. mål om 2,5 resp. 2 % överskott</w:t>
            </w:r>
          </w:p>
        </w:tc>
        <w:tc>
          <w:tcPr>
            <w:tcW w:w="624" w:type="dxa"/>
          </w:tcPr>
          <w:p w:rsidR="001C7BF9" w:rsidRPr="00C9680B" w:rsidRDefault="001C7BF9">
            <w:pPr>
              <w:pStyle w:val="Tabell"/>
              <w:keepNext/>
              <w:keepLines/>
              <w:spacing w:line="200" w:lineRule="exact"/>
              <w:ind w:right="57"/>
              <w:jc w:val="right"/>
              <w:rPr>
                <w:sz w:val="16"/>
              </w:rPr>
            </w:pPr>
            <w:r w:rsidRPr="00C9680B">
              <w:rPr>
                <w:sz w:val="16"/>
              </w:rPr>
              <w:t>+16,8</w:t>
            </w:r>
          </w:p>
        </w:tc>
        <w:tc>
          <w:tcPr>
            <w:tcW w:w="624" w:type="dxa"/>
          </w:tcPr>
          <w:p w:rsidR="001C7BF9" w:rsidRPr="00C9680B" w:rsidRDefault="001C7BF9">
            <w:pPr>
              <w:pStyle w:val="Tabell"/>
              <w:keepNext/>
              <w:keepLines/>
              <w:spacing w:line="200" w:lineRule="exact"/>
              <w:ind w:right="57"/>
              <w:jc w:val="right"/>
              <w:rPr>
                <w:sz w:val="16"/>
              </w:rPr>
            </w:pPr>
            <w:r w:rsidRPr="00C9680B">
              <w:rPr>
                <w:sz w:val="16"/>
              </w:rPr>
              <w:t>+7,8</w:t>
            </w:r>
          </w:p>
        </w:tc>
        <w:tc>
          <w:tcPr>
            <w:tcW w:w="624" w:type="dxa"/>
          </w:tcPr>
          <w:p w:rsidR="001C7BF9" w:rsidRPr="00C9680B" w:rsidRDefault="001C7BF9">
            <w:pPr>
              <w:pStyle w:val="Tabell"/>
              <w:keepNext/>
              <w:keepLines/>
              <w:spacing w:line="200" w:lineRule="exact"/>
              <w:ind w:right="57"/>
              <w:jc w:val="right"/>
              <w:rPr>
                <w:sz w:val="16"/>
              </w:rPr>
            </w:pPr>
            <w:r w:rsidRPr="00C9680B">
              <w:rPr>
                <w:sz w:val="16"/>
              </w:rPr>
              <w:t>+8,3</w:t>
            </w:r>
          </w:p>
        </w:tc>
      </w:tr>
      <w:tr w:rsidR="00000000" w:rsidRPr="00C9680B">
        <w:tblPrEx>
          <w:tblCellMar>
            <w:top w:w="0" w:type="dxa"/>
            <w:left w:w="0" w:type="dxa"/>
            <w:bottom w:w="0" w:type="dxa"/>
            <w:right w:w="0" w:type="dxa"/>
          </w:tblCellMar>
        </w:tblPrEx>
        <w:trPr>
          <w:trHeight w:hRule="exact" w:val="60"/>
        </w:trPr>
        <w:tc>
          <w:tcPr>
            <w:tcW w:w="4536" w:type="dxa"/>
            <w:tcBorders>
              <w:bottom w:val="single" w:sz="6" w:space="0" w:color="auto"/>
            </w:tcBorders>
          </w:tcPr>
          <w:p w:rsidR="001C7BF9" w:rsidRPr="00C9680B" w:rsidRDefault="001C7BF9">
            <w:pPr>
              <w:pStyle w:val="Tabell"/>
              <w:keepNext/>
              <w:keepLines/>
              <w:rPr>
                <w:sz w:val="16"/>
              </w:rPr>
            </w:pPr>
          </w:p>
        </w:tc>
        <w:tc>
          <w:tcPr>
            <w:tcW w:w="624" w:type="dxa"/>
            <w:tcBorders>
              <w:bottom w:val="single" w:sz="6" w:space="0" w:color="auto"/>
            </w:tcBorders>
          </w:tcPr>
          <w:p w:rsidR="001C7BF9" w:rsidRPr="00C9680B" w:rsidRDefault="001C7BF9">
            <w:pPr>
              <w:pStyle w:val="Tabell"/>
              <w:keepNext/>
              <w:keepLines/>
              <w:ind w:right="57"/>
              <w:jc w:val="right"/>
              <w:rPr>
                <w:sz w:val="16"/>
              </w:rPr>
            </w:pPr>
          </w:p>
        </w:tc>
        <w:tc>
          <w:tcPr>
            <w:tcW w:w="624" w:type="dxa"/>
            <w:tcBorders>
              <w:bottom w:val="single" w:sz="6" w:space="0" w:color="auto"/>
            </w:tcBorders>
          </w:tcPr>
          <w:p w:rsidR="001C7BF9" w:rsidRPr="00C9680B" w:rsidRDefault="001C7BF9">
            <w:pPr>
              <w:pStyle w:val="Tabell"/>
              <w:keepNext/>
              <w:keepLines/>
              <w:ind w:right="57"/>
              <w:jc w:val="right"/>
              <w:rPr>
                <w:sz w:val="16"/>
              </w:rPr>
            </w:pPr>
          </w:p>
        </w:tc>
        <w:tc>
          <w:tcPr>
            <w:tcW w:w="624" w:type="dxa"/>
            <w:tcBorders>
              <w:bottom w:val="single" w:sz="6" w:space="0" w:color="auto"/>
            </w:tcBorders>
          </w:tcPr>
          <w:p w:rsidR="001C7BF9" w:rsidRPr="00C9680B" w:rsidRDefault="001C7BF9">
            <w:pPr>
              <w:pStyle w:val="Tabell"/>
              <w:keepNext/>
              <w:keepLines/>
              <w:ind w:right="57"/>
              <w:jc w:val="right"/>
              <w:rPr>
                <w:sz w:val="16"/>
              </w:rPr>
            </w:pPr>
          </w:p>
        </w:tc>
      </w:tr>
    </w:tbl>
    <w:p w:rsidR="001C7BF9" w:rsidRPr="00C9680B" w:rsidRDefault="001C7BF9">
      <w:pPr>
        <w:pStyle w:val="Tabell"/>
        <w:ind w:left="113" w:hanging="113"/>
        <w:rPr>
          <w:sz w:val="16"/>
        </w:rPr>
      </w:pPr>
      <w:r w:rsidRPr="00C9680B">
        <w:t xml:space="preserve">¹ </w:t>
      </w:r>
      <w:r w:rsidRPr="00C9680B">
        <w:rPr>
          <w:sz w:val="16"/>
        </w:rPr>
        <w:t>Exklusive försäljning av statliga företag eftersom sådana transaktioner inte ingår i det finansiella spara</w:t>
      </w:r>
      <w:r w:rsidRPr="00C9680B">
        <w:rPr>
          <w:sz w:val="16"/>
        </w:rPr>
        <w:t>n</w:t>
      </w:r>
      <w:r w:rsidRPr="00C9680B">
        <w:rPr>
          <w:sz w:val="16"/>
        </w:rPr>
        <w:t>det.</w:t>
      </w:r>
    </w:p>
    <w:p w:rsidR="001C7BF9" w:rsidRPr="00C9680B" w:rsidRDefault="001C7BF9">
      <w:pPr>
        <w:spacing w:before="187"/>
      </w:pPr>
      <w:r w:rsidRPr="00C9680B">
        <w:t>Folkpartiet föreslår för de tre närmast efterföljande åren ett utgiftstak som är 17–27 miljarder kronor lägre än vad regeringen föreslagit. Utgiftstaket är därvid framräknat på följande sätt.</w:t>
      </w:r>
    </w:p>
    <w:p w:rsidR="001C7BF9" w:rsidRPr="00C9680B" w:rsidRDefault="001C7BF9">
      <w:pPr>
        <w:pStyle w:val="TabellrubrikPer"/>
        <w:keepNext/>
        <w:keepLines/>
        <w:spacing w:line="190" w:lineRule="exact"/>
        <w:outlineLvl w:val="0"/>
        <w:rPr>
          <w:b/>
          <w:caps w:val="0"/>
          <w:spacing w:val="0"/>
          <w:sz w:val="16"/>
        </w:rPr>
      </w:pPr>
      <w:bookmarkStart w:id="173" w:name="_Toc421506210"/>
      <w:r w:rsidRPr="00C9680B">
        <w:rPr>
          <w:b/>
          <w:caps w:val="0"/>
          <w:spacing w:val="0"/>
          <w:sz w:val="16"/>
        </w:rPr>
        <w:t>Tabell 23. Folkpartiet liberalernas förslag till utgiftstak för staten 2001–200</w:t>
      </w:r>
      <w:bookmarkEnd w:id="173"/>
      <w:r w:rsidRPr="00C9680B">
        <w:rPr>
          <w:b/>
          <w:caps w:val="0"/>
          <w:spacing w:val="0"/>
          <w:sz w:val="16"/>
        </w:rPr>
        <w:t>3</w:t>
      </w:r>
    </w:p>
    <w:p w:rsidR="001C7BF9" w:rsidRPr="00C9680B" w:rsidRDefault="001C7BF9">
      <w:pPr>
        <w:pStyle w:val="Tabell"/>
        <w:keepNext/>
        <w:keepLines/>
        <w:spacing w:after="40" w:line="190" w:lineRule="exact"/>
        <w:outlineLvl w:val="0"/>
        <w:rPr>
          <w:sz w:val="14"/>
        </w:rPr>
      </w:pPr>
      <w:r w:rsidRPr="00C9680B">
        <w:rPr>
          <w:sz w:val="14"/>
        </w:rPr>
        <w:t>Belopp i miljarder kronor</w:t>
      </w:r>
    </w:p>
    <w:tbl>
      <w:tblPr>
        <w:tblW w:w="0" w:type="auto"/>
        <w:tblLayout w:type="fixed"/>
        <w:tblCellMar>
          <w:left w:w="0" w:type="dxa"/>
          <w:right w:w="0" w:type="dxa"/>
        </w:tblCellMar>
        <w:tblLook w:val="0000" w:firstRow="0" w:lastRow="0" w:firstColumn="0" w:lastColumn="0" w:noHBand="0" w:noVBand="0"/>
      </w:tblPr>
      <w:tblGrid>
        <w:gridCol w:w="3969"/>
        <w:gridCol w:w="624"/>
        <w:gridCol w:w="624"/>
        <w:gridCol w:w="624"/>
      </w:tblGrid>
      <w:tr w:rsidR="00000000" w:rsidRPr="00C9680B">
        <w:tblPrEx>
          <w:tblCellMar>
            <w:top w:w="0" w:type="dxa"/>
            <w:left w:w="0" w:type="dxa"/>
            <w:bottom w:w="0" w:type="dxa"/>
            <w:right w:w="0" w:type="dxa"/>
          </w:tblCellMar>
        </w:tblPrEx>
        <w:tc>
          <w:tcPr>
            <w:tcW w:w="3969" w:type="dxa"/>
            <w:tcBorders>
              <w:top w:val="single" w:sz="6" w:space="0" w:color="auto"/>
              <w:bottom w:val="single" w:sz="6" w:space="0" w:color="auto"/>
            </w:tcBorders>
          </w:tcPr>
          <w:p w:rsidR="001C7BF9" w:rsidRPr="00C9680B" w:rsidRDefault="001C7BF9">
            <w:pPr>
              <w:pStyle w:val="Tabell"/>
              <w:keepNext/>
              <w:keepLines/>
              <w:rPr>
                <w:b/>
                <w:sz w:val="16"/>
              </w:rPr>
            </w:pPr>
          </w:p>
        </w:tc>
        <w:tc>
          <w:tcPr>
            <w:tcW w:w="624"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2001</w:t>
            </w:r>
          </w:p>
        </w:tc>
        <w:tc>
          <w:tcPr>
            <w:tcW w:w="624"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2002</w:t>
            </w:r>
          </w:p>
        </w:tc>
        <w:tc>
          <w:tcPr>
            <w:tcW w:w="624" w:type="dxa"/>
            <w:tcBorders>
              <w:top w:val="single" w:sz="6" w:space="0" w:color="auto"/>
              <w:bottom w:val="single" w:sz="6" w:space="0" w:color="auto"/>
            </w:tcBorders>
          </w:tcPr>
          <w:p w:rsidR="001C7BF9" w:rsidRPr="00C9680B" w:rsidRDefault="001C7BF9">
            <w:pPr>
              <w:pStyle w:val="Tabell"/>
              <w:keepNext/>
              <w:keepLines/>
              <w:ind w:right="57"/>
              <w:jc w:val="right"/>
              <w:rPr>
                <w:b/>
                <w:sz w:val="16"/>
              </w:rPr>
            </w:pPr>
            <w:r w:rsidRPr="00C9680B">
              <w:rPr>
                <w:b/>
                <w:sz w:val="16"/>
              </w:rPr>
              <w:t>2003</w:t>
            </w:r>
          </w:p>
        </w:tc>
      </w:tr>
      <w:tr w:rsidR="00000000" w:rsidRPr="00C9680B">
        <w:tblPrEx>
          <w:tblCellMar>
            <w:top w:w="0" w:type="dxa"/>
            <w:left w:w="0" w:type="dxa"/>
            <w:bottom w:w="0" w:type="dxa"/>
            <w:right w:w="0" w:type="dxa"/>
          </w:tblCellMar>
        </w:tblPrEx>
        <w:trPr>
          <w:trHeight w:hRule="exact" w:val="60"/>
        </w:trPr>
        <w:tc>
          <w:tcPr>
            <w:tcW w:w="3969" w:type="dxa"/>
          </w:tcPr>
          <w:p w:rsidR="001C7BF9" w:rsidRPr="00C9680B" w:rsidRDefault="001C7BF9">
            <w:pPr>
              <w:pStyle w:val="Tabell"/>
              <w:keepNext/>
              <w:keepLines/>
              <w:rPr>
                <w:b/>
                <w:sz w:val="16"/>
              </w:rPr>
            </w:pPr>
          </w:p>
        </w:tc>
        <w:tc>
          <w:tcPr>
            <w:tcW w:w="624" w:type="dxa"/>
          </w:tcPr>
          <w:p w:rsidR="001C7BF9" w:rsidRPr="00C9680B" w:rsidRDefault="001C7BF9">
            <w:pPr>
              <w:pStyle w:val="Tabell"/>
              <w:keepNext/>
              <w:keepLines/>
              <w:ind w:right="57"/>
              <w:jc w:val="right"/>
              <w:rPr>
                <w:b/>
                <w:sz w:val="16"/>
              </w:rPr>
            </w:pPr>
          </w:p>
        </w:tc>
        <w:tc>
          <w:tcPr>
            <w:tcW w:w="624" w:type="dxa"/>
          </w:tcPr>
          <w:p w:rsidR="001C7BF9" w:rsidRPr="00C9680B" w:rsidRDefault="001C7BF9">
            <w:pPr>
              <w:pStyle w:val="Tabell"/>
              <w:keepNext/>
              <w:keepLines/>
              <w:ind w:right="57"/>
              <w:jc w:val="right"/>
              <w:rPr>
                <w:b/>
                <w:sz w:val="16"/>
              </w:rPr>
            </w:pPr>
          </w:p>
        </w:tc>
        <w:tc>
          <w:tcPr>
            <w:tcW w:w="624" w:type="dxa"/>
          </w:tcPr>
          <w:p w:rsidR="001C7BF9" w:rsidRPr="00C9680B" w:rsidRDefault="001C7BF9">
            <w:pPr>
              <w:pStyle w:val="Tabell"/>
              <w:keepNext/>
              <w:keepLines/>
              <w:ind w:right="57"/>
              <w:jc w:val="right"/>
              <w:rPr>
                <w:b/>
                <w:sz w:val="16"/>
              </w:rPr>
            </w:pPr>
          </w:p>
        </w:tc>
      </w:tr>
      <w:tr w:rsidR="00000000" w:rsidRPr="00C9680B">
        <w:tblPrEx>
          <w:tblCellMar>
            <w:top w:w="0" w:type="dxa"/>
            <w:left w:w="0" w:type="dxa"/>
            <w:bottom w:w="0" w:type="dxa"/>
            <w:right w:w="0" w:type="dxa"/>
          </w:tblCellMar>
        </w:tblPrEx>
        <w:tc>
          <w:tcPr>
            <w:tcW w:w="3969" w:type="dxa"/>
          </w:tcPr>
          <w:p w:rsidR="001C7BF9" w:rsidRPr="00C9680B" w:rsidRDefault="001C7BF9">
            <w:pPr>
              <w:pStyle w:val="Tabell"/>
              <w:keepNext/>
              <w:keepLines/>
              <w:rPr>
                <w:b/>
                <w:sz w:val="16"/>
              </w:rPr>
            </w:pPr>
            <w:r w:rsidRPr="00C9680B">
              <w:rPr>
                <w:b/>
                <w:sz w:val="16"/>
              </w:rPr>
              <w:t>Regeringens förslag till utgiftstak</w:t>
            </w:r>
          </w:p>
        </w:tc>
        <w:tc>
          <w:tcPr>
            <w:tcW w:w="624" w:type="dxa"/>
          </w:tcPr>
          <w:p w:rsidR="001C7BF9" w:rsidRPr="00C9680B" w:rsidRDefault="001C7BF9">
            <w:pPr>
              <w:pStyle w:val="Tabell"/>
              <w:keepNext/>
              <w:keepLines/>
              <w:ind w:right="57"/>
              <w:jc w:val="right"/>
              <w:rPr>
                <w:b/>
                <w:sz w:val="16"/>
              </w:rPr>
            </w:pPr>
            <w:r w:rsidRPr="00C9680B">
              <w:rPr>
                <w:b/>
                <w:sz w:val="16"/>
              </w:rPr>
              <w:t>789,0</w:t>
            </w:r>
          </w:p>
        </w:tc>
        <w:tc>
          <w:tcPr>
            <w:tcW w:w="624" w:type="dxa"/>
          </w:tcPr>
          <w:p w:rsidR="001C7BF9" w:rsidRPr="00C9680B" w:rsidRDefault="001C7BF9">
            <w:pPr>
              <w:pStyle w:val="Tabell"/>
              <w:keepNext/>
              <w:keepLines/>
              <w:ind w:right="57"/>
              <w:jc w:val="right"/>
              <w:rPr>
                <w:b/>
                <w:sz w:val="16"/>
              </w:rPr>
            </w:pPr>
            <w:r w:rsidRPr="00C9680B">
              <w:rPr>
                <w:b/>
                <w:sz w:val="16"/>
              </w:rPr>
              <w:t>814,0</w:t>
            </w:r>
          </w:p>
        </w:tc>
        <w:tc>
          <w:tcPr>
            <w:tcW w:w="624" w:type="dxa"/>
          </w:tcPr>
          <w:p w:rsidR="001C7BF9" w:rsidRPr="00C9680B" w:rsidRDefault="001C7BF9">
            <w:pPr>
              <w:pStyle w:val="Tabell"/>
              <w:keepNext/>
              <w:keepLines/>
              <w:ind w:right="57"/>
              <w:jc w:val="right"/>
              <w:rPr>
                <w:b/>
                <w:sz w:val="16"/>
              </w:rPr>
            </w:pPr>
            <w:r w:rsidRPr="00C9680B">
              <w:rPr>
                <w:b/>
                <w:sz w:val="16"/>
              </w:rPr>
              <w:t>844,0</w:t>
            </w:r>
          </w:p>
        </w:tc>
      </w:tr>
      <w:tr w:rsidR="00000000" w:rsidRPr="00C9680B">
        <w:tblPrEx>
          <w:tblCellMar>
            <w:top w:w="0" w:type="dxa"/>
            <w:left w:w="0" w:type="dxa"/>
            <w:bottom w:w="0" w:type="dxa"/>
            <w:right w:w="0" w:type="dxa"/>
          </w:tblCellMar>
        </w:tblPrEx>
        <w:tc>
          <w:tcPr>
            <w:tcW w:w="3969" w:type="dxa"/>
          </w:tcPr>
          <w:p w:rsidR="001C7BF9" w:rsidRPr="00C9680B" w:rsidRDefault="001C7BF9">
            <w:pPr>
              <w:pStyle w:val="Tabell"/>
              <w:keepNext/>
              <w:keepLines/>
              <w:rPr>
                <w:sz w:val="16"/>
              </w:rPr>
            </w:pPr>
            <w:r w:rsidRPr="00C9680B">
              <w:rPr>
                <w:sz w:val="16"/>
              </w:rPr>
              <w:t>Föreslagna utgiftsmins</w:t>
            </w:r>
            <w:r w:rsidRPr="00C9680B">
              <w:rPr>
                <w:sz w:val="16"/>
              </w:rPr>
              <w:t>k</w:t>
            </w:r>
            <w:r w:rsidRPr="00C9680B">
              <w:rPr>
                <w:sz w:val="16"/>
              </w:rPr>
              <w:t>ningar¹</w:t>
            </w:r>
          </w:p>
        </w:tc>
        <w:tc>
          <w:tcPr>
            <w:tcW w:w="624" w:type="dxa"/>
          </w:tcPr>
          <w:p w:rsidR="001C7BF9" w:rsidRPr="00C9680B" w:rsidRDefault="001C7BF9">
            <w:pPr>
              <w:pStyle w:val="Tabell"/>
              <w:keepNext/>
              <w:keepLines/>
              <w:ind w:right="57"/>
              <w:jc w:val="right"/>
              <w:rPr>
                <w:sz w:val="16"/>
              </w:rPr>
            </w:pPr>
            <w:r w:rsidRPr="00C9680B">
              <w:rPr>
                <w:sz w:val="16"/>
              </w:rPr>
              <w:t>-21,2</w:t>
            </w:r>
          </w:p>
        </w:tc>
        <w:tc>
          <w:tcPr>
            <w:tcW w:w="624" w:type="dxa"/>
          </w:tcPr>
          <w:p w:rsidR="001C7BF9" w:rsidRPr="00C9680B" w:rsidRDefault="001C7BF9">
            <w:pPr>
              <w:pStyle w:val="Tabell"/>
              <w:keepNext/>
              <w:keepLines/>
              <w:ind w:right="57"/>
              <w:jc w:val="right"/>
              <w:rPr>
                <w:sz w:val="16"/>
              </w:rPr>
            </w:pPr>
            <w:r w:rsidRPr="00C9680B">
              <w:rPr>
                <w:sz w:val="16"/>
              </w:rPr>
              <w:t>-27,7</w:t>
            </w:r>
          </w:p>
        </w:tc>
        <w:tc>
          <w:tcPr>
            <w:tcW w:w="624" w:type="dxa"/>
          </w:tcPr>
          <w:p w:rsidR="001C7BF9" w:rsidRPr="00C9680B" w:rsidRDefault="001C7BF9">
            <w:pPr>
              <w:pStyle w:val="Tabell"/>
              <w:keepNext/>
              <w:keepLines/>
              <w:ind w:right="57"/>
              <w:jc w:val="right"/>
              <w:rPr>
                <w:sz w:val="16"/>
              </w:rPr>
            </w:pPr>
            <w:r w:rsidRPr="00C9680B">
              <w:rPr>
                <w:sz w:val="16"/>
              </w:rPr>
              <w:t>-29,3</w:t>
            </w:r>
          </w:p>
        </w:tc>
      </w:tr>
      <w:tr w:rsidR="00000000" w:rsidRPr="00C9680B">
        <w:tblPrEx>
          <w:tblCellMar>
            <w:top w:w="0" w:type="dxa"/>
            <w:left w:w="0" w:type="dxa"/>
            <w:bottom w:w="0" w:type="dxa"/>
            <w:right w:w="0" w:type="dxa"/>
          </w:tblCellMar>
        </w:tblPrEx>
        <w:tc>
          <w:tcPr>
            <w:tcW w:w="3969" w:type="dxa"/>
          </w:tcPr>
          <w:p w:rsidR="001C7BF9" w:rsidRPr="00C9680B" w:rsidRDefault="001C7BF9">
            <w:pPr>
              <w:pStyle w:val="Tabell"/>
              <w:keepNext/>
              <w:keepLines/>
              <w:rPr>
                <w:sz w:val="16"/>
              </w:rPr>
            </w:pPr>
            <w:r w:rsidRPr="00C9680B">
              <w:rPr>
                <w:sz w:val="16"/>
              </w:rPr>
              <w:t>Ändrad budgeteringsmarg</w:t>
            </w:r>
            <w:r w:rsidRPr="00C9680B">
              <w:rPr>
                <w:sz w:val="16"/>
              </w:rPr>
              <w:t>i</w:t>
            </w:r>
            <w:r w:rsidRPr="00C9680B">
              <w:rPr>
                <w:sz w:val="16"/>
              </w:rPr>
              <w:t>nal</w:t>
            </w:r>
          </w:p>
        </w:tc>
        <w:tc>
          <w:tcPr>
            <w:tcW w:w="624" w:type="dxa"/>
          </w:tcPr>
          <w:p w:rsidR="001C7BF9" w:rsidRPr="00C9680B" w:rsidRDefault="001C7BF9">
            <w:pPr>
              <w:pStyle w:val="Tabell"/>
              <w:keepNext/>
              <w:keepLines/>
              <w:ind w:right="57"/>
              <w:jc w:val="right"/>
              <w:rPr>
                <w:sz w:val="16"/>
              </w:rPr>
            </w:pPr>
            <w:r w:rsidRPr="00C9680B">
              <w:rPr>
                <w:sz w:val="16"/>
              </w:rPr>
              <w:t>+4,2</w:t>
            </w:r>
          </w:p>
        </w:tc>
        <w:tc>
          <w:tcPr>
            <w:tcW w:w="624" w:type="dxa"/>
          </w:tcPr>
          <w:p w:rsidR="001C7BF9" w:rsidRPr="00C9680B" w:rsidRDefault="001C7BF9">
            <w:pPr>
              <w:pStyle w:val="Tabell"/>
              <w:keepNext/>
              <w:keepLines/>
              <w:ind w:right="57"/>
              <w:jc w:val="right"/>
              <w:rPr>
                <w:sz w:val="16"/>
              </w:rPr>
            </w:pPr>
            <w:r w:rsidRPr="00C9680B">
              <w:rPr>
                <w:sz w:val="16"/>
              </w:rPr>
              <w:t>+7,7</w:t>
            </w:r>
          </w:p>
        </w:tc>
        <w:tc>
          <w:tcPr>
            <w:tcW w:w="624" w:type="dxa"/>
          </w:tcPr>
          <w:p w:rsidR="001C7BF9" w:rsidRPr="00C9680B" w:rsidRDefault="001C7BF9">
            <w:pPr>
              <w:pStyle w:val="Tabell"/>
              <w:keepNext/>
              <w:keepLines/>
              <w:ind w:right="57"/>
              <w:jc w:val="right"/>
              <w:rPr>
                <w:sz w:val="16"/>
              </w:rPr>
            </w:pPr>
            <w:r w:rsidRPr="00C9680B">
              <w:rPr>
                <w:sz w:val="16"/>
              </w:rPr>
              <w:t>+2,3</w:t>
            </w:r>
          </w:p>
        </w:tc>
      </w:tr>
      <w:tr w:rsidR="00000000" w:rsidRPr="00C9680B">
        <w:tblPrEx>
          <w:tblCellMar>
            <w:top w:w="0" w:type="dxa"/>
            <w:left w:w="0" w:type="dxa"/>
            <w:bottom w:w="0" w:type="dxa"/>
            <w:right w:w="0" w:type="dxa"/>
          </w:tblCellMar>
        </w:tblPrEx>
        <w:tc>
          <w:tcPr>
            <w:tcW w:w="3969" w:type="dxa"/>
          </w:tcPr>
          <w:p w:rsidR="001C7BF9" w:rsidRPr="00C9680B" w:rsidRDefault="001C7BF9">
            <w:pPr>
              <w:pStyle w:val="Tabell"/>
              <w:keepNext/>
              <w:keepLines/>
              <w:rPr>
                <w:sz w:val="16"/>
              </w:rPr>
            </w:pPr>
            <w:r w:rsidRPr="00C9680B">
              <w:rPr>
                <w:sz w:val="16"/>
              </w:rPr>
              <w:t>Avrundningseffekt</w:t>
            </w:r>
          </w:p>
        </w:tc>
        <w:tc>
          <w:tcPr>
            <w:tcW w:w="624" w:type="dxa"/>
          </w:tcPr>
          <w:p w:rsidR="001C7BF9" w:rsidRPr="00C9680B" w:rsidRDefault="001C7BF9">
            <w:pPr>
              <w:pStyle w:val="Tabell"/>
              <w:keepNext/>
              <w:keepLines/>
              <w:ind w:right="57"/>
              <w:jc w:val="right"/>
              <w:rPr>
                <w:sz w:val="16"/>
              </w:rPr>
            </w:pPr>
            <w:r w:rsidRPr="00C9680B">
              <w:rPr>
                <w:sz w:val="16"/>
              </w:rPr>
              <w:t>-0,1</w:t>
            </w:r>
          </w:p>
        </w:tc>
        <w:tc>
          <w:tcPr>
            <w:tcW w:w="624" w:type="dxa"/>
          </w:tcPr>
          <w:p w:rsidR="001C7BF9" w:rsidRPr="00C9680B" w:rsidRDefault="001C7BF9">
            <w:pPr>
              <w:pStyle w:val="Tabell"/>
              <w:keepNext/>
              <w:keepLines/>
              <w:ind w:right="57"/>
              <w:jc w:val="right"/>
              <w:rPr>
                <w:sz w:val="16"/>
              </w:rPr>
            </w:pPr>
            <w:r w:rsidRPr="00C9680B">
              <w:rPr>
                <w:sz w:val="16"/>
              </w:rPr>
              <w:t>-0,3</w:t>
            </w:r>
          </w:p>
        </w:tc>
        <w:tc>
          <w:tcPr>
            <w:tcW w:w="624" w:type="dxa"/>
          </w:tcPr>
          <w:p w:rsidR="001C7BF9" w:rsidRPr="00C9680B" w:rsidRDefault="001C7BF9">
            <w:pPr>
              <w:pStyle w:val="Tabell"/>
              <w:keepNext/>
              <w:keepLines/>
              <w:ind w:right="57"/>
              <w:jc w:val="right"/>
              <w:rPr>
                <w:sz w:val="16"/>
              </w:rPr>
            </w:pPr>
            <w:r w:rsidRPr="00C9680B">
              <w:rPr>
                <w:sz w:val="16"/>
              </w:rPr>
              <w:t>-0,1</w:t>
            </w:r>
          </w:p>
        </w:tc>
      </w:tr>
      <w:tr w:rsidR="00000000" w:rsidRPr="00C9680B">
        <w:tblPrEx>
          <w:tblCellMar>
            <w:top w:w="0" w:type="dxa"/>
            <w:left w:w="0" w:type="dxa"/>
            <w:bottom w:w="0" w:type="dxa"/>
            <w:right w:w="0" w:type="dxa"/>
          </w:tblCellMar>
        </w:tblPrEx>
        <w:tc>
          <w:tcPr>
            <w:tcW w:w="3969" w:type="dxa"/>
          </w:tcPr>
          <w:p w:rsidR="001C7BF9" w:rsidRPr="00C9680B" w:rsidRDefault="001C7BF9">
            <w:pPr>
              <w:pStyle w:val="Tabell"/>
              <w:keepNext/>
              <w:keepLines/>
              <w:rPr>
                <w:b/>
                <w:sz w:val="16"/>
              </w:rPr>
            </w:pPr>
            <w:r w:rsidRPr="00C9680B">
              <w:rPr>
                <w:b/>
                <w:sz w:val="16"/>
              </w:rPr>
              <w:t>Utgiftstak för staten enligt (fp)</w:t>
            </w:r>
          </w:p>
        </w:tc>
        <w:tc>
          <w:tcPr>
            <w:tcW w:w="624" w:type="dxa"/>
          </w:tcPr>
          <w:p w:rsidR="001C7BF9" w:rsidRPr="00C9680B" w:rsidRDefault="001C7BF9">
            <w:pPr>
              <w:pStyle w:val="Tabell"/>
              <w:keepNext/>
              <w:keepLines/>
              <w:ind w:right="57"/>
              <w:jc w:val="right"/>
              <w:rPr>
                <w:b/>
                <w:sz w:val="16"/>
              </w:rPr>
            </w:pPr>
            <w:r w:rsidRPr="00C9680B">
              <w:rPr>
                <w:b/>
                <w:sz w:val="16"/>
              </w:rPr>
              <w:t>772,0</w:t>
            </w:r>
          </w:p>
        </w:tc>
        <w:tc>
          <w:tcPr>
            <w:tcW w:w="624" w:type="dxa"/>
          </w:tcPr>
          <w:p w:rsidR="001C7BF9" w:rsidRPr="00C9680B" w:rsidRDefault="001C7BF9">
            <w:pPr>
              <w:pStyle w:val="Tabell"/>
              <w:keepNext/>
              <w:keepLines/>
              <w:ind w:right="57"/>
              <w:jc w:val="right"/>
              <w:rPr>
                <w:b/>
                <w:sz w:val="16"/>
              </w:rPr>
            </w:pPr>
            <w:r w:rsidRPr="00C9680B">
              <w:rPr>
                <w:b/>
                <w:sz w:val="16"/>
              </w:rPr>
              <w:t>794,0</w:t>
            </w:r>
          </w:p>
        </w:tc>
        <w:tc>
          <w:tcPr>
            <w:tcW w:w="624" w:type="dxa"/>
          </w:tcPr>
          <w:p w:rsidR="001C7BF9" w:rsidRPr="00C9680B" w:rsidRDefault="001C7BF9">
            <w:pPr>
              <w:pStyle w:val="Tabell"/>
              <w:keepNext/>
              <w:keepLines/>
              <w:ind w:right="57"/>
              <w:jc w:val="right"/>
              <w:rPr>
                <w:b/>
                <w:sz w:val="16"/>
              </w:rPr>
            </w:pPr>
            <w:r w:rsidRPr="00C9680B">
              <w:rPr>
                <w:b/>
                <w:sz w:val="16"/>
              </w:rPr>
              <w:t>817,0</w:t>
            </w:r>
          </w:p>
        </w:tc>
      </w:tr>
      <w:tr w:rsidR="00000000" w:rsidRPr="00C9680B">
        <w:tblPrEx>
          <w:tblCellMar>
            <w:top w:w="0" w:type="dxa"/>
            <w:left w:w="0" w:type="dxa"/>
            <w:bottom w:w="0" w:type="dxa"/>
            <w:right w:w="0" w:type="dxa"/>
          </w:tblCellMar>
        </w:tblPrEx>
        <w:trPr>
          <w:trHeight w:hRule="exact" w:val="60"/>
        </w:trPr>
        <w:tc>
          <w:tcPr>
            <w:tcW w:w="3969" w:type="dxa"/>
            <w:tcBorders>
              <w:bottom w:val="single" w:sz="6" w:space="0" w:color="auto"/>
            </w:tcBorders>
          </w:tcPr>
          <w:p w:rsidR="001C7BF9" w:rsidRPr="00C9680B" w:rsidRDefault="001C7BF9">
            <w:pPr>
              <w:pStyle w:val="Tabell"/>
              <w:keepNext/>
              <w:keepLines/>
              <w:rPr>
                <w:sz w:val="16"/>
              </w:rPr>
            </w:pPr>
          </w:p>
        </w:tc>
        <w:tc>
          <w:tcPr>
            <w:tcW w:w="624" w:type="dxa"/>
            <w:tcBorders>
              <w:bottom w:val="single" w:sz="6" w:space="0" w:color="auto"/>
            </w:tcBorders>
          </w:tcPr>
          <w:p w:rsidR="001C7BF9" w:rsidRPr="00C9680B" w:rsidRDefault="001C7BF9">
            <w:pPr>
              <w:pStyle w:val="Tabell"/>
              <w:keepNext/>
              <w:keepLines/>
              <w:ind w:right="57"/>
              <w:jc w:val="right"/>
              <w:rPr>
                <w:sz w:val="16"/>
              </w:rPr>
            </w:pPr>
          </w:p>
        </w:tc>
        <w:tc>
          <w:tcPr>
            <w:tcW w:w="624" w:type="dxa"/>
            <w:tcBorders>
              <w:bottom w:val="single" w:sz="6" w:space="0" w:color="auto"/>
            </w:tcBorders>
          </w:tcPr>
          <w:p w:rsidR="001C7BF9" w:rsidRPr="00C9680B" w:rsidRDefault="001C7BF9">
            <w:pPr>
              <w:pStyle w:val="Tabell"/>
              <w:keepNext/>
              <w:keepLines/>
              <w:ind w:right="57"/>
              <w:jc w:val="right"/>
              <w:rPr>
                <w:sz w:val="16"/>
              </w:rPr>
            </w:pPr>
          </w:p>
        </w:tc>
        <w:tc>
          <w:tcPr>
            <w:tcW w:w="624" w:type="dxa"/>
            <w:tcBorders>
              <w:bottom w:val="single" w:sz="6" w:space="0" w:color="auto"/>
            </w:tcBorders>
          </w:tcPr>
          <w:p w:rsidR="001C7BF9" w:rsidRPr="00C9680B" w:rsidRDefault="001C7BF9">
            <w:pPr>
              <w:pStyle w:val="Tabell"/>
              <w:keepNext/>
              <w:keepLines/>
              <w:ind w:right="57"/>
              <w:jc w:val="right"/>
              <w:rPr>
                <w:sz w:val="16"/>
              </w:rPr>
            </w:pPr>
          </w:p>
        </w:tc>
      </w:tr>
    </w:tbl>
    <w:p w:rsidR="001C7BF9" w:rsidRPr="00C9680B" w:rsidRDefault="001C7BF9">
      <w:pPr>
        <w:pStyle w:val="Tabell"/>
      </w:pPr>
      <w:r w:rsidRPr="00C9680B">
        <w:t>¹ Exklusive förslag om minskad nivå på statsskuldsräntor.</w:t>
      </w:r>
    </w:p>
    <w:p w:rsidR="001C7BF9" w:rsidRPr="00C9680B" w:rsidRDefault="001C7BF9">
      <w:pPr>
        <w:pStyle w:val="Tabell"/>
      </w:pPr>
    </w:p>
    <w:p w:rsidR="001C7BF9" w:rsidRPr="00C9680B" w:rsidRDefault="001C7BF9">
      <w:pPr>
        <w:pStyle w:val="Tabell"/>
      </w:pPr>
    </w:p>
    <w:p w:rsidR="001C7BF9" w:rsidRPr="00C9680B" w:rsidRDefault="001C7BF9">
      <w:pPr>
        <w:pStyle w:val="Rubrik3"/>
        <w:spacing w:before="0"/>
        <w:rPr>
          <w:noProof w:val="0"/>
        </w:rPr>
      </w:pPr>
      <w:bookmarkStart w:id="174" w:name="_Toc498245132"/>
      <w:bookmarkStart w:id="175" w:name="_Toc498910693"/>
      <w:r w:rsidRPr="00C9680B">
        <w:rPr>
          <w:noProof w:val="0"/>
        </w:rPr>
        <w:t>2.4.3 Finansutskottets sammanfattande bedömning av budgetförslagen</w:t>
      </w:r>
      <w:bookmarkEnd w:id="174"/>
      <w:bookmarkEnd w:id="175"/>
    </w:p>
    <w:p w:rsidR="001C7BF9" w:rsidRPr="00C9680B" w:rsidRDefault="001C7BF9">
      <w:r w:rsidRPr="00C9680B">
        <w:t>Nästa år förutses för fjärde året i rad ett överskott i statsbudgeten, och statsskulden minskar nu snabbt såväl i nominella termer som mätt som andel av BNP. Vid utgången av 2001 väntas statsskulden ha sjunkit med drygt 300 miljarder kronor till knappt 1 150 miljarder kronor, främst till följd av öve</w:t>
      </w:r>
      <w:r w:rsidRPr="00C9680B">
        <w:t>r</w:t>
      </w:r>
      <w:r w:rsidRPr="00C9680B">
        <w:t xml:space="preserve">föringar från AP-fonden samt försäljning av statliga aktieinnehav. Därefter förblir den i stort sett oförändrad under 2002 och 2003 men sjunker mätt som andel av BNP ner under 49 % till utgången av 2003. Minskningen påverkar också utgifterna för statsskuldsräntor som under åren framöver snabbt sjunker från dagens nivå på 88 miljarder kronor ner mot 58 miljarder kronor 2003. </w:t>
      </w:r>
    </w:p>
    <w:p w:rsidR="001C7BF9" w:rsidRPr="00C9680B" w:rsidRDefault="001C7BF9">
      <w:pPr>
        <w:pStyle w:val="Normaltindrag"/>
      </w:pPr>
      <w:r w:rsidRPr="00C9680B">
        <w:t>Infasningen av det nya ålderspensionssystemet sätter i hög grad sin prägel på budgetutvecklingen. Pensionsuppgörelsen innebär dels at</w:t>
      </w:r>
      <w:r w:rsidRPr="00C9680B">
        <w:t>t sparande pe</w:t>
      </w:r>
      <w:r w:rsidRPr="00C9680B">
        <w:t>r</w:t>
      </w:r>
      <w:r w:rsidRPr="00C9680B">
        <w:t>manent omfördelas från statsbudgeten till pensionssystemet och med fullt genomfört system uppgår denna omfördelning till 60 miljarder kronor per år, dels att vissa engångsöverföringar skall göras i motsatt riktning vilka med varierande styrka får genomslag under 1999 och åtminstone ytterligare fem år framöver. Som en följd härav väntas statsbudgeten under 2002 och 2003 åter uppvisa ett mindre underskott, men det är inte större än att statsskulden for</w:t>
      </w:r>
      <w:r w:rsidRPr="00C9680B">
        <w:t>t</w:t>
      </w:r>
      <w:r w:rsidRPr="00C9680B">
        <w:t>sätter att minska mätt som andel av BNP.</w:t>
      </w:r>
    </w:p>
    <w:p w:rsidR="001C7BF9" w:rsidRPr="00C9680B" w:rsidRDefault="001C7BF9">
      <w:pPr>
        <w:pStyle w:val="Normaltindrag"/>
      </w:pPr>
      <w:r w:rsidRPr="00C9680B">
        <w:t>St</w:t>
      </w:r>
      <w:r w:rsidRPr="00C9680B">
        <w:t>atsfinansernas utveckling under kommande år understryker dock vikten av att budgetpolitiken utformas på ett sådant sätt att långsiktigt stabila statsf</w:t>
      </w:r>
      <w:r w:rsidRPr="00C9680B">
        <w:t>i</w:t>
      </w:r>
      <w:r w:rsidRPr="00C9680B">
        <w:t>nanser kan upprätthållas. Sunda offentliga finanser är en förutsättning för en hög och uthållig tillväxt och sysselsättning. Om knappt tio år kommer andelen äldre att öka kraftigt vilket leder till ökade utgifter för såväl pensioner som vård och omsorg, samtidigt som andelen förvärvsarbetande blir mindre. Det är då viktigt att de offentliga finanserna har såd</w:t>
      </w:r>
      <w:r w:rsidRPr="00C9680B">
        <w:t>an stadga att de kan möta även påfrestningar av detta slag.</w:t>
      </w:r>
    </w:p>
    <w:p w:rsidR="001C7BF9" w:rsidRPr="00C9680B" w:rsidRDefault="001C7BF9">
      <w:pPr>
        <w:pStyle w:val="Normaltindrag"/>
      </w:pPr>
      <w:r w:rsidRPr="00C9680B">
        <w:t>Hänsyn måste också tas till att vi nu står mitt uppe i en högkonjunktur och att de offentliga finanserna är starkt konjunkturkänsliga. Visserligen torde det vara rimligt att räkna med att konjunkturkänsligheten avtagit något som ett resultat av de senaste årens framgångsrika budgetpolitik, men en vändning i konjunkturen kan trots det snabbt få genomslag på de offentliga finanserna. Vi måste stå rustade för att på ett bättre sätt än tidigare kunna m</w:t>
      </w:r>
      <w:r w:rsidRPr="00C9680B">
        <w:t>öta komma</w:t>
      </w:r>
      <w:r w:rsidRPr="00C9680B">
        <w:t>n</w:t>
      </w:r>
      <w:r w:rsidRPr="00C9680B">
        <w:t>de konjunkturne</w:t>
      </w:r>
      <w:r w:rsidRPr="00C9680B">
        <w:t>d</w:t>
      </w:r>
      <w:r w:rsidRPr="00C9680B">
        <w:t>gångar.</w:t>
      </w:r>
    </w:p>
    <w:p w:rsidR="001C7BF9" w:rsidRPr="00C9680B" w:rsidRDefault="001C7BF9">
      <w:pPr>
        <w:pStyle w:val="Normaltindrag"/>
      </w:pPr>
      <w:r w:rsidRPr="00C9680B">
        <w:t>Enligt utskottets mening bör synpunkter som dessa bilda utgångspunkt för u</w:t>
      </w:r>
      <w:r w:rsidRPr="00C9680B">
        <w:t>t</w:t>
      </w:r>
      <w:r w:rsidRPr="00C9680B">
        <w:t>skottets prövning av de olika budgetalternativen.</w:t>
      </w:r>
    </w:p>
    <w:p w:rsidR="001C7BF9" w:rsidRPr="00C9680B" w:rsidRDefault="001C7BF9">
      <w:r w:rsidRPr="00C9680B">
        <w:t>De statliga utgiftstaken för 2001–2003 uppgår enligt tidigare riksdagsbeslut till 792, 817 respektive 847 miljarder kronor. I utgiftstaken ingår utgifterna för ålderspensionssystemet vid sidan av statsbudgeten samt en budgetering</w:t>
      </w:r>
      <w:r w:rsidRPr="00C9680B">
        <w:t>s</w:t>
      </w:r>
      <w:r w:rsidRPr="00C9680B">
        <w:t>marg</w:t>
      </w:r>
      <w:r w:rsidRPr="00C9680B">
        <w:t>i</w:t>
      </w:r>
      <w:r w:rsidRPr="00C9680B">
        <w:t>nal. Däremot ingår inte utgifterna för statsskuldsräntor.</w:t>
      </w:r>
    </w:p>
    <w:p w:rsidR="001C7BF9" w:rsidRPr="00C9680B" w:rsidRDefault="001C7BF9">
      <w:pPr>
        <w:pStyle w:val="Normaltindrag"/>
      </w:pPr>
      <w:r w:rsidRPr="00C9680B">
        <w:t>I propositionen föreslås att en teknisk anpassning skall göras av de tidigare beslutade nivåerna för utgiftstaket. Justeringen är föranledd av dels det i budgetpropositionen föreslagna andra steget i inkomstskattereformen som begränsar avdragsrätten för den allmänna pensionsavgiften, vilket i sin tur ökar kommunernas skatteinkomster med 5 miljarder kronor, dels den för</w:t>
      </w:r>
      <w:r w:rsidRPr="00C9680B">
        <w:t>e</w:t>
      </w:r>
      <w:r w:rsidRPr="00C9680B">
        <w:t>slagna skatteväxlingen som innefattar en höjning av såväl det allmänna som det särskilda grundavdraget för statlig och kommunal inkomstskatt vilket minskar kommunsektorns skatteinkomster med 2 miljarder kronor, dels fö</w:t>
      </w:r>
      <w:r w:rsidRPr="00C9680B">
        <w:t>r</w:t>
      </w:r>
      <w:r w:rsidRPr="00C9680B">
        <w:t>slaget att flytta vissa av Riksgäldskontorets upplåningskostnader till utgift</w:t>
      </w:r>
      <w:r w:rsidRPr="00C9680B">
        <w:t>s</w:t>
      </w:r>
      <w:r w:rsidRPr="00C9680B">
        <w:t>område 26 Statsskuldsräntor m.m. som inte omfattas av utgiftstaket. Som en följd härav skall statsbidragen till kommunerna i enlighet med finansierings</w:t>
      </w:r>
      <w:r w:rsidRPr="00C9680B">
        <w:softHyphen/>
        <w:t>principen minskas med 3 miljarder kronor och till detta kommer</w:t>
      </w:r>
      <w:r w:rsidRPr="00C9680B">
        <w:t xml:space="preserve"> det minskade behovet av takbegränsade anslag för upplåningskostnader på sammanlagt 300 miljoner kronor 2001. Netto skulle således utgiftstaket behöva minskas med 3,3 miljarder kronor, men i enlighet med tidigare praxis avrundas alltid utgif</w:t>
      </w:r>
      <w:r w:rsidRPr="00C9680B">
        <w:t>t</w:t>
      </w:r>
      <w:r w:rsidRPr="00C9680B">
        <w:t>staket till närmaste hela miljard kronor.</w:t>
      </w:r>
    </w:p>
    <w:p w:rsidR="001C7BF9" w:rsidRPr="00C9680B" w:rsidRDefault="001C7BF9">
      <w:pPr>
        <w:pStyle w:val="Normaltindrag"/>
      </w:pPr>
      <w:r w:rsidRPr="00C9680B">
        <w:t>Bakom regeringens budgetförslag står även Vänsterpartiet och Miljöpartiet de gröna. Med stöd av dessa båda partier föreslår således regeringen att u</w:t>
      </w:r>
      <w:r w:rsidRPr="00C9680B">
        <w:t>t</w:t>
      </w:r>
      <w:r w:rsidRPr="00C9680B">
        <w:t>giftstaket för 2001–2003 fastställs till 789, 814 respektive 844 miljarder kr</w:t>
      </w:r>
      <w:r w:rsidRPr="00C9680B">
        <w:t>o</w:t>
      </w:r>
      <w:r w:rsidRPr="00C9680B">
        <w:t>nor.</w:t>
      </w:r>
    </w:p>
    <w:p w:rsidR="001C7BF9" w:rsidRPr="00C9680B" w:rsidRDefault="001C7BF9">
      <w:pPr>
        <w:pStyle w:val="Normaltindrag"/>
      </w:pPr>
      <w:r w:rsidRPr="00C9680B">
        <w:t>Kristdemokraterna, Centerpartiet och Folkpartiets förslag till utgiftstak för staten understiger regeringens och ligger under treårsperioden i ett samlat spann som 2001 är 8–17 miljarder kronor lägre än regeringens och där a</w:t>
      </w:r>
      <w:r w:rsidRPr="00C9680B">
        <w:t>v</w:t>
      </w:r>
      <w:r w:rsidRPr="00C9680B">
        <w:t>ståndet till regeringen vidgas ytterligare under de efterföljande åren. Moderata samlingspartiets förslag ligger i början av perioden 16 miljarder kronor högre än regeringens men den moderata nivån sammanfaller i det närmaste med regeringens 2003.</w:t>
      </w:r>
    </w:p>
    <w:p w:rsidR="001C7BF9" w:rsidRPr="00C9680B" w:rsidRDefault="001C7BF9">
      <w:pPr>
        <w:pStyle w:val="Normaltindrag"/>
      </w:pPr>
      <w:r w:rsidRPr="00C9680B">
        <w:t>Att Moderata samlingspartiet med sina många förslag till utgiftsbegrän</w:t>
      </w:r>
      <w:r w:rsidRPr="00C9680B">
        <w:t>s</w:t>
      </w:r>
      <w:r w:rsidRPr="00C9680B">
        <w:t>ningar hamnar på ett utgiftstak som så kraftigt överstiger regeringens förkl</w:t>
      </w:r>
      <w:r w:rsidRPr="00C9680B">
        <w:t>a</w:t>
      </w:r>
      <w:r w:rsidRPr="00C9680B">
        <w:t>ras helt av den avräkning som görs gentemot kommunerna. Moderata sa</w:t>
      </w:r>
      <w:r w:rsidRPr="00C9680B">
        <w:t>m</w:t>
      </w:r>
      <w:r w:rsidRPr="00C9680B">
        <w:t>lingspartiet föreslår mycket omfattande skattesänkningar varav en betydande del direkt påverkar kommunernas inkomster. I det moderata budgetalternat</w:t>
      </w:r>
      <w:r w:rsidRPr="00C9680B">
        <w:t>i</w:t>
      </w:r>
      <w:r w:rsidRPr="00C9680B">
        <w:t xml:space="preserve">vet kompenseras kommunerna för detta bortfall genom höjda statsbidrag, vilket höjer nivån på de statliga utgifterna och därmed också nivån på det statliga utgiftstaket i motsvarande grad. Nivåhöjningarna slår däremot </w:t>
      </w:r>
      <w:r w:rsidRPr="00C9680B">
        <w:t>inte igenom på utgiftstaket för den samlade offentliga sektorn, vilket också fra</w:t>
      </w:r>
      <w:r w:rsidRPr="00C9680B">
        <w:t>m</w:t>
      </w:r>
      <w:r w:rsidRPr="00C9680B">
        <w:t>går av tabell 17 där skillnaden mellan regeringens och Moderata samling</w:t>
      </w:r>
      <w:r w:rsidRPr="00C9680B">
        <w:t>s</w:t>
      </w:r>
      <w:r w:rsidRPr="00C9680B">
        <w:t>partiets förslag under de närmaste tre åren uppgår till 35, 112 respektive 134 miljarder kronor.</w:t>
      </w:r>
    </w:p>
    <w:p w:rsidR="001C7BF9" w:rsidRPr="00C9680B" w:rsidRDefault="001C7BF9">
      <w:pPr>
        <w:pStyle w:val="Normaltindrag"/>
      </w:pPr>
      <w:r w:rsidRPr="00C9680B">
        <w:t>De olika alternativen framgår av följande diagram.</w:t>
      </w:r>
    </w:p>
    <w:p w:rsidR="001C7BF9" w:rsidRPr="00C9680B" w:rsidRDefault="001C7BF9">
      <w:pPr>
        <w:pStyle w:val="TabellrubrikPer"/>
        <w:keepNext/>
        <w:rPr>
          <w:b/>
          <w:caps w:val="0"/>
          <w:spacing w:val="0"/>
          <w:sz w:val="16"/>
        </w:rPr>
      </w:pPr>
      <w:r w:rsidRPr="00C9680B">
        <w:rPr>
          <w:b/>
          <w:caps w:val="0"/>
          <w:spacing w:val="0"/>
          <w:sz w:val="16"/>
        </w:rPr>
        <w:t>Diagram 8. Regeringens och oppositionspartiernas förslag till utgiftstak för staten 2001–2003.</w:t>
      </w:r>
    </w:p>
    <w:p w:rsidR="001C7BF9" w:rsidRPr="00C9680B" w:rsidRDefault="00C9680B">
      <w:pPr>
        <w:pStyle w:val="Normaltindrag"/>
        <w:ind w:left="-227" w:firstLine="0"/>
      </w:pPr>
      <w:r w:rsidRPr="00C9680B">
        <w:rPr>
          <w:noProof/>
        </w:rPr>
        <w:drawing>
          <wp:inline distT="0" distB="0" distL="0" distR="0">
            <wp:extent cx="4109085" cy="228600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09085" cy="2286000"/>
                    </a:xfrm>
                    <a:prstGeom prst="rect">
                      <a:avLst/>
                    </a:prstGeom>
                    <a:noFill/>
                    <a:ln>
                      <a:noFill/>
                    </a:ln>
                  </pic:spPr>
                </pic:pic>
              </a:graphicData>
            </a:graphic>
          </wp:inline>
        </w:drawing>
      </w:r>
    </w:p>
    <w:p w:rsidR="001C7BF9" w:rsidRPr="00C9680B" w:rsidRDefault="001C7BF9">
      <w:pPr>
        <w:spacing w:before="312"/>
      </w:pPr>
      <w:r w:rsidRPr="00C9680B">
        <w:rPr>
          <w:i/>
        </w:rPr>
        <w:t>Moderata samlingspartiet</w:t>
      </w:r>
      <w:r w:rsidRPr="00C9680B">
        <w:t xml:space="preserve"> vill begränsa den offentliga sektorns storlek och lägger i detta syfte fram förslag till mycket omfattande skattesänkningar, vilka förutsätts bli finansierade med kraftiga utgiftsnedskärningar samt med delar av det överskott som nu uppkommer i den offentliga sektorn.</w:t>
      </w:r>
    </w:p>
    <w:p w:rsidR="001C7BF9" w:rsidRPr="00C9680B" w:rsidRDefault="001C7BF9">
      <w:pPr>
        <w:pStyle w:val="Normaltindrag"/>
      </w:pPr>
      <w:r w:rsidRPr="00C9680B">
        <w:t>I motionen beräknas skattesänkningarna under 2001 leda till ett inkoms</w:t>
      </w:r>
      <w:r w:rsidRPr="00C9680B">
        <w:t>t</w:t>
      </w:r>
      <w:r w:rsidRPr="00C9680B">
        <w:t>bortfall för den konsoliderade offentliga sektorn som är 48 miljarder kronor större än i regeringens budgetförslag, medan utgiftsminskningarna begränsar sig till 36 miljarder kronor. Mot periodens slut får skattesänkningarna fullt genomslag och uppgår då till 106 miljarder kronor. Utgiftsminskningarna uppgår emellertid samma år till endast 64 miljarder kronor, och således vi</w:t>
      </w:r>
      <w:r w:rsidRPr="00C9680B">
        <w:t>d</w:t>
      </w:r>
      <w:r w:rsidRPr="00C9680B">
        <w:t>gas gapet mellan skattesänkningar och besparingar över tiden. Mellanskilln</w:t>
      </w:r>
      <w:r w:rsidRPr="00C9680B">
        <w:t>a</w:t>
      </w:r>
      <w:r w:rsidRPr="00C9680B">
        <w:t>den finansieras genom att Moderata samlingspartiet dels ti</w:t>
      </w:r>
      <w:r w:rsidRPr="00C9680B">
        <w:t>llgodoräknar sig en ränteeffekt av sina mer långtgående förslag till försäljning av statliga företag, dels tar i anspråk en successivt växande andel av de medel som i vårpropos</w:t>
      </w:r>
      <w:r w:rsidRPr="00C9680B">
        <w:t>i</w:t>
      </w:r>
      <w:r w:rsidRPr="00C9680B">
        <w:t>tionen förts upp som en beräkningsteknisk överföring till hushå</w:t>
      </w:r>
      <w:r w:rsidRPr="00C9680B">
        <w:t>l</w:t>
      </w:r>
      <w:r w:rsidRPr="00C9680B">
        <w:t>len.</w:t>
      </w:r>
    </w:p>
    <w:p w:rsidR="001C7BF9" w:rsidRPr="00C9680B" w:rsidRDefault="001C7BF9">
      <w:pPr>
        <w:pStyle w:val="Normaltindrag"/>
      </w:pPr>
      <w:r w:rsidRPr="00C9680B">
        <w:t>Resterande del av den beräkningstekniska överföringen används för att minska på statsskulden. Statsskulden förutsätts dessutom kunna minskas med 170 miljarder kronor genom de företagsförsäljningar som motionärerna vill genomföra under de närmaste tre åren utöver vad</w:t>
      </w:r>
      <w:r w:rsidRPr="00C9680B">
        <w:t xml:space="preserve"> regeringen planerar. På så sätt räknar Moderata samlingspartiet med att kunna begränsa den offentliga bruttoskulden till motsvarande 37 % av BNP vid utgången av 2003.</w:t>
      </w:r>
    </w:p>
    <w:p w:rsidR="001C7BF9" w:rsidRPr="00C9680B" w:rsidRDefault="001C7BF9">
      <w:pPr>
        <w:pStyle w:val="Normaltindrag"/>
      </w:pPr>
      <w:r w:rsidRPr="00C9680B">
        <w:t xml:space="preserve">Med sina mycket långtgående skattesänkningsförslag skiljer sig Moderata samlingspartiets budgetalternativ markant från övriga partiers förslag. Partiet förespråkar en kraftfull skattesänkningspolitik med sänkta statliga skatter och statligt finansierade kommunalskattesänkningar på sammanlagt 106 miljarder kronor 2003. På tre år skall skatter </w:t>
      </w:r>
      <w:r w:rsidRPr="00C9680B">
        <w:t>sänkas med ett belopp motsvarande 16 % av statens inkom</w:t>
      </w:r>
      <w:r w:rsidRPr="00C9680B">
        <w:t>s</w:t>
      </w:r>
      <w:r w:rsidRPr="00C9680B">
        <w:t>ter från skatter och avgifter.</w:t>
      </w:r>
    </w:p>
    <w:p w:rsidR="001C7BF9" w:rsidRPr="00C9680B" w:rsidRDefault="001C7BF9">
      <w:pPr>
        <w:pStyle w:val="Normaltindrag"/>
      </w:pPr>
      <w:r w:rsidRPr="00C9680B">
        <w:t>Genom att växla lägre skatter mot mindre bidrag och subventioner vill motionärerna, som de uttrycker det, göra det möjligt att leva på sin lön. Men med detta synsätt blundar de för de omfördelande effekter som skatter och bidrag har. Särskilt påtagligt blir detta när partiet inte längre nöjer sig med att föreslå att den s.k. värnskatten skall avskaffas utan nu dessutom kräver att den statliga inkomstbeskattningen i sin he</w:t>
      </w:r>
      <w:r w:rsidRPr="00C9680B">
        <w:t>lhet skall tas bort. Med hjälp av skatter och bidrag sker en inkomstutjämning mellan individer till förmån för de sämst ställda i samhället. Skatter och bidrag har för den enskilde också en inkomstutjämnande effekt över tiden, och genom denna omfördelning får medborgarna samhällets stöd i de skeden av livet då de inte aktivt förvärvsa</w:t>
      </w:r>
      <w:r w:rsidRPr="00C9680B">
        <w:t>r</w:t>
      </w:r>
      <w:r w:rsidRPr="00C9680B">
        <w:t>betar på grund av studier, sjukdom, arbetslöshet, ålderdom osv.</w:t>
      </w:r>
    </w:p>
    <w:p w:rsidR="001C7BF9" w:rsidRPr="00C9680B" w:rsidRDefault="001C7BF9">
      <w:pPr>
        <w:pStyle w:val="Normaltindrag"/>
      </w:pPr>
      <w:r w:rsidRPr="00C9680B">
        <w:t>Enligt utskottets mening kan man alltså inte på det lättvindiga sätt Mod</w:t>
      </w:r>
      <w:r w:rsidRPr="00C9680B">
        <w:t>e</w:t>
      </w:r>
      <w:r w:rsidRPr="00C9680B">
        <w:t>rata samlingspartiet gör byta ut minskade eller avskaffade bidrag mot sänkta skatter. Det som Moderaterna framställer som ett enkelt statsfinansiellt nol</w:t>
      </w:r>
      <w:r w:rsidRPr="00C9680B">
        <w:t>l</w:t>
      </w:r>
      <w:r w:rsidRPr="00C9680B">
        <w:t>summespel kan få mycket långtgående återverkningar för de enskilda indiv</w:t>
      </w:r>
      <w:r w:rsidRPr="00C9680B">
        <w:t>i</w:t>
      </w:r>
      <w:r w:rsidRPr="00C9680B">
        <w:t>derna. Särskilt påtagligt blir detta då skattesänkningarna i stor utsträckning förutsätts bli finansierade genom minskade transfereringar och besparingar i sådana trygghetssystem som a-kassa samt sjuk- och föräldraförsä</w:t>
      </w:r>
      <w:r w:rsidRPr="00C9680B">
        <w:t>k</w:t>
      </w:r>
      <w:r w:rsidRPr="00C9680B">
        <w:t>ringen.</w:t>
      </w:r>
    </w:p>
    <w:p w:rsidR="001C7BF9" w:rsidRPr="00C9680B" w:rsidRDefault="001C7BF9">
      <w:pPr>
        <w:pStyle w:val="Normaltindrag"/>
      </w:pPr>
      <w:r w:rsidRPr="00C9680B">
        <w:t>Av de moderata besparingsförslagen på netto 36 miljarder</w:t>
      </w:r>
      <w:r w:rsidRPr="00C9680B">
        <w:t xml:space="preserve"> kronor 2001 riktar sig merparten mot olika typer av transfereringssystem. Så t.ex. vill Moderata samlingspartiet inte bara sänka ersättningsnivån från 80 till 75 % för sjukpenning- och föräldraförsäkringarna samt arbetslöshetsförsäkringen. Partiet vill också införa ytterligare en karensdag i sjukförsäkringen. Dessutom vill man tidsbegränsa arbetslöshetsförsäkringen genom att införa en bortre parentes. Besparingar skall också göras i sådana transfereringssystem som förtidspensioner, underhållsstöd, räntebid</w:t>
      </w:r>
      <w:r w:rsidRPr="00C9680B">
        <w:t>rag och bostadsb</w:t>
      </w:r>
      <w:r w:rsidRPr="00C9680B">
        <w:t>i</w:t>
      </w:r>
      <w:r w:rsidRPr="00C9680B">
        <w:t>drag.</w:t>
      </w:r>
    </w:p>
    <w:p w:rsidR="001C7BF9" w:rsidRPr="00C9680B" w:rsidRDefault="001C7BF9">
      <w:pPr>
        <w:pStyle w:val="Normaltindrag"/>
      </w:pPr>
      <w:r w:rsidRPr="00C9680B">
        <w:t>Att införa en andra karensdag i sjukförsäkringen leder enligt utskottets mening i sig till ökade påfrestningar för redan utsatta grupper och dessa p</w:t>
      </w:r>
      <w:r w:rsidRPr="00C9680B">
        <w:t>å</w:t>
      </w:r>
      <w:r w:rsidRPr="00C9680B">
        <w:t>frestningar blir i än högre grad märkbara om åtgärden på moderat vis komb</w:t>
      </w:r>
      <w:r w:rsidRPr="00C9680B">
        <w:t>i</w:t>
      </w:r>
      <w:r w:rsidRPr="00C9680B">
        <w:t>neras med en sänkt ersät</w:t>
      </w:r>
      <w:r w:rsidRPr="00C9680B">
        <w:t>t</w:t>
      </w:r>
      <w:r w:rsidRPr="00C9680B">
        <w:t>ningsnivå.</w:t>
      </w:r>
    </w:p>
    <w:p w:rsidR="001C7BF9" w:rsidRPr="00C9680B" w:rsidRDefault="001C7BF9">
      <w:pPr>
        <w:pStyle w:val="Normaltindrag"/>
      </w:pPr>
      <w:r w:rsidRPr="00C9680B">
        <w:t>Skattesänkningar finansierade på detta sätt ger enligt finansutskottets m</w:t>
      </w:r>
      <w:r w:rsidRPr="00C9680B">
        <w:t>e</w:t>
      </w:r>
      <w:r w:rsidRPr="00C9680B">
        <w:t>ning upphov till starkt negativa fördelningspolitiska effekter. De medborgare som är i störst behov av samhällets stöd är de som i första hand tvingas bidra till finansieringen genom uteblivna eller försämrade förmåner. Samtidigt får de själva begränsat utbyte av de sänkta skatterna på grund av låga i</w:t>
      </w:r>
      <w:r w:rsidRPr="00C9680B">
        <w:t>n</w:t>
      </w:r>
      <w:r w:rsidRPr="00C9680B">
        <w:t>komster.</w:t>
      </w:r>
    </w:p>
    <w:p w:rsidR="001C7BF9" w:rsidRPr="00C9680B" w:rsidRDefault="001C7BF9">
      <w:pPr>
        <w:pStyle w:val="Normaltindrag"/>
      </w:pPr>
      <w:r w:rsidRPr="00C9680B">
        <w:t>Därtill kommer att några av de besparingar partiet tillgodoräknar sig up</w:t>
      </w:r>
      <w:r w:rsidRPr="00C9680B">
        <w:t>p</w:t>
      </w:r>
      <w:r w:rsidRPr="00C9680B">
        <w:t>nås till priset av att medborgarna tvingas betala obligatoriska försäkrings</w:t>
      </w:r>
      <w:r w:rsidRPr="00C9680B">
        <w:softHyphen/>
        <w:t>premier, som för den enskilde har stora likheter med en skatt. Så t.ex. räknar Moderata samlingspartiet med att kunna spara 4 miljarder kronor genom att från statsbudgeten lyfta ut kostnader för sjukskrivningar förorsakade av tr</w:t>
      </w:r>
      <w:r w:rsidRPr="00C9680B">
        <w:t>a</w:t>
      </w:r>
      <w:r w:rsidRPr="00C9680B">
        <w:t>fikolycksfall för att i stället bekosta dem via en obligatorisk trafikskadefö</w:t>
      </w:r>
      <w:r w:rsidRPr="00C9680B">
        <w:t>r</w:t>
      </w:r>
      <w:r w:rsidRPr="00C9680B">
        <w:t>säkring vid sidan av statsbudgeten. Detta leder självklart till en minskad b</w:t>
      </w:r>
      <w:r w:rsidRPr="00C9680B">
        <w:t>e</w:t>
      </w:r>
      <w:r w:rsidRPr="00C9680B">
        <w:t xml:space="preserve">lastning på statsbudgeten, men de skattesänkningar </w:t>
      </w:r>
      <w:r w:rsidRPr="00C9680B">
        <w:t>det ger utrymme för torde inte uppväga de ökade försäkringspremier den enskilde bilisten får betala. Hur dessutom en så genomgripande förändring skall kunna genomföras redan nästa år anges inte i motionen. På snarlikt sätt vill Moderata samlingspartiet göra stora besparingar i läkemedelsförsäkringen och arbetslöshetsförsäkrin</w:t>
      </w:r>
      <w:r w:rsidRPr="00C9680B">
        <w:t>g</w:t>
      </w:r>
      <w:r w:rsidRPr="00C9680B">
        <w:t>en genom att i stället låta dessa kostnader finansieras via försäkringspremier som den enskilde får b</w:t>
      </w:r>
      <w:r w:rsidRPr="00C9680B">
        <w:t>e</w:t>
      </w:r>
      <w:r w:rsidRPr="00C9680B">
        <w:t>tala.</w:t>
      </w:r>
    </w:p>
    <w:p w:rsidR="001C7BF9" w:rsidRPr="00C9680B" w:rsidRDefault="001C7BF9">
      <w:pPr>
        <w:pStyle w:val="Normaltindrag"/>
      </w:pPr>
      <w:r w:rsidRPr="00C9680B">
        <w:t>Motionärerna utgår i sitt budgetalternativ från att det skall vara möjligt a</w:t>
      </w:r>
      <w:r w:rsidRPr="00C9680B">
        <w:t>tt redan under nästa år införa en ny frivillig läkemedelsförsäkring och en ny allmän arbetslöshetsförsäkring med högre egenfinansiering än i dag. Redan nästa år förutsätts dessa försäkringar dessutom kunna leda till betydande besparingar. Utskottet anser för egen del att det inte är rimligt att räkna med att två så pass genomgripande förslag skall kunna sjösättas med så kort förb</w:t>
      </w:r>
      <w:r w:rsidRPr="00C9680B">
        <w:t>e</w:t>
      </w:r>
      <w:r w:rsidRPr="00C9680B">
        <w:t>redelsetid.</w:t>
      </w:r>
    </w:p>
    <w:p w:rsidR="001C7BF9" w:rsidRPr="00C9680B" w:rsidRDefault="001C7BF9">
      <w:pPr>
        <w:pStyle w:val="Normaltindrag"/>
      </w:pPr>
      <w:r w:rsidRPr="00C9680B">
        <w:t>Moderata samlingspartiet motsätter sig helt användningen av en budget</w:t>
      </w:r>
      <w:r w:rsidRPr="00C9680B">
        <w:t>e</w:t>
      </w:r>
      <w:r w:rsidRPr="00C9680B">
        <w:t>ringsmarginal och anser att regeringen i stället bör återkomma till riksdagen varje gång utgiftstaket är på väg att överskridas. Budgeteringsmarginalen påverkar nämligen budgetdisciplinen negativt, anser moti</w:t>
      </w:r>
      <w:r w:rsidRPr="00C9680B">
        <w:t>o</w:t>
      </w:r>
      <w:r w:rsidRPr="00C9680B">
        <w:t>närerna.</w:t>
      </w:r>
    </w:p>
    <w:p w:rsidR="001C7BF9" w:rsidRPr="00C9680B" w:rsidRDefault="001C7BF9">
      <w:pPr>
        <w:pStyle w:val="Normaltindrag"/>
      </w:pPr>
      <w:r w:rsidRPr="00C9680B">
        <w:t>Genom att kategoriskt avvisa användningen av en budgeteringsmarginal kan motionärerna uppvisa ett budgetförslag med ett lägre utgiftstak än annars. Allvarligare än så är emellertid att motionärernas uppfattning svårligen låter sig förenas med de anslagsvillkor som gäller för ramanslag och res</w:t>
      </w:r>
      <w:r w:rsidRPr="00C9680B">
        <w:t>ervation</w:t>
      </w:r>
      <w:r w:rsidRPr="00C9680B">
        <w:t>s</w:t>
      </w:r>
      <w:r w:rsidRPr="00C9680B">
        <w:t xml:space="preserve">anslag. Myndigheterna har i det nya budgetsystemet givits en tämligen stor frihet att fördela sina utgifter över tiden. Ramanslag som inte utnyttjas fullt ut ett år kan sparas till efterföljande år. På motsvarande sätt kan en myndighet använda tidigare sparade anslagsmedel som komplement till årets anslag för att finasiera en större utgift. Myndigheter har också möjlighet att inom vissa gränser låna av efterföljande års anslag om medelstilldelningen ett visst år är otillräcklig. </w:t>
      </w:r>
    </w:p>
    <w:p w:rsidR="001C7BF9" w:rsidRPr="00C9680B" w:rsidRDefault="001C7BF9">
      <w:pPr>
        <w:pStyle w:val="Normaltindrag"/>
      </w:pPr>
      <w:r w:rsidRPr="00C9680B">
        <w:t>Den av motionärern</w:t>
      </w:r>
      <w:r w:rsidRPr="00C9680B">
        <w:t>a föreslagna lösningen kan svårligen förenas med de villkor som gäller för ramanslag och reservationsanslag. Myndigheternas rätt att självständigt fördela sina utgifter över tiden kan inte inordnas i ett stelbent ramsystem av moderat slag eftersom det inte ger utrymme för förskjutningar. Varje förändring av anslagssparandet som överstiger den beräknade förbru</w:t>
      </w:r>
      <w:r w:rsidRPr="00C9680B">
        <w:t>k</w:t>
      </w:r>
      <w:r w:rsidRPr="00C9680B">
        <w:t>ningen av anslagsbehållningarna leder ju till att de samlade utgifterna ökar, vilket automatiskt skulle få till följd att utgiftstaket överskrids, hur</w:t>
      </w:r>
      <w:r w:rsidRPr="00C9680B">
        <w:t xml:space="preserve"> obetydlig ökning det än är frågan om. Det framstår inte som rimligt att riksdagen åte</w:t>
      </w:r>
      <w:r w:rsidRPr="00C9680B">
        <w:t>r</w:t>
      </w:r>
      <w:r w:rsidRPr="00C9680B">
        <w:t>kommande skall b</w:t>
      </w:r>
      <w:r w:rsidRPr="00C9680B">
        <w:t>e</w:t>
      </w:r>
      <w:r w:rsidRPr="00C9680B">
        <w:t xml:space="preserve">höva ta ställning till varje liten förändring av detta slag. </w:t>
      </w:r>
    </w:p>
    <w:p w:rsidR="001C7BF9" w:rsidRPr="00C9680B" w:rsidRDefault="001C7BF9">
      <w:pPr>
        <w:pStyle w:val="Normaltindrag"/>
      </w:pPr>
      <w:r w:rsidRPr="00C9680B">
        <w:t>Av de skäl som här redovisats kan utskottet inte ställa sig bakom Moderata samlingspartiets förslag till inriktning av budgetpolitiken.</w:t>
      </w:r>
    </w:p>
    <w:p w:rsidR="001C7BF9" w:rsidRPr="00C9680B" w:rsidRDefault="001C7BF9">
      <w:pPr>
        <w:spacing w:before="312"/>
      </w:pPr>
      <w:r w:rsidRPr="00C9680B">
        <w:rPr>
          <w:i/>
        </w:rPr>
        <w:t>Kristdemokraterna</w:t>
      </w:r>
      <w:r w:rsidRPr="00C9680B">
        <w:t xml:space="preserve"> är starkt kritiska till det av regeringen använda öve</w:t>
      </w:r>
      <w:r w:rsidRPr="00C9680B">
        <w:t>r</w:t>
      </w:r>
      <w:r w:rsidRPr="00C9680B">
        <w:t>skottsmålet, eftersom överskotten under åren framöver up</w:t>
      </w:r>
      <w:r w:rsidRPr="00C9680B">
        <w:t>p</w:t>
      </w:r>
      <w:r w:rsidRPr="00C9680B">
        <w:t>kommer i ålders</w:t>
      </w:r>
      <w:r w:rsidRPr="00C9680B">
        <w:softHyphen/>
        <w:t>pensionssystemet, inte i statsfinanserna som efter 2001 uppvisar ett negativt finansiellt sparande. Regeringens ambition att göra statsfinanserna mer stabila för konjunktursvängningar har därför helt misslyckats, anser motionärerna, som för egen del säger sig lägga fram ett budgetalternativ som tar sikte på ett bättre finansiellt sparande i staten och en snabbare avbetalning av sta</w:t>
      </w:r>
      <w:r w:rsidRPr="00C9680B">
        <w:t>tssku</w:t>
      </w:r>
      <w:r w:rsidRPr="00C9680B">
        <w:t>l</w:t>
      </w:r>
      <w:r w:rsidRPr="00C9680B">
        <w:t>den. Men trots att man tillgodoräknar det egna budgetalternativet snabbt minskande utgifter för statsskuldsräntor till följd av en mycket omfattande utförsäljning av statliga företag, mäktar Kristdemokraterna inte själva med att redovisa något samlat förslag som svarar mot denna viljeyttring. Av den i motionen lämnade redovisningen framgår nämligen att med Kristdemokrate</w:t>
      </w:r>
      <w:r w:rsidRPr="00C9680B">
        <w:t>r</w:t>
      </w:r>
      <w:r w:rsidRPr="00C9680B">
        <w:t>nas budgetalternativ skulle såväl statens som den offentliga sektorns finans</w:t>
      </w:r>
      <w:r w:rsidRPr="00C9680B">
        <w:t>i</w:t>
      </w:r>
      <w:r w:rsidRPr="00C9680B">
        <w:t>ella sparande försvagas med 17 miljarder kronor 2001 me</w:t>
      </w:r>
      <w:r w:rsidRPr="00C9680B">
        <w:t>dan underskottsn</w:t>
      </w:r>
      <w:r w:rsidRPr="00C9680B">
        <w:t>i</w:t>
      </w:r>
      <w:r w:rsidRPr="00C9680B">
        <w:t>vån under de båda efterföljande åren i allt väsentligt blir densamma som i regeringens budgetförslag. Och med endast små tidsförskjutningar i partiets mycket vidlyftiga privatiseringsplaner försämras snabbt även denna bild.</w:t>
      </w:r>
    </w:p>
    <w:p w:rsidR="001C7BF9" w:rsidRPr="00C9680B" w:rsidRDefault="001C7BF9">
      <w:pPr>
        <w:pStyle w:val="Normaltindrag"/>
      </w:pPr>
      <w:r w:rsidRPr="00C9680B">
        <w:t>Motionärerna hävdar också att i deras budgetalternativ är både inkomster och utgifter lägre än i regeringens alternativ. Det kristdemokratiska budge</w:t>
      </w:r>
      <w:r w:rsidRPr="00C9680B">
        <w:t>t</w:t>
      </w:r>
      <w:r w:rsidRPr="00C9680B">
        <w:t>förslaget sägs därför minska statsfinansernas konjun</w:t>
      </w:r>
      <w:r w:rsidRPr="00C9680B">
        <w:t>k</w:t>
      </w:r>
      <w:r w:rsidRPr="00C9680B">
        <w:t>turkänslighet.</w:t>
      </w:r>
    </w:p>
    <w:p w:rsidR="001C7BF9" w:rsidRPr="00C9680B" w:rsidRDefault="001C7BF9">
      <w:pPr>
        <w:pStyle w:val="Normaltindrag"/>
      </w:pPr>
      <w:r w:rsidRPr="00C9680B">
        <w:t>Inte heller i detta avseende kan utskottet dela motionärernas uppfattning. Visserligen redovisar motionärerna ett förslag till statsbudget vars omslutning är lägre än regeringens, men den lägre omslutningen förklaras främst av att motionärerna valt att nettoredovisa merparten av sina överföringar till ko</w:t>
      </w:r>
      <w:r w:rsidRPr="00C9680B">
        <w:t>m</w:t>
      </w:r>
      <w:r w:rsidRPr="00C9680B">
        <w:t>munsektorn som en negativ post på statsbudgetens inkomstsida</w:t>
      </w:r>
      <w:r w:rsidRPr="00C9680B">
        <w:rPr>
          <w:i/>
        </w:rPr>
        <w:t>.</w:t>
      </w:r>
      <w:r w:rsidRPr="00C9680B">
        <w:t xml:space="preserve"> </w:t>
      </w:r>
    </w:p>
    <w:p w:rsidR="001C7BF9" w:rsidRPr="00C9680B" w:rsidRDefault="001C7BF9">
      <w:pPr>
        <w:pStyle w:val="Normaltindrag"/>
      </w:pPr>
      <w:r w:rsidRPr="00C9680B">
        <w:t>Kristdemokraterna presenterar i motionen ett antal förslag som indirekt får mycket långtgående återverkningar på kommunernas ekonomi. I enlighet med finansieringsprincipen skall kommunerna kompenseras för sådana förän</w:t>
      </w:r>
      <w:r w:rsidRPr="00C9680B">
        <w:t>d</w:t>
      </w:r>
      <w:r w:rsidRPr="00C9680B">
        <w:t>ringar, och normalt görs detta mot det på utgiftsområde 25 Allmänna bidrag till kommuner uppförda ramanslaget Generellt statsbidrag till kommuner och landsting. Av en reglering på sammanlagt 39 miljarder kronor 2001 har emellertid Kristdemokraterna valt att redovisa endast knappt 2 miljarder på detta sätt. Resterande 37 miljarder kronor redovisas som en utgift på stat</w:t>
      </w:r>
      <w:r w:rsidRPr="00C9680B">
        <w:t>s</w:t>
      </w:r>
      <w:r w:rsidRPr="00C9680B">
        <w:t xml:space="preserve">budgetens inkomstsida på inkomsttitel </w:t>
      </w:r>
      <w:r w:rsidRPr="00C9680B">
        <w:rPr>
          <w:i/>
        </w:rPr>
        <w:t>1111 Fysiska personers inkomstskatt</w:t>
      </w:r>
      <w:r w:rsidRPr="00C9680B">
        <w:t>. År 2003 har denna avräkning mot inkomsttiteln ökat till 56 miljar</w:t>
      </w:r>
      <w:r w:rsidRPr="00C9680B">
        <w:t>der kronor och statsbudgetens omslutning minskar då i motsv</w:t>
      </w:r>
      <w:r w:rsidRPr="00C9680B">
        <w:t>a</w:t>
      </w:r>
      <w:r w:rsidRPr="00C9680B">
        <w:t xml:space="preserve">rande omfattning. </w:t>
      </w:r>
    </w:p>
    <w:p w:rsidR="001C7BF9" w:rsidRPr="00C9680B" w:rsidRDefault="001C7BF9">
      <w:pPr>
        <w:pStyle w:val="Normaltindrag"/>
      </w:pPr>
      <w:r w:rsidRPr="00C9680B">
        <w:t>Om Kristdemokraterna i stället hade följt gängse praxis och redovisat samtliga överföringar till kommunerna på utgiftsområde 25, skulle partiets ram för detta utgiftsområde liksom taket för de statliga utgifterna behövt höjas med 56 miljarder kronor 2003. Nivån på Kristdemokraternas statliga utgiftstak skulle då hamnat betydligt över inte bara övriga oppositionspartiers motsvarande tak utan också regeringens.</w:t>
      </w:r>
    </w:p>
    <w:p w:rsidR="001C7BF9" w:rsidRPr="00C9680B" w:rsidRDefault="001C7BF9">
      <w:pPr>
        <w:pStyle w:val="Normaltindrag"/>
      </w:pPr>
      <w:r w:rsidRPr="00C9680B">
        <w:t>Enligt utskottets mening är det angeläget att man på olika sätt försöka komma till rätta med statsfinansernas konjunkturkänslighet. Men detta uppnås verkligen inte genom att man i stor skala börjar nettoredovisa utgifter mot inkomster och på grundval av en på detta sätt minskad budgetomslutning hävdar att statsfinansernas konjunkturkänslighet ko</w:t>
      </w:r>
      <w:r w:rsidRPr="00C9680B">
        <w:t>m</w:t>
      </w:r>
      <w:r w:rsidRPr="00C9680B">
        <w:t>mer att avta.</w:t>
      </w:r>
    </w:p>
    <w:p w:rsidR="001C7BF9" w:rsidRPr="00C9680B" w:rsidRDefault="001C7BF9">
      <w:pPr>
        <w:pStyle w:val="Normaltindrag"/>
      </w:pPr>
      <w:r w:rsidRPr="00C9680B">
        <w:t>I motionen begärs att regeringen skall presentera en korrekt och fullständig redovisning av statsbudgetens samtliga inkomster och utgifter i enlighet med budgetlagen. Utskottet vill med anledning därav framhålla följande. Ett grundläggande krav i budgetlagen (SFS 1996:1059) är enligt 17 § att statens inkomster och utgifter skall redovisas brutto på statsbudgeten. Kravet på en bruttoredovisning kom också att genomsyra den budgetreform som tillämp</w:t>
      </w:r>
      <w:r w:rsidRPr="00C9680B">
        <w:t>a</w:t>
      </w:r>
      <w:r w:rsidRPr="00C9680B">
        <w:t>des praktiskt första gången när budgetpropositionen för 1997 presenterades. Utan en bruttoredovisning blir budgetförslagen inte lika tydliga. Genomly</w:t>
      </w:r>
      <w:r w:rsidRPr="00C9680B">
        <w:t>s</w:t>
      </w:r>
      <w:r w:rsidRPr="00C9680B">
        <w:t>ningen av budgeten, eller dess transparens försämras. Eftersom de i motionen redovisade kommunöverföringarna förutsätts bli reglerade mot en inkoms</w:t>
      </w:r>
      <w:r w:rsidRPr="00C9680B">
        <w:t>t</w:t>
      </w:r>
      <w:r w:rsidRPr="00C9680B">
        <w:t>post kan deras omfattning inte utläsas av budgetförslaget. Den av motionäre</w:t>
      </w:r>
      <w:r w:rsidRPr="00C9680B">
        <w:t>r</w:t>
      </w:r>
      <w:r w:rsidRPr="00C9680B">
        <w:t>na valda lösningen främjar således inte transparensen, och en så omfattande nettoredovisning är enligt utskottets mening inte heller före</w:t>
      </w:r>
      <w:r w:rsidRPr="00C9680B">
        <w:t>nlig med de krav på bruttoredovisning som framkommer i budge</w:t>
      </w:r>
      <w:r w:rsidRPr="00C9680B">
        <w:t>t</w:t>
      </w:r>
      <w:r w:rsidRPr="00C9680B">
        <w:t>lagen.</w:t>
      </w:r>
    </w:p>
    <w:p w:rsidR="001C7BF9" w:rsidRPr="00C9680B" w:rsidRDefault="001C7BF9">
      <w:pPr>
        <w:pStyle w:val="Normaltindrag"/>
      </w:pPr>
      <w:r w:rsidRPr="00C9680B">
        <w:t>Utskottet har tidigare i detta betänkande – se avsnitt 2.3 Mål för budgetp</w:t>
      </w:r>
      <w:r w:rsidRPr="00C9680B">
        <w:t>o</w:t>
      </w:r>
      <w:r w:rsidRPr="00C9680B">
        <w:t>litiken – diskuterat de komplikationer som transaktioner mellan den offentliga sektorns olika delsektorer kan ge upphov till om man studerar en delsektor isolerat. Eftersom effekten av sådana transaktioner bortfaller om man studerar den offentliga sektorn som helhet ger detta många gånger ett säkrare underlag för analyser och bedömningar.</w:t>
      </w:r>
    </w:p>
    <w:p w:rsidR="001C7BF9" w:rsidRPr="00C9680B" w:rsidRDefault="001C7BF9">
      <w:pPr>
        <w:pStyle w:val="Normaltindrag"/>
      </w:pPr>
      <w:r w:rsidRPr="00C9680B">
        <w:t>Såsom tidigare nämnts leder Kristdemokraternas budgetalternativ till att den offentliga sektorns finansiella sparande försämras med 17 miljarder kr</w:t>
      </w:r>
      <w:r w:rsidRPr="00C9680B">
        <w:t>o</w:t>
      </w:r>
      <w:r w:rsidRPr="00C9680B">
        <w:t>nor nästa år. Försvagningen är en följd av att partiets skattesänkningsförslag är större än besparingarna. Skattesänkningarna uppgår netto till drygt 26 miljarder kronor detta år medan besparingarna begränsar sig till netto knappt 10 miljarder kronor. Utgiftsminskningarna bärs upp av tre större besparingar som förutsätts ku</w:t>
      </w:r>
      <w:r w:rsidRPr="00C9680B">
        <w:t>n</w:t>
      </w:r>
      <w:r w:rsidRPr="00C9680B">
        <w:t>na komma till stånd redan nästa år.</w:t>
      </w:r>
    </w:p>
    <w:p w:rsidR="001C7BF9" w:rsidRPr="00C9680B" w:rsidRDefault="001C7BF9">
      <w:pPr>
        <w:pStyle w:val="Normaltindrag"/>
      </w:pPr>
      <w:r w:rsidRPr="00C9680B">
        <w:t>För det första räknar Kristdemokraterna med att under 2001 kunna avyttra statliga aktier för 80 miljarder kronor mer än regeringen. Eftersom regerin</w:t>
      </w:r>
      <w:r w:rsidRPr="00C9680B">
        <w:t>g</w:t>
      </w:r>
      <w:r w:rsidRPr="00C9680B">
        <w:t>ens planerade aktieförsäljning inskränker sig till 15 miljarder kronor föru</w:t>
      </w:r>
      <w:r w:rsidRPr="00C9680B">
        <w:t>t</w:t>
      </w:r>
      <w:r w:rsidRPr="00C9680B">
        <w:t>sätter motionärerna således inte bara att de genom privatiseringar skall kunna få in sammanlagt 95 miljarder kronor i försäljningsinkomster redan nästa år, utan också att dessa försäljningar skall kunna genomföras vid en sådan ti</w:t>
      </w:r>
      <w:r w:rsidRPr="00C9680B">
        <w:t>d</w:t>
      </w:r>
      <w:r w:rsidRPr="00C9680B">
        <w:t>punkt att det skall vara möjligt att samma år minska utgifterna för statsskuld</w:t>
      </w:r>
      <w:r w:rsidRPr="00C9680B">
        <w:t>s</w:t>
      </w:r>
      <w:r w:rsidRPr="00C9680B">
        <w:t>räntor med 1,2 milja</w:t>
      </w:r>
      <w:r w:rsidRPr="00C9680B">
        <w:t>r</w:t>
      </w:r>
      <w:r w:rsidRPr="00C9680B">
        <w:t>der kronor.</w:t>
      </w:r>
    </w:p>
    <w:p w:rsidR="001C7BF9" w:rsidRPr="00C9680B" w:rsidRDefault="001C7BF9">
      <w:pPr>
        <w:pStyle w:val="Normaltindrag"/>
      </w:pPr>
      <w:r w:rsidRPr="00C9680B">
        <w:t>För det andra föreslår Kristdemokraterna att kostnaderna för trafikolyck</w:t>
      </w:r>
      <w:r w:rsidRPr="00C9680B">
        <w:t>s</w:t>
      </w:r>
      <w:r w:rsidRPr="00C9680B">
        <w:t>fall inte längre skall finansieras över sjukförsäkringen utan via den obligat</w:t>
      </w:r>
      <w:r w:rsidRPr="00C9680B">
        <w:t>o</w:t>
      </w:r>
      <w:r w:rsidRPr="00C9680B">
        <w:t>riska trafikförsäkringen vid sidan av statsbudgeten. Trafikanterna skall delvis kompenseras för de ökade försäkringspremierna genom att fordonsskatten sänks med ett belopp motsvarande halva besparingen men i övrigt är det de som genom obl</w:t>
      </w:r>
      <w:r w:rsidRPr="00C9680B">
        <w:t>i</w:t>
      </w:r>
      <w:r w:rsidRPr="00C9680B">
        <w:t>gatoriska avgifter får ta på sig kostnaden för denna budget</w:t>
      </w:r>
      <w:r w:rsidRPr="00C9680B">
        <w:softHyphen/>
        <w:t xml:space="preserve">avlastning. Dessutom kräver ett förslag av denna art rimligtvis ett visst mått av förberedelser och anpassning innan det kan omsättas </w:t>
      </w:r>
      <w:r w:rsidRPr="00C9680B">
        <w:t>i praktisk tilläm</w:t>
      </w:r>
      <w:r w:rsidRPr="00C9680B">
        <w:t>p</w:t>
      </w:r>
      <w:r w:rsidRPr="00C9680B">
        <w:t>ning. Men motionärerna räknar uppenbarligen med att detta skall kunna lösas till början av nästa år eftersom de i sitt budgetalternativ utgår från att det offentliga skall kunna avlastas 4 miljarder kronor i utgifter redan nästa år.</w:t>
      </w:r>
    </w:p>
    <w:p w:rsidR="001C7BF9" w:rsidRPr="00C9680B" w:rsidRDefault="001C7BF9">
      <w:pPr>
        <w:pStyle w:val="Normaltindrag"/>
      </w:pPr>
      <w:r w:rsidRPr="00C9680B">
        <w:t>Samma tilltro till den egna politikens möjligheter framskymtar i Kristd</w:t>
      </w:r>
      <w:r w:rsidRPr="00C9680B">
        <w:t>e</w:t>
      </w:r>
      <w:r w:rsidRPr="00C9680B">
        <w:t>mokraternas tredje större besparingsförslag, som går ut på att statens bidrag till a-kassorna skall kunna begränsas mycket kraftigt redan 2001 genom att medlemmarnas egenavgifter till kassorna höjs i motsvarande utsträckning. I detta syfte föreslår partiet att en ny, allmän och obligatorisk arbetslöshetsfö</w:t>
      </w:r>
      <w:r w:rsidRPr="00C9680B">
        <w:t>r</w:t>
      </w:r>
      <w:r w:rsidRPr="00C9680B">
        <w:t>säkring införs med en egenfinansiering motsvarande en tredjedel av kostn</w:t>
      </w:r>
      <w:r w:rsidRPr="00C9680B">
        <w:t>a</w:t>
      </w:r>
      <w:r w:rsidRPr="00C9680B">
        <w:t>derna. Den nya försäkringen kommer därigenom att avlasta statsbudgeten mycket betydande belopp. Ytterligare besparingar uppnås gen</w:t>
      </w:r>
      <w:r w:rsidRPr="00C9680B">
        <w:t>om vissa fö</w:t>
      </w:r>
      <w:r w:rsidRPr="00C9680B">
        <w:t>r</w:t>
      </w:r>
      <w:r w:rsidRPr="00C9680B">
        <w:t>slag till strukturella förändringar i arbetsvillkoret för a-kassan. Därutöver förutsätts att utgifterna för arbetslöshetsförsäkringen också skall kunna min</w:t>
      </w:r>
      <w:r w:rsidRPr="00C9680B">
        <w:t>s</w:t>
      </w:r>
      <w:r w:rsidRPr="00C9680B">
        <w:t>kas med hänsyn till de gynnsamma effekter som Kristdemokraternas förslag till tillväxt- och företagsfrämjande åtgärder sägs ge upphov till. Sammantaget leder detta till att Kristdemokraterna räknar med att redan 2001 kunna minska utgifterna inom utgiftsområde 13 Arbetsmarknad med drygt 9 miljarder kr</w:t>
      </w:r>
      <w:r w:rsidRPr="00C9680B">
        <w:t>o</w:t>
      </w:r>
      <w:r w:rsidRPr="00C9680B">
        <w:t xml:space="preserve">nor. Av motionen framgår däremot inte hur </w:t>
      </w:r>
      <w:r w:rsidRPr="00C9680B">
        <w:t>ett vagt formulerat a-kasseförslag skall kunna omsättas i praktisk tillämpning redan nästa år, ej heller vilket eller vilka inslag i Kristdemokraternas politik som på så kort tid väntas ge upphov till dessa mycket betydande dynamiska effekter. Utskottet anser för egen del att det inte är möjligt att på detta sätt och redan nästa år begränsa utgifterna för arbetslöshetsersättningen i den omfattning som motionärerna för</w:t>
      </w:r>
      <w:r w:rsidRPr="00C9680B">
        <w:t>e</w:t>
      </w:r>
      <w:r w:rsidRPr="00C9680B">
        <w:t>slår.</w:t>
      </w:r>
    </w:p>
    <w:p w:rsidR="001C7BF9" w:rsidRPr="00C9680B" w:rsidRDefault="001C7BF9">
      <w:pPr>
        <w:pStyle w:val="Normaltindrag"/>
      </w:pPr>
      <w:r w:rsidRPr="00C9680B">
        <w:t>I Kristdemokraternas budgetalternativ för 2001 bärs alltså lejonparten av de föresla</w:t>
      </w:r>
      <w:r w:rsidRPr="00C9680B">
        <w:t>gna utgiftsminskningarna upp av tre mycket osäkra besparingar som tillsammans förutsätts kunna ge ett tillskott på ca 14 miljarder kronor redan nästa år.</w:t>
      </w:r>
    </w:p>
    <w:p w:rsidR="001C7BF9" w:rsidRPr="00C9680B" w:rsidRDefault="001C7BF9">
      <w:pPr>
        <w:pStyle w:val="Normaltindrag"/>
      </w:pPr>
      <w:r w:rsidRPr="00C9680B">
        <w:t>Budgetalternativet utmärks även i övrigt av en svagt underbyggd finansi</w:t>
      </w:r>
      <w:r w:rsidRPr="00C9680B">
        <w:t>e</w:t>
      </w:r>
      <w:r w:rsidRPr="00C9680B">
        <w:t>ring. Regeländringar som syftar till att öka utgifter och minska skatter är sålunda tämligen väl specificerade medan regeländringar avsedda att minska utgifter eller öka inkomster är mer otydliga.</w:t>
      </w:r>
    </w:p>
    <w:p w:rsidR="001C7BF9" w:rsidRPr="00C9680B" w:rsidRDefault="001C7BF9">
      <w:pPr>
        <w:pStyle w:val="Normaltindrag"/>
      </w:pPr>
      <w:r w:rsidRPr="00C9680B">
        <w:t>Så t.ex. för motionärerna fram flera tydligt redovisade och väl preciserade förslag till skattesänkningar vilka är fullt möjliga att genomföra redan vid årsskiftet. Bl.a. gäller det partiets förslag till höjning av grundavdraget liksom förslaget om ett nytt förvärvsavdrag. Dessa skarpt formulerade skattesän</w:t>
      </w:r>
      <w:r w:rsidRPr="00C9680B">
        <w:t>k</w:t>
      </w:r>
      <w:r w:rsidRPr="00C9680B">
        <w:t>ningar förutsätts alltså redan nästa år bli finansierade genom vagt formulerade besparingar som i några fall dessutom framstår som ogenomförbara i prakt</w:t>
      </w:r>
      <w:r w:rsidRPr="00C9680B">
        <w:t>i</w:t>
      </w:r>
      <w:r w:rsidRPr="00C9680B">
        <w:t>ken.</w:t>
      </w:r>
    </w:p>
    <w:p w:rsidR="001C7BF9" w:rsidRPr="00C9680B" w:rsidRDefault="001C7BF9">
      <w:pPr>
        <w:pStyle w:val="Normaltindrag"/>
      </w:pPr>
      <w:r w:rsidRPr="00C9680B">
        <w:t>Därtill kommer den av bl.a. Kristdemokraterna förespråkade metoden att – i likhet med kostnaderna för trafikolycksfall – lyfta ut verksamheter ur stat</w:t>
      </w:r>
      <w:r w:rsidRPr="00C9680B">
        <w:t>s</w:t>
      </w:r>
      <w:r w:rsidRPr="00C9680B">
        <w:t>budgeten för att i stället finansiera dem vid sidan av den. Följden härav blir att flera av de utlovade skattesänkningarna omedelbart kommer att ätas upp av ökade obligatoriska avgi</w:t>
      </w:r>
      <w:r w:rsidRPr="00C9680B">
        <w:t>f</w:t>
      </w:r>
      <w:r w:rsidRPr="00C9680B">
        <w:t>ter.</w:t>
      </w:r>
    </w:p>
    <w:p w:rsidR="001C7BF9" w:rsidRPr="00C9680B" w:rsidRDefault="001C7BF9">
      <w:pPr>
        <w:pStyle w:val="Normaltindrag"/>
      </w:pPr>
      <w:r w:rsidRPr="00C9680B">
        <w:t>Av de skäl som här redovisats kan utskottet inte ställa sig bakom Kristd</w:t>
      </w:r>
      <w:r w:rsidRPr="00C9680B">
        <w:t>e</w:t>
      </w:r>
      <w:r w:rsidRPr="00C9680B">
        <w:t>mokraternas förslag till inriktning av budgetpolit</w:t>
      </w:r>
      <w:r w:rsidRPr="00C9680B">
        <w:t>i</w:t>
      </w:r>
      <w:r w:rsidRPr="00C9680B">
        <w:t>ken.</w:t>
      </w:r>
    </w:p>
    <w:p w:rsidR="001C7BF9" w:rsidRPr="00C9680B" w:rsidRDefault="001C7BF9">
      <w:pPr>
        <w:pStyle w:val="Normaltindrag"/>
      </w:pPr>
      <w:r w:rsidRPr="00C9680B">
        <w:t>Såsom utskottet tidigare har berört begär motionärerna att regeringen skall lämna en korrekt och fullständig redovisning av samtliga inkomster och u</w:t>
      </w:r>
      <w:r w:rsidRPr="00C9680B">
        <w:t>t</w:t>
      </w:r>
      <w:r w:rsidRPr="00C9680B">
        <w:t>gifter på statsbudgeten i enlighet med budgetlagen (yrkande 8) – ett krav som Kristdemokraterna borde ha riktat mot sitt eget budgetalternativ. Förslaget berörs inte i motionens motivtext men har i allt väsentligt samma innebörd som ett motionsyrkande</w:t>
      </w:r>
      <w:r w:rsidRPr="00C9680B">
        <w:rPr>
          <w:rStyle w:val="Fotnotsreferens"/>
        </w:rPr>
        <w:footnoteReference w:id="1"/>
      </w:r>
      <w:r w:rsidRPr="00C9680B">
        <w:t xml:space="preserve"> som Kristdemokraterna framförde i anslutning till årets vårproposition. Utskottet fann då inte anledning att tillstyrka motionsy</w:t>
      </w:r>
      <w:r w:rsidRPr="00C9680B">
        <w:t>r</w:t>
      </w:r>
      <w:r w:rsidRPr="00C9680B">
        <w:t>kandet, vilket också avslogs av riksdagen. Motionärerna redovisar inte några nya motiv som grund för sin nu framförda begäran, och utskottet ser därför ingen anledning att ompröva sitt tidigare ställningstaga</w:t>
      </w:r>
      <w:r w:rsidRPr="00C9680B">
        <w:t>n</w:t>
      </w:r>
      <w:r w:rsidRPr="00C9680B">
        <w:t>de.</w:t>
      </w:r>
    </w:p>
    <w:p w:rsidR="001C7BF9" w:rsidRPr="00C9680B" w:rsidRDefault="001C7BF9">
      <w:pPr>
        <w:pStyle w:val="Normaltindrag"/>
      </w:pPr>
      <w:r w:rsidRPr="00C9680B">
        <w:t>Motion Fi209 (kd) yrkande 8 avstyrks därför av utskottet.</w:t>
      </w:r>
    </w:p>
    <w:p w:rsidR="001C7BF9" w:rsidRPr="00C9680B" w:rsidRDefault="001C7BF9">
      <w:pPr>
        <w:spacing w:before="312"/>
      </w:pPr>
      <w:r w:rsidRPr="00C9680B">
        <w:rPr>
          <w:i/>
        </w:rPr>
        <w:t>Centerpartiet</w:t>
      </w:r>
      <w:r w:rsidRPr="00C9680B">
        <w:t xml:space="preserve"> föreslår ett utgiftstak för staten som kraftigt avviker från reg</w:t>
      </w:r>
      <w:r w:rsidRPr="00C9680B">
        <w:t>e</w:t>
      </w:r>
      <w:r w:rsidRPr="00C9680B">
        <w:t>ringens. Den nivå som föreslås för 2003 är 29 miljarder kronor lägre än reg</w:t>
      </w:r>
      <w:r w:rsidRPr="00C9680B">
        <w:t>e</w:t>
      </w:r>
      <w:r w:rsidRPr="00C9680B">
        <w:t>ringens, vilket är lägre än vad något annat parti förordar för detta år. Drygt 14 miljarder kronor härav förklaras visserligen av att Centerpartiet anser att den budgeteringsmarginal som regeringen fört upp bör begränsas från 17,2 till 3,2 miljarder kronor, men med sina förslag till utgiftstak har nu Centerpartiet givit sin budgetpolitik en delvis ny inriktning. Tidig</w:t>
      </w:r>
      <w:r w:rsidRPr="00C9680B">
        <w:t>are år har nämligen partiet inte alls eller endast marginellt avvikit från regeringens förslag till utgiftstak. Den nya inriktningen kommer också till uttryck i Centerpartiets förslag till skattesänkningar som för de närmast efterföljande åren uppgår till 10, 37 respektive 58 miljarder kronor. I motionen markeras också att Centerpartiet anser det vara nödvändigt att sänka det totala skatteuttaget ner till samma nivå som andra jämförbara OECD-länder.</w:t>
      </w:r>
    </w:p>
    <w:p w:rsidR="001C7BF9" w:rsidRPr="00C9680B" w:rsidRDefault="001C7BF9">
      <w:pPr>
        <w:pStyle w:val="Normaltindrag"/>
      </w:pPr>
      <w:r w:rsidRPr="00C9680B">
        <w:t>Skattesänkningarna finansieras dels med de medel som i bud</w:t>
      </w:r>
      <w:r w:rsidRPr="00C9680B">
        <w:t>getpropositi</w:t>
      </w:r>
      <w:r w:rsidRPr="00C9680B">
        <w:t>o</w:t>
      </w:r>
      <w:r w:rsidRPr="00C9680B">
        <w:t>nen reserverats som en beräkningsteknisk överföring till hushållen, dels med besparingar som redovisas i moti</w:t>
      </w:r>
      <w:r w:rsidRPr="00C9680B">
        <w:t>o</w:t>
      </w:r>
      <w:r w:rsidRPr="00C9680B">
        <w:t xml:space="preserve">nen. </w:t>
      </w:r>
    </w:p>
    <w:p w:rsidR="001C7BF9" w:rsidRPr="00C9680B" w:rsidRDefault="001C7BF9">
      <w:pPr>
        <w:pStyle w:val="Normaltindrag"/>
      </w:pPr>
      <w:r w:rsidRPr="00C9680B">
        <w:t>Centerpartiets förslag till utgiftsminskningarna uppgår under de tre nä</w:t>
      </w:r>
      <w:r w:rsidRPr="00C9680B">
        <w:t>r</w:t>
      </w:r>
      <w:r w:rsidRPr="00C9680B">
        <w:t xml:space="preserve">maste åren till netto ca 12, 17 respektive 20 miljarder kronor. </w:t>
      </w:r>
    </w:p>
    <w:p w:rsidR="001C7BF9" w:rsidRPr="00C9680B" w:rsidRDefault="001C7BF9">
      <w:pPr>
        <w:pStyle w:val="Normaltindrag"/>
      </w:pPr>
      <w:r w:rsidRPr="00C9680B">
        <w:t>För 2001 föreslås ett antal större besparingar på sammanlagt 20 miljarder kronor. Halva detta belopp hänför sig till olika arbetsmarknadspolitiska insa</w:t>
      </w:r>
      <w:r w:rsidRPr="00C9680B">
        <w:t>t</w:t>
      </w:r>
      <w:r w:rsidRPr="00C9680B">
        <w:t>ser och stöd medan drygt 5 miljarder kronor avser besparingar inom utgift</w:t>
      </w:r>
      <w:r w:rsidRPr="00C9680B">
        <w:t>s</w:t>
      </w:r>
      <w:r w:rsidRPr="00C9680B">
        <w:t>område 10 Ekonomisk trygghet vid sjukdom och handikapp. Motionärerna räknar också med att myndigheternas utnyttjande av anslagssparande och innestående reservationer skall kunna begränsas med närmare 2 miljarder kronor jämfört med regeringens bedömning samt att nivån på utgifterna för statsskuldsräntor kommer att bli ungefär 1 miljard kronor lägre i deras bu</w:t>
      </w:r>
      <w:r w:rsidRPr="00C9680B">
        <w:t>d</w:t>
      </w:r>
      <w:r w:rsidRPr="00C9680B">
        <w:t>getalternativ till följd av en mer omfattande utförsäljning av statliga före</w:t>
      </w:r>
      <w:r w:rsidRPr="00C9680B">
        <w:t>tag. Olika stödformer föreslås också bli avvecklade, såsom stödet till lokala i</w:t>
      </w:r>
      <w:r w:rsidRPr="00C9680B">
        <w:t>n</w:t>
      </w:r>
      <w:r w:rsidRPr="00C9680B">
        <w:t>vesteringsprogram och regionala tran</w:t>
      </w:r>
      <w:r w:rsidRPr="00C9680B">
        <w:t>s</w:t>
      </w:r>
      <w:r w:rsidRPr="00C9680B">
        <w:t>portnät för IT.</w:t>
      </w:r>
    </w:p>
    <w:p w:rsidR="001C7BF9" w:rsidRPr="00C9680B" w:rsidRDefault="001C7BF9">
      <w:pPr>
        <w:pStyle w:val="Normaltindrag"/>
      </w:pPr>
      <w:r w:rsidRPr="00C9680B">
        <w:t>De mycket omfattande besparingarna på arbetsmarknadspolitikens område berör utgiftsområdena 13–15, mellan vilka motionärerna omfördelar betyda</w:t>
      </w:r>
      <w:r w:rsidRPr="00C9680B">
        <w:t>n</w:t>
      </w:r>
      <w:r w:rsidRPr="00C9680B">
        <w:t>de anslagsbelopp och räknar med att redan nästa år kunna begränsa medel</w:t>
      </w:r>
      <w:r w:rsidRPr="00C9680B">
        <w:t>s</w:t>
      </w:r>
      <w:r w:rsidRPr="00C9680B">
        <w:t>behovet för det försörjningsstöd som utgår vid arbetslöshet och vuxenutbil</w:t>
      </w:r>
      <w:r w:rsidRPr="00C9680B">
        <w:t>d</w:t>
      </w:r>
      <w:r w:rsidRPr="00C9680B">
        <w:t>ning med drygt 9 miljarder kronor. Finansutskottet välkomnar nya initiativ som kan bringa ner arbetslösheten men har svårt att se att de av motionärerna redovisade lösningarna skall kunna ge de stora vinster som man vill tillskriva sina fö</w:t>
      </w:r>
      <w:r w:rsidRPr="00C9680B">
        <w:t>r</w:t>
      </w:r>
      <w:r w:rsidRPr="00C9680B">
        <w:t>slag.</w:t>
      </w:r>
    </w:p>
    <w:p w:rsidR="001C7BF9" w:rsidRPr="00C9680B" w:rsidRDefault="001C7BF9">
      <w:pPr>
        <w:pStyle w:val="Normaltindrag"/>
      </w:pPr>
      <w:r w:rsidRPr="00C9680B">
        <w:t>För det första förutsätts att en efter hand höjd a-kasseavgift skall kunna avlasta statsbudgeten allt större utgifter.</w:t>
      </w:r>
      <w:r w:rsidRPr="00C9680B">
        <w:t xml:space="preserve"> För 2001 begränsar sig denna besp</w:t>
      </w:r>
      <w:r w:rsidRPr="00C9680B">
        <w:t>a</w:t>
      </w:r>
      <w:r w:rsidRPr="00C9680B">
        <w:t>ring visserligen till 1,7 miljarder kronor, vilket är betydligt lägre än motsv</w:t>
      </w:r>
      <w:r w:rsidRPr="00C9680B">
        <w:t>a</w:t>
      </w:r>
      <w:r w:rsidRPr="00C9680B">
        <w:t>rande besparing som exempelvis Kristdemokraterna tillgodoräknar sig, men utskottet finner det inte rimligt att räkna med att en så pass genomgripande förändring skall kunna genomföras så snabbt att den över huvud taget kan ge upphov till några besparingar under nästa år.</w:t>
      </w:r>
    </w:p>
    <w:p w:rsidR="001C7BF9" w:rsidRPr="00C9680B" w:rsidRDefault="001C7BF9">
      <w:pPr>
        <w:pStyle w:val="Normaltindrag"/>
      </w:pPr>
      <w:r w:rsidRPr="00C9680B">
        <w:t>För det andra vill motionärerna skärpa kontrollen av att regelverket för a</w:t>
      </w:r>
      <w:r w:rsidRPr="00C9680B">
        <w:t>r</w:t>
      </w:r>
      <w:r w:rsidRPr="00C9680B">
        <w:t>betslöshetsersättning följs och tillgodoräknar sig en besparing på 1 miljard kronor under nästa år. Liksom motionärerna anser utskottet att det är angel</w:t>
      </w:r>
      <w:r w:rsidRPr="00C9680B">
        <w:t>ä</w:t>
      </w:r>
      <w:r w:rsidRPr="00C9680B">
        <w:t>get att arbetsförmedlingarna och Arbetsmarknadsverket kan upprätthålla en god tillsyn och utöva en noggrann kontroll av hur gällande regelverk för arbetslöshetsersättningen tillämpas. Regeringen har också presenterat förslag av denna innebörd. I motsats till regeringen vill emellertid Centerpartiet inte gå med på att Arbetsmarknadsverket får ytterligare re</w:t>
      </w:r>
      <w:r w:rsidRPr="00C9680B">
        <w:t>surser för att tillfälligt kunna anställa fler handläggare. I motionen uppges tvärtom att Centerpartiet över huvud taget inte tillför några ytterligare resurser för administration inom utgiftsområdet. Hur det skall vara möjligt för motionärerna att med ett mindre resurstillskott till Arbetsmarknadsverket kunna uppnå större besparingar än regeringen i detta avseende framgår inte av moti</w:t>
      </w:r>
      <w:r w:rsidRPr="00C9680B">
        <w:t>o</w:t>
      </w:r>
      <w:r w:rsidRPr="00C9680B">
        <w:t>nen.</w:t>
      </w:r>
    </w:p>
    <w:p w:rsidR="001C7BF9" w:rsidRPr="00C9680B" w:rsidRDefault="001C7BF9">
      <w:pPr>
        <w:pStyle w:val="Normaltindrag"/>
      </w:pPr>
      <w:r w:rsidRPr="00C9680B">
        <w:t>För det tredje vill motionärerna sänka arbetslöshetsersättningen till 70 % efter 200 dagars ersättning och tillgodoräk</w:t>
      </w:r>
      <w:r w:rsidRPr="00C9680B">
        <w:t>nar sig en besparing för detta på 780 mi</w:t>
      </w:r>
      <w:r w:rsidRPr="00C9680B">
        <w:t>l</w:t>
      </w:r>
      <w:r w:rsidRPr="00C9680B">
        <w:t>joner kronor.</w:t>
      </w:r>
    </w:p>
    <w:p w:rsidR="001C7BF9" w:rsidRPr="00C9680B" w:rsidRDefault="001C7BF9">
      <w:pPr>
        <w:pStyle w:val="Normaltindrag"/>
      </w:pPr>
      <w:r w:rsidRPr="00C9680B">
        <w:t>För det fjärde räknar motionärerna med att deras förslag på det arbet</w:t>
      </w:r>
      <w:r w:rsidRPr="00C9680B">
        <w:t>s</w:t>
      </w:r>
      <w:r w:rsidRPr="00C9680B">
        <w:t>marknadspolitiska området skall leda till att behovet av särskilda åtgärder minskar utan att fler för den skull blir öppet arbetslösa. Motionärerna vill bl.a. fasa ut användningen av volyminriktade åtgärder och i stället satsa på m</w:t>
      </w:r>
      <w:r w:rsidRPr="00C9680B">
        <w:t>e</w:t>
      </w:r>
      <w:r w:rsidRPr="00C9680B">
        <w:t>ningsfulla yrkesinriktade utbildningar, man vill införa en utbildningsgaranti som ger arbetslösa och förvärvsarbetande möjlighet att komplettera sin u</w:t>
      </w:r>
      <w:r w:rsidRPr="00C9680B">
        <w:t>t</w:t>
      </w:r>
      <w:r w:rsidRPr="00C9680B">
        <w:t>bildning upp till gymnasienivå och man vill inrätta övergångsarbetsmarknader för människor som har svårt att komma ut på den reg</w:t>
      </w:r>
      <w:r w:rsidRPr="00C9680B">
        <w:t>uljära arbetsmarknaden, ett förslag snarlikt regeringens anställningsstöd. Med hänvisning till bl.a. dessa åtgärder räknar motionärerna med att belastningen på försörjningsstödet redan nästa år skall kunna minska med ytterligare närmare 6 miljarder kronor. Hur det är möjligt att uppnå en så förhållandevis stor besparing redan nästa år framgår inte av motionen.</w:t>
      </w:r>
    </w:p>
    <w:p w:rsidR="001C7BF9" w:rsidRPr="00C9680B" w:rsidRDefault="001C7BF9">
      <w:pPr>
        <w:pStyle w:val="Normaltindrag"/>
      </w:pPr>
      <w:r w:rsidRPr="00C9680B">
        <w:t>Det är värt att notera att minskningarna inte främst avser administration</w:t>
      </w:r>
      <w:r w:rsidRPr="00C9680B">
        <w:t>s</w:t>
      </w:r>
      <w:r w:rsidRPr="00C9680B">
        <w:t>kostnader utan innebär att hushållen får minskade bidrag i denna omfattning. Det är också uppenbart att detta drabbar grupper som inte kan förväntas ha stora reserver att försörja sig på. Motionärerna har inte heller på ett trovärdigt sätt visat att de som drabbas skulle få sin försörjning tryggad på annat sätt.</w:t>
      </w:r>
    </w:p>
    <w:p w:rsidR="001C7BF9" w:rsidRPr="00C9680B" w:rsidRDefault="001C7BF9">
      <w:pPr>
        <w:pStyle w:val="Normaltindrag"/>
      </w:pPr>
      <w:r w:rsidRPr="00C9680B">
        <w:t>Motionärerna kommenterar inte heller närmare vilka omständigheter som föranleder dem att tillgodoräkna sig en besparing på 1,75 miljarder kronor på myndigheternas förbrukning av anslagssparande. Ef</w:t>
      </w:r>
      <w:r w:rsidRPr="00C9680B">
        <w:t>tersom beloppet motsv</w:t>
      </w:r>
      <w:r w:rsidRPr="00C9680B">
        <w:t>a</w:t>
      </w:r>
      <w:r w:rsidRPr="00C9680B">
        <w:t>rar 60 % av myndigheternas förväntade nettoförbrukning av sparade anslag</w:t>
      </w:r>
      <w:r w:rsidRPr="00C9680B">
        <w:t>s</w:t>
      </w:r>
      <w:r w:rsidRPr="00C9680B">
        <w:t>medel under 2001 och växer till det dubbla under efterföljande år framstår besparingen utan en fö</w:t>
      </w:r>
      <w:r w:rsidRPr="00C9680B">
        <w:t>r</w:t>
      </w:r>
      <w:r w:rsidRPr="00C9680B">
        <w:t>klarande kommentar närmast vara gripen ur luften.</w:t>
      </w:r>
    </w:p>
    <w:p w:rsidR="001C7BF9" w:rsidRPr="00C9680B" w:rsidRDefault="001C7BF9">
      <w:pPr>
        <w:pStyle w:val="Normaltindrag"/>
      </w:pPr>
      <w:r w:rsidRPr="00C9680B">
        <w:t>För de båda närmast efterföljande åren föreslår Centerpartiet att man i två steg skall höja grundavdraget vid inkomstbeskattningen. Partiet lägger des</w:t>
      </w:r>
      <w:r w:rsidRPr="00C9680B">
        <w:t>s</w:t>
      </w:r>
      <w:r w:rsidRPr="00C9680B">
        <w:t>utom fram förslag om ett antal andra skattesänkningar som indirekt får effekt på kommunernas ekonomi. Liksom Kristdemokraterna väljer Centerpartiet att kompensera kommunerna för dessa effekter genom att nettoredovisa merpa</w:t>
      </w:r>
      <w:r w:rsidRPr="00C9680B">
        <w:t>r</w:t>
      </w:r>
      <w:r w:rsidRPr="00C9680B">
        <w:t>ten av överföringarna från en inkomsttitel. Under 2001 och 2002 är det 16,1 respektive 26,8 miljarder kronor som på detta sätt döljs bakom en nettopost på budgetens inkomstsida och bidrar till att överblicken över partiets budg</w:t>
      </w:r>
      <w:r w:rsidRPr="00C9680B">
        <w:t>e</w:t>
      </w:r>
      <w:r w:rsidRPr="00C9680B">
        <w:t>t</w:t>
      </w:r>
      <w:r w:rsidRPr="00C9680B">
        <w:softHyphen/>
        <w:t xml:space="preserve">alternativ försvåras. </w:t>
      </w:r>
    </w:p>
    <w:p w:rsidR="001C7BF9" w:rsidRPr="00C9680B" w:rsidRDefault="001C7BF9">
      <w:pPr>
        <w:pStyle w:val="Normaltindrag"/>
      </w:pPr>
      <w:r w:rsidRPr="00C9680B">
        <w:t>År 2003 skall enligt Centerpartiets</w:t>
      </w:r>
      <w:r w:rsidRPr="00C9680B">
        <w:t xml:space="preserve"> förslag det kommunala grundavdraget helt avskaffas och ersättas av en statlig skattereduktion på 10 000 kr per pe</w:t>
      </w:r>
      <w:r w:rsidRPr="00C9680B">
        <w:t>r</w:t>
      </w:r>
      <w:r w:rsidRPr="00C9680B">
        <w:t>son. Kommunernas skatteinkomster ökar därvid kraftigt och i enlighet med finansieringsprincipen skall ett lika stort belopp dras in från kommunsektorn till staten.</w:t>
      </w:r>
    </w:p>
    <w:p w:rsidR="001C7BF9" w:rsidRPr="00C9680B" w:rsidRDefault="001C7BF9">
      <w:pPr>
        <w:pStyle w:val="Normaltindrag"/>
      </w:pPr>
      <w:r w:rsidRPr="00C9680B">
        <w:t>Av de skäl som här redovisats kan utskottet inte ställa sig bakom Cente</w:t>
      </w:r>
      <w:r w:rsidRPr="00C9680B">
        <w:t>r</w:t>
      </w:r>
      <w:r w:rsidRPr="00C9680B">
        <w:t>partiets förslag till i</w:t>
      </w:r>
      <w:r w:rsidRPr="00C9680B">
        <w:t>n</w:t>
      </w:r>
      <w:r w:rsidRPr="00C9680B">
        <w:t>riktning av budgetpolitiken.</w:t>
      </w:r>
    </w:p>
    <w:p w:rsidR="001C7BF9" w:rsidRPr="00C9680B" w:rsidRDefault="001C7BF9">
      <w:pPr>
        <w:spacing w:before="312"/>
        <w:rPr>
          <w:snapToGrid w:val="0"/>
          <w:lang w:eastAsia="sv-SE"/>
        </w:rPr>
      </w:pPr>
      <w:r w:rsidRPr="00C9680B">
        <w:rPr>
          <w:i/>
          <w:snapToGrid w:val="0"/>
          <w:lang w:eastAsia="sv-SE"/>
        </w:rPr>
        <w:t>Folkpartiet liberalerna</w:t>
      </w:r>
      <w:r w:rsidRPr="00C9680B">
        <w:rPr>
          <w:snapToGrid w:val="0"/>
          <w:lang w:eastAsia="sv-SE"/>
        </w:rPr>
        <w:t xml:space="preserve"> föreslår en inkomstskattereform som utgår från de principer som låg till grund för 1991 års skattereform och som fullt geno</w:t>
      </w:r>
      <w:r w:rsidRPr="00C9680B">
        <w:rPr>
          <w:snapToGrid w:val="0"/>
          <w:lang w:eastAsia="sv-SE"/>
        </w:rPr>
        <w:t>m</w:t>
      </w:r>
      <w:r w:rsidRPr="00C9680B">
        <w:rPr>
          <w:snapToGrid w:val="0"/>
          <w:lang w:eastAsia="sv-SE"/>
        </w:rPr>
        <w:t>förd efter tre år beräknas kosta 42 miljarder kronor. Enligt denna skall uttaget av statlig skatt begränsas till 20 % och brytpunkten för uttag av statlig skatt höjas till drygt 300 000 kr, dvs. till den nivå där egenavgifter inte längre utgår. Vidare skall en skattereduktion på 3 000 kr införas lika för alla skat</w:t>
      </w:r>
      <w:r w:rsidRPr="00C9680B">
        <w:rPr>
          <w:snapToGrid w:val="0"/>
          <w:lang w:eastAsia="sv-SE"/>
        </w:rPr>
        <w:t>t</w:t>
      </w:r>
      <w:r w:rsidRPr="00C9680B">
        <w:rPr>
          <w:snapToGrid w:val="0"/>
          <w:lang w:eastAsia="sv-SE"/>
        </w:rPr>
        <w:t>skyldiga samt avtrappningen av grundavdraget ändras så att de marginale</w:t>
      </w:r>
      <w:r w:rsidRPr="00C9680B">
        <w:rPr>
          <w:snapToGrid w:val="0"/>
          <w:lang w:eastAsia="sv-SE"/>
        </w:rPr>
        <w:t>f</w:t>
      </w:r>
      <w:r w:rsidRPr="00C9680B">
        <w:rPr>
          <w:snapToGrid w:val="0"/>
          <w:lang w:eastAsia="sv-SE"/>
        </w:rPr>
        <w:t>fekter som den s.k. LO-puckeln ger upphov till unda</w:t>
      </w:r>
      <w:r w:rsidRPr="00C9680B">
        <w:rPr>
          <w:snapToGrid w:val="0"/>
          <w:lang w:eastAsia="sv-SE"/>
        </w:rPr>
        <w:t>n</w:t>
      </w:r>
      <w:r w:rsidRPr="00C9680B">
        <w:rPr>
          <w:snapToGrid w:val="0"/>
          <w:lang w:eastAsia="sv-SE"/>
        </w:rPr>
        <w:t>röjs.</w:t>
      </w:r>
    </w:p>
    <w:p w:rsidR="001C7BF9" w:rsidRPr="00C9680B" w:rsidRDefault="001C7BF9">
      <w:pPr>
        <w:pStyle w:val="Normaltindrag"/>
      </w:pPr>
      <w:r w:rsidRPr="00C9680B">
        <w:t>De skattskyldiga skall med sänkta skatter dessutom kompenseras för pr</w:t>
      </w:r>
      <w:r w:rsidRPr="00C9680B">
        <w:t>e</w:t>
      </w:r>
      <w:r w:rsidRPr="00C9680B">
        <w:t>miehöjningar som följer på Folkpartiets förslag att lyfta av kostnaderna för trafikolycksfall från statsbudgeten och i stället föra över dem till den obligat</w:t>
      </w:r>
      <w:r w:rsidRPr="00C9680B">
        <w:t>o</w:t>
      </w:r>
      <w:r w:rsidRPr="00C9680B">
        <w:t>riska trafikförsäkringen. De skattskyldiga skall också kompenseras för Fol</w:t>
      </w:r>
      <w:r w:rsidRPr="00C9680B">
        <w:t>k</w:t>
      </w:r>
      <w:r w:rsidRPr="00C9680B">
        <w:t>partiets förslag att från och med 2002 höja egenavgiften till arbetslöshetsfö</w:t>
      </w:r>
      <w:r w:rsidRPr="00C9680B">
        <w:t>r</w:t>
      </w:r>
      <w:r w:rsidRPr="00C9680B">
        <w:t>säkringen. Tillsammans motsvarar kompensationen för dessa båda åtgärder skattesänkningar på sammanlagt närmare 16 milja</w:t>
      </w:r>
      <w:r w:rsidRPr="00C9680B">
        <w:t>r</w:t>
      </w:r>
      <w:r w:rsidRPr="00C9680B">
        <w:t>der kronor.</w:t>
      </w:r>
    </w:p>
    <w:p w:rsidR="001C7BF9" w:rsidRPr="00C9680B" w:rsidRDefault="001C7BF9">
      <w:pPr>
        <w:pStyle w:val="Normaltindrag"/>
      </w:pPr>
      <w:r w:rsidRPr="00C9680B">
        <w:t xml:space="preserve">Motionärerna avvisar regeringens förslag till inkomstskattesänkning </w:t>
      </w:r>
      <w:r w:rsidRPr="00C9680B">
        <w:t>och säger sig ha svårt att förstå logiken bakom regeringens önskan att vilja ko</w:t>
      </w:r>
      <w:r w:rsidRPr="00C9680B">
        <w:t>m</w:t>
      </w:r>
      <w:r w:rsidRPr="00C9680B">
        <w:t>pensera löntagarna för de egenavgiften de betalar till pensionssystemet efte</w:t>
      </w:r>
      <w:r w:rsidRPr="00C9680B">
        <w:t>r</w:t>
      </w:r>
      <w:r w:rsidRPr="00C9680B">
        <w:t>som det finns en tydlig koppling mellan avgift och förmån. Samma typ av koppling vill Folkpartiet få till stånd när det gäller arbetslöshetsförsäkringen som i partiets budgetalternativ föreslås bli allmän och obligatorisk, och som skall fungera som en fristående försäkring skild från statsbudgeten med – som motionärerna uttrycker det – raka rör mellan a</w:t>
      </w:r>
      <w:r w:rsidRPr="00C9680B">
        <w:t>vgifter och förmåner. Mot bakgrund av den kritik som motionärerna riktar mot regeringens syn på ko</w:t>
      </w:r>
      <w:r w:rsidRPr="00C9680B">
        <w:t>m</w:t>
      </w:r>
      <w:r w:rsidRPr="00C9680B">
        <w:t>penserande skattesänkning frågar sig utskottet osökt varför motionärerna väljer att på snarlikt sätt kompensera löntagarna fullt ut för den avgiftshöjning som de själva föreslår för arbetslöshetsförsäkrin</w:t>
      </w:r>
      <w:r w:rsidRPr="00C9680B">
        <w:t>g</w:t>
      </w:r>
      <w:r w:rsidRPr="00C9680B">
        <w:t>en.</w:t>
      </w:r>
    </w:p>
    <w:p w:rsidR="001C7BF9" w:rsidRPr="00C9680B" w:rsidRDefault="001C7BF9">
      <w:pPr>
        <w:pStyle w:val="Normaltindrag"/>
        <w:rPr>
          <w:snapToGrid w:val="0"/>
          <w:lang w:eastAsia="sv-SE"/>
        </w:rPr>
      </w:pPr>
      <w:r w:rsidRPr="00C9680B">
        <w:rPr>
          <w:snapToGrid w:val="0"/>
          <w:lang w:eastAsia="sv-SE"/>
        </w:rPr>
        <w:t>För att främja tillkomsten av nya arbeten föreslår Folkpartiet att arbetsg</w:t>
      </w:r>
      <w:r w:rsidRPr="00C9680B">
        <w:rPr>
          <w:snapToGrid w:val="0"/>
          <w:lang w:eastAsia="sv-SE"/>
        </w:rPr>
        <w:t>i</w:t>
      </w:r>
      <w:r w:rsidRPr="00C9680B">
        <w:rPr>
          <w:snapToGrid w:val="0"/>
          <w:lang w:eastAsia="sv-SE"/>
        </w:rPr>
        <w:t>varavgifterna i hela den privata tjänstesektorn skall sänkas med först 2 och därefter 5 procentenheter, att beskattningen av hushållstjänster lindras samt att dubbelbeskattningen och förmögenhetsskatten avska</w:t>
      </w:r>
      <w:r w:rsidRPr="00C9680B">
        <w:rPr>
          <w:snapToGrid w:val="0"/>
          <w:lang w:eastAsia="sv-SE"/>
        </w:rPr>
        <w:t>f</w:t>
      </w:r>
      <w:r w:rsidRPr="00C9680B">
        <w:rPr>
          <w:snapToGrid w:val="0"/>
          <w:lang w:eastAsia="sv-SE"/>
        </w:rPr>
        <w:t xml:space="preserve">fas. </w:t>
      </w:r>
    </w:p>
    <w:p w:rsidR="001C7BF9" w:rsidRPr="00C9680B" w:rsidRDefault="001C7BF9">
      <w:pPr>
        <w:pStyle w:val="Normaltindrag"/>
        <w:rPr>
          <w:snapToGrid w:val="0"/>
          <w:lang w:eastAsia="sv-SE"/>
        </w:rPr>
      </w:pPr>
      <w:r w:rsidRPr="00C9680B">
        <w:rPr>
          <w:snapToGrid w:val="0"/>
          <w:lang w:eastAsia="sv-SE"/>
        </w:rPr>
        <w:t>Sammantaget uppgår de av Folkpartiet föreslagna skattesänkningarna och nya utgiftsåtagandena till drygt 100 miljarder kronor under såväl 2002 som 2003. Budgetförsvagningarna föreslås bli finansierade med de medel som i budgetpropositionen satts av som en beräkningsteknisk överföring. Dessutom sk</w:t>
      </w:r>
      <w:r w:rsidRPr="00C9680B">
        <w:rPr>
          <w:snapToGrid w:val="0"/>
          <w:lang w:eastAsia="sv-SE"/>
        </w:rPr>
        <w:t>all finansieringen ske genom att vissa av regeringens skatteförslag återtas samt genom besparingar, effektiviseringar, nya koncessionsavgifter, lån</w:t>
      </w:r>
      <w:r w:rsidRPr="00C9680B">
        <w:rPr>
          <w:snapToGrid w:val="0"/>
          <w:lang w:eastAsia="sv-SE"/>
        </w:rPr>
        <w:t>g</w:t>
      </w:r>
      <w:r w:rsidRPr="00C9680B">
        <w:rPr>
          <w:snapToGrid w:val="0"/>
          <w:lang w:eastAsia="sv-SE"/>
        </w:rPr>
        <w:t>sammare järnvägsutbyggnad samt genom att verksamheter helt eller delvis lyfts ut från statsbudgeten för att i stället finansieras vid sidan av den. Moti</w:t>
      </w:r>
      <w:r w:rsidRPr="00C9680B">
        <w:rPr>
          <w:snapToGrid w:val="0"/>
          <w:lang w:eastAsia="sv-SE"/>
        </w:rPr>
        <w:t>o</w:t>
      </w:r>
      <w:r w:rsidRPr="00C9680B">
        <w:rPr>
          <w:snapToGrid w:val="0"/>
          <w:lang w:eastAsia="sv-SE"/>
        </w:rPr>
        <w:t>närerna räknar också med att kunna göra besparingar genom att åter öppna kärnkraftverket i Barsebäck och genom en omfattande försäljning av statliga företag vilket minskar utgifterna för statsskuldsrä</w:t>
      </w:r>
      <w:r w:rsidRPr="00C9680B">
        <w:rPr>
          <w:snapToGrid w:val="0"/>
          <w:lang w:eastAsia="sv-SE"/>
        </w:rPr>
        <w:t>n</w:t>
      </w:r>
      <w:r w:rsidRPr="00C9680B">
        <w:rPr>
          <w:snapToGrid w:val="0"/>
          <w:lang w:eastAsia="sv-SE"/>
        </w:rPr>
        <w:t>tor.</w:t>
      </w:r>
    </w:p>
    <w:p w:rsidR="001C7BF9" w:rsidRPr="00C9680B" w:rsidRDefault="001C7BF9">
      <w:pPr>
        <w:pStyle w:val="Normaltindrag"/>
        <w:rPr>
          <w:snapToGrid w:val="0"/>
          <w:lang w:eastAsia="sv-SE"/>
        </w:rPr>
      </w:pPr>
      <w:r w:rsidRPr="00C9680B">
        <w:rPr>
          <w:snapToGrid w:val="0"/>
          <w:lang w:eastAsia="sv-SE"/>
        </w:rPr>
        <w:t>Några</w:t>
      </w:r>
      <w:r w:rsidRPr="00C9680B">
        <w:rPr>
          <w:snapToGrid w:val="0"/>
          <w:lang w:eastAsia="sv-SE"/>
        </w:rPr>
        <w:t xml:space="preserve"> av motionärernas förslag till budgetförstärkningarna är tydliga och innebär att verksamheter avvecklas eller att regler ändras på ett sådant sätt att det verkligen resulterar i en klart avläsbar besparing. Så t.ex. föreslås att stödet till lokala investeringsprogram avskaffas liksom den s.k. kommunak</w:t>
      </w:r>
      <w:r w:rsidRPr="00C9680B">
        <w:rPr>
          <w:snapToGrid w:val="0"/>
          <w:lang w:eastAsia="sv-SE"/>
        </w:rPr>
        <w:t>u</w:t>
      </w:r>
      <w:r w:rsidRPr="00C9680B">
        <w:rPr>
          <w:snapToGrid w:val="0"/>
          <w:lang w:eastAsia="sv-SE"/>
        </w:rPr>
        <w:t>ten, dvs. de särskilda medel som regeringen förfogar över för insatser i vissa kommuner.</w:t>
      </w:r>
    </w:p>
    <w:p w:rsidR="001C7BF9" w:rsidRPr="00C9680B" w:rsidRDefault="001C7BF9">
      <w:pPr>
        <w:pStyle w:val="Normaltindrag"/>
        <w:rPr>
          <w:snapToGrid w:val="0"/>
          <w:lang w:eastAsia="sv-SE"/>
        </w:rPr>
      </w:pPr>
      <w:r w:rsidRPr="00C9680B">
        <w:rPr>
          <w:snapToGrid w:val="0"/>
          <w:lang w:eastAsia="sv-SE"/>
        </w:rPr>
        <w:t>Andra förslag är mer svårbedömda och utgår från förutsättningen att den av Folkpartiet förordade politiken har så gynnsa</w:t>
      </w:r>
      <w:r w:rsidRPr="00C9680B">
        <w:rPr>
          <w:snapToGrid w:val="0"/>
          <w:lang w:eastAsia="sv-SE"/>
        </w:rPr>
        <w:t>mma återverkningar på ek</w:t>
      </w:r>
      <w:r w:rsidRPr="00C9680B">
        <w:rPr>
          <w:snapToGrid w:val="0"/>
          <w:lang w:eastAsia="sv-SE"/>
        </w:rPr>
        <w:t>o</w:t>
      </w:r>
      <w:r w:rsidRPr="00C9680B">
        <w:rPr>
          <w:snapToGrid w:val="0"/>
          <w:lang w:eastAsia="sv-SE"/>
        </w:rPr>
        <w:t>nomin att utgifterna kan minskas på olika områden. Så t.ex. förutses ett re</w:t>
      </w:r>
      <w:r w:rsidRPr="00C9680B">
        <w:rPr>
          <w:snapToGrid w:val="0"/>
          <w:lang w:eastAsia="sv-SE"/>
        </w:rPr>
        <w:softHyphen/>
        <w:t>surs</w:t>
      </w:r>
      <w:r w:rsidRPr="00C9680B">
        <w:rPr>
          <w:snapToGrid w:val="0"/>
          <w:lang w:eastAsia="sv-SE"/>
        </w:rPr>
        <w:softHyphen/>
        <w:t xml:space="preserve">tillskott till de allmänna försäkringskassorna kunna ge snabb utdelning under de närmaste tre åren i form av minskade utgifter för rehabilitering med 1,1, 2,4 respektive 4,3 miljarder kronor. </w:t>
      </w:r>
    </w:p>
    <w:p w:rsidR="001C7BF9" w:rsidRPr="00C9680B" w:rsidRDefault="001C7BF9">
      <w:pPr>
        <w:pStyle w:val="Normaltindrag"/>
        <w:rPr>
          <w:snapToGrid w:val="0"/>
          <w:lang w:eastAsia="sv-SE"/>
        </w:rPr>
      </w:pPr>
      <w:r w:rsidRPr="00C9680B">
        <w:rPr>
          <w:snapToGrid w:val="0"/>
          <w:lang w:eastAsia="sv-SE"/>
        </w:rPr>
        <w:t>På arbetsmarknadspolitikens område går motionärerna ett steg längre och nöjer sig med att hänvisa till den förbättrade konjunkturen som skäl för att tillgodoräkna sitt budgetalternativ en besparing på 6,6 miljarde</w:t>
      </w:r>
      <w:r w:rsidRPr="00C9680B">
        <w:rPr>
          <w:snapToGrid w:val="0"/>
          <w:lang w:eastAsia="sv-SE"/>
        </w:rPr>
        <w:t>r kronor. E</w:t>
      </w:r>
      <w:r w:rsidRPr="00C9680B">
        <w:rPr>
          <w:snapToGrid w:val="0"/>
          <w:lang w:eastAsia="sv-SE"/>
        </w:rPr>
        <w:t>n</w:t>
      </w:r>
      <w:r w:rsidRPr="00C9680B">
        <w:rPr>
          <w:snapToGrid w:val="0"/>
          <w:lang w:eastAsia="sv-SE"/>
        </w:rPr>
        <w:t>ligt motionärerna gör den förbättrade konjunkturen det möjligt att reducera antalet personer i konjunkturberoende arbetsmarknadspolitiska åtgärder och att minska köpen av arbetsmarknadspolitisk utbildning i motsvarande mån. Med samma motivering hävdar de att även anslaget till Kunskapslyftet kan minskas med 1 miljard kronor.</w:t>
      </w:r>
    </w:p>
    <w:p w:rsidR="001C7BF9" w:rsidRPr="00C9680B" w:rsidRDefault="001C7BF9">
      <w:pPr>
        <w:pStyle w:val="Normaltindrag"/>
      </w:pPr>
      <w:r w:rsidRPr="00C9680B">
        <w:t>Faran med motionens förslag är att de arbetslösa i stället för att få chansen att utveckla sig och förbereda sig för ett nytt arbete riskerar att passiviseras i en öppen arb</w:t>
      </w:r>
      <w:r w:rsidRPr="00C9680B">
        <w:t>etslöshet med bibehållen arbetslöshetsersättning. Utskottet har svårt att se att en sådan politik på något avgörande sätt kan bidra till att a</w:t>
      </w:r>
      <w:r w:rsidRPr="00C9680B">
        <w:t>r</w:t>
      </w:r>
      <w:r w:rsidRPr="00C9680B">
        <w:t>betslösheten begrä</w:t>
      </w:r>
      <w:r w:rsidRPr="00C9680B">
        <w:t>n</w:t>
      </w:r>
      <w:r w:rsidRPr="00C9680B">
        <w:t>sas.</w:t>
      </w:r>
    </w:p>
    <w:p w:rsidR="001C7BF9" w:rsidRPr="00C9680B" w:rsidRDefault="001C7BF9">
      <w:pPr>
        <w:pStyle w:val="Normaltindrag"/>
      </w:pPr>
      <w:r w:rsidRPr="00C9680B">
        <w:rPr>
          <w:snapToGrid w:val="0"/>
          <w:lang w:eastAsia="sv-SE"/>
        </w:rPr>
        <w:t>Av de fyra oppositionspartierna redovisar Folkpartiet de mest långtgående planerna på försäljning av statliga företag. Staten bör bara i undantagsfall driva företag anser motionärerna, och detta synsätt återspeglar sig också i deras förslag att under den närmaste treårsperioden avveckla statligt företag</w:t>
      </w:r>
      <w:r w:rsidRPr="00C9680B">
        <w:rPr>
          <w:snapToGrid w:val="0"/>
          <w:lang w:eastAsia="sv-SE"/>
        </w:rPr>
        <w:t>s</w:t>
      </w:r>
      <w:r w:rsidRPr="00C9680B">
        <w:rPr>
          <w:snapToGrid w:val="0"/>
          <w:lang w:eastAsia="sv-SE"/>
        </w:rPr>
        <w:t>ägande för sammanlagt 215 miljarder kronor. Härav skall 95 miljarder kronor säljas ut redan nästa år. I motionen anges ett antal företag som bör kunna komma i fråga vid en sådan försäljning, men hur det skall vara möjligt att redan under nästa år avyttra aktier i denna omfattning diskuteras inte nä</w:t>
      </w:r>
      <w:r w:rsidRPr="00C9680B">
        <w:rPr>
          <w:snapToGrid w:val="0"/>
          <w:lang w:eastAsia="sv-SE"/>
        </w:rPr>
        <w:t>r</w:t>
      </w:r>
      <w:r w:rsidRPr="00C9680B">
        <w:rPr>
          <w:snapToGrid w:val="0"/>
          <w:lang w:eastAsia="sv-SE"/>
        </w:rPr>
        <w:t>mare.</w:t>
      </w:r>
    </w:p>
    <w:p w:rsidR="001C7BF9" w:rsidRPr="00C9680B" w:rsidRDefault="001C7BF9">
      <w:pPr>
        <w:pStyle w:val="Normaltindrag"/>
        <w:rPr>
          <w:snapToGrid w:val="0"/>
          <w:lang w:eastAsia="sv-SE"/>
        </w:rPr>
      </w:pPr>
      <w:r w:rsidRPr="00C9680B">
        <w:rPr>
          <w:snapToGrid w:val="0"/>
          <w:lang w:eastAsia="sv-SE"/>
        </w:rPr>
        <w:t>Av motionen framgår att Folkpartiet helt stöder den s.k. finansieringspri</w:t>
      </w:r>
      <w:r w:rsidRPr="00C9680B">
        <w:rPr>
          <w:snapToGrid w:val="0"/>
          <w:lang w:eastAsia="sv-SE"/>
        </w:rPr>
        <w:t>n</w:t>
      </w:r>
      <w:r w:rsidRPr="00C9680B">
        <w:rPr>
          <w:snapToGrid w:val="0"/>
          <w:lang w:eastAsia="sv-SE"/>
        </w:rPr>
        <w:t>cipen. Några av partiets skatteförslag får genomslag på kommunernas ek</w:t>
      </w:r>
      <w:r w:rsidRPr="00C9680B">
        <w:rPr>
          <w:snapToGrid w:val="0"/>
          <w:lang w:eastAsia="sv-SE"/>
        </w:rPr>
        <w:t>o</w:t>
      </w:r>
      <w:r w:rsidRPr="00C9680B">
        <w:rPr>
          <w:snapToGrid w:val="0"/>
          <w:lang w:eastAsia="sv-SE"/>
        </w:rPr>
        <w:t>nomi, vilket motionärerna förutsätter skall justeras netto så att effekten neu</w:t>
      </w:r>
      <w:r w:rsidRPr="00C9680B">
        <w:rPr>
          <w:snapToGrid w:val="0"/>
          <w:lang w:eastAsia="sv-SE"/>
        </w:rPr>
        <w:t>t</w:t>
      </w:r>
      <w:r w:rsidRPr="00C9680B">
        <w:rPr>
          <w:snapToGrid w:val="0"/>
          <w:lang w:eastAsia="sv-SE"/>
        </w:rPr>
        <w:t>raliseras. Hur detta rent praktsikt skall gå till framgår inte av motionen, men sammanlagt behöver kommunerna tillföras 16 miljarder kronor under 2001 för att hållas skadeslösa för de indirekta effekterna av motionärernas skatt</w:t>
      </w:r>
      <w:r w:rsidRPr="00C9680B">
        <w:rPr>
          <w:snapToGrid w:val="0"/>
          <w:lang w:eastAsia="sv-SE"/>
        </w:rPr>
        <w:t>e</w:t>
      </w:r>
      <w:r w:rsidRPr="00C9680B">
        <w:rPr>
          <w:snapToGrid w:val="0"/>
          <w:lang w:eastAsia="sv-SE"/>
        </w:rPr>
        <w:t>förslag. Någon avräkning mot det generella statsbidraget på utgiftsområde 25 görs inte i motionen, utan regleringen av dessa effekter</w:t>
      </w:r>
      <w:r w:rsidRPr="00C9680B">
        <w:rPr>
          <w:snapToGrid w:val="0"/>
          <w:lang w:eastAsia="sv-SE"/>
        </w:rPr>
        <w:t xml:space="preserve"> förutsätts uppenbarl</w:t>
      </w:r>
      <w:r w:rsidRPr="00C9680B">
        <w:rPr>
          <w:snapToGrid w:val="0"/>
          <w:lang w:eastAsia="sv-SE"/>
        </w:rPr>
        <w:t>i</w:t>
      </w:r>
      <w:r w:rsidRPr="00C9680B">
        <w:rPr>
          <w:snapToGrid w:val="0"/>
          <w:lang w:eastAsia="sv-SE"/>
        </w:rPr>
        <w:t>gen bli gjord mot statsbudgetens inkomstsida enligt samma nettoredovi</w:t>
      </w:r>
      <w:r w:rsidRPr="00C9680B">
        <w:rPr>
          <w:snapToGrid w:val="0"/>
          <w:lang w:eastAsia="sv-SE"/>
        </w:rPr>
        <w:t>s</w:t>
      </w:r>
      <w:r w:rsidRPr="00C9680B">
        <w:rPr>
          <w:snapToGrid w:val="0"/>
          <w:lang w:eastAsia="sv-SE"/>
        </w:rPr>
        <w:t>ningsmetod som tillämpas av Kristdemokraterna och Centerpartiet. Det följer av det sätt på vilket motionärerna valt att presentera sitt budgetalternativ. Eftersom överföringsbeloppet förs upp som en negativ post på budgetens inkomstsida döljs dess omfattning bakom ett nettobelopp på en inkomsttitel och kan inte omedelbart utläsas av motionärernas budgetalternativ, vilket försvårar tolkningen av försl</w:t>
      </w:r>
      <w:r w:rsidRPr="00C9680B">
        <w:rPr>
          <w:snapToGrid w:val="0"/>
          <w:lang w:eastAsia="sv-SE"/>
        </w:rPr>
        <w:t>a</w:t>
      </w:r>
      <w:r w:rsidRPr="00C9680B">
        <w:rPr>
          <w:snapToGrid w:val="0"/>
          <w:lang w:eastAsia="sv-SE"/>
        </w:rPr>
        <w:t xml:space="preserve">gen. </w:t>
      </w:r>
    </w:p>
    <w:p w:rsidR="001C7BF9" w:rsidRPr="00C9680B" w:rsidRDefault="001C7BF9">
      <w:pPr>
        <w:pStyle w:val="Normaltindrag"/>
        <w:rPr>
          <w:snapToGrid w:val="0"/>
          <w:lang w:eastAsia="sv-SE"/>
        </w:rPr>
      </w:pPr>
      <w:r w:rsidRPr="00C9680B">
        <w:rPr>
          <w:snapToGrid w:val="0"/>
          <w:lang w:eastAsia="sv-SE"/>
        </w:rPr>
        <w:t>Med hänvis</w:t>
      </w:r>
      <w:r w:rsidRPr="00C9680B">
        <w:rPr>
          <w:snapToGrid w:val="0"/>
          <w:lang w:eastAsia="sv-SE"/>
        </w:rPr>
        <w:t>ning till vad utskottet här har redovisat kan inte utskottet ställa sig bakom Folkpa</w:t>
      </w:r>
      <w:r w:rsidRPr="00C9680B">
        <w:rPr>
          <w:snapToGrid w:val="0"/>
          <w:lang w:eastAsia="sv-SE"/>
        </w:rPr>
        <w:t>r</w:t>
      </w:r>
      <w:r w:rsidRPr="00C9680B">
        <w:rPr>
          <w:snapToGrid w:val="0"/>
          <w:lang w:eastAsia="sv-SE"/>
        </w:rPr>
        <w:t>tiets förslag till budgetalternativ.</w:t>
      </w:r>
    </w:p>
    <w:p w:rsidR="001C7BF9" w:rsidRPr="00C9680B" w:rsidRDefault="001C7BF9">
      <w:pPr>
        <w:spacing w:before="312"/>
        <w:rPr>
          <w:snapToGrid w:val="0"/>
          <w:lang w:eastAsia="sv-SE"/>
        </w:rPr>
      </w:pPr>
      <w:r w:rsidRPr="00C9680B">
        <w:rPr>
          <w:i/>
          <w:snapToGrid w:val="0"/>
          <w:lang w:eastAsia="sv-SE"/>
        </w:rPr>
        <w:t>Sammanfattningsvis</w:t>
      </w:r>
      <w:r w:rsidRPr="00C9680B">
        <w:rPr>
          <w:snapToGrid w:val="0"/>
          <w:lang w:eastAsia="sv-SE"/>
        </w:rPr>
        <w:t xml:space="preserve"> visar utskottets här gjorda genomgång att de förslag till alternativ inriktning av budgetpolitiken som förs fram av Moderata samling</w:t>
      </w:r>
      <w:r w:rsidRPr="00C9680B">
        <w:rPr>
          <w:snapToGrid w:val="0"/>
          <w:lang w:eastAsia="sv-SE"/>
        </w:rPr>
        <w:t>s</w:t>
      </w:r>
      <w:r w:rsidRPr="00C9680B">
        <w:rPr>
          <w:snapToGrid w:val="0"/>
          <w:lang w:eastAsia="sv-SE"/>
        </w:rPr>
        <w:t>partiet, Kristdemokraterna, Centerpartiet och Folkpartiet liberalerna inte bör läggas till grund för riksdagens beslut i frågan.</w:t>
      </w:r>
    </w:p>
    <w:p w:rsidR="001C7BF9" w:rsidRPr="00C9680B" w:rsidRDefault="001C7BF9">
      <w:pPr>
        <w:pStyle w:val="Normaltindrag"/>
        <w:rPr>
          <w:snapToGrid w:val="0"/>
          <w:lang w:eastAsia="sv-SE"/>
        </w:rPr>
      </w:pPr>
      <w:r w:rsidRPr="00C9680B">
        <w:rPr>
          <w:snapToGrid w:val="0"/>
          <w:lang w:eastAsia="sv-SE"/>
        </w:rPr>
        <w:t>I sin strävan att minska den offentliga sektorns omslutning föreslår Mod</w:t>
      </w:r>
      <w:r w:rsidRPr="00C9680B">
        <w:rPr>
          <w:snapToGrid w:val="0"/>
          <w:lang w:eastAsia="sv-SE"/>
        </w:rPr>
        <w:t>e</w:t>
      </w:r>
      <w:r w:rsidRPr="00C9680B">
        <w:rPr>
          <w:snapToGrid w:val="0"/>
          <w:lang w:eastAsia="sv-SE"/>
        </w:rPr>
        <w:t xml:space="preserve">rata samlingspartiet mycket långtgående skatte- och utgiftsminskningar, vilka i betydande utsträckning omfördelar resurser till de redan välbeställda och gröper ur sociala trygghetssystem på ett sätt som inte är fördelningspolitiskt godtagbart. </w:t>
      </w:r>
    </w:p>
    <w:p w:rsidR="001C7BF9" w:rsidRPr="00C9680B" w:rsidRDefault="001C7BF9">
      <w:pPr>
        <w:pStyle w:val="Normaltindrag"/>
        <w:rPr>
          <w:snapToGrid w:val="0"/>
          <w:lang w:eastAsia="sv-SE"/>
        </w:rPr>
      </w:pPr>
      <w:r w:rsidRPr="00C9680B">
        <w:rPr>
          <w:snapToGrid w:val="0"/>
          <w:lang w:eastAsia="sv-SE"/>
        </w:rPr>
        <w:t>Även Kristdemokraterna, Centerpartiet och Folkpartiet liberalerna lägger i sina motioner fram budgetalternativ med delvis samma inriktning. Betydande skattesänkningar förutsätts bli finansierade genom utgiftsbegränsningar, men som utskottet redovisat är den föresla</w:t>
      </w:r>
      <w:r w:rsidRPr="00C9680B">
        <w:rPr>
          <w:snapToGrid w:val="0"/>
          <w:lang w:eastAsia="sv-SE"/>
        </w:rPr>
        <w:t>gna finansieringen i flera fall alltför löst underbyggd för att kunna bilda underlag för en ansvarsfullt utformad stat</w:t>
      </w:r>
      <w:r w:rsidRPr="00C9680B">
        <w:rPr>
          <w:snapToGrid w:val="0"/>
          <w:lang w:eastAsia="sv-SE"/>
        </w:rPr>
        <w:t>s</w:t>
      </w:r>
      <w:r w:rsidRPr="00C9680B">
        <w:rPr>
          <w:snapToGrid w:val="0"/>
          <w:lang w:eastAsia="sv-SE"/>
        </w:rPr>
        <w:t>budget.</w:t>
      </w:r>
    </w:p>
    <w:p w:rsidR="001C7BF9" w:rsidRPr="00C9680B" w:rsidRDefault="001C7BF9">
      <w:pPr>
        <w:pStyle w:val="Normaltindrag"/>
        <w:rPr>
          <w:snapToGrid w:val="0"/>
          <w:lang w:eastAsia="sv-SE"/>
        </w:rPr>
      </w:pPr>
      <w:r w:rsidRPr="00C9680B">
        <w:rPr>
          <w:snapToGrid w:val="0"/>
          <w:lang w:eastAsia="sv-SE"/>
        </w:rPr>
        <w:t>Moderata samlingspartiet, Kristdemokraterna och Folkpartiet liberalerna föreslår alla att den obligatoriska trafikförsäkringen skall överta kostnaderna för trafikskadade och att detta skall ske redan fr.o.m. 2001. Dessa kostnader uppskattas grovt räknat till 4 miljarder kronor. Inget av partierna redovisar emellertid något konkret förslag till hur detta tekniskt och administrativt s</w:t>
      </w:r>
      <w:r w:rsidRPr="00C9680B">
        <w:rPr>
          <w:snapToGrid w:val="0"/>
          <w:lang w:eastAsia="sv-SE"/>
        </w:rPr>
        <w:t>kall kunna lösas på den korta tid som återstår tills förändringen skall vara fullt genomförd. De tre partierna anser alla att det är viktigt att satsa på rehabilit</w:t>
      </w:r>
      <w:r w:rsidRPr="00C9680B">
        <w:rPr>
          <w:snapToGrid w:val="0"/>
          <w:lang w:eastAsia="sv-SE"/>
        </w:rPr>
        <w:t>e</w:t>
      </w:r>
      <w:r w:rsidRPr="00C9680B">
        <w:rPr>
          <w:snapToGrid w:val="0"/>
          <w:lang w:eastAsia="sv-SE"/>
        </w:rPr>
        <w:t>ring för att få ner sjukskrivningskostnaderna men bortser från att försäkring</w:t>
      </w:r>
      <w:r w:rsidRPr="00C9680B">
        <w:rPr>
          <w:snapToGrid w:val="0"/>
          <w:lang w:eastAsia="sv-SE"/>
        </w:rPr>
        <w:t>s</w:t>
      </w:r>
      <w:r w:rsidRPr="00C9680B">
        <w:rPr>
          <w:snapToGrid w:val="0"/>
          <w:lang w:eastAsia="sv-SE"/>
        </w:rPr>
        <w:t>kassornas ansvar för samordning och tillsyn av rehabiliteringsverksamheten skulle försvåras om en viss skadetyp på detta sätt lyfts ur den allmänna fö</w:t>
      </w:r>
      <w:r w:rsidRPr="00C9680B">
        <w:rPr>
          <w:snapToGrid w:val="0"/>
          <w:lang w:eastAsia="sv-SE"/>
        </w:rPr>
        <w:t>r</w:t>
      </w:r>
      <w:r w:rsidRPr="00C9680B">
        <w:rPr>
          <w:snapToGrid w:val="0"/>
          <w:lang w:eastAsia="sv-SE"/>
        </w:rPr>
        <w:t>säkringen. De tre partierna anvisar därmed en osäker, tekniskt och adminis</w:t>
      </w:r>
      <w:r w:rsidRPr="00C9680B">
        <w:rPr>
          <w:snapToGrid w:val="0"/>
          <w:lang w:eastAsia="sv-SE"/>
        </w:rPr>
        <w:t>t</w:t>
      </w:r>
      <w:r w:rsidRPr="00C9680B">
        <w:rPr>
          <w:snapToGrid w:val="0"/>
          <w:lang w:eastAsia="sv-SE"/>
        </w:rPr>
        <w:t>rativt komplicerad samt i praktiken knappast</w:t>
      </w:r>
      <w:r w:rsidRPr="00C9680B">
        <w:rPr>
          <w:snapToGrid w:val="0"/>
          <w:lang w:eastAsia="sv-SE"/>
        </w:rPr>
        <w:t xml:space="preserve"> genomförbar finansiering för sina fö</w:t>
      </w:r>
      <w:r w:rsidRPr="00C9680B">
        <w:rPr>
          <w:snapToGrid w:val="0"/>
          <w:lang w:eastAsia="sv-SE"/>
        </w:rPr>
        <w:t>r</w:t>
      </w:r>
      <w:r w:rsidRPr="00C9680B">
        <w:rPr>
          <w:snapToGrid w:val="0"/>
          <w:lang w:eastAsia="sv-SE"/>
        </w:rPr>
        <w:t>slag.</w:t>
      </w:r>
    </w:p>
    <w:p w:rsidR="001C7BF9" w:rsidRPr="00C9680B" w:rsidRDefault="001C7BF9">
      <w:pPr>
        <w:pStyle w:val="Normaltindrag"/>
        <w:rPr>
          <w:snapToGrid w:val="0"/>
          <w:lang w:eastAsia="sv-SE"/>
        </w:rPr>
      </w:pPr>
      <w:r w:rsidRPr="00C9680B">
        <w:rPr>
          <w:snapToGrid w:val="0"/>
          <w:lang w:eastAsia="sv-SE"/>
        </w:rPr>
        <w:t>Moderata samlingspartiet, Kristdemokraterna, Centerpartiet och Folkpart</w:t>
      </w:r>
      <w:r w:rsidRPr="00C9680B">
        <w:rPr>
          <w:snapToGrid w:val="0"/>
          <w:lang w:eastAsia="sv-SE"/>
        </w:rPr>
        <w:t>i</w:t>
      </w:r>
      <w:r w:rsidRPr="00C9680B">
        <w:rPr>
          <w:snapToGrid w:val="0"/>
          <w:lang w:eastAsia="sv-SE"/>
        </w:rPr>
        <w:t>et föreslår alla att egenavgiften till arbetslöshetsförsäkringen skall höjas och tillgodoräknar sina budgetalternativ en besparingseffekt för detta. Hur detta skall regleras gentemot a-kassorna som måste ges rimlig tid att fastställa nya nivåer på medlemsavgifterna framgår inte, inte heller hur avgiftshöjningen skall fördelas mellan a-kassor vars medlemmar har låg respektive hög a</w:t>
      </w:r>
      <w:r w:rsidRPr="00C9680B">
        <w:rPr>
          <w:snapToGrid w:val="0"/>
          <w:lang w:eastAsia="sv-SE"/>
        </w:rPr>
        <w:t>r</w:t>
      </w:r>
      <w:r w:rsidRPr="00C9680B">
        <w:rPr>
          <w:snapToGrid w:val="0"/>
          <w:lang w:eastAsia="sv-SE"/>
        </w:rPr>
        <w:t>betslöshet. Trots detta räknar Kristdemokraterna med att en ny obligatorisk arbetslöshetsförsäkring med en egenavgift motsvaran</w:t>
      </w:r>
      <w:r w:rsidRPr="00C9680B">
        <w:rPr>
          <w:snapToGrid w:val="0"/>
          <w:lang w:eastAsia="sv-SE"/>
        </w:rPr>
        <w:t>de en tredjedel av kos</w:t>
      </w:r>
      <w:r w:rsidRPr="00C9680B">
        <w:rPr>
          <w:snapToGrid w:val="0"/>
          <w:lang w:eastAsia="sv-SE"/>
        </w:rPr>
        <w:t>t</w:t>
      </w:r>
      <w:r w:rsidRPr="00C9680B">
        <w:rPr>
          <w:snapToGrid w:val="0"/>
          <w:lang w:eastAsia="sv-SE"/>
        </w:rPr>
        <w:t>naderna för försäkringen skall kunna träda i kraft redan vid årsskiftet. Cente</w:t>
      </w:r>
      <w:r w:rsidRPr="00C9680B">
        <w:rPr>
          <w:snapToGrid w:val="0"/>
          <w:lang w:eastAsia="sv-SE"/>
        </w:rPr>
        <w:t>r</w:t>
      </w:r>
      <w:r w:rsidRPr="00C9680B">
        <w:rPr>
          <w:snapToGrid w:val="0"/>
          <w:lang w:eastAsia="sv-SE"/>
        </w:rPr>
        <w:t>partiet räknar med att stegvis kunna höja egenfinansieringen i försäkringen fram till 2003 och tillgodoräknar sig första året en besparingseffekt på 1,7 miljarder kronor. Moderata samlingspartiet utgår i sitt budgetalternativ från att det skall vara möjligt att höja avgiften sista kvartalet 2001 och tillgodorä</w:t>
      </w:r>
      <w:r w:rsidRPr="00C9680B">
        <w:rPr>
          <w:snapToGrid w:val="0"/>
          <w:lang w:eastAsia="sv-SE"/>
        </w:rPr>
        <w:t>k</w:t>
      </w:r>
      <w:r w:rsidRPr="00C9680B">
        <w:rPr>
          <w:snapToGrid w:val="0"/>
          <w:lang w:eastAsia="sv-SE"/>
        </w:rPr>
        <w:t>nar sig en besparing för detta. Folkpartiet förutsätter att de förslag partiet för fram skall kunn</w:t>
      </w:r>
      <w:r w:rsidRPr="00C9680B">
        <w:rPr>
          <w:snapToGrid w:val="0"/>
          <w:lang w:eastAsia="sv-SE"/>
        </w:rPr>
        <w:t>a verka med full kraft från årsskiftet 2001/02. Med varierande grad anvisar de fyra partierna alltså även i detta fall en finansiering som inte ter sig möjlig att uppnå i angiven omfattning under åtminstone de båda nä</w:t>
      </w:r>
      <w:r w:rsidRPr="00C9680B">
        <w:rPr>
          <w:snapToGrid w:val="0"/>
          <w:lang w:eastAsia="sv-SE"/>
        </w:rPr>
        <w:t>r</w:t>
      </w:r>
      <w:r w:rsidRPr="00C9680B">
        <w:rPr>
          <w:snapToGrid w:val="0"/>
          <w:lang w:eastAsia="sv-SE"/>
        </w:rPr>
        <w:t>maste åren.</w:t>
      </w:r>
    </w:p>
    <w:p w:rsidR="001C7BF9" w:rsidRPr="00C9680B" w:rsidRDefault="001C7BF9">
      <w:pPr>
        <w:pStyle w:val="Normaltindrag"/>
        <w:rPr>
          <w:snapToGrid w:val="0"/>
          <w:lang w:eastAsia="sv-SE"/>
        </w:rPr>
      </w:pPr>
      <w:r w:rsidRPr="00C9680B">
        <w:rPr>
          <w:snapToGrid w:val="0"/>
          <w:lang w:eastAsia="sv-SE"/>
        </w:rPr>
        <w:t xml:space="preserve">Till detta kommer att de fyra partierna tillgodoräknar sig ytterligare mångmiljardbesparingar på utgiftsområde 13 Arbetsmarknad för utgifter förknippade med arbetslöshetsersättning och arbetsmarknadspolitik. Flertalet av dessa förslag är emellertid så vaga till sin karaktär att de </w:t>
      </w:r>
      <w:r w:rsidRPr="00C9680B">
        <w:rPr>
          <w:snapToGrid w:val="0"/>
          <w:lang w:eastAsia="sv-SE"/>
        </w:rPr>
        <w:t>redovisade besp</w:t>
      </w:r>
      <w:r w:rsidRPr="00C9680B">
        <w:rPr>
          <w:snapToGrid w:val="0"/>
          <w:lang w:eastAsia="sv-SE"/>
        </w:rPr>
        <w:t>a</w:t>
      </w:r>
      <w:r w:rsidRPr="00C9680B">
        <w:rPr>
          <w:snapToGrid w:val="0"/>
          <w:lang w:eastAsia="sv-SE"/>
        </w:rPr>
        <w:t>ringseffekterna framstår mer som förhoppningar än som realistiskt unde</w:t>
      </w:r>
      <w:r w:rsidRPr="00C9680B">
        <w:rPr>
          <w:snapToGrid w:val="0"/>
          <w:lang w:eastAsia="sv-SE"/>
        </w:rPr>
        <w:t>r</w:t>
      </w:r>
      <w:r w:rsidRPr="00C9680B">
        <w:rPr>
          <w:snapToGrid w:val="0"/>
          <w:lang w:eastAsia="sv-SE"/>
        </w:rPr>
        <w:t>byggda förslag.</w:t>
      </w:r>
    </w:p>
    <w:p w:rsidR="001C7BF9" w:rsidRPr="00C9680B" w:rsidRDefault="001C7BF9">
      <w:pPr>
        <w:pStyle w:val="Normaltindrag"/>
        <w:rPr>
          <w:snapToGrid w:val="0"/>
          <w:lang w:eastAsia="sv-SE"/>
        </w:rPr>
      </w:pPr>
      <w:r w:rsidRPr="00C9680B">
        <w:rPr>
          <w:snapToGrid w:val="0"/>
          <w:lang w:eastAsia="sv-SE"/>
        </w:rPr>
        <w:t>Ett viktigt inslag i de fyra partiernas finansiering är också de minskade ränteutgifter man tillgodoräknar sig med anledning av sina privatiseringsfö</w:t>
      </w:r>
      <w:r w:rsidRPr="00C9680B">
        <w:rPr>
          <w:snapToGrid w:val="0"/>
          <w:lang w:eastAsia="sv-SE"/>
        </w:rPr>
        <w:t>r</w:t>
      </w:r>
      <w:r w:rsidRPr="00C9680B">
        <w:rPr>
          <w:snapToGrid w:val="0"/>
          <w:lang w:eastAsia="sv-SE"/>
        </w:rPr>
        <w:t>slag. I deras budgetalternativ förutsätts att det skall vara möjligt att redan nästa år avyttra aktier för mellan 65 och 95 milja</w:t>
      </w:r>
      <w:r w:rsidRPr="00C9680B">
        <w:rPr>
          <w:snapToGrid w:val="0"/>
          <w:lang w:eastAsia="sv-SE"/>
        </w:rPr>
        <w:t>r</w:t>
      </w:r>
      <w:r w:rsidRPr="00C9680B">
        <w:rPr>
          <w:snapToGrid w:val="0"/>
          <w:lang w:eastAsia="sv-SE"/>
        </w:rPr>
        <w:t>der kronor.</w:t>
      </w:r>
    </w:p>
    <w:p w:rsidR="001C7BF9" w:rsidRPr="00C9680B" w:rsidRDefault="001C7BF9">
      <w:pPr>
        <w:pStyle w:val="Normaltindrag"/>
        <w:rPr>
          <w:snapToGrid w:val="0"/>
          <w:lang w:eastAsia="sv-SE"/>
        </w:rPr>
      </w:pPr>
      <w:r w:rsidRPr="00C9680B">
        <w:rPr>
          <w:snapToGrid w:val="0"/>
          <w:lang w:eastAsia="sv-SE"/>
        </w:rPr>
        <w:t>Framför allt Centerpartiet men även Folkpartiet anser sig dessutom kunna begränsa myndigheternas utnyttjande av innestående anslagssparande efte</w:t>
      </w:r>
      <w:r w:rsidRPr="00C9680B">
        <w:rPr>
          <w:snapToGrid w:val="0"/>
          <w:lang w:eastAsia="sv-SE"/>
        </w:rPr>
        <w:t>r</w:t>
      </w:r>
      <w:r w:rsidRPr="00C9680B">
        <w:rPr>
          <w:snapToGrid w:val="0"/>
          <w:lang w:eastAsia="sv-SE"/>
        </w:rPr>
        <w:t>som de i sina budgetalternativ har räknat ner posten Förändring av anslagsb</w:t>
      </w:r>
      <w:r w:rsidRPr="00C9680B">
        <w:rPr>
          <w:snapToGrid w:val="0"/>
          <w:lang w:eastAsia="sv-SE"/>
        </w:rPr>
        <w:t>e</w:t>
      </w:r>
      <w:r w:rsidRPr="00C9680B">
        <w:rPr>
          <w:snapToGrid w:val="0"/>
          <w:lang w:eastAsia="sv-SE"/>
        </w:rPr>
        <w:t>hållningar kraftigt och tillgodoräknat sig en besparing av motsvarande o</w:t>
      </w:r>
      <w:r w:rsidRPr="00C9680B">
        <w:rPr>
          <w:snapToGrid w:val="0"/>
          <w:lang w:eastAsia="sv-SE"/>
        </w:rPr>
        <w:t>m</w:t>
      </w:r>
      <w:r w:rsidRPr="00C9680B">
        <w:rPr>
          <w:snapToGrid w:val="0"/>
          <w:lang w:eastAsia="sv-SE"/>
        </w:rPr>
        <w:t>fattning. På vilken grund detta görs redovisas inte närmare. Valet av besp</w:t>
      </w:r>
      <w:r w:rsidRPr="00C9680B">
        <w:rPr>
          <w:snapToGrid w:val="0"/>
          <w:lang w:eastAsia="sv-SE"/>
        </w:rPr>
        <w:t>a</w:t>
      </w:r>
      <w:r w:rsidRPr="00C9680B">
        <w:rPr>
          <w:snapToGrid w:val="0"/>
          <w:lang w:eastAsia="sv-SE"/>
        </w:rPr>
        <w:t>ring ter sig dock något märkligt eftersom ett neddraget utnyttjande av a</w:t>
      </w:r>
      <w:r w:rsidRPr="00C9680B">
        <w:rPr>
          <w:snapToGrid w:val="0"/>
          <w:lang w:eastAsia="sv-SE"/>
        </w:rPr>
        <w:t>n</w:t>
      </w:r>
      <w:r w:rsidRPr="00C9680B">
        <w:rPr>
          <w:snapToGrid w:val="0"/>
          <w:lang w:eastAsia="sv-SE"/>
        </w:rPr>
        <w:t>slagsbehållningar skulle kunna leda till att möjligheterna att ta i anspråk i</w:t>
      </w:r>
      <w:r w:rsidRPr="00C9680B">
        <w:rPr>
          <w:snapToGrid w:val="0"/>
          <w:lang w:eastAsia="sv-SE"/>
        </w:rPr>
        <w:t>n</w:t>
      </w:r>
      <w:r w:rsidRPr="00C9680B">
        <w:rPr>
          <w:snapToGrid w:val="0"/>
          <w:lang w:eastAsia="sv-SE"/>
        </w:rPr>
        <w:t>nestående medel för internationellt utvecklingssamarbete beskärs ytterligare, något som såväl Centerpartiet som Folkpartiet åtminstone t</w:t>
      </w:r>
      <w:r w:rsidRPr="00C9680B">
        <w:rPr>
          <w:snapToGrid w:val="0"/>
          <w:lang w:eastAsia="sv-SE"/>
        </w:rPr>
        <w:t xml:space="preserve">idigare varit starkt kritiska till. Av budgetpropositionen framgår nämligen – se avsnitt 7.2 s. 166 – att regeringen i sitt budgetförslag räknar med att internationellt bistånd kommer att vara ett område med stor förbrukning av anslagsbehållningar under såväl 2001 som 2002. </w:t>
      </w:r>
    </w:p>
    <w:p w:rsidR="001C7BF9" w:rsidRPr="00C9680B" w:rsidRDefault="001C7BF9">
      <w:pPr>
        <w:pStyle w:val="Normaltindrag"/>
        <w:rPr>
          <w:snapToGrid w:val="0"/>
          <w:lang w:eastAsia="sv-SE"/>
        </w:rPr>
      </w:pPr>
      <w:r w:rsidRPr="00C9680B">
        <w:rPr>
          <w:snapToGrid w:val="0"/>
          <w:lang w:eastAsia="sv-SE"/>
        </w:rPr>
        <w:t>Exempel som dessa visar att oppositionspartiernas budgetalternativ bygger på en finansiering som i flera fall är ofullständig eller så osäker att statsfina</w:t>
      </w:r>
      <w:r w:rsidRPr="00C9680B">
        <w:rPr>
          <w:snapToGrid w:val="0"/>
          <w:lang w:eastAsia="sv-SE"/>
        </w:rPr>
        <w:t>n</w:t>
      </w:r>
      <w:r w:rsidRPr="00C9680B">
        <w:rPr>
          <w:snapToGrid w:val="0"/>
          <w:lang w:eastAsia="sv-SE"/>
        </w:rPr>
        <w:t xml:space="preserve">serna återigen snabbt skulle kunna försvagas. </w:t>
      </w:r>
    </w:p>
    <w:p w:rsidR="001C7BF9" w:rsidRPr="00C9680B" w:rsidRDefault="001C7BF9">
      <w:pPr>
        <w:pStyle w:val="Normaltindrag"/>
        <w:rPr>
          <w:snapToGrid w:val="0"/>
          <w:lang w:eastAsia="sv-SE"/>
        </w:rPr>
      </w:pPr>
      <w:r w:rsidRPr="00C9680B">
        <w:rPr>
          <w:snapToGrid w:val="0"/>
          <w:lang w:eastAsia="sv-SE"/>
        </w:rPr>
        <w:t xml:space="preserve">Finansutskottet har av dessa skäl inte kunnat ställa sig bakom deras förslag till uppläggning av budgetpolitiken. </w:t>
      </w:r>
    </w:p>
    <w:p w:rsidR="001C7BF9" w:rsidRPr="00C9680B" w:rsidRDefault="001C7BF9">
      <w:pPr>
        <w:spacing w:before="187"/>
      </w:pPr>
      <w:r w:rsidRPr="00C9680B">
        <w:t>Årets prövning av de olika budgetalternativen aktualiserar frågan om det sätt på vilket partierna presenterar sina budgetförslag. I den nya budgetprocessen har statsbudgetens närmare 620 anslag fördelats på 27 utgiftsområden. Man har därvid eftersträvat att föra samman anslag på ett sådant sätt att varje u</w:t>
      </w:r>
      <w:r w:rsidRPr="00C9680B">
        <w:t>t</w:t>
      </w:r>
      <w:r w:rsidRPr="00C9680B">
        <w:t>giftsområde motsvarar ett politiskt intressant ämnesområde och har en statsf</w:t>
      </w:r>
      <w:r w:rsidRPr="00C9680B">
        <w:t>i</w:t>
      </w:r>
      <w:r w:rsidRPr="00C9680B">
        <w:t>nansiellt lämplig avgränsning som ger möjlighet till meningsfulla priorit</w:t>
      </w:r>
      <w:r w:rsidRPr="00C9680B">
        <w:t>e</w:t>
      </w:r>
      <w:r w:rsidRPr="00C9680B">
        <w:t>ringar.</w:t>
      </w:r>
    </w:p>
    <w:p w:rsidR="001C7BF9" w:rsidRPr="00C9680B" w:rsidRDefault="001C7BF9">
      <w:pPr>
        <w:pStyle w:val="Normaltindrag"/>
      </w:pPr>
      <w:r w:rsidRPr="00C9680B">
        <w:t>Genom att gruppera statsbudgetens utgifter på detta sätt har det blivit mö</w:t>
      </w:r>
      <w:r w:rsidRPr="00C9680B">
        <w:t>j</w:t>
      </w:r>
      <w:r w:rsidRPr="00C9680B">
        <w:t>ligt att ställa regeringens och oppositionspartiernas förslag mot varandra och ge en överskådlig bild av vilka budgetpolitiska prioriteringar som görs. Ett exempel på en sådan sammanställning finns längre fram i detta betänkande i avsnitt 2.6 Fördelning av statens utgifter på utgiftsomr</w:t>
      </w:r>
      <w:r w:rsidRPr="00C9680B">
        <w:t>å</w:t>
      </w:r>
      <w:r w:rsidRPr="00C9680B">
        <w:t>den 2001.</w:t>
      </w:r>
    </w:p>
    <w:p w:rsidR="001C7BF9" w:rsidRPr="00C9680B" w:rsidRDefault="001C7BF9">
      <w:pPr>
        <w:pStyle w:val="Normaltindrag"/>
      </w:pPr>
      <w:r w:rsidRPr="00C9680B">
        <w:t>En förutsättning för att sådana jämförelser skall bli meningsfulla är att r</w:t>
      </w:r>
      <w:r w:rsidRPr="00C9680B">
        <w:t>e</w:t>
      </w:r>
      <w:r w:rsidRPr="00C9680B">
        <w:t>dovisningen är enhetlig och att alla följer samma redovisningsprinciper. Så har emellertid inte varit fallet vid behandlingen av årets budge</w:t>
      </w:r>
      <w:r w:rsidRPr="00C9680B">
        <w:t>t</w:t>
      </w:r>
      <w:r w:rsidRPr="00C9680B">
        <w:t>förslag.</w:t>
      </w:r>
    </w:p>
    <w:p w:rsidR="001C7BF9" w:rsidRPr="00C9680B" w:rsidRDefault="001C7BF9">
      <w:pPr>
        <w:pStyle w:val="Normaltindrag"/>
      </w:pPr>
      <w:r w:rsidRPr="00C9680B">
        <w:t>Enligt förarbetena till den nya budgetprocessen (1993/94:TK2) bör beslut om eventuella ändringar i indelningen av utgiftsområden fattas av riksdagen sent på våren så att regeringen kan utforma sitt budgetförslag i enlighet med den nya indelningen.</w:t>
      </w:r>
    </w:p>
    <w:p w:rsidR="001C7BF9" w:rsidRPr="00C9680B" w:rsidRDefault="001C7BF9">
      <w:pPr>
        <w:pStyle w:val="Normaltindrag"/>
      </w:pPr>
      <w:r w:rsidRPr="00C9680B">
        <w:t>Regeringen har i årets budgetproposition föreslagit dels att benämningarna på utgiftsområdena 13 och 14 ändras till Arbetsmarknad respektive Arbetsliv, dels att vissa anslag förs över från utgiftsområde 14 till 13. Konstitutionsu</w:t>
      </w:r>
      <w:r w:rsidRPr="00C9680B">
        <w:t>t</w:t>
      </w:r>
      <w:r w:rsidRPr="00C9680B">
        <w:t>skottet som berett ärendet har tillstyrkt förslaget men samtidigt riktat kritik mot att ändringen inte aktualiserats redan under våren (bet. 2000/01:KU4). Även finansutskottet ser det som angeläget att eventuella beslut om ändrad indelning av statsbu</w:t>
      </w:r>
      <w:r w:rsidRPr="00C9680B">
        <w:t>d</w:t>
      </w:r>
      <w:r w:rsidRPr="00C9680B">
        <w:t>geten fattas på våren.</w:t>
      </w:r>
    </w:p>
    <w:p w:rsidR="001C7BF9" w:rsidRPr="00C9680B" w:rsidRDefault="001C7BF9">
      <w:pPr>
        <w:pStyle w:val="Normaltindrag"/>
      </w:pPr>
      <w:r w:rsidRPr="00C9680B">
        <w:t>Moderata samlingspartiet och Centerpartiet föreslår i sina budgetalternativ att anslag skall omfördelas mellan utgiftsområden. Moderata samlingspartiet sammanför från två utgiftsområden anslagen för fredsfrämjande truppinsatser och redvi</w:t>
      </w:r>
      <w:r w:rsidRPr="00C9680B">
        <w:t>sar dem på ett tredje utgiftsområde. På motsvarande sätt vill Cente</w:t>
      </w:r>
      <w:r w:rsidRPr="00C9680B">
        <w:t>r</w:t>
      </w:r>
      <w:r w:rsidRPr="00C9680B">
        <w:t>partiet sammanföra olika typer av försörjningsstöd till ett utgiftsområde och omfördelar därför betydande belopp mellan tre olika utgiftsområden samtidigt som man föreslår att medelstilldelningen till försörjningsstödet begränsas. Dessa omfördelningar, som utskottet kommenterar mer ingående i efterfö</w:t>
      </w:r>
      <w:r w:rsidRPr="00C9680B">
        <w:t>l</w:t>
      </w:r>
      <w:r w:rsidRPr="00C9680B">
        <w:t>jande avsnitt 2.6, är ett uttryck för de politiska prioriteringar som dessa båda partier har. Framgår inte omfördelningarna klart, ger de emel</w:t>
      </w:r>
      <w:r w:rsidRPr="00C9680B">
        <w:t>lertid en skev bild av hur stora resurser som avdelas till de berörda utgiftsområdena, vilket försvårar jämförelsen med andra partier vars förslag håller sig inom givna ramar.</w:t>
      </w:r>
    </w:p>
    <w:p w:rsidR="001C7BF9" w:rsidRPr="00C9680B" w:rsidRDefault="001C7BF9">
      <w:pPr>
        <w:pStyle w:val="Normaltindrag"/>
      </w:pPr>
      <w:r w:rsidRPr="00C9680B">
        <w:t>Det är därför enligt utskottets mening önskvärt att eventuella förslag till omfördelningar av anslag mellan utgiftsområden alltid åtföljs av en tydlig redovisning som utvisar hur mycket av ramändringen som hänför sig till själva omfördelningen respektive till en eventuell ökning eller minskning av anslag.</w:t>
      </w:r>
    </w:p>
    <w:p w:rsidR="001C7BF9" w:rsidRPr="00C9680B" w:rsidRDefault="001C7BF9">
      <w:pPr>
        <w:pStyle w:val="Normaltindrag"/>
      </w:pPr>
      <w:r w:rsidRPr="00C9680B">
        <w:t>Jämförelser mellan de politiska alternativen försvåras i än högre grad när överföringar till kommunsektorn i enlighet med finansieringsprincipen i stor omfattning avräknas mot någon av statsbudgetens inkomsttitlar. Såsom u</w:t>
      </w:r>
      <w:r w:rsidRPr="00C9680B">
        <w:t>t</w:t>
      </w:r>
      <w:r w:rsidRPr="00C9680B">
        <w:t>skottet redan har berört leder ett sådant förfarande till att statsbudgetens o</w:t>
      </w:r>
      <w:r w:rsidRPr="00C9680B">
        <w:t>m</w:t>
      </w:r>
      <w:r w:rsidRPr="00C9680B">
        <w:t>slutning minskar och till att statens utgifter och inkomster skenbart verkar mindre än vad de i praktiken är. Kristdemokraterna, Centerpartiet och Fol</w:t>
      </w:r>
      <w:r w:rsidRPr="00C9680B">
        <w:t>k</w:t>
      </w:r>
      <w:r w:rsidRPr="00C9680B">
        <w:t>partiet har i sina budgetalternativ för 2001 på detta sätt från inkomsttitlar räknat av överföringar till kommunsektorn på 37, 16 respektive 16 miljarder kronor. Moderata samlingspartiet däremot tillämpar samma metod som reg</w:t>
      </w:r>
      <w:r w:rsidRPr="00C9680B">
        <w:t>e</w:t>
      </w:r>
      <w:r w:rsidRPr="00C9680B">
        <w:t>ringen använder sig av i årets budgetproposition när eff</w:t>
      </w:r>
      <w:r w:rsidRPr="00C9680B">
        <w:t>ekterna av de i prop</w:t>
      </w:r>
      <w:r w:rsidRPr="00C9680B">
        <w:t>o</w:t>
      </w:r>
      <w:r w:rsidRPr="00C9680B">
        <w:t>sitionen redovisade skatteförslagen regleras mot kommunsektorn. Moderata samlingspartiet får härigenom en skenbart högre nivå på de statliga utgifterna än övriga oppositionspartier. Eftersom den högre utgiftsnivån har sin grund i kommunöverföringarna bortfaller emellertid denna om jämförelsen i stället görs utifrån den offentliga sektorns samlade utgi</w:t>
      </w:r>
      <w:r w:rsidRPr="00C9680B">
        <w:t>f</w:t>
      </w:r>
      <w:r w:rsidRPr="00C9680B">
        <w:t>ter.</w:t>
      </w:r>
    </w:p>
    <w:p w:rsidR="001C7BF9" w:rsidRPr="00C9680B" w:rsidRDefault="001C7BF9">
      <w:pPr>
        <w:pStyle w:val="Normaltindrag"/>
      </w:pPr>
      <w:r w:rsidRPr="00C9680B">
        <w:t>Om Kristdemokraterna, Centerpartiet och Folkpartiet hade redovisat sina överföringar till kommunsektorn på samma sätt som Moderata s</w:t>
      </w:r>
      <w:r w:rsidRPr="00C9680B">
        <w:t>amlingspart</w:t>
      </w:r>
      <w:r w:rsidRPr="00C9680B">
        <w:t>i</w:t>
      </w:r>
      <w:r w:rsidRPr="00C9680B">
        <w:t>et och regeringen skulle detta få genomslag på dels deras nivå på utgiftsomr</w:t>
      </w:r>
      <w:r w:rsidRPr="00C9680B">
        <w:t>å</w:t>
      </w:r>
      <w:r w:rsidRPr="00C9680B">
        <w:t>de 25 Allmänna bidrag till kommuner m.m., dels nivån på det statliga utgifts</w:t>
      </w:r>
      <w:r w:rsidRPr="00C9680B">
        <w:softHyphen/>
        <w:t>taket. Utskottet har tidigare i detta avsnitt i diagram 8 givit en bild av reg</w:t>
      </w:r>
      <w:r w:rsidRPr="00C9680B">
        <w:t>e</w:t>
      </w:r>
      <w:r w:rsidRPr="00C9680B">
        <w:t>ringens och oppositionspartiernas förslag till utgiftstak för staten. I efterfö</w:t>
      </w:r>
      <w:r w:rsidRPr="00C9680B">
        <w:t>l</w:t>
      </w:r>
      <w:r w:rsidRPr="00C9680B">
        <w:t>jande diagram återges samma bild men med de taknivåer som framkommer om Kristdemokraternas, Centerpartiets och Folkpartiets förslag till utgiftstak justeras med hänsyn till de nettoredovi</w:t>
      </w:r>
      <w:r w:rsidRPr="00C9680B">
        <w:t>sade överf</w:t>
      </w:r>
      <w:r w:rsidRPr="00C9680B">
        <w:t>ö</w:t>
      </w:r>
      <w:r w:rsidRPr="00C9680B">
        <w:t>ringarna.</w:t>
      </w:r>
    </w:p>
    <w:p w:rsidR="001C7BF9" w:rsidRPr="00C9680B" w:rsidRDefault="001C7BF9">
      <w:pPr>
        <w:pStyle w:val="TabellrubrikPer"/>
        <w:keepNext/>
        <w:rPr>
          <w:b/>
          <w:caps w:val="0"/>
          <w:spacing w:val="0"/>
          <w:sz w:val="16"/>
        </w:rPr>
      </w:pPr>
      <w:r w:rsidRPr="00C9680B">
        <w:rPr>
          <w:b/>
          <w:caps w:val="0"/>
          <w:spacing w:val="0"/>
          <w:sz w:val="16"/>
        </w:rPr>
        <w:t>Diagram 9. Regeringens och oppositionspartiernas justerade förslag till utgiftstak för staten 2001–2003</w:t>
      </w:r>
    </w:p>
    <w:p w:rsidR="001C7BF9" w:rsidRPr="00C9680B" w:rsidRDefault="00C9680B">
      <w:pPr>
        <w:pStyle w:val="Normaltindrag"/>
        <w:keepNext/>
        <w:ind w:left="-567"/>
      </w:pPr>
      <w:r w:rsidRPr="00C9680B">
        <w:rPr>
          <w:noProof/>
        </w:rPr>
        <w:drawing>
          <wp:inline distT="0" distB="0" distL="0" distR="0">
            <wp:extent cx="4158615" cy="226949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158615" cy="2269490"/>
                    </a:xfrm>
                    <a:prstGeom prst="rect">
                      <a:avLst/>
                    </a:prstGeom>
                    <a:noFill/>
                    <a:ln>
                      <a:noFill/>
                    </a:ln>
                  </pic:spPr>
                </pic:pic>
              </a:graphicData>
            </a:graphic>
          </wp:inline>
        </w:drawing>
      </w:r>
    </w:p>
    <w:p w:rsidR="001C7BF9" w:rsidRPr="00C9680B" w:rsidRDefault="001C7BF9">
      <w:pPr>
        <w:pStyle w:val="Normaltindrag"/>
        <w:spacing w:line="190" w:lineRule="exact"/>
        <w:ind w:firstLine="0"/>
        <w:rPr>
          <w:snapToGrid w:val="0"/>
          <w:sz w:val="15"/>
          <w:lang w:eastAsia="sv-SE"/>
        </w:rPr>
      </w:pPr>
      <w:r w:rsidRPr="00C9680B">
        <w:rPr>
          <w:snapToGrid w:val="0"/>
          <w:sz w:val="15"/>
          <w:lang w:eastAsia="sv-SE"/>
        </w:rPr>
        <w:t>Anm. Regeringens och Moderata samlingspartiets förslag till utgiftstak överensstämmer med de nivåer som finns redovisade i diagram 8. Övriga nivåer är justerade med hänsyn till respektive partis nett</w:t>
      </w:r>
      <w:r w:rsidRPr="00C9680B">
        <w:rPr>
          <w:snapToGrid w:val="0"/>
          <w:sz w:val="15"/>
          <w:lang w:eastAsia="sv-SE"/>
        </w:rPr>
        <w:t>o</w:t>
      </w:r>
      <w:r w:rsidRPr="00C9680B">
        <w:rPr>
          <w:snapToGrid w:val="0"/>
          <w:sz w:val="15"/>
          <w:lang w:eastAsia="sv-SE"/>
        </w:rPr>
        <w:t>redovisade överföringsbelopp.</w:t>
      </w:r>
    </w:p>
    <w:p w:rsidR="001C7BF9" w:rsidRPr="00C9680B" w:rsidRDefault="001C7BF9">
      <w:pPr>
        <w:spacing w:before="312"/>
      </w:pPr>
      <w:r w:rsidRPr="00C9680B">
        <w:rPr>
          <w:snapToGrid w:val="0"/>
          <w:lang w:eastAsia="sv-SE"/>
        </w:rPr>
        <w:t>Under förra mandatperioden genomförde regeringen ett omfattande konsol</w:t>
      </w:r>
      <w:r w:rsidRPr="00C9680B">
        <w:rPr>
          <w:snapToGrid w:val="0"/>
          <w:lang w:eastAsia="sv-SE"/>
        </w:rPr>
        <w:t>i</w:t>
      </w:r>
      <w:r w:rsidRPr="00C9680B">
        <w:rPr>
          <w:snapToGrid w:val="0"/>
          <w:lang w:eastAsia="sv-SE"/>
        </w:rPr>
        <w:t>deringsprogram med vars hjälp balansen i den offentliga sektorn kunde åte</w:t>
      </w:r>
      <w:r w:rsidRPr="00C9680B">
        <w:rPr>
          <w:snapToGrid w:val="0"/>
          <w:lang w:eastAsia="sv-SE"/>
        </w:rPr>
        <w:t>r</w:t>
      </w:r>
      <w:r w:rsidRPr="00C9680B">
        <w:rPr>
          <w:snapToGrid w:val="0"/>
          <w:lang w:eastAsia="sv-SE"/>
        </w:rPr>
        <w:t>ställas utan att fördelningspolitiska hänsynstaganden eftersattes.</w:t>
      </w:r>
      <w:r w:rsidRPr="00C9680B">
        <w:t xml:space="preserve"> Med sitt nu framlagda budgetförslag för 2001 med utblickar fram till 2003 fullföljer reg</w:t>
      </w:r>
      <w:r w:rsidRPr="00C9680B">
        <w:t>e</w:t>
      </w:r>
      <w:r w:rsidRPr="00C9680B">
        <w:t>ringen denna politik.</w:t>
      </w:r>
    </w:p>
    <w:p w:rsidR="001C7BF9" w:rsidRPr="00C9680B" w:rsidRDefault="001C7BF9">
      <w:pPr>
        <w:pStyle w:val="Normaltindrag"/>
      </w:pPr>
      <w:r w:rsidRPr="00C9680B">
        <w:t>Budgetpropositionen stöds av Vänsterpartiet och Miljöpartiet de gröna som träffat en överenskommelse med den socialdemokratiska regeringen. Den innebär att tre riksdagspartier står bakom riktlinjerna för den ekonomiska politiken, budgetpolitiken, utgiftstaken</w:t>
      </w:r>
      <w:r w:rsidRPr="00C9680B">
        <w:t>, tilläggsbudgeten för 2000, anslagen för 2001 och de nu föreslagna skatteförändringarna. Utskottet noterar med tillfredsställelse att det alltså finns en bred enighet i dessa frågor vilket ger stadga och utgör en god grund för en fortsatt stabil utvec</w:t>
      </w:r>
      <w:r w:rsidRPr="00C9680B">
        <w:t>k</w:t>
      </w:r>
      <w:r w:rsidRPr="00C9680B">
        <w:t>ling.</w:t>
      </w:r>
    </w:p>
    <w:p w:rsidR="001C7BF9" w:rsidRPr="00C9680B" w:rsidRDefault="001C7BF9">
      <w:pPr>
        <w:pStyle w:val="Normaltindrag"/>
      </w:pPr>
      <w:r w:rsidRPr="00C9680B">
        <w:t>Samarbetet mellan Socialdemokraterna, Vänsterpartiet och Miljöpartiet de gröna berör fem områden, nämligen ekonomi, sysselsättning, rättvisa, jä</w:t>
      </w:r>
      <w:r w:rsidRPr="00C9680B">
        <w:t>m</w:t>
      </w:r>
      <w:r w:rsidRPr="00C9680B">
        <w:t>ställdhet och miljö. Såsom också framhålls i propositionen bekräftas genom detta samarbete att det finns en politisk majoritet för en ekonomisk politik som är inriktad på full sysselsättning, prisstabilitet och ett offentligt överskott på i genomsnitt 2 % av BNP sett över en konjunkturcykel. Politiken syftar också till jämlikhet, jä</w:t>
      </w:r>
      <w:r w:rsidRPr="00C9680B">
        <w:t>m</w:t>
      </w:r>
      <w:r w:rsidRPr="00C9680B">
        <w:t>ställdhet och ekologisk hållbarhet.</w:t>
      </w:r>
    </w:p>
    <w:p w:rsidR="001C7BF9" w:rsidRPr="00C9680B" w:rsidRDefault="001C7BF9">
      <w:pPr>
        <w:pStyle w:val="Normaltindrag"/>
      </w:pPr>
      <w:r w:rsidRPr="00C9680B">
        <w:t>Balansen i de offentliga finanserna återställdes redan 1998 och för de nä</w:t>
      </w:r>
      <w:r w:rsidRPr="00C9680B">
        <w:t>r</w:t>
      </w:r>
      <w:r w:rsidRPr="00C9680B">
        <w:t>mast följande åren förutses så stora överskott att uppställda saldomål kommer att överträffas med bred marginal. Det gäller även för 2001 trots att balan</w:t>
      </w:r>
      <w:r w:rsidRPr="00C9680B">
        <w:t>s</w:t>
      </w:r>
      <w:r w:rsidRPr="00C9680B">
        <w:t>målet för detta år nu föreslås bli höjt till 2,5 % av BNP.</w:t>
      </w:r>
    </w:p>
    <w:p w:rsidR="001C7BF9" w:rsidRPr="00C9680B" w:rsidRDefault="001C7BF9">
      <w:pPr>
        <w:pStyle w:val="Normaltindrag"/>
      </w:pPr>
      <w:r w:rsidRPr="00C9680B">
        <w:t>Förutsatt att saldomålen inte omprövas kommer alltså överskotten i den o</w:t>
      </w:r>
      <w:r w:rsidRPr="00C9680B">
        <w:t>f</w:t>
      </w:r>
      <w:r w:rsidRPr="00C9680B">
        <w:t>fentliga sektorn under 2001–2003 att bli större än den för respektive år må</w:t>
      </w:r>
      <w:r w:rsidRPr="00C9680B">
        <w:t>l</w:t>
      </w:r>
      <w:r w:rsidRPr="00C9680B">
        <w:t>satta nivån. Det överskjutande överskottet 2001 ser regeringen som en säke</w:t>
      </w:r>
      <w:r w:rsidRPr="00C9680B">
        <w:t>r</w:t>
      </w:r>
      <w:r w:rsidRPr="00C9680B">
        <w:t>hetsmarginal som inte kommer att utnyttjas för reformer. För de efterföljande åren skall enligt tidigare gjorda uttalanden det överskjutande beloppet överf</w:t>
      </w:r>
      <w:r w:rsidRPr="00C9680B">
        <w:t>ö</w:t>
      </w:r>
      <w:r w:rsidRPr="00C9680B">
        <w:t>ras till hushållen antingen som skattesänkningar eller som nya utgiftsåtaga</w:t>
      </w:r>
      <w:r w:rsidRPr="00C9680B">
        <w:t>n</w:t>
      </w:r>
      <w:r w:rsidRPr="00C9680B">
        <w:t>den. Eftersom några sådana beslut ännu inte fattats har regeringen valt att i budgetpropositionens kalkyler ta hänsyn till denna</w:t>
      </w:r>
      <w:r w:rsidRPr="00C9680B">
        <w:t xml:space="preserve"> eventuellt förestående överföring genom att helt enkelt minska det för varje år framräknade budge</w:t>
      </w:r>
      <w:r w:rsidRPr="00C9680B">
        <w:t>t</w:t>
      </w:r>
      <w:r w:rsidRPr="00C9680B">
        <w:t>saldot med ett belopp motsvarande överföringen. Görs det framkommer för 2002 och 2003 mindre underskott på statsbudgeten medan budgeten för 2001 väntas uppvisa ett öve</w:t>
      </w:r>
      <w:r w:rsidRPr="00C9680B">
        <w:t>r</w:t>
      </w:r>
      <w:r w:rsidRPr="00C9680B">
        <w:t>skott på drygt 40 miljarder kronor.</w:t>
      </w:r>
    </w:p>
    <w:p w:rsidR="001C7BF9" w:rsidRPr="00C9680B" w:rsidRDefault="001C7BF9">
      <w:pPr>
        <w:pStyle w:val="Normaltindrag"/>
      </w:pPr>
      <w:r w:rsidRPr="00C9680B">
        <w:t>Givet dessa förutsättningar kommer statsskulden att vara nominellt ofö</w:t>
      </w:r>
      <w:r w:rsidRPr="00C9680B">
        <w:t>r</w:t>
      </w:r>
      <w:r w:rsidRPr="00C9680B">
        <w:t>ändrad under 2002 och 2003 även om den mätt som andel av BNP då minskar från 52,4 till 48,9 %.</w:t>
      </w:r>
    </w:p>
    <w:p w:rsidR="001C7BF9" w:rsidRPr="00C9680B" w:rsidRDefault="001C7BF9">
      <w:pPr>
        <w:pStyle w:val="Normaltindrag"/>
      </w:pPr>
      <w:r w:rsidRPr="00C9680B">
        <w:t>Av betydelse i sammanhanget är också att de redovisade budgetsaldona under 1999–2003 i betydande utsträckning bärs upp av engångsvisa tillskott från planerade företagsförsäljningar samt från överföringar från AP-fonden föranledda av pensionsreformen. Av en i propositionen redovisad samma</w:t>
      </w:r>
      <w:r w:rsidRPr="00C9680B">
        <w:t>n</w:t>
      </w:r>
      <w:r w:rsidRPr="00C9680B">
        <w:t>ställning (tabell 4.18 s. 106) framgår att utan dessa extraordinära tillskott skulle budgeten ha visat underskott på 12–40 miljarder kronor under samtliga år utom 1999 då ett mindre överskott på 10 miljarder kronor framkom.</w:t>
      </w:r>
    </w:p>
    <w:p w:rsidR="001C7BF9" w:rsidRPr="00C9680B" w:rsidRDefault="001C7BF9">
      <w:pPr>
        <w:pStyle w:val="Normaltindrag"/>
      </w:pPr>
      <w:r w:rsidRPr="00C9680B">
        <w:t>Även om alltså budgetutvecklingen under de närmaste åren ter sig gyn</w:t>
      </w:r>
      <w:r w:rsidRPr="00C9680B">
        <w:t>n</w:t>
      </w:r>
      <w:r w:rsidRPr="00C9680B">
        <w:t>sam, bör enligt finansutskottets mening nivån på statsbudgetens underligga</w:t>
      </w:r>
      <w:r w:rsidRPr="00C9680B">
        <w:t>n</w:t>
      </w:r>
      <w:r w:rsidRPr="00C9680B">
        <w:t>de saldo ses som en markering av att det ännu inte finns anledning att ge avkall på kravet på en stram budgetprövning.</w:t>
      </w:r>
    </w:p>
    <w:p w:rsidR="001C7BF9" w:rsidRPr="00C9680B" w:rsidRDefault="001C7BF9">
      <w:pPr>
        <w:pStyle w:val="Normaltindrag"/>
      </w:pPr>
      <w:r w:rsidRPr="00C9680B">
        <w:t>Sammanlagt tolv utskott har yttrat sig över vårpropositionens förslag till utgiftsramar och de motioner som väckts med anledning av propositionen. Två utskott – utbildningsutskottet samt miljö- och jordbruksutskottet – har avstått från att yttra sig. Av de utskott som yttrat sig i ärendet har samtliga tillstyrkt reg</w:t>
      </w:r>
      <w:r w:rsidRPr="00C9680B">
        <w:t>eringens förslag till teknisk anpassning av tidigare fastställda utgiftstak för 2001–2003 liksom fördelningen av utgifter på utgiftsområden under 2001–2003.</w:t>
      </w:r>
    </w:p>
    <w:p w:rsidR="001C7BF9" w:rsidRPr="00C9680B" w:rsidRDefault="001C7BF9">
      <w:r w:rsidRPr="00C9680B">
        <w:t>Finansutskottet anser att den av regeringen föreslagna uppläggningen ger budgetpolitiken en riktig inriktning. Regeringens förslag är även i övrigt väl avvägda och bör, enligt utskottets mening, därför ligga till grund för budge</w:t>
      </w:r>
      <w:r w:rsidRPr="00C9680B">
        <w:t>t</w:t>
      </w:r>
      <w:r w:rsidRPr="00C9680B">
        <w:t>politikens i</w:t>
      </w:r>
      <w:r w:rsidRPr="00C9680B">
        <w:t>n</w:t>
      </w:r>
      <w:r w:rsidRPr="00C9680B">
        <w:t>riktning under åren 2001–2003.</w:t>
      </w:r>
    </w:p>
    <w:p w:rsidR="001C7BF9" w:rsidRPr="00C9680B" w:rsidRDefault="001C7BF9">
      <w:pPr>
        <w:pStyle w:val="Normaltindrag"/>
      </w:pPr>
      <w:r w:rsidRPr="00C9680B">
        <w:t>I närmast efterföljande avsnitt återkommer utskottet till de formella förslag till beslut som detta ställningstagande föranleder i fråga om utgiftstak (2.6), fördelning av utgifter på utgiftsområden (2.7) samt beräkning av statsbudg</w:t>
      </w:r>
      <w:r w:rsidRPr="00C9680B">
        <w:t>e</w:t>
      </w:r>
      <w:r w:rsidRPr="00C9680B">
        <w:t>tens i</w:t>
      </w:r>
      <w:r w:rsidRPr="00C9680B">
        <w:t>n</w:t>
      </w:r>
      <w:r w:rsidRPr="00C9680B">
        <w:t>komster m.m. (3).</w:t>
      </w:r>
    </w:p>
    <w:p w:rsidR="001C7BF9" w:rsidRPr="00C9680B" w:rsidRDefault="001C7BF9">
      <w:pPr>
        <w:pStyle w:val="Normaltindrag"/>
      </w:pPr>
    </w:p>
    <w:p w:rsidR="001C7BF9" w:rsidRPr="00C9680B" w:rsidRDefault="001C7BF9">
      <w:pPr>
        <w:pStyle w:val="Utskottetsvervganden-RubrikFrslagspunkt"/>
        <w:outlineLvl w:val="0"/>
      </w:pPr>
      <w:bookmarkStart w:id="176" w:name="_Toc498245133"/>
      <w:bookmarkStart w:id="177" w:name="_Toc498910694"/>
      <w:r w:rsidRPr="00C9680B">
        <w:t>2.5 Utgiftstak för staten och den offentliga sektorn</w:t>
      </w:r>
      <w:bookmarkEnd w:id="176"/>
      <w:bookmarkEnd w:id="177"/>
    </w:p>
    <w:p w:rsidR="001C7BF9" w:rsidRPr="00C9680B" w:rsidRDefault="001C7BF9">
      <w:pPr>
        <w:pStyle w:val="Utskottsfrslagikorthet-Rubrik"/>
        <w:outlineLvl w:val="0"/>
        <w:rPr>
          <w:noProof w:val="0"/>
        </w:rPr>
      </w:pPr>
      <w:r w:rsidRPr="00C9680B">
        <w:rPr>
          <w:noProof w:val="0"/>
        </w:rPr>
        <w:t>Utskottets delförslag i korthet</w:t>
      </w:r>
    </w:p>
    <w:p w:rsidR="001C7BF9" w:rsidRPr="00C9680B" w:rsidRDefault="001C7BF9">
      <w:pPr>
        <w:pStyle w:val="Utskottsfrslagikorthet-Text"/>
        <w:keepNext/>
      </w:pPr>
      <w:r w:rsidRPr="00C9680B">
        <w:t>Riksdagen fastställer regeringens förslag till utgiftstak för staten för 2001–2003 (punkt 2) samt godkänner regeringens beräkning av de offentliga utgifterna för 2001–2003 (punkt 3) och avstyrker därmed motionerna Fi208 (m) yrkandena 2 och 3, Fi209 (kd) yrkandena 2, 3 och 8, Fi210 (c) yrkande 2 samt Fi211 (fp) yrka</w:t>
      </w:r>
      <w:r w:rsidRPr="00C9680B">
        <w:t>n</w:t>
      </w:r>
      <w:r w:rsidRPr="00C9680B">
        <w:t>dena 2 och 3.</w:t>
      </w:r>
    </w:p>
    <w:p w:rsidR="001C7BF9" w:rsidRPr="00C9680B" w:rsidRDefault="001C7BF9">
      <w:pPr>
        <w:pStyle w:val="Utskottsfrslagikorthet-Text"/>
        <w:keepNext/>
      </w:pPr>
      <w:r w:rsidRPr="00C9680B">
        <w:t>Övriga delar av detta förslag behandlar utskottet i avsnitten 2.4, 2.6, 2.8, 2.9, 3 och 4.1.</w:t>
      </w:r>
    </w:p>
    <w:p w:rsidR="001C7BF9" w:rsidRPr="00C9680B" w:rsidRDefault="001C7BF9">
      <w:pPr>
        <w:pStyle w:val="Utskottsfrslagikorthet-Text"/>
        <w:keepNext/>
      </w:pPr>
      <w:r w:rsidRPr="00C9680B">
        <w:t>Jämför reservationerna 12 (m), 13 (kd), 14 (c) och 15 (fp).</w:t>
      </w:r>
    </w:p>
    <w:p w:rsidR="001C7BF9" w:rsidRPr="00C9680B" w:rsidRDefault="001C7BF9">
      <w:pPr>
        <w:pStyle w:val="R3"/>
        <w:outlineLvl w:val="0"/>
      </w:pPr>
      <w:r w:rsidRPr="00C9680B">
        <w:t>2.5.1 Utgiftstak för staten</w:t>
      </w:r>
    </w:p>
    <w:p w:rsidR="001C7BF9" w:rsidRPr="00C9680B" w:rsidRDefault="001C7BF9">
      <w:r w:rsidRPr="00C9680B">
        <w:t>Det statliga utgiftstaket omfattar utgifterna på statsbudgeten exklusive statsskuldsräntor samt utgifterna för ålderspensionssystemet vid sidan av budg</w:t>
      </w:r>
      <w:r w:rsidRPr="00C9680B">
        <w:t>e</w:t>
      </w:r>
      <w:r w:rsidRPr="00C9680B">
        <w:t>ten. Dessutom ingår en ofinansierad budgeteringsmarginal.</w:t>
      </w:r>
    </w:p>
    <w:p w:rsidR="001C7BF9" w:rsidRPr="00C9680B" w:rsidRDefault="001C7BF9">
      <w:pPr>
        <w:pStyle w:val="R4"/>
      </w:pPr>
      <w:r w:rsidRPr="00C9680B">
        <w:t>Budgetpropositionen</w:t>
      </w:r>
    </w:p>
    <w:p w:rsidR="001C7BF9" w:rsidRPr="00C9680B" w:rsidRDefault="001C7BF9">
      <w:r w:rsidRPr="00C9680B">
        <w:t>I budgetpropositionen (avsnitt 4.1.1) föreslår regeringen att de tidigare fas</w:t>
      </w:r>
      <w:r w:rsidRPr="00C9680B">
        <w:t>t</w:t>
      </w:r>
      <w:r w:rsidRPr="00C9680B">
        <w:t>ställda nivåerna på utgiftstaken för staten för åren 2001</w:t>
      </w:r>
      <w:r w:rsidRPr="00C9680B">
        <w:sym w:font="Symbol" w:char="F02D"/>
      </w:r>
      <w:r w:rsidRPr="00C9680B">
        <w:t>2003 anpassas till följd av två budgettekniska förändringar. Justeringen är föranledd av att andra steget i den inkomstskattereform som presenterades i budgetpropositionen för 2000 genomförs från och med år 2001. Reformen innebär bl.a. att avdrag</w:t>
      </w:r>
      <w:r w:rsidRPr="00C9680B">
        <w:t>s</w:t>
      </w:r>
      <w:r w:rsidRPr="00C9680B">
        <w:t>rätten för allmän pensionsavgift begränsas vilket ökar kommunsektorns i</w:t>
      </w:r>
      <w:r w:rsidRPr="00C9680B">
        <w:t>n</w:t>
      </w:r>
      <w:r w:rsidRPr="00C9680B">
        <w:t>komster med 5 miljarder kronor år 2001. Samtidigt föreslås en höjning av såväl det allmänna som det särskilda grundavdraget för statli</w:t>
      </w:r>
      <w:r w:rsidRPr="00C9680B">
        <w:t>g och kommunal inkomstskatt till följd av regeringens förslag om en ökad miljörelatering av skattesystemet genom en så kallad grön skatteväxling. Höjningen av grund</w:t>
      </w:r>
      <w:r w:rsidRPr="00C9680B">
        <w:softHyphen/>
        <w:t>avdraget minskar kommunsektorns skatteinkomster med 2 miljarder kronor. Sammantaget ökar kommunsektorns inkomster alltså med netto 3 miljarder kronor. Det generella statsbidraget till kommuner och landsting sänks därför med 3 miljarder kronor åren 2001</w:t>
      </w:r>
      <w:r w:rsidRPr="00C9680B">
        <w:sym w:font="Symbol" w:char="F02D"/>
      </w:r>
      <w:r w:rsidRPr="00C9680B">
        <w:t>2003 för att kommunsektorns totala i</w:t>
      </w:r>
      <w:r w:rsidRPr="00C9680B">
        <w:t>n</w:t>
      </w:r>
      <w:r w:rsidRPr="00C9680B">
        <w:t>komster skall förbli ofö</w:t>
      </w:r>
      <w:r w:rsidRPr="00C9680B">
        <w:t>r</w:t>
      </w:r>
      <w:r w:rsidRPr="00C9680B">
        <w:t>ändrade.</w:t>
      </w:r>
    </w:p>
    <w:p w:rsidR="001C7BF9" w:rsidRPr="00C9680B" w:rsidRDefault="001C7BF9">
      <w:pPr>
        <w:pStyle w:val="Normaltindrag"/>
      </w:pPr>
      <w:r w:rsidRPr="00C9680B">
        <w:t>Regeringen föreslår des</w:t>
      </w:r>
      <w:r w:rsidRPr="00C9680B">
        <w:t>sutom att vissa av Riksgäldskontorets kostnader för statens upplåning skall flyttas från utgiftsområde 2 Samhällsekonomi och finansförvaltning till utgiftsområde 26 Statsskuldsräntor m.m., vilket minskar utgifterna under utgiftstaket med 0,3 miljarder kronor år 2001 och med 0,2 miljarder kronor vart och ett av åren 2002 och 2003. Sammantaget sänker förslagen utgiftstaket med 3,3 miljarder kronor år 2001 och med 3,2 miljarder kronor åren 2002 och 2003.</w:t>
      </w:r>
    </w:p>
    <w:p w:rsidR="001C7BF9" w:rsidRPr="00C9680B" w:rsidRDefault="001C7BF9">
      <w:pPr>
        <w:pStyle w:val="Normaltindrag"/>
      </w:pPr>
      <w:r w:rsidRPr="00C9680B">
        <w:t>Regeringen föreslår sålunda att utgiftstaken för åren 20</w:t>
      </w:r>
      <w:r w:rsidRPr="00C9680B">
        <w:t>01</w:t>
      </w:r>
      <w:r w:rsidRPr="00C9680B">
        <w:sym w:font="Symbol" w:char="F02D"/>
      </w:r>
      <w:r w:rsidRPr="00C9680B">
        <w:t>2003 fastställs till 789, 814 respektive 844 miljarder kronor (punkt 2).</w:t>
      </w:r>
    </w:p>
    <w:p w:rsidR="001C7BF9" w:rsidRPr="00C9680B" w:rsidRDefault="001C7BF9">
      <w:pPr>
        <w:pStyle w:val="R4"/>
      </w:pPr>
      <w:r w:rsidRPr="00C9680B">
        <w:t>Motionerna</w:t>
      </w:r>
    </w:p>
    <w:p w:rsidR="001C7BF9" w:rsidRPr="00C9680B" w:rsidRDefault="001C7BF9">
      <w:r w:rsidRPr="00C9680B">
        <w:t>Av den tidigare redogörelsen framgår att fyra partier förordar andra nivåer för utgiftstaket. Formella förslag för de tre åren framförs av Moderata samling</w:t>
      </w:r>
      <w:r w:rsidRPr="00C9680B">
        <w:t>s</w:t>
      </w:r>
      <w:r w:rsidRPr="00C9680B">
        <w:t>partiet i motion Fi208 (yrkande 3), Kristdemokraterna i motion Fi209 (yrka</w:t>
      </w:r>
      <w:r w:rsidRPr="00C9680B">
        <w:t>n</w:t>
      </w:r>
      <w:r w:rsidRPr="00C9680B">
        <w:t>de 2), Centerpartiet i motion Fi210 (yrkande 2) samt Folkpartiet liberalerna i motion Fi211 (yrkande 2). De olika partiernas förslag framgår av efterfölja</w:t>
      </w:r>
      <w:r w:rsidRPr="00C9680B">
        <w:t>n</w:t>
      </w:r>
      <w:r w:rsidRPr="00C9680B">
        <w:t>de sa</w:t>
      </w:r>
      <w:r w:rsidRPr="00C9680B">
        <w:t>m</w:t>
      </w:r>
      <w:r w:rsidRPr="00C9680B">
        <w:t xml:space="preserve">manställning. </w:t>
      </w:r>
    </w:p>
    <w:p w:rsidR="001C7BF9" w:rsidRPr="00C9680B" w:rsidRDefault="001C7BF9">
      <w:pPr>
        <w:pStyle w:val="TabellrubrikPer"/>
        <w:outlineLvl w:val="0"/>
        <w:rPr>
          <w:b/>
          <w:caps w:val="0"/>
          <w:spacing w:val="0"/>
          <w:sz w:val="16"/>
        </w:rPr>
      </w:pPr>
      <w:r w:rsidRPr="00C9680B">
        <w:rPr>
          <w:b/>
          <w:caps w:val="0"/>
          <w:spacing w:val="0"/>
          <w:sz w:val="16"/>
        </w:rPr>
        <w:t>Tabell 24. Förslag till nytt utgiftstak för staten 2001–2003</w:t>
      </w:r>
    </w:p>
    <w:p w:rsidR="001C7BF9" w:rsidRPr="00C9680B" w:rsidRDefault="001C7BF9">
      <w:pPr>
        <w:pStyle w:val="TabellrubrikPer"/>
        <w:keepLines/>
        <w:spacing w:before="0" w:after="40"/>
        <w:outlineLvl w:val="0"/>
        <w:rPr>
          <w:caps w:val="0"/>
        </w:rPr>
      </w:pPr>
      <w:r w:rsidRPr="00C9680B">
        <w:rPr>
          <w:caps w:val="0"/>
        </w:rPr>
        <w:t>Belopp i miljarder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rPr>
                <w:sz w:val="16"/>
              </w:rPr>
            </w:pPr>
          </w:p>
        </w:tc>
        <w:tc>
          <w:tcPr>
            <w:tcW w:w="1253" w:type="dxa"/>
            <w:gridSpan w:val="4"/>
            <w:tcBorders>
              <w:top w:val="single" w:sz="6" w:space="0" w:color="000000"/>
            </w:tcBorders>
          </w:tcPr>
          <w:p w:rsidR="001C7BF9" w:rsidRPr="00C9680B" w:rsidRDefault="001C7BF9">
            <w:pPr>
              <w:pStyle w:val="Tabell"/>
              <w:keepLines/>
              <w:rPr>
                <w:sz w:val="16"/>
              </w:rPr>
            </w:pPr>
          </w:p>
        </w:tc>
        <w:tc>
          <w:tcPr>
            <w:tcW w:w="1253" w:type="dxa"/>
            <w:gridSpan w:val="4"/>
            <w:tcBorders>
              <w:top w:val="single" w:sz="6" w:space="0" w:color="000000"/>
            </w:tcBorders>
          </w:tcPr>
          <w:p w:rsidR="001C7BF9" w:rsidRPr="00C9680B" w:rsidRDefault="001C7BF9">
            <w:pPr>
              <w:pStyle w:val="Tabell"/>
              <w:keepLines/>
              <w:jc w:val="center"/>
              <w:rPr>
                <w:sz w:val="16"/>
              </w:rPr>
            </w:pPr>
          </w:p>
        </w:tc>
        <w:tc>
          <w:tcPr>
            <w:tcW w:w="142" w:type="dxa"/>
            <w:tcBorders>
              <w:top w:val="single" w:sz="6" w:space="0" w:color="000000"/>
            </w:tcBorders>
          </w:tcPr>
          <w:p w:rsidR="001C7BF9" w:rsidRPr="00C9680B" w:rsidRDefault="001C7BF9">
            <w:pPr>
              <w:pStyle w:val="Tabell"/>
              <w:keepLines/>
              <w:rPr>
                <w:sz w:val="16"/>
              </w:rPr>
            </w:pPr>
          </w:p>
        </w:tc>
        <w:tc>
          <w:tcPr>
            <w:tcW w:w="1769" w:type="dxa"/>
            <w:gridSpan w:val="4"/>
            <w:tcBorders>
              <w:top w:val="single" w:sz="6" w:space="0" w:color="000000"/>
            </w:tcBorders>
          </w:tcPr>
          <w:p w:rsidR="001C7BF9" w:rsidRPr="00C9680B" w:rsidRDefault="001C7BF9">
            <w:pPr>
              <w:pStyle w:val="Tabell"/>
              <w:keepLines/>
              <w:rPr>
                <w:sz w:val="16"/>
              </w:rPr>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Lines/>
              <w:jc w:val="left"/>
              <w:rPr>
                <w:sz w:val="16"/>
              </w:rPr>
            </w:pPr>
            <w:r w:rsidRPr="00C9680B">
              <w:rPr>
                <w:sz w:val="16"/>
              </w:rPr>
              <w:t>År</w:t>
            </w:r>
          </w:p>
        </w:tc>
        <w:tc>
          <w:tcPr>
            <w:tcW w:w="57" w:type="dxa"/>
          </w:tcPr>
          <w:p w:rsidR="001C7BF9" w:rsidRPr="00C9680B" w:rsidRDefault="001C7BF9">
            <w:pPr>
              <w:pStyle w:val="Tabell"/>
              <w:keepLines/>
              <w:rPr>
                <w:sz w:val="16"/>
              </w:rPr>
            </w:pPr>
          </w:p>
        </w:tc>
        <w:tc>
          <w:tcPr>
            <w:tcW w:w="964" w:type="dxa"/>
            <w:gridSpan w:val="2"/>
          </w:tcPr>
          <w:p w:rsidR="001C7BF9" w:rsidRPr="00C9680B" w:rsidRDefault="001C7BF9">
            <w:pPr>
              <w:pStyle w:val="Tabell"/>
              <w:keepLines/>
              <w:jc w:val="center"/>
              <w:rPr>
                <w:sz w:val="16"/>
              </w:rPr>
            </w:pPr>
          </w:p>
        </w:tc>
        <w:tc>
          <w:tcPr>
            <w:tcW w:w="142" w:type="dxa"/>
          </w:tcPr>
          <w:p w:rsidR="001C7BF9" w:rsidRPr="00C9680B" w:rsidRDefault="001C7BF9">
            <w:pPr>
              <w:pStyle w:val="Tabell"/>
              <w:keepLines/>
              <w:rPr>
                <w:sz w:val="16"/>
              </w:rPr>
            </w:pPr>
          </w:p>
        </w:tc>
        <w:tc>
          <w:tcPr>
            <w:tcW w:w="4053" w:type="dxa"/>
            <w:gridSpan w:val="11"/>
            <w:tcBorders>
              <w:bottom w:val="single" w:sz="4" w:space="0" w:color="auto"/>
            </w:tcBorders>
          </w:tcPr>
          <w:p w:rsidR="001C7BF9" w:rsidRPr="00C9680B" w:rsidRDefault="001C7BF9">
            <w:pPr>
              <w:pStyle w:val="Tabell"/>
              <w:keepLines/>
              <w:rPr>
                <w:sz w:val="16"/>
              </w:rPr>
            </w:pPr>
            <w:r w:rsidRPr="00C9680B">
              <w:rPr>
                <w:sz w:val="16"/>
              </w:rPr>
              <w:t>Oppositionspartiernas förslag till alternativa nivåer</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rPr>
                <w:sz w:val="16"/>
              </w:rPr>
            </w:pPr>
          </w:p>
        </w:tc>
        <w:tc>
          <w:tcPr>
            <w:tcW w:w="57" w:type="dxa"/>
            <w:tcBorders>
              <w:bottom w:val="single" w:sz="6" w:space="0" w:color="auto"/>
            </w:tcBorders>
          </w:tcPr>
          <w:p w:rsidR="001C7BF9" w:rsidRPr="00C9680B" w:rsidRDefault="001C7BF9">
            <w:pPr>
              <w:pStyle w:val="Tabell"/>
              <w:keepLines/>
              <w:rPr>
                <w:sz w:val="16"/>
              </w:rPr>
            </w:pPr>
          </w:p>
        </w:tc>
        <w:tc>
          <w:tcPr>
            <w:tcW w:w="964" w:type="dxa"/>
            <w:gridSpan w:val="2"/>
            <w:tcBorders>
              <w:bottom w:val="single" w:sz="6" w:space="0" w:color="auto"/>
            </w:tcBorders>
          </w:tcPr>
          <w:p w:rsidR="001C7BF9" w:rsidRPr="00C9680B" w:rsidRDefault="001C7BF9">
            <w:pPr>
              <w:pStyle w:val="Tabell"/>
              <w:keepLines/>
              <w:jc w:val="center"/>
              <w:rPr>
                <w:sz w:val="16"/>
              </w:rPr>
            </w:pPr>
            <w:r w:rsidRPr="00C9680B">
              <w:rPr>
                <w:sz w:val="16"/>
              </w:rPr>
              <w:t>Nivå e</w:t>
            </w:r>
            <w:r w:rsidRPr="00C9680B">
              <w:rPr>
                <w:sz w:val="16"/>
              </w:rPr>
              <w:t>n</w:t>
            </w:r>
            <w:r w:rsidRPr="00C9680B">
              <w:rPr>
                <w:sz w:val="16"/>
              </w:rPr>
              <w:t>ligt</w:t>
            </w:r>
          </w:p>
          <w:p w:rsidR="001C7BF9" w:rsidRPr="00C9680B" w:rsidRDefault="001C7BF9">
            <w:pPr>
              <w:pStyle w:val="Tabell"/>
              <w:keepLines/>
              <w:jc w:val="center"/>
              <w:rPr>
                <w:sz w:val="16"/>
              </w:rPr>
            </w:pPr>
            <w:r w:rsidRPr="00C9680B">
              <w:rPr>
                <w:sz w:val="16"/>
              </w:rPr>
              <w:t>regeringen</w:t>
            </w:r>
          </w:p>
        </w:tc>
        <w:tc>
          <w:tcPr>
            <w:tcW w:w="142" w:type="dxa"/>
            <w:tcBorders>
              <w:bottom w:val="single" w:sz="6" w:space="0" w:color="auto"/>
            </w:tcBorders>
          </w:tcPr>
          <w:p w:rsidR="001C7BF9" w:rsidRPr="00C9680B" w:rsidRDefault="001C7BF9">
            <w:pPr>
              <w:pStyle w:val="Tabell"/>
              <w:keepLines/>
              <w:rPr>
                <w:sz w:val="16"/>
              </w:rPr>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jc w:val="right"/>
              <w:rPr>
                <w:sz w:val="16"/>
              </w:rPr>
            </w:pPr>
            <w:r w:rsidRPr="00C9680B">
              <w:rPr>
                <w:sz w:val="16"/>
              </w:rPr>
              <w:t>Moderata sa</w:t>
            </w:r>
            <w:r w:rsidRPr="00C9680B">
              <w:rPr>
                <w:sz w:val="16"/>
              </w:rPr>
              <w:t>m</w:t>
            </w:r>
            <w:r w:rsidRPr="00C9680B">
              <w:rPr>
                <w:sz w:val="16"/>
              </w:rPr>
              <w:t>lings-partiet</w:t>
            </w:r>
          </w:p>
        </w:tc>
        <w:tc>
          <w:tcPr>
            <w:tcW w:w="142" w:type="dxa"/>
            <w:gridSpan w:val="2"/>
            <w:tcBorders>
              <w:bottom w:val="single" w:sz="6" w:space="0" w:color="auto"/>
            </w:tcBorders>
          </w:tcPr>
          <w:p w:rsidR="001C7BF9" w:rsidRPr="00C9680B" w:rsidRDefault="001C7BF9">
            <w:pPr>
              <w:pStyle w:val="Tabell"/>
              <w:keepLines/>
              <w:rPr>
                <w:sz w:val="16"/>
              </w:rPr>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jc w:val="center"/>
              <w:rPr>
                <w:sz w:val="16"/>
              </w:rPr>
            </w:pPr>
            <w:r w:rsidRPr="00C9680B">
              <w:rPr>
                <w:sz w:val="16"/>
              </w:rPr>
              <w:t>Kristd</w:t>
            </w:r>
            <w:r w:rsidRPr="00C9680B">
              <w:rPr>
                <w:sz w:val="16"/>
              </w:rPr>
              <w:t>e</w:t>
            </w:r>
            <w:r w:rsidRPr="00C9680B">
              <w:rPr>
                <w:sz w:val="16"/>
              </w:rPr>
              <w:t>mo-kraterna</w:t>
            </w:r>
          </w:p>
        </w:tc>
        <w:tc>
          <w:tcPr>
            <w:tcW w:w="142" w:type="dxa"/>
            <w:tcBorders>
              <w:bottom w:val="single" w:sz="6" w:space="0" w:color="auto"/>
            </w:tcBorders>
          </w:tcPr>
          <w:p w:rsidR="001C7BF9" w:rsidRPr="00C9680B" w:rsidRDefault="001C7BF9">
            <w:pPr>
              <w:pStyle w:val="Tabell"/>
              <w:keepLines/>
              <w:rPr>
                <w:sz w:val="16"/>
              </w:rPr>
            </w:pPr>
          </w:p>
        </w:tc>
        <w:tc>
          <w:tcPr>
            <w:tcW w:w="792" w:type="dxa"/>
            <w:gridSpan w:val="3"/>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rPr>
                <w:sz w:val="16"/>
              </w:rPr>
            </w:pPr>
            <w:r w:rsidRPr="00C9680B">
              <w:rPr>
                <w:sz w:val="16"/>
              </w:rPr>
              <w:t xml:space="preserve">   Ce</w:t>
            </w:r>
            <w:r w:rsidRPr="00C9680B">
              <w:rPr>
                <w:sz w:val="16"/>
              </w:rPr>
              <w:t>n</w:t>
            </w:r>
            <w:r w:rsidRPr="00C9680B">
              <w:rPr>
                <w:sz w:val="16"/>
              </w:rPr>
              <w:t>ter-</w:t>
            </w:r>
          </w:p>
          <w:p w:rsidR="001C7BF9" w:rsidRPr="00C9680B" w:rsidRDefault="001C7BF9">
            <w:pPr>
              <w:pStyle w:val="Tabell"/>
              <w:keepLines/>
              <w:rPr>
                <w:sz w:val="16"/>
              </w:rPr>
            </w:pPr>
            <w:r w:rsidRPr="00C9680B">
              <w:rPr>
                <w:sz w:val="16"/>
              </w:rPr>
              <w:t xml:space="preserve">   partiet</w:t>
            </w:r>
          </w:p>
        </w:tc>
        <w:tc>
          <w:tcPr>
            <w:tcW w:w="141" w:type="dxa"/>
            <w:tcBorders>
              <w:bottom w:val="single" w:sz="6" w:space="0" w:color="auto"/>
            </w:tcBorders>
          </w:tcPr>
          <w:p w:rsidR="001C7BF9" w:rsidRPr="00C9680B" w:rsidRDefault="001C7BF9">
            <w:pPr>
              <w:pStyle w:val="Tabell"/>
              <w:keepLines/>
              <w:rPr>
                <w:sz w:val="16"/>
              </w:rPr>
            </w:pPr>
          </w:p>
        </w:tc>
        <w:tc>
          <w:tcPr>
            <w:tcW w:w="1134" w:type="dxa"/>
            <w:gridSpan w:val="2"/>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rPr>
                <w:sz w:val="16"/>
              </w:rPr>
            </w:pPr>
            <w:r w:rsidRPr="00C9680B">
              <w:rPr>
                <w:sz w:val="16"/>
              </w:rPr>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rPr>
                <w:sz w:val="16"/>
              </w:rPr>
            </w:pPr>
          </w:p>
        </w:tc>
        <w:tc>
          <w:tcPr>
            <w:tcW w:w="57" w:type="dxa"/>
          </w:tcPr>
          <w:p w:rsidR="001C7BF9" w:rsidRPr="00C9680B" w:rsidRDefault="001C7BF9">
            <w:pPr>
              <w:pStyle w:val="Tabell"/>
              <w:keepLines/>
              <w:rPr>
                <w:b/>
                <w:sz w:val="16"/>
              </w:rPr>
            </w:pPr>
          </w:p>
        </w:tc>
        <w:tc>
          <w:tcPr>
            <w:tcW w:w="964" w:type="dxa"/>
            <w:gridSpan w:val="2"/>
          </w:tcPr>
          <w:p w:rsidR="001C7BF9" w:rsidRPr="00C9680B" w:rsidRDefault="001C7BF9">
            <w:pPr>
              <w:pStyle w:val="Tabell"/>
              <w:keepLines/>
              <w:jc w:val="center"/>
              <w:rPr>
                <w:sz w:val="16"/>
              </w:rPr>
            </w:pPr>
          </w:p>
        </w:tc>
        <w:tc>
          <w:tcPr>
            <w:tcW w:w="142" w:type="dxa"/>
          </w:tcPr>
          <w:p w:rsidR="001C7BF9" w:rsidRPr="00C9680B" w:rsidRDefault="001C7BF9">
            <w:pPr>
              <w:pStyle w:val="Tabell"/>
              <w:keepLines/>
              <w:rPr>
                <w:sz w:val="16"/>
              </w:rPr>
            </w:pPr>
          </w:p>
        </w:tc>
        <w:tc>
          <w:tcPr>
            <w:tcW w:w="851" w:type="dxa"/>
          </w:tcPr>
          <w:p w:rsidR="001C7BF9" w:rsidRPr="00C9680B" w:rsidRDefault="001C7BF9">
            <w:pPr>
              <w:pStyle w:val="Tabell"/>
              <w:keepLines/>
              <w:rPr>
                <w:sz w:val="16"/>
              </w:rPr>
            </w:pPr>
          </w:p>
        </w:tc>
        <w:tc>
          <w:tcPr>
            <w:tcW w:w="142" w:type="dxa"/>
            <w:gridSpan w:val="2"/>
          </w:tcPr>
          <w:p w:rsidR="001C7BF9" w:rsidRPr="00C9680B" w:rsidRDefault="001C7BF9">
            <w:pPr>
              <w:pStyle w:val="Tabell"/>
              <w:keepLines/>
              <w:rPr>
                <w:sz w:val="16"/>
              </w:rPr>
            </w:pPr>
          </w:p>
        </w:tc>
        <w:tc>
          <w:tcPr>
            <w:tcW w:w="851" w:type="dxa"/>
          </w:tcPr>
          <w:p w:rsidR="001C7BF9" w:rsidRPr="00C9680B" w:rsidRDefault="001C7BF9">
            <w:pPr>
              <w:pStyle w:val="Tabell"/>
              <w:keepLines/>
              <w:rPr>
                <w:sz w:val="16"/>
              </w:rPr>
            </w:pPr>
          </w:p>
        </w:tc>
        <w:tc>
          <w:tcPr>
            <w:tcW w:w="142" w:type="dxa"/>
          </w:tcPr>
          <w:p w:rsidR="001C7BF9" w:rsidRPr="00C9680B" w:rsidRDefault="001C7BF9">
            <w:pPr>
              <w:pStyle w:val="Tabell"/>
              <w:keepLines/>
              <w:rPr>
                <w:sz w:val="16"/>
              </w:rPr>
            </w:pPr>
          </w:p>
        </w:tc>
        <w:tc>
          <w:tcPr>
            <w:tcW w:w="792" w:type="dxa"/>
            <w:gridSpan w:val="3"/>
          </w:tcPr>
          <w:p w:rsidR="001C7BF9" w:rsidRPr="00C9680B" w:rsidRDefault="001C7BF9">
            <w:pPr>
              <w:pStyle w:val="Tabell"/>
              <w:keepLines/>
              <w:ind w:right="38"/>
              <w:jc w:val="right"/>
              <w:rPr>
                <w:sz w:val="16"/>
              </w:rPr>
            </w:pPr>
          </w:p>
        </w:tc>
        <w:tc>
          <w:tcPr>
            <w:tcW w:w="141" w:type="dxa"/>
          </w:tcPr>
          <w:p w:rsidR="001C7BF9" w:rsidRPr="00C9680B" w:rsidRDefault="001C7BF9">
            <w:pPr>
              <w:pStyle w:val="Tabell"/>
              <w:keepLines/>
              <w:rPr>
                <w:sz w:val="16"/>
              </w:rPr>
            </w:pPr>
          </w:p>
        </w:tc>
        <w:tc>
          <w:tcPr>
            <w:tcW w:w="1134" w:type="dxa"/>
            <w:gridSpan w:val="2"/>
          </w:tcPr>
          <w:p w:rsidR="001C7BF9" w:rsidRPr="00C9680B" w:rsidRDefault="001C7BF9">
            <w:pPr>
              <w:pStyle w:val="Tabell"/>
              <w:keepLines/>
              <w:rPr>
                <w:sz w:val="16"/>
              </w:rPr>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rPr>
                <w:sz w:val="16"/>
              </w:rPr>
            </w:pPr>
            <w:r w:rsidRPr="00C9680B">
              <w:rPr>
                <w:sz w:val="16"/>
              </w:rPr>
              <w:t>2001</w:t>
            </w:r>
          </w:p>
        </w:tc>
        <w:tc>
          <w:tcPr>
            <w:tcW w:w="57" w:type="dxa"/>
          </w:tcPr>
          <w:p w:rsidR="001C7BF9" w:rsidRPr="00C9680B" w:rsidRDefault="001C7BF9">
            <w:pPr>
              <w:pStyle w:val="Tabell"/>
              <w:keepLines/>
              <w:rPr>
                <w:sz w:val="16"/>
              </w:rPr>
            </w:pPr>
          </w:p>
        </w:tc>
        <w:tc>
          <w:tcPr>
            <w:tcW w:w="964" w:type="dxa"/>
            <w:gridSpan w:val="2"/>
          </w:tcPr>
          <w:p w:rsidR="001C7BF9" w:rsidRPr="00C9680B" w:rsidRDefault="001C7BF9">
            <w:pPr>
              <w:pStyle w:val="Tabell"/>
              <w:keepLines/>
              <w:ind w:right="199"/>
              <w:jc w:val="right"/>
              <w:rPr>
                <w:sz w:val="16"/>
              </w:rPr>
            </w:pPr>
            <w:r w:rsidRPr="00C9680B">
              <w:rPr>
                <w:sz w:val="16"/>
              </w:rPr>
              <w:t>789,0</w:t>
            </w:r>
          </w:p>
        </w:tc>
        <w:tc>
          <w:tcPr>
            <w:tcW w:w="142" w:type="dxa"/>
          </w:tcPr>
          <w:p w:rsidR="001C7BF9" w:rsidRPr="00C9680B" w:rsidRDefault="001C7BF9">
            <w:pPr>
              <w:pStyle w:val="Tabell"/>
              <w:keepLines/>
              <w:rPr>
                <w:sz w:val="16"/>
              </w:rPr>
            </w:pPr>
          </w:p>
        </w:tc>
        <w:tc>
          <w:tcPr>
            <w:tcW w:w="851" w:type="dxa"/>
          </w:tcPr>
          <w:p w:rsidR="001C7BF9" w:rsidRPr="00C9680B" w:rsidRDefault="001C7BF9">
            <w:pPr>
              <w:pStyle w:val="Tabell"/>
              <w:keepLines/>
              <w:ind w:right="170"/>
              <w:jc w:val="right"/>
              <w:rPr>
                <w:sz w:val="16"/>
              </w:rPr>
            </w:pPr>
            <w:r w:rsidRPr="00C9680B">
              <w:rPr>
                <w:sz w:val="16"/>
              </w:rPr>
              <w:t>+16,0</w:t>
            </w:r>
          </w:p>
        </w:tc>
        <w:tc>
          <w:tcPr>
            <w:tcW w:w="142" w:type="dxa"/>
            <w:gridSpan w:val="2"/>
          </w:tcPr>
          <w:p w:rsidR="001C7BF9" w:rsidRPr="00C9680B" w:rsidRDefault="001C7BF9">
            <w:pPr>
              <w:pStyle w:val="Tabell"/>
              <w:keepLines/>
              <w:ind w:right="170"/>
              <w:jc w:val="right"/>
              <w:rPr>
                <w:sz w:val="16"/>
              </w:rPr>
            </w:pPr>
          </w:p>
        </w:tc>
        <w:tc>
          <w:tcPr>
            <w:tcW w:w="851" w:type="dxa"/>
          </w:tcPr>
          <w:p w:rsidR="001C7BF9" w:rsidRPr="00C9680B" w:rsidRDefault="001C7BF9">
            <w:pPr>
              <w:pStyle w:val="Tabell"/>
              <w:keepLines/>
              <w:ind w:right="170"/>
              <w:jc w:val="right"/>
              <w:rPr>
                <w:sz w:val="16"/>
              </w:rPr>
            </w:pPr>
            <w:r w:rsidRPr="00C9680B">
              <w:rPr>
                <w:sz w:val="16"/>
              </w:rPr>
              <w:t>-8,0</w:t>
            </w:r>
          </w:p>
        </w:tc>
        <w:tc>
          <w:tcPr>
            <w:tcW w:w="142" w:type="dxa"/>
          </w:tcPr>
          <w:p w:rsidR="001C7BF9" w:rsidRPr="00C9680B" w:rsidRDefault="001C7BF9">
            <w:pPr>
              <w:pStyle w:val="Tabell"/>
              <w:keepLines/>
              <w:ind w:right="170"/>
              <w:jc w:val="right"/>
              <w:rPr>
                <w:sz w:val="16"/>
              </w:rPr>
            </w:pPr>
          </w:p>
        </w:tc>
        <w:tc>
          <w:tcPr>
            <w:tcW w:w="792" w:type="dxa"/>
            <w:gridSpan w:val="3"/>
          </w:tcPr>
          <w:p w:rsidR="001C7BF9" w:rsidRPr="00C9680B" w:rsidRDefault="001C7BF9">
            <w:pPr>
              <w:pStyle w:val="Tabell"/>
              <w:keepLines/>
              <w:ind w:right="170"/>
              <w:jc w:val="right"/>
              <w:rPr>
                <w:sz w:val="16"/>
              </w:rPr>
            </w:pPr>
            <w:r w:rsidRPr="00C9680B">
              <w:rPr>
                <w:sz w:val="16"/>
              </w:rPr>
              <w:t>-8,0</w:t>
            </w:r>
          </w:p>
        </w:tc>
        <w:tc>
          <w:tcPr>
            <w:tcW w:w="141" w:type="dxa"/>
          </w:tcPr>
          <w:p w:rsidR="001C7BF9" w:rsidRPr="00C9680B" w:rsidRDefault="001C7BF9">
            <w:pPr>
              <w:pStyle w:val="Tabell"/>
              <w:keepLines/>
              <w:jc w:val="left"/>
              <w:rPr>
                <w:sz w:val="16"/>
              </w:rPr>
            </w:pPr>
          </w:p>
        </w:tc>
        <w:tc>
          <w:tcPr>
            <w:tcW w:w="936" w:type="dxa"/>
          </w:tcPr>
          <w:p w:rsidR="001C7BF9" w:rsidRPr="00C9680B" w:rsidRDefault="001C7BF9">
            <w:pPr>
              <w:pStyle w:val="Tabell"/>
              <w:keepLines/>
              <w:ind w:right="170"/>
              <w:jc w:val="right"/>
              <w:rPr>
                <w:sz w:val="16"/>
              </w:rPr>
            </w:pPr>
            <w:r w:rsidRPr="00C9680B">
              <w:rPr>
                <w:sz w:val="16"/>
              </w:rPr>
              <w:t>-17,0</w:t>
            </w:r>
          </w:p>
        </w:tc>
        <w:tc>
          <w:tcPr>
            <w:tcW w:w="198" w:type="dxa"/>
          </w:tcPr>
          <w:p w:rsidR="001C7BF9" w:rsidRPr="00C9680B" w:rsidRDefault="001C7BF9">
            <w:pPr>
              <w:pStyle w:val="Tabell"/>
              <w:keepLines/>
              <w:ind w:right="170"/>
              <w:jc w:val="right"/>
              <w:rPr>
                <w:sz w:val="16"/>
              </w:rPr>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rPr>
                <w:sz w:val="16"/>
              </w:rPr>
            </w:pPr>
            <w:r w:rsidRPr="00C9680B">
              <w:rPr>
                <w:sz w:val="16"/>
              </w:rPr>
              <w:t>2002</w:t>
            </w:r>
          </w:p>
        </w:tc>
        <w:tc>
          <w:tcPr>
            <w:tcW w:w="57" w:type="dxa"/>
          </w:tcPr>
          <w:p w:rsidR="001C7BF9" w:rsidRPr="00C9680B" w:rsidRDefault="001C7BF9">
            <w:pPr>
              <w:pStyle w:val="Tabell"/>
              <w:keepLines/>
              <w:rPr>
                <w:b/>
                <w:sz w:val="16"/>
              </w:rPr>
            </w:pPr>
          </w:p>
        </w:tc>
        <w:tc>
          <w:tcPr>
            <w:tcW w:w="964" w:type="dxa"/>
            <w:gridSpan w:val="2"/>
          </w:tcPr>
          <w:p w:rsidR="001C7BF9" w:rsidRPr="00C9680B" w:rsidRDefault="001C7BF9">
            <w:pPr>
              <w:pStyle w:val="Tabell"/>
              <w:keepLines/>
              <w:ind w:right="199"/>
              <w:jc w:val="right"/>
              <w:rPr>
                <w:sz w:val="16"/>
              </w:rPr>
            </w:pPr>
            <w:r w:rsidRPr="00C9680B">
              <w:rPr>
                <w:sz w:val="16"/>
              </w:rPr>
              <w:t>814,0</w:t>
            </w:r>
          </w:p>
        </w:tc>
        <w:tc>
          <w:tcPr>
            <w:tcW w:w="142" w:type="dxa"/>
          </w:tcPr>
          <w:p w:rsidR="001C7BF9" w:rsidRPr="00C9680B" w:rsidRDefault="001C7BF9">
            <w:pPr>
              <w:pStyle w:val="Tabell"/>
              <w:keepLines/>
              <w:rPr>
                <w:sz w:val="16"/>
              </w:rPr>
            </w:pPr>
          </w:p>
        </w:tc>
        <w:tc>
          <w:tcPr>
            <w:tcW w:w="851" w:type="dxa"/>
          </w:tcPr>
          <w:p w:rsidR="001C7BF9" w:rsidRPr="00C9680B" w:rsidRDefault="001C7BF9">
            <w:pPr>
              <w:pStyle w:val="Tabell"/>
              <w:keepLines/>
              <w:ind w:right="170"/>
              <w:jc w:val="right"/>
              <w:rPr>
                <w:sz w:val="16"/>
              </w:rPr>
            </w:pPr>
            <w:r w:rsidRPr="00C9680B">
              <w:rPr>
                <w:sz w:val="16"/>
              </w:rPr>
              <w:t>+6,0</w:t>
            </w:r>
          </w:p>
        </w:tc>
        <w:tc>
          <w:tcPr>
            <w:tcW w:w="142" w:type="dxa"/>
            <w:gridSpan w:val="2"/>
          </w:tcPr>
          <w:p w:rsidR="001C7BF9" w:rsidRPr="00C9680B" w:rsidRDefault="001C7BF9">
            <w:pPr>
              <w:pStyle w:val="Tabell"/>
              <w:keepLines/>
              <w:ind w:right="170"/>
              <w:jc w:val="right"/>
              <w:rPr>
                <w:sz w:val="16"/>
              </w:rPr>
            </w:pPr>
          </w:p>
        </w:tc>
        <w:tc>
          <w:tcPr>
            <w:tcW w:w="851" w:type="dxa"/>
          </w:tcPr>
          <w:p w:rsidR="001C7BF9" w:rsidRPr="00C9680B" w:rsidRDefault="001C7BF9">
            <w:pPr>
              <w:pStyle w:val="Tabell"/>
              <w:keepLines/>
              <w:ind w:right="170"/>
              <w:jc w:val="right"/>
              <w:rPr>
                <w:sz w:val="16"/>
              </w:rPr>
            </w:pPr>
            <w:r w:rsidRPr="00C9680B">
              <w:rPr>
                <w:sz w:val="16"/>
              </w:rPr>
              <w:t>-12,0</w:t>
            </w:r>
          </w:p>
        </w:tc>
        <w:tc>
          <w:tcPr>
            <w:tcW w:w="142" w:type="dxa"/>
          </w:tcPr>
          <w:p w:rsidR="001C7BF9" w:rsidRPr="00C9680B" w:rsidRDefault="001C7BF9">
            <w:pPr>
              <w:pStyle w:val="Tabell"/>
              <w:keepLines/>
              <w:ind w:right="170"/>
              <w:jc w:val="right"/>
              <w:rPr>
                <w:sz w:val="16"/>
              </w:rPr>
            </w:pPr>
          </w:p>
        </w:tc>
        <w:tc>
          <w:tcPr>
            <w:tcW w:w="792" w:type="dxa"/>
            <w:gridSpan w:val="3"/>
          </w:tcPr>
          <w:p w:rsidR="001C7BF9" w:rsidRPr="00C9680B" w:rsidRDefault="001C7BF9">
            <w:pPr>
              <w:pStyle w:val="Tabell"/>
              <w:keepLines/>
              <w:ind w:right="170"/>
              <w:jc w:val="right"/>
              <w:rPr>
                <w:sz w:val="16"/>
              </w:rPr>
            </w:pPr>
            <w:r w:rsidRPr="00C9680B">
              <w:rPr>
                <w:sz w:val="16"/>
              </w:rPr>
              <w:t>-15,0</w:t>
            </w:r>
          </w:p>
        </w:tc>
        <w:tc>
          <w:tcPr>
            <w:tcW w:w="141" w:type="dxa"/>
          </w:tcPr>
          <w:p w:rsidR="001C7BF9" w:rsidRPr="00C9680B" w:rsidRDefault="001C7BF9">
            <w:pPr>
              <w:pStyle w:val="Tabell"/>
              <w:keepLines/>
              <w:jc w:val="left"/>
              <w:rPr>
                <w:sz w:val="16"/>
              </w:rPr>
            </w:pPr>
          </w:p>
        </w:tc>
        <w:tc>
          <w:tcPr>
            <w:tcW w:w="936" w:type="dxa"/>
          </w:tcPr>
          <w:p w:rsidR="001C7BF9" w:rsidRPr="00C9680B" w:rsidRDefault="001C7BF9">
            <w:pPr>
              <w:pStyle w:val="Tabell"/>
              <w:keepLines/>
              <w:ind w:right="170"/>
              <w:jc w:val="right"/>
              <w:rPr>
                <w:sz w:val="16"/>
              </w:rPr>
            </w:pPr>
            <w:r w:rsidRPr="00C9680B">
              <w:rPr>
                <w:sz w:val="16"/>
              </w:rPr>
              <w:t>-20,0</w:t>
            </w:r>
          </w:p>
        </w:tc>
        <w:tc>
          <w:tcPr>
            <w:tcW w:w="198" w:type="dxa"/>
          </w:tcPr>
          <w:p w:rsidR="001C7BF9" w:rsidRPr="00C9680B" w:rsidRDefault="001C7BF9">
            <w:pPr>
              <w:pStyle w:val="Tabell"/>
              <w:keepLines/>
              <w:ind w:right="170"/>
              <w:jc w:val="right"/>
              <w:rPr>
                <w:sz w:val="16"/>
              </w:rPr>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Lines/>
              <w:rPr>
                <w:sz w:val="16"/>
              </w:rPr>
            </w:pPr>
            <w:r w:rsidRPr="00C9680B">
              <w:rPr>
                <w:sz w:val="16"/>
              </w:rPr>
              <w:t>2003</w:t>
            </w:r>
          </w:p>
        </w:tc>
        <w:tc>
          <w:tcPr>
            <w:tcW w:w="57" w:type="dxa"/>
            <w:tcBorders>
              <w:bottom w:val="single" w:sz="6" w:space="0" w:color="auto"/>
            </w:tcBorders>
          </w:tcPr>
          <w:p w:rsidR="001C7BF9" w:rsidRPr="00C9680B" w:rsidRDefault="001C7BF9">
            <w:pPr>
              <w:pStyle w:val="Tabell"/>
              <w:keepLines/>
              <w:rPr>
                <w:b/>
                <w:sz w:val="16"/>
              </w:rPr>
            </w:pPr>
          </w:p>
        </w:tc>
        <w:tc>
          <w:tcPr>
            <w:tcW w:w="964" w:type="dxa"/>
            <w:gridSpan w:val="2"/>
            <w:tcBorders>
              <w:bottom w:val="single" w:sz="6" w:space="0" w:color="auto"/>
            </w:tcBorders>
          </w:tcPr>
          <w:p w:rsidR="001C7BF9" w:rsidRPr="00C9680B" w:rsidRDefault="001C7BF9">
            <w:pPr>
              <w:pStyle w:val="Tabell"/>
              <w:keepLines/>
              <w:ind w:right="199"/>
              <w:jc w:val="right"/>
              <w:rPr>
                <w:sz w:val="16"/>
              </w:rPr>
            </w:pPr>
            <w:r w:rsidRPr="00C9680B">
              <w:rPr>
                <w:sz w:val="16"/>
              </w:rPr>
              <w:t>844,0</w:t>
            </w:r>
          </w:p>
        </w:tc>
        <w:tc>
          <w:tcPr>
            <w:tcW w:w="142" w:type="dxa"/>
            <w:tcBorders>
              <w:bottom w:val="single" w:sz="6" w:space="0" w:color="auto"/>
            </w:tcBorders>
          </w:tcPr>
          <w:p w:rsidR="001C7BF9" w:rsidRPr="00C9680B" w:rsidRDefault="001C7BF9">
            <w:pPr>
              <w:pStyle w:val="Tabell"/>
              <w:keepLines/>
              <w:rPr>
                <w:sz w:val="16"/>
              </w:rPr>
            </w:pPr>
          </w:p>
        </w:tc>
        <w:tc>
          <w:tcPr>
            <w:tcW w:w="851" w:type="dxa"/>
            <w:tcBorders>
              <w:bottom w:val="single" w:sz="6" w:space="0" w:color="auto"/>
            </w:tcBorders>
          </w:tcPr>
          <w:p w:rsidR="001C7BF9" w:rsidRPr="00C9680B" w:rsidRDefault="001C7BF9">
            <w:pPr>
              <w:pStyle w:val="Tabell"/>
              <w:keepLines/>
              <w:ind w:right="170"/>
              <w:jc w:val="right"/>
              <w:rPr>
                <w:sz w:val="16"/>
              </w:rPr>
            </w:pPr>
            <w:r w:rsidRPr="00C9680B">
              <w:rPr>
                <w:sz w:val="16"/>
              </w:rPr>
              <w:t>-2,0</w:t>
            </w:r>
          </w:p>
        </w:tc>
        <w:tc>
          <w:tcPr>
            <w:tcW w:w="142" w:type="dxa"/>
            <w:gridSpan w:val="2"/>
            <w:tcBorders>
              <w:bottom w:val="single" w:sz="6" w:space="0" w:color="auto"/>
            </w:tcBorders>
          </w:tcPr>
          <w:p w:rsidR="001C7BF9" w:rsidRPr="00C9680B" w:rsidRDefault="001C7BF9">
            <w:pPr>
              <w:pStyle w:val="Tabell"/>
              <w:keepLines/>
              <w:ind w:right="170"/>
              <w:jc w:val="right"/>
              <w:rPr>
                <w:sz w:val="16"/>
              </w:rPr>
            </w:pPr>
          </w:p>
        </w:tc>
        <w:tc>
          <w:tcPr>
            <w:tcW w:w="851" w:type="dxa"/>
            <w:tcBorders>
              <w:bottom w:val="single" w:sz="6" w:space="0" w:color="auto"/>
            </w:tcBorders>
          </w:tcPr>
          <w:p w:rsidR="001C7BF9" w:rsidRPr="00C9680B" w:rsidRDefault="001C7BF9">
            <w:pPr>
              <w:pStyle w:val="Tabell"/>
              <w:keepLines/>
              <w:ind w:right="170"/>
              <w:jc w:val="right"/>
              <w:rPr>
                <w:sz w:val="16"/>
              </w:rPr>
            </w:pPr>
            <w:r w:rsidRPr="00C9680B">
              <w:rPr>
                <w:sz w:val="16"/>
              </w:rPr>
              <w:t>-21,0</w:t>
            </w:r>
          </w:p>
        </w:tc>
        <w:tc>
          <w:tcPr>
            <w:tcW w:w="142" w:type="dxa"/>
            <w:tcBorders>
              <w:bottom w:val="single" w:sz="6" w:space="0" w:color="auto"/>
            </w:tcBorders>
          </w:tcPr>
          <w:p w:rsidR="001C7BF9" w:rsidRPr="00C9680B" w:rsidRDefault="001C7BF9">
            <w:pPr>
              <w:pStyle w:val="Tabell"/>
              <w:keepLines/>
              <w:ind w:right="170"/>
              <w:jc w:val="right"/>
              <w:rPr>
                <w:sz w:val="16"/>
              </w:rPr>
            </w:pPr>
          </w:p>
        </w:tc>
        <w:tc>
          <w:tcPr>
            <w:tcW w:w="792" w:type="dxa"/>
            <w:gridSpan w:val="3"/>
            <w:tcBorders>
              <w:bottom w:val="single" w:sz="6" w:space="0" w:color="auto"/>
            </w:tcBorders>
          </w:tcPr>
          <w:p w:rsidR="001C7BF9" w:rsidRPr="00C9680B" w:rsidRDefault="001C7BF9">
            <w:pPr>
              <w:pStyle w:val="Tabell"/>
              <w:keepLines/>
              <w:ind w:right="170"/>
              <w:jc w:val="right"/>
              <w:rPr>
                <w:sz w:val="16"/>
              </w:rPr>
            </w:pPr>
            <w:r w:rsidRPr="00C9680B">
              <w:rPr>
                <w:sz w:val="16"/>
              </w:rPr>
              <w:t>-29,0</w:t>
            </w:r>
          </w:p>
        </w:tc>
        <w:tc>
          <w:tcPr>
            <w:tcW w:w="141" w:type="dxa"/>
            <w:tcBorders>
              <w:bottom w:val="single" w:sz="6" w:space="0" w:color="auto"/>
            </w:tcBorders>
          </w:tcPr>
          <w:p w:rsidR="001C7BF9" w:rsidRPr="00C9680B" w:rsidRDefault="001C7BF9">
            <w:pPr>
              <w:pStyle w:val="Tabell"/>
              <w:keepLines/>
              <w:jc w:val="left"/>
              <w:rPr>
                <w:sz w:val="16"/>
              </w:rPr>
            </w:pPr>
          </w:p>
        </w:tc>
        <w:tc>
          <w:tcPr>
            <w:tcW w:w="936" w:type="dxa"/>
            <w:tcBorders>
              <w:bottom w:val="single" w:sz="6" w:space="0" w:color="auto"/>
            </w:tcBorders>
          </w:tcPr>
          <w:p w:rsidR="001C7BF9" w:rsidRPr="00C9680B" w:rsidRDefault="001C7BF9">
            <w:pPr>
              <w:pStyle w:val="Tabell"/>
              <w:keepLines/>
              <w:ind w:right="170"/>
              <w:jc w:val="right"/>
              <w:rPr>
                <w:sz w:val="16"/>
              </w:rPr>
            </w:pPr>
            <w:r w:rsidRPr="00C9680B">
              <w:rPr>
                <w:sz w:val="16"/>
              </w:rPr>
              <w:t>-27,0</w:t>
            </w:r>
          </w:p>
        </w:tc>
        <w:tc>
          <w:tcPr>
            <w:tcW w:w="198" w:type="dxa"/>
            <w:tcBorders>
              <w:bottom w:val="single" w:sz="6" w:space="0" w:color="auto"/>
            </w:tcBorders>
          </w:tcPr>
          <w:p w:rsidR="001C7BF9" w:rsidRPr="00C9680B" w:rsidRDefault="001C7BF9">
            <w:pPr>
              <w:pStyle w:val="Tabell"/>
              <w:keepLines/>
              <w:ind w:right="170"/>
              <w:jc w:val="right"/>
              <w:rPr>
                <w:sz w:val="16"/>
              </w:rPr>
            </w:pPr>
          </w:p>
        </w:tc>
      </w:tr>
    </w:tbl>
    <w:p w:rsidR="001C7BF9" w:rsidRPr="00C9680B" w:rsidRDefault="001C7BF9">
      <w:pPr>
        <w:pStyle w:val="Tabelltext"/>
        <w:spacing w:line="40" w:lineRule="exact"/>
      </w:pPr>
    </w:p>
    <w:p w:rsidR="001C7BF9" w:rsidRPr="00C9680B" w:rsidRDefault="001C7BF9">
      <w:pPr>
        <w:pStyle w:val="Tabelltext"/>
        <w:spacing w:line="180" w:lineRule="exact"/>
      </w:pPr>
      <w:r w:rsidRPr="00C9680B">
        <w:t>Anm. Företrädare för Moderata samlingspartiet har under utskottets beredning av ärendet anmält att partiets förslag till ram för utgiftsområde 25 Allmänna bidrag till kommuner skall vara 15 miljarder kronor högre respektive år än vad som finns angivet i motion Fi208 (m). Ändringen slår igenom även på nivån på utgiftstaket för staten, men påverkar inte utgiftst</w:t>
      </w:r>
      <w:r w:rsidRPr="00C9680B">
        <w:t>a</w:t>
      </w:r>
      <w:r w:rsidRPr="00C9680B">
        <w:t>ket för den offentliga sektorn.</w:t>
      </w:r>
    </w:p>
    <w:p w:rsidR="001C7BF9" w:rsidRPr="00C9680B" w:rsidRDefault="001C7BF9">
      <w:pPr>
        <w:pStyle w:val="R4"/>
      </w:pPr>
      <w:r w:rsidRPr="00C9680B">
        <w:t>Finansutskottets ställningstagande</w:t>
      </w:r>
    </w:p>
    <w:p w:rsidR="001C7BF9" w:rsidRPr="00C9680B" w:rsidRDefault="001C7BF9">
      <w:r w:rsidRPr="00C9680B">
        <w:t>Finansutskottet har i föregående avsnitt (2.4.3) ställt sig bakom regeringens förslag till inriktning av budgetpolitiken och därmed också regeringens fö</w:t>
      </w:r>
      <w:r w:rsidRPr="00C9680B">
        <w:t>r</w:t>
      </w:r>
      <w:r w:rsidRPr="00C9680B">
        <w:t>slag till utgiftstak för staten. Finansutskottet tillstyrker således propositionens förslag punkt 2 samt avstyrker de förslag till utgiftstak för staten som fra</w:t>
      </w:r>
      <w:r w:rsidRPr="00C9680B">
        <w:t>m</w:t>
      </w:r>
      <w:r w:rsidRPr="00C9680B">
        <w:t>förs i motionerna Fi208 (m) yrkande 3, Fi209 (kd) yrkande 2, Fi210 (c) y</w:t>
      </w:r>
      <w:r w:rsidRPr="00C9680B">
        <w:t>r</w:t>
      </w:r>
      <w:r w:rsidRPr="00C9680B">
        <w:t>kande 2 samt Fi211 (fp) yrkande 2.</w:t>
      </w:r>
    </w:p>
    <w:p w:rsidR="001C7BF9" w:rsidRPr="00C9680B" w:rsidRDefault="001C7BF9">
      <w:pPr>
        <w:pStyle w:val="Normaltindrag"/>
      </w:pPr>
      <w:r w:rsidRPr="00C9680B">
        <w:t>Utskottet vill också uppmärksamma att Kristdemokraterna, Centerpartiet och Folkpartiet liberalerna föreslår i sina respektive budgetalternativ att e</w:t>
      </w:r>
      <w:r w:rsidRPr="00C9680B">
        <w:t>f</w:t>
      </w:r>
      <w:r w:rsidRPr="00C9680B">
        <w:t>fekten på kommunsektorn av deras respektive inkomstskatteförslag skall neutraliseras genom en avräkning mot en inkomsttitel. Ett sådant förfarande innebär att dessa partiers förslag till utgiftstak inte är helt jämförbara med de övriga förslagen till utgiftstak. I tabellen nedan presenteras de tre partiernas förslag till utgiftstaket med korrigering för nettoredovisning av skatteförsl</w:t>
      </w:r>
      <w:r w:rsidRPr="00C9680B">
        <w:t>a</w:t>
      </w:r>
      <w:r w:rsidRPr="00C9680B">
        <w:t>gens effekt på kommunse</w:t>
      </w:r>
      <w:r w:rsidRPr="00C9680B">
        <w:t>k</w:t>
      </w:r>
      <w:r w:rsidRPr="00C9680B">
        <w:t>torn.</w:t>
      </w:r>
    </w:p>
    <w:p w:rsidR="001C7BF9" w:rsidRPr="00C9680B" w:rsidRDefault="001C7BF9">
      <w:pPr>
        <w:pStyle w:val="TabellrubrikPer"/>
        <w:keepNext/>
        <w:rPr>
          <w:b/>
          <w:caps w:val="0"/>
          <w:spacing w:val="0"/>
          <w:sz w:val="16"/>
        </w:rPr>
      </w:pPr>
      <w:r w:rsidRPr="00C9680B">
        <w:rPr>
          <w:b/>
          <w:caps w:val="0"/>
          <w:spacing w:val="0"/>
          <w:sz w:val="16"/>
        </w:rPr>
        <w:t>Tabell 25. Förslag till nya utgiftstak för staten 2001–2003, justerade för nettoredovi</w:t>
      </w:r>
      <w:r w:rsidRPr="00C9680B">
        <w:rPr>
          <w:b/>
          <w:caps w:val="0"/>
          <w:spacing w:val="0"/>
          <w:sz w:val="16"/>
        </w:rPr>
        <w:t>s</w:t>
      </w:r>
      <w:r w:rsidRPr="00C9680B">
        <w:rPr>
          <w:b/>
          <w:caps w:val="0"/>
          <w:spacing w:val="0"/>
          <w:sz w:val="16"/>
        </w:rPr>
        <w:t>ning av skatteförslagens effekt på kommu</w:t>
      </w:r>
      <w:r w:rsidRPr="00C9680B">
        <w:rPr>
          <w:b/>
          <w:caps w:val="0"/>
          <w:spacing w:val="0"/>
          <w:sz w:val="16"/>
        </w:rPr>
        <w:t>n</w:t>
      </w:r>
      <w:r w:rsidRPr="00C9680B">
        <w:rPr>
          <w:b/>
          <w:caps w:val="0"/>
          <w:spacing w:val="0"/>
          <w:sz w:val="16"/>
        </w:rPr>
        <w:t>sektorn</w:t>
      </w:r>
    </w:p>
    <w:p w:rsidR="001C7BF9" w:rsidRPr="00C9680B" w:rsidRDefault="001C7BF9">
      <w:pPr>
        <w:pStyle w:val="TabellrubrikPer"/>
        <w:keepNext/>
        <w:keepLines/>
        <w:spacing w:before="0" w:after="40"/>
        <w:outlineLvl w:val="0"/>
        <w:rPr>
          <w:caps w:val="0"/>
        </w:rPr>
      </w:pPr>
      <w:r w:rsidRPr="00C9680B">
        <w:rPr>
          <w:caps w:val="0"/>
        </w:rPr>
        <w:t>Belopp i miljarder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Next/>
              <w:keepLines/>
              <w:rPr>
                <w:sz w:val="16"/>
              </w:rPr>
            </w:pPr>
          </w:p>
        </w:tc>
        <w:tc>
          <w:tcPr>
            <w:tcW w:w="1253" w:type="dxa"/>
            <w:gridSpan w:val="4"/>
            <w:tcBorders>
              <w:top w:val="single" w:sz="6" w:space="0" w:color="000000"/>
            </w:tcBorders>
          </w:tcPr>
          <w:p w:rsidR="001C7BF9" w:rsidRPr="00C9680B" w:rsidRDefault="001C7BF9">
            <w:pPr>
              <w:pStyle w:val="Tabell"/>
              <w:keepNext/>
              <w:keepLines/>
              <w:rPr>
                <w:sz w:val="16"/>
              </w:rPr>
            </w:pPr>
          </w:p>
        </w:tc>
        <w:tc>
          <w:tcPr>
            <w:tcW w:w="1253" w:type="dxa"/>
            <w:gridSpan w:val="4"/>
            <w:tcBorders>
              <w:top w:val="single" w:sz="6" w:space="0" w:color="000000"/>
            </w:tcBorders>
          </w:tcPr>
          <w:p w:rsidR="001C7BF9" w:rsidRPr="00C9680B" w:rsidRDefault="001C7BF9">
            <w:pPr>
              <w:pStyle w:val="Tabell"/>
              <w:keepNext/>
              <w:keepLines/>
              <w:jc w:val="center"/>
              <w:rPr>
                <w:sz w:val="16"/>
              </w:rPr>
            </w:pPr>
          </w:p>
        </w:tc>
        <w:tc>
          <w:tcPr>
            <w:tcW w:w="142" w:type="dxa"/>
            <w:tcBorders>
              <w:top w:val="single" w:sz="6" w:space="0" w:color="000000"/>
            </w:tcBorders>
          </w:tcPr>
          <w:p w:rsidR="001C7BF9" w:rsidRPr="00C9680B" w:rsidRDefault="001C7BF9">
            <w:pPr>
              <w:pStyle w:val="Tabell"/>
              <w:keepNext/>
              <w:keepLines/>
              <w:rPr>
                <w:sz w:val="16"/>
              </w:rPr>
            </w:pPr>
          </w:p>
        </w:tc>
        <w:tc>
          <w:tcPr>
            <w:tcW w:w="1769" w:type="dxa"/>
            <w:gridSpan w:val="4"/>
            <w:tcBorders>
              <w:top w:val="single" w:sz="6" w:space="0" w:color="000000"/>
            </w:tcBorders>
          </w:tcPr>
          <w:p w:rsidR="001C7BF9" w:rsidRPr="00C9680B" w:rsidRDefault="001C7BF9">
            <w:pPr>
              <w:pStyle w:val="Tabell"/>
              <w:keepNext/>
              <w:keepLines/>
              <w:rPr>
                <w:sz w:val="16"/>
              </w:rPr>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Next/>
              <w:keepLines/>
              <w:jc w:val="left"/>
            </w:pPr>
            <w:r w:rsidRPr="00C9680B">
              <w:t>År</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jc w:val="center"/>
            </w:pPr>
          </w:p>
        </w:tc>
        <w:tc>
          <w:tcPr>
            <w:tcW w:w="142" w:type="dxa"/>
          </w:tcPr>
          <w:p w:rsidR="001C7BF9" w:rsidRPr="00C9680B" w:rsidRDefault="001C7BF9">
            <w:pPr>
              <w:pStyle w:val="Tabell"/>
              <w:keepNext/>
              <w:keepLines/>
            </w:pPr>
          </w:p>
        </w:tc>
        <w:tc>
          <w:tcPr>
            <w:tcW w:w="4053" w:type="dxa"/>
            <w:gridSpan w:val="11"/>
            <w:tcBorders>
              <w:bottom w:val="single" w:sz="4" w:space="0" w:color="auto"/>
            </w:tcBorders>
          </w:tcPr>
          <w:p w:rsidR="001C7BF9" w:rsidRPr="00C9680B" w:rsidRDefault="001C7BF9">
            <w:pPr>
              <w:pStyle w:val="Tabell"/>
              <w:keepNext/>
              <w:keepLines/>
            </w:pPr>
            <w:r w:rsidRPr="00C9680B">
              <w:t>Oppositionspartiernas förslag till alternativa nivåer</w:t>
            </w:r>
          </w:p>
        </w:tc>
      </w:tr>
      <w:tr w:rsidR="00000000" w:rsidRPr="00C9680B">
        <w:tblPrEx>
          <w:tblCellMar>
            <w:top w:w="0" w:type="dxa"/>
            <w:left w:w="0" w:type="dxa"/>
            <w:bottom w:w="0" w:type="dxa"/>
            <w:right w:w="0" w:type="dxa"/>
          </w:tblCellMar>
        </w:tblPrEx>
        <w:tc>
          <w:tcPr>
            <w:tcW w:w="454" w:type="dxa"/>
            <w:tcBorders>
              <w:bottom w:val="single" w:sz="6" w:space="0" w:color="auto"/>
            </w:tcBorders>
          </w:tcPr>
          <w:p w:rsidR="001C7BF9" w:rsidRPr="00C9680B" w:rsidRDefault="001C7BF9">
            <w:pPr>
              <w:pStyle w:val="Tabell"/>
              <w:keepNext/>
              <w:keepLines/>
            </w:pPr>
          </w:p>
        </w:tc>
        <w:tc>
          <w:tcPr>
            <w:tcW w:w="57" w:type="dxa"/>
            <w:tcBorders>
              <w:bottom w:val="single" w:sz="6" w:space="0" w:color="auto"/>
            </w:tcBorders>
          </w:tcPr>
          <w:p w:rsidR="001C7BF9" w:rsidRPr="00C9680B" w:rsidRDefault="001C7BF9">
            <w:pPr>
              <w:pStyle w:val="Tabell"/>
              <w:keepNext/>
              <w:keepLines/>
            </w:pPr>
          </w:p>
        </w:tc>
        <w:tc>
          <w:tcPr>
            <w:tcW w:w="964" w:type="dxa"/>
            <w:gridSpan w:val="2"/>
            <w:tcBorders>
              <w:bottom w:val="single" w:sz="6" w:space="0" w:color="auto"/>
            </w:tcBorders>
          </w:tcPr>
          <w:p w:rsidR="001C7BF9" w:rsidRPr="00C9680B" w:rsidRDefault="001C7BF9">
            <w:pPr>
              <w:pStyle w:val="Tabell"/>
              <w:keepNext/>
              <w:keepLines/>
              <w:jc w:val="center"/>
            </w:pPr>
            <w:r w:rsidRPr="00C9680B">
              <w:t>Nivå e</w:t>
            </w:r>
            <w:r w:rsidRPr="00C9680B">
              <w:t>n</w:t>
            </w:r>
            <w:r w:rsidRPr="00C9680B">
              <w:t>ligt</w:t>
            </w:r>
          </w:p>
          <w:p w:rsidR="001C7BF9" w:rsidRPr="00C9680B" w:rsidRDefault="001C7BF9">
            <w:pPr>
              <w:pStyle w:val="Tabell"/>
              <w:keepNext/>
              <w:keepLines/>
              <w:jc w:val="center"/>
            </w:pPr>
            <w:r w:rsidRPr="00C9680B">
              <w:t>regeringen</w:t>
            </w:r>
          </w:p>
        </w:tc>
        <w:tc>
          <w:tcPr>
            <w:tcW w:w="142" w:type="dxa"/>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60" w:lineRule="exact"/>
              <w:jc w:val="left"/>
            </w:pPr>
          </w:p>
          <w:p w:rsidR="001C7BF9" w:rsidRPr="00C9680B" w:rsidRDefault="001C7BF9">
            <w:pPr>
              <w:pStyle w:val="Tabell"/>
              <w:keepNext/>
              <w:keepLines/>
              <w:ind w:left="113"/>
              <w:jc w:val="left"/>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60" w:lineRule="exact"/>
            </w:pPr>
          </w:p>
          <w:p w:rsidR="001C7BF9" w:rsidRPr="00C9680B" w:rsidRDefault="001C7BF9">
            <w:pPr>
              <w:pStyle w:val="Tabell"/>
              <w:keepNext/>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Next/>
              <w:keepLines/>
            </w:pPr>
          </w:p>
        </w:tc>
        <w:tc>
          <w:tcPr>
            <w:tcW w:w="792" w:type="dxa"/>
            <w:gridSpan w:val="3"/>
            <w:tcBorders>
              <w:bottom w:val="single" w:sz="6" w:space="0" w:color="auto"/>
            </w:tcBorders>
          </w:tcPr>
          <w:p w:rsidR="001C7BF9" w:rsidRPr="00C9680B" w:rsidRDefault="001C7BF9">
            <w:pPr>
              <w:pStyle w:val="Tabell"/>
              <w:keepNext/>
              <w:keepLines/>
              <w:spacing w:line="60" w:lineRule="exact"/>
            </w:pPr>
          </w:p>
          <w:p w:rsidR="001C7BF9" w:rsidRPr="00C9680B" w:rsidRDefault="001C7BF9">
            <w:pPr>
              <w:pStyle w:val="Tabell"/>
              <w:keepNext/>
              <w:keepLines/>
            </w:pPr>
            <w:r w:rsidRPr="00C9680B">
              <w:t xml:space="preserve">   Ce</w:t>
            </w:r>
            <w:r w:rsidRPr="00C9680B">
              <w:t>n</w:t>
            </w:r>
            <w:r w:rsidRPr="00C9680B">
              <w:t>ter-</w:t>
            </w:r>
          </w:p>
          <w:p w:rsidR="001C7BF9" w:rsidRPr="00C9680B" w:rsidRDefault="001C7BF9">
            <w:pPr>
              <w:pStyle w:val="Tabell"/>
              <w:keepNext/>
              <w:keepLines/>
            </w:pPr>
            <w:r w:rsidRPr="00C9680B">
              <w:t xml:space="preserve">   partiet</w:t>
            </w:r>
          </w:p>
        </w:tc>
        <w:tc>
          <w:tcPr>
            <w:tcW w:w="141" w:type="dxa"/>
            <w:tcBorders>
              <w:bottom w:val="single" w:sz="6" w:space="0" w:color="auto"/>
            </w:tcBorders>
          </w:tcPr>
          <w:p w:rsidR="001C7BF9" w:rsidRPr="00C9680B" w:rsidRDefault="001C7BF9">
            <w:pPr>
              <w:pStyle w:val="Tabell"/>
              <w:keepNext/>
              <w:keepLines/>
            </w:pPr>
          </w:p>
        </w:tc>
        <w:tc>
          <w:tcPr>
            <w:tcW w:w="1134" w:type="dxa"/>
            <w:gridSpan w:val="2"/>
            <w:tcBorders>
              <w:bottom w:val="single" w:sz="6" w:space="0" w:color="auto"/>
            </w:tcBorders>
          </w:tcPr>
          <w:p w:rsidR="001C7BF9" w:rsidRPr="00C9680B" w:rsidRDefault="001C7BF9">
            <w:pPr>
              <w:pStyle w:val="Tabell"/>
              <w:keepNext/>
              <w:keepLines/>
              <w:spacing w:line="60" w:lineRule="exact"/>
            </w:pPr>
          </w:p>
          <w:p w:rsidR="001C7BF9" w:rsidRPr="00C9680B" w:rsidRDefault="001C7BF9">
            <w:pPr>
              <w:pStyle w:val="Tabell"/>
              <w:keepNext/>
              <w:keepLines/>
              <w:ind w:left="113"/>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Next/>
              <w:keepLines/>
            </w:pP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jc w:val="center"/>
            </w:pP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gridSpan w:val="2"/>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tcPr>
          <w:p w:rsidR="001C7BF9" w:rsidRPr="00C9680B" w:rsidRDefault="001C7BF9">
            <w:pPr>
              <w:pStyle w:val="Tabell"/>
              <w:keepNext/>
              <w:keepLines/>
            </w:pPr>
          </w:p>
        </w:tc>
        <w:tc>
          <w:tcPr>
            <w:tcW w:w="792" w:type="dxa"/>
            <w:gridSpan w:val="3"/>
          </w:tcPr>
          <w:p w:rsidR="001C7BF9" w:rsidRPr="00C9680B" w:rsidRDefault="001C7BF9">
            <w:pPr>
              <w:pStyle w:val="Tabell"/>
              <w:keepNext/>
              <w:keepLines/>
              <w:ind w:right="38"/>
              <w:jc w:val="right"/>
            </w:pPr>
          </w:p>
        </w:tc>
        <w:tc>
          <w:tcPr>
            <w:tcW w:w="141" w:type="dxa"/>
          </w:tcPr>
          <w:p w:rsidR="001C7BF9" w:rsidRPr="00C9680B" w:rsidRDefault="001C7BF9">
            <w:pPr>
              <w:pStyle w:val="Tabell"/>
              <w:keepNext/>
              <w:keepLines/>
            </w:pPr>
          </w:p>
        </w:tc>
        <w:tc>
          <w:tcPr>
            <w:tcW w:w="1134" w:type="dxa"/>
            <w:gridSpan w:val="2"/>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Next/>
              <w:keepLines/>
            </w:pPr>
            <w:r w:rsidRPr="00C9680B">
              <w:t>2001</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ind w:right="199"/>
              <w:jc w:val="right"/>
            </w:pPr>
            <w:r w:rsidRPr="00C9680B">
              <w:t>789,0</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t>+16,0</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ind w:right="170"/>
              <w:jc w:val="right"/>
            </w:pPr>
            <w:r w:rsidRPr="00C9680B">
              <w:t>+29,0</w:t>
            </w:r>
          </w:p>
        </w:tc>
        <w:tc>
          <w:tcPr>
            <w:tcW w:w="142" w:type="dxa"/>
          </w:tcPr>
          <w:p w:rsidR="001C7BF9" w:rsidRPr="00C9680B" w:rsidRDefault="001C7BF9">
            <w:pPr>
              <w:pStyle w:val="Tabell"/>
              <w:keepNext/>
              <w:keepLines/>
              <w:ind w:right="170"/>
              <w:jc w:val="right"/>
            </w:pPr>
          </w:p>
        </w:tc>
        <w:tc>
          <w:tcPr>
            <w:tcW w:w="792" w:type="dxa"/>
            <w:gridSpan w:val="3"/>
          </w:tcPr>
          <w:p w:rsidR="001C7BF9" w:rsidRPr="00C9680B" w:rsidRDefault="001C7BF9">
            <w:pPr>
              <w:pStyle w:val="Tabell"/>
              <w:keepNext/>
              <w:keepLines/>
              <w:ind w:right="170"/>
              <w:jc w:val="right"/>
            </w:pPr>
            <w:r w:rsidRPr="00C9680B">
              <w:t>+8,0</w:t>
            </w:r>
          </w:p>
        </w:tc>
        <w:tc>
          <w:tcPr>
            <w:tcW w:w="141" w:type="dxa"/>
          </w:tcPr>
          <w:p w:rsidR="001C7BF9" w:rsidRPr="00C9680B" w:rsidRDefault="001C7BF9">
            <w:pPr>
              <w:pStyle w:val="Tabell"/>
              <w:keepNext/>
              <w:keepLines/>
              <w:jc w:val="left"/>
            </w:pPr>
          </w:p>
        </w:tc>
        <w:tc>
          <w:tcPr>
            <w:tcW w:w="936" w:type="dxa"/>
          </w:tcPr>
          <w:p w:rsidR="001C7BF9" w:rsidRPr="00C9680B" w:rsidRDefault="001C7BF9">
            <w:pPr>
              <w:pStyle w:val="Tabell"/>
              <w:keepNext/>
              <w:keepLines/>
              <w:ind w:right="170"/>
              <w:jc w:val="right"/>
            </w:pPr>
            <w:r w:rsidRPr="00C9680B">
              <w:t>-1,0</w:t>
            </w:r>
          </w:p>
        </w:tc>
        <w:tc>
          <w:tcPr>
            <w:tcW w:w="198" w:type="dxa"/>
          </w:tcPr>
          <w:p w:rsidR="001C7BF9" w:rsidRPr="00C9680B" w:rsidRDefault="001C7BF9">
            <w:pPr>
              <w:pStyle w:val="Tabell"/>
              <w:keepNext/>
              <w:keepLines/>
              <w:ind w:right="170"/>
              <w:jc w:val="right"/>
              <w:rPr>
                <w:sz w:val="16"/>
              </w:rPr>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Next/>
              <w:keepLines/>
            </w:pPr>
            <w:r w:rsidRPr="00C9680B">
              <w:t>2002</w:t>
            </w: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ind w:right="199"/>
              <w:jc w:val="right"/>
            </w:pPr>
            <w:r w:rsidRPr="00C9680B">
              <w:t>814,0</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t>+6,0</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ind w:right="170"/>
              <w:jc w:val="right"/>
            </w:pPr>
            <w:r w:rsidRPr="00C9680B">
              <w:t>+33,0</w:t>
            </w:r>
          </w:p>
        </w:tc>
        <w:tc>
          <w:tcPr>
            <w:tcW w:w="142" w:type="dxa"/>
          </w:tcPr>
          <w:p w:rsidR="001C7BF9" w:rsidRPr="00C9680B" w:rsidRDefault="001C7BF9">
            <w:pPr>
              <w:pStyle w:val="Tabell"/>
              <w:keepNext/>
              <w:keepLines/>
              <w:ind w:right="170"/>
              <w:jc w:val="right"/>
            </w:pPr>
          </w:p>
        </w:tc>
        <w:tc>
          <w:tcPr>
            <w:tcW w:w="792" w:type="dxa"/>
            <w:gridSpan w:val="3"/>
          </w:tcPr>
          <w:p w:rsidR="001C7BF9" w:rsidRPr="00C9680B" w:rsidRDefault="001C7BF9">
            <w:pPr>
              <w:pStyle w:val="Tabell"/>
              <w:keepNext/>
              <w:keepLines/>
              <w:ind w:right="170"/>
              <w:jc w:val="right"/>
            </w:pPr>
            <w:r w:rsidRPr="00C9680B">
              <w:t>+12,0</w:t>
            </w:r>
          </w:p>
        </w:tc>
        <w:tc>
          <w:tcPr>
            <w:tcW w:w="141" w:type="dxa"/>
          </w:tcPr>
          <w:p w:rsidR="001C7BF9" w:rsidRPr="00C9680B" w:rsidRDefault="001C7BF9">
            <w:pPr>
              <w:pStyle w:val="Tabell"/>
              <w:keepNext/>
              <w:keepLines/>
              <w:jc w:val="left"/>
            </w:pPr>
          </w:p>
        </w:tc>
        <w:tc>
          <w:tcPr>
            <w:tcW w:w="936" w:type="dxa"/>
          </w:tcPr>
          <w:p w:rsidR="001C7BF9" w:rsidRPr="00C9680B" w:rsidRDefault="001C7BF9">
            <w:pPr>
              <w:pStyle w:val="Tabell"/>
              <w:keepNext/>
              <w:keepLines/>
              <w:ind w:right="170"/>
              <w:jc w:val="right"/>
            </w:pPr>
            <w:r w:rsidRPr="00C9680B">
              <w:t>-3,0</w:t>
            </w:r>
          </w:p>
        </w:tc>
        <w:tc>
          <w:tcPr>
            <w:tcW w:w="198" w:type="dxa"/>
          </w:tcPr>
          <w:p w:rsidR="001C7BF9" w:rsidRPr="00C9680B" w:rsidRDefault="001C7BF9">
            <w:pPr>
              <w:pStyle w:val="Tabell"/>
              <w:keepNext/>
              <w:keepLines/>
              <w:ind w:right="170"/>
              <w:jc w:val="right"/>
              <w:rPr>
                <w:sz w:val="16"/>
              </w:rPr>
            </w:pPr>
          </w:p>
        </w:tc>
      </w:tr>
      <w:tr w:rsidR="00000000" w:rsidRPr="00C9680B">
        <w:tblPrEx>
          <w:tblCellMar>
            <w:top w:w="0" w:type="dxa"/>
            <w:left w:w="0" w:type="dxa"/>
            <w:bottom w:w="0" w:type="dxa"/>
            <w:right w:w="0" w:type="dxa"/>
          </w:tblCellMar>
        </w:tblPrEx>
        <w:trPr>
          <w:cantSplit/>
          <w:trHeight w:hRule="exact" w:val="260"/>
        </w:trPr>
        <w:tc>
          <w:tcPr>
            <w:tcW w:w="454" w:type="dxa"/>
            <w:tcBorders>
              <w:bottom w:val="single" w:sz="6" w:space="0" w:color="auto"/>
            </w:tcBorders>
          </w:tcPr>
          <w:p w:rsidR="001C7BF9" w:rsidRPr="00C9680B" w:rsidRDefault="001C7BF9">
            <w:pPr>
              <w:pStyle w:val="Tabell"/>
              <w:keepNext/>
              <w:keepLines/>
            </w:pPr>
            <w:r w:rsidRPr="00C9680B">
              <w:t>2003</w:t>
            </w:r>
          </w:p>
        </w:tc>
        <w:tc>
          <w:tcPr>
            <w:tcW w:w="57" w:type="dxa"/>
            <w:tcBorders>
              <w:bottom w:val="single" w:sz="6" w:space="0" w:color="auto"/>
            </w:tcBorders>
          </w:tcPr>
          <w:p w:rsidR="001C7BF9" w:rsidRPr="00C9680B" w:rsidRDefault="001C7BF9">
            <w:pPr>
              <w:pStyle w:val="Tabell"/>
              <w:keepNext/>
              <w:keepLines/>
              <w:rPr>
                <w:b/>
              </w:rPr>
            </w:pPr>
          </w:p>
        </w:tc>
        <w:tc>
          <w:tcPr>
            <w:tcW w:w="964" w:type="dxa"/>
            <w:gridSpan w:val="2"/>
            <w:tcBorders>
              <w:bottom w:val="single" w:sz="6" w:space="0" w:color="auto"/>
            </w:tcBorders>
          </w:tcPr>
          <w:p w:rsidR="001C7BF9" w:rsidRPr="00C9680B" w:rsidRDefault="001C7BF9">
            <w:pPr>
              <w:pStyle w:val="Tabell"/>
              <w:keepNext/>
              <w:keepLines/>
              <w:ind w:right="199"/>
              <w:jc w:val="right"/>
            </w:pPr>
            <w:r w:rsidRPr="00C9680B">
              <w:t>844,0</w:t>
            </w:r>
          </w:p>
        </w:tc>
        <w:tc>
          <w:tcPr>
            <w:tcW w:w="142" w:type="dxa"/>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ind w:right="170"/>
              <w:jc w:val="right"/>
            </w:pPr>
            <w:r w:rsidRPr="00C9680B">
              <w:t>-2,0</w:t>
            </w:r>
          </w:p>
        </w:tc>
        <w:tc>
          <w:tcPr>
            <w:tcW w:w="142" w:type="dxa"/>
            <w:gridSpan w:val="2"/>
            <w:tcBorders>
              <w:bottom w:val="single" w:sz="6" w:space="0" w:color="auto"/>
            </w:tcBorders>
          </w:tcPr>
          <w:p w:rsidR="001C7BF9" w:rsidRPr="00C9680B" w:rsidRDefault="001C7BF9">
            <w:pPr>
              <w:pStyle w:val="Tabell"/>
              <w:keepNext/>
              <w:keepLines/>
              <w:ind w:right="170"/>
              <w:jc w:val="right"/>
            </w:pPr>
          </w:p>
        </w:tc>
        <w:tc>
          <w:tcPr>
            <w:tcW w:w="851" w:type="dxa"/>
            <w:tcBorders>
              <w:bottom w:val="single" w:sz="6" w:space="0" w:color="auto"/>
            </w:tcBorders>
          </w:tcPr>
          <w:p w:rsidR="001C7BF9" w:rsidRPr="00C9680B" w:rsidRDefault="001C7BF9">
            <w:pPr>
              <w:pStyle w:val="Tabell"/>
              <w:keepNext/>
              <w:keepLines/>
              <w:ind w:right="170"/>
              <w:jc w:val="right"/>
            </w:pPr>
            <w:r w:rsidRPr="00C9680B">
              <w:t>+35,0</w:t>
            </w:r>
          </w:p>
        </w:tc>
        <w:tc>
          <w:tcPr>
            <w:tcW w:w="142" w:type="dxa"/>
            <w:tcBorders>
              <w:bottom w:val="single" w:sz="6" w:space="0" w:color="auto"/>
            </w:tcBorders>
          </w:tcPr>
          <w:p w:rsidR="001C7BF9" w:rsidRPr="00C9680B" w:rsidRDefault="001C7BF9">
            <w:pPr>
              <w:pStyle w:val="Tabell"/>
              <w:keepNext/>
              <w:keepLines/>
              <w:ind w:right="170"/>
              <w:jc w:val="right"/>
            </w:pPr>
          </w:p>
        </w:tc>
        <w:tc>
          <w:tcPr>
            <w:tcW w:w="792" w:type="dxa"/>
            <w:gridSpan w:val="3"/>
            <w:tcBorders>
              <w:bottom w:val="single" w:sz="6" w:space="0" w:color="auto"/>
            </w:tcBorders>
          </w:tcPr>
          <w:p w:rsidR="001C7BF9" w:rsidRPr="00C9680B" w:rsidRDefault="001C7BF9">
            <w:pPr>
              <w:pStyle w:val="Tabell"/>
              <w:keepNext/>
              <w:keepLines/>
              <w:ind w:right="170"/>
              <w:jc w:val="right"/>
            </w:pPr>
            <w:r w:rsidRPr="00C9680B">
              <w:t>-47,0</w:t>
            </w:r>
          </w:p>
        </w:tc>
        <w:tc>
          <w:tcPr>
            <w:tcW w:w="141" w:type="dxa"/>
            <w:tcBorders>
              <w:bottom w:val="single" w:sz="6" w:space="0" w:color="auto"/>
            </w:tcBorders>
          </w:tcPr>
          <w:p w:rsidR="001C7BF9" w:rsidRPr="00C9680B" w:rsidRDefault="001C7BF9">
            <w:pPr>
              <w:pStyle w:val="Tabell"/>
              <w:keepNext/>
              <w:keepLines/>
              <w:jc w:val="left"/>
            </w:pPr>
          </w:p>
        </w:tc>
        <w:tc>
          <w:tcPr>
            <w:tcW w:w="936" w:type="dxa"/>
            <w:tcBorders>
              <w:bottom w:val="single" w:sz="6" w:space="0" w:color="auto"/>
            </w:tcBorders>
          </w:tcPr>
          <w:p w:rsidR="001C7BF9" w:rsidRPr="00C9680B" w:rsidRDefault="001C7BF9">
            <w:pPr>
              <w:pStyle w:val="Tabell"/>
              <w:keepNext/>
              <w:keepLines/>
              <w:ind w:right="170"/>
              <w:jc w:val="right"/>
            </w:pPr>
            <w:r w:rsidRPr="00C9680B">
              <w:t>-6,0</w:t>
            </w:r>
          </w:p>
        </w:tc>
        <w:tc>
          <w:tcPr>
            <w:tcW w:w="198" w:type="dxa"/>
            <w:tcBorders>
              <w:bottom w:val="single" w:sz="6" w:space="0" w:color="auto"/>
            </w:tcBorders>
          </w:tcPr>
          <w:p w:rsidR="001C7BF9" w:rsidRPr="00C9680B" w:rsidRDefault="001C7BF9">
            <w:pPr>
              <w:pStyle w:val="Tabell"/>
              <w:keepNext/>
              <w:keepLines/>
              <w:ind w:right="170"/>
              <w:jc w:val="right"/>
              <w:rPr>
                <w:sz w:val="16"/>
              </w:rPr>
            </w:pPr>
          </w:p>
        </w:tc>
      </w:tr>
    </w:tbl>
    <w:p w:rsidR="001C7BF9" w:rsidRPr="00C9680B" w:rsidRDefault="001C7BF9">
      <w:pPr>
        <w:pStyle w:val="Deltagare"/>
        <w:keepLines w:val="0"/>
        <w:spacing w:before="62" w:line="250" w:lineRule="atLeast"/>
        <w:rPr>
          <w:noProof w:val="0"/>
        </w:rPr>
      </w:pPr>
    </w:p>
    <w:p w:rsidR="001C7BF9" w:rsidRPr="00C9680B" w:rsidRDefault="001C7BF9">
      <w:r w:rsidRPr="00C9680B">
        <w:t>År 2003 skall enligt Centerpartiets förslag det kommunala grundavdraget helt avskaffas och ersättas av en statlig skattereduktion på 10 000 kr per person. Kommunernas skatteinkomster ökar därvid kraftigt och i enlighet med fina</w:t>
      </w:r>
      <w:r w:rsidRPr="00C9680B">
        <w:t>n</w:t>
      </w:r>
      <w:r w:rsidRPr="00C9680B">
        <w:t xml:space="preserve">sieringsprincipen skall ett lika stort belopp dras in från kommunsektorn till staten. Det är framför allt effekterna av detta förslag som i Centerpartiets alternativ ger en kraftig sänkning av nivån på det korrigerade utgiftstaket mellan 2002 och 2003. </w:t>
      </w:r>
    </w:p>
    <w:p w:rsidR="001C7BF9" w:rsidRPr="00C9680B" w:rsidRDefault="001C7BF9">
      <w:pPr>
        <w:pStyle w:val="R3"/>
        <w:outlineLvl w:val="0"/>
      </w:pPr>
      <w:r w:rsidRPr="00C9680B">
        <w:t>2.5.2 Utgiftstak för den offentliga sektorn</w:t>
      </w:r>
    </w:p>
    <w:p w:rsidR="001C7BF9" w:rsidRPr="00C9680B" w:rsidRDefault="001C7BF9">
      <w:r w:rsidRPr="00C9680B">
        <w:t>Utgiftstaket för den offentliga sektorn erhålls genom att en beräkning av de samlade kommunala utgifterna läggs till utgiftstaket för staten. I beräkningen görs avdrag för interna transaktioner mellan staten och kommunsektorn. Nivån på detta utgiftstak är således en funktion av det utgiftstak som gäller för st</w:t>
      </w:r>
      <w:r w:rsidRPr="00C9680B">
        <w:t>a</w:t>
      </w:r>
      <w:r w:rsidRPr="00C9680B">
        <w:t>ten.</w:t>
      </w:r>
    </w:p>
    <w:p w:rsidR="001C7BF9" w:rsidRPr="00C9680B" w:rsidRDefault="001C7BF9">
      <w:pPr>
        <w:pStyle w:val="R4"/>
      </w:pPr>
      <w:r w:rsidRPr="00C9680B">
        <w:t>Budgetpropositionen</w:t>
      </w:r>
    </w:p>
    <w:p w:rsidR="001C7BF9" w:rsidRPr="00C9680B" w:rsidRDefault="001C7BF9">
      <w:r w:rsidRPr="00C9680B">
        <w:t>I budgetpropositionen (avsnitt 4.1.2) föreslår regeringen att riksdagen skall godkänna beräkningen av de offentliga utgifterna för åren 2001</w:t>
      </w:r>
      <w:r w:rsidRPr="00C9680B">
        <w:sym w:font="Symbol" w:char="F02D"/>
      </w:r>
      <w:r w:rsidRPr="00C9680B">
        <w:t>2003 (punkt 3). Beräkningen framgår av efterföljande tabell.</w:t>
      </w:r>
    </w:p>
    <w:p w:rsidR="001C7BF9" w:rsidRPr="00C9680B" w:rsidRDefault="001C7BF9">
      <w:pPr>
        <w:pStyle w:val="TabellrubrikPer"/>
        <w:keepNext/>
        <w:rPr>
          <w:b/>
          <w:caps w:val="0"/>
          <w:spacing w:val="0"/>
          <w:sz w:val="16"/>
        </w:rPr>
      </w:pPr>
      <w:r w:rsidRPr="00C9680B">
        <w:rPr>
          <w:b/>
          <w:caps w:val="0"/>
          <w:spacing w:val="0"/>
          <w:sz w:val="16"/>
        </w:rPr>
        <w:t>Tabell 26. Regeringens förslag till beräkning av utgiftstaket för den offentliga sektorn 2001–2003</w:t>
      </w:r>
    </w:p>
    <w:p w:rsidR="001C7BF9" w:rsidRPr="00C9680B" w:rsidRDefault="001C7BF9">
      <w:pPr>
        <w:pStyle w:val="Tabelltext"/>
        <w:keepNext/>
        <w:spacing w:after="40"/>
        <w:rPr>
          <w:sz w:val="14"/>
        </w:rPr>
      </w:pPr>
      <w:r w:rsidRPr="00C9680B">
        <w:rPr>
          <w:sz w:val="14"/>
        </w:rPr>
        <w:t>Belopp i miljarder kronor</w:t>
      </w:r>
    </w:p>
    <w:tbl>
      <w:tblPr>
        <w:tblW w:w="0" w:type="auto"/>
        <w:tblLayout w:type="fixed"/>
        <w:tblCellMar>
          <w:left w:w="0" w:type="dxa"/>
          <w:right w:w="0" w:type="dxa"/>
        </w:tblCellMar>
        <w:tblLook w:val="0000" w:firstRow="0" w:lastRow="0" w:firstColumn="0" w:lastColumn="0" w:noHBand="0" w:noVBand="0"/>
      </w:tblPr>
      <w:tblGrid>
        <w:gridCol w:w="3686"/>
        <w:gridCol w:w="709"/>
        <w:gridCol w:w="709"/>
        <w:gridCol w:w="709"/>
      </w:tblGrid>
      <w:tr w:rsidR="00000000" w:rsidRPr="00C9680B">
        <w:tblPrEx>
          <w:tblCellMar>
            <w:top w:w="0" w:type="dxa"/>
            <w:left w:w="0" w:type="dxa"/>
            <w:bottom w:w="0" w:type="dxa"/>
            <w:right w:w="0" w:type="dxa"/>
          </w:tblCellMar>
        </w:tblPrEx>
        <w:trPr>
          <w:trHeight w:hRule="exact" w:val="240"/>
        </w:trPr>
        <w:tc>
          <w:tcPr>
            <w:tcW w:w="3686" w:type="dxa"/>
            <w:tcBorders>
              <w:top w:val="single" w:sz="4" w:space="0" w:color="auto"/>
              <w:bottom w:val="single" w:sz="4" w:space="0" w:color="auto"/>
            </w:tcBorders>
          </w:tcPr>
          <w:p w:rsidR="001C7BF9" w:rsidRPr="00C9680B" w:rsidRDefault="001C7BF9">
            <w:pPr>
              <w:pStyle w:val="Tabell"/>
              <w:keepNext/>
              <w:keepLines/>
              <w:spacing w:before="60"/>
              <w:jc w:val="left"/>
              <w:rPr>
                <w:sz w:val="16"/>
              </w:rPr>
            </w:pPr>
          </w:p>
        </w:tc>
        <w:tc>
          <w:tcPr>
            <w:tcW w:w="709" w:type="dxa"/>
            <w:tcBorders>
              <w:top w:val="single" w:sz="4" w:space="0" w:color="auto"/>
              <w:bottom w:val="single" w:sz="4" w:space="0" w:color="auto"/>
            </w:tcBorders>
          </w:tcPr>
          <w:p w:rsidR="001C7BF9" w:rsidRPr="00C9680B" w:rsidRDefault="001C7BF9">
            <w:pPr>
              <w:pStyle w:val="Tabell"/>
              <w:keepNext/>
              <w:keepLines/>
              <w:spacing w:before="60"/>
              <w:jc w:val="right"/>
              <w:rPr>
                <w:sz w:val="16"/>
              </w:rPr>
            </w:pPr>
            <w:r w:rsidRPr="00C9680B">
              <w:rPr>
                <w:sz w:val="16"/>
              </w:rPr>
              <w:t>2001</w:t>
            </w:r>
          </w:p>
        </w:tc>
        <w:tc>
          <w:tcPr>
            <w:tcW w:w="709" w:type="dxa"/>
            <w:tcBorders>
              <w:top w:val="single" w:sz="4" w:space="0" w:color="auto"/>
              <w:bottom w:val="single" w:sz="4" w:space="0" w:color="auto"/>
            </w:tcBorders>
          </w:tcPr>
          <w:p w:rsidR="001C7BF9" w:rsidRPr="00C9680B" w:rsidRDefault="001C7BF9">
            <w:pPr>
              <w:pStyle w:val="Tabell"/>
              <w:keepNext/>
              <w:keepLines/>
              <w:spacing w:before="60"/>
              <w:jc w:val="right"/>
              <w:rPr>
                <w:sz w:val="16"/>
              </w:rPr>
            </w:pPr>
            <w:r w:rsidRPr="00C9680B">
              <w:rPr>
                <w:sz w:val="16"/>
              </w:rPr>
              <w:t>2002</w:t>
            </w:r>
          </w:p>
        </w:tc>
        <w:tc>
          <w:tcPr>
            <w:tcW w:w="709" w:type="dxa"/>
            <w:tcBorders>
              <w:top w:val="single" w:sz="4" w:space="0" w:color="auto"/>
              <w:bottom w:val="single" w:sz="4" w:space="0" w:color="auto"/>
            </w:tcBorders>
          </w:tcPr>
          <w:p w:rsidR="001C7BF9" w:rsidRPr="00C9680B" w:rsidRDefault="001C7BF9">
            <w:pPr>
              <w:pStyle w:val="Tabell"/>
              <w:keepNext/>
              <w:keepLines/>
              <w:spacing w:before="60"/>
              <w:jc w:val="right"/>
              <w:rPr>
                <w:sz w:val="16"/>
              </w:rPr>
            </w:pPr>
            <w:r w:rsidRPr="00C9680B">
              <w:rPr>
                <w:sz w:val="16"/>
              </w:rPr>
              <w:t>2003</w:t>
            </w:r>
          </w:p>
        </w:tc>
      </w:tr>
      <w:tr w:rsidR="00000000" w:rsidRPr="00C9680B">
        <w:tblPrEx>
          <w:tblCellMar>
            <w:top w:w="0" w:type="dxa"/>
            <w:left w:w="0" w:type="dxa"/>
            <w:bottom w:w="0" w:type="dxa"/>
            <w:right w:w="0" w:type="dxa"/>
          </w:tblCellMar>
        </w:tblPrEx>
        <w:tc>
          <w:tcPr>
            <w:tcW w:w="3686" w:type="dxa"/>
          </w:tcPr>
          <w:p w:rsidR="001C7BF9" w:rsidRPr="00C9680B" w:rsidRDefault="001C7BF9">
            <w:pPr>
              <w:pStyle w:val="Tabell"/>
              <w:keepNext/>
              <w:keepLines/>
              <w:spacing w:before="40"/>
              <w:jc w:val="left"/>
              <w:rPr>
                <w:sz w:val="16"/>
              </w:rPr>
            </w:pPr>
            <w:r w:rsidRPr="00C9680B">
              <w:rPr>
                <w:sz w:val="16"/>
              </w:rPr>
              <w:t>Utgiftstak för staten inkl. ålderspension</w:t>
            </w:r>
            <w:r w:rsidRPr="00C9680B">
              <w:rPr>
                <w:sz w:val="16"/>
              </w:rPr>
              <w:t>s</w:t>
            </w:r>
            <w:r w:rsidRPr="00C9680B">
              <w:rPr>
                <w:sz w:val="16"/>
              </w:rPr>
              <w:t>systemet</w:t>
            </w:r>
          </w:p>
        </w:tc>
        <w:tc>
          <w:tcPr>
            <w:tcW w:w="709" w:type="dxa"/>
          </w:tcPr>
          <w:p w:rsidR="001C7BF9" w:rsidRPr="00C9680B" w:rsidRDefault="001C7BF9">
            <w:pPr>
              <w:pStyle w:val="Tabell"/>
              <w:keepNext/>
              <w:keepLines/>
              <w:spacing w:before="40"/>
              <w:jc w:val="right"/>
              <w:rPr>
                <w:sz w:val="16"/>
              </w:rPr>
            </w:pPr>
            <w:r w:rsidRPr="00C9680B">
              <w:rPr>
                <w:sz w:val="16"/>
              </w:rPr>
              <w:t>789</w:t>
            </w:r>
          </w:p>
        </w:tc>
        <w:tc>
          <w:tcPr>
            <w:tcW w:w="709" w:type="dxa"/>
          </w:tcPr>
          <w:p w:rsidR="001C7BF9" w:rsidRPr="00C9680B" w:rsidRDefault="001C7BF9">
            <w:pPr>
              <w:pStyle w:val="Tabell"/>
              <w:keepNext/>
              <w:keepLines/>
              <w:spacing w:before="40"/>
              <w:jc w:val="right"/>
              <w:rPr>
                <w:sz w:val="16"/>
              </w:rPr>
            </w:pPr>
            <w:r w:rsidRPr="00C9680B">
              <w:rPr>
                <w:sz w:val="16"/>
              </w:rPr>
              <w:t>814</w:t>
            </w:r>
          </w:p>
        </w:tc>
        <w:tc>
          <w:tcPr>
            <w:tcW w:w="709" w:type="dxa"/>
          </w:tcPr>
          <w:p w:rsidR="001C7BF9" w:rsidRPr="00C9680B" w:rsidRDefault="001C7BF9">
            <w:pPr>
              <w:pStyle w:val="Tabell"/>
              <w:keepNext/>
              <w:keepLines/>
              <w:spacing w:before="40"/>
              <w:jc w:val="right"/>
              <w:rPr>
                <w:sz w:val="16"/>
              </w:rPr>
            </w:pPr>
            <w:r w:rsidRPr="00C9680B">
              <w:rPr>
                <w:sz w:val="16"/>
              </w:rPr>
              <w:t>844</w:t>
            </w:r>
          </w:p>
        </w:tc>
      </w:tr>
      <w:tr w:rsidR="00000000" w:rsidRPr="00C9680B">
        <w:tblPrEx>
          <w:tblCellMar>
            <w:top w:w="0" w:type="dxa"/>
            <w:left w:w="0" w:type="dxa"/>
            <w:bottom w:w="0" w:type="dxa"/>
            <w:right w:w="0" w:type="dxa"/>
          </w:tblCellMar>
        </w:tblPrEx>
        <w:tc>
          <w:tcPr>
            <w:tcW w:w="3686" w:type="dxa"/>
          </w:tcPr>
          <w:p w:rsidR="001C7BF9" w:rsidRPr="00C9680B" w:rsidRDefault="001C7BF9">
            <w:pPr>
              <w:pStyle w:val="Tabell"/>
              <w:keepNext/>
              <w:keepLines/>
              <w:jc w:val="left"/>
              <w:rPr>
                <w:sz w:val="16"/>
              </w:rPr>
            </w:pPr>
            <w:r w:rsidRPr="00C9680B">
              <w:rPr>
                <w:sz w:val="16"/>
              </w:rPr>
              <w:t>Den kommunala sektorn</w:t>
            </w:r>
          </w:p>
        </w:tc>
        <w:tc>
          <w:tcPr>
            <w:tcW w:w="709" w:type="dxa"/>
          </w:tcPr>
          <w:p w:rsidR="001C7BF9" w:rsidRPr="00C9680B" w:rsidRDefault="001C7BF9">
            <w:pPr>
              <w:pStyle w:val="Tabell"/>
              <w:keepNext/>
              <w:keepLines/>
              <w:jc w:val="right"/>
              <w:rPr>
                <w:sz w:val="16"/>
              </w:rPr>
            </w:pPr>
            <w:r w:rsidRPr="00C9680B">
              <w:rPr>
                <w:sz w:val="16"/>
              </w:rPr>
              <w:t>493</w:t>
            </w:r>
          </w:p>
        </w:tc>
        <w:tc>
          <w:tcPr>
            <w:tcW w:w="709" w:type="dxa"/>
          </w:tcPr>
          <w:p w:rsidR="001C7BF9" w:rsidRPr="00C9680B" w:rsidRDefault="001C7BF9">
            <w:pPr>
              <w:pStyle w:val="Tabell"/>
              <w:keepNext/>
              <w:keepLines/>
              <w:jc w:val="right"/>
              <w:rPr>
                <w:sz w:val="16"/>
              </w:rPr>
            </w:pPr>
            <w:r w:rsidRPr="00C9680B">
              <w:rPr>
                <w:sz w:val="16"/>
              </w:rPr>
              <w:t>515</w:t>
            </w:r>
          </w:p>
        </w:tc>
        <w:tc>
          <w:tcPr>
            <w:tcW w:w="709" w:type="dxa"/>
          </w:tcPr>
          <w:p w:rsidR="001C7BF9" w:rsidRPr="00C9680B" w:rsidRDefault="001C7BF9">
            <w:pPr>
              <w:pStyle w:val="Tabell"/>
              <w:keepNext/>
              <w:keepLines/>
              <w:jc w:val="right"/>
              <w:rPr>
                <w:sz w:val="16"/>
              </w:rPr>
            </w:pPr>
            <w:r w:rsidRPr="00C9680B">
              <w:rPr>
                <w:sz w:val="16"/>
              </w:rPr>
              <w:t>533</w:t>
            </w:r>
          </w:p>
        </w:tc>
      </w:tr>
      <w:tr w:rsidR="00000000" w:rsidRPr="00C9680B">
        <w:tblPrEx>
          <w:tblCellMar>
            <w:top w:w="0" w:type="dxa"/>
            <w:left w:w="0" w:type="dxa"/>
            <w:bottom w:w="0" w:type="dxa"/>
            <w:right w:w="0" w:type="dxa"/>
          </w:tblCellMar>
        </w:tblPrEx>
        <w:tc>
          <w:tcPr>
            <w:tcW w:w="3686" w:type="dxa"/>
          </w:tcPr>
          <w:p w:rsidR="001C7BF9" w:rsidRPr="00C9680B" w:rsidRDefault="001C7BF9">
            <w:pPr>
              <w:pStyle w:val="Tabell"/>
              <w:keepNext/>
              <w:keepLines/>
              <w:jc w:val="left"/>
              <w:rPr>
                <w:sz w:val="16"/>
              </w:rPr>
            </w:pPr>
            <w:r w:rsidRPr="00C9680B">
              <w:rPr>
                <w:sz w:val="16"/>
              </w:rPr>
              <w:t>Interna transaktioner</w:t>
            </w:r>
          </w:p>
        </w:tc>
        <w:tc>
          <w:tcPr>
            <w:tcW w:w="709" w:type="dxa"/>
          </w:tcPr>
          <w:p w:rsidR="001C7BF9" w:rsidRPr="00C9680B" w:rsidRDefault="001C7BF9">
            <w:pPr>
              <w:pStyle w:val="Tabell"/>
              <w:keepNext/>
              <w:keepLines/>
              <w:jc w:val="right"/>
              <w:rPr>
                <w:sz w:val="16"/>
              </w:rPr>
            </w:pPr>
            <w:r w:rsidRPr="00C9680B">
              <w:rPr>
                <w:sz w:val="16"/>
              </w:rPr>
              <w:t>-175</w:t>
            </w:r>
          </w:p>
        </w:tc>
        <w:tc>
          <w:tcPr>
            <w:tcW w:w="709" w:type="dxa"/>
          </w:tcPr>
          <w:p w:rsidR="001C7BF9" w:rsidRPr="00C9680B" w:rsidRDefault="001C7BF9">
            <w:pPr>
              <w:pStyle w:val="Tabell"/>
              <w:keepNext/>
              <w:keepLines/>
              <w:jc w:val="right"/>
              <w:rPr>
                <w:sz w:val="16"/>
              </w:rPr>
            </w:pPr>
            <w:r w:rsidRPr="00C9680B">
              <w:rPr>
                <w:sz w:val="16"/>
              </w:rPr>
              <w:t>-182</w:t>
            </w:r>
          </w:p>
        </w:tc>
        <w:tc>
          <w:tcPr>
            <w:tcW w:w="709" w:type="dxa"/>
          </w:tcPr>
          <w:p w:rsidR="001C7BF9" w:rsidRPr="00C9680B" w:rsidRDefault="001C7BF9">
            <w:pPr>
              <w:pStyle w:val="Tabell"/>
              <w:keepNext/>
              <w:keepLines/>
              <w:jc w:val="right"/>
              <w:rPr>
                <w:sz w:val="16"/>
              </w:rPr>
            </w:pPr>
            <w:r w:rsidRPr="00C9680B">
              <w:rPr>
                <w:sz w:val="16"/>
              </w:rPr>
              <w:t>-177</w:t>
            </w:r>
          </w:p>
        </w:tc>
      </w:tr>
      <w:tr w:rsidR="00000000" w:rsidRPr="00C9680B">
        <w:tblPrEx>
          <w:tblCellMar>
            <w:top w:w="0" w:type="dxa"/>
            <w:left w:w="0" w:type="dxa"/>
            <w:bottom w:w="0" w:type="dxa"/>
            <w:right w:w="0" w:type="dxa"/>
          </w:tblCellMar>
        </w:tblPrEx>
        <w:tc>
          <w:tcPr>
            <w:tcW w:w="3686" w:type="dxa"/>
          </w:tcPr>
          <w:p w:rsidR="001C7BF9" w:rsidRPr="00C9680B" w:rsidRDefault="001C7BF9">
            <w:pPr>
              <w:pStyle w:val="Tabell"/>
              <w:keepNext/>
              <w:keepLines/>
              <w:jc w:val="left"/>
              <w:rPr>
                <w:b/>
                <w:sz w:val="16"/>
              </w:rPr>
            </w:pPr>
            <w:r w:rsidRPr="00C9680B">
              <w:rPr>
                <w:b/>
                <w:sz w:val="16"/>
              </w:rPr>
              <w:t>Summa offentlig sektor</w:t>
            </w:r>
          </w:p>
        </w:tc>
        <w:tc>
          <w:tcPr>
            <w:tcW w:w="709" w:type="dxa"/>
          </w:tcPr>
          <w:p w:rsidR="001C7BF9" w:rsidRPr="00C9680B" w:rsidRDefault="001C7BF9">
            <w:pPr>
              <w:pStyle w:val="Tabell"/>
              <w:keepNext/>
              <w:keepLines/>
              <w:jc w:val="right"/>
              <w:rPr>
                <w:b/>
                <w:sz w:val="16"/>
              </w:rPr>
            </w:pPr>
            <w:r w:rsidRPr="00C9680B">
              <w:rPr>
                <w:b/>
                <w:sz w:val="16"/>
              </w:rPr>
              <w:t>1 107</w:t>
            </w:r>
          </w:p>
        </w:tc>
        <w:tc>
          <w:tcPr>
            <w:tcW w:w="709" w:type="dxa"/>
          </w:tcPr>
          <w:p w:rsidR="001C7BF9" w:rsidRPr="00C9680B" w:rsidRDefault="001C7BF9">
            <w:pPr>
              <w:pStyle w:val="Tabell"/>
              <w:keepNext/>
              <w:keepLines/>
              <w:jc w:val="right"/>
              <w:rPr>
                <w:b/>
                <w:sz w:val="16"/>
              </w:rPr>
            </w:pPr>
            <w:r w:rsidRPr="00C9680B">
              <w:rPr>
                <w:b/>
                <w:sz w:val="16"/>
              </w:rPr>
              <w:t>1 148</w:t>
            </w:r>
          </w:p>
        </w:tc>
        <w:tc>
          <w:tcPr>
            <w:tcW w:w="709" w:type="dxa"/>
          </w:tcPr>
          <w:p w:rsidR="001C7BF9" w:rsidRPr="00C9680B" w:rsidRDefault="001C7BF9">
            <w:pPr>
              <w:pStyle w:val="Tabell"/>
              <w:keepNext/>
              <w:keepLines/>
              <w:jc w:val="right"/>
              <w:rPr>
                <w:b/>
                <w:sz w:val="16"/>
              </w:rPr>
            </w:pPr>
            <w:r w:rsidRPr="00C9680B">
              <w:rPr>
                <w:b/>
                <w:sz w:val="16"/>
              </w:rPr>
              <w:t>1 200</w:t>
            </w:r>
          </w:p>
        </w:tc>
      </w:tr>
      <w:tr w:rsidR="00000000" w:rsidRPr="00C9680B">
        <w:tblPrEx>
          <w:tblCellMar>
            <w:top w:w="0" w:type="dxa"/>
            <w:left w:w="0" w:type="dxa"/>
            <w:bottom w:w="0" w:type="dxa"/>
            <w:right w:w="0" w:type="dxa"/>
          </w:tblCellMar>
        </w:tblPrEx>
        <w:tc>
          <w:tcPr>
            <w:tcW w:w="3686" w:type="dxa"/>
            <w:tcBorders>
              <w:bottom w:val="single" w:sz="4" w:space="0" w:color="auto"/>
            </w:tcBorders>
          </w:tcPr>
          <w:p w:rsidR="001C7BF9" w:rsidRPr="00C9680B" w:rsidRDefault="001C7BF9">
            <w:pPr>
              <w:pStyle w:val="Tabell"/>
              <w:keepNext/>
              <w:keepLines/>
              <w:spacing w:after="40" w:line="200" w:lineRule="exact"/>
              <w:jc w:val="left"/>
              <w:rPr>
                <w:sz w:val="16"/>
              </w:rPr>
            </w:pPr>
            <w:r w:rsidRPr="00C9680B">
              <w:rPr>
                <w:sz w:val="16"/>
              </w:rPr>
              <w:t>Procent av BNP</w:t>
            </w:r>
          </w:p>
        </w:tc>
        <w:tc>
          <w:tcPr>
            <w:tcW w:w="709" w:type="dxa"/>
            <w:tcBorders>
              <w:bottom w:val="single" w:sz="4" w:space="0" w:color="auto"/>
            </w:tcBorders>
          </w:tcPr>
          <w:p w:rsidR="001C7BF9" w:rsidRPr="00C9680B" w:rsidRDefault="001C7BF9">
            <w:pPr>
              <w:pStyle w:val="Tabell"/>
              <w:keepNext/>
              <w:keepLines/>
              <w:spacing w:after="40" w:line="200" w:lineRule="exact"/>
              <w:jc w:val="right"/>
              <w:rPr>
                <w:sz w:val="16"/>
              </w:rPr>
            </w:pPr>
            <w:r w:rsidRPr="00C9680B">
              <w:rPr>
                <w:sz w:val="16"/>
              </w:rPr>
              <w:t>50,7</w:t>
            </w:r>
          </w:p>
        </w:tc>
        <w:tc>
          <w:tcPr>
            <w:tcW w:w="709" w:type="dxa"/>
            <w:tcBorders>
              <w:bottom w:val="single" w:sz="4" w:space="0" w:color="auto"/>
            </w:tcBorders>
          </w:tcPr>
          <w:p w:rsidR="001C7BF9" w:rsidRPr="00C9680B" w:rsidRDefault="001C7BF9">
            <w:pPr>
              <w:pStyle w:val="Tabell"/>
              <w:keepNext/>
              <w:keepLines/>
              <w:spacing w:after="40" w:line="200" w:lineRule="exact"/>
              <w:jc w:val="right"/>
              <w:rPr>
                <w:sz w:val="16"/>
              </w:rPr>
            </w:pPr>
            <w:r w:rsidRPr="00C9680B">
              <w:rPr>
                <w:sz w:val="16"/>
              </w:rPr>
              <w:t>50,5</w:t>
            </w:r>
          </w:p>
        </w:tc>
        <w:tc>
          <w:tcPr>
            <w:tcW w:w="709" w:type="dxa"/>
            <w:tcBorders>
              <w:bottom w:val="single" w:sz="4" w:space="0" w:color="auto"/>
            </w:tcBorders>
          </w:tcPr>
          <w:p w:rsidR="001C7BF9" w:rsidRPr="00C9680B" w:rsidRDefault="001C7BF9">
            <w:pPr>
              <w:pStyle w:val="Tabell"/>
              <w:keepNext/>
              <w:keepLines/>
              <w:spacing w:after="40" w:line="200" w:lineRule="exact"/>
              <w:jc w:val="right"/>
              <w:rPr>
                <w:sz w:val="16"/>
              </w:rPr>
            </w:pPr>
            <w:r w:rsidRPr="00C9680B">
              <w:rPr>
                <w:sz w:val="16"/>
              </w:rPr>
              <w:t>50,7</w:t>
            </w:r>
          </w:p>
        </w:tc>
      </w:tr>
    </w:tbl>
    <w:p w:rsidR="001C7BF9" w:rsidRPr="00C9680B" w:rsidRDefault="001C7BF9">
      <w:pPr>
        <w:pStyle w:val="R4"/>
        <w:spacing w:before="375"/>
      </w:pPr>
      <w:r w:rsidRPr="00C9680B">
        <w:t>Motionerna</w:t>
      </w:r>
    </w:p>
    <w:p w:rsidR="001C7BF9" w:rsidRPr="00C9680B" w:rsidRDefault="001C7BF9">
      <w:r w:rsidRPr="00C9680B">
        <w:rPr>
          <w:i/>
        </w:rPr>
        <w:t>Moderata samlingspartiet</w:t>
      </w:r>
      <w:r w:rsidRPr="00C9680B">
        <w:t xml:space="preserve"> föreslår i </w:t>
      </w:r>
      <w:r w:rsidRPr="00C9680B">
        <w:rPr>
          <w:i/>
        </w:rPr>
        <w:t>motion Fi208</w:t>
      </w:r>
      <w:r w:rsidRPr="00C9680B">
        <w:t xml:space="preserve"> att riksdagen i stället skall godkänna detta partis beräkning av de offentliga utgifterna (yrkande 2). M</w:t>
      </w:r>
      <w:r w:rsidRPr="00C9680B">
        <w:t>o</w:t>
      </w:r>
      <w:r w:rsidRPr="00C9680B">
        <w:t>tionens förslag syftar till att begränsa de offentliga uppgifterna i sin helhet för att därmed sänka den offentliga utgiftsandelen. Både nivån på de kommunala utgifterna och det statliga utgiftstaket påverkas av förslaget att överföra fina</w:t>
      </w:r>
      <w:r w:rsidRPr="00C9680B">
        <w:t>n</w:t>
      </w:r>
      <w:r w:rsidRPr="00C9680B">
        <w:t xml:space="preserve">sieringen av skolan från kommunerna till staten. Den statliga utgiftsramen för bidrag till kommunerna påverkas av att de skattesänkningar som </w:t>
      </w:r>
      <w:r w:rsidRPr="00C9680B">
        <w:t>motionäre</w:t>
      </w:r>
      <w:r w:rsidRPr="00C9680B">
        <w:t>r</w:t>
      </w:r>
      <w:r w:rsidRPr="00C9680B">
        <w:t>na föreslår i stor utsträckning påverkar de kommunala inkomsterna, varför en ekonomisk reglering måste ske mellan staten och kommunsektorn. De nivåer som partiet föreslår är 1 072 miljarder kronor år 2001, 1 036 miljarder kronor år 2002 och 1 066 miljarder kronor år 2003.</w:t>
      </w:r>
    </w:p>
    <w:p w:rsidR="001C7BF9" w:rsidRPr="00C9680B" w:rsidRDefault="001C7BF9">
      <w:pPr>
        <w:pStyle w:val="Normaltindrag"/>
      </w:pPr>
      <w:r w:rsidRPr="00C9680B">
        <w:rPr>
          <w:i/>
        </w:rPr>
        <w:t>Kristdemokraterna</w:t>
      </w:r>
      <w:r w:rsidRPr="00C9680B">
        <w:t xml:space="preserve"> föreslår i </w:t>
      </w:r>
      <w:r w:rsidRPr="00C9680B">
        <w:rPr>
          <w:i/>
        </w:rPr>
        <w:t>motion Fi209</w:t>
      </w:r>
      <w:r w:rsidRPr="00C9680B">
        <w:t xml:space="preserve"> att de beräkningar av de o</w:t>
      </w:r>
      <w:r w:rsidRPr="00C9680B">
        <w:t>f</w:t>
      </w:r>
      <w:r w:rsidRPr="00C9680B">
        <w:t>fentliga utgifterna för åren 2001</w:t>
      </w:r>
      <w:r w:rsidRPr="00C9680B">
        <w:sym w:font="Symbol" w:char="F02D"/>
      </w:r>
      <w:r w:rsidRPr="00C9680B">
        <w:t>2003 som redovisas i motionen skall go</w:t>
      </w:r>
      <w:r w:rsidRPr="00C9680B">
        <w:t>d</w:t>
      </w:r>
      <w:r w:rsidRPr="00C9680B">
        <w:t>kännas av riksdagen (yrkande 3). Motionärernas förslag innebär att ett något större u</w:t>
      </w:r>
      <w:r w:rsidRPr="00C9680B">
        <w:t>t</w:t>
      </w:r>
      <w:r w:rsidRPr="00C9680B">
        <w:t>rymme för kommunsektorn kombineras med förslag till lägre utgifts</w:t>
      </w:r>
      <w:r w:rsidRPr="00C9680B">
        <w:softHyphen/>
        <w:t>tak för staten. De interna transaktionerna mellan stat och kommun antas netto vara oförändrade i förhållande till regeringens förslag. Enligt de beräkningar som redovisas i motionen blir taket för den offentliga sektorn 1 102, 1 136 re</w:t>
      </w:r>
      <w:r w:rsidRPr="00C9680B">
        <w:t>spektive 1 178 miljarder kronor för perioden 2001</w:t>
      </w:r>
      <w:r w:rsidRPr="00C9680B">
        <w:sym w:font="Symbol" w:char="F02D"/>
      </w:r>
      <w:r w:rsidRPr="00C9680B">
        <w:t>2003.</w:t>
      </w:r>
    </w:p>
    <w:p w:rsidR="001C7BF9" w:rsidRPr="00C9680B" w:rsidRDefault="001C7BF9">
      <w:pPr>
        <w:pStyle w:val="Normaltindrag"/>
      </w:pPr>
      <w:r w:rsidRPr="00C9680B">
        <w:rPr>
          <w:i/>
        </w:rPr>
        <w:t>Folkpartiet liberalerna</w:t>
      </w:r>
      <w:r w:rsidRPr="00C9680B">
        <w:t xml:space="preserve"> föreslår i </w:t>
      </w:r>
      <w:r w:rsidRPr="00C9680B">
        <w:rPr>
          <w:i/>
        </w:rPr>
        <w:t>motion Fi211</w:t>
      </w:r>
      <w:r w:rsidRPr="00C9680B">
        <w:t xml:space="preserve"> att riksdagen skall godkä</w:t>
      </w:r>
      <w:r w:rsidRPr="00C9680B">
        <w:t>n</w:t>
      </w:r>
      <w:r w:rsidRPr="00C9680B">
        <w:t>na detta partis beräkning av de offentliga utgifterna för åren 2001</w:t>
      </w:r>
      <w:r w:rsidRPr="00C9680B">
        <w:sym w:font="Symbol" w:char="F02D"/>
      </w:r>
      <w:r w:rsidRPr="00C9680B">
        <w:t>2003 (y</w:t>
      </w:r>
      <w:r w:rsidRPr="00C9680B">
        <w:t>r</w:t>
      </w:r>
      <w:r w:rsidRPr="00C9680B">
        <w:t>kande 3). I motionen anges nivåerna på taket för den offentliga sektorns u</w:t>
      </w:r>
      <w:r w:rsidRPr="00C9680B">
        <w:t>t</w:t>
      </w:r>
      <w:r w:rsidRPr="00C9680B">
        <w:t>gifter till 1 088, 1 125 respektive 1 162 miljarder kronor för åren 2001</w:t>
      </w:r>
      <w:r w:rsidRPr="00C9680B">
        <w:sym w:font="Symbol" w:char="F02D"/>
      </w:r>
      <w:r w:rsidRPr="00C9680B">
        <w:t>2003.</w:t>
      </w:r>
    </w:p>
    <w:p w:rsidR="001C7BF9" w:rsidRPr="00C9680B" w:rsidRDefault="001C7BF9">
      <w:pPr>
        <w:pStyle w:val="R4"/>
      </w:pPr>
      <w:r w:rsidRPr="00C9680B">
        <w:t>Finansutskottets ställningstagande</w:t>
      </w:r>
    </w:p>
    <w:p w:rsidR="001C7BF9" w:rsidRPr="00C9680B" w:rsidRDefault="001C7BF9">
      <w:r w:rsidRPr="00C9680B">
        <w:t>Med hänvisning till vad utskottet tidigare framhållit tillstyrker utskottet reg</w:t>
      </w:r>
      <w:r w:rsidRPr="00C9680B">
        <w:t>e</w:t>
      </w:r>
      <w:r w:rsidRPr="00C9680B">
        <w:t>ringens förslag till beräkning av de offentliga utgifterna (punkt 3). Utskottet avstyrker därmed de förslag till alternativ beräkning av de offentliga utgifte</w:t>
      </w:r>
      <w:r w:rsidRPr="00C9680B">
        <w:t>r</w:t>
      </w:r>
      <w:r w:rsidRPr="00C9680B">
        <w:t>na och utgiftstak för den offentliga sektorn som framförs i motionerna Fi208 (m) yrkande 2, Fi209 (kd) yrkande 3 samt Fi211 (fp) yrkande 3.</w:t>
      </w:r>
    </w:p>
    <w:p w:rsidR="001C7BF9" w:rsidRPr="00C9680B" w:rsidRDefault="001C7BF9">
      <w:pPr>
        <w:pStyle w:val="Utskottetsvervganden-RubrikFrslagspunkt"/>
        <w:outlineLvl w:val="0"/>
      </w:pPr>
      <w:bookmarkStart w:id="178" w:name="_Toc498245134"/>
      <w:bookmarkStart w:id="179" w:name="_Toc498910695"/>
      <w:r w:rsidRPr="00C9680B">
        <w:t>2.6 Fördelning av statens utgifter på utgiftsområden 2001</w:t>
      </w:r>
      <w:bookmarkEnd w:id="178"/>
      <w:bookmarkEnd w:id="179"/>
    </w:p>
    <w:p w:rsidR="001C7BF9" w:rsidRPr="00C9680B" w:rsidRDefault="001C7BF9">
      <w:pPr>
        <w:pStyle w:val="Utskottsfrslagikorthet-Rubrik"/>
        <w:outlineLvl w:val="0"/>
        <w:rPr>
          <w:noProof w:val="0"/>
        </w:rPr>
      </w:pPr>
      <w:r w:rsidRPr="00C9680B">
        <w:rPr>
          <w:noProof w:val="0"/>
        </w:rPr>
        <w:t>Utskottets delförslag i korthet</w:t>
      </w:r>
    </w:p>
    <w:p w:rsidR="001C7BF9" w:rsidRPr="00C9680B" w:rsidRDefault="001C7BF9">
      <w:pPr>
        <w:pStyle w:val="Utskottsfrslagikorthet-Text"/>
        <w:keepNext/>
      </w:pPr>
      <w:r w:rsidRPr="00C9680B">
        <w:t>Riksdagen bifaller regeringens förslag till fördelning av statsbu</w:t>
      </w:r>
      <w:r w:rsidRPr="00C9680B">
        <w:t>d</w:t>
      </w:r>
      <w:r w:rsidRPr="00C9680B">
        <w:t>getens utgifter på utgiftsområden för 2001 (punkt 8) och avslår därmed motionerna Fi208 (m) yrkande 5, Fi209 (kd) yrkande 6, Fi210 (c) yrkande 4 samt Fi211 (fp) yrkande 6.</w:t>
      </w:r>
    </w:p>
    <w:p w:rsidR="001C7BF9" w:rsidRPr="00C9680B" w:rsidRDefault="001C7BF9">
      <w:pPr>
        <w:pStyle w:val="Utskottsfrslagikorthet-Text"/>
        <w:keepNext/>
      </w:pPr>
      <w:r w:rsidRPr="00C9680B">
        <w:t>Övriga delar av detta förslag behandlar utskottet i avsnitten 2.4, 2.5, 2.8, 2.9, 3 och 4.1.</w:t>
      </w:r>
    </w:p>
    <w:p w:rsidR="001C7BF9" w:rsidRPr="00C9680B" w:rsidRDefault="001C7BF9">
      <w:pPr>
        <w:pStyle w:val="Utskottsfrslagikorthet-Text"/>
        <w:keepNext/>
      </w:pPr>
      <w:r w:rsidRPr="00C9680B">
        <w:t>Jämför reservationerna 12 (m), 13 (kd), 14 (c) och 15 (fp).</w:t>
      </w:r>
    </w:p>
    <w:p w:rsidR="001C7BF9" w:rsidRPr="00C9680B" w:rsidRDefault="001C7BF9">
      <w:pPr>
        <w:pStyle w:val="R4"/>
      </w:pPr>
      <w:r w:rsidRPr="00C9680B">
        <w:t>Budgetpropositionen</w:t>
      </w:r>
    </w:p>
    <w:p w:rsidR="001C7BF9" w:rsidRPr="00C9680B" w:rsidRDefault="001C7BF9">
      <w:r w:rsidRPr="00C9680B">
        <w:t>Regeringen föreslår i budgetpropositionen (avsnitt 7.1) att statsbudgetens utgifter för budgetåret 2001 fördelas på utgiftsområden på det sätt som fra</w:t>
      </w:r>
      <w:r w:rsidRPr="00C9680B">
        <w:t>m</w:t>
      </w:r>
      <w:r w:rsidRPr="00C9680B">
        <w:t>går av e</w:t>
      </w:r>
      <w:r w:rsidRPr="00C9680B">
        <w:t>f</w:t>
      </w:r>
      <w:r w:rsidRPr="00C9680B">
        <w:t>terföljande tabell (punkt 8).</w:t>
      </w:r>
    </w:p>
    <w:p w:rsidR="001C7BF9" w:rsidRPr="00C9680B" w:rsidRDefault="001C7BF9">
      <w:pPr>
        <w:pStyle w:val="Normaltindrag"/>
      </w:pPr>
      <w:r w:rsidRPr="00C9680B">
        <w:t>Vidare föreslår regeringen i budgetpropositionen (utgiftsområde 13) att f</w:t>
      </w:r>
      <w:r w:rsidRPr="00C9680B">
        <w:t>ö</w:t>
      </w:r>
      <w:r w:rsidRPr="00C9680B">
        <w:t>reskrifterna i riksdagsordningen skall ändras så att utgiftsområdena 13 Ek</w:t>
      </w:r>
      <w:r w:rsidRPr="00C9680B">
        <w:t>o</w:t>
      </w:r>
      <w:r w:rsidRPr="00C9680B">
        <w:t>nomisk trygghet vid arbetslöshet och 14 Arbetsmarknad och arbetsliv ersätts av utgiftsområdena 13 Arbetsmarknad och 14 Arbetsliv. Regeringen föreslår dessutom att vissa anslag från utgiftsområde 14 flyttas till utgiftsområde 13. Ändringarna i riksdagsordnin</w:t>
      </w:r>
      <w:r w:rsidRPr="00C9680B">
        <w:t>g</w:t>
      </w:r>
      <w:r w:rsidRPr="00C9680B">
        <w:t>en föreslås träda i kraft den 1 januari 2001.</w:t>
      </w:r>
    </w:p>
    <w:p w:rsidR="001C7BF9" w:rsidRPr="00C9680B" w:rsidRDefault="001C7BF9">
      <w:pPr>
        <w:pStyle w:val="R4"/>
      </w:pPr>
      <w:r w:rsidRPr="00C9680B">
        <w:t>Motionerna</w:t>
      </w:r>
    </w:p>
    <w:p w:rsidR="001C7BF9" w:rsidRPr="00C9680B" w:rsidRDefault="001C7BF9">
      <w:r w:rsidRPr="00C9680B">
        <w:t>De fyra borgerliga partierna avvisar regeringsförslaget och förordar i stället sina respektive förslag till utgiftsfördelning. Sådana alternativa förslag fra</w:t>
      </w:r>
      <w:r w:rsidRPr="00C9680B">
        <w:t>m</w:t>
      </w:r>
      <w:r w:rsidRPr="00C9680B">
        <w:t>förs av</w:t>
      </w:r>
    </w:p>
    <w:p w:rsidR="001C7BF9" w:rsidRPr="00C9680B" w:rsidRDefault="001C7BF9">
      <w:pPr>
        <w:numPr>
          <w:ilvl w:val="0"/>
          <w:numId w:val="888"/>
        </w:numPr>
        <w:spacing w:before="0"/>
        <w:ind w:left="357" w:hanging="357"/>
      </w:pPr>
      <w:r w:rsidRPr="00C9680B">
        <w:rPr>
          <w:i/>
        </w:rPr>
        <w:t>Moderata samlingspartiet</w:t>
      </w:r>
      <w:r w:rsidRPr="00C9680B">
        <w:t xml:space="preserve"> i </w:t>
      </w:r>
      <w:r w:rsidRPr="00C9680B">
        <w:rPr>
          <w:i/>
        </w:rPr>
        <w:t>motion Fi208</w:t>
      </w:r>
      <w:r w:rsidRPr="00C9680B">
        <w:t xml:space="preserve"> (yrkande 5)</w:t>
      </w:r>
    </w:p>
    <w:p w:rsidR="001C7BF9" w:rsidRPr="00C9680B" w:rsidRDefault="001C7BF9">
      <w:pPr>
        <w:numPr>
          <w:ilvl w:val="0"/>
          <w:numId w:val="888"/>
        </w:numPr>
        <w:spacing w:before="0"/>
        <w:ind w:left="357" w:hanging="357"/>
      </w:pPr>
      <w:r w:rsidRPr="00C9680B">
        <w:rPr>
          <w:i/>
        </w:rPr>
        <w:t>Kristdemokraterna</w:t>
      </w:r>
      <w:r w:rsidRPr="00C9680B">
        <w:t xml:space="preserve"> i </w:t>
      </w:r>
      <w:r w:rsidRPr="00C9680B">
        <w:rPr>
          <w:i/>
        </w:rPr>
        <w:t>motion Fi209</w:t>
      </w:r>
      <w:r w:rsidRPr="00C9680B">
        <w:t xml:space="preserve"> (yrkande 6)</w:t>
      </w:r>
    </w:p>
    <w:p w:rsidR="001C7BF9" w:rsidRPr="00C9680B" w:rsidRDefault="001C7BF9">
      <w:pPr>
        <w:numPr>
          <w:ilvl w:val="0"/>
          <w:numId w:val="888"/>
        </w:numPr>
        <w:spacing w:before="0"/>
        <w:ind w:left="357" w:hanging="357"/>
      </w:pPr>
      <w:r w:rsidRPr="00C9680B">
        <w:rPr>
          <w:i/>
        </w:rPr>
        <w:t>Centerpartiet</w:t>
      </w:r>
      <w:r w:rsidRPr="00C9680B">
        <w:t xml:space="preserve"> i </w:t>
      </w:r>
      <w:r w:rsidRPr="00C9680B">
        <w:rPr>
          <w:i/>
        </w:rPr>
        <w:t>motion Fi210</w:t>
      </w:r>
      <w:r w:rsidRPr="00C9680B">
        <w:t xml:space="preserve"> (yrkande 4) samt av</w:t>
      </w:r>
    </w:p>
    <w:p w:rsidR="001C7BF9" w:rsidRPr="00C9680B" w:rsidRDefault="001C7BF9">
      <w:pPr>
        <w:numPr>
          <w:ilvl w:val="0"/>
          <w:numId w:val="888"/>
        </w:numPr>
        <w:spacing w:before="0"/>
        <w:ind w:left="357" w:hanging="357"/>
      </w:pPr>
      <w:r w:rsidRPr="00C9680B">
        <w:rPr>
          <w:i/>
        </w:rPr>
        <w:t>Folkpartiet liberalerna</w:t>
      </w:r>
      <w:r w:rsidRPr="00C9680B">
        <w:t xml:space="preserve"> i </w:t>
      </w:r>
      <w:r w:rsidRPr="00C9680B">
        <w:rPr>
          <w:i/>
        </w:rPr>
        <w:t>motion Fi211</w:t>
      </w:r>
      <w:r w:rsidRPr="00C9680B">
        <w:t xml:space="preserve"> (yrkande 6).</w:t>
      </w:r>
    </w:p>
    <w:p w:rsidR="001C7BF9" w:rsidRPr="00C9680B" w:rsidRDefault="001C7BF9">
      <w:pPr>
        <w:pStyle w:val="R4"/>
      </w:pPr>
      <w:r w:rsidRPr="00C9680B">
        <w:t>Övriga utskotts yttranden</w:t>
      </w:r>
    </w:p>
    <w:p w:rsidR="001C7BF9" w:rsidRPr="00C9680B" w:rsidRDefault="001C7BF9">
      <w:r w:rsidRPr="00C9680B">
        <w:t>Sammanlagt tolv utskott har yttrat sig över budgetpropositionens förslag till utgiftsramar för budgetåret 2001 och de motioner som väckts med anledning av propositionen. Två utskott – utbildningsutskottet samt miljö- och jor</w:t>
      </w:r>
      <w:r w:rsidRPr="00C9680B">
        <w:t>d</w:t>
      </w:r>
      <w:r w:rsidRPr="00C9680B">
        <w:t>bruksutskottet – har avstått från att yttra sig. Av de utskott som yttrat sig i ärendet har samtliga tillstyrkt reg</w:t>
      </w:r>
      <w:r w:rsidRPr="00C9680B">
        <w:t>e</w:t>
      </w:r>
      <w:r w:rsidRPr="00C9680B">
        <w:t>ringens förslag.</w:t>
      </w:r>
    </w:p>
    <w:p w:rsidR="001C7BF9" w:rsidRPr="00C9680B" w:rsidRDefault="001C7BF9">
      <w:pPr>
        <w:pStyle w:val="Normaltindrag"/>
      </w:pPr>
      <w:r w:rsidRPr="00C9680B">
        <w:t>Till yttrandena har oppositionspartiernas företrädare anmält avvikande meningar med alternativa förslag till ramnivåer eller reserverat sig till förmån för respektive partis motionsförslag. Efterföljande tabell återger regeringens förslag samt de avvikelser oppositionspartierna har i sina alternativt framfö</w:t>
      </w:r>
      <w:r w:rsidRPr="00C9680B">
        <w:t>r</w:t>
      </w:r>
      <w:r w:rsidRPr="00C9680B">
        <w:t>da förslag.</w:t>
      </w:r>
    </w:p>
    <w:p w:rsidR="001C7BF9" w:rsidRPr="00C9680B" w:rsidRDefault="001C7BF9">
      <w:pPr>
        <w:pStyle w:val="Normaltindrag"/>
        <w:ind w:right="-1"/>
      </w:pPr>
      <w:r w:rsidRPr="00C9680B">
        <w:t>Konstitutionsutskottet tillstyrker regeringens förslag till ändring i rik</w:t>
      </w:r>
      <w:r w:rsidRPr="00C9680B">
        <w:t>s</w:t>
      </w:r>
      <w:r w:rsidRPr="00C9680B">
        <w:t>dagsordningen (bet. 2000/01:KU4), med den ändringen att lagen träder i kraft den 20 november 2000 och tillämpas första gången beträffande budgeten för år 2001. Utskottets bedömning görs under förutsättning att den nu aktuella ordningen med förslag om ändring i utgiftsområden i budgetpropositionen är att se som engångsföreteelse. Konstitutionsutskottet understryker vidare vi</w:t>
      </w:r>
      <w:r w:rsidRPr="00C9680B">
        <w:t>k</w:t>
      </w:r>
      <w:r w:rsidRPr="00C9680B">
        <w:t>ten av att ändringar i utgiftsområdesindelningen kan beslutas under våren om de skall ligga till grund för regeringens kommande budget</w:t>
      </w:r>
      <w:r w:rsidRPr="00C9680B">
        <w:t>förslag under hö</w:t>
      </w:r>
      <w:r w:rsidRPr="00C9680B">
        <w:t>s</w:t>
      </w:r>
      <w:r w:rsidRPr="00C9680B">
        <w:t xml:space="preserve">ten. </w:t>
      </w:r>
    </w:p>
    <w:p w:rsidR="001C7BF9" w:rsidRPr="00C9680B" w:rsidRDefault="001C7BF9">
      <w:pPr>
        <w:pStyle w:val="Tabell"/>
        <w:outlineLvl w:val="0"/>
        <w:rPr>
          <w:b/>
          <w:sz w:val="16"/>
        </w:rPr>
      </w:pPr>
      <w:r w:rsidRPr="00C9680B">
        <w:br w:type="page"/>
      </w:r>
      <w:r w:rsidRPr="00C9680B">
        <w:rPr>
          <w:b/>
          <w:sz w:val="16"/>
        </w:rPr>
        <w:t>Tabell 27 Regeringens och oppositionspartiernas förslag till utgiftsramar för 2001</w:t>
      </w:r>
    </w:p>
    <w:p w:rsidR="001C7BF9" w:rsidRPr="00C9680B" w:rsidRDefault="001C7BF9">
      <w:pPr>
        <w:pStyle w:val="Tabell"/>
        <w:spacing w:after="20" w:line="200" w:lineRule="exact"/>
        <w:outlineLvl w:val="0"/>
        <w:rPr>
          <w:sz w:val="14"/>
        </w:rPr>
      </w:pPr>
      <w:r w:rsidRPr="00C9680B">
        <w:rPr>
          <w:sz w:val="14"/>
        </w:rPr>
        <w:t>Belopp i miljoner kronor</w:t>
      </w:r>
    </w:p>
    <w:p w:rsidR="001C7BF9" w:rsidRPr="00C9680B" w:rsidRDefault="001C7BF9">
      <w:pPr>
        <w:pStyle w:val="Tabell"/>
        <w:spacing w:line="100" w:lineRule="exact"/>
        <w:rPr>
          <w:sz w:val="14"/>
        </w:rPr>
      </w:pPr>
    </w:p>
    <w:p w:rsidR="001C7BF9" w:rsidRPr="00C9680B" w:rsidRDefault="00C9680B">
      <w:pPr>
        <w:pStyle w:val="Tabell"/>
        <w:spacing w:line="240" w:lineRule="auto"/>
        <w:rPr>
          <w:sz w:val="14"/>
        </w:rPr>
      </w:pPr>
      <w:r w:rsidRPr="00C9680B">
        <w:rPr>
          <w:noProof/>
          <w:sz w:val="14"/>
        </w:rPr>
        <mc:AlternateContent>
          <mc:Choice Requires="wps">
            <w:drawing>
              <wp:anchor distT="0" distB="0" distL="114300" distR="114300" simplePos="0" relativeHeight="251657216" behindDoc="0" locked="0" layoutInCell="0" allowOverlap="1">
                <wp:simplePos x="0" y="0"/>
                <wp:positionH relativeFrom="column">
                  <wp:posOffset>-5080</wp:posOffset>
                </wp:positionH>
                <wp:positionV relativeFrom="paragraph">
                  <wp:posOffset>27305</wp:posOffset>
                </wp:positionV>
                <wp:extent cx="3749040" cy="0"/>
                <wp:effectExtent l="0" t="0" r="0" b="0"/>
                <wp:wrapNone/>
                <wp:docPr id="614395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436F0"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5pt" to="294.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65tsAEAAEgDAAAOAAAAZHJzL2Uyb0RvYy54bWysU8Fu2zAMvQ/YPwi6L06ydluNOD2k6y7d&#10;FqDtBzCSbAuTRYFUYufvJ6lJVmy3Yj4Ikkg+vfdIr26nwYmDIbboG7mYzaUwXqG2vmvk89P9hy9S&#10;cASvwaE3jTwalrfr9+9WY6jNEnt02pBIIJ7rMTSyjzHUVcWqNwPwDIPxKdgiDRDTkbpKE4wJfXDV&#10;cj7/VI1IOhAqw5xu716Ccl3w29ao+LNt2UThGpm4xbJSWXd5rdYrqDuC0Ft1ogFvYDGA9enRC9Qd&#10;RBB7sv9ADVYRMrZxpnCosG2tMkVDUrOY/6XmsYdgipZkDoeLTfz/YNWPw8ZvKVNXk38MD6h+sfC4&#10;6cF3phB4OobUuEW2qhoD15eSfOCwJbEbv6NOObCPWFyYWhoyZNInpmL28WK2maJQ6fLj56ub+VXq&#10;iTrHKqjPhYE4fjM4iLxppLM++wA1HB44ZiJQn1Pytcd761zppfNibOTN9fK6FDA6q3MwpzF1u40j&#10;cYA8DeUrqlLkdRrh3usC1hvQX0/7CNa97NPjzp/MyPrzsHG9Q33c0tmk1K7C8jRaeR5en0v1nx9g&#10;/RsAAP//AwBQSwMEFAAGAAgAAAAhAHl0Rl/aAAAABQEAAA8AAABkcnMvZG93bnJldi54bWxMzkFP&#10;wkAQBeC7if9hMyZeiGwFIVg6JUbtzYug8Tp0x7ahO1u6C1R/vYsXPb68yZsvWw22VUfufeME4Xac&#10;gGIpnWmkQnjbFDcLUD6QGGqdMMIXe1jllxcZpcad5JWP61CpOCI+JYQ6hC7V2pc1W/Jj17HE7tP1&#10;lkKMfaVNT6c4bls9SZK5ttRI/FBTx481l7v1wSL44p33xfeoHCUf08rxZP/08kyI11fDwxJU4CH8&#10;HcOZH+mQR9PWHcR41SKc4QHhbgoqtrPF/RzU9jfrPNP/9fkPAAAA//8DAFBLAQItABQABgAIAAAA&#10;IQC2gziS/gAAAOEBAAATAAAAAAAAAAAAAAAAAAAAAABbQ29udGVudF9UeXBlc10ueG1sUEsBAi0A&#10;FAAGAAgAAAAhADj9If/WAAAAlAEAAAsAAAAAAAAAAAAAAAAALwEAAF9yZWxzLy5yZWxzUEsBAi0A&#10;FAAGAAgAAAAhAMXPrm2wAQAASAMAAA4AAAAAAAAAAAAAAAAALgIAAGRycy9lMm9Eb2MueG1sUEsB&#10;Ai0AFAAGAAgAAAAhAHl0Rl/aAAAABQEAAA8AAAAAAAAAAAAAAAAACgQAAGRycy9kb3ducmV2Lnht&#10;bFBLBQYAAAAABAAEAPMAAAARBQAAAAA=&#10;" o:allowincell="f"/>
            </w:pict>
          </mc:Fallback>
        </mc:AlternateContent>
      </w:r>
      <w:r w:rsidRPr="00C9680B">
        <w:rPr>
          <w:noProof/>
          <w:sz w:val="14"/>
        </w:rPr>
        <w:drawing>
          <wp:inline distT="0" distB="0" distL="0" distR="0">
            <wp:extent cx="3744595" cy="385381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44595" cy="3853815"/>
                    </a:xfrm>
                    <a:prstGeom prst="rect">
                      <a:avLst/>
                    </a:prstGeom>
                    <a:noFill/>
                    <a:ln>
                      <a:noFill/>
                    </a:ln>
                  </pic:spPr>
                </pic:pic>
              </a:graphicData>
            </a:graphic>
          </wp:inline>
        </w:drawing>
      </w:r>
    </w:p>
    <w:p w:rsidR="001C7BF9" w:rsidRPr="00C9680B" w:rsidRDefault="001C7BF9">
      <w:pPr>
        <w:pStyle w:val="Normaltindrag"/>
        <w:spacing w:line="60" w:lineRule="exact"/>
      </w:pPr>
    </w:p>
    <w:p w:rsidR="001C7BF9" w:rsidRPr="00C9680B" w:rsidRDefault="001C7BF9">
      <w:pPr>
        <w:pStyle w:val="Tabelltext"/>
        <w:spacing w:line="180" w:lineRule="exact"/>
      </w:pPr>
      <w:r w:rsidRPr="00C9680B">
        <w:t>Anm. Nivån på utgiftsområde 25 har i det moderata förslaget höjts med 15 miljarder kronor och nivån på utgiftsområde 19 har i det centerpartistiska förslaget sänkts med 250 miljoner kronor enligt anmälningar från respektive parti.</w:t>
      </w:r>
    </w:p>
    <w:p w:rsidR="001C7BF9" w:rsidRPr="00C9680B" w:rsidRDefault="001C7BF9">
      <w:pPr>
        <w:pStyle w:val="R4"/>
      </w:pPr>
      <w:r w:rsidRPr="00C9680B">
        <w:t>Finansutskottets ställningstagande</w:t>
      </w:r>
    </w:p>
    <w:p w:rsidR="001C7BF9" w:rsidRPr="00C9680B" w:rsidRDefault="001C7BF9">
      <w:r w:rsidRPr="00C9680B">
        <w:t>Utskottet har i avsnitt 2.4 redovisat sin syn på de budgetförslag och priorit</w:t>
      </w:r>
      <w:r w:rsidRPr="00C9680B">
        <w:t>e</w:t>
      </w:r>
      <w:r w:rsidRPr="00C9680B">
        <w:t>ringar som regeringen och de borgerliga partierna gör. Ovanstående tabell visar i ett koncentrat hur dessa prioriteringar kommer till uttryck i Moderata samlingspartiets, Kristdemokraternas, Centerpartiets och Folkpartiet liber</w:t>
      </w:r>
      <w:r w:rsidRPr="00C9680B">
        <w:t>a</w:t>
      </w:r>
      <w:r w:rsidRPr="00C9680B">
        <w:t>lernas budgeta</w:t>
      </w:r>
      <w:r w:rsidRPr="00C9680B">
        <w:t>l</w:t>
      </w:r>
      <w:r w:rsidRPr="00C9680B">
        <w:t>ternativ.</w:t>
      </w:r>
    </w:p>
    <w:p w:rsidR="001C7BF9" w:rsidRPr="00C9680B" w:rsidRDefault="001C7BF9">
      <w:pPr>
        <w:pStyle w:val="Normaltindrag"/>
      </w:pPr>
      <w:r w:rsidRPr="00C9680B">
        <w:t>Noteras bör att för oppositionspartiernas del är de angivna värdena inte helt jämförbara på alla punkter beroende på att dessa partier dels använder sig av olika metoder för att kompensera kommunsektorn för effekterna av sina skatteförslag, dels framlägger v</w:t>
      </w:r>
      <w:r w:rsidRPr="00C9680B">
        <w:t>issa förslag som innebär att anslag i variera</w:t>
      </w:r>
      <w:r w:rsidRPr="00C9680B">
        <w:t>n</w:t>
      </w:r>
      <w:r w:rsidRPr="00C9680B">
        <w:t>de omfattning flyttas från ett utgift</w:t>
      </w:r>
      <w:r w:rsidRPr="00C9680B">
        <w:t>s</w:t>
      </w:r>
      <w:r w:rsidRPr="00C9680B">
        <w:t>område till ett annat.</w:t>
      </w:r>
    </w:p>
    <w:p w:rsidR="001C7BF9" w:rsidRPr="00C9680B" w:rsidRDefault="001C7BF9">
      <w:pPr>
        <w:pStyle w:val="Normaltindrag"/>
      </w:pPr>
      <w:r w:rsidRPr="00C9680B">
        <w:t>Så t.ex. föreslår Moderata samlingspartiet att ramen för utgiftsområde 25 Allmänna bidrag till kommuner skall räknas upp med 45,3 miljarder kronor främst beroende på att kommunsektorn föreslås få kompensation för det skattebortfall som det moderata budgetalternativet ger upphov till. Eftersom partiets förslag till neutraliseringar uppgår till sammanlagt 51,3 miljarder kronor föreslår Moderata samlingsp</w:t>
      </w:r>
      <w:r w:rsidRPr="00C9680B">
        <w:t>artiet i realiteten en neddragning av öve</w:t>
      </w:r>
      <w:r w:rsidRPr="00C9680B">
        <w:t>r</w:t>
      </w:r>
      <w:r w:rsidRPr="00C9680B">
        <w:t>föringarna till komm</w:t>
      </w:r>
      <w:r w:rsidRPr="00C9680B">
        <w:t>u</w:t>
      </w:r>
      <w:r w:rsidRPr="00C9680B">
        <w:t xml:space="preserve">nerna med 6,0 miljarder kronor. </w:t>
      </w:r>
    </w:p>
    <w:p w:rsidR="001C7BF9" w:rsidRPr="00C9680B" w:rsidRDefault="001C7BF9">
      <w:pPr>
        <w:pStyle w:val="Normaltindrag"/>
      </w:pPr>
      <w:r w:rsidRPr="00C9680B">
        <w:t>I motsats till Moderata samlingspartiet föreslår de tre övriga partierna att effekten på kommunsektorn av deras respektive inkomstskatteförslag skall neutraliseras genom en avräkning mot en inkomsttitel. Ett sådant förfarande är emellertid knappast förenligt med budgetlagens krav på att alla inkomster och utgifter på statsbudgeten skall bruttoredovisas. Om – för jämförbarhetens skull – motsvarande reglering i stä</w:t>
      </w:r>
      <w:r w:rsidRPr="00C9680B">
        <w:t>llet görs på utgiftsområde 25 kommer utgifterna på detta utgiftsområde att öka med för Kristdemokraterna 37,1 miljarder kronor, Centerpartiet 16,1 miljarder kronor och Folkpartiet 15,6 miljarder kronor. En motsvarande justering bör då också göras för respektive förslag till utgiftstak för år 2001.</w:t>
      </w:r>
    </w:p>
    <w:p w:rsidR="001C7BF9" w:rsidRPr="00C9680B" w:rsidRDefault="001C7BF9">
      <w:pPr>
        <w:pStyle w:val="Normaltindrag"/>
      </w:pPr>
      <w:r w:rsidRPr="00C9680B">
        <w:t>Alla oppositionspartier avvisar regeringens förslag till förändringar i i</w:t>
      </w:r>
      <w:r w:rsidRPr="00C9680B">
        <w:t>n</w:t>
      </w:r>
      <w:r w:rsidRPr="00C9680B">
        <w:t>komstbeskattningen utan att återställa nivån på det generella statsbidraget till komm</w:t>
      </w:r>
      <w:r w:rsidRPr="00C9680B">
        <w:t>u</w:t>
      </w:r>
      <w:r w:rsidRPr="00C9680B">
        <w:t>nerna. Den senare effekten är inte beaktad i deras respektive budget</w:t>
      </w:r>
      <w:r w:rsidRPr="00C9680B">
        <w:softHyphen/>
        <w:t>alternativ, vilket alltså i praktiken innebär att de minskar på överföringarna till kommunsektorn med 3,0 miljarder kronor mer än vad som kan utläsas av deras moti</w:t>
      </w:r>
      <w:r w:rsidRPr="00C9680B">
        <w:t>o</w:t>
      </w:r>
      <w:r w:rsidRPr="00C9680B">
        <w:t>ner.</w:t>
      </w:r>
    </w:p>
    <w:p w:rsidR="001C7BF9" w:rsidRPr="00C9680B" w:rsidRDefault="001C7BF9">
      <w:pPr>
        <w:pStyle w:val="Normaltindrag"/>
      </w:pPr>
      <w:r w:rsidRPr="00C9680B">
        <w:t>Vid jämförelse mellan de olika partiernas förslag till utgiftsramar bör man också vara medveten om de omfördelningar av anslag som främst Moderata sa</w:t>
      </w:r>
      <w:r w:rsidRPr="00C9680B">
        <w:t>m</w:t>
      </w:r>
      <w:r w:rsidRPr="00C9680B">
        <w:t>lingspartiet och Centerpartiet föreslår.</w:t>
      </w:r>
    </w:p>
    <w:p w:rsidR="001C7BF9" w:rsidRPr="00C9680B" w:rsidRDefault="001C7BF9">
      <w:pPr>
        <w:pStyle w:val="Normaltindrag"/>
      </w:pPr>
      <w:r w:rsidRPr="00C9680B">
        <w:t>Så t.ex. föreslår Moderata samlingspartiet att insatserna för fredsfrämjande truppinsatser inte längre skall belasta utgiftsområdena 5 och 6 utan i stället utgiftsområde 7 Internationellt bistånd. Korrigerar man för denna rena omfö</w:t>
      </w:r>
      <w:r w:rsidRPr="00C9680B">
        <w:t>r</w:t>
      </w:r>
      <w:r w:rsidRPr="00C9680B">
        <w:t>delning av anslag, visar det sig att Moderata samlingspartiet föreslår en b</w:t>
      </w:r>
      <w:r w:rsidRPr="00C9680B">
        <w:t>e</w:t>
      </w:r>
      <w:r w:rsidRPr="00C9680B">
        <w:t>tydligt större satsning på försvar och en betydligt större minskning av bistå</w:t>
      </w:r>
      <w:r w:rsidRPr="00C9680B">
        <w:t>n</w:t>
      </w:r>
      <w:r w:rsidRPr="00C9680B">
        <w:t>det – 2,0 i stället för 1,0 miljarder kronor för respektive utgiftsområde – än vad som framgår av sammanstäl</w:t>
      </w:r>
      <w:r w:rsidRPr="00C9680B">
        <w:t>l</w:t>
      </w:r>
      <w:r w:rsidRPr="00C9680B">
        <w:t>ningen.</w:t>
      </w:r>
    </w:p>
    <w:p w:rsidR="001C7BF9" w:rsidRPr="00C9680B" w:rsidRDefault="001C7BF9">
      <w:pPr>
        <w:pStyle w:val="Normaltindrag"/>
      </w:pPr>
      <w:r w:rsidRPr="00C9680B">
        <w:t>Som utskottet tidigare berört (avsnitt 2.4.3) föreslår Centerpartiet stora o</w:t>
      </w:r>
      <w:r w:rsidRPr="00C9680B">
        <w:t>m</w:t>
      </w:r>
      <w:r w:rsidRPr="00C9680B">
        <w:t>fördelningar mellan utgiftsområdena 13, 14 och 15. Omfördelningen skall ses som första steget mot ett enhetligt försörjningsstöd som partiet vill införa fr.o.m. 2001. För att öka flexibiliteten i arbetsmarknadspolitiken föreslår Centerpartiet att försörjningsstöden samlas under utgiftsområde 13 Arbet</w:t>
      </w:r>
      <w:r w:rsidRPr="00C9680B">
        <w:t>s</w:t>
      </w:r>
      <w:r w:rsidRPr="00C9680B">
        <w:t>marknad. Detta medför en omflyttning av de anslagsposter som ej kan härl</w:t>
      </w:r>
      <w:r w:rsidRPr="00C9680B">
        <w:t>e</w:t>
      </w:r>
      <w:r w:rsidRPr="00C9680B">
        <w:t xml:space="preserve">das till försörjningsstöd till utgiftsområde 14 Arbetsliv. Vidare föreslås att den del av anslaget för vuxenstudiestöd som kan härledas </w:t>
      </w:r>
      <w:r w:rsidRPr="00C9680B">
        <w:t>till försörjningsstöd vid någon typ av arbetslöshet överförs från utgiftsområde 15 till utgiftsomr</w:t>
      </w:r>
      <w:r w:rsidRPr="00C9680B">
        <w:t>å</w:t>
      </w:r>
      <w:r w:rsidRPr="00C9680B">
        <w:t>de 13. Korrigerat för dessa omfördelningar uppgår på de tre utgiftsområdena Centerpartiets förslag till fö</w:t>
      </w:r>
      <w:r w:rsidRPr="00C9680B">
        <w:t>l</w:t>
      </w:r>
      <w:r w:rsidRPr="00C9680B">
        <w:t>jande belopp.</w:t>
      </w:r>
    </w:p>
    <w:p w:rsidR="001C7BF9" w:rsidRPr="00C9680B" w:rsidRDefault="001C7BF9">
      <w:pPr>
        <w:pStyle w:val="TabellrubrikPer"/>
        <w:keepNext/>
        <w:ind w:left="794" w:hanging="794"/>
        <w:rPr>
          <w:b/>
          <w:caps w:val="0"/>
          <w:spacing w:val="0"/>
          <w:sz w:val="16"/>
        </w:rPr>
      </w:pPr>
      <w:r w:rsidRPr="00C9680B">
        <w:rPr>
          <w:b/>
          <w:caps w:val="0"/>
          <w:spacing w:val="0"/>
          <w:sz w:val="16"/>
        </w:rPr>
        <w:t>Tabell 28. Centerpartiets förslag till omfördelning mellan utgiftsområdena 13, 14 och 15 i budgetförslaget för 2001</w:t>
      </w:r>
    </w:p>
    <w:p w:rsidR="001C7BF9" w:rsidRPr="00C9680B" w:rsidRDefault="001C7BF9">
      <w:pPr>
        <w:pStyle w:val="Tabelltext"/>
        <w:keepNext/>
        <w:spacing w:after="20"/>
        <w:rPr>
          <w:sz w:val="14"/>
        </w:rPr>
      </w:pPr>
      <w:r w:rsidRPr="00C9680B">
        <w:rPr>
          <w:sz w:val="14"/>
        </w:rPr>
        <w:t>Belopp i miljoner kronor</w:t>
      </w:r>
    </w:p>
    <w:p w:rsidR="001C7BF9" w:rsidRPr="00C9680B" w:rsidRDefault="00C9680B">
      <w:pPr>
        <w:keepNext/>
        <w:spacing w:line="240" w:lineRule="auto"/>
      </w:pPr>
      <w:r w:rsidRPr="00C9680B">
        <w:rPr>
          <w:noProof/>
        </w:rPr>
        <w:drawing>
          <wp:inline distT="0" distB="0" distL="0" distR="0">
            <wp:extent cx="3723005" cy="103949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23005" cy="1039495"/>
                    </a:xfrm>
                    <a:prstGeom prst="rect">
                      <a:avLst/>
                    </a:prstGeom>
                    <a:noFill/>
                    <a:ln>
                      <a:noFill/>
                    </a:ln>
                  </pic:spPr>
                </pic:pic>
              </a:graphicData>
            </a:graphic>
          </wp:inline>
        </w:drawing>
      </w:r>
    </w:p>
    <w:p w:rsidR="001C7BF9" w:rsidRPr="00C9680B" w:rsidRDefault="001C7BF9">
      <w:pPr>
        <w:pStyle w:val="Tabell"/>
        <w:ind w:left="113" w:hanging="113"/>
        <w:rPr>
          <w:sz w:val="16"/>
        </w:rPr>
      </w:pPr>
      <w:r w:rsidRPr="00C9680B">
        <w:rPr>
          <w:sz w:val="16"/>
        </w:rPr>
        <w:t xml:space="preserve">¹ Överföringsbeloppen är hämtade från  Centerpartiets tre olika motioner A306,  A307 </w:t>
      </w:r>
    </w:p>
    <w:p w:rsidR="001C7BF9" w:rsidRPr="00C9680B" w:rsidRDefault="001C7BF9">
      <w:pPr>
        <w:pStyle w:val="Tabell"/>
        <w:ind w:left="113" w:hanging="113"/>
        <w:rPr>
          <w:sz w:val="16"/>
        </w:rPr>
      </w:pPr>
      <w:r w:rsidRPr="00C9680B">
        <w:rPr>
          <w:sz w:val="16"/>
        </w:rPr>
        <w:t xml:space="preserve">   och Ub725. </w:t>
      </w:r>
    </w:p>
    <w:p w:rsidR="001C7BF9" w:rsidRPr="00C9680B" w:rsidRDefault="001C7BF9">
      <w:pPr>
        <w:pStyle w:val="Normaltindrag"/>
      </w:pPr>
    </w:p>
    <w:p w:rsidR="001C7BF9" w:rsidRPr="00C9680B" w:rsidRDefault="001C7BF9">
      <w:r w:rsidRPr="00C9680B">
        <w:t>Vad som i Centerpartiets förslag kan tolkas som en mycket kraftig satsning på utgiftsområde 14 Arbetsliv motsvaras alltså i själva verket av en rammins</w:t>
      </w:r>
      <w:r w:rsidRPr="00C9680B">
        <w:t>k</w:t>
      </w:r>
      <w:r w:rsidRPr="00C9680B">
        <w:t>ning med 0,7 miljarder kronor. Den enligt partiets förslag förnyade arbet</w:t>
      </w:r>
      <w:r w:rsidRPr="00C9680B">
        <w:t>s</w:t>
      </w:r>
      <w:r w:rsidRPr="00C9680B">
        <w:t>marknadspolitiken beräknas ge utrymme för besparingar inom arbetsmar</w:t>
      </w:r>
      <w:r w:rsidRPr="00C9680B">
        <w:t>k</w:t>
      </w:r>
      <w:r w:rsidRPr="00C9680B">
        <w:t>nadsutbildningen samt administrationen inom utgiftsområdet. Den föreslagna neddragningen på utgiftsområde 15 Studiestöd motsvaras samtidigt av en ökning av utgiftsramen på 1,0 miljard kronor. Även den kraftiga minskningen av ramen på utgiftsområde 13 Arbetsmarknad är också av en helt annan o</w:t>
      </w:r>
      <w:r w:rsidRPr="00C9680B">
        <w:t>m</w:t>
      </w:r>
      <w:r w:rsidRPr="00C9680B">
        <w:t xml:space="preserve">fattning än vad som framgår av partiets förslag till utgiftsfördelning. På </w:t>
      </w:r>
      <w:r w:rsidRPr="00C9680B">
        <w:t>tä</w:t>
      </w:r>
      <w:r w:rsidRPr="00C9680B">
        <w:t>m</w:t>
      </w:r>
      <w:r w:rsidRPr="00C9680B">
        <w:t>ligen lösa grunder hävdar motionärerna att besparingarna inom detta utgift</w:t>
      </w:r>
      <w:r w:rsidRPr="00C9680B">
        <w:t>s</w:t>
      </w:r>
      <w:r w:rsidRPr="00C9680B">
        <w:t>område möjliggörs genom ökad flexibilitet på arbetsmarknaden och effektiv</w:t>
      </w:r>
      <w:r w:rsidRPr="00C9680B">
        <w:t>i</w:t>
      </w:r>
      <w:r w:rsidRPr="00C9680B">
        <w:t>sering av arbetsmarknadspolitiken. De berör huvudsakligen anslagen för försörjning</w:t>
      </w:r>
      <w:r w:rsidRPr="00C9680B">
        <w:t>s</w:t>
      </w:r>
      <w:r w:rsidRPr="00C9680B">
        <w:t>stöd.</w:t>
      </w:r>
    </w:p>
    <w:p w:rsidR="001C7BF9" w:rsidRPr="00C9680B" w:rsidRDefault="001C7BF9">
      <w:r w:rsidRPr="00C9680B">
        <w:t>En konsekvens av utskottets tidigare ställningstagande till de olika budgeta</w:t>
      </w:r>
      <w:r w:rsidRPr="00C9680B">
        <w:t>l</w:t>
      </w:r>
      <w:r w:rsidRPr="00C9680B">
        <w:t>ternativen är att utskottet även biträder regeringens förslag till fördelning av utgifter på utgiftsområden. Utskottet tillstyrker således punkt 8 i propositi</w:t>
      </w:r>
      <w:r w:rsidRPr="00C9680B">
        <w:t>o</w:t>
      </w:r>
      <w:r w:rsidRPr="00C9680B">
        <w:t>nen.</w:t>
      </w:r>
    </w:p>
    <w:p w:rsidR="001C7BF9" w:rsidRPr="00C9680B" w:rsidRDefault="001C7BF9">
      <w:pPr>
        <w:pStyle w:val="Normaltindrag"/>
      </w:pPr>
      <w:r w:rsidRPr="00C9680B">
        <w:t>De motionsyrkanden som är aktuella i detta sammanhang avstyrks. Det gäller Fi208 (m) yrkande 5, Fi209 (kd) yrkande 6, Fi210 (c) yrkande 4 och Fi211 (fp) yrkande 6.</w:t>
      </w:r>
    </w:p>
    <w:p w:rsidR="001C7BF9" w:rsidRPr="00C9680B" w:rsidRDefault="001C7BF9">
      <w:pPr>
        <w:pStyle w:val="Normaltindrag"/>
      </w:pPr>
      <w:r w:rsidRPr="00C9680B">
        <w:t>Finansutskottet har för sin del ingenting att erinra i sak mot konstitution</w:t>
      </w:r>
      <w:r w:rsidRPr="00C9680B">
        <w:t>s</w:t>
      </w:r>
      <w:r w:rsidRPr="00C9680B">
        <w:t>utskottets bedömning av propositionens förslag till ändring i utgiftsomr</w:t>
      </w:r>
      <w:r w:rsidRPr="00C9680B">
        <w:t>å</w:t>
      </w:r>
      <w:r w:rsidRPr="00C9680B">
        <w:t>desinde</w:t>
      </w:r>
      <w:r w:rsidRPr="00C9680B">
        <w:t>l</w:t>
      </w:r>
      <w:r w:rsidRPr="00C9680B">
        <w:t>ningen.</w:t>
      </w:r>
    </w:p>
    <w:p w:rsidR="001C7BF9" w:rsidRPr="00C9680B" w:rsidRDefault="001C7BF9">
      <w:pPr>
        <w:pStyle w:val="Rubrik2"/>
      </w:pPr>
      <w:bookmarkStart w:id="180" w:name="_Toc498245135"/>
      <w:bookmarkStart w:id="181" w:name="_Toc498910696"/>
      <w:r w:rsidRPr="00C9680B">
        <w:t>2.7 Redovisning av statsbudgetens inkomster för 2001</w:t>
      </w:r>
      <w:bookmarkEnd w:id="180"/>
      <w:bookmarkEnd w:id="181"/>
    </w:p>
    <w:p w:rsidR="001C7BF9" w:rsidRPr="00C9680B" w:rsidRDefault="001C7BF9">
      <w:r w:rsidRPr="00C9680B">
        <w:t>Utskottet har tidigare ställt sig bakom regeringens förslag till inriktning av budgetpolitiken (2.4.3). Till grund för detta förslag ligger den inkomstberä</w:t>
      </w:r>
      <w:r w:rsidRPr="00C9680B">
        <w:t>k</w:t>
      </w:r>
      <w:r w:rsidRPr="00C9680B">
        <w:t>ning som regeringen redovisar för 2001. Finansutskottet redovisar längre fram i betänkandet i avsnitt 3.10 regeringens och oppositionspartiernas alternativa förslag till beräkning av statsbudgetens inkomster för 2001 och tar där fo</w:t>
      </w:r>
      <w:r w:rsidRPr="00C9680B">
        <w:t>r</w:t>
      </w:r>
      <w:r w:rsidRPr="00C9680B">
        <w:t>mellt ställning till de olika yrkandena. Utskottet biträder därvid regeringens förslag till inkomstberäkning som för 2001 summerar till 717,1 miljarder kronor.</w:t>
      </w:r>
    </w:p>
    <w:p w:rsidR="001C7BF9" w:rsidRPr="00C9680B" w:rsidRDefault="001C7BF9">
      <w:pPr>
        <w:pStyle w:val="Normaltindrag"/>
      </w:pPr>
      <w:r w:rsidRPr="00C9680B">
        <w:t>I efterföljande sammanställning redovisas regeringens och oppositionspa</w:t>
      </w:r>
      <w:r w:rsidRPr="00C9680B">
        <w:t>r</w:t>
      </w:r>
      <w:r w:rsidRPr="00C9680B">
        <w:t>tie</w:t>
      </w:r>
      <w:r w:rsidRPr="00C9680B">
        <w:t>r</w:t>
      </w:r>
      <w:r w:rsidRPr="00C9680B">
        <w:t>nas förslag till beräkning av statsbudgetens inkomster för 2001.</w:t>
      </w:r>
    </w:p>
    <w:p w:rsidR="001C7BF9" w:rsidRPr="00C9680B" w:rsidRDefault="001C7BF9">
      <w:pPr>
        <w:pStyle w:val="TabellrubrikPer"/>
        <w:keepNext/>
        <w:ind w:left="794" w:hanging="794"/>
        <w:rPr>
          <w:b/>
          <w:caps w:val="0"/>
          <w:smallCaps/>
          <w:spacing w:val="0"/>
          <w:sz w:val="16"/>
        </w:rPr>
      </w:pPr>
      <w:r w:rsidRPr="00C9680B">
        <w:rPr>
          <w:b/>
          <w:caps w:val="0"/>
          <w:spacing w:val="0"/>
          <w:sz w:val="16"/>
        </w:rPr>
        <w:t>Tabell 29. Regeringens och oppositionspartiernas förslag till beräkning av statsbudg</w:t>
      </w:r>
      <w:r w:rsidRPr="00C9680B">
        <w:rPr>
          <w:b/>
          <w:caps w:val="0"/>
          <w:spacing w:val="0"/>
          <w:sz w:val="16"/>
        </w:rPr>
        <w:t>e</w:t>
      </w:r>
      <w:r w:rsidRPr="00C9680B">
        <w:rPr>
          <w:b/>
          <w:caps w:val="0"/>
          <w:spacing w:val="0"/>
          <w:sz w:val="16"/>
        </w:rPr>
        <w:t>tens samlade inkomster för 2001.</w:t>
      </w:r>
    </w:p>
    <w:p w:rsidR="001C7BF9" w:rsidRPr="00C9680B" w:rsidRDefault="001C7BF9">
      <w:pPr>
        <w:pStyle w:val="TabellrubrikPer"/>
        <w:keepLines/>
        <w:spacing w:before="62"/>
        <w:outlineLvl w:val="0"/>
        <w:rPr>
          <w:caps w:val="0"/>
        </w:rPr>
      </w:pPr>
      <w:r w:rsidRPr="00C9680B">
        <w:rPr>
          <w:caps w:val="0"/>
        </w:rPr>
        <w:t>Belopp i miljoner kronor</w:t>
      </w:r>
    </w:p>
    <w:tbl>
      <w:tblPr>
        <w:tblW w:w="0" w:type="auto"/>
        <w:tblLayout w:type="fixed"/>
        <w:tblCellMar>
          <w:left w:w="0" w:type="dxa"/>
          <w:right w:w="0" w:type="dxa"/>
        </w:tblCellMar>
        <w:tblLook w:val="0000" w:firstRow="0" w:lastRow="0" w:firstColumn="0" w:lastColumn="0" w:noHBand="0" w:noVBand="0"/>
      </w:tblPr>
      <w:tblGrid>
        <w:gridCol w:w="1560"/>
        <w:gridCol w:w="1134"/>
        <w:gridCol w:w="815"/>
        <w:gridCol w:w="815"/>
        <w:gridCol w:w="815"/>
        <w:gridCol w:w="815"/>
      </w:tblGrid>
      <w:tr w:rsidR="00000000" w:rsidRPr="00C9680B">
        <w:tblPrEx>
          <w:tblCellMar>
            <w:top w:w="0" w:type="dxa"/>
            <w:left w:w="0" w:type="dxa"/>
            <w:bottom w:w="0" w:type="dxa"/>
            <w:right w:w="0" w:type="dxa"/>
          </w:tblCellMar>
        </w:tblPrEx>
        <w:tc>
          <w:tcPr>
            <w:tcW w:w="1560" w:type="dxa"/>
            <w:tcBorders>
              <w:top w:val="single" w:sz="4" w:space="0" w:color="auto"/>
              <w:bottom w:val="single" w:sz="4" w:space="0" w:color="auto"/>
            </w:tcBorders>
          </w:tcPr>
          <w:p w:rsidR="001C7BF9" w:rsidRPr="00C9680B" w:rsidRDefault="001C7BF9">
            <w:pPr>
              <w:pStyle w:val="Tabell"/>
              <w:keepNext/>
              <w:keepLines/>
              <w:spacing w:line="240" w:lineRule="exact"/>
              <w:jc w:val="left"/>
              <w:rPr>
                <w:b/>
                <w:sz w:val="16"/>
              </w:rPr>
            </w:pPr>
          </w:p>
        </w:tc>
        <w:tc>
          <w:tcPr>
            <w:tcW w:w="1134" w:type="dxa"/>
            <w:tcBorders>
              <w:top w:val="single" w:sz="4" w:space="0" w:color="auto"/>
              <w:bottom w:val="single" w:sz="4" w:space="0" w:color="auto"/>
            </w:tcBorders>
          </w:tcPr>
          <w:p w:rsidR="001C7BF9" w:rsidRPr="00C9680B" w:rsidRDefault="001C7BF9">
            <w:pPr>
              <w:pStyle w:val="Tabell"/>
              <w:keepNext/>
              <w:keepLines/>
              <w:spacing w:line="240" w:lineRule="exact"/>
              <w:jc w:val="center"/>
              <w:rPr>
                <w:b/>
                <w:sz w:val="16"/>
              </w:rPr>
            </w:pPr>
            <w:r w:rsidRPr="00C9680B">
              <w:rPr>
                <w:b/>
                <w:sz w:val="16"/>
              </w:rPr>
              <w:t>Regerin</w:t>
            </w:r>
            <w:r w:rsidRPr="00C9680B">
              <w:rPr>
                <w:b/>
                <w:sz w:val="16"/>
              </w:rPr>
              <w:t>g</w:t>
            </w:r>
            <w:r w:rsidRPr="00C9680B">
              <w:rPr>
                <w:b/>
                <w:sz w:val="16"/>
              </w:rPr>
              <w:t>ens</w:t>
            </w:r>
          </w:p>
          <w:p w:rsidR="001C7BF9" w:rsidRPr="00C9680B" w:rsidRDefault="001C7BF9">
            <w:pPr>
              <w:pStyle w:val="Tabell"/>
              <w:keepNext/>
              <w:keepLines/>
              <w:spacing w:line="200" w:lineRule="exact"/>
              <w:jc w:val="center"/>
              <w:rPr>
                <w:b/>
                <w:sz w:val="16"/>
              </w:rPr>
            </w:pPr>
            <w:r w:rsidRPr="00C9680B">
              <w:rPr>
                <w:b/>
                <w:sz w:val="16"/>
              </w:rPr>
              <w:t>förslag</w:t>
            </w:r>
          </w:p>
        </w:tc>
        <w:tc>
          <w:tcPr>
            <w:tcW w:w="815" w:type="dxa"/>
            <w:tcBorders>
              <w:top w:val="single" w:sz="4" w:space="0" w:color="auto"/>
              <w:bottom w:val="single" w:sz="4" w:space="0" w:color="auto"/>
            </w:tcBorders>
          </w:tcPr>
          <w:p w:rsidR="001C7BF9" w:rsidRPr="00C9680B" w:rsidRDefault="001C7BF9">
            <w:pPr>
              <w:pStyle w:val="Tabell"/>
              <w:keepNext/>
              <w:keepLines/>
              <w:spacing w:line="240" w:lineRule="exact"/>
              <w:jc w:val="center"/>
              <w:rPr>
                <w:b/>
                <w:sz w:val="16"/>
              </w:rPr>
            </w:pPr>
            <w:r w:rsidRPr="00C9680B">
              <w:rPr>
                <w:b/>
                <w:sz w:val="16"/>
              </w:rPr>
              <w:t>m</w:t>
            </w:r>
          </w:p>
        </w:tc>
        <w:tc>
          <w:tcPr>
            <w:tcW w:w="815" w:type="dxa"/>
            <w:tcBorders>
              <w:top w:val="single" w:sz="4" w:space="0" w:color="auto"/>
              <w:bottom w:val="single" w:sz="4" w:space="0" w:color="auto"/>
            </w:tcBorders>
          </w:tcPr>
          <w:p w:rsidR="001C7BF9" w:rsidRPr="00C9680B" w:rsidRDefault="001C7BF9">
            <w:pPr>
              <w:pStyle w:val="Tabell"/>
              <w:keepNext/>
              <w:keepLines/>
              <w:spacing w:line="240" w:lineRule="exact"/>
              <w:jc w:val="center"/>
              <w:rPr>
                <w:b/>
                <w:sz w:val="16"/>
              </w:rPr>
            </w:pPr>
            <w:r w:rsidRPr="00C9680B">
              <w:rPr>
                <w:b/>
                <w:sz w:val="16"/>
              </w:rPr>
              <w:t>kd</w:t>
            </w:r>
          </w:p>
        </w:tc>
        <w:tc>
          <w:tcPr>
            <w:tcW w:w="815" w:type="dxa"/>
            <w:tcBorders>
              <w:top w:val="single" w:sz="4" w:space="0" w:color="auto"/>
              <w:bottom w:val="single" w:sz="4" w:space="0" w:color="auto"/>
            </w:tcBorders>
          </w:tcPr>
          <w:p w:rsidR="001C7BF9" w:rsidRPr="00C9680B" w:rsidRDefault="001C7BF9">
            <w:pPr>
              <w:pStyle w:val="Tabell"/>
              <w:keepNext/>
              <w:keepLines/>
              <w:spacing w:line="240" w:lineRule="exact"/>
              <w:jc w:val="center"/>
              <w:rPr>
                <w:b/>
                <w:sz w:val="16"/>
              </w:rPr>
            </w:pPr>
            <w:r w:rsidRPr="00C9680B">
              <w:rPr>
                <w:b/>
                <w:sz w:val="16"/>
              </w:rPr>
              <w:t>c</w:t>
            </w:r>
          </w:p>
        </w:tc>
        <w:tc>
          <w:tcPr>
            <w:tcW w:w="815" w:type="dxa"/>
            <w:tcBorders>
              <w:top w:val="single" w:sz="4" w:space="0" w:color="auto"/>
              <w:bottom w:val="single" w:sz="4" w:space="0" w:color="auto"/>
            </w:tcBorders>
          </w:tcPr>
          <w:p w:rsidR="001C7BF9" w:rsidRPr="00C9680B" w:rsidRDefault="001C7BF9">
            <w:pPr>
              <w:pStyle w:val="Tabell"/>
              <w:keepNext/>
              <w:keepLines/>
              <w:spacing w:line="240" w:lineRule="exact"/>
              <w:jc w:val="center"/>
              <w:rPr>
                <w:b/>
                <w:sz w:val="16"/>
              </w:rPr>
            </w:pPr>
            <w:r w:rsidRPr="00C9680B">
              <w:rPr>
                <w:b/>
                <w:sz w:val="16"/>
              </w:rPr>
              <w:t>fp</w:t>
            </w:r>
          </w:p>
        </w:tc>
      </w:tr>
      <w:tr w:rsidR="00000000" w:rsidRPr="00C9680B">
        <w:tblPrEx>
          <w:tblCellMar>
            <w:top w:w="0" w:type="dxa"/>
            <w:left w:w="0" w:type="dxa"/>
            <w:bottom w:w="0" w:type="dxa"/>
            <w:right w:w="0" w:type="dxa"/>
          </w:tblCellMar>
        </w:tblPrEx>
        <w:tc>
          <w:tcPr>
            <w:tcW w:w="1560" w:type="dxa"/>
            <w:tcBorders>
              <w:bottom w:val="single" w:sz="4" w:space="0" w:color="auto"/>
            </w:tcBorders>
          </w:tcPr>
          <w:p w:rsidR="001C7BF9" w:rsidRPr="00C9680B" w:rsidRDefault="001C7BF9">
            <w:pPr>
              <w:pStyle w:val="Tabell"/>
              <w:keepNext/>
              <w:keepLines/>
              <w:spacing w:after="20" w:line="240" w:lineRule="exact"/>
              <w:jc w:val="left"/>
              <w:rPr>
                <w:sz w:val="16"/>
              </w:rPr>
            </w:pPr>
            <w:r w:rsidRPr="00C9680B">
              <w:rPr>
                <w:sz w:val="16"/>
              </w:rPr>
              <w:t>Summa inkom</w:t>
            </w:r>
            <w:r w:rsidRPr="00C9680B">
              <w:rPr>
                <w:sz w:val="16"/>
              </w:rPr>
              <w:t>s</w:t>
            </w:r>
            <w:r w:rsidRPr="00C9680B">
              <w:rPr>
                <w:sz w:val="16"/>
              </w:rPr>
              <w:t>ter</w:t>
            </w:r>
          </w:p>
        </w:tc>
        <w:tc>
          <w:tcPr>
            <w:tcW w:w="1134" w:type="dxa"/>
            <w:tcBorders>
              <w:bottom w:val="single" w:sz="4" w:space="0" w:color="auto"/>
            </w:tcBorders>
          </w:tcPr>
          <w:p w:rsidR="001C7BF9" w:rsidRPr="00C9680B" w:rsidRDefault="001C7BF9">
            <w:pPr>
              <w:pStyle w:val="Tabell"/>
              <w:keepNext/>
              <w:keepLines/>
              <w:spacing w:after="20" w:line="240" w:lineRule="exact"/>
              <w:jc w:val="center"/>
              <w:rPr>
                <w:sz w:val="16"/>
              </w:rPr>
            </w:pPr>
            <w:r w:rsidRPr="00C9680B">
              <w:rPr>
                <w:sz w:val="16"/>
              </w:rPr>
              <w:t>717 145</w:t>
            </w:r>
          </w:p>
        </w:tc>
        <w:tc>
          <w:tcPr>
            <w:tcW w:w="815" w:type="dxa"/>
            <w:tcBorders>
              <w:bottom w:val="single" w:sz="4" w:space="0" w:color="auto"/>
            </w:tcBorders>
          </w:tcPr>
          <w:p w:rsidR="001C7BF9" w:rsidRPr="00C9680B" w:rsidRDefault="001C7BF9">
            <w:pPr>
              <w:pStyle w:val="Tabell"/>
              <w:keepNext/>
              <w:keepLines/>
              <w:spacing w:after="20" w:line="240" w:lineRule="exact"/>
              <w:jc w:val="center"/>
              <w:rPr>
                <w:sz w:val="16"/>
              </w:rPr>
            </w:pPr>
            <w:r w:rsidRPr="00C9680B">
              <w:rPr>
                <w:sz w:val="16"/>
              </w:rPr>
              <w:t>+1 800</w:t>
            </w:r>
          </w:p>
        </w:tc>
        <w:tc>
          <w:tcPr>
            <w:tcW w:w="815" w:type="dxa"/>
            <w:tcBorders>
              <w:bottom w:val="single" w:sz="4" w:space="0" w:color="auto"/>
            </w:tcBorders>
          </w:tcPr>
          <w:p w:rsidR="001C7BF9" w:rsidRPr="00C9680B" w:rsidRDefault="001C7BF9">
            <w:pPr>
              <w:pStyle w:val="Tabell"/>
              <w:keepNext/>
              <w:keepLines/>
              <w:spacing w:after="20" w:line="240" w:lineRule="exact"/>
              <w:jc w:val="center"/>
              <w:rPr>
                <w:sz w:val="16"/>
              </w:rPr>
            </w:pPr>
            <w:r w:rsidRPr="00C9680B">
              <w:rPr>
                <w:sz w:val="16"/>
              </w:rPr>
              <w:t>-26 370</w:t>
            </w:r>
          </w:p>
        </w:tc>
        <w:tc>
          <w:tcPr>
            <w:tcW w:w="815" w:type="dxa"/>
            <w:tcBorders>
              <w:bottom w:val="single" w:sz="4" w:space="0" w:color="auto"/>
            </w:tcBorders>
          </w:tcPr>
          <w:p w:rsidR="001C7BF9" w:rsidRPr="00C9680B" w:rsidRDefault="001C7BF9">
            <w:pPr>
              <w:pStyle w:val="Tabell"/>
              <w:keepNext/>
              <w:keepLines/>
              <w:spacing w:after="20" w:line="240" w:lineRule="exact"/>
              <w:jc w:val="center"/>
              <w:rPr>
                <w:sz w:val="16"/>
              </w:rPr>
            </w:pPr>
            <w:r w:rsidRPr="00C9680B">
              <w:rPr>
                <w:sz w:val="16"/>
              </w:rPr>
              <w:t>-10 185</w:t>
            </w:r>
          </w:p>
        </w:tc>
        <w:tc>
          <w:tcPr>
            <w:tcW w:w="815" w:type="dxa"/>
            <w:tcBorders>
              <w:bottom w:val="single" w:sz="4" w:space="0" w:color="auto"/>
            </w:tcBorders>
          </w:tcPr>
          <w:p w:rsidR="001C7BF9" w:rsidRPr="00C9680B" w:rsidRDefault="001C7BF9">
            <w:pPr>
              <w:pStyle w:val="Tabell"/>
              <w:keepNext/>
              <w:keepLines/>
              <w:spacing w:after="20" w:line="240" w:lineRule="exact"/>
              <w:jc w:val="center"/>
              <w:rPr>
                <w:sz w:val="16"/>
              </w:rPr>
            </w:pPr>
            <w:r w:rsidRPr="00C9680B">
              <w:rPr>
                <w:sz w:val="16"/>
              </w:rPr>
              <w:t>-11 305</w:t>
            </w:r>
          </w:p>
        </w:tc>
      </w:tr>
    </w:tbl>
    <w:p w:rsidR="001C7BF9" w:rsidRPr="00C9680B" w:rsidRDefault="001C7BF9">
      <w:pPr>
        <w:pStyle w:val="Normaltindrag"/>
      </w:pPr>
    </w:p>
    <w:p w:rsidR="001C7BF9" w:rsidRPr="00C9680B" w:rsidRDefault="001C7BF9">
      <w:r w:rsidRPr="00C9680B">
        <w:t>Det bör noteras att redovisningen av budgeteffekten av oppositionspartiernas skatte- och avgiftsförslag grundas på en sammanställning som finansutskottet gjort. Huvudprincipen har varit att redovisa förslagens rent statsfinansiella effekter men undantag från detta förekommer. Vissa av partiernas förslag till skatteförändringar påverkar främst kommunernas och landstingens skattei</w:t>
      </w:r>
      <w:r w:rsidRPr="00C9680B">
        <w:t>n</w:t>
      </w:r>
      <w:r w:rsidRPr="00C9680B">
        <w:t>komster vilka förutsätts bli kompenserade för det inkomstbortfall detta ger upphov till. På statsbudgeten syns dessa förändringar för Moderata samling</w:t>
      </w:r>
      <w:r w:rsidRPr="00C9680B">
        <w:t>s</w:t>
      </w:r>
      <w:r w:rsidRPr="00C9680B">
        <w:t xml:space="preserve">partiets del som anslagsökningar på utgiftsområde 25 Allmänna bidrag till kommuner. Kristdemokraterna reglerar vissa förslag över utgiftsområde 25, medan partiets övriga förslag belastar inkomsttiteln </w:t>
      </w:r>
      <w:r w:rsidRPr="00C9680B">
        <w:rPr>
          <w:i/>
        </w:rPr>
        <w:t>1111 Fysiska personers inkomstskatt</w:t>
      </w:r>
      <w:r w:rsidRPr="00C9680B">
        <w:t>. Förslagen från Centerpartiet respektive Folkpartiet liberalerna syns som negativa poster på inkoms</w:t>
      </w:r>
      <w:r w:rsidRPr="00C9680B">
        <w:t>t</w:t>
      </w:r>
      <w:r w:rsidRPr="00C9680B">
        <w:t>titeln 1111.</w:t>
      </w:r>
    </w:p>
    <w:p w:rsidR="001C7BF9" w:rsidRPr="00C9680B" w:rsidRDefault="001C7BF9">
      <w:pPr>
        <w:pStyle w:val="Utskottetsvervganden-RubrikFrslagspunkt"/>
        <w:outlineLvl w:val="0"/>
      </w:pPr>
      <w:bookmarkStart w:id="182" w:name="_Toc498245136"/>
      <w:bookmarkStart w:id="183" w:name="_Toc498910697"/>
      <w:r w:rsidRPr="00C9680B">
        <w:t>2.8 Anslag</w:t>
      </w:r>
      <w:r w:rsidRPr="00C9680B">
        <w:t>sbehållningar</w:t>
      </w:r>
      <w:bookmarkEnd w:id="182"/>
      <w:bookmarkEnd w:id="183"/>
    </w:p>
    <w:p w:rsidR="001C7BF9" w:rsidRPr="00C9680B" w:rsidRDefault="001C7BF9">
      <w:pPr>
        <w:pStyle w:val="Utskottsfrslagikorthet-Rubrik"/>
        <w:outlineLvl w:val="0"/>
        <w:rPr>
          <w:noProof w:val="0"/>
        </w:rPr>
      </w:pPr>
      <w:r w:rsidRPr="00C9680B">
        <w:rPr>
          <w:noProof w:val="0"/>
        </w:rPr>
        <w:t>Utskottets delförslag i korthet</w:t>
      </w:r>
    </w:p>
    <w:p w:rsidR="001C7BF9" w:rsidRPr="00C9680B" w:rsidRDefault="001C7BF9">
      <w:pPr>
        <w:pStyle w:val="Utskottsfrslagikorthet-Text"/>
        <w:keepNext/>
      </w:pPr>
      <w:r w:rsidRPr="00C9680B">
        <w:t>Riksdagen godkänner regeringens beräkning av förändring av a</w:t>
      </w:r>
      <w:r w:rsidRPr="00C9680B">
        <w:t>n</w:t>
      </w:r>
      <w:r w:rsidRPr="00C9680B">
        <w:t>slagsbehållningar för 2001 (punkt 9) och avslår därmed motion Fi211 (fp) yrkande 7.</w:t>
      </w:r>
    </w:p>
    <w:p w:rsidR="001C7BF9" w:rsidRPr="00C9680B" w:rsidRDefault="001C7BF9">
      <w:pPr>
        <w:pStyle w:val="Utskottsfrslagikorthet-Text"/>
        <w:keepNext/>
      </w:pPr>
      <w:r w:rsidRPr="00C9680B">
        <w:t>Övriga delar av detta förslag behandlar utskottet i avsnitten 2.4, 2.5, 2.6, 2.9, 3 och 4.1.</w:t>
      </w:r>
    </w:p>
    <w:p w:rsidR="001C7BF9" w:rsidRPr="00C9680B" w:rsidRDefault="001C7BF9">
      <w:pPr>
        <w:pStyle w:val="Utskottsfrslagikorthet-Text"/>
        <w:keepNext/>
      </w:pPr>
      <w:r w:rsidRPr="00C9680B">
        <w:t>Jämför reservation 14 (c) och 15 (fp).</w:t>
      </w:r>
    </w:p>
    <w:p w:rsidR="001C7BF9" w:rsidRPr="00C9680B" w:rsidRDefault="001C7BF9">
      <w:pPr>
        <w:pStyle w:val="Normaltindrag"/>
      </w:pPr>
    </w:p>
    <w:p w:rsidR="001C7BF9" w:rsidRPr="00C9680B" w:rsidRDefault="001C7BF9">
      <w:r w:rsidRPr="00C9680B">
        <w:t>Medel som anvisats på ett reservationsanslag kan enligt vissa regler sparas till efterföljande budgetår. I den mån ett ramanslag inte förbrukats får på motsv</w:t>
      </w:r>
      <w:r w:rsidRPr="00C9680B">
        <w:t>a</w:t>
      </w:r>
      <w:r w:rsidRPr="00C9680B">
        <w:t>rande sätt kvarstående behållning föras över till ett senare år. Myndigheter har också möjlighet att med vissa begränsningar disponera medel från efterfö</w:t>
      </w:r>
      <w:r w:rsidRPr="00C9680B">
        <w:t>l</w:t>
      </w:r>
      <w:r w:rsidRPr="00C9680B">
        <w:t>jande års anslag som en anslagskredit. Förskjutningar i det samlade anslag</w:t>
      </w:r>
      <w:r w:rsidRPr="00C9680B">
        <w:t>s</w:t>
      </w:r>
      <w:r w:rsidRPr="00C9680B">
        <w:t>sparandet påverkar statsbudgetens utgifter och redovisas på budgetens utgift</w:t>
      </w:r>
      <w:r w:rsidRPr="00C9680B">
        <w:t>s</w:t>
      </w:r>
      <w:r w:rsidRPr="00C9680B">
        <w:t xml:space="preserve">sida som en nettopost, benämnd </w:t>
      </w:r>
      <w:r w:rsidRPr="00C9680B">
        <w:rPr>
          <w:i/>
        </w:rPr>
        <w:t>Ökning/minskning av anslagsbehål</w:t>
      </w:r>
      <w:r w:rsidRPr="00C9680B">
        <w:rPr>
          <w:i/>
        </w:rPr>
        <w:t>l</w:t>
      </w:r>
      <w:r w:rsidRPr="00C9680B">
        <w:rPr>
          <w:i/>
        </w:rPr>
        <w:t>ningar</w:t>
      </w:r>
      <w:r w:rsidRPr="00C9680B">
        <w:t>.</w:t>
      </w:r>
    </w:p>
    <w:p w:rsidR="001C7BF9" w:rsidRPr="00C9680B" w:rsidRDefault="001C7BF9">
      <w:pPr>
        <w:pStyle w:val="R4"/>
      </w:pPr>
      <w:r w:rsidRPr="00C9680B">
        <w:t>Budgetpropositionen</w:t>
      </w:r>
    </w:p>
    <w:p w:rsidR="001C7BF9" w:rsidRPr="00C9680B" w:rsidRDefault="001C7BF9">
      <w:r w:rsidRPr="00C9680B">
        <w:t>I årets budgetproposition (avsnitt 7.1) räknar regeringen med att de samlade anslagsbehållningarna skall minska med netto 3,0 miljarder kronor under 2001, dvs. att utgifter av denna omfattning väntas bli finansierade av medel som finns tillgängliga på anslagen vid årets början. Regeringen föreslår att riksdagen skall godkänna beräkningen av förändringarna i anslagsbehållnin</w:t>
      </w:r>
      <w:r w:rsidRPr="00C9680B">
        <w:t>g</w:t>
      </w:r>
      <w:r w:rsidRPr="00C9680B">
        <w:t>arna (punkt 9).</w:t>
      </w:r>
    </w:p>
    <w:p w:rsidR="001C7BF9" w:rsidRPr="00C9680B" w:rsidRDefault="001C7BF9">
      <w:pPr>
        <w:pStyle w:val="R4"/>
      </w:pPr>
      <w:r w:rsidRPr="00C9680B">
        <w:t>Motionen</w:t>
      </w:r>
    </w:p>
    <w:p w:rsidR="001C7BF9" w:rsidRPr="00C9680B" w:rsidRDefault="001C7BF9">
      <w:r w:rsidRPr="00C9680B">
        <w:rPr>
          <w:i/>
        </w:rPr>
        <w:t>Folkpartiet liberalerna</w:t>
      </w:r>
      <w:r w:rsidRPr="00C9680B">
        <w:t xml:space="preserve"> föreslår i </w:t>
      </w:r>
      <w:r w:rsidRPr="00C9680B">
        <w:rPr>
          <w:i/>
        </w:rPr>
        <w:t>motion Fi211</w:t>
      </w:r>
      <w:r w:rsidRPr="00C9680B">
        <w:t xml:space="preserve"> att riksdagen skall godkänna en i motionen redovisad beräkning av förändringar av anslagsbehållningar (yrkande 7). Motionärerna föreslår att förändringen av anslagsbehållningar skall beräknas till 2,0 miljarder kronor år 2001.</w:t>
      </w:r>
    </w:p>
    <w:p w:rsidR="001C7BF9" w:rsidRPr="00C9680B" w:rsidRDefault="001C7BF9">
      <w:pPr>
        <w:pStyle w:val="R4"/>
      </w:pPr>
      <w:r w:rsidRPr="00C9680B">
        <w:t>Finansutskottets ställningstagande</w:t>
      </w:r>
    </w:p>
    <w:p w:rsidR="001C7BF9" w:rsidRPr="00C9680B" w:rsidRDefault="001C7BF9">
      <w:r w:rsidRPr="00C9680B">
        <w:t>Finansutskottet finner för egen del inte anledning att göra någon annan b</w:t>
      </w:r>
      <w:r w:rsidRPr="00C9680B">
        <w:t>e</w:t>
      </w:r>
      <w:r w:rsidRPr="00C9680B">
        <w:t>dömning av förbrukningen av anslagsbehållningarna än regeringen. Utskottet tillstyrker således punkt 9 i propositionen. Utskottet avstyrker därmed moti</w:t>
      </w:r>
      <w:r w:rsidRPr="00C9680B">
        <w:t>o</w:t>
      </w:r>
      <w:r w:rsidRPr="00C9680B">
        <w:t>nen Fi211 (fp) yrkande 7.</w:t>
      </w:r>
    </w:p>
    <w:p w:rsidR="001C7BF9" w:rsidRPr="00C9680B" w:rsidRDefault="001C7BF9">
      <w:pPr>
        <w:pStyle w:val="Utskottetsvervganden-RubrikFrslagspunkt"/>
        <w:outlineLvl w:val="0"/>
      </w:pPr>
      <w:bookmarkStart w:id="184" w:name="_Toc498245137"/>
      <w:bookmarkStart w:id="185" w:name="_Toc498910698"/>
      <w:r w:rsidRPr="00C9680B">
        <w:t>2.9 Myndigheternas in- och utlåning i Riksgäldskontoret</w:t>
      </w:r>
      <w:bookmarkEnd w:id="184"/>
      <w:bookmarkEnd w:id="185"/>
    </w:p>
    <w:p w:rsidR="001C7BF9" w:rsidRPr="00C9680B" w:rsidRDefault="001C7BF9">
      <w:pPr>
        <w:pStyle w:val="Utskottsfrslagikorthet-Rubrik"/>
        <w:outlineLvl w:val="0"/>
        <w:rPr>
          <w:noProof w:val="0"/>
        </w:rPr>
      </w:pPr>
      <w:r w:rsidRPr="00C9680B">
        <w:rPr>
          <w:noProof w:val="0"/>
        </w:rPr>
        <w:t>Utskottets delförslag i korthet</w:t>
      </w:r>
    </w:p>
    <w:p w:rsidR="001C7BF9" w:rsidRPr="00C9680B" w:rsidRDefault="001C7BF9">
      <w:pPr>
        <w:pStyle w:val="Utskottsfrslagikorthet-Text"/>
        <w:keepNext/>
      </w:pPr>
      <w:r w:rsidRPr="00C9680B">
        <w:t>Riksdagen godkänner dels regeringens förslag till beräkning av myndigheternas in- och utlåning i Riksgäldskontoret för 2001, dels med anledning av regeringens förslag finansutskottets beräkning av överföringen av medel från AP-fonden för 2001.</w:t>
      </w:r>
    </w:p>
    <w:p w:rsidR="001C7BF9" w:rsidRPr="00C9680B" w:rsidRDefault="001C7BF9">
      <w:pPr>
        <w:pStyle w:val="Utskottsfrslagikorthet-Text"/>
        <w:keepNext/>
      </w:pPr>
      <w:r w:rsidRPr="00C9680B">
        <w:t>Övriga delar av detta förslag behandlar utskottet i avsnitten 2.4, 2.5, 2.6, 2.8, 3 och 4.1.</w:t>
      </w:r>
    </w:p>
    <w:p w:rsidR="001C7BF9" w:rsidRPr="00C9680B" w:rsidRDefault="001C7BF9">
      <w:pPr>
        <w:spacing w:before="312"/>
      </w:pPr>
      <w:r w:rsidRPr="00C9680B">
        <w:t>I sitt förslag till statsbudget för budgetåret 2001 räknar regeringen med att myndigheternas m.fl. in- och utlåning till Riksgäldskontoret skall uppgå till 8,2 miljarder kronor under året. Saldot på denna post har fram t.o.m. 1999 varit negativt, dvs. inlåningen har överstigit Riksgäldskontorets utlåning. Nettoutlåningen förväntas öka med ca 52 miljarder kronor mellan 1999 och 2000 till följd av utbetalningen till Premiepensionsmyndigheten som avser premiepensionsmedel inklusive ränta för åren 1995</w:t>
      </w:r>
      <w:r w:rsidRPr="00C9680B">
        <w:sym w:font="Symbol" w:char="F02D"/>
      </w:r>
      <w:r w:rsidRPr="00C9680B">
        <w:t>1998. För år 2001 berä</w:t>
      </w:r>
      <w:r w:rsidRPr="00C9680B">
        <w:t>k</w:t>
      </w:r>
      <w:r w:rsidRPr="00C9680B">
        <w:t>nas nettot bli ca 25 miljarder kronor lägre jämfört med året innan, vilket h</w:t>
      </w:r>
      <w:r w:rsidRPr="00C9680B">
        <w:t>u</w:t>
      </w:r>
      <w:r w:rsidRPr="00C9680B">
        <w:t>vudsakligen förklaras av att de årliga inbetalningarna av premiepensionsm</w:t>
      </w:r>
      <w:r w:rsidRPr="00C9680B">
        <w:t>e</w:t>
      </w:r>
      <w:r w:rsidRPr="00C9680B">
        <w:t>del till Riksgäldskontoret respektive överföringarna av dessa medel till Pr</w:t>
      </w:r>
      <w:r w:rsidRPr="00C9680B">
        <w:t>e</w:t>
      </w:r>
      <w:r w:rsidRPr="00C9680B">
        <w:t>miepensionsmyndigheten förväntas uppgå till omkring 20 miljarder kronor och blir därmed saldoneutrala.</w:t>
      </w:r>
    </w:p>
    <w:p w:rsidR="001C7BF9" w:rsidRPr="00C9680B" w:rsidRDefault="001C7BF9">
      <w:pPr>
        <w:pStyle w:val="Normaltindrag"/>
      </w:pPr>
      <w:r w:rsidRPr="00C9680B">
        <w:t>Belastningen på statsbudgeten kommer att öka påtagligt till följd av ålders</w:t>
      </w:r>
      <w:r w:rsidRPr="00C9680B">
        <w:softHyphen/>
        <w:t>pensionsreformen, samtidigt som det sker en motsvarande förstärkning av ålderspensionssystemets sparande. Statsbudgeten kompenseras delvis för denna försvagning genom överföring av medel från AP-fonden på 45 milja</w:t>
      </w:r>
      <w:r w:rsidRPr="00C9680B">
        <w:t>r</w:t>
      </w:r>
      <w:r w:rsidRPr="00C9680B">
        <w:t>der kronor vardera året 1999 och 2000 (prop. 1997/98:151). Riksdagen har med anledning av proposition 1999/2000:46 beslutat att en ytterligare ko</w:t>
      </w:r>
      <w:r w:rsidRPr="00C9680B">
        <w:t>m</w:t>
      </w:r>
      <w:r w:rsidRPr="00C9680B">
        <w:t>penserande överföring av medel från AP-fonden på 155 miljarder kronor skall ske år 2001.</w:t>
      </w:r>
    </w:p>
    <w:p w:rsidR="001C7BF9" w:rsidRPr="00C9680B" w:rsidRDefault="001C7BF9">
      <w:pPr>
        <w:pStyle w:val="R4"/>
      </w:pPr>
      <w:r w:rsidRPr="00C9680B">
        <w:t>Budgetpropositionen</w:t>
      </w:r>
    </w:p>
    <w:p w:rsidR="001C7BF9" w:rsidRPr="00C9680B" w:rsidRDefault="001C7BF9">
      <w:r w:rsidRPr="00C9680B">
        <w:t>Regeringen föreslår i budgetpropositionen (avsnitt 4.4.3 och tabell 4.17) att riksdagen skall godkänna den gjorda beräkningen av förändringar i myndi</w:t>
      </w:r>
      <w:r w:rsidRPr="00C9680B">
        <w:t>g</w:t>
      </w:r>
      <w:r w:rsidRPr="00C9680B">
        <w:t>heternas m.fl. in- och utlåning i Riksgäldskontoret för budgetåret 2001 samt beräkningen av överföringen av medel från AP-fonden för budgetåret 2001 (punkt 6).</w:t>
      </w:r>
    </w:p>
    <w:p w:rsidR="001C7BF9" w:rsidRPr="00C9680B" w:rsidRDefault="001C7BF9">
      <w:pPr>
        <w:pStyle w:val="R4"/>
      </w:pPr>
      <w:r w:rsidRPr="00C9680B">
        <w:t>Finansutskottets ställningstagande</w:t>
      </w:r>
    </w:p>
    <w:p w:rsidR="001C7BF9" w:rsidRPr="00C9680B" w:rsidRDefault="001C7BF9">
      <w:r w:rsidRPr="00C9680B">
        <w:t>Efter det att budgetpropositionen lades fram har regeringen den 19 oktober 2000 fattat slutligt beslut om vilken sammansättning de bostadsobligationer skall ha som ingår i den portfölj på 155 miljarder kronor som skall överföras från AP-fonden 2001. De överförda bostadsobligationerna kommer successivt att förfalla till betalning och i takt med att så sker får de förfallna beloppen genomslag på statsbudgeten. Genom regeringsbeslutet har de i portföljen ingående bostadsobligationerna fått en delvis annan sam</w:t>
      </w:r>
      <w:r w:rsidRPr="00C9680B">
        <w:t>mansättning än den som låg till grund för kalkylen i budgetpropositionen och som en följd härav räknar man numera med att 45,7 miljarder kronor i stället för 27,6 miljarder kronor kommer att tillföras statsbudgeten 2001. Med denna ändring biträder utskottet regeringens förslag i propositi</w:t>
      </w:r>
      <w:r w:rsidRPr="00C9680B">
        <w:t>o</w:t>
      </w:r>
      <w:r w:rsidRPr="00C9680B">
        <w:t>nen.</w:t>
      </w:r>
    </w:p>
    <w:p w:rsidR="001C7BF9" w:rsidRPr="00C9680B" w:rsidRDefault="001C7BF9">
      <w:pPr>
        <w:pStyle w:val="Rubrik2"/>
        <w:spacing w:before="375"/>
      </w:pPr>
      <w:bookmarkStart w:id="186" w:name="_Toc498245138"/>
      <w:bookmarkStart w:id="187" w:name="_Toc498910699"/>
      <w:r w:rsidRPr="00C9680B">
        <w:t>2.10 Budgetens sammansättning i stort</w:t>
      </w:r>
      <w:bookmarkEnd w:id="186"/>
      <w:bookmarkEnd w:id="187"/>
    </w:p>
    <w:p w:rsidR="001C7BF9" w:rsidRPr="00C9680B" w:rsidRDefault="001C7BF9">
      <w:r w:rsidRPr="00C9680B">
        <w:t>Utskottet har i de närmast föregående avsnitten tagit ställning till utgifternas fördelning på utgiftsområden samt till förändringar av anslagsbehållningar och Riksgäldskontorets in- och utlåning till myndigheter m.fl. I avsnitt 3.8 längre fram i betänkandet redovisar utskottet sitt ställningstagande till berä</w:t>
      </w:r>
      <w:r w:rsidRPr="00C9680B">
        <w:t>k</w:t>
      </w:r>
      <w:r w:rsidRPr="00C9680B">
        <w:t>ningen av statsbudgetens inkomster. Utskottet har därmed övergripande b</w:t>
      </w:r>
      <w:r w:rsidRPr="00C9680B">
        <w:t>e</w:t>
      </w:r>
      <w:r w:rsidRPr="00C9680B">
        <w:t>handlat de delposter som stat</w:t>
      </w:r>
      <w:r w:rsidRPr="00C9680B">
        <w:t>s</w:t>
      </w:r>
      <w:r w:rsidRPr="00C9680B">
        <w:t>budgeten är uppbyggd av.</w:t>
      </w:r>
    </w:p>
    <w:p w:rsidR="001C7BF9" w:rsidRPr="00C9680B" w:rsidRDefault="001C7BF9">
      <w:pPr>
        <w:pStyle w:val="Normaltindrag"/>
      </w:pPr>
      <w:r w:rsidRPr="00C9680B">
        <w:t>Skillnaden mellan å ena sidan statsbudgetens inkomster och å andra sidan summan av samtliga utgifter på utgiftsområden inklusive förändringar av anslagsbehållningar, nettot av myndigheterna m.fl. in- och utlåning i Rik</w:t>
      </w:r>
      <w:r w:rsidRPr="00C9680B">
        <w:t>s</w:t>
      </w:r>
      <w:r w:rsidRPr="00C9680B">
        <w:t>gäldskontoret och överföringen av medel från AP-fonden utgör budgetsaldot, vilket definitionsmässigt är liktydigt med statens lånebehov. Lånebehovet framkommer alltså som restpost, vars nivå riksdagen inte tar ställning till. Utskottets ställningstaganden framgår schematiskt av följande förenklade budgetuppställning. Det innebär att statsbudgetens inkomster överstiger u</w:t>
      </w:r>
      <w:r w:rsidRPr="00C9680B">
        <w:t>t</w:t>
      </w:r>
      <w:r w:rsidRPr="00C9680B">
        <w:t>gifterna och att amorteringen av statsskulden före skulddispositioner uppgår till 40,5 miljarder kronor.</w:t>
      </w:r>
    </w:p>
    <w:p w:rsidR="001C7BF9" w:rsidRPr="00C9680B" w:rsidRDefault="001C7BF9">
      <w:pPr>
        <w:pStyle w:val="TabellrubrikPer"/>
        <w:keepNext/>
        <w:outlineLvl w:val="0"/>
        <w:rPr>
          <w:b/>
          <w:caps w:val="0"/>
          <w:spacing w:val="0"/>
          <w:sz w:val="16"/>
        </w:rPr>
      </w:pPr>
      <w:r w:rsidRPr="00C9680B">
        <w:rPr>
          <w:b/>
          <w:caps w:val="0"/>
          <w:spacing w:val="0"/>
          <w:sz w:val="16"/>
        </w:rPr>
        <w:t>Tabell 30. Utskottets förslag til</w:t>
      </w:r>
      <w:r w:rsidRPr="00C9680B">
        <w:rPr>
          <w:b/>
          <w:caps w:val="0"/>
          <w:spacing w:val="0"/>
          <w:sz w:val="16"/>
        </w:rPr>
        <w:t xml:space="preserve">l statsbudget för budgetåret 2001 </w:t>
      </w:r>
    </w:p>
    <w:p w:rsidR="001C7BF9" w:rsidRPr="00C9680B" w:rsidRDefault="001C7BF9">
      <w:pPr>
        <w:pStyle w:val="TabellrubrikPer"/>
        <w:keepNext/>
        <w:keepLines/>
        <w:spacing w:before="0" w:after="40"/>
        <w:outlineLvl w:val="0"/>
        <w:rPr>
          <w:caps w:val="0"/>
        </w:rPr>
      </w:pPr>
      <w:r w:rsidRPr="00C9680B">
        <w:rPr>
          <w:caps w:val="0"/>
        </w:rPr>
        <w:t>Belopp i miljarder kronor</w:t>
      </w:r>
    </w:p>
    <w:tbl>
      <w:tblPr>
        <w:tblW w:w="0" w:type="auto"/>
        <w:tblInd w:w="-70" w:type="dxa"/>
        <w:tblLayout w:type="fixed"/>
        <w:tblCellMar>
          <w:left w:w="70" w:type="dxa"/>
          <w:right w:w="70" w:type="dxa"/>
        </w:tblCellMar>
        <w:tblLook w:val="0000" w:firstRow="0" w:lastRow="0" w:firstColumn="0" w:lastColumn="0" w:noHBand="0" w:noVBand="0"/>
      </w:tblPr>
      <w:tblGrid>
        <w:gridCol w:w="2537"/>
        <w:gridCol w:w="567"/>
        <w:gridCol w:w="284"/>
        <w:gridCol w:w="1559"/>
        <w:gridCol w:w="992"/>
      </w:tblGrid>
      <w:tr w:rsidR="00000000" w:rsidRPr="00C9680B">
        <w:tblPrEx>
          <w:tblCellMar>
            <w:top w:w="0" w:type="dxa"/>
            <w:bottom w:w="0" w:type="dxa"/>
          </w:tblCellMar>
        </w:tblPrEx>
        <w:tc>
          <w:tcPr>
            <w:tcW w:w="2537" w:type="dxa"/>
            <w:tcBorders>
              <w:top w:val="single" w:sz="4" w:space="0" w:color="auto"/>
            </w:tcBorders>
          </w:tcPr>
          <w:p w:rsidR="001C7BF9" w:rsidRPr="00C9680B" w:rsidRDefault="001C7BF9">
            <w:pPr>
              <w:pStyle w:val="Tabelltext"/>
            </w:pPr>
            <w:r w:rsidRPr="00C9680B">
              <w:t>Summa utgiftsområden</w:t>
            </w:r>
          </w:p>
        </w:tc>
        <w:tc>
          <w:tcPr>
            <w:tcW w:w="567" w:type="dxa"/>
            <w:tcBorders>
              <w:top w:val="single" w:sz="4" w:space="0" w:color="auto"/>
            </w:tcBorders>
          </w:tcPr>
          <w:p w:rsidR="001C7BF9" w:rsidRPr="00C9680B" w:rsidRDefault="001C7BF9">
            <w:pPr>
              <w:pStyle w:val="Tabelltext"/>
              <w:jc w:val="right"/>
            </w:pPr>
            <w:r w:rsidRPr="00C9680B">
              <w:t>711,1</w:t>
            </w:r>
          </w:p>
        </w:tc>
        <w:tc>
          <w:tcPr>
            <w:tcW w:w="284" w:type="dxa"/>
            <w:tcBorders>
              <w:top w:val="single" w:sz="4" w:space="0" w:color="auto"/>
            </w:tcBorders>
          </w:tcPr>
          <w:p w:rsidR="001C7BF9" w:rsidRPr="00C9680B" w:rsidRDefault="001C7BF9">
            <w:pPr>
              <w:pStyle w:val="Tabelltext"/>
            </w:pPr>
          </w:p>
        </w:tc>
        <w:tc>
          <w:tcPr>
            <w:tcW w:w="1559" w:type="dxa"/>
            <w:tcBorders>
              <w:top w:val="single" w:sz="4" w:space="0" w:color="auto"/>
            </w:tcBorders>
          </w:tcPr>
          <w:p w:rsidR="001C7BF9" w:rsidRPr="00C9680B" w:rsidRDefault="001C7BF9">
            <w:pPr>
              <w:pStyle w:val="Tabelltext"/>
            </w:pPr>
            <w:r w:rsidRPr="00C9680B">
              <w:t>Summa inkomster</w:t>
            </w:r>
          </w:p>
        </w:tc>
        <w:tc>
          <w:tcPr>
            <w:tcW w:w="992" w:type="dxa"/>
            <w:tcBorders>
              <w:top w:val="single" w:sz="4" w:space="0" w:color="auto"/>
            </w:tcBorders>
          </w:tcPr>
          <w:p w:rsidR="001C7BF9" w:rsidRPr="00C9680B" w:rsidRDefault="001C7BF9">
            <w:pPr>
              <w:pStyle w:val="Tabelltext"/>
              <w:jc w:val="right"/>
            </w:pPr>
            <w:r w:rsidRPr="00C9680B">
              <w:t>717,1</w:t>
            </w:r>
          </w:p>
        </w:tc>
      </w:tr>
      <w:tr w:rsidR="00000000" w:rsidRPr="00C9680B">
        <w:tblPrEx>
          <w:tblCellMar>
            <w:top w:w="0" w:type="dxa"/>
            <w:bottom w:w="0" w:type="dxa"/>
          </w:tblCellMar>
        </w:tblPrEx>
        <w:tc>
          <w:tcPr>
            <w:tcW w:w="2537" w:type="dxa"/>
          </w:tcPr>
          <w:p w:rsidR="001C7BF9" w:rsidRPr="00C9680B" w:rsidRDefault="001C7BF9">
            <w:pPr>
              <w:pStyle w:val="Tabelltext"/>
            </w:pPr>
            <w:r w:rsidRPr="00C9680B">
              <w:t>Minskning av anslagsbehållningar</w:t>
            </w:r>
          </w:p>
        </w:tc>
        <w:tc>
          <w:tcPr>
            <w:tcW w:w="567" w:type="dxa"/>
          </w:tcPr>
          <w:p w:rsidR="001C7BF9" w:rsidRPr="00C9680B" w:rsidRDefault="001C7BF9">
            <w:pPr>
              <w:pStyle w:val="Tabelltext"/>
              <w:jc w:val="right"/>
            </w:pPr>
            <w:r w:rsidRPr="00C9680B">
              <w:t>3,0</w:t>
            </w:r>
          </w:p>
        </w:tc>
        <w:tc>
          <w:tcPr>
            <w:tcW w:w="284" w:type="dxa"/>
          </w:tcPr>
          <w:p w:rsidR="001C7BF9" w:rsidRPr="00C9680B" w:rsidRDefault="001C7BF9">
            <w:pPr>
              <w:pStyle w:val="Tabelltext"/>
            </w:pPr>
          </w:p>
        </w:tc>
        <w:tc>
          <w:tcPr>
            <w:tcW w:w="1559" w:type="dxa"/>
          </w:tcPr>
          <w:p w:rsidR="001C7BF9" w:rsidRPr="00C9680B" w:rsidRDefault="001C7BF9">
            <w:pPr>
              <w:pStyle w:val="Tabelltext"/>
            </w:pPr>
          </w:p>
        </w:tc>
        <w:tc>
          <w:tcPr>
            <w:tcW w:w="992" w:type="dxa"/>
          </w:tcPr>
          <w:p w:rsidR="001C7BF9" w:rsidRPr="00C9680B" w:rsidRDefault="001C7BF9">
            <w:pPr>
              <w:pStyle w:val="Tabelltext"/>
              <w:jc w:val="right"/>
            </w:pPr>
          </w:p>
        </w:tc>
      </w:tr>
      <w:tr w:rsidR="00000000" w:rsidRPr="00C9680B">
        <w:tblPrEx>
          <w:tblCellMar>
            <w:top w:w="0" w:type="dxa"/>
            <w:bottom w:w="0" w:type="dxa"/>
          </w:tblCellMar>
        </w:tblPrEx>
        <w:tc>
          <w:tcPr>
            <w:tcW w:w="2537" w:type="dxa"/>
          </w:tcPr>
          <w:p w:rsidR="001C7BF9" w:rsidRPr="00C9680B" w:rsidRDefault="001C7BF9">
            <w:pPr>
              <w:pStyle w:val="Tabelltext"/>
            </w:pPr>
            <w:r w:rsidRPr="00C9680B">
              <w:t>Överföring från AP-fonden</w:t>
            </w:r>
          </w:p>
        </w:tc>
        <w:tc>
          <w:tcPr>
            <w:tcW w:w="567" w:type="dxa"/>
          </w:tcPr>
          <w:p w:rsidR="001C7BF9" w:rsidRPr="00C9680B" w:rsidRDefault="001C7BF9">
            <w:pPr>
              <w:pStyle w:val="Tabelltext"/>
              <w:jc w:val="right"/>
            </w:pPr>
            <w:r w:rsidRPr="00C9680B">
              <w:t>-45,7</w:t>
            </w:r>
          </w:p>
        </w:tc>
        <w:tc>
          <w:tcPr>
            <w:tcW w:w="284" w:type="dxa"/>
          </w:tcPr>
          <w:p w:rsidR="001C7BF9" w:rsidRPr="00C9680B" w:rsidRDefault="001C7BF9">
            <w:pPr>
              <w:pStyle w:val="Tabelltext"/>
              <w:rPr>
                <w:i/>
              </w:rPr>
            </w:pPr>
          </w:p>
        </w:tc>
        <w:tc>
          <w:tcPr>
            <w:tcW w:w="1559" w:type="dxa"/>
          </w:tcPr>
          <w:p w:rsidR="001C7BF9" w:rsidRPr="00C9680B" w:rsidRDefault="001C7BF9">
            <w:pPr>
              <w:pStyle w:val="Tabelltext"/>
              <w:rPr>
                <w:i/>
              </w:rPr>
            </w:pPr>
            <w:r w:rsidRPr="00C9680B">
              <w:rPr>
                <w:i/>
              </w:rPr>
              <w:t>Beräknad amortering</w:t>
            </w:r>
          </w:p>
        </w:tc>
        <w:tc>
          <w:tcPr>
            <w:tcW w:w="992" w:type="dxa"/>
          </w:tcPr>
          <w:p w:rsidR="001C7BF9" w:rsidRPr="00C9680B" w:rsidRDefault="001C7BF9">
            <w:pPr>
              <w:pStyle w:val="Tabelltext"/>
              <w:jc w:val="right"/>
              <w:rPr>
                <w:i/>
              </w:rPr>
            </w:pPr>
            <w:r w:rsidRPr="00C9680B">
              <w:rPr>
                <w:i/>
              </w:rPr>
              <w:t>-40,5</w:t>
            </w:r>
          </w:p>
        </w:tc>
      </w:tr>
      <w:tr w:rsidR="00000000" w:rsidRPr="00C9680B">
        <w:tblPrEx>
          <w:tblCellMar>
            <w:top w:w="0" w:type="dxa"/>
            <w:bottom w:w="0" w:type="dxa"/>
          </w:tblCellMar>
        </w:tblPrEx>
        <w:tc>
          <w:tcPr>
            <w:tcW w:w="2537" w:type="dxa"/>
          </w:tcPr>
          <w:p w:rsidR="001C7BF9" w:rsidRPr="00C9680B" w:rsidRDefault="001C7BF9">
            <w:pPr>
              <w:pStyle w:val="Tabelltext"/>
            </w:pPr>
            <w:r w:rsidRPr="00C9680B">
              <w:t>Myndigheters in- och utlåning i RG</w:t>
            </w:r>
          </w:p>
        </w:tc>
        <w:tc>
          <w:tcPr>
            <w:tcW w:w="567" w:type="dxa"/>
          </w:tcPr>
          <w:p w:rsidR="001C7BF9" w:rsidRPr="00C9680B" w:rsidRDefault="001C7BF9">
            <w:pPr>
              <w:pStyle w:val="Tabelltext"/>
              <w:jc w:val="right"/>
            </w:pPr>
            <w:r w:rsidRPr="00C9680B">
              <w:t>8,2</w:t>
            </w:r>
          </w:p>
        </w:tc>
        <w:tc>
          <w:tcPr>
            <w:tcW w:w="284" w:type="dxa"/>
          </w:tcPr>
          <w:p w:rsidR="001C7BF9" w:rsidRPr="00C9680B" w:rsidRDefault="001C7BF9">
            <w:pPr>
              <w:pStyle w:val="Tabelltext"/>
            </w:pPr>
          </w:p>
        </w:tc>
        <w:tc>
          <w:tcPr>
            <w:tcW w:w="1559" w:type="dxa"/>
          </w:tcPr>
          <w:p w:rsidR="001C7BF9" w:rsidRPr="00C9680B" w:rsidRDefault="001C7BF9">
            <w:pPr>
              <w:pStyle w:val="Tabelltext"/>
            </w:pPr>
          </w:p>
        </w:tc>
        <w:tc>
          <w:tcPr>
            <w:tcW w:w="992" w:type="dxa"/>
          </w:tcPr>
          <w:p w:rsidR="001C7BF9" w:rsidRPr="00C9680B" w:rsidRDefault="001C7BF9">
            <w:pPr>
              <w:pStyle w:val="Tabelltext"/>
              <w:jc w:val="right"/>
            </w:pPr>
          </w:p>
        </w:tc>
      </w:tr>
      <w:tr w:rsidR="00000000" w:rsidRPr="00C9680B">
        <w:tblPrEx>
          <w:tblCellMar>
            <w:top w:w="0" w:type="dxa"/>
            <w:bottom w:w="0" w:type="dxa"/>
          </w:tblCellMar>
        </w:tblPrEx>
        <w:trPr>
          <w:trHeight w:val="195"/>
        </w:trPr>
        <w:tc>
          <w:tcPr>
            <w:tcW w:w="2537" w:type="dxa"/>
            <w:tcBorders>
              <w:bottom w:val="single" w:sz="4" w:space="0" w:color="auto"/>
            </w:tcBorders>
          </w:tcPr>
          <w:p w:rsidR="001C7BF9" w:rsidRPr="00C9680B" w:rsidRDefault="001C7BF9">
            <w:pPr>
              <w:pStyle w:val="Tabelltext"/>
              <w:rPr>
                <w:b/>
              </w:rPr>
            </w:pPr>
            <w:r w:rsidRPr="00C9680B">
              <w:rPr>
                <w:b/>
              </w:rPr>
              <w:t>Summa</w:t>
            </w:r>
          </w:p>
        </w:tc>
        <w:tc>
          <w:tcPr>
            <w:tcW w:w="567" w:type="dxa"/>
            <w:tcBorders>
              <w:bottom w:val="single" w:sz="4" w:space="0" w:color="auto"/>
            </w:tcBorders>
          </w:tcPr>
          <w:p w:rsidR="001C7BF9" w:rsidRPr="00C9680B" w:rsidRDefault="001C7BF9">
            <w:pPr>
              <w:pStyle w:val="Tabelltext"/>
              <w:jc w:val="right"/>
              <w:rPr>
                <w:b/>
              </w:rPr>
            </w:pPr>
            <w:r w:rsidRPr="00C9680B">
              <w:rPr>
                <w:b/>
              </w:rPr>
              <w:t>676,6</w:t>
            </w:r>
          </w:p>
        </w:tc>
        <w:tc>
          <w:tcPr>
            <w:tcW w:w="284" w:type="dxa"/>
            <w:tcBorders>
              <w:bottom w:val="single" w:sz="4" w:space="0" w:color="auto"/>
            </w:tcBorders>
          </w:tcPr>
          <w:p w:rsidR="001C7BF9" w:rsidRPr="00C9680B" w:rsidRDefault="001C7BF9">
            <w:pPr>
              <w:pStyle w:val="Tabelltext"/>
              <w:rPr>
                <w:b/>
              </w:rPr>
            </w:pPr>
          </w:p>
        </w:tc>
        <w:tc>
          <w:tcPr>
            <w:tcW w:w="1559" w:type="dxa"/>
            <w:tcBorders>
              <w:bottom w:val="single" w:sz="4" w:space="0" w:color="auto"/>
            </w:tcBorders>
          </w:tcPr>
          <w:p w:rsidR="001C7BF9" w:rsidRPr="00C9680B" w:rsidRDefault="001C7BF9">
            <w:pPr>
              <w:pStyle w:val="Tabelltext"/>
              <w:rPr>
                <w:b/>
              </w:rPr>
            </w:pPr>
            <w:r w:rsidRPr="00C9680B">
              <w:rPr>
                <w:b/>
              </w:rPr>
              <w:t>Summa</w:t>
            </w:r>
          </w:p>
        </w:tc>
        <w:tc>
          <w:tcPr>
            <w:tcW w:w="992" w:type="dxa"/>
            <w:tcBorders>
              <w:bottom w:val="single" w:sz="4" w:space="0" w:color="auto"/>
            </w:tcBorders>
          </w:tcPr>
          <w:p w:rsidR="001C7BF9" w:rsidRPr="00C9680B" w:rsidRDefault="001C7BF9">
            <w:pPr>
              <w:pStyle w:val="Tabelltext"/>
              <w:jc w:val="right"/>
              <w:rPr>
                <w:b/>
              </w:rPr>
            </w:pPr>
            <w:r w:rsidRPr="00C9680B">
              <w:rPr>
                <w:b/>
              </w:rPr>
              <w:t>676,6</w:t>
            </w:r>
          </w:p>
        </w:tc>
      </w:tr>
    </w:tbl>
    <w:p w:rsidR="001C7BF9" w:rsidRPr="00C9680B" w:rsidRDefault="001C7BF9">
      <w:pPr>
        <w:spacing w:before="0" w:line="240" w:lineRule="auto"/>
        <w:rPr>
          <w:sz w:val="16"/>
        </w:rPr>
      </w:pPr>
    </w:p>
    <w:p w:rsidR="001C7BF9" w:rsidRPr="00C9680B" w:rsidRDefault="001C7BF9">
      <w:pPr>
        <w:pStyle w:val="Rubrik2"/>
        <w:spacing w:before="250"/>
      </w:pPr>
      <w:bookmarkStart w:id="188" w:name="_Toc498245139"/>
      <w:bookmarkStart w:id="189" w:name="_Toc498910700"/>
      <w:r w:rsidRPr="00C9680B">
        <w:t>2.11 Sammandrag av de olika budgetalternativen</w:t>
      </w:r>
      <w:bookmarkEnd w:id="188"/>
      <w:bookmarkEnd w:id="189"/>
    </w:p>
    <w:p w:rsidR="001C7BF9" w:rsidRPr="00C9680B" w:rsidRDefault="001C7BF9">
      <w:r w:rsidRPr="00C9680B">
        <w:t>Nedan presenteras ett sammandrag av effekter på statsbudgeten för år 2001 av regeringens och oppositionspartiernas olika budgetalternativ. Redovisning av budgeteffekten av oppositionspartiernas skatte- och avgiftsförslag grundas på en sammanställning som finansutskottet gjort.</w:t>
      </w:r>
    </w:p>
    <w:p w:rsidR="001C7BF9" w:rsidRPr="00C9680B" w:rsidRDefault="001C7BF9">
      <w:pPr>
        <w:pStyle w:val="TabellrubrikPer"/>
        <w:ind w:left="-851" w:firstLine="0"/>
        <w:outlineLvl w:val="0"/>
        <w:rPr>
          <w:b/>
          <w:caps w:val="0"/>
          <w:spacing w:val="0"/>
          <w:sz w:val="16"/>
        </w:rPr>
      </w:pPr>
      <w:bookmarkStart w:id="190" w:name="_Toc466882465"/>
      <w:r w:rsidRPr="00C9680B">
        <w:rPr>
          <w:b/>
          <w:caps w:val="0"/>
          <w:spacing w:val="0"/>
          <w:sz w:val="16"/>
        </w:rPr>
        <w:t>Tabell 31. Sammandrag av statsbudgeteffekten 2001 av de olika budg</w:t>
      </w:r>
      <w:r w:rsidRPr="00C9680B">
        <w:rPr>
          <w:b/>
          <w:caps w:val="0"/>
          <w:spacing w:val="0"/>
          <w:sz w:val="16"/>
        </w:rPr>
        <w:t>e</w:t>
      </w:r>
      <w:r w:rsidRPr="00C9680B">
        <w:rPr>
          <w:b/>
          <w:caps w:val="0"/>
          <w:spacing w:val="0"/>
          <w:sz w:val="16"/>
        </w:rPr>
        <w:t>talternatIven</w:t>
      </w:r>
      <w:bookmarkEnd w:id="190"/>
    </w:p>
    <w:p w:rsidR="001C7BF9" w:rsidRPr="00C9680B" w:rsidRDefault="001C7BF9">
      <w:pPr>
        <w:pStyle w:val="Fotnotstext"/>
        <w:spacing w:after="40" w:line="250" w:lineRule="atLeast"/>
        <w:ind w:left="-851"/>
        <w:jc w:val="left"/>
        <w:outlineLvl w:val="0"/>
        <w:rPr>
          <w:sz w:val="14"/>
        </w:rPr>
      </w:pPr>
      <w:r w:rsidRPr="00C9680B">
        <w:rPr>
          <w:sz w:val="14"/>
        </w:rPr>
        <w:t>Belopp i miljoner kronor</w:t>
      </w:r>
    </w:p>
    <w:tbl>
      <w:tblPr>
        <w:tblW w:w="0" w:type="auto"/>
        <w:jc w:val="right"/>
        <w:tblLayout w:type="fixed"/>
        <w:tblCellMar>
          <w:left w:w="70" w:type="dxa"/>
          <w:right w:w="70" w:type="dxa"/>
        </w:tblCellMar>
        <w:tblLook w:val="0000" w:firstRow="0" w:lastRow="0" w:firstColumn="0" w:lastColumn="0" w:noHBand="0" w:noVBand="0"/>
      </w:tblPr>
      <w:tblGrid>
        <w:gridCol w:w="2920"/>
        <w:gridCol w:w="851"/>
        <w:gridCol w:w="799"/>
        <w:gridCol w:w="794"/>
        <w:gridCol w:w="794"/>
        <w:gridCol w:w="794"/>
      </w:tblGrid>
      <w:tr w:rsidR="00000000" w:rsidRPr="00C9680B">
        <w:tblPrEx>
          <w:tblCellMar>
            <w:top w:w="0" w:type="dxa"/>
            <w:bottom w:w="0" w:type="dxa"/>
          </w:tblCellMar>
        </w:tblPrEx>
        <w:trPr>
          <w:cantSplit/>
          <w:jc w:val="right"/>
        </w:trPr>
        <w:tc>
          <w:tcPr>
            <w:tcW w:w="2920" w:type="dxa"/>
            <w:vMerge w:val="restart"/>
            <w:tcBorders>
              <w:top w:val="single" w:sz="4" w:space="0" w:color="auto"/>
              <w:bottom w:val="single" w:sz="4" w:space="0" w:color="auto"/>
            </w:tcBorders>
          </w:tcPr>
          <w:p w:rsidR="001C7BF9" w:rsidRPr="00C9680B" w:rsidRDefault="001C7BF9">
            <w:pPr>
              <w:pStyle w:val="Normaltindrag"/>
              <w:ind w:firstLine="0"/>
              <w:rPr>
                <w:b/>
                <w:sz w:val="16"/>
              </w:rPr>
            </w:pPr>
            <w:r w:rsidRPr="00C9680B">
              <w:rPr>
                <w:b/>
                <w:sz w:val="16"/>
              </w:rPr>
              <w:t>Statsbudgetens utgifter och inkomster</w:t>
            </w:r>
          </w:p>
          <w:p w:rsidR="001C7BF9" w:rsidRPr="00C9680B" w:rsidRDefault="001C7BF9">
            <w:pPr>
              <w:pStyle w:val="Normaltindrag"/>
              <w:spacing w:line="240" w:lineRule="auto"/>
              <w:ind w:firstLine="0"/>
              <w:rPr>
                <w:b/>
                <w:sz w:val="16"/>
              </w:rPr>
            </w:pPr>
            <w:r w:rsidRPr="00C9680B">
              <w:rPr>
                <w:b/>
                <w:sz w:val="16"/>
              </w:rPr>
              <w:t>Beräknat lånebehov</w:t>
            </w:r>
          </w:p>
        </w:tc>
        <w:tc>
          <w:tcPr>
            <w:tcW w:w="851" w:type="dxa"/>
            <w:tcBorders>
              <w:top w:val="single" w:sz="4" w:space="0" w:color="auto"/>
            </w:tcBorders>
          </w:tcPr>
          <w:p w:rsidR="001C7BF9" w:rsidRPr="00C9680B" w:rsidRDefault="001C7BF9">
            <w:pPr>
              <w:pStyle w:val="Normaltindrag"/>
              <w:ind w:firstLine="0"/>
              <w:rPr>
                <w:b/>
                <w:sz w:val="16"/>
              </w:rPr>
            </w:pPr>
          </w:p>
        </w:tc>
        <w:tc>
          <w:tcPr>
            <w:tcW w:w="3175" w:type="dxa"/>
            <w:gridSpan w:val="4"/>
            <w:tcBorders>
              <w:top w:val="single" w:sz="4" w:space="0" w:color="auto"/>
              <w:bottom w:val="single" w:sz="4" w:space="0" w:color="auto"/>
            </w:tcBorders>
          </w:tcPr>
          <w:p w:rsidR="001C7BF9" w:rsidRPr="00C9680B" w:rsidRDefault="001C7BF9">
            <w:pPr>
              <w:pStyle w:val="Normaltindrag"/>
              <w:ind w:firstLine="0"/>
              <w:rPr>
                <w:b/>
                <w:sz w:val="16"/>
              </w:rPr>
            </w:pPr>
            <w:r w:rsidRPr="00C9680B">
              <w:rPr>
                <w:b/>
                <w:sz w:val="16"/>
              </w:rPr>
              <w:t>Av oppositionspartierna för</w:t>
            </w:r>
            <w:r w:rsidRPr="00C9680B">
              <w:rPr>
                <w:b/>
                <w:sz w:val="16"/>
              </w:rPr>
              <w:t>e</w:t>
            </w:r>
            <w:r w:rsidRPr="00C9680B">
              <w:rPr>
                <w:b/>
                <w:sz w:val="16"/>
              </w:rPr>
              <w:t>slagna nivåer</w:t>
            </w:r>
          </w:p>
        </w:tc>
      </w:tr>
      <w:tr w:rsidR="00000000" w:rsidRPr="00C9680B">
        <w:tblPrEx>
          <w:tblCellMar>
            <w:top w:w="0" w:type="dxa"/>
            <w:bottom w:w="0" w:type="dxa"/>
          </w:tblCellMar>
        </w:tblPrEx>
        <w:trPr>
          <w:cantSplit/>
          <w:jc w:val="right"/>
        </w:trPr>
        <w:tc>
          <w:tcPr>
            <w:tcW w:w="2920" w:type="dxa"/>
            <w:vMerge/>
          </w:tcPr>
          <w:p w:rsidR="001C7BF9" w:rsidRPr="00C9680B" w:rsidRDefault="001C7BF9">
            <w:pPr>
              <w:pStyle w:val="Normaltindrag"/>
              <w:ind w:firstLine="0"/>
              <w:rPr>
                <w:sz w:val="16"/>
              </w:rPr>
            </w:pPr>
          </w:p>
        </w:tc>
        <w:tc>
          <w:tcPr>
            <w:tcW w:w="851" w:type="dxa"/>
          </w:tcPr>
          <w:p w:rsidR="001C7BF9" w:rsidRPr="00C9680B" w:rsidRDefault="001C7BF9">
            <w:pPr>
              <w:pStyle w:val="Normaltindrag"/>
              <w:spacing w:line="240" w:lineRule="auto"/>
              <w:ind w:firstLine="0"/>
              <w:jc w:val="right"/>
              <w:rPr>
                <w:b/>
                <w:sz w:val="16"/>
              </w:rPr>
            </w:pPr>
            <w:r w:rsidRPr="00C9680B">
              <w:rPr>
                <w:b/>
                <w:sz w:val="16"/>
              </w:rPr>
              <w:t>Utskottets förslag</w:t>
            </w:r>
          </w:p>
        </w:tc>
        <w:tc>
          <w:tcPr>
            <w:tcW w:w="794" w:type="dxa"/>
          </w:tcPr>
          <w:p w:rsidR="001C7BF9" w:rsidRPr="00C9680B" w:rsidRDefault="001C7BF9">
            <w:pPr>
              <w:pStyle w:val="Normaltindrag"/>
              <w:spacing w:line="60" w:lineRule="exact"/>
              <w:ind w:firstLine="0"/>
              <w:jc w:val="center"/>
              <w:rPr>
                <w:b/>
                <w:sz w:val="16"/>
              </w:rPr>
            </w:pPr>
          </w:p>
          <w:p w:rsidR="001C7BF9" w:rsidRPr="00C9680B" w:rsidRDefault="001C7BF9">
            <w:pPr>
              <w:pStyle w:val="Normaltindrag"/>
              <w:spacing w:line="240" w:lineRule="auto"/>
              <w:ind w:firstLine="0"/>
              <w:jc w:val="center"/>
              <w:rPr>
                <w:b/>
                <w:sz w:val="16"/>
              </w:rPr>
            </w:pPr>
            <w:r w:rsidRPr="00C9680B">
              <w:rPr>
                <w:b/>
                <w:sz w:val="16"/>
              </w:rPr>
              <w:t>(m)</w:t>
            </w:r>
          </w:p>
        </w:tc>
        <w:tc>
          <w:tcPr>
            <w:tcW w:w="794" w:type="dxa"/>
          </w:tcPr>
          <w:p w:rsidR="001C7BF9" w:rsidRPr="00C9680B" w:rsidRDefault="001C7BF9">
            <w:pPr>
              <w:pStyle w:val="Normaltindrag"/>
              <w:spacing w:line="60" w:lineRule="exact"/>
              <w:ind w:firstLine="0"/>
              <w:jc w:val="center"/>
              <w:rPr>
                <w:b/>
                <w:sz w:val="16"/>
              </w:rPr>
            </w:pPr>
          </w:p>
          <w:p w:rsidR="001C7BF9" w:rsidRPr="00C9680B" w:rsidRDefault="001C7BF9">
            <w:pPr>
              <w:pStyle w:val="Normaltindrag"/>
              <w:spacing w:line="240" w:lineRule="auto"/>
              <w:ind w:firstLine="0"/>
              <w:jc w:val="center"/>
              <w:rPr>
                <w:b/>
                <w:sz w:val="16"/>
              </w:rPr>
            </w:pPr>
            <w:r w:rsidRPr="00C9680B">
              <w:rPr>
                <w:b/>
                <w:sz w:val="16"/>
              </w:rPr>
              <w:t>(kd)</w:t>
            </w:r>
          </w:p>
        </w:tc>
        <w:tc>
          <w:tcPr>
            <w:tcW w:w="794" w:type="dxa"/>
          </w:tcPr>
          <w:p w:rsidR="001C7BF9" w:rsidRPr="00C9680B" w:rsidRDefault="001C7BF9">
            <w:pPr>
              <w:pStyle w:val="Normaltindrag"/>
              <w:spacing w:line="60" w:lineRule="exact"/>
              <w:ind w:firstLine="0"/>
              <w:jc w:val="center"/>
              <w:rPr>
                <w:b/>
                <w:sz w:val="16"/>
              </w:rPr>
            </w:pPr>
          </w:p>
          <w:p w:rsidR="001C7BF9" w:rsidRPr="00C9680B" w:rsidRDefault="001C7BF9">
            <w:pPr>
              <w:pStyle w:val="Normaltindrag"/>
              <w:spacing w:line="240" w:lineRule="auto"/>
              <w:ind w:firstLine="0"/>
              <w:jc w:val="center"/>
              <w:rPr>
                <w:b/>
                <w:sz w:val="16"/>
              </w:rPr>
            </w:pPr>
            <w:r w:rsidRPr="00C9680B">
              <w:rPr>
                <w:b/>
                <w:sz w:val="16"/>
              </w:rPr>
              <w:t>(c)</w:t>
            </w:r>
          </w:p>
        </w:tc>
        <w:tc>
          <w:tcPr>
            <w:tcW w:w="794" w:type="dxa"/>
          </w:tcPr>
          <w:p w:rsidR="001C7BF9" w:rsidRPr="00C9680B" w:rsidRDefault="001C7BF9">
            <w:pPr>
              <w:pStyle w:val="Normaltindrag"/>
              <w:spacing w:line="60" w:lineRule="exact"/>
              <w:ind w:firstLine="0"/>
              <w:jc w:val="center"/>
              <w:rPr>
                <w:b/>
                <w:sz w:val="16"/>
              </w:rPr>
            </w:pPr>
          </w:p>
          <w:p w:rsidR="001C7BF9" w:rsidRPr="00C9680B" w:rsidRDefault="001C7BF9">
            <w:pPr>
              <w:pStyle w:val="Normaltindrag"/>
              <w:spacing w:line="240" w:lineRule="auto"/>
              <w:ind w:firstLine="0"/>
              <w:jc w:val="center"/>
              <w:rPr>
                <w:b/>
                <w:sz w:val="16"/>
              </w:rPr>
            </w:pPr>
            <w:r w:rsidRPr="00C9680B">
              <w:rPr>
                <w:b/>
                <w:sz w:val="16"/>
              </w:rPr>
              <w:t>(fp)</w:t>
            </w:r>
          </w:p>
        </w:tc>
      </w:tr>
      <w:tr w:rsidR="00000000" w:rsidRPr="00C9680B">
        <w:tblPrEx>
          <w:tblCellMar>
            <w:top w:w="0" w:type="dxa"/>
            <w:bottom w:w="0" w:type="dxa"/>
          </w:tblCellMar>
        </w:tblPrEx>
        <w:trPr>
          <w:cantSplit/>
          <w:jc w:val="right"/>
        </w:trPr>
        <w:tc>
          <w:tcPr>
            <w:tcW w:w="2920" w:type="dxa"/>
            <w:tcBorders>
              <w:top w:val="single" w:sz="4" w:space="0" w:color="auto"/>
            </w:tcBorders>
          </w:tcPr>
          <w:p w:rsidR="001C7BF9" w:rsidRPr="00C9680B" w:rsidRDefault="001C7BF9">
            <w:pPr>
              <w:pStyle w:val="Sidhuvud"/>
              <w:ind w:left="0"/>
              <w:rPr>
                <w:sz w:val="16"/>
              </w:rPr>
            </w:pPr>
            <w:r w:rsidRPr="00C9680B">
              <w:rPr>
                <w:sz w:val="16"/>
              </w:rPr>
              <w:t>Summa anslag på de 27 utgiftsområd</w:t>
            </w:r>
            <w:r w:rsidRPr="00C9680B">
              <w:rPr>
                <w:sz w:val="16"/>
              </w:rPr>
              <w:t>e</w:t>
            </w:r>
            <w:r w:rsidRPr="00C9680B">
              <w:rPr>
                <w:sz w:val="16"/>
              </w:rPr>
              <w:t>na</w:t>
            </w:r>
          </w:p>
        </w:tc>
        <w:tc>
          <w:tcPr>
            <w:tcW w:w="851" w:type="dxa"/>
            <w:tcBorders>
              <w:top w:val="single" w:sz="4" w:space="0" w:color="auto"/>
            </w:tcBorders>
          </w:tcPr>
          <w:p w:rsidR="001C7BF9" w:rsidRPr="00C9680B" w:rsidRDefault="001C7BF9">
            <w:pPr>
              <w:pStyle w:val="SidhuvudKant"/>
              <w:framePr w:wrap="around"/>
              <w:spacing w:line="214" w:lineRule="atLeast"/>
              <w:jc w:val="right"/>
              <w:rPr>
                <w:b/>
                <w:snapToGrid w:val="0"/>
                <w:sz w:val="16"/>
                <w:lang w:eastAsia="sv-SE"/>
              </w:rPr>
            </w:pPr>
            <w:r w:rsidRPr="00C9680B">
              <w:rPr>
                <w:b/>
                <w:snapToGrid w:val="0"/>
                <w:sz w:val="16"/>
                <w:lang w:eastAsia="sv-SE"/>
              </w:rPr>
              <w:t>711 136</w:t>
            </w:r>
          </w:p>
        </w:tc>
        <w:tc>
          <w:tcPr>
            <w:tcW w:w="794" w:type="dxa"/>
            <w:tcBorders>
              <w:top w:val="single" w:sz="4" w:space="0" w:color="auto"/>
            </w:tcBorders>
          </w:tcPr>
          <w:p w:rsidR="001C7BF9" w:rsidRPr="00C9680B" w:rsidRDefault="001C7BF9">
            <w:pPr>
              <w:pStyle w:val="SidhuvudKant"/>
              <w:framePr w:wrap="around"/>
              <w:spacing w:line="214" w:lineRule="atLeast"/>
              <w:jc w:val="right"/>
              <w:rPr>
                <w:b/>
                <w:snapToGrid w:val="0"/>
                <w:sz w:val="16"/>
                <w:lang w:eastAsia="sv-SE"/>
              </w:rPr>
            </w:pPr>
            <w:r w:rsidRPr="00C9680B">
              <w:rPr>
                <w:b/>
                <w:snapToGrid w:val="0"/>
                <w:sz w:val="16"/>
                <w:lang w:eastAsia="sv-SE"/>
              </w:rPr>
              <w:t>725 829</w:t>
            </w:r>
          </w:p>
        </w:tc>
        <w:tc>
          <w:tcPr>
            <w:tcW w:w="794" w:type="dxa"/>
            <w:tcBorders>
              <w:top w:val="single" w:sz="4" w:space="0" w:color="auto"/>
            </w:tcBorders>
          </w:tcPr>
          <w:p w:rsidR="001C7BF9" w:rsidRPr="00C9680B" w:rsidRDefault="001C7BF9">
            <w:pPr>
              <w:pStyle w:val="SidhuvudKant"/>
              <w:framePr w:wrap="around"/>
              <w:spacing w:line="214" w:lineRule="atLeast"/>
              <w:jc w:val="right"/>
              <w:rPr>
                <w:b/>
                <w:snapToGrid w:val="0"/>
                <w:color w:val="000000"/>
                <w:sz w:val="16"/>
                <w:lang w:eastAsia="sv-SE"/>
              </w:rPr>
            </w:pPr>
            <w:r w:rsidRPr="00C9680B">
              <w:rPr>
                <w:b/>
                <w:snapToGrid w:val="0"/>
                <w:color w:val="000000"/>
                <w:sz w:val="16"/>
                <w:lang w:eastAsia="sv-SE"/>
              </w:rPr>
              <w:t>701 337</w:t>
            </w:r>
          </w:p>
        </w:tc>
        <w:tc>
          <w:tcPr>
            <w:tcW w:w="794" w:type="dxa"/>
            <w:tcBorders>
              <w:top w:val="single" w:sz="4" w:space="0" w:color="auto"/>
            </w:tcBorders>
          </w:tcPr>
          <w:p w:rsidR="001C7BF9" w:rsidRPr="00C9680B" w:rsidRDefault="001C7BF9">
            <w:pPr>
              <w:pStyle w:val="SidhuvudKant"/>
              <w:framePr w:wrap="around"/>
              <w:spacing w:line="214" w:lineRule="atLeast"/>
              <w:jc w:val="right"/>
              <w:rPr>
                <w:b/>
                <w:snapToGrid w:val="0"/>
                <w:color w:val="000000"/>
                <w:sz w:val="16"/>
                <w:lang w:eastAsia="sv-SE"/>
              </w:rPr>
            </w:pPr>
            <w:r w:rsidRPr="00C9680B">
              <w:rPr>
                <w:b/>
                <w:snapToGrid w:val="0"/>
                <w:sz w:val="16"/>
                <w:lang w:eastAsia="sv-SE"/>
              </w:rPr>
              <w:t>700</w:t>
            </w:r>
            <w:r w:rsidRPr="00C9680B">
              <w:rPr>
                <w:b/>
                <w:snapToGrid w:val="0"/>
                <w:color w:val="000000"/>
                <w:sz w:val="16"/>
                <w:lang w:eastAsia="sv-SE"/>
              </w:rPr>
              <w:t xml:space="preserve"> 262</w:t>
            </w:r>
          </w:p>
        </w:tc>
        <w:tc>
          <w:tcPr>
            <w:tcW w:w="794" w:type="dxa"/>
            <w:tcBorders>
              <w:top w:val="single" w:sz="4" w:space="0" w:color="auto"/>
            </w:tcBorders>
          </w:tcPr>
          <w:p w:rsidR="001C7BF9" w:rsidRPr="00C9680B" w:rsidRDefault="001C7BF9">
            <w:pPr>
              <w:pStyle w:val="SidhuvudKant"/>
              <w:framePr w:wrap="around"/>
              <w:spacing w:line="214" w:lineRule="atLeast"/>
              <w:jc w:val="right"/>
              <w:rPr>
                <w:b/>
                <w:snapToGrid w:val="0"/>
                <w:color w:val="000000"/>
                <w:sz w:val="16"/>
                <w:lang w:eastAsia="sv-SE"/>
              </w:rPr>
            </w:pPr>
            <w:r w:rsidRPr="00C9680B">
              <w:rPr>
                <w:b/>
                <w:snapToGrid w:val="0"/>
                <w:color w:val="000000"/>
                <w:sz w:val="16"/>
                <w:lang w:eastAsia="sv-SE"/>
              </w:rPr>
              <w:t>689 270</w:t>
            </w:r>
          </w:p>
        </w:tc>
      </w:tr>
      <w:tr w:rsidR="00000000" w:rsidRPr="00C9680B">
        <w:tblPrEx>
          <w:tblCellMar>
            <w:top w:w="0" w:type="dxa"/>
            <w:bottom w:w="0" w:type="dxa"/>
          </w:tblCellMar>
        </w:tblPrEx>
        <w:trPr>
          <w:cantSplit/>
          <w:jc w:val="right"/>
        </w:trPr>
        <w:tc>
          <w:tcPr>
            <w:tcW w:w="2920" w:type="dxa"/>
          </w:tcPr>
          <w:p w:rsidR="001C7BF9" w:rsidRPr="00C9680B" w:rsidRDefault="001C7BF9">
            <w:pPr>
              <w:pStyle w:val="Sidhuvud"/>
              <w:ind w:left="0"/>
              <w:rPr>
                <w:sz w:val="16"/>
              </w:rPr>
            </w:pPr>
            <w:r w:rsidRPr="00C9680B">
              <w:rPr>
                <w:sz w:val="16"/>
              </w:rPr>
              <w:t>Minskning av anslagsbehål</w:t>
            </w:r>
            <w:r w:rsidRPr="00C9680B">
              <w:rPr>
                <w:sz w:val="16"/>
              </w:rPr>
              <w:t>l</w:t>
            </w:r>
            <w:r w:rsidRPr="00C9680B">
              <w:rPr>
                <w:sz w:val="16"/>
              </w:rPr>
              <w:t>ningarna</w:t>
            </w:r>
          </w:p>
        </w:tc>
        <w:tc>
          <w:tcPr>
            <w:tcW w:w="851" w:type="dxa"/>
          </w:tcPr>
          <w:p w:rsidR="001C7BF9" w:rsidRPr="00C9680B" w:rsidRDefault="001C7BF9">
            <w:pPr>
              <w:pStyle w:val="Sidhuvud"/>
              <w:ind w:left="0"/>
              <w:jc w:val="right"/>
              <w:rPr>
                <w:snapToGrid w:val="0"/>
                <w:sz w:val="16"/>
                <w:lang w:eastAsia="sv-SE"/>
              </w:rPr>
            </w:pPr>
            <w:r w:rsidRPr="00C9680B">
              <w:rPr>
                <w:snapToGrid w:val="0"/>
                <w:sz w:val="16"/>
                <w:lang w:eastAsia="sv-SE"/>
              </w:rPr>
              <w:t>3 000</w:t>
            </w:r>
          </w:p>
        </w:tc>
        <w:tc>
          <w:tcPr>
            <w:tcW w:w="794" w:type="dxa"/>
          </w:tcPr>
          <w:p w:rsidR="001C7BF9" w:rsidRPr="00C9680B" w:rsidRDefault="001C7BF9">
            <w:pPr>
              <w:pStyle w:val="Sidhuvud"/>
              <w:ind w:left="0"/>
              <w:jc w:val="right"/>
              <w:rPr>
                <w:snapToGrid w:val="0"/>
                <w:sz w:val="16"/>
                <w:lang w:eastAsia="sv-SE"/>
              </w:rPr>
            </w:pPr>
            <w:r w:rsidRPr="00C9680B">
              <w:rPr>
                <w:snapToGrid w:val="0"/>
                <w:sz w:val="16"/>
                <w:lang w:eastAsia="sv-SE"/>
              </w:rPr>
              <w:t>3 000</w:t>
            </w:r>
          </w:p>
        </w:tc>
        <w:tc>
          <w:tcPr>
            <w:tcW w:w="794" w:type="dxa"/>
          </w:tcPr>
          <w:p w:rsidR="001C7BF9" w:rsidRPr="00C9680B" w:rsidRDefault="001C7BF9">
            <w:pPr>
              <w:pStyle w:val="Sidhuvud"/>
              <w:ind w:left="0"/>
              <w:jc w:val="right"/>
              <w:rPr>
                <w:snapToGrid w:val="0"/>
                <w:sz w:val="16"/>
                <w:lang w:eastAsia="sv-SE"/>
              </w:rPr>
            </w:pPr>
            <w:r w:rsidRPr="00C9680B">
              <w:rPr>
                <w:caps/>
                <w:sz w:val="16"/>
              </w:rPr>
              <w:t xml:space="preserve">3 </w:t>
            </w:r>
            <w:r w:rsidRPr="00C9680B">
              <w:rPr>
                <w:sz w:val="16"/>
              </w:rPr>
              <w:t>0</w:t>
            </w:r>
            <w:r w:rsidRPr="00C9680B">
              <w:rPr>
                <w:snapToGrid w:val="0"/>
                <w:sz w:val="16"/>
                <w:lang w:eastAsia="sv-SE"/>
              </w:rPr>
              <w:t>00</w:t>
            </w:r>
          </w:p>
        </w:tc>
        <w:tc>
          <w:tcPr>
            <w:tcW w:w="794" w:type="dxa"/>
          </w:tcPr>
          <w:p w:rsidR="001C7BF9" w:rsidRPr="00C9680B" w:rsidRDefault="001C7BF9">
            <w:pPr>
              <w:pStyle w:val="Sidhuvud"/>
              <w:ind w:left="0"/>
              <w:jc w:val="right"/>
              <w:rPr>
                <w:snapToGrid w:val="0"/>
                <w:sz w:val="16"/>
                <w:lang w:eastAsia="sv-SE"/>
              </w:rPr>
            </w:pPr>
            <w:r w:rsidRPr="00C9680B">
              <w:rPr>
                <w:snapToGrid w:val="0"/>
                <w:sz w:val="16"/>
                <w:lang w:eastAsia="sv-SE"/>
              </w:rPr>
              <w:t>1 250</w:t>
            </w:r>
          </w:p>
        </w:tc>
        <w:tc>
          <w:tcPr>
            <w:tcW w:w="794" w:type="dxa"/>
          </w:tcPr>
          <w:p w:rsidR="001C7BF9" w:rsidRPr="00C9680B" w:rsidRDefault="001C7BF9">
            <w:pPr>
              <w:pStyle w:val="Sidhuvud"/>
              <w:ind w:left="0"/>
              <w:jc w:val="right"/>
              <w:rPr>
                <w:snapToGrid w:val="0"/>
                <w:sz w:val="16"/>
                <w:lang w:eastAsia="sv-SE"/>
              </w:rPr>
            </w:pPr>
            <w:r w:rsidRPr="00C9680B">
              <w:rPr>
                <w:snapToGrid w:val="0"/>
                <w:sz w:val="16"/>
                <w:lang w:eastAsia="sv-SE"/>
              </w:rPr>
              <w:t>2 000</w:t>
            </w:r>
          </w:p>
        </w:tc>
      </w:tr>
      <w:tr w:rsidR="00000000" w:rsidRPr="00C9680B">
        <w:tblPrEx>
          <w:tblCellMar>
            <w:top w:w="0" w:type="dxa"/>
            <w:bottom w:w="0" w:type="dxa"/>
          </w:tblCellMar>
        </w:tblPrEx>
        <w:trPr>
          <w:cantSplit/>
          <w:jc w:val="right"/>
        </w:trPr>
        <w:tc>
          <w:tcPr>
            <w:tcW w:w="2920" w:type="dxa"/>
          </w:tcPr>
          <w:p w:rsidR="001C7BF9" w:rsidRPr="00C9680B" w:rsidRDefault="001C7BF9">
            <w:pPr>
              <w:pStyle w:val="Sidhuvud"/>
              <w:ind w:left="0"/>
              <w:rPr>
                <w:sz w:val="16"/>
              </w:rPr>
            </w:pPr>
            <w:r w:rsidRPr="00C9680B">
              <w:rPr>
                <w:sz w:val="16"/>
              </w:rPr>
              <w:t>Myndigheters m.fl. in- och utlåning i</w:t>
            </w:r>
          </w:p>
          <w:p w:rsidR="001C7BF9" w:rsidRPr="00C9680B" w:rsidRDefault="001C7BF9">
            <w:pPr>
              <w:pStyle w:val="Sidhuvud"/>
              <w:spacing w:line="200" w:lineRule="atLeast"/>
              <w:ind w:left="0"/>
              <w:rPr>
                <w:sz w:val="16"/>
              </w:rPr>
            </w:pPr>
            <w:r w:rsidRPr="00C9680B">
              <w:rPr>
                <w:sz w:val="16"/>
              </w:rPr>
              <w:t>Riksgäldskontoret, netto</w:t>
            </w:r>
          </w:p>
        </w:tc>
        <w:tc>
          <w:tcPr>
            <w:tcW w:w="851" w:type="dxa"/>
          </w:tcPr>
          <w:p w:rsidR="001C7BF9" w:rsidRPr="00C9680B" w:rsidRDefault="001C7BF9">
            <w:pPr>
              <w:pStyle w:val="Sidhuvud"/>
              <w:ind w:left="0"/>
              <w:jc w:val="right"/>
              <w:rPr>
                <w:snapToGrid w:val="0"/>
                <w:sz w:val="16"/>
                <w:lang w:eastAsia="sv-SE"/>
              </w:rPr>
            </w:pPr>
          </w:p>
          <w:p w:rsidR="001C7BF9" w:rsidRPr="00C9680B" w:rsidRDefault="001C7BF9">
            <w:pPr>
              <w:pStyle w:val="Sidhuvud"/>
              <w:spacing w:line="200" w:lineRule="atLeast"/>
              <w:ind w:left="0"/>
              <w:jc w:val="right"/>
              <w:rPr>
                <w:snapToGrid w:val="0"/>
                <w:sz w:val="16"/>
                <w:lang w:eastAsia="sv-SE"/>
              </w:rPr>
            </w:pPr>
            <w:r w:rsidRPr="00C9680B">
              <w:rPr>
                <w:snapToGrid w:val="0"/>
                <w:sz w:val="16"/>
                <w:lang w:eastAsia="sv-SE"/>
              </w:rPr>
              <w:t>8 209</w:t>
            </w:r>
          </w:p>
        </w:tc>
        <w:tc>
          <w:tcPr>
            <w:tcW w:w="794" w:type="dxa"/>
          </w:tcPr>
          <w:p w:rsidR="001C7BF9" w:rsidRPr="00C9680B" w:rsidRDefault="001C7BF9">
            <w:pPr>
              <w:pStyle w:val="Sidhuvud"/>
              <w:ind w:left="0"/>
              <w:jc w:val="right"/>
              <w:rPr>
                <w:snapToGrid w:val="0"/>
                <w:sz w:val="16"/>
                <w:lang w:eastAsia="sv-SE"/>
              </w:rPr>
            </w:pPr>
          </w:p>
          <w:p w:rsidR="001C7BF9" w:rsidRPr="00C9680B" w:rsidRDefault="001C7BF9">
            <w:pPr>
              <w:pStyle w:val="Sidhuvud"/>
              <w:spacing w:line="200" w:lineRule="atLeast"/>
              <w:ind w:left="0"/>
              <w:jc w:val="right"/>
              <w:rPr>
                <w:snapToGrid w:val="0"/>
                <w:sz w:val="16"/>
                <w:lang w:eastAsia="sv-SE"/>
              </w:rPr>
            </w:pPr>
            <w:r w:rsidRPr="00C9680B">
              <w:rPr>
                <w:snapToGrid w:val="0"/>
                <w:sz w:val="16"/>
                <w:lang w:eastAsia="sv-SE"/>
              </w:rPr>
              <w:t>8 209</w:t>
            </w:r>
          </w:p>
        </w:tc>
        <w:tc>
          <w:tcPr>
            <w:tcW w:w="794" w:type="dxa"/>
          </w:tcPr>
          <w:p w:rsidR="001C7BF9" w:rsidRPr="00C9680B" w:rsidRDefault="001C7BF9">
            <w:pPr>
              <w:pStyle w:val="Sidhuvud"/>
              <w:ind w:left="0"/>
              <w:jc w:val="right"/>
              <w:rPr>
                <w:snapToGrid w:val="0"/>
                <w:sz w:val="16"/>
                <w:lang w:eastAsia="sv-SE"/>
              </w:rPr>
            </w:pPr>
          </w:p>
          <w:p w:rsidR="001C7BF9" w:rsidRPr="00C9680B" w:rsidRDefault="001C7BF9">
            <w:pPr>
              <w:pStyle w:val="Sidhuvud"/>
              <w:spacing w:line="200" w:lineRule="atLeast"/>
              <w:ind w:left="0"/>
              <w:jc w:val="right"/>
              <w:rPr>
                <w:snapToGrid w:val="0"/>
                <w:sz w:val="16"/>
                <w:lang w:eastAsia="sv-SE"/>
              </w:rPr>
            </w:pPr>
            <w:r w:rsidRPr="00C9680B">
              <w:rPr>
                <w:snapToGrid w:val="0"/>
                <w:sz w:val="16"/>
                <w:lang w:eastAsia="sv-SE"/>
              </w:rPr>
              <w:t>8 209</w:t>
            </w:r>
          </w:p>
        </w:tc>
        <w:tc>
          <w:tcPr>
            <w:tcW w:w="794" w:type="dxa"/>
          </w:tcPr>
          <w:p w:rsidR="001C7BF9" w:rsidRPr="00C9680B" w:rsidRDefault="001C7BF9">
            <w:pPr>
              <w:pStyle w:val="Sidhuvud"/>
              <w:ind w:left="0"/>
              <w:jc w:val="right"/>
              <w:rPr>
                <w:snapToGrid w:val="0"/>
                <w:sz w:val="16"/>
                <w:lang w:eastAsia="sv-SE"/>
              </w:rPr>
            </w:pPr>
          </w:p>
          <w:p w:rsidR="001C7BF9" w:rsidRPr="00C9680B" w:rsidRDefault="001C7BF9">
            <w:pPr>
              <w:pStyle w:val="Sidhuvud"/>
              <w:spacing w:line="200" w:lineRule="atLeast"/>
              <w:ind w:left="0"/>
              <w:jc w:val="right"/>
              <w:rPr>
                <w:snapToGrid w:val="0"/>
                <w:sz w:val="16"/>
                <w:lang w:eastAsia="sv-SE"/>
              </w:rPr>
            </w:pPr>
            <w:r w:rsidRPr="00C9680B">
              <w:rPr>
                <w:snapToGrid w:val="0"/>
                <w:sz w:val="16"/>
                <w:lang w:eastAsia="sv-SE"/>
              </w:rPr>
              <w:t>8 209</w:t>
            </w:r>
          </w:p>
        </w:tc>
        <w:tc>
          <w:tcPr>
            <w:tcW w:w="794" w:type="dxa"/>
          </w:tcPr>
          <w:p w:rsidR="001C7BF9" w:rsidRPr="00C9680B" w:rsidRDefault="001C7BF9">
            <w:pPr>
              <w:pStyle w:val="Sidhuvud"/>
              <w:ind w:left="0"/>
              <w:jc w:val="right"/>
              <w:rPr>
                <w:snapToGrid w:val="0"/>
                <w:sz w:val="16"/>
                <w:lang w:eastAsia="sv-SE"/>
              </w:rPr>
            </w:pPr>
          </w:p>
          <w:p w:rsidR="001C7BF9" w:rsidRPr="00C9680B" w:rsidRDefault="001C7BF9">
            <w:pPr>
              <w:pStyle w:val="Sidhuvud"/>
              <w:spacing w:line="200" w:lineRule="atLeast"/>
              <w:ind w:left="0"/>
              <w:jc w:val="right"/>
              <w:rPr>
                <w:snapToGrid w:val="0"/>
                <w:sz w:val="16"/>
                <w:lang w:eastAsia="sv-SE"/>
              </w:rPr>
            </w:pPr>
            <w:r w:rsidRPr="00C9680B">
              <w:rPr>
                <w:snapToGrid w:val="0"/>
                <w:sz w:val="16"/>
                <w:lang w:eastAsia="sv-SE"/>
              </w:rPr>
              <w:t>8 209</w:t>
            </w:r>
          </w:p>
        </w:tc>
      </w:tr>
      <w:tr w:rsidR="00000000" w:rsidRPr="00C9680B">
        <w:tblPrEx>
          <w:tblCellMar>
            <w:top w:w="0" w:type="dxa"/>
            <w:bottom w:w="0" w:type="dxa"/>
          </w:tblCellMar>
        </w:tblPrEx>
        <w:trPr>
          <w:cantSplit/>
          <w:jc w:val="right"/>
        </w:trPr>
        <w:tc>
          <w:tcPr>
            <w:tcW w:w="2920" w:type="dxa"/>
          </w:tcPr>
          <w:p w:rsidR="001C7BF9" w:rsidRPr="00C9680B" w:rsidRDefault="001C7BF9">
            <w:pPr>
              <w:pStyle w:val="Sidhuvud"/>
              <w:ind w:left="0"/>
              <w:rPr>
                <w:sz w:val="16"/>
              </w:rPr>
            </w:pPr>
            <w:r w:rsidRPr="00C9680B">
              <w:rPr>
                <w:sz w:val="16"/>
              </w:rPr>
              <w:t>Överföring från AP-fonden</w:t>
            </w:r>
          </w:p>
        </w:tc>
        <w:tc>
          <w:tcPr>
            <w:tcW w:w="851" w:type="dxa"/>
          </w:tcPr>
          <w:p w:rsidR="001C7BF9" w:rsidRPr="00C9680B" w:rsidRDefault="001C7BF9">
            <w:pPr>
              <w:pStyle w:val="Sidhuvud"/>
              <w:ind w:left="0"/>
              <w:jc w:val="right"/>
              <w:rPr>
                <w:snapToGrid w:val="0"/>
                <w:sz w:val="16"/>
                <w:lang w:eastAsia="sv-SE"/>
              </w:rPr>
            </w:pPr>
            <w:r w:rsidRPr="00C9680B">
              <w:rPr>
                <w:snapToGrid w:val="0"/>
                <w:sz w:val="16"/>
                <w:lang w:eastAsia="sv-SE"/>
              </w:rPr>
              <w:t>-45 700</w:t>
            </w:r>
          </w:p>
        </w:tc>
        <w:tc>
          <w:tcPr>
            <w:tcW w:w="794" w:type="dxa"/>
          </w:tcPr>
          <w:p w:rsidR="001C7BF9" w:rsidRPr="00C9680B" w:rsidRDefault="001C7BF9">
            <w:pPr>
              <w:pStyle w:val="Sidhuvud"/>
              <w:ind w:left="0"/>
              <w:jc w:val="right"/>
              <w:rPr>
                <w:snapToGrid w:val="0"/>
                <w:sz w:val="16"/>
                <w:lang w:eastAsia="sv-SE"/>
              </w:rPr>
            </w:pPr>
            <w:r w:rsidRPr="00C9680B">
              <w:rPr>
                <w:snapToGrid w:val="0"/>
                <w:sz w:val="16"/>
                <w:lang w:eastAsia="sv-SE"/>
              </w:rPr>
              <w:t>-45 700</w:t>
            </w:r>
          </w:p>
        </w:tc>
        <w:tc>
          <w:tcPr>
            <w:tcW w:w="794" w:type="dxa"/>
          </w:tcPr>
          <w:p w:rsidR="001C7BF9" w:rsidRPr="00C9680B" w:rsidRDefault="001C7BF9">
            <w:pPr>
              <w:pStyle w:val="Sidhuvud"/>
              <w:ind w:left="0"/>
              <w:jc w:val="right"/>
              <w:rPr>
                <w:snapToGrid w:val="0"/>
                <w:sz w:val="16"/>
                <w:lang w:eastAsia="sv-SE"/>
              </w:rPr>
            </w:pPr>
            <w:r w:rsidRPr="00C9680B">
              <w:rPr>
                <w:snapToGrid w:val="0"/>
                <w:sz w:val="16"/>
                <w:lang w:eastAsia="sv-SE"/>
              </w:rPr>
              <w:t>-45 700</w:t>
            </w:r>
          </w:p>
        </w:tc>
        <w:tc>
          <w:tcPr>
            <w:tcW w:w="794" w:type="dxa"/>
          </w:tcPr>
          <w:p w:rsidR="001C7BF9" w:rsidRPr="00C9680B" w:rsidRDefault="001C7BF9">
            <w:pPr>
              <w:pStyle w:val="Sidhuvud"/>
              <w:ind w:left="0"/>
              <w:jc w:val="right"/>
              <w:rPr>
                <w:snapToGrid w:val="0"/>
                <w:sz w:val="16"/>
                <w:lang w:eastAsia="sv-SE"/>
              </w:rPr>
            </w:pPr>
            <w:r w:rsidRPr="00C9680B">
              <w:rPr>
                <w:snapToGrid w:val="0"/>
                <w:sz w:val="16"/>
                <w:lang w:eastAsia="sv-SE"/>
              </w:rPr>
              <w:t>-45 700</w:t>
            </w:r>
          </w:p>
        </w:tc>
        <w:tc>
          <w:tcPr>
            <w:tcW w:w="794" w:type="dxa"/>
          </w:tcPr>
          <w:p w:rsidR="001C7BF9" w:rsidRPr="00C9680B" w:rsidRDefault="001C7BF9">
            <w:pPr>
              <w:pStyle w:val="Sidhuvud"/>
              <w:ind w:left="0"/>
              <w:jc w:val="right"/>
              <w:rPr>
                <w:snapToGrid w:val="0"/>
                <w:sz w:val="16"/>
                <w:lang w:eastAsia="sv-SE"/>
              </w:rPr>
            </w:pPr>
            <w:r w:rsidRPr="00C9680B">
              <w:rPr>
                <w:snapToGrid w:val="0"/>
                <w:sz w:val="16"/>
                <w:lang w:eastAsia="sv-SE"/>
              </w:rPr>
              <w:t>-45 700</w:t>
            </w:r>
          </w:p>
        </w:tc>
      </w:tr>
      <w:tr w:rsidR="00000000" w:rsidRPr="00C9680B">
        <w:tblPrEx>
          <w:tblCellMar>
            <w:top w:w="0" w:type="dxa"/>
            <w:bottom w:w="0" w:type="dxa"/>
          </w:tblCellMar>
        </w:tblPrEx>
        <w:trPr>
          <w:cantSplit/>
          <w:trHeight w:val="80"/>
          <w:jc w:val="right"/>
        </w:trPr>
        <w:tc>
          <w:tcPr>
            <w:tcW w:w="2920" w:type="dxa"/>
          </w:tcPr>
          <w:p w:rsidR="001C7BF9" w:rsidRPr="00C9680B" w:rsidRDefault="001C7BF9">
            <w:pPr>
              <w:pStyle w:val="Sidhuvud"/>
              <w:ind w:left="0"/>
              <w:rPr>
                <w:b/>
                <w:sz w:val="16"/>
              </w:rPr>
            </w:pPr>
            <w:r w:rsidRPr="00C9680B">
              <w:rPr>
                <w:b/>
                <w:sz w:val="16"/>
              </w:rPr>
              <w:t>Budgetomslutning</w:t>
            </w:r>
          </w:p>
        </w:tc>
        <w:tc>
          <w:tcPr>
            <w:tcW w:w="851" w:type="dxa"/>
          </w:tcPr>
          <w:p w:rsidR="001C7BF9" w:rsidRPr="00C9680B" w:rsidRDefault="001C7BF9">
            <w:pPr>
              <w:pStyle w:val="Sidhuvud"/>
              <w:ind w:left="0"/>
              <w:jc w:val="right"/>
              <w:rPr>
                <w:b/>
                <w:snapToGrid w:val="0"/>
                <w:sz w:val="16"/>
                <w:lang w:eastAsia="sv-SE"/>
              </w:rPr>
            </w:pPr>
            <w:r w:rsidRPr="00C9680B">
              <w:rPr>
                <w:b/>
                <w:snapToGrid w:val="0"/>
                <w:sz w:val="16"/>
                <w:lang w:eastAsia="sv-SE"/>
              </w:rPr>
              <w:t>676 645</w:t>
            </w:r>
          </w:p>
        </w:tc>
        <w:tc>
          <w:tcPr>
            <w:tcW w:w="794" w:type="dxa"/>
          </w:tcPr>
          <w:p w:rsidR="001C7BF9" w:rsidRPr="00C9680B" w:rsidRDefault="001C7BF9">
            <w:pPr>
              <w:pStyle w:val="Sidhuvud"/>
              <w:ind w:left="0"/>
              <w:jc w:val="right"/>
              <w:rPr>
                <w:b/>
                <w:snapToGrid w:val="0"/>
                <w:sz w:val="16"/>
                <w:lang w:eastAsia="sv-SE"/>
              </w:rPr>
            </w:pPr>
            <w:r w:rsidRPr="00C9680B">
              <w:rPr>
                <w:b/>
                <w:snapToGrid w:val="0"/>
                <w:sz w:val="16"/>
                <w:lang w:eastAsia="sv-SE"/>
              </w:rPr>
              <w:t>691 338</w:t>
            </w:r>
          </w:p>
        </w:tc>
        <w:tc>
          <w:tcPr>
            <w:tcW w:w="794" w:type="dxa"/>
          </w:tcPr>
          <w:p w:rsidR="001C7BF9" w:rsidRPr="00C9680B" w:rsidRDefault="001C7BF9">
            <w:pPr>
              <w:pStyle w:val="Sidhuvud"/>
              <w:ind w:left="0"/>
              <w:jc w:val="right"/>
              <w:rPr>
                <w:b/>
                <w:snapToGrid w:val="0"/>
                <w:color w:val="000000"/>
                <w:sz w:val="16"/>
                <w:lang w:eastAsia="sv-SE"/>
              </w:rPr>
            </w:pPr>
            <w:r w:rsidRPr="00C9680B">
              <w:rPr>
                <w:b/>
                <w:snapToGrid w:val="0"/>
                <w:color w:val="000000"/>
                <w:sz w:val="16"/>
                <w:lang w:eastAsia="sv-SE"/>
              </w:rPr>
              <w:t>666 846</w:t>
            </w:r>
          </w:p>
        </w:tc>
        <w:tc>
          <w:tcPr>
            <w:tcW w:w="794" w:type="dxa"/>
          </w:tcPr>
          <w:p w:rsidR="001C7BF9" w:rsidRPr="00C9680B" w:rsidRDefault="001C7BF9">
            <w:pPr>
              <w:pStyle w:val="Sidhuvud"/>
              <w:ind w:left="0"/>
              <w:jc w:val="right"/>
              <w:rPr>
                <w:b/>
                <w:snapToGrid w:val="0"/>
                <w:color w:val="000000"/>
                <w:sz w:val="16"/>
                <w:lang w:eastAsia="sv-SE"/>
              </w:rPr>
            </w:pPr>
            <w:r w:rsidRPr="00C9680B">
              <w:rPr>
                <w:b/>
                <w:snapToGrid w:val="0"/>
                <w:color w:val="000000"/>
                <w:sz w:val="16"/>
                <w:lang w:eastAsia="sv-SE"/>
              </w:rPr>
              <w:t>664 021</w:t>
            </w:r>
          </w:p>
        </w:tc>
        <w:tc>
          <w:tcPr>
            <w:tcW w:w="794" w:type="dxa"/>
          </w:tcPr>
          <w:p w:rsidR="001C7BF9" w:rsidRPr="00C9680B" w:rsidRDefault="001C7BF9">
            <w:pPr>
              <w:pStyle w:val="Sidhuvud"/>
              <w:ind w:left="0"/>
              <w:jc w:val="right"/>
              <w:rPr>
                <w:b/>
                <w:snapToGrid w:val="0"/>
                <w:sz w:val="16"/>
                <w:lang w:eastAsia="sv-SE"/>
              </w:rPr>
            </w:pPr>
            <w:r w:rsidRPr="00C9680B">
              <w:rPr>
                <w:b/>
                <w:snapToGrid w:val="0"/>
                <w:sz w:val="16"/>
                <w:lang w:eastAsia="sv-SE"/>
              </w:rPr>
              <w:t>653 779</w:t>
            </w:r>
          </w:p>
        </w:tc>
      </w:tr>
      <w:tr w:rsidR="00000000" w:rsidRPr="00C9680B">
        <w:tblPrEx>
          <w:tblCellMar>
            <w:top w:w="0" w:type="dxa"/>
            <w:bottom w:w="0" w:type="dxa"/>
          </w:tblCellMar>
        </w:tblPrEx>
        <w:trPr>
          <w:cantSplit/>
          <w:trHeight w:hRule="exact" w:val="120"/>
          <w:jc w:val="right"/>
        </w:trPr>
        <w:tc>
          <w:tcPr>
            <w:tcW w:w="2920" w:type="dxa"/>
          </w:tcPr>
          <w:p w:rsidR="001C7BF9" w:rsidRPr="00C9680B" w:rsidRDefault="001C7BF9">
            <w:pPr>
              <w:pStyle w:val="Sidhuvud"/>
              <w:ind w:left="0"/>
              <w:rPr>
                <w:b/>
                <w:sz w:val="16"/>
              </w:rPr>
            </w:pPr>
          </w:p>
        </w:tc>
        <w:tc>
          <w:tcPr>
            <w:tcW w:w="851" w:type="dxa"/>
          </w:tcPr>
          <w:p w:rsidR="001C7BF9" w:rsidRPr="00C9680B" w:rsidRDefault="001C7BF9">
            <w:pPr>
              <w:pStyle w:val="Sidhuvud"/>
              <w:ind w:left="0"/>
              <w:jc w:val="right"/>
              <w:rPr>
                <w:sz w:val="16"/>
              </w:rPr>
            </w:pPr>
          </w:p>
        </w:tc>
        <w:tc>
          <w:tcPr>
            <w:tcW w:w="794" w:type="dxa"/>
          </w:tcPr>
          <w:p w:rsidR="001C7BF9" w:rsidRPr="00C9680B" w:rsidRDefault="001C7BF9">
            <w:pPr>
              <w:pStyle w:val="Sidhuvud"/>
              <w:ind w:left="0"/>
              <w:jc w:val="right"/>
              <w:rPr>
                <w:sz w:val="16"/>
              </w:rPr>
            </w:pPr>
          </w:p>
        </w:tc>
        <w:tc>
          <w:tcPr>
            <w:tcW w:w="794" w:type="dxa"/>
          </w:tcPr>
          <w:p w:rsidR="001C7BF9" w:rsidRPr="00C9680B" w:rsidRDefault="001C7BF9">
            <w:pPr>
              <w:pStyle w:val="Sidhuvud"/>
              <w:ind w:left="0"/>
              <w:jc w:val="right"/>
              <w:rPr>
                <w:sz w:val="16"/>
              </w:rPr>
            </w:pPr>
          </w:p>
        </w:tc>
        <w:tc>
          <w:tcPr>
            <w:tcW w:w="794" w:type="dxa"/>
          </w:tcPr>
          <w:p w:rsidR="001C7BF9" w:rsidRPr="00C9680B" w:rsidRDefault="001C7BF9">
            <w:pPr>
              <w:pStyle w:val="Sidhuvud"/>
              <w:ind w:left="0"/>
              <w:jc w:val="right"/>
              <w:rPr>
                <w:sz w:val="16"/>
              </w:rPr>
            </w:pPr>
          </w:p>
        </w:tc>
        <w:tc>
          <w:tcPr>
            <w:tcW w:w="794" w:type="dxa"/>
          </w:tcPr>
          <w:p w:rsidR="001C7BF9" w:rsidRPr="00C9680B" w:rsidRDefault="001C7BF9">
            <w:pPr>
              <w:pStyle w:val="Sidhuvud"/>
              <w:ind w:left="0"/>
              <w:jc w:val="right"/>
              <w:rPr>
                <w:sz w:val="16"/>
              </w:rPr>
            </w:pPr>
          </w:p>
        </w:tc>
      </w:tr>
      <w:tr w:rsidR="00000000" w:rsidRPr="00C9680B">
        <w:tblPrEx>
          <w:tblCellMar>
            <w:top w:w="0" w:type="dxa"/>
            <w:bottom w:w="0" w:type="dxa"/>
          </w:tblCellMar>
        </w:tblPrEx>
        <w:trPr>
          <w:cantSplit/>
          <w:jc w:val="right"/>
        </w:trPr>
        <w:tc>
          <w:tcPr>
            <w:tcW w:w="2920" w:type="dxa"/>
          </w:tcPr>
          <w:p w:rsidR="001C7BF9" w:rsidRPr="00C9680B" w:rsidRDefault="001C7BF9">
            <w:pPr>
              <w:pStyle w:val="Sidhuvud"/>
              <w:ind w:left="0"/>
              <w:rPr>
                <w:sz w:val="16"/>
              </w:rPr>
            </w:pPr>
            <w:r w:rsidRPr="00C9680B">
              <w:rPr>
                <w:sz w:val="16"/>
              </w:rPr>
              <w:t>Skatter m.m.</w:t>
            </w:r>
          </w:p>
        </w:tc>
        <w:tc>
          <w:tcPr>
            <w:tcW w:w="851" w:type="dxa"/>
          </w:tcPr>
          <w:p w:rsidR="001C7BF9" w:rsidRPr="00C9680B" w:rsidRDefault="001C7BF9">
            <w:pPr>
              <w:pStyle w:val="Sidhuvud"/>
              <w:ind w:left="0"/>
              <w:jc w:val="right"/>
              <w:rPr>
                <w:snapToGrid w:val="0"/>
                <w:color w:val="000000"/>
                <w:sz w:val="16"/>
                <w:lang w:eastAsia="sv-SE"/>
              </w:rPr>
            </w:pPr>
            <w:r w:rsidRPr="00C9680B">
              <w:rPr>
                <w:snapToGrid w:val="0"/>
                <w:color w:val="000000"/>
                <w:sz w:val="16"/>
                <w:lang w:eastAsia="sv-SE"/>
              </w:rPr>
              <w:t>651 168</w:t>
            </w:r>
          </w:p>
        </w:tc>
        <w:tc>
          <w:tcPr>
            <w:tcW w:w="794" w:type="dxa"/>
          </w:tcPr>
          <w:p w:rsidR="001C7BF9" w:rsidRPr="00C9680B" w:rsidRDefault="001C7BF9">
            <w:pPr>
              <w:pStyle w:val="Sidhuvud"/>
              <w:ind w:left="0"/>
              <w:jc w:val="right"/>
              <w:rPr>
                <w:snapToGrid w:val="0"/>
                <w:color w:val="000000"/>
                <w:sz w:val="16"/>
                <w:lang w:eastAsia="sv-SE"/>
              </w:rPr>
            </w:pPr>
            <w:r w:rsidRPr="00C9680B">
              <w:rPr>
                <w:snapToGrid w:val="0"/>
                <w:color w:val="000000"/>
                <w:sz w:val="16"/>
                <w:lang w:eastAsia="sv-SE"/>
              </w:rPr>
              <w:t>652 968</w:t>
            </w:r>
          </w:p>
        </w:tc>
        <w:tc>
          <w:tcPr>
            <w:tcW w:w="794" w:type="dxa"/>
          </w:tcPr>
          <w:p w:rsidR="001C7BF9" w:rsidRPr="00C9680B" w:rsidRDefault="001C7BF9">
            <w:pPr>
              <w:pStyle w:val="Sidhuvud"/>
              <w:ind w:left="0"/>
              <w:jc w:val="right"/>
              <w:rPr>
                <w:snapToGrid w:val="0"/>
                <w:color w:val="000000"/>
                <w:sz w:val="16"/>
                <w:lang w:eastAsia="sv-SE"/>
              </w:rPr>
            </w:pPr>
            <w:r w:rsidRPr="00C9680B">
              <w:rPr>
                <w:snapToGrid w:val="0"/>
                <w:color w:val="000000"/>
                <w:sz w:val="16"/>
                <w:lang w:eastAsia="sv-SE"/>
              </w:rPr>
              <w:t>625 528</w:t>
            </w:r>
          </w:p>
        </w:tc>
        <w:tc>
          <w:tcPr>
            <w:tcW w:w="794" w:type="dxa"/>
          </w:tcPr>
          <w:p w:rsidR="001C7BF9" w:rsidRPr="00C9680B" w:rsidRDefault="001C7BF9">
            <w:pPr>
              <w:pStyle w:val="Sidhuvud"/>
              <w:ind w:left="0"/>
              <w:jc w:val="right"/>
              <w:rPr>
                <w:snapToGrid w:val="0"/>
                <w:color w:val="000000"/>
                <w:sz w:val="16"/>
                <w:lang w:eastAsia="sv-SE"/>
              </w:rPr>
            </w:pPr>
            <w:r w:rsidRPr="00C9680B">
              <w:rPr>
                <w:snapToGrid w:val="0"/>
                <w:color w:val="000000"/>
                <w:sz w:val="16"/>
                <w:lang w:eastAsia="sv-SE"/>
              </w:rPr>
              <w:t>640 983</w:t>
            </w:r>
          </w:p>
        </w:tc>
        <w:tc>
          <w:tcPr>
            <w:tcW w:w="794" w:type="dxa"/>
          </w:tcPr>
          <w:p w:rsidR="001C7BF9" w:rsidRPr="00C9680B" w:rsidRDefault="001C7BF9">
            <w:pPr>
              <w:pStyle w:val="Sidhuvud"/>
              <w:ind w:left="0"/>
              <w:jc w:val="right"/>
              <w:rPr>
                <w:snapToGrid w:val="0"/>
                <w:color w:val="000000"/>
                <w:sz w:val="16"/>
                <w:lang w:eastAsia="sv-SE"/>
              </w:rPr>
            </w:pPr>
            <w:r w:rsidRPr="00C9680B">
              <w:rPr>
                <w:snapToGrid w:val="0"/>
                <w:color w:val="000000"/>
                <w:sz w:val="16"/>
                <w:lang w:eastAsia="sv-SE"/>
              </w:rPr>
              <w:t>636 663</w:t>
            </w:r>
          </w:p>
        </w:tc>
      </w:tr>
      <w:tr w:rsidR="00000000" w:rsidRPr="00C9680B">
        <w:tblPrEx>
          <w:tblCellMar>
            <w:top w:w="0" w:type="dxa"/>
            <w:bottom w:w="0" w:type="dxa"/>
          </w:tblCellMar>
        </w:tblPrEx>
        <w:trPr>
          <w:cantSplit/>
          <w:jc w:val="right"/>
        </w:trPr>
        <w:tc>
          <w:tcPr>
            <w:tcW w:w="2920" w:type="dxa"/>
          </w:tcPr>
          <w:p w:rsidR="001C7BF9" w:rsidRPr="00C9680B" w:rsidRDefault="001C7BF9">
            <w:pPr>
              <w:pStyle w:val="Sidhuvud"/>
              <w:ind w:left="0"/>
              <w:rPr>
                <w:sz w:val="16"/>
              </w:rPr>
            </w:pPr>
            <w:r w:rsidRPr="00C9680B">
              <w:rPr>
                <w:sz w:val="16"/>
              </w:rPr>
              <w:t>Inkomster av försåld ege</w:t>
            </w:r>
            <w:r w:rsidRPr="00C9680B">
              <w:rPr>
                <w:sz w:val="16"/>
              </w:rPr>
              <w:t>n</w:t>
            </w:r>
            <w:r w:rsidRPr="00C9680B">
              <w:rPr>
                <w:sz w:val="16"/>
              </w:rPr>
              <w:t>dom</w:t>
            </w:r>
          </w:p>
        </w:tc>
        <w:tc>
          <w:tcPr>
            <w:tcW w:w="851" w:type="dxa"/>
          </w:tcPr>
          <w:p w:rsidR="001C7BF9" w:rsidRPr="00C9680B" w:rsidRDefault="001C7BF9">
            <w:pPr>
              <w:pStyle w:val="Sidhuvud"/>
              <w:ind w:left="0"/>
              <w:jc w:val="right"/>
              <w:rPr>
                <w:snapToGrid w:val="0"/>
                <w:color w:val="000000"/>
                <w:sz w:val="16"/>
                <w:lang w:eastAsia="sv-SE"/>
              </w:rPr>
            </w:pPr>
            <w:r w:rsidRPr="00C9680B">
              <w:rPr>
                <w:snapToGrid w:val="0"/>
                <w:color w:val="000000"/>
                <w:sz w:val="16"/>
                <w:lang w:eastAsia="sv-SE"/>
              </w:rPr>
              <w:t>15 001</w:t>
            </w:r>
          </w:p>
        </w:tc>
        <w:tc>
          <w:tcPr>
            <w:tcW w:w="794" w:type="dxa"/>
          </w:tcPr>
          <w:p w:rsidR="001C7BF9" w:rsidRPr="00C9680B" w:rsidRDefault="001C7BF9">
            <w:pPr>
              <w:pStyle w:val="Sidhuvud"/>
              <w:ind w:left="0"/>
              <w:jc w:val="right"/>
              <w:rPr>
                <w:snapToGrid w:val="0"/>
                <w:color w:val="000000"/>
                <w:sz w:val="16"/>
                <w:lang w:eastAsia="sv-SE"/>
              </w:rPr>
            </w:pPr>
            <w:r w:rsidRPr="00C9680B">
              <w:rPr>
                <w:snapToGrid w:val="0"/>
                <w:color w:val="000000"/>
                <w:sz w:val="16"/>
                <w:lang w:eastAsia="sv-SE"/>
              </w:rPr>
              <w:t>95 001</w:t>
            </w:r>
          </w:p>
        </w:tc>
        <w:tc>
          <w:tcPr>
            <w:tcW w:w="794" w:type="dxa"/>
          </w:tcPr>
          <w:p w:rsidR="001C7BF9" w:rsidRPr="00C9680B" w:rsidRDefault="001C7BF9">
            <w:pPr>
              <w:pStyle w:val="Sidhuvud"/>
              <w:ind w:left="0"/>
              <w:jc w:val="right"/>
              <w:rPr>
                <w:snapToGrid w:val="0"/>
                <w:color w:val="000000"/>
                <w:sz w:val="16"/>
                <w:lang w:eastAsia="sv-SE"/>
              </w:rPr>
            </w:pPr>
            <w:r w:rsidRPr="00C9680B">
              <w:rPr>
                <w:snapToGrid w:val="0"/>
                <w:color w:val="000000"/>
                <w:sz w:val="16"/>
                <w:lang w:eastAsia="sv-SE"/>
              </w:rPr>
              <w:t>95 001</w:t>
            </w:r>
          </w:p>
        </w:tc>
        <w:tc>
          <w:tcPr>
            <w:tcW w:w="794" w:type="dxa"/>
          </w:tcPr>
          <w:p w:rsidR="001C7BF9" w:rsidRPr="00C9680B" w:rsidRDefault="001C7BF9">
            <w:pPr>
              <w:pStyle w:val="Sidhuvud"/>
              <w:ind w:left="0"/>
              <w:jc w:val="right"/>
              <w:rPr>
                <w:snapToGrid w:val="0"/>
                <w:color w:val="000000"/>
                <w:sz w:val="16"/>
                <w:lang w:eastAsia="sv-SE"/>
              </w:rPr>
            </w:pPr>
            <w:r w:rsidRPr="00C9680B">
              <w:rPr>
                <w:snapToGrid w:val="0"/>
                <w:color w:val="000000"/>
                <w:sz w:val="16"/>
                <w:lang w:eastAsia="sv-SE"/>
              </w:rPr>
              <w:t>65 001</w:t>
            </w:r>
          </w:p>
        </w:tc>
        <w:tc>
          <w:tcPr>
            <w:tcW w:w="794" w:type="dxa"/>
          </w:tcPr>
          <w:p w:rsidR="001C7BF9" w:rsidRPr="00C9680B" w:rsidRDefault="001C7BF9">
            <w:pPr>
              <w:pStyle w:val="Sidhuvud"/>
              <w:ind w:left="0"/>
              <w:jc w:val="right"/>
              <w:rPr>
                <w:snapToGrid w:val="0"/>
                <w:color w:val="000000"/>
                <w:sz w:val="16"/>
                <w:lang w:eastAsia="sv-SE"/>
              </w:rPr>
            </w:pPr>
            <w:r w:rsidRPr="00C9680B">
              <w:rPr>
                <w:snapToGrid w:val="0"/>
                <w:color w:val="000000"/>
                <w:sz w:val="16"/>
                <w:lang w:eastAsia="sv-SE"/>
              </w:rPr>
              <w:t>95 001</w:t>
            </w:r>
          </w:p>
        </w:tc>
      </w:tr>
      <w:tr w:rsidR="00000000" w:rsidRPr="00C9680B">
        <w:tblPrEx>
          <w:tblCellMar>
            <w:top w:w="0" w:type="dxa"/>
            <w:bottom w:w="0" w:type="dxa"/>
          </w:tblCellMar>
        </w:tblPrEx>
        <w:trPr>
          <w:cantSplit/>
          <w:jc w:val="right"/>
        </w:trPr>
        <w:tc>
          <w:tcPr>
            <w:tcW w:w="2920" w:type="dxa"/>
          </w:tcPr>
          <w:p w:rsidR="001C7BF9" w:rsidRPr="00C9680B" w:rsidRDefault="001C7BF9">
            <w:pPr>
              <w:pStyle w:val="Sidhuvud"/>
              <w:ind w:left="0"/>
              <w:rPr>
                <w:sz w:val="16"/>
              </w:rPr>
            </w:pPr>
            <w:r w:rsidRPr="00C9680B">
              <w:rPr>
                <w:sz w:val="16"/>
              </w:rPr>
              <w:t>Övriga inkomster på statsbu</w:t>
            </w:r>
            <w:r w:rsidRPr="00C9680B">
              <w:rPr>
                <w:sz w:val="16"/>
              </w:rPr>
              <w:t>d</w:t>
            </w:r>
            <w:r w:rsidRPr="00C9680B">
              <w:rPr>
                <w:sz w:val="16"/>
              </w:rPr>
              <w:t>geten</w:t>
            </w:r>
          </w:p>
        </w:tc>
        <w:tc>
          <w:tcPr>
            <w:tcW w:w="851" w:type="dxa"/>
          </w:tcPr>
          <w:p w:rsidR="001C7BF9" w:rsidRPr="00C9680B" w:rsidRDefault="001C7BF9">
            <w:pPr>
              <w:pStyle w:val="Sidhuvud"/>
              <w:ind w:left="0"/>
              <w:jc w:val="right"/>
              <w:rPr>
                <w:snapToGrid w:val="0"/>
                <w:color w:val="000000"/>
                <w:sz w:val="16"/>
                <w:lang w:eastAsia="sv-SE"/>
              </w:rPr>
            </w:pPr>
            <w:r w:rsidRPr="00C9680B">
              <w:rPr>
                <w:snapToGrid w:val="0"/>
                <w:color w:val="000000"/>
                <w:sz w:val="16"/>
                <w:lang w:eastAsia="sv-SE"/>
              </w:rPr>
              <w:t>50 975</w:t>
            </w:r>
          </w:p>
        </w:tc>
        <w:tc>
          <w:tcPr>
            <w:tcW w:w="794" w:type="dxa"/>
          </w:tcPr>
          <w:p w:rsidR="001C7BF9" w:rsidRPr="00C9680B" w:rsidRDefault="001C7BF9">
            <w:pPr>
              <w:pStyle w:val="Sidhuvud"/>
              <w:ind w:left="0"/>
              <w:jc w:val="right"/>
              <w:rPr>
                <w:snapToGrid w:val="0"/>
                <w:color w:val="000000"/>
                <w:sz w:val="16"/>
                <w:lang w:eastAsia="sv-SE"/>
              </w:rPr>
            </w:pPr>
            <w:r w:rsidRPr="00C9680B">
              <w:rPr>
                <w:snapToGrid w:val="0"/>
                <w:color w:val="000000"/>
                <w:sz w:val="16"/>
                <w:lang w:eastAsia="sv-SE"/>
              </w:rPr>
              <w:t>50 975</w:t>
            </w:r>
          </w:p>
        </w:tc>
        <w:tc>
          <w:tcPr>
            <w:tcW w:w="794" w:type="dxa"/>
          </w:tcPr>
          <w:p w:rsidR="001C7BF9" w:rsidRPr="00C9680B" w:rsidRDefault="001C7BF9">
            <w:pPr>
              <w:pStyle w:val="Sidhuvud"/>
              <w:ind w:left="0"/>
              <w:jc w:val="right"/>
              <w:rPr>
                <w:snapToGrid w:val="0"/>
                <w:color w:val="000000"/>
                <w:sz w:val="16"/>
                <w:lang w:eastAsia="sv-SE"/>
              </w:rPr>
            </w:pPr>
            <w:r w:rsidRPr="00C9680B">
              <w:rPr>
                <w:snapToGrid w:val="0"/>
                <w:color w:val="000000"/>
                <w:sz w:val="16"/>
                <w:lang w:eastAsia="sv-SE"/>
              </w:rPr>
              <w:t>50 245</w:t>
            </w:r>
          </w:p>
        </w:tc>
        <w:tc>
          <w:tcPr>
            <w:tcW w:w="794" w:type="dxa"/>
          </w:tcPr>
          <w:p w:rsidR="001C7BF9" w:rsidRPr="00C9680B" w:rsidRDefault="001C7BF9">
            <w:pPr>
              <w:pStyle w:val="Sidhuvud"/>
              <w:ind w:left="0"/>
              <w:jc w:val="right"/>
              <w:rPr>
                <w:snapToGrid w:val="0"/>
                <w:color w:val="000000"/>
                <w:sz w:val="16"/>
                <w:lang w:eastAsia="sv-SE"/>
              </w:rPr>
            </w:pPr>
            <w:r w:rsidRPr="00C9680B">
              <w:rPr>
                <w:snapToGrid w:val="0"/>
                <w:color w:val="000000"/>
                <w:sz w:val="16"/>
                <w:lang w:eastAsia="sv-SE"/>
              </w:rPr>
              <w:t>50 975</w:t>
            </w:r>
          </w:p>
        </w:tc>
        <w:tc>
          <w:tcPr>
            <w:tcW w:w="794" w:type="dxa"/>
          </w:tcPr>
          <w:p w:rsidR="001C7BF9" w:rsidRPr="00C9680B" w:rsidRDefault="001C7BF9">
            <w:pPr>
              <w:pStyle w:val="Sidhuvud"/>
              <w:ind w:left="0"/>
              <w:jc w:val="right"/>
              <w:rPr>
                <w:snapToGrid w:val="0"/>
                <w:color w:val="000000"/>
                <w:sz w:val="16"/>
                <w:lang w:eastAsia="sv-SE"/>
              </w:rPr>
            </w:pPr>
            <w:r w:rsidRPr="00C9680B">
              <w:rPr>
                <w:snapToGrid w:val="0"/>
                <w:color w:val="000000"/>
                <w:sz w:val="16"/>
                <w:lang w:eastAsia="sv-SE"/>
              </w:rPr>
              <w:t>54 175</w:t>
            </w:r>
          </w:p>
        </w:tc>
      </w:tr>
      <w:tr w:rsidR="00000000" w:rsidRPr="00C9680B">
        <w:tblPrEx>
          <w:tblCellMar>
            <w:top w:w="0" w:type="dxa"/>
            <w:bottom w:w="0" w:type="dxa"/>
          </w:tblCellMar>
        </w:tblPrEx>
        <w:trPr>
          <w:cantSplit/>
          <w:jc w:val="right"/>
        </w:trPr>
        <w:tc>
          <w:tcPr>
            <w:tcW w:w="2920" w:type="dxa"/>
          </w:tcPr>
          <w:p w:rsidR="001C7BF9" w:rsidRPr="00C9680B" w:rsidRDefault="001C7BF9">
            <w:pPr>
              <w:pStyle w:val="Sidhuvud"/>
              <w:ind w:left="0"/>
              <w:rPr>
                <w:b/>
                <w:sz w:val="16"/>
              </w:rPr>
            </w:pPr>
            <w:r w:rsidRPr="00C9680B">
              <w:rPr>
                <w:b/>
                <w:sz w:val="16"/>
              </w:rPr>
              <w:t>Summa inkomster</w:t>
            </w:r>
          </w:p>
        </w:tc>
        <w:tc>
          <w:tcPr>
            <w:tcW w:w="851" w:type="dxa"/>
          </w:tcPr>
          <w:p w:rsidR="001C7BF9" w:rsidRPr="00C9680B" w:rsidRDefault="001C7BF9">
            <w:pPr>
              <w:pStyle w:val="Sidhuvud"/>
              <w:ind w:left="0"/>
              <w:jc w:val="right"/>
              <w:rPr>
                <w:b/>
                <w:snapToGrid w:val="0"/>
                <w:color w:val="000000"/>
                <w:sz w:val="16"/>
                <w:lang w:eastAsia="sv-SE"/>
              </w:rPr>
            </w:pPr>
            <w:r w:rsidRPr="00C9680B">
              <w:rPr>
                <w:b/>
                <w:snapToGrid w:val="0"/>
                <w:color w:val="000000"/>
                <w:sz w:val="16"/>
                <w:lang w:eastAsia="sv-SE"/>
              </w:rPr>
              <w:t>717 145</w:t>
            </w:r>
          </w:p>
        </w:tc>
        <w:tc>
          <w:tcPr>
            <w:tcW w:w="794" w:type="dxa"/>
          </w:tcPr>
          <w:p w:rsidR="001C7BF9" w:rsidRPr="00C9680B" w:rsidRDefault="001C7BF9">
            <w:pPr>
              <w:pStyle w:val="Sidhuvud"/>
              <w:ind w:left="0"/>
              <w:jc w:val="right"/>
              <w:rPr>
                <w:b/>
                <w:snapToGrid w:val="0"/>
                <w:color w:val="000000"/>
                <w:sz w:val="16"/>
                <w:lang w:eastAsia="sv-SE"/>
              </w:rPr>
            </w:pPr>
            <w:r w:rsidRPr="00C9680B">
              <w:rPr>
                <w:b/>
                <w:snapToGrid w:val="0"/>
                <w:color w:val="000000"/>
                <w:sz w:val="16"/>
                <w:lang w:eastAsia="sv-SE"/>
              </w:rPr>
              <w:t>798 945</w:t>
            </w:r>
          </w:p>
        </w:tc>
        <w:tc>
          <w:tcPr>
            <w:tcW w:w="794" w:type="dxa"/>
          </w:tcPr>
          <w:p w:rsidR="001C7BF9" w:rsidRPr="00C9680B" w:rsidRDefault="001C7BF9">
            <w:pPr>
              <w:pStyle w:val="Sidhuvud"/>
              <w:ind w:left="0"/>
              <w:jc w:val="right"/>
              <w:rPr>
                <w:b/>
                <w:snapToGrid w:val="0"/>
                <w:color w:val="000000"/>
                <w:sz w:val="16"/>
                <w:lang w:eastAsia="sv-SE"/>
              </w:rPr>
            </w:pPr>
            <w:r w:rsidRPr="00C9680B">
              <w:rPr>
                <w:b/>
                <w:snapToGrid w:val="0"/>
                <w:color w:val="000000"/>
                <w:sz w:val="16"/>
                <w:lang w:eastAsia="sv-SE"/>
              </w:rPr>
              <w:t>770 775</w:t>
            </w:r>
          </w:p>
        </w:tc>
        <w:tc>
          <w:tcPr>
            <w:tcW w:w="794" w:type="dxa"/>
          </w:tcPr>
          <w:p w:rsidR="001C7BF9" w:rsidRPr="00C9680B" w:rsidRDefault="001C7BF9">
            <w:pPr>
              <w:pStyle w:val="Sidhuvud"/>
              <w:ind w:left="0"/>
              <w:jc w:val="right"/>
              <w:rPr>
                <w:b/>
                <w:snapToGrid w:val="0"/>
                <w:color w:val="000000"/>
                <w:sz w:val="16"/>
                <w:lang w:eastAsia="sv-SE"/>
              </w:rPr>
            </w:pPr>
            <w:r w:rsidRPr="00C9680B">
              <w:rPr>
                <w:b/>
                <w:snapToGrid w:val="0"/>
                <w:color w:val="000000"/>
                <w:sz w:val="16"/>
                <w:lang w:eastAsia="sv-SE"/>
              </w:rPr>
              <w:t>756 960</w:t>
            </w:r>
          </w:p>
        </w:tc>
        <w:tc>
          <w:tcPr>
            <w:tcW w:w="794" w:type="dxa"/>
          </w:tcPr>
          <w:p w:rsidR="001C7BF9" w:rsidRPr="00C9680B" w:rsidRDefault="001C7BF9">
            <w:pPr>
              <w:pStyle w:val="Sidhuvud"/>
              <w:ind w:left="0"/>
              <w:jc w:val="right"/>
              <w:rPr>
                <w:b/>
                <w:snapToGrid w:val="0"/>
                <w:color w:val="000000"/>
                <w:sz w:val="16"/>
                <w:lang w:eastAsia="sv-SE"/>
              </w:rPr>
            </w:pPr>
            <w:r w:rsidRPr="00C9680B">
              <w:rPr>
                <w:b/>
                <w:snapToGrid w:val="0"/>
                <w:color w:val="000000"/>
                <w:sz w:val="16"/>
                <w:lang w:eastAsia="sv-SE"/>
              </w:rPr>
              <w:t>785 840</w:t>
            </w:r>
          </w:p>
        </w:tc>
      </w:tr>
      <w:tr w:rsidR="00000000" w:rsidRPr="00C9680B">
        <w:tblPrEx>
          <w:tblCellMar>
            <w:top w:w="0" w:type="dxa"/>
            <w:bottom w:w="0" w:type="dxa"/>
          </w:tblCellMar>
        </w:tblPrEx>
        <w:trPr>
          <w:cantSplit/>
          <w:trHeight w:hRule="exact" w:val="440"/>
          <w:jc w:val="right"/>
        </w:trPr>
        <w:tc>
          <w:tcPr>
            <w:tcW w:w="2920" w:type="dxa"/>
          </w:tcPr>
          <w:p w:rsidR="001C7BF9" w:rsidRPr="00C9680B" w:rsidRDefault="001C7BF9">
            <w:pPr>
              <w:pStyle w:val="Sidhuvud"/>
              <w:spacing w:line="180" w:lineRule="atLeast"/>
              <w:ind w:left="0"/>
              <w:rPr>
                <w:i/>
                <w:sz w:val="16"/>
              </w:rPr>
            </w:pPr>
            <w:r w:rsidRPr="00C9680B">
              <w:rPr>
                <w:i/>
                <w:sz w:val="16"/>
              </w:rPr>
              <w:t>Statsbudgetens saldo (=amortering före skulddispositi</w:t>
            </w:r>
            <w:r w:rsidRPr="00C9680B">
              <w:rPr>
                <w:i/>
                <w:sz w:val="16"/>
              </w:rPr>
              <w:t>o</w:t>
            </w:r>
            <w:r w:rsidRPr="00C9680B">
              <w:rPr>
                <w:i/>
                <w:sz w:val="16"/>
              </w:rPr>
              <w:t>ner)</w:t>
            </w:r>
          </w:p>
        </w:tc>
        <w:tc>
          <w:tcPr>
            <w:tcW w:w="850" w:type="dxa"/>
          </w:tcPr>
          <w:p w:rsidR="001C7BF9" w:rsidRPr="00C9680B" w:rsidRDefault="001C7BF9">
            <w:pPr>
              <w:pStyle w:val="SidhuvudKant"/>
              <w:framePr w:wrap="around"/>
              <w:spacing w:before="120" w:line="214" w:lineRule="atLeast"/>
              <w:jc w:val="right"/>
              <w:rPr>
                <w:b/>
                <w:snapToGrid w:val="0"/>
                <w:color w:val="000000"/>
                <w:sz w:val="16"/>
                <w:lang w:eastAsia="sv-SE"/>
              </w:rPr>
            </w:pPr>
            <w:r w:rsidRPr="00C9680B">
              <w:rPr>
                <w:b/>
                <w:snapToGrid w:val="0"/>
                <w:color w:val="000000"/>
                <w:sz w:val="16"/>
                <w:lang w:eastAsia="sv-SE"/>
              </w:rPr>
              <w:t>40 500</w:t>
            </w:r>
          </w:p>
        </w:tc>
        <w:tc>
          <w:tcPr>
            <w:tcW w:w="799" w:type="dxa"/>
          </w:tcPr>
          <w:p w:rsidR="001C7BF9" w:rsidRPr="00C9680B" w:rsidRDefault="001C7BF9">
            <w:pPr>
              <w:pStyle w:val="SidhuvudKant"/>
              <w:framePr w:wrap="around"/>
              <w:spacing w:before="120" w:line="214" w:lineRule="atLeast"/>
              <w:jc w:val="right"/>
              <w:rPr>
                <w:b/>
                <w:snapToGrid w:val="0"/>
                <w:color w:val="000000"/>
                <w:sz w:val="16"/>
                <w:lang w:eastAsia="sv-SE"/>
              </w:rPr>
            </w:pPr>
            <w:r w:rsidRPr="00C9680B">
              <w:rPr>
                <w:b/>
                <w:snapToGrid w:val="0"/>
                <w:color w:val="000000"/>
                <w:sz w:val="16"/>
                <w:lang w:eastAsia="sv-SE"/>
              </w:rPr>
              <w:t>107 607</w:t>
            </w:r>
          </w:p>
        </w:tc>
        <w:tc>
          <w:tcPr>
            <w:tcW w:w="794" w:type="dxa"/>
          </w:tcPr>
          <w:p w:rsidR="001C7BF9" w:rsidRPr="00C9680B" w:rsidRDefault="001C7BF9">
            <w:pPr>
              <w:pStyle w:val="SidhuvudKant"/>
              <w:framePr w:wrap="around"/>
              <w:spacing w:before="120" w:line="214" w:lineRule="atLeast"/>
              <w:jc w:val="right"/>
              <w:rPr>
                <w:b/>
                <w:snapToGrid w:val="0"/>
                <w:color w:val="000000"/>
                <w:sz w:val="16"/>
                <w:lang w:eastAsia="sv-SE"/>
              </w:rPr>
            </w:pPr>
            <w:r w:rsidRPr="00C9680B">
              <w:rPr>
                <w:b/>
                <w:snapToGrid w:val="0"/>
                <w:color w:val="000000"/>
                <w:sz w:val="16"/>
                <w:lang w:eastAsia="sv-SE"/>
              </w:rPr>
              <w:t>103 929</w:t>
            </w:r>
          </w:p>
        </w:tc>
        <w:tc>
          <w:tcPr>
            <w:tcW w:w="794" w:type="dxa"/>
          </w:tcPr>
          <w:p w:rsidR="001C7BF9" w:rsidRPr="00C9680B" w:rsidRDefault="001C7BF9">
            <w:pPr>
              <w:pStyle w:val="SidhuvudKant"/>
              <w:framePr w:wrap="around"/>
              <w:spacing w:before="120" w:line="214" w:lineRule="atLeast"/>
              <w:jc w:val="right"/>
              <w:rPr>
                <w:b/>
                <w:snapToGrid w:val="0"/>
                <w:color w:val="000000"/>
                <w:sz w:val="16"/>
                <w:lang w:eastAsia="sv-SE"/>
              </w:rPr>
            </w:pPr>
            <w:r w:rsidRPr="00C9680B">
              <w:rPr>
                <w:b/>
                <w:snapToGrid w:val="0"/>
                <w:color w:val="000000"/>
                <w:sz w:val="16"/>
                <w:lang w:eastAsia="sv-SE"/>
              </w:rPr>
              <w:t>92 939</w:t>
            </w:r>
          </w:p>
        </w:tc>
        <w:tc>
          <w:tcPr>
            <w:tcW w:w="794" w:type="dxa"/>
          </w:tcPr>
          <w:p w:rsidR="001C7BF9" w:rsidRPr="00C9680B" w:rsidRDefault="001C7BF9">
            <w:pPr>
              <w:pStyle w:val="SidhuvudKant"/>
              <w:framePr w:wrap="around"/>
              <w:spacing w:before="120" w:line="214" w:lineRule="atLeast"/>
              <w:jc w:val="right"/>
              <w:rPr>
                <w:b/>
                <w:snapToGrid w:val="0"/>
                <w:color w:val="000000"/>
                <w:sz w:val="16"/>
                <w:lang w:eastAsia="sv-SE"/>
              </w:rPr>
            </w:pPr>
            <w:r w:rsidRPr="00C9680B">
              <w:rPr>
                <w:b/>
                <w:snapToGrid w:val="0"/>
                <w:color w:val="000000"/>
                <w:sz w:val="16"/>
                <w:lang w:eastAsia="sv-SE"/>
              </w:rPr>
              <w:t>132 061</w:t>
            </w:r>
          </w:p>
        </w:tc>
      </w:tr>
      <w:tr w:rsidR="00000000" w:rsidRPr="00C9680B">
        <w:tblPrEx>
          <w:tblCellMar>
            <w:top w:w="0" w:type="dxa"/>
            <w:bottom w:w="0" w:type="dxa"/>
          </w:tblCellMar>
        </w:tblPrEx>
        <w:trPr>
          <w:cantSplit/>
          <w:jc w:val="right"/>
        </w:trPr>
        <w:tc>
          <w:tcPr>
            <w:tcW w:w="2920" w:type="dxa"/>
          </w:tcPr>
          <w:p w:rsidR="001C7BF9" w:rsidRPr="00C9680B" w:rsidRDefault="001C7BF9">
            <w:pPr>
              <w:pStyle w:val="Sidhuvud"/>
              <w:ind w:left="0"/>
              <w:rPr>
                <w:b/>
                <w:sz w:val="16"/>
              </w:rPr>
            </w:pPr>
            <w:r w:rsidRPr="00C9680B">
              <w:rPr>
                <w:b/>
                <w:sz w:val="16"/>
              </w:rPr>
              <w:t>Budgetomslutning</w:t>
            </w:r>
          </w:p>
        </w:tc>
        <w:tc>
          <w:tcPr>
            <w:tcW w:w="851" w:type="dxa"/>
          </w:tcPr>
          <w:p w:rsidR="001C7BF9" w:rsidRPr="00C9680B" w:rsidRDefault="001C7BF9">
            <w:pPr>
              <w:pStyle w:val="Sidhuvud"/>
              <w:ind w:left="0"/>
              <w:jc w:val="right"/>
              <w:rPr>
                <w:b/>
                <w:snapToGrid w:val="0"/>
                <w:sz w:val="16"/>
                <w:lang w:eastAsia="sv-SE"/>
              </w:rPr>
            </w:pPr>
            <w:r w:rsidRPr="00C9680B">
              <w:rPr>
                <w:b/>
                <w:snapToGrid w:val="0"/>
                <w:sz w:val="16"/>
                <w:lang w:eastAsia="sv-SE"/>
              </w:rPr>
              <w:t>676 645</w:t>
            </w:r>
          </w:p>
        </w:tc>
        <w:tc>
          <w:tcPr>
            <w:tcW w:w="794" w:type="dxa"/>
          </w:tcPr>
          <w:p w:rsidR="001C7BF9" w:rsidRPr="00C9680B" w:rsidRDefault="001C7BF9">
            <w:pPr>
              <w:pStyle w:val="Sidhuvud"/>
              <w:ind w:left="0"/>
              <w:jc w:val="right"/>
              <w:rPr>
                <w:b/>
                <w:snapToGrid w:val="0"/>
                <w:sz w:val="16"/>
                <w:lang w:eastAsia="sv-SE"/>
              </w:rPr>
            </w:pPr>
            <w:r w:rsidRPr="00C9680B">
              <w:rPr>
                <w:b/>
                <w:snapToGrid w:val="0"/>
                <w:sz w:val="16"/>
                <w:lang w:eastAsia="sv-SE"/>
              </w:rPr>
              <w:t>691 338</w:t>
            </w:r>
          </w:p>
        </w:tc>
        <w:tc>
          <w:tcPr>
            <w:tcW w:w="794" w:type="dxa"/>
          </w:tcPr>
          <w:p w:rsidR="001C7BF9" w:rsidRPr="00C9680B" w:rsidRDefault="001C7BF9">
            <w:pPr>
              <w:pStyle w:val="Sidhuvud"/>
              <w:ind w:left="0"/>
              <w:jc w:val="right"/>
              <w:rPr>
                <w:b/>
                <w:snapToGrid w:val="0"/>
                <w:color w:val="000000"/>
                <w:sz w:val="16"/>
                <w:lang w:eastAsia="sv-SE"/>
              </w:rPr>
            </w:pPr>
            <w:r w:rsidRPr="00C9680B">
              <w:rPr>
                <w:b/>
                <w:snapToGrid w:val="0"/>
                <w:color w:val="000000"/>
                <w:sz w:val="16"/>
                <w:lang w:eastAsia="sv-SE"/>
              </w:rPr>
              <w:t>666 846</w:t>
            </w:r>
          </w:p>
        </w:tc>
        <w:tc>
          <w:tcPr>
            <w:tcW w:w="794" w:type="dxa"/>
          </w:tcPr>
          <w:p w:rsidR="001C7BF9" w:rsidRPr="00C9680B" w:rsidRDefault="001C7BF9">
            <w:pPr>
              <w:pStyle w:val="Sidhuvud"/>
              <w:ind w:left="0"/>
              <w:jc w:val="right"/>
              <w:rPr>
                <w:b/>
                <w:snapToGrid w:val="0"/>
                <w:color w:val="000000"/>
                <w:sz w:val="16"/>
                <w:lang w:eastAsia="sv-SE"/>
              </w:rPr>
            </w:pPr>
            <w:r w:rsidRPr="00C9680B">
              <w:rPr>
                <w:b/>
                <w:snapToGrid w:val="0"/>
                <w:color w:val="000000"/>
                <w:sz w:val="16"/>
                <w:lang w:eastAsia="sv-SE"/>
              </w:rPr>
              <w:t>664 021</w:t>
            </w:r>
          </w:p>
        </w:tc>
        <w:tc>
          <w:tcPr>
            <w:tcW w:w="794" w:type="dxa"/>
          </w:tcPr>
          <w:p w:rsidR="001C7BF9" w:rsidRPr="00C9680B" w:rsidRDefault="001C7BF9">
            <w:pPr>
              <w:pStyle w:val="Sidhuvud"/>
              <w:ind w:left="0"/>
              <w:jc w:val="right"/>
              <w:rPr>
                <w:b/>
                <w:snapToGrid w:val="0"/>
                <w:sz w:val="16"/>
                <w:lang w:eastAsia="sv-SE"/>
              </w:rPr>
            </w:pPr>
            <w:r w:rsidRPr="00C9680B">
              <w:rPr>
                <w:b/>
                <w:snapToGrid w:val="0"/>
                <w:sz w:val="16"/>
                <w:lang w:eastAsia="sv-SE"/>
              </w:rPr>
              <w:t>653 779</w:t>
            </w:r>
          </w:p>
        </w:tc>
      </w:tr>
      <w:tr w:rsidR="00000000" w:rsidRPr="00C9680B">
        <w:tblPrEx>
          <w:tblCellMar>
            <w:top w:w="0" w:type="dxa"/>
            <w:bottom w:w="0" w:type="dxa"/>
          </w:tblCellMar>
        </w:tblPrEx>
        <w:trPr>
          <w:cantSplit/>
          <w:trHeight w:hRule="exact" w:val="60"/>
          <w:jc w:val="right"/>
        </w:trPr>
        <w:tc>
          <w:tcPr>
            <w:tcW w:w="2920" w:type="dxa"/>
            <w:tcBorders>
              <w:bottom w:val="single" w:sz="4" w:space="0" w:color="auto"/>
            </w:tcBorders>
          </w:tcPr>
          <w:p w:rsidR="001C7BF9" w:rsidRPr="00C9680B" w:rsidRDefault="001C7BF9">
            <w:pPr>
              <w:pStyle w:val="Normaltindrag"/>
              <w:ind w:firstLine="0"/>
              <w:rPr>
                <w:sz w:val="16"/>
              </w:rPr>
            </w:pPr>
          </w:p>
        </w:tc>
        <w:tc>
          <w:tcPr>
            <w:tcW w:w="851" w:type="dxa"/>
            <w:tcBorders>
              <w:bottom w:val="single" w:sz="4" w:space="0" w:color="auto"/>
            </w:tcBorders>
          </w:tcPr>
          <w:p w:rsidR="001C7BF9" w:rsidRPr="00C9680B" w:rsidRDefault="001C7BF9">
            <w:pPr>
              <w:pStyle w:val="Normaltindrag"/>
              <w:ind w:firstLine="0"/>
              <w:jc w:val="right"/>
              <w:rPr>
                <w:sz w:val="16"/>
              </w:rPr>
            </w:pPr>
          </w:p>
        </w:tc>
        <w:tc>
          <w:tcPr>
            <w:tcW w:w="794" w:type="dxa"/>
            <w:tcBorders>
              <w:bottom w:val="single" w:sz="4" w:space="0" w:color="auto"/>
            </w:tcBorders>
          </w:tcPr>
          <w:p w:rsidR="001C7BF9" w:rsidRPr="00C9680B" w:rsidRDefault="001C7BF9">
            <w:pPr>
              <w:pStyle w:val="Normaltindrag"/>
              <w:ind w:firstLine="0"/>
              <w:jc w:val="right"/>
              <w:rPr>
                <w:sz w:val="16"/>
              </w:rPr>
            </w:pPr>
          </w:p>
        </w:tc>
        <w:tc>
          <w:tcPr>
            <w:tcW w:w="794" w:type="dxa"/>
            <w:tcBorders>
              <w:bottom w:val="single" w:sz="4" w:space="0" w:color="auto"/>
            </w:tcBorders>
          </w:tcPr>
          <w:p w:rsidR="001C7BF9" w:rsidRPr="00C9680B" w:rsidRDefault="001C7BF9">
            <w:pPr>
              <w:pStyle w:val="Normaltindrag"/>
              <w:ind w:firstLine="0"/>
              <w:jc w:val="right"/>
              <w:rPr>
                <w:sz w:val="16"/>
              </w:rPr>
            </w:pPr>
          </w:p>
        </w:tc>
        <w:tc>
          <w:tcPr>
            <w:tcW w:w="794" w:type="dxa"/>
            <w:tcBorders>
              <w:bottom w:val="single" w:sz="4" w:space="0" w:color="auto"/>
            </w:tcBorders>
          </w:tcPr>
          <w:p w:rsidR="001C7BF9" w:rsidRPr="00C9680B" w:rsidRDefault="001C7BF9">
            <w:pPr>
              <w:pStyle w:val="Normaltindrag"/>
              <w:ind w:firstLine="0"/>
              <w:jc w:val="right"/>
              <w:rPr>
                <w:sz w:val="16"/>
              </w:rPr>
            </w:pPr>
          </w:p>
        </w:tc>
        <w:tc>
          <w:tcPr>
            <w:tcW w:w="794" w:type="dxa"/>
            <w:tcBorders>
              <w:bottom w:val="single" w:sz="4" w:space="0" w:color="auto"/>
            </w:tcBorders>
          </w:tcPr>
          <w:p w:rsidR="001C7BF9" w:rsidRPr="00C9680B" w:rsidRDefault="001C7BF9">
            <w:pPr>
              <w:pStyle w:val="Normaltindrag"/>
              <w:ind w:firstLine="0"/>
              <w:jc w:val="right"/>
              <w:rPr>
                <w:sz w:val="16"/>
              </w:rPr>
            </w:pPr>
          </w:p>
        </w:tc>
      </w:tr>
    </w:tbl>
    <w:p w:rsidR="001C7BF9" w:rsidRPr="00C9680B" w:rsidRDefault="001C7BF9">
      <w:pPr>
        <w:spacing w:before="187"/>
      </w:pPr>
      <w:r w:rsidRPr="00C9680B">
        <w:t>Utskottet övergår därmed till att behandla sammansättningen av statsbudg</w:t>
      </w:r>
      <w:r w:rsidRPr="00C9680B">
        <w:t>e</w:t>
      </w:r>
      <w:r w:rsidRPr="00C9680B">
        <w:t xml:space="preserve">tens inkomster på mer detaljerad nivå samt olika förslag och synpunkter med anknytning till de 27 utgiftsområdena inklusive ålderspensionssystemet vid sidan av statsbudgeten. </w:t>
      </w:r>
    </w:p>
    <w:p w:rsidR="001C7BF9" w:rsidRPr="00C9680B" w:rsidRDefault="001C7BF9">
      <w:pPr>
        <w:pStyle w:val="Normaltindrag"/>
        <w:sectPr w:rsidR="00000000" w:rsidRPr="00C9680B">
          <w:footnotePr>
            <w:numRestart w:val="eachSect"/>
          </w:footnotePr>
          <w:pgSz w:w="11906" w:h="16838" w:code="9"/>
          <w:pgMar w:top="907" w:right="4649" w:bottom="4508" w:left="1304" w:header="340" w:footer="227" w:gutter="0"/>
          <w:cols w:space="720"/>
          <w:titlePg/>
        </w:sectPr>
      </w:pPr>
    </w:p>
    <w:p w:rsidR="001C7BF9" w:rsidRPr="00C9680B" w:rsidRDefault="001C7BF9">
      <w:pPr>
        <w:pStyle w:val="Rubrik1"/>
        <w:spacing w:after="680"/>
        <w:rPr>
          <w:noProof w:val="0"/>
        </w:rPr>
      </w:pPr>
      <w:bookmarkStart w:id="191" w:name="_Toc498238791"/>
      <w:bookmarkStart w:id="192" w:name="_Toc498910701"/>
      <w:r w:rsidRPr="00C9680B">
        <w:rPr>
          <w:noProof w:val="0"/>
        </w:rPr>
        <w:t>3 Skatter och övriga inkomster</w:t>
      </w:r>
      <w:bookmarkEnd w:id="191"/>
      <w:bookmarkEnd w:id="192"/>
    </w:p>
    <w:p w:rsidR="001C7BF9" w:rsidRPr="00C9680B" w:rsidRDefault="001C7BF9">
      <w:pPr>
        <w:pStyle w:val="Rubrik1b"/>
        <w:spacing w:before="0"/>
        <w:outlineLvl w:val="0"/>
      </w:pPr>
      <w:bookmarkStart w:id="193" w:name="_Toc483711022"/>
      <w:bookmarkStart w:id="194" w:name="_Toc484933833"/>
      <w:bookmarkStart w:id="195" w:name="_Toc498238792"/>
      <w:bookmarkStart w:id="196" w:name="_Toc498910702"/>
      <w:r w:rsidRPr="00C9680B">
        <w:t>3.1 Utvecklingen av statens inkomster</w:t>
      </w:r>
      <w:bookmarkEnd w:id="193"/>
      <w:bookmarkEnd w:id="194"/>
      <w:bookmarkEnd w:id="195"/>
      <w:bookmarkEnd w:id="196"/>
    </w:p>
    <w:p w:rsidR="001C7BF9" w:rsidRPr="00C9680B" w:rsidRDefault="001C7BF9">
      <w:pPr>
        <w:pStyle w:val="Rubrik4"/>
        <w:spacing w:before="123"/>
        <w:rPr>
          <w:noProof w:val="0"/>
        </w:rPr>
      </w:pPr>
      <w:bookmarkStart w:id="197" w:name="_Toc498910703"/>
      <w:r w:rsidRPr="00C9680B">
        <w:rPr>
          <w:noProof w:val="0"/>
        </w:rPr>
        <w:t>Budgetpropositionen</w:t>
      </w:r>
      <w:bookmarkEnd w:id="197"/>
    </w:p>
    <w:p w:rsidR="001C7BF9" w:rsidRPr="00C9680B" w:rsidRDefault="001C7BF9">
      <w:r w:rsidRPr="00C9680B">
        <w:t>Statsbudgetens inkomster består dels av skatter och avgifter, dels av övriga inkomster. Skatter och avgifter svarar normalt för ca 90 % av de totala i</w:t>
      </w:r>
      <w:r w:rsidRPr="00C9680B">
        <w:t>n</w:t>
      </w:r>
      <w:r w:rsidRPr="00C9680B">
        <w:t>komsterna. Skatterna består till ca 66 % av löneskatter, dvs. inkomstskatter och socialavgifter, 24 % av skatt på varor och tjänster och 10 % av kapita</w:t>
      </w:r>
      <w:r w:rsidRPr="00C9680B">
        <w:t>l</w:t>
      </w:r>
      <w:r w:rsidRPr="00C9680B">
        <w:t>skatter. I skatter och avgifter ingår även kommunernas utjämningsavgift på ca 19 miljarder kronor, vilken dock helt motsvaras av utjämningsbidraget till kommunsektorn. De övriga inkomsterna utgörs i huvudsak dels av inkomster från statens verksamhet, exempelvis Riksbankens inlevererade överskott, överskott från AB Svenska Spel och utdelningar av statens akt</w:t>
      </w:r>
      <w:r w:rsidRPr="00C9680B">
        <w:t>ier, dels av inkomster från försäljning av statlig egendom, främst aktier, samt av bidrag från Europeiska uni</w:t>
      </w:r>
      <w:r w:rsidRPr="00C9680B">
        <w:t>o</w:t>
      </w:r>
      <w:r w:rsidRPr="00C9680B">
        <w:t>nen.</w:t>
      </w:r>
    </w:p>
    <w:p w:rsidR="001C7BF9" w:rsidRPr="00C9680B" w:rsidRDefault="001C7BF9">
      <w:pPr>
        <w:pStyle w:val="Normaltindrag"/>
        <w:rPr>
          <w:sz w:val="17"/>
        </w:rPr>
      </w:pPr>
      <w:r w:rsidRPr="00C9680B">
        <w:t>Skatteinkomsterna på statsbudgeten redovisas kassamässigt, dvs. budgeten visar betalningsflödena. Skatterna på statsbudgeten för ett visst år kan hänf</w:t>
      </w:r>
      <w:r w:rsidRPr="00C9680B">
        <w:t>ö</w:t>
      </w:r>
      <w:r w:rsidRPr="00C9680B">
        <w:t xml:space="preserve">ras till flera olika inkomstår vilket försvårar analysen av inkomsterna både </w:t>
      </w:r>
      <w:r w:rsidRPr="00C9680B">
        <w:rPr>
          <w:sz w:val="17"/>
        </w:rPr>
        <w:t xml:space="preserve">vad gäller deras nivå och förändring. </w:t>
      </w:r>
    </w:p>
    <w:p w:rsidR="001C7BF9" w:rsidRPr="00C9680B" w:rsidRDefault="001C7BF9">
      <w:pPr>
        <w:spacing w:before="220" w:line="160" w:lineRule="atLeast"/>
        <w:outlineLvl w:val="0"/>
        <w:rPr>
          <w:b/>
          <w:snapToGrid w:val="0"/>
          <w:sz w:val="16"/>
          <w:lang w:eastAsia="sv-SE"/>
        </w:rPr>
      </w:pPr>
      <w:r w:rsidRPr="00C9680B">
        <w:rPr>
          <w:b/>
          <w:snapToGrid w:val="0"/>
          <w:sz w:val="16"/>
          <w:lang w:eastAsia="sv-SE"/>
        </w:rPr>
        <w:t>Tabell 32 Statsbudgetens inkomster 1999–2003</w:t>
      </w:r>
    </w:p>
    <w:p w:rsidR="001C7BF9" w:rsidRPr="00C9680B" w:rsidRDefault="001C7BF9">
      <w:pPr>
        <w:spacing w:before="0" w:after="40" w:line="190" w:lineRule="atLeast"/>
        <w:outlineLvl w:val="0"/>
        <w:rPr>
          <w:sz w:val="14"/>
        </w:rPr>
      </w:pPr>
      <w:r w:rsidRPr="00C9680B">
        <w:rPr>
          <w:snapToGrid w:val="0"/>
          <w:sz w:val="14"/>
          <w:lang w:eastAsia="sv-SE"/>
        </w:rPr>
        <w:t>Miljarder kronor</w:t>
      </w:r>
    </w:p>
    <w:tbl>
      <w:tblPr>
        <w:tblW w:w="0" w:type="auto"/>
        <w:tblInd w:w="-30" w:type="dxa"/>
        <w:tblLayout w:type="fixed"/>
        <w:tblCellMar>
          <w:left w:w="30" w:type="dxa"/>
          <w:right w:w="30" w:type="dxa"/>
        </w:tblCellMar>
        <w:tblLook w:val="0000" w:firstRow="0" w:lastRow="0" w:firstColumn="0" w:lastColumn="0" w:noHBand="0" w:noVBand="0"/>
      </w:tblPr>
      <w:tblGrid>
        <w:gridCol w:w="1"/>
        <w:gridCol w:w="1"/>
        <w:gridCol w:w="236"/>
        <w:gridCol w:w="600"/>
        <w:gridCol w:w="1035"/>
        <w:gridCol w:w="794"/>
        <w:gridCol w:w="907"/>
        <w:gridCol w:w="765"/>
        <w:gridCol w:w="794"/>
        <w:gridCol w:w="794"/>
      </w:tblGrid>
      <w:tr w:rsidR="00000000" w:rsidRPr="00C9680B">
        <w:tblPrEx>
          <w:tblCellMar>
            <w:top w:w="0" w:type="dxa"/>
            <w:bottom w:w="0" w:type="dxa"/>
          </w:tblCellMar>
        </w:tblPrEx>
        <w:trPr>
          <w:trHeight w:val="200"/>
        </w:trPr>
        <w:tc>
          <w:tcPr>
            <w:tcW w:w="238" w:type="dxa"/>
            <w:gridSpan w:val="3"/>
            <w:tcBorders>
              <w:top w:val="single" w:sz="6" w:space="0" w:color="auto"/>
              <w:bottom w:val="single" w:sz="6" w:space="0" w:color="auto"/>
            </w:tcBorders>
          </w:tcPr>
          <w:p w:rsidR="001C7BF9" w:rsidRPr="00C9680B" w:rsidRDefault="001C7BF9">
            <w:pPr>
              <w:pStyle w:val="Tabell"/>
              <w:spacing w:before="20" w:after="20" w:line="200" w:lineRule="exact"/>
              <w:rPr>
                <w:snapToGrid w:val="0"/>
                <w:lang w:eastAsia="sv-SE"/>
              </w:rPr>
            </w:pPr>
          </w:p>
        </w:tc>
        <w:tc>
          <w:tcPr>
            <w:tcW w:w="600" w:type="dxa"/>
            <w:tcBorders>
              <w:top w:val="single" w:sz="6" w:space="0" w:color="auto"/>
              <w:bottom w:val="single" w:sz="6" w:space="0" w:color="auto"/>
            </w:tcBorders>
          </w:tcPr>
          <w:p w:rsidR="001C7BF9" w:rsidRPr="00C9680B" w:rsidRDefault="001C7BF9">
            <w:pPr>
              <w:pStyle w:val="Tabell"/>
              <w:spacing w:before="20" w:after="20" w:line="200" w:lineRule="exact"/>
              <w:rPr>
                <w:snapToGrid w:val="0"/>
                <w:lang w:eastAsia="sv-SE"/>
              </w:rPr>
            </w:pPr>
          </w:p>
        </w:tc>
        <w:tc>
          <w:tcPr>
            <w:tcW w:w="1035" w:type="dxa"/>
            <w:tcBorders>
              <w:top w:val="single" w:sz="6" w:space="0" w:color="auto"/>
              <w:bottom w:val="single" w:sz="6" w:space="0" w:color="auto"/>
            </w:tcBorders>
          </w:tcPr>
          <w:p w:rsidR="001C7BF9" w:rsidRPr="00C9680B" w:rsidRDefault="001C7BF9">
            <w:pPr>
              <w:pStyle w:val="Tabell"/>
              <w:spacing w:before="20" w:after="20" w:line="200" w:lineRule="exact"/>
              <w:rPr>
                <w:snapToGrid w:val="0"/>
                <w:lang w:eastAsia="sv-SE"/>
              </w:rPr>
            </w:pPr>
          </w:p>
        </w:tc>
        <w:tc>
          <w:tcPr>
            <w:tcW w:w="794" w:type="dxa"/>
            <w:tcBorders>
              <w:top w:val="single" w:sz="6" w:space="0" w:color="auto"/>
              <w:bottom w:val="single" w:sz="6" w:space="0" w:color="auto"/>
            </w:tcBorders>
          </w:tcPr>
          <w:p w:rsidR="001C7BF9" w:rsidRPr="00C9680B" w:rsidRDefault="001C7BF9">
            <w:pPr>
              <w:pStyle w:val="Tabell"/>
              <w:spacing w:before="20" w:after="20" w:line="200" w:lineRule="exact"/>
              <w:jc w:val="right"/>
              <w:rPr>
                <w:b/>
                <w:snapToGrid w:val="0"/>
                <w:lang w:eastAsia="sv-SE"/>
              </w:rPr>
            </w:pPr>
            <w:r w:rsidRPr="00C9680B">
              <w:rPr>
                <w:b/>
                <w:snapToGrid w:val="0"/>
                <w:lang w:eastAsia="sv-SE"/>
              </w:rPr>
              <w:t>1999</w:t>
            </w:r>
          </w:p>
        </w:tc>
        <w:tc>
          <w:tcPr>
            <w:tcW w:w="907" w:type="dxa"/>
            <w:tcBorders>
              <w:top w:val="single" w:sz="6" w:space="0" w:color="auto"/>
              <w:bottom w:val="single" w:sz="6" w:space="0" w:color="auto"/>
            </w:tcBorders>
          </w:tcPr>
          <w:p w:rsidR="001C7BF9" w:rsidRPr="00C9680B" w:rsidRDefault="001C7BF9">
            <w:pPr>
              <w:pStyle w:val="Tabell"/>
              <w:spacing w:before="20" w:after="20" w:line="200" w:lineRule="exact"/>
              <w:jc w:val="right"/>
              <w:rPr>
                <w:b/>
                <w:snapToGrid w:val="0"/>
                <w:lang w:eastAsia="sv-SE"/>
              </w:rPr>
            </w:pPr>
            <w:r w:rsidRPr="00C9680B">
              <w:rPr>
                <w:b/>
                <w:snapToGrid w:val="0"/>
                <w:lang w:eastAsia="sv-SE"/>
              </w:rPr>
              <w:t>2000</w:t>
            </w:r>
          </w:p>
        </w:tc>
        <w:tc>
          <w:tcPr>
            <w:tcW w:w="765" w:type="dxa"/>
            <w:tcBorders>
              <w:top w:val="single" w:sz="6" w:space="0" w:color="auto"/>
              <w:bottom w:val="single" w:sz="6" w:space="0" w:color="auto"/>
            </w:tcBorders>
          </w:tcPr>
          <w:p w:rsidR="001C7BF9" w:rsidRPr="00C9680B" w:rsidRDefault="001C7BF9">
            <w:pPr>
              <w:pStyle w:val="Tabell"/>
              <w:spacing w:before="20" w:after="20" w:line="200" w:lineRule="exact"/>
              <w:jc w:val="right"/>
              <w:rPr>
                <w:b/>
                <w:snapToGrid w:val="0"/>
                <w:lang w:eastAsia="sv-SE"/>
              </w:rPr>
            </w:pPr>
            <w:r w:rsidRPr="00C9680B">
              <w:rPr>
                <w:b/>
                <w:snapToGrid w:val="0"/>
                <w:lang w:eastAsia="sv-SE"/>
              </w:rPr>
              <w:t>2001</w:t>
            </w:r>
          </w:p>
        </w:tc>
        <w:tc>
          <w:tcPr>
            <w:tcW w:w="794" w:type="dxa"/>
            <w:tcBorders>
              <w:top w:val="single" w:sz="6" w:space="0" w:color="auto"/>
              <w:bottom w:val="single" w:sz="6" w:space="0" w:color="auto"/>
            </w:tcBorders>
          </w:tcPr>
          <w:p w:rsidR="001C7BF9" w:rsidRPr="00C9680B" w:rsidRDefault="001C7BF9">
            <w:pPr>
              <w:pStyle w:val="Tabell"/>
              <w:spacing w:before="20" w:after="20" w:line="200" w:lineRule="exact"/>
              <w:jc w:val="right"/>
              <w:rPr>
                <w:b/>
                <w:snapToGrid w:val="0"/>
                <w:lang w:eastAsia="sv-SE"/>
              </w:rPr>
            </w:pPr>
            <w:r w:rsidRPr="00C9680B">
              <w:rPr>
                <w:b/>
                <w:snapToGrid w:val="0"/>
                <w:lang w:eastAsia="sv-SE"/>
              </w:rPr>
              <w:t>2002</w:t>
            </w:r>
          </w:p>
        </w:tc>
        <w:tc>
          <w:tcPr>
            <w:tcW w:w="794" w:type="dxa"/>
            <w:tcBorders>
              <w:top w:val="single" w:sz="6" w:space="0" w:color="auto"/>
              <w:bottom w:val="single" w:sz="6" w:space="0" w:color="auto"/>
            </w:tcBorders>
          </w:tcPr>
          <w:p w:rsidR="001C7BF9" w:rsidRPr="00C9680B" w:rsidRDefault="001C7BF9">
            <w:pPr>
              <w:pStyle w:val="Tabell"/>
              <w:spacing w:before="20" w:after="20" w:line="200" w:lineRule="exact"/>
              <w:jc w:val="right"/>
              <w:rPr>
                <w:b/>
                <w:snapToGrid w:val="0"/>
                <w:lang w:eastAsia="sv-SE"/>
              </w:rPr>
            </w:pPr>
            <w:r w:rsidRPr="00C9680B">
              <w:rPr>
                <w:b/>
                <w:snapToGrid w:val="0"/>
                <w:lang w:eastAsia="sv-SE"/>
              </w:rPr>
              <w:t>2003</w:t>
            </w:r>
          </w:p>
        </w:tc>
      </w:tr>
      <w:tr w:rsidR="00000000" w:rsidRPr="00C9680B">
        <w:tblPrEx>
          <w:tblCellMar>
            <w:top w:w="0" w:type="dxa"/>
            <w:bottom w:w="0" w:type="dxa"/>
          </w:tblCellMar>
        </w:tblPrEx>
        <w:trPr>
          <w:trHeight w:val="200"/>
        </w:trPr>
        <w:tc>
          <w:tcPr>
            <w:tcW w:w="1873" w:type="dxa"/>
            <w:hMerge w:val="restart"/>
          </w:tcPr>
          <w:p w:rsidR="001C7BF9" w:rsidRPr="00C9680B" w:rsidRDefault="001C7BF9">
            <w:pPr>
              <w:pStyle w:val="Tabell"/>
              <w:spacing w:before="20" w:after="20" w:line="200" w:lineRule="exact"/>
              <w:rPr>
                <w:snapToGrid w:val="0"/>
                <w:lang w:eastAsia="sv-SE"/>
              </w:rPr>
            </w:pPr>
            <w:r w:rsidRPr="00C9680B">
              <w:rPr>
                <w:snapToGrid w:val="0"/>
                <w:lang w:eastAsia="sv-SE"/>
              </w:rPr>
              <w:t>Skatter m.m.</w:t>
            </w:r>
          </w:p>
        </w:tc>
        <w:tc>
          <w:tcPr>
            <w:hMerge/>
          </w:tcPr>
          <w:p w:rsidR="001C7BF9" w:rsidRPr="00C9680B" w:rsidRDefault="001C7BF9">
            <w:pPr>
              <w:pStyle w:val="Tabell"/>
              <w:spacing w:before="20" w:after="20" w:line="200" w:lineRule="exact"/>
              <w:rPr>
                <w:snapToGrid w:val="0"/>
                <w:lang w:eastAsia="sv-SE"/>
              </w:rPr>
            </w:pPr>
          </w:p>
        </w:tc>
        <w:tc>
          <w:tcPr>
            <w:gridSpan w:val="3"/>
            <w:hMerge/>
          </w:tcPr>
          <w:p w:rsidR="001C7BF9" w:rsidRPr="00C9680B" w:rsidRDefault="001C7BF9">
            <w:pPr>
              <w:pStyle w:val="Tabell"/>
              <w:spacing w:before="20" w:after="20" w:line="200" w:lineRule="exact"/>
              <w:rPr>
                <w:snapToGrid w:val="0"/>
                <w:lang w:eastAsia="sv-SE"/>
              </w:rPr>
            </w:pPr>
          </w:p>
        </w:tc>
        <w:tc>
          <w:tcPr>
            <w:tcW w:w="794" w:type="dxa"/>
          </w:tcPr>
          <w:p w:rsidR="001C7BF9" w:rsidRPr="00C9680B" w:rsidRDefault="001C7BF9">
            <w:pPr>
              <w:pStyle w:val="Tabell"/>
              <w:spacing w:before="20" w:after="20" w:line="200" w:lineRule="exact"/>
              <w:jc w:val="right"/>
              <w:rPr>
                <w:snapToGrid w:val="0"/>
                <w:lang w:eastAsia="sv-SE"/>
              </w:rPr>
            </w:pPr>
            <w:r w:rsidRPr="00C9680B">
              <w:rPr>
                <w:snapToGrid w:val="0"/>
                <w:lang w:eastAsia="sv-SE"/>
              </w:rPr>
              <w:t>672,4</w:t>
            </w:r>
          </w:p>
        </w:tc>
        <w:tc>
          <w:tcPr>
            <w:tcW w:w="907" w:type="dxa"/>
          </w:tcPr>
          <w:p w:rsidR="001C7BF9" w:rsidRPr="00C9680B" w:rsidRDefault="001C7BF9">
            <w:pPr>
              <w:pStyle w:val="Tabell"/>
              <w:spacing w:before="20" w:after="20" w:line="200" w:lineRule="exact"/>
              <w:jc w:val="right"/>
              <w:rPr>
                <w:snapToGrid w:val="0"/>
                <w:lang w:eastAsia="sv-SE"/>
              </w:rPr>
            </w:pPr>
            <w:r w:rsidRPr="00C9680B">
              <w:rPr>
                <w:snapToGrid w:val="0"/>
                <w:lang w:eastAsia="sv-SE"/>
              </w:rPr>
              <w:t>653,3</w:t>
            </w:r>
          </w:p>
        </w:tc>
        <w:tc>
          <w:tcPr>
            <w:tcW w:w="765" w:type="dxa"/>
          </w:tcPr>
          <w:p w:rsidR="001C7BF9" w:rsidRPr="00C9680B" w:rsidRDefault="001C7BF9">
            <w:pPr>
              <w:pStyle w:val="Tabell"/>
              <w:spacing w:before="20" w:after="20" w:line="200" w:lineRule="exact"/>
              <w:jc w:val="right"/>
              <w:rPr>
                <w:snapToGrid w:val="0"/>
                <w:lang w:eastAsia="sv-SE"/>
              </w:rPr>
            </w:pPr>
            <w:r w:rsidRPr="00C9680B">
              <w:rPr>
                <w:snapToGrid w:val="0"/>
                <w:lang w:eastAsia="sv-SE"/>
              </w:rPr>
              <w:t>651,2</w:t>
            </w:r>
          </w:p>
        </w:tc>
        <w:tc>
          <w:tcPr>
            <w:tcW w:w="794" w:type="dxa"/>
          </w:tcPr>
          <w:p w:rsidR="001C7BF9" w:rsidRPr="00C9680B" w:rsidRDefault="001C7BF9">
            <w:pPr>
              <w:pStyle w:val="Tabell"/>
              <w:spacing w:before="20" w:after="20" w:line="200" w:lineRule="exact"/>
              <w:jc w:val="right"/>
              <w:rPr>
                <w:snapToGrid w:val="0"/>
                <w:lang w:eastAsia="sv-SE"/>
              </w:rPr>
            </w:pPr>
            <w:r w:rsidRPr="00C9680B">
              <w:rPr>
                <w:snapToGrid w:val="0"/>
                <w:lang w:eastAsia="sv-SE"/>
              </w:rPr>
              <w:t>665,6</w:t>
            </w:r>
          </w:p>
        </w:tc>
        <w:tc>
          <w:tcPr>
            <w:tcW w:w="794" w:type="dxa"/>
          </w:tcPr>
          <w:p w:rsidR="001C7BF9" w:rsidRPr="00C9680B" w:rsidRDefault="001C7BF9">
            <w:pPr>
              <w:pStyle w:val="Tabell"/>
              <w:spacing w:before="20" w:after="20" w:line="200" w:lineRule="exact"/>
              <w:jc w:val="right"/>
              <w:rPr>
                <w:snapToGrid w:val="0"/>
                <w:lang w:eastAsia="sv-SE"/>
              </w:rPr>
            </w:pPr>
            <w:r w:rsidRPr="00C9680B">
              <w:rPr>
                <w:snapToGrid w:val="0"/>
                <w:lang w:eastAsia="sv-SE"/>
              </w:rPr>
              <w:t>691,6</w:t>
            </w:r>
          </w:p>
        </w:tc>
      </w:tr>
      <w:tr w:rsidR="00000000" w:rsidRPr="00C9680B">
        <w:tblPrEx>
          <w:tblCellMar>
            <w:top w:w="0" w:type="dxa"/>
            <w:bottom w:w="0" w:type="dxa"/>
          </w:tblCellMar>
        </w:tblPrEx>
        <w:trPr>
          <w:trHeight w:val="200"/>
        </w:trPr>
        <w:tc>
          <w:tcPr>
            <w:tcW w:w="1873" w:type="dxa"/>
            <w:hMerge w:val="restart"/>
          </w:tcPr>
          <w:p w:rsidR="001C7BF9" w:rsidRPr="00C9680B" w:rsidRDefault="001C7BF9">
            <w:pPr>
              <w:pStyle w:val="Tabell"/>
              <w:spacing w:before="20" w:after="20" w:line="200" w:lineRule="exact"/>
              <w:rPr>
                <w:snapToGrid w:val="0"/>
                <w:lang w:eastAsia="sv-SE"/>
              </w:rPr>
            </w:pPr>
            <w:r w:rsidRPr="00C9680B">
              <w:rPr>
                <w:snapToGrid w:val="0"/>
                <w:lang w:eastAsia="sv-SE"/>
              </w:rPr>
              <w:t>Övriga inkomster</w:t>
            </w:r>
          </w:p>
        </w:tc>
        <w:tc>
          <w:tcPr>
            <w:hMerge/>
          </w:tcPr>
          <w:p w:rsidR="001C7BF9" w:rsidRPr="00C9680B" w:rsidRDefault="001C7BF9">
            <w:pPr>
              <w:pStyle w:val="Tabell"/>
              <w:spacing w:before="20" w:after="20" w:line="200" w:lineRule="exact"/>
              <w:rPr>
                <w:snapToGrid w:val="0"/>
                <w:lang w:eastAsia="sv-SE"/>
              </w:rPr>
            </w:pPr>
          </w:p>
        </w:tc>
        <w:tc>
          <w:tcPr>
            <w:gridSpan w:val="3"/>
            <w:hMerge/>
          </w:tcPr>
          <w:p w:rsidR="001C7BF9" w:rsidRPr="00C9680B" w:rsidRDefault="001C7BF9">
            <w:pPr>
              <w:pStyle w:val="Tabell"/>
              <w:spacing w:before="20" w:after="20" w:line="200" w:lineRule="exact"/>
              <w:rPr>
                <w:snapToGrid w:val="0"/>
                <w:lang w:eastAsia="sv-SE"/>
              </w:rPr>
            </w:pPr>
          </w:p>
        </w:tc>
        <w:tc>
          <w:tcPr>
            <w:tcW w:w="794" w:type="dxa"/>
          </w:tcPr>
          <w:p w:rsidR="001C7BF9" w:rsidRPr="00C9680B" w:rsidRDefault="001C7BF9">
            <w:pPr>
              <w:pStyle w:val="Tabell"/>
              <w:spacing w:before="20" w:after="20" w:line="200" w:lineRule="exact"/>
              <w:jc w:val="right"/>
              <w:rPr>
                <w:snapToGrid w:val="0"/>
                <w:lang w:eastAsia="sv-SE"/>
              </w:rPr>
            </w:pPr>
            <w:r w:rsidRPr="00C9680B">
              <w:rPr>
                <w:snapToGrid w:val="0"/>
                <w:lang w:eastAsia="sv-SE"/>
              </w:rPr>
              <w:t>52,7</w:t>
            </w:r>
          </w:p>
        </w:tc>
        <w:tc>
          <w:tcPr>
            <w:tcW w:w="907" w:type="dxa"/>
          </w:tcPr>
          <w:p w:rsidR="001C7BF9" w:rsidRPr="00C9680B" w:rsidRDefault="001C7BF9">
            <w:pPr>
              <w:pStyle w:val="Tabell"/>
              <w:spacing w:before="20" w:after="20" w:line="200" w:lineRule="exact"/>
              <w:jc w:val="right"/>
              <w:rPr>
                <w:snapToGrid w:val="0"/>
                <w:lang w:eastAsia="sv-SE"/>
              </w:rPr>
            </w:pPr>
            <w:r w:rsidRPr="00C9680B">
              <w:rPr>
                <w:snapToGrid w:val="0"/>
                <w:lang w:eastAsia="sv-SE"/>
              </w:rPr>
              <w:t>128,3</w:t>
            </w:r>
          </w:p>
        </w:tc>
        <w:tc>
          <w:tcPr>
            <w:tcW w:w="765" w:type="dxa"/>
          </w:tcPr>
          <w:p w:rsidR="001C7BF9" w:rsidRPr="00C9680B" w:rsidRDefault="001C7BF9">
            <w:pPr>
              <w:pStyle w:val="Tabell"/>
              <w:spacing w:before="20" w:after="20" w:line="200" w:lineRule="exact"/>
              <w:jc w:val="right"/>
              <w:rPr>
                <w:snapToGrid w:val="0"/>
                <w:lang w:eastAsia="sv-SE"/>
              </w:rPr>
            </w:pPr>
            <w:r w:rsidRPr="00C9680B">
              <w:rPr>
                <w:snapToGrid w:val="0"/>
                <w:lang w:eastAsia="sv-SE"/>
              </w:rPr>
              <w:t>66,0</w:t>
            </w:r>
          </w:p>
        </w:tc>
        <w:tc>
          <w:tcPr>
            <w:tcW w:w="794" w:type="dxa"/>
          </w:tcPr>
          <w:p w:rsidR="001C7BF9" w:rsidRPr="00C9680B" w:rsidRDefault="001C7BF9">
            <w:pPr>
              <w:pStyle w:val="Tabell"/>
              <w:spacing w:before="20" w:after="20" w:line="200" w:lineRule="exact"/>
              <w:jc w:val="right"/>
              <w:rPr>
                <w:snapToGrid w:val="0"/>
                <w:lang w:eastAsia="sv-SE"/>
              </w:rPr>
            </w:pPr>
            <w:r w:rsidRPr="00C9680B">
              <w:rPr>
                <w:snapToGrid w:val="0"/>
                <w:lang w:eastAsia="sv-SE"/>
              </w:rPr>
              <w:t>66,2</w:t>
            </w:r>
          </w:p>
        </w:tc>
        <w:tc>
          <w:tcPr>
            <w:tcW w:w="794" w:type="dxa"/>
          </w:tcPr>
          <w:p w:rsidR="001C7BF9" w:rsidRPr="00C9680B" w:rsidRDefault="001C7BF9">
            <w:pPr>
              <w:pStyle w:val="Tabell"/>
              <w:spacing w:before="20" w:after="20" w:line="200" w:lineRule="exact"/>
              <w:jc w:val="right"/>
              <w:rPr>
                <w:snapToGrid w:val="0"/>
                <w:lang w:eastAsia="sv-SE"/>
              </w:rPr>
            </w:pPr>
            <w:r w:rsidRPr="00C9680B">
              <w:rPr>
                <w:snapToGrid w:val="0"/>
                <w:lang w:eastAsia="sv-SE"/>
              </w:rPr>
              <w:t>64,7</w:t>
            </w:r>
          </w:p>
        </w:tc>
      </w:tr>
      <w:tr w:rsidR="00000000" w:rsidRPr="00C9680B">
        <w:tblPrEx>
          <w:tblCellMar>
            <w:top w:w="0" w:type="dxa"/>
            <w:bottom w:w="0" w:type="dxa"/>
          </w:tblCellMar>
        </w:tblPrEx>
        <w:trPr>
          <w:trHeight w:val="200"/>
        </w:trPr>
        <w:tc>
          <w:tcPr>
            <w:tcW w:w="1873" w:type="dxa"/>
            <w:hMerge w:val="restart"/>
            <w:tcBorders>
              <w:bottom w:val="single" w:sz="6" w:space="0" w:color="auto"/>
            </w:tcBorders>
          </w:tcPr>
          <w:p w:rsidR="001C7BF9" w:rsidRPr="00C9680B" w:rsidRDefault="001C7BF9">
            <w:pPr>
              <w:pStyle w:val="Tabell"/>
              <w:spacing w:before="20" w:after="20" w:line="200" w:lineRule="exact"/>
              <w:rPr>
                <w:b/>
                <w:snapToGrid w:val="0"/>
                <w:lang w:eastAsia="sv-SE"/>
              </w:rPr>
            </w:pPr>
            <w:r w:rsidRPr="00C9680B">
              <w:rPr>
                <w:b/>
                <w:snapToGrid w:val="0"/>
                <w:lang w:eastAsia="sv-SE"/>
              </w:rPr>
              <w:t>Totala inkomster</w:t>
            </w:r>
          </w:p>
        </w:tc>
        <w:tc>
          <w:tcPr>
            <w:hMerge/>
            <w:tcBorders>
              <w:bottom w:val="single" w:sz="6" w:space="0" w:color="auto"/>
            </w:tcBorders>
          </w:tcPr>
          <w:p w:rsidR="001C7BF9" w:rsidRPr="00C9680B" w:rsidRDefault="001C7BF9">
            <w:pPr>
              <w:pStyle w:val="Tabell"/>
              <w:spacing w:before="20" w:after="20" w:line="200" w:lineRule="exact"/>
              <w:rPr>
                <w:b/>
                <w:snapToGrid w:val="0"/>
                <w:lang w:eastAsia="sv-SE"/>
              </w:rPr>
            </w:pPr>
          </w:p>
        </w:tc>
        <w:tc>
          <w:tcPr>
            <w:gridSpan w:val="3"/>
            <w:hMerge/>
            <w:tcBorders>
              <w:bottom w:val="single" w:sz="6" w:space="0" w:color="auto"/>
            </w:tcBorders>
          </w:tcPr>
          <w:p w:rsidR="001C7BF9" w:rsidRPr="00C9680B" w:rsidRDefault="001C7BF9">
            <w:pPr>
              <w:pStyle w:val="Tabell"/>
              <w:spacing w:before="20" w:after="20" w:line="200" w:lineRule="exact"/>
              <w:rPr>
                <w:b/>
                <w:snapToGrid w:val="0"/>
                <w:lang w:eastAsia="sv-SE"/>
              </w:rPr>
            </w:pPr>
          </w:p>
        </w:tc>
        <w:tc>
          <w:tcPr>
            <w:tcW w:w="794" w:type="dxa"/>
            <w:tcBorders>
              <w:bottom w:val="single" w:sz="6" w:space="0" w:color="auto"/>
            </w:tcBorders>
          </w:tcPr>
          <w:p w:rsidR="001C7BF9" w:rsidRPr="00C9680B" w:rsidRDefault="001C7BF9">
            <w:pPr>
              <w:pStyle w:val="Tabell"/>
              <w:spacing w:before="20" w:after="20" w:line="200" w:lineRule="exact"/>
              <w:jc w:val="right"/>
              <w:rPr>
                <w:b/>
                <w:snapToGrid w:val="0"/>
                <w:lang w:eastAsia="sv-SE"/>
              </w:rPr>
            </w:pPr>
            <w:r w:rsidRPr="00C9680B">
              <w:rPr>
                <w:b/>
                <w:snapToGrid w:val="0"/>
                <w:lang w:eastAsia="sv-SE"/>
              </w:rPr>
              <w:t>725,1</w:t>
            </w:r>
          </w:p>
        </w:tc>
        <w:tc>
          <w:tcPr>
            <w:tcW w:w="907" w:type="dxa"/>
            <w:tcBorders>
              <w:bottom w:val="single" w:sz="6" w:space="0" w:color="auto"/>
            </w:tcBorders>
          </w:tcPr>
          <w:p w:rsidR="001C7BF9" w:rsidRPr="00C9680B" w:rsidRDefault="001C7BF9">
            <w:pPr>
              <w:pStyle w:val="Tabell"/>
              <w:spacing w:before="20" w:after="20" w:line="200" w:lineRule="exact"/>
              <w:jc w:val="right"/>
              <w:rPr>
                <w:b/>
                <w:snapToGrid w:val="0"/>
                <w:lang w:eastAsia="sv-SE"/>
              </w:rPr>
            </w:pPr>
            <w:r w:rsidRPr="00C9680B">
              <w:rPr>
                <w:b/>
                <w:snapToGrid w:val="0"/>
                <w:lang w:eastAsia="sv-SE"/>
              </w:rPr>
              <w:t>781,6</w:t>
            </w:r>
          </w:p>
        </w:tc>
        <w:tc>
          <w:tcPr>
            <w:tcW w:w="765" w:type="dxa"/>
            <w:tcBorders>
              <w:bottom w:val="single" w:sz="6" w:space="0" w:color="auto"/>
            </w:tcBorders>
          </w:tcPr>
          <w:p w:rsidR="001C7BF9" w:rsidRPr="00C9680B" w:rsidRDefault="001C7BF9">
            <w:pPr>
              <w:pStyle w:val="Tabell"/>
              <w:spacing w:before="20" w:after="20" w:line="200" w:lineRule="exact"/>
              <w:jc w:val="right"/>
              <w:rPr>
                <w:b/>
                <w:snapToGrid w:val="0"/>
                <w:lang w:eastAsia="sv-SE"/>
              </w:rPr>
            </w:pPr>
            <w:r w:rsidRPr="00C9680B">
              <w:rPr>
                <w:b/>
                <w:snapToGrid w:val="0"/>
                <w:lang w:eastAsia="sv-SE"/>
              </w:rPr>
              <w:t>717,1</w:t>
            </w:r>
          </w:p>
        </w:tc>
        <w:tc>
          <w:tcPr>
            <w:tcW w:w="794" w:type="dxa"/>
            <w:tcBorders>
              <w:bottom w:val="single" w:sz="6" w:space="0" w:color="auto"/>
            </w:tcBorders>
          </w:tcPr>
          <w:p w:rsidR="001C7BF9" w:rsidRPr="00C9680B" w:rsidRDefault="001C7BF9">
            <w:pPr>
              <w:pStyle w:val="Tabell"/>
              <w:spacing w:before="20" w:after="20" w:line="200" w:lineRule="exact"/>
              <w:jc w:val="right"/>
              <w:rPr>
                <w:b/>
                <w:snapToGrid w:val="0"/>
                <w:lang w:eastAsia="sv-SE"/>
              </w:rPr>
            </w:pPr>
            <w:r w:rsidRPr="00C9680B">
              <w:rPr>
                <w:b/>
                <w:snapToGrid w:val="0"/>
                <w:lang w:eastAsia="sv-SE"/>
              </w:rPr>
              <w:t>731,8</w:t>
            </w:r>
          </w:p>
        </w:tc>
        <w:tc>
          <w:tcPr>
            <w:tcW w:w="794" w:type="dxa"/>
            <w:tcBorders>
              <w:bottom w:val="single" w:sz="6" w:space="0" w:color="auto"/>
            </w:tcBorders>
          </w:tcPr>
          <w:p w:rsidR="001C7BF9" w:rsidRPr="00C9680B" w:rsidRDefault="001C7BF9">
            <w:pPr>
              <w:pStyle w:val="Tabell"/>
              <w:spacing w:before="20" w:after="20" w:line="200" w:lineRule="exact"/>
              <w:jc w:val="right"/>
              <w:rPr>
                <w:b/>
                <w:snapToGrid w:val="0"/>
                <w:lang w:eastAsia="sv-SE"/>
              </w:rPr>
            </w:pPr>
            <w:r w:rsidRPr="00C9680B">
              <w:rPr>
                <w:b/>
                <w:snapToGrid w:val="0"/>
                <w:lang w:eastAsia="sv-SE"/>
              </w:rPr>
              <w:t>756,3</w:t>
            </w:r>
          </w:p>
        </w:tc>
      </w:tr>
    </w:tbl>
    <w:p w:rsidR="001C7BF9" w:rsidRPr="00C9680B" w:rsidRDefault="001C7BF9">
      <w:pPr>
        <w:spacing w:before="200"/>
      </w:pPr>
      <w:r w:rsidRPr="00C9680B">
        <w:t>Under perioden 1999 till 2003 beräknas statsbudgetens skatteinkomster öka med 19 miljarder kronor. År 2000 minskar inkomsterna emellertid med 19 miljarder kronor, vilket förklaras av pensionsomläggningen och första steget i den påbörjade skattereformen. Nedgången beror även på en relativt stor slutreglering av kommunalskatter. År 2001 minskar skatteinkomsterna endast med 2 miljarder kronor trots det andra steget i skattereformen. Detta förklaras dels av tillfälligt ökade inkomster med 8 miljarder kronor 200</w:t>
      </w:r>
      <w:r w:rsidRPr="00C9680B">
        <w:t>1 på grund av försäkringsbolaget SPP:s utdelning, dels av att den ändrade fasti</w:t>
      </w:r>
      <w:r w:rsidRPr="00C9680B">
        <w:t>g</w:t>
      </w:r>
      <w:r w:rsidRPr="00C9680B">
        <w:t>hetsskatten i huvudsak påverkar inkomsterna först 2002. Ökningen av ska</w:t>
      </w:r>
      <w:r w:rsidRPr="00C9680B">
        <w:t>t</w:t>
      </w:r>
      <w:r w:rsidRPr="00C9680B">
        <w:t>teinkomsterna 2001–2003 beror främst på en gynnsam utveckling av skatt</w:t>
      </w:r>
      <w:r w:rsidRPr="00C9680B">
        <w:t>e</w:t>
      </w:r>
      <w:r w:rsidRPr="00C9680B">
        <w:t xml:space="preserve">baserna. </w:t>
      </w:r>
    </w:p>
    <w:p w:rsidR="001C7BF9" w:rsidRPr="00C9680B" w:rsidRDefault="001C7BF9">
      <w:pPr>
        <w:pStyle w:val="Normaltindrag"/>
      </w:pPr>
      <w:r w:rsidRPr="00C9680B">
        <w:t>Statsbudgetens övriga inkomster beräknas minska med ca 63 miljarder kronor från 2000 till 2003. Minskningen förklaras till allra största delen av extraordinära inkomstförstärkningar under 2000 i form av aktieutdelningar och försäljningsinkomster men även av att Riksbankens inlev</w:t>
      </w:r>
      <w:r w:rsidRPr="00C9680B">
        <w:t>ererade öve</w:t>
      </w:r>
      <w:r w:rsidRPr="00C9680B">
        <w:t>r</w:t>
      </w:r>
      <w:r w:rsidRPr="00C9680B">
        <w:t>skott beräknas minska från ca 9,8 miljarder kronor 2000 till 5,6 miljarder kronor 2003. Fö</w:t>
      </w:r>
      <w:r w:rsidRPr="00C9680B">
        <w:t>r</w:t>
      </w:r>
      <w:r w:rsidRPr="00C9680B">
        <w:t>säljning av statliga aktier uppgår under 2000 till 61,5 miljar</w:t>
      </w:r>
      <w:r w:rsidRPr="00C9680B">
        <w:softHyphen/>
        <w:t>der kronor. Några ytterligare försäljningar detta år är inte planerade. För åren 2001</w:t>
      </w:r>
      <w:r w:rsidRPr="00C9680B">
        <w:noBreakHyphen/>
        <w:t>2003 uppskattas att inkomsterna från aktieförsäljningar uppgår till 15 miljarder kronor per år men denna uppskattning är mycket osäker.</w:t>
      </w:r>
    </w:p>
    <w:p w:rsidR="001C7BF9" w:rsidRPr="00C9680B" w:rsidRDefault="001C7BF9">
      <w:pPr>
        <w:spacing w:before="240" w:line="180" w:lineRule="exact"/>
        <w:jc w:val="left"/>
        <w:outlineLvl w:val="0"/>
        <w:rPr>
          <w:b/>
          <w:snapToGrid w:val="0"/>
          <w:sz w:val="17"/>
          <w:lang w:eastAsia="sv-SE"/>
        </w:rPr>
      </w:pPr>
      <w:r w:rsidRPr="00C9680B">
        <w:rPr>
          <w:b/>
          <w:snapToGrid w:val="0"/>
          <w:sz w:val="17"/>
          <w:lang w:eastAsia="sv-SE"/>
        </w:rPr>
        <w:t>Tabell 33. Statsbudgetens inkomster 1999–2003 Avvikelser från 2000 års</w:t>
      </w:r>
    </w:p>
    <w:p w:rsidR="001C7BF9" w:rsidRPr="00C9680B" w:rsidRDefault="001C7BF9">
      <w:pPr>
        <w:spacing w:before="0" w:line="180" w:lineRule="exact"/>
        <w:jc w:val="left"/>
        <w:rPr>
          <w:b/>
          <w:snapToGrid w:val="0"/>
          <w:sz w:val="17"/>
          <w:lang w:eastAsia="sv-SE"/>
        </w:rPr>
      </w:pPr>
      <w:r w:rsidRPr="00C9680B">
        <w:rPr>
          <w:b/>
          <w:snapToGrid w:val="0"/>
          <w:sz w:val="17"/>
          <w:lang w:eastAsia="sv-SE"/>
        </w:rPr>
        <w:t>ekon</w:t>
      </w:r>
      <w:r w:rsidRPr="00C9680B">
        <w:rPr>
          <w:b/>
          <w:snapToGrid w:val="0"/>
          <w:sz w:val="17"/>
          <w:lang w:eastAsia="sv-SE"/>
        </w:rPr>
        <w:t>o</w:t>
      </w:r>
      <w:r w:rsidRPr="00C9680B">
        <w:rPr>
          <w:b/>
          <w:snapToGrid w:val="0"/>
          <w:sz w:val="17"/>
          <w:lang w:eastAsia="sv-SE"/>
        </w:rPr>
        <w:t>miska vårproposition</w:t>
      </w:r>
    </w:p>
    <w:p w:rsidR="001C7BF9" w:rsidRPr="00C9680B" w:rsidRDefault="001C7BF9">
      <w:pPr>
        <w:spacing w:before="0" w:after="40" w:line="240" w:lineRule="auto"/>
        <w:rPr>
          <w:snapToGrid w:val="0"/>
          <w:sz w:val="14"/>
          <w:lang w:eastAsia="sv-SE"/>
        </w:rPr>
      </w:pPr>
      <w:r w:rsidRPr="00C9680B">
        <w:rPr>
          <w:snapToGrid w:val="0"/>
          <w:sz w:val="14"/>
          <w:lang w:eastAsia="sv-SE"/>
        </w:rPr>
        <w:t>Miljarder kronor</w:t>
      </w:r>
    </w:p>
    <w:tbl>
      <w:tblPr>
        <w:tblW w:w="0" w:type="auto"/>
        <w:tblInd w:w="-30" w:type="dxa"/>
        <w:tblLayout w:type="fixed"/>
        <w:tblCellMar>
          <w:left w:w="30" w:type="dxa"/>
          <w:right w:w="30" w:type="dxa"/>
        </w:tblCellMar>
        <w:tblLook w:val="0000" w:firstRow="0" w:lastRow="0" w:firstColumn="0" w:lastColumn="0" w:noHBand="0" w:noVBand="0"/>
      </w:tblPr>
      <w:tblGrid>
        <w:gridCol w:w="1"/>
        <w:gridCol w:w="1"/>
        <w:gridCol w:w="236"/>
        <w:gridCol w:w="600"/>
        <w:gridCol w:w="1602"/>
        <w:gridCol w:w="992"/>
        <w:gridCol w:w="851"/>
        <w:gridCol w:w="850"/>
        <w:gridCol w:w="851"/>
      </w:tblGrid>
      <w:tr w:rsidR="00000000" w:rsidRPr="00C9680B">
        <w:tblPrEx>
          <w:tblCellMar>
            <w:top w:w="0" w:type="dxa"/>
            <w:bottom w:w="0" w:type="dxa"/>
          </w:tblCellMar>
        </w:tblPrEx>
        <w:trPr>
          <w:trHeight w:val="240"/>
        </w:trPr>
        <w:tc>
          <w:tcPr>
            <w:tcW w:w="238" w:type="dxa"/>
            <w:gridSpan w:val="3"/>
            <w:tcBorders>
              <w:top w:val="single" w:sz="6" w:space="0" w:color="auto"/>
              <w:bottom w:val="single" w:sz="6" w:space="0" w:color="auto"/>
            </w:tcBorders>
          </w:tcPr>
          <w:p w:rsidR="001C7BF9" w:rsidRPr="00C9680B" w:rsidRDefault="001C7BF9">
            <w:pPr>
              <w:pStyle w:val="Normaltindrag"/>
              <w:spacing w:line="200" w:lineRule="exact"/>
              <w:ind w:firstLine="0"/>
            </w:pPr>
          </w:p>
        </w:tc>
        <w:tc>
          <w:tcPr>
            <w:tcW w:w="600" w:type="dxa"/>
            <w:tcBorders>
              <w:top w:val="single" w:sz="6" w:space="0" w:color="auto"/>
              <w:bottom w:val="single" w:sz="6" w:space="0" w:color="auto"/>
            </w:tcBorders>
          </w:tcPr>
          <w:p w:rsidR="001C7BF9" w:rsidRPr="00C9680B" w:rsidRDefault="001C7BF9">
            <w:pPr>
              <w:spacing w:before="0" w:line="200" w:lineRule="exact"/>
              <w:jc w:val="right"/>
              <w:rPr>
                <w:snapToGrid w:val="0"/>
                <w:color w:val="000000"/>
                <w:sz w:val="17"/>
                <w:lang w:eastAsia="sv-SE"/>
              </w:rPr>
            </w:pPr>
          </w:p>
        </w:tc>
        <w:tc>
          <w:tcPr>
            <w:tcW w:w="1602" w:type="dxa"/>
            <w:tcBorders>
              <w:top w:val="single" w:sz="6" w:space="0" w:color="auto"/>
              <w:bottom w:val="single" w:sz="6" w:space="0" w:color="auto"/>
            </w:tcBorders>
          </w:tcPr>
          <w:p w:rsidR="001C7BF9" w:rsidRPr="00C9680B" w:rsidRDefault="001C7BF9">
            <w:pPr>
              <w:spacing w:before="0" w:line="200" w:lineRule="exact"/>
              <w:jc w:val="right"/>
              <w:rPr>
                <w:snapToGrid w:val="0"/>
                <w:color w:val="000000"/>
                <w:sz w:val="17"/>
                <w:lang w:eastAsia="sv-SE"/>
              </w:rPr>
            </w:pPr>
          </w:p>
        </w:tc>
        <w:tc>
          <w:tcPr>
            <w:tcW w:w="992" w:type="dxa"/>
            <w:tcBorders>
              <w:top w:val="single" w:sz="6" w:space="0" w:color="auto"/>
              <w:bottom w:val="single" w:sz="6" w:space="0" w:color="auto"/>
            </w:tcBorders>
          </w:tcPr>
          <w:p w:rsidR="001C7BF9" w:rsidRPr="00C9680B" w:rsidRDefault="001C7BF9">
            <w:pPr>
              <w:spacing w:before="0" w:line="200" w:lineRule="exact"/>
              <w:jc w:val="right"/>
              <w:rPr>
                <w:b/>
                <w:snapToGrid w:val="0"/>
                <w:color w:val="000000"/>
                <w:sz w:val="17"/>
                <w:lang w:eastAsia="sv-SE"/>
              </w:rPr>
            </w:pPr>
            <w:r w:rsidRPr="00C9680B">
              <w:rPr>
                <w:b/>
                <w:snapToGrid w:val="0"/>
                <w:color w:val="000000"/>
                <w:sz w:val="17"/>
                <w:lang w:eastAsia="sv-SE"/>
              </w:rPr>
              <w:t>2000</w:t>
            </w:r>
          </w:p>
        </w:tc>
        <w:tc>
          <w:tcPr>
            <w:tcW w:w="851" w:type="dxa"/>
            <w:tcBorders>
              <w:top w:val="single" w:sz="6" w:space="0" w:color="auto"/>
              <w:bottom w:val="single" w:sz="6" w:space="0" w:color="auto"/>
            </w:tcBorders>
          </w:tcPr>
          <w:p w:rsidR="001C7BF9" w:rsidRPr="00C9680B" w:rsidRDefault="001C7BF9">
            <w:pPr>
              <w:spacing w:before="0" w:line="200" w:lineRule="exact"/>
              <w:jc w:val="right"/>
              <w:rPr>
                <w:b/>
                <w:snapToGrid w:val="0"/>
                <w:color w:val="000000"/>
                <w:sz w:val="17"/>
                <w:lang w:eastAsia="sv-SE"/>
              </w:rPr>
            </w:pPr>
            <w:r w:rsidRPr="00C9680B">
              <w:rPr>
                <w:b/>
                <w:snapToGrid w:val="0"/>
                <w:color w:val="000000"/>
                <w:sz w:val="17"/>
                <w:lang w:eastAsia="sv-SE"/>
              </w:rPr>
              <w:t>2001</w:t>
            </w:r>
          </w:p>
        </w:tc>
        <w:tc>
          <w:tcPr>
            <w:tcW w:w="850" w:type="dxa"/>
            <w:tcBorders>
              <w:top w:val="single" w:sz="6" w:space="0" w:color="auto"/>
              <w:bottom w:val="single" w:sz="6" w:space="0" w:color="auto"/>
            </w:tcBorders>
          </w:tcPr>
          <w:p w:rsidR="001C7BF9" w:rsidRPr="00C9680B" w:rsidRDefault="001C7BF9">
            <w:pPr>
              <w:spacing w:before="0" w:line="200" w:lineRule="exact"/>
              <w:jc w:val="right"/>
              <w:rPr>
                <w:b/>
                <w:snapToGrid w:val="0"/>
                <w:color w:val="000000"/>
                <w:sz w:val="17"/>
                <w:lang w:eastAsia="sv-SE"/>
              </w:rPr>
            </w:pPr>
            <w:r w:rsidRPr="00C9680B">
              <w:rPr>
                <w:b/>
                <w:snapToGrid w:val="0"/>
                <w:color w:val="000000"/>
                <w:sz w:val="17"/>
                <w:lang w:eastAsia="sv-SE"/>
              </w:rPr>
              <w:t>2002</w:t>
            </w:r>
          </w:p>
        </w:tc>
        <w:tc>
          <w:tcPr>
            <w:tcW w:w="851" w:type="dxa"/>
            <w:tcBorders>
              <w:top w:val="single" w:sz="6" w:space="0" w:color="auto"/>
              <w:bottom w:val="single" w:sz="6" w:space="0" w:color="auto"/>
            </w:tcBorders>
          </w:tcPr>
          <w:p w:rsidR="001C7BF9" w:rsidRPr="00C9680B" w:rsidRDefault="001C7BF9">
            <w:pPr>
              <w:spacing w:before="0" w:line="200" w:lineRule="exact"/>
              <w:jc w:val="right"/>
              <w:rPr>
                <w:b/>
                <w:snapToGrid w:val="0"/>
                <w:color w:val="000000"/>
                <w:sz w:val="17"/>
                <w:lang w:eastAsia="sv-SE"/>
              </w:rPr>
            </w:pPr>
            <w:r w:rsidRPr="00C9680B">
              <w:rPr>
                <w:b/>
                <w:snapToGrid w:val="0"/>
                <w:color w:val="000000"/>
                <w:sz w:val="17"/>
                <w:lang w:eastAsia="sv-SE"/>
              </w:rPr>
              <w:t>2003</w:t>
            </w:r>
          </w:p>
        </w:tc>
      </w:tr>
      <w:tr w:rsidR="00000000" w:rsidRPr="00C9680B">
        <w:tblPrEx>
          <w:tblCellMar>
            <w:top w:w="0" w:type="dxa"/>
            <w:bottom w:w="0" w:type="dxa"/>
          </w:tblCellMar>
        </w:tblPrEx>
        <w:trPr>
          <w:trHeight w:val="240"/>
        </w:trPr>
        <w:tc>
          <w:tcPr>
            <w:tcW w:w="2440" w:type="dxa"/>
            <w:hMerge w:val="restart"/>
          </w:tcPr>
          <w:p w:rsidR="001C7BF9" w:rsidRPr="00C9680B" w:rsidRDefault="001C7BF9">
            <w:pPr>
              <w:spacing w:before="0" w:line="200" w:lineRule="exact"/>
              <w:rPr>
                <w:snapToGrid w:val="0"/>
                <w:color w:val="000000"/>
                <w:sz w:val="17"/>
                <w:lang w:eastAsia="sv-SE"/>
              </w:rPr>
            </w:pPr>
            <w:r w:rsidRPr="00C9680B">
              <w:rPr>
                <w:snapToGrid w:val="0"/>
                <w:color w:val="000000"/>
                <w:sz w:val="17"/>
                <w:lang w:eastAsia="sv-SE"/>
              </w:rPr>
              <w:t>Skatter m.m.</w:t>
            </w:r>
          </w:p>
        </w:tc>
        <w:tc>
          <w:tcPr>
            <w:hMerge/>
          </w:tcPr>
          <w:p w:rsidR="001C7BF9" w:rsidRPr="00C9680B" w:rsidRDefault="001C7BF9">
            <w:pPr>
              <w:spacing w:before="0" w:line="200" w:lineRule="exact"/>
              <w:jc w:val="right"/>
              <w:rPr>
                <w:snapToGrid w:val="0"/>
                <w:color w:val="000000"/>
                <w:sz w:val="17"/>
                <w:lang w:eastAsia="sv-SE"/>
              </w:rPr>
            </w:pPr>
          </w:p>
        </w:tc>
        <w:tc>
          <w:tcPr>
            <w:gridSpan w:val="3"/>
            <w:hMerge/>
          </w:tcPr>
          <w:p w:rsidR="001C7BF9" w:rsidRPr="00C9680B" w:rsidRDefault="001C7BF9">
            <w:pPr>
              <w:spacing w:before="0" w:line="200" w:lineRule="exact"/>
              <w:jc w:val="right"/>
              <w:rPr>
                <w:snapToGrid w:val="0"/>
                <w:color w:val="000000"/>
                <w:sz w:val="17"/>
                <w:lang w:eastAsia="sv-SE"/>
              </w:rPr>
            </w:pPr>
          </w:p>
        </w:tc>
        <w:tc>
          <w:tcPr>
            <w:tcW w:w="992"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6,7</w:t>
            </w:r>
          </w:p>
        </w:tc>
        <w:tc>
          <w:tcPr>
            <w:tcW w:w="851"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-1,6</w:t>
            </w:r>
          </w:p>
        </w:tc>
        <w:tc>
          <w:tcPr>
            <w:tcW w:w="85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-21,0</w:t>
            </w:r>
          </w:p>
        </w:tc>
        <w:tc>
          <w:tcPr>
            <w:tcW w:w="851"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-26,3</w:t>
            </w:r>
          </w:p>
        </w:tc>
      </w:tr>
      <w:tr w:rsidR="00000000" w:rsidRPr="00C9680B">
        <w:tblPrEx>
          <w:tblCellMar>
            <w:top w:w="0" w:type="dxa"/>
            <w:bottom w:w="0" w:type="dxa"/>
          </w:tblCellMar>
        </w:tblPrEx>
        <w:trPr>
          <w:trHeight w:val="240"/>
        </w:trPr>
        <w:tc>
          <w:tcPr>
            <w:tcW w:w="2440" w:type="dxa"/>
            <w:hMerge w:val="restart"/>
          </w:tcPr>
          <w:p w:rsidR="001C7BF9" w:rsidRPr="00C9680B" w:rsidRDefault="001C7BF9">
            <w:pPr>
              <w:spacing w:before="0" w:line="200" w:lineRule="exact"/>
              <w:rPr>
                <w:snapToGrid w:val="0"/>
                <w:color w:val="000000"/>
                <w:sz w:val="17"/>
                <w:lang w:eastAsia="sv-SE"/>
              </w:rPr>
            </w:pPr>
            <w:r w:rsidRPr="00C9680B">
              <w:rPr>
                <w:snapToGrid w:val="0"/>
                <w:color w:val="000000"/>
                <w:sz w:val="17"/>
                <w:lang w:eastAsia="sv-SE"/>
              </w:rPr>
              <w:t>Övriga inkomster</w:t>
            </w:r>
          </w:p>
        </w:tc>
        <w:tc>
          <w:tcPr>
            <w:hMerge/>
          </w:tcPr>
          <w:p w:rsidR="001C7BF9" w:rsidRPr="00C9680B" w:rsidRDefault="001C7BF9">
            <w:pPr>
              <w:spacing w:before="0" w:line="200" w:lineRule="exact"/>
              <w:jc w:val="right"/>
              <w:rPr>
                <w:snapToGrid w:val="0"/>
                <w:color w:val="000000"/>
                <w:sz w:val="17"/>
                <w:lang w:eastAsia="sv-SE"/>
              </w:rPr>
            </w:pPr>
          </w:p>
        </w:tc>
        <w:tc>
          <w:tcPr>
            <w:gridSpan w:val="3"/>
            <w:hMerge/>
          </w:tcPr>
          <w:p w:rsidR="001C7BF9" w:rsidRPr="00C9680B" w:rsidRDefault="001C7BF9">
            <w:pPr>
              <w:spacing w:before="0" w:line="200" w:lineRule="exact"/>
              <w:jc w:val="right"/>
              <w:rPr>
                <w:snapToGrid w:val="0"/>
                <w:color w:val="000000"/>
                <w:sz w:val="17"/>
                <w:lang w:eastAsia="sv-SE"/>
              </w:rPr>
            </w:pPr>
          </w:p>
        </w:tc>
        <w:tc>
          <w:tcPr>
            <w:tcW w:w="992"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-34,6</w:t>
            </w:r>
          </w:p>
        </w:tc>
        <w:tc>
          <w:tcPr>
            <w:tcW w:w="851"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-1,8</w:t>
            </w:r>
          </w:p>
        </w:tc>
        <w:tc>
          <w:tcPr>
            <w:tcW w:w="85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-1,3</w:t>
            </w:r>
          </w:p>
        </w:tc>
        <w:tc>
          <w:tcPr>
            <w:tcW w:w="851"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-1,4</w:t>
            </w:r>
          </w:p>
        </w:tc>
      </w:tr>
      <w:tr w:rsidR="00000000" w:rsidRPr="00C9680B">
        <w:tblPrEx>
          <w:tblCellMar>
            <w:top w:w="0" w:type="dxa"/>
            <w:bottom w:w="0" w:type="dxa"/>
          </w:tblCellMar>
        </w:tblPrEx>
        <w:trPr>
          <w:trHeight w:val="240"/>
        </w:trPr>
        <w:tc>
          <w:tcPr>
            <w:tcW w:w="2440" w:type="dxa"/>
            <w:hMerge w:val="restart"/>
            <w:tcBorders>
              <w:bottom w:val="single" w:sz="6" w:space="0" w:color="auto"/>
            </w:tcBorders>
          </w:tcPr>
          <w:p w:rsidR="001C7BF9" w:rsidRPr="00C9680B" w:rsidRDefault="001C7BF9">
            <w:pPr>
              <w:spacing w:before="0" w:line="200" w:lineRule="exact"/>
              <w:rPr>
                <w:snapToGrid w:val="0"/>
                <w:color w:val="000000"/>
                <w:sz w:val="17"/>
                <w:lang w:eastAsia="sv-SE"/>
              </w:rPr>
            </w:pPr>
            <w:r w:rsidRPr="00C9680B">
              <w:rPr>
                <w:snapToGrid w:val="0"/>
                <w:color w:val="000000"/>
                <w:sz w:val="17"/>
                <w:lang w:eastAsia="sv-SE"/>
              </w:rPr>
              <w:t>Totala inkomster</w:t>
            </w:r>
          </w:p>
        </w:tc>
        <w:tc>
          <w:tcPr>
            <w:hMerge/>
            <w:tcBorders>
              <w:bottom w:val="single" w:sz="6" w:space="0" w:color="auto"/>
            </w:tcBorders>
          </w:tcPr>
          <w:p w:rsidR="001C7BF9" w:rsidRPr="00C9680B" w:rsidRDefault="001C7BF9">
            <w:pPr>
              <w:spacing w:before="0" w:line="200" w:lineRule="exact"/>
              <w:jc w:val="right"/>
              <w:rPr>
                <w:snapToGrid w:val="0"/>
                <w:color w:val="000000"/>
                <w:sz w:val="17"/>
                <w:lang w:eastAsia="sv-SE"/>
              </w:rPr>
            </w:pPr>
          </w:p>
        </w:tc>
        <w:tc>
          <w:tcPr>
            <w:gridSpan w:val="3"/>
            <w:hMerge/>
            <w:tcBorders>
              <w:bottom w:val="single" w:sz="6" w:space="0" w:color="auto"/>
            </w:tcBorders>
          </w:tcPr>
          <w:p w:rsidR="001C7BF9" w:rsidRPr="00C9680B" w:rsidRDefault="001C7BF9">
            <w:pPr>
              <w:spacing w:before="0" w:line="200" w:lineRule="exact"/>
              <w:jc w:val="right"/>
              <w:rPr>
                <w:snapToGrid w:val="0"/>
                <w:color w:val="000000"/>
                <w:sz w:val="17"/>
                <w:lang w:eastAsia="sv-SE"/>
              </w:rPr>
            </w:pPr>
          </w:p>
        </w:tc>
        <w:tc>
          <w:tcPr>
            <w:tcW w:w="992" w:type="dxa"/>
            <w:tcBorders>
              <w:bottom w:val="single" w:sz="6" w:space="0" w:color="auto"/>
            </w:tcBorders>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-27,9</w:t>
            </w:r>
          </w:p>
        </w:tc>
        <w:tc>
          <w:tcPr>
            <w:tcW w:w="851" w:type="dxa"/>
            <w:tcBorders>
              <w:bottom w:val="single" w:sz="6" w:space="0" w:color="auto"/>
            </w:tcBorders>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-3,4</w:t>
            </w:r>
          </w:p>
        </w:tc>
        <w:tc>
          <w:tcPr>
            <w:tcW w:w="850" w:type="dxa"/>
            <w:tcBorders>
              <w:bottom w:val="single" w:sz="6" w:space="0" w:color="auto"/>
            </w:tcBorders>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-22,3</w:t>
            </w:r>
          </w:p>
        </w:tc>
        <w:tc>
          <w:tcPr>
            <w:tcW w:w="851" w:type="dxa"/>
            <w:tcBorders>
              <w:bottom w:val="single" w:sz="6" w:space="0" w:color="auto"/>
            </w:tcBorders>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-27,7</w:t>
            </w:r>
          </w:p>
        </w:tc>
      </w:tr>
    </w:tbl>
    <w:p w:rsidR="001C7BF9" w:rsidRPr="00C9680B" w:rsidRDefault="001C7BF9">
      <w:pPr>
        <w:spacing w:before="200"/>
      </w:pPr>
      <w:r w:rsidRPr="00C9680B">
        <w:t>I jämförelse med 2000 års ekonomiska vårproposition beräknas nu skattei</w:t>
      </w:r>
      <w:r w:rsidRPr="00C9680B">
        <w:t>n</w:t>
      </w:r>
      <w:r w:rsidRPr="00C9680B">
        <w:t>komsterna bli högre 2000 men lägre under perioden 2001–2003. Nedrevid</w:t>
      </w:r>
      <w:r w:rsidRPr="00C9680B">
        <w:t>e</w:t>
      </w:r>
      <w:r w:rsidRPr="00C9680B">
        <w:t>ringen av skatteprognoserna beror i huvudsak på de förslag som regeringen lämnar i budgetpropositionen för 2001. Inkomsterna från fysiska personers inkomstskatt minskar till följd av det andra steget i kompensationen för egen</w:t>
      </w:r>
      <w:r w:rsidRPr="00C9680B">
        <w:softHyphen/>
        <w:t>avgifterna och den föreslagna sänkningen av arbetsgivaravgifterna sänker inkomsterna från socialavgifter. Inkomsterna från fastighets- och förmöge</w:t>
      </w:r>
      <w:r w:rsidRPr="00C9680B">
        <w:t>n</w:t>
      </w:r>
      <w:r w:rsidRPr="00C9680B">
        <w:t xml:space="preserve">hetsskatt beräknas nu bli lägre än i vårpropositionen till följd av </w:t>
      </w:r>
      <w:r w:rsidRPr="00C9680B">
        <w:t>den föresla</w:t>
      </w:r>
      <w:r w:rsidRPr="00C9680B">
        <w:t>g</w:t>
      </w:r>
      <w:r w:rsidRPr="00C9680B">
        <w:t>na sänkningen av skattesatserna för små- och hyreshus samt de ökade frib</w:t>
      </w:r>
      <w:r w:rsidRPr="00C9680B">
        <w:t>e</w:t>
      </w:r>
      <w:r w:rsidRPr="00C9680B">
        <w:t>loppen i förmögenhetsbeskattningen. Statens inkomster från fastighetsskatten beräknas öka måttligt över tiden men i relation till vårpropositionen, som innebar att frysningen av taxeringsvärdena skulle upphöra 2001 och att ska</w:t>
      </w:r>
      <w:r w:rsidRPr="00C9680B">
        <w:t>t</w:t>
      </w:r>
      <w:r w:rsidRPr="00C9680B">
        <w:t>tesatserna skulle förbli oförändrade, innebär beräkningarna i budgetpropos</w:t>
      </w:r>
      <w:r w:rsidRPr="00C9680B">
        <w:t>i</w:t>
      </w:r>
      <w:r w:rsidRPr="00C9680B">
        <w:t>tionen en väsentlig minskning. Inkomsterna från mervärdesskatten beräknas också bli lägre till följd av den sänkta skatten fö</w:t>
      </w:r>
      <w:r w:rsidRPr="00C9680B">
        <w:t>r personbefordran. De övriga inkomsterna år 2000 beräknas nu bli 34,6 miljarder kronor lägre än i vårpr</w:t>
      </w:r>
      <w:r w:rsidRPr="00C9680B">
        <w:t>o</w:t>
      </w:r>
      <w:r w:rsidRPr="00C9680B">
        <w:t>positionen, vilket beror på att inkom</w:t>
      </w:r>
      <w:r w:rsidRPr="00C9680B">
        <w:t>s</w:t>
      </w:r>
      <w:r w:rsidRPr="00C9680B">
        <w:t>terna av försåld egendom räknats ned.</w:t>
      </w:r>
    </w:p>
    <w:p w:rsidR="001C7BF9" w:rsidRPr="00C9680B" w:rsidRDefault="001C7BF9">
      <w:pPr>
        <w:pStyle w:val="Brdtext2"/>
      </w:pPr>
      <w:r w:rsidRPr="00C9680B">
        <w:t>Tabell 34. Statsbudgetens skatteinkomster 2000–2003. Avvikelser från 2000 års ekonomiska vårproposition och underliggande förän</w:t>
      </w:r>
      <w:r w:rsidRPr="00C9680B">
        <w:t>d</w:t>
      </w:r>
      <w:r w:rsidRPr="00C9680B">
        <w:t>ring</w:t>
      </w:r>
    </w:p>
    <w:p w:rsidR="001C7BF9" w:rsidRPr="00C9680B" w:rsidRDefault="001C7BF9">
      <w:pPr>
        <w:spacing w:before="0" w:after="40" w:line="180" w:lineRule="exact"/>
        <w:rPr>
          <w:sz w:val="14"/>
        </w:rPr>
      </w:pPr>
      <w:r w:rsidRPr="00C9680B">
        <w:rPr>
          <w:sz w:val="14"/>
        </w:rPr>
        <w:t>Miljarder kronor</w:t>
      </w:r>
    </w:p>
    <w:tbl>
      <w:tblPr>
        <w:tblW w:w="0" w:type="auto"/>
        <w:tblInd w:w="-30" w:type="dxa"/>
        <w:tblLayout w:type="fixed"/>
        <w:tblCellMar>
          <w:left w:w="30" w:type="dxa"/>
          <w:right w:w="30" w:type="dxa"/>
        </w:tblCellMar>
        <w:tblLook w:val="0000" w:firstRow="0" w:lastRow="0" w:firstColumn="0" w:lastColumn="0" w:noHBand="0" w:noVBand="0"/>
      </w:tblPr>
      <w:tblGrid>
        <w:gridCol w:w="1"/>
        <w:gridCol w:w="1"/>
        <w:gridCol w:w="236"/>
        <w:gridCol w:w="600"/>
        <w:gridCol w:w="2311"/>
        <w:gridCol w:w="680"/>
        <w:gridCol w:w="680"/>
        <w:gridCol w:w="680"/>
        <w:gridCol w:w="680"/>
      </w:tblGrid>
      <w:tr w:rsidR="00000000" w:rsidRPr="00C9680B">
        <w:tblPrEx>
          <w:tblCellMar>
            <w:top w:w="0" w:type="dxa"/>
            <w:bottom w:w="0" w:type="dxa"/>
          </w:tblCellMar>
        </w:tblPrEx>
        <w:trPr>
          <w:trHeight w:val="220"/>
        </w:trPr>
        <w:tc>
          <w:tcPr>
            <w:tcW w:w="238" w:type="dxa"/>
            <w:gridSpan w:val="3"/>
            <w:tcBorders>
              <w:top w:val="single" w:sz="6" w:space="0" w:color="auto"/>
              <w:bottom w:val="single" w:sz="6" w:space="0" w:color="auto"/>
            </w:tcBorders>
          </w:tcPr>
          <w:p w:rsidR="001C7BF9" w:rsidRPr="00C9680B" w:rsidRDefault="001C7BF9">
            <w:pPr>
              <w:spacing w:before="0" w:line="200" w:lineRule="exact"/>
              <w:jc w:val="right"/>
              <w:rPr>
                <w:snapToGrid w:val="0"/>
                <w:color w:val="000000"/>
                <w:sz w:val="17"/>
                <w:lang w:eastAsia="sv-SE"/>
              </w:rPr>
            </w:pPr>
          </w:p>
        </w:tc>
        <w:tc>
          <w:tcPr>
            <w:tcW w:w="600" w:type="dxa"/>
            <w:tcBorders>
              <w:top w:val="single" w:sz="6" w:space="0" w:color="auto"/>
              <w:bottom w:val="single" w:sz="6" w:space="0" w:color="auto"/>
            </w:tcBorders>
          </w:tcPr>
          <w:p w:rsidR="001C7BF9" w:rsidRPr="00C9680B" w:rsidRDefault="001C7BF9">
            <w:pPr>
              <w:spacing w:before="0" w:line="200" w:lineRule="exact"/>
              <w:jc w:val="right"/>
              <w:rPr>
                <w:snapToGrid w:val="0"/>
                <w:color w:val="000000"/>
                <w:sz w:val="17"/>
                <w:lang w:eastAsia="sv-SE"/>
              </w:rPr>
            </w:pPr>
          </w:p>
        </w:tc>
        <w:tc>
          <w:tcPr>
            <w:tcW w:w="2311" w:type="dxa"/>
            <w:tcBorders>
              <w:top w:val="single" w:sz="6" w:space="0" w:color="auto"/>
              <w:bottom w:val="single" w:sz="6" w:space="0" w:color="auto"/>
            </w:tcBorders>
          </w:tcPr>
          <w:p w:rsidR="001C7BF9" w:rsidRPr="00C9680B" w:rsidRDefault="001C7BF9">
            <w:pPr>
              <w:spacing w:before="0" w:line="200" w:lineRule="exact"/>
              <w:jc w:val="right"/>
              <w:rPr>
                <w:snapToGrid w:val="0"/>
                <w:color w:val="000000"/>
                <w:sz w:val="17"/>
                <w:lang w:eastAsia="sv-SE"/>
              </w:rPr>
            </w:pPr>
          </w:p>
        </w:tc>
        <w:tc>
          <w:tcPr>
            <w:tcW w:w="680" w:type="dxa"/>
            <w:tcBorders>
              <w:top w:val="single" w:sz="6" w:space="0" w:color="auto"/>
              <w:bottom w:val="single" w:sz="6" w:space="0" w:color="auto"/>
            </w:tcBorders>
          </w:tcPr>
          <w:p w:rsidR="001C7BF9" w:rsidRPr="00C9680B" w:rsidRDefault="001C7BF9">
            <w:pPr>
              <w:spacing w:before="0" w:line="200" w:lineRule="exact"/>
              <w:jc w:val="right"/>
              <w:rPr>
                <w:b/>
                <w:snapToGrid w:val="0"/>
                <w:color w:val="000000"/>
                <w:sz w:val="17"/>
                <w:lang w:eastAsia="sv-SE"/>
              </w:rPr>
            </w:pPr>
            <w:r w:rsidRPr="00C9680B">
              <w:rPr>
                <w:b/>
                <w:snapToGrid w:val="0"/>
                <w:color w:val="000000"/>
                <w:sz w:val="17"/>
                <w:lang w:eastAsia="sv-SE"/>
              </w:rPr>
              <w:t>2000</w:t>
            </w:r>
          </w:p>
        </w:tc>
        <w:tc>
          <w:tcPr>
            <w:tcW w:w="680" w:type="dxa"/>
            <w:tcBorders>
              <w:top w:val="single" w:sz="6" w:space="0" w:color="auto"/>
              <w:bottom w:val="single" w:sz="6" w:space="0" w:color="auto"/>
            </w:tcBorders>
          </w:tcPr>
          <w:p w:rsidR="001C7BF9" w:rsidRPr="00C9680B" w:rsidRDefault="001C7BF9">
            <w:pPr>
              <w:spacing w:before="0" w:line="200" w:lineRule="exact"/>
              <w:jc w:val="right"/>
              <w:rPr>
                <w:b/>
                <w:snapToGrid w:val="0"/>
                <w:color w:val="000000"/>
                <w:sz w:val="17"/>
                <w:lang w:eastAsia="sv-SE"/>
              </w:rPr>
            </w:pPr>
            <w:r w:rsidRPr="00C9680B">
              <w:rPr>
                <w:b/>
                <w:snapToGrid w:val="0"/>
                <w:color w:val="000000"/>
                <w:sz w:val="17"/>
                <w:lang w:eastAsia="sv-SE"/>
              </w:rPr>
              <w:t>2001</w:t>
            </w:r>
          </w:p>
        </w:tc>
        <w:tc>
          <w:tcPr>
            <w:tcW w:w="680" w:type="dxa"/>
            <w:tcBorders>
              <w:top w:val="single" w:sz="6" w:space="0" w:color="auto"/>
              <w:bottom w:val="single" w:sz="6" w:space="0" w:color="auto"/>
            </w:tcBorders>
          </w:tcPr>
          <w:p w:rsidR="001C7BF9" w:rsidRPr="00C9680B" w:rsidRDefault="001C7BF9">
            <w:pPr>
              <w:spacing w:before="0" w:line="200" w:lineRule="exact"/>
              <w:jc w:val="right"/>
              <w:rPr>
                <w:b/>
                <w:snapToGrid w:val="0"/>
                <w:color w:val="000000"/>
                <w:sz w:val="17"/>
                <w:lang w:eastAsia="sv-SE"/>
              </w:rPr>
            </w:pPr>
            <w:r w:rsidRPr="00C9680B">
              <w:rPr>
                <w:b/>
                <w:snapToGrid w:val="0"/>
                <w:color w:val="000000"/>
                <w:sz w:val="17"/>
                <w:lang w:eastAsia="sv-SE"/>
              </w:rPr>
              <w:t>2002</w:t>
            </w:r>
          </w:p>
        </w:tc>
        <w:tc>
          <w:tcPr>
            <w:tcW w:w="680" w:type="dxa"/>
            <w:tcBorders>
              <w:top w:val="single" w:sz="6" w:space="0" w:color="auto"/>
              <w:bottom w:val="single" w:sz="6" w:space="0" w:color="auto"/>
            </w:tcBorders>
          </w:tcPr>
          <w:p w:rsidR="001C7BF9" w:rsidRPr="00C9680B" w:rsidRDefault="001C7BF9">
            <w:pPr>
              <w:spacing w:before="0" w:line="200" w:lineRule="exact"/>
              <w:jc w:val="right"/>
              <w:rPr>
                <w:b/>
                <w:snapToGrid w:val="0"/>
                <w:color w:val="000000"/>
                <w:sz w:val="17"/>
                <w:lang w:eastAsia="sv-SE"/>
              </w:rPr>
            </w:pPr>
            <w:r w:rsidRPr="00C9680B">
              <w:rPr>
                <w:b/>
                <w:snapToGrid w:val="0"/>
                <w:color w:val="000000"/>
                <w:sz w:val="17"/>
                <w:lang w:eastAsia="sv-SE"/>
              </w:rPr>
              <w:t>2003</w:t>
            </w:r>
          </w:p>
        </w:tc>
      </w:tr>
      <w:tr w:rsidR="00000000" w:rsidRPr="00C9680B">
        <w:tblPrEx>
          <w:tblCellMar>
            <w:top w:w="0" w:type="dxa"/>
            <w:bottom w:w="0" w:type="dxa"/>
          </w:tblCellMar>
        </w:tblPrEx>
        <w:trPr>
          <w:trHeight w:val="220"/>
        </w:trPr>
        <w:tc>
          <w:tcPr>
            <w:tcW w:w="3149" w:type="dxa"/>
            <w:hMerge w:val="restart"/>
          </w:tcPr>
          <w:p w:rsidR="001C7BF9" w:rsidRPr="00C9680B" w:rsidRDefault="001C7BF9">
            <w:pPr>
              <w:pStyle w:val="Normaltindrag"/>
              <w:spacing w:line="200" w:lineRule="exact"/>
              <w:rPr>
                <w:sz w:val="17"/>
              </w:rPr>
            </w:pPr>
            <w:r w:rsidRPr="00C9680B">
              <w:rPr>
                <w:sz w:val="17"/>
              </w:rPr>
              <w:t>Avvikelse från VP2000</w:t>
            </w:r>
          </w:p>
        </w:tc>
        <w:tc>
          <w:tcPr>
            <w:hMerge/>
          </w:tcPr>
          <w:p w:rsidR="001C7BF9" w:rsidRPr="00C9680B" w:rsidRDefault="001C7BF9">
            <w:pPr>
              <w:spacing w:before="0" w:line="200" w:lineRule="exact"/>
              <w:jc w:val="right"/>
              <w:rPr>
                <w:snapToGrid w:val="0"/>
                <w:color w:val="000000"/>
                <w:sz w:val="17"/>
                <w:lang w:eastAsia="sv-SE"/>
              </w:rPr>
            </w:pPr>
          </w:p>
        </w:tc>
        <w:tc>
          <w:tcPr>
            <w:gridSpan w:val="3"/>
            <w:hMerge/>
          </w:tcPr>
          <w:p w:rsidR="001C7BF9" w:rsidRPr="00C9680B" w:rsidRDefault="001C7BF9">
            <w:pPr>
              <w:spacing w:before="0" w:line="200" w:lineRule="exact"/>
              <w:jc w:val="right"/>
              <w:rPr>
                <w:snapToGrid w:val="0"/>
                <w:color w:val="000000"/>
                <w:sz w:val="17"/>
                <w:lang w:eastAsia="sv-SE"/>
              </w:rPr>
            </w:pPr>
          </w:p>
        </w:tc>
        <w:tc>
          <w:tcPr>
            <w:tcW w:w="68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7</w:t>
            </w:r>
          </w:p>
        </w:tc>
        <w:tc>
          <w:tcPr>
            <w:tcW w:w="68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-2</w:t>
            </w:r>
          </w:p>
        </w:tc>
        <w:tc>
          <w:tcPr>
            <w:tcW w:w="68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-21</w:t>
            </w:r>
          </w:p>
        </w:tc>
        <w:tc>
          <w:tcPr>
            <w:tcW w:w="68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-26</w:t>
            </w:r>
          </w:p>
        </w:tc>
      </w:tr>
      <w:tr w:rsidR="00000000" w:rsidRPr="00C9680B">
        <w:tblPrEx>
          <w:tblCellMar>
            <w:top w:w="0" w:type="dxa"/>
            <w:bottom w:w="0" w:type="dxa"/>
          </w:tblCellMar>
        </w:tblPrEx>
        <w:trPr>
          <w:trHeight w:val="220"/>
        </w:trPr>
        <w:tc>
          <w:tcPr>
            <w:tcW w:w="238" w:type="dxa"/>
            <w:gridSpan w:val="3"/>
          </w:tcPr>
          <w:p w:rsidR="001C7BF9" w:rsidRPr="00C9680B" w:rsidRDefault="001C7BF9">
            <w:pPr>
              <w:spacing w:before="0" w:line="200" w:lineRule="exact"/>
              <w:jc w:val="right"/>
              <w:rPr>
                <w:snapToGrid w:val="0"/>
                <w:color w:val="000000"/>
                <w:sz w:val="17"/>
                <w:lang w:eastAsia="sv-SE"/>
              </w:rPr>
            </w:pPr>
          </w:p>
        </w:tc>
        <w:tc>
          <w:tcPr>
            <w:tcW w:w="600" w:type="dxa"/>
          </w:tcPr>
          <w:p w:rsidR="001C7BF9" w:rsidRPr="00C9680B" w:rsidRDefault="001C7BF9">
            <w:pPr>
              <w:spacing w:before="0" w:line="200" w:lineRule="exact"/>
              <w:rPr>
                <w:snapToGrid w:val="0"/>
                <w:color w:val="000000"/>
                <w:sz w:val="17"/>
                <w:lang w:eastAsia="sv-SE"/>
              </w:rPr>
            </w:pPr>
            <w:r w:rsidRPr="00C9680B">
              <w:rPr>
                <w:snapToGrid w:val="0"/>
                <w:color w:val="000000"/>
                <w:sz w:val="17"/>
                <w:lang w:eastAsia="sv-SE"/>
              </w:rPr>
              <w:t>varav</w:t>
            </w:r>
          </w:p>
        </w:tc>
        <w:tc>
          <w:tcPr>
            <w:tcW w:w="2311" w:type="dxa"/>
          </w:tcPr>
          <w:p w:rsidR="001C7BF9" w:rsidRPr="00C9680B" w:rsidRDefault="001C7BF9">
            <w:pPr>
              <w:spacing w:before="0" w:line="200" w:lineRule="exact"/>
              <w:rPr>
                <w:snapToGrid w:val="0"/>
                <w:color w:val="000000"/>
                <w:sz w:val="17"/>
                <w:lang w:eastAsia="sv-SE"/>
              </w:rPr>
            </w:pPr>
            <w:r w:rsidRPr="00C9680B">
              <w:rPr>
                <w:snapToGrid w:val="0"/>
                <w:color w:val="000000"/>
                <w:sz w:val="17"/>
                <w:lang w:eastAsia="sv-SE"/>
              </w:rPr>
              <w:t>sänkt fastighetsskatt</w:t>
            </w:r>
          </w:p>
        </w:tc>
        <w:tc>
          <w:tcPr>
            <w:tcW w:w="680" w:type="dxa"/>
          </w:tcPr>
          <w:p w:rsidR="001C7BF9" w:rsidRPr="00C9680B" w:rsidRDefault="001C7BF9">
            <w:pPr>
              <w:spacing w:before="0" w:line="200" w:lineRule="exact"/>
              <w:jc w:val="right"/>
              <w:rPr>
                <w:snapToGrid w:val="0"/>
                <w:color w:val="000000"/>
                <w:sz w:val="17"/>
                <w:lang w:eastAsia="sv-SE"/>
              </w:rPr>
            </w:pPr>
          </w:p>
        </w:tc>
        <w:tc>
          <w:tcPr>
            <w:tcW w:w="68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-3</w:t>
            </w:r>
          </w:p>
        </w:tc>
        <w:tc>
          <w:tcPr>
            <w:tcW w:w="68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-8</w:t>
            </w:r>
          </w:p>
        </w:tc>
        <w:tc>
          <w:tcPr>
            <w:tcW w:w="68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-12</w:t>
            </w:r>
          </w:p>
        </w:tc>
      </w:tr>
      <w:tr w:rsidR="00000000" w:rsidRPr="00C9680B">
        <w:tblPrEx>
          <w:tblCellMar>
            <w:top w:w="0" w:type="dxa"/>
            <w:bottom w:w="0" w:type="dxa"/>
          </w:tblCellMar>
        </w:tblPrEx>
        <w:trPr>
          <w:trHeight w:val="220"/>
        </w:trPr>
        <w:tc>
          <w:tcPr>
            <w:tcW w:w="238" w:type="dxa"/>
            <w:gridSpan w:val="3"/>
          </w:tcPr>
          <w:p w:rsidR="001C7BF9" w:rsidRPr="00C9680B" w:rsidRDefault="001C7BF9">
            <w:pPr>
              <w:spacing w:before="0" w:line="200" w:lineRule="exact"/>
              <w:jc w:val="right"/>
              <w:rPr>
                <w:snapToGrid w:val="0"/>
                <w:color w:val="000000"/>
                <w:sz w:val="17"/>
                <w:lang w:eastAsia="sv-SE"/>
              </w:rPr>
            </w:pPr>
          </w:p>
        </w:tc>
        <w:tc>
          <w:tcPr>
            <w:tcW w:w="600" w:type="dxa"/>
          </w:tcPr>
          <w:p w:rsidR="001C7BF9" w:rsidRPr="00C9680B" w:rsidRDefault="001C7BF9">
            <w:pPr>
              <w:spacing w:before="0" w:line="200" w:lineRule="exact"/>
              <w:jc w:val="right"/>
              <w:rPr>
                <w:snapToGrid w:val="0"/>
                <w:color w:val="000000"/>
                <w:sz w:val="17"/>
                <w:lang w:eastAsia="sv-SE"/>
              </w:rPr>
            </w:pPr>
          </w:p>
        </w:tc>
        <w:tc>
          <w:tcPr>
            <w:tcW w:w="2311" w:type="dxa"/>
          </w:tcPr>
          <w:p w:rsidR="001C7BF9" w:rsidRPr="00C9680B" w:rsidRDefault="001C7BF9">
            <w:pPr>
              <w:spacing w:before="0" w:line="200" w:lineRule="exact"/>
              <w:rPr>
                <w:snapToGrid w:val="0"/>
                <w:color w:val="000000"/>
                <w:sz w:val="17"/>
                <w:lang w:eastAsia="sv-SE"/>
              </w:rPr>
            </w:pPr>
            <w:r w:rsidRPr="00C9680B">
              <w:rPr>
                <w:snapToGrid w:val="0"/>
                <w:color w:val="000000"/>
                <w:sz w:val="17"/>
                <w:lang w:eastAsia="sv-SE"/>
              </w:rPr>
              <w:t>sänkt förmögenhetsskatt</w:t>
            </w:r>
          </w:p>
        </w:tc>
        <w:tc>
          <w:tcPr>
            <w:tcW w:w="680" w:type="dxa"/>
          </w:tcPr>
          <w:p w:rsidR="001C7BF9" w:rsidRPr="00C9680B" w:rsidRDefault="001C7BF9">
            <w:pPr>
              <w:spacing w:before="0" w:line="200" w:lineRule="exact"/>
              <w:jc w:val="right"/>
              <w:rPr>
                <w:snapToGrid w:val="0"/>
                <w:color w:val="000000"/>
                <w:sz w:val="17"/>
                <w:lang w:eastAsia="sv-SE"/>
              </w:rPr>
            </w:pPr>
          </w:p>
        </w:tc>
        <w:tc>
          <w:tcPr>
            <w:tcW w:w="68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-1</w:t>
            </w:r>
          </w:p>
        </w:tc>
        <w:tc>
          <w:tcPr>
            <w:tcW w:w="68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-3</w:t>
            </w:r>
          </w:p>
        </w:tc>
        <w:tc>
          <w:tcPr>
            <w:tcW w:w="68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-3</w:t>
            </w:r>
          </w:p>
        </w:tc>
      </w:tr>
      <w:tr w:rsidR="00000000" w:rsidRPr="00C9680B">
        <w:tblPrEx>
          <w:tblCellMar>
            <w:top w:w="0" w:type="dxa"/>
            <w:bottom w:w="0" w:type="dxa"/>
          </w:tblCellMar>
        </w:tblPrEx>
        <w:trPr>
          <w:trHeight w:val="220"/>
        </w:trPr>
        <w:tc>
          <w:tcPr>
            <w:tcW w:w="238" w:type="dxa"/>
            <w:gridSpan w:val="3"/>
          </w:tcPr>
          <w:p w:rsidR="001C7BF9" w:rsidRPr="00C9680B" w:rsidRDefault="001C7BF9">
            <w:pPr>
              <w:spacing w:before="0" w:line="200" w:lineRule="exact"/>
              <w:jc w:val="right"/>
              <w:rPr>
                <w:snapToGrid w:val="0"/>
                <w:color w:val="000000"/>
                <w:sz w:val="17"/>
                <w:lang w:eastAsia="sv-SE"/>
              </w:rPr>
            </w:pPr>
          </w:p>
        </w:tc>
        <w:tc>
          <w:tcPr>
            <w:tcW w:w="600" w:type="dxa"/>
          </w:tcPr>
          <w:p w:rsidR="001C7BF9" w:rsidRPr="00C9680B" w:rsidRDefault="001C7BF9">
            <w:pPr>
              <w:spacing w:before="0" w:line="200" w:lineRule="exact"/>
              <w:jc w:val="right"/>
              <w:rPr>
                <w:snapToGrid w:val="0"/>
                <w:color w:val="000000"/>
                <w:sz w:val="17"/>
                <w:lang w:eastAsia="sv-SE"/>
              </w:rPr>
            </w:pPr>
          </w:p>
        </w:tc>
        <w:tc>
          <w:tcPr>
            <w:tcW w:w="2311" w:type="dxa"/>
          </w:tcPr>
          <w:p w:rsidR="001C7BF9" w:rsidRPr="00C9680B" w:rsidRDefault="001C7BF9">
            <w:pPr>
              <w:spacing w:before="0" w:line="200" w:lineRule="exact"/>
              <w:rPr>
                <w:snapToGrid w:val="0"/>
                <w:color w:val="000000"/>
                <w:sz w:val="17"/>
                <w:lang w:eastAsia="sv-SE"/>
              </w:rPr>
            </w:pPr>
            <w:r w:rsidRPr="00C9680B">
              <w:rPr>
                <w:snapToGrid w:val="0"/>
                <w:color w:val="000000"/>
                <w:sz w:val="17"/>
                <w:lang w:eastAsia="sv-SE"/>
              </w:rPr>
              <w:t>sänkt inkomstskatt</w:t>
            </w:r>
          </w:p>
        </w:tc>
        <w:tc>
          <w:tcPr>
            <w:tcW w:w="680" w:type="dxa"/>
          </w:tcPr>
          <w:p w:rsidR="001C7BF9" w:rsidRPr="00C9680B" w:rsidRDefault="001C7BF9">
            <w:pPr>
              <w:spacing w:before="0" w:line="200" w:lineRule="exact"/>
              <w:jc w:val="right"/>
              <w:rPr>
                <w:snapToGrid w:val="0"/>
                <w:color w:val="000000"/>
                <w:sz w:val="17"/>
                <w:lang w:eastAsia="sv-SE"/>
              </w:rPr>
            </w:pPr>
          </w:p>
        </w:tc>
        <w:tc>
          <w:tcPr>
            <w:tcW w:w="68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-17</w:t>
            </w:r>
          </w:p>
        </w:tc>
        <w:tc>
          <w:tcPr>
            <w:tcW w:w="68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-19</w:t>
            </w:r>
          </w:p>
        </w:tc>
        <w:tc>
          <w:tcPr>
            <w:tcW w:w="68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-21</w:t>
            </w:r>
          </w:p>
        </w:tc>
      </w:tr>
      <w:tr w:rsidR="00000000" w:rsidRPr="00C9680B">
        <w:tblPrEx>
          <w:tblCellMar>
            <w:top w:w="0" w:type="dxa"/>
            <w:bottom w:w="0" w:type="dxa"/>
          </w:tblCellMar>
        </w:tblPrEx>
        <w:trPr>
          <w:trHeight w:val="220"/>
        </w:trPr>
        <w:tc>
          <w:tcPr>
            <w:tcW w:w="238" w:type="dxa"/>
            <w:gridSpan w:val="3"/>
          </w:tcPr>
          <w:p w:rsidR="001C7BF9" w:rsidRPr="00C9680B" w:rsidRDefault="001C7BF9">
            <w:pPr>
              <w:spacing w:before="0" w:line="200" w:lineRule="exact"/>
              <w:jc w:val="right"/>
              <w:rPr>
                <w:snapToGrid w:val="0"/>
                <w:color w:val="000000"/>
                <w:sz w:val="17"/>
                <w:lang w:eastAsia="sv-SE"/>
              </w:rPr>
            </w:pPr>
          </w:p>
        </w:tc>
        <w:tc>
          <w:tcPr>
            <w:tcW w:w="600" w:type="dxa"/>
          </w:tcPr>
          <w:p w:rsidR="001C7BF9" w:rsidRPr="00C9680B" w:rsidRDefault="001C7BF9">
            <w:pPr>
              <w:spacing w:before="0" w:line="200" w:lineRule="exact"/>
              <w:jc w:val="right"/>
              <w:rPr>
                <w:snapToGrid w:val="0"/>
                <w:color w:val="000000"/>
                <w:sz w:val="17"/>
                <w:lang w:eastAsia="sv-SE"/>
              </w:rPr>
            </w:pPr>
          </w:p>
        </w:tc>
        <w:tc>
          <w:tcPr>
            <w:tcW w:w="2311" w:type="dxa"/>
          </w:tcPr>
          <w:p w:rsidR="001C7BF9" w:rsidRPr="00C9680B" w:rsidRDefault="001C7BF9">
            <w:pPr>
              <w:spacing w:before="0" w:line="200" w:lineRule="exact"/>
              <w:rPr>
                <w:snapToGrid w:val="0"/>
                <w:color w:val="000000"/>
                <w:sz w:val="17"/>
                <w:lang w:eastAsia="sv-SE"/>
              </w:rPr>
            </w:pPr>
            <w:r w:rsidRPr="00C9680B">
              <w:rPr>
                <w:snapToGrid w:val="0"/>
                <w:color w:val="000000"/>
                <w:sz w:val="17"/>
                <w:lang w:eastAsia="sv-SE"/>
              </w:rPr>
              <w:t>övriga skatteförändringar</w:t>
            </w:r>
          </w:p>
        </w:tc>
        <w:tc>
          <w:tcPr>
            <w:tcW w:w="680" w:type="dxa"/>
          </w:tcPr>
          <w:p w:rsidR="001C7BF9" w:rsidRPr="00C9680B" w:rsidRDefault="001C7BF9">
            <w:pPr>
              <w:spacing w:before="0" w:line="200" w:lineRule="exact"/>
              <w:jc w:val="right"/>
              <w:rPr>
                <w:snapToGrid w:val="0"/>
                <w:color w:val="000000"/>
                <w:sz w:val="17"/>
                <w:lang w:eastAsia="sv-SE"/>
              </w:rPr>
            </w:pPr>
          </w:p>
        </w:tc>
        <w:tc>
          <w:tcPr>
            <w:tcW w:w="68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2</w:t>
            </w:r>
          </w:p>
        </w:tc>
        <w:tc>
          <w:tcPr>
            <w:tcW w:w="68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3</w:t>
            </w:r>
          </w:p>
        </w:tc>
        <w:tc>
          <w:tcPr>
            <w:tcW w:w="68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3</w:t>
            </w:r>
          </w:p>
        </w:tc>
      </w:tr>
      <w:tr w:rsidR="00000000" w:rsidRPr="00C9680B">
        <w:tblPrEx>
          <w:tblCellMar>
            <w:top w:w="0" w:type="dxa"/>
            <w:bottom w:w="0" w:type="dxa"/>
          </w:tblCellMar>
        </w:tblPrEx>
        <w:trPr>
          <w:trHeight w:val="220"/>
        </w:trPr>
        <w:tc>
          <w:tcPr>
            <w:tcW w:w="238" w:type="dxa"/>
            <w:gridSpan w:val="3"/>
          </w:tcPr>
          <w:p w:rsidR="001C7BF9" w:rsidRPr="00C9680B" w:rsidRDefault="001C7BF9">
            <w:pPr>
              <w:spacing w:before="0" w:line="200" w:lineRule="exact"/>
              <w:jc w:val="right"/>
              <w:rPr>
                <w:snapToGrid w:val="0"/>
                <w:color w:val="000000"/>
                <w:sz w:val="17"/>
                <w:lang w:eastAsia="sv-SE"/>
              </w:rPr>
            </w:pPr>
          </w:p>
        </w:tc>
        <w:tc>
          <w:tcPr>
            <w:tcW w:w="600" w:type="dxa"/>
          </w:tcPr>
          <w:p w:rsidR="001C7BF9" w:rsidRPr="00C9680B" w:rsidRDefault="001C7BF9">
            <w:pPr>
              <w:spacing w:before="0" w:line="200" w:lineRule="exact"/>
              <w:jc w:val="right"/>
              <w:rPr>
                <w:snapToGrid w:val="0"/>
                <w:color w:val="000000"/>
                <w:sz w:val="17"/>
                <w:lang w:eastAsia="sv-SE"/>
              </w:rPr>
            </w:pPr>
          </w:p>
        </w:tc>
        <w:tc>
          <w:tcPr>
            <w:tcW w:w="2311" w:type="dxa"/>
          </w:tcPr>
          <w:p w:rsidR="001C7BF9" w:rsidRPr="00C9680B" w:rsidRDefault="001C7BF9">
            <w:pPr>
              <w:spacing w:before="0" w:line="200" w:lineRule="exact"/>
              <w:rPr>
                <w:snapToGrid w:val="0"/>
                <w:color w:val="000000"/>
                <w:sz w:val="17"/>
                <w:lang w:eastAsia="sv-SE"/>
              </w:rPr>
            </w:pPr>
            <w:r w:rsidRPr="00C9680B">
              <w:rPr>
                <w:snapToGrid w:val="0"/>
                <w:color w:val="000000"/>
                <w:sz w:val="17"/>
                <w:lang w:eastAsia="sv-SE"/>
              </w:rPr>
              <w:t>SPP</w:t>
            </w:r>
          </w:p>
        </w:tc>
        <w:tc>
          <w:tcPr>
            <w:tcW w:w="680" w:type="dxa"/>
          </w:tcPr>
          <w:p w:rsidR="001C7BF9" w:rsidRPr="00C9680B" w:rsidRDefault="001C7BF9">
            <w:pPr>
              <w:spacing w:before="0" w:line="200" w:lineRule="exact"/>
              <w:jc w:val="right"/>
              <w:rPr>
                <w:snapToGrid w:val="0"/>
                <w:color w:val="000000"/>
                <w:sz w:val="17"/>
                <w:lang w:eastAsia="sv-SE"/>
              </w:rPr>
            </w:pPr>
          </w:p>
        </w:tc>
        <w:tc>
          <w:tcPr>
            <w:tcW w:w="680" w:type="dxa"/>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8</w:t>
            </w:r>
          </w:p>
        </w:tc>
        <w:tc>
          <w:tcPr>
            <w:tcW w:w="680" w:type="dxa"/>
          </w:tcPr>
          <w:p w:rsidR="001C7BF9" w:rsidRPr="00C9680B" w:rsidRDefault="001C7BF9">
            <w:pPr>
              <w:spacing w:before="0" w:line="200" w:lineRule="exact"/>
              <w:jc w:val="right"/>
              <w:rPr>
                <w:snapToGrid w:val="0"/>
                <w:color w:val="000000"/>
                <w:sz w:val="17"/>
                <w:lang w:eastAsia="sv-SE"/>
              </w:rPr>
            </w:pPr>
          </w:p>
        </w:tc>
        <w:tc>
          <w:tcPr>
            <w:tcW w:w="680" w:type="dxa"/>
          </w:tcPr>
          <w:p w:rsidR="001C7BF9" w:rsidRPr="00C9680B" w:rsidRDefault="001C7BF9">
            <w:pPr>
              <w:spacing w:before="0" w:line="200" w:lineRule="exact"/>
              <w:jc w:val="right"/>
              <w:rPr>
                <w:snapToGrid w:val="0"/>
                <w:color w:val="000000"/>
                <w:sz w:val="17"/>
                <w:lang w:eastAsia="sv-SE"/>
              </w:rPr>
            </w:pPr>
          </w:p>
        </w:tc>
      </w:tr>
      <w:tr w:rsidR="00000000" w:rsidRPr="00C9680B">
        <w:tblPrEx>
          <w:tblCellMar>
            <w:top w:w="0" w:type="dxa"/>
            <w:bottom w:w="0" w:type="dxa"/>
          </w:tblCellMar>
        </w:tblPrEx>
        <w:trPr>
          <w:trHeight w:val="220"/>
        </w:trPr>
        <w:tc>
          <w:tcPr>
            <w:tcW w:w="3149" w:type="dxa"/>
            <w:hMerge w:val="restart"/>
            <w:tcBorders>
              <w:bottom w:val="single" w:sz="6" w:space="0" w:color="auto"/>
            </w:tcBorders>
          </w:tcPr>
          <w:p w:rsidR="001C7BF9" w:rsidRPr="00C9680B" w:rsidRDefault="001C7BF9">
            <w:pPr>
              <w:spacing w:before="0" w:line="200" w:lineRule="exact"/>
              <w:rPr>
                <w:snapToGrid w:val="0"/>
                <w:color w:val="000000"/>
                <w:sz w:val="17"/>
                <w:lang w:eastAsia="sv-SE"/>
              </w:rPr>
            </w:pPr>
            <w:r w:rsidRPr="00C9680B">
              <w:rPr>
                <w:snapToGrid w:val="0"/>
                <w:color w:val="000000"/>
                <w:sz w:val="17"/>
                <w:lang w:eastAsia="sv-SE"/>
              </w:rPr>
              <w:t>Underliggande avvikelse från VP2000</w:t>
            </w:r>
          </w:p>
        </w:tc>
        <w:tc>
          <w:tcPr>
            <w:hMerge/>
            <w:tcBorders>
              <w:bottom w:val="single" w:sz="6" w:space="0" w:color="auto"/>
            </w:tcBorders>
          </w:tcPr>
          <w:p w:rsidR="001C7BF9" w:rsidRPr="00C9680B" w:rsidRDefault="001C7BF9">
            <w:pPr>
              <w:spacing w:before="0" w:line="200" w:lineRule="exact"/>
              <w:jc w:val="right"/>
              <w:rPr>
                <w:snapToGrid w:val="0"/>
                <w:color w:val="000000"/>
                <w:sz w:val="17"/>
                <w:lang w:eastAsia="sv-SE"/>
              </w:rPr>
            </w:pPr>
          </w:p>
        </w:tc>
        <w:tc>
          <w:tcPr>
            <w:gridSpan w:val="3"/>
            <w:hMerge/>
            <w:tcBorders>
              <w:bottom w:val="single" w:sz="6" w:space="0" w:color="auto"/>
            </w:tcBorders>
          </w:tcPr>
          <w:p w:rsidR="001C7BF9" w:rsidRPr="00C9680B" w:rsidRDefault="001C7BF9">
            <w:pPr>
              <w:spacing w:before="0" w:line="200" w:lineRule="exact"/>
              <w:jc w:val="right"/>
              <w:rPr>
                <w:snapToGrid w:val="0"/>
                <w:color w:val="000000"/>
                <w:sz w:val="17"/>
                <w:lang w:eastAsia="sv-SE"/>
              </w:rPr>
            </w:pPr>
          </w:p>
        </w:tc>
        <w:tc>
          <w:tcPr>
            <w:tcW w:w="680" w:type="dxa"/>
            <w:tcBorders>
              <w:bottom w:val="single" w:sz="6" w:space="0" w:color="auto"/>
            </w:tcBorders>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7</w:t>
            </w:r>
          </w:p>
        </w:tc>
        <w:tc>
          <w:tcPr>
            <w:tcW w:w="680" w:type="dxa"/>
            <w:tcBorders>
              <w:bottom w:val="single" w:sz="6" w:space="0" w:color="auto"/>
            </w:tcBorders>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9</w:t>
            </w:r>
          </w:p>
        </w:tc>
        <w:tc>
          <w:tcPr>
            <w:tcW w:w="680" w:type="dxa"/>
            <w:tcBorders>
              <w:bottom w:val="single" w:sz="6" w:space="0" w:color="auto"/>
            </w:tcBorders>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6</w:t>
            </w:r>
          </w:p>
        </w:tc>
        <w:tc>
          <w:tcPr>
            <w:tcW w:w="680" w:type="dxa"/>
            <w:tcBorders>
              <w:bottom w:val="single" w:sz="6" w:space="0" w:color="auto"/>
            </w:tcBorders>
          </w:tcPr>
          <w:p w:rsidR="001C7BF9" w:rsidRPr="00C9680B" w:rsidRDefault="001C7BF9">
            <w:pPr>
              <w:spacing w:before="0" w:line="200" w:lineRule="exact"/>
              <w:jc w:val="right"/>
              <w:rPr>
                <w:snapToGrid w:val="0"/>
                <w:color w:val="000000"/>
                <w:sz w:val="17"/>
                <w:lang w:eastAsia="sv-SE"/>
              </w:rPr>
            </w:pPr>
            <w:r w:rsidRPr="00C9680B">
              <w:rPr>
                <w:snapToGrid w:val="0"/>
                <w:color w:val="000000"/>
                <w:sz w:val="17"/>
                <w:lang w:eastAsia="sv-SE"/>
              </w:rPr>
              <w:t>7</w:t>
            </w:r>
          </w:p>
        </w:tc>
      </w:tr>
    </w:tbl>
    <w:p w:rsidR="001C7BF9" w:rsidRPr="00C9680B" w:rsidRDefault="001C7BF9">
      <w:pPr>
        <w:spacing w:before="200"/>
      </w:pPr>
      <w:r w:rsidRPr="00C9680B">
        <w:t>Om skatteinkomsterna jämförs med vårpropositionen rensat för effekterna av regeringens förslag samt de tillfälliga inkomsterna med anledning av SPP:s utdelning framträder en bild som bättre återspeglar den makroekonomiska utvecklingen och de ökade skattebaserna. En sådan rensad beräkning visar att nivån på skatteinkomsterna har ökat med mellan 6 och 9 miljarder kronor per år u</w:t>
      </w:r>
      <w:r w:rsidRPr="00C9680B">
        <w:t>n</w:t>
      </w:r>
      <w:r w:rsidRPr="00C9680B">
        <w:t>der perioden 2000–2003.</w:t>
      </w:r>
    </w:p>
    <w:p w:rsidR="001C7BF9" w:rsidRPr="00C9680B" w:rsidRDefault="001C7BF9">
      <w:pPr>
        <w:pStyle w:val="Rubrik1b"/>
        <w:outlineLvl w:val="0"/>
      </w:pPr>
      <w:bookmarkStart w:id="198" w:name="_Toc497720006"/>
      <w:bookmarkStart w:id="199" w:name="_Toc498238793"/>
      <w:bookmarkStart w:id="200" w:name="_Toc498910704"/>
      <w:r w:rsidRPr="00C9680B">
        <w:t>3.2 Skattepolitikens allmänna inriktning</w:t>
      </w:r>
      <w:bookmarkEnd w:id="198"/>
      <w:bookmarkEnd w:id="199"/>
      <w:bookmarkEnd w:id="200"/>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avslår de motionsförslag om inriktning av skatte</w:t>
      </w:r>
      <w:r w:rsidRPr="00C9680B">
        <w:softHyphen/>
        <w:t>politiken som lagts fram av Moderata samlingspartiet, Kristdemo</w:t>
      </w:r>
      <w:r w:rsidRPr="00C9680B">
        <w:softHyphen/>
        <w:t>kraterna, Centerpartiet och Folkpartiet liberalerna.</w:t>
      </w:r>
    </w:p>
    <w:p w:rsidR="001C7BF9" w:rsidRPr="00C9680B" w:rsidRDefault="001C7BF9">
      <w:pPr>
        <w:pStyle w:val="Utskottsfrslagikorthet-Text"/>
        <w:keepNext/>
      </w:pPr>
      <w:r w:rsidRPr="00C9680B">
        <w:t xml:space="preserve">  Jämför reservationerna 12 (m), 13 (kd), 14 (c) och 15 (fp).</w:t>
      </w:r>
    </w:p>
    <w:p w:rsidR="001C7BF9" w:rsidRPr="00C9680B" w:rsidRDefault="001C7BF9">
      <w:pPr>
        <w:pStyle w:val="R4"/>
      </w:pPr>
      <w:bookmarkStart w:id="201" w:name="_Toc497206439"/>
      <w:bookmarkStart w:id="202" w:name="_Toc497720008"/>
      <w:r w:rsidRPr="00C9680B">
        <w:t>Budgetpropositionen</w:t>
      </w:r>
      <w:bookmarkEnd w:id="201"/>
      <w:bookmarkEnd w:id="202"/>
    </w:p>
    <w:p w:rsidR="001C7BF9" w:rsidRPr="00C9680B" w:rsidRDefault="001C7BF9">
      <w:r w:rsidRPr="00C9680B">
        <w:t>I propositionen anför regeringen att de starka offentliga finanserna gör att det finns ett utrymme för ytterligare skattesänkningar. Regeringen har år 2000 påbörjat en inkomstskattereform som innebär att de skattskyldiga i fyra steg kompenseras för effekterna av den allmänna pensionsavgiften. Fullt utbyggd innebär reformen att den skattskyldige kompenseras för hela den allmänna pensionsavgift som betalas för beskattningsåret. I reformen ingår också att antalet personer som betalar statlig inkomstskatt på f</w:t>
      </w:r>
      <w:r w:rsidRPr="00C9680B">
        <w:t>örvärvsinkomster mins</w:t>
      </w:r>
      <w:r w:rsidRPr="00C9680B">
        <w:softHyphen/>
        <w:t xml:space="preserve">kas i syfte att nå en andel på 15 %. Takten i genomförandet av reformen beror enligt vad regeringen anför på det ekonomiska läget efter en sammanvägning av olika angelägna resursanspråk. När det gäller inkomståret 2001 bedömer regeringen nu att det finns ekonomiskt utrymme för att genomföra ytterligare en fjärdedel av reformen. Dessutom föreslås en höjning av reseavdraget till 16 kr per mil. </w:t>
      </w:r>
    </w:p>
    <w:p w:rsidR="001C7BF9" w:rsidRPr="00C9680B" w:rsidRDefault="001C7BF9">
      <w:pPr>
        <w:pStyle w:val="Normaltindrag"/>
      </w:pPr>
      <w:r w:rsidRPr="00C9680B">
        <w:t>Regeringen anför vidare att fastighetspriserna har ökat på många håll i Sverige. År 2001 komme</w:t>
      </w:r>
      <w:r w:rsidRPr="00C9680B">
        <w:t>r taxeringsvärdena att stiga kraftigt i de områden där priserna har stigit som mest. Om inga åtgärder vidtas kommer statens intäkter till följd av detta att öka med ca 10 miljarder kronor nästa år. Regeringen föreslår att dessa skatteintäkter används för att sänka skattesatsen på småhus från 1,5 till 1,2 % och skattesatsen på hyreshus från 1,2 till 0,7 % av tax</w:t>
      </w:r>
      <w:r w:rsidRPr="00C9680B">
        <w:t>e</w:t>
      </w:r>
      <w:r w:rsidRPr="00C9680B">
        <w:t>ringsvärdet. Sa</w:t>
      </w:r>
      <w:r w:rsidRPr="00C9680B">
        <w:t>m</w:t>
      </w:r>
      <w:r w:rsidRPr="00C9680B">
        <w:t>tidigt aviseras ett förslag om höjt fribelopp i förmö</w:t>
      </w:r>
      <w:r w:rsidRPr="00C9680B">
        <w:softHyphen/>
        <w:t>genhetsskatten till 1 miljon kronor för ensamstående och 1,5 miljoner kronor f</w:t>
      </w:r>
      <w:r w:rsidRPr="00C9680B">
        <w:t>ör sambeskattade par. För att undvika att personer med låga inkomster beta</w:t>
      </w:r>
      <w:r w:rsidRPr="00C9680B">
        <w:softHyphen/>
        <w:t>lar för stor andel av sin inkomst i fastighetsskatt har regeringen inlett ett a</w:t>
      </w:r>
      <w:r w:rsidRPr="00C9680B">
        <w:t>r</w:t>
      </w:r>
      <w:r w:rsidRPr="00C9680B">
        <w:t>bete som syftar till att presentera ett förslag till en begränsningsregel för fastighetsskatten. Regeringen föreslår även att skatten vid försäljning av privatbostäder höjs från 15 till 20 %. När det gäller fastighetsbeskattningen på längre sikt avser regeringen att återkomma med a</w:t>
      </w:r>
      <w:r w:rsidRPr="00C9680B">
        <w:t>n</w:t>
      </w:r>
      <w:r w:rsidRPr="00C9680B">
        <w:t>ledning av Fastighets</w:t>
      </w:r>
      <w:r w:rsidRPr="00C9680B">
        <w:softHyphen/>
        <w:t>beskattningskommitténs och Fastighetstaxeringsutredn</w:t>
      </w:r>
      <w:r w:rsidRPr="00C9680B">
        <w:t>ingens b</w:t>
      </w:r>
      <w:r w:rsidRPr="00C9680B">
        <w:t>e</w:t>
      </w:r>
      <w:r w:rsidRPr="00C9680B">
        <w:t>tänkanden.</w:t>
      </w:r>
    </w:p>
    <w:p w:rsidR="001C7BF9" w:rsidRPr="00C9680B" w:rsidRDefault="001C7BF9">
      <w:pPr>
        <w:pStyle w:val="Normaltindrag"/>
      </w:pPr>
      <w:r w:rsidRPr="00C9680B">
        <w:t>I propositionen redovisar regeringen vidare en strategi för en grön skatte</w:t>
      </w:r>
      <w:r w:rsidRPr="00C9680B">
        <w:softHyphen/>
        <w:t>växling. Sverige skall, enligt vad regeringen anför, vara ett mönsterland för en ekologiskt hållbar utveckling. Målet är ett ekologiskt Sverige. Det främsta syftet är att öka miljörelateringen av skattesystemet och härvid är en reforme</w:t>
      </w:r>
      <w:r w:rsidRPr="00C9680B">
        <w:softHyphen/>
        <w:t>ring av dagens energiskattesystem en central del. Den principskiss som pre</w:t>
      </w:r>
      <w:r w:rsidRPr="00C9680B">
        <w:softHyphen/>
        <w:t>senterades i Skatteväxlingskommitténs betänkande utgör en utgångspunkt och innebär bl.a. en ökad tyngd för koldioxidskatten, en renodling av energi</w:t>
      </w:r>
      <w:r w:rsidRPr="00C9680B">
        <w:softHyphen/>
        <w:t>skattens fiskala karaktär, en höjning av koldioxidsk</w:t>
      </w:r>
      <w:r w:rsidRPr="00C9680B">
        <w:t>atten och en särskild tr</w:t>
      </w:r>
      <w:r w:rsidRPr="00C9680B">
        <w:t>a</w:t>
      </w:r>
      <w:r w:rsidRPr="00C9680B">
        <w:t>fik- och miljöskattekomponent. Skattesänkningar för hushållen kan ske g</w:t>
      </w:r>
      <w:r w:rsidRPr="00C9680B">
        <w:t>e</w:t>
      </w:r>
      <w:r w:rsidRPr="00C9680B">
        <w:t>nom höjda grundavdrag som ger en fördelningspolitiskt acceptabel kom</w:t>
      </w:r>
      <w:r w:rsidRPr="00C9680B">
        <w:softHyphen/>
        <w:t>pensation till både löntagare och pensionärer. För företag och offentlig sektor är en sänkning av arbetsgivaravgifterna en administrativt enkel metod att kompensera för de höjda energikostnaderna. Skatteväxlingskommitténs b</w:t>
      </w:r>
      <w:r w:rsidRPr="00C9680B">
        <w:t>e</w:t>
      </w:r>
      <w:r w:rsidRPr="00C9680B">
        <w:t>dömning av utrymmet för ytterligare skatteväxling motsvarar i dag ett u</w:t>
      </w:r>
      <w:r w:rsidRPr="00C9680B">
        <w:t>t</w:t>
      </w:r>
      <w:r w:rsidRPr="00C9680B">
        <w:t>rymme på ca 30 miljarder kronor under perioden 200</w:t>
      </w:r>
      <w:r w:rsidRPr="00C9680B">
        <w:t>1–2010.</w:t>
      </w:r>
    </w:p>
    <w:p w:rsidR="001C7BF9" w:rsidRPr="00C9680B" w:rsidRDefault="001C7BF9">
      <w:pPr>
        <w:pStyle w:val="Normaltindrag"/>
      </w:pPr>
      <w:r w:rsidRPr="00C9680B">
        <w:t>För 2001 bedömer regeringen att utrymmet för en grön skatteväxling är drygt 3 miljarder kronor. Regeringen föreslår därför att koldioxidskatten, dieselskatten och elskatten höjs. Intäkterna används för att finansiera en sänk</w:t>
      </w:r>
      <w:r w:rsidRPr="00C9680B">
        <w:softHyphen/>
        <w:t>ning av arbetsg</w:t>
      </w:r>
      <w:r w:rsidRPr="00C9680B">
        <w:t>i</w:t>
      </w:r>
      <w:r w:rsidRPr="00C9680B">
        <w:t xml:space="preserve">varavgiften samt en höjning av grundavdraget med 1 200 kr. </w:t>
      </w:r>
    </w:p>
    <w:p w:rsidR="001C7BF9" w:rsidRPr="00C9680B" w:rsidRDefault="001C7BF9">
      <w:pPr>
        <w:pStyle w:val="Normaltindrag"/>
      </w:pPr>
      <w:r w:rsidRPr="00C9680B">
        <w:t>Inom miljöområdet föreslås en rad andra skatteförändringar. För att gynna kollektivtrafiken föreslås en halvering av mervärdesskatten på denna. For</w:t>
      </w:r>
      <w:r w:rsidRPr="00C9680B">
        <w:softHyphen/>
        <w:t>donsskatten för äldre dieseldrivna personbilar höjs samtidigt som försälj</w:t>
      </w:r>
      <w:r w:rsidRPr="00C9680B">
        <w:softHyphen/>
        <w:t xml:space="preserve">ningsskatten på motorcyklar, lätta lastbilar och bussar tas bort. </w:t>
      </w:r>
    </w:p>
    <w:p w:rsidR="001C7BF9" w:rsidRPr="00C9680B" w:rsidRDefault="001C7BF9">
      <w:pPr>
        <w:pStyle w:val="Normaltindrag"/>
      </w:pPr>
      <w:r w:rsidRPr="00C9680B">
        <w:t>När det gäller det fortsatta arbetet med skatteväxling bedömer regeringen att ytterligare utredningar behöver genomföras. Dessa gäller utformningen av nedsättningen för tillverkningsindustrin och jordbruks-, skogsbruks- och vattenbruksnäringarna, en ökad miljörelatering av vägtrafikbeskattningen och en översyn av övriga miljörelaterade skatter. Dessutom kommer fördjup</w:t>
      </w:r>
      <w:r w:rsidRPr="00C9680B">
        <w:t>ade analyser att göras av alternativa ekonomiska styrmedel. Det gäller bl.a. handel med utsläppskvoter och system för handel med förnybar el med hjälp av s.k. gröna certif</w:t>
      </w:r>
      <w:r w:rsidRPr="00C9680B">
        <w:t>i</w:t>
      </w:r>
      <w:r w:rsidRPr="00C9680B">
        <w:t>kat.</w:t>
      </w:r>
    </w:p>
    <w:p w:rsidR="001C7BF9" w:rsidRPr="00C9680B" w:rsidRDefault="001C7BF9">
      <w:pPr>
        <w:pStyle w:val="R4"/>
      </w:pPr>
      <w:bookmarkStart w:id="203" w:name="_Toc497206440"/>
      <w:bookmarkStart w:id="204" w:name="_Toc497720009"/>
      <w:r w:rsidRPr="00C9680B">
        <w:t>Motionerna</w:t>
      </w:r>
      <w:bookmarkEnd w:id="203"/>
      <w:bookmarkEnd w:id="204"/>
    </w:p>
    <w:p w:rsidR="001C7BF9" w:rsidRPr="00C9680B" w:rsidRDefault="001C7BF9">
      <w:r w:rsidRPr="00C9680B">
        <w:rPr>
          <w:i/>
        </w:rPr>
        <w:t>Moderata samlingspartiet</w:t>
      </w:r>
      <w:r w:rsidRPr="00C9680B">
        <w:t xml:space="preserve"> anför i </w:t>
      </w:r>
      <w:r w:rsidRPr="00C9680B">
        <w:rPr>
          <w:i/>
        </w:rPr>
        <w:t>motion Fi208</w:t>
      </w:r>
      <w:r w:rsidRPr="00C9680B">
        <w:t xml:space="preserve"> yrkandena 19, 20 och 27 om stimulans till kommunala skattesänkningar av Bo Lundgren m.fl. (m) att en omfattande inkomstskattereform bör genomföras med utgångspunkten att man skall kunna leva på sin lön. I det treårsperspek</w:t>
      </w:r>
      <w:r w:rsidRPr="00C9680B">
        <w:softHyphen/>
        <w:t>tiv som budgeten omfattar bedömer motionärerna att utrymme kan skapas för följande åtgärder vad gäller inkomstskatten. Grundavdraget vid den kommu</w:t>
      </w:r>
      <w:r w:rsidRPr="00C9680B">
        <w:softHyphen/>
        <w:t>nala beskattningen höjs. Höjningen utformas så att grundavdraget trappas upp från 10 000 till 34 000 kr vid en årsinkoms</w:t>
      </w:r>
      <w:r w:rsidRPr="00C9680B">
        <w:t>t på 130 000 kr år 2001 och till 36 000 kr vid en årsi</w:t>
      </w:r>
      <w:r w:rsidRPr="00C9680B">
        <w:t>n</w:t>
      </w:r>
      <w:r w:rsidRPr="00C9680B">
        <w:t>komst på 130 000 kr åren 2002 och 2003. Över dessa nivåer sker en begrä</w:t>
      </w:r>
      <w:r w:rsidRPr="00C9680B">
        <w:t>n</w:t>
      </w:r>
      <w:r w:rsidRPr="00C9680B">
        <w:t>sad avtrappning av grundavdraget. Ett förvärvsavdrag på 8 %, 8 % och 10 % vid den kommunala beskattningen införs. Den statliga inkomstskatten sänks till 20 %, 18 % och 15 % och brytpunkten höjs till gränsen för uttag av eg</w:t>
      </w:r>
      <w:r w:rsidRPr="00C9680B">
        <w:t>e</w:t>
      </w:r>
      <w:r w:rsidRPr="00C9680B">
        <w:t>navgifter. På längre sikt och senast år 2010 bör en mer omfattande skatter</w:t>
      </w:r>
      <w:r w:rsidRPr="00C9680B">
        <w:t>e</w:t>
      </w:r>
      <w:r w:rsidRPr="00C9680B">
        <w:t>form genomföras. Grundavdraget höjs då till minst 50 000 kr för alla och förvärvsavdrag</w:t>
      </w:r>
      <w:r w:rsidRPr="00C9680B">
        <w:t>et höjs till 20 % på inkomster upp till gränsen för uttag av egen</w:t>
      </w:r>
      <w:r w:rsidRPr="00C9680B">
        <w:softHyphen/>
        <w:t>avgiften. Den statliga inkomstskatten avvecklas successivt. Reformen finansieras genom återhållsamhet med offentliga utgif</w:t>
      </w:r>
      <w:r w:rsidRPr="00C9680B">
        <w:softHyphen/>
        <w:t>ter och ekonomisk tillväxt. Vidare anförs att företagande och tillväxt bör gynnas. Förmögenhet</w:t>
      </w:r>
      <w:r w:rsidRPr="00C9680B">
        <w:t>s</w:t>
      </w:r>
      <w:r w:rsidRPr="00C9680B">
        <w:t>skatten avvecklas för att stimulera sparande och ägande i Sverige och skatten på aktieutdelningar avskaffas för att inte svenskt ägande av svenska företag skall missgynnas relativt utländskt ägande. Kapital</w:t>
      </w:r>
      <w:r w:rsidRPr="00C9680B">
        <w:softHyphen/>
        <w:t xml:space="preserve">inkomstbeskattningen </w:t>
      </w:r>
      <w:r w:rsidRPr="00C9680B">
        <w:t>sänks gradvis. Ny- och småföretagande underlättas genom avreglering och fören</w:t>
      </w:r>
      <w:r w:rsidRPr="00C9680B">
        <w:t>k</w:t>
      </w:r>
      <w:r w:rsidRPr="00C9680B">
        <w:t xml:space="preserve">ling. </w:t>
      </w:r>
    </w:p>
    <w:p w:rsidR="001C7BF9" w:rsidRPr="00C9680B" w:rsidRDefault="001C7BF9">
      <w:r w:rsidRPr="00C9680B">
        <w:rPr>
          <w:i/>
        </w:rPr>
        <w:t>Kristdemokraterna</w:t>
      </w:r>
      <w:r w:rsidRPr="00C9680B">
        <w:t xml:space="preserve"> anför i </w:t>
      </w:r>
      <w:r w:rsidRPr="00C9680B">
        <w:rPr>
          <w:i/>
        </w:rPr>
        <w:t>motionerna Fi209</w:t>
      </w:r>
      <w:r w:rsidRPr="00C9680B">
        <w:t xml:space="preserve"> yrkande 12 och </w:t>
      </w:r>
      <w:r w:rsidRPr="00C9680B">
        <w:rPr>
          <w:i/>
        </w:rPr>
        <w:t xml:space="preserve">Sk323 </w:t>
      </w:r>
      <w:r w:rsidRPr="00C9680B">
        <w:t>yrkand</w:t>
      </w:r>
      <w:r w:rsidRPr="00C9680B">
        <w:t>e</w:t>
      </w:r>
      <w:r w:rsidRPr="00C9680B">
        <w:t>na 2–7 och 52 av Alf Svensson m.fl. (kd) att skattepolitiken skall bidra till full sysselsättning, stabil och uthållig tillväxt, rättvis fördelning, god miljö och hushållning med natur</w:t>
      </w:r>
      <w:r w:rsidRPr="00C9680B">
        <w:softHyphen/>
        <w:t>resurser och att skattereglerna samtidigt måste ha en bred acceptans och inte får leda till skatte</w:t>
      </w:r>
      <w:r w:rsidRPr="00C9680B">
        <w:softHyphen/>
        <w:t>undandraganden och bristande skattemoral. Inkomstskatterna bör sänkas så att alla kan leva på sin egen lön och få en ökad beslutanderätt över sina egna inkomster. Motionärern</w:t>
      </w:r>
      <w:r w:rsidRPr="00C9680B">
        <w:t>a föreslår att grundavdr</w:t>
      </w:r>
      <w:r w:rsidRPr="00C9680B">
        <w:t>a</w:t>
      </w:r>
      <w:r w:rsidRPr="00C9680B">
        <w:t>get höjs till 20 000 kr, att skattereduktionen för låginkomstta</w:t>
      </w:r>
      <w:r w:rsidRPr="00C9680B">
        <w:softHyphen/>
        <w:t>gare fördubblas och att ett generellt förvärvsavdrag på 6,15 %, 8 % och 11,55 % införs 2001–2003. Det andra steget i den statliga inkomstskatteska</w:t>
      </w:r>
      <w:r w:rsidRPr="00C9680B">
        <w:softHyphen/>
        <w:t>lan slopas och arbetsgiva</w:t>
      </w:r>
      <w:r w:rsidRPr="00C9680B">
        <w:t>r</w:t>
      </w:r>
      <w:r w:rsidRPr="00C9680B">
        <w:t>avgifterna sänks. De marginaleffekter som avtrapp</w:t>
      </w:r>
      <w:r w:rsidRPr="00C9680B">
        <w:softHyphen/>
        <w:t>ningen av nuvarande grundavdrag ger upphov till åtgärdas. Härtill kommer åtgärder i syfte att minska marginaleffekterna i bidrags- och social</w:t>
      </w:r>
      <w:r w:rsidRPr="00C9680B">
        <w:softHyphen/>
        <w:t>försäk</w:t>
      </w:r>
      <w:r w:rsidRPr="00C9680B">
        <w:softHyphen/>
        <w:t>rings</w:t>
      </w:r>
      <w:r w:rsidRPr="00C9680B">
        <w:softHyphen/>
        <w:t>systemen. Motionärerna anför vidare att om Sv</w:t>
      </w:r>
      <w:r w:rsidRPr="00C9680B">
        <w:t>erige långsiktigt skall vara ett land för företagande, investeringar och tillväxt, går det inte att ha kvar skatter som gör att kapital, företag och kompetens har starka incitament att lämna landet. Målet på medellång sikt bör vara att nå ner till den genomsnitt</w:t>
      </w:r>
      <w:r w:rsidRPr="00C9680B">
        <w:softHyphen/>
        <w:t>liga skattekvoten inom EU. Det är också viktigt att övergå till majoritetsbeslut inom EU när det gäller minimiavgifter på miljöområdet. Ett högt skattetryck med krångliga regler riskerar enligt motionärerna att gröpa ur skattemoralen. Skattenivåerna</w:t>
      </w:r>
      <w:r w:rsidRPr="00C9680B">
        <w:t xml:space="preserve"> och reglerna måste ändras så att incitamentet till svartarbete minskar. Kontrollen av de medborgargrupper som parallellt uppbär stöd/ bidrag och arbetar svart måste också öka. Med en ökad skattekontroll och förstärkt tullbevakning beräknar motionärerna att skatteintäkterna ökar med 210 miljoner kronor år 2001 och därefter med åtminstone 420 miljoner kronor per år. </w:t>
      </w:r>
    </w:p>
    <w:p w:rsidR="001C7BF9" w:rsidRPr="00C9680B" w:rsidRDefault="001C7BF9">
      <w:r w:rsidRPr="00C9680B">
        <w:rPr>
          <w:i/>
        </w:rPr>
        <w:t>Centerpartiet</w:t>
      </w:r>
      <w:r w:rsidRPr="00C9680B">
        <w:t xml:space="preserve"> anför i </w:t>
      </w:r>
      <w:r w:rsidRPr="00C9680B">
        <w:rPr>
          <w:i/>
        </w:rPr>
        <w:t>motion Sk321</w:t>
      </w:r>
      <w:r w:rsidRPr="00C9680B">
        <w:t xml:space="preserve"> yrkande 1 av Lennart Daléus m.fl. (c) att den goda konjunkturen gör att det nu finns möjlighet att sänka skattetrycket och utgiftskvoten och ändå låta statens utgifter vara realt oförändrade. Inrikt</w:t>
      </w:r>
      <w:r w:rsidRPr="00C9680B">
        <w:softHyphen/>
        <w:t>ningen bör vara att långsiktigt sänka skattetrycket och utgifternas andel av BNP ned till samma nivåer som i jämförbara OECD-länder. Syftet är att öka människors självbestämmande. Att kunna överblicka och påverka, att ha så stor kontroll som möjligt över sin egen tillvaro är en förutsättnin</w:t>
      </w:r>
      <w:r w:rsidRPr="00C9680B">
        <w:t>g för välbe</w:t>
      </w:r>
      <w:r w:rsidRPr="00C9680B">
        <w:softHyphen/>
        <w:t>finnande, kreativitet, trygghet och livskvalitet. En inkomstskattereform g</w:t>
      </w:r>
      <w:r w:rsidRPr="00C9680B">
        <w:t>e</w:t>
      </w:r>
      <w:r w:rsidRPr="00C9680B">
        <w:t>nomförs stegvis under perioden 2001 till 2003. Ambitionen är att göra skatt</w:t>
      </w:r>
      <w:r w:rsidRPr="00C9680B">
        <w:t>e</w:t>
      </w:r>
      <w:r w:rsidRPr="00C9680B">
        <w:t>systemet enkelt och öve</w:t>
      </w:r>
      <w:r w:rsidRPr="00C9680B">
        <w:t>r</w:t>
      </w:r>
      <w:r w:rsidRPr="00C9680B">
        <w:t>skådligt samt att sänka skatten och minska marginal</w:t>
      </w:r>
      <w:r w:rsidRPr="00C9680B">
        <w:softHyphen/>
        <w:t>effekterna för framför allt låg- och medelinkomsttagare. Grundavdra</w:t>
      </w:r>
      <w:r w:rsidRPr="00C9680B">
        <w:softHyphen/>
        <w:t>get höjs till 15 000 kr år 2001 och till 20 000 kr år 2002. Någon upptrappning eller nedtrappning av grundavdraget genomförs inte för att undvika negativa ma</w:t>
      </w:r>
      <w:r w:rsidRPr="00C9680B">
        <w:t>r</w:t>
      </w:r>
      <w:r w:rsidRPr="00C9680B">
        <w:t>ginaleffekter. En riktad skattereduktion på 5 4</w:t>
      </w:r>
      <w:r w:rsidRPr="00C9680B">
        <w:t>00 kr till låginkomstagare g</w:t>
      </w:r>
      <w:r w:rsidRPr="00C9680B">
        <w:t>e</w:t>
      </w:r>
      <w:r w:rsidRPr="00C9680B">
        <w:t>nomförs år 2001. Skattereduktionen ges enbart på arbetsinkomster för att stimulera till arbete och företagande. Den riktade skattereduktionen höjs till 9 600 kr åren 2002 och 2003. År 2003 ersätts grundavdraget med en rak skattereduktion på 10 000 kr. Denna skattereduktion skall komma alla till del, oavsett om inkomsten kommer från lön, företagsi</w:t>
      </w:r>
      <w:r w:rsidRPr="00C9680B">
        <w:t>n</w:t>
      </w:r>
      <w:r w:rsidRPr="00C9680B">
        <w:t>komst, a-kassa, sjukpen</w:t>
      </w:r>
      <w:r w:rsidRPr="00C9680B">
        <w:softHyphen/>
        <w:t xml:space="preserve">ning eller pension. Motionärerna anför vidare att skatterna måste upplevas som rättvisa av medborgarna och ge </w:t>
      </w:r>
      <w:r w:rsidRPr="00C9680B">
        <w:t xml:space="preserve">förutsättningar för en positiv utveckling i samhället. Verksamheter som påverkar miljön skall inte vältra över miljö- och hälsorelaterade kostnader på samhället. Principen om att förorenaren betalar skall gälla. Med en skattepolitik som stöd för miljö- och energipolitiken kan Sverige enligt motionärerna genomgå en strukturomvandling som leder till ett modernt land med avancerad teknik som svarar upp mot miljöns krav. </w:t>
      </w:r>
    </w:p>
    <w:p w:rsidR="001C7BF9" w:rsidRPr="00C9680B" w:rsidRDefault="001C7BF9">
      <w:r w:rsidRPr="00C9680B">
        <w:rPr>
          <w:i/>
        </w:rPr>
        <w:t>Folkpartiet liberalerna</w:t>
      </w:r>
      <w:r w:rsidRPr="00C9680B">
        <w:t xml:space="preserve"> anför i </w:t>
      </w:r>
      <w:r w:rsidRPr="00C9680B">
        <w:rPr>
          <w:i/>
        </w:rPr>
        <w:t>motionerna Fi211</w:t>
      </w:r>
      <w:r w:rsidRPr="00C9680B">
        <w:t xml:space="preserve"> yrkandena 26 och 27 och </w:t>
      </w:r>
      <w:r w:rsidRPr="00C9680B">
        <w:rPr>
          <w:i/>
        </w:rPr>
        <w:t>Sk324</w:t>
      </w:r>
      <w:r w:rsidRPr="00C9680B">
        <w:t xml:space="preserve"> yrkande 1 av Lars Leijonborg m.fl. (fp) att dagens svenska skattetryck måste sänkas eftersom det inte är förenligt med en dynamisk och växande ekonomi. Skattepolitiken 2001–2003 bör inriktas på sänkt skatt på arbete och risksparande. Skatteförändringarna bör koncentreras på de för tillväxt och jobb mest skadliga inslagen, nämligen marginalskatterna. Det sista steget i den statliga inkomstskatteskalan bör avskaffas och gränsen för uttag av statlig inkom</w:t>
      </w:r>
      <w:r w:rsidRPr="00C9680B">
        <w:t>stskatt bör höjas upp till gränsen för uttag av egenavgifter. Avtrapp</w:t>
      </w:r>
      <w:r w:rsidRPr="00C9680B">
        <w:softHyphen/>
        <w:t>ningen av grunda</w:t>
      </w:r>
      <w:r w:rsidRPr="00C9680B">
        <w:t>v</w:t>
      </w:r>
      <w:r w:rsidRPr="00C9680B">
        <w:t>draget bör avskaffas successivt för att undvika marginal</w:t>
      </w:r>
      <w:r w:rsidRPr="00C9680B">
        <w:softHyphen/>
        <w:t>effekter i medelinkomstlägen. En skattereduktion på 3 000 kr för alla bör införas. Med dessa åtgärder uppnås att de flesta betalar 30 % i skatt och att de med höga inkomster betalar 50 %. För att betona att barnstödet skall innebära att hänsyn i beskattningen tas till den extra försörjningsbörda föräldrar har, vill motionärerna att utökningen av barnstödet sker i fo</w:t>
      </w:r>
      <w:r w:rsidRPr="00C9680B">
        <w:t>rm av skattereduktion. Utöver växling av bostadsbidrag och barnbidragshöjning avsätts 500 kr per barn och år så att skattereduktionen per barn uppgår till 2 000 kr per år. Under innevarande mandatperiod skall skattetrycket klart understiga 50 %. På längre sikt bör ytterligare sänkta inkomstska</w:t>
      </w:r>
      <w:r w:rsidRPr="00C9680B">
        <w:t>t</w:t>
      </w:r>
      <w:r w:rsidRPr="00C9680B">
        <w:t>ter genomföras i former som uppmunt</w:t>
      </w:r>
      <w:r w:rsidRPr="00C9680B">
        <w:softHyphen/>
        <w:t xml:space="preserve">rar ökat arbetsutbud, utbildning och risktagande. Den statliga skattens nivåer och omfattning ingår i ett sådant övervägande och skattereduktioner och sänkta kommunalskatter är bra </w:t>
      </w:r>
      <w:r w:rsidRPr="00C9680B">
        <w:t>tekniker. Barnfamiljernas marginaleffekter skall vidare minskas genom generella barnavdrag som växlas mot minskade bostadsbidrag och enhetliga barnomsor</w:t>
      </w:r>
      <w:r w:rsidRPr="00C9680B">
        <w:t>g</w:t>
      </w:r>
      <w:r w:rsidRPr="00C9680B">
        <w:t>s</w:t>
      </w:r>
      <w:r w:rsidRPr="00C9680B">
        <w:softHyphen/>
        <w:t xml:space="preserve">taxor. </w:t>
      </w:r>
    </w:p>
    <w:p w:rsidR="001C7BF9" w:rsidRPr="00C9680B" w:rsidRDefault="001C7BF9">
      <w:pPr>
        <w:pStyle w:val="Normaltindrag"/>
      </w:pPr>
      <w:r w:rsidRPr="00C9680B">
        <w:t>En kraftig skattereduktion på hushållsnära tjänster bör införas och beskatt</w:t>
      </w:r>
      <w:r w:rsidRPr="00C9680B">
        <w:softHyphen/>
        <w:t xml:space="preserve">ningen av personaloptioner bör ses över. Förmögenhetsskatten och skatten på aktievinster och -utdelningar avskaffas successivt inom de närmaste åren. Fastighetsskatten avskaffas och fastighetsbeskattningen utformas likvärdigt mellan boendeformer och kapitalplaceringar, med bibehållen avdragsrätt för räntor. En sänkning av kapitalskattesatsen bör framöver kombineras med det internationella arbetet mot illojal skattekonkurrens. Skatteharmonisering i form av gemensamma beslut om skattenivåer avvisas. Sverige </w:t>
      </w:r>
      <w:r w:rsidRPr="00C9680B">
        <w:t>bör långsiktigt hamna på en mervärdesskattenivå som är närmare våra grannländers och som kan tillämpas mer generellt.</w:t>
      </w:r>
    </w:p>
    <w:p w:rsidR="001C7BF9" w:rsidRPr="00C9680B" w:rsidRDefault="001C7BF9">
      <w:pPr>
        <w:pStyle w:val="Normaltindrag"/>
      </w:pPr>
      <w:r w:rsidRPr="00C9680B">
        <w:t>Ekonomiska styrmedel är enligt motionärerna bra i miljöpolitiken och de för</w:t>
      </w:r>
      <w:r w:rsidRPr="00C9680B">
        <w:t>e</w:t>
      </w:r>
      <w:r w:rsidRPr="00C9680B">
        <w:t>språkar att s.k. grön skatteväxling tillämpas. Under senare delen av 1990-talet har dock miljöskatterna höjts kraftigt, utan motsvarande sänkning av skatten på arbete. Den viktigaste gröna skattefrågan är – av miljöskäl – en gemensam ko</w:t>
      </w:r>
      <w:r w:rsidRPr="00C9680B">
        <w:t>l</w:t>
      </w:r>
      <w:r w:rsidRPr="00C9680B">
        <w:t xml:space="preserve">dioxidbeskattning inom EU. </w:t>
      </w:r>
    </w:p>
    <w:p w:rsidR="001C7BF9" w:rsidRPr="00C9680B" w:rsidRDefault="001C7BF9">
      <w:pPr>
        <w:pStyle w:val="R4"/>
      </w:pPr>
      <w:r w:rsidRPr="00C9680B">
        <w:t>Skatteutskottets yttrande</w:t>
      </w:r>
    </w:p>
    <w:p w:rsidR="001C7BF9" w:rsidRPr="00C9680B" w:rsidRDefault="001C7BF9">
      <w:r w:rsidRPr="00C9680B">
        <w:t>Skatteutskottet anför i sitt yttrande (SkU1y) att det av fördelningspolitiska skäl och för att främja arbetsmarknadsdeltagande och utbildning är angeläget att på sikt elimi</w:t>
      </w:r>
      <w:r w:rsidRPr="00C9680B">
        <w:softHyphen/>
        <w:t>nera de effekter som den allmänna pensionsavgiften ger up</w:t>
      </w:r>
      <w:r w:rsidRPr="00C9680B">
        <w:t>p</w:t>
      </w:r>
      <w:r w:rsidRPr="00C9680B">
        <w:t>hov till och att avgiften, även om det rör sig om en avgift som till betydande del har sin motsvarighet i förmåner inom pensionssystemet, av många up</w:t>
      </w:r>
      <w:r w:rsidRPr="00C9680B">
        <w:t>p</w:t>
      </w:r>
      <w:r w:rsidRPr="00C9680B">
        <w:t>fattas som en skatt och bidrar till att höja den synliga marginalskatten och genomsnittsskatten. Hä</w:t>
      </w:r>
      <w:r w:rsidRPr="00C9680B">
        <w:t>r</w:t>
      </w:r>
      <w:r w:rsidRPr="00C9680B">
        <w:t>vid har den enligt skatteutskottets mening en för</w:t>
      </w:r>
      <w:r w:rsidRPr="00C9680B">
        <w:softHyphen/>
        <w:t>delningsprofil som särskilt drabbar låg- och medelinkomsttagarna. Skatteu</w:t>
      </w:r>
      <w:r w:rsidRPr="00C9680B">
        <w:t>t</w:t>
      </w:r>
      <w:r w:rsidRPr="00C9680B">
        <w:t>skottet har därför ingen erinran mot regeringens planer på att ta ytterligare s</w:t>
      </w:r>
      <w:r w:rsidRPr="00C9680B">
        <w:t>teg mot en fullständig kompensation för avgiften i den takt som ekonomin medger det.</w:t>
      </w:r>
    </w:p>
    <w:p w:rsidR="001C7BF9" w:rsidRPr="00C9680B" w:rsidRDefault="001C7BF9">
      <w:pPr>
        <w:pStyle w:val="Normaltindrag"/>
      </w:pPr>
      <w:r w:rsidRPr="00C9680B">
        <w:t>Utskottet anför vidare att de budgetalternativ som redovisas av oppos</w:t>
      </w:r>
      <w:r w:rsidRPr="00C9680B">
        <w:t>i</w:t>
      </w:r>
      <w:r w:rsidRPr="00C9680B">
        <w:t>tionspartierna innehåller förslag om för</w:t>
      </w:r>
      <w:r w:rsidRPr="00C9680B">
        <w:softHyphen/>
        <w:t>hållandevis långtgående förändringar i den skatteskala som beslutades under skattereformen och som därefter kompletterades med ett sista steg som en fördelningspolitisk korrigering. Enligt skatteu</w:t>
      </w:r>
      <w:r w:rsidRPr="00C9680B">
        <w:t>t</w:t>
      </w:r>
      <w:r w:rsidRPr="00C9680B">
        <w:t>skottets mening innebär samtliga alternativ att regeringens för</w:t>
      </w:r>
      <w:r w:rsidRPr="00C9680B">
        <w:softHyphen/>
        <w:t>slag om en kompensation för den allmänna pensionsavgiften ersätts med olika former av långtgående skattesänkningar som medför att den skatteprofil som utvecklats på grundval av skattereformen frångås. Skatteut</w:t>
      </w:r>
      <w:r w:rsidRPr="00C9680B">
        <w:t>skottet är inte berett att tillstyrka en sådan i</w:t>
      </w:r>
      <w:r w:rsidRPr="00C9680B">
        <w:t>n</w:t>
      </w:r>
      <w:r w:rsidRPr="00C9680B">
        <w:t>riktning av skattepolitiken.</w:t>
      </w:r>
    </w:p>
    <w:p w:rsidR="001C7BF9" w:rsidRPr="00C9680B" w:rsidRDefault="001C7BF9">
      <w:pPr>
        <w:pStyle w:val="Normaltindrag"/>
      </w:pPr>
      <w:r w:rsidRPr="00C9680B">
        <w:t>När det gäller beskattningen av fastigheter anför skatteutskottet att Fasti</w:t>
      </w:r>
      <w:r w:rsidRPr="00C9680B">
        <w:t>g</w:t>
      </w:r>
      <w:r w:rsidRPr="00C9680B">
        <w:t>hets</w:t>
      </w:r>
      <w:r w:rsidRPr="00C9680B">
        <w:softHyphen/>
        <w:t>beskattnings</w:t>
      </w:r>
      <w:r w:rsidRPr="00C9680B">
        <w:softHyphen/>
        <w:t>kommittén och Fastighetstaxeringsutredningen i sina betä</w:t>
      </w:r>
      <w:r w:rsidRPr="00C9680B">
        <w:t>n</w:t>
      </w:r>
      <w:r w:rsidRPr="00C9680B">
        <w:t>kanden lämnat förslag om olika förändringar och att dessa gäller den framtida beskattningen av bostadsrätter, en parallell avveckling av fastighetsskatt och räntebidrag för hyreshus, ett avskaffande av den årliga omräkningen, att mi</w:t>
      </w:r>
      <w:r w:rsidRPr="00C9680B">
        <w:t>l</w:t>
      </w:r>
      <w:r w:rsidRPr="00C9680B">
        <w:t>jöinvesteringar inte skall påverka taxeringsvärdet under de första tio åren, etc. Skatteutskottet anser att regeringens fortsatta beredning av dessa betänkanden bör avvaktas innan ställning tas till fråg</w:t>
      </w:r>
      <w:r w:rsidRPr="00C9680B">
        <w:t>or som berör fastighetsbeskattningens framtida utfor</w:t>
      </w:r>
      <w:r w:rsidRPr="00C9680B">
        <w:t>m</w:t>
      </w:r>
      <w:r w:rsidRPr="00C9680B">
        <w:t>ning.</w:t>
      </w:r>
    </w:p>
    <w:p w:rsidR="001C7BF9" w:rsidRPr="00C9680B" w:rsidRDefault="001C7BF9">
      <w:pPr>
        <w:pStyle w:val="Normaltindrag"/>
      </w:pPr>
      <w:r w:rsidRPr="00C9680B">
        <w:t>Skatteutskottet ställer sig också bakom den strategi för en grön skattevä</w:t>
      </w:r>
      <w:r w:rsidRPr="00C9680B">
        <w:t>x</w:t>
      </w:r>
      <w:r w:rsidRPr="00C9680B">
        <w:t>ling som redovisas av regeringen och som under de kommande tio åren skall ge utrymme för en skatteväxling på i storleks</w:t>
      </w:r>
      <w:r w:rsidRPr="00C9680B">
        <w:softHyphen/>
        <w:t>ordningen 30 miljarder kronor. Utskottet anför att strategin innebär att höjda skatter på energi och miljöfarl</w:t>
      </w:r>
      <w:r w:rsidRPr="00C9680B">
        <w:t>i</w:t>
      </w:r>
      <w:r w:rsidRPr="00C9680B">
        <w:t>ga utsläpp växlas mot sänkt skatt på arbete. En reformering av dagens energi</w:t>
      </w:r>
      <w:r w:rsidRPr="00C9680B">
        <w:softHyphen/>
        <w:t xml:space="preserve">skattesystem genomförs med Skatteväxlingskommitténs principskiss som utgångspunkt och innebär bl.a. en successiv höjning av koldioxidskatten. Härtill kommer enligt vad utskottet anför en rad ytterligare </w:t>
      </w:r>
      <w:r w:rsidRPr="00C9680B">
        <w:t>åtgärder för att öka miljörelateringen inom skattesystemet. Skatten på arbete sänks genom att grundavdraget höjs och företag och offentlig sektor kompenseras för de ökade energikostnaderna genom sänkta arbetsgivaravgifter. Dessutom kommer fördjupade analyser att göras av alternativa ekonomiska styrmedel. Det gäller bl.a. handel med utsläppskvoter och system för handel med förnybar el med hjälp av s.k. gröna certifikat. Skatteutskottet har inte någon erinran mot den strategi för en skatteväxling som redovisa</w:t>
      </w:r>
      <w:r w:rsidRPr="00C9680B">
        <w:t xml:space="preserve">s och tillstyrker också i sitt yttrande att ett första steg tas redan år 2001 genom en skatteväxling som omfattar närmare 3 miljarder kronor. </w:t>
      </w:r>
    </w:p>
    <w:p w:rsidR="001C7BF9" w:rsidRPr="00C9680B" w:rsidRDefault="001C7BF9">
      <w:pPr>
        <w:pStyle w:val="Normaltindrag"/>
      </w:pPr>
      <w:r w:rsidRPr="00C9680B">
        <w:t>Skatteutskottet ställer sig sammanfattningsvis bakom den av regeringen förordade inriktningen av skattepolitiken och avstyrker moti</w:t>
      </w:r>
      <w:r w:rsidRPr="00C9680B">
        <w:t>o</w:t>
      </w:r>
      <w:r w:rsidRPr="00C9680B">
        <w:t>nerna.</w:t>
      </w:r>
    </w:p>
    <w:p w:rsidR="001C7BF9" w:rsidRPr="00C9680B" w:rsidRDefault="001C7BF9">
      <w:pPr>
        <w:pStyle w:val="R4"/>
      </w:pPr>
      <w:r w:rsidRPr="00C9680B">
        <w:t>Finansutskottets ställningstagande</w:t>
      </w:r>
    </w:p>
    <w:p w:rsidR="001C7BF9" w:rsidRPr="00C9680B" w:rsidRDefault="001C7BF9">
      <w:r w:rsidRPr="00C9680B">
        <w:t>Finansutskottet ställer sig i likhet med skatteutskottet bakom den av regerin</w:t>
      </w:r>
      <w:r w:rsidRPr="00C9680B">
        <w:t>g</w:t>
      </w:r>
      <w:r w:rsidRPr="00C9680B">
        <w:t>en förordade inriktningen av skattepolitiken och avstyrker motionerna Fi208 (m) yrkandena 19, 20 och 27, Fi209 (kd) yrkande 12, Fi211 (fp) yrkandena 26 och 27, Sk321 (c) yrkande 1, Sk323 (kd) yrkandena 2–7 och 52 samt Sk324 (fp) yrkande 1.</w:t>
      </w:r>
    </w:p>
    <w:p w:rsidR="001C7BF9" w:rsidRPr="00C9680B" w:rsidRDefault="001C7BF9">
      <w:pPr>
        <w:pStyle w:val="Rubrik1b"/>
        <w:outlineLvl w:val="0"/>
      </w:pPr>
      <w:bookmarkStart w:id="205" w:name="_Toc497720011"/>
      <w:bookmarkStart w:id="206" w:name="_Toc498238794"/>
      <w:bookmarkStart w:id="207" w:name="_Toc498910705"/>
      <w:r w:rsidRPr="00C9680B">
        <w:t>3.3 Fysiska personers inkomster</w:t>
      </w:r>
      <w:bookmarkEnd w:id="205"/>
      <w:bookmarkEnd w:id="206"/>
      <w:bookmarkEnd w:id="207"/>
    </w:p>
    <w:p w:rsidR="001C7BF9" w:rsidRPr="00C9680B" w:rsidRDefault="001C7BF9"/>
    <w:tbl>
      <w:tblPr>
        <w:tblW w:w="0" w:type="auto"/>
        <w:jc w:val="right"/>
        <w:tblLayout w:type="fixed"/>
        <w:tblCellMar>
          <w:left w:w="30" w:type="dxa"/>
          <w:right w:w="30" w:type="dxa"/>
        </w:tblCellMar>
        <w:tblLook w:val="0000" w:firstRow="0" w:lastRow="0" w:firstColumn="0" w:lastColumn="0" w:noHBand="0" w:noVBand="0"/>
      </w:tblPr>
      <w:tblGrid>
        <w:gridCol w:w="460"/>
        <w:gridCol w:w="107"/>
        <w:gridCol w:w="454"/>
        <w:gridCol w:w="397"/>
        <w:gridCol w:w="1247"/>
        <w:gridCol w:w="284"/>
        <w:gridCol w:w="566"/>
        <w:gridCol w:w="142"/>
        <w:gridCol w:w="566"/>
        <w:gridCol w:w="143"/>
        <w:gridCol w:w="566"/>
        <w:gridCol w:w="143"/>
        <w:gridCol w:w="566"/>
        <w:gridCol w:w="143"/>
        <w:gridCol w:w="566"/>
        <w:gridCol w:w="142"/>
        <w:gridCol w:w="566"/>
      </w:tblGrid>
      <w:tr w:rsidR="00000000" w:rsidRPr="00C9680B">
        <w:tblPrEx>
          <w:tblCellMar>
            <w:top w:w="0" w:type="dxa"/>
            <w:bottom w:w="0" w:type="dxa"/>
          </w:tblCellMar>
        </w:tblPrEx>
        <w:trPr>
          <w:gridAfter w:val="1"/>
          <w:wAfter w:w="566" w:type="dxa"/>
          <w:cantSplit/>
          <w:trHeight w:val="170"/>
          <w:jc w:val="right"/>
        </w:trPr>
        <w:tc>
          <w:tcPr>
            <w:tcW w:w="6492" w:type="dxa"/>
            <w:gridSpan w:val="16"/>
            <w:tcBorders>
              <w:bottom w:val="single" w:sz="4" w:space="0" w:color="auto"/>
            </w:tcBorders>
          </w:tcPr>
          <w:p w:rsidR="001C7BF9" w:rsidRPr="00C9680B" w:rsidRDefault="001C7BF9">
            <w:pPr>
              <w:spacing w:before="40" w:line="170" w:lineRule="atLeast"/>
              <w:jc w:val="left"/>
              <w:rPr>
                <w:b/>
                <w:snapToGrid w:val="0"/>
                <w:color w:val="000000"/>
                <w:sz w:val="17"/>
                <w:lang w:eastAsia="sv-SE"/>
              </w:rPr>
            </w:pPr>
            <w:r w:rsidRPr="00C9680B">
              <w:rPr>
                <w:b/>
                <w:snapToGrid w:val="0"/>
                <w:color w:val="000000"/>
                <w:sz w:val="17"/>
                <w:lang w:eastAsia="sv-SE"/>
              </w:rPr>
              <w:t>Tabell 35. Inkomsttitel 1111 Fysiska personers inkomstskatt</w:t>
            </w:r>
          </w:p>
          <w:p w:rsidR="001C7BF9" w:rsidRPr="00C9680B" w:rsidRDefault="001C7BF9">
            <w:pPr>
              <w:spacing w:before="40" w:line="170" w:lineRule="atLeast"/>
              <w:jc w:val="left"/>
              <w:rPr>
                <w:snapToGrid w:val="0"/>
                <w:color w:val="000000"/>
                <w:sz w:val="17"/>
                <w:lang w:eastAsia="sv-SE"/>
              </w:rPr>
            </w:pPr>
            <w:r w:rsidRPr="00C9680B">
              <w:rPr>
                <w:sz w:val="14"/>
              </w:rPr>
              <w:t>Miljoner kronor</w:t>
            </w:r>
          </w:p>
        </w:tc>
      </w:tr>
      <w:tr w:rsidR="00000000" w:rsidRPr="00C9680B">
        <w:tblPrEx>
          <w:tblCellMar>
            <w:top w:w="0" w:type="dxa"/>
            <w:bottom w:w="0" w:type="dxa"/>
          </w:tblCellMar>
        </w:tblPrEx>
        <w:trPr>
          <w:gridAfter w:val="1"/>
          <w:wAfter w:w="566" w:type="dxa"/>
          <w:cantSplit/>
          <w:trHeight w:val="170"/>
          <w:jc w:val="right"/>
        </w:trPr>
        <w:tc>
          <w:tcPr>
            <w:tcW w:w="2665" w:type="dxa"/>
            <w:gridSpan w:val="5"/>
          </w:tcPr>
          <w:p w:rsidR="001C7BF9" w:rsidRPr="00C9680B" w:rsidRDefault="001C7BF9">
            <w:pPr>
              <w:spacing w:before="40" w:line="170" w:lineRule="atLeast"/>
              <w:rPr>
                <w:snapToGrid w:val="0"/>
                <w:color w:val="000000"/>
                <w:sz w:val="17"/>
                <w:lang w:eastAsia="sv-SE"/>
              </w:rPr>
            </w:pPr>
          </w:p>
        </w:tc>
        <w:tc>
          <w:tcPr>
            <w:tcW w:w="992" w:type="dxa"/>
            <w:gridSpan w:val="3"/>
          </w:tcPr>
          <w:p w:rsidR="001C7BF9" w:rsidRPr="00C9680B" w:rsidRDefault="001C7BF9">
            <w:pPr>
              <w:spacing w:before="40" w:line="170" w:lineRule="atLeast"/>
              <w:jc w:val="right"/>
              <w:rPr>
                <w:b/>
                <w:snapToGrid w:val="0"/>
                <w:color w:val="000000"/>
                <w:sz w:val="17"/>
                <w:lang w:eastAsia="sv-SE"/>
              </w:rPr>
            </w:pPr>
            <w:r w:rsidRPr="00C9680B">
              <w:rPr>
                <w:b/>
                <w:snapToGrid w:val="0"/>
                <w:color w:val="000000"/>
                <w:sz w:val="17"/>
                <w:lang w:eastAsia="sv-SE"/>
              </w:rPr>
              <w:t>Reg</w:t>
            </w:r>
            <w:r w:rsidRPr="00C9680B">
              <w:rPr>
                <w:b/>
                <w:snapToGrid w:val="0"/>
                <w:color w:val="000000"/>
                <w:sz w:val="17"/>
                <w:lang w:eastAsia="sv-SE"/>
              </w:rPr>
              <w:t>e</w:t>
            </w:r>
            <w:r w:rsidRPr="00C9680B">
              <w:rPr>
                <w:b/>
                <w:snapToGrid w:val="0"/>
                <w:color w:val="000000"/>
                <w:sz w:val="17"/>
                <w:lang w:eastAsia="sv-SE"/>
              </w:rPr>
              <w:t>ringens</w:t>
            </w:r>
          </w:p>
        </w:tc>
        <w:tc>
          <w:tcPr>
            <w:tcW w:w="2835" w:type="dxa"/>
            <w:gridSpan w:val="8"/>
            <w:tcBorders>
              <w:bottom w:val="single" w:sz="6" w:space="0" w:color="auto"/>
            </w:tcBorders>
          </w:tcPr>
          <w:p w:rsidR="001C7BF9" w:rsidRPr="00C9680B" w:rsidRDefault="001C7BF9">
            <w:pPr>
              <w:spacing w:before="40" w:line="170" w:lineRule="atLeast"/>
              <w:jc w:val="center"/>
              <w:rPr>
                <w:snapToGrid w:val="0"/>
                <w:color w:val="000000"/>
                <w:sz w:val="17"/>
                <w:lang w:eastAsia="sv-SE"/>
              </w:rPr>
            </w:pPr>
            <w:r w:rsidRPr="00C9680B">
              <w:rPr>
                <w:snapToGrid w:val="0"/>
                <w:color w:val="000000"/>
                <w:sz w:val="17"/>
                <w:lang w:eastAsia="sv-SE"/>
              </w:rPr>
              <w:t>Avvikelser från regeringens förslag</w:t>
            </w:r>
          </w:p>
        </w:tc>
      </w:tr>
      <w:tr w:rsidR="00000000" w:rsidRPr="00C9680B">
        <w:tblPrEx>
          <w:tblCellMar>
            <w:top w:w="0" w:type="dxa"/>
            <w:bottom w:w="0" w:type="dxa"/>
          </w:tblCellMar>
        </w:tblPrEx>
        <w:trPr>
          <w:gridAfter w:val="1"/>
          <w:wAfter w:w="566" w:type="dxa"/>
          <w:trHeight w:val="170"/>
          <w:jc w:val="right"/>
        </w:trPr>
        <w:tc>
          <w:tcPr>
            <w:tcW w:w="1418" w:type="dxa"/>
            <w:gridSpan w:val="4"/>
            <w:tcBorders>
              <w:bottom w:val="single" w:sz="4" w:space="0" w:color="auto"/>
            </w:tcBorders>
          </w:tcPr>
          <w:p w:rsidR="001C7BF9" w:rsidRPr="00C9680B" w:rsidRDefault="001C7BF9">
            <w:pPr>
              <w:spacing w:before="40" w:line="170" w:lineRule="atLeast"/>
              <w:rPr>
                <w:snapToGrid w:val="0"/>
                <w:color w:val="000000"/>
                <w:sz w:val="17"/>
                <w:lang w:eastAsia="sv-SE"/>
              </w:rPr>
            </w:pPr>
            <w:r w:rsidRPr="00C9680B">
              <w:rPr>
                <w:snapToGrid w:val="0"/>
                <w:color w:val="000000"/>
                <w:sz w:val="17"/>
                <w:lang w:eastAsia="sv-SE"/>
              </w:rPr>
              <w:t>Inkomstt</w:t>
            </w:r>
            <w:r w:rsidRPr="00C9680B">
              <w:rPr>
                <w:snapToGrid w:val="0"/>
                <w:color w:val="000000"/>
                <w:sz w:val="17"/>
                <w:lang w:eastAsia="sv-SE"/>
              </w:rPr>
              <w:t>i</w:t>
            </w:r>
            <w:r w:rsidRPr="00C9680B">
              <w:rPr>
                <w:snapToGrid w:val="0"/>
                <w:color w:val="000000"/>
                <w:sz w:val="17"/>
                <w:lang w:eastAsia="sv-SE"/>
              </w:rPr>
              <w:t>tel</w:t>
            </w:r>
          </w:p>
        </w:tc>
        <w:tc>
          <w:tcPr>
            <w:tcW w:w="1247" w:type="dxa"/>
            <w:tcBorders>
              <w:bottom w:val="single" w:sz="4" w:space="0" w:color="auto"/>
            </w:tcBorders>
          </w:tcPr>
          <w:p w:rsidR="001C7BF9" w:rsidRPr="00C9680B" w:rsidRDefault="001C7BF9">
            <w:pPr>
              <w:spacing w:before="40" w:line="170" w:lineRule="atLeast"/>
              <w:jc w:val="right"/>
              <w:rPr>
                <w:snapToGrid w:val="0"/>
                <w:color w:val="000000"/>
                <w:sz w:val="17"/>
                <w:lang w:eastAsia="sv-SE"/>
              </w:rPr>
            </w:pPr>
          </w:p>
        </w:tc>
        <w:tc>
          <w:tcPr>
            <w:tcW w:w="992" w:type="dxa"/>
            <w:gridSpan w:val="3"/>
            <w:tcBorders>
              <w:bottom w:val="single" w:sz="4" w:space="0" w:color="auto"/>
            </w:tcBorders>
          </w:tcPr>
          <w:p w:rsidR="001C7BF9" w:rsidRPr="00C9680B" w:rsidRDefault="001C7BF9">
            <w:pPr>
              <w:spacing w:before="40" w:line="170" w:lineRule="atLeast"/>
              <w:jc w:val="right"/>
              <w:rPr>
                <w:b/>
                <w:snapToGrid w:val="0"/>
                <w:color w:val="000000"/>
                <w:sz w:val="17"/>
                <w:lang w:eastAsia="sv-SE"/>
              </w:rPr>
            </w:pPr>
            <w:r w:rsidRPr="00C9680B">
              <w:rPr>
                <w:b/>
                <w:snapToGrid w:val="0"/>
                <w:color w:val="000000"/>
                <w:sz w:val="17"/>
                <w:lang w:eastAsia="sv-SE"/>
              </w:rPr>
              <w:t>förslag</w:t>
            </w:r>
          </w:p>
        </w:tc>
        <w:tc>
          <w:tcPr>
            <w:tcW w:w="709" w:type="dxa"/>
            <w:gridSpan w:val="2"/>
            <w:tcBorders>
              <w:bottom w:val="single" w:sz="4" w:space="0" w:color="auto"/>
            </w:tcBorders>
          </w:tcPr>
          <w:p w:rsidR="001C7BF9" w:rsidRPr="00C9680B" w:rsidRDefault="001C7BF9">
            <w:pPr>
              <w:spacing w:before="40" w:line="170" w:lineRule="atLeast"/>
              <w:jc w:val="right"/>
              <w:rPr>
                <w:b/>
                <w:snapToGrid w:val="0"/>
                <w:color w:val="000000"/>
                <w:sz w:val="17"/>
                <w:lang w:eastAsia="sv-SE"/>
              </w:rPr>
            </w:pPr>
            <w:r w:rsidRPr="00C9680B">
              <w:rPr>
                <w:b/>
                <w:snapToGrid w:val="0"/>
                <w:color w:val="000000"/>
                <w:sz w:val="17"/>
                <w:lang w:eastAsia="sv-SE"/>
              </w:rPr>
              <w:t>m</w:t>
            </w:r>
          </w:p>
        </w:tc>
        <w:tc>
          <w:tcPr>
            <w:tcW w:w="709" w:type="dxa"/>
            <w:gridSpan w:val="2"/>
            <w:tcBorders>
              <w:bottom w:val="single" w:sz="4" w:space="0" w:color="auto"/>
            </w:tcBorders>
          </w:tcPr>
          <w:p w:rsidR="001C7BF9" w:rsidRPr="00C9680B" w:rsidRDefault="001C7BF9">
            <w:pPr>
              <w:spacing w:before="40" w:line="170" w:lineRule="atLeast"/>
              <w:jc w:val="right"/>
              <w:rPr>
                <w:b/>
                <w:snapToGrid w:val="0"/>
                <w:color w:val="000000"/>
                <w:sz w:val="17"/>
                <w:lang w:eastAsia="sv-SE"/>
              </w:rPr>
            </w:pPr>
            <w:r w:rsidRPr="00C9680B">
              <w:rPr>
                <w:b/>
                <w:snapToGrid w:val="0"/>
                <w:color w:val="000000"/>
                <w:sz w:val="17"/>
                <w:lang w:eastAsia="sv-SE"/>
              </w:rPr>
              <w:t>kd</w:t>
            </w:r>
          </w:p>
        </w:tc>
        <w:tc>
          <w:tcPr>
            <w:tcW w:w="709" w:type="dxa"/>
            <w:gridSpan w:val="2"/>
            <w:tcBorders>
              <w:bottom w:val="single" w:sz="4" w:space="0" w:color="auto"/>
            </w:tcBorders>
          </w:tcPr>
          <w:p w:rsidR="001C7BF9" w:rsidRPr="00C9680B" w:rsidRDefault="001C7BF9">
            <w:pPr>
              <w:spacing w:before="40" w:line="170" w:lineRule="atLeast"/>
              <w:jc w:val="right"/>
              <w:rPr>
                <w:b/>
                <w:snapToGrid w:val="0"/>
                <w:color w:val="000000"/>
                <w:sz w:val="17"/>
                <w:lang w:eastAsia="sv-SE"/>
              </w:rPr>
            </w:pPr>
            <w:r w:rsidRPr="00C9680B">
              <w:rPr>
                <w:b/>
                <w:snapToGrid w:val="0"/>
                <w:color w:val="000000"/>
                <w:sz w:val="17"/>
                <w:lang w:eastAsia="sv-SE"/>
              </w:rPr>
              <w:t>c</w:t>
            </w:r>
          </w:p>
        </w:tc>
        <w:tc>
          <w:tcPr>
            <w:tcW w:w="708" w:type="dxa"/>
            <w:gridSpan w:val="2"/>
            <w:tcBorders>
              <w:bottom w:val="single" w:sz="4" w:space="0" w:color="auto"/>
            </w:tcBorders>
          </w:tcPr>
          <w:p w:rsidR="001C7BF9" w:rsidRPr="00C9680B" w:rsidRDefault="001C7BF9">
            <w:pPr>
              <w:spacing w:before="40" w:line="170" w:lineRule="atLeast"/>
              <w:jc w:val="right"/>
              <w:rPr>
                <w:b/>
                <w:snapToGrid w:val="0"/>
                <w:color w:val="000000"/>
                <w:sz w:val="17"/>
                <w:lang w:eastAsia="sv-SE"/>
              </w:rPr>
            </w:pPr>
            <w:r w:rsidRPr="00C9680B">
              <w:rPr>
                <w:b/>
                <w:snapToGrid w:val="0"/>
                <w:color w:val="000000"/>
                <w:sz w:val="17"/>
                <w:lang w:eastAsia="sv-SE"/>
              </w:rPr>
              <w:t>fp</w:t>
            </w:r>
          </w:p>
        </w:tc>
      </w:tr>
      <w:tr w:rsidR="00000000" w:rsidRPr="00C9680B">
        <w:tblPrEx>
          <w:tblCellMar>
            <w:top w:w="0" w:type="dxa"/>
            <w:bottom w:w="0" w:type="dxa"/>
          </w:tblCellMar>
        </w:tblPrEx>
        <w:trPr>
          <w:gridAfter w:val="1"/>
          <w:wAfter w:w="566" w:type="dxa"/>
          <w:trHeight w:val="80"/>
          <w:jc w:val="right"/>
        </w:trPr>
        <w:tc>
          <w:tcPr>
            <w:tcW w:w="460" w:type="dxa"/>
          </w:tcPr>
          <w:p w:rsidR="001C7BF9" w:rsidRPr="00C9680B" w:rsidRDefault="001C7BF9">
            <w:pPr>
              <w:spacing w:before="40" w:line="80" w:lineRule="exact"/>
              <w:jc w:val="left"/>
              <w:rPr>
                <w:b/>
                <w:snapToGrid w:val="0"/>
                <w:color w:val="000000"/>
                <w:sz w:val="17"/>
                <w:lang w:eastAsia="sv-SE"/>
              </w:rPr>
            </w:pPr>
          </w:p>
        </w:tc>
        <w:tc>
          <w:tcPr>
            <w:tcW w:w="2489" w:type="dxa"/>
            <w:gridSpan w:val="5"/>
          </w:tcPr>
          <w:p w:rsidR="001C7BF9" w:rsidRPr="00C9680B" w:rsidRDefault="001C7BF9">
            <w:pPr>
              <w:spacing w:before="40" w:line="80" w:lineRule="exact"/>
              <w:jc w:val="left"/>
              <w:rPr>
                <w:b/>
                <w:snapToGrid w:val="0"/>
                <w:color w:val="000000"/>
                <w:sz w:val="17"/>
                <w:lang w:eastAsia="sv-SE"/>
              </w:rPr>
            </w:pPr>
          </w:p>
        </w:tc>
        <w:tc>
          <w:tcPr>
            <w:tcW w:w="708" w:type="dxa"/>
            <w:gridSpan w:val="2"/>
          </w:tcPr>
          <w:p w:rsidR="001C7BF9" w:rsidRPr="00C9680B" w:rsidRDefault="001C7BF9">
            <w:pPr>
              <w:spacing w:before="40" w:line="80" w:lineRule="exact"/>
              <w:jc w:val="right"/>
              <w:rPr>
                <w:b/>
                <w:snapToGrid w:val="0"/>
                <w:color w:val="000000"/>
                <w:sz w:val="17"/>
                <w:lang w:eastAsia="sv-SE"/>
              </w:rPr>
            </w:pPr>
          </w:p>
        </w:tc>
        <w:tc>
          <w:tcPr>
            <w:tcW w:w="709" w:type="dxa"/>
            <w:gridSpan w:val="2"/>
          </w:tcPr>
          <w:p w:rsidR="001C7BF9" w:rsidRPr="00C9680B" w:rsidRDefault="001C7BF9">
            <w:pPr>
              <w:spacing w:before="40" w:line="80" w:lineRule="exact"/>
              <w:jc w:val="right"/>
              <w:rPr>
                <w:b/>
                <w:snapToGrid w:val="0"/>
                <w:color w:val="000000"/>
                <w:sz w:val="17"/>
                <w:lang w:eastAsia="sv-SE"/>
              </w:rPr>
            </w:pPr>
          </w:p>
        </w:tc>
        <w:tc>
          <w:tcPr>
            <w:tcW w:w="709" w:type="dxa"/>
            <w:gridSpan w:val="2"/>
          </w:tcPr>
          <w:p w:rsidR="001C7BF9" w:rsidRPr="00C9680B" w:rsidRDefault="001C7BF9">
            <w:pPr>
              <w:spacing w:before="40" w:line="80" w:lineRule="exact"/>
              <w:jc w:val="right"/>
              <w:rPr>
                <w:b/>
                <w:snapToGrid w:val="0"/>
                <w:color w:val="000000"/>
                <w:sz w:val="17"/>
                <w:lang w:eastAsia="sv-SE"/>
              </w:rPr>
            </w:pPr>
          </w:p>
        </w:tc>
        <w:tc>
          <w:tcPr>
            <w:tcW w:w="709" w:type="dxa"/>
            <w:gridSpan w:val="2"/>
          </w:tcPr>
          <w:p w:rsidR="001C7BF9" w:rsidRPr="00C9680B" w:rsidRDefault="001C7BF9">
            <w:pPr>
              <w:spacing w:before="40" w:line="80" w:lineRule="exact"/>
              <w:jc w:val="right"/>
              <w:rPr>
                <w:b/>
                <w:snapToGrid w:val="0"/>
                <w:color w:val="000000"/>
                <w:sz w:val="17"/>
                <w:lang w:eastAsia="sv-SE"/>
              </w:rPr>
            </w:pPr>
          </w:p>
        </w:tc>
        <w:tc>
          <w:tcPr>
            <w:tcW w:w="708" w:type="dxa"/>
            <w:gridSpan w:val="2"/>
          </w:tcPr>
          <w:p w:rsidR="001C7BF9" w:rsidRPr="00C9680B" w:rsidRDefault="001C7BF9">
            <w:pPr>
              <w:spacing w:before="40" w:line="80" w:lineRule="exact"/>
              <w:jc w:val="right"/>
              <w:rPr>
                <w:b/>
                <w:snapToGrid w:val="0"/>
                <w:color w:val="000000"/>
                <w:sz w:val="17"/>
                <w:lang w:eastAsia="sv-SE"/>
              </w:rPr>
            </w:pPr>
          </w:p>
        </w:tc>
      </w:tr>
      <w:tr w:rsidR="00000000" w:rsidRPr="00C9680B">
        <w:tblPrEx>
          <w:tblCellMar>
            <w:top w:w="0" w:type="dxa"/>
            <w:bottom w:w="0" w:type="dxa"/>
          </w:tblCellMar>
        </w:tblPrEx>
        <w:trPr>
          <w:gridAfter w:val="1"/>
          <w:wAfter w:w="566" w:type="dxa"/>
          <w:trHeight w:val="170"/>
          <w:jc w:val="right"/>
        </w:trPr>
        <w:tc>
          <w:tcPr>
            <w:tcW w:w="460" w:type="dxa"/>
          </w:tcPr>
          <w:p w:rsidR="001C7BF9" w:rsidRPr="00C9680B" w:rsidRDefault="001C7BF9">
            <w:pPr>
              <w:spacing w:before="40" w:line="170" w:lineRule="atLeast"/>
              <w:jc w:val="left"/>
              <w:rPr>
                <w:b/>
                <w:snapToGrid w:val="0"/>
                <w:color w:val="000000"/>
                <w:sz w:val="17"/>
                <w:lang w:eastAsia="sv-SE"/>
              </w:rPr>
            </w:pPr>
            <w:r w:rsidRPr="00C9680B">
              <w:rPr>
                <w:b/>
                <w:snapToGrid w:val="0"/>
                <w:color w:val="000000"/>
                <w:sz w:val="17"/>
                <w:lang w:eastAsia="sv-SE"/>
              </w:rPr>
              <w:t>1111</w:t>
            </w:r>
          </w:p>
        </w:tc>
        <w:tc>
          <w:tcPr>
            <w:tcW w:w="2489" w:type="dxa"/>
            <w:gridSpan w:val="5"/>
          </w:tcPr>
          <w:p w:rsidR="001C7BF9" w:rsidRPr="00C9680B" w:rsidRDefault="001C7BF9">
            <w:pPr>
              <w:spacing w:before="40" w:line="170" w:lineRule="atLeast"/>
              <w:jc w:val="left"/>
              <w:rPr>
                <w:b/>
                <w:snapToGrid w:val="0"/>
                <w:color w:val="000000"/>
                <w:sz w:val="17"/>
                <w:lang w:eastAsia="sv-SE"/>
              </w:rPr>
            </w:pPr>
            <w:r w:rsidRPr="00C9680B">
              <w:rPr>
                <w:b/>
                <w:snapToGrid w:val="0"/>
                <w:color w:val="000000"/>
                <w:sz w:val="17"/>
                <w:lang w:eastAsia="sv-SE"/>
              </w:rPr>
              <w:t>Fysiska personers inkoms</w:t>
            </w:r>
            <w:r w:rsidRPr="00C9680B">
              <w:rPr>
                <w:b/>
                <w:snapToGrid w:val="0"/>
                <w:color w:val="000000"/>
                <w:sz w:val="17"/>
                <w:lang w:eastAsia="sv-SE"/>
              </w:rPr>
              <w:t>t</w:t>
            </w:r>
            <w:r w:rsidRPr="00C9680B">
              <w:rPr>
                <w:b/>
                <w:snapToGrid w:val="0"/>
                <w:color w:val="000000"/>
                <w:sz w:val="17"/>
                <w:lang w:eastAsia="sv-SE"/>
              </w:rPr>
              <w:t>skatt</w:t>
            </w:r>
          </w:p>
        </w:tc>
        <w:tc>
          <w:tcPr>
            <w:tcW w:w="708" w:type="dxa"/>
            <w:gridSpan w:val="2"/>
          </w:tcPr>
          <w:p w:rsidR="001C7BF9" w:rsidRPr="00C9680B" w:rsidRDefault="001C7BF9">
            <w:pPr>
              <w:spacing w:before="40" w:line="170" w:lineRule="atLeast"/>
              <w:jc w:val="right"/>
              <w:rPr>
                <w:b/>
                <w:snapToGrid w:val="0"/>
                <w:color w:val="000000"/>
                <w:sz w:val="17"/>
                <w:lang w:eastAsia="sv-SE"/>
              </w:rPr>
            </w:pPr>
            <w:r w:rsidRPr="00C9680B">
              <w:rPr>
                <w:b/>
                <w:snapToGrid w:val="0"/>
                <w:color w:val="000000"/>
                <w:sz w:val="17"/>
                <w:lang w:eastAsia="sv-SE"/>
              </w:rPr>
              <w:t>7 591</w:t>
            </w:r>
          </w:p>
        </w:tc>
        <w:tc>
          <w:tcPr>
            <w:tcW w:w="709" w:type="dxa"/>
            <w:gridSpan w:val="2"/>
          </w:tcPr>
          <w:p w:rsidR="001C7BF9" w:rsidRPr="00C9680B" w:rsidRDefault="001C7BF9">
            <w:pPr>
              <w:spacing w:before="40" w:line="170" w:lineRule="atLeast"/>
              <w:jc w:val="right"/>
              <w:rPr>
                <w:b/>
                <w:snapToGrid w:val="0"/>
                <w:color w:val="000000"/>
                <w:sz w:val="17"/>
                <w:lang w:eastAsia="sv-SE"/>
              </w:rPr>
            </w:pPr>
            <w:r w:rsidRPr="00C9680B">
              <w:rPr>
                <w:b/>
                <w:snapToGrid w:val="0"/>
                <w:color w:val="000000"/>
                <w:sz w:val="17"/>
                <w:lang w:eastAsia="sv-SE"/>
              </w:rPr>
              <w:t>+16 850</w:t>
            </w:r>
          </w:p>
        </w:tc>
        <w:tc>
          <w:tcPr>
            <w:tcW w:w="709" w:type="dxa"/>
            <w:gridSpan w:val="2"/>
          </w:tcPr>
          <w:p w:rsidR="001C7BF9" w:rsidRPr="00C9680B" w:rsidRDefault="001C7BF9">
            <w:pPr>
              <w:spacing w:before="40" w:line="170" w:lineRule="atLeast"/>
              <w:jc w:val="right"/>
              <w:rPr>
                <w:b/>
                <w:snapToGrid w:val="0"/>
                <w:color w:val="000000"/>
                <w:sz w:val="17"/>
                <w:lang w:eastAsia="sv-SE"/>
              </w:rPr>
            </w:pPr>
            <w:r w:rsidRPr="00C9680B">
              <w:rPr>
                <w:b/>
                <w:snapToGrid w:val="0"/>
                <w:color w:val="000000"/>
                <w:sz w:val="17"/>
                <w:lang w:eastAsia="sv-SE"/>
              </w:rPr>
              <w:t>-21 340</w:t>
            </w:r>
          </w:p>
        </w:tc>
        <w:tc>
          <w:tcPr>
            <w:tcW w:w="709" w:type="dxa"/>
            <w:gridSpan w:val="2"/>
          </w:tcPr>
          <w:p w:rsidR="001C7BF9" w:rsidRPr="00C9680B" w:rsidRDefault="001C7BF9">
            <w:pPr>
              <w:spacing w:before="40" w:line="170" w:lineRule="atLeast"/>
              <w:jc w:val="right"/>
              <w:rPr>
                <w:b/>
                <w:snapToGrid w:val="0"/>
                <w:color w:val="000000"/>
                <w:sz w:val="17"/>
                <w:lang w:eastAsia="sv-SE"/>
              </w:rPr>
            </w:pPr>
            <w:r w:rsidRPr="00C9680B">
              <w:rPr>
                <w:b/>
                <w:snapToGrid w:val="0"/>
                <w:color w:val="000000"/>
                <w:sz w:val="17"/>
                <w:lang w:eastAsia="sv-SE"/>
              </w:rPr>
              <w:t>+350</w:t>
            </w:r>
          </w:p>
        </w:tc>
        <w:tc>
          <w:tcPr>
            <w:tcW w:w="708" w:type="dxa"/>
            <w:gridSpan w:val="2"/>
          </w:tcPr>
          <w:p w:rsidR="001C7BF9" w:rsidRPr="00C9680B" w:rsidRDefault="001C7BF9">
            <w:pPr>
              <w:spacing w:before="40" w:line="170" w:lineRule="atLeast"/>
              <w:jc w:val="right"/>
              <w:rPr>
                <w:b/>
                <w:snapToGrid w:val="0"/>
                <w:color w:val="000000"/>
                <w:sz w:val="17"/>
                <w:lang w:eastAsia="sv-SE"/>
              </w:rPr>
            </w:pPr>
            <w:r w:rsidRPr="00C9680B">
              <w:rPr>
                <w:b/>
                <w:snapToGrid w:val="0"/>
                <w:color w:val="000000"/>
                <w:sz w:val="17"/>
                <w:lang w:eastAsia="sv-SE"/>
              </w:rPr>
              <w:t>-6 520</w:t>
            </w:r>
          </w:p>
        </w:tc>
      </w:tr>
      <w:tr w:rsidR="00000000" w:rsidRPr="00C9680B">
        <w:tblPrEx>
          <w:tblCellMar>
            <w:top w:w="0" w:type="dxa"/>
            <w:bottom w:w="0" w:type="dxa"/>
          </w:tblCellMar>
        </w:tblPrEx>
        <w:trPr>
          <w:gridAfter w:val="1"/>
          <w:wAfter w:w="566" w:type="dxa"/>
          <w:trHeight w:val="170"/>
          <w:jc w:val="right"/>
        </w:trPr>
        <w:tc>
          <w:tcPr>
            <w:tcW w:w="460" w:type="dxa"/>
          </w:tcPr>
          <w:p w:rsidR="001C7BF9" w:rsidRPr="00C9680B" w:rsidRDefault="001C7BF9">
            <w:pPr>
              <w:spacing w:before="60" w:line="170" w:lineRule="atLeast"/>
              <w:jc w:val="left"/>
              <w:rPr>
                <w:snapToGrid w:val="0"/>
                <w:color w:val="000000"/>
                <w:sz w:val="17"/>
                <w:lang w:eastAsia="sv-SE"/>
              </w:rPr>
            </w:pPr>
          </w:p>
        </w:tc>
        <w:tc>
          <w:tcPr>
            <w:tcW w:w="2489" w:type="dxa"/>
            <w:gridSpan w:val="5"/>
          </w:tcPr>
          <w:p w:rsidR="001C7BF9" w:rsidRPr="00C9680B" w:rsidRDefault="001C7BF9">
            <w:pPr>
              <w:spacing w:before="60" w:line="170" w:lineRule="atLeast"/>
              <w:ind w:left="113" w:hanging="113"/>
              <w:jc w:val="left"/>
              <w:rPr>
                <w:snapToGrid w:val="0"/>
                <w:color w:val="000000"/>
                <w:sz w:val="17"/>
                <w:lang w:eastAsia="sv-SE"/>
              </w:rPr>
            </w:pPr>
            <w:r w:rsidRPr="00C9680B">
              <w:rPr>
                <w:snapToGrid w:val="0"/>
                <w:color w:val="000000"/>
                <w:sz w:val="17"/>
                <w:lang w:eastAsia="sv-SE"/>
              </w:rPr>
              <w:t>Kompensation för pe</w:t>
            </w:r>
            <w:r w:rsidRPr="00C9680B">
              <w:rPr>
                <w:snapToGrid w:val="0"/>
                <w:color w:val="000000"/>
                <w:sz w:val="17"/>
                <w:lang w:eastAsia="sv-SE"/>
              </w:rPr>
              <w:t>n</w:t>
            </w:r>
            <w:r w:rsidRPr="00C9680B">
              <w:rPr>
                <w:snapToGrid w:val="0"/>
                <w:color w:val="000000"/>
                <w:sz w:val="17"/>
                <w:lang w:eastAsia="sv-SE"/>
              </w:rPr>
              <w:t>sionsavgift</w:t>
            </w:r>
          </w:p>
        </w:tc>
        <w:tc>
          <w:tcPr>
            <w:tcW w:w="708" w:type="dxa"/>
            <w:gridSpan w:val="2"/>
          </w:tcPr>
          <w:p w:rsidR="001C7BF9" w:rsidRPr="00C9680B" w:rsidRDefault="001C7BF9">
            <w:pPr>
              <w:spacing w:before="60" w:line="170" w:lineRule="atLeast"/>
              <w:jc w:val="right"/>
              <w:rPr>
                <w:snapToGrid w:val="0"/>
                <w:color w:val="000000"/>
                <w:sz w:val="17"/>
                <w:lang w:eastAsia="sv-SE"/>
              </w:rPr>
            </w:pPr>
            <w:r w:rsidRPr="00C9680B">
              <w:rPr>
                <w:snapToGrid w:val="0"/>
                <w:color w:val="000000"/>
                <w:sz w:val="17"/>
                <w:lang w:eastAsia="sv-SE"/>
              </w:rPr>
              <w:t>-13 530</w:t>
            </w:r>
          </w:p>
        </w:tc>
        <w:tc>
          <w:tcPr>
            <w:tcW w:w="709" w:type="dxa"/>
            <w:gridSpan w:val="2"/>
          </w:tcPr>
          <w:p w:rsidR="001C7BF9" w:rsidRPr="00C9680B" w:rsidRDefault="001C7BF9">
            <w:pPr>
              <w:spacing w:before="60" w:line="170" w:lineRule="atLeast"/>
              <w:jc w:val="right"/>
              <w:rPr>
                <w:snapToGrid w:val="0"/>
                <w:color w:val="000000"/>
                <w:sz w:val="17"/>
                <w:lang w:eastAsia="sv-SE"/>
              </w:rPr>
            </w:pPr>
            <w:r w:rsidRPr="00C9680B">
              <w:rPr>
                <w:snapToGrid w:val="0"/>
                <w:color w:val="000000"/>
                <w:sz w:val="17"/>
                <w:lang w:eastAsia="sv-SE"/>
              </w:rPr>
              <w:t>+13 530</w:t>
            </w:r>
          </w:p>
        </w:tc>
        <w:tc>
          <w:tcPr>
            <w:tcW w:w="709" w:type="dxa"/>
            <w:gridSpan w:val="2"/>
          </w:tcPr>
          <w:p w:rsidR="001C7BF9" w:rsidRPr="00C9680B" w:rsidRDefault="001C7BF9">
            <w:pPr>
              <w:spacing w:before="60" w:line="170" w:lineRule="atLeast"/>
              <w:jc w:val="right"/>
              <w:rPr>
                <w:snapToGrid w:val="0"/>
                <w:color w:val="000000"/>
                <w:sz w:val="17"/>
                <w:lang w:eastAsia="sv-SE"/>
              </w:rPr>
            </w:pPr>
            <w:r w:rsidRPr="00C9680B">
              <w:rPr>
                <w:snapToGrid w:val="0"/>
                <w:color w:val="000000"/>
                <w:sz w:val="17"/>
                <w:lang w:eastAsia="sv-SE"/>
              </w:rPr>
              <w:t>+17 630</w:t>
            </w:r>
          </w:p>
        </w:tc>
        <w:tc>
          <w:tcPr>
            <w:tcW w:w="709" w:type="dxa"/>
            <w:gridSpan w:val="2"/>
          </w:tcPr>
          <w:p w:rsidR="001C7BF9" w:rsidRPr="00C9680B" w:rsidRDefault="001C7BF9">
            <w:pPr>
              <w:spacing w:before="60" w:line="170" w:lineRule="atLeast"/>
              <w:jc w:val="right"/>
              <w:rPr>
                <w:snapToGrid w:val="0"/>
                <w:color w:val="000000"/>
                <w:sz w:val="17"/>
                <w:lang w:eastAsia="sv-SE"/>
              </w:rPr>
            </w:pPr>
            <w:r w:rsidRPr="00C9680B">
              <w:rPr>
                <w:snapToGrid w:val="0"/>
                <w:color w:val="000000"/>
                <w:sz w:val="17"/>
                <w:lang w:eastAsia="sv-SE"/>
              </w:rPr>
              <w:t>+18 000</w:t>
            </w:r>
          </w:p>
        </w:tc>
        <w:tc>
          <w:tcPr>
            <w:tcW w:w="708" w:type="dxa"/>
            <w:gridSpan w:val="2"/>
          </w:tcPr>
          <w:p w:rsidR="001C7BF9" w:rsidRPr="00C9680B" w:rsidRDefault="001C7BF9">
            <w:pPr>
              <w:spacing w:before="60" w:line="170" w:lineRule="atLeast"/>
              <w:jc w:val="right"/>
              <w:rPr>
                <w:snapToGrid w:val="0"/>
                <w:color w:val="000000"/>
                <w:sz w:val="17"/>
                <w:lang w:eastAsia="sv-SE"/>
              </w:rPr>
            </w:pPr>
          </w:p>
        </w:tc>
      </w:tr>
      <w:tr w:rsidR="00000000" w:rsidRPr="00C9680B">
        <w:tblPrEx>
          <w:tblCellMar>
            <w:top w:w="0" w:type="dxa"/>
            <w:bottom w:w="0" w:type="dxa"/>
          </w:tblCellMar>
        </w:tblPrEx>
        <w:trPr>
          <w:gridAfter w:val="1"/>
          <w:wAfter w:w="566" w:type="dxa"/>
          <w:trHeight w:val="170"/>
          <w:jc w:val="right"/>
        </w:trPr>
        <w:tc>
          <w:tcPr>
            <w:tcW w:w="460" w:type="dxa"/>
          </w:tcPr>
          <w:p w:rsidR="001C7BF9" w:rsidRPr="00C9680B" w:rsidRDefault="001C7BF9">
            <w:pPr>
              <w:spacing w:before="40" w:line="170" w:lineRule="atLeast"/>
              <w:jc w:val="left"/>
              <w:rPr>
                <w:snapToGrid w:val="0"/>
                <w:color w:val="000000"/>
                <w:sz w:val="17"/>
                <w:lang w:eastAsia="sv-SE"/>
              </w:rPr>
            </w:pPr>
          </w:p>
        </w:tc>
        <w:tc>
          <w:tcPr>
            <w:tcW w:w="2489" w:type="dxa"/>
            <w:gridSpan w:val="5"/>
          </w:tcPr>
          <w:p w:rsidR="001C7BF9" w:rsidRPr="00C9680B" w:rsidRDefault="001C7BF9">
            <w:pPr>
              <w:spacing w:before="40" w:line="170" w:lineRule="atLeast"/>
              <w:ind w:left="113" w:hanging="113"/>
              <w:jc w:val="left"/>
              <w:rPr>
                <w:snapToGrid w:val="0"/>
                <w:color w:val="000000"/>
                <w:sz w:val="17"/>
                <w:lang w:eastAsia="sv-SE"/>
              </w:rPr>
            </w:pPr>
            <w:r w:rsidRPr="00C9680B">
              <w:rPr>
                <w:snapToGrid w:val="0"/>
                <w:color w:val="000000"/>
                <w:sz w:val="17"/>
                <w:lang w:eastAsia="sv-SE"/>
              </w:rPr>
              <w:t>Nej även till första steget i i</w:t>
            </w:r>
            <w:r w:rsidRPr="00C9680B">
              <w:rPr>
                <w:snapToGrid w:val="0"/>
                <w:color w:val="000000"/>
                <w:sz w:val="17"/>
                <w:lang w:eastAsia="sv-SE"/>
              </w:rPr>
              <w:t>n</w:t>
            </w:r>
            <w:r w:rsidRPr="00C9680B">
              <w:rPr>
                <w:snapToGrid w:val="0"/>
                <w:color w:val="000000"/>
                <w:sz w:val="17"/>
                <w:lang w:eastAsia="sv-SE"/>
              </w:rPr>
              <w:t>komstskatt</w:t>
            </w:r>
            <w:r w:rsidRPr="00C9680B">
              <w:rPr>
                <w:snapToGrid w:val="0"/>
                <w:color w:val="000000"/>
                <w:sz w:val="17"/>
                <w:lang w:eastAsia="sv-SE"/>
              </w:rPr>
              <w:t>e</w:t>
            </w:r>
            <w:r w:rsidRPr="00C9680B">
              <w:rPr>
                <w:snapToGrid w:val="0"/>
                <w:color w:val="000000"/>
                <w:sz w:val="17"/>
                <w:lang w:eastAsia="sv-SE"/>
              </w:rPr>
              <w:t>reformen</w:t>
            </w:r>
          </w:p>
        </w:tc>
        <w:tc>
          <w:tcPr>
            <w:tcW w:w="708"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160" w:line="170" w:lineRule="atLeast"/>
              <w:jc w:val="right"/>
              <w:rPr>
                <w:snapToGrid w:val="0"/>
                <w:color w:val="000000"/>
                <w:sz w:val="17"/>
                <w:lang w:eastAsia="sv-SE"/>
              </w:rPr>
            </w:pPr>
            <w:r w:rsidRPr="00C9680B">
              <w:rPr>
                <w:snapToGrid w:val="0"/>
                <w:color w:val="000000"/>
                <w:sz w:val="17"/>
                <w:lang w:eastAsia="sv-SE"/>
              </w:rPr>
              <w:t>+15 470</w:t>
            </w: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8" w:type="dxa"/>
            <w:gridSpan w:val="2"/>
          </w:tcPr>
          <w:p w:rsidR="001C7BF9" w:rsidRPr="00C9680B" w:rsidRDefault="001C7BF9">
            <w:pPr>
              <w:spacing w:before="40" w:line="170" w:lineRule="atLeast"/>
              <w:jc w:val="right"/>
              <w:rPr>
                <w:snapToGrid w:val="0"/>
                <w:color w:val="000000"/>
                <w:sz w:val="17"/>
                <w:lang w:eastAsia="sv-SE"/>
              </w:rPr>
            </w:pPr>
          </w:p>
        </w:tc>
      </w:tr>
      <w:tr w:rsidR="00000000" w:rsidRPr="00C9680B">
        <w:tblPrEx>
          <w:tblCellMar>
            <w:top w:w="0" w:type="dxa"/>
            <w:bottom w:w="0" w:type="dxa"/>
          </w:tblCellMar>
        </w:tblPrEx>
        <w:trPr>
          <w:gridAfter w:val="1"/>
          <w:wAfter w:w="566" w:type="dxa"/>
          <w:trHeight w:val="170"/>
          <w:jc w:val="right"/>
        </w:trPr>
        <w:tc>
          <w:tcPr>
            <w:tcW w:w="460" w:type="dxa"/>
          </w:tcPr>
          <w:p w:rsidR="001C7BF9" w:rsidRPr="00C9680B" w:rsidRDefault="001C7BF9">
            <w:pPr>
              <w:spacing w:before="40" w:line="170" w:lineRule="atLeast"/>
              <w:jc w:val="left"/>
              <w:rPr>
                <w:snapToGrid w:val="0"/>
                <w:color w:val="000000"/>
                <w:sz w:val="17"/>
                <w:lang w:eastAsia="sv-SE"/>
              </w:rPr>
            </w:pPr>
          </w:p>
        </w:tc>
        <w:tc>
          <w:tcPr>
            <w:tcW w:w="2489" w:type="dxa"/>
            <w:gridSpan w:val="5"/>
          </w:tcPr>
          <w:p w:rsidR="001C7BF9" w:rsidRPr="00C9680B" w:rsidRDefault="001C7BF9">
            <w:pPr>
              <w:spacing w:before="40" w:line="170" w:lineRule="atLeast"/>
              <w:ind w:left="113" w:hanging="113"/>
              <w:jc w:val="left"/>
              <w:rPr>
                <w:snapToGrid w:val="0"/>
                <w:color w:val="000000"/>
                <w:sz w:val="17"/>
                <w:lang w:eastAsia="sv-SE"/>
              </w:rPr>
            </w:pPr>
            <w:r w:rsidRPr="00C9680B">
              <w:rPr>
                <w:snapToGrid w:val="0"/>
                <w:color w:val="000000"/>
                <w:sz w:val="17"/>
                <w:lang w:eastAsia="sv-SE"/>
              </w:rPr>
              <w:t>Nej till regeringens inkomstskatt</w:t>
            </w:r>
            <w:r w:rsidRPr="00C9680B">
              <w:rPr>
                <w:snapToGrid w:val="0"/>
                <w:color w:val="000000"/>
                <w:sz w:val="17"/>
                <w:lang w:eastAsia="sv-SE"/>
              </w:rPr>
              <w:t>e</w:t>
            </w:r>
            <w:r w:rsidRPr="00C9680B">
              <w:rPr>
                <w:snapToGrid w:val="0"/>
                <w:color w:val="000000"/>
                <w:sz w:val="17"/>
                <w:lang w:eastAsia="sv-SE"/>
              </w:rPr>
              <w:t>politik 2000 och 2001</w:t>
            </w:r>
          </w:p>
        </w:tc>
        <w:tc>
          <w:tcPr>
            <w:tcW w:w="708"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8" w:type="dxa"/>
            <w:gridSpan w:val="2"/>
          </w:tcPr>
          <w:p w:rsidR="001C7BF9" w:rsidRPr="00C9680B" w:rsidRDefault="001C7BF9">
            <w:pPr>
              <w:spacing w:before="160" w:line="170" w:lineRule="atLeast"/>
              <w:jc w:val="right"/>
              <w:rPr>
                <w:snapToGrid w:val="0"/>
                <w:color w:val="000000"/>
                <w:sz w:val="17"/>
                <w:lang w:eastAsia="sv-SE"/>
              </w:rPr>
            </w:pPr>
            <w:r w:rsidRPr="00C9680B">
              <w:rPr>
                <w:snapToGrid w:val="0"/>
                <w:color w:val="000000"/>
                <w:sz w:val="17"/>
                <w:lang w:eastAsia="sv-SE"/>
              </w:rPr>
              <w:t>+28 100</w:t>
            </w:r>
          </w:p>
        </w:tc>
      </w:tr>
      <w:tr w:rsidR="00000000" w:rsidRPr="00C9680B">
        <w:tblPrEx>
          <w:tblCellMar>
            <w:top w:w="0" w:type="dxa"/>
            <w:bottom w:w="0" w:type="dxa"/>
          </w:tblCellMar>
        </w:tblPrEx>
        <w:trPr>
          <w:gridAfter w:val="1"/>
          <w:wAfter w:w="566" w:type="dxa"/>
          <w:trHeight w:val="170"/>
          <w:jc w:val="right"/>
        </w:trPr>
        <w:tc>
          <w:tcPr>
            <w:tcW w:w="460" w:type="dxa"/>
          </w:tcPr>
          <w:p w:rsidR="001C7BF9" w:rsidRPr="00C9680B" w:rsidRDefault="001C7BF9">
            <w:pPr>
              <w:spacing w:before="40" w:line="170" w:lineRule="atLeast"/>
              <w:jc w:val="left"/>
              <w:rPr>
                <w:snapToGrid w:val="0"/>
                <w:color w:val="000000"/>
                <w:sz w:val="17"/>
                <w:lang w:eastAsia="sv-SE"/>
              </w:rPr>
            </w:pPr>
          </w:p>
        </w:tc>
        <w:tc>
          <w:tcPr>
            <w:tcW w:w="2489" w:type="dxa"/>
            <w:gridSpan w:val="5"/>
          </w:tcPr>
          <w:p w:rsidR="001C7BF9" w:rsidRPr="00C9680B" w:rsidRDefault="001C7BF9">
            <w:pPr>
              <w:spacing w:before="40" w:line="170" w:lineRule="atLeast"/>
              <w:ind w:left="113" w:hanging="113"/>
              <w:jc w:val="left"/>
              <w:rPr>
                <w:snapToGrid w:val="0"/>
                <w:color w:val="000000"/>
                <w:sz w:val="17"/>
                <w:lang w:eastAsia="sv-SE"/>
              </w:rPr>
            </w:pPr>
            <w:r w:rsidRPr="00C9680B">
              <w:rPr>
                <w:snapToGrid w:val="0"/>
                <w:color w:val="000000"/>
                <w:sz w:val="17"/>
                <w:lang w:eastAsia="sv-SE"/>
              </w:rPr>
              <w:t>Uppjustering av skiktgrä</w:t>
            </w:r>
            <w:r w:rsidRPr="00C9680B">
              <w:rPr>
                <w:snapToGrid w:val="0"/>
                <w:color w:val="000000"/>
                <w:sz w:val="17"/>
                <w:lang w:eastAsia="sv-SE"/>
              </w:rPr>
              <w:t>n</w:t>
            </w:r>
            <w:r w:rsidRPr="00C9680B">
              <w:rPr>
                <w:snapToGrid w:val="0"/>
                <w:color w:val="000000"/>
                <w:sz w:val="17"/>
                <w:lang w:eastAsia="sv-SE"/>
              </w:rPr>
              <w:t>ser</w:t>
            </w:r>
          </w:p>
        </w:tc>
        <w:tc>
          <w:tcPr>
            <w:tcW w:w="708" w:type="dxa"/>
            <w:gridSpan w:val="2"/>
          </w:tcPr>
          <w:p w:rsidR="001C7BF9" w:rsidRPr="00C9680B" w:rsidRDefault="001C7BF9">
            <w:pPr>
              <w:spacing w:before="40" w:line="170" w:lineRule="atLeast"/>
              <w:jc w:val="right"/>
              <w:rPr>
                <w:snapToGrid w:val="0"/>
                <w:color w:val="000000"/>
                <w:sz w:val="17"/>
                <w:lang w:eastAsia="sv-SE"/>
              </w:rPr>
            </w:pPr>
            <w:r w:rsidRPr="00C9680B">
              <w:rPr>
                <w:snapToGrid w:val="0"/>
                <w:color w:val="000000"/>
                <w:sz w:val="17"/>
                <w:lang w:eastAsia="sv-SE"/>
              </w:rPr>
              <w:t>-3 210</w:t>
            </w:r>
          </w:p>
        </w:tc>
        <w:tc>
          <w:tcPr>
            <w:tcW w:w="709" w:type="dxa"/>
            <w:gridSpan w:val="2"/>
          </w:tcPr>
          <w:p w:rsidR="001C7BF9" w:rsidRPr="00C9680B" w:rsidRDefault="001C7BF9">
            <w:pPr>
              <w:spacing w:before="40" w:line="170" w:lineRule="atLeast"/>
              <w:jc w:val="right"/>
              <w:rPr>
                <w:snapToGrid w:val="0"/>
                <w:color w:val="000000"/>
                <w:sz w:val="17"/>
                <w:lang w:eastAsia="sv-SE"/>
              </w:rPr>
            </w:pPr>
            <w:r w:rsidRPr="00C9680B">
              <w:rPr>
                <w:snapToGrid w:val="0"/>
                <w:color w:val="000000"/>
                <w:sz w:val="17"/>
                <w:lang w:eastAsia="sv-SE"/>
              </w:rPr>
              <w:t>-1 790</w:t>
            </w: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8" w:type="dxa"/>
            <w:gridSpan w:val="2"/>
          </w:tcPr>
          <w:p w:rsidR="001C7BF9" w:rsidRPr="00C9680B" w:rsidRDefault="001C7BF9">
            <w:pPr>
              <w:spacing w:before="40" w:line="170" w:lineRule="atLeast"/>
              <w:jc w:val="right"/>
              <w:rPr>
                <w:snapToGrid w:val="0"/>
                <w:color w:val="000000"/>
                <w:sz w:val="17"/>
                <w:lang w:eastAsia="sv-SE"/>
              </w:rPr>
            </w:pPr>
            <w:r w:rsidRPr="00C9680B">
              <w:rPr>
                <w:snapToGrid w:val="0"/>
                <w:color w:val="000000"/>
                <w:sz w:val="17"/>
                <w:lang w:eastAsia="sv-SE"/>
              </w:rPr>
              <w:t>-3 590</w:t>
            </w:r>
          </w:p>
        </w:tc>
      </w:tr>
      <w:tr w:rsidR="00000000" w:rsidRPr="00C9680B">
        <w:tblPrEx>
          <w:tblCellMar>
            <w:top w:w="0" w:type="dxa"/>
            <w:bottom w:w="0" w:type="dxa"/>
          </w:tblCellMar>
        </w:tblPrEx>
        <w:trPr>
          <w:gridAfter w:val="1"/>
          <w:wAfter w:w="566" w:type="dxa"/>
          <w:trHeight w:val="170"/>
          <w:jc w:val="right"/>
        </w:trPr>
        <w:tc>
          <w:tcPr>
            <w:tcW w:w="460" w:type="dxa"/>
          </w:tcPr>
          <w:p w:rsidR="001C7BF9" w:rsidRPr="00C9680B" w:rsidRDefault="001C7BF9">
            <w:pPr>
              <w:spacing w:before="40" w:line="170" w:lineRule="atLeast"/>
              <w:jc w:val="left"/>
              <w:rPr>
                <w:snapToGrid w:val="0"/>
                <w:color w:val="000000"/>
                <w:sz w:val="17"/>
                <w:lang w:eastAsia="sv-SE"/>
              </w:rPr>
            </w:pPr>
          </w:p>
        </w:tc>
        <w:tc>
          <w:tcPr>
            <w:tcW w:w="2489" w:type="dxa"/>
            <w:gridSpan w:val="5"/>
          </w:tcPr>
          <w:p w:rsidR="001C7BF9" w:rsidRPr="00C9680B" w:rsidRDefault="001C7BF9">
            <w:pPr>
              <w:spacing w:before="40" w:line="170" w:lineRule="atLeast"/>
              <w:ind w:left="113" w:hanging="113"/>
              <w:jc w:val="left"/>
              <w:rPr>
                <w:snapToGrid w:val="0"/>
                <w:color w:val="000000"/>
                <w:sz w:val="17"/>
                <w:lang w:eastAsia="sv-SE"/>
              </w:rPr>
            </w:pPr>
            <w:r w:rsidRPr="00C9680B">
              <w:rPr>
                <w:snapToGrid w:val="0"/>
                <w:color w:val="000000"/>
                <w:sz w:val="17"/>
                <w:lang w:eastAsia="sv-SE"/>
              </w:rPr>
              <w:t>Justering av skiktgränser som påverkats av komp. för eg</w:t>
            </w:r>
            <w:r w:rsidRPr="00C9680B">
              <w:rPr>
                <w:snapToGrid w:val="0"/>
                <w:color w:val="000000"/>
                <w:sz w:val="17"/>
                <w:lang w:eastAsia="sv-SE"/>
              </w:rPr>
              <w:t>e</w:t>
            </w:r>
            <w:r w:rsidRPr="00C9680B">
              <w:rPr>
                <w:snapToGrid w:val="0"/>
                <w:color w:val="000000"/>
                <w:sz w:val="17"/>
                <w:lang w:eastAsia="sv-SE"/>
              </w:rPr>
              <w:t>navg.</w:t>
            </w:r>
          </w:p>
        </w:tc>
        <w:tc>
          <w:tcPr>
            <w:tcW w:w="708"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r w:rsidRPr="00C9680B">
              <w:rPr>
                <w:snapToGrid w:val="0"/>
                <w:color w:val="000000"/>
                <w:sz w:val="17"/>
                <w:lang w:eastAsia="sv-SE"/>
              </w:rPr>
              <w:t>+2 900</w:t>
            </w:r>
          </w:p>
        </w:tc>
        <w:tc>
          <w:tcPr>
            <w:tcW w:w="708" w:type="dxa"/>
            <w:gridSpan w:val="2"/>
          </w:tcPr>
          <w:p w:rsidR="001C7BF9" w:rsidRPr="00C9680B" w:rsidRDefault="001C7BF9">
            <w:pPr>
              <w:spacing w:before="40" w:line="170" w:lineRule="atLeast"/>
              <w:jc w:val="right"/>
              <w:rPr>
                <w:snapToGrid w:val="0"/>
                <w:color w:val="000000"/>
                <w:sz w:val="17"/>
                <w:lang w:eastAsia="sv-SE"/>
              </w:rPr>
            </w:pPr>
          </w:p>
        </w:tc>
      </w:tr>
      <w:tr w:rsidR="00000000" w:rsidRPr="00C9680B">
        <w:tblPrEx>
          <w:tblCellMar>
            <w:top w:w="0" w:type="dxa"/>
            <w:bottom w:w="0" w:type="dxa"/>
          </w:tblCellMar>
        </w:tblPrEx>
        <w:trPr>
          <w:gridAfter w:val="1"/>
          <w:wAfter w:w="566" w:type="dxa"/>
          <w:trHeight w:val="170"/>
          <w:jc w:val="right"/>
        </w:trPr>
        <w:tc>
          <w:tcPr>
            <w:tcW w:w="460" w:type="dxa"/>
          </w:tcPr>
          <w:p w:rsidR="001C7BF9" w:rsidRPr="00C9680B" w:rsidRDefault="001C7BF9">
            <w:pPr>
              <w:spacing w:before="40" w:line="170" w:lineRule="atLeast"/>
              <w:jc w:val="left"/>
              <w:rPr>
                <w:snapToGrid w:val="0"/>
                <w:color w:val="000000"/>
                <w:sz w:val="17"/>
                <w:lang w:eastAsia="sv-SE"/>
              </w:rPr>
            </w:pPr>
          </w:p>
        </w:tc>
        <w:tc>
          <w:tcPr>
            <w:tcW w:w="2489" w:type="dxa"/>
            <w:gridSpan w:val="5"/>
          </w:tcPr>
          <w:p w:rsidR="001C7BF9" w:rsidRPr="00C9680B" w:rsidRDefault="001C7BF9">
            <w:pPr>
              <w:spacing w:before="40" w:line="170" w:lineRule="atLeast"/>
              <w:ind w:left="113" w:hanging="113"/>
              <w:jc w:val="left"/>
              <w:rPr>
                <w:snapToGrid w:val="0"/>
                <w:color w:val="000000"/>
                <w:sz w:val="17"/>
                <w:lang w:eastAsia="sv-SE"/>
              </w:rPr>
            </w:pPr>
            <w:r w:rsidRPr="00C9680B">
              <w:rPr>
                <w:snapToGrid w:val="0"/>
                <w:color w:val="000000"/>
                <w:sz w:val="17"/>
                <w:lang w:eastAsia="sv-SE"/>
              </w:rPr>
              <w:t>Höjt grundavdrag till 10 000 kr</w:t>
            </w:r>
          </w:p>
        </w:tc>
        <w:tc>
          <w:tcPr>
            <w:tcW w:w="708" w:type="dxa"/>
            <w:gridSpan w:val="2"/>
          </w:tcPr>
          <w:p w:rsidR="001C7BF9" w:rsidRPr="00C9680B" w:rsidRDefault="001C7BF9">
            <w:pPr>
              <w:spacing w:before="40" w:line="170" w:lineRule="atLeast"/>
              <w:jc w:val="right"/>
              <w:rPr>
                <w:snapToGrid w:val="0"/>
                <w:color w:val="000000"/>
                <w:sz w:val="17"/>
                <w:lang w:eastAsia="sv-SE"/>
              </w:rPr>
            </w:pPr>
            <w:r w:rsidRPr="00C9680B">
              <w:rPr>
                <w:snapToGrid w:val="0"/>
                <w:color w:val="000000"/>
                <w:sz w:val="17"/>
                <w:lang w:eastAsia="sv-SE"/>
              </w:rPr>
              <w:t>-730</w:t>
            </w: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r w:rsidRPr="00C9680B">
              <w:rPr>
                <w:snapToGrid w:val="0"/>
                <w:color w:val="000000"/>
                <w:sz w:val="17"/>
                <w:lang w:eastAsia="sv-SE"/>
              </w:rPr>
              <w:t>+2 570</w:t>
            </w:r>
          </w:p>
        </w:tc>
        <w:tc>
          <w:tcPr>
            <w:tcW w:w="709" w:type="dxa"/>
            <w:gridSpan w:val="2"/>
          </w:tcPr>
          <w:p w:rsidR="001C7BF9" w:rsidRPr="00C9680B" w:rsidRDefault="001C7BF9">
            <w:pPr>
              <w:spacing w:before="40" w:line="170" w:lineRule="atLeast"/>
              <w:jc w:val="right"/>
              <w:rPr>
                <w:snapToGrid w:val="0"/>
                <w:color w:val="000000"/>
                <w:sz w:val="17"/>
                <w:lang w:eastAsia="sv-SE"/>
              </w:rPr>
            </w:pPr>
            <w:r w:rsidRPr="00C9680B">
              <w:rPr>
                <w:snapToGrid w:val="0"/>
                <w:color w:val="000000"/>
                <w:sz w:val="17"/>
                <w:lang w:eastAsia="sv-SE"/>
              </w:rPr>
              <w:t>+730</w:t>
            </w:r>
          </w:p>
        </w:tc>
        <w:tc>
          <w:tcPr>
            <w:tcW w:w="708" w:type="dxa"/>
            <w:gridSpan w:val="2"/>
          </w:tcPr>
          <w:p w:rsidR="001C7BF9" w:rsidRPr="00C9680B" w:rsidRDefault="001C7BF9">
            <w:pPr>
              <w:spacing w:before="40" w:line="170" w:lineRule="atLeast"/>
              <w:jc w:val="right"/>
              <w:rPr>
                <w:snapToGrid w:val="0"/>
                <w:color w:val="000000"/>
                <w:sz w:val="17"/>
                <w:lang w:eastAsia="sv-SE"/>
              </w:rPr>
            </w:pPr>
          </w:p>
        </w:tc>
      </w:tr>
      <w:tr w:rsidR="00000000" w:rsidRPr="00C9680B">
        <w:tblPrEx>
          <w:tblCellMar>
            <w:top w:w="0" w:type="dxa"/>
            <w:bottom w:w="0" w:type="dxa"/>
          </w:tblCellMar>
        </w:tblPrEx>
        <w:trPr>
          <w:gridAfter w:val="1"/>
          <w:wAfter w:w="566" w:type="dxa"/>
          <w:trHeight w:val="170"/>
          <w:jc w:val="right"/>
        </w:trPr>
        <w:tc>
          <w:tcPr>
            <w:tcW w:w="460" w:type="dxa"/>
          </w:tcPr>
          <w:p w:rsidR="001C7BF9" w:rsidRPr="00C9680B" w:rsidRDefault="001C7BF9">
            <w:pPr>
              <w:spacing w:before="40" w:line="170" w:lineRule="atLeast"/>
              <w:jc w:val="left"/>
              <w:rPr>
                <w:snapToGrid w:val="0"/>
                <w:color w:val="000000"/>
                <w:sz w:val="17"/>
                <w:lang w:eastAsia="sv-SE"/>
              </w:rPr>
            </w:pPr>
          </w:p>
        </w:tc>
        <w:tc>
          <w:tcPr>
            <w:tcW w:w="2489" w:type="dxa"/>
            <w:gridSpan w:val="5"/>
          </w:tcPr>
          <w:p w:rsidR="001C7BF9" w:rsidRPr="00C9680B" w:rsidRDefault="001C7BF9">
            <w:pPr>
              <w:spacing w:before="40" w:line="170" w:lineRule="atLeast"/>
              <w:ind w:left="113" w:hanging="113"/>
              <w:jc w:val="left"/>
              <w:rPr>
                <w:snapToGrid w:val="0"/>
                <w:color w:val="000000"/>
                <w:sz w:val="17"/>
                <w:lang w:eastAsia="sv-SE"/>
              </w:rPr>
            </w:pPr>
            <w:r w:rsidRPr="00C9680B">
              <w:rPr>
                <w:snapToGrid w:val="0"/>
                <w:color w:val="000000"/>
                <w:sz w:val="17"/>
                <w:lang w:eastAsia="sv-SE"/>
              </w:rPr>
              <w:t>Höjt grundavdrag max 34 000 kr, netto</w:t>
            </w:r>
          </w:p>
        </w:tc>
        <w:tc>
          <w:tcPr>
            <w:tcW w:w="708"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160" w:line="170" w:lineRule="atLeast"/>
              <w:jc w:val="right"/>
              <w:rPr>
                <w:snapToGrid w:val="0"/>
                <w:color w:val="000000"/>
                <w:sz w:val="17"/>
                <w:lang w:eastAsia="sv-SE"/>
              </w:rPr>
            </w:pPr>
            <w:r w:rsidRPr="00C9680B">
              <w:rPr>
                <w:snapToGrid w:val="0"/>
                <w:color w:val="000000"/>
                <w:sz w:val="17"/>
                <w:lang w:eastAsia="sv-SE"/>
              </w:rPr>
              <w:t>-3 330</w:t>
            </w: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8" w:type="dxa"/>
            <w:gridSpan w:val="2"/>
          </w:tcPr>
          <w:p w:rsidR="001C7BF9" w:rsidRPr="00C9680B" w:rsidRDefault="001C7BF9">
            <w:pPr>
              <w:spacing w:before="40" w:line="170" w:lineRule="atLeast"/>
              <w:jc w:val="right"/>
              <w:rPr>
                <w:snapToGrid w:val="0"/>
                <w:color w:val="000000"/>
                <w:sz w:val="17"/>
                <w:lang w:eastAsia="sv-SE"/>
              </w:rPr>
            </w:pPr>
          </w:p>
        </w:tc>
      </w:tr>
      <w:tr w:rsidR="00000000" w:rsidRPr="00C9680B">
        <w:tblPrEx>
          <w:tblCellMar>
            <w:top w:w="0" w:type="dxa"/>
            <w:bottom w:w="0" w:type="dxa"/>
          </w:tblCellMar>
        </w:tblPrEx>
        <w:trPr>
          <w:gridAfter w:val="1"/>
          <w:wAfter w:w="566" w:type="dxa"/>
          <w:trHeight w:val="170"/>
          <w:jc w:val="right"/>
        </w:trPr>
        <w:tc>
          <w:tcPr>
            <w:tcW w:w="460" w:type="dxa"/>
          </w:tcPr>
          <w:p w:rsidR="001C7BF9" w:rsidRPr="00C9680B" w:rsidRDefault="001C7BF9">
            <w:pPr>
              <w:spacing w:before="40" w:line="170" w:lineRule="atLeast"/>
              <w:jc w:val="left"/>
              <w:rPr>
                <w:snapToGrid w:val="0"/>
                <w:color w:val="000000"/>
                <w:sz w:val="17"/>
                <w:lang w:eastAsia="sv-SE"/>
              </w:rPr>
            </w:pPr>
          </w:p>
        </w:tc>
        <w:tc>
          <w:tcPr>
            <w:tcW w:w="2489" w:type="dxa"/>
            <w:gridSpan w:val="5"/>
          </w:tcPr>
          <w:p w:rsidR="001C7BF9" w:rsidRPr="00C9680B" w:rsidRDefault="001C7BF9">
            <w:pPr>
              <w:spacing w:before="40" w:line="170" w:lineRule="atLeast"/>
              <w:ind w:left="113" w:hanging="113"/>
              <w:jc w:val="left"/>
              <w:rPr>
                <w:snapToGrid w:val="0"/>
                <w:color w:val="000000"/>
                <w:sz w:val="17"/>
                <w:lang w:eastAsia="sv-SE"/>
              </w:rPr>
            </w:pPr>
            <w:r w:rsidRPr="00C9680B">
              <w:rPr>
                <w:snapToGrid w:val="0"/>
                <w:color w:val="000000"/>
                <w:sz w:val="17"/>
                <w:lang w:eastAsia="sv-SE"/>
              </w:rPr>
              <w:t>Höjt grundavdrag till 20 000 kr</w:t>
            </w:r>
          </w:p>
        </w:tc>
        <w:tc>
          <w:tcPr>
            <w:tcW w:w="708"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r w:rsidRPr="00C9680B">
              <w:rPr>
                <w:snapToGrid w:val="0"/>
                <w:color w:val="000000"/>
                <w:sz w:val="17"/>
                <w:lang w:eastAsia="sv-SE"/>
              </w:rPr>
              <w:t>-16 900</w:t>
            </w: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8" w:type="dxa"/>
            <w:gridSpan w:val="2"/>
          </w:tcPr>
          <w:p w:rsidR="001C7BF9" w:rsidRPr="00C9680B" w:rsidRDefault="001C7BF9">
            <w:pPr>
              <w:spacing w:before="40" w:line="170" w:lineRule="atLeast"/>
              <w:jc w:val="right"/>
              <w:rPr>
                <w:snapToGrid w:val="0"/>
                <w:color w:val="000000"/>
                <w:sz w:val="17"/>
                <w:lang w:eastAsia="sv-SE"/>
              </w:rPr>
            </w:pPr>
          </w:p>
        </w:tc>
      </w:tr>
      <w:tr w:rsidR="00000000" w:rsidRPr="00C9680B">
        <w:tblPrEx>
          <w:tblCellMar>
            <w:top w:w="0" w:type="dxa"/>
            <w:bottom w:w="0" w:type="dxa"/>
          </w:tblCellMar>
        </w:tblPrEx>
        <w:trPr>
          <w:gridAfter w:val="1"/>
          <w:wAfter w:w="566" w:type="dxa"/>
          <w:trHeight w:val="170"/>
          <w:jc w:val="right"/>
        </w:trPr>
        <w:tc>
          <w:tcPr>
            <w:tcW w:w="460" w:type="dxa"/>
          </w:tcPr>
          <w:p w:rsidR="001C7BF9" w:rsidRPr="00C9680B" w:rsidRDefault="001C7BF9">
            <w:pPr>
              <w:spacing w:before="40" w:line="170" w:lineRule="atLeast"/>
              <w:jc w:val="left"/>
              <w:rPr>
                <w:snapToGrid w:val="0"/>
                <w:color w:val="000000"/>
                <w:sz w:val="17"/>
                <w:lang w:eastAsia="sv-SE"/>
              </w:rPr>
            </w:pPr>
          </w:p>
        </w:tc>
        <w:tc>
          <w:tcPr>
            <w:tcW w:w="2489" w:type="dxa"/>
            <w:gridSpan w:val="5"/>
          </w:tcPr>
          <w:p w:rsidR="001C7BF9" w:rsidRPr="00C9680B" w:rsidRDefault="001C7BF9">
            <w:pPr>
              <w:spacing w:before="40" w:line="170" w:lineRule="atLeast"/>
              <w:ind w:left="113" w:hanging="113"/>
              <w:jc w:val="left"/>
              <w:rPr>
                <w:snapToGrid w:val="0"/>
                <w:color w:val="000000"/>
                <w:sz w:val="17"/>
                <w:lang w:eastAsia="sv-SE"/>
              </w:rPr>
            </w:pPr>
            <w:r w:rsidRPr="00C9680B">
              <w:rPr>
                <w:snapToGrid w:val="0"/>
                <w:color w:val="000000"/>
                <w:sz w:val="17"/>
                <w:lang w:eastAsia="sv-SE"/>
              </w:rPr>
              <w:t>Höjt grundavdrag till 15 000 kr</w:t>
            </w:r>
          </w:p>
        </w:tc>
        <w:tc>
          <w:tcPr>
            <w:tcW w:w="708"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r w:rsidRPr="00C9680B">
              <w:rPr>
                <w:snapToGrid w:val="0"/>
                <w:color w:val="000000"/>
                <w:sz w:val="17"/>
                <w:lang w:eastAsia="sv-SE"/>
              </w:rPr>
              <w:t>-8 300</w:t>
            </w:r>
          </w:p>
        </w:tc>
        <w:tc>
          <w:tcPr>
            <w:tcW w:w="708" w:type="dxa"/>
            <w:gridSpan w:val="2"/>
          </w:tcPr>
          <w:p w:rsidR="001C7BF9" w:rsidRPr="00C9680B" w:rsidRDefault="001C7BF9">
            <w:pPr>
              <w:spacing w:before="40" w:line="170" w:lineRule="atLeast"/>
              <w:jc w:val="right"/>
              <w:rPr>
                <w:snapToGrid w:val="0"/>
                <w:color w:val="000000"/>
                <w:sz w:val="17"/>
                <w:lang w:eastAsia="sv-SE"/>
              </w:rPr>
            </w:pPr>
          </w:p>
        </w:tc>
      </w:tr>
      <w:tr w:rsidR="00000000" w:rsidRPr="00C9680B">
        <w:tblPrEx>
          <w:tblCellMar>
            <w:top w:w="0" w:type="dxa"/>
            <w:bottom w:w="0" w:type="dxa"/>
          </w:tblCellMar>
        </w:tblPrEx>
        <w:trPr>
          <w:gridBefore w:val="2"/>
          <w:wBefore w:w="567" w:type="dxa"/>
          <w:trHeight w:val="170"/>
          <w:jc w:val="right"/>
        </w:trPr>
        <w:tc>
          <w:tcPr>
            <w:tcW w:w="454" w:type="dxa"/>
          </w:tcPr>
          <w:p w:rsidR="001C7BF9" w:rsidRPr="00C9680B" w:rsidRDefault="001C7BF9">
            <w:pPr>
              <w:spacing w:before="40" w:line="170" w:lineRule="atLeast"/>
              <w:jc w:val="left"/>
              <w:rPr>
                <w:snapToGrid w:val="0"/>
                <w:color w:val="000000"/>
                <w:sz w:val="17"/>
                <w:lang w:eastAsia="sv-SE"/>
              </w:rPr>
            </w:pPr>
          </w:p>
        </w:tc>
        <w:tc>
          <w:tcPr>
            <w:tcW w:w="2494" w:type="dxa"/>
            <w:gridSpan w:val="4"/>
          </w:tcPr>
          <w:p w:rsidR="001C7BF9" w:rsidRPr="00C9680B" w:rsidRDefault="001C7BF9">
            <w:pPr>
              <w:spacing w:before="40" w:line="170" w:lineRule="atLeast"/>
              <w:ind w:left="113" w:hanging="113"/>
              <w:jc w:val="left"/>
              <w:rPr>
                <w:snapToGrid w:val="0"/>
                <w:color w:val="000000"/>
                <w:sz w:val="17"/>
                <w:lang w:eastAsia="sv-SE"/>
              </w:rPr>
            </w:pPr>
            <w:r w:rsidRPr="00C9680B">
              <w:rPr>
                <w:snapToGrid w:val="0"/>
                <w:color w:val="000000"/>
                <w:sz w:val="17"/>
                <w:lang w:eastAsia="sv-SE"/>
              </w:rPr>
              <w:t xml:space="preserve">Höjt grundavdrag </w:t>
            </w:r>
          </w:p>
        </w:tc>
        <w:tc>
          <w:tcPr>
            <w:tcW w:w="708"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8" w:type="dxa"/>
            <w:gridSpan w:val="2"/>
          </w:tcPr>
          <w:p w:rsidR="001C7BF9" w:rsidRPr="00C9680B" w:rsidRDefault="001C7BF9">
            <w:pPr>
              <w:spacing w:before="40" w:line="170" w:lineRule="atLeast"/>
              <w:jc w:val="right"/>
              <w:rPr>
                <w:snapToGrid w:val="0"/>
                <w:color w:val="000000"/>
                <w:sz w:val="17"/>
                <w:lang w:eastAsia="sv-SE"/>
              </w:rPr>
            </w:pPr>
            <w:r w:rsidRPr="00C9680B">
              <w:rPr>
                <w:snapToGrid w:val="0"/>
                <w:color w:val="000000"/>
                <w:sz w:val="17"/>
                <w:lang w:eastAsia="sv-SE"/>
              </w:rPr>
              <w:t>-1 100</w:t>
            </w:r>
          </w:p>
        </w:tc>
      </w:tr>
      <w:tr w:rsidR="00000000" w:rsidRPr="00C9680B">
        <w:tblPrEx>
          <w:tblCellMar>
            <w:top w:w="0" w:type="dxa"/>
            <w:bottom w:w="0" w:type="dxa"/>
          </w:tblCellMar>
        </w:tblPrEx>
        <w:trPr>
          <w:gridBefore w:val="2"/>
          <w:wBefore w:w="567" w:type="dxa"/>
          <w:trHeight w:val="170"/>
          <w:jc w:val="right"/>
        </w:trPr>
        <w:tc>
          <w:tcPr>
            <w:tcW w:w="454" w:type="dxa"/>
          </w:tcPr>
          <w:p w:rsidR="001C7BF9" w:rsidRPr="00C9680B" w:rsidRDefault="001C7BF9">
            <w:pPr>
              <w:spacing w:before="40" w:line="170" w:lineRule="atLeast"/>
              <w:jc w:val="left"/>
              <w:rPr>
                <w:snapToGrid w:val="0"/>
                <w:color w:val="000000"/>
                <w:sz w:val="17"/>
                <w:lang w:eastAsia="sv-SE"/>
              </w:rPr>
            </w:pPr>
          </w:p>
        </w:tc>
        <w:tc>
          <w:tcPr>
            <w:tcW w:w="2494" w:type="dxa"/>
            <w:gridSpan w:val="4"/>
          </w:tcPr>
          <w:p w:rsidR="001C7BF9" w:rsidRPr="00C9680B" w:rsidRDefault="001C7BF9">
            <w:pPr>
              <w:spacing w:before="40" w:line="170" w:lineRule="atLeast"/>
              <w:ind w:left="113" w:hanging="113"/>
              <w:jc w:val="left"/>
              <w:rPr>
                <w:snapToGrid w:val="0"/>
                <w:color w:val="000000"/>
                <w:sz w:val="17"/>
                <w:lang w:eastAsia="sv-SE"/>
              </w:rPr>
            </w:pPr>
            <w:r w:rsidRPr="00C9680B">
              <w:rPr>
                <w:snapToGrid w:val="0"/>
                <w:color w:val="000000"/>
                <w:sz w:val="17"/>
                <w:lang w:eastAsia="sv-SE"/>
              </w:rPr>
              <w:t>Grundavdrag med 12 000 kr per barn</w:t>
            </w:r>
          </w:p>
        </w:tc>
        <w:tc>
          <w:tcPr>
            <w:tcW w:w="708"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160" w:line="170" w:lineRule="atLeast"/>
              <w:jc w:val="right"/>
              <w:rPr>
                <w:snapToGrid w:val="0"/>
                <w:color w:val="000000"/>
                <w:sz w:val="17"/>
                <w:lang w:eastAsia="sv-SE"/>
              </w:rPr>
            </w:pPr>
            <w:r w:rsidRPr="00C9680B">
              <w:rPr>
                <w:snapToGrid w:val="0"/>
                <w:color w:val="000000"/>
                <w:sz w:val="17"/>
                <w:lang w:eastAsia="sv-SE"/>
              </w:rPr>
              <w:t>-220</w:t>
            </w: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8" w:type="dxa"/>
            <w:gridSpan w:val="2"/>
          </w:tcPr>
          <w:p w:rsidR="001C7BF9" w:rsidRPr="00C9680B" w:rsidRDefault="001C7BF9">
            <w:pPr>
              <w:spacing w:before="40" w:line="170" w:lineRule="atLeast"/>
              <w:jc w:val="right"/>
              <w:rPr>
                <w:snapToGrid w:val="0"/>
                <w:color w:val="000000"/>
                <w:sz w:val="17"/>
                <w:lang w:eastAsia="sv-SE"/>
              </w:rPr>
            </w:pPr>
          </w:p>
        </w:tc>
      </w:tr>
      <w:tr w:rsidR="00000000" w:rsidRPr="00C9680B">
        <w:tblPrEx>
          <w:tblCellMar>
            <w:top w:w="0" w:type="dxa"/>
            <w:bottom w:w="0" w:type="dxa"/>
          </w:tblCellMar>
        </w:tblPrEx>
        <w:trPr>
          <w:gridBefore w:val="2"/>
          <w:wBefore w:w="567" w:type="dxa"/>
          <w:trHeight w:val="170"/>
          <w:jc w:val="right"/>
        </w:trPr>
        <w:tc>
          <w:tcPr>
            <w:tcW w:w="454" w:type="dxa"/>
          </w:tcPr>
          <w:p w:rsidR="001C7BF9" w:rsidRPr="00C9680B" w:rsidRDefault="001C7BF9">
            <w:pPr>
              <w:spacing w:before="40" w:line="170" w:lineRule="atLeast"/>
              <w:jc w:val="left"/>
              <w:rPr>
                <w:snapToGrid w:val="0"/>
                <w:color w:val="000000"/>
                <w:sz w:val="17"/>
                <w:lang w:eastAsia="sv-SE"/>
              </w:rPr>
            </w:pPr>
          </w:p>
        </w:tc>
        <w:tc>
          <w:tcPr>
            <w:tcW w:w="2494" w:type="dxa"/>
            <w:gridSpan w:val="4"/>
          </w:tcPr>
          <w:p w:rsidR="001C7BF9" w:rsidRPr="00C9680B" w:rsidRDefault="001C7BF9">
            <w:pPr>
              <w:spacing w:before="40" w:line="170" w:lineRule="atLeast"/>
              <w:ind w:left="113" w:hanging="113"/>
              <w:jc w:val="left"/>
              <w:rPr>
                <w:snapToGrid w:val="0"/>
                <w:color w:val="000000"/>
                <w:sz w:val="17"/>
                <w:lang w:eastAsia="sv-SE"/>
              </w:rPr>
            </w:pPr>
            <w:r w:rsidRPr="00C9680B">
              <w:rPr>
                <w:snapToGrid w:val="0"/>
                <w:color w:val="000000"/>
                <w:sz w:val="17"/>
                <w:lang w:eastAsia="sv-SE"/>
              </w:rPr>
              <w:t>Sänkt skatt för barnfami</w:t>
            </w:r>
            <w:r w:rsidRPr="00C9680B">
              <w:rPr>
                <w:snapToGrid w:val="0"/>
                <w:color w:val="000000"/>
                <w:sz w:val="17"/>
                <w:lang w:eastAsia="sv-SE"/>
              </w:rPr>
              <w:t>l</w:t>
            </w:r>
            <w:r w:rsidRPr="00C9680B">
              <w:rPr>
                <w:snapToGrid w:val="0"/>
                <w:color w:val="000000"/>
                <w:sz w:val="17"/>
                <w:lang w:eastAsia="sv-SE"/>
              </w:rPr>
              <w:t>jer</w:t>
            </w:r>
          </w:p>
        </w:tc>
        <w:tc>
          <w:tcPr>
            <w:tcW w:w="708"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9" w:type="dxa"/>
            <w:gridSpan w:val="2"/>
          </w:tcPr>
          <w:p w:rsidR="001C7BF9" w:rsidRPr="00C9680B" w:rsidRDefault="001C7BF9">
            <w:pPr>
              <w:spacing w:before="40" w:line="170" w:lineRule="atLeast"/>
              <w:jc w:val="right"/>
              <w:rPr>
                <w:snapToGrid w:val="0"/>
                <w:color w:val="000000"/>
                <w:sz w:val="17"/>
                <w:lang w:eastAsia="sv-SE"/>
              </w:rPr>
            </w:pPr>
            <w:r w:rsidRPr="00C9680B">
              <w:rPr>
                <w:snapToGrid w:val="0"/>
                <w:color w:val="000000"/>
                <w:sz w:val="17"/>
                <w:lang w:eastAsia="sv-SE"/>
              </w:rPr>
              <w:t>-500</w:t>
            </w:r>
          </w:p>
        </w:tc>
        <w:tc>
          <w:tcPr>
            <w:tcW w:w="709" w:type="dxa"/>
            <w:gridSpan w:val="2"/>
          </w:tcPr>
          <w:p w:rsidR="001C7BF9" w:rsidRPr="00C9680B" w:rsidRDefault="001C7BF9">
            <w:pPr>
              <w:spacing w:before="40" w:line="170" w:lineRule="atLeast"/>
              <w:jc w:val="right"/>
              <w:rPr>
                <w:snapToGrid w:val="0"/>
                <w:color w:val="000000"/>
                <w:sz w:val="17"/>
                <w:lang w:eastAsia="sv-SE"/>
              </w:rPr>
            </w:pPr>
          </w:p>
        </w:tc>
        <w:tc>
          <w:tcPr>
            <w:tcW w:w="708" w:type="dxa"/>
            <w:gridSpan w:val="2"/>
          </w:tcPr>
          <w:p w:rsidR="001C7BF9" w:rsidRPr="00C9680B" w:rsidRDefault="001C7BF9">
            <w:pPr>
              <w:spacing w:before="40" w:line="170" w:lineRule="atLeast"/>
              <w:jc w:val="right"/>
              <w:rPr>
                <w:snapToGrid w:val="0"/>
                <w:color w:val="000000"/>
                <w:sz w:val="17"/>
                <w:lang w:eastAsia="sv-SE"/>
              </w:rPr>
            </w:pPr>
            <w:r w:rsidRPr="00C9680B">
              <w:rPr>
                <w:snapToGrid w:val="0"/>
                <w:color w:val="000000"/>
                <w:sz w:val="17"/>
                <w:lang w:eastAsia="sv-SE"/>
              </w:rPr>
              <w:t>-3 700</w:t>
            </w:r>
          </w:p>
        </w:tc>
      </w:tr>
    </w:tbl>
    <w:p w:rsidR="001C7BF9" w:rsidRPr="00C9680B" w:rsidRDefault="001C7BF9"/>
    <w:p w:rsidR="001C7BF9" w:rsidRPr="00C9680B" w:rsidRDefault="001C7BF9"/>
    <w:tbl>
      <w:tblPr>
        <w:tblW w:w="0" w:type="auto"/>
        <w:tblInd w:w="-30" w:type="dxa"/>
        <w:tblLayout w:type="fixed"/>
        <w:tblCellMar>
          <w:left w:w="30" w:type="dxa"/>
          <w:right w:w="30" w:type="dxa"/>
        </w:tblCellMar>
        <w:tblLook w:val="0000" w:firstRow="0" w:lastRow="0" w:firstColumn="0" w:lastColumn="0" w:noHBand="0" w:noVBand="0"/>
      </w:tblPr>
      <w:tblGrid>
        <w:gridCol w:w="30"/>
        <w:gridCol w:w="57"/>
        <w:gridCol w:w="426"/>
        <w:gridCol w:w="480"/>
        <w:gridCol w:w="1929"/>
        <w:gridCol w:w="284"/>
        <w:gridCol w:w="709"/>
        <w:gridCol w:w="708"/>
        <w:gridCol w:w="709"/>
        <w:gridCol w:w="709"/>
        <w:gridCol w:w="709"/>
      </w:tblGrid>
      <w:tr w:rsidR="00000000" w:rsidRPr="00C9680B">
        <w:tblPrEx>
          <w:tblCellMar>
            <w:top w:w="0" w:type="dxa"/>
            <w:bottom w:w="0" w:type="dxa"/>
          </w:tblCellMar>
        </w:tblPrEx>
        <w:trPr>
          <w:gridBefore w:val="1"/>
          <w:wBefore w:w="30" w:type="dxa"/>
          <w:cantSplit/>
          <w:trHeight w:val="247"/>
        </w:trPr>
        <w:tc>
          <w:tcPr>
            <w:tcW w:w="2892" w:type="dxa"/>
            <w:gridSpan w:val="4"/>
            <w:tcBorders>
              <w:top w:val="single" w:sz="4" w:space="0" w:color="auto"/>
            </w:tcBorders>
          </w:tcPr>
          <w:p w:rsidR="001C7BF9" w:rsidRPr="00C9680B" w:rsidRDefault="001C7BF9">
            <w:pPr>
              <w:spacing w:before="40" w:line="180" w:lineRule="exact"/>
              <w:rPr>
                <w:snapToGrid w:val="0"/>
                <w:color w:val="000000"/>
                <w:sz w:val="17"/>
                <w:lang w:eastAsia="sv-SE"/>
              </w:rPr>
            </w:pPr>
          </w:p>
        </w:tc>
        <w:tc>
          <w:tcPr>
            <w:tcW w:w="993" w:type="dxa"/>
            <w:gridSpan w:val="2"/>
            <w:tcBorders>
              <w:top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Reg</w:t>
            </w:r>
            <w:r w:rsidRPr="00C9680B">
              <w:rPr>
                <w:b/>
                <w:snapToGrid w:val="0"/>
                <w:color w:val="000000"/>
                <w:sz w:val="17"/>
                <w:lang w:eastAsia="sv-SE"/>
              </w:rPr>
              <w:t>e</w:t>
            </w:r>
            <w:r w:rsidRPr="00C9680B">
              <w:rPr>
                <w:b/>
                <w:snapToGrid w:val="0"/>
                <w:color w:val="000000"/>
                <w:sz w:val="17"/>
                <w:lang w:eastAsia="sv-SE"/>
              </w:rPr>
              <w:t>ringens</w:t>
            </w:r>
          </w:p>
        </w:tc>
        <w:tc>
          <w:tcPr>
            <w:tcW w:w="2835" w:type="dxa"/>
            <w:gridSpan w:val="4"/>
            <w:tcBorders>
              <w:top w:val="single" w:sz="4" w:space="0" w:color="auto"/>
              <w:bottom w:val="single" w:sz="4" w:space="0" w:color="auto"/>
            </w:tcBorders>
          </w:tcPr>
          <w:p w:rsidR="001C7BF9" w:rsidRPr="00C9680B" w:rsidRDefault="001C7BF9">
            <w:pPr>
              <w:spacing w:before="40" w:line="180" w:lineRule="exact"/>
              <w:jc w:val="center"/>
              <w:rPr>
                <w:snapToGrid w:val="0"/>
                <w:color w:val="000000"/>
                <w:sz w:val="17"/>
                <w:lang w:eastAsia="sv-SE"/>
              </w:rPr>
            </w:pPr>
            <w:r w:rsidRPr="00C9680B">
              <w:rPr>
                <w:snapToGrid w:val="0"/>
                <w:color w:val="000000"/>
                <w:sz w:val="17"/>
                <w:lang w:eastAsia="sv-SE"/>
              </w:rPr>
              <w:t>Avvikelser från regeringens förslag</w:t>
            </w:r>
          </w:p>
        </w:tc>
      </w:tr>
      <w:tr w:rsidR="00000000" w:rsidRPr="00C9680B">
        <w:tblPrEx>
          <w:tblCellMar>
            <w:top w:w="0" w:type="dxa"/>
            <w:bottom w:w="0" w:type="dxa"/>
          </w:tblCellMar>
        </w:tblPrEx>
        <w:trPr>
          <w:gridBefore w:val="1"/>
          <w:wBefore w:w="30" w:type="dxa"/>
          <w:trHeight w:val="247"/>
        </w:trPr>
        <w:tc>
          <w:tcPr>
            <w:tcW w:w="963" w:type="dxa"/>
            <w:gridSpan w:val="3"/>
            <w:tcBorders>
              <w:bottom w:val="single" w:sz="4" w:space="0" w:color="auto"/>
            </w:tcBorders>
          </w:tcPr>
          <w:p w:rsidR="001C7BF9" w:rsidRPr="00C9680B" w:rsidRDefault="001C7BF9">
            <w:pPr>
              <w:spacing w:before="40" w:line="180" w:lineRule="exact"/>
              <w:rPr>
                <w:snapToGrid w:val="0"/>
                <w:color w:val="000000"/>
                <w:sz w:val="17"/>
                <w:lang w:eastAsia="sv-SE"/>
              </w:rPr>
            </w:pPr>
            <w:r w:rsidRPr="00C9680B">
              <w:rPr>
                <w:snapToGrid w:val="0"/>
                <w:color w:val="000000"/>
                <w:sz w:val="17"/>
                <w:lang w:eastAsia="sv-SE"/>
              </w:rPr>
              <w:t>Inkomstt</w:t>
            </w:r>
            <w:r w:rsidRPr="00C9680B">
              <w:rPr>
                <w:snapToGrid w:val="0"/>
                <w:color w:val="000000"/>
                <w:sz w:val="17"/>
                <w:lang w:eastAsia="sv-SE"/>
              </w:rPr>
              <w:t>i</w:t>
            </w:r>
            <w:r w:rsidRPr="00C9680B">
              <w:rPr>
                <w:snapToGrid w:val="0"/>
                <w:color w:val="000000"/>
                <w:sz w:val="17"/>
                <w:lang w:eastAsia="sv-SE"/>
              </w:rPr>
              <w:t>tel</w:t>
            </w:r>
          </w:p>
        </w:tc>
        <w:tc>
          <w:tcPr>
            <w:tcW w:w="1929"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993" w:type="dxa"/>
            <w:gridSpan w:val="2"/>
            <w:tcBorders>
              <w:bottom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förslag</w:t>
            </w:r>
          </w:p>
        </w:tc>
        <w:tc>
          <w:tcPr>
            <w:tcW w:w="708" w:type="dxa"/>
            <w:tcBorders>
              <w:bottom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m</w:t>
            </w:r>
          </w:p>
        </w:tc>
        <w:tc>
          <w:tcPr>
            <w:tcW w:w="709" w:type="dxa"/>
            <w:tcBorders>
              <w:bottom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kd</w:t>
            </w:r>
          </w:p>
        </w:tc>
        <w:tc>
          <w:tcPr>
            <w:tcW w:w="709" w:type="dxa"/>
            <w:tcBorders>
              <w:bottom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c</w:t>
            </w:r>
          </w:p>
        </w:tc>
        <w:tc>
          <w:tcPr>
            <w:tcW w:w="709" w:type="dxa"/>
            <w:tcBorders>
              <w:bottom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fp</w:t>
            </w:r>
          </w:p>
        </w:tc>
      </w:tr>
      <w:tr w:rsidR="00000000" w:rsidRPr="00C9680B">
        <w:tblPrEx>
          <w:tblCellMar>
            <w:top w:w="0" w:type="dxa"/>
            <w:bottom w:w="0" w:type="dxa"/>
          </w:tblCellMar>
        </w:tblPrEx>
        <w:trPr>
          <w:gridBefore w:val="1"/>
          <w:wBefore w:w="30" w:type="dxa"/>
          <w:trHeight w:val="359"/>
        </w:trPr>
        <w:tc>
          <w:tcPr>
            <w:tcW w:w="483" w:type="dxa"/>
            <w:gridSpan w:val="2"/>
          </w:tcPr>
          <w:p w:rsidR="001C7BF9" w:rsidRPr="00C9680B" w:rsidRDefault="001C7BF9">
            <w:pPr>
              <w:spacing w:before="40" w:line="180" w:lineRule="exact"/>
              <w:jc w:val="left"/>
              <w:rPr>
                <w:b/>
                <w:snapToGrid w:val="0"/>
                <w:color w:val="000000"/>
                <w:sz w:val="17"/>
                <w:lang w:eastAsia="sv-SE"/>
              </w:rPr>
            </w:pPr>
            <w:r w:rsidRPr="00C9680B">
              <w:rPr>
                <w:b/>
                <w:snapToGrid w:val="0"/>
                <w:color w:val="000000"/>
                <w:sz w:val="17"/>
                <w:lang w:eastAsia="sv-SE"/>
              </w:rPr>
              <w:t>1111</w:t>
            </w:r>
          </w:p>
        </w:tc>
        <w:tc>
          <w:tcPr>
            <w:tcW w:w="2693" w:type="dxa"/>
            <w:gridSpan w:val="3"/>
          </w:tcPr>
          <w:p w:rsidR="001C7BF9" w:rsidRPr="00C9680B" w:rsidRDefault="001C7BF9">
            <w:pPr>
              <w:spacing w:before="40" w:line="180" w:lineRule="exact"/>
              <w:jc w:val="left"/>
              <w:rPr>
                <w:b/>
                <w:snapToGrid w:val="0"/>
                <w:color w:val="000000"/>
                <w:sz w:val="17"/>
                <w:lang w:eastAsia="sv-SE"/>
              </w:rPr>
            </w:pPr>
            <w:r w:rsidRPr="00C9680B">
              <w:rPr>
                <w:b/>
                <w:snapToGrid w:val="0"/>
                <w:color w:val="000000"/>
                <w:sz w:val="17"/>
                <w:lang w:eastAsia="sv-SE"/>
              </w:rPr>
              <w:t>Fysiska personers inkoms</w:t>
            </w:r>
            <w:r w:rsidRPr="00C9680B">
              <w:rPr>
                <w:b/>
                <w:snapToGrid w:val="0"/>
                <w:color w:val="000000"/>
                <w:sz w:val="17"/>
                <w:lang w:eastAsia="sv-SE"/>
              </w:rPr>
              <w:t>t</w:t>
            </w:r>
            <w:r w:rsidRPr="00C9680B">
              <w:rPr>
                <w:b/>
                <w:snapToGrid w:val="0"/>
                <w:color w:val="000000"/>
                <w:sz w:val="17"/>
                <w:lang w:eastAsia="sv-SE"/>
              </w:rPr>
              <w:t>skatt</w:t>
            </w:r>
          </w:p>
          <w:p w:rsidR="001C7BF9" w:rsidRPr="00C9680B" w:rsidRDefault="001C7BF9">
            <w:pPr>
              <w:pStyle w:val="Normaltindrag"/>
              <w:spacing w:line="180" w:lineRule="atLeast"/>
              <w:ind w:firstLine="0"/>
              <w:rPr>
                <w:b/>
                <w:sz w:val="17"/>
              </w:rPr>
            </w:pPr>
            <w:r w:rsidRPr="00C9680B">
              <w:rPr>
                <w:b/>
                <w:sz w:val="17"/>
              </w:rPr>
              <w:t xml:space="preserve"> forts. </w:t>
            </w:r>
          </w:p>
        </w:tc>
        <w:tc>
          <w:tcPr>
            <w:tcW w:w="709" w:type="dxa"/>
          </w:tcPr>
          <w:p w:rsidR="001C7BF9" w:rsidRPr="00C9680B" w:rsidRDefault="001C7BF9">
            <w:pPr>
              <w:spacing w:before="40" w:line="180" w:lineRule="exact"/>
              <w:jc w:val="right"/>
              <w:rPr>
                <w:b/>
                <w:snapToGrid w:val="0"/>
                <w:color w:val="000000"/>
                <w:sz w:val="17"/>
                <w:lang w:eastAsia="sv-SE"/>
              </w:rPr>
            </w:pPr>
          </w:p>
        </w:tc>
        <w:tc>
          <w:tcPr>
            <w:tcW w:w="708" w:type="dxa"/>
          </w:tcPr>
          <w:p w:rsidR="001C7BF9" w:rsidRPr="00C9680B" w:rsidRDefault="001C7BF9">
            <w:pPr>
              <w:spacing w:before="40" w:line="180" w:lineRule="exact"/>
              <w:jc w:val="right"/>
              <w:rPr>
                <w:b/>
                <w:snapToGrid w:val="0"/>
                <w:color w:val="000000"/>
                <w:sz w:val="17"/>
                <w:lang w:eastAsia="sv-SE"/>
              </w:rPr>
            </w:pPr>
          </w:p>
        </w:tc>
        <w:tc>
          <w:tcPr>
            <w:tcW w:w="709" w:type="dxa"/>
          </w:tcPr>
          <w:p w:rsidR="001C7BF9" w:rsidRPr="00C9680B" w:rsidRDefault="001C7BF9">
            <w:pPr>
              <w:spacing w:before="40" w:line="180" w:lineRule="exact"/>
              <w:jc w:val="right"/>
              <w:rPr>
                <w:b/>
                <w:snapToGrid w:val="0"/>
                <w:color w:val="000000"/>
                <w:sz w:val="17"/>
                <w:lang w:eastAsia="sv-SE"/>
              </w:rPr>
            </w:pPr>
          </w:p>
        </w:tc>
        <w:tc>
          <w:tcPr>
            <w:tcW w:w="709" w:type="dxa"/>
          </w:tcPr>
          <w:p w:rsidR="001C7BF9" w:rsidRPr="00C9680B" w:rsidRDefault="001C7BF9">
            <w:pPr>
              <w:spacing w:before="40" w:line="180" w:lineRule="exact"/>
              <w:jc w:val="right"/>
              <w:rPr>
                <w:b/>
                <w:snapToGrid w:val="0"/>
                <w:color w:val="000000"/>
                <w:sz w:val="17"/>
                <w:lang w:eastAsia="sv-SE"/>
              </w:rPr>
            </w:pPr>
          </w:p>
        </w:tc>
        <w:tc>
          <w:tcPr>
            <w:tcW w:w="709" w:type="dxa"/>
          </w:tcPr>
          <w:p w:rsidR="001C7BF9" w:rsidRPr="00C9680B" w:rsidRDefault="001C7BF9">
            <w:pPr>
              <w:spacing w:before="40" w:line="180" w:lineRule="exact"/>
              <w:jc w:val="right"/>
              <w:rPr>
                <w:b/>
                <w:snapToGrid w:val="0"/>
                <w:color w:val="000000"/>
                <w:sz w:val="17"/>
                <w:lang w:eastAsia="sv-SE"/>
              </w:rPr>
            </w:pPr>
          </w:p>
        </w:tc>
      </w:tr>
      <w:tr w:rsidR="00000000" w:rsidRPr="00C9680B">
        <w:tblPrEx>
          <w:tblCellMar>
            <w:top w:w="0" w:type="dxa"/>
            <w:bottom w:w="0" w:type="dxa"/>
          </w:tblCellMar>
        </w:tblPrEx>
        <w:trPr>
          <w:gridBefore w:val="2"/>
          <w:wBefore w:w="87" w:type="dxa"/>
          <w:trHeight w:val="170"/>
        </w:trPr>
        <w:tc>
          <w:tcPr>
            <w:tcW w:w="426" w:type="dxa"/>
          </w:tcPr>
          <w:p w:rsidR="001C7BF9" w:rsidRPr="00C9680B" w:rsidRDefault="001C7BF9">
            <w:pPr>
              <w:spacing w:before="80" w:line="180" w:lineRule="exact"/>
              <w:jc w:val="left"/>
              <w:rPr>
                <w:snapToGrid w:val="0"/>
                <w:color w:val="000000"/>
                <w:sz w:val="17"/>
                <w:lang w:eastAsia="sv-SE"/>
              </w:rPr>
            </w:pPr>
          </w:p>
        </w:tc>
        <w:tc>
          <w:tcPr>
            <w:tcW w:w="2693" w:type="dxa"/>
            <w:gridSpan w:val="3"/>
          </w:tcPr>
          <w:p w:rsidR="001C7BF9" w:rsidRPr="00C9680B" w:rsidRDefault="001C7BF9">
            <w:pPr>
              <w:spacing w:before="80" w:line="180" w:lineRule="exact"/>
              <w:ind w:left="113" w:hanging="113"/>
              <w:jc w:val="left"/>
              <w:rPr>
                <w:snapToGrid w:val="0"/>
                <w:color w:val="000000"/>
                <w:sz w:val="17"/>
                <w:lang w:eastAsia="sv-SE"/>
              </w:rPr>
            </w:pPr>
            <w:r w:rsidRPr="00C9680B">
              <w:rPr>
                <w:snapToGrid w:val="0"/>
                <w:color w:val="000000"/>
                <w:sz w:val="17"/>
                <w:lang w:eastAsia="sv-SE"/>
              </w:rPr>
              <w:t>Avskaffad särskild skattereduktion för låginkomsttag</w:t>
            </w:r>
            <w:r w:rsidRPr="00C9680B">
              <w:rPr>
                <w:snapToGrid w:val="0"/>
                <w:color w:val="000000"/>
                <w:sz w:val="17"/>
                <w:lang w:eastAsia="sv-SE"/>
              </w:rPr>
              <w:t>a</w:t>
            </w:r>
            <w:r w:rsidRPr="00C9680B">
              <w:rPr>
                <w:snapToGrid w:val="0"/>
                <w:color w:val="000000"/>
                <w:sz w:val="17"/>
                <w:lang w:eastAsia="sv-SE"/>
              </w:rPr>
              <w:t>re</w:t>
            </w:r>
          </w:p>
        </w:tc>
        <w:tc>
          <w:tcPr>
            <w:tcW w:w="709" w:type="dxa"/>
          </w:tcPr>
          <w:p w:rsidR="001C7BF9" w:rsidRPr="00C9680B" w:rsidRDefault="001C7BF9">
            <w:pPr>
              <w:spacing w:before="80" w:line="180" w:lineRule="exact"/>
              <w:jc w:val="right"/>
              <w:rPr>
                <w:snapToGrid w:val="0"/>
                <w:color w:val="000000"/>
                <w:sz w:val="17"/>
                <w:lang w:eastAsia="sv-SE"/>
              </w:rPr>
            </w:pPr>
          </w:p>
        </w:tc>
        <w:tc>
          <w:tcPr>
            <w:tcW w:w="708" w:type="dxa"/>
          </w:tcPr>
          <w:p w:rsidR="001C7BF9" w:rsidRPr="00C9680B" w:rsidRDefault="001C7BF9">
            <w:pPr>
              <w:spacing w:before="80" w:line="180" w:lineRule="exact"/>
              <w:jc w:val="right"/>
              <w:rPr>
                <w:snapToGrid w:val="0"/>
                <w:color w:val="000000"/>
                <w:sz w:val="17"/>
                <w:lang w:eastAsia="sv-SE"/>
              </w:rPr>
            </w:pPr>
            <w:r w:rsidRPr="00C9680B">
              <w:rPr>
                <w:snapToGrid w:val="0"/>
                <w:color w:val="000000"/>
                <w:sz w:val="17"/>
                <w:lang w:eastAsia="sv-SE"/>
              </w:rPr>
              <w:t>+2 900</w:t>
            </w:r>
          </w:p>
        </w:tc>
        <w:tc>
          <w:tcPr>
            <w:tcW w:w="709" w:type="dxa"/>
          </w:tcPr>
          <w:p w:rsidR="001C7BF9" w:rsidRPr="00C9680B" w:rsidRDefault="001C7BF9">
            <w:pPr>
              <w:spacing w:before="80" w:line="180" w:lineRule="exact"/>
              <w:jc w:val="right"/>
              <w:rPr>
                <w:snapToGrid w:val="0"/>
                <w:color w:val="000000"/>
                <w:sz w:val="17"/>
                <w:lang w:eastAsia="sv-SE"/>
              </w:rPr>
            </w:pPr>
          </w:p>
        </w:tc>
        <w:tc>
          <w:tcPr>
            <w:tcW w:w="709" w:type="dxa"/>
          </w:tcPr>
          <w:p w:rsidR="001C7BF9" w:rsidRPr="00C9680B" w:rsidRDefault="001C7BF9">
            <w:pPr>
              <w:spacing w:before="80" w:line="180" w:lineRule="exact"/>
              <w:jc w:val="right"/>
              <w:rPr>
                <w:snapToGrid w:val="0"/>
                <w:color w:val="000000"/>
                <w:sz w:val="17"/>
                <w:lang w:eastAsia="sv-SE"/>
              </w:rPr>
            </w:pPr>
            <w:r w:rsidRPr="00C9680B">
              <w:rPr>
                <w:snapToGrid w:val="0"/>
                <w:color w:val="000000"/>
                <w:sz w:val="17"/>
                <w:lang w:eastAsia="sv-SE"/>
              </w:rPr>
              <w:t>+2 900</w:t>
            </w:r>
          </w:p>
        </w:tc>
        <w:tc>
          <w:tcPr>
            <w:tcW w:w="709" w:type="dxa"/>
          </w:tcPr>
          <w:p w:rsidR="001C7BF9" w:rsidRPr="00C9680B" w:rsidRDefault="001C7BF9">
            <w:pPr>
              <w:spacing w:before="80" w:line="180" w:lineRule="exact"/>
              <w:jc w:val="right"/>
              <w:rPr>
                <w:snapToGrid w:val="0"/>
                <w:color w:val="000000"/>
                <w:sz w:val="17"/>
                <w:lang w:eastAsia="sv-SE"/>
              </w:rPr>
            </w:pPr>
          </w:p>
        </w:tc>
      </w:tr>
      <w:tr w:rsidR="00000000" w:rsidRPr="00C9680B">
        <w:tblPrEx>
          <w:tblCellMar>
            <w:top w:w="0" w:type="dxa"/>
            <w:bottom w:w="0" w:type="dxa"/>
          </w:tblCellMar>
        </w:tblPrEx>
        <w:trPr>
          <w:gridBefore w:val="2"/>
          <w:wBefore w:w="87" w:type="dxa"/>
          <w:trHeight w:val="170"/>
        </w:trPr>
        <w:tc>
          <w:tcPr>
            <w:tcW w:w="426" w:type="dxa"/>
          </w:tcPr>
          <w:p w:rsidR="001C7BF9" w:rsidRPr="00C9680B" w:rsidRDefault="001C7BF9">
            <w:pPr>
              <w:spacing w:before="40" w:line="180" w:lineRule="exact"/>
              <w:jc w:val="lef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Höjd skattereduktion för lågin</w:t>
            </w:r>
            <w:r w:rsidRPr="00C9680B">
              <w:rPr>
                <w:snapToGrid w:val="0"/>
                <w:color w:val="000000"/>
                <w:sz w:val="17"/>
                <w:lang w:eastAsia="sv-SE"/>
              </w:rPr>
              <w:softHyphen/>
              <w:t>komst</w:t>
            </w:r>
            <w:r w:rsidRPr="00C9680B">
              <w:rPr>
                <w:snapToGrid w:val="0"/>
                <w:color w:val="000000"/>
                <w:sz w:val="17"/>
                <w:lang w:eastAsia="sv-SE"/>
              </w:rPr>
              <w:softHyphen/>
              <w:t>tagare</w:t>
            </w:r>
          </w:p>
        </w:tc>
        <w:tc>
          <w:tcPr>
            <w:tcW w:w="709"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160" w:line="180" w:lineRule="exact"/>
              <w:jc w:val="right"/>
              <w:rPr>
                <w:snapToGrid w:val="0"/>
                <w:color w:val="000000"/>
                <w:sz w:val="17"/>
                <w:lang w:eastAsia="sv-SE"/>
              </w:rPr>
            </w:pPr>
          </w:p>
        </w:tc>
        <w:tc>
          <w:tcPr>
            <w:tcW w:w="709" w:type="dxa"/>
          </w:tcPr>
          <w:p w:rsidR="001C7BF9" w:rsidRPr="00C9680B" w:rsidRDefault="001C7BF9">
            <w:pPr>
              <w:spacing w:before="160" w:line="180" w:lineRule="exact"/>
              <w:jc w:val="right"/>
              <w:rPr>
                <w:snapToGrid w:val="0"/>
                <w:color w:val="000000"/>
                <w:sz w:val="17"/>
                <w:lang w:eastAsia="sv-SE"/>
              </w:rPr>
            </w:pPr>
            <w:r w:rsidRPr="00C9680B">
              <w:rPr>
                <w:snapToGrid w:val="0"/>
                <w:color w:val="000000"/>
                <w:sz w:val="17"/>
                <w:lang w:eastAsia="sv-SE"/>
              </w:rPr>
              <w:t>-2 800</w:t>
            </w:r>
          </w:p>
        </w:tc>
        <w:tc>
          <w:tcPr>
            <w:tcW w:w="709" w:type="dxa"/>
          </w:tcPr>
          <w:p w:rsidR="001C7BF9" w:rsidRPr="00C9680B" w:rsidRDefault="001C7BF9">
            <w:pPr>
              <w:spacing w:before="160" w:line="180" w:lineRule="exact"/>
              <w:jc w:val="right"/>
              <w:rPr>
                <w:snapToGrid w:val="0"/>
                <w:color w:val="000000"/>
                <w:sz w:val="17"/>
                <w:lang w:eastAsia="sv-SE"/>
              </w:rPr>
            </w:pPr>
            <w:r w:rsidRPr="00C9680B">
              <w:rPr>
                <w:snapToGrid w:val="0"/>
                <w:color w:val="000000"/>
                <w:sz w:val="17"/>
                <w:lang w:eastAsia="sv-SE"/>
              </w:rPr>
              <w:t>-12 500</w:t>
            </w:r>
          </w:p>
        </w:tc>
        <w:tc>
          <w:tcPr>
            <w:tcW w:w="709" w:type="dxa"/>
          </w:tcPr>
          <w:p w:rsidR="001C7BF9" w:rsidRPr="00C9680B" w:rsidRDefault="001C7BF9">
            <w:pPr>
              <w:spacing w:before="160" w:line="180" w:lineRule="exact"/>
              <w:jc w:val="right"/>
              <w:rPr>
                <w:snapToGrid w:val="0"/>
                <w:color w:val="000000"/>
                <w:sz w:val="17"/>
                <w:lang w:eastAsia="sv-SE"/>
              </w:rPr>
            </w:pPr>
          </w:p>
        </w:tc>
      </w:tr>
      <w:tr w:rsidR="00000000" w:rsidRPr="00C9680B">
        <w:tblPrEx>
          <w:tblCellMar>
            <w:top w:w="0" w:type="dxa"/>
            <w:bottom w:w="0" w:type="dxa"/>
          </w:tblCellMar>
        </w:tblPrEx>
        <w:trPr>
          <w:trHeight w:val="170"/>
        </w:trPr>
        <w:tc>
          <w:tcPr>
            <w:tcW w:w="513" w:type="dxa"/>
            <w:gridSpan w:val="3"/>
          </w:tcPr>
          <w:p w:rsidR="001C7BF9" w:rsidRPr="00C9680B" w:rsidRDefault="001C7BF9">
            <w:pPr>
              <w:spacing w:before="80" w:line="180" w:lineRule="exact"/>
              <w:jc w:val="left"/>
              <w:rPr>
                <w:snapToGrid w:val="0"/>
                <w:color w:val="000000"/>
                <w:sz w:val="17"/>
                <w:lang w:eastAsia="sv-SE"/>
              </w:rPr>
            </w:pPr>
          </w:p>
        </w:tc>
        <w:tc>
          <w:tcPr>
            <w:tcW w:w="2693" w:type="dxa"/>
            <w:gridSpan w:val="3"/>
          </w:tcPr>
          <w:p w:rsidR="001C7BF9" w:rsidRPr="00C9680B" w:rsidRDefault="001C7BF9">
            <w:pPr>
              <w:spacing w:before="80" w:line="180" w:lineRule="exact"/>
              <w:ind w:left="113" w:hanging="113"/>
              <w:jc w:val="left"/>
              <w:rPr>
                <w:snapToGrid w:val="0"/>
                <w:color w:val="000000"/>
                <w:sz w:val="17"/>
                <w:lang w:eastAsia="sv-SE"/>
              </w:rPr>
            </w:pPr>
            <w:r w:rsidRPr="00C9680B">
              <w:rPr>
                <w:snapToGrid w:val="0"/>
                <w:color w:val="000000"/>
                <w:sz w:val="17"/>
                <w:lang w:eastAsia="sv-SE"/>
              </w:rPr>
              <w:t>Generell skattereduktion</w:t>
            </w:r>
          </w:p>
        </w:tc>
        <w:tc>
          <w:tcPr>
            <w:tcW w:w="709" w:type="dxa"/>
          </w:tcPr>
          <w:p w:rsidR="001C7BF9" w:rsidRPr="00C9680B" w:rsidRDefault="001C7BF9">
            <w:pPr>
              <w:spacing w:before="80" w:line="180" w:lineRule="exact"/>
              <w:jc w:val="right"/>
              <w:rPr>
                <w:snapToGrid w:val="0"/>
                <w:color w:val="000000"/>
                <w:sz w:val="17"/>
                <w:lang w:eastAsia="sv-SE"/>
              </w:rPr>
            </w:pPr>
          </w:p>
        </w:tc>
        <w:tc>
          <w:tcPr>
            <w:tcW w:w="708" w:type="dxa"/>
          </w:tcPr>
          <w:p w:rsidR="001C7BF9" w:rsidRPr="00C9680B" w:rsidRDefault="001C7BF9">
            <w:pPr>
              <w:spacing w:before="80" w:line="180" w:lineRule="exact"/>
              <w:jc w:val="right"/>
              <w:rPr>
                <w:snapToGrid w:val="0"/>
                <w:color w:val="000000"/>
                <w:sz w:val="17"/>
                <w:lang w:eastAsia="sv-SE"/>
              </w:rPr>
            </w:pPr>
          </w:p>
        </w:tc>
        <w:tc>
          <w:tcPr>
            <w:tcW w:w="709" w:type="dxa"/>
          </w:tcPr>
          <w:p w:rsidR="001C7BF9" w:rsidRPr="00C9680B" w:rsidRDefault="001C7BF9">
            <w:pPr>
              <w:spacing w:before="80" w:line="180" w:lineRule="exact"/>
              <w:jc w:val="right"/>
              <w:rPr>
                <w:snapToGrid w:val="0"/>
                <w:color w:val="000000"/>
                <w:sz w:val="17"/>
                <w:lang w:eastAsia="sv-SE"/>
              </w:rPr>
            </w:pPr>
          </w:p>
        </w:tc>
        <w:tc>
          <w:tcPr>
            <w:tcW w:w="709" w:type="dxa"/>
          </w:tcPr>
          <w:p w:rsidR="001C7BF9" w:rsidRPr="00C9680B" w:rsidRDefault="001C7BF9">
            <w:pPr>
              <w:spacing w:before="80" w:line="180" w:lineRule="exact"/>
              <w:jc w:val="right"/>
              <w:rPr>
                <w:snapToGrid w:val="0"/>
                <w:color w:val="000000"/>
                <w:sz w:val="17"/>
                <w:lang w:eastAsia="sv-SE"/>
              </w:rPr>
            </w:pPr>
          </w:p>
        </w:tc>
        <w:tc>
          <w:tcPr>
            <w:tcW w:w="709" w:type="dxa"/>
          </w:tcPr>
          <w:p w:rsidR="001C7BF9" w:rsidRPr="00C9680B" w:rsidRDefault="001C7BF9">
            <w:pPr>
              <w:spacing w:before="80" w:line="180" w:lineRule="exact"/>
              <w:jc w:val="right"/>
              <w:rPr>
                <w:snapToGrid w:val="0"/>
                <w:color w:val="000000"/>
                <w:sz w:val="17"/>
                <w:lang w:eastAsia="sv-SE"/>
              </w:rPr>
            </w:pPr>
            <w:r w:rsidRPr="00C9680B">
              <w:rPr>
                <w:snapToGrid w:val="0"/>
                <w:color w:val="000000"/>
                <w:sz w:val="17"/>
                <w:lang w:eastAsia="sv-SE"/>
              </w:rPr>
              <w:t>-17 700</w:t>
            </w:r>
          </w:p>
        </w:tc>
      </w:tr>
      <w:tr w:rsidR="00000000" w:rsidRPr="00C9680B">
        <w:tblPrEx>
          <w:tblCellMar>
            <w:top w:w="0" w:type="dxa"/>
            <w:bottom w:w="0" w:type="dxa"/>
          </w:tblCellMar>
        </w:tblPrEx>
        <w:trPr>
          <w:trHeight w:val="170"/>
        </w:trPr>
        <w:tc>
          <w:tcPr>
            <w:tcW w:w="513" w:type="dxa"/>
            <w:gridSpan w:val="3"/>
          </w:tcPr>
          <w:p w:rsidR="001C7BF9" w:rsidRPr="00C9680B" w:rsidRDefault="001C7BF9">
            <w:pPr>
              <w:spacing w:before="40" w:line="180" w:lineRule="exact"/>
              <w:jc w:val="lef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Sänkt skatt för utländska experter</w:t>
            </w: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-40</w:t>
            </w:r>
          </w:p>
        </w:tc>
        <w:tc>
          <w:tcPr>
            <w:tcW w:w="708"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+40</w:t>
            </w: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r>
      <w:tr w:rsidR="00000000" w:rsidRPr="00C9680B">
        <w:tblPrEx>
          <w:tblCellMar>
            <w:top w:w="0" w:type="dxa"/>
            <w:bottom w:w="0" w:type="dxa"/>
          </w:tblCellMar>
        </w:tblPrEx>
        <w:trPr>
          <w:trHeight w:val="170"/>
        </w:trPr>
        <w:tc>
          <w:tcPr>
            <w:tcW w:w="513" w:type="dxa"/>
            <w:gridSpan w:val="3"/>
          </w:tcPr>
          <w:p w:rsidR="001C7BF9" w:rsidRPr="00C9680B" w:rsidRDefault="001C7BF9">
            <w:pPr>
              <w:spacing w:before="40" w:line="180" w:lineRule="exact"/>
              <w:jc w:val="lef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Slopad värnskatt</w:t>
            </w:r>
          </w:p>
        </w:tc>
        <w:tc>
          <w:tcPr>
            <w:tcW w:w="709"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-2 600</w:t>
            </w: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-2 600</w:t>
            </w: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-2 600</w:t>
            </w:r>
          </w:p>
        </w:tc>
      </w:tr>
      <w:tr w:rsidR="00000000" w:rsidRPr="00C9680B">
        <w:tblPrEx>
          <w:tblCellMar>
            <w:top w:w="0" w:type="dxa"/>
            <w:bottom w:w="0" w:type="dxa"/>
          </w:tblCellMar>
        </w:tblPrEx>
        <w:trPr>
          <w:trHeight w:val="170"/>
        </w:trPr>
        <w:tc>
          <w:tcPr>
            <w:tcW w:w="513" w:type="dxa"/>
            <w:gridSpan w:val="3"/>
          </w:tcPr>
          <w:p w:rsidR="001C7BF9" w:rsidRPr="00C9680B" w:rsidRDefault="001C7BF9">
            <w:pPr>
              <w:spacing w:before="40" w:line="180" w:lineRule="exact"/>
              <w:jc w:val="lef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Generellt statligt förvärvsa</w:t>
            </w:r>
            <w:r w:rsidRPr="00C9680B">
              <w:rPr>
                <w:snapToGrid w:val="0"/>
                <w:color w:val="000000"/>
                <w:sz w:val="17"/>
                <w:lang w:eastAsia="sv-SE"/>
              </w:rPr>
              <w:t>v</w:t>
            </w:r>
            <w:r w:rsidRPr="00C9680B">
              <w:rPr>
                <w:snapToGrid w:val="0"/>
                <w:color w:val="000000"/>
                <w:sz w:val="17"/>
                <w:lang w:eastAsia="sv-SE"/>
              </w:rPr>
              <w:t>drag</w:t>
            </w:r>
          </w:p>
        </w:tc>
        <w:tc>
          <w:tcPr>
            <w:tcW w:w="709"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-15 000</w:t>
            </w: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r>
      <w:tr w:rsidR="00000000" w:rsidRPr="00C9680B">
        <w:tblPrEx>
          <w:tblCellMar>
            <w:top w:w="0" w:type="dxa"/>
            <w:bottom w:w="0" w:type="dxa"/>
          </w:tblCellMar>
        </w:tblPrEx>
        <w:trPr>
          <w:trHeight w:val="170"/>
        </w:trPr>
        <w:tc>
          <w:tcPr>
            <w:tcW w:w="513" w:type="dxa"/>
            <w:gridSpan w:val="3"/>
          </w:tcPr>
          <w:p w:rsidR="001C7BF9" w:rsidRPr="00C9680B" w:rsidRDefault="001C7BF9">
            <w:pPr>
              <w:spacing w:before="40" w:line="180" w:lineRule="exact"/>
              <w:jc w:val="lef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Utökat reseavdrag till 16 kr/mil</w:t>
            </w: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±0</w:t>
            </w: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r>
      <w:tr w:rsidR="00000000" w:rsidRPr="00C9680B">
        <w:tblPrEx>
          <w:tblCellMar>
            <w:top w:w="0" w:type="dxa"/>
            <w:bottom w:w="0" w:type="dxa"/>
          </w:tblCellMar>
        </w:tblPrEx>
        <w:trPr>
          <w:trHeight w:val="170"/>
        </w:trPr>
        <w:tc>
          <w:tcPr>
            <w:tcW w:w="513" w:type="dxa"/>
            <w:gridSpan w:val="3"/>
          </w:tcPr>
          <w:p w:rsidR="001C7BF9" w:rsidRPr="00C9680B" w:rsidRDefault="001C7BF9">
            <w:pPr>
              <w:spacing w:before="40" w:line="180" w:lineRule="exact"/>
              <w:jc w:val="lef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Utökat reseavdrag till 20 kr/mil</w:t>
            </w:r>
          </w:p>
        </w:tc>
        <w:tc>
          <w:tcPr>
            <w:tcW w:w="709"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±0</w:t>
            </w: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-1 000</w:t>
            </w:r>
          </w:p>
        </w:tc>
        <w:tc>
          <w:tcPr>
            <w:tcW w:w="709" w:type="dxa"/>
          </w:tcPr>
          <w:p w:rsidR="001C7BF9" w:rsidRPr="00C9680B" w:rsidRDefault="001C7BF9">
            <w:pPr>
              <w:spacing w:before="40" w:line="180" w:lineRule="exact"/>
              <w:jc w:val="right"/>
              <w:rPr>
                <w:snapToGrid w:val="0"/>
                <w:color w:val="000000"/>
                <w:sz w:val="17"/>
                <w:lang w:eastAsia="sv-SE"/>
              </w:rPr>
            </w:pPr>
          </w:p>
        </w:tc>
      </w:tr>
      <w:tr w:rsidR="00000000" w:rsidRPr="00C9680B">
        <w:tblPrEx>
          <w:tblCellMar>
            <w:top w:w="0" w:type="dxa"/>
            <w:bottom w:w="0" w:type="dxa"/>
          </w:tblCellMar>
        </w:tblPrEx>
        <w:trPr>
          <w:trHeight w:val="170"/>
        </w:trPr>
        <w:tc>
          <w:tcPr>
            <w:tcW w:w="513" w:type="dxa"/>
            <w:gridSpan w:val="3"/>
          </w:tcPr>
          <w:p w:rsidR="001C7BF9" w:rsidRPr="00C9680B" w:rsidRDefault="001C7BF9">
            <w:pPr>
              <w:spacing w:before="40" w:line="180" w:lineRule="exact"/>
              <w:jc w:val="lef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Sänkt gräns för reseavdrag till 5 000 kr</w:t>
            </w:r>
          </w:p>
        </w:tc>
        <w:tc>
          <w:tcPr>
            <w:tcW w:w="709"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0" w:line="180" w:lineRule="exact"/>
              <w:jc w:val="right"/>
              <w:rPr>
                <w:snapToGrid w:val="0"/>
                <w:color w:val="000000"/>
                <w:sz w:val="17"/>
                <w:lang w:eastAsia="sv-SE"/>
              </w:rPr>
            </w:pPr>
            <w:r w:rsidRPr="00C9680B">
              <w:rPr>
                <w:snapToGrid w:val="0"/>
                <w:color w:val="000000"/>
                <w:sz w:val="17"/>
                <w:lang w:eastAsia="sv-SE"/>
              </w:rPr>
              <w:t>-160</w:t>
            </w: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r>
      <w:tr w:rsidR="00000000" w:rsidRPr="00C9680B">
        <w:tblPrEx>
          <w:tblCellMar>
            <w:top w:w="0" w:type="dxa"/>
            <w:bottom w:w="0" w:type="dxa"/>
          </w:tblCellMar>
        </w:tblPrEx>
        <w:trPr>
          <w:trHeight w:val="170"/>
        </w:trPr>
        <w:tc>
          <w:tcPr>
            <w:tcW w:w="513" w:type="dxa"/>
            <w:gridSpan w:val="3"/>
          </w:tcPr>
          <w:p w:rsidR="001C7BF9" w:rsidRPr="00C9680B" w:rsidRDefault="001C7BF9">
            <w:pPr>
              <w:spacing w:before="40" w:line="180" w:lineRule="exact"/>
              <w:jc w:val="lef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Höjt avdrag för pensionsförsä</w:t>
            </w:r>
            <w:r w:rsidRPr="00C9680B">
              <w:rPr>
                <w:snapToGrid w:val="0"/>
                <w:color w:val="000000"/>
                <w:sz w:val="17"/>
                <w:lang w:eastAsia="sv-SE"/>
              </w:rPr>
              <w:t>k</w:t>
            </w:r>
            <w:r w:rsidRPr="00C9680B">
              <w:rPr>
                <w:snapToGrid w:val="0"/>
                <w:color w:val="000000"/>
                <w:sz w:val="17"/>
                <w:lang w:eastAsia="sv-SE"/>
              </w:rPr>
              <w:t>ring</w:t>
            </w:r>
          </w:p>
        </w:tc>
        <w:tc>
          <w:tcPr>
            <w:tcW w:w="709"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-220</w:t>
            </w: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-220</w:t>
            </w: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-320</w:t>
            </w:r>
          </w:p>
        </w:tc>
      </w:tr>
      <w:tr w:rsidR="00000000" w:rsidRPr="00C9680B">
        <w:tblPrEx>
          <w:tblCellMar>
            <w:top w:w="0" w:type="dxa"/>
            <w:bottom w:w="0" w:type="dxa"/>
          </w:tblCellMar>
        </w:tblPrEx>
        <w:trPr>
          <w:trHeight w:val="170"/>
        </w:trPr>
        <w:tc>
          <w:tcPr>
            <w:tcW w:w="513" w:type="dxa"/>
            <w:gridSpan w:val="3"/>
          </w:tcPr>
          <w:p w:rsidR="001C7BF9" w:rsidRPr="00C9680B" w:rsidRDefault="001C7BF9">
            <w:pPr>
              <w:spacing w:before="40" w:line="180" w:lineRule="exact"/>
              <w:jc w:val="lef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50 % skattereduktion på hushållstj. inkl. ROT (g</w:t>
            </w:r>
            <w:r w:rsidRPr="00C9680B">
              <w:rPr>
                <w:snapToGrid w:val="0"/>
                <w:color w:val="000000"/>
                <w:sz w:val="17"/>
                <w:lang w:eastAsia="sv-SE"/>
              </w:rPr>
              <w:t>e</w:t>
            </w:r>
            <w:r w:rsidRPr="00C9680B">
              <w:rPr>
                <w:snapToGrid w:val="0"/>
                <w:color w:val="000000"/>
                <w:sz w:val="17"/>
                <w:lang w:eastAsia="sv-SE"/>
              </w:rPr>
              <w:t>mensamt borgerligt)</w:t>
            </w:r>
          </w:p>
        </w:tc>
        <w:tc>
          <w:tcPr>
            <w:tcW w:w="709"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160" w:line="180" w:lineRule="exact"/>
              <w:jc w:val="right"/>
              <w:rPr>
                <w:snapToGrid w:val="0"/>
                <w:color w:val="000000"/>
                <w:sz w:val="17"/>
                <w:lang w:eastAsia="sv-SE"/>
              </w:rPr>
            </w:pPr>
            <w:r w:rsidRPr="00C9680B">
              <w:rPr>
                <w:snapToGrid w:val="0"/>
                <w:color w:val="000000"/>
                <w:sz w:val="17"/>
                <w:lang w:eastAsia="sv-SE"/>
              </w:rPr>
              <w:t>-1 860</w:t>
            </w:r>
          </w:p>
        </w:tc>
        <w:tc>
          <w:tcPr>
            <w:tcW w:w="709" w:type="dxa"/>
          </w:tcPr>
          <w:p w:rsidR="001C7BF9" w:rsidRPr="00C9680B" w:rsidRDefault="001C7BF9">
            <w:pPr>
              <w:spacing w:before="160" w:line="180" w:lineRule="exact"/>
              <w:jc w:val="right"/>
              <w:rPr>
                <w:snapToGrid w:val="0"/>
                <w:color w:val="000000"/>
                <w:sz w:val="17"/>
                <w:lang w:eastAsia="sv-SE"/>
              </w:rPr>
            </w:pPr>
            <w:r w:rsidRPr="00C9680B">
              <w:rPr>
                <w:snapToGrid w:val="0"/>
                <w:color w:val="000000"/>
                <w:sz w:val="17"/>
                <w:lang w:eastAsia="sv-SE"/>
              </w:rPr>
              <w:t>-1 860</w:t>
            </w:r>
          </w:p>
        </w:tc>
        <w:tc>
          <w:tcPr>
            <w:tcW w:w="709" w:type="dxa"/>
          </w:tcPr>
          <w:p w:rsidR="001C7BF9" w:rsidRPr="00C9680B" w:rsidRDefault="001C7BF9">
            <w:pPr>
              <w:spacing w:before="160" w:line="180" w:lineRule="exact"/>
              <w:jc w:val="right"/>
              <w:rPr>
                <w:snapToGrid w:val="0"/>
                <w:color w:val="000000"/>
                <w:sz w:val="17"/>
                <w:lang w:eastAsia="sv-SE"/>
              </w:rPr>
            </w:pPr>
            <w:r w:rsidRPr="00C9680B">
              <w:rPr>
                <w:snapToGrid w:val="0"/>
                <w:color w:val="000000"/>
                <w:sz w:val="17"/>
                <w:lang w:eastAsia="sv-SE"/>
              </w:rPr>
              <w:t>-1 860</w:t>
            </w:r>
          </w:p>
        </w:tc>
        <w:tc>
          <w:tcPr>
            <w:tcW w:w="709" w:type="dxa"/>
          </w:tcPr>
          <w:p w:rsidR="001C7BF9" w:rsidRPr="00C9680B" w:rsidRDefault="001C7BF9">
            <w:pPr>
              <w:spacing w:before="160" w:line="180" w:lineRule="exact"/>
              <w:jc w:val="right"/>
              <w:rPr>
                <w:snapToGrid w:val="0"/>
                <w:color w:val="000000"/>
                <w:sz w:val="17"/>
                <w:lang w:eastAsia="sv-SE"/>
              </w:rPr>
            </w:pPr>
            <w:r w:rsidRPr="00C9680B">
              <w:rPr>
                <w:snapToGrid w:val="0"/>
                <w:color w:val="000000"/>
                <w:sz w:val="17"/>
                <w:lang w:eastAsia="sv-SE"/>
              </w:rPr>
              <w:t>-1 860</w:t>
            </w:r>
          </w:p>
        </w:tc>
      </w:tr>
      <w:tr w:rsidR="00000000" w:rsidRPr="00C9680B">
        <w:tblPrEx>
          <w:tblCellMar>
            <w:top w:w="0" w:type="dxa"/>
            <w:bottom w:w="0" w:type="dxa"/>
          </w:tblCellMar>
        </w:tblPrEx>
        <w:trPr>
          <w:trHeight w:val="170"/>
        </w:trPr>
        <w:tc>
          <w:tcPr>
            <w:tcW w:w="513" w:type="dxa"/>
            <w:gridSpan w:val="3"/>
          </w:tcPr>
          <w:p w:rsidR="001C7BF9" w:rsidRPr="00C9680B" w:rsidRDefault="001C7BF9">
            <w:pPr>
              <w:spacing w:before="40" w:line="180" w:lineRule="exact"/>
              <w:jc w:val="lef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Avdrag för höjda egenavgi</w:t>
            </w:r>
            <w:r w:rsidRPr="00C9680B">
              <w:rPr>
                <w:snapToGrid w:val="0"/>
                <w:color w:val="000000"/>
                <w:sz w:val="17"/>
                <w:lang w:eastAsia="sv-SE"/>
              </w:rPr>
              <w:t>f</w:t>
            </w:r>
            <w:r w:rsidRPr="00C9680B">
              <w:rPr>
                <w:snapToGrid w:val="0"/>
                <w:color w:val="000000"/>
                <w:sz w:val="17"/>
                <w:lang w:eastAsia="sv-SE"/>
              </w:rPr>
              <w:t xml:space="preserve">ter i </w:t>
            </w:r>
          </w:p>
          <w:p w:rsidR="001C7BF9" w:rsidRPr="00C9680B" w:rsidRDefault="001C7BF9">
            <w:pPr>
              <w:spacing w:before="0" w:line="180" w:lineRule="exact"/>
              <w:ind w:left="113" w:hanging="113"/>
              <w:jc w:val="left"/>
              <w:rPr>
                <w:snapToGrid w:val="0"/>
                <w:color w:val="000000"/>
                <w:sz w:val="17"/>
                <w:lang w:eastAsia="sv-SE"/>
              </w:rPr>
            </w:pPr>
            <w:r w:rsidRPr="00C9680B">
              <w:rPr>
                <w:snapToGrid w:val="0"/>
                <w:color w:val="000000"/>
                <w:sz w:val="17"/>
                <w:lang w:eastAsia="sv-SE"/>
              </w:rPr>
              <w:t>a-kassan</w:t>
            </w:r>
          </w:p>
        </w:tc>
        <w:tc>
          <w:tcPr>
            <w:tcW w:w="709"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120" w:line="180" w:lineRule="exact"/>
              <w:jc w:val="right"/>
              <w:rPr>
                <w:snapToGrid w:val="0"/>
                <w:color w:val="000000"/>
                <w:sz w:val="17"/>
                <w:lang w:eastAsia="sv-SE"/>
              </w:rPr>
            </w:pPr>
            <w:r w:rsidRPr="00C9680B">
              <w:rPr>
                <w:snapToGrid w:val="0"/>
                <w:color w:val="000000"/>
                <w:sz w:val="17"/>
                <w:lang w:eastAsia="sv-SE"/>
              </w:rPr>
              <w:t>-520</w:t>
            </w:r>
          </w:p>
        </w:tc>
        <w:tc>
          <w:tcPr>
            <w:tcW w:w="709" w:type="dxa"/>
          </w:tcPr>
          <w:p w:rsidR="001C7BF9" w:rsidRPr="00C9680B" w:rsidRDefault="001C7BF9">
            <w:pPr>
              <w:spacing w:before="40" w:line="180" w:lineRule="exact"/>
              <w:jc w:val="right"/>
              <w:rPr>
                <w:snapToGrid w:val="0"/>
                <w:color w:val="000000"/>
                <w:sz w:val="17"/>
                <w:lang w:eastAsia="sv-SE"/>
              </w:rPr>
            </w:pPr>
          </w:p>
        </w:tc>
      </w:tr>
      <w:tr w:rsidR="00000000" w:rsidRPr="00C9680B">
        <w:tblPrEx>
          <w:tblCellMar>
            <w:top w:w="0" w:type="dxa"/>
            <w:bottom w:w="0" w:type="dxa"/>
          </w:tblCellMar>
        </w:tblPrEx>
        <w:trPr>
          <w:trHeight w:val="170"/>
        </w:trPr>
        <w:tc>
          <w:tcPr>
            <w:tcW w:w="513" w:type="dxa"/>
            <w:gridSpan w:val="3"/>
          </w:tcPr>
          <w:p w:rsidR="001C7BF9" w:rsidRPr="00C9680B" w:rsidRDefault="001C7BF9">
            <w:pPr>
              <w:spacing w:before="40" w:line="180" w:lineRule="exact"/>
              <w:jc w:val="lef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Yrkesfiskaravdrag</w:t>
            </w: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±0</w:t>
            </w: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-10</w:t>
            </w: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r>
      <w:tr w:rsidR="00000000" w:rsidRPr="00C9680B">
        <w:tblPrEx>
          <w:tblCellMar>
            <w:top w:w="0" w:type="dxa"/>
            <w:bottom w:w="0" w:type="dxa"/>
          </w:tblCellMar>
        </w:tblPrEx>
        <w:trPr>
          <w:trHeight w:val="170"/>
        </w:trPr>
        <w:tc>
          <w:tcPr>
            <w:tcW w:w="513" w:type="dxa"/>
            <w:gridSpan w:val="3"/>
          </w:tcPr>
          <w:p w:rsidR="001C7BF9" w:rsidRPr="00C9680B" w:rsidRDefault="001C7BF9">
            <w:pPr>
              <w:spacing w:before="40" w:line="180" w:lineRule="exact"/>
              <w:jc w:val="lef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Höjd kapitalvinstskatt för privatbost</w:t>
            </w:r>
            <w:r w:rsidRPr="00C9680B">
              <w:rPr>
                <w:snapToGrid w:val="0"/>
                <w:color w:val="000000"/>
                <w:sz w:val="17"/>
                <w:lang w:eastAsia="sv-SE"/>
              </w:rPr>
              <w:t>ä</w:t>
            </w:r>
            <w:r w:rsidRPr="00C9680B">
              <w:rPr>
                <w:snapToGrid w:val="0"/>
                <w:color w:val="000000"/>
                <w:sz w:val="17"/>
                <w:lang w:eastAsia="sv-SE"/>
              </w:rPr>
              <w:t>der till 20 %</w:t>
            </w:r>
          </w:p>
        </w:tc>
        <w:tc>
          <w:tcPr>
            <w:tcW w:w="709" w:type="dxa"/>
          </w:tcPr>
          <w:p w:rsidR="001C7BF9" w:rsidRPr="00C9680B" w:rsidRDefault="001C7BF9">
            <w:pPr>
              <w:spacing w:before="40" w:line="180" w:lineRule="exact"/>
              <w:jc w:val="right"/>
              <w:rPr>
                <w:snapToGrid w:val="0"/>
                <w:color w:val="000000"/>
                <w:sz w:val="17"/>
                <w:lang w:eastAsia="sv-SE"/>
              </w:rPr>
            </w:pPr>
          </w:p>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±0</w:t>
            </w: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r>
      <w:tr w:rsidR="00000000" w:rsidRPr="00C9680B">
        <w:tblPrEx>
          <w:tblCellMar>
            <w:top w:w="0" w:type="dxa"/>
            <w:bottom w:w="0" w:type="dxa"/>
          </w:tblCellMar>
        </w:tblPrEx>
        <w:trPr>
          <w:trHeight w:val="170"/>
        </w:trPr>
        <w:tc>
          <w:tcPr>
            <w:tcW w:w="513" w:type="dxa"/>
            <w:gridSpan w:val="3"/>
          </w:tcPr>
          <w:p w:rsidR="001C7BF9" w:rsidRPr="00C9680B" w:rsidRDefault="001C7BF9">
            <w:pPr>
              <w:spacing w:before="40" w:line="180" w:lineRule="exact"/>
              <w:jc w:val="lef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Nej till höjd kapitalvins</w:t>
            </w:r>
            <w:r w:rsidRPr="00C9680B">
              <w:rPr>
                <w:snapToGrid w:val="0"/>
                <w:color w:val="000000"/>
                <w:sz w:val="17"/>
                <w:lang w:eastAsia="sv-SE"/>
              </w:rPr>
              <w:t>t</w:t>
            </w:r>
            <w:r w:rsidRPr="00C9680B">
              <w:rPr>
                <w:snapToGrid w:val="0"/>
                <w:color w:val="000000"/>
                <w:sz w:val="17"/>
                <w:lang w:eastAsia="sv-SE"/>
              </w:rPr>
              <w:t>skatt</w:t>
            </w:r>
          </w:p>
        </w:tc>
        <w:tc>
          <w:tcPr>
            <w:tcW w:w="709"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±0</w:t>
            </w: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r>
      <w:tr w:rsidR="00000000" w:rsidRPr="00C9680B">
        <w:tblPrEx>
          <w:tblCellMar>
            <w:top w:w="0" w:type="dxa"/>
            <w:bottom w:w="0" w:type="dxa"/>
          </w:tblCellMar>
        </w:tblPrEx>
        <w:trPr>
          <w:trHeight w:val="170"/>
        </w:trPr>
        <w:tc>
          <w:tcPr>
            <w:tcW w:w="513" w:type="dxa"/>
            <w:gridSpan w:val="3"/>
          </w:tcPr>
          <w:p w:rsidR="001C7BF9" w:rsidRPr="00C9680B" w:rsidRDefault="001C7BF9">
            <w:pPr>
              <w:spacing w:before="40" w:line="180" w:lineRule="exact"/>
              <w:jc w:val="lef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Sänkt dubbelbeskattning på aktieu</w:t>
            </w:r>
            <w:r w:rsidRPr="00C9680B">
              <w:rPr>
                <w:snapToGrid w:val="0"/>
                <w:color w:val="000000"/>
                <w:sz w:val="17"/>
                <w:lang w:eastAsia="sv-SE"/>
              </w:rPr>
              <w:t>t</w:t>
            </w:r>
            <w:r w:rsidRPr="00C9680B">
              <w:rPr>
                <w:snapToGrid w:val="0"/>
                <w:color w:val="000000"/>
                <w:sz w:val="17"/>
                <w:lang w:eastAsia="sv-SE"/>
              </w:rPr>
              <w:t>delningar</w:t>
            </w:r>
          </w:p>
        </w:tc>
        <w:tc>
          <w:tcPr>
            <w:tcW w:w="709"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160" w:line="180" w:lineRule="exact"/>
              <w:jc w:val="right"/>
              <w:rPr>
                <w:snapToGrid w:val="0"/>
                <w:color w:val="000000"/>
                <w:sz w:val="17"/>
                <w:lang w:eastAsia="sv-SE"/>
              </w:rPr>
            </w:pPr>
            <w:r w:rsidRPr="00C9680B">
              <w:rPr>
                <w:snapToGrid w:val="0"/>
                <w:color w:val="000000"/>
                <w:sz w:val="17"/>
                <w:lang w:eastAsia="sv-SE"/>
              </w:rPr>
              <w:t>-5 000</w:t>
            </w:r>
          </w:p>
        </w:tc>
        <w:tc>
          <w:tcPr>
            <w:tcW w:w="709" w:type="dxa"/>
          </w:tcPr>
          <w:p w:rsidR="001C7BF9" w:rsidRPr="00C9680B" w:rsidRDefault="001C7BF9">
            <w:pPr>
              <w:spacing w:before="160" w:line="180" w:lineRule="exact"/>
              <w:jc w:val="right"/>
              <w:rPr>
                <w:snapToGrid w:val="0"/>
                <w:color w:val="000000"/>
                <w:sz w:val="17"/>
                <w:lang w:eastAsia="sv-SE"/>
              </w:rPr>
            </w:pPr>
            <w:r w:rsidRPr="00C9680B">
              <w:rPr>
                <w:snapToGrid w:val="0"/>
                <w:color w:val="000000"/>
                <w:sz w:val="17"/>
                <w:lang w:eastAsia="sv-SE"/>
              </w:rPr>
              <w:t>-2 400</w:t>
            </w:r>
          </w:p>
        </w:tc>
        <w:tc>
          <w:tcPr>
            <w:tcW w:w="709" w:type="dxa"/>
          </w:tcPr>
          <w:p w:rsidR="001C7BF9" w:rsidRPr="00C9680B" w:rsidRDefault="001C7BF9">
            <w:pPr>
              <w:spacing w:before="160" w:line="180" w:lineRule="exact"/>
              <w:jc w:val="right"/>
              <w:rPr>
                <w:snapToGrid w:val="0"/>
                <w:color w:val="000000"/>
                <w:sz w:val="17"/>
                <w:lang w:eastAsia="sv-SE"/>
              </w:rPr>
            </w:pPr>
          </w:p>
        </w:tc>
        <w:tc>
          <w:tcPr>
            <w:tcW w:w="709" w:type="dxa"/>
          </w:tcPr>
          <w:p w:rsidR="001C7BF9" w:rsidRPr="00C9680B" w:rsidRDefault="001C7BF9">
            <w:pPr>
              <w:spacing w:before="160" w:line="180" w:lineRule="exact"/>
              <w:jc w:val="right"/>
              <w:rPr>
                <w:snapToGrid w:val="0"/>
                <w:color w:val="000000"/>
                <w:sz w:val="17"/>
                <w:lang w:eastAsia="sv-SE"/>
              </w:rPr>
            </w:pPr>
            <w:r w:rsidRPr="00C9680B">
              <w:rPr>
                <w:snapToGrid w:val="0"/>
                <w:color w:val="000000"/>
                <w:sz w:val="17"/>
                <w:lang w:eastAsia="sv-SE"/>
              </w:rPr>
              <w:t>-2 400</w:t>
            </w:r>
          </w:p>
        </w:tc>
      </w:tr>
      <w:tr w:rsidR="00000000" w:rsidRPr="00C9680B">
        <w:tblPrEx>
          <w:tblCellMar>
            <w:top w:w="0" w:type="dxa"/>
            <w:bottom w:w="0" w:type="dxa"/>
          </w:tblCellMar>
        </w:tblPrEx>
        <w:trPr>
          <w:trHeight w:val="170"/>
        </w:trPr>
        <w:tc>
          <w:tcPr>
            <w:tcW w:w="513" w:type="dxa"/>
            <w:gridSpan w:val="3"/>
          </w:tcPr>
          <w:p w:rsidR="001C7BF9" w:rsidRPr="00C9680B" w:rsidRDefault="001C7BF9">
            <w:pPr>
              <w:spacing w:before="40" w:line="180" w:lineRule="exact"/>
              <w:ind w:left="113" w:hanging="113"/>
              <w:jc w:val="lef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Nej till återköp av egna akt</w:t>
            </w:r>
            <w:r w:rsidRPr="00C9680B">
              <w:rPr>
                <w:snapToGrid w:val="0"/>
                <w:color w:val="000000"/>
                <w:sz w:val="17"/>
                <w:lang w:eastAsia="sv-SE"/>
              </w:rPr>
              <w:t>i</w:t>
            </w:r>
            <w:r w:rsidRPr="00C9680B">
              <w:rPr>
                <w:snapToGrid w:val="0"/>
                <w:color w:val="000000"/>
                <w:sz w:val="17"/>
                <w:lang w:eastAsia="sv-SE"/>
              </w:rPr>
              <w:t>er</w:t>
            </w:r>
          </w:p>
        </w:tc>
        <w:tc>
          <w:tcPr>
            <w:tcW w:w="709" w:type="dxa"/>
          </w:tcPr>
          <w:p w:rsidR="001C7BF9" w:rsidRPr="00C9680B" w:rsidRDefault="001C7BF9">
            <w:pPr>
              <w:spacing w:before="40" w:line="180" w:lineRule="exact"/>
              <w:ind w:left="113" w:hanging="113"/>
              <w:jc w:val="right"/>
              <w:rPr>
                <w:snapToGrid w:val="0"/>
                <w:color w:val="000000"/>
                <w:sz w:val="17"/>
                <w:lang w:eastAsia="sv-SE"/>
              </w:rPr>
            </w:pPr>
          </w:p>
        </w:tc>
        <w:tc>
          <w:tcPr>
            <w:tcW w:w="708" w:type="dxa"/>
          </w:tcPr>
          <w:p w:rsidR="001C7BF9" w:rsidRPr="00C9680B" w:rsidRDefault="001C7BF9">
            <w:pPr>
              <w:spacing w:before="40" w:line="180" w:lineRule="exact"/>
              <w:ind w:left="113" w:hanging="113"/>
              <w:jc w:val="right"/>
              <w:rPr>
                <w:snapToGrid w:val="0"/>
                <w:color w:val="000000"/>
                <w:sz w:val="17"/>
                <w:lang w:eastAsia="sv-SE"/>
              </w:rPr>
            </w:pPr>
          </w:p>
        </w:tc>
        <w:tc>
          <w:tcPr>
            <w:tcW w:w="709" w:type="dxa"/>
          </w:tcPr>
          <w:p w:rsidR="001C7BF9" w:rsidRPr="00C9680B" w:rsidRDefault="001C7BF9">
            <w:pPr>
              <w:spacing w:before="40" w:line="180" w:lineRule="exact"/>
              <w:ind w:left="113" w:hanging="113"/>
              <w:jc w:val="right"/>
              <w:rPr>
                <w:snapToGrid w:val="0"/>
                <w:color w:val="000000"/>
                <w:sz w:val="17"/>
                <w:lang w:eastAsia="sv-SE"/>
              </w:rPr>
            </w:pPr>
            <w:r w:rsidRPr="00C9680B">
              <w:rPr>
                <w:snapToGrid w:val="0"/>
                <w:color w:val="000000"/>
                <w:sz w:val="17"/>
                <w:lang w:eastAsia="sv-SE"/>
              </w:rPr>
              <w:t>+720</w:t>
            </w:r>
          </w:p>
        </w:tc>
        <w:tc>
          <w:tcPr>
            <w:tcW w:w="709" w:type="dxa"/>
          </w:tcPr>
          <w:p w:rsidR="001C7BF9" w:rsidRPr="00C9680B" w:rsidRDefault="001C7BF9">
            <w:pPr>
              <w:spacing w:before="40" w:line="180" w:lineRule="exact"/>
              <w:ind w:left="113" w:hanging="113"/>
              <w:jc w:val="right"/>
              <w:rPr>
                <w:snapToGrid w:val="0"/>
                <w:color w:val="000000"/>
                <w:sz w:val="17"/>
                <w:lang w:eastAsia="sv-SE"/>
              </w:rPr>
            </w:pPr>
          </w:p>
        </w:tc>
        <w:tc>
          <w:tcPr>
            <w:tcW w:w="709" w:type="dxa"/>
          </w:tcPr>
          <w:p w:rsidR="001C7BF9" w:rsidRPr="00C9680B" w:rsidRDefault="001C7BF9">
            <w:pPr>
              <w:spacing w:before="40" w:line="180" w:lineRule="exact"/>
              <w:ind w:left="113" w:hanging="113"/>
              <w:jc w:val="right"/>
              <w:rPr>
                <w:snapToGrid w:val="0"/>
                <w:color w:val="000000"/>
                <w:sz w:val="17"/>
                <w:lang w:eastAsia="sv-SE"/>
              </w:rPr>
            </w:pPr>
          </w:p>
        </w:tc>
      </w:tr>
      <w:tr w:rsidR="00000000" w:rsidRPr="00C9680B">
        <w:tblPrEx>
          <w:tblCellMar>
            <w:top w:w="0" w:type="dxa"/>
            <w:bottom w:w="0" w:type="dxa"/>
          </w:tblCellMar>
        </w:tblPrEx>
        <w:trPr>
          <w:trHeight w:val="170"/>
        </w:trPr>
        <w:tc>
          <w:tcPr>
            <w:tcW w:w="513" w:type="dxa"/>
            <w:gridSpan w:val="3"/>
          </w:tcPr>
          <w:p w:rsidR="001C7BF9" w:rsidRPr="00C9680B" w:rsidRDefault="001C7BF9">
            <w:pPr>
              <w:spacing w:before="40" w:line="180" w:lineRule="exact"/>
              <w:ind w:left="113" w:hanging="113"/>
              <w:jc w:val="lef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Lägre beskattning på royaltyi</w:t>
            </w:r>
            <w:r w:rsidRPr="00C9680B">
              <w:rPr>
                <w:snapToGrid w:val="0"/>
                <w:color w:val="000000"/>
                <w:sz w:val="17"/>
                <w:lang w:eastAsia="sv-SE"/>
              </w:rPr>
              <w:t>n</w:t>
            </w:r>
            <w:r w:rsidRPr="00C9680B">
              <w:rPr>
                <w:snapToGrid w:val="0"/>
                <w:color w:val="000000"/>
                <w:sz w:val="17"/>
                <w:lang w:eastAsia="sv-SE"/>
              </w:rPr>
              <w:t>komst</w:t>
            </w:r>
          </w:p>
        </w:tc>
        <w:tc>
          <w:tcPr>
            <w:tcW w:w="709" w:type="dxa"/>
          </w:tcPr>
          <w:p w:rsidR="001C7BF9" w:rsidRPr="00C9680B" w:rsidRDefault="001C7BF9">
            <w:pPr>
              <w:spacing w:before="40" w:line="180" w:lineRule="exact"/>
              <w:ind w:left="113" w:hanging="113"/>
              <w:jc w:val="right"/>
              <w:rPr>
                <w:snapToGrid w:val="0"/>
                <w:color w:val="000000"/>
                <w:sz w:val="17"/>
                <w:lang w:eastAsia="sv-SE"/>
              </w:rPr>
            </w:pPr>
          </w:p>
        </w:tc>
        <w:tc>
          <w:tcPr>
            <w:tcW w:w="708" w:type="dxa"/>
          </w:tcPr>
          <w:p w:rsidR="001C7BF9" w:rsidRPr="00C9680B" w:rsidRDefault="001C7BF9">
            <w:pPr>
              <w:spacing w:before="40" w:line="180" w:lineRule="exact"/>
              <w:ind w:left="113" w:hanging="113"/>
              <w:jc w:val="right"/>
              <w:rPr>
                <w:snapToGrid w:val="0"/>
                <w:color w:val="000000"/>
                <w:sz w:val="17"/>
                <w:lang w:eastAsia="sv-SE"/>
              </w:rPr>
            </w:pPr>
            <w:r w:rsidRPr="00C9680B">
              <w:rPr>
                <w:snapToGrid w:val="0"/>
                <w:color w:val="000000"/>
                <w:sz w:val="17"/>
                <w:lang w:eastAsia="sv-SE"/>
              </w:rPr>
              <w:t>-70</w:t>
            </w:r>
          </w:p>
        </w:tc>
        <w:tc>
          <w:tcPr>
            <w:tcW w:w="709" w:type="dxa"/>
          </w:tcPr>
          <w:p w:rsidR="001C7BF9" w:rsidRPr="00C9680B" w:rsidRDefault="001C7BF9">
            <w:pPr>
              <w:spacing w:before="40" w:line="180" w:lineRule="exact"/>
              <w:ind w:left="113" w:hanging="113"/>
              <w:jc w:val="right"/>
              <w:rPr>
                <w:snapToGrid w:val="0"/>
                <w:color w:val="000000"/>
                <w:sz w:val="17"/>
                <w:lang w:eastAsia="sv-SE"/>
              </w:rPr>
            </w:pPr>
            <w:r w:rsidRPr="00C9680B">
              <w:rPr>
                <w:snapToGrid w:val="0"/>
                <w:color w:val="000000"/>
                <w:sz w:val="17"/>
                <w:lang w:eastAsia="sv-SE"/>
              </w:rPr>
              <w:t>-20</w:t>
            </w:r>
          </w:p>
        </w:tc>
        <w:tc>
          <w:tcPr>
            <w:tcW w:w="709" w:type="dxa"/>
          </w:tcPr>
          <w:p w:rsidR="001C7BF9" w:rsidRPr="00C9680B" w:rsidRDefault="001C7BF9">
            <w:pPr>
              <w:spacing w:before="40" w:line="180" w:lineRule="exact"/>
              <w:ind w:left="113" w:hanging="113"/>
              <w:jc w:val="right"/>
              <w:rPr>
                <w:snapToGrid w:val="0"/>
                <w:color w:val="000000"/>
                <w:sz w:val="17"/>
                <w:lang w:eastAsia="sv-SE"/>
              </w:rPr>
            </w:pPr>
          </w:p>
        </w:tc>
        <w:tc>
          <w:tcPr>
            <w:tcW w:w="709" w:type="dxa"/>
          </w:tcPr>
          <w:p w:rsidR="001C7BF9" w:rsidRPr="00C9680B" w:rsidRDefault="001C7BF9">
            <w:pPr>
              <w:spacing w:before="40" w:line="180" w:lineRule="exact"/>
              <w:ind w:left="113" w:hanging="113"/>
              <w:jc w:val="right"/>
              <w:rPr>
                <w:snapToGrid w:val="0"/>
                <w:color w:val="000000"/>
                <w:sz w:val="17"/>
                <w:lang w:eastAsia="sv-SE"/>
              </w:rPr>
            </w:pPr>
          </w:p>
        </w:tc>
      </w:tr>
      <w:tr w:rsidR="00000000" w:rsidRPr="00C9680B">
        <w:tblPrEx>
          <w:tblCellMar>
            <w:top w:w="0" w:type="dxa"/>
            <w:bottom w:w="0" w:type="dxa"/>
          </w:tblCellMar>
        </w:tblPrEx>
        <w:trPr>
          <w:trHeight w:val="170"/>
        </w:trPr>
        <w:tc>
          <w:tcPr>
            <w:tcW w:w="513" w:type="dxa"/>
            <w:gridSpan w:val="3"/>
          </w:tcPr>
          <w:p w:rsidR="001C7BF9" w:rsidRPr="00C9680B" w:rsidRDefault="001C7BF9">
            <w:pPr>
              <w:spacing w:before="40" w:line="180" w:lineRule="exact"/>
              <w:ind w:left="113" w:hanging="113"/>
              <w:jc w:val="lef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Skattesänkning som kompensation för höjd trafikförsä</w:t>
            </w:r>
            <w:r w:rsidRPr="00C9680B">
              <w:rPr>
                <w:snapToGrid w:val="0"/>
                <w:color w:val="000000"/>
                <w:sz w:val="17"/>
                <w:lang w:eastAsia="sv-SE"/>
              </w:rPr>
              <w:t>k</w:t>
            </w:r>
            <w:r w:rsidRPr="00C9680B">
              <w:rPr>
                <w:snapToGrid w:val="0"/>
                <w:color w:val="000000"/>
                <w:sz w:val="17"/>
                <w:lang w:eastAsia="sv-SE"/>
              </w:rPr>
              <w:t>ring</w:t>
            </w:r>
          </w:p>
        </w:tc>
        <w:tc>
          <w:tcPr>
            <w:tcW w:w="709" w:type="dxa"/>
          </w:tcPr>
          <w:p w:rsidR="001C7BF9" w:rsidRPr="00C9680B" w:rsidRDefault="001C7BF9">
            <w:pPr>
              <w:spacing w:before="40" w:line="180" w:lineRule="exact"/>
              <w:ind w:left="113" w:hanging="113"/>
              <w:jc w:val="right"/>
              <w:rPr>
                <w:snapToGrid w:val="0"/>
                <w:color w:val="000000"/>
                <w:sz w:val="17"/>
                <w:lang w:eastAsia="sv-SE"/>
              </w:rPr>
            </w:pPr>
          </w:p>
        </w:tc>
        <w:tc>
          <w:tcPr>
            <w:tcW w:w="708" w:type="dxa"/>
          </w:tcPr>
          <w:p w:rsidR="001C7BF9" w:rsidRPr="00C9680B" w:rsidRDefault="001C7BF9">
            <w:pPr>
              <w:spacing w:before="40" w:line="180" w:lineRule="exact"/>
              <w:ind w:left="113" w:hanging="113"/>
              <w:jc w:val="right"/>
              <w:rPr>
                <w:snapToGrid w:val="0"/>
                <w:color w:val="000000"/>
                <w:sz w:val="17"/>
                <w:lang w:eastAsia="sv-SE"/>
              </w:rPr>
            </w:pPr>
          </w:p>
        </w:tc>
        <w:tc>
          <w:tcPr>
            <w:tcW w:w="709" w:type="dxa"/>
          </w:tcPr>
          <w:p w:rsidR="001C7BF9" w:rsidRPr="00C9680B" w:rsidRDefault="001C7BF9">
            <w:pPr>
              <w:spacing w:before="40" w:line="180" w:lineRule="exact"/>
              <w:ind w:left="113" w:hanging="113"/>
              <w:jc w:val="right"/>
              <w:rPr>
                <w:snapToGrid w:val="0"/>
                <w:color w:val="000000"/>
                <w:sz w:val="17"/>
                <w:lang w:eastAsia="sv-SE"/>
              </w:rPr>
            </w:pPr>
          </w:p>
        </w:tc>
        <w:tc>
          <w:tcPr>
            <w:tcW w:w="709" w:type="dxa"/>
          </w:tcPr>
          <w:p w:rsidR="001C7BF9" w:rsidRPr="00C9680B" w:rsidRDefault="001C7BF9">
            <w:pPr>
              <w:spacing w:before="40" w:line="180" w:lineRule="exact"/>
              <w:ind w:left="113" w:hanging="113"/>
              <w:jc w:val="right"/>
              <w:rPr>
                <w:snapToGrid w:val="0"/>
                <w:color w:val="000000"/>
                <w:sz w:val="17"/>
                <w:lang w:eastAsia="sv-SE"/>
              </w:rPr>
            </w:pPr>
          </w:p>
        </w:tc>
        <w:tc>
          <w:tcPr>
            <w:tcW w:w="709" w:type="dxa"/>
          </w:tcPr>
          <w:p w:rsidR="001C7BF9" w:rsidRPr="00C9680B" w:rsidRDefault="001C7BF9">
            <w:pPr>
              <w:spacing w:before="40" w:line="180" w:lineRule="exact"/>
              <w:ind w:left="113" w:hanging="113"/>
              <w:jc w:val="right"/>
              <w:rPr>
                <w:snapToGrid w:val="0"/>
                <w:color w:val="000000"/>
                <w:sz w:val="17"/>
                <w:lang w:eastAsia="sv-SE"/>
              </w:rPr>
            </w:pPr>
            <w:r w:rsidRPr="00C9680B">
              <w:rPr>
                <w:snapToGrid w:val="0"/>
                <w:color w:val="000000"/>
                <w:sz w:val="17"/>
                <w:lang w:eastAsia="sv-SE"/>
              </w:rPr>
              <w:t>-4 000</w:t>
            </w:r>
          </w:p>
        </w:tc>
      </w:tr>
      <w:tr w:rsidR="00000000" w:rsidRPr="00C9680B">
        <w:tblPrEx>
          <w:tblCellMar>
            <w:top w:w="0" w:type="dxa"/>
            <w:bottom w:w="0" w:type="dxa"/>
          </w:tblCellMar>
        </w:tblPrEx>
        <w:trPr>
          <w:trHeight w:val="170"/>
        </w:trPr>
        <w:tc>
          <w:tcPr>
            <w:tcW w:w="513" w:type="dxa"/>
            <w:gridSpan w:val="3"/>
          </w:tcPr>
          <w:p w:rsidR="001C7BF9" w:rsidRPr="00C9680B" w:rsidRDefault="001C7BF9">
            <w:pPr>
              <w:spacing w:before="40" w:line="180" w:lineRule="exact"/>
              <w:ind w:left="113" w:hanging="113"/>
              <w:jc w:val="lef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Effektivare skatteindrivning</w:t>
            </w:r>
          </w:p>
        </w:tc>
        <w:tc>
          <w:tcPr>
            <w:tcW w:w="709" w:type="dxa"/>
          </w:tcPr>
          <w:p w:rsidR="001C7BF9" w:rsidRPr="00C9680B" w:rsidRDefault="001C7BF9">
            <w:pPr>
              <w:spacing w:before="40" w:line="180" w:lineRule="exact"/>
              <w:ind w:left="113" w:hanging="113"/>
              <w:jc w:val="right"/>
              <w:rPr>
                <w:snapToGrid w:val="0"/>
                <w:color w:val="000000"/>
                <w:sz w:val="17"/>
                <w:lang w:eastAsia="sv-SE"/>
              </w:rPr>
            </w:pPr>
          </w:p>
        </w:tc>
        <w:tc>
          <w:tcPr>
            <w:tcW w:w="708" w:type="dxa"/>
          </w:tcPr>
          <w:p w:rsidR="001C7BF9" w:rsidRPr="00C9680B" w:rsidRDefault="001C7BF9">
            <w:pPr>
              <w:spacing w:before="40" w:line="180" w:lineRule="exact"/>
              <w:ind w:left="113" w:hanging="113"/>
              <w:jc w:val="right"/>
              <w:rPr>
                <w:snapToGrid w:val="0"/>
                <w:color w:val="000000"/>
                <w:sz w:val="17"/>
                <w:lang w:eastAsia="sv-SE"/>
              </w:rPr>
            </w:pPr>
          </w:p>
        </w:tc>
        <w:tc>
          <w:tcPr>
            <w:tcW w:w="709" w:type="dxa"/>
          </w:tcPr>
          <w:p w:rsidR="001C7BF9" w:rsidRPr="00C9680B" w:rsidRDefault="001C7BF9">
            <w:pPr>
              <w:spacing w:before="40" w:line="180" w:lineRule="exact"/>
              <w:ind w:left="113" w:hanging="113"/>
              <w:jc w:val="right"/>
              <w:rPr>
                <w:snapToGrid w:val="0"/>
                <w:color w:val="000000"/>
                <w:sz w:val="17"/>
                <w:lang w:eastAsia="sv-SE"/>
              </w:rPr>
            </w:pPr>
            <w:r w:rsidRPr="00C9680B">
              <w:rPr>
                <w:snapToGrid w:val="0"/>
                <w:color w:val="000000"/>
                <w:sz w:val="17"/>
                <w:lang w:eastAsia="sv-SE"/>
              </w:rPr>
              <w:t>+210</w:t>
            </w:r>
          </w:p>
        </w:tc>
        <w:tc>
          <w:tcPr>
            <w:tcW w:w="709" w:type="dxa"/>
          </w:tcPr>
          <w:p w:rsidR="001C7BF9" w:rsidRPr="00C9680B" w:rsidRDefault="001C7BF9">
            <w:pPr>
              <w:spacing w:before="40" w:line="180" w:lineRule="exact"/>
              <w:ind w:left="113" w:hanging="113"/>
              <w:jc w:val="right"/>
              <w:rPr>
                <w:snapToGrid w:val="0"/>
                <w:color w:val="000000"/>
                <w:sz w:val="17"/>
                <w:lang w:eastAsia="sv-SE"/>
              </w:rPr>
            </w:pPr>
          </w:p>
        </w:tc>
        <w:tc>
          <w:tcPr>
            <w:tcW w:w="709" w:type="dxa"/>
          </w:tcPr>
          <w:p w:rsidR="001C7BF9" w:rsidRPr="00C9680B" w:rsidRDefault="001C7BF9">
            <w:pPr>
              <w:spacing w:before="40" w:line="180" w:lineRule="exact"/>
              <w:ind w:left="113" w:hanging="113"/>
              <w:jc w:val="right"/>
              <w:rPr>
                <w:snapToGrid w:val="0"/>
                <w:color w:val="000000"/>
                <w:sz w:val="17"/>
                <w:lang w:eastAsia="sv-SE"/>
              </w:rPr>
            </w:pPr>
          </w:p>
        </w:tc>
      </w:tr>
      <w:tr w:rsidR="00000000" w:rsidRPr="00C9680B">
        <w:tblPrEx>
          <w:tblCellMar>
            <w:top w:w="0" w:type="dxa"/>
            <w:bottom w:w="0" w:type="dxa"/>
          </w:tblCellMar>
        </w:tblPrEx>
        <w:trPr>
          <w:trHeight w:val="170"/>
        </w:trPr>
        <w:tc>
          <w:tcPr>
            <w:tcW w:w="513" w:type="dxa"/>
            <w:gridSpan w:val="3"/>
            <w:tcBorders>
              <w:bottom w:val="single" w:sz="4" w:space="0" w:color="auto"/>
            </w:tcBorders>
          </w:tcPr>
          <w:p w:rsidR="001C7BF9" w:rsidRPr="00C9680B" w:rsidRDefault="001C7BF9">
            <w:pPr>
              <w:spacing w:before="40" w:line="180" w:lineRule="exact"/>
              <w:ind w:left="113" w:hanging="113"/>
              <w:jc w:val="left"/>
              <w:rPr>
                <w:snapToGrid w:val="0"/>
                <w:color w:val="000000"/>
                <w:sz w:val="17"/>
                <w:lang w:eastAsia="sv-SE"/>
              </w:rPr>
            </w:pPr>
          </w:p>
        </w:tc>
        <w:tc>
          <w:tcPr>
            <w:tcW w:w="2693" w:type="dxa"/>
            <w:gridSpan w:val="3"/>
            <w:tcBorders>
              <w:bottom w:val="single" w:sz="4" w:space="0" w:color="auto"/>
            </w:tcBorders>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Interaktionseffekter</w:t>
            </w:r>
          </w:p>
        </w:tc>
        <w:tc>
          <w:tcPr>
            <w:tcW w:w="709" w:type="dxa"/>
            <w:tcBorders>
              <w:bottom w:val="single" w:sz="4" w:space="0" w:color="auto"/>
            </w:tcBorders>
          </w:tcPr>
          <w:p w:rsidR="001C7BF9" w:rsidRPr="00C9680B" w:rsidRDefault="001C7BF9">
            <w:pPr>
              <w:spacing w:before="40" w:line="180" w:lineRule="exact"/>
              <w:ind w:left="113" w:hanging="113"/>
              <w:jc w:val="right"/>
              <w:rPr>
                <w:snapToGrid w:val="0"/>
                <w:color w:val="000000"/>
                <w:sz w:val="17"/>
                <w:lang w:eastAsia="sv-SE"/>
              </w:rPr>
            </w:pPr>
          </w:p>
        </w:tc>
        <w:tc>
          <w:tcPr>
            <w:tcW w:w="708" w:type="dxa"/>
            <w:tcBorders>
              <w:bottom w:val="single" w:sz="4" w:space="0" w:color="auto"/>
            </w:tcBorders>
          </w:tcPr>
          <w:p w:rsidR="001C7BF9" w:rsidRPr="00C9680B" w:rsidRDefault="001C7BF9">
            <w:pPr>
              <w:spacing w:before="40" w:line="180" w:lineRule="exact"/>
              <w:ind w:left="113" w:hanging="113"/>
              <w:jc w:val="right"/>
              <w:rPr>
                <w:snapToGrid w:val="0"/>
                <w:color w:val="000000"/>
                <w:sz w:val="17"/>
                <w:lang w:eastAsia="sv-SE"/>
              </w:rPr>
            </w:pPr>
          </w:p>
        </w:tc>
        <w:tc>
          <w:tcPr>
            <w:tcW w:w="709" w:type="dxa"/>
            <w:tcBorders>
              <w:bottom w:val="single" w:sz="4" w:space="0" w:color="auto"/>
            </w:tcBorders>
          </w:tcPr>
          <w:p w:rsidR="001C7BF9" w:rsidRPr="00C9680B" w:rsidRDefault="001C7BF9">
            <w:pPr>
              <w:spacing w:before="40" w:line="180" w:lineRule="exact"/>
              <w:ind w:left="113" w:hanging="113"/>
              <w:jc w:val="right"/>
              <w:rPr>
                <w:snapToGrid w:val="0"/>
                <w:color w:val="000000"/>
                <w:sz w:val="17"/>
                <w:lang w:eastAsia="sv-SE"/>
              </w:rPr>
            </w:pPr>
          </w:p>
        </w:tc>
        <w:tc>
          <w:tcPr>
            <w:tcW w:w="709" w:type="dxa"/>
            <w:tcBorders>
              <w:bottom w:val="single" w:sz="4" w:space="0" w:color="auto"/>
            </w:tcBorders>
          </w:tcPr>
          <w:p w:rsidR="001C7BF9" w:rsidRPr="00C9680B" w:rsidRDefault="001C7BF9">
            <w:pPr>
              <w:spacing w:before="40" w:line="180" w:lineRule="exact"/>
              <w:ind w:left="113" w:hanging="113"/>
              <w:jc w:val="right"/>
              <w:rPr>
                <w:snapToGrid w:val="0"/>
                <w:color w:val="000000"/>
                <w:sz w:val="17"/>
                <w:lang w:eastAsia="sv-SE"/>
              </w:rPr>
            </w:pPr>
          </w:p>
        </w:tc>
        <w:tc>
          <w:tcPr>
            <w:tcW w:w="709" w:type="dxa"/>
            <w:tcBorders>
              <w:bottom w:val="single" w:sz="4" w:space="0" w:color="auto"/>
            </w:tcBorders>
          </w:tcPr>
          <w:p w:rsidR="001C7BF9" w:rsidRPr="00C9680B" w:rsidRDefault="001C7BF9">
            <w:pPr>
              <w:spacing w:before="40" w:line="180" w:lineRule="exact"/>
              <w:ind w:left="113" w:hanging="113"/>
              <w:jc w:val="right"/>
              <w:rPr>
                <w:snapToGrid w:val="0"/>
                <w:color w:val="000000"/>
                <w:sz w:val="17"/>
                <w:lang w:eastAsia="sv-SE"/>
              </w:rPr>
            </w:pPr>
            <w:r w:rsidRPr="00C9680B">
              <w:rPr>
                <w:snapToGrid w:val="0"/>
                <w:color w:val="000000"/>
                <w:sz w:val="17"/>
                <w:lang w:eastAsia="sv-SE"/>
              </w:rPr>
              <w:t>+2 650</w:t>
            </w:r>
          </w:p>
        </w:tc>
      </w:tr>
    </w:tbl>
    <w:p w:rsidR="001C7BF9" w:rsidRPr="00C9680B" w:rsidRDefault="001C7BF9">
      <w:pPr>
        <w:pStyle w:val="Utskottetsvervganden-RubrikFrslagspunkt"/>
      </w:pPr>
      <w:bookmarkStart w:id="208" w:name="_Toc497720012"/>
      <w:bookmarkStart w:id="209" w:name="_Toc498238795"/>
      <w:bookmarkStart w:id="210" w:name="_Toc498910706"/>
      <w:r w:rsidRPr="00C9680B">
        <w:t>3.3.1 Inkomstskatten för 2001</w:t>
      </w:r>
      <w:bookmarkEnd w:id="208"/>
      <w:bookmarkEnd w:id="209"/>
      <w:bookmarkEnd w:id="210"/>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bifaller regeringens förslag om en höjning av grund</w:t>
      </w:r>
      <w:r w:rsidRPr="00C9680B">
        <w:softHyphen/>
        <w:t>avdraget och det särskilda grundavdraget, en kompensation för 50 % av den allmänna pensionsavgiften, en förlängning av skatt</w:t>
      </w:r>
      <w:r w:rsidRPr="00C9680B">
        <w:t>e</w:t>
      </w:r>
      <w:r w:rsidRPr="00C9680B">
        <w:t>reduk</w:t>
      </w:r>
      <w:r w:rsidRPr="00C9680B">
        <w:softHyphen/>
        <w:t>tionen på 1 320 kr för låginkomsttagare och en justering av gränsen för uttag av statlig inkomstskatt i syfte att minska andelen skatt</w:t>
      </w:r>
      <w:r w:rsidRPr="00C9680B">
        <w:softHyphen/>
        <w:t>skyldiga som betalar statlig inkomstskatt till 16 %. Riksdagen avslår här aktuella motionsyrkanden.</w:t>
      </w:r>
    </w:p>
    <w:p w:rsidR="001C7BF9" w:rsidRPr="00C9680B" w:rsidRDefault="001C7BF9">
      <w:pPr>
        <w:pStyle w:val="Utskottsfrslagikorthet-Text"/>
      </w:pPr>
      <w:r w:rsidRPr="00C9680B">
        <w:t xml:space="preserve">  Jämför reservationerna 12 (m), 13 (kd), 14 (c) och 15 (fp).</w:t>
      </w:r>
    </w:p>
    <w:p w:rsidR="001C7BF9" w:rsidRPr="00C9680B" w:rsidRDefault="001C7BF9">
      <w:pPr>
        <w:pStyle w:val="R4"/>
      </w:pPr>
      <w:bookmarkStart w:id="211" w:name="_Toc497206445"/>
      <w:bookmarkStart w:id="212" w:name="_Toc497720014"/>
      <w:r w:rsidRPr="00C9680B">
        <w:t>Budgetpropositionen</w:t>
      </w:r>
      <w:bookmarkEnd w:id="211"/>
      <w:bookmarkEnd w:id="212"/>
    </w:p>
    <w:p w:rsidR="001C7BF9" w:rsidRPr="00C9680B" w:rsidRDefault="001C7BF9">
      <w:r w:rsidRPr="00C9680B">
        <w:t>I propositionen (avsnitt 9.2.2) föreslår regeringen att skattereduktionen för den allmänna pensionsavgiften höjs från 25 % till 50 % inkomståret 2001, att avdraget för den allmänna pensionsavgiften reduceras i motsvarande mån och att skikt</w:t>
      </w:r>
      <w:r w:rsidRPr="00C9680B">
        <w:softHyphen/>
        <w:t>gränserna justeras för den minskade avdragsrätten. Grundavdraget höjs till 27 % av prisbasbeloppet och avrundas i fortsättningen uppåt. Det särskilda grundavdraget höjs med 2,7 % av prisbasbeloppet för gift skattsky</w:t>
      </w:r>
      <w:r w:rsidRPr="00C9680B">
        <w:t>l</w:t>
      </w:r>
      <w:r w:rsidRPr="00C9680B">
        <w:t>dig och med 3 % av prisbasbeloppet för annan skattskyldig. Den tillfälliga skatte</w:t>
      </w:r>
      <w:r w:rsidRPr="00C9680B">
        <w:softHyphen/>
        <w:t>reduktion som gäller år 2000 förlängs att gälla även år 2001. Slutligen före</w:t>
      </w:r>
      <w:r w:rsidRPr="00C9680B">
        <w:softHyphen/>
        <w:t>slås att gränsen för uttag av statlig inkomstskatt höjs så att andelen skat</w:t>
      </w:r>
      <w:r w:rsidRPr="00C9680B">
        <w:t>t</w:t>
      </w:r>
      <w:r w:rsidRPr="00C9680B">
        <w:t>skyl</w:t>
      </w:r>
      <w:r w:rsidRPr="00C9680B">
        <w:softHyphen/>
        <w:t>diga som betalar statlig inkomstskatt reduceras till 16</w:t>
      </w:r>
      <w:r w:rsidRPr="00C9680B">
        <w:t> %. Härefter uppgår den nedre skiktgränsen vid uttag av statlig inkomstskatt till 252 000 kr och den övre skiktgränsen till 390 400 kr. Räknat i taxerad inkomst – dvs. före grundavdrag och avdrag för pensionsavgift – blir beloppen i stället 271 500 kr respektive 411 100 kr.</w:t>
      </w:r>
    </w:p>
    <w:p w:rsidR="001C7BF9" w:rsidRPr="00C9680B" w:rsidRDefault="001C7BF9">
      <w:pPr>
        <w:pStyle w:val="Normaltindrag"/>
      </w:pPr>
      <w:r w:rsidRPr="00C9680B">
        <w:t>Regeringen anför att det bedöms vara möjligt att genomföra ytterligare en fjärdedel av den reform som påbörjades år 2000 och som syftar till att elimi</w:t>
      </w:r>
      <w:r w:rsidRPr="00C9680B">
        <w:softHyphen/>
        <w:t xml:space="preserve">nera den effekt på genomsnittsskatten och medelskatten som den allmänna pensionsavgiften har. Vidare är det enligt vad regeringen anför angeläget att justera den nedre skiktgränsen så att andelen som betalar statlig inkomstskatt på sikt begränsas till 15 % av de skattskyldiga med förvärvsinkomster. </w:t>
      </w:r>
    </w:p>
    <w:p w:rsidR="001C7BF9" w:rsidRPr="00C9680B" w:rsidRDefault="001C7BF9">
      <w:pPr>
        <w:pStyle w:val="Normaltindrag"/>
      </w:pPr>
      <w:r w:rsidRPr="00C9680B">
        <w:t>Höjningen av grundavdraget och det särskilda grundavdraget utgör ett led i den skatteväxling som regeringen föreslår. Grundavdraget höjs med 1 200 kr för alla och avrundas i fortsättningen uppåt. För att i viss</w:t>
      </w:r>
      <w:r w:rsidRPr="00C9680B">
        <w:t xml:space="preserve"> mån kompensera pensionärerna för de höjda skatter som skatteväxlingen för med sig föreslår regeringen också att det särskilda grundavdraget höjs med 1 200 kr för e</w:t>
      </w:r>
      <w:r w:rsidRPr="00C9680B">
        <w:t>n</w:t>
      </w:r>
      <w:r w:rsidRPr="00C9680B">
        <w:t xml:space="preserve">samstående folkpensionär och med 1 100 kr för gift folkpensionär. </w:t>
      </w:r>
    </w:p>
    <w:p w:rsidR="001C7BF9" w:rsidRPr="00C9680B" w:rsidRDefault="001C7BF9">
      <w:pPr>
        <w:pStyle w:val="Normaltindrag"/>
      </w:pPr>
      <w:r w:rsidRPr="00C9680B">
        <w:t>Skattereduktionen för låginkomsttagare infördes år 1999 i avvaktan på en större skattereform. För att ge ett tillfredsställande fördelningspolitiskt utfall av de samlade regeländringarna år 2000 bibehölls reduktionen även inkomst</w:t>
      </w:r>
      <w:r w:rsidRPr="00C9680B">
        <w:softHyphen/>
        <w:t>året 2000. Eftersom ytterligare arbete krävs för att hitta en alternativ metod att åstadkomma ett likvärdigt resultat föreslår regeringen att skattereduktionen för låginkomsttagare förlängs ytterl</w:t>
      </w:r>
      <w:r w:rsidRPr="00C9680B">
        <w:t>i</w:t>
      </w:r>
      <w:r w:rsidRPr="00C9680B">
        <w:t>gare ett år.</w:t>
      </w:r>
    </w:p>
    <w:p w:rsidR="001C7BF9" w:rsidRPr="00C9680B" w:rsidRDefault="001C7BF9">
      <w:pPr>
        <w:pStyle w:val="R4"/>
      </w:pPr>
      <w:bookmarkStart w:id="213" w:name="_Toc497206446"/>
      <w:bookmarkStart w:id="214" w:name="_Toc497720015"/>
      <w:r w:rsidRPr="00C9680B">
        <w:t>Motionerna</w:t>
      </w:r>
      <w:bookmarkEnd w:id="213"/>
      <w:bookmarkEnd w:id="214"/>
    </w:p>
    <w:p w:rsidR="001C7BF9" w:rsidRPr="00C9680B" w:rsidRDefault="001C7BF9">
      <w:r w:rsidRPr="00C9680B">
        <w:rPr>
          <w:i/>
        </w:rPr>
        <w:t>Moderata samlingspartiet</w:t>
      </w:r>
      <w:r w:rsidRPr="00C9680B">
        <w:t xml:space="preserve"> hemställer i </w:t>
      </w:r>
      <w:r w:rsidRPr="00C9680B">
        <w:rPr>
          <w:i/>
        </w:rPr>
        <w:t>motionerna Sk319</w:t>
      </w:r>
      <w:r w:rsidRPr="00C9680B">
        <w:t xml:space="preserve"> och </w:t>
      </w:r>
      <w:r w:rsidRPr="00C9680B">
        <w:rPr>
          <w:i/>
        </w:rPr>
        <w:t>N385</w:t>
      </w:r>
      <w:r w:rsidRPr="00C9680B">
        <w:t xml:space="preserve"> yrkande 8 av Bo Lundgren m.fl. (m) och </w:t>
      </w:r>
      <w:r w:rsidRPr="00C9680B">
        <w:rPr>
          <w:i/>
        </w:rPr>
        <w:t>motion Sk313</w:t>
      </w:r>
      <w:r w:rsidRPr="00C9680B">
        <w:t xml:space="preserve"> yrkande 2 del</w:t>
      </w:r>
      <w:r w:rsidRPr="00C9680B">
        <w:softHyphen/>
        <w:t>vis, 3–6 och 12–20 av Carl Fredrik Graf m.fl. (m) om avslag på regeringens förslag. För i</w:t>
      </w:r>
      <w:r w:rsidRPr="00C9680B">
        <w:t>n</w:t>
      </w:r>
      <w:r w:rsidRPr="00C9680B">
        <w:t>komståret 2001 föreslår motionärerna att ett kommunalt grundavdrag införs. Avdraget börjar vid 10 000 kr och trappas upp så att det når nivån 34 000 kr vid en inkomst på 135 000 kr, för att därefter trappas ner till 24 000 kr vid en inkomst på 230 000 kr. Brytpunkten i den statliga inkomstskatteskalan höjs till tak</w:t>
      </w:r>
      <w:r w:rsidRPr="00C9680B">
        <w:t>et för uttag av allmän pensionsavgift, och det sista steget i inkoms</w:t>
      </w:r>
      <w:r w:rsidRPr="00C9680B">
        <w:t>t</w:t>
      </w:r>
      <w:r w:rsidRPr="00C9680B">
        <w:t>skatteskalan slopas. Vidare införs ett kommunalt för</w:t>
      </w:r>
      <w:r w:rsidRPr="00C9680B">
        <w:softHyphen/>
        <w:t>värvsavdrag på 8 %. Härtill kommer ett kommunalt grundavdrag på 12 000 kr per barn upp till 16 år och att arbetsskadelivränta inte skall reducera pensionä</w:t>
      </w:r>
      <w:r w:rsidRPr="00C9680B">
        <w:softHyphen/>
        <w:t>rernas särskilda grundavdrag. För efterföljande år innebär detta alternativ att grundavdraget och förvärvsavdraget höjs ytterligare och att den statliga inkomstskatten gradvis avskaffas. År 2002 införs ett avdrag för styrkta barn</w:t>
      </w:r>
      <w:r w:rsidRPr="00C9680B">
        <w:softHyphen/>
        <w:t>omsor</w:t>
      </w:r>
      <w:r w:rsidRPr="00C9680B">
        <w:t>g</w:t>
      </w:r>
      <w:r w:rsidRPr="00C9680B">
        <w:t>s</w:t>
      </w:r>
      <w:r w:rsidRPr="00C9680B">
        <w:t xml:space="preserve">kostnader. </w:t>
      </w:r>
    </w:p>
    <w:p w:rsidR="001C7BF9" w:rsidRPr="00C9680B" w:rsidRDefault="001C7BF9">
      <w:pPr>
        <w:spacing w:before="125"/>
      </w:pPr>
      <w:r w:rsidRPr="00C9680B">
        <w:rPr>
          <w:i/>
        </w:rPr>
        <w:t>Kristdemokraterna</w:t>
      </w:r>
      <w:r w:rsidRPr="00C9680B">
        <w:t xml:space="preserve"> föreslår i </w:t>
      </w:r>
      <w:r w:rsidRPr="00C9680B">
        <w:rPr>
          <w:i/>
        </w:rPr>
        <w:t>motion Sk323</w:t>
      </w:r>
      <w:r w:rsidRPr="00C9680B">
        <w:t xml:space="preserve"> yrkandena 8–12, 14, 15, 54 och 55 av Alf Svensson m.fl. (kd) en alternativ utformning av inkomstbeskatt</w:t>
      </w:r>
      <w:r w:rsidRPr="00C9680B">
        <w:softHyphen/>
        <w:t>ningen år 2001. Grundavdraget höjs till 20 000 kr i alla inkomstlägen och skatter</w:t>
      </w:r>
      <w:r w:rsidRPr="00C9680B">
        <w:t>e</w:t>
      </w:r>
      <w:r w:rsidRPr="00C9680B">
        <w:t>duktionen för låginkomsttagare fördubblas till 2 640 kr. Ett generellt fö</w:t>
      </w:r>
      <w:r w:rsidRPr="00C9680B">
        <w:t>r</w:t>
      </w:r>
      <w:r w:rsidRPr="00C9680B">
        <w:t>värvsavdrag på 6,15 % införs, och det sista steget i inkomstskatteskalan sl</w:t>
      </w:r>
      <w:r w:rsidRPr="00C9680B">
        <w:t>o</w:t>
      </w:r>
      <w:r w:rsidRPr="00C9680B">
        <w:t>pas. Motionärerna avsätter också 25 kr per barn och månad för en ytterli</w:t>
      </w:r>
      <w:r w:rsidRPr="00C9680B">
        <w:softHyphen/>
        <w:t>gare skattesänkning för barnfamiljerna. De följande åren höjs förvärvsavdra</w:t>
      </w:r>
      <w:r w:rsidRPr="00C9680B">
        <w:softHyphen/>
        <w:t>ge</w:t>
      </w:r>
      <w:r w:rsidRPr="00C9680B">
        <w:t>t liksom avsättningen för skattesänkningar till barnfamiljerna. År 2002 införs ett avdrag för styrkta bar</w:t>
      </w:r>
      <w:r w:rsidRPr="00C9680B">
        <w:t>n</w:t>
      </w:r>
      <w:r w:rsidRPr="00C9680B">
        <w:t>omsorgskostnader.</w:t>
      </w:r>
    </w:p>
    <w:p w:rsidR="001C7BF9" w:rsidRPr="00C9680B" w:rsidRDefault="001C7BF9">
      <w:pPr>
        <w:spacing w:before="125"/>
      </w:pPr>
      <w:r w:rsidRPr="00C9680B">
        <w:rPr>
          <w:i/>
        </w:rPr>
        <w:t>Centerpartiet</w:t>
      </w:r>
      <w:r w:rsidRPr="00C9680B">
        <w:t xml:space="preserve"> föreslår i</w:t>
      </w:r>
      <w:r w:rsidRPr="00C9680B">
        <w:rPr>
          <w:i/>
        </w:rPr>
        <w:t xml:space="preserve"> motion Sk321</w:t>
      </w:r>
      <w:r w:rsidRPr="00C9680B">
        <w:t xml:space="preserve"> yrkandena 2–6 av Lennart Daléus m.fl. (c) att regeringens kompensation för den allmänna pensionsavgiften avvisas och att grund</w:t>
      </w:r>
      <w:r w:rsidRPr="00C9680B">
        <w:softHyphen/>
        <w:t>avdraget höjs till 15 000 kr i alla inkomstlägen. Vidare föreslås att reg</w:t>
      </w:r>
      <w:r w:rsidRPr="00C9680B">
        <w:t>e</w:t>
      </w:r>
      <w:r w:rsidRPr="00C9680B">
        <w:t>ringens skattereduktion för låginkomsttagare ersätts med en skatte</w:t>
      </w:r>
      <w:r w:rsidRPr="00C9680B">
        <w:softHyphen/>
        <w:t xml:space="preserve">reduktion på 5 400 kr som endast ges för låga arbetsinkomster. Reduktionen fasas in med 6 % av överskjutande inkomst upp till 90 000 kr och fasas sedan ut med 3 % över 130 000 kr. För senare år innebär alternativet att </w:t>
      </w:r>
      <w:r w:rsidRPr="00C9680B">
        <w:t>grund</w:t>
      </w:r>
      <w:r w:rsidRPr="00C9680B">
        <w:softHyphen/>
        <w:t>avdraget först höjs och sedan avlöses av en skattereduktion på 10 000 kr för alla och att skattereduktionen för låga arbetsinkomster höjs till 9 600 kr. År 2002 införs ett avdrag för styrkta barnomsorg</w:t>
      </w:r>
      <w:r w:rsidRPr="00C9680B">
        <w:t>s</w:t>
      </w:r>
      <w:r w:rsidRPr="00C9680B">
        <w:t>kostnader.</w:t>
      </w:r>
    </w:p>
    <w:p w:rsidR="001C7BF9" w:rsidRPr="00C9680B" w:rsidRDefault="001C7BF9">
      <w:pPr>
        <w:spacing w:before="125"/>
      </w:pPr>
      <w:r w:rsidRPr="00C9680B">
        <w:rPr>
          <w:i/>
        </w:rPr>
        <w:t>Folkpartiet liberalerna</w:t>
      </w:r>
      <w:r w:rsidRPr="00C9680B">
        <w:t xml:space="preserve"> föreslår i </w:t>
      </w:r>
      <w:r w:rsidRPr="00C9680B">
        <w:rPr>
          <w:i/>
        </w:rPr>
        <w:t>motion Sk324</w:t>
      </w:r>
      <w:r w:rsidRPr="00C9680B">
        <w:t xml:space="preserve"> yrkandena 2–5 av Lars        Leijonborg m.fl. (fp) att brytpunkten höjs till gränsen för uttaget av allmän pe</w:t>
      </w:r>
      <w:r w:rsidRPr="00C9680B">
        <w:t>n</w:t>
      </w:r>
      <w:r w:rsidRPr="00C9680B">
        <w:t>sionsavgift och att det sista steget i inkomstskatteskalan slopas. Avtrapp</w:t>
      </w:r>
      <w:r w:rsidRPr="00C9680B">
        <w:softHyphen/>
        <w:t xml:space="preserve">ningen av grundavdraget över ca 110 000 kr avskaffas successivt. Vidare införs en skattereduktion på 3 000 kr för alla. Motionärerna föreslår vidare i </w:t>
      </w:r>
      <w:r w:rsidRPr="00C9680B">
        <w:rPr>
          <w:i/>
        </w:rPr>
        <w:t xml:space="preserve">motion Sf308 </w:t>
      </w:r>
      <w:r w:rsidRPr="00C9680B">
        <w:t>yrkande 1 av Lars Leijonborg m.fl. (fp) att alla höjningar av det generella barnst</w:t>
      </w:r>
      <w:r w:rsidRPr="00C9680B">
        <w:t>ö</w:t>
      </w:r>
      <w:r w:rsidRPr="00C9680B">
        <w:t>det skall ske i form av skattesänkningar.</w:t>
      </w:r>
    </w:p>
    <w:p w:rsidR="001C7BF9" w:rsidRPr="00C9680B" w:rsidRDefault="001C7BF9">
      <w:pPr>
        <w:pStyle w:val="R4"/>
      </w:pPr>
      <w:r w:rsidRPr="00C9680B">
        <w:t>Skatteutskott</w:t>
      </w:r>
      <w:r w:rsidRPr="00C9680B">
        <w:t>ets yttrande</w:t>
      </w:r>
    </w:p>
    <w:p w:rsidR="001C7BF9" w:rsidRPr="00C9680B" w:rsidRDefault="001C7BF9">
      <w:r w:rsidRPr="00C9680B">
        <w:t>Enligt skatteutskottets mening (SkU1y) är det positivt att den goda ekonomin nu tillåter att inkomstbeskattningen successivt återställs till en profil som motsvarar det läge som råder när huvuddelen av de skattskyldiga endast b</w:t>
      </w:r>
      <w:r w:rsidRPr="00C9680B">
        <w:t>e</w:t>
      </w:r>
      <w:r w:rsidRPr="00C9680B">
        <w:t>talar kommunal inkomstskatt och en andel kring 15 % också betalar statlig inkomstskatt. Den extra belastningen av den allmänna pensionsavgiften inn</w:t>
      </w:r>
      <w:r w:rsidRPr="00C9680B">
        <w:t>e</w:t>
      </w:r>
      <w:r w:rsidRPr="00C9680B">
        <w:t>bär enligt utskottets mening en besvärande avvikelse från denna profil för skattskyldiga med arbetsinkomst och avvikel</w:t>
      </w:r>
      <w:r w:rsidRPr="00C9680B">
        <w:softHyphen/>
        <w:t>sen är enligt vad utskottet anför särskilt kännbar för skattskyldiga med låga arbetsinkomster. I likhet med regeringen anser skatteu</w:t>
      </w:r>
      <w:r w:rsidRPr="00C9680B">
        <w:t>t</w:t>
      </w:r>
      <w:r w:rsidRPr="00C9680B">
        <w:t>skottet att det är angeläget att korrigera denna av</w:t>
      </w:r>
      <w:r w:rsidRPr="00C9680B">
        <w:softHyphen/>
        <w:t>vikelse, och utskottet har därför ingen invändning mot rege</w:t>
      </w:r>
      <w:r w:rsidRPr="00C9680B">
        <w:t>ringens förslag i denna del.</w:t>
      </w:r>
    </w:p>
    <w:p w:rsidR="001C7BF9" w:rsidRPr="00C9680B" w:rsidRDefault="001C7BF9">
      <w:pPr>
        <w:pStyle w:val="Normaltindrag"/>
      </w:pPr>
      <w:r w:rsidRPr="00C9680B">
        <w:t>När det gäller höjningen av grundavdraget och det särskilda grund</w:t>
      </w:r>
      <w:r w:rsidRPr="00C9680B">
        <w:softHyphen/>
        <w:t>avdraget anför skatteutskottet att dessa förändringar möjliggörs genom att ytter</w:t>
      </w:r>
      <w:r w:rsidRPr="00C9680B">
        <w:softHyphen/>
        <w:t>ligare ett steg nu tas inom ramen för den strategi för en grön skatteväxling som regeringen redovisar. Skatteutskottet hänvisar till att utskottet i sitt yttrande tillstyrker förslagen om ändringar på energiskatte</w:t>
      </w:r>
      <w:r w:rsidRPr="00C9680B">
        <w:softHyphen/>
        <w:t>området och ser inte heller i övrigt någon anledning till invändning mot förslagen om höjt grundavdrag och särskilt gru</w:t>
      </w:r>
      <w:r w:rsidRPr="00C9680B">
        <w:t>n</w:t>
      </w:r>
      <w:r w:rsidRPr="00C9680B">
        <w:t>davdrag.</w:t>
      </w:r>
    </w:p>
    <w:p w:rsidR="001C7BF9" w:rsidRPr="00C9680B" w:rsidRDefault="001C7BF9">
      <w:pPr>
        <w:pStyle w:val="Normaltindrag"/>
      </w:pPr>
      <w:r w:rsidRPr="00C9680B">
        <w:t>Skatteutskottet tillstyrker regeringens förslag och avstyrker de aktuella motionsyrkand</w:t>
      </w:r>
      <w:r w:rsidRPr="00C9680B">
        <w:t>ena.</w:t>
      </w:r>
    </w:p>
    <w:p w:rsidR="001C7BF9" w:rsidRPr="00C9680B" w:rsidRDefault="001C7BF9">
      <w:pPr>
        <w:pStyle w:val="Utskottetsvervganden-kursivrubrik"/>
        <w:rPr>
          <w:noProof w:val="0"/>
        </w:rPr>
      </w:pPr>
      <w:bookmarkStart w:id="215" w:name="_Toc497720017"/>
      <w:bookmarkStart w:id="216" w:name="_Toc498238796"/>
      <w:bookmarkStart w:id="217" w:name="_Toc498763538"/>
      <w:bookmarkStart w:id="218" w:name="_Toc498910707"/>
      <w:r w:rsidRPr="00C9680B">
        <w:rPr>
          <w:noProof w:val="0"/>
        </w:rPr>
        <w:t>Finansutskottets ställningstagande</w:t>
      </w:r>
      <w:bookmarkEnd w:id="216"/>
      <w:bookmarkEnd w:id="217"/>
      <w:bookmarkEnd w:id="218"/>
    </w:p>
    <w:p w:rsidR="001C7BF9" w:rsidRPr="00C9680B" w:rsidRDefault="001C7BF9">
      <w:r w:rsidRPr="00C9680B">
        <w:t>Finansutskottet tillstyrker i likhet med skatteutskottet propositionens förslag om inkomstskatten för 2001 och avstyrker motionerna Sk313 (m) yrkandena 2 delvis, 3, 4–6 (alla delvis) och 12–20, Sk319 (m), Sk321 (c) yrkandena 2–6, Sk323 (kd) yrkandena 8–12, 14, 15, 54 och 55, Sk324 (fp) yrkandena 2–5, Sf308 (fp) yrkande 1 och N385 (m) yrkande 8.</w:t>
      </w:r>
    </w:p>
    <w:p w:rsidR="001C7BF9" w:rsidRPr="00C9680B" w:rsidRDefault="001C7BF9">
      <w:pPr>
        <w:pStyle w:val="Utskottetsvervganden-RubrikFrslagspunkt"/>
        <w:outlineLvl w:val="0"/>
      </w:pPr>
      <w:bookmarkStart w:id="219" w:name="_Toc498238797"/>
      <w:bookmarkStart w:id="220" w:name="_Toc498910708"/>
      <w:r w:rsidRPr="00C9680B">
        <w:t>3.3.2 Utökade reseavdrag</w:t>
      </w:r>
      <w:bookmarkEnd w:id="215"/>
      <w:bookmarkEnd w:id="219"/>
      <w:bookmarkEnd w:id="220"/>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bifaller regeringens förslag om en höjning av rese</w:t>
      </w:r>
      <w:r w:rsidRPr="00C9680B">
        <w:softHyphen/>
        <w:t>avdraget från 15 till 16 kr, avdraget för resor med bensindriven förmånsbil från 8 till 9 kr och avdraget för resor med dieseldriven förmånsbil från 5 till 6 kr. Riksdagen avslår m</w:t>
      </w:r>
      <w:r w:rsidRPr="00C9680B">
        <w:t>o</w:t>
      </w:r>
      <w:r w:rsidRPr="00C9680B">
        <w:t>tionsyrkandena.</w:t>
      </w:r>
    </w:p>
    <w:p w:rsidR="001C7BF9" w:rsidRPr="00C9680B" w:rsidRDefault="001C7BF9">
      <w:pPr>
        <w:pStyle w:val="Utskottsfrslagikorthet-Text"/>
      </w:pPr>
      <w:r w:rsidRPr="00C9680B">
        <w:t xml:space="preserve">  Jämför reservationerna 12 (m), 13 (kd), 14 (c) och 15 (fp).</w:t>
      </w:r>
    </w:p>
    <w:p w:rsidR="001C7BF9" w:rsidRPr="00C9680B" w:rsidRDefault="001C7BF9">
      <w:pPr>
        <w:pStyle w:val="R4"/>
      </w:pPr>
      <w:bookmarkStart w:id="221" w:name="_Toc497206450"/>
      <w:bookmarkStart w:id="222" w:name="_Toc497720019"/>
      <w:r w:rsidRPr="00C9680B">
        <w:t>Budgetpropositionen</w:t>
      </w:r>
      <w:bookmarkEnd w:id="221"/>
      <w:bookmarkEnd w:id="222"/>
    </w:p>
    <w:p w:rsidR="001C7BF9" w:rsidRPr="00C9680B" w:rsidRDefault="001C7BF9">
      <w:r w:rsidRPr="00C9680B">
        <w:t>Regeringen föreslår (avsnitt 9.2.4) att det avdragsgilla beloppet för kostnader för resor med egen bil mellan bostad och arbetsplats, för resor i tjänsten och i näringsverk</w:t>
      </w:r>
      <w:r w:rsidRPr="00C9680B">
        <w:softHyphen/>
        <w:t>samhet höjs från 15 kr per mil till 16 kr per mil. Avdraget för resor med förmånsbilar höjs från 8 kr till 9 kr (från 5 kr till 6 kr för diese</w:t>
      </w:r>
      <w:r w:rsidRPr="00C9680B">
        <w:t>l</w:t>
      </w:r>
      <w:r w:rsidRPr="00C9680B">
        <w:t>drivna förmånsbilar). De nya reglerna föreslås gälla första gången vid 2002 års tax</w:t>
      </w:r>
      <w:r w:rsidRPr="00C9680B">
        <w:t>e</w:t>
      </w:r>
      <w:r w:rsidRPr="00C9680B">
        <w:t>ring.</w:t>
      </w:r>
    </w:p>
    <w:p w:rsidR="001C7BF9" w:rsidRPr="00C9680B" w:rsidRDefault="001C7BF9">
      <w:pPr>
        <w:pStyle w:val="Normaltindrag"/>
      </w:pPr>
      <w:r w:rsidRPr="00C9680B">
        <w:t>Regeringen gör bedömningen att den senaste tidens bensinprisuppgång ligger inom ramen för nuvarande avdragsbelopp på 15 kr. Emellertid anser regeringen att det för att stimulera rörligheten på arbetsmarknaden är motiv</w:t>
      </w:r>
      <w:r w:rsidRPr="00C9680B">
        <w:t>e</w:t>
      </w:r>
      <w:r w:rsidRPr="00C9680B">
        <w:t>rat att höja det avdragsgilla beloppet från 15 kr till 16 kr. Till skillnad från den höjning som genomfördes 1998 anser regeringen att det nu finns offen</w:t>
      </w:r>
      <w:r w:rsidRPr="00C9680B">
        <w:t>t</w:t>
      </w:r>
      <w:r w:rsidRPr="00C9680B">
        <w:t>ligfinansiellt utrymme för att höja avdragsbeloppet utan att samti</w:t>
      </w:r>
      <w:r w:rsidRPr="00C9680B">
        <w:softHyphen/>
        <w:t>digt höja beloppsgränsen för den ej avdragsgilla delen av resekostnaderna ytterl</w:t>
      </w:r>
      <w:r w:rsidRPr="00C9680B">
        <w:t>i</w:t>
      </w:r>
      <w:r w:rsidRPr="00C9680B">
        <w:t xml:space="preserve">gare. </w:t>
      </w:r>
    </w:p>
    <w:p w:rsidR="001C7BF9" w:rsidRPr="00C9680B" w:rsidRDefault="001C7BF9">
      <w:pPr>
        <w:pStyle w:val="R4"/>
      </w:pPr>
      <w:bookmarkStart w:id="223" w:name="_Toc497206451"/>
      <w:bookmarkStart w:id="224" w:name="_Toc497720020"/>
      <w:r w:rsidRPr="00C9680B">
        <w:t>Motionerna</w:t>
      </w:r>
      <w:bookmarkEnd w:id="223"/>
      <w:bookmarkEnd w:id="224"/>
    </w:p>
    <w:p w:rsidR="001C7BF9" w:rsidRPr="00C9680B" w:rsidRDefault="001C7BF9">
      <w:r w:rsidRPr="00C9680B">
        <w:rPr>
          <w:i/>
        </w:rPr>
        <w:t>Moderata samlingspartiet</w:t>
      </w:r>
      <w:r w:rsidRPr="00C9680B">
        <w:t xml:space="preserve"> föreslår i</w:t>
      </w:r>
      <w:r w:rsidRPr="00C9680B">
        <w:rPr>
          <w:i/>
        </w:rPr>
        <w:t xml:space="preserve"> motionerna N385</w:t>
      </w:r>
      <w:r w:rsidRPr="00C9680B">
        <w:t xml:space="preserve"> yrkande 7 av Bo Lun</w:t>
      </w:r>
      <w:r w:rsidRPr="00C9680B">
        <w:t>d</w:t>
      </w:r>
      <w:r w:rsidRPr="00C9680B">
        <w:t xml:space="preserve">gren m.fl. (m) och </w:t>
      </w:r>
      <w:r w:rsidRPr="00C9680B">
        <w:rPr>
          <w:i/>
        </w:rPr>
        <w:t>Sk313</w:t>
      </w:r>
      <w:r w:rsidRPr="00C9680B">
        <w:t xml:space="preserve"> yrkandena 21 och 22 av Carl Fredrik Graf m.fl. (m) att reseavdraget i stället höjs till 20 kr per mil och att avdraget för förmånsb</w:t>
      </w:r>
      <w:r w:rsidRPr="00C9680B">
        <w:t>i</w:t>
      </w:r>
      <w:r w:rsidRPr="00C9680B">
        <w:t>lar höjs till 10 kr per mil (7 kr för di</w:t>
      </w:r>
      <w:r w:rsidRPr="00C9680B">
        <w:t>e</w:t>
      </w:r>
      <w:r w:rsidRPr="00C9680B">
        <w:t>seldrivna bilar).</w:t>
      </w:r>
    </w:p>
    <w:p w:rsidR="001C7BF9" w:rsidRPr="00C9680B" w:rsidRDefault="001C7BF9">
      <w:pPr>
        <w:spacing w:before="125"/>
      </w:pPr>
      <w:r w:rsidRPr="00C9680B">
        <w:rPr>
          <w:i/>
        </w:rPr>
        <w:t>Kristdemokraterna</w:t>
      </w:r>
      <w:r w:rsidRPr="00C9680B">
        <w:t xml:space="preserve"> föreslår i </w:t>
      </w:r>
      <w:r w:rsidRPr="00C9680B">
        <w:rPr>
          <w:i/>
        </w:rPr>
        <w:t>motion Sk323</w:t>
      </w:r>
      <w:r w:rsidRPr="00C9680B">
        <w:t xml:space="preserve"> yrkande 13 av Alf Svensson m.fl. (kd) att gränsen för reseavdrag sänks från 7 000 kr till 5 000 kr som ett stöd till boende i glesbygd. </w:t>
      </w:r>
    </w:p>
    <w:p w:rsidR="001C7BF9" w:rsidRPr="00C9680B" w:rsidRDefault="001C7BF9">
      <w:pPr>
        <w:spacing w:before="125"/>
      </w:pPr>
      <w:r w:rsidRPr="00C9680B">
        <w:rPr>
          <w:i/>
        </w:rPr>
        <w:t>Centerpartiet</w:t>
      </w:r>
      <w:r w:rsidRPr="00C9680B">
        <w:t xml:space="preserve"> föreslår i </w:t>
      </w:r>
      <w:r w:rsidRPr="00C9680B">
        <w:rPr>
          <w:i/>
        </w:rPr>
        <w:t>motion Sk321</w:t>
      </w:r>
      <w:r w:rsidRPr="00C9680B">
        <w:t xml:space="preserve"> yrkandena 7 och 8 av Lennart Daléus m.fl. (c) att reseavdraget höjs till 20 kr per mil och att resor till och från bar</w:t>
      </w:r>
      <w:r w:rsidRPr="00C9680B">
        <w:t>n</w:t>
      </w:r>
      <w:r w:rsidRPr="00C9680B">
        <w:softHyphen/>
        <w:t xml:space="preserve">omsorg inkluderas i reseavdraget. </w:t>
      </w:r>
    </w:p>
    <w:p w:rsidR="001C7BF9" w:rsidRPr="00C9680B" w:rsidRDefault="001C7BF9">
      <w:pPr>
        <w:spacing w:before="125"/>
      </w:pPr>
      <w:r w:rsidRPr="00C9680B">
        <w:rPr>
          <w:i/>
        </w:rPr>
        <w:t>Folkpartiet liberalerna</w:t>
      </w:r>
      <w:r w:rsidRPr="00C9680B">
        <w:t xml:space="preserve"> föreslår i </w:t>
      </w:r>
      <w:r w:rsidRPr="00C9680B">
        <w:rPr>
          <w:i/>
        </w:rPr>
        <w:t>motion Sk324</w:t>
      </w:r>
      <w:r w:rsidRPr="00C9680B">
        <w:t xml:space="preserve"> yrkande 6 av Lars Leijonborg m.fl. (fp) att avdrag för resor till och från arbetet bör inkludera hämtning och lämning av barn vid barnomsorg.</w:t>
      </w:r>
    </w:p>
    <w:p w:rsidR="001C7BF9" w:rsidRPr="00C9680B" w:rsidRDefault="001C7BF9">
      <w:pPr>
        <w:pStyle w:val="R4"/>
      </w:pPr>
      <w:r w:rsidRPr="00C9680B">
        <w:t>Skatteutskottets yttrande</w:t>
      </w:r>
    </w:p>
    <w:p w:rsidR="001C7BF9" w:rsidRPr="00C9680B" w:rsidRDefault="001C7BF9">
      <w:r w:rsidRPr="00C9680B">
        <w:t>Skatteutskottet anför i sitt yttrande (SkU1y) att avdraget för kostnader för resor med egen bil ändrades så sent som 1998 och att det då fastställdes med en marginal för att beloppet skulle kvarstå under ett antal år. Enligt utskottets mening finns det mot denna bakgrund inte någon anledning att nu genomföra en justering av beloppet på grund av bensinprisutvecklingen. Däremot finns det enligt vad utskottet anför skäl att söka bidra till en ökad rörlighet på a</w:t>
      </w:r>
      <w:r w:rsidRPr="00C9680B">
        <w:t>r</w:t>
      </w:r>
      <w:r w:rsidRPr="00C9680B">
        <w:t>betsmarknaden genom en höjning av avdraget, och utskottet har därför inte någon erinran mot reg</w:t>
      </w:r>
      <w:r w:rsidRPr="00C9680B">
        <w:t>e</w:t>
      </w:r>
      <w:r w:rsidRPr="00C9680B">
        <w:t>ringens förslag.</w:t>
      </w:r>
    </w:p>
    <w:p w:rsidR="001C7BF9" w:rsidRPr="00C9680B" w:rsidRDefault="001C7BF9">
      <w:pPr>
        <w:pStyle w:val="Normaltindrag"/>
      </w:pPr>
      <w:r w:rsidRPr="00C9680B">
        <w:t>När det gäller motionsförslagen om en sänkning av gränsen för ej avdrags</w:t>
      </w:r>
      <w:r w:rsidRPr="00C9680B">
        <w:softHyphen/>
        <w:t>gilla resor anför utskottet att regeringen vid utformningen av sitt förslag har gjort bedömningen att det finns ett finansiellt utrymme för att hålla denna gräns oförändrad även med de högre avdragsschablonerna. Enligt utskottets mening talar således finansiella skäl mot en sänkning. Dessutom är det enligt utskottet mindre lämpligt att sänka gränsen, eftersom den bidrar till att fö</w:t>
      </w:r>
      <w:r w:rsidRPr="00C9680B">
        <w:t>r</w:t>
      </w:r>
      <w:r w:rsidRPr="00C9680B">
        <w:t>enkla taxeringsarbetet. Skatteutskottet anser mot denna bakgrund inte att det finns skäl att nu sänka denna gräns.</w:t>
      </w:r>
    </w:p>
    <w:p w:rsidR="001C7BF9" w:rsidRPr="00C9680B" w:rsidRDefault="001C7BF9">
      <w:pPr>
        <w:pStyle w:val="Normaltindrag"/>
      </w:pPr>
      <w:r w:rsidRPr="00C9680B">
        <w:t>När det gäl</w:t>
      </w:r>
      <w:r w:rsidRPr="00C9680B">
        <w:t>ler förslagen om en möjlighet att räkna in den extra tiden för att lämna barn på dagis finns det enligt skatteutskottets mening skäl att hålla gräns</w:t>
      </w:r>
      <w:r w:rsidRPr="00C9680B">
        <w:softHyphen/>
        <w:t>dragningen kring dagens avdragsrätt för resor till och från arbetet så enkel och lättillämpad som möjligt. Att låta skattemyndigheterna beakta resan för inlämning och hämtning av barn på dagis när tidsvinsten beräknas skulle enligt vad skatteutskottet anför komplicera de bedömningar som måste göras i dessa fall. Härtill kommer att fördelningspolitiska invändnin</w:t>
      </w:r>
      <w:r w:rsidRPr="00C9680B">
        <w:t>gar kan riktas mot åtgärder som innebär att endast vissa barnfamiljer erbjuds en avdragsrätt för en del av sina levnads</w:t>
      </w:r>
      <w:r w:rsidRPr="00C9680B">
        <w:softHyphen/>
        <w:t>kostnader. Om syftet är att förbättra barnfamiljernas ekonomiska situation bör enligt skatteutskottets mening andra lösningar a</w:t>
      </w:r>
      <w:r w:rsidRPr="00C9680B">
        <w:t>n</w:t>
      </w:r>
      <w:r w:rsidRPr="00C9680B">
        <w:t>vändas, t.ex. förbättringar av de olika stöd som i dag går direkt till barnfami</w:t>
      </w:r>
      <w:r w:rsidRPr="00C9680B">
        <w:t>l</w:t>
      </w:r>
      <w:r w:rsidRPr="00C9680B">
        <w:t xml:space="preserve">jerna. </w:t>
      </w:r>
    </w:p>
    <w:p w:rsidR="001C7BF9" w:rsidRPr="00C9680B" w:rsidRDefault="001C7BF9">
      <w:pPr>
        <w:pStyle w:val="Normaltindrag"/>
      </w:pPr>
      <w:r w:rsidRPr="00C9680B">
        <w:t>Skatteutskottet tillstyrker regeringens förslag och avstyrker de aktuella motionsyrka</w:t>
      </w:r>
      <w:r w:rsidRPr="00C9680B">
        <w:t>n</w:t>
      </w:r>
      <w:r w:rsidRPr="00C9680B">
        <w:t>dena.</w:t>
      </w:r>
    </w:p>
    <w:p w:rsidR="001C7BF9" w:rsidRPr="00C9680B" w:rsidRDefault="001C7BF9">
      <w:pPr>
        <w:pStyle w:val="R4"/>
      </w:pPr>
      <w:r w:rsidRPr="00C9680B">
        <w:t>Finansutskottets ställningstagande</w:t>
      </w:r>
    </w:p>
    <w:p w:rsidR="001C7BF9" w:rsidRPr="00C9680B" w:rsidRDefault="001C7BF9">
      <w:r w:rsidRPr="00C9680B">
        <w:t>Finansutskottet tillstyrker i likhet med skatteutskottet propositionens förslag om utökade reseavdrag och avstyrker motionerna Sk313 (m) yrkandena 21 och 22, Sk321 (c) yrkandena 7 och 8, Sk323 (kd) yrkande 13, Sk324 (fp) yrka</w:t>
      </w:r>
      <w:r w:rsidRPr="00C9680B">
        <w:t>n</w:t>
      </w:r>
      <w:r w:rsidRPr="00C9680B">
        <w:t>de 6 och N385 (m) yrkande 7.</w:t>
      </w:r>
    </w:p>
    <w:p w:rsidR="001C7BF9" w:rsidRPr="00C9680B" w:rsidRDefault="001C7BF9">
      <w:pPr>
        <w:pStyle w:val="Utskottetsvervganden-RubrikFrslagspunkt"/>
        <w:outlineLvl w:val="0"/>
      </w:pPr>
      <w:bookmarkStart w:id="225" w:name="_Toc497720022"/>
      <w:bookmarkStart w:id="226" w:name="_Toc498238798"/>
      <w:bookmarkStart w:id="227" w:name="_Toc498910709"/>
      <w:r w:rsidRPr="00C9680B">
        <w:t>3.3.3 Pensionssparande</w:t>
      </w:r>
      <w:bookmarkEnd w:id="225"/>
      <w:bookmarkEnd w:id="226"/>
      <w:bookmarkEnd w:id="227"/>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avslår motionsförslagen om en utvidgad avdragsrätt för pension</w:t>
      </w:r>
      <w:r w:rsidRPr="00C9680B">
        <w:t>s</w:t>
      </w:r>
      <w:r w:rsidRPr="00C9680B">
        <w:t>sparande.</w:t>
      </w:r>
    </w:p>
    <w:p w:rsidR="001C7BF9" w:rsidRPr="00C9680B" w:rsidRDefault="001C7BF9">
      <w:pPr>
        <w:pStyle w:val="Utskottsfrslagikorthet-Text"/>
      </w:pPr>
      <w:r w:rsidRPr="00C9680B">
        <w:t xml:space="preserve">  Jämför reservationerna 12 (m), 13 (kd) och 15 (fp).</w:t>
      </w:r>
    </w:p>
    <w:p w:rsidR="001C7BF9" w:rsidRPr="00C9680B" w:rsidRDefault="001C7BF9">
      <w:pPr>
        <w:pStyle w:val="Utskottetsvervganden-kursivrubrik"/>
        <w:spacing w:before="250"/>
        <w:rPr>
          <w:noProof w:val="0"/>
        </w:rPr>
      </w:pPr>
      <w:bookmarkStart w:id="228" w:name="_Toc497206455"/>
      <w:bookmarkStart w:id="229" w:name="_Toc497720024"/>
      <w:bookmarkStart w:id="230" w:name="_Toc498238799"/>
      <w:bookmarkStart w:id="231" w:name="_Toc498910710"/>
      <w:r w:rsidRPr="00C9680B">
        <w:rPr>
          <w:noProof w:val="0"/>
        </w:rPr>
        <w:t>Gällande bestämmelser</w:t>
      </w:r>
      <w:bookmarkEnd w:id="228"/>
      <w:bookmarkEnd w:id="229"/>
      <w:bookmarkEnd w:id="230"/>
      <w:bookmarkEnd w:id="231"/>
    </w:p>
    <w:p w:rsidR="001C7BF9" w:rsidRPr="00C9680B" w:rsidRDefault="001C7BF9">
      <w:r w:rsidRPr="00C9680B">
        <w:t>Möjligheten att göra avdrag för premie för makes pensionsförsäkring slopa</w:t>
      </w:r>
      <w:r w:rsidRPr="00C9680B">
        <w:softHyphen/>
        <w:t>des 1973 som ett led i 1970 års särbeskattningsreform. Härigenom för</w:t>
      </w:r>
      <w:r w:rsidRPr="00C9680B">
        <w:softHyphen/>
        <w:t>hindrades ett utnyttjande av makars skilda marginalskattesa</w:t>
      </w:r>
      <w:r w:rsidRPr="00C9680B">
        <w:t>t</w:t>
      </w:r>
      <w:r w:rsidRPr="00C9680B">
        <w:t>ser.</w:t>
      </w:r>
    </w:p>
    <w:p w:rsidR="001C7BF9" w:rsidRPr="00C9680B" w:rsidRDefault="001C7BF9">
      <w:pPr>
        <w:pStyle w:val="Normaltindrag"/>
      </w:pPr>
      <w:r w:rsidRPr="00C9680B">
        <w:t>Som ett led i finansieringen av EU-medlemskapet begränsades det all</w:t>
      </w:r>
      <w:r w:rsidRPr="00C9680B">
        <w:softHyphen/>
        <w:t>männa avdragsutrymmet för privata pensionsförsäkringspremier och insätt</w:t>
      </w:r>
      <w:r w:rsidRPr="00C9680B">
        <w:softHyphen/>
        <w:t>ningar på pensionssparkonton till ett halvt basbelopp fr.o.m. den 8 april 1995. Avdragsutrymmet för den som har pensionsrätt i anställning minskades till 5 % av inkomsten mellan tio och tjugo basbelopp (prop. 1994/95:203, bet. 1994/95:SkU28).</w:t>
      </w:r>
    </w:p>
    <w:p w:rsidR="001C7BF9" w:rsidRPr="00C9680B" w:rsidRDefault="001C7BF9">
      <w:pPr>
        <w:pStyle w:val="R4"/>
      </w:pPr>
      <w:bookmarkStart w:id="232" w:name="_Toc497206456"/>
      <w:bookmarkStart w:id="233" w:name="_Toc497720025"/>
      <w:r w:rsidRPr="00C9680B">
        <w:t>Motionerna</w:t>
      </w:r>
      <w:bookmarkEnd w:id="232"/>
      <w:bookmarkEnd w:id="233"/>
    </w:p>
    <w:p w:rsidR="001C7BF9" w:rsidRPr="00C9680B" w:rsidRDefault="001C7BF9">
      <w:r w:rsidRPr="00C9680B">
        <w:rPr>
          <w:i/>
        </w:rPr>
        <w:t>Moderata samlingspartiet</w:t>
      </w:r>
      <w:r w:rsidRPr="00C9680B">
        <w:t xml:space="preserve"> föreslår i </w:t>
      </w:r>
      <w:r w:rsidRPr="00C9680B">
        <w:rPr>
          <w:i/>
        </w:rPr>
        <w:t>motion Sk313</w:t>
      </w:r>
      <w:r w:rsidRPr="00C9680B">
        <w:t xml:space="preserve"> yrkande 31 av Carl Fredrik Graf m.fl. (m) att avdraget för premie för pensionsfö</w:t>
      </w:r>
      <w:r w:rsidRPr="00C9680B">
        <w:t>r</w:t>
      </w:r>
      <w:r w:rsidRPr="00C9680B">
        <w:t>säkring höjs till 1 pris</w:t>
      </w:r>
      <w:r w:rsidRPr="00C9680B">
        <w:softHyphen/>
        <w:t>ba</w:t>
      </w:r>
      <w:r w:rsidRPr="00C9680B">
        <w:t>s</w:t>
      </w:r>
      <w:r w:rsidRPr="00C9680B">
        <w:softHyphen/>
        <w:t xml:space="preserve">belopp. </w:t>
      </w:r>
    </w:p>
    <w:p w:rsidR="001C7BF9" w:rsidRPr="00C9680B" w:rsidRDefault="001C7BF9">
      <w:pPr>
        <w:spacing w:before="125"/>
      </w:pPr>
      <w:r w:rsidRPr="00C9680B">
        <w:t>Även</w:t>
      </w:r>
      <w:r w:rsidRPr="00C9680B">
        <w:rPr>
          <w:i/>
        </w:rPr>
        <w:t xml:space="preserve"> Kristdemokraterna</w:t>
      </w:r>
      <w:r w:rsidRPr="00C9680B">
        <w:t xml:space="preserve"> föreslår i </w:t>
      </w:r>
      <w:r w:rsidRPr="00C9680B">
        <w:rPr>
          <w:i/>
        </w:rPr>
        <w:t>motion Sk323</w:t>
      </w:r>
      <w:r w:rsidRPr="00C9680B">
        <w:t xml:space="preserve"> yrkande 43 av Alf Svensson m.fl. (kd) att avdragsrätten för pensionssparande höjs till 1 prisbasbelopp.</w:t>
      </w:r>
    </w:p>
    <w:p w:rsidR="001C7BF9" w:rsidRPr="00C9680B" w:rsidRDefault="001C7BF9">
      <w:pPr>
        <w:spacing w:before="125"/>
      </w:pPr>
      <w:r w:rsidRPr="00C9680B">
        <w:rPr>
          <w:i/>
        </w:rPr>
        <w:t>Folkpartiet liberalerna</w:t>
      </w:r>
      <w:r w:rsidRPr="00C9680B">
        <w:t xml:space="preserve"> anför i </w:t>
      </w:r>
      <w:r w:rsidRPr="00C9680B">
        <w:rPr>
          <w:i/>
        </w:rPr>
        <w:t>motion Sk324</w:t>
      </w:r>
      <w:r w:rsidRPr="00C9680B">
        <w:t xml:space="preserve"> yrkande 10 av Lars Leijonborg m.fl. (fp) att en metod att förbättra den enskildes möjligheter att förnya sitt kunnande är att vidga möjligheterna till avdragsgillt pensions</w:t>
      </w:r>
      <w:r w:rsidRPr="00C9680B">
        <w:softHyphen/>
        <w:t>sparande till 1,5 prisbasbelopp och tillåta att medlen används för studier som höjer kompe</w:t>
      </w:r>
      <w:r w:rsidRPr="00C9680B">
        <w:softHyphen/>
        <w:t>te</w:t>
      </w:r>
      <w:r w:rsidRPr="00C9680B">
        <w:t>n</w:t>
      </w:r>
      <w:r w:rsidRPr="00C9680B">
        <w:t>sen.</w:t>
      </w:r>
    </w:p>
    <w:p w:rsidR="001C7BF9" w:rsidRPr="00C9680B" w:rsidRDefault="001C7BF9">
      <w:pPr>
        <w:pStyle w:val="R4"/>
      </w:pPr>
      <w:r w:rsidRPr="00C9680B">
        <w:t>Skatteutskottets yttrande</w:t>
      </w:r>
    </w:p>
    <w:p w:rsidR="001C7BF9" w:rsidRPr="00C9680B" w:rsidRDefault="001C7BF9">
      <w:r w:rsidRPr="00C9680B">
        <w:t>Skatteutskottet avstyrker i sitt yttrande (SkU1y) förslagen om en höjning av avdraget för eget pensionssparande eftersom de kräver fina</w:t>
      </w:r>
      <w:r w:rsidRPr="00C9680B">
        <w:t>n</w:t>
      </w:r>
      <w:r w:rsidRPr="00C9680B">
        <w:softHyphen/>
        <w:t>siering.</w:t>
      </w:r>
    </w:p>
    <w:p w:rsidR="001C7BF9" w:rsidRPr="00C9680B" w:rsidRDefault="001C7BF9">
      <w:pPr>
        <w:pStyle w:val="Normaltindrag"/>
      </w:pPr>
      <w:r w:rsidRPr="00C9680B">
        <w:t>När det gäller enskildas möjlighet att förnya sitt kunnande anför skatteu</w:t>
      </w:r>
      <w:r w:rsidRPr="00C9680B">
        <w:t>t</w:t>
      </w:r>
      <w:r w:rsidRPr="00C9680B">
        <w:t>skottet att riksdagen redan avsatt medel för en stimulans för individuell ko</w:t>
      </w:r>
      <w:r w:rsidRPr="00C9680B">
        <w:t>m</w:t>
      </w:r>
      <w:r w:rsidRPr="00C9680B">
        <w:t>petensutveckling i arbetslivet och att det pågår ett arbete som syftar till att klarlägga hur stimulan</w:t>
      </w:r>
      <w:r w:rsidRPr="00C9680B">
        <w:softHyphen/>
        <w:t>sen bör vara utformad. Ett principförslag har avlämnats i maj 2000 (SOU 2000:51) och innebär att alla löntagare och företagare skall ha möjlighet att med en statlig skattesubvention, i form av uppskjuten b</w:t>
      </w:r>
      <w:r w:rsidRPr="00C9680B">
        <w:t>e</w:t>
      </w:r>
      <w:r w:rsidRPr="00C9680B">
        <w:t>skattning, spara på ett eget kompetenskonto för sin framtida kompetensu</w:t>
      </w:r>
      <w:r w:rsidRPr="00C9680B">
        <w:t>t</w:t>
      </w:r>
      <w:r w:rsidRPr="00C9680B">
        <w:t>veckling. Arbetsgivare som vill medverka skall ha möj</w:t>
      </w:r>
      <w:r w:rsidRPr="00C9680B">
        <w:t>lighet att avsätta medel till individens konto. Individen bestämmer dock själv till vilken typ av utbil</w:t>
      </w:r>
      <w:r w:rsidRPr="00C9680B">
        <w:t>d</w:t>
      </w:r>
      <w:r w:rsidRPr="00C9680B">
        <w:t>ning medlen skall användas. När pengarna tas ut från kontot beskattas de som inkomst och därutöver utfaller en extra skattesubvention i form av en ko</w:t>
      </w:r>
      <w:r w:rsidRPr="00C9680B">
        <w:t>m</w:t>
      </w:r>
      <w:r w:rsidRPr="00C9680B">
        <w:t>petenspremie. Utredaren väntas lämna ett slutbetänkande i januari 2001. Det framgår av vad regeringen anför i budgetpropositionen att systemet avses träda i kraft senast år 2002. Skatteutskottet avstyrker även motionsyrkandet om en möjlighet att använda pens</w:t>
      </w:r>
      <w:r w:rsidRPr="00C9680B">
        <w:t>ionssparande för studier och kompetensu</w:t>
      </w:r>
      <w:r w:rsidRPr="00C9680B">
        <w:t>t</w:t>
      </w:r>
      <w:r w:rsidRPr="00C9680B">
        <w:t>veckling.</w:t>
      </w:r>
    </w:p>
    <w:p w:rsidR="001C7BF9" w:rsidRPr="00C9680B" w:rsidRDefault="001C7BF9">
      <w:pPr>
        <w:pStyle w:val="R4"/>
      </w:pPr>
      <w:r w:rsidRPr="00C9680B">
        <w:t>Finansutskottets ställningstagande</w:t>
      </w:r>
    </w:p>
    <w:p w:rsidR="001C7BF9" w:rsidRPr="00C9680B" w:rsidRDefault="001C7BF9">
      <w:r w:rsidRPr="00C9680B">
        <w:t>Finansutskottet avstyrker i likhet med skatteutskottet motionerna Sk313 (m) yrkande 31, Sk323 (kd) yrkande 43 och Sk324 (fp) yrkande 10.</w:t>
      </w:r>
    </w:p>
    <w:p w:rsidR="001C7BF9" w:rsidRPr="00C9680B" w:rsidRDefault="001C7BF9">
      <w:pPr>
        <w:pStyle w:val="Utskottetsvervganden-RubrikFrslagspunkt"/>
        <w:outlineLvl w:val="0"/>
      </w:pPr>
      <w:bookmarkStart w:id="234" w:name="_Toc497720027"/>
      <w:bookmarkStart w:id="235" w:name="_Toc498238800"/>
      <w:bookmarkStart w:id="236" w:name="_Toc498910711"/>
      <w:r w:rsidRPr="00C9680B">
        <w:t>3.3.4 Yrkesfiskare</w:t>
      </w:r>
      <w:bookmarkEnd w:id="234"/>
      <w:bookmarkEnd w:id="235"/>
      <w:bookmarkEnd w:id="236"/>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avslår motionsförslagen om ett tillkännagivande till r</w:t>
      </w:r>
      <w:r w:rsidRPr="00C9680B">
        <w:t>e</w:t>
      </w:r>
      <w:r w:rsidRPr="00C9680B">
        <w:t>geringen om vikten av ett skyndsamt förslag om ett yrkesfiskar</w:t>
      </w:r>
      <w:r w:rsidRPr="00C9680B">
        <w:softHyphen/>
        <w:t xml:space="preserve">avdrag. </w:t>
      </w:r>
    </w:p>
    <w:p w:rsidR="001C7BF9" w:rsidRPr="00C9680B" w:rsidRDefault="001C7BF9">
      <w:pPr>
        <w:pStyle w:val="Utskottsfrslagikorthet-Text"/>
      </w:pPr>
      <w:r w:rsidRPr="00C9680B">
        <w:t xml:space="preserve">  Jämför reservationerna 12 (m), 13 (kd) och 14 (c).</w:t>
      </w:r>
    </w:p>
    <w:p w:rsidR="001C7BF9" w:rsidRPr="00C9680B" w:rsidRDefault="001C7BF9">
      <w:pPr>
        <w:pStyle w:val="Utskottetsvervganden-kursivrubrik"/>
        <w:spacing w:before="250"/>
        <w:rPr>
          <w:noProof w:val="0"/>
        </w:rPr>
      </w:pPr>
      <w:bookmarkStart w:id="237" w:name="_Toc497206460"/>
      <w:bookmarkStart w:id="238" w:name="_Toc497720029"/>
      <w:bookmarkStart w:id="239" w:name="_Toc498238801"/>
      <w:bookmarkStart w:id="240" w:name="_Toc498910712"/>
      <w:r w:rsidRPr="00C9680B">
        <w:rPr>
          <w:noProof w:val="0"/>
        </w:rPr>
        <w:t>Bakgrund</w:t>
      </w:r>
      <w:bookmarkEnd w:id="237"/>
      <w:bookmarkEnd w:id="238"/>
      <w:bookmarkEnd w:id="239"/>
      <w:bookmarkEnd w:id="240"/>
    </w:p>
    <w:p w:rsidR="001C7BF9" w:rsidRPr="00C9680B" w:rsidRDefault="001C7BF9">
      <w:r w:rsidRPr="00C9680B">
        <w:t>Utredningen (Jo 1998:05) om konkurrenssituationen för det svenska yrkes</w:t>
      </w:r>
      <w:r w:rsidRPr="00C9680B">
        <w:softHyphen/>
        <w:t>fisket lade i januari 1999 fram betänkandet Yrkesfiskets konkurrenssituation (SOU 1999:3). Utredningen föreslår att det nu gällande avdraget för ökade levnad</w:t>
      </w:r>
      <w:r w:rsidRPr="00C9680B">
        <w:t>s</w:t>
      </w:r>
      <w:r w:rsidRPr="00C9680B">
        <w:t>kostnader vid fiske ersätts av ett nytt avdrag benämnt yrkesfiskar</w:t>
      </w:r>
      <w:r w:rsidRPr="00C9680B">
        <w:softHyphen/>
        <w:t>avdrag. Vidare lägger utredningen fram förslag på metoder för att möjliggöra resultatutjämning vid fartygsbyte. Betänkandet har remissbehandlats. Ärendet bereds för närv</w:t>
      </w:r>
      <w:r w:rsidRPr="00C9680B">
        <w:t>a</w:t>
      </w:r>
      <w:r w:rsidRPr="00C9680B">
        <w:t>rande i Regeringskansliet.</w:t>
      </w:r>
    </w:p>
    <w:p w:rsidR="001C7BF9" w:rsidRPr="00C9680B" w:rsidRDefault="001C7BF9">
      <w:pPr>
        <w:pStyle w:val="R4"/>
      </w:pPr>
      <w:bookmarkStart w:id="241" w:name="_Toc497206461"/>
      <w:bookmarkStart w:id="242" w:name="_Toc497720030"/>
      <w:r w:rsidRPr="00C9680B">
        <w:t>Budgetpropositionen</w:t>
      </w:r>
      <w:bookmarkEnd w:id="241"/>
      <w:bookmarkEnd w:id="242"/>
    </w:p>
    <w:p w:rsidR="001C7BF9" w:rsidRPr="00C9680B" w:rsidRDefault="001C7BF9">
      <w:r w:rsidRPr="00C9680B">
        <w:t>I propositionen anför regeringen att ett förslag om ett särskilt s.k. yrkes</w:t>
      </w:r>
      <w:r w:rsidRPr="00C9680B">
        <w:softHyphen/>
        <w:t>fiskaravdrag kommer att läggas fram under hösten. Förslaget syftar till att förbättra det svenska yrkesfiskets konkurrenssituation. Regeringen har avsatt en offentligfinansiell ram om 20 miljoner kronor som skall motsvara den till</w:t>
      </w:r>
      <w:r w:rsidRPr="00C9680B">
        <w:softHyphen/>
        <w:t>kommande budgetförsvagning som följer av att det nya avdraget ersätter det nuvarande, mer begränsade avdraget för yrkesfiskares ökade levnadskostna</w:t>
      </w:r>
      <w:r w:rsidRPr="00C9680B">
        <w:softHyphen/>
        <w:t>der. Ett yrkesfiskaravdrag kräver utöver Lagrådets granskning godkännande från EG-kommissionen enligt statsstödsreglerna. Regeringen</w:t>
      </w:r>
      <w:r w:rsidRPr="00C9680B">
        <w:t xml:space="preserve"> bedömer likväl att de nya reglerna skall kunna tillämpas inkomståret 2001.</w:t>
      </w:r>
    </w:p>
    <w:p w:rsidR="001C7BF9" w:rsidRPr="00C9680B" w:rsidRDefault="001C7BF9">
      <w:pPr>
        <w:pStyle w:val="R4"/>
      </w:pPr>
      <w:bookmarkStart w:id="243" w:name="_Toc497206462"/>
      <w:bookmarkStart w:id="244" w:name="_Toc497720031"/>
      <w:r w:rsidRPr="00C9680B">
        <w:t>Motionerna</w:t>
      </w:r>
      <w:bookmarkEnd w:id="243"/>
      <w:bookmarkEnd w:id="244"/>
    </w:p>
    <w:p w:rsidR="001C7BF9" w:rsidRPr="00C9680B" w:rsidRDefault="001C7BF9">
      <w:r w:rsidRPr="00C9680B">
        <w:t xml:space="preserve">I flera motioner från </w:t>
      </w:r>
      <w:r w:rsidRPr="00C9680B">
        <w:rPr>
          <w:i/>
        </w:rPr>
        <w:t>Moderata samlingspartiet</w:t>
      </w:r>
      <w:r w:rsidRPr="00C9680B">
        <w:t xml:space="preserve">, </w:t>
      </w:r>
      <w:r w:rsidRPr="00C9680B">
        <w:rPr>
          <w:i/>
        </w:rPr>
        <w:t>Kristdemokraterna</w:t>
      </w:r>
      <w:r w:rsidRPr="00C9680B">
        <w:t xml:space="preserve"> och </w:t>
      </w:r>
      <w:r w:rsidRPr="00C9680B">
        <w:rPr>
          <w:i/>
        </w:rPr>
        <w:t>Ce</w:t>
      </w:r>
      <w:r w:rsidRPr="00C9680B">
        <w:rPr>
          <w:i/>
        </w:rPr>
        <w:t>n</w:t>
      </w:r>
      <w:r w:rsidRPr="00C9680B">
        <w:rPr>
          <w:i/>
        </w:rPr>
        <w:t>terpartiet</w:t>
      </w:r>
      <w:r w:rsidRPr="00C9680B">
        <w:t xml:space="preserve"> begärs tillkännagivanden om vikten av att regeringen skynd</w:t>
      </w:r>
      <w:r w:rsidRPr="00C9680B">
        <w:softHyphen/>
        <w:t>samt lägger fram förslag om ett yrkesfiskaravdrag som innebär att det svenska fisket får konkurrensvillkor som är jämbördiga med villkoren i konkurrent</w:t>
      </w:r>
      <w:r w:rsidRPr="00C9680B">
        <w:softHyphen/>
        <w:t xml:space="preserve">länderna. Sådana yrkanden framställs i </w:t>
      </w:r>
      <w:r w:rsidRPr="00C9680B">
        <w:rPr>
          <w:i/>
        </w:rPr>
        <w:t>motionerna Sk314</w:t>
      </w:r>
      <w:r w:rsidRPr="00C9680B">
        <w:t xml:space="preserve"> av Kent Olsson (m), </w:t>
      </w:r>
      <w:r w:rsidRPr="00C9680B">
        <w:rPr>
          <w:i/>
        </w:rPr>
        <w:t>Sk323</w:t>
      </w:r>
      <w:r w:rsidRPr="00C9680B">
        <w:t xml:space="preserve"> yrkande 34 och </w:t>
      </w:r>
      <w:r w:rsidRPr="00C9680B">
        <w:rPr>
          <w:i/>
        </w:rPr>
        <w:t>MJ243</w:t>
      </w:r>
      <w:r w:rsidRPr="00C9680B">
        <w:t xml:space="preserve"> yrkande 16, båda av Alf Svensson m.fl. (kd), och </w:t>
      </w:r>
      <w:r w:rsidRPr="00C9680B">
        <w:rPr>
          <w:i/>
        </w:rPr>
        <w:t>MJ418</w:t>
      </w:r>
      <w:r w:rsidRPr="00C9680B">
        <w:t xml:space="preserve"> yrkande 9 av Åsa Torstensson m.fl. (c).</w:t>
      </w:r>
    </w:p>
    <w:p w:rsidR="001C7BF9" w:rsidRPr="00C9680B" w:rsidRDefault="001C7BF9">
      <w:pPr>
        <w:pStyle w:val="R4"/>
      </w:pPr>
      <w:r w:rsidRPr="00C9680B">
        <w:t>Skatteutskottets yttrande</w:t>
      </w:r>
    </w:p>
    <w:p w:rsidR="001C7BF9" w:rsidRPr="00C9680B" w:rsidRDefault="001C7BF9">
      <w:r w:rsidRPr="00C9680B">
        <w:t>Skatteutskottet anför (SkU1y) att det framgår av budgetpropositionen att regeringen planerar att lägga fram ett förslag om ett yrkes</w:t>
      </w:r>
      <w:r w:rsidRPr="00C9680B">
        <w:softHyphen/>
        <w:t>fiskaravdrag under hösten. Utskottet ser inte någon anledning till ytterligare tillkännagivanden till regeringen i denna fråga och avstyrker därför motionsyrkandena.</w:t>
      </w:r>
    </w:p>
    <w:p w:rsidR="001C7BF9" w:rsidRPr="00C9680B" w:rsidRDefault="001C7BF9">
      <w:pPr>
        <w:pStyle w:val="R4"/>
      </w:pPr>
      <w:r w:rsidRPr="00C9680B">
        <w:t>Finansutskottets ställningstagande</w:t>
      </w:r>
    </w:p>
    <w:p w:rsidR="001C7BF9" w:rsidRPr="00C9680B" w:rsidRDefault="001C7BF9">
      <w:r w:rsidRPr="00C9680B">
        <w:t>Finansutskottet avstyrker i likhet med skatteutskottet motionerna Sk314 (m), Sk323 (kd) yrkande 34, MJ243 (kd) yrkande 16 och MJ418 (c) yrkande 9.</w:t>
      </w:r>
    </w:p>
    <w:p w:rsidR="001C7BF9" w:rsidRPr="00C9680B" w:rsidRDefault="001C7BF9">
      <w:pPr>
        <w:pStyle w:val="Utskottetsvervganden-RubrikFrslagspunkt"/>
        <w:outlineLvl w:val="0"/>
      </w:pPr>
      <w:bookmarkStart w:id="245" w:name="_Toc497720033"/>
      <w:bookmarkStart w:id="246" w:name="_Toc498238802"/>
      <w:bookmarkStart w:id="247" w:name="_Toc498910713"/>
      <w:r w:rsidRPr="00C9680B">
        <w:t>3.3.5 Hushållsnära tjänster</w:t>
      </w:r>
      <w:bookmarkEnd w:id="245"/>
      <w:bookmarkEnd w:id="246"/>
      <w:bookmarkEnd w:id="247"/>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avslår motionsförslagen om en skattereduktion för hus</w:t>
      </w:r>
      <w:r w:rsidRPr="00C9680B">
        <w:softHyphen/>
        <w:t>hållsnära tjänster.</w:t>
      </w:r>
    </w:p>
    <w:p w:rsidR="001C7BF9" w:rsidRPr="00C9680B" w:rsidRDefault="001C7BF9">
      <w:pPr>
        <w:pStyle w:val="Utskottsfrslagikorthet-Text"/>
      </w:pPr>
      <w:r w:rsidRPr="00C9680B">
        <w:t xml:space="preserve">  Jämför reservationerna 12 (m), 13 (kd), 14 (c) och 15 (fp).</w:t>
      </w:r>
    </w:p>
    <w:p w:rsidR="001C7BF9" w:rsidRPr="00C9680B" w:rsidRDefault="001C7BF9">
      <w:pPr>
        <w:pStyle w:val="Utskottetsvervganden-kursivrubrik"/>
        <w:rPr>
          <w:noProof w:val="0"/>
        </w:rPr>
      </w:pPr>
      <w:bookmarkStart w:id="248" w:name="_Toc497206466"/>
      <w:bookmarkStart w:id="249" w:name="_Toc497720035"/>
      <w:bookmarkStart w:id="250" w:name="_Toc498238803"/>
      <w:bookmarkStart w:id="251" w:name="_Toc498910714"/>
      <w:r w:rsidRPr="00C9680B">
        <w:rPr>
          <w:noProof w:val="0"/>
        </w:rPr>
        <w:t>Gällande bestämmelser</w:t>
      </w:r>
      <w:bookmarkEnd w:id="248"/>
      <w:bookmarkEnd w:id="249"/>
      <w:bookmarkEnd w:id="250"/>
      <w:bookmarkEnd w:id="251"/>
    </w:p>
    <w:p w:rsidR="001C7BF9" w:rsidRPr="00C9680B" w:rsidRDefault="001C7BF9">
      <w:r w:rsidRPr="00C9680B">
        <w:t xml:space="preserve">Frågor om särskilda skatteregler för tjänstesektorn har behandlats i Tjänste-utredningens betänkande Uppskattad sysselsättning (SOU 1994:43) och i Tjänstebeskattningsutredningens betänkande Skatter, tjänster och syssel-sättning (SOU 1997:17). </w:t>
      </w:r>
    </w:p>
    <w:p w:rsidR="001C7BF9" w:rsidRPr="00C9680B" w:rsidRDefault="001C7BF9">
      <w:pPr>
        <w:pStyle w:val="R4"/>
      </w:pPr>
      <w:bookmarkStart w:id="252" w:name="_Toc497206467"/>
      <w:bookmarkStart w:id="253" w:name="_Toc497720036"/>
      <w:r w:rsidRPr="00C9680B">
        <w:t>Motionerna</w:t>
      </w:r>
      <w:bookmarkEnd w:id="252"/>
      <w:bookmarkEnd w:id="253"/>
    </w:p>
    <w:p w:rsidR="001C7BF9" w:rsidRPr="00C9680B" w:rsidRDefault="001C7BF9">
      <w:r w:rsidRPr="00C9680B">
        <w:rPr>
          <w:i/>
        </w:rPr>
        <w:t>Moderata samlingspartiet, Kristdemokraterna, Centerpartiet och Folk</w:t>
      </w:r>
      <w:r w:rsidRPr="00C9680B">
        <w:rPr>
          <w:i/>
        </w:rPr>
        <w:softHyphen/>
        <w:t xml:space="preserve">partiet liberalerna </w:t>
      </w:r>
      <w:r w:rsidRPr="00C9680B">
        <w:t>föreslår i flera motioner att en skattereduktion för hus</w:t>
      </w:r>
      <w:r w:rsidRPr="00C9680B">
        <w:softHyphen/>
        <w:t>hållsnära tjänster skall införas i enlighet med ett av partierna framställt gemensamt förslag. Förslaget innebär att en skattereduktion på 50 % införs för priva</w:t>
      </w:r>
      <w:r w:rsidRPr="00C9680B">
        <w:t>t</w:t>
      </w:r>
      <w:r w:rsidRPr="00C9680B">
        <w:t>per</w:t>
      </w:r>
      <w:r w:rsidRPr="00C9680B">
        <w:softHyphen/>
        <w:t>soners betalning av arbetskostnaden inklusive moms för hushållstjänster som utförs i det egna hemmet, upp till 25 000 kr per år. Motionärerna anför att förslaget innebär att det vita priset halveras, direkt vid köpet, jämfört med dagens regler. Yrkanden med denna inrik</w:t>
      </w:r>
      <w:r w:rsidRPr="00C9680B">
        <w:t xml:space="preserve">tning framställs i </w:t>
      </w:r>
      <w:r w:rsidRPr="00C9680B">
        <w:rPr>
          <w:i/>
        </w:rPr>
        <w:t xml:space="preserve">motion Fi208 </w:t>
      </w:r>
      <w:r w:rsidRPr="00C9680B">
        <w:t xml:space="preserve">yrkande 12 av Bo Lundgren m.fl. (m), </w:t>
      </w:r>
      <w:r w:rsidRPr="00C9680B">
        <w:rPr>
          <w:i/>
        </w:rPr>
        <w:t xml:space="preserve">Sk313 </w:t>
      </w:r>
      <w:r w:rsidRPr="00C9680B">
        <w:t xml:space="preserve">yrkande 43 av Carl Fredrik Graf m.fl. (m), </w:t>
      </w:r>
      <w:r w:rsidRPr="00C9680B">
        <w:rPr>
          <w:i/>
        </w:rPr>
        <w:t xml:space="preserve">Sk323 </w:t>
      </w:r>
      <w:r w:rsidRPr="00C9680B">
        <w:t>yrkande 38 av Alf Svensson m.fl. (kd),</w:t>
      </w:r>
      <w:r w:rsidRPr="00C9680B">
        <w:rPr>
          <w:i/>
        </w:rPr>
        <w:t xml:space="preserve"> Sk321</w:t>
      </w:r>
      <w:r w:rsidRPr="00C9680B">
        <w:t xml:space="preserve"> yrkande 23 av Lennart Daléus m.fl. (c), </w:t>
      </w:r>
      <w:r w:rsidRPr="00C9680B">
        <w:rPr>
          <w:i/>
        </w:rPr>
        <w:t xml:space="preserve">Sk324 </w:t>
      </w:r>
      <w:r w:rsidRPr="00C9680B">
        <w:t xml:space="preserve">yrkande 7 av Lars Leijonborg m.fl. (fp) och </w:t>
      </w:r>
      <w:r w:rsidRPr="00C9680B">
        <w:rPr>
          <w:i/>
        </w:rPr>
        <w:t xml:space="preserve">Sf308 </w:t>
      </w:r>
      <w:r w:rsidRPr="00C9680B">
        <w:t>yrkande 10 av Lars Le</w:t>
      </w:r>
      <w:r w:rsidRPr="00C9680B">
        <w:t>i</w:t>
      </w:r>
      <w:r w:rsidRPr="00C9680B">
        <w:t>jonborg m.fl. (fp).</w:t>
      </w:r>
    </w:p>
    <w:p w:rsidR="001C7BF9" w:rsidRPr="00C9680B" w:rsidRDefault="001C7BF9">
      <w:pPr>
        <w:pStyle w:val="R4"/>
      </w:pPr>
      <w:r w:rsidRPr="00C9680B">
        <w:t>Skatteutskottets yttrande</w:t>
      </w:r>
    </w:p>
    <w:p w:rsidR="001C7BF9" w:rsidRPr="00C9680B" w:rsidRDefault="001C7BF9">
      <w:r w:rsidRPr="00C9680B">
        <w:t>Skatteutskottet anför i sitt yttrande (SkU1y) att att införandet av en särskild stimulans för tjänste</w:t>
      </w:r>
      <w:r w:rsidRPr="00C9680B">
        <w:softHyphen/>
        <w:t>sektorn i den form motionärerna föreslår skulle innebära ett avsteg från de principer om en likformig och neutral beskattning som ligger till grund för skatterefor</w:t>
      </w:r>
      <w:r w:rsidRPr="00C9680B">
        <w:softHyphen/>
        <w:t>men och som enligt utskottets mening bör gälla. Det är också kostsamt att genom stimulanser försöka skapa en tjänst</w:t>
      </w:r>
      <w:r w:rsidRPr="00C9680B">
        <w:t>e</w:t>
      </w:r>
      <w:r w:rsidRPr="00C9680B">
        <w:t>produktion som kan konkurrera med hushållens egen tjänsteproduktion. Ri</w:t>
      </w:r>
      <w:r w:rsidRPr="00C9680B">
        <w:t>s</w:t>
      </w:r>
      <w:r w:rsidRPr="00C9680B">
        <w:t>ken är att effekterna på sysselsätt</w:t>
      </w:r>
      <w:r w:rsidRPr="00C9680B">
        <w:softHyphen/>
        <w:t>ningen blir mycket små eller inga alls samt</w:t>
      </w:r>
      <w:r w:rsidRPr="00C9680B">
        <w:t>i</w:t>
      </w:r>
      <w:r w:rsidRPr="00C9680B">
        <w:t>digt som kostnaderna blir stora. De erfarenheter som man har gjort i Danmark ta</w:t>
      </w:r>
      <w:r w:rsidRPr="00C9680B">
        <w:t xml:space="preserve">lar för en sådan utgång. </w:t>
      </w:r>
    </w:p>
    <w:p w:rsidR="001C7BF9" w:rsidRPr="00C9680B" w:rsidRDefault="001C7BF9">
      <w:pPr>
        <w:pStyle w:val="Normaltindrag"/>
      </w:pPr>
      <w:r w:rsidRPr="00C9680B">
        <w:t>Utskottet anför vidare att en stimulans av denna typ kan leda till gräns</w:t>
      </w:r>
      <w:r w:rsidRPr="00C9680B">
        <w:softHyphen/>
        <w:t>dragnings</w:t>
      </w:r>
      <w:r w:rsidRPr="00C9680B">
        <w:softHyphen/>
        <w:t>problem och ge upphov till svårkontrollerade gråz</w:t>
      </w:r>
      <w:r w:rsidRPr="00C9680B">
        <w:t>o</w:t>
      </w:r>
      <w:r w:rsidRPr="00C9680B">
        <w:t>ner.</w:t>
      </w:r>
    </w:p>
    <w:p w:rsidR="001C7BF9" w:rsidRPr="00C9680B" w:rsidRDefault="001C7BF9">
      <w:pPr>
        <w:pStyle w:val="Normaltindrag"/>
      </w:pPr>
      <w:r w:rsidRPr="00C9680B">
        <w:t>Skatteutskottet är med hänsyn till det anförda inte berett att tillstyrka fö</w:t>
      </w:r>
      <w:r w:rsidRPr="00C9680B">
        <w:t>r</w:t>
      </w:r>
      <w:r w:rsidRPr="00C9680B">
        <w:t>slagen om en skattereduktion för hushållsnära tjänster och avstyrker därför moti</w:t>
      </w:r>
      <w:r w:rsidRPr="00C9680B">
        <w:t>o</w:t>
      </w:r>
      <w:r w:rsidRPr="00C9680B">
        <w:t>ns</w:t>
      </w:r>
      <w:r w:rsidRPr="00C9680B">
        <w:softHyphen/>
        <w:t>yrkandena.</w:t>
      </w:r>
    </w:p>
    <w:p w:rsidR="001C7BF9" w:rsidRPr="00C9680B" w:rsidRDefault="001C7BF9">
      <w:pPr>
        <w:pStyle w:val="R4"/>
      </w:pPr>
      <w:r w:rsidRPr="00C9680B">
        <w:t>Finansutskottets ställningstagande</w:t>
      </w:r>
    </w:p>
    <w:p w:rsidR="001C7BF9" w:rsidRPr="00C9680B" w:rsidRDefault="001C7BF9">
      <w:r w:rsidRPr="00C9680B">
        <w:t>Finansutskottet avstyrker i likhet med skatteutskottet motionerna Fi208 (m) yrkande 12, Sk313 (m) yrkande 43, Sk321 (c) yrkande 23, Sk323 (kd) yrka</w:t>
      </w:r>
      <w:r w:rsidRPr="00C9680B">
        <w:t>n</w:t>
      </w:r>
      <w:r w:rsidRPr="00C9680B">
        <w:t>de 38, Sk324 (fp) yrkande 7 och Sf308 (fp) yrkande 10.</w:t>
      </w:r>
    </w:p>
    <w:p w:rsidR="001C7BF9" w:rsidRPr="00C9680B" w:rsidRDefault="001C7BF9">
      <w:pPr>
        <w:pStyle w:val="Utskottetsvervganden-RubrikFrslagspunkt"/>
        <w:outlineLvl w:val="0"/>
      </w:pPr>
      <w:bookmarkStart w:id="254" w:name="_Toc497720038"/>
      <w:bookmarkStart w:id="255" w:name="_Toc498238804"/>
      <w:bookmarkStart w:id="256" w:name="_Toc498910715"/>
      <w:r w:rsidRPr="00C9680B">
        <w:t>3.3.6 Royalty</w:t>
      </w:r>
      <w:bookmarkEnd w:id="254"/>
      <w:bookmarkEnd w:id="255"/>
      <w:bookmarkEnd w:id="256"/>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 xml:space="preserve">Riksdagen avslår motionsförslagen om att royalty skall beskattas som inkomst av kapital respektive skattebefrias. </w:t>
      </w:r>
    </w:p>
    <w:p w:rsidR="001C7BF9" w:rsidRPr="00C9680B" w:rsidRDefault="001C7BF9">
      <w:pPr>
        <w:pStyle w:val="Utskottsfrslagikorthet-Text"/>
      </w:pPr>
      <w:r w:rsidRPr="00C9680B">
        <w:t xml:space="preserve">  Jämför reservationerna 12 (m) och 13 (kd).</w:t>
      </w:r>
    </w:p>
    <w:p w:rsidR="001C7BF9" w:rsidRPr="00C9680B" w:rsidRDefault="001C7BF9">
      <w:pPr>
        <w:pStyle w:val="R4"/>
      </w:pPr>
      <w:bookmarkStart w:id="257" w:name="_Toc497206471"/>
      <w:bookmarkStart w:id="258" w:name="_Toc497720040"/>
      <w:r w:rsidRPr="00C9680B">
        <w:t>Motionerna</w:t>
      </w:r>
      <w:bookmarkEnd w:id="257"/>
      <w:bookmarkEnd w:id="258"/>
    </w:p>
    <w:p w:rsidR="001C7BF9" w:rsidRPr="00C9680B" w:rsidRDefault="001C7BF9">
      <w:r w:rsidRPr="00C9680B">
        <w:rPr>
          <w:i/>
        </w:rPr>
        <w:t>Moderata samlingspartiet</w:t>
      </w:r>
      <w:r w:rsidRPr="00C9680B">
        <w:t xml:space="preserve"> föreslår i </w:t>
      </w:r>
      <w:r w:rsidRPr="00C9680B">
        <w:rPr>
          <w:i/>
        </w:rPr>
        <w:t>motion Sk313</w:t>
      </w:r>
      <w:r w:rsidRPr="00C9680B">
        <w:t xml:space="preserve"> yrkande 40 av Carl Fredrik Graf m.fl. (m) att royaltyinkomster från uppfinningar och patent skall be</w:t>
      </w:r>
      <w:r w:rsidRPr="00C9680B">
        <w:softHyphen/>
        <w:t>skattas i inkomstslaget kapital fr.o.m. år 2001.</w:t>
      </w:r>
    </w:p>
    <w:p w:rsidR="001C7BF9" w:rsidRPr="00C9680B" w:rsidRDefault="001C7BF9">
      <w:pPr>
        <w:spacing w:before="125"/>
      </w:pPr>
      <w:r w:rsidRPr="00C9680B">
        <w:rPr>
          <w:i/>
        </w:rPr>
        <w:t>Kristdemokraterna</w:t>
      </w:r>
      <w:r w:rsidRPr="00C9680B">
        <w:t xml:space="preserve"> föreslår i </w:t>
      </w:r>
      <w:r w:rsidRPr="00C9680B">
        <w:rPr>
          <w:i/>
        </w:rPr>
        <w:t>motion Sk323</w:t>
      </w:r>
      <w:r w:rsidRPr="00C9680B">
        <w:t xml:space="preserve"> yrkande 35 av Alf Svensson m.fl. (kd) att royalty på patent skattebefrias under de två första åren för att sedan beskattas i inkomstslaget kapital.</w:t>
      </w:r>
    </w:p>
    <w:p w:rsidR="001C7BF9" w:rsidRPr="00C9680B" w:rsidRDefault="001C7BF9">
      <w:pPr>
        <w:pStyle w:val="R4"/>
      </w:pPr>
      <w:r w:rsidRPr="00C9680B">
        <w:t>Skatteutskottets yttrande</w:t>
      </w:r>
    </w:p>
    <w:p w:rsidR="001C7BF9" w:rsidRPr="00C9680B" w:rsidRDefault="001C7BF9">
      <w:r w:rsidRPr="00C9680B">
        <w:t>Skatteutskottet anför (SkU1y) att det bör undvikas att införa särskilda ska</w:t>
      </w:r>
      <w:r w:rsidRPr="00C9680B">
        <w:t>t</w:t>
      </w:r>
      <w:r w:rsidRPr="00C9680B">
        <w:t>testimu</w:t>
      </w:r>
      <w:r w:rsidRPr="00C9680B">
        <w:softHyphen/>
        <w:t>lanser för viss typ av verksamhet och att förslag om skattefrihet under b</w:t>
      </w:r>
      <w:r w:rsidRPr="00C9680B">
        <w:t>e</w:t>
      </w:r>
      <w:r w:rsidRPr="00C9680B">
        <w:t>gränsad tid för royaltyinkomster tidigare har föreslagits av Innovations</w:t>
      </w:r>
      <w:r w:rsidRPr="00C9680B">
        <w:softHyphen/>
        <w:t>utredningen (SOU 1993:84), men har inte ansetts vara aktuella att genomföra. Skatteutskottet framhåller att riksdagen vid upprepade tillfällen och senast under våren 2000 i bl.a. betän</w:t>
      </w:r>
      <w:r w:rsidRPr="00C9680B">
        <w:softHyphen/>
        <w:t>kande 1999/2000:SkU14 Allmänna motioner om företags- och kapitalbeskattning har avslagit förslag med denna inriktning. Skatteu</w:t>
      </w:r>
      <w:r w:rsidRPr="00C9680B">
        <w:t>t</w:t>
      </w:r>
      <w:r w:rsidRPr="00C9680B">
        <w:t>skottet avstyrker motionsyrkandena.</w:t>
      </w:r>
    </w:p>
    <w:p w:rsidR="001C7BF9" w:rsidRPr="00C9680B" w:rsidRDefault="001C7BF9">
      <w:pPr>
        <w:pStyle w:val="R4"/>
      </w:pPr>
      <w:r w:rsidRPr="00C9680B">
        <w:t>Finansut</w:t>
      </w:r>
      <w:r w:rsidRPr="00C9680B">
        <w:t>skottets ställningstagande</w:t>
      </w:r>
    </w:p>
    <w:p w:rsidR="001C7BF9" w:rsidRPr="00C9680B" w:rsidRDefault="001C7BF9">
      <w:r w:rsidRPr="00C9680B">
        <w:t>Finansutskottet avstyrker i likhet med skatteutskottet motionerna Sk313 (m) yrkande 40 och Sk323 (kd) yrkande 35.</w:t>
      </w:r>
    </w:p>
    <w:p w:rsidR="001C7BF9" w:rsidRPr="00C9680B" w:rsidRDefault="001C7BF9">
      <w:pPr>
        <w:pStyle w:val="Utskottetsvervganden-RubrikFrslagspunkt"/>
        <w:outlineLvl w:val="0"/>
      </w:pPr>
      <w:bookmarkStart w:id="259" w:name="_Toc497720042"/>
      <w:bookmarkStart w:id="260" w:name="_Toc498238805"/>
      <w:bookmarkStart w:id="261" w:name="_Toc498910716"/>
      <w:r w:rsidRPr="00C9680B">
        <w:t>3.3.7 Kapitalvinstbeskattning av bostäder</w:t>
      </w:r>
      <w:bookmarkEnd w:id="259"/>
      <w:bookmarkEnd w:id="260"/>
      <w:bookmarkEnd w:id="261"/>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tillstyrker regeringens förslag om att den skattepliktiga delen av vinsten vid försäljning av privatbostadsfastigheter och pr</w:t>
      </w:r>
      <w:r w:rsidRPr="00C9680B">
        <w:t>i</w:t>
      </w:r>
      <w:r w:rsidRPr="00C9680B">
        <w:t>vatbostadsrätter höjs från hälften till två tredjedelar av kapital</w:t>
      </w:r>
      <w:r w:rsidRPr="00C9680B">
        <w:softHyphen/>
        <w:t xml:space="preserve">vinsten. Motionens förslag avslås. </w:t>
      </w:r>
    </w:p>
    <w:p w:rsidR="001C7BF9" w:rsidRPr="00C9680B" w:rsidRDefault="001C7BF9">
      <w:pPr>
        <w:pStyle w:val="Utskottsfrslagikorthet-Text"/>
      </w:pPr>
      <w:r w:rsidRPr="00C9680B">
        <w:t xml:space="preserve">  Jämför reservationerna 12 (m), 14 (c) och 15 (fp).</w:t>
      </w:r>
    </w:p>
    <w:p w:rsidR="001C7BF9" w:rsidRPr="00C9680B" w:rsidRDefault="001C7BF9">
      <w:pPr>
        <w:pStyle w:val="R4"/>
      </w:pPr>
      <w:bookmarkStart w:id="262" w:name="_Toc497206475"/>
      <w:bookmarkStart w:id="263" w:name="_Toc497720044"/>
      <w:r w:rsidRPr="00C9680B">
        <w:t>Budgetpropositionen</w:t>
      </w:r>
      <w:bookmarkEnd w:id="262"/>
      <w:bookmarkEnd w:id="263"/>
    </w:p>
    <w:p w:rsidR="001C7BF9" w:rsidRPr="00C9680B" w:rsidRDefault="001C7BF9">
      <w:r w:rsidRPr="00C9680B">
        <w:t>Regeringen föreslår (avsnitt 9.3.3) att den skattepliktiga delen av vinsten vid försäljning av privatbostadsfastigheter och privatbostadsrätter höjs från häl</w:t>
      </w:r>
      <w:r w:rsidRPr="00C9680B">
        <w:t>f</w:t>
      </w:r>
      <w:r w:rsidRPr="00C9680B">
        <w:t>ten till två tred</w:t>
      </w:r>
      <w:r w:rsidRPr="00C9680B">
        <w:softHyphen/>
        <w:t>jedelar av kapitalvinsten. Det innebär att skatten, som en andel av vinsten, höjs från 15 % till 20 %. Någon ändring föreslås inte när det gäller den avdragsgilla delen av en kapitalförlust, som därför även fortsättningsvis skall vara 50 %.</w:t>
      </w:r>
    </w:p>
    <w:p w:rsidR="001C7BF9" w:rsidRPr="00C9680B" w:rsidRDefault="001C7BF9">
      <w:pPr>
        <w:pStyle w:val="Normaltindrag"/>
      </w:pPr>
      <w:r w:rsidRPr="00C9680B">
        <w:t>Regeringen anför att det finns skäl som talar för att tyngdpunkten i fördel</w:t>
      </w:r>
      <w:r w:rsidRPr="00C9680B">
        <w:softHyphen/>
        <w:t>ningen av det totala skatteuttaget mellan fastighetsskatt och kapitalvinstbe</w:t>
      </w:r>
      <w:r w:rsidRPr="00C9680B">
        <w:softHyphen/>
        <w:t>skattning av privatbostäder bör förskjutas något mot ökad kapitalvinstskatt. Härför talar bl.a. de likviditets- och kostnadsproblem som fastighetsskatten medför för vissa hushåll. De förändringar som har föreslagits när det gäller fa</w:t>
      </w:r>
      <w:r w:rsidRPr="00C9680B">
        <w:t>s</w:t>
      </w:r>
      <w:r w:rsidRPr="00C9680B">
        <w:t>tighetsskattesatsen för småhus och bostadshyreshus bör dessutom finansie</w:t>
      </w:r>
      <w:r w:rsidRPr="00C9680B">
        <w:softHyphen/>
        <w:t>ras inom bostadssektorn. Mot denna bakgrund anser regeringen att den skattepliktiga delen av vinsten vid avyttring av privatbos</w:t>
      </w:r>
      <w:r w:rsidRPr="00C9680B">
        <w:t>tadsfastigheter och privatbostadsrätter bör höjas från hälften till två tredjedelar av kapitalvinsten. När det gäller förluster konstaterar regeringen att det finns en generell för</w:t>
      </w:r>
      <w:r w:rsidRPr="00C9680B">
        <w:softHyphen/>
        <w:t>lustkvotering i inkomstslaget kapital med 70 % och att en sådan kvotering skulle medföra att knappt 47 % (70 % av två tredjedelar) av en förlust skulle få dras av. Mot bakgrund härav föreslår regeringen ingen ändring av den avdragsgilla förlustandelen på 50 %. De nya bestämmelserna föreslås gälla fr.o.m. den 1 janu</w:t>
      </w:r>
      <w:r w:rsidRPr="00C9680B">
        <w:t>a</w:t>
      </w:r>
      <w:r w:rsidRPr="00C9680B">
        <w:t>ri 2001.</w:t>
      </w:r>
    </w:p>
    <w:p w:rsidR="001C7BF9" w:rsidRPr="00C9680B" w:rsidRDefault="001C7BF9">
      <w:pPr>
        <w:pStyle w:val="R4"/>
      </w:pPr>
      <w:bookmarkStart w:id="264" w:name="_Toc497206476"/>
      <w:bookmarkStart w:id="265" w:name="_Toc497720045"/>
      <w:r w:rsidRPr="00C9680B">
        <w:t>Motio</w:t>
      </w:r>
      <w:r w:rsidRPr="00C9680B">
        <w:t>ne</w:t>
      </w:r>
      <w:bookmarkEnd w:id="264"/>
      <w:bookmarkEnd w:id="265"/>
      <w:r w:rsidRPr="00C9680B">
        <w:t>n</w:t>
      </w:r>
    </w:p>
    <w:p w:rsidR="001C7BF9" w:rsidRPr="00C9680B" w:rsidRDefault="001C7BF9">
      <w:r w:rsidRPr="00C9680B">
        <w:rPr>
          <w:i/>
        </w:rPr>
        <w:t>Moderata samlingspartiet</w:t>
      </w:r>
      <w:r w:rsidRPr="00C9680B">
        <w:t xml:space="preserve"> yrkar i </w:t>
      </w:r>
      <w:r w:rsidRPr="00C9680B">
        <w:rPr>
          <w:i/>
        </w:rPr>
        <w:t>motion Sk313</w:t>
      </w:r>
      <w:r w:rsidRPr="00C9680B">
        <w:t xml:space="preserve"> yrkande 2 delvis av Carl Fredrik Graf m.fl. (m) att regeringens förslag avslås.</w:t>
      </w:r>
    </w:p>
    <w:p w:rsidR="001C7BF9" w:rsidRPr="00C9680B" w:rsidRDefault="001C7BF9">
      <w:pPr>
        <w:spacing w:before="125"/>
      </w:pPr>
      <w:r w:rsidRPr="00C9680B">
        <w:rPr>
          <w:i/>
        </w:rPr>
        <w:t xml:space="preserve">Centerpartiet och Folkpartiet liberalerna </w:t>
      </w:r>
      <w:r w:rsidRPr="00C9680B">
        <w:t>räknar i sitt budgetalternativ med avslag på detta förslag.</w:t>
      </w:r>
    </w:p>
    <w:p w:rsidR="001C7BF9" w:rsidRPr="00C9680B" w:rsidRDefault="001C7BF9">
      <w:pPr>
        <w:pStyle w:val="R4"/>
      </w:pPr>
      <w:r w:rsidRPr="00C9680B">
        <w:t>Skatteutskottets yttrande</w:t>
      </w:r>
    </w:p>
    <w:p w:rsidR="001C7BF9" w:rsidRPr="00C9680B" w:rsidRDefault="001C7BF9">
      <w:r w:rsidRPr="00C9680B">
        <w:t>Skatteutskottet anför (SkU1y) att en höjning av den skattepliktiga andelen av kapitalvinsten vid försäljning av privatbostäder bidrar till att beskattningen av kapitalvinsterna blir mer likformig med den löpande beskattningen av fasti</w:t>
      </w:r>
      <w:r w:rsidRPr="00C9680B">
        <w:t>g</w:t>
      </w:r>
      <w:r w:rsidRPr="00C9680B">
        <w:t>heterna. Skatteutskottet har inte någon erinran mot förslaget och tillstyrker att det genom</w:t>
      </w:r>
      <w:r w:rsidRPr="00C9680B">
        <w:softHyphen/>
        <w:t>förs. Utskottet a</w:t>
      </w:r>
      <w:r w:rsidRPr="00C9680B">
        <w:t>v</w:t>
      </w:r>
      <w:r w:rsidRPr="00C9680B">
        <w:t>styrker motionsyrkandet.</w:t>
      </w:r>
    </w:p>
    <w:p w:rsidR="001C7BF9" w:rsidRPr="00C9680B" w:rsidRDefault="001C7BF9">
      <w:pPr>
        <w:pStyle w:val="R4"/>
      </w:pPr>
      <w:r w:rsidRPr="00C9680B">
        <w:t>Finansutskottets ställningstagande</w:t>
      </w:r>
    </w:p>
    <w:p w:rsidR="001C7BF9" w:rsidRPr="00C9680B" w:rsidRDefault="001C7BF9">
      <w:r w:rsidRPr="00C9680B">
        <w:t>Finansutskottet tillstyrker i likhet med skatteutskottet propositionens förslag om en höjning av den skattepliktiga delen av kapitalvinsten vid försäljning av privatbostäder och avstyrker motion Sk313 (m) y</w:t>
      </w:r>
      <w:r w:rsidRPr="00C9680B">
        <w:t>r</w:t>
      </w:r>
      <w:r w:rsidRPr="00C9680B">
        <w:t>kande 2 delvis.</w:t>
      </w:r>
    </w:p>
    <w:p w:rsidR="001C7BF9" w:rsidRPr="00C9680B" w:rsidRDefault="001C7BF9">
      <w:pPr>
        <w:pStyle w:val="Utskottetsvervganden-RubrikFrslagspunkt"/>
        <w:outlineLvl w:val="0"/>
      </w:pPr>
      <w:bookmarkStart w:id="266" w:name="_Toc497720047"/>
      <w:bookmarkStart w:id="267" w:name="_Toc498238806"/>
      <w:bookmarkStart w:id="268" w:name="_Toc498910717"/>
      <w:r w:rsidRPr="00C9680B">
        <w:t>3.3.8 Inkomst av kapital</w:t>
      </w:r>
      <w:bookmarkEnd w:id="266"/>
      <w:bookmarkEnd w:id="267"/>
      <w:bookmarkEnd w:id="268"/>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avslår motionsförslagen om slopad skatt på aktie</w:t>
      </w:r>
      <w:r w:rsidRPr="00C9680B">
        <w:softHyphen/>
        <w:t>utdel</w:t>
      </w:r>
      <w:r w:rsidRPr="00C9680B">
        <w:softHyphen/>
        <w:t>ning, slopat noteringsvillkor i de s.k. lex Asea-reglerna, risk</w:t>
      </w:r>
      <w:r w:rsidRPr="00C9680B">
        <w:softHyphen/>
        <w:t>kapitalavdrag och sänkt skatt på person</w:t>
      </w:r>
      <w:r w:rsidRPr="00C9680B">
        <w:t>a</w:t>
      </w:r>
      <w:r w:rsidRPr="00C9680B">
        <w:t xml:space="preserve">loptioner. </w:t>
      </w:r>
    </w:p>
    <w:p w:rsidR="001C7BF9" w:rsidRPr="00C9680B" w:rsidRDefault="001C7BF9">
      <w:pPr>
        <w:pStyle w:val="Utskottsfrslagikorthet-Text"/>
      </w:pPr>
      <w:r w:rsidRPr="00C9680B">
        <w:t xml:space="preserve">  Jämför reservationerna 12 (m), 13 (kd) och 15 (fp). </w:t>
      </w:r>
    </w:p>
    <w:p w:rsidR="001C7BF9" w:rsidRPr="00C9680B" w:rsidRDefault="001C7BF9">
      <w:pPr>
        <w:pStyle w:val="Utskottetsvervganden-kursivrubrik"/>
        <w:rPr>
          <w:noProof w:val="0"/>
        </w:rPr>
      </w:pPr>
      <w:bookmarkStart w:id="269" w:name="_Toc497206480"/>
      <w:bookmarkStart w:id="270" w:name="_Toc497720049"/>
      <w:bookmarkStart w:id="271" w:name="_Toc498238807"/>
      <w:bookmarkStart w:id="272" w:name="_Toc498910718"/>
      <w:r w:rsidRPr="00C9680B">
        <w:rPr>
          <w:noProof w:val="0"/>
        </w:rPr>
        <w:t>Bakgrund</w:t>
      </w:r>
      <w:bookmarkEnd w:id="269"/>
      <w:bookmarkEnd w:id="270"/>
      <w:bookmarkEnd w:id="271"/>
      <w:bookmarkEnd w:id="272"/>
    </w:p>
    <w:p w:rsidR="001C7BF9" w:rsidRPr="00C9680B" w:rsidRDefault="001C7BF9">
      <w:r w:rsidRPr="00C9680B">
        <w:t>Frågan om s.k. enkelbeskattning och dess inverkan på företagsinvesteringarna har utretts av 1992 års företagsskatteutredning. Utrednin</w:t>
      </w:r>
      <w:r w:rsidRPr="00C9680B">
        <w:t>g</w:t>
      </w:r>
      <w:r w:rsidRPr="00C9680B">
        <w:t>en avvisade i betän</w:t>
      </w:r>
      <w:r w:rsidRPr="00C9680B">
        <w:softHyphen/>
        <w:t>kandet En lättnad i dubbelbeskattningen av mindre företags inkomster (SOU 1996:119) ett generellt slopande av dubbelbeskattningen som ett medel att förbättra villkoren för företaga</w:t>
      </w:r>
      <w:r w:rsidRPr="00C9680B">
        <w:t>n</w:t>
      </w:r>
      <w:r w:rsidRPr="00C9680B">
        <w:t xml:space="preserve">de. </w:t>
      </w:r>
    </w:p>
    <w:p w:rsidR="001C7BF9" w:rsidRPr="00C9680B" w:rsidRDefault="001C7BF9">
      <w:pPr>
        <w:pStyle w:val="Normaltindrag"/>
      </w:pPr>
      <w:r w:rsidRPr="00C9680B">
        <w:t>Genom lagstiftning under hösten 1996 (prop. 1996/97:45, bet. 1996/97:SkU13), som har kompletterats under våren 1997 (prop. 1996/97:150, bet. 1996/97:FiU20), har riksdagen genomfört lättnader i b</w:t>
      </w:r>
      <w:r w:rsidRPr="00C9680B">
        <w:t>e</w:t>
      </w:r>
      <w:r w:rsidRPr="00C9680B">
        <w:t>skattningen av utdelning och reavinst på aktier i onoterade företag fr.o.m. 1998 års taxe</w:t>
      </w:r>
      <w:r w:rsidRPr="00C9680B">
        <w:softHyphen/>
        <w:t>ring. Lättnaderna ersatte det riskkapitalavdrag som införts tid</w:t>
      </w:r>
      <w:r w:rsidRPr="00C9680B">
        <w:t>i</w:t>
      </w:r>
      <w:r w:rsidRPr="00C9680B">
        <w:t xml:space="preserve">gare. </w:t>
      </w:r>
    </w:p>
    <w:p w:rsidR="001C7BF9" w:rsidRPr="00C9680B" w:rsidRDefault="001C7BF9">
      <w:pPr>
        <w:pStyle w:val="R4"/>
      </w:pPr>
      <w:bookmarkStart w:id="273" w:name="_Toc497206481"/>
      <w:bookmarkStart w:id="274" w:name="_Toc497720050"/>
      <w:r w:rsidRPr="00C9680B">
        <w:t>Motionerna</w:t>
      </w:r>
      <w:bookmarkEnd w:id="273"/>
      <w:bookmarkEnd w:id="274"/>
    </w:p>
    <w:p w:rsidR="001C7BF9" w:rsidRPr="00C9680B" w:rsidRDefault="001C7BF9">
      <w:r w:rsidRPr="00C9680B">
        <w:rPr>
          <w:i/>
        </w:rPr>
        <w:t>Moderata samlingspartiet</w:t>
      </w:r>
      <w:r w:rsidRPr="00C9680B">
        <w:t xml:space="preserve"> föreslår i </w:t>
      </w:r>
      <w:r w:rsidRPr="00C9680B">
        <w:rPr>
          <w:i/>
        </w:rPr>
        <w:t>motion Sk313</w:t>
      </w:r>
      <w:r w:rsidRPr="00C9680B">
        <w:t xml:space="preserve"> av Carl Fredrik Graf m.fl. (m) att skatten på aktieutdelning slopas den 1 januari 2001 (yrkande 39) och att noteringsvillkoret i de s.k. lex Asea-reglerna om uppskov med skatten på vissa aktieutdelningar skall slopas (yrkande 44). Motionärerna avsätter också medel för lättnad i beskattningen av personaloptioner.</w:t>
      </w:r>
    </w:p>
    <w:p w:rsidR="001C7BF9" w:rsidRPr="00C9680B" w:rsidRDefault="001C7BF9">
      <w:pPr>
        <w:spacing w:before="125"/>
      </w:pPr>
      <w:r w:rsidRPr="00C9680B">
        <w:rPr>
          <w:i/>
        </w:rPr>
        <w:t>Kristdemokraterna</w:t>
      </w:r>
      <w:r w:rsidRPr="00C9680B">
        <w:t xml:space="preserve"> föreslår i </w:t>
      </w:r>
      <w:r w:rsidRPr="00C9680B">
        <w:rPr>
          <w:i/>
        </w:rPr>
        <w:t>motion Sk323</w:t>
      </w:r>
      <w:r w:rsidRPr="00C9680B">
        <w:t xml:space="preserve"> av Alf Svensson m.fl. (kd) att en skattereduktion (riskkapitalavdrag) införs för den som köper nyemit</w:t>
      </w:r>
      <w:r w:rsidRPr="00C9680B">
        <w:softHyphen/>
        <w:t>terade aktier i onoterade bolag upp till 100 000 kr fr.o.m. år 2001 (yrkande 25). Även dessa motionärer föreslår att beskattningen av utdelning på aktier slopas (yrkande 39). Slutligen föreslås att beskattningen av personaloptioner sänks med 100 miljoner kronor år 2002 och därefter med 200 miljoner kronor (y</w:t>
      </w:r>
      <w:r w:rsidRPr="00C9680B">
        <w:t>r</w:t>
      </w:r>
      <w:r w:rsidRPr="00C9680B">
        <w:t>kande 47).</w:t>
      </w:r>
    </w:p>
    <w:p w:rsidR="001C7BF9" w:rsidRPr="00C9680B" w:rsidRDefault="001C7BF9">
      <w:pPr>
        <w:spacing w:before="125"/>
      </w:pPr>
      <w:r w:rsidRPr="00C9680B">
        <w:rPr>
          <w:i/>
        </w:rPr>
        <w:t>Folkpartiet liberalerna</w:t>
      </w:r>
      <w:r w:rsidRPr="00C9680B">
        <w:t xml:space="preserve"> avsätter i sitt budgetalternativ medel för lättnad i beskattningen av personaloptioner.</w:t>
      </w:r>
    </w:p>
    <w:p w:rsidR="001C7BF9" w:rsidRPr="00C9680B" w:rsidRDefault="001C7BF9">
      <w:pPr>
        <w:pStyle w:val="R4"/>
      </w:pPr>
      <w:r w:rsidRPr="00C9680B">
        <w:t>Skatteutskottets yttrande</w:t>
      </w:r>
    </w:p>
    <w:p w:rsidR="001C7BF9" w:rsidRPr="00C9680B" w:rsidRDefault="001C7BF9">
      <w:r w:rsidRPr="00C9680B">
        <w:t>Skatteutskottet anför i sitt yttrande (SkU1y) att de utredningar som gjorts på området visar att en slopad skatt på aktieutdelningar inte är ett verksamt m</w:t>
      </w:r>
      <w:r w:rsidRPr="00C9680B">
        <w:t>e</w:t>
      </w:r>
      <w:r w:rsidRPr="00C9680B">
        <w:t>del för att förbättra de större företagens villkor eftersom tillgången till en internationell kapitalmarknad gör att beskattningen av sparande endast i b</w:t>
      </w:r>
      <w:r w:rsidRPr="00C9680B">
        <w:t>e</w:t>
      </w:r>
      <w:r w:rsidRPr="00C9680B">
        <w:t>gränsad o</w:t>
      </w:r>
      <w:r w:rsidRPr="00C9680B">
        <w:t>m</w:t>
      </w:r>
      <w:r w:rsidRPr="00C9680B">
        <w:t xml:space="preserve">fattning inverkar på dessa företags investeringsbenägenhet. </w:t>
      </w:r>
    </w:p>
    <w:p w:rsidR="001C7BF9" w:rsidRPr="00C9680B" w:rsidRDefault="001C7BF9">
      <w:pPr>
        <w:pStyle w:val="Normaltindrag"/>
      </w:pPr>
      <w:r w:rsidRPr="00C9680B">
        <w:t>För små och medelstora företag som inte i alla avseenden har tillgång till den internationella kapitalmarknaden kan man emellertid enligt vad skatteu</w:t>
      </w:r>
      <w:r w:rsidRPr="00C9680B">
        <w:t>t</w:t>
      </w:r>
      <w:r w:rsidRPr="00C9680B">
        <w:t>skottet anför inte bortse från att den personliga kapitalbeskattningen inverkar på avkastningskravet och därmed i viss mån fungerar som en skatt på föret</w:t>
      </w:r>
      <w:r w:rsidRPr="00C9680B">
        <w:t>a</w:t>
      </w:r>
      <w:r w:rsidRPr="00C9680B">
        <w:t>gens investeringar. I skattelagstift</w:t>
      </w:r>
      <w:r w:rsidRPr="00C9680B">
        <w:softHyphen/>
        <w:t>ningen har detta förhållande beaktats genom de särskilda lättnader som sedan 1997 gäller vid beskattningen av utdelningar och reavinster på onoterade aktier. Dessa skattelättnader ersatte ett tidigare riskkapitalavdrag. När det däremot gäller en generell sänkning av skatten på ägarnas sparande i aktier är en sådan enli</w:t>
      </w:r>
      <w:r w:rsidRPr="00C9680B">
        <w:t>gt skatteutskottets mening inte en effektiv metod för att förbättra villkoren för företagandet, och skatteutskottet avstyrker därför motionsyrkandena om slopad skatt på aktieutdelning och om införande av ett riskkapitala</w:t>
      </w:r>
      <w:r w:rsidRPr="00C9680B">
        <w:t>v</w:t>
      </w:r>
      <w:r w:rsidRPr="00C9680B">
        <w:t>drag.</w:t>
      </w:r>
    </w:p>
    <w:p w:rsidR="001C7BF9" w:rsidRPr="00C9680B" w:rsidRDefault="001C7BF9">
      <w:pPr>
        <w:pStyle w:val="Normaltindrag"/>
      </w:pPr>
      <w:r w:rsidRPr="00C9680B">
        <w:t>När det gäller lex Asea-reglerna anför skatteutskottet att dessa senast o</w:t>
      </w:r>
      <w:r w:rsidRPr="00C9680B">
        <w:t>m</w:t>
      </w:r>
      <w:r w:rsidRPr="00C9680B">
        <w:t>arbetats i anslutning till att en generell skatterättslig reglering av fusioner och fissioner infördes (prop. 1998/99:15, bet. 1998/99:SkU5) och att skatteu</w:t>
      </w:r>
      <w:r w:rsidRPr="00C9680B">
        <w:t>t</w:t>
      </w:r>
      <w:r w:rsidRPr="00C9680B">
        <w:t>skottet då avstyrkte ett motionsyrkande om att note</w:t>
      </w:r>
      <w:r w:rsidRPr="00C9680B">
        <w:softHyphen/>
        <w:t>ringskravet skulle släppas med hänvisning till att noteringen behövs när anskaffningsvärdet på aktierna i det utdelande bolaget skall fast</w:t>
      </w:r>
      <w:r w:rsidRPr="00C9680B">
        <w:softHyphen/>
        <w:t>ställas och att avsaknaden av ett marknadsvä</w:t>
      </w:r>
      <w:r w:rsidRPr="00C9680B">
        <w:t>r</w:t>
      </w:r>
      <w:r w:rsidRPr="00C9680B">
        <w:t>de antagligen skulle leda till praktiska problem med tillämpningen av dessa regler. Skatteutskottet har inte ändrat up</w:t>
      </w:r>
      <w:r w:rsidRPr="00C9680B">
        <w:t>pfattning i denna fråga och avstyrker därför motionsyrkandet om ett slopande av notering</w:t>
      </w:r>
      <w:r w:rsidRPr="00C9680B">
        <w:t>s</w:t>
      </w:r>
      <w:r w:rsidRPr="00C9680B">
        <w:t>villkoret.</w:t>
      </w:r>
    </w:p>
    <w:p w:rsidR="001C7BF9" w:rsidRPr="00C9680B" w:rsidRDefault="001C7BF9">
      <w:pPr>
        <w:pStyle w:val="Normaltindrag"/>
      </w:pPr>
      <w:r w:rsidRPr="00C9680B">
        <w:t>Slutligen tar skatteutskottet upp frågan om skattelättnader för personalo</w:t>
      </w:r>
      <w:r w:rsidRPr="00C9680B">
        <w:t>p</w:t>
      </w:r>
      <w:r w:rsidRPr="00C9680B">
        <w:t>tioner. Optionsprogrammen innebär ett visst mått av risktagande från såväl arbets</w:t>
      </w:r>
      <w:r w:rsidRPr="00C9680B">
        <w:softHyphen/>
        <w:t>tagarens som arbetsgivarens sida. I och med att parterna – genom avt</w:t>
      </w:r>
      <w:r w:rsidRPr="00C9680B">
        <w:t>a</w:t>
      </w:r>
      <w:r w:rsidRPr="00C9680B">
        <w:t>lets konstruktion – har valt att skjuta upp beskattningen till en framtida ti</w:t>
      </w:r>
      <w:r w:rsidRPr="00C9680B">
        <w:t>d</w:t>
      </w:r>
      <w:r w:rsidRPr="00C9680B">
        <w:t>punkt är det svårt att förutse storleken på de skatte- respektive avgiftsinbeta</w:t>
      </w:r>
      <w:r w:rsidRPr="00C9680B">
        <w:t>l</w:t>
      </w:r>
      <w:r w:rsidRPr="00C9680B">
        <w:t>ningar som krävs när beskattningen väl utlöses. Om värdet är noll har den anställde gått miste om sin löneförmån. Är värdet stort kan skyldigheten att erlägga arbetsgivaravgifter bli betungande för arbe</w:t>
      </w:r>
      <w:r w:rsidRPr="00C9680B">
        <w:t>tsgivaren. Enligt skatteu</w:t>
      </w:r>
      <w:r w:rsidRPr="00C9680B">
        <w:t>t</w:t>
      </w:r>
      <w:r w:rsidRPr="00C9680B">
        <w:t>skottets mening finns det inte något bärande skäl att beskatta lön i form av optioner efter förmånligare regler än de som gäller för andra löneförmåner. Det är bara inom vissa delar av arbetsmarknaden som den här typen av lön</w:t>
      </w:r>
      <w:r w:rsidRPr="00C9680B">
        <w:t>e</w:t>
      </w:r>
      <w:r w:rsidRPr="00C9680B">
        <w:t>förmåner kan erhållas, och det skulle enligt utskottets mening skapa en i det närmaste ohåll</w:t>
      </w:r>
      <w:r w:rsidRPr="00C9680B">
        <w:softHyphen/>
        <w:t>bar situation om vissa grupper på detta sätt fick en förmånlig</w:t>
      </w:r>
      <w:r w:rsidRPr="00C9680B">
        <w:t>a</w:t>
      </w:r>
      <w:r w:rsidRPr="00C9680B">
        <w:t>re beskattning än andra grupper. Skatteutskottet avstyrker  det aktuella m</w:t>
      </w:r>
      <w:r w:rsidRPr="00C9680B">
        <w:t>o</w:t>
      </w:r>
      <w:r w:rsidRPr="00C9680B">
        <w:t>tions</w:t>
      </w:r>
      <w:r w:rsidRPr="00C9680B">
        <w:softHyphen/>
        <w:t>y</w:t>
      </w:r>
      <w:r w:rsidRPr="00C9680B">
        <w:t>r</w:t>
      </w:r>
      <w:r w:rsidRPr="00C9680B">
        <w:t>kandet.</w:t>
      </w:r>
    </w:p>
    <w:p w:rsidR="001C7BF9" w:rsidRPr="00C9680B" w:rsidRDefault="001C7BF9">
      <w:pPr>
        <w:pStyle w:val="R4"/>
      </w:pPr>
      <w:r w:rsidRPr="00C9680B">
        <w:t>Finansutskott</w:t>
      </w:r>
      <w:r w:rsidRPr="00C9680B">
        <w:t>ets ställningstagande</w:t>
      </w:r>
    </w:p>
    <w:p w:rsidR="001C7BF9" w:rsidRPr="00C9680B" w:rsidRDefault="001C7BF9">
      <w:r w:rsidRPr="00C9680B">
        <w:t>Finansutskottet avstyrker i likhet med skatteutskottet motionerna Sk313 (m) yrkandena 39 och 44 och Sk323 (kd) yrkandena 25, 39 och 47.</w:t>
      </w:r>
    </w:p>
    <w:p w:rsidR="001C7BF9" w:rsidRPr="00C9680B" w:rsidRDefault="001C7BF9">
      <w:pPr>
        <w:pStyle w:val="Utskottetsvervganden-RubrikFrslagspunkt"/>
        <w:outlineLvl w:val="0"/>
      </w:pPr>
      <w:bookmarkStart w:id="275" w:name="_Toc497720052"/>
      <w:bookmarkStart w:id="276" w:name="_Toc498238808"/>
      <w:bookmarkStart w:id="277" w:name="_Toc498910719"/>
      <w:r w:rsidRPr="00C9680B">
        <w:t>3.3.9 Beskattning av sjömän</w:t>
      </w:r>
      <w:bookmarkEnd w:id="275"/>
      <w:bookmarkEnd w:id="276"/>
      <w:bookmarkEnd w:id="277"/>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 xml:space="preserve">Riksdagen bifaller regeringens förslag om en förlängning av den skattefrihet som gäller för svenska sjömän vid arbete på skepp i viss internationell trafik till 2002 års taxering. Motionens förslag avslås. </w:t>
      </w:r>
    </w:p>
    <w:p w:rsidR="001C7BF9" w:rsidRPr="00C9680B" w:rsidRDefault="001C7BF9">
      <w:pPr>
        <w:pStyle w:val="Utskottsfrslagikorthet-Text"/>
      </w:pPr>
      <w:r w:rsidRPr="00C9680B">
        <w:t xml:space="preserve">  Jämför reservation 14 (c).</w:t>
      </w:r>
    </w:p>
    <w:p w:rsidR="001C7BF9" w:rsidRPr="00C9680B" w:rsidRDefault="001C7BF9">
      <w:pPr>
        <w:pStyle w:val="R4"/>
      </w:pPr>
      <w:bookmarkStart w:id="278" w:name="_Toc497206485"/>
      <w:bookmarkStart w:id="279" w:name="_Toc497720054"/>
      <w:r w:rsidRPr="00C9680B">
        <w:t>Budgetpropositionen</w:t>
      </w:r>
      <w:bookmarkEnd w:id="278"/>
      <w:bookmarkEnd w:id="279"/>
    </w:p>
    <w:p w:rsidR="001C7BF9" w:rsidRPr="00C9680B" w:rsidRDefault="001C7BF9">
      <w:r w:rsidRPr="00C9680B">
        <w:t>Regeringen föreslår (avsnitt 9.2.5) att den särskilda övergångsbestämmelsen i artikel 31 punkt 3 i det nordiska skatteavtalet som gäller för i Sverige ob</w:t>
      </w:r>
      <w:r w:rsidRPr="00C9680B">
        <w:t>e</w:t>
      </w:r>
      <w:r w:rsidRPr="00C9680B">
        <w:t>gränsat skatt</w:t>
      </w:r>
      <w:r w:rsidRPr="00C9680B">
        <w:softHyphen/>
        <w:t>skyldiga sjömän som uppbär ersättning för arbete ombord på danskt, färöiskt, finskt, isländskt eller norskt skepp i internationell trafik förlängs att gälla också vid 2002 års taxering och att Sverige avstår från att utnyttja den möj</w:t>
      </w:r>
      <w:r w:rsidRPr="00C9680B">
        <w:softHyphen/>
        <w:t>lighet till beskattning som artikel 26 punkt 2 i avtalet medger för ombord</w:t>
      </w:r>
      <w:r w:rsidRPr="00C9680B">
        <w:softHyphen/>
        <w:t>anställda vid 1999–2002 års taxeringar.</w:t>
      </w:r>
    </w:p>
    <w:p w:rsidR="001C7BF9" w:rsidRPr="00C9680B" w:rsidRDefault="001C7BF9">
      <w:pPr>
        <w:pStyle w:val="Normaltindrag"/>
      </w:pPr>
      <w:r w:rsidRPr="00C9680B">
        <w:t>Regeringen anför att den översyn av fjärrsjöfarten och färjenäringens vill</w:t>
      </w:r>
      <w:r w:rsidRPr="00C9680B">
        <w:softHyphen/>
        <w:t>kor som regeringen nyligen påbörjat bl.a. innefattar att formen för rede</w:t>
      </w:r>
      <w:r w:rsidRPr="00C9680B">
        <w:softHyphen/>
        <w:t>ristö</w:t>
      </w:r>
      <w:r w:rsidRPr="00C9680B">
        <w:softHyphen/>
        <w:t>det – nettostöd eller bruttostöd – skall utredas och att den för svensk del gä</w:t>
      </w:r>
      <w:r w:rsidRPr="00C9680B">
        <w:t>l</w:t>
      </w:r>
      <w:r w:rsidRPr="00C9680B">
        <w:t>lande särskilda treåriga övergångsregeln därför bör utsträckas till att gälla ytterligare ett år, dvs. också vid 2002 års taxering. Vidare bör Sverige avstå från att u</w:t>
      </w:r>
      <w:r w:rsidRPr="00C9680B">
        <w:t>t</w:t>
      </w:r>
      <w:r w:rsidRPr="00C9680B">
        <w:t>nyttja en s.k. subject to tax-regel under hela den period som över</w:t>
      </w:r>
      <w:r w:rsidRPr="00C9680B">
        <w:softHyphen/>
        <w:t>gångsregeln gäller.</w:t>
      </w:r>
    </w:p>
    <w:p w:rsidR="001C7BF9" w:rsidRPr="00C9680B" w:rsidRDefault="001C7BF9">
      <w:pPr>
        <w:pStyle w:val="Utskottetsvervganden-kursivrubrik"/>
        <w:rPr>
          <w:noProof w:val="0"/>
        </w:rPr>
      </w:pPr>
      <w:bookmarkStart w:id="280" w:name="_Toc497206486"/>
      <w:bookmarkStart w:id="281" w:name="_Toc497720055"/>
      <w:bookmarkStart w:id="282" w:name="_Toc498238809"/>
      <w:bookmarkStart w:id="283" w:name="_Toc498763551"/>
      <w:bookmarkStart w:id="284" w:name="_Toc498910720"/>
      <w:r w:rsidRPr="00C9680B">
        <w:rPr>
          <w:noProof w:val="0"/>
        </w:rPr>
        <w:t>Motionen</w:t>
      </w:r>
      <w:bookmarkEnd w:id="280"/>
      <w:bookmarkEnd w:id="281"/>
      <w:bookmarkEnd w:id="282"/>
      <w:bookmarkEnd w:id="283"/>
      <w:bookmarkEnd w:id="284"/>
    </w:p>
    <w:p w:rsidR="001C7BF9" w:rsidRPr="00C9680B" w:rsidRDefault="001C7BF9">
      <w:r w:rsidRPr="00C9680B">
        <w:rPr>
          <w:i/>
        </w:rPr>
        <w:t>Centerpartiet</w:t>
      </w:r>
      <w:r w:rsidRPr="00C9680B">
        <w:t xml:space="preserve"> hemställer i </w:t>
      </w:r>
      <w:r w:rsidRPr="00C9680B">
        <w:rPr>
          <w:i/>
        </w:rPr>
        <w:t>motion Sk321</w:t>
      </w:r>
      <w:r w:rsidRPr="00C9680B">
        <w:t xml:space="preserve"> yrkande 24 av Lennart Daléus m.fl. (c) att riksdagen fattar beslut om att införa ett nettostödssystem, befriat från inkomstskatt och sociala avgifter, för svensk sjöfart.</w:t>
      </w:r>
    </w:p>
    <w:p w:rsidR="001C7BF9" w:rsidRPr="00C9680B" w:rsidRDefault="001C7BF9">
      <w:pPr>
        <w:pStyle w:val="R4"/>
      </w:pPr>
      <w:r w:rsidRPr="00C9680B">
        <w:t>Skatteutskottets yttrande</w:t>
      </w:r>
    </w:p>
    <w:p w:rsidR="001C7BF9" w:rsidRPr="00C9680B" w:rsidRDefault="001C7BF9">
      <w:r w:rsidRPr="00C9680B">
        <w:t>Skatteutskottet har i sitt yttrande (SkU1y) inte funnit någon anledning till erinran mot regeringens förslag om en förlängning av övergångsreglerna om skattefrihet för svenska sjömän som arbetar ombord på viss internationell trafik och tillsty</w:t>
      </w:r>
      <w:r w:rsidRPr="00C9680B">
        <w:t>r</w:t>
      </w:r>
      <w:r w:rsidRPr="00C9680B">
        <w:t>ker därför propo</w:t>
      </w:r>
      <w:r w:rsidRPr="00C9680B">
        <w:softHyphen/>
        <w:t xml:space="preserve">sitionen i denna del. </w:t>
      </w:r>
    </w:p>
    <w:p w:rsidR="001C7BF9" w:rsidRPr="00C9680B" w:rsidRDefault="001C7BF9">
      <w:pPr>
        <w:pStyle w:val="Normaltindrag"/>
      </w:pPr>
      <w:r w:rsidRPr="00C9680B">
        <w:t>När det gäller sjöfartsnäringen anför skatteutskottet att regeringen nyligen har påbörjat en översyn av fjärrsjöfarten och färje</w:t>
      </w:r>
      <w:r w:rsidRPr="00C9680B">
        <w:softHyphen/>
        <w:t>näringens villkor som bl.a. innefattar formen för rederistödet – nettostöd eller bruttostöd, att målet är att ge den svenska sjöfarten likvärdiga konkurrens</w:t>
      </w:r>
      <w:r w:rsidRPr="00C9680B">
        <w:softHyphen/>
        <w:t>villkor och att avsikten är att ett nytt stödsystem skall kunna träda i kraft den 1 januari 2002. Mot denna bakgrund finns det enligt skatteutskot</w:t>
      </w:r>
      <w:r w:rsidRPr="00C9680B">
        <w:softHyphen/>
        <w:t>tets mening inte någon anledning för riksdagen att nu ta ställning till den närmare utformningen av ett sådant stöd, och utskottet avstyrker därför motionsy</w:t>
      </w:r>
      <w:r w:rsidRPr="00C9680B">
        <w:t>r</w:t>
      </w:r>
      <w:r w:rsidRPr="00C9680B">
        <w:t>kandet.</w:t>
      </w:r>
    </w:p>
    <w:p w:rsidR="001C7BF9" w:rsidRPr="00C9680B" w:rsidRDefault="001C7BF9">
      <w:pPr>
        <w:pStyle w:val="R4"/>
      </w:pPr>
      <w:r w:rsidRPr="00C9680B">
        <w:t>Socialförsäkringsutskottets yttrande</w:t>
      </w:r>
    </w:p>
    <w:p w:rsidR="001C7BF9" w:rsidRPr="00C9680B" w:rsidRDefault="001C7BF9">
      <w:r w:rsidRPr="00C9680B">
        <w:t>Socialförsäkringsutskottet tar i sitt yttrande (SfU1y) upp förslaget om ett nettostöd till svensk sjöfart. Utskottet noterar att regeringen i proposition 2000/01:8 om ny socialavgiftslag föreslår att de särskilda regler om sjukfö</w:t>
      </w:r>
      <w:r w:rsidRPr="00C9680B">
        <w:t>r</w:t>
      </w:r>
      <w:r w:rsidRPr="00C9680B">
        <w:t>säkringsavgift, arbetsmarknadsavgift och sjömanspensionsavgift som gäller för redare skall avskaffas och konstaterar att det av budgetpropositionen framgår att regeringen nyligen påbörjat en total översyn av lastsjöfartens och färjetrafikens villkor och avser att lägga fram ett förslag som kan träda i kraft den 1 januari 2002. Socia</w:t>
      </w:r>
      <w:r w:rsidRPr="00C9680B">
        <w:t>l</w:t>
      </w:r>
      <w:r w:rsidRPr="00C9680B">
        <w:t>försäkringsutskottet avstyrker motionsyrkandet.</w:t>
      </w:r>
    </w:p>
    <w:p w:rsidR="001C7BF9" w:rsidRPr="00C9680B" w:rsidRDefault="001C7BF9">
      <w:pPr>
        <w:pStyle w:val="R4"/>
      </w:pPr>
      <w:r w:rsidRPr="00C9680B">
        <w:t>Finansutskottets ställningstagande</w:t>
      </w:r>
    </w:p>
    <w:p w:rsidR="001C7BF9" w:rsidRPr="00C9680B" w:rsidRDefault="001C7BF9">
      <w:r w:rsidRPr="00C9680B">
        <w:t>Finansutskottet tillstyrker i likhet med skatteutskottet propositionens förslag om beskattning av sjömän och avstyrker i likhet med skatteutskottet och socialfö</w:t>
      </w:r>
      <w:r w:rsidRPr="00C9680B">
        <w:t>r</w:t>
      </w:r>
      <w:r w:rsidRPr="00C9680B">
        <w:t>säkringsutskottet motion Sk321 (c) yrkande 24.</w:t>
      </w:r>
    </w:p>
    <w:p w:rsidR="001C7BF9" w:rsidRPr="00C9680B" w:rsidRDefault="001C7BF9">
      <w:pPr>
        <w:pStyle w:val="Rubrik1b"/>
        <w:outlineLvl w:val="0"/>
      </w:pPr>
      <w:bookmarkStart w:id="285" w:name="_Toc497720057"/>
      <w:bookmarkStart w:id="286" w:name="_Toc498238810"/>
      <w:bookmarkStart w:id="287" w:name="_Toc498910721"/>
      <w:r w:rsidRPr="00C9680B">
        <w:t>3.4 Juridiska personers inkomster</w:t>
      </w:r>
      <w:bookmarkEnd w:id="285"/>
      <w:bookmarkEnd w:id="286"/>
      <w:bookmarkEnd w:id="287"/>
    </w:p>
    <w:p w:rsidR="001C7BF9" w:rsidRPr="00C9680B" w:rsidRDefault="001C7BF9"/>
    <w:tbl>
      <w:tblPr>
        <w:tblW w:w="0" w:type="auto"/>
        <w:tblInd w:w="-30" w:type="dxa"/>
        <w:tblLayout w:type="fixed"/>
        <w:tblCellMar>
          <w:left w:w="30" w:type="dxa"/>
          <w:right w:w="30" w:type="dxa"/>
        </w:tblCellMar>
        <w:tblLook w:val="0000" w:firstRow="0" w:lastRow="0" w:firstColumn="0" w:lastColumn="0" w:noHBand="0" w:noVBand="0"/>
      </w:tblPr>
      <w:tblGrid>
        <w:gridCol w:w="456"/>
        <w:gridCol w:w="567"/>
        <w:gridCol w:w="1899"/>
        <w:gridCol w:w="85"/>
        <w:gridCol w:w="908"/>
        <w:gridCol w:w="708"/>
        <w:gridCol w:w="709"/>
        <w:gridCol w:w="567"/>
        <w:gridCol w:w="709"/>
      </w:tblGrid>
      <w:tr w:rsidR="00000000" w:rsidRPr="00C9680B">
        <w:tblPrEx>
          <w:tblCellMar>
            <w:top w:w="0" w:type="dxa"/>
            <w:bottom w:w="0" w:type="dxa"/>
          </w:tblCellMar>
        </w:tblPrEx>
        <w:trPr>
          <w:cantSplit/>
          <w:trHeight w:val="180"/>
        </w:trPr>
        <w:tc>
          <w:tcPr>
            <w:tcW w:w="6608" w:type="dxa"/>
            <w:gridSpan w:val="9"/>
            <w:tcBorders>
              <w:bottom w:val="single" w:sz="4" w:space="0" w:color="auto"/>
            </w:tcBorders>
          </w:tcPr>
          <w:p w:rsidR="001C7BF9" w:rsidRPr="00C9680B" w:rsidRDefault="001C7BF9">
            <w:pPr>
              <w:spacing w:before="40" w:line="180" w:lineRule="exact"/>
              <w:jc w:val="left"/>
              <w:rPr>
                <w:b/>
                <w:snapToGrid w:val="0"/>
                <w:color w:val="000000"/>
                <w:sz w:val="17"/>
                <w:lang w:eastAsia="sv-SE"/>
              </w:rPr>
            </w:pPr>
            <w:r w:rsidRPr="00C9680B">
              <w:rPr>
                <w:b/>
                <w:snapToGrid w:val="0"/>
                <w:color w:val="000000"/>
                <w:sz w:val="17"/>
                <w:lang w:eastAsia="sv-SE"/>
              </w:rPr>
              <w:t>Tabell 36. Inkomsttitel 1121 Juridiska personers inkomster</w:t>
            </w:r>
          </w:p>
          <w:p w:rsidR="001C7BF9" w:rsidRPr="00C9680B" w:rsidRDefault="001C7BF9">
            <w:pPr>
              <w:pStyle w:val="Normaltindrag"/>
              <w:ind w:firstLine="0"/>
              <w:rPr>
                <w:sz w:val="14"/>
              </w:rPr>
            </w:pPr>
            <w:r w:rsidRPr="00C9680B">
              <w:rPr>
                <w:sz w:val="14"/>
              </w:rPr>
              <w:t>Miljoner kronor</w:t>
            </w:r>
          </w:p>
        </w:tc>
      </w:tr>
      <w:tr w:rsidR="00000000" w:rsidRPr="00C9680B">
        <w:tblPrEx>
          <w:tblCellMar>
            <w:top w:w="0" w:type="dxa"/>
            <w:bottom w:w="0" w:type="dxa"/>
          </w:tblCellMar>
        </w:tblPrEx>
        <w:trPr>
          <w:cantSplit/>
          <w:trHeight w:val="180"/>
        </w:trPr>
        <w:tc>
          <w:tcPr>
            <w:tcW w:w="2922" w:type="dxa"/>
            <w:gridSpan w:val="3"/>
          </w:tcPr>
          <w:p w:rsidR="001C7BF9" w:rsidRPr="00C9680B" w:rsidRDefault="001C7BF9">
            <w:pPr>
              <w:spacing w:before="40" w:line="180" w:lineRule="exact"/>
              <w:rPr>
                <w:snapToGrid w:val="0"/>
                <w:color w:val="000000"/>
                <w:sz w:val="17"/>
                <w:lang w:eastAsia="sv-SE"/>
              </w:rPr>
            </w:pPr>
          </w:p>
        </w:tc>
        <w:tc>
          <w:tcPr>
            <w:tcW w:w="993" w:type="dxa"/>
            <w:gridSpan w:val="2"/>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Reg</w:t>
            </w:r>
            <w:r w:rsidRPr="00C9680B">
              <w:rPr>
                <w:b/>
                <w:snapToGrid w:val="0"/>
                <w:color w:val="000000"/>
                <w:sz w:val="17"/>
                <w:lang w:eastAsia="sv-SE"/>
              </w:rPr>
              <w:t>e</w:t>
            </w:r>
            <w:r w:rsidRPr="00C9680B">
              <w:rPr>
                <w:b/>
                <w:snapToGrid w:val="0"/>
                <w:color w:val="000000"/>
                <w:sz w:val="17"/>
                <w:lang w:eastAsia="sv-SE"/>
              </w:rPr>
              <w:t>ringens</w:t>
            </w:r>
          </w:p>
        </w:tc>
        <w:tc>
          <w:tcPr>
            <w:tcW w:w="2693" w:type="dxa"/>
            <w:gridSpan w:val="4"/>
            <w:tcBorders>
              <w:bottom w:val="single" w:sz="6" w:space="0" w:color="auto"/>
            </w:tcBorders>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Avvikelser från regeringens förslag</w:t>
            </w:r>
          </w:p>
        </w:tc>
      </w:tr>
      <w:tr w:rsidR="00000000" w:rsidRPr="00C9680B">
        <w:tblPrEx>
          <w:tblCellMar>
            <w:top w:w="0" w:type="dxa"/>
            <w:bottom w:w="0" w:type="dxa"/>
          </w:tblCellMar>
        </w:tblPrEx>
        <w:trPr>
          <w:trHeight w:val="180"/>
        </w:trPr>
        <w:tc>
          <w:tcPr>
            <w:tcW w:w="1023" w:type="dxa"/>
            <w:gridSpan w:val="2"/>
            <w:tcBorders>
              <w:bottom w:val="single" w:sz="4" w:space="0" w:color="auto"/>
            </w:tcBorders>
          </w:tcPr>
          <w:p w:rsidR="001C7BF9" w:rsidRPr="00C9680B" w:rsidRDefault="001C7BF9">
            <w:pPr>
              <w:spacing w:before="40" w:line="180" w:lineRule="exact"/>
              <w:rPr>
                <w:snapToGrid w:val="0"/>
                <w:color w:val="000000"/>
                <w:sz w:val="17"/>
                <w:lang w:eastAsia="sv-SE"/>
              </w:rPr>
            </w:pPr>
            <w:r w:rsidRPr="00C9680B">
              <w:rPr>
                <w:snapToGrid w:val="0"/>
                <w:color w:val="000000"/>
                <w:sz w:val="17"/>
                <w:lang w:eastAsia="sv-SE"/>
              </w:rPr>
              <w:t>Inkomstt</w:t>
            </w:r>
            <w:r w:rsidRPr="00C9680B">
              <w:rPr>
                <w:snapToGrid w:val="0"/>
                <w:color w:val="000000"/>
                <w:sz w:val="17"/>
                <w:lang w:eastAsia="sv-SE"/>
              </w:rPr>
              <w:t>i</w:t>
            </w:r>
            <w:r w:rsidRPr="00C9680B">
              <w:rPr>
                <w:snapToGrid w:val="0"/>
                <w:color w:val="000000"/>
                <w:sz w:val="17"/>
                <w:lang w:eastAsia="sv-SE"/>
              </w:rPr>
              <w:t>tel</w:t>
            </w:r>
          </w:p>
        </w:tc>
        <w:tc>
          <w:tcPr>
            <w:tcW w:w="1899"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993" w:type="dxa"/>
            <w:gridSpan w:val="2"/>
            <w:tcBorders>
              <w:bottom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förslag</w:t>
            </w:r>
          </w:p>
        </w:tc>
        <w:tc>
          <w:tcPr>
            <w:tcW w:w="708" w:type="dxa"/>
            <w:tcBorders>
              <w:bottom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m</w:t>
            </w:r>
          </w:p>
        </w:tc>
        <w:tc>
          <w:tcPr>
            <w:tcW w:w="709" w:type="dxa"/>
            <w:tcBorders>
              <w:bottom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kd</w:t>
            </w:r>
          </w:p>
        </w:tc>
        <w:tc>
          <w:tcPr>
            <w:tcW w:w="567" w:type="dxa"/>
            <w:tcBorders>
              <w:bottom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c</w:t>
            </w:r>
          </w:p>
        </w:tc>
        <w:tc>
          <w:tcPr>
            <w:tcW w:w="709" w:type="dxa"/>
            <w:tcBorders>
              <w:bottom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fp</w:t>
            </w:r>
          </w:p>
        </w:tc>
      </w:tr>
      <w:tr w:rsidR="00000000" w:rsidRPr="00C9680B">
        <w:tblPrEx>
          <w:tblCellMar>
            <w:top w:w="0" w:type="dxa"/>
            <w:bottom w:w="0" w:type="dxa"/>
          </w:tblCellMar>
        </w:tblPrEx>
        <w:trPr>
          <w:trHeight w:val="180"/>
        </w:trPr>
        <w:tc>
          <w:tcPr>
            <w:tcW w:w="456"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1121</w:t>
            </w:r>
          </w:p>
        </w:tc>
        <w:tc>
          <w:tcPr>
            <w:tcW w:w="2551" w:type="dxa"/>
            <w:gridSpan w:val="3"/>
          </w:tcPr>
          <w:p w:rsidR="001C7BF9" w:rsidRPr="00C9680B" w:rsidRDefault="001C7BF9">
            <w:pPr>
              <w:spacing w:before="80" w:line="180" w:lineRule="exact"/>
              <w:rPr>
                <w:b/>
                <w:snapToGrid w:val="0"/>
                <w:color w:val="000000"/>
                <w:sz w:val="17"/>
                <w:lang w:eastAsia="sv-SE"/>
              </w:rPr>
            </w:pPr>
            <w:r w:rsidRPr="00C9680B">
              <w:rPr>
                <w:b/>
                <w:snapToGrid w:val="0"/>
                <w:color w:val="000000"/>
                <w:sz w:val="17"/>
                <w:lang w:eastAsia="sv-SE"/>
              </w:rPr>
              <w:t>Juridiska personers inkoms</w:t>
            </w:r>
            <w:r w:rsidRPr="00C9680B">
              <w:rPr>
                <w:b/>
                <w:snapToGrid w:val="0"/>
                <w:color w:val="000000"/>
                <w:sz w:val="17"/>
                <w:lang w:eastAsia="sv-SE"/>
              </w:rPr>
              <w:t>t</w:t>
            </w:r>
            <w:r w:rsidRPr="00C9680B">
              <w:rPr>
                <w:b/>
                <w:snapToGrid w:val="0"/>
                <w:color w:val="000000"/>
                <w:sz w:val="17"/>
                <w:lang w:eastAsia="sv-SE"/>
              </w:rPr>
              <w:t>skatt</w:t>
            </w:r>
          </w:p>
        </w:tc>
        <w:tc>
          <w:tcPr>
            <w:tcW w:w="908"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76 422</w:t>
            </w:r>
          </w:p>
        </w:tc>
        <w:tc>
          <w:tcPr>
            <w:tcW w:w="708"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-100</w:t>
            </w:r>
          </w:p>
        </w:tc>
        <w:tc>
          <w:tcPr>
            <w:tcW w:w="709" w:type="dxa"/>
          </w:tcPr>
          <w:p w:rsidR="001C7BF9" w:rsidRPr="00C9680B" w:rsidRDefault="001C7BF9">
            <w:pPr>
              <w:spacing w:before="80" w:line="180" w:lineRule="exact"/>
              <w:jc w:val="right"/>
              <w:rPr>
                <w:b/>
                <w:snapToGrid w:val="0"/>
                <w:color w:val="000000"/>
                <w:sz w:val="17"/>
                <w:lang w:eastAsia="sv-SE"/>
              </w:rPr>
            </w:pPr>
          </w:p>
        </w:tc>
        <w:tc>
          <w:tcPr>
            <w:tcW w:w="567" w:type="dxa"/>
          </w:tcPr>
          <w:p w:rsidR="001C7BF9" w:rsidRPr="00C9680B" w:rsidRDefault="001C7BF9">
            <w:pPr>
              <w:spacing w:before="80" w:line="180" w:lineRule="exact"/>
              <w:jc w:val="right"/>
              <w:rPr>
                <w:b/>
                <w:snapToGrid w:val="0"/>
                <w:color w:val="000000"/>
                <w:sz w:val="17"/>
                <w:lang w:eastAsia="sv-SE"/>
              </w:rPr>
            </w:pPr>
          </w:p>
        </w:tc>
        <w:tc>
          <w:tcPr>
            <w:tcW w:w="709"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-1 110</w:t>
            </w:r>
          </w:p>
        </w:tc>
      </w:tr>
      <w:tr w:rsidR="00000000" w:rsidRPr="00C9680B">
        <w:tblPrEx>
          <w:tblCellMar>
            <w:top w:w="0" w:type="dxa"/>
            <w:bottom w:w="0" w:type="dxa"/>
          </w:tblCellMar>
        </w:tblPrEx>
        <w:trPr>
          <w:trHeight w:val="180"/>
        </w:trPr>
        <w:tc>
          <w:tcPr>
            <w:tcW w:w="456" w:type="dxa"/>
          </w:tcPr>
          <w:p w:rsidR="001C7BF9" w:rsidRPr="00C9680B" w:rsidRDefault="001C7BF9">
            <w:pPr>
              <w:spacing w:before="40" w:line="180" w:lineRule="exact"/>
              <w:jc w:val="right"/>
              <w:rPr>
                <w:snapToGrid w:val="0"/>
                <w:color w:val="000000"/>
                <w:sz w:val="17"/>
                <w:lang w:eastAsia="sv-SE"/>
              </w:rPr>
            </w:pPr>
          </w:p>
        </w:tc>
        <w:tc>
          <w:tcPr>
            <w:tcW w:w="2551" w:type="dxa"/>
            <w:gridSpan w:val="3"/>
          </w:tcPr>
          <w:p w:rsidR="001C7BF9" w:rsidRPr="00C9680B" w:rsidRDefault="001C7BF9">
            <w:pPr>
              <w:spacing w:before="40" w:line="180" w:lineRule="exact"/>
              <w:rPr>
                <w:snapToGrid w:val="0"/>
                <w:color w:val="000000"/>
                <w:sz w:val="17"/>
                <w:lang w:eastAsia="sv-SE"/>
              </w:rPr>
            </w:pPr>
            <w:r w:rsidRPr="00C9680B">
              <w:rPr>
                <w:snapToGrid w:val="0"/>
                <w:color w:val="000000"/>
                <w:sz w:val="17"/>
                <w:lang w:eastAsia="sv-SE"/>
              </w:rPr>
              <w:t>Lägre skatt fåmansbolag</w:t>
            </w:r>
          </w:p>
        </w:tc>
        <w:tc>
          <w:tcPr>
            <w:tcW w:w="908"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567"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-1 110</w:t>
            </w:r>
          </w:p>
        </w:tc>
      </w:tr>
      <w:tr w:rsidR="00000000" w:rsidRPr="00C9680B">
        <w:tblPrEx>
          <w:tblCellMar>
            <w:top w:w="0" w:type="dxa"/>
            <w:bottom w:w="0" w:type="dxa"/>
          </w:tblCellMar>
        </w:tblPrEx>
        <w:trPr>
          <w:trHeight w:val="180"/>
        </w:trPr>
        <w:tc>
          <w:tcPr>
            <w:tcW w:w="456" w:type="dxa"/>
          </w:tcPr>
          <w:p w:rsidR="001C7BF9" w:rsidRPr="00C9680B" w:rsidRDefault="001C7BF9">
            <w:pPr>
              <w:spacing w:before="40" w:line="180" w:lineRule="exact"/>
              <w:jc w:val="right"/>
              <w:rPr>
                <w:snapToGrid w:val="0"/>
                <w:color w:val="000000"/>
                <w:sz w:val="17"/>
                <w:lang w:eastAsia="sv-SE"/>
              </w:rPr>
            </w:pPr>
          </w:p>
        </w:tc>
        <w:tc>
          <w:tcPr>
            <w:tcW w:w="2551" w:type="dxa"/>
            <w:gridSpan w:val="3"/>
          </w:tcPr>
          <w:p w:rsidR="001C7BF9" w:rsidRPr="00C9680B" w:rsidRDefault="001C7BF9">
            <w:pPr>
              <w:spacing w:before="40" w:line="180" w:lineRule="exact"/>
              <w:rPr>
                <w:snapToGrid w:val="0"/>
                <w:color w:val="000000"/>
                <w:sz w:val="17"/>
                <w:lang w:eastAsia="sv-SE"/>
              </w:rPr>
            </w:pPr>
            <w:r w:rsidRPr="00C9680B">
              <w:rPr>
                <w:snapToGrid w:val="0"/>
                <w:color w:val="000000"/>
                <w:sz w:val="17"/>
                <w:lang w:eastAsia="sv-SE"/>
              </w:rPr>
              <w:t>Höjd bolagsskatt 30 %</w:t>
            </w:r>
          </w:p>
        </w:tc>
        <w:tc>
          <w:tcPr>
            <w:tcW w:w="908"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±0</w:t>
            </w:r>
          </w:p>
        </w:tc>
        <w:tc>
          <w:tcPr>
            <w:tcW w:w="567"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r>
      <w:tr w:rsidR="00000000" w:rsidRPr="00C9680B">
        <w:tblPrEx>
          <w:tblCellMar>
            <w:top w:w="0" w:type="dxa"/>
            <w:bottom w:w="0" w:type="dxa"/>
          </w:tblCellMar>
        </w:tblPrEx>
        <w:trPr>
          <w:trHeight w:val="180"/>
        </w:trPr>
        <w:tc>
          <w:tcPr>
            <w:tcW w:w="456"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2551" w:type="dxa"/>
            <w:gridSpan w:val="3"/>
            <w:tcBorders>
              <w:bottom w:val="single" w:sz="4" w:space="0" w:color="auto"/>
            </w:tcBorders>
          </w:tcPr>
          <w:p w:rsidR="001C7BF9" w:rsidRPr="00C9680B" w:rsidRDefault="001C7BF9">
            <w:pPr>
              <w:spacing w:before="40" w:line="180" w:lineRule="exact"/>
              <w:rPr>
                <w:snapToGrid w:val="0"/>
                <w:color w:val="000000"/>
                <w:sz w:val="17"/>
                <w:lang w:eastAsia="sv-SE"/>
              </w:rPr>
            </w:pPr>
            <w:r w:rsidRPr="00C9680B">
              <w:rPr>
                <w:snapToGrid w:val="0"/>
                <w:color w:val="000000"/>
                <w:sz w:val="17"/>
                <w:lang w:eastAsia="sv-SE"/>
              </w:rPr>
              <w:t>Reserv</w:t>
            </w:r>
          </w:p>
        </w:tc>
        <w:tc>
          <w:tcPr>
            <w:tcW w:w="908"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708"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-100</w:t>
            </w:r>
          </w:p>
        </w:tc>
        <w:tc>
          <w:tcPr>
            <w:tcW w:w="709"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567"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709"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r>
    </w:tbl>
    <w:p w:rsidR="001C7BF9" w:rsidRPr="00C9680B" w:rsidRDefault="001C7BF9"/>
    <w:p w:rsidR="001C7BF9" w:rsidRPr="00C9680B" w:rsidRDefault="001C7BF9">
      <w:pPr>
        <w:pStyle w:val="Utskottetsvervganden-RubrikFrslagspunkt"/>
        <w:spacing w:before="125"/>
        <w:outlineLvl w:val="0"/>
      </w:pPr>
      <w:bookmarkStart w:id="288" w:name="_Toc497720058"/>
      <w:bookmarkStart w:id="289" w:name="_Toc498238811"/>
      <w:bookmarkStart w:id="290" w:name="_Toc498910722"/>
      <w:r w:rsidRPr="00C9680B">
        <w:t>3.4.1 Företagsbeskattning</w:t>
      </w:r>
      <w:bookmarkEnd w:id="288"/>
      <w:bookmarkEnd w:id="289"/>
      <w:bookmarkEnd w:id="290"/>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avslår motionsförslagen om ändrade regler för lön till make, lön till barn, beskattning av förbjudna lån och avdrag för pe</w:t>
      </w:r>
      <w:r w:rsidRPr="00C9680B">
        <w:t>r</w:t>
      </w:r>
      <w:r w:rsidRPr="00C9680B">
        <w:t>sonalavvecklingskostnader när det gäller fåmansföretag. Riks</w:t>
      </w:r>
      <w:r w:rsidRPr="00C9680B">
        <w:softHyphen/>
        <w:t>dagen avstyrker motionsförslaget om ett tillkännagivande om inriktningen av 3:12-utredningen. Riksdagen avslår motionsförsla</w:t>
      </w:r>
      <w:r w:rsidRPr="00C9680B">
        <w:softHyphen/>
        <w:t>gen om sl</w:t>
      </w:r>
      <w:r w:rsidRPr="00C9680B">
        <w:t>o</w:t>
      </w:r>
      <w:r w:rsidRPr="00C9680B">
        <w:t>pande av möjligheten till återköp av aktier och om höj</w:t>
      </w:r>
      <w:r w:rsidRPr="00C9680B">
        <w:softHyphen/>
        <w:t>ning av ska</w:t>
      </w:r>
      <w:r w:rsidRPr="00C9680B">
        <w:t>t</w:t>
      </w:r>
      <w:r w:rsidRPr="00C9680B">
        <w:t>ten på bola</w:t>
      </w:r>
      <w:r w:rsidRPr="00C9680B">
        <w:t>g</w:t>
      </w:r>
      <w:r w:rsidRPr="00C9680B">
        <w:t>sinkomster till 30 %.</w:t>
      </w:r>
    </w:p>
    <w:p w:rsidR="001C7BF9" w:rsidRPr="00C9680B" w:rsidRDefault="001C7BF9">
      <w:pPr>
        <w:pStyle w:val="Utskottsfrslagikorthet-Text"/>
      </w:pPr>
      <w:r w:rsidRPr="00C9680B">
        <w:t xml:space="preserve">  Jämför reservationerna 12 (m), 13 (kd) och 15 (fp).</w:t>
      </w:r>
    </w:p>
    <w:p w:rsidR="001C7BF9" w:rsidRPr="00C9680B" w:rsidRDefault="001C7BF9">
      <w:pPr>
        <w:pStyle w:val="R4"/>
      </w:pPr>
      <w:bookmarkStart w:id="291" w:name="_Toc497206491"/>
      <w:bookmarkStart w:id="292" w:name="_Toc497720060"/>
      <w:r w:rsidRPr="00C9680B">
        <w:t>Motionerna</w:t>
      </w:r>
      <w:bookmarkEnd w:id="291"/>
      <w:bookmarkEnd w:id="292"/>
    </w:p>
    <w:p w:rsidR="001C7BF9" w:rsidRPr="00C9680B" w:rsidRDefault="001C7BF9">
      <w:r w:rsidRPr="00C9680B">
        <w:rPr>
          <w:i/>
        </w:rPr>
        <w:t>Moderata samlingspartiet</w:t>
      </w:r>
      <w:r w:rsidRPr="00C9680B">
        <w:t xml:space="preserve"> föreslår i </w:t>
      </w:r>
      <w:r w:rsidRPr="00C9680B">
        <w:rPr>
          <w:i/>
        </w:rPr>
        <w:t>motion Sk313</w:t>
      </w:r>
      <w:r w:rsidRPr="00C9680B">
        <w:t xml:space="preserve"> yrkande 45 av Carl Fredrik Graf m.fl. (m) att särbehandlingen av små- och egenföretagare och deras familjer slopas vid beskattningen. </w:t>
      </w:r>
    </w:p>
    <w:p w:rsidR="001C7BF9" w:rsidRPr="00C9680B" w:rsidRDefault="001C7BF9">
      <w:r w:rsidRPr="00C9680B">
        <w:rPr>
          <w:i/>
        </w:rPr>
        <w:t>Folkpartiet liberalerna</w:t>
      </w:r>
      <w:r w:rsidRPr="00C9680B">
        <w:t xml:space="preserve"> föreslår i </w:t>
      </w:r>
      <w:r w:rsidRPr="00C9680B">
        <w:rPr>
          <w:i/>
        </w:rPr>
        <w:t>motion Sk324</w:t>
      </w:r>
      <w:r w:rsidRPr="00C9680B">
        <w:t xml:space="preserve"> yrkande 18 av Lars Leijo</w:t>
      </w:r>
      <w:r w:rsidRPr="00C9680B">
        <w:t>n</w:t>
      </w:r>
      <w:r w:rsidRPr="00C9680B">
        <w:t>borg m.fl. (fp) att särreglerna om lön till fåmansföretagares make och barn under 16 år skall slopas, liksom det särskilda låneförbudet och för</w:t>
      </w:r>
      <w:r w:rsidRPr="00C9680B">
        <w:softHyphen/>
        <w:t>budet att göra avdrag för personalavvecklingskostnader. Vidare anför motio</w:t>
      </w:r>
      <w:r w:rsidRPr="00C9680B">
        <w:softHyphen/>
        <w:t>närerna att det är viktigt att utredningen av de s.k. 3:12-reglerna belyser möj</w:t>
      </w:r>
      <w:r w:rsidRPr="00C9680B">
        <w:softHyphen/>
        <w:t>ligheten att låta utdelning till en aktiv ägare i fåmansbolag anses som kapi</w:t>
      </w:r>
      <w:r w:rsidRPr="00C9680B">
        <w:softHyphen/>
        <w:t>talinkomst om ägaren tagit ut en lön som minst motsvarar den som en anställd kollega i</w:t>
      </w:r>
      <w:r w:rsidRPr="00C9680B">
        <w:t xml:space="preserve"> samma yrke har.</w:t>
      </w:r>
    </w:p>
    <w:p w:rsidR="001C7BF9" w:rsidRPr="00C9680B" w:rsidRDefault="001C7BF9">
      <w:r w:rsidRPr="00C9680B">
        <w:rPr>
          <w:i/>
        </w:rPr>
        <w:t>Kristdemokraterna</w:t>
      </w:r>
      <w:r w:rsidRPr="00C9680B">
        <w:t xml:space="preserve"> föreslår i </w:t>
      </w:r>
      <w:r w:rsidRPr="00C9680B">
        <w:rPr>
          <w:i/>
        </w:rPr>
        <w:t>motion Sk323</w:t>
      </w:r>
      <w:r w:rsidRPr="00C9680B">
        <w:t xml:space="preserve"> av Alf Svensson m.fl. (kd) att möjligheten till återköp av aktier slopas (yrkande 36) och att bolagsskatten höjs till 30 % (yrkande 37).</w:t>
      </w:r>
    </w:p>
    <w:p w:rsidR="001C7BF9" w:rsidRPr="00C9680B" w:rsidRDefault="001C7BF9">
      <w:pPr>
        <w:pStyle w:val="R4"/>
      </w:pPr>
      <w:r w:rsidRPr="00C9680B">
        <w:t>Skatteutskottets yttrande</w:t>
      </w:r>
    </w:p>
    <w:p w:rsidR="001C7BF9" w:rsidRPr="00C9680B" w:rsidRDefault="001C7BF9">
      <w:r w:rsidRPr="00C9680B">
        <w:t>Skatteutskottet anför (SkU1y) att bestämmelserna om lön till företagsledares make och barn har behandlats av Stoppregelutredningen som föreslagit att bestämmel</w:t>
      </w:r>
      <w:r w:rsidRPr="00C9680B">
        <w:softHyphen/>
        <w:t>sen om lön till make slopas och att regeringen ser över dessa regler i anslutning till beredningen av ett förslag från Redovisningskommittén där motsvarande regler för enskild närings</w:t>
      </w:r>
      <w:r w:rsidRPr="00C9680B">
        <w:softHyphen/>
        <w:t>verk</w:t>
      </w:r>
      <w:r w:rsidRPr="00C9680B">
        <w:softHyphen/>
        <w:t>samhet tagits upp. På samma sätt som när motsvarande fråga väcktes i anslutning till att stoppreglerna slopades under hösten 2000 (prop. 1999/2000:5, bet. 1999/2000:SkU5) anser utskottet att resu</w:t>
      </w:r>
      <w:r w:rsidRPr="00C9680B">
        <w:t>l</w:t>
      </w:r>
      <w:r w:rsidRPr="00C9680B">
        <w:t>tatet av den pågående översynen bör avvaktas.</w:t>
      </w:r>
    </w:p>
    <w:p w:rsidR="001C7BF9" w:rsidRPr="00C9680B" w:rsidRDefault="001C7BF9">
      <w:pPr>
        <w:pStyle w:val="Normaltindrag"/>
      </w:pPr>
      <w:r w:rsidRPr="00C9680B">
        <w:t>När det gäller aktiebolagslagens låneförbud anför skatteutskottet att detta komp</w:t>
      </w:r>
      <w:r w:rsidRPr="00C9680B">
        <w:t>letteras av en särskild skatteregel som innebär att lån som tagits i strid med förbudet skall beskattas som inkomst av tjänst hos mottagaren och lån</w:t>
      </w:r>
      <w:r w:rsidRPr="00C9680B">
        <w:t>e</w:t>
      </w:r>
      <w:r w:rsidRPr="00C9680B">
        <w:t>förbudet enligt utskottets bedömning inte kan upprätthållas enbart med stöd av aktie</w:t>
      </w:r>
      <w:r w:rsidRPr="00C9680B">
        <w:softHyphen/>
        <w:t>bolagslagens sanktionssystem. Utskottet är därför inte berett att til</w:t>
      </w:r>
      <w:r w:rsidRPr="00C9680B">
        <w:t>l</w:t>
      </w:r>
      <w:r w:rsidRPr="00C9680B">
        <w:t>styrka att denna skatteregel sl</w:t>
      </w:r>
      <w:r w:rsidRPr="00C9680B">
        <w:t>o</w:t>
      </w:r>
      <w:r w:rsidRPr="00C9680B">
        <w:t>pas.</w:t>
      </w:r>
    </w:p>
    <w:p w:rsidR="001C7BF9" w:rsidRPr="00C9680B" w:rsidRDefault="001C7BF9">
      <w:pPr>
        <w:pStyle w:val="Normaltindrag"/>
      </w:pPr>
      <w:r w:rsidRPr="00C9680B">
        <w:t>När det gäller personalavveckling anför skatteutskottet att den som är eller riskerar att bli arbetslös på grund av omstrukturering, personalavveck</w:t>
      </w:r>
      <w:r w:rsidRPr="00C9680B">
        <w:softHyphen/>
        <w:t>ling eller liknande i arbetsgivarens verksamhet är befriad från förmånsbeskatt</w:t>
      </w:r>
      <w:r w:rsidRPr="00C9680B">
        <w:softHyphen/>
        <w:t>ning (prop. 1995/96:152, bet. 1995/96:SkU25) men att skattefriheten inte gäller för för</w:t>
      </w:r>
      <w:r w:rsidRPr="00C9680B">
        <w:softHyphen/>
        <w:t>mån från fåmansföretag eller fåmansägt handelsbolag om den anställde är företagsledare eller delägare i företaget eller närstående till sådan person. Motsvarande begränsningar gäller för enskild näringsverksamhet. Enligt skatteutskottets mening bör det vid en bedömning av befrielsen från förmån</w:t>
      </w:r>
      <w:r w:rsidRPr="00C9680B">
        <w:t>s</w:t>
      </w:r>
      <w:r w:rsidRPr="00C9680B">
        <w:t>beskattning i detta fall beaktas att skattelättn</w:t>
      </w:r>
      <w:r w:rsidRPr="00C9680B">
        <w:t>aden är ett avsteg från skatter</w:t>
      </w:r>
      <w:r w:rsidRPr="00C9680B">
        <w:t>e</w:t>
      </w:r>
      <w:r w:rsidRPr="00C9680B">
        <w:t>for</w:t>
      </w:r>
      <w:r w:rsidRPr="00C9680B">
        <w:softHyphen/>
        <w:t>mens principer om likformig och neutral beskattning och att en utvidgning också kan medföra tillämpningsproblem och – oavsett företagets storlek – obehö</w:t>
      </w:r>
      <w:r w:rsidRPr="00C9680B">
        <w:softHyphen/>
        <w:t xml:space="preserve">riga skatteförmåner. Enligt skatteutskottets bedömning bör en ändring i systemet snarast gå i motsatt riktning. </w:t>
      </w:r>
    </w:p>
    <w:p w:rsidR="001C7BF9" w:rsidRPr="00C9680B" w:rsidRDefault="001C7BF9">
      <w:pPr>
        <w:pStyle w:val="Normaltindrag"/>
      </w:pPr>
      <w:r w:rsidRPr="00C9680B">
        <w:t>Skatteutskottet anför vidare att de s.k. 3:12-reglerna anger hur utdelningar och reavinster vid avyttring av aktier i företaget skall fördelas mellan inkomst av tjänst och inkomst av kapi</w:t>
      </w:r>
      <w:r w:rsidRPr="00C9680B">
        <w:softHyphen/>
        <w:t>tal hos den som är aktiv delägare i företaget och att regeringen har tillkallat en särskild utredare för att se över dessa regler. I utredningsuppdraget (dir. 1999:72) ingår att analysera metoden att utgå från en på något sätt fastställd normallön vid beräkning av det kapitalbeskattade utrymmet. Utredningen beräknas avsluta sitt arbete den 31 oktober 2001. Enligt utskottets mening finns det anledning att avvakta resultatet av den pågående utred</w:t>
      </w:r>
      <w:r w:rsidRPr="00C9680B">
        <w:softHyphen/>
        <w:t>nin</w:t>
      </w:r>
      <w:r w:rsidRPr="00C9680B">
        <w:t>g</w:t>
      </w:r>
      <w:r w:rsidRPr="00C9680B">
        <w:t xml:space="preserve">en. </w:t>
      </w:r>
    </w:p>
    <w:p w:rsidR="001C7BF9" w:rsidRPr="00C9680B" w:rsidRDefault="001C7BF9">
      <w:pPr>
        <w:pStyle w:val="Normaltindrag"/>
      </w:pPr>
      <w:r w:rsidRPr="00C9680B">
        <w:t>När det slutligen gäller möjligheten att återköpa egn</w:t>
      </w:r>
      <w:r w:rsidRPr="00C9680B">
        <w:t>a aktier är denna enligt vad skatteutskottet anför en anpassning till vad som gäller i flertalet europei</w:t>
      </w:r>
      <w:r w:rsidRPr="00C9680B">
        <w:t>s</w:t>
      </w:r>
      <w:r w:rsidRPr="00C9680B">
        <w:t>ka länder och syftar till att skapa nya möjligheter för aktie</w:t>
      </w:r>
      <w:r w:rsidRPr="00C9680B">
        <w:softHyphen/>
        <w:t>bolag att föra til</w:t>
      </w:r>
      <w:r w:rsidRPr="00C9680B">
        <w:t>l</w:t>
      </w:r>
      <w:r w:rsidRPr="00C9680B">
        <w:t>baka överskottsmedel till aktieägarna. Målet är ett effektivare utnyttjande av bolagens och näringslivets resurser. Skatteutskottet är mot denna bakgrund inte berett att tillstyrka att denna möjlighet nu slopas. Skatteutskottet är inte heller berett att tillstyrka en höjning av bolagsskatten till 30 %.</w:t>
      </w:r>
    </w:p>
    <w:p w:rsidR="001C7BF9" w:rsidRPr="00C9680B" w:rsidRDefault="001C7BF9">
      <w:pPr>
        <w:pStyle w:val="Normaltindrag"/>
      </w:pPr>
      <w:r w:rsidRPr="00C9680B">
        <w:t>Skatteutskottet avstyr</w:t>
      </w:r>
      <w:r w:rsidRPr="00C9680B">
        <w:t>ker de aktuella motionsyrkandena.</w:t>
      </w:r>
    </w:p>
    <w:p w:rsidR="001C7BF9" w:rsidRPr="00C9680B" w:rsidRDefault="001C7BF9">
      <w:pPr>
        <w:pStyle w:val="R4"/>
      </w:pPr>
      <w:r w:rsidRPr="00C9680B">
        <w:t>Finansutskottets ställningstagande</w:t>
      </w:r>
    </w:p>
    <w:p w:rsidR="001C7BF9" w:rsidRPr="00C9680B" w:rsidRDefault="001C7BF9">
      <w:r w:rsidRPr="00C9680B">
        <w:t>Finansutskottet avstyrker i likhet med skatteutskottet motionerna Sk313 (m) yrkande 45 och Sk323 (kd) yrkandena 36 och 37 samt Sk324 (fp) yrkande 18.</w:t>
      </w:r>
    </w:p>
    <w:p w:rsidR="001C7BF9" w:rsidRPr="00C9680B" w:rsidRDefault="001C7BF9">
      <w:pPr>
        <w:pStyle w:val="Rubrik1b"/>
        <w:outlineLvl w:val="0"/>
      </w:pPr>
      <w:bookmarkStart w:id="293" w:name="_Toc497720062"/>
      <w:bookmarkStart w:id="294" w:name="_Toc498238812"/>
      <w:bookmarkStart w:id="295" w:name="_Toc498910723"/>
      <w:r w:rsidRPr="00C9680B">
        <w:t>3.5 Social- och arbetsgivaravgifter</w:t>
      </w:r>
      <w:bookmarkEnd w:id="293"/>
      <w:bookmarkEnd w:id="294"/>
      <w:bookmarkEnd w:id="295"/>
    </w:p>
    <w:p w:rsidR="001C7BF9" w:rsidRPr="00C9680B" w:rsidRDefault="001C7BF9"/>
    <w:tbl>
      <w:tblPr>
        <w:tblW w:w="0" w:type="auto"/>
        <w:tblInd w:w="-30" w:type="dxa"/>
        <w:tblLayout w:type="fixed"/>
        <w:tblCellMar>
          <w:left w:w="30" w:type="dxa"/>
          <w:right w:w="30" w:type="dxa"/>
        </w:tblCellMar>
        <w:tblLook w:val="0000" w:firstRow="0" w:lastRow="0" w:firstColumn="0" w:lastColumn="0" w:noHBand="0" w:noVBand="0"/>
      </w:tblPr>
      <w:tblGrid>
        <w:gridCol w:w="456"/>
        <w:gridCol w:w="1"/>
        <w:gridCol w:w="566"/>
        <w:gridCol w:w="1984"/>
        <w:gridCol w:w="567"/>
        <w:gridCol w:w="567"/>
        <w:gridCol w:w="652"/>
        <w:gridCol w:w="652"/>
        <w:gridCol w:w="652"/>
        <w:gridCol w:w="511"/>
        <w:gridCol w:w="141"/>
      </w:tblGrid>
      <w:tr w:rsidR="00000000" w:rsidRPr="00C9680B">
        <w:tblPrEx>
          <w:tblCellMar>
            <w:top w:w="0" w:type="dxa"/>
            <w:bottom w:w="0" w:type="dxa"/>
          </w:tblCellMar>
        </w:tblPrEx>
        <w:trPr>
          <w:gridAfter w:val="1"/>
          <w:wAfter w:w="141" w:type="dxa"/>
          <w:cantSplit/>
          <w:trHeight w:val="180"/>
        </w:trPr>
        <w:tc>
          <w:tcPr>
            <w:tcW w:w="6608" w:type="dxa"/>
            <w:gridSpan w:val="10"/>
            <w:tcBorders>
              <w:bottom w:val="single" w:sz="4" w:space="0" w:color="auto"/>
            </w:tcBorders>
          </w:tcPr>
          <w:p w:rsidR="001C7BF9" w:rsidRPr="00C9680B" w:rsidRDefault="001C7BF9">
            <w:pPr>
              <w:pStyle w:val="Normaltindrag"/>
              <w:ind w:firstLine="0"/>
              <w:rPr>
                <w:b/>
                <w:snapToGrid w:val="0"/>
                <w:color w:val="000000"/>
                <w:sz w:val="17"/>
                <w:lang w:eastAsia="sv-SE"/>
              </w:rPr>
            </w:pPr>
            <w:r w:rsidRPr="00C9680B">
              <w:rPr>
                <w:b/>
                <w:snapToGrid w:val="0"/>
                <w:color w:val="000000"/>
                <w:sz w:val="17"/>
                <w:lang w:eastAsia="sv-SE"/>
              </w:rPr>
              <w:t>Tabell 37. Huvudgrupp 1200 Socialavgifter och allmän pe</w:t>
            </w:r>
            <w:r w:rsidRPr="00C9680B">
              <w:rPr>
                <w:b/>
                <w:snapToGrid w:val="0"/>
                <w:color w:val="000000"/>
                <w:sz w:val="17"/>
                <w:lang w:eastAsia="sv-SE"/>
              </w:rPr>
              <w:t>n</w:t>
            </w:r>
            <w:r w:rsidRPr="00C9680B">
              <w:rPr>
                <w:b/>
                <w:snapToGrid w:val="0"/>
                <w:color w:val="000000"/>
                <w:sz w:val="17"/>
                <w:lang w:eastAsia="sv-SE"/>
              </w:rPr>
              <w:t>sionsavgift</w:t>
            </w:r>
          </w:p>
          <w:p w:rsidR="001C7BF9" w:rsidRPr="00C9680B" w:rsidRDefault="001C7BF9">
            <w:pPr>
              <w:pStyle w:val="Normaltindrag"/>
              <w:ind w:firstLine="0"/>
              <w:rPr>
                <w:sz w:val="14"/>
              </w:rPr>
            </w:pPr>
            <w:r w:rsidRPr="00C9680B">
              <w:rPr>
                <w:sz w:val="14"/>
              </w:rPr>
              <w:t>Miljoner kronor</w:t>
            </w:r>
          </w:p>
        </w:tc>
      </w:tr>
      <w:tr w:rsidR="00000000" w:rsidRPr="00C9680B">
        <w:tblPrEx>
          <w:tblCellMar>
            <w:top w:w="0" w:type="dxa"/>
            <w:bottom w:w="0" w:type="dxa"/>
          </w:tblCellMar>
        </w:tblPrEx>
        <w:trPr>
          <w:cantSplit/>
          <w:trHeight w:val="180"/>
        </w:trPr>
        <w:tc>
          <w:tcPr>
            <w:tcW w:w="3007" w:type="dxa"/>
            <w:gridSpan w:val="4"/>
            <w:tcBorders>
              <w:top w:val="single" w:sz="4" w:space="0" w:color="auto"/>
            </w:tcBorders>
          </w:tcPr>
          <w:p w:rsidR="001C7BF9" w:rsidRPr="00C9680B" w:rsidRDefault="001C7BF9">
            <w:pPr>
              <w:spacing w:before="40" w:line="180" w:lineRule="exact"/>
              <w:rPr>
                <w:snapToGrid w:val="0"/>
                <w:color w:val="000000"/>
                <w:sz w:val="17"/>
                <w:lang w:eastAsia="sv-SE"/>
              </w:rPr>
            </w:pPr>
          </w:p>
        </w:tc>
        <w:tc>
          <w:tcPr>
            <w:tcW w:w="1134" w:type="dxa"/>
            <w:gridSpan w:val="2"/>
            <w:tcBorders>
              <w:top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Regerin</w:t>
            </w:r>
            <w:r w:rsidRPr="00C9680B">
              <w:rPr>
                <w:b/>
                <w:snapToGrid w:val="0"/>
                <w:color w:val="000000"/>
                <w:sz w:val="17"/>
                <w:lang w:eastAsia="sv-SE"/>
              </w:rPr>
              <w:t>g</w:t>
            </w:r>
            <w:r w:rsidRPr="00C9680B">
              <w:rPr>
                <w:b/>
                <w:snapToGrid w:val="0"/>
                <w:color w:val="000000"/>
                <w:sz w:val="17"/>
                <w:lang w:eastAsia="sv-SE"/>
              </w:rPr>
              <w:t>ens</w:t>
            </w:r>
          </w:p>
        </w:tc>
        <w:tc>
          <w:tcPr>
            <w:tcW w:w="2608" w:type="dxa"/>
            <w:gridSpan w:val="5"/>
            <w:tcBorders>
              <w:top w:val="single" w:sz="4" w:space="0" w:color="auto"/>
              <w:bottom w:val="single" w:sz="6" w:space="0" w:color="auto"/>
            </w:tcBorders>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Avvikelser från regeringens förslag</w:t>
            </w:r>
          </w:p>
        </w:tc>
      </w:tr>
      <w:tr w:rsidR="00000000" w:rsidRPr="00C9680B">
        <w:tblPrEx>
          <w:tblCellMar>
            <w:top w:w="0" w:type="dxa"/>
            <w:bottom w:w="0" w:type="dxa"/>
          </w:tblCellMar>
        </w:tblPrEx>
        <w:trPr>
          <w:trHeight w:val="180"/>
        </w:trPr>
        <w:tc>
          <w:tcPr>
            <w:tcW w:w="1023" w:type="dxa"/>
            <w:gridSpan w:val="3"/>
            <w:tcBorders>
              <w:bottom w:val="single" w:sz="4" w:space="0" w:color="auto"/>
            </w:tcBorders>
          </w:tcPr>
          <w:p w:rsidR="001C7BF9" w:rsidRPr="00C9680B" w:rsidRDefault="001C7BF9">
            <w:pPr>
              <w:spacing w:before="40" w:line="180" w:lineRule="exact"/>
              <w:rPr>
                <w:snapToGrid w:val="0"/>
                <w:color w:val="000000"/>
                <w:sz w:val="17"/>
                <w:lang w:eastAsia="sv-SE"/>
              </w:rPr>
            </w:pPr>
            <w:r w:rsidRPr="00C9680B">
              <w:rPr>
                <w:snapToGrid w:val="0"/>
                <w:color w:val="000000"/>
                <w:sz w:val="17"/>
                <w:lang w:eastAsia="sv-SE"/>
              </w:rPr>
              <w:t>Inkomstt</w:t>
            </w:r>
            <w:r w:rsidRPr="00C9680B">
              <w:rPr>
                <w:snapToGrid w:val="0"/>
                <w:color w:val="000000"/>
                <w:sz w:val="17"/>
                <w:lang w:eastAsia="sv-SE"/>
              </w:rPr>
              <w:t>i</w:t>
            </w:r>
            <w:r w:rsidRPr="00C9680B">
              <w:rPr>
                <w:snapToGrid w:val="0"/>
                <w:color w:val="000000"/>
                <w:sz w:val="17"/>
                <w:lang w:eastAsia="sv-SE"/>
              </w:rPr>
              <w:t>tel</w:t>
            </w:r>
          </w:p>
        </w:tc>
        <w:tc>
          <w:tcPr>
            <w:tcW w:w="1984"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1134" w:type="dxa"/>
            <w:gridSpan w:val="2"/>
            <w:tcBorders>
              <w:bottom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förslag</w:t>
            </w:r>
          </w:p>
        </w:tc>
        <w:tc>
          <w:tcPr>
            <w:tcW w:w="652" w:type="dxa"/>
            <w:tcBorders>
              <w:bottom w:val="single" w:sz="4" w:space="0" w:color="auto"/>
            </w:tcBorders>
          </w:tcPr>
          <w:p w:rsidR="001C7BF9" w:rsidRPr="00C9680B" w:rsidRDefault="001C7BF9">
            <w:pPr>
              <w:spacing w:before="40" w:line="180" w:lineRule="exact"/>
              <w:ind w:right="113"/>
              <w:jc w:val="right"/>
              <w:rPr>
                <w:b/>
                <w:snapToGrid w:val="0"/>
                <w:color w:val="000000"/>
                <w:sz w:val="17"/>
                <w:lang w:eastAsia="sv-SE"/>
              </w:rPr>
            </w:pPr>
            <w:r w:rsidRPr="00C9680B">
              <w:rPr>
                <w:b/>
                <w:snapToGrid w:val="0"/>
                <w:color w:val="000000"/>
                <w:sz w:val="17"/>
                <w:lang w:eastAsia="sv-SE"/>
              </w:rPr>
              <w:t>m</w:t>
            </w:r>
          </w:p>
        </w:tc>
        <w:tc>
          <w:tcPr>
            <w:tcW w:w="652" w:type="dxa"/>
            <w:tcBorders>
              <w:bottom w:val="single" w:sz="4" w:space="0" w:color="auto"/>
            </w:tcBorders>
          </w:tcPr>
          <w:p w:rsidR="001C7BF9" w:rsidRPr="00C9680B" w:rsidRDefault="001C7BF9">
            <w:pPr>
              <w:spacing w:before="40" w:line="180" w:lineRule="exact"/>
              <w:ind w:right="113"/>
              <w:jc w:val="right"/>
              <w:rPr>
                <w:b/>
                <w:snapToGrid w:val="0"/>
                <w:color w:val="000000"/>
                <w:sz w:val="17"/>
                <w:lang w:eastAsia="sv-SE"/>
              </w:rPr>
            </w:pPr>
            <w:r w:rsidRPr="00C9680B">
              <w:rPr>
                <w:b/>
                <w:snapToGrid w:val="0"/>
                <w:color w:val="000000"/>
                <w:sz w:val="17"/>
                <w:lang w:eastAsia="sv-SE"/>
              </w:rPr>
              <w:t>kd</w:t>
            </w:r>
          </w:p>
        </w:tc>
        <w:tc>
          <w:tcPr>
            <w:tcW w:w="652" w:type="dxa"/>
            <w:tcBorders>
              <w:bottom w:val="single" w:sz="4" w:space="0" w:color="auto"/>
            </w:tcBorders>
          </w:tcPr>
          <w:p w:rsidR="001C7BF9" w:rsidRPr="00C9680B" w:rsidRDefault="001C7BF9">
            <w:pPr>
              <w:spacing w:before="40" w:line="180" w:lineRule="exact"/>
              <w:ind w:right="113"/>
              <w:jc w:val="right"/>
              <w:rPr>
                <w:b/>
                <w:snapToGrid w:val="0"/>
                <w:color w:val="000000"/>
                <w:sz w:val="17"/>
                <w:lang w:eastAsia="sv-SE"/>
              </w:rPr>
            </w:pPr>
            <w:r w:rsidRPr="00C9680B">
              <w:rPr>
                <w:b/>
                <w:snapToGrid w:val="0"/>
                <w:color w:val="000000"/>
                <w:sz w:val="17"/>
                <w:lang w:eastAsia="sv-SE"/>
              </w:rPr>
              <w:t>c</w:t>
            </w:r>
          </w:p>
        </w:tc>
        <w:tc>
          <w:tcPr>
            <w:tcW w:w="652" w:type="dxa"/>
            <w:gridSpan w:val="2"/>
            <w:tcBorders>
              <w:bottom w:val="single" w:sz="4" w:space="0" w:color="auto"/>
            </w:tcBorders>
          </w:tcPr>
          <w:p w:rsidR="001C7BF9" w:rsidRPr="00C9680B" w:rsidRDefault="001C7BF9">
            <w:pPr>
              <w:spacing w:before="40" w:line="180" w:lineRule="exact"/>
              <w:ind w:right="113"/>
              <w:jc w:val="right"/>
              <w:rPr>
                <w:b/>
                <w:snapToGrid w:val="0"/>
                <w:color w:val="000000"/>
                <w:sz w:val="17"/>
                <w:lang w:eastAsia="sv-SE"/>
              </w:rPr>
            </w:pPr>
            <w:r w:rsidRPr="00C9680B">
              <w:rPr>
                <w:b/>
                <w:snapToGrid w:val="0"/>
                <w:color w:val="000000"/>
                <w:sz w:val="17"/>
                <w:lang w:eastAsia="sv-SE"/>
              </w:rPr>
              <w:t>fp</w:t>
            </w:r>
          </w:p>
        </w:tc>
      </w:tr>
      <w:tr w:rsidR="00000000" w:rsidRPr="00C9680B">
        <w:tblPrEx>
          <w:tblCellMar>
            <w:top w:w="0" w:type="dxa"/>
            <w:bottom w:w="0" w:type="dxa"/>
          </w:tblCellMar>
        </w:tblPrEx>
        <w:trPr>
          <w:trHeight w:val="180"/>
        </w:trPr>
        <w:tc>
          <w:tcPr>
            <w:tcW w:w="456"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1281</w:t>
            </w:r>
          </w:p>
        </w:tc>
        <w:tc>
          <w:tcPr>
            <w:tcW w:w="3118" w:type="dxa"/>
            <w:gridSpan w:val="4"/>
          </w:tcPr>
          <w:p w:rsidR="001C7BF9" w:rsidRPr="00C9680B" w:rsidRDefault="001C7BF9">
            <w:pPr>
              <w:spacing w:before="80" w:line="180" w:lineRule="exact"/>
              <w:jc w:val="left"/>
              <w:rPr>
                <w:b/>
                <w:snapToGrid w:val="0"/>
                <w:color w:val="000000"/>
                <w:sz w:val="17"/>
                <w:lang w:eastAsia="sv-SE"/>
              </w:rPr>
            </w:pPr>
            <w:r w:rsidRPr="00C9680B">
              <w:rPr>
                <w:b/>
                <w:snapToGrid w:val="0"/>
                <w:color w:val="000000"/>
                <w:sz w:val="17"/>
                <w:lang w:eastAsia="sv-SE"/>
              </w:rPr>
              <w:t>Allmän löneavgift</w:t>
            </w:r>
          </w:p>
        </w:tc>
        <w:tc>
          <w:tcPr>
            <w:tcW w:w="567"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26 653</w:t>
            </w:r>
          </w:p>
        </w:tc>
        <w:tc>
          <w:tcPr>
            <w:tcW w:w="652"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+760</w:t>
            </w:r>
          </w:p>
        </w:tc>
        <w:tc>
          <w:tcPr>
            <w:tcW w:w="652"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+760</w:t>
            </w:r>
          </w:p>
        </w:tc>
        <w:tc>
          <w:tcPr>
            <w:tcW w:w="652"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+760</w:t>
            </w:r>
          </w:p>
        </w:tc>
        <w:tc>
          <w:tcPr>
            <w:tcW w:w="652" w:type="dxa"/>
            <w:gridSpan w:val="2"/>
          </w:tcPr>
          <w:p w:rsidR="001C7BF9" w:rsidRPr="00C9680B" w:rsidRDefault="001C7BF9">
            <w:pPr>
              <w:spacing w:before="80" w:line="180" w:lineRule="exact"/>
              <w:jc w:val="right"/>
              <w:rPr>
                <w:b/>
                <w:snapToGrid w:val="0"/>
                <w:color w:val="000000"/>
                <w:sz w:val="17"/>
                <w:lang w:eastAsia="sv-SE"/>
              </w:rPr>
            </w:pPr>
          </w:p>
        </w:tc>
      </w:tr>
      <w:tr w:rsidR="00000000" w:rsidRPr="00C9680B">
        <w:tblPrEx>
          <w:tblCellMar>
            <w:top w:w="0" w:type="dxa"/>
            <w:bottom w:w="0" w:type="dxa"/>
          </w:tblCellMar>
        </w:tblPrEx>
        <w:trPr>
          <w:trHeight w:val="180"/>
        </w:trPr>
        <w:tc>
          <w:tcPr>
            <w:tcW w:w="456" w:type="dxa"/>
          </w:tcPr>
          <w:p w:rsidR="001C7BF9" w:rsidRPr="00C9680B" w:rsidRDefault="001C7BF9">
            <w:pPr>
              <w:spacing w:before="80" w:line="180" w:lineRule="exact"/>
              <w:jc w:val="right"/>
              <w:rPr>
                <w:snapToGrid w:val="0"/>
                <w:color w:val="000000"/>
                <w:sz w:val="17"/>
                <w:lang w:eastAsia="sv-SE"/>
              </w:rPr>
            </w:pPr>
          </w:p>
        </w:tc>
        <w:tc>
          <w:tcPr>
            <w:tcW w:w="3118" w:type="dxa"/>
            <w:gridSpan w:val="4"/>
          </w:tcPr>
          <w:p w:rsidR="001C7BF9" w:rsidRPr="00C9680B" w:rsidRDefault="001C7BF9">
            <w:pPr>
              <w:spacing w:before="80" w:line="180" w:lineRule="exact"/>
              <w:jc w:val="left"/>
              <w:rPr>
                <w:snapToGrid w:val="0"/>
                <w:color w:val="000000"/>
                <w:sz w:val="17"/>
                <w:lang w:eastAsia="sv-SE"/>
              </w:rPr>
            </w:pPr>
            <w:r w:rsidRPr="00C9680B">
              <w:rPr>
                <w:snapToGrid w:val="0"/>
                <w:color w:val="000000"/>
                <w:sz w:val="17"/>
                <w:lang w:eastAsia="sv-SE"/>
              </w:rPr>
              <w:t>Sänkt allmän löneavgift</w:t>
            </w:r>
          </w:p>
        </w:tc>
        <w:tc>
          <w:tcPr>
            <w:tcW w:w="567" w:type="dxa"/>
          </w:tcPr>
          <w:p w:rsidR="001C7BF9" w:rsidRPr="00C9680B" w:rsidRDefault="001C7BF9">
            <w:pPr>
              <w:spacing w:before="80" w:line="180" w:lineRule="exact"/>
              <w:jc w:val="right"/>
              <w:rPr>
                <w:snapToGrid w:val="0"/>
                <w:color w:val="000000"/>
                <w:sz w:val="17"/>
                <w:lang w:eastAsia="sv-SE"/>
              </w:rPr>
            </w:pPr>
            <w:r w:rsidRPr="00C9680B">
              <w:rPr>
                <w:snapToGrid w:val="0"/>
                <w:color w:val="000000"/>
                <w:sz w:val="17"/>
                <w:lang w:eastAsia="sv-SE"/>
              </w:rPr>
              <w:t>-760</w:t>
            </w:r>
          </w:p>
        </w:tc>
        <w:tc>
          <w:tcPr>
            <w:tcW w:w="652" w:type="dxa"/>
          </w:tcPr>
          <w:p w:rsidR="001C7BF9" w:rsidRPr="00C9680B" w:rsidRDefault="001C7BF9">
            <w:pPr>
              <w:spacing w:before="80" w:line="180" w:lineRule="exact"/>
              <w:jc w:val="right"/>
              <w:rPr>
                <w:snapToGrid w:val="0"/>
                <w:color w:val="000000"/>
                <w:sz w:val="17"/>
                <w:lang w:eastAsia="sv-SE"/>
              </w:rPr>
            </w:pPr>
            <w:r w:rsidRPr="00C9680B">
              <w:rPr>
                <w:snapToGrid w:val="0"/>
                <w:color w:val="000000"/>
                <w:sz w:val="17"/>
                <w:lang w:eastAsia="sv-SE"/>
              </w:rPr>
              <w:t>+760</w:t>
            </w:r>
          </w:p>
        </w:tc>
        <w:tc>
          <w:tcPr>
            <w:tcW w:w="652" w:type="dxa"/>
          </w:tcPr>
          <w:p w:rsidR="001C7BF9" w:rsidRPr="00C9680B" w:rsidRDefault="001C7BF9">
            <w:pPr>
              <w:spacing w:before="80" w:line="180" w:lineRule="exact"/>
              <w:jc w:val="right"/>
              <w:rPr>
                <w:snapToGrid w:val="0"/>
                <w:color w:val="000000"/>
                <w:sz w:val="17"/>
                <w:lang w:eastAsia="sv-SE"/>
              </w:rPr>
            </w:pPr>
            <w:r w:rsidRPr="00C9680B">
              <w:rPr>
                <w:snapToGrid w:val="0"/>
                <w:color w:val="000000"/>
                <w:sz w:val="17"/>
                <w:lang w:eastAsia="sv-SE"/>
              </w:rPr>
              <w:t>+760</w:t>
            </w:r>
          </w:p>
        </w:tc>
        <w:tc>
          <w:tcPr>
            <w:tcW w:w="652" w:type="dxa"/>
          </w:tcPr>
          <w:p w:rsidR="001C7BF9" w:rsidRPr="00C9680B" w:rsidRDefault="001C7BF9">
            <w:pPr>
              <w:spacing w:before="80" w:line="180" w:lineRule="exact"/>
              <w:jc w:val="right"/>
              <w:rPr>
                <w:snapToGrid w:val="0"/>
                <w:color w:val="000000"/>
                <w:sz w:val="17"/>
                <w:lang w:eastAsia="sv-SE"/>
              </w:rPr>
            </w:pPr>
            <w:r w:rsidRPr="00C9680B">
              <w:rPr>
                <w:snapToGrid w:val="0"/>
                <w:color w:val="000000"/>
                <w:sz w:val="17"/>
                <w:lang w:eastAsia="sv-SE"/>
              </w:rPr>
              <w:t>+760</w:t>
            </w:r>
          </w:p>
        </w:tc>
        <w:tc>
          <w:tcPr>
            <w:tcW w:w="652" w:type="dxa"/>
            <w:gridSpan w:val="2"/>
          </w:tcPr>
          <w:p w:rsidR="001C7BF9" w:rsidRPr="00C9680B" w:rsidRDefault="001C7BF9">
            <w:pPr>
              <w:spacing w:before="80" w:line="180" w:lineRule="exact"/>
              <w:jc w:val="right"/>
              <w:rPr>
                <w:snapToGrid w:val="0"/>
                <w:color w:val="000000"/>
                <w:sz w:val="17"/>
                <w:lang w:eastAsia="sv-SE"/>
              </w:rPr>
            </w:pPr>
          </w:p>
        </w:tc>
      </w:tr>
      <w:tr w:rsidR="00000000" w:rsidRPr="00C9680B">
        <w:tblPrEx>
          <w:tblCellMar>
            <w:top w:w="0" w:type="dxa"/>
            <w:bottom w:w="0" w:type="dxa"/>
          </w:tblCellMar>
        </w:tblPrEx>
        <w:trPr>
          <w:trHeight w:val="180"/>
        </w:trPr>
        <w:tc>
          <w:tcPr>
            <w:tcW w:w="456" w:type="dxa"/>
          </w:tcPr>
          <w:p w:rsidR="001C7BF9" w:rsidRPr="00C9680B" w:rsidRDefault="001C7BF9">
            <w:pPr>
              <w:spacing w:before="40" w:line="180" w:lineRule="exact"/>
              <w:jc w:val="right"/>
              <w:rPr>
                <w:snapToGrid w:val="0"/>
                <w:color w:val="000000"/>
                <w:sz w:val="17"/>
                <w:lang w:eastAsia="sv-SE"/>
              </w:rPr>
            </w:pPr>
          </w:p>
        </w:tc>
        <w:tc>
          <w:tcPr>
            <w:tcW w:w="3118" w:type="dxa"/>
            <w:gridSpan w:val="4"/>
          </w:tcPr>
          <w:p w:rsidR="001C7BF9" w:rsidRPr="00C9680B" w:rsidRDefault="001C7BF9">
            <w:pPr>
              <w:spacing w:before="40" w:line="180" w:lineRule="exact"/>
              <w:jc w:val="left"/>
              <w:rPr>
                <w:snapToGrid w:val="0"/>
                <w:color w:val="000000"/>
                <w:sz w:val="17"/>
                <w:lang w:eastAsia="sv-SE"/>
              </w:rPr>
            </w:pPr>
          </w:p>
        </w:tc>
        <w:tc>
          <w:tcPr>
            <w:tcW w:w="567" w:type="dxa"/>
          </w:tcPr>
          <w:p w:rsidR="001C7BF9" w:rsidRPr="00C9680B" w:rsidRDefault="001C7BF9">
            <w:pPr>
              <w:spacing w:before="40" w:line="180" w:lineRule="exact"/>
              <w:jc w:val="right"/>
              <w:rPr>
                <w:snapToGrid w:val="0"/>
                <w:color w:val="000000"/>
                <w:sz w:val="17"/>
                <w:lang w:eastAsia="sv-SE"/>
              </w:rPr>
            </w:pPr>
          </w:p>
        </w:tc>
        <w:tc>
          <w:tcPr>
            <w:tcW w:w="652" w:type="dxa"/>
          </w:tcPr>
          <w:p w:rsidR="001C7BF9" w:rsidRPr="00C9680B" w:rsidRDefault="001C7BF9">
            <w:pPr>
              <w:spacing w:before="40" w:line="180" w:lineRule="exact"/>
              <w:jc w:val="right"/>
              <w:rPr>
                <w:snapToGrid w:val="0"/>
                <w:color w:val="000000"/>
                <w:sz w:val="17"/>
                <w:lang w:eastAsia="sv-SE"/>
              </w:rPr>
            </w:pPr>
          </w:p>
        </w:tc>
        <w:tc>
          <w:tcPr>
            <w:tcW w:w="652" w:type="dxa"/>
          </w:tcPr>
          <w:p w:rsidR="001C7BF9" w:rsidRPr="00C9680B" w:rsidRDefault="001C7BF9">
            <w:pPr>
              <w:spacing w:before="40" w:line="180" w:lineRule="exact"/>
              <w:jc w:val="right"/>
              <w:rPr>
                <w:snapToGrid w:val="0"/>
                <w:color w:val="000000"/>
                <w:sz w:val="17"/>
                <w:lang w:eastAsia="sv-SE"/>
              </w:rPr>
            </w:pPr>
          </w:p>
        </w:tc>
        <w:tc>
          <w:tcPr>
            <w:tcW w:w="652" w:type="dxa"/>
          </w:tcPr>
          <w:p w:rsidR="001C7BF9" w:rsidRPr="00C9680B" w:rsidRDefault="001C7BF9">
            <w:pPr>
              <w:spacing w:before="40" w:line="180" w:lineRule="exact"/>
              <w:jc w:val="right"/>
              <w:rPr>
                <w:snapToGrid w:val="0"/>
                <w:color w:val="000000"/>
                <w:sz w:val="17"/>
                <w:lang w:eastAsia="sv-SE"/>
              </w:rPr>
            </w:pPr>
          </w:p>
        </w:tc>
        <w:tc>
          <w:tcPr>
            <w:tcW w:w="652" w:type="dxa"/>
            <w:gridSpan w:val="2"/>
          </w:tcPr>
          <w:p w:rsidR="001C7BF9" w:rsidRPr="00C9680B" w:rsidRDefault="001C7BF9">
            <w:pPr>
              <w:spacing w:before="40" w:line="180" w:lineRule="exact"/>
              <w:jc w:val="right"/>
              <w:rPr>
                <w:snapToGrid w:val="0"/>
                <w:color w:val="000000"/>
                <w:sz w:val="17"/>
                <w:lang w:eastAsia="sv-SE"/>
              </w:rPr>
            </w:pPr>
          </w:p>
        </w:tc>
      </w:tr>
      <w:tr w:rsidR="00000000" w:rsidRPr="00C9680B">
        <w:tblPrEx>
          <w:tblCellMar>
            <w:top w:w="0" w:type="dxa"/>
            <w:bottom w:w="0" w:type="dxa"/>
          </w:tblCellMar>
        </w:tblPrEx>
        <w:trPr>
          <w:trHeight w:val="180"/>
        </w:trPr>
        <w:tc>
          <w:tcPr>
            <w:tcW w:w="456" w:type="dxa"/>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1200</w:t>
            </w:r>
          </w:p>
        </w:tc>
        <w:tc>
          <w:tcPr>
            <w:tcW w:w="3118" w:type="dxa"/>
            <w:gridSpan w:val="4"/>
          </w:tcPr>
          <w:p w:rsidR="001C7BF9" w:rsidRPr="00C9680B" w:rsidRDefault="001C7BF9">
            <w:pPr>
              <w:spacing w:before="40" w:line="180" w:lineRule="exact"/>
              <w:jc w:val="left"/>
              <w:rPr>
                <w:b/>
                <w:snapToGrid w:val="0"/>
                <w:color w:val="000000"/>
                <w:sz w:val="17"/>
                <w:lang w:eastAsia="sv-SE"/>
              </w:rPr>
            </w:pPr>
            <w:r w:rsidRPr="00C9680B">
              <w:rPr>
                <w:b/>
                <w:snapToGrid w:val="0"/>
                <w:color w:val="000000"/>
                <w:sz w:val="17"/>
                <w:lang w:eastAsia="sv-SE"/>
              </w:rPr>
              <w:t>Övriga förslag rörande socialavgi</w:t>
            </w:r>
            <w:r w:rsidRPr="00C9680B">
              <w:rPr>
                <w:b/>
                <w:snapToGrid w:val="0"/>
                <w:color w:val="000000"/>
                <w:sz w:val="17"/>
                <w:lang w:eastAsia="sv-SE"/>
              </w:rPr>
              <w:t>f</w:t>
            </w:r>
            <w:r w:rsidRPr="00C9680B">
              <w:rPr>
                <w:b/>
                <w:snapToGrid w:val="0"/>
                <w:color w:val="000000"/>
                <w:sz w:val="17"/>
                <w:lang w:eastAsia="sv-SE"/>
              </w:rPr>
              <w:t>ter</w:t>
            </w:r>
          </w:p>
        </w:tc>
        <w:tc>
          <w:tcPr>
            <w:tcW w:w="567" w:type="dxa"/>
          </w:tcPr>
          <w:p w:rsidR="001C7BF9" w:rsidRPr="00C9680B" w:rsidRDefault="001C7BF9">
            <w:pPr>
              <w:spacing w:before="40" w:line="180" w:lineRule="exact"/>
              <w:jc w:val="right"/>
              <w:rPr>
                <w:b/>
                <w:snapToGrid w:val="0"/>
                <w:color w:val="000000"/>
                <w:sz w:val="17"/>
                <w:lang w:eastAsia="sv-SE"/>
              </w:rPr>
            </w:pPr>
          </w:p>
        </w:tc>
        <w:tc>
          <w:tcPr>
            <w:tcW w:w="652" w:type="dxa"/>
          </w:tcPr>
          <w:p w:rsidR="001C7BF9" w:rsidRPr="00C9680B" w:rsidRDefault="001C7BF9">
            <w:pPr>
              <w:spacing w:before="40" w:line="180" w:lineRule="exact"/>
              <w:jc w:val="right"/>
              <w:rPr>
                <w:b/>
                <w:snapToGrid w:val="0"/>
                <w:color w:val="000000"/>
                <w:sz w:val="17"/>
                <w:lang w:eastAsia="sv-SE"/>
              </w:rPr>
            </w:pPr>
          </w:p>
        </w:tc>
        <w:tc>
          <w:tcPr>
            <w:tcW w:w="652" w:type="dxa"/>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+1 770</w:t>
            </w:r>
          </w:p>
        </w:tc>
        <w:tc>
          <w:tcPr>
            <w:tcW w:w="652" w:type="dxa"/>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-8 530</w:t>
            </w:r>
          </w:p>
        </w:tc>
        <w:tc>
          <w:tcPr>
            <w:tcW w:w="652" w:type="dxa"/>
            <w:gridSpan w:val="2"/>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-7 255</w:t>
            </w:r>
          </w:p>
        </w:tc>
      </w:tr>
      <w:tr w:rsidR="00000000" w:rsidRPr="00C9680B">
        <w:tblPrEx>
          <w:tblCellMar>
            <w:top w:w="0" w:type="dxa"/>
            <w:bottom w:w="0" w:type="dxa"/>
          </w:tblCellMar>
        </w:tblPrEx>
        <w:trPr>
          <w:trHeight w:val="180"/>
        </w:trPr>
        <w:tc>
          <w:tcPr>
            <w:tcW w:w="456" w:type="dxa"/>
          </w:tcPr>
          <w:p w:rsidR="001C7BF9" w:rsidRPr="00C9680B" w:rsidRDefault="001C7BF9">
            <w:pPr>
              <w:spacing w:before="80" w:line="180" w:lineRule="exact"/>
              <w:ind w:left="113" w:hanging="113"/>
              <w:jc w:val="right"/>
              <w:rPr>
                <w:snapToGrid w:val="0"/>
                <w:color w:val="000000"/>
                <w:sz w:val="17"/>
                <w:lang w:eastAsia="sv-SE"/>
              </w:rPr>
            </w:pPr>
          </w:p>
        </w:tc>
        <w:tc>
          <w:tcPr>
            <w:tcW w:w="3685" w:type="dxa"/>
            <w:hMerge w:val="restart"/>
          </w:tcPr>
          <w:p w:rsidR="001C7BF9" w:rsidRPr="00C9680B" w:rsidRDefault="001C7BF9">
            <w:pPr>
              <w:spacing w:before="80" w:line="180" w:lineRule="exact"/>
              <w:ind w:left="113" w:hanging="113"/>
              <w:jc w:val="left"/>
              <w:rPr>
                <w:snapToGrid w:val="0"/>
                <w:color w:val="000000"/>
                <w:sz w:val="17"/>
                <w:lang w:eastAsia="sv-SE"/>
              </w:rPr>
            </w:pPr>
            <w:r w:rsidRPr="00C9680B">
              <w:rPr>
                <w:snapToGrid w:val="0"/>
                <w:color w:val="000000"/>
                <w:sz w:val="17"/>
                <w:lang w:eastAsia="sv-SE"/>
              </w:rPr>
              <w:t>Sänkta arbetsgivaravgifter, företag</w:t>
            </w:r>
          </w:p>
        </w:tc>
        <w:tc>
          <w:tcPr>
            <w:gridSpan w:val="4"/>
            <w:hMerge/>
          </w:tcPr>
          <w:p w:rsidR="001C7BF9" w:rsidRPr="00C9680B" w:rsidRDefault="001C7BF9">
            <w:pPr>
              <w:spacing w:before="80" w:line="180" w:lineRule="exact"/>
              <w:ind w:left="113" w:hanging="113"/>
              <w:jc w:val="right"/>
              <w:rPr>
                <w:snapToGrid w:val="0"/>
                <w:color w:val="000000"/>
                <w:sz w:val="17"/>
                <w:lang w:eastAsia="sv-SE"/>
              </w:rPr>
            </w:pPr>
          </w:p>
        </w:tc>
        <w:tc>
          <w:tcPr>
            <w:tcW w:w="652" w:type="dxa"/>
          </w:tcPr>
          <w:p w:rsidR="001C7BF9" w:rsidRPr="00C9680B" w:rsidRDefault="001C7BF9">
            <w:pPr>
              <w:spacing w:before="80" w:line="180" w:lineRule="exact"/>
              <w:ind w:left="113" w:hanging="113"/>
              <w:jc w:val="right"/>
              <w:rPr>
                <w:snapToGrid w:val="0"/>
                <w:color w:val="000000"/>
                <w:sz w:val="17"/>
                <w:lang w:eastAsia="sv-SE"/>
              </w:rPr>
            </w:pPr>
          </w:p>
        </w:tc>
        <w:tc>
          <w:tcPr>
            <w:tcW w:w="652" w:type="dxa"/>
          </w:tcPr>
          <w:p w:rsidR="001C7BF9" w:rsidRPr="00C9680B" w:rsidRDefault="001C7BF9">
            <w:pPr>
              <w:spacing w:before="80" w:line="180" w:lineRule="exact"/>
              <w:ind w:left="113" w:hanging="113"/>
              <w:jc w:val="right"/>
              <w:rPr>
                <w:snapToGrid w:val="0"/>
                <w:color w:val="000000"/>
                <w:sz w:val="17"/>
                <w:lang w:eastAsia="sv-SE"/>
              </w:rPr>
            </w:pPr>
          </w:p>
        </w:tc>
        <w:tc>
          <w:tcPr>
            <w:tcW w:w="652" w:type="dxa"/>
          </w:tcPr>
          <w:p w:rsidR="001C7BF9" w:rsidRPr="00C9680B" w:rsidRDefault="001C7BF9">
            <w:pPr>
              <w:spacing w:before="80" w:line="180" w:lineRule="exact"/>
              <w:ind w:left="113" w:hanging="113"/>
              <w:jc w:val="right"/>
              <w:rPr>
                <w:snapToGrid w:val="0"/>
                <w:color w:val="000000"/>
                <w:sz w:val="17"/>
                <w:lang w:eastAsia="sv-SE"/>
              </w:rPr>
            </w:pPr>
            <w:r w:rsidRPr="00C9680B">
              <w:rPr>
                <w:snapToGrid w:val="0"/>
                <w:color w:val="000000"/>
                <w:sz w:val="17"/>
                <w:lang w:eastAsia="sv-SE"/>
              </w:rPr>
              <w:t>-5 530</w:t>
            </w:r>
          </w:p>
        </w:tc>
        <w:tc>
          <w:tcPr>
            <w:tcW w:w="652" w:type="dxa"/>
            <w:gridSpan w:val="2"/>
          </w:tcPr>
          <w:p w:rsidR="001C7BF9" w:rsidRPr="00C9680B" w:rsidRDefault="001C7BF9">
            <w:pPr>
              <w:spacing w:before="80" w:line="180" w:lineRule="exact"/>
              <w:ind w:left="113" w:hanging="113"/>
              <w:jc w:val="right"/>
              <w:rPr>
                <w:snapToGrid w:val="0"/>
                <w:color w:val="000000"/>
                <w:sz w:val="17"/>
                <w:lang w:eastAsia="sv-SE"/>
              </w:rPr>
            </w:pPr>
          </w:p>
        </w:tc>
      </w:tr>
      <w:tr w:rsidR="00000000" w:rsidRPr="00C9680B">
        <w:tblPrEx>
          <w:tblCellMar>
            <w:top w:w="0" w:type="dxa"/>
            <w:bottom w:w="0" w:type="dxa"/>
          </w:tblCellMar>
        </w:tblPrEx>
        <w:trPr>
          <w:trHeight w:val="180"/>
        </w:trPr>
        <w:tc>
          <w:tcPr>
            <w:tcW w:w="456" w:type="dxa"/>
          </w:tcPr>
          <w:p w:rsidR="001C7BF9" w:rsidRPr="00C9680B" w:rsidRDefault="001C7BF9">
            <w:pPr>
              <w:spacing w:before="40" w:line="180" w:lineRule="exact"/>
              <w:ind w:left="113" w:hanging="113"/>
              <w:jc w:val="right"/>
              <w:rPr>
                <w:snapToGrid w:val="0"/>
                <w:color w:val="000000"/>
                <w:sz w:val="17"/>
                <w:lang w:eastAsia="sv-SE"/>
              </w:rPr>
            </w:pPr>
          </w:p>
        </w:tc>
        <w:tc>
          <w:tcPr>
            <w:tcW w:w="3118" w:type="dxa"/>
            <w:gridSpan w:val="4"/>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Sänkta arbetsgivaravgifter, privat tjänste</w:t>
            </w:r>
            <w:r w:rsidRPr="00C9680B">
              <w:rPr>
                <w:snapToGrid w:val="0"/>
                <w:color w:val="000000"/>
                <w:sz w:val="17"/>
                <w:lang w:eastAsia="sv-SE"/>
              </w:rPr>
              <w:softHyphen/>
              <w:t>sektor</w:t>
            </w:r>
          </w:p>
        </w:tc>
        <w:tc>
          <w:tcPr>
            <w:tcW w:w="567" w:type="dxa"/>
          </w:tcPr>
          <w:p w:rsidR="001C7BF9" w:rsidRPr="00C9680B" w:rsidRDefault="001C7BF9">
            <w:pPr>
              <w:spacing w:before="40" w:line="180" w:lineRule="exact"/>
              <w:ind w:left="113" w:hanging="113"/>
              <w:jc w:val="left"/>
              <w:rPr>
                <w:snapToGrid w:val="0"/>
                <w:color w:val="000000"/>
                <w:sz w:val="17"/>
                <w:lang w:eastAsia="sv-SE"/>
              </w:rPr>
            </w:pPr>
          </w:p>
        </w:tc>
        <w:tc>
          <w:tcPr>
            <w:tcW w:w="652" w:type="dxa"/>
          </w:tcPr>
          <w:p w:rsidR="001C7BF9" w:rsidRPr="00C9680B" w:rsidRDefault="001C7BF9">
            <w:pPr>
              <w:spacing w:before="40" w:line="180" w:lineRule="exact"/>
              <w:ind w:left="113" w:hanging="113"/>
              <w:jc w:val="right"/>
              <w:rPr>
                <w:snapToGrid w:val="0"/>
                <w:color w:val="000000"/>
                <w:sz w:val="17"/>
                <w:lang w:eastAsia="sv-SE"/>
              </w:rPr>
            </w:pPr>
          </w:p>
        </w:tc>
        <w:tc>
          <w:tcPr>
            <w:tcW w:w="652" w:type="dxa"/>
          </w:tcPr>
          <w:p w:rsidR="001C7BF9" w:rsidRPr="00C9680B" w:rsidRDefault="001C7BF9">
            <w:pPr>
              <w:spacing w:before="40" w:line="180" w:lineRule="exact"/>
              <w:ind w:left="113" w:hanging="113"/>
              <w:jc w:val="right"/>
              <w:rPr>
                <w:snapToGrid w:val="0"/>
                <w:color w:val="000000"/>
                <w:sz w:val="17"/>
                <w:lang w:eastAsia="sv-SE"/>
              </w:rPr>
            </w:pPr>
          </w:p>
        </w:tc>
        <w:tc>
          <w:tcPr>
            <w:tcW w:w="652" w:type="dxa"/>
          </w:tcPr>
          <w:p w:rsidR="001C7BF9" w:rsidRPr="00C9680B" w:rsidRDefault="001C7BF9">
            <w:pPr>
              <w:spacing w:before="40" w:line="180" w:lineRule="exact"/>
              <w:ind w:left="113" w:hanging="113"/>
              <w:jc w:val="right"/>
              <w:rPr>
                <w:snapToGrid w:val="0"/>
                <w:color w:val="000000"/>
                <w:sz w:val="17"/>
                <w:lang w:eastAsia="sv-SE"/>
              </w:rPr>
            </w:pPr>
          </w:p>
        </w:tc>
        <w:tc>
          <w:tcPr>
            <w:tcW w:w="652" w:type="dxa"/>
            <w:gridSpan w:val="2"/>
          </w:tcPr>
          <w:p w:rsidR="001C7BF9" w:rsidRPr="00C9680B" w:rsidRDefault="001C7BF9">
            <w:pPr>
              <w:spacing w:before="40" w:line="180" w:lineRule="exact"/>
              <w:ind w:left="113" w:hanging="113"/>
              <w:jc w:val="right"/>
              <w:rPr>
                <w:snapToGrid w:val="0"/>
                <w:color w:val="000000"/>
                <w:sz w:val="17"/>
                <w:lang w:eastAsia="sv-SE"/>
              </w:rPr>
            </w:pPr>
            <w:r w:rsidRPr="00C9680B">
              <w:rPr>
                <w:snapToGrid w:val="0"/>
                <w:color w:val="000000"/>
                <w:sz w:val="17"/>
                <w:lang w:eastAsia="sv-SE"/>
              </w:rPr>
              <w:t>-6 180</w:t>
            </w:r>
          </w:p>
        </w:tc>
      </w:tr>
      <w:tr w:rsidR="00000000" w:rsidRPr="00C9680B">
        <w:tblPrEx>
          <w:tblCellMar>
            <w:top w:w="0" w:type="dxa"/>
            <w:bottom w:w="0" w:type="dxa"/>
          </w:tblCellMar>
        </w:tblPrEx>
        <w:trPr>
          <w:trHeight w:val="180"/>
        </w:trPr>
        <w:tc>
          <w:tcPr>
            <w:tcW w:w="456" w:type="dxa"/>
          </w:tcPr>
          <w:p w:rsidR="001C7BF9" w:rsidRPr="00C9680B" w:rsidRDefault="001C7BF9">
            <w:pPr>
              <w:spacing w:before="40" w:line="180" w:lineRule="exact"/>
              <w:ind w:left="113" w:hanging="113"/>
              <w:jc w:val="right"/>
              <w:rPr>
                <w:snapToGrid w:val="0"/>
                <w:color w:val="000000"/>
                <w:sz w:val="17"/>
                <w:lang w:eastAsia="sv-SE"/>
              </w:rPr>
            </w:pPr>
          </w:p>
        </w:tc>
        <w:tc>
          <w:tcPr>
            <w:tcW w:w="3118" w:type="dxa"/>
            <w:gridSpan w:val="4"/>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Ej sociala avgifter vinstand</w:t>
            </w:r>
            <w:r w:rsidRPr="00C9680B">
              <w:rPr>
                <w:snapToGrid w:val="0"/>
                <w:color w:val="000000"/>
                <w:sz w:val="17"/>
                <w:lang w:eastAsia="sv-SE"/>
              </w:rPr>
              <w:t>e</w:t>
            </w:r>
            <w:r w:rsidRPr="00C9680B">
              <w:rPr>
                <w:snapToGrid w:val="0"/>
                <w:color w:val="000000"/>
                <w:sz w:val="17"/>
                <w:lang w:eastAsia="sv-SE"/>
              </w:rPr>
              <w:t>lar</w:t>
            </w:r>
          </w:p>
        </w:tc>
        <w:tc>
          <w:tcPr>
            <w:tcW w:w="567" w:type="dxa"/>
          </w:tcPr>
          <w:p w:rsidR="001C7BF9" w:rsidRPr="00C9680B" w:rsidRDefault="001C7BF9">
            <w:pPr>
              <w:spacing w:before="40" w:line="180" w:lineRule="exact"/>
              <w:ind w:left="113" w:hanging="113"/>
              <w:jc w:val="right"/>
              <w:rPr>
                <w:snapToGrid w:val="0"/>
                <w:color w:val="000000"/>
                <w:sz w:val="17"/>
                <w:lang w:eastAsia="sv-SE"/>
              </w:rPr>
            </w:pPr>
          </w:p>
        </w:tc>
        <w:tc>
          <w:tcPr>
            <w:tcW w:w="652" w:type="dxa"/>
          </w:tcPr>
          <w:p w:rsidR="001C7BF9" w:rsidRPr="00C9680B" w:rsidRDefault="001C7BF9">
            <w:pPr>
              <w:spacing w:before="40" w:line="180" w:lineRule="exact"/>
              <w:ind w:left="113" w:hanging="113"/>
              <w:jc w:val="right"/>
              <w:rPr>
                <w:snapToGrid w:val="0"/>
                <w:color w:val="000000"/>
                <w:sz w:val="17"/>
                <w:lang w:eastAsia="sv-SE"/>
              </w:rPr>
            </w:pPr>
          </w:p>
        </w:tc>
        <w:tc>
          <w:tcPr>
            <w:tcW w:w="652" w:type="dxa"/>
          </w:tcPr>
          <w:p w:rsidR="001C7BF9" w:rsidRPr="00C9680B" w:rsidRDefault="001C7BF9">
            <w:pPr>
              <w:spacing w:before="40" w:line="180" w:lineRule="exact"/>
              <w:ind w:left="113" w:hanging="113"/>
              <w:jc w:val="right"/>
              <w:rPr>
                <w:snapToGrid w:val="0"/>
                <w:color w:val="000000"/>
                <w:sz w:val="17"/>
                <w:lang w:eastAsia="sv-SE"/>
              </w:rPr>
            </w:pPr>
          </w:p>
        </w:tc>
        <w:tc>
          <w:tcPr>
            <w:tcW w:w="652" w:type="dxa"/>
          </w:tcPr>
          <w:p w:rsidR="001C7BF9" w:rsidRPr="00C9680B" w:rsidRDefault="001C7BF9">
            <w:pPr>
              <w:spacing w:before="40" w:line="180" w:lineRule="exact"/>
              <w:ind w:left="113" w:hanging="113"/>
              <w:jc w:val="right"/>
              <w:rPr>
                <w:snapToGrid w:val="0"/>
                <w:color w:val="000000"/>
                <w:sz w:val="17"/>
                <w:lang w:eastAsia="sv-SE"/>
              </w:rPr>
            </w:pPr>
          </w:p>
        </w:tc>
        <w:tc>
          <w:tcPr>
            <w:tcW w:w="652" w:type="dxa"/>
            <w:gridSpan w:val="2"/>
          </w:tcPr>
          <w:p w:rsidR="001C7BF9" w:rsidRPr="00C9680B" w:rsidRDefault="001C7BF9">
            <w:pPr>
              <w:spacing w:before="40" w:line="180" w:lineRule="exact"/>
              <w:ind w:left="113" w:hanging="113"/>
              <w:jc w:val="right"/>
              <w:rPr>
                <w:snapToGrid w:val="0"/>
                <w:color w:val="000000"/>
                <w:sz w:val="17"/>
                <w:lang w:eastAsia="sv-SE"/>
              </w:rPr>
            </w:pPr>
            <w:r w:rsidRPr="00C9680B">
              <w:rPr>
                <w:snapToGrid w:val="0"/>
                <w:color w:val="000000"/>
                <w:sz w:val="17"/>
                <w:lang w:eastAsia="sv-SE"/>
              </w:rPr>
              <w:t>-275</w:t>
            </w:r>
          </w:p>
        </w:tc>
      </w:tr>
      <w:tr w:rsidR="00000000" w:rsidRPr="00C9680B">
        <w:tblPrEx>
          <w:tblCellMar>
            <w:top w:w="0" w:type="dxa"/>
            <w:bottom w:w="0" w:type="dxa"/>
          </w:tblCellMar>
        </w:tblPrEx>
        <w:trPr>
          <w:trHeight w:val="180"/>
        </w:trPr>
        <w:tc>
          <w:tcPr>
            <w:tcW w:w="456" w:type="dxa"/>
          </w:tcPr>
          <w:p w:rsidR="001C7BF9" w:rsidRPr="00C9680B" w:rsidRDefault="001C7BF9">
            <w:pPr>
              <w:spacing w:before="40" w:line="180" w:lineRule="exact"/>
              <w:ind w:left="113" w:hanging="113"/>
              <w:jc w:val="right"/>
              <w:rPr>
                <w:snapToGrid w:val="0"/>
                <w:color w:val="000000"/>
                <w:sz w:val="17"/>
                <w:lang w:eastAsia="sv-SE"/>
              </w:rPr>
            </w:pPr>
          </w:p>
        </w:tc>
        <w:tc>
          <w:tcPr>
            <w:tcW w:w="3118" w:type="dxa"/>
            <w:gridSpan w:val="4"/>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Sänkt skatt personaloptioner</w:t>
            </w:r>
          </w:p>
        </w:tc>
        <w:tc>
          <w:tcPr>
            <w:tcW w:w="567" w:type="dxa"/>
          </w:tcPr>
          <w:p w:rsidR="001C7BF9" w:rsidRPr="00C9680B" w:rsidRDefault="001C7BF9">
            <w:pPr>
              <w:spacing w:before="40" w:line="180" w:lineRule="exact"/>
              <w:ind w:left="113" w:hanging="113"/>
              <w:jc w:val="right"/>
              <w:rPr>
                <w:snapToGrid w:val="0"/>
                <w:color w:val="000000"/>
                <w:sz w:val="17"/>
                <w:lang w:eastAsia="sv-SE"/>
              </w:rPr>
            </w:pPr>
          </w:p>
        </w:tc>
        <w:tc>
          <w:tcPr>
            <w:tcW w:w="652" w:type="dxa"/>
          </w:tcPr>
          <w:p w:rsidR="001C7BF9" w:rsidRPr="00C9680B" w:rsidRDefault="001C7BF9">
            <w:pPr>
              <w:spacing w:before="40" w:line="180" w:lineRule="exact"/>
              <w:ind w:left="113" w:hanging="113"/>
              <w:jc w:val="right"/>
              <w:rPr>
                <w:snapToGrid w:val="0"/>
                <w:color w:val="000000"/>
                <w:sz w:val="17"/>
                <w:lang w:eastAsia="sv-SE"/>
              </w:rPr>
            </w:pPr>
          </w:p>
        </w:tc>
        <w:tc>
          <w:tcPr>
            <w:tcW w:w="652" w:type="dxa"/>
          </w:tcPr>
          <w:p w:rsidR="001C7BF9" w:rsidRPr="00C9680B" w:rsidRDefault="001C7BF9">
            <w:pPr>
              <w:spacing w:before="40" w:line="180" w:lineRule="exact"/>
              <w:ind w:left="113" w:hanging="113"/>
              <w:jc w:val="right"/>
              <w:rPr>
                <w:snapToGrid w:val="0"/>
                <w:color w:val="000000"/>
                <w:sz w:val="17"/>
                <w:lang w:eastAsia="sv-SE"/>
              </w:rPr>
            </w:pPr>
          </w:p>
        </w:tc>
        <w:tc>
          <w:tcPr>
            <w:tcW w:w="652" w:type="dxa"/>
          </w:tcPr>
          <w:p w:rsidR="001C7BF9" w:rsidRPr="00C9680B" w:rsidRDefault="001C7BF9">
            <w:pPr>
              <w:spacing w:before="40" w:line="180" w:lineRule="exact"/>
              <w:ind w:left="113" w:hanging="113"/>
              <w:jc w:val="right"/>
              <w:rPr>
                <w:snapToGrid w:val="0"/>
                <w:color w:val="000000"/>
                <w:sz w:val="17"/>
                <w:lang w:eastAsia="sv-SE"/>
              </w:rPr>
            </w:pPr>
          </w:p>
        </w:tc>
        <w:tc>
          <w:tcPr>
            <w:tcW w:w="652" w:type="dxa"/>
            <w:gridSpan w:val="2"/>
          </w:tcPr>
          <w:p w:rsidR="001C7BF9" w:rsidRPr="00C9680B" w:rsidRDefault="001C7BF9">
            <w:pPr>
              <w:spacing w:before="40" w:line="180" w:lineRule="exact"/>
              <w:ind w:left="113" w:hanging="113"/>
              <w:jc w:val="right"/>
              <w:rPr>
                <w:snapToGrid w:val="0"/>
                <w:color w:val="000000"/>
                <w:sz w:val="17"/>
                <w:lang w:eastAsia="sv-SE"/>
              </w:rPr>
            </w:pPr>
            <w:r w:rsidRPr="00C9680B">
              <w:rPr>
                <w:snapToGrid w:val="0"/>
                <w:color w:val="000000"/>
                <w:sz w:val="17"/>
                <w:lang w:eastAsia="sv-SE"/>
              </w:rPr>
              <w:t>-800</w:t>
            </w:r>
          </w:p>
        </w:tc>
      </w:tr>
      <w:tr w:rsidR="00000000" w:rsidRPr="00C9680B">
        <w:tblPrEx>
          <w:tblCellMar>
            <w:top w:w="0" w:type="dxa"/>
            <w:bottom w:w="0" w:type="dxa"/>
          </w:tblCellMar>
        </w:tblPrEx>
        <w:trPr>
          <w:trHeight w:val="180"/>
        </w:trPr>
        <w:tc>
          <w:tcPr>
            <w:tcW w:w="456" w:type="dxa"/>
          </w:tcPr>
          <w:p w:rsidR="001C7BF9" w:rsidRPr="00C9680B" w:rsidRDefault="001C7BF9">
            <w:pPr>
              <w:spacing w:before="40" w:line="180" w:lineRule="exact"/>
              <w:ind w:left="113" w:hanging="113"/>
              <w:jc w:val="right"/>
              <w:rPr>
                <w:snapToGrid w:val="0"/>
                <w:color w:val="000000"/>
                <w:sz w:val="17"/>
                <w:lang w:eastAsia="sv-SE"/>
              </w:rPr>
            </w:pPr>
          </w:p>
        </w:tc>
        <w:tc>
          <w:tcPr>
            <w:tcW w:w="3118" w:type="dxa"/>
            <w:gridSpan w:val="4"/>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Kompensation för förlängt a</w:t>
            </w:r>
            <w:r w:rsidRPr="00C9680B">
              <w:rPr>
                <w:snapToGrid w:val="0"/>
                <w:color w:val="000000"/>
                <w:sz w:val="17"/>
                <w:lang w:eastAsia="sv-SE"/>
              </w:rPr>
              <w:t>r</w:t>
            </w:r>
            <w:r w:rsidRPr="00C9680B">
              <w:rPr>
                <w:snapToGrid w:val="0"/>
                <w:color w:val="000000"/>
                <w:sz w:val="17"/>
                <w:lang w:eastAsia="sv-SE"/>
              </w:rPr>
              <w:t>bets</w:t>
            </w:r>
            <w:r w:rsidRPr="00C9680B">
              <w:rPr>
                <w:snapToGrid w:val="0"/>
                <w:color w:val="000000"/>
                <w:sz w:val="17"/>
                <w:lang w:eastAsia="sv-SE"/>
              </w:rPr>
              <w:softHyphen/>
              <w:t>givar</w:t>
            </w:r>
            <w:r w:rsidRPr="00C9680B">
              <w:rPr>
                <w:snapToGrid w:val="0"/>
                <w:color w:val="000000"/>
                <w:sz w:val="17"/>
                <w:lang w:eastAsia="sv-SE"/>
              </w:rPr>
              <w:softHyphen/>
              <w:t>inträde offentlig sektor</w:t>
            </w:r>
          </w:p>
        </w:tc>
        <w:tc>
          <w:tcPr>
            <w:tcW w:w="567" w:type="dxa"/>
          </w:tcPr>
          <w:p w:rsidR="001C7BF9" w:rsidRPr="00C9680B" w:rsidRDefault="001C7BF9">
            <w:pPr>
              <w:spacing w:before="40" w:line="180" w:lineRule="exact"/>
              <w:ind w:left="113" w:hanging="113"/>
              <w:jc w:val="left"/>
              <w:rPr>
                <w:snapToGrid w:val="0"/>
                <w:color w:val="000000"/>
                <w:sz w:val="17"/>
                <w:lang w:eastAsia="sv-SE"/>
              </w:rPr>
            </w:pPr>
          </w:p>
        </w:tc>
        <w:tc>
          <w:tcPr>
            <w:tcW w:w="652" w:type="dxa"/>
          </w:tcPr>
          <w:p w:rsidR="001C7BF9" w:rsidRPr="00C9680B" w:rsidRDefault="001C7BF9">
            <w:pPr>
              <w:spacing w:before="40" w:line="180" w:lineRule="exact"/>
              <w:ind w:left="113" w:hanging="113"/>
              <w:jc w:val="left"/>
              <w:rPr>
                <w:snapToGrid w:val="0"/>
                <w:color w:val="000000"/>
                <w:sz w:val="17"/>
                <w:lang w:eastAsia="sv-SE"/>
              </w:rPr>
            </w:pPr>
          </w:p>
        </w:tc>
        <w:tc>
          <w:tcPr>
            <w:tcW w:w="652" w:type="dxa"/>
          </w:tcPr>
          <w:p w:rsidR="001C7BF9" w:rsidRPr="00C9680B" w:rsidRDefault="001C7BF9">
            <w:pPr>
              <w:spacing w:before="40" w:line="180" w:lineRule="exact"/>
              <w:ind w:left="113" w:hanging="113"/>
              <w:jc w:val="right"/>
              <w:rPr>
                <w:snapToGrid w:val="0"/>
                <w:color w:val="000000"/>
                <w:sz w:val="17"/>
                <w:lang w:eastAsia="sv-SE"/>
              </w:rPr>
            </w:pPr>
          </w:p>
        </w:tc>
        <w:tc>
          <w:tcPr>
            <w:tcW w:w="652" w:type="dxa"/>
          </w:tcPr>
          <w:p w:rsidR="001C7BF9" w:rsidRPr="00C9680B" w:rsidRDefault="001C7BF9">
            <w:pPr>
              <w:spacing w:before="120" w:line="180" w:lineRule="exact"/>
              <w:ind w:left="113" w:hanging="113"/>
              <w:jc w:val="right"/>
              <w:rPr>
                <w:snapToGrid w:val="0"/>
                <w:color w:val="000000"/>
                <w:sz w:val="17"/>
                <w:lang w:eastAsia="sv-SE"/>
              </w:rPr>
            </w:pPr>
            <w:r w:rsidRPr="00C9680B">
              <w:rPr>
                <w:snapToGrid w:val="0"/>
                <w:color w:val="000000"/>
                <w:sz w:val="17"/>
                <w:lang w:eastAsia="sv-SE"/>
              </w:rPr>
              <w:t>-2 000</w:t>
            </w:r>
          </w:p>
        </w:tc>
        <w:tc>
          <w:tcPr>
            <w:tcW w:w="652" w:type="dxa"/>
            <w:gridSpan w:val="2"/>
          </w:tcPr>
          <w:p w:rsidR="001C7BF9" w:rsidRPr="00C9680B" w:rsidRDefault="001C7BF9">
            <w:pPr>
              <w:spacing w:before="40" w:line="180" w:lineRule="exact"/>
              <w:ind w:left="113" w:hanging="113"/>
              <w:jc w:val="right"/>
              <w:rPr>
                <w:snapToGrid w:val="0"/>
                <w:color w:val="000000"/>
                <w:sz w:val="17"/>
                <w:lang w:eastAsia="sv-SE"/>
              </w:rPr>
            </w:pPr>
          </w:p>
        </w:tc>
      </w:tr>
      <w:tr w:rsidR="00000000" w:rsidRPr="00C9680B">
        <w:tblPrEx>
          <w:tblCellMar>
            <w:top w:w="0" w:type="dxa"/>
            <w:bottom w:w="0" w:type="dxa"/>
          </w:tblCellMar>
        </w:tblPrEx>
        <w:trPr>
          <w:trHeight w:val="180"/>
        </w:trPr>
        <w:tc>
          <w:tcPr>
            <w:tcW w:w="456" w:type="dxa"/>
          </w:tcPr>
          <w:p w:rsidR="001C7BF9" w:rsidRPr="00C9680B" w:rsidRDefault="001C7BF9">
            <w:pPr>
              <w:spacing w:before="40" w:line="180" w:lineRule="exact"/>
              <w:ind w:left="113" w:hanging="113"/>
              <w:rPr>
                <w:snapToGrid w:val="0"/>
                <w:color w:val="000000"/>
                <w:sz w:val="17"/>
                <w:lang w:eastAsia="sv-SE"/>
              </w:rPr>
            </w:pPr>
          </w:p>
        </w:tc>
        <w:tc>
          <w:tcPr>
            <w:tcW w:w="3118" w:type="dxa"/>
            <w:gridSpan w:val="4"/>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Höjd arbetsgivaravgift t.f.a. minskat sjukl</w:t>
            </w:r>
            <w:r w:rsidRPr="00C9680B">
              <w:rPr>
                <w:snapToGrid w:val="0"/>
                <w:color w:val="000000"/>
                <w:sz w:val="17"/>
                <w:lang w:eastAsia="sv-SE"/>
              </w:rPr>
              <w:t>ö</w:t>
            </w:r>
            <w:r w:rsidRPr="00C9680B">
              <w:rPr>
                <w:snapToGrid w:val="0"/>
                <w:color w:val="000000"/>
                <w:sz w:val="17"/>
                <w:lang w:eastAsia="sv-SE"/>
              </w:rPr>
              <w:t>neansvar</w:t>
            </w:r>
          </w:p>
        </w:tc>
        <w:tc>
          <w:tcPr>
            <w:tcW w:w="567" w:type="dxa"/>
          </w:tcPr>
          <w:p w:rsidR="001C7BF9" w:rsidRPr="00C9680B" w:rsidRDefault="001C7BF9">
            <w:pPr>
              <w:spacing w:before="40" w:line="180" w:lineRule="exact"/>
              <w:ind w:left="113" w:hanging="113"/>
              <w:jc w:val="left"/>
              <w:rPr>
                <w:snapToGrid w:val="0"/>
                <w:color w:val="000000"/>
                <w:sz w:val="17"/>
                <w:lang w:eastAsia="sv-SE"/>
              </w:rPr>
            </w:pPr>
          </w:p>
        </w:tc>
        <w:tc>
          <w:tcPr>
            <w:tcW w:w="652" w:type="dxa"/>
          </w:tcPr>
          <w:p w:rsidR="001C7BF9" w:rsidRPr="00C9680B" w:rsidRDefault="001C7BF9">
            <w:pPr>
              <w:spacing w:before="40" w:line="180" w:lineRule="exact"/>
              <w:ind w:left="113" w:hanging="113"/>
              <w:jc w:val="right"/>
              <w:rPr>
                <w:snapToGrid w:val="0"/>
                <w:color w:val="000000"/>
                <w:sz w:val="17"/>
                <w:lang w:eastAsia="sv-SE"/>
              </w:rPr>
            </w:pPr>
          </w:p>
        </w:tc>
        <w:tc>
          <w:tcPr>
            <w:tcW w:w="652" w:type="dxa"/>
          </w:tcPr>
          <w:p w:rsidR="001C7BF9" w:rsidRPr="00C9680B" w:rsidRDefault="001C7BF9">
            <w:pPr>
              <w:spacing w:before="120" w:line="180" w:lineRule="exact"/>
              <w:ind w:left="113" w:hanging="113"/>
              <w:jc w:val="right"/>
              <w:rPr>
                <w:snapToGrid w:val="0"/>
                <w:color w:val="000000"/>
                <w:sz w:val="17"/>
                <w:lang w:eastAsia="sv-SE"/>
              </w:rPr>
            </w:pPr>
            <w:r w:rsidRPr="00C9680B">
              <w:rPr>
                <w:snapToGrid w:val="0"/>
                <w:color w:val="000000"/>
                <w:sz w:val="17"/>
                <w:lang w:eastAsia="sv-SE"/>
              </w:rPr>
              <w:t>+1 770</w:t>
            </w:r>
          </w:p>
        </w:tc>
        <w:tc>
          <w:tcPr>
            <w:tcW w:w="652" w:type="dxa"/>
          </w:tcPr>
          <w:p w:rsidR="001C7BF9" w:rsidRPr="00C9680B" w:rsidRDefault="001C7BF9">
            <w:pPr>
              <w:spacing w:before="120" w:line="180" w:lineRule="exact"/>
              <w:ind w:left="113" w:hanging="113"/>
              <w:jc w:val="right"/>
              <w:rPr>
                <w:snapToGrid w:val="0"/>
                <w:color w:val="000000"/>
                <w:sz w:val="17"/>
                <w:lang w:eastAsia="sv-SE"/>
              </w:rPr>
            </w:pPr>
          </w:p>
        </w:tc>
        <w:tc>
          <w:tcPr>
            <w:tcW w:w="652" w:type="dxa"/>
            <w:gridSpan w:val="2"/>
          </w:tcPr>
          <w:p w:rsidR="001C7BF9" w:rsidRPr="00C9680B" w:rsidRDefault="001C7BF9">
            <w:pPr>
              <w:spacing w:before="40" w:line="180" w:lineRule="exact"/>
              <w:ind w:left="113" w:hanging="113"/>
              <w:jc w:val="right"/>
              <w:rPr>
                <w:snapToGrid w:val="0"/>
                <w:color w:val="000000"/>
                <w:sz w:val="17"/>
                <w:lang w:eastAsia="sv-SE"/>
              </w:rPr>
            </w:pPr>
          </w:p>
        </w:tc>
      </w:tr>
      <w:tr w:rsidR="00000000" w:rsidRPr="00C9680B">
        <w:tblPrEx>
          <w:tblCellMar>
            <w:top w:w="0" w:type="dxa"/>
            <w:bottom w:w="0" w:type="dxa"/>
          </w:tblCellMar>
        </w:tblPrEx>
        <w:trPr>
          <w:trHeight w:val="180"/>
        </w:trPr>
        <w:tc>
          <w:tcPr>
            <w:tcW w:w="456" w:type="dxa"/>
            <w:tcBorders>
              <w:bottom w:val="single" w:sz="4" w:space="0" w:color="auto"/>
            </w:tcBorders>
          </w:tcPr>
          <w:p w:rsidR="001C7BF9" w:rsidRPr="00C9680B" w:rsidRDefault="001C7BF9">
            <w:pPr>
              <w:spacing w:before="40" w:line="180" w:lineRule="exact"/>
              <w:ind w:left="113" w:hanging="113"/>
              <w:rPr>
                <w:snapToGrid w:val="0"/>
                <w:color w:val="000000"/>
                <w:sz w:val="17"/>
                <w:lang w:eastAsia="sv-SE"/>
              </w:rPr>
            </w:pPr>
          </w:p>
        </w:tc>
        <w:tc>
          <w:tcPr>
            <w:tcW w:w="3118" w:type="dxa"/>
            <w:gridSpan w:val="4"/>
            <w:tcBorders>
              <w:bottom w:val="single" w:sz="4" w:space="0" w:color="auto"/>
            </w:tcBorders>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Sänkt inkomstskatt och sociala avgifter i sjöfarten</w:t>
            </w:r>
          </w:p>
        </w:tc>
        <w:tc>
          <w:tcPr>
            <w:tcW w:w="567" w:type="dxa"/>
            <w:tcBorders>
              <w:bottom w:val="single" w:sz="4" w:space="0" w:color="auto"/>
            </w:tcBorders>
          </w:tcPr>
          <w:p w:rsidR="001C7BF9" w:rsidRPr="00C9680B" w:rsidRDefault="001C7BF9">
            <w:pPr>
              <w:spacing w:before="40" w:line="180" w:lineRule="exact"/>
              <w:ind w:left="113" w:hanging="113"/>
              <w:jc w:val="left"/>
              <w:rPr>
                <w:snapToGrid w:val="0"/>
                <w:color w:val="000000"/>
                <w:sz w:val="17"/>
                <w:lang w:eastAsia="sv-SE"/>
              </w:rPr>
            </w:pPr>
          </w:p>
        </w:tc>
        <w:tc>
          <w:tcPr>
            <w:tcW w:w="652" w:type="dxa"/>
            <w:tcBorders>
              <w:bottom w:val="single" w:sz="4" w:space="0" w:color="auto"/>
            </w:tcBorders>
          </w:tcPr>
          <w:p w:rsidR="001C7BF9" w:rsidRPr="00C9680B" w:rsidRDefault="001C7BF9">
            <w:pPr>
              <w:spacing w:before="40" w:line="180" w:lineRule="exact"/>
              <w:ind w:left="113" w:hanging="113"/>
              <w:jc w:val="right"/>
              <w:rPr>
                <w:snapToGrid w:val="0"/>
                <w:color w:val="000000"/>
                <w:sz w:val="17"/>
                <w:lang w:eastAsia="sv-SE"/>
              </w:rPr>
            </w:pPr>
          </w:p>
        </w:tc>
        <w:tc>
          <w:tcPr>
            <w:tcW w:w="652" w:type="dxa"/>
            <w:tcBorders>
              <w:bottom w:val="single" w:sz="4" w:space="0" w:color="auto"/>
            </w:tcBorders>
          </w:tcPr>
          <w:p w:rsidR="001C7BF9" w:rsidRPr="00C9680B" w:rsidRDefault="001C7BF9">
            <w:pPr>
              <w:spacing w:before="40" w:line="180" w:lineRule="exact"/>
              <w:ind w:left="113" w:hanging="113"/>
              <w:jc w:val="right"/>
              <w:rPr>
                <w:snapToGrid w:val="0"/>
                <w:color w:val="000000"/>
                <w:sz w:val="17"/>
                <w:lang w:eastAsia="sv-SE"/>
              </w:rPr>
            </w:pPr>
          </w:p>
        </w:tc>
        <w:tc>
          <w:tcPr>
            <w:tcW w:w="652" w:type="dxa"/>
            <w:tcBorders>
              <w:bottom w:val="single" w:sz="4" w:space="0" w:color="auto"/>
            </w:tcBorders>
          </w:tcPr>
          <w:p w:rsidR="001C7BF9" w:rsidRPr="00C9680B" w:rsidRDefault="001C7BF9">
            <w:pPr>
              <w:spacing w:before="120" w:line="180" w:lineRule="exact"/>
              <w:ind w:left="113" w:hanging="113"/>
              <w:jc w:val="right"/>
              <w:rPr>
                <w:snapToGrid w:val="0"/>
                <w:color w:val="000000"/>
                <w:sz w:val="17"/>
                <w:lang w:eastAsia="sv-SE"/>
              </w:rPr>
            </w:pPr>
            <w:r w:rsidRPr="00C9680B">
              <w:rPr>
                <w:snapToGrid w:val="0"/>
                <w:color w:val="000000"/>
                <w:sz w:val="17"/>
                <w:lang w:eastAsia="sv-SE"/>
              </w:rPr>
              <w:t>-1 000</w:t>
            </w:r>
          </w:p>
        </w:tc>
        <w:tc>
          <w:tcPr>
            <w:tcW w:w="652" w:type="dxa"/>
            <w:gridSpan w:val="2"/>
            <w:tcBorders>
              <w:bottom w:val="single" w:sz="4" w:space="0" w:color="auto"/>
            </w:tcBorders>
          </w:tcPr>
          <w:p w:rsidR="001C7BF9" w:rsidRPr="00C9680B" w:rsidRDefault="001C7BF9">
            <w:pPr>
              <w:spacing w:before="40" w:line="180" w:lineRule="exact"/>
              <w:ind w:left="113" w:hanging="113"/>
              <w:jc w:val="right"/>
              <w:rPr>
                <w:snapToGrid w:val="0"/>
                <w:color w:val="000000"/>
                <w:sz w:val="17"/>
                <w:lang w:eastAsia="sv-SE"/>
              </w:rPr>
            </w:pPr>
          </w:p>
        </w:tc>
      </w:tr>
    </w:tbl>
    <w:p w:rsidR="001C7BF9" w:rsidRPr="00C9680B" w:rsidRDefault="001C7BF9"/>
    <w:p w:rsidR="001C7BF9" w:rsidRPr="00C9680B" w:rsidRDefault="001C7BF9">
      <w:pPr>
        <w:pStyle w:val="Utskottetsvervganden-RubrikFrslagspunkt"/>
        <w:spacing w:before="125"/>
        <w:outlineLvl w:val="0"/>
      </w:pPr>
      <w:bookmarkStart w:id="296" w:name="_Toc497720063"/>
      <w:bookmarkStart w:id="297" w:name="_Toc498238813"/>
      <w:bookmarkStart w:id="298" w:name="_Toc498910724"/>
      <w:r w:rsidRPr="00C9680B">
        <w:t>3.5.1 Förändrade avgiftsnivåer för socialavgifterna</w:t>
      </w:r>
      <w:bookmarkEnd w:id="297"/>
      <w:bookmarkEnd w:id="298"/>
    </w:p>
    <w:p w:rsidR="001C7BF9" w:rsidRPr="00C9680B" w:rsidRDefault="001C7BF9">
      <w:pPr>
        <w:pStyle w:val="Utskottsfrslagikorthet-Rubrik"/>
        <w:outlineLvl w:val="0"/>
        <w:rPr>
          <w:noProof w:val="0"/>
        </w:rPr>
      </w:pPr>
      <w:r w:rsidRPr="00C9680B">
        <w:rPr>
          <w:noProof w:val="0"/>
        </w:rPr>
        <w:t>Utskottets delförslag i korthet</w:t>
      </w:r>
    </w:p>
    <w:p w:rsidR="001C7BF9" w:rsidRPr="00C9680B" w:rsidRDefault="001C7BF9">
      <w:pPr>
        <w:pStyle w:val="Utskottsfrslagikorthet-Text"/>
      </w:pPr>
      <w:r w:rsidRPr="00C9680B">
        <w:t>Riksdagen sänker det sammantagna uttaget av socialavgifter med 0,1 %. Den allmänna löneavgiften sänks från 3,09 till 2,69 %. Sju</w:t>
      </w:r>
      <w:r w:rsidRPr="00C9680B">
        <w:t>k</w:t>
      </w:r>
      <w:r w:rsidRPr="00C9680B">
        <w:t>försäkringsavgiften höjs från 8,5 till 8,8 % för dem som betalar a</w:t>
      </w:r>
      <w:r w:rsidRPr="00C9680B">
        <w:t>r</w:t>
      </w:r>
      <w:r w:rsidRPr="00C9680B">
        <w:t>betsgivaravgifter och från 9,23 till 9,53 % för dem som betalar    egen</w:t>
      </w:r>
      <w:r w:rsidRPr="00C9680B">
        <w:softHyphen/>
        <w:t xml:space="preserve">avgifter. Riksdagen avslår motionernas förslag. </w:t>
      </w:r>
    </w:p>
    <w:p w:rsidR="001C7BF9" w:rsidRPr="00C9680B" w:rsidRDefault="001C7BF9">
      <w:pPr>
        <w:pStyle w:val="Utskottsfrslagikorthet-Text"/>
      </w:pPr>
      <w:r w:rsidRPr="00C9680B">
        <w:t xml:space="preserve">  Jämför reservationerna 12 (m), 13 (kd), 14 (c) och 15 (fp).</w:t>
      </w:r>
    </w:p>
    <w:p w:rsidR="001C7BF9" w:rsidRPr="00C9680B" w:rsidRDefault="001C7BF9">
      <w:pPr>
        <w:pStyle w:val="R4"/>
      </w:pPr>
      <w:r w:rsidRPr="00C9680B">
        <w:t>Gällande bestämmelser</w:t>
      </w:r>
    </w:p>
    <w:p w:rsidR="001C7BF9" w:rsidRPr="00C9680B" w:rsidRDefault="001C7BF9">
      <w:r w:rsidRPr="00C9680B">
        <w:t xml:space="preserve">Socialförsäkringarna finansieras av allmän pensionsavgift, socialavgifter, statlig ålderspensionsavgift och allmänna skattemedel. </w:t>
      </w:r>
    </w:p>
    <w:p w:rsidR="001C7BF9" w:rsidRPr="00C9680B" w:rsidRDefault="001C7BF9">
      <w:pPr>
        <w:pStyle w:val="Normaltindrag"/>
      </w:pPr>
      <w:r w:rsidRPr="00C9680B">
        <w:t>Allmän pensionsavgift tas ut enligt lagen (1994:1744) om allmän pe</w:t>
      </w:r>
      <w:r w:rsidRPr="00C9680B">
        <w:t>n</w:t>
      </w:r>
      <w:r w:rsidRPr="00C9680B">
        <w:t>sionsavgift för finansiering av försäkringen för inkomstpension och tillägg</w:t>
      </w:r>
      <w:r w:rsidRPr="00C9680B">
        <w:t>s</w:t>
      </w:r>
      <w:r w:rsidRPr="00C9680B">
        <w:t xml:space="preserve">pension enligt lagen (1998:674) om inkomstgrundad ålderspension och tilläggspension i form av ålderspension enligt lagen (1962:381) om allmän försäkring. Avgiften betalas av den enskilde och beräknas på ett underlag som består av inkomst av anställning och inkomst av annat förvärvsarbete till den del summan av inkomsterna inte överstiger 8,07 förhöjda prisbasbelopp enligt lagen om allmän försäkring. Avgiften utgör för närvarande 7 </w:t>
      </w:r>
      <w:r w:rsidRPr="00C9680B">
        <w:t>% av avgiftsu</w:t>
      </w:r>
      <w:r w:rsidRPr="00C9680B">
        <w:t>n</w:t>
      </w:r>
      <w:r w:rsidRPr="00C9680B">
        <w:t xml:space="preserve">derlaget. Avgiften är till viss del avdragsgill vid taxeringen och till viss del medges skattereduktion. Avgiften betalas inte av den vars inkomster för året understiger 24 % av prisbasbeloppet. </w:t>
      </w:r>
    </w:p>
    <w:p w:rsidR="001C7BF9" w:rsidRPr="00C9680B" w:rsidRDefault="001C7BF9">
      <w:pPr>
        <w:pStyle w:val="Normaltindrag"/>
      </w:pPr>
      <w:r w:rsidRPr="00C9680B">
        <w:t>Socialavgifter betalas enligt lagen (1981:691) om socialavgifter (SAL) för finansiering av den allmänna försäkringen, ålderspensioneringen och vissa andra sociala ändamål. Avgifterna tas ut som arbet</w:t>
      </w:r>
      <w:r w:rsidRPr="00C9680B">
        <w:t>s</w:t>
      </w:r>
      <w:r w:rsidRPr="00C9680B">
        <w:t xml:space="preserve">givaravgifter och egen-avgifter. </w:t>
      </w:r>
    </w:p>
    <w:p w:rsidR="001C7BF9" w:rsidRPr="00C9680B" w:rsidRDefault="001C7BF9">
      <w:pPr>
        <w:pStyle w:val="Normaltindrag"/>
      </w:pPr>
      <w:r w:rsidRPr="00C9680B">
        <w:t>Arbetsgivaravgifter beräknas på ett underlag som består av lön och andra skattepliktiga förmåner som en arbetsgivare utger till anställda. Den totala avgiftssumman för år 2000 är 29,83 % av avgiftsunderlaget, varav sjukförsä</w:t>
      </w:r>
      <w:r w:rsidRPr="00C9680B">
        <w:t>k</w:t>
      </w:r>
      <w:r w:rsidRPr="00C9680B">
        <w:t>ringsavgiften utgör 8,50 % och ålderspensionsavgiften 10,21 %. Enligt 2 kap. 5 a § SAL får en arbetsgivare vid beräkning av arbetsgivaravgifter varje m</w:t>
      </w:r>
      <w:r w:rsidRPr="00C9680B">
        <w:t>å</w:t>
      </w:r>
      <w:r w:rsidRPr="00C9680B">
        <w:t>nad göra avdrag med 5 % av avgiftsunderlaget, dock högst 3 550 kr, vilket motsv</w:t>
      </w:r>
      <w:r w:rsidRPr="00C9680B">
        <w:t>a</w:t>
      </w:r>
      <w:r w:rsidRPr="00C9680B">
        <w:t xml:space="preserve">rar en lönesumma om 852 000 kr. </w:t>
      </w:r>
    </w:p>
    <w:p w:rsidR="001C7BF9" w:rsidRPr="00C9680B" w:rsidRDefault="001C7BF9">
      <w:pPr>
        <w:pStyle w:val="Normaltindrag"/>
      </w:pPr>
      <w:r w:rsidRPr="00C9680B">
        <w:t>Egenavgifter betalas på ett underlag som består av inkomst av annat fö</w:t>
      </w:r>
      <w:r w:rsidRPr="00C9680B">
        <w:t>r</w:t>
      </w:r>
      <w:r w:rsidRPr="00C9680B">
        <w:t xml:space="preserve">värvsarbete. En egenföretagare betalar för närvarande socialavgifter med 28,02 % av avgiftsunderlaget, varav sjukförsäkringsavgift 9,23 % och ålders-pensionsavgift 10,21 %. Vid beräkningen av egenavgifter enligt 3 kap. 5 a § SAL får avdrag göras med 5 % av avgiftsunderlaget, dock högst med 9 000 kr per år, vilket motsvarar en lönesumma om 180 000 kr. </w:t>
      </w:r>
    </w:p>
    <w:p w:rsidR="001C7BF9" w:rsidRPr="00C9680B" w:rsidRDefault="001C7BF9">
      <w:pPr>
        <w:pStyle w:val="Normaltindrag"/>
      </w:pPr>
      <w:r w:rsidRPr="00C9680B">
        <w:t>Statlig ålderspensionsavgift tas ut enligt lagen (1998:676) om statlig ål-derspensionsavgift för finansiering av försäkringen för inkoms</w:t>
      </w:r>
      <w:r w:rsidRPr="00C9680B">
        <w:t>t</w:t>
      </w:r>
      <w:r w:rsidRPr="00C9680B">
        <w:t>grundad ål</w:t>
      </w:r>
      <w:r w:rsidRPr="00C9680B">
        <w:softHyphen/>
        <w:t>ders</w:t>
      </w:r>
      <w:r w:rsidRPr="00C9680B">
        <w:softHyphen/>
        <w:t>pension enligt lagen om inkomstgrundad ålderspension. Denna avgift betalas med 10,21 % på vissa socialförsäkringsersättningar m.m. till den del dessa ersättningar tillsammans med övriga pensionsgrundande inkomster inte överstiger 8,07 förhöjda prisbasbelopp. Dessutom skall statlig ålderspe</w:t>
      </w:r>
      <w:r w:rsidRPr="00C9680B">
        <w:t>n</w:t>
      </w:r>
      <w:r w:rsidRPr="00C9680B">
        <w:t xml:space="preserve">sionsavgift betalas på pensionsgrundande belopp (fiktiv inkomst som grundar pensionsrätt bl.a. för föräldrar till små barn) med 18,5 %. </w:t>
      </w:r>
    </w:p>
    <w:p w:rsidR="001C7BF9" w:rsidRPr="00C9680B" w:rsidRDefault="001C7BF9">
      <w:pPr>
        <w:pStyle w:val="Normaltindrag"/>
      </w:pPr>
      <w:r w:rsidRPr="00C9680B">
        <w:t>Därutöver betalar arbetsgivare för varje år allmän löneavgift enlig</w:t>
      </w:r>
      <w:r w:rsidRPr="00C9680B">
        <w:t>t lagen (1994:1920) om allmän löneavgift med 3,09 % av underlaget, dvs. av arbet</w:t>
      </w:r>
      <w:r w:rsidRPr="00C9680B">
        <w:t>s</w:t>
      </w:r>
      <w:r w:rsidRPr="00C9680B">
        <w:t xml:space="preserve">givaren utgiven lön m.m. </w:t>
      </w:r>
    </w:p>
    <w:p w:rsidR="001C7BF9" w:rsidRPr="00C9680B" w:rsidRDefault="001C7BF9">
      <w:pPr>
        <w:pStyle w:val="R4"/>
      </w:pPr>
      <w:r w:rsidRPr="00C9680B">
        <w:t>Budgetpropositionen</w:t>
      </w:r>
    </w:p>
    <w:p w:rsidR="001C7BF9" w:rsidRPr="00C9680B" w:rsidRDefault="001C7BF9">
      <w:r w:rsidRPr="00C9680B">
        <w:t>I propositionen (avsnitt 9.2.3) föreslås att sjukförsäkringsavgiften för dem som betalar arbetsgivaravgifter höjs från 8,50 till 8,80 % och för dem som betalar egenavgifter från 9,23 till 9,53 % av avgiftsunderlaget från den 1 januari 2001. Vidare föreslås att den allmänna löneavgiften sänks från 3,09 till 2,69 % av avgiftsunderlaget. Det sammantagna uttaget av socialavgifter och allmän löneavgift sänks därmed med 0,1 procentenheter. Sänkningen beräknas ge en bruttobudgetförsvagning på 0,94 miljarder krono</w:t>
      </w:r>
      <w:r w:rsidRPr="00C9680B">
        <w:t>r. Förslaget är en del av regeringens fö</w:t>
      </w:r>
      <w:r w:rsidRPr="00C9680B">
        <w:t>r</w:t>
      </w:r>
      <w:r w:rsidRPr="00C9680B">
        <w:t xml:space="preserve">slag till grön skatteväxling för år 2001. </w:t>
      </w:r>
    </w:p>
    <w:p w:rsidR="001C7BF9" w:rsidRPr="00C9680B" w:rsidRDefault="001C7BF9">
      <w:pPr>
        <w:pStyle w:val="Normaltindrag"/>
      </w:pPr>
      <w:r w:rsidRPr="00C9680B">
        <w:t>I propositionen anges att man genom förslaget också skapar bättre sa</w:t>
      </w:r>
      <w:r w:rsidRPr="00C9680B">
        <w:t>m</w:t>
      </w:r>
      <w:r w:rsidRPr="00C9680B">
        <w:t>stämmighet mellan inkomster och utgifter i sjukförsäkringssystemet. För år 2001 beräknas de kostnader som sjukförsäkringsavgiften avser att täcka up</w:t>
      </w:r>
      <w:r w:rsidRPr="00C9680B">
        <w:t>p</w:t>
      </w:r>
      <w:r w:rsidRPr="00C9680B">
        <w:t xml:space="preserve">gå till 80 miljarder kronor. Den nya procentsatsen för sjukförsäkringsavgiften har tagits in i proposition 2000/01:8 om ny socialavgiftslag. </w:t>
      </w:r>
    </w:p>
    <w:p w:rsidR="001C7BF9" w:rsidRPr="00C9680B" w:rsidRDefault="001C7BF9">
      <w:pPr>
        <w:pStyle w:val="Normaltindrag"/>
      </w:pPr>
      <w:r w:rsidRPr="00C9680B">
        <w:t>Som en del i regeringens förslag till grön skatteväxling för år 2001 höjs såväl det allmänna som det särskilda grundavdraget med ett belopp motsv</w:t>
      </w:r>
      <w:r w:rsidRPr="00C9680B">
        <w:t>a</w:t>
      </w:r>
      <w:r w:rsidRPr="00C9680B">
        <w:t>rande 3 % av prisbasbeloppet (pbb), vilket i det lägsta och det högsta i</w:t>
      </w:r>
      <w:r w:rsidRPr="00C9680B">
        <w:t>n</w:t>
      </w:r>
      <w:r w:rsidRPr="00C9680B">
        <w:t>komstskiktet motsvarar 27 % av pbb. Som en följd av detta föreslås i prop</w:t>
      </w:r>
      <w:r w:rsidRPr="00C9680B">
        <w:t>o</w:t>
      </w:r>
      <w:r w:rsidRPr="00C9680B">
        <w:t>sitionen att allmän pensionsavgift och statlig ålderspensionsavgift inte skall betalas av den som har inkomster som understiger 27 % av pbb, mot tidigare 24 %. Vidare föreslås att pensionsgrundande inkomst för varje år bara skall fastställas om summan av inkomsterna uppgått till minst 27 % av pbb, mot tidigare 24 %.</w:t>
      </w:r>
    </w:p>
    <w:p w:rsidR="001C7BF9" w:rsidRPr="00C9680B" w:rsidRDefault="001C7BF9">
      <w:pPr>
        <w:pStyle w:val="R4"/>
      </w:pPr>
      <w:r w:rsidRPr="00C9680B">
        <w:t>Motionerna</w:t>
      </w:r>
    </w:p>
    <w:p w:rsidR="001C7BF9" w:rsidRPr="00C9680B" w:rsidRDefault="001C7BF9">
      <w:r w:rsidRPr="00C9680B">
        <w:rPr>
          <w:i/>
        </w:rPr>
        <w:t>Moderata samlingspartiet</w:t>
      </w:r>
      <w:r w:rsidRPr="00C9680B">
        <w:t xml:space="preserve"> avvisar i </w:t>
      </w:r>
      <w:r w:rsidRPr="00C9680B">
        <w:rPr>
          <w:i/>
        </w:rPr>
        <w:t>motion Sk313</w:t>
      </w:r>
      <w:r w:rsidRPr="00C9680B">
        <w:t xml:space="preserve"> av Carl Fredrik Graf m.fl. (m) förslagen till ändringar gällande allmän pensionavgift, statlig ålderspe</w:t>
      </w:r>
      <w:r w:rsidRPr="00C9680B">
        <w:t>n</w:t>
      </w:r>
      <w:r w:rsidRPr="00C9680B">
        <w:t>sionsavgift och pensionsgrundande inkomst. Vidare yrkas att den allmänna löneavgiften skall sättas ned till 2,79 % av löneunderlaget år 2001. Motion</w:t>
      </w:r>
      <w:r w:rsidRPr="00C9680B">
        <w:t>ä</w:t>
      </w:r>
      <w:r w:rsidRPr="00C9680B">
        <w:t>rerna avvisar således förslaget om en sänkning av arbetsgivaravgifterna med 0,1 procentenheter (yrka</w:t>
      </w:r>
      <w:r w:rsidRPr="00C9680B">
        <w:t>n</w:t>
      </w:r>
      <w:r w:rsidRPr="00C9680B">
        <w:t xml:space="preserve">dena 4–6 och 25). </w:t>
      </w:r>
    </w:p>
    <w:p w:rsidR="001C7BF9" w:rsidRPr="00C9680B" w:rsidRDefault="001C7BF9">
      <w:r w:rsidRPr="00C9680B">
        <w:rPr>
          <w:i/>
        </w:rPr>
        <w:t>Kristdemokraterna</w:t>
      </w:r>
      <w:r w:rsidRPr="00C9680B">
        <w:t xml:space="preserve"> avvisar regeringens förslag om sänkta arbetsgivar</w:t>
      </w:r>
      <w:r w:rsidRPr="00C9680B">
        <w:softHyphen/>
        <w:t xml:space="preserve">avgifter med 0,1 procentenheter, vilket ökar inkomsterna med 0,76 miljarder kronor. En höjd arbetsgivaravgift med 0,18 procentenheter föreslås till följd av ett minskat sjuklöneansvar. Detta ökar inkomsterna med 1,77 miljarder kronor. Likadana yrkanden återfinns även i Kristdemokraternas </w:t>
      </w:r>
      <w:r w:rsidRPr="00C9680B">
        <w:rPr>
          <w:i/>
        </w:rPr>
        <w:t>motion Sk323</w:t>
      </w:r>
      <w:r w:rsidRPr="00C9680B">
        <w:t xml:space="preserve"> yrka</w:t>
      </w:r>
      <w:r w:rsidRPr="00C9680B">
        <w:t>n</w:t>
      </w:r>
      <w:r w:rsidRPr="00C9680B">
        <w:t xml:space="preserve">dena 23 och 24. I </w:t>
      </w:r>
      <w:r w:rsidRPr="00C9680B">
        <w:rPr>
          <w:i/>
        </w:rPr>
        <w:t xml:space="preserve">motionerna N324 </w:t>
      </w:r>
      <w:r w:rsidRPr="00C9680B">
        <w:t>yrkande 6 och</w:t>
      </w:r>
      <w:r w:rsidRPr="00C9680B">
        <w:rPr>
          <w:i/>
        </w:rPr>
        <w:t xml:space="preserve"> Sk323</w:t>
      </w:r>
      <w:r w:rsidRPr="00C9680B">
        <w:t xml:space="preserve"> yrkande 22 föreslås även att arbetsgivaravgifterna sänks fr.o.m. år 2002 med 10 procentenheter på lö</w:t>
      </w:r>
      <w:r w:rsidRPr="00C9680B">
        <w:t>nesummor upp till 900 000 kr per år. För egenföretagare utökas den ne</w:t>
      </w:r>
      <w:r w:rsidRPr="00C9680B">
        <w:t>d</w:t>
      </w:r>
      <w:r w:rsidRPr="00C9680B">
        <w:t xml:space="preserve">sättningsbaserade lönesumman till 250 000 kr per år. </w:t>
      </w:r>
    </w:p>
    <w:p w:rsidR="001C7BF9" w:rsidRPr="00C9680B" w:rsidRDefault="001C7BF9">
      <w:r w:rsidRPr="00C9680B">
        <w:rPr>
          <w:i/>
        </w:rPr>
        <w:t>Centerpartiet</w:t>
      </w:r>
      <w:r w:rsidRPr="00C9680B">
        <w:t xml:space="preserve"> avvisar regeringens förslag till sänkning av arbetsgivaravgifte</w:t>
      </w:r>
      <w:r w:rsidRPr="00C9680B">
        <w:t>r</w:t>
      </w:r>
      <w:r w:rsidRPr="00C9680B">
        <w:t>na med 0,1 procentenheter, vilket ger 0,76 miljarder kronor i ökade inkom</w:t>
      </w:r>
      <w:r w:rsidRPr="00C9680B">
        <w:t>s</w:t>
      </w:r>
      <w:r w:rsidRPr="00C9680B">
        <w:t>ter. Motionärerna anser att nedsättningen av arbetsgivaravgifterna skall utö</w:t>
      </w:r>
      <w:r w:rsidRPr="00C9680B">
        <w:t>k</w:t>
      </w:r>
      <w:r w:rsidRPr="00C9680B">
        <w:t>as till 10 procentenheter på ett oförändrat underlag. Inkomsterna minskar med 5,53 miljarder kronor med detta förslag. För att kompensera en förlängd sjuklöneperiod i den offentliga sektorn föreslås att arbetsgivaravgifterna sänks med 0,7 procentenheter. Förslaget minskar inkomsterna med 2 milja</w:t>
      </w:r>
      <w:r w:rsidRPr="00C9680B">
        <w:t xml:space="preserve">rder kronor. I </w:t>
      </w:r>
      <w:r w:rsidRPr="00C9680B">
        <w:rPr>
          <w:i/>
        </w:rPr>
        <w:t>motion Sk321</w:t>
      </w:r>
      <w:r w:rsidRPr="00C9680B">
        <w:t xml:space="preserve"> återfinns liknande yrkanden om nedsättning av a</w:t>
      </w:r>
      <w:r w:rsidRPr="00C9680B">
        <w:t>r</w:t>
      </w:r>
      <w:r w:rsidRPr="00C9680B">
        <w:t>betsgivaravgiften med 10 procentenheter och sänkning av arbetsgivaravgiften i offentlig sektor (yrka</w:t>
      </w:r>
      <w:r w:rsidRPr="00C9680B">
        <w:t>n</w:t>
      </w:r>
      <w:r w:rsidRPr="00C9680B">
        <w:t>dena 18 och 25).</w:t>
      </w:r>
    </w:p>
    <w:p w:rsidR="001C7BF9" w:rsidRPr="00C9680B" w:rsidRDefault="001C7BF9">
      <w:r w:rsidRPr="00C9680B">
        <w:rPr>
          <w:i/>
        </w:rPr>
        <w:t>Folkpartiet</w:t>
      </w:r>
      <w:r w:rsidRPr="00C9680B">
        <w:t xml:space="preserve"> </w:t>
      </w:r>
      <w:r w:rsidRPr="00C9680B">
        <w:rPr>
          <w:i/>
        </w:rPr>
        <w:t>liberalerna</w:t>
      </w:r>
      <w:r w:rsidRPr="00C9680B">
        <w:t xml:space="preserve"> anser att arbetsgivar- och egenavgifterna i tjänste</w:t>
      </w:r>
      <w:r w:rsidRPr="00C9680B">
        <w:softHyphen/>
        <w:t>sektorn bör sänkas med 2 procentenheter år 2001. Förslaget minskar enligt motionärerna inkomsterna 2001 med 5,1 miljarder kronor. Motionärerna anser att arbetsgivaravgifterna inom tjänstesektorn för åren därefter bör sä</w:t>
      </w:r>
      <w:r w:rsidRPr="00C9680B">
        <w:t>n</w:t>
      </w:r>
      <w:r w:rsidRPr="00C9680B">
        <w:t>kas med 5 procentenheter.</w:t>
      </w:r>
    </w:p>
    <w:p w:rsidR="001C7BF9" w:rsidRPr="00C9680B" w:rsidRDefault="001C7BF9">
      <w:pPr>
        <w:pStyle w:val="R4"/>
      </w:pPr>
      <w:r w:rsidRPr="00C9680B">
        <w:t>Socialförsäkringsutskottets yttrande</w:t>
      </w:r>
    </w:p>
    <w:p w:rsidR="001C7BF9" w:rsidRPr="00C9680B" w:rsidRDefault="001C7BF9">
      <w:r w:rsidRPr="00C9680B">
        <w:t>Socialförsäkringsutskottet anför i sitt yttrande (SfU1y) att de kostnader som sjukförsäkrings</w:t>
      </w:r>
      <w:r w:rsidRPr="00C9680B">
        <w:softHyphen/>
        <w:t>avgiften avser att täcka uppgå till 80 miljarder kronor och att utskottet mot den bakgrunden anser det rimligt att sjukförsäkringsavgiften höjs med 0,3 procentenheter från den 1 jan</w:t>
      </w:r>
      <w:r w:rsidRPr="00C9680B">
        <w:t>u</w:t>
      </w:r>
      <w:r w:rsidRPr="00C9680B">
        <w:t xml:space="preserve">ari 2001. </w:t>
      </w:r>
    </w:p>
    <w:p w:rsidR="001C7BF9" w:rsidRPr="00C9680B" w:rsidRDefault="001C7BF9">
      <w:pPr>
        <w:pStyle w:val="Normaltindrag"/>
      </w:pPr>
      <w:r w:rsidRPr="00C9680B">
        <w:t>Utskottet anför vidare att den sänkning av skatten på arbete som ingår i den gröna skatteväxlingen bl.a. innebär  att en viss sänkning av arbetsgiva</w:t>
      </w:r>
      <w:r w:rsidRPr="00C9680B">
        <w:t>r</w:t>
      </w:r>
      <w:r w:rsidRPr="00C9680B">
        <w:t>avgifterna skall ske. Enligt socialförsäkringsutskottets mening är en sänkning av den allmänna löneavgiften med 0,4 procentenheter, vilket sammantaget ger en sänkning av arbetsgivaravgifterna med 0,1 procentenheter, motiverad. Förslaget skapar också enligt utskottets mening en bättre samstämmighet mellan inkomster och utgifter i sjukförsäkringssystemet.</w:t>
      </w:r>
    </w:p>
    <w:p w:rsidR="001C7BF9" w:rsidRPr="00C9680B" w:rsidRDefault="001C7BF9">
      <w:pPr>
        <w:pStyle w:val="Normaltindrag"/>
      </w:pPr>
      <w:r w:rsidRPr="00C9680B">
        <w:t xml:space="preserve">Socialförsäkringsutskottet konstaterar också att de höjda grundavdragen medför att allmän pensionsavgift och statlig ålderspensionsavgift inte bör betalas </w:t>
      </w:r>
      <w:r w:rsidRPr="00C9680B">
        <w:t>av den som har inkomster som understiger 27 % av prisbasbeloppet och att pensions</w:t>
      </w:r>
      <w:r w:rsidRPr="00C9680B">
        <w:softHyphen/>
        <w:t>grundande inkomst för varje år bör fastställas om summan av inkom</w:t>
      </w:r>
      <w:r w:rsidRPr="00C9680B">
        <w:t>s</w:t>
      </w:r>
      <w:r w:rsidRPr="00C9680B">
        <w:t xml:space="preserve">terna uppgått till minst 27 % av prisbasbeloppet. </w:t>
      </w:r>
    </w:p>
    <w:p w:rsidR="001C7BF9" w:rsidRPr="00C9680B" w:rsidRDefault="001C7BF9">
      <w:pPr>
        <w:pStyle w:val="Normaltindrag"/>
      </w:pPr>
      <w:r w:rsidRPr="00C9680B">
        <w:t>När det gäller Kristdemokraternas och Centerpartiets krav på sänkta a</w:t>
      </w:r>
      <w:r w:rsidRPr="00C9680B">
        <w:t>r</w:t>
      </w:r>
      <w:r w:rsidRPr="00C9680B">
        <w:t>betsgivaravgifter vidhåller socialförsäkringsutskottet sin tidigare inställning att skäl saknas såväl för en generell sänkning, utöver den nu föreslagna sän</w:t>
      </w:r>
      <w:r w:rsidRPr="00C9680B">
        <w:t>k</w:t>
      </w:r>
      <w:r w:rsidRPr="00C9680B">
        <w:t>ningen med 0,1 procentenheter, som för en höjning av lönesumman. Utskottet kan inte heller ställa sig bakom Folkpartiets krav på en generell sänkning fr.o.m. 2001 av arbetsg</w:t>
      </w:r>
      <w:r w:rsidRPr="00C9680B">
        <w:t>i</w:t>
      </w:r>
      <w:r w:rsidRPr="00C9680B">
        <w:t xml:space="preserve">varavgifterna inom tjänstesektorn. </w:t>
      </w:r>
    </w:p>
    <w:p w:rsidR="001C7BF9" w:rsidRPr="00C9680B" w:rsidRDefault="001C7BF9">
      <w:pPr>
        <w:pStyle w:val="Normaltindrag"/>
      </w:pPr>
      <w:r w:rsidRPr="00C9680B">
        <w:t>Socialförsäkringsutskottet tillstyrker regeringens förslag till ändringar i l</w:t>
      </w:r>
      <w:r w:rsidRPr="00C9680B">
        <w:t>a</w:t>
      </w:r>
      <w:r w:rsidRPr="00C9680B">
        <w:t>gen (1994:1920) om allmän löneavgift, lagen (1994:1744) om allmän pe</w:t>
      </w:r>
      <w:r w:rsidRPr="00C9680B">
        <w:t>n</w:t>
      </w:r>
      <w:r w:rsidRPr="00C9680B">
        <w:t>sionsavgift, lagen (1998:674) om inkomstgrundad ålderspension och lagen (1998:676) om statlig ålderspensionsavgift (lagförslag 3.4 , 3.6, 3.7 och 3.8). Utskottet avsty</w:t>
      </w:r>
      <w:r w:rsidRPr="00C9680B">
        <w:t>r</w:t>
      </w:r>
      <w:r w:rsidRPr="00C9680B">
        <w:t>ker i motsvarande delar de aktuella motionerna.</w:t>
      </w:r>
    </w:p>
    <w:p w:rsidR="001C7BF9" w:rsidRPr="00C9680B" w:rsidRDefault="001C7BF9">
      <w:pPr>
        <w:pStyle w:val="R4"/>
      </w:pPr>
      <w:r w:rsidRPr="00C9680B">
        <w:t>Finansutskottets ställningstagande</w:t>
      </w:r>
    </w:p>
    <w:p w:rsidR="001C7BF9" w:rsidRPr="00C9680B" w:rsidRDefault="001C7BF9">
      <w:r w:rsidRPr="00C9680B">
        <w:t>Finansutskottet tillstyrker i likhet med socialförsäkringsutskottet propositi</w:t>
      </w:r>
      <w:r w:rsidRPr="00C9680B">
        <w:t>o</w:t>
      </w:r>
      <w:r w:rsidRPr="00C9680B">
        <w:t>nens förslag om förändrade avgiftsnivåer för socialavgifterna och avstyrker motionerna Sk313 (m) yrkandena 4–6 (alla delvis) och 25, Sk321 (c) yrka</w:t>
      </w:r>
      <w:r w:rsidRPr="00C9680B">
        <w:t>n</w:t>
      </w:r>
      <w:r w:rsidRPr="00C9680B">
        <w:t>dena 18 och 25, Sk323 (kd) yrkandena 22–24 och N324 (kd) yrkande 6.</w:t>
      </w:r>
    </w:p>
    <w:p w:rsidR="001C7BF9" w:rsidRPr="00C9680B" w:rsidRDefault="001C7BF9">
      <w:pPr>
        <w:pStyle w:val="Utskottetsvervganden-RubrikFrslagspunkt"/>
        <w:outlineLvl w:val="0"/>
      </w:pPr>
      <w:bookmarkStart w:id="299" w:name="_Toc498238814"/>
      <w:bookmarkStart w:id="300" w:name="_Toc498910725"/>
      <w:r w:rsidRPr="00C9680B">
        <w:t>3.5.2 Löneskatt på vinstandelar</w:t>
      </w:r>
      <w:bookmarkEnd w:id="296"/>
      <w:bookmarkEnd w:id="299"/>
      <w:bookmarkEnd w:id="300"/>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 xml:space="preserve">Riksdagen avslår motionsförslagen om att särskild löneskatt inte skall utgå på avsättning till vinstandelsstiftelser. </w:t>
      </w:r>
    </w:p>
    <w:p w:rsidR="001C7BF9" w:rsidRPr="00C9680B" w:rsidRDefault="001C7BF9">
      <w:pPr>
        <w:pStyle w:val="Utskottsfrslagikorthet-Text"/>
      </w:pPr>
      <w:r w:rsidRPr="00C9680B">
        <w:t xml:space="preserve">  Jämför reservationerna 13 (kd) och 15 (fp).</w:t>
      </w:r>
    </w:p>
    <w:p w:rsidR="001C7BF9" w:rsidRPr="00C9680B" w:rsidRDefault="001C7BF9">
      <w:pPr>
        <w:pStyle w:val="Utskottetsvervganden-kursivrubrik"/>
        <w:rPr>
          <w:noProof w:val="0"/>
        </w:rPr>
      </w:pPr>
      <w:bookmarkStart w:id="301" w:name="_Toc497206496"/>
      <w:bookmarkStart w:id="302" w:name="_Toc497720065"/>
      <w:bookmarkStart w:id="303" w:name="_Toc498238815"/>
      <w:bookmarkStart w:id="304" w:name="_Toc498910726"/>
      <w:r w:rsidRPr="00C9680B">
        <w:rPr>
          <w:noProof w:val="0"/>
        </w:rPr>
        <w:t>Gällande bestämmelser</w:t>
      </w:r>
      <w:bookmarkEnd w:id="301"/>
      <w:bookmarkEnd w:id="302"/>
      <w:bookmarkEnd w:id="303"/>
      <w:bookmarkEnd w:id="304"/>
    </w:p>
    <w:p w:rsidR="001C7BF9" w:rsidRPr="00C9680B" w:rsidRDefault="001C7BF9">
      <w:r w:rsidRPr="00C9680B">
        <w:t>Sedan den 1 januari 1997 tas särskild löneskatt ut på bidrag som en arbets</w:t>
      </w:r>
      <w:r w:rsidRPr="00C9680B">
        <w:softHyphen/>
        <w:t>givare lämnar till en vinstandelsstiftelse (prop. 1996/97:21, bet. 1996/97: FiU1). I propositionen framhölls att en av grundtankarna bakom skatte</w:t>
      </w:r>
      <w:r w:rsidRPr="00C9680B">
        <w:softHyphen/>
        <w:t>refor</w:t>
      </w:r>
      <w:r w:rsidRPr="00C9680B">
        <w:softHyphen/>
        <w:t>men är att alla typer av förvärvsinkomster skall behandlas likfor</w:t>
      </w:r>
      <w:r w:rsidRPr="00C9680B">
        <w:softHyphen/>
        <w:t>migt.</w:t>
      </w:r>
    </w:p>
    <w:p w:rsidR="001C7BF9" w:rsidRPr="00C9680B" w:rsidRDefault="001C7BF9">
      <w:pPr>
        <w:pStyle w:val="Normaltindrag"/>
      </w:pPr>
      <w:r w:rsidRPr="00C9680B">
        <w:t>Vad beträffar utbetalning från en vinstandelsstiftelse finns det  sedan den 1 januari 1993 en möjlighet till befrielse från socialavgifter (i vissa fall särskild löneskatt). Villkoren är att de bidrag som arbetsgivaren lämnat skall ha varit avsedda att vara bundna under minst tre kalend</w:t>
      </w:r>
      <w:r w:rsidRPr="00C9680B">
        <w:t>erår, tillkomma en betydande del av de anställda och lämnas till dem på likartade villkor. Om dessa villkor inte är uppfyllda eller om ersättning lämnas till bl.a. delägare eller företags</w:t>
      </w:r>
      <w:r w:rsidRPr="00C9680B">
        <w:softHyphen/>
        <w:t>ledare i ett fåmansbolag gäller i princip inte sådan avgiftsfrihet.</w:t>
      </w:r>
    </w:p>
    <w:p w:rsidR="001C7BF9" w:rsidRPr="00C9680B" w:rsidRDefault="001C7BF9">
      <w:pPr>
        <w:pStyle w:val="R4"/>
      </w:pPr>
      <w:bookmarkStart w:id="305" w:name="_Toc497206497"/>
      <w:bookmarkStart w:id="306" w:name="_Toc497720066"/>
      <w:r w:rsidRPr="00C9680B">
        <w:t>Motionerna</w:t>
      </w:r>
      <w:bookmarkEnd w:id="305"/>
      <w:bookmarkEnd w:id="306"/>
    </w:p>
    <w:p w:rsidR="001C7BF9" w:rsidRPr="00C9680B" w:rsidRDefault="001C7BF9">
      <w:r w:rsidRPr="00C9680B">
        <w:rPr>
          <w:i/>
        </w:rPr>
        <w:t>Kristdemokraterna</w:t>
      </w:r>
      <w:r w:rsidRPr="00C9680B">
        <w:t xml:space="preserve"> yrkar i </w:t>
      </w:r>
      <w:r w:rsidRPr="00C9680B">
        <w:rPr>
          <w:i/>
        </w:rPr>
        <w:t>motion Sk323</w:t>
      </w:r>
      <w:r w:rsidRPr="00C9680B">
        <w:t xml:space="preserve"> yrkande 46 av Alf Svensson m.fl. (kd) att den särskilda löneskatten på bidrag till vi</w:t>
      </w:r>
      <w:r w:rsidRPr="00C9680B">
        <w:t>n</w:t>
      </w:r>
      <w:r w:rsidRPr="00C9680B">
        <w:t xml:space="preserve">standelsstiftelser slopas. </w:t>
      </w:r>
    </w:p>
    <w:p w:rsidR="001C7BF9" w:rsidRPr="00C9680B" w:rsidRDefault="001C7BF9">
      <w:r w:rsidRPr="00C9680B">
        <w:rPr>
          <w:i/>
        </w:rPr>
        <w:t>Folkpartiet liberalerna</w:t>
      </w:r>
      <w:r w:rsidRPr="00C9680B">
        <w:t xml:space="preserve"> anför i </w:t>
      </w:r>
      <w:r w:rsidRPr="00C9680B">
        <w:rPr>
          <w:i/>
        </w:rPr>
        <w:t xml:space="preserve">motion Sk324 </w:t>
      </w:r>
      <w:r w:rsidRPr="00C9680B">
        <w:t>yrkande 8 av Lars Leijonborg m.fl. (fp) att den särskilda löneskatten på avsättning till vinstandelsstiftelser bör slopas för att stimulera till en utvidgad användning av sådana sy</w:t>
      </w:r>
      <w:r w:rsidRPr="00C9680B">
        <w:t>s</w:t>
      </w:r>
      <w:r w:rsidRPr="00C9680B">
        <w:t>tem.</w:t>
      </w:r>
    </w:p>
    <w:p w:rsidR="001C7BF9" w:rsidRPr="00C9680B" w:rsidRDefault="001C7BF9">
      <w:pPr>
        <w:pStyle w:val="R4"/>
      </w:pPr>
      <w:r w:rsidRPr="00C9680B">
        <w:t>Skatteutskottets yttrande</w:t>
      </w:r>
    </w:p>
    <w:p w:rsidR="001C7BF9" w:rsidRPr="00C9680B" w:rsidRDefault="001C7BF9">
      <w:r w:rsidRPr="00C9680B">
        <w:t>Skatteutskottet anför (SkU1y) att uttaget av särskild löneskatt på avsättningar till vinstandelsstiftelser är en följd av principerna om likformig beskattning och att utskottet vid ett antal tillfällen har avstyrkt yrkanden om ett slopande av löneskatten på dessa avsättningar. Utskottet framhåller att en särskild stimulans för vinstandelsstiftelserna har införts genom att utbetalningarna under vissa villkor är undantagna från socialavgift. Skatteutskottet avstyrker  motionsy</w:t>
      </w:r>
      <w:r w:rsidRPr="00C9680B">
        <w:t>r</w:t>
      </w:r>
      <w:r w:rsidRPr="00C9680B">
        <w:t>kandena.</w:t>
      </w:r>
    </w:p>
    <w:p w:rsidR="001C7BF9" w:rsidRPr="00C9680B" w:rsidRDefault="001C7BF9">
      <w:pPr>
        <w:pStyle w:val="R4"/>
      </w:pPr>
      <w:r w:rsidRPr="00C9680B">
        <w:t>Finansutskottets ställningstagande</w:t>
      </w:r>
    </w:p>
    <w:p w:rsidR="001C7BF9" w:rsidRPr="00C9680B" w:rsidRDefault="001C7BF9">
      <w:r w:rsidRPr="00C9680B">
        <w:t>Finansutskottet avstyrker i likhet med skatteutskottet motionerna Sk323 (kd) yrkande 46 och Sk324 (fp) yrkande 8.</w:t>
      </w:r>
    </w:p>
    <w:p w:rsidR="001C7BF9" w:rsidRPr="00C9680B" w:rsidRDefault="001C7BF9">
      <w:pPr>
        <w:pStyle w:val="Rubrik1b"/>
      </w:pPr>
      <w:bookmarkStart w:id="307" w:name="_Toc497720068"/>
      <w:bookmarkStart w:id="308" w:name="_Toc498238816"/>
      <w:r w:rsidRPr="00C9680B">
        <w:br w:type="page"/>
      </w:r>
      <w:bookmarkStart w:id="309" w:name="_Toc498910727"/>
      <w:r w:rsidRPr="00C9680B">
        <w:t>3.6 Skatt på egendom</w:t>
      </w:r>
      <w:bookmarkEnd w:id="307"/>
      <w:bookmarkEnd w:id="308"/>
      <w:bookmarkEnd w:id="309"/>
    </w:p>
    <w:p w:rsidR="001C7BF9" w:rsidRPr="00C9680B" w:rsidRDefault="001C7BF9"/>
    <w:tbl>
      <w:tblPr>
        <w:tblW w:w="0" w:type="auto"/>
        <w:tblInd w:w="-793" w:type="dxa"/>
        <w:tblLayout w:type="fixed"/>
        <w:tblCellMar>
          <w:left w:w="30" w:type="dxa"/>
          <w:right w:w="30" w:type="dxa"/>
        </w:tblCellMar>
        <w:tblLook w:val="0000" w:firstRow="0" w:lastRow="0" w:firstColumn="0" w:lastColumn="0" w:noHBand="0" w:noVBand="0"/>
      </w:tblPr>
      <w:tblGrid>
        <w:gridCol w:w="707"/>
        <w:gridCol w:w="512"/>
        <w:gridCol w:w="567"/>
        <w:gridCol w:w="1445"/>
        <w:gridCol w:w="850"/>
        <w:gridCol w:w="567"/>
        <w:gridCol w:w="709"/>
        <w:gridCol w:w="681"/>
        <w:gridCol w:w="737"/>
        <w:gridCol w:w="29"/>
        <w:gridCol w:w="679"/>
      </w:tblGrid>
      <w:tr w:rsidR="00000000" w:rsidRPr="00C9680B">
        <w:tblPrEx>
          <w:tblCellMar>
            <w:top w:w="0" w:type="dxa"/>
            <w:bottom w:w="0" w:type="dxa"/>
          </w:tblCellMar>
        </w:tblPrEx>
        <w:trPr>
          <w:gridAfter w:val="1"/>
          <w:wAfter w:w="679" w:type="dxa"/>
          <w:cantSplit/>
          <w:trHeight w:val="180"/>
        </w:trPr>
        <w:tc>
          <w:tcPr>
            <w:tcW w:w="6804" w:type="dxa"/>
            <w:gridSpan w:val="10"/>
            <w:tcBorders>
              <w:bottom w:val="single" w:sz="4" w:space="0" w:color="auto"/>
            </w:tcBorders>
          </w:tcPr>
          <w:p w:rsidR="001C7BF9" w:rsidRPr="00C9680B" w:rsidRDefault="001C7BF9">
            <w:pPr>
              <w:spacing w:before="40" w:line="180" w:lineRule="exact"/>
              <w:jc w:val="left"/>
              <w:rPr>
                <w:b/>
                <w:snapToGrid w:val="0"/>
                <w:color w:val="000000"/>
                <w:sz w:val="17"/>
                <w:lang w:eastAsia="sv-SE"/>
              </w:rPr>
            </w:pPr>
            <w:r w:rsidRPr="00C9680B">
              <w:rPr>
                <w:b/>
                <w:snapToGrid w:val="0"/>
                <w:color w:val="000000"/>
                <w:sz w:val="17"/>
                <w:lang w:eastAsia="sv-SE"/>
              </w:rPr>
              <w:t>Tabell 38. Huvudgrupp 1300 Skatt på egendom</w:t>
            </w:r>
          </w:p>
          <w:p w:rsidR="001C7BF9" w:rsidRPr="00C9680B" w:rsidRDefault="001C7BF9">
            <w:pPr>
              <w:pStyle w:val="Normaltindrag"/>
              <w:ind w:firstLine="0"/>
              <w:rPr>
                <w:sz w:val="14"/>
              </w:rPr>
            </w:pPr>
            <w:r w:rsidRPr="00C9680B">
              <w:rPr>
                <w:sz w:val="14"/>
              </w:rPr>
              <w:t>Miljoner kronor</w:t>
            </w:r>
          </w:p>
        </w:tc>
      </w:tr>
      <w:tr w:rsidR="00000000" w:rsidRPr="00C9680B">
        <w:tblPrEx>
          <w:jc w:val="right"/>
          <w:tblInd w:w="0" w:type="dxa"/>
          <w:tblCellMar>
            <w:top w:w="0" w:type="dxa"/>
            <w:bottom w:w="0" w:type="dxa"/>
          </w:tblCellMar>
        </w:tblPrEx>
        <w:trPr>
          <w:gridBefore w:val="1"/>
          <w:wBefore w:w="707" w:type="dxa"/>
          <w:cantSplit/>
          <w:trHeight w:val="180"/>
          <w:jc w:val="right"/>
        </w:trPr>
        <w:tc>
          <w:tcPr>
            <w:tcW w:w="2524" w:type="dxa"/>
            <w:gridSpan w:val="3"/>
            <w:tcBorders>
              <w:top w:val="single" w:sz="4" w:space="0" w:color="auto"/>
            </w:tcBorders>
          </w:tcPr>
          <w:p w:rsidR="001C7BF9" w:rsidRPr="00C9680B" w:rsidRDefault="001C7BF9">
            <w:pPr>
              <w:spacing w:before="40" w:line="180" w:lineRule="atLeast"/>
              <w:ind w:left="113" w:hanging="113"/>
              <w:rPr>
                <w:snapToGrid w:val="0"/>
                <w:color w:val="000000"/>
                <w:sz w:val="17"/>
                <w:lang w:eastAsia="sv-SE"/>
              </w:rPr>
            </w:pPr>
          </w:p>
        </w:tc>
        <w:tc>
          <w:tcPr>
            <w:tcW w:w="1417" w:type="dxa"/>
            <w:gridSpan w:val="2"/>
            <w:tcBorders>
              <w:top w:val="single" w:sz="4" w:space="0" w:color="auto"/>
            </w:tcBorders>
          </w:tcPr>
          <w:p w:rsidR="001C7BF9" w:rsidRPr="00C9680B" w:rsidRDefault="001C7BF9">
            <w:pPr>
              <w:spacing w:before="40" w:line="180" w:lineRule="atLeast"/>
              <w:ind w:left="113" w:hanging="113"/>
              <w:jc w:val="right"/>
              <w:rPr>
                <w:b/>
                <w:snapToGrid w:val="0"/>
                <w:color w:val="000000"/>
                <w:sz w:val="17"/>
                <w:lang w:eastAsia="sv-SE"/>
              </w:rPr>
            </w:pPr>
            <w:r w:rsidRPr="00C9680B">
              <w:rPr>
                <w:b/>
                <w:snapToGrid w:val="0"/>
                <w:color w:val="000000"/>
                <w:sz w:val="17"/>
                <w:lang w:eastAsia="sv-SE"/>
              </w:rPr>
              <w:t>Regerin</w:t>
            </w:r>
            <w:r w:rsidRPr="00C9680B">
              <w:rPr>
                <w:b/>
                <w:snapToGrid w:val="0"/>
                <w:color w:val="000000"/>
                <w:sz w:val="17"/>
                <w:lang w:eastAsia="sv-SE"/>
              </w:rPr>
              <w:t>g</w:t>
            </w:r>
            <w:r w:rsidRPr="00C9680B">
              <w:rPr>
                <w:b/>
                <w:snapToGrid w:val="0"/>
                <w:color w:val="000000"/>
                <w:sz w:val="17"/>
                <w:lang w:eastAsia="sv-SE"/>
              </w:rPr>
              <w:t>ens</w:t>
            </w:r>
          </w:p>
        </w:tc>
        <w:tc>
          <w:tcPr>
            <w:tcW w:w="2835" w:type="dxa"/>
            <w:gridSpan w:val="5"/>
            <w:tcBorders>
              <w:top w:val="single" w:sz="4" w:space="0" w:color="auto"/>
              <w:bottom w:val="single" w:sz="6" w:space="0" w:color="auto"/>
            </w:tcBorders>
          </w:tcPr>
          <w:p w:rsidR="001C7BF9" w:rsidRPr="00C9680B" w:rsidRDefault="001C7BF9">
            <w:pPr>
              <w:spacing w:before="40" w:line="180" w:lineRule="atLeast"/>
              <w:ind w:left="113" w:hanging="113"/>
              <w:jc w:val="center"/>
              <w:rPr>
                <w:snapToGrid w:val="0"/>
                <w:color w:val="000000"/>
                <w:sz w:val="17"/>
                <w:lang w:eastAsia="sv-SE"/>
              </w:rPr>
            </w:pPr>
            <w:r w:rsidRPr="00C9680B">
              <w:rPr>
                <w:snapToGrid w:val="0"/>
                <w:color w:val="000000"/>
                <w:sz w:val="17"/>
                <w:lang w:eastAsia="sv-SE"/>
              </w:rPr>
              <w:t>Avvikelser från regeringens förslag</w:t>
            </w:r>
          </w:p>
        </w:tc>
      </w:tr>
      <w:tr w:rsidR="00000000" w:rsidRPr="00C9680B">
        <w:tblPrEx>
          <w:jc w:val="right"/>
          <w:tblInd w:w="0" w:type="dxa"/>
          <w:tblCellMar>
            <w:top w:w="0" w:type="dxa"/>
            <w:bottom w:w="0" w:type="dxa"/>
          </w:tblCellMar>
        </w:tblPrEx>
        <w:trPr>
          <w:gridBefore w:val="1"/>
          <w:wBefore w:w="707" w:type="dxa"/>
          <w:trHeight w:val="180"/>
          <w:jc w:val="right"/>
        </w:trPr>
        <w:tc>
          <w:tcPr>
            <w:tcW w:w="1079" w:type="dxa"/>
            <w:gridSpan w:val="2"/>
            <w:tcBorders>
              <w:bottom w:val="single" w:sz="4" w:space="0" w:color="auto"/>
            </w:tcBorders>
          </w:tcPr>
          <w:p w:rsidR="001C7BF9" w:rsidRPr="00C9680B" w:rsidRDefault="001C7BF9">
            <w:pPr>
              <w:spacing w:before="40" w:line="180" w:lineRule="atLeast"/>
              <w:ind w:left="113" w:hanging="113"/>
              <w:rPr>
                <w:snapToGrid w:val="0"/>
                <w:color w:val="000000"/>
                <w:sz w:val="17"/>
                <w:lang w:eastAsia="sv-SE"/>
              </w:rPr>
            </w:pPr>
            <w:r w:rsidRPr="00C9680B">
              <w:rPr>
                <w:snapToGrid w:val="0"/>
                <w:color w:val="000000"/>
                <w:sz w:val="17"/>
                <w:lang w:eastAsia="sv-SE"/>
              </w:rPr>
              <w:t>Inkomstt</w:t>
            </w:r>
            <w:r w:rsidRPr="00C9680B">
              <w:rPr>
                <w:snapToGrid w:val="0"/>
                <w:color w:val="000000"/>
                <w:sz w:val="17"/>
                <w:lang w:eastAsia="sv-SE"/>
              </w:rPr>
              <w:t>i</w:t>
            </w:r>
            <w:r w:rsidRPr="00C9680B">
              <w:rPr>
                <w:snapToGrid w:val="0"/>
                <w:color w:val="000000"/>
                <w:sz w:val="17"/>
                <w:lang w:eastAsia="sv-SE"/>
              </w:rPr>
              <w:t>tel</w:t>
            </w:r>
          </w:p>
        </w:tc>
        <w:tc>
          <w:tcPr>
            <w:tcW w:w="1445" w:type="dxa"/>
            <w:tcBorders>
              <w:bottom w:val="single" w:sz="4" w:space="0" w:color="auto"/>
            </w:tcBorders>
          </w:tcPr>
          <w:p w:rsidR="001C7BF9" w:rsidRPr="00C9680B" w:rsidRDefault="001C7BF9">
            <w:pPr>
              <w:spacing w:before="40" w:line="180" w:lineRule="atLeast"/>
              <w:ind w:left="113" w:hanging="113"/>
              <w:jc w:val="right"/>
              <w:rPr>
                <w:snapToGrid w:val="0"/>
                <w:color w:val="000000"/>
                <w:sz w:val="17"/>
                <w:lang w:eastAsia="sv-SE"/>
              </w:rPr>
            </w:pPr>
          </w:p>
        </w:tc>
        <w:tc>
          <w:tcPr>
            <w:tcW w:w="1417" w:type="dxa"/>
            <w:gridSpan w:val="2"/>
            <w:tcBorders>
              <w:bottom w:val="single" w:sz="4" w:space="0" w:color="auto"/>
            </w:tcBorders>
          </w:tcPr>
          <w:p w:rsidR="001C7BF9" w:rsidRPr="00C9680B" w:rsidRDefault="001C7BF9">
            <w:pPr>
              <w:spacing w:before="40" w:line="180" w:lineRule="atLeast"/>
              <w:ind w:left="113" w:hanging="113"/>
              <w:jc w:val="right"/>
              <w:rPr>
                <w:b/>
                <w:snapToGrid w:val="0"/>
                <w:color w:val="000000"/>
                <w:sz w:val="17"/>
                <w:lang w:eastAsia="sv-SE"/>
              </w:rPr>
            </w:pPr>
            <w:r w:rsidRPr="00C9680B">
              <w:rPr>
                <w:b/>
                <w:snapToGrid w:val="0"/>
                <w:color w:val="000000"/>
                <w:sz w:val="17"/>
                <w:lang w:eastAsia="sv-SE"/>
              </w:rPr>
              <w:t>förslag</w:t>
            </w:r>
          </w:p>
        </w:tc>
        <w:tc>
          <w:tcPr>
            <w:tcW w:w="709" w:type="dxa"/>
            <w:tcBorders>
              <w:bottom w:val="single" w:sz="4" w:space="0" w:color="auto"/>
            </w:tcBorders>
          </w:tcPr>
          <w:p w:rsidR="001C7BF9" w:rsidRPr="00C9680B" w:rsidRDefault="001C7BF9">
            <w:pPr>
              <w:spacing w:before="40" w:line="180" w:lineRule="atLeast"/>
              <w:ind w:left="113" w:right="170" w:hanging="113"/>
              <w:jc w:val="right"/>
              <w:rPr>
                <w:b/>
                <w:snapToGrid w:val="0"/>
                <w:color w:val="000000"/>
                <w:sz w:val="17"/>
                <w:lang w:eastAsia="sv-SE"/>
              </w:rPr>
            </w:pPr>
            <w:r w:rsidRPr="00C9680B">
              <w:rPr>
                <w:b/>
                <w:snapToGrid w:val="0"/>
                <w:color w:val="000000"/>
                <w:sz w:val="17"/>
                <w:lang w:eastAsia="sv-SE"/>
              </w:rPr>
              <w:t>m</w:t>
            </w:r>
          </w:p>
        </w:tc>
        <w:tc>
          <w:tcPr>
            <w:tcW w:w="681" w:type="dxa"/>
            <w:tcBorders>
              <w:bottom w:val="single" w:sz="4" w:space="0" w:color="auto"/>
            </w:tcBorders>
          </w:tcPr>
          <w:p w:rsidR="001C7BF9" w:rsidRPr="00C9680B" w:rsidRDefault="001C7BF9">
            <w:pPr>
              <w:spacing w:before="40" w:line="180" w:lineRule="atLeast"/>
              <w:ind w:left="113" w:right="170" w:hanging="113"/>
              <w:jc w:val="right"/>
              <w:rPr>
                <w:b/>
                <w:snapToGrid w:val="0"/>
                <w:color w:val="000000"/>
                <w:sz w:val="17"/>
                <w:lang w:eastAsia="sv-SE"/>
              </w:rPr>
            </w:pPr>
            <w:r w:rsidRPr="00C9680B">
              <w:rPr>
                <w:b/>
                <w:snapToGrid w:val="0"/>
                <w:color w:val="000000"/>
                <w:sz w:val="17"/>
                <w:lang w:eastAsia="sv-SE"/>
              </w:rPr>
              <w:t>kd</w:t>
            </w:r>
          </w:p>
        </w:tc>
        <w:tc>
          <w:tcPr>
            <w:tcW w:w="737" w:type="dxa"/>
            <w:tcBorders>
              <w:bottom w:val="single" w:sz="4" w:space="0" w:color="auto"/>
            </w:tcBorders>
          </w:tcPr>
          <w:p w:rsidR="001C7BF9" w:rsidRPr="00C9680B" w:rsidRDefault="001C7BF9">
            <w:pPr>
              <w:spacing w:before="40" w:line="180" w:lineRule="atLeast"/>
              <w:ind w:left="113" w:right="170" w:hanging="113"/>
              <w:jc w:val="right"/>
              <w:rPr>
                <w:b/>
                <w:snapToGrid w:val="0"/>
                <w:color w:val="000000"/>
                <w:sz w:val="17"/>
                <w:lang w:eastAsia="sv-SE"/>
              </w:rPr>
            </w:pPr>
            <w:r w:rsidRPr="00C9680B">
              <w:rPr>
                <w:b/>
                <w:snapToGrid w:val="0"/>
                <w:color w:val="000000"/>
                <w:sz w:val="17"/>
                <w:lang w:eastAsia="sv-SE"/>
              </w:rPr>
              <w:t>c</w:t>
            </w:r>
          </w:p>
        </w:tc>
        <w:tc>
          <w:tcPr>
            <w:tcW w:w="708" w:type="dxa"/>
            <w:gridSpan w:val="2"/>
            <w:tcBorders>
              <w:bottom w:val="single" w:sz="4" w:space="0" w:color="auto"/>
            </w:tcBorders>
          </w:tcPr>
          <w:p w:rsidR="001C7BF9" w:rsidRPr="00C9680B" w:rsidRDefault="001C7BF9">
            <w:pPr>
              <w:spacing w:before="40" w:line="180" w:lineRule="atLeast"/>
              <w:ind w:left="113" w:right="170" w:hanging="113"/>
              <w:jc w:val="right"/>
              <w:rPr>
                <w:b/>
                <w:snapToGrid w:val="0"/>
                <w:color w:val="000000"/>
                <w:sz w:val="17"/>
                <w:lang w:eastAsia="sv-SE"/>
              </w:rPr>
            </w:pPr>
            <w:r w:rsidRPr="00C9680B">
              <w:rPr>
                <w:b/>
                <w:snapToGrid w:val="0"/>
                <w:color w:val="000000"/>
                <w:sz w:val="17"/>
                <w:lang w:eastAsia="sv-SE"/>
              </w:rPr>
              <w:t>fp</w:t>
            </w:r>
          </w:p>
        </w:tc>
      </w:tr>
      <w:tr w:rsidR="00000000" w:rsidRPr="00C9680B">
        <w:tblPrEx>
          <w:jc w:val="right"/>
          <w:tblInd w:w="0" w:type="dxa"/>
          <w:tblCellMar>
            <w:top w:w="0" w:type="dxa"/>
            <w:bottom w:w="0" w:type="dxa"/>
          </w:tblCellMar>
        </w:tblPrEx>
        <w:trPr>
          <w:gridBefore w:val="1"/>
          <w:wBefore w:w="707" w:type="dxa"/>
          <w:trHeight w:val="180"/>
          <w:jc w:val="right"/>
        </w:trPr>
        <w:tc>
          <w:tcPr>
            <w:tcW w:w="512" w:type="dxa"/>
          </w:tcPr>
          <w:p w:rsidR="001C7BF9" w:rsidRPr="00C9680B" w:rsidRDefault="001C7BF9">
            <w:pPr>
              <w:spacing w:before="80" w:line="180" w:lineRule="atLeast"/>
              <w:ind w:left="113" w:hanging="113"/>
              <w:jc w:val="right"/>
              <w:rPr>
                <w:b/>
                <w:snapToGrid w:val="0"/>
                <w:color w:val="000000"/>
                <w:sz w:val="17"/>
                <w:lang w:eastAsia="sv-SE"/>
              </w:rPr>
            </w:pPr>
            <w:r w:rsidRPr="00C9680B">
              <w:rPr>
                <w:b/>
                <w:snapToGrid w:val="0"/>
                <w:color w:val="000000"/>
                <w:sz w:val="17"/>
                <w:lang w:eastAsia="sv-SE"/>
              </w:rPr>
              <w:t>1312</w:t>
            </w:r>
          </w:p>
        </w:tc>
        <w:tc>
          <w:tcPr>
            <w:tcW w:w="2862" w:type="dxa"/>
            <w:gridSpan w:val="3"/>
          </w:tcPr>
          <w:p w:rsidR="001C7BF9" w:rsidRPr="00C9680B" w:rsidRDefault="001C7BF9">
            <w:pPr>
              <w:spacing w:before="80" w:line="180" w:lineRule="atLeast"/>
              <w:ind w:left="113" w:hanging="113"/>
              <w:rPr>
                <w:b/>
                <w:snapToGrid w:val="0"/>
                <w:color w:val="000000"/>
                <w:sz w:val="17"/>
                <w:lang w:eastAsia="sv-SE"/>
              </w:rPr>
            </w:pPr>
            <w:r w:rsidRPr="00C9680B">
              <w:rPr>
                <w:b/>
                <w:snapToGrid w:val="0"/>
                <w:color w:val="000000"/>
                <w:sz w:val="17"/>
                <w:lang w:eastAsia="sv-SE"/>
              </w:rPr>
              <w:t>Fastighetsskatt</w:t>
            </w:r>
          </w:p>
        </w:tc>
        <w:tc>
          <w:tcPr>
            <w:tcW w:w="567" w:type="dxa"/>
          </w:tcPr>
          <w:p w:rsidR="001C7BF9" w:rsidRPr="00C9680B" w:rsidRDefault="001C7BF9">
            <w:pPr>
              <w:spacing w:before="80" w:line="180" w:lineRule="atLeast"/>
              <w:ind w:left="113" w:hanging="113"/>
              <w:jc w:val="right"/>
              <w:rPr>
                <w:b/>
                <w:snapToGrid w:val="0"/>
                <w:color w:val="000000"/>
                <w:sz w:val="17"/>
                <w:lang w:eastAsia="sv-SE"/>
              </w:rPr>
            </w:pPr>
            <w:r w:rsidRPr="00C9680B">
              <w:rPr>
                <w:b/>
                <w:snapToGrid w:val="0"/>
                <w:color w:val="000000"/>
                <w:sz w:val="17"/>
                <w:lang w:eastAsia="sv-SE"/>
              </w:rPr>
              <w:t>23 300</w:t>
            </w:r>
          </w:p>
        </w:tc>
        <w:tc>
          <w:tcPr>
            <w:tcW w:w="709" w:type="dxa"/>
          </w:tcPr>
          <w:p w:rsidR="001C7BF9" w:rsidRPr="00C9680B" w:rsidRDefault="001C7BF9">
            <w:pPr>
              <w:spacing w:before="80" w:line="180" w:lineRule="atLeast"/>
              <w:ind w:left="113" w:hanging="113"/>
              <w:jc w:val="right"/>
              <w:rPr>
                <w:b/>
                <w:snapToGrid w:val="0"/>
                <w:color w:val="000000"/>
                <w:sz w:val="17"/>
                <w:lang w:eastAsia="sv-SE"/>
              </w:rPr>
            </w:pPr>
            <w:r w:rsidRPr="00C9680B">
              <w:rPr>
                <w:b/>
                <w:snapToGrid w:val="0"/>
                <w:color w:val="000000"/>
                <w:sz w:val="17"/>
                <w:lang w:eastAsia="sv-SE"/>
              </w:rPr>
              <w:t>-1 820</w:t>
            </w:r>
          </w:p>
        </w:tc>
        <w:tc>
          <w:tcPr>
            <w:tcW w:w="681" w:type="dxa"/>
          </w:tcPr>
          <w:p w:rsidR="001C7BF9" w:rsidRPr="00C9680B" w:rsidRDefault="001C7BF9">
            <w:pPr>
              <w:spacing w:before="80" w:line="180" w:lineRule="atLeast"/>
              <w:ind w:left="113" w:hanging="113"/>
              <w:jc w:val="right"/>
              <w:rPr>
                <w:b/>
                <w:snapToGrid w:val="0"/>
                <w:color w:val="000000"/>
                <w:sz w:val="17"/>
                <w:lang w:eastAsia="sv-SE"/>
              </w:rPr>
            </w:pPr>
            <w:r w:rsidRPr="00C9680B">
              <w:rPr>
                <w:b/>
                <w:snapToGrid w:val="0"/>
                <w:color w:val="000000"/>
                <w:sz w:val="17"/>
                <w:lang w:eastAsia="sv-SE"/>
              </w:rPr>
              <w:t>-1 040</w:t>
            </w:r>
          </w:p>
        </w:tc>
        <w:tc>
          <w:tcPr>
            <w:tcW w:w="737" w:type="dxa"/>
          </w:tcPr>
          <w:p w:rsidR="001C7BF9" w:rsidRPr="00C9680B" w:rsidRDefault="001C7BF9">
            <w:pPr>
              <w:spacing w:before="80" w:line="180" w:lineRule="atLeast"/>
              <w:ind w:left="113" w:hanging="113"/>
              <w:jc w:val="right"/>
              <w:rPr>
                <w:b/>
                <w:snapToGrid w:val="0"/>
                <w:color w:val="000000"/>
                <w:sz w:val="17"/>
                <w:lang w:eastAsia="sv-SE"/>
              </w:rPr>
            </w:pPr>
            <w:r w:rsidRPr="00C9680B">
              <w:rPr>
                <w:b/>
                <w:snapToGrid w:val="0"/>
                <w:color w:val="000000"/>
                <w:sz w:val="17"/>
                <w:lang w:eastAsia="sv-SE"/>
              </w:rPr>
              <w:t>-785</w:t>
            </w:r>
          </w:p>
        </w:tc>
        <w:tc>
          <w:tcPr>
            <w:tcW w:w="708" w:type="dxa"/>
            <w:gridSpan w:val="2"/>
          </w:tcPr>
          <w:p w:rsidR="001C7BF9" w:rsidRPr="00C9680B" w:rsidRDefault="001C7BF9">
            <w:pPr>
              <w:spacing w:before="80" w:line="180" w:lineRule="atLeast"/>
              <w:ind w:left="113" w:hanging="113"/>
              <w:jc w:val="right"/>
              <w:rPr>
                <w:b/>
                <w:snapToGrid w:val="0"/>
                <w:color w:val="000000"/>
                <w:sz w:val="17"/>
                <w:lang w:eastAsia="sv-SE"/>
              </w:rPr>
            </w:pPr>
            <w:r w:rsidRPr="00C9680B">
              <w:rPr>
                <w:b/>
                <w:snapToGrid w:val="0"/>
                <w:color w:val="000000"/>
                <w:sz w:val="17"/>
                <w:lang w:eastAsia="sv-SE"/>
              </w:rPr>
              <w:t>-900</w:t>
            </w:r>
          </w:p>
        </w:tc>
      </w:tr>
      <w:tr w:rsidR="00000000" w:rsidRPr="00C9680B">
        <w:tblPrEx>
          <w:jc w:val="right"/>
          <w:tblInd w:w="0" w:type="dxa"/>
          <w:tblCellMar>
            <w:top w:w="0" w:type="dxa"/>
            <w:bottom w:w="0" w:type="dxa"/>
          </w:tblCellMar>
        </w:tblPrEx>
        <w:trPr>
          <w:gridBefore w:val="1"/>
          <w:wBefore w:w="707" w:type="dxa"/>
          <w:trHeight w:val="180"/>
          <w:jc w:val="right"/>
        </w:trPr>
        <w:tc>
          <w:tcPr>
            <w:tcW w:w="512" w:type="dxa"/>
          </w:tcPr>
          <w:p w:rsidR="001C7BF9" w:rsidRPr="00C9680B" w:rsidRDefault="001C7BF9">
            <w:pPr>
              <w:spacing w:before="40" w:line="180" w:lineRule="atLeast"/>
              <w:ind w:left="113" w:hanging="113"/>
              <w:jc w:val="right"/>
              <w:rPr>
                <w:snapToGrid w:val="0"/>
                <w:color w:val="000000"/>
                <w:sz w:val="17"/>
                <w:lang w:eastAsia="sv-SE"/>
              </w:rPr>
            </w:pPr>
          </w:p>
        </w:tc>
        <w:tc>
          <w:tcPr>
            <w:tcW w:w="2862" w:type="dxa"/>
            <w:gridSpan w:val="3"/>
          </w:tcPr>
          <w:p w:rsidR="001C7BF9" w:rsidRPr="00C9680B" w:rsidRDefault="001C7BF9">
            <w:pPr>
              <w:spacing w:before="40" w:line="180" w:lineRule="atLeast"/>
              <w:ind w:left="113" w:hanging="113"/>
              <w:jc w:val="left"/>
              <w:rPr>
                <w:snapToGrid w:val="0"/>
                <w:color w:val="000000"/>
                <w:sz w:val="17"/>
                <w:lang w:eastAsia="sv-SE"/>
              </w:rPr>
            </w:pPr>
            <w:r w:rsidRPr="00C9680B">
              <w:rPr>
                <w:snapToGrid w:val="0"/>
                <w:color w:val="000000"/>
                <w:sz w:val="17"/>
                <w:lang w:eastAsia="sv-SE"/>
              </w:rPr>
              <w:t>Sänkt fastighetsskatt</w:t>
            </w:r>
          </w:p>
        </w:tc>
        <w:tc>
          <w:tcPr>
            <w:tcW w:w="567" w:type="dxa"/>
          </w:tcPr>
          <w:p w:rsidR="001C7BF9" w:rsidRPr="00C9680B" w:rsidRDefault="001C7BF9">
            <w:pPr>
              <w:spacing w:before="40" w:line="180" w:lineRule="atLeast"/>
              <w:ind w:left="113" w:hanging="113"/>
              <w:jc w:val="right"/>
              <w:rPr>
                <w:snapToGrid w:val="0"/>
                <w:color w:val="000000"/>
                <w:sz w:val="17"/>
                <w:lang w:eastAsia="sv-SE"/>
              </w:rPr>
            </w:pPr>
            <w:r w:rsidRPr="00C9680B">
              <w:rPr>
                <w:snapToGrid w:val="0"/>
                <w:color w:val="000000"/>
                <w:sz w:val="17"/>
                <w:lang w:eastAsia="sv-SE"/>
              </w:rPr>
              <w:t>-1 070</w:t>
            </w:r>
          </w:p>
        </w:tc>
        <w:tc>
          <w:tcPr>
            <w:tcW w:w="709" w:type="dxa"/>
          </w:tcPr>
          <w:p w:rsidR="001C7BF9" w:rsidRPr="00C9680B" w:rsidRDefault="001C7BF9">
            <w:pPr>
              <w:spacing w:before="40" w:line="180" w:lineRule="atLeast"/>
              <w:ind w:left="113" w:hanging="113"/>
              <w:jc w:val="right"/>
              <w:rPr>
                <w:snapToGrid w:val="0"/>
                <w:color w:val="000000"/>
                <w:sz w:val="17"/>
                <w:lang w:eastAsia="sv-SE"/>
              </w:rPr>
            </w:pPr>
            <w:r w:rsidRPr="00C9680B">
              <w:rPr>
                <w:snapToGrid w:val="0"/>
                <w:color w:val="000000"/>
                <w:sz w:val="17"/>
                <w:lang w:eastAsia="sv-SE"/>
              </w:rPr>
              <w:t>+1 070</w:t>
            </w:r>
          </w:p>
        </w:tc>
        <w:tc>
          <w:tcPr>
            <w:tcW w:w="681" w:type="dxa"/>
          </w:tcPr>
          <w:p w:rsidR="001C7BF9" w:rsidRPr="00C9680B" w:rsidRDefault="001C7BF9">
            <w:pPr>
              <w:spacing w:before="40" w:line="180" w:lineRule="atLeast"/>
              <w:ind w:left="113" w:hanging="113"/>
              <w:jc w:val="right"/>
              <w:rPr>
                <w:snapToGrid w:val="0"/>
                <w:color w:val="000000"/>
                <w:sz w:val="17"/>
                <w:lang w:eastAsia="sv-SE"/>
              </w:rPr>
            </w:pPr>
            <w:r w:rsidRPr="00C9680B">
              <w:rPr>
                <w:snapToGrid w:val="0"/>
                <w:color w:val="000000"/>
                <w:sz w:val="17"/>
                <w:lang w:eastAsia="sv-SE"/>
              </w:rPr>
              <w:t>+1 070</w:t>
            </w:r>
          </w:p>
        </w:tc>
        <w:tc>
          <w:tcPr>
            <w:tcW w:w="737" w:type="dxa"/>
          </w:tcPr>
          <w:p w:rsidR="001C7BF9" w:rsidRPr="00C9680B" w:rsidRDefault="001C7BF9">
            <w:pPr>
              <w:spacing w:before="40" w:line="180" w:lineRule="atLeast"/>
              <w:ind w:left="113" w:hanging="113"/>
              <w:jc w:val="right"/>
              <w:rPr>
                <w:snapToGrid w:val="0"/>
                <w:color w:val="000000"/>
                <w:sz w:val="17"/>
                <w:lang w:eastAsia="sv-SE"/>
              </w:rPr>
            </w:pPr>
            <w:r w:rsidRPr="00C9680B">
              <w:rPr>
                <w:snapToGrid w:val="0"/>
                <w:color w:val="000000"/>
                <w:sz w:val="17"/>
                <w:lang w:eastAsia="sv-SE"/>
              </w:rPr>
              <w:t>+1 070</w:t>
            </w:r>
          </w:p>
        </w:tc>
        <w:tc>
          <w:tcPr>
            <w:tcW w:w="708" w:type="dxa"/>
            <w:gridSpan w:val="2"/>
          </w:tcPr>
          <w:p w:rsidR="001C7BF9" w:rsidRPr="00C9680B" w:rsidRDefault="001C7BF9">
            <w:pPr>
              <w:spacing w:before="40" w:line="180" w:lineRule="atLeast"/>
              <w:ind w:left="113" w:hanging="113"/>
              <w:jc w:val="right"/>
              <w:rPr>
                <w:snapToGrid w:val="0"/>
                <w:color w:val="000000"/>
                <w:sz w:val="17"/>
                <w:lang w:eastAsia="sv-SE"/>
              </w:rPr>
            </w:pPr>
          </w:p>
        </w:tc>
      </w:tr>
      <w:tr w:rsidR="00000000" w:rsidRPr="00C9680B">
        <w:tblPrEx>
          <w:jc w:val="right"/>
          <w:tblInd w:w="0" w:type="dxa"/>
          <w:tblCellMar>
            <w:top w:w="0" w:type="dxa"/>
            <w:bottom w:w="0" w:type="dxa"/>
          </w:tblCellMar>
        </w:tblPrEx>
        <w:trPr>
          <w:gridBefore w:val="1"/>
          <w:wBefore w:w="707" w:type="dxa"/>
          <w:trHeight w:val="180"/>
          <w:jc w:val="right"/>
        </w:trPr>
        <w:tc>
          <w:tcPr>
            <w:tcW w:w="512" w:type="dxa"/>
          </w:tcPr>
          <w:p w:rsidR="001C7BF9" w:rsidRPr="00C9680B" w:rsidRDefault="001C7BF9">
            <w:pPr>
              <w:spacing w:before="40" w:line="180" w:lineRule="atLeast"/>
              <w:ind w:left="113" w:hanging="113"/>
              <w:jc w:val="right"/>
              <w:rPr>
                <w:snapToGrid w:val="0"/>
                <w:color w:val="000000"/>
                <w:sz w:val="17"/>
                <w:lang w:eastAsia="sv-SE"/>
              </w:rPr>
            </w:pPr>
          </w:p>
        </w:tc>
        <w:tc>
          <w:tcPr>
            <w:tcW w:w="2862" w:type="dxa"/>
            <w:gridSpan w:val="3"/>
          </w:tcPr>
          <w:p w:rsidR="001C7BF9" w:rsidRPr="00C9680B" w:rsidRDefault="001C7BF9">
            <w:pPr>
              <w:spacing w:before="40" w:line="180" w:lineRule="atLeast"/>
              <w:ind w:left="113" w:hanging="113"/>
              <w:jc w:val="left"/>
              <w:rPr>
                <w:snapToGrid w:val="0"/>
                <w:color w:val="000000"/>
                <w:sz w:val="17"/>
                <w:lang w:eastAsia="sv-SE"/>
              </w:rPr>
            </w:pPr>
            <w:r w:rsidRPr="00C9680B">
              <w:rPr>
                <w:snapToGrid w:val="0"/>
                <w:color w:val="000000"/>
                <w:sz w:val="17"/>
                <w:lang w:eastAsia="sv-SE"/>
              </w:rPr>
              <w:t>Begränsningsregel</w:t>
            </w:r>
          </w:p>
        </w:tc>
        <w:tc>
          <w:tcPr>
            <w:tcW w:w="567" w:type="dxa"/>
          </w:tcPr>
          <w:p w:rsidR="001C7BF9" w:rsidRPr="00C9680B" w:rsidRDefault="001C7BF9">
            <w:pPr>
              <w:spacing w:before="40" w:line="180" w:lineRule="atLeast"/>
              <w:ind w:left="113" w:hanging="113"/>
              <w:jc w:val="right"/>
              <w:rPr>
                <w:snapToGrid w:val="0"/>
                <w:color w:val="000000"/>
                <w:sz w:val="17"/>
                <w:lang w:eastAsia="sv-SE"/>
              </w:rPr>
            </w:pPr>
            <w:r w:rsidRPr="00C9680B">
              <w:rPr>
                <w:snapToGrid w:val="0"/>
                <w:color w:val="000000"/>
                <w:sz w:val="17"/>
                <w:lang w:eastAsia="sv-SE"/>
              </w:rPr>
              <w:t>-150</w:t>
            </w:r>
          </w:p>
        </w:tc>
        <w:tc>
          <w:tcPr>
            <w:tcW w:w="709" w:type="dxa"/>
          </w:tcPr>
          <w:p w:rsidR="001C7BF9" w:rsidRPr="00C9680B" w:rsidRDefault="001C7BF9">
            <w:pPr>
              <w:spacing w:before="40" w:line="180" w:lineRule="atLeast"/>
              <w:ind w:left="113" w:hanging="113"/>
              <w:jc w:val="right"/>
              <w:rPr>
                <w:snapToGrid w:val="0"/>
                <w:color w:val="000000"/>
                <w:sz w:val="17"/>
                <w:lang w:eastAsia="sv-SE"/>
              </w:rPr>
            </w:pPr>
            <w:r w:rsidRPr="00C9680B">
              <w:rPr>
                <w:snapToGrid w:val="0"/>
                <w:color w:val="000000"/>
                <w:sz w:val="17"/>
                <w:lang w:eastAsia="sv-SE"/>
              </w:rPr>
              <w:t>+150</w:t>
            </w:r>
          </w:p>
        </w:tc>
        <w:tc>
          <w:tcPr>
            <w:tcW w:w="681" w:type="dxa"/>
          </w:tcPr>
          <w:p w:rsidR="001C7BF9" w:rsidRPr="00C9680B" w:rsidRDefault="001C7BF9">
            <w:pPr>
              <w:spacing w:before="40" w:line="180" w:lineRule="atLeast"/>
              <w:ind w:left="113" w:hanging="113"/>
              <w:jc w:val="right"/>
              <w:rPr>
                <w:snapToGrid w:val="0"/>
                <w:color w:val="000000"/>
                <w:sz w:val="17"/>
                <w:lang w:eastAsia="sv-SE"/>
              </w:rPr>
            </w:pPr>
            <w:r w:rsidRPr="00C9680B">
              <w:rPr>
                <w:snapToGrid w:val="0"/>
                <w:color w:val="000000"/>
                <w:sz w:val="17"/>
                <w:lang w:eastAsia="sv-SE"/>
              </w:rPr>
              <w:t>+150</w:t>
            </w:r>
          </w:p>
        </w:tc>
        <w:tc>
          <w:tcPr>
            <w:tcW w:w="737" w:type="dxa"/>
          </w:tcPr>
          <w:p w:rsidR="001C7BF9" w:rsidRPr="00C9680B" w:rsidRDefault="001C7BF9">
            <w:pPr>
              <w:spacing w:before="40" w:line="180" w:lineRule="atLeast"/>
              <w:ind w:left="113" w:hanging="113"/>
              <w:jc w:val="right"/>
              <w:rPr>
                <w:snapToGrid w:val="0"/>
                <w:color w:val="000000"/>
                <w:sz w:val="17"/>
                <w:lang w:eastAsia="sv-SE"/>
              </w:rPr>
            </w:pPr>
            <w:r w:rsidRPr="00C9680B">
              <w:rPr>
                <w:snapToGrid w:val="0"/>
                <w:color w:val="000000"/>
                <w:sz w:val="17"/>
                <w:lang w:eastAsia="sv-SE"/>
              </w:rPr>
              <w:t>+150</w:t>
            </w:r>
          </w:p>
        </w:tc>
        <w:tc>
          <w:tcPr>
            <w:tcW w:w="708" w:type="dxa"/>
            <w:gridSpan w:val="2"/>
          </w:tcPr>
          <w:p w:rsidR="001C7BF9" w:rsidRPr="00C9680B" w:rsidRDefault="001C7BF9">
            <w:pPr>
              <w:spacing w:before="40" w:line="180" w:lineRule="atLeast"/>
              <w:ind w:left="113" w:hanging="113"/>
              <w:jc w:val="right"/>
              <w:rPr>
                <w:snapToGrid w:val="0"/>
                <w:color w:val="000000"/>
                <w:sz w:val="17"/>
                <w:lang w:eastAsia="sv-SE"/>
              </w:rPr>
            </w:pPr>
            <w:r w:rsidRPr="00C9680B">
              <w:rPr>
                <w:snapToGrid w:val="0"/>
                <w:color w:val="000000"/>
                <w:sz w:val="17"/>
                <w:lang w:eastAsia="sv-SE"/>
              </w:rPr>
              <w:t>+150</w:t>
            </w:r>
          </w:p>
        </w:tc>
      </w:tr>
      <w:tr w:rsidR="00000000" w:rsidRPr="00C9680B">
        <w:tblPrEx>
          <w:jc w:val="right"/>
          <w:tblInd w:w="0" w:type="dxa"/>
          <w:tblCellMar>
            <w:top w:w="0" w:type="dxa"/>
            <w:bottom w:w="0" w:type="dxa"/>
          </w:tblCellMar>
        </w:tblPrEx>
        <w:trPr>
          <w:gridBefore w:val="1"/>
          <w:wBefore w:w="707" w:type="dxa"/>
          <w:trHeight w:val="180"/>
          <w:jc w:val="right"/>
        </w:trPr>
        <w:tc>
          <w:tcPr>
            <w:tcW w:w="512" w:type="dxa"/>
          </w:tcPr>
          <w:p w:rsidR="001C7BF9" w:rsidRPr="00C9680B" w:rsidRDefault="001C7BF9">
            <w:pPr>
              <w:spacing w:before="40" w:line="180" w:lineRule="atLeast"/>
              <w:ind w:left="113" w:hanging="113"/>
              <w:jc w:val="right"/>
              <w:rPr>
                <w:snapToGrid w:val="0"/>
                <w:color w:val="000000"/>
                <w:sz w:val="17"/>
                <w:lang w:eastAsia="sv-SE"/>
              </w:rPr>
            </w:pPr>
          </w:p>
        </w:tc>
        <w:tc>
          <w:tcPr>
            <w:tcW w:w="2862" w:type="dxa"/>
            <w:gridSpan w:val="3"/>
          </w:tcPr>
          <w:p w:rsidR="001C7BF9" w:rsidRPr="00C9680B" w:rsidRDefault="001C7BF9">
            <w:pPr>
              <w:spacing w:before="40" w:line="180" w:lineRule="atLeast"/>
              <w:ind w:left="113" w:hanging="113"/>
              <w:jc w:val="left"/>
              <w:rPr>
                <w:snapToGrid w:val="0"/>
                <w:color w:val="000000"/>
                <w:sz w:val="17"/>
                <w:lang w:eastAsia="sv-SE"/>
              </w:rPr>
            </w:pPr>
            <w:r w:rsidRPr="00C9680B">
              <w:rPr>
                <w:snapToGrid w:val="0"/>
                <w:color w:val="000000"/>
                <w:sz w:val="17"/>
                <w:lang w:eastAsia="sv-SE"/>
              </w:rPr>
              <w:t>Alternativ fastighetsskatt</w:t>
            </w:r>
            <w:r w:rsidRPr="00C9680B">
              <w:rPr>
                <w:snapToGrid w:val="0"/>
                <w:color w:val="000000"/>
                <w:sz w:val="17"/>
                <w:lang w:eastAsia="sv-SE"/>
              </w:rPr>
              <w:t>e</w:t>
            </w:r>
            <w:r w:rsidRPr="00C9680B">
              <w:rPr>
                <w:snapToGrid w:val="0"/>
                <w:color w:val="000000"/>
                <w:sz w:val="17"/>
                <w:lang w:eastAsia="sv-SE"/>
              </w:rPr>
              <w:t>sänkning</w:t>
            </w:r>
          </w:p>
        </w:tc>
        <w:tc>
          <w:tcPr>
            <w:tcW w:w="567" w:type="dxa"/>
          </w:tcPr>
          <w:p w:rsidR="001C7BF9" w:rsidRPr="00C9680B" w:rsidRDefault="001C7BF9">
            <w:pPr>
              <w:spacing w:before="40" w:line="180" w:lineRule="atLeast"/>
              <w:ind w:left="113" w:hanging="113"/>
              <w:jc w:val="right"/>
              <w:rPr>
                <w:snapToGrid w:val="0"/>
                <w:color w:val="000000"/>
                <w:sz w:val="17"/>
                <w:lang w:eastAsia="sv-SE"/>
              </w:rPr>
            </w:pPr>
          </w:p>
        </w:tc>
        <w:tc>
          <w:tcPr>
            <w:tcW w:w="709" w:type="dxa"/>
          </w:tcPr>
          <w:p w:rsidR="001C7BF9" w:rsidRPr="00C9680B" w:rsidRDefault="001C7BF9">
            <w:pPr>
              <w:spacing w:before="40" w:line="180" w:lineRule="atLeast"/>
              <w:ind w:left="113" w:hanging="113"/>
              <w:jc w:val="right"/>
              <w:rPr>
                <w:snapToGrid w:val="0"/>
                <w:color w:val="000000"/>
                <w:sz w:val="17"/>
                <w:lang w:eastAsia="sv-SE"/>
              </w:rPr>
            </w:pPr>
            <w:r w:rsidRPr="00C9680B">
              <w:rPr>
                <w:snapToGrid w:val="0"/>
                <w:color w:val="000000"/>
                <w:sz w:val="17"/>
                <w:lang w:eastAsia="sv-SE"/>
              </w:rPr>
              <w:t>-3 040</w:t>
            </w:r>
          </w:p>
        </w:tc>
        <w:tc>
          <w:tcPr>
            <w:tcW w:w="681" w:type="dxa"/>
          </w:tcPr>
          <w:p w:rsidR="001C7BF9" w:rsidRPr="00C9680B" w:rsidRDefault="001C7BF9">
            <w:pPr>
              <w:spacing w:before="40" w:line="180" w:lineRule="atLeast"/>
              <w:ind w:left="113" w:hanging="113"/>
              <w:jc w:val="right"/>
              <w:rPr>
                <w:snapToGrid w:val="0"/>
                <w:color w:val="000000"/>
                <w:sz w:val="17"/>
                <w:lang w:eastAsia="sv-SE"/>
              </w:rPr>
            </w:pPr>
            <w:r w:rsidRPr="00C9680B">
              <w:rPr>
                <w:snapToGrid w:val="0"/>
                <w:color w:val="000000"/>
                <w:sz w:val="17"/>
                <w:lang w:eastAsia="sv-SE"/>
              </w:rPr>
              <w:t>-2 260</w:t>
            </w:r>
          </w:p>
        </w:tc>
        <w:tc>
          <w:tcPr>
            <w:tcW w:w="737" w:type="dxa"/>
          </w:tcPr>
          <w:p w:rsidR="001C7BF9" w:rsidRPr="00C9680B" w:rsidRDefault="001C7BF9">
            <w:pPr>
              <w:spacing w:before="40" w:line="180" w:lineRule="atLeast"/>
              <w:ind w:left="113" w:hanging="113"/>
              <w:jc w:val="right"/>
              <w:rPr>
                <w:snapToGrid w:val="0"/>
                <w:color w:val="000000"/>
                <w:sz w:val="17"/>
                <w:lang w:eastAsia="sv-SE"/>
              </w:rPr>
            </w:pPr>
            <w:r w:rsidRPr="00C9680B">
              <w:rPr>
                <w:snapToGrid w:val="0"/>
                <w:color w:val="000000"/>
                <w:sz w:val="17"/>
                <w:lang w:eastAsia="sv-SE"/>
              </w:rPr>
              <w:t>-2 005</w:t>
            </w:r>
          </w:p>
        </w:tc>
        <w:tc>
          <w:tcPr>
            <w:tcW w:w="708" w:type="dxa"/>
            <w:gridSpan w:val="2"/>
          </w:tcPr>
          <w:p w:rsidR="001C7BF9" w:rsidRPr="00C9680B" w:rsidRDefault="001C7BF9">
            <w:pPr>
              <w:spacing w:before="40" w:line="180" w:lineRule="atLeast"/>
              <w:ind w:left="113" w:hanging="113"/>
              <w:jc w:val="right"/>
              <w:rPr>
                <w:snapToGrid w:val="0"/>
                <w:color w:val="000000"/>
                <w:sz w:val="17"/>
                <w:lang w:eastAsia="sv-SE"/>
              </w:rPr>
            </w:pPr>
            <w:r w:rsidRPr="00C9680B">
              <w:rPr>
                <w:snapToGrid w:val="0"/>
                <w:color w:val="000000"/>
                <w:sz w:val="17"/>
                <w:lang w:eastAsia="sv-SE"/>
              </w:rPr>
              <w:t>-1 050</w:t>
            </w:r>
          </w:p>
        </w:tc>
      </w:tr>
      <w:tr w:rsidR="00000000" w:rsidRPr="00C9680B">
        <w:tblPrEx>
          <w:jc w:val="right"/>
          <w:tblInd w:w="0" w:type="dxa"/>
          <w:tblCellMar>
            <w:top w:w="0" w:type="dxa"/>
            <w:bottom w:w="0" w:type="dxa"/>
          </w:tblCellMar>
        </w:tblPrEx>
        <w:trPr>
          <w:gridBefore w:val="1"/>
          <w:wBefore w:w="707" w:type="dxa"/>
          <w:trHeight w:val="180"/>
          <w:jc w:val="right"/>
        </w:trPr>
        <w:tc>
          <w:tcPr>
            <w:tcW w:w="512" w:type="dxa"/>
          </w:tcPr>
          <w:p w:rsidR="001C7BF9" w:rsidRPr="00C9680B" w:rsidRDefault="001C7BF9">
            <w:pPr>
              <w:spacing w:before="40" w:line="180" w:lineRule="atLeast"/>
              <w:ind w:left="113" w:hanging="113"/>
              <w:jc w:val="right"/>
              <w:rPr>
                <w:b/>
                <w:snapToGrid w:val="0"/>
                <w:color w:val="000000"/>
                <w:sz w:val="17"/>
                <w:lang w:eastAsia="sv-SE"/>
              </w:rPr>
            </w:pPr>
            <w:r w:rsidRPr="00C9680B">
              <w:rPr>
                <w:b/>
                <w:snapToGrid w:val="0"/>
                <w:color w:val="000000"/>
                <w:sz w:val="17"/>
                <w:lang w:eastAsia="sv-SE"/>
              </w:rPr>
              <w:t>1321</w:t>
            </w:r>
          </w:p>
        </w:tc>
        <w:tc>
          <w:tcPr>
            <w:tcW w:w="2862" w:type="dxa"/>
            <w:gridSpan w:val="3"/>
          </w:tcPr>
          <w:p w:rsidR="001C7BF9" w:rsidRPr="00C9680B" w:rsidRDefault="001C7BF9">
            <w:pPr>
              <w:spacing w:before="40" w:line="180" w:lineRule="atLeast"/>
              <w:ind w:left="113" w:hanging="113"/>
              <w:jc w:val="left"/>
              <w:rPr>
                <w:b/>
                <w:snapToGrid w:val="0"/>
                <w:color w:val="000000"/>
                <w:sz w:val="17"/>
                <w:lang w:eastAsia="sv-SE"/>
              </w:rPr>
            </w:pPr>
            <w:r w:rsidRPr="00C9680B">
              <w:rPr>
                <w:b/>
                <w:snapToGrid w:val="0"/>
                <w:color w:val="000000"/>
                <w:sz w:val="17"/>
                <w:lang w:eastAsia="sv-SE"/>
              </w:rPr>
              <w:t>Fysiska personers förmögenhet</w:t>
            </w:r>
            <w:r w:rsidRPr="00C9680B">
              <w:rPr>
                <w:b/>
                <w:snapToGrid w:val="0"/>
                <w:color w:val="000000"/>
                <w:sz w:val="17"/>
                <w:lang w:eastAsia="sv-SE"/>
              </w:rPr>
              <w:t>s</w:t>
            </w:r>
            <w:r w:rsidRPr="00C9680B">
              <w:rPr>
                <w:b/>
                <w:snapToGrid w:val="0"/>
                <w:color w:val="000000"/>
                <w:sz w:val="17"/>
                <w:lang w:eastAsia="sv-SE"/>
              </w:rPr>
              <w:t>skatt</w:t>
            </w:r>
          </w:p>
        </w:tc>
        <w:tc>
          <w:tcPr>
            <w:tcW w:w="567" w:type="dxa"/>
          </w:tcPr>
          <w:p w:rsidR="001C7BF9" w:rsidRPr="00C9680B" w:rsidRDefault="001C7BF9">
            <w:pPr>
              <w:spacing w:before="0" w:line="180" w:lineRule="atLeast"/>
              <w:ind w:left="113" w:hanging="113"/>
              <w:jc w:val="right"/>
              <w:rPr>
                <w:b/>
                <w:snapToGrid w:val="0"/>
                <w:color w:val="000000"/>
                <w:sz w:val="17"/>
                <w:lang w:eastAsia="sv-SE"/>
              </w:rPr>
            </w:pPr>
            <w:r w:rsidRPr="00C9680B">
              <w:rPr>
                <w:b/>
                <w:snapToGrid w:val="0"/>
                <w:color w:val="000000"/>
                <w:sz w:val="17"/>
                <w:lang w:eastAsia="sv-SE"/>
              </w:rPr>
              <w:t>8 198</w:t>
            </w:r>
          </w:p>
        </w:tc>
        <w:tc>
          <w:tcPr>
            <w:tcW w:w="709" w:type="dxa"/>
          </w:tcPr>
          <w:p w:rsidR="001C7BF9" w:rsidRPr="00C9680B" w:rsidRDefault="001C7BF9">
            <w:pPr>
              <w:spacing w:before="0" w:line="180" w:lineRule="atLeast"/>
              <w:ind w:left="113" w:hanging="113"/>
              <w:jc w:val="right"/>
              <w:rPr>
                <w:b/>
                <w:snapToGrid w:val="0"/>
                <w:color w:val="000000"/>
                <w:sz w:val="17"/>
                <w:lang w:eastAsia="sv-SE"/>
              </w:rPr>
            </w:pPr>
            <w:r w:rsidRPr="00C9680B">
              <w:rPr>
                <w:b/>
                <w:snapToGrid w:val="0"/>
                <w:color w:val="000000"/>
                <w:sz w:val="17"/>
                <w:lang w:eastAsia="sv-SE"/>
              </w:rPr>
              <w:t>-3 650</w:t>
            </w:r>
          </w:p>
        </w:tc>
        <w:tc>
          <w:tcPr>
            <w:tcW w:w="681" w:type="dxa"/>
          </w:tcPr>
          <w:p w:rsidR="001C7BF9" w:rsidRPr="00C9680B" w:rsidRDefault="001C7BF9">
            <w:pPr>
              <w:spacing w:before="0" w:line="180" w:lineRule="atLeast"/>
              <w:ind w:left="113" w:hanging="113"/>
              <w:jc w:val="right"/>
              <w:rPr>
                <w:b/>
                <w:snapToGrid w:val="0"/>
                <w:color w:val="000000"/>
                <w:sz w:val="17"/>
                <w:lang w:eastAsia="sv-SE"/>
              </w:rPr>
            </w:pPr>
            <w:r w:rsidRPr="00C9680B">
              <w:rPr>
                <w:b/>
                <w:snapToGrid w:val="0"/>
                <w:color w:val="000000"/>
                <w:sz w:val="17"/>
                <w:lang w:eastAsia="sv-SE"/>
              </w:rPr>
              <w:t>-850</w:t>
            </w:r>
          </w:p>
        </w:tc>
        <w:tc>
          <w:tcPr>
            <w:tcW w:w="737" w:type="dxa"/>
          </w:tcPr>
          <w:p w:rsidR="001C7BF9" w:rsidRPr="00C9680B" w:rsidRDefault="001C7BF9">
            <w:pPr>
              <w:spacing w:before="0" w:line="180" w:lineRule="atLeast"/>
              <w:ind w:left="113" w:hanging="113"/>
              <w:jc w:val="right"/>
              <w:rPr>
                <w:b/>
                <w:snapToGrid w:val="0"/>
                <w:color w:val="000000"/>
                <w:sz w:val="17"/>
                <w:lang w:eastAsia="sv-SE"/>
              </w:rPr>
            </w:pPr>
            <w:r w:rsidRPr="00C9680B">
              <w:rPr>
                <w:b/>
                <w:snapToGrid w:val="0"/>
                <w:color w:val="000000"/>
                <w:sz w:val="17"/>
                <w:lang w:eastAsia="sv-SE"/>
              </w:rPr>
              <w:t>-1 750</w:t>
            </w:r>
          </w:p>
        </w:tc>
        <w:tc>
          <w:tcPr>
            <w:tcW w:w="708" w:type="dxa"/>
            <w:gridSpan w:val="2"/>
          </w:tcPr>
          <w:p w:rsidR="001C7BF9" w:rsidRPr="00C9680B" w:rsidRDefault="001C7BF9">
            <w:pPr>
              <w:spacing w:before="0" w:line="180" w:lineRule="atLeast"/>
              <w:ind w:left="113" w:hanging="113"/>
              <w:jc w:val="right"/>
              <w:rPr>
                <w:b/>
                <w:snapToGrid w:val="0"/>
                <w:color w:val="000000"/>
                <w:sz w:val="17"/>
                <w:lang w:eastAsia="sv-SE"/>
              </w:rPr>
            </w:pPr>
            <w:r w:rsidRPr="00C9680B">
              <w:rPr>
                <w:b/>
                <w:snapToGrid w:val="0"/>
                <w:color w:val="000000"/>
                <w:sz w:val="17"/>
                <w:lang w:eastAsia="sv-SE"/>
              </w:rPr>
              <w:t>-2 800</w:t>
            </w:r>
          </w:p>
        </w:tc>
      </w:tr>
      <w:tr w:rsidR="00000000" w:rsidRPr="00C9680B">
        <w:tblPrEx>
          <w:jc w:val="right"/>
          <w:tblInd w:w="0" w:type="dxa"/>
          <w:tblCellMar>
            <w:top w:w="0" w:type="dxa"/>
            <w:bottom w:w="0" w:type="dxa"/>
          </w:tblCellMar>
        </w:tblPrEx>
        <w:trPr>
          <w:gridBefore w:val="1"/>
          <w:wBefore w:w="707" w:type="dxa"/>
          <w:trHeight w:val="180"/>
          <w:jc w:val="right"/>
        </w:trPr>
        <w:tc>
          <w:tcPr>
            <w:tcW w:w="512" w:type="dxa"/>
          </w:tcPr>
          <w:p w:rsidR="001C7BF9" w:rsidRPr="00C9680B" w:rsidRDefault="001C7BF9">
            <w:pPr>
              <w:spacing w:before="80" w:line="180" w:lineRule="atLeast"/>
              <w:ind w:left="113" w:hanging="113"/>
              <w:jc w:val="right"/>
              <w:rPr>
                <w:snapToGrid w:val="0"/>
                <w:color w:val="000000"/>
                <w:sz w:val="17"/>
                <w:lang w:eastAsia="sv-SE"/>
              </w:rPr>
            </w:pPr>
          </w:p>
        </w:tc>
        <w:tc>
          <w:tcPr>
            <w:tcW w:w="2862" w:type="dxa"/>
            <w:gridSpan w:val="3"/>
          </w:tcPr>
          <w:p w:rsidR="001C7BF9" w:rsidRPr="00C9680B" w:rsidRDefault="001C7BF9">
            <w:pPr>
              <w:spacing w:before="80" w:line="180" w:lineRule="atLeast"/>
              <w:ind w:left="113" w:hanging="113"/>
              <w:jc w:val="left"/>
              <w:rPr>
                <w:snapToGrid w:val="0"/>
                <w:color w:val="000000"/>
                <w:sz w:val="17"/>
                <w:lang w:eastAsia="sv-SE"/>
              </w:rPr>
            </w:pPr>
            <w:r w:rsidRPr="00C9680B">
              <w:rPr>
                <w:snapToGrid w:val="0"/>
                <w:color w:val="000000"/>
                <w:sz w:val="17"/>
                <w:lang w:eastAsia="sv-SE"/>
              </w:rPr>
              <w:t>Höjt fribelopp till 1,0/1,5 mkr</w:t>
            </w:r>
          </w:p>
        </w:tc>
        <w:tc>
          <w:tcPr>
            <w:tcW w:w="567" w:type="dxa"/>
          </w:tcPr>
          <w:p w:rsidR="001C7BF9" w:rsidRPr="00C9680B" w:rsidRDefault="001C7BF9">
            <w:pPr>
              <w:spacing w:before="80" w:line="180" w:lineRule="atLeast"/>
              <w:ind w:left="113" w:hanging="113"/>
              <w:jc w:val="right"/>
              <w:rPr>
                <w:snapToGrid w:val="0"/>
                <w:color w:val="000000"/>
                <w:sz w:val="17"/>
                <w:lang w:eastAsia="sv-SE"/>
              </w:rPr>
            </w:pPr>
            <w:r w:rsidRPr="00C9680B">
              <w:rPr>
                <w:snapToGrid w:val="0"/>
                <w:color w:val="000000"/>
                <w:sz w:val="17"/>
                <w:lang w:eastAsia="sv-SE"/>
              </w:rPr>
              <w:t>-2 150</w:t>
            </w:r>
          </w:p>
        </w:tc>
        <w:tc>
          <w:tcPr>
            <w:tcW w:w="709" w:type="dxa"/>
          </w:tcPr>
          <w:p w:rsidR="001C7BF9" w:rsidRPr="00C9680B" w:rsidRDefault="001C7BF9">
            <w:pPr>
              <w:spacing w:before="80" w:line="180" w:lineRule="atLeast"/>
              <w:ind w:left="113" w:hanging="113"/>
              <w:jc w:val="right"/>
              <w:rPr>
                <w:snapToGrid w:val="0"/>
                <w:color w:val="000000"/>
                <w:sz w:val="17"/>
                <w:lang w:eastAsia="sv-SE"/>
              </w:rPr>
            </w:pPr>
          </w:p>
        </w:tc>
        <w:tc>
          <w:tcPr>
            <w:tcW w:w="681" w:type="dxa"/>
          </w:tcPr>
          <w:p w:rsidR="001C7BF9" w:rsidRPr="00C9680B" w:rsidRDefault="001C7BF9">
            <w:pPr>
              <w:spacing w:before="80" w:line="180" w:lineRule="atLeast"/>
              <w:ind w:left="113" w:hanging="113"/>
              <w:jc w:val="right"/>
              <w:rPr>
                <w:snapToGrid w:val="0"/>
                <w:color w:val="000000"/>
                <w:sz w:val="17"/>
                <w:lang w:eastAsia="sv-SE"/>
              </w:rPr>
            </w:pPr>
            <w:r w:rsidRPr="00C9680B">
              <w:rPr>
                <w:snapToGrid w:val="0"/>
                <w:color w:val="000000"/>
                <w:sz w:val="17"/>
                <w:lang w:eastAsia="sv-SE"/>
              </w:rPr>
              <w:t>+2 150</w:t>
            </w:r>
          </w:p>
        </w:tc>
        <w:tc>
          <w:tcPr>
            <w:tcW w:w="737" w:type="dxa"/>
          </w:tcPr>
          <w:p w:rsidR="001C7BF9" w:rsidRPr="00C9680B" w:rsidRDefault="001C7BF9">
            <w:pPr>
              <w:spacing w:before="80" w:line="180" w:lineRule="atLeast"/>
              <w:ind w:left="113" w:hanging="113"/>
              <w:jc w:val="right"/>
              <w:rPr>
                <w:snapToGrid w:val="0"/>
                <w:color w:val="000000"/>
                <w:sz w:val="17"/>
                <w:lang w:eastAsia="sv-SE"/>
              </w:rPr>
            </w:pPr>
            <w:r w:rsidRPr="00C9680B">
              <w:rPr>
                <w:snapToGrid w:val="0"/>
                <w:color w:val="000000"/>
                <w:sz w:val="17"/>
                <w:lang w:eastAsia="sv-SE"/>
              </w:rPr>
              <w:t>+2 150</w:t>
            </w:r>
          </w:p>
        </w:tc>
        <w:tc>
          <w:tcPr>
            <w:tcW w:w="708" w:type="dxa"/>
            <w:gridSpan w:val="2"/>
          </w:tcPr>
          <w:p w:rsidR="001C7BF9" w:rsidRPr="00C9680B" w:rsidRDefault="001C7BF9">
            <w:pPr>
              <w:spacing w:before="80" w:line="180" w:lineRule="atLeast"/>
              <w:ind w:left="113" w:hanging="113"/>
              <w:jc w:val="right"/>
              <w:rPr>
                <w:snapToGrid w:val="0"/>
                <w:color w:val="000000"/>
                <w:sz w:val="17"/>
                <w:lang w:eastAsia="sv-SE"/>
              </w:rPr>
            </w:pPr>
          </w:p>
        </w:tc>
      </w:tr>
      <w:tr w:rsidR="00000000" w:rsidRPr="00C9680B">
        <w:tblPrEx>
          <w:jc w:val="right"/>
          <w:tblInd w:w="0" w:type="dxa"/>
          <w:tblCellMar>
            <w:top w:w="0" w:type="dxa"/>
            <w:bottom w:w="0" w:type="dxa"/>
          </w:tblCellMar>
        </w:tblPrEx>
        <w:trPr>
          <w:gridBefore w:val="1"/>
          <w:wBefore w:w="707" w:type="dxa"/>
          <w:trHeight w:val="180"/>
          <w:jc w:val="right"/>
        </w:trPr>
        <w:tc>
          <w:tcPr>
            <w:tcW w:w="512" w:type="dxa"/>
            <w:tcBorders>
              <w:bottom w:val="single" w:sz="4" w:space="0" w:color="auto"/>
            </w:tcBorders>
          </w:tcPr>
          <w:p w:rsidR="001C7BF9" w:rsidRPr="00C9680B" w:rsidRDefault="001C7BF9">
            <w:pPr>
              <w:spacing w:before="40" w:line="180" w:lineRule="atLeast"/>
              <w:ind w:left="113" w:hanging="113"/>
              <w:jc w:val="right"/>
              <w:rPr>
                <w:snapToGrid w:val="0"/>
                <w:color w:val="000000"/>
                <w:sz w:val="17"/>
                <w:lang w:eastAsia="sv-SE"/>
              </w:rPr>
            </w:pPr>
          </w:p>
        </w:tc>
        <w:tc>
          <w:tcPr>
            <w:tcW w:w="2862" w:type="dxa"/>
            <w:gridSpan w:val="3"/>
            <w:tcBorders>
              <w:bottom w:val="single" w:sz="4" w:space="0" w:color="auto"/>
            </w:tcBorders>
          </w:tcPr>
          <w:p w:rsidR="001C7BF9" w:rsidRPr="00C9680B" w:rsidRDefault="001C7BF9">
            <w:pPr>
              <w:spacing w:before="40" w:line="180" w:lineRule="atLeast"/>
              <w:ind w:left="113" w:hanging="113"/>
              <w:jc w:val="left"/>
              <w:rPr>
                <w:snapToGrid w:val="0"/>
                <w:color w:val="000000"/>
                <w:sz w:val="17"/>
                <w:lang w:eastAsia="sv-SE"/>
              </w:rPr>
            </w:pPr>
            <w:r w:rsidRPr="00C9680B">
              <w:rPr>
                <w:snapToGrid w:val="0"/>
                <w:color w:val="000000"/>
                <w:sz w:val="17"/>
                <w:lang w:eastAsia="sv-SE"/>
              </w:rPr>
              <w:t>Alternativ förmögenhetsskattesän</w:t>
            </w:r>
            <w:r w:rsidRPr="00C9680B">
              <w:rPr>
                <w:snapToGrid w:val="0"/>
                <w:color w:val="000000"/>
                <w:sz w:val="17"/>
                <w:lang w:eastAsia="sv-SE"/>
              </w:rPr>
              <w:t>k</w:t>
            </w:r>
            <w:r w:rsidRPr="00C9680B">
              <w:rPr>
                <w:snapToGrid w:val="0"/>
                <w:color w:val="000000"/>
                <w:sz w:val="17"/>
                <w:lang w:eastAsia="sv-SE"/>
              </w:rPr>
              <w:t>ning</w:t>
            </w:r>
          </w:p>
        </w:tc>
        <w:tc>
          <w:tcPr>
            <w:tcW w:w="567" w:type="dxa"/>
            <w:tcBorders>
              <w:bottom w:val="single" w:sz="4" w:space="0" w:color="auto"/>
            </w:tcBorders>
          </w:tcPr>
          <w:p w:rsidR="001C7BF9" w:rsidRPr="00C9680B" w:rsidRDefault="001C7BF9">
            <w:pPr>
              <w:spacing w:before="40" w:line="180" w:lineRule="atLeast"/>
              <w:ind w:left="113" w:hanging="113"/>
              <w:jc w:val="right"/>
              <w:rPr>
                <w:snapToGrid w:val="0"/>
                <w:color w:val="000000"/>
                <w:sz w:val="17"/>
                <w:lang w:eastAsia="sv-SE"/>
              </w:rPr>
            </w:pPr>
          </w:p>
        </w:tc>
        <w:tc>
          <w:tcPr>
            <w:tcW w:w="709" w:type="dxa"/>
            <w:tcBorders>
              <w:bottom w:val="single" w:sz="4" w:space="0" w:color="auto"/>
            </w:tcBorders>
          </w:tcPr>
          <w:p w:rsidR="001C7BF9" w:rsidRPr="00C9680B" w:rsidRDefault="001C7BF9">
            <w:pPr>
              <w:spacing w:before="40" w:line="180" w:lineRule="atLeast"/>
              <w:ind w:left="113" w:hanging="113"/>
              <w:jc w:val="right"/>
              <w:rPr>
                <w:snapToGrid w:val="0"/>
                <w:color w:val="000000"/>
                <w:sz w:val="17"/>
                <w:lang w:eastAsia="sv-SE"/>
              </w:rPr>
            </w:pPr>
            <w:r w:rsidRPr="00C9680B">
              <w:rPr>
                <w:snapToGrid w:val="0"/>
                <w:color w:val="000000"/>
                <w:sz w:val="17"/>
                <w:lang w:eastAsia="sv-SE"/>
              </w:rPr>
              <w:t>-3 650</w:t>
            </w:r>
          </w:p>
        </w:tc>
        <w:tc>
          <w:tcPr>
            <w:tcW w:w="681" w:type="dxa"/>
            <w:tcBorders>
              <w:bottom w:val="single" w:sz="4" w:space="0" w:color="auto"/>
            </w:tcBorders>
          </w:tcPr>
          <w:p w:rsidR="001C7BF9" w:rsidRPr="00C9680B" w:rsidRDefault="001C7BF9">
            <w:pPr>
              <w:spacing w:before="40" w:line="180" w:lineRule="atLeast"/>
              <w:ind w:left="113" w:hanging="113"/>
              <w:jc w:val="right"/>
              <w:rPr>
                <w:snapToGrid w:val="0"/>
                <w:color w:val="000000"/>
                <w:sz w:val="17"/>
                <w:lang w:eastAsia="sv-SE"/>
              </w:rPr>
            </w:pPr>
            <w:r w:rsidRPr="00C9680B">
              <w:rPr>
                <w:snapToGrid w:val="0"/>
                <w:color w:val="000000"/>
                <w:sz w:val="17"/>
                <w:lang w:eastAsia="sv-SE"/>
              </w:rPr>
              <w:t>-3 000</w:t>
            </w:r>
          </w:p>
        </w:tc>
        <w:tc>
          <w:tcPr>
            <w:tcW w:w="737" w:type="dxa"/>
            <w:tcBorders>
              <w:bottom w:val="single" w:sz="4" w:space="0" w:color="auto"/>
            </w:tcBorders>
          </w:tcPr>
          <w:p w:rsidR="001C7BF9" w:rsidRPr="00C9680B" w:rsidRDefault="001C7BF9">
            <w:pPr>
              <w:spacing w:before="40" w:line="180" w:lineRule="atLeast"/>
              <w:ind w:left="113" w:hanging="113"/>
              <w:jc w:val="right"/>
              <w:rPr>
                <w:snapToGrid w:val="0"/>
                <w:color w:val="000000"/>
                <w:sz w:val="17"/>
                <w:lang w:eastAsia="sv-SE"/>
              </w:rPr>
            </w:pPr>
            <w:r w:rsidRPr="00C9680B">
              <w:rPr>
                <w:snapToGrid w:val="0"/>
                <w:color w:val="000000"/>
                <w:sz w:val="17"/>
                <w:lang w:eastAsia="sv-SE"/>
              </w:rPr>
              <w:t>-3 900</w:t>
            </w:r>
          </w:p>
        </w:tc>
        <w:tc>
          <w:tcPr>
            <w:tcW w:w="708" w:type="dxa"/>
            <w:gridSpan w:val="2"/>
            <w:tcBorders>
              <w:bottom w:val="single" w:sz="4" w:space="0" w:color="auto"/>
            </w:tcBorders>
          </w:tcPr>
          <w:p w:rsidR="001C7BF9" w:rsidRPr="00C9680B" w:rsidRDefault="001C7BF9">
            <w:pPr>
              <w:spacing w:before="40" w:line="180" w:lineRule="atLeast"/>
              <w:ind w:left="113" w:hanging="113"/>
              <w:jc w:val="right"/>
              <w:rPr>
                <w:snapToGrid w:val="0"/>
                <w:color w:val="000000"/>
                <w:sz w:val="17"/>
                <w:lang w:eastAsia="sv-SE"/>
              </w:rPr>
            </w:pPr>
            <w:r w:rsidRPr="00C9680B">
              <w:rPr>
                <w:snapToGrid w:val="0"/>
                <w:color w:val="000000"/>
                <w:sz w:val="17"/>
                <w:lang w:eastAsia="sv-SE"/>
              </w:rPr>
              <w:t>-2 800</w:t>
            </w:r>
          </w:p>
        </w:tc>
      </w:tr>
    </w:tbl>
    <w:p w:rsidR="001C7BF9" w:rsidRPr="00C9680B" w:rsidRDefault="001C7BF9">
      <w:pPr>
        <w:pStyle w:val="Utskottetsvervganden-RubrikFrslagspunkt"/>
      </w:pPr>
      <w:bookmarkStart w:id="310" w:name="_Toc497720069"/>
      <w:bookmarkStart w:id="311" w:name="_Toc498238817"/>
      <w:bookmarkStart w:id="312" w:name="_Toc498910728"/>
      <w:r w:rsidRPr="00C9680B">
        <w:t>3.6.1 Fastighetsskatt på bostäder</w:t>
      </w:r>
      <w:bookmarkEnd w:id="310"/>
      <w:bookmarkEnd w:id="311"/>
      <w:bookmarkEnd w:id="312"/>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bifaller regeringens förslag om sänkt fastighetsskatt på småhus till 1,2 % och fastighetsskatt på hyreshus (bostadsdelen) till 0,7 % den 1 januari 2001. Riksdagen avslår motionsförslagen om fortsatt frysning av taxeringsvärdena, ändrat underlag för fasti</w:t>
      </w:r>
      <w:r w:rsidRPr="00C9680B">
        <w:t>g</w:t>
      </w:r>
      <w:r w:rsidRPr="00C9680B">
        <w:t>hetsskatten, andra skattesa</w:t>
      </w:r>
      <w:r w:rsidRPr="00C9680B">
        <w:t>t</w:t>
      </w:r>
      <w:r w:rsidRPr="00C9680B">
        <w:t xml:space="preserve">ser, m.m. </w:t>
      </w:r>
    </w:p>
    <w:p w:rsidR="001C7BF9" w:rsidRPr="00C9680B" w:rsidRDefault="001C7BF9">
      <w:pPr>
        <w:pStyle w:val="Utskottsfrslagikorthet-Text"/>
      </w:pPr>
      <w:r w:rsidRPr="00C9680B">
        <w:t xml:space="preserve">  Jämför reservationerna 12 (m), 13 (kd), 14 (c) och 15 (fp).</w:t>
      </w:r>
    </w:p>
    <w:p w:rsidR="001C7BF9" w:rsidRPr="00C9680B" w:rsidRDefault="001C7BF9">
      <w:pPr>
        <w:pStyle w:val="R4"/>
      </w:pPr>
      <w:bookmarkStart w:id="313" w:name="_Toc497206502"/>
      <w:bookmarkStart w:id="314" w:name="_Toc497720071"/>
      <w:r w:rsidRPr="00C9680B">
        <w:t>Budgetpropositionen</w:t>
      </w:r>
      <w:bookmarkEnd w:id="313"/>
      <w:bookmarkEnd w:id="314"/>
    </w:p>
    <w:p w:rsidR="001C7BF9" w:rsidRPr="00C9680B" w:rsidRDefault="001C7BF9">
      <w:r w:rsidRPr="00C9680B">
        <w:t>Regeringen föreslår (avsnitt 9.3.1) att fastighetsskatten för småhus sänks från 1,5 % till 1,2 % och att fastighetsskatten för hyreshus (bostadsdelen) sänks från 1,5 % till 0,7 % den 1 januari 2001.</w:t>
      </w:r>
    </w:p>
    <w:p w:rsidR="001C7BF9" w:rsidRPr="00C9680B" w:rsidRDefault="001C7BF9">
      <w:pPr>
        <w:pStyle w:val="Normaltindrag"/>
      </w:pPr>
      <w:r w:rsidRPr="00C9680B">
        <w:t>Regeringen anför att uttaget av fastighetsskatt på bostäder begränsats kra</w:t>
      </w:r>
      <w:r w:rsidRPr="00C9680B">
        <w:t>f</w:t>
      </w:r>
      <w:r w:rsidRPr="00C9680B">
        <w:t>tigt sedan 1996, och detta har lett till att taxeringsvärdena alltmer kommit att avvika från marknadsvärdena. Enligt regeringens bedömning bör taxe</w:t>
      </w:r>
      <w:r w:rsidRPr="00C9680B">
        <w:softHyphen/>
        <w:t>ringsvärdena utgöra grunden för fastighetsbeskattningen, och regeringen anser det därför angeläget att frysningen av taxeringsvärdena nu upphör. Ett fullt genomslag för ändrade taxeringsvärden skulle dock ge mycket kraftiga för</w:t>
      </w:r>
      <w:r w:rsidRPr="00C9680B">
        <w:softHyphen/>
        <w:t>ändringar i såväl fastighets- som förmögenhetsskatteuttaget i stora delar av landet. Regeringens bedömning är att de effekter som åters</w:t>
      </w:r>
      <w:r w:rsidRPr="00C9680B">
        <w:t>tällda taxerings</w:t>
      </w:r>
      <w:r w:rsidRPr="00C9680B">
        <w:softHyphen/>
        <w:t>värden skulle ge upphov till vad gäller förändringar i uttaget av fastighetsskatt och förmögenhetsskatt mellan åren 2000 och 2001 inte är acceptabla. För att begränsa uttaget av fastighetsskatt föreslår regeringen att skattesatserna sänks. För småhus föreslås en sänkning från 1,5 % till 1,2 %. För hyreshusen är skatte</w:t>
      </w:r>
      <w:r w:rsidRPr="00C9680B">
        <w:softHyphen/>
        <w:t>satsen år 2000 tillfälligt sänkt till 1,2 %. Om inga beslut fattas är skatt</w:t>
      </w:r>
      <w:r w:rsidRPr="00C9680B">
        <w:t>e</w:t>
      </w:r>
      <w:r w:rsidRPr="00C9680B">
        <w:t>satsen 1,5 %. Regeringen föreslår att skattesatsen för hyreshus sänks från 1,5 % till 0,7 %. Syftet</w:t>
      </w:r>
      <w:r w:rsidRPr="00C9680B">
        <w:t xml:space="preserve"> med denna åtgärd är, förutom att begränsa effek</w:t>
      </w:r>
      <w:r w:rsidRPr="00C9680B">
        <w:softHyphen/>
        <w:t>terna av de återställda taxeringsvärdena, att skapa förutsättningar för lägre hyresn</w:t>
      </w:r>
      <w:r w:rsidRPr="00C9680B">
        <w:t>i</w:t>
      </w:r>
      <w:r w:rsidRPr="00C9680B">
        <w:t>våer och stimulera till ökad produktion av hyresrätter.</w:t>
      </w:r>
    </w:p>
    <w:p w:rsidR="001C7BF9" w:rsidRPr="00C9680B" w:rsidRDefault="001C7BF9">
      <w:pPr>
        <w:pStyle w:val="Normaltindrag"/>
      </w:pPr>
      <w:r w:rsidRPr="00C9680B">
        <w:t>Regeringen anser att det finns behov av en regel som i vissa fall kan lindra u</w:t>
      </w:r>
      <w:r w:rsidRPr="00C9680B">
        <w:t>t</w:t>
      </w:r>
      <w:r w:rsidRPr="00C9680B">
        <w:t>taget av fastighetsskatt och har påbörjat ett arbete som syftar till att riks</w:t>
      </w:r>
      <w:r w:rsidRPr="00C9680B">
        <w:softHyphen/>
        <w:t>dagen under våren 2001 skall kunna föreläggas ett förslag till en begräns</w:t>
      </w:r>
      <w:r w:rsidRPr="00C9680B">
        <w:softHyphen/>
        <w:t>ningsregel för fastighetsskatten. Inriktningen på detta arbete bör enligt vad som anförs vara att begränsningsregeln skall utformas som en skattereduktion som skall tillämpas fr.o.m. den 1 januari 2001.</w:t>
      </w:r>
    </w:p>
    <w:p w:rsidR="001C7BF9" w:rsidRPr="00C9680B" w:rsidRDefault="001C7BF9">
      <w:pPr>
        <w:pStyle w:val="R4"/>
      </w:pPr>
      <w:bookmarkStart w:id="315" w:name="_Toc497206503"/>
      <w:bookmarkStart w:id="316" w:name="_Toc497720072"/>
      <w:r w:rsidRPr="00C9680B">
        <w:t>Motionerna</w:t>
      </w:r>
      <w:bookmarkEnd w:id="315"/>
      <w:bookmarkEnd w:id="316"/>
    </w:p>
    <w:p w:rsidR="001C7BF9" w:rsidRPr="00C9680B" w:rsidRDefault="001C7BF9">
      <w:r w:rsidRPr="00C9680B">
        <w:rPr>
          <w:i/>
        </w:rPr>
        <w:t>Moderata samlingspartiet</w:t>
      </w:r>
      <w:r w:rsidRPr="00C9680B">
        <w:t xml:space="preserve"> föreslår att fastighetsskatten beräknas på det lägsta av 1997 och 2001 års taxeringsvärden, att bara halva markvärdet tas med och att skattesatserna bestäms till 1 % för småhus och 0,7 % för hyreshusens bostadsdel. Vidare föreslås att skattesatsen för småhus sänks till 0,9 % år 2002 och 0,8 % år 2003. Yrkanden med denna inriktning framställs i </w:t>
      </w:r>
      <w:r w:rsidRPr="00C9680B">
        <w:rPr>
          <w:i/>
        </w:rPr>
        <w:t>motio</w:t>
      </w:r>
      <w:r w:rsidRPr="00C9680B">
        <w:rPr>
          <w:i/>
        </w:rPr>
        <w:softHyphen/>
        <w:t>nerna Sk621</w:t>
      </w:r>
      <w:r w:rsidRPr="00C9680B">
        <w:t xml:space="preserve"> yrkandena 1, 2 och 4 av Bo Lundgren m.fl. (m), </w:t>
      </w:r>
      <w:r w:rsidRPr="00C9680B">
        <w:rPr>
          <w:i/>
        </w:rPr>
        <w:t xml:space="preserve">N385 </w:t>
      </w:r>
      <w:r w:rsidRPr="00C9680B">
        <w:t xml:space="preserve">yrkande 9 av Bo Lundgren m.fl. (m), </w:t>
      </w:r>
      <w:r w:rsidRPr="00C9680B">
        <w:rPr>
          <w:i/>
        </w:rPr>
        <w:t xml:space="preserve">Bo414 </w:t>
      </w:r>
      <w:r w:rsidRPr="00C9680B">
        <w:t xml:space="preserve">yrkandena 11, 12 och 14 av Bo Lundgren m.fl. (m), </w:t>
      </w:r>
      <w:r w:rsidRPr="00C9680B">
        <w:rPr>
          <w:i/>
        </w:rPr>
        <w:t>Sk3</w:t>
      </w:r>
      <w:r w:rsidRPr="00C9680B">
        <w:rPr>
          <w:i/>
        </w:rPr>
        <w:t>13</w:t>
      </w:r>
      <w:r w:rsidRPr="00C9680B">
        <w:t xml:space="preserve"> yrkandena 1 och 32–35 av Carl Fredrik Graf m.fl. (m) och </w:t>
      </w:r>
      <w:r w:rsidRPr="00C9680B">
        <w:rPr>
          <w:i/>
        </w:rPr>
        <w:t>Sk308</w:t>
      </w:r>
      <w:r w:rsidRPr="00C9680B">
        <w:t xml:space="preserve"> av Kent Olsson och Inger René (m). </w:t>
      </w:r>
    </w:p>
    <w:p w:rsidR="001C7BF9" w:rsidRPr="00C9680B" w:rsidRDefault="001C7BF9">
      <w:r w:rsidRPr="00C9680B">
        <w:rPr>
          <w:i/>
        </w:rPr>
        <w:t>Kristdemokraterna</w:t>
      </w:r>
      <w:r w:rsidRPr="00C9680B">
        <w:t xml:space="preserve"> föreslår att taxeringsvärdena fryses, att fastighetsskatten beräknas på en tredjedel av markvärdet över 150 000 kr och att skattesatsen bestäms till 1,2 % för alla bostäder. Motionärerna anför att beskattningen leder till en snedfördelning mellan boendeformerna hyreshus och småhus eller egnahem, och de föreslår att fastighetsskatten på sikt avvecklas och ersätts med en möjlighet för kommunerna att ta ut en avgift för täckande av kostnader för gatuunderhåll, brandförsvar och annan kommunal service som är ko</w:t>
      </w:r>
      <w:r w:rsidRPr="00C9680B">
        <w:t>pplad till fastigheten. Motionärerna avvisar också den planerade b</w:t>
      </w:r>
      <w:r w:rsidRPr="00C9680B">
        <w:t>e</w:t>
      </w:r>
      <w:r w:rsidRPr="00C9680B">
        <w:t xml:space="preserve">gränsningsregeln. Yrkandena framställs i </w:t>
      </w:r>
      <w:r w:rsidRPr="00C9680B">
        <w:rPr>
          <w:i/>
        </w:rPr>
        <w:t>motionerna Sk323</w:t>
      </w:r>
      <w:r w:rsidRPr="00C9680B">
        <w:t xml:space="preserve"> yrkandena 16–21 och 53 av Alf Svensson m.fl. (kd) och </w:t>
      </w:r>
      <w:r w:rsidRPr="00C9680B">
        <w:rPr>
          <w:i/>
        </w:rPr>
        <w:t>Sk322</w:t>
      </w:r>
      <w:r w:rsidRPr="00C9680B">
        <w:t xml:space="preserve"> yrkande 3 av Kenneth Lantz m.fl. (kd).</w:t>
      </w:r>
    </w:p>
    <w:p w:rsidR="001C7BF9" w:rsidRPr="00C9680B" w:rsidRDefault="001C7BF9">
      <w:r w:rsidRPr="00C9680B">
        <w:rPr>
          <w:i/>
        </w:rPr>
        <w:t>Centerpartiet</w:t>
      </w:r>
      <w:r w:rsidRPr="00C9680B">
        <w:t xml:space="preserve"> föreslår i</w:t>
      </w:r>
      <w:r w:rsidRPr="00C9680B">
        <w:rPr>
          <w:i/>
        </w:rPr>
        <w:t xml:space="preserve"> motion Sk321</w:t>
      </w:r>
      <w:r w:rsidRPr="00C9680B">
        <w:t xml:space="preserve"> yrkandena 11, 12, 15 och 16 av Lennart Daléus m.fl. (c) att frysningen av taxeringsvärdena förlängs, att skattesatsen för småhus bestäms till 1,2 % och att skattesatsen för bostadshyreshus b</w:t>
      </w:r>
      <w:r w:rsidRPr="00C9680B">
        <w:t>e</w:t>
      </w:r>
      <w:r w:rsidRPr="00C9680B">
        <w:t xml:space="preserve">stäms till 1,1 %. </w:t>
      </w:r>
    </w:p>
    <w:p w:rsidR="001C7BF9" w:rsidRPr="00C9680B" w:rsidRDefault="001C7BF9">
      <w:r w:rsidRPr="00C9680B">
        <w:rPr>
          <w:i/>
        </w:rPr>
        <w:t>Folkpartiet liberalerna</w:t>
      </w:r>
      <w:r w:rsidRPr="00C9680B">
        <w:t xml:space="preserve"> föreslår att frysningen av taxeringsvärdena förlängs, att skattesatsen för småhus bestäms till 1,2 % och att ska</w:t>
      </w:r>
      <w:r w:rsidRPr="00C9680B">
        <w:t>t</w:t>
      </w:r>
      <w:r w:rsidRPr="00C9680B">
        <w:t>tesatsen för bostads</w:t>
      </w:r>
      <w:r w:rsidRPr="00C9680B">
        <w:softHyphen/>
        <w:t xml:space="preserve">hyreshus bestäms till 0,7 %. Yrkanden med denna inriktning läggs fram i </w:t>
      </w:r>
      <w:r w:rsidRPr="00C9680B">
        <w:rPr>
          <w:i/>
        </w:rPr>
        <w:t>motionerna Sk324</w:t>
      </w:r>
      <w:r w:rsidRPr="00C9680B">
        <w:t xml:space="preserve"> yrkande 13 av Lars Leijonborg m.fl. (fp) och </w:t>
      </w:r>
      <w:r w:rsidRPr="00C9680B">
        <w:rPr>
          <w:i/>
        </w:rPr>
        <w:t>Bo235</w:t>
      </w:r>
      <w:r w:rsidRPr="00C9680B">
        <w:t xml:space="preserve"> y</w:t>
      </w:r>
      <w:r w:rsidRPr="00C9680B">
        <w:t>r</w:t>
      </w:r>
      <w:r w:rsidRPr="00C9680B">
        <w:t xml:space="preserve">kande 12 av Yvonne Ångström och Helena Bargholtz (fp). I </w:t>
      </w:r>
      <w:r w:rsidRPr="00C9680B">
        <w:rPr>
          <w:i/>
        </w:rPr>
        <w:t>motion Sk316</w:t>
      </w:r>
      <w:r w:rsidRPr="00C9680B">
        <w:t xml:space="preserve"> av Kenth Skårvik (fp) begärs ett tillkännagivande om att fastighetsskatten skall avskaffas på sikt och att skatten bör frysas i avvaktan på att regeringen lägger fra</w:t>
      </w:r>
      <w:r w:rsidRPr="00C9680B">
        <w:t>m ett förslag om dess sl</w:t>
      </w:r>
      <w:r w:rsidRPr="00C9680B">
        <w:t>o</w:t>
      </w:r>
      <w:r w:rsidRPr="00C9680B">
        <w:t xml:space="preserve">pande. </w:t>
      </w:r>
    </w:p>
    <w:p w:rsidR="001C7BF9" w:rsidRPr="00C9680B" w:rsidRDefault="001C7BF9">
      <w:pPr>
        <w:pStyle w:val="R4"/>
      </w:pPr>
      <w:r w:rsidRPr="00C9680B">
        <w:t>Skatteutskottets yttrande</w:t>
      </w:r>
    </w:p>
    <w:p w:rsidR="001C7BF9" w:rsidRPr="00C9680B" w:rsidRDefault="001C7BF9">
      <w:r w:rsidRPr="00C9680B">
        <w:t>Skatteutskottet delar i sitt yttrande (SkU1y) regeringens bedömning att tax</w:t>
      </w:r>
      <w:r w:rsidRPr="00C9680B">
        <w:t>e</w:t>
      </w:r>
      <w:r w:rsidRPr="00C9680B">
        <w:t>rings</w:t>
      </w:r>
      <w:r w:rsidRPr="00C9680B">
        <w:softHyphen/>
        <w:t>värdena bör utgöra grunden för fastighetsbeskattningen och att det är angeläget att frysningen av taxeringsvärdena nu upphör. De problem som hänger samman med att kopp</w:t>
      </w:r>
      <w:r w:rsidRPr="00C9680B">
        <w:softHyphen/>
        <w:t>lingen mellan taxeringsvärden och marknad</w:t>
      </w:r>
      <w:r w:rsidRPr="00C9680B">
        <w:t>s</w:t>
      </w:r>
      <w:r w:rsidRPr="00C9680B">
        <w:t>värden återställs bör lösas genom en a</w:t>
      </w:r>
      <w:r w:rsidRPr="00C9680B">
        <w:t>n</w:t>
      </w:r>
      <w:r w:rsidRPr="00C9680B">
        <w:t>passning av övriga skatte</w:t>
      </w:r>
      <w:r w:rsidRPr="00C9680B">
        <w:softHyphen/>
        <w:t>regler.</w:t>
      </w:r>
    </w:p>
    <w:p w:rsidR="001C7BF9" w:rsidRPr="00C9680B" w:rsidRDefault="001C7BF9">
      <w:pPr>
        <w:pStyle w:val="Normaltindrag"/>
      </w:pPr>
      <w:r w:rsidRPr="00C9680B">
        <w:t>Skatteutskottet anför att regeringens förslag innebär att flera åtgärder vi</w:t>
      </w:r>
      <w:r w:rsidRPr="00C9680B">
        <w:t>d</w:t>
      </w:r>
      <w:r w:rsidRPr="00C9680B">
        <w:t>tas med anledning av att frysningen nu upphör. Fastighetsskattesatserna sänks och fribeloppen inom förmögenhetsbeskattningen höjs. Utrymmet för ko</w:t>
      </w:r>
      <w:r w:rsidRPr="00C9680B">
        <w:t>m</w:t>
      </w:r>
      <w:r w:rsidRPr="00C9680B">
        <w:t>penserande åtgärder ökas också genom att kapitalvinstskatten på privatbost</w:t>
      </w:r>
      <w:r w:rsidRPr="00C9680B">
        <w:t>ä</w:t>
      </w:r>
      <w:r w:rsidRPr="00C9680B">
        <w:t>der höjs. Sammantaget neutraliseras hela den förväntade offentligfinansiella effekten av de höjda taxeringsvärdena. De mycket kraftiga taxeringsvärde</w:t>
      </w:r>
      <w:r w:rsidRPr="00C9680B">
        <w:t>s</w:t>
      </w:r>
      <w:r w:rsidRPr="00C9680B">
        <w:t>höjningar som gäller för småhus i Storstockholm och Storgöteborg begränsas på detta sätt, och i det övriga landet sjunker det genomsnittlig</w:t>
      </w:r>
      <w:r w:rsidRPr="00C9680B">
        <w:t>a skatteuttaget. Variationerna är dock stora och utfallet i enskilda fall varierar starkt. När det gäller boende i hyres</w:t>
      </w:r>
      <w:r w:rsidRPr="00C9680B">
        <w:softHyphen/>
        <w:t>hus beräknas sänkningen av fastighetsskatten leda till att boendekostnaden i geno</w:t>
      </w:r>
      <w:r w:rsidRPr="00C9680B">
        <w:t>m</w:t>
      </w:r>
      <w:r w:rsidRPr="00C9680B">
        <w:t>snitt sänks med drygt 350 kr per år.</w:t>
      </w:r>
    </w:p>
    <w:p w:rsidR="001C7BF9" w:rsidRPr="00C9680B" w:rsidRDefault="001C7BF9">
      <w:pPr>
        <w:pStyle w:val="Normaltindrag"/>
      </w:pPr>
      <w:r w:rsidRPr="00C9680B">
        <w:t>Skatteutskottet anför vidare att det vid sidan av dessa åtgärder genomförs en förhållandevis kraftig sänkning av inkomstskatten. För hushåll i eget hem med medlemmar i åldern 20 till 64 år beräknas denna innebära en skattelät</w:t>
      </w:r>
      <w:r w:rsidRPr="00C9680B">
        <w:t>t</w:t>
      </w:r>
      <w:r w:rsidRPr="00C9680B">
        <w:t>nad på i genomsnitt 6 000 kr per år. Härigenom underlättas den omställning som de återställda taxering</w:t>
      </w:r>
      <w:r w:rsidRPr="00C9680B">
        <w:t>s</w:t>
      </w:r>
      <w:r w:rsidRPr="00C9680B">
        <w:t>värdena kan komma att innebära i vissa fall.</w:t>
      </w:r>
    </w:p>
    <w:p w:rsidR="001C7BF9" w:rsidRPr="00C9680B" w:rsidRDefault="001C7BF9">
      <w:pPr>
        <w:pStyle w:val="Normaltindrag"/>
      </w:pPr>
      <w:r w:rsidRPr="00C9680B">
        <w:t>Även med dessa åtgärder kvarstår det enligt skatteutskottets mening ett behov av att begränsa uttaget av fastighetsskatt i vissa fall och utskottet ko</w:t>
      </w:r>
      <w:r w:rsidRPr="00C9680B">
        <w:t>n</w:t>
      </w:r>
      <w:r w:rsidRPr="00C9680B">
        <w:t>staterar att regeringen också har påbörjat ett arbete som syftar till att riksd</w:t>
      </w:r>
      <w:r w:rsidRPr="00C9680B">
        <w:t>a</w:t>
      </w:r>
      <w:r w:rsidRPr="00C9680B">
        <w:t>gen under våren 2001 skall kunna föreläggas ett förslag till en begränsning</w:t>
      </w:r>
      <w:r w:rsidRPr="00C9680B">
        <w:t>s</w:t>
      </w:r>
      <w:r w:rsidRPr="00C9680B">
        <w:t>regel för fastighetsskatten. Inriktningen på detta arbete är att begränsningsr</w:t>
      </w:r>
      <w:r w:rsidRPr="00C9680B">
        <w:t>e</w:t>
      </w:r>
      <w:r w:rsidRPr="00C9680B">
        <w:t xml:space="preserve">geln skall utformas som en skattereduktion som skall tillämpas fr.o.m. den 1 januari 2001. </w:t>
      </w:r>
    </w:p>
    <w:p w:rsidR="001C7BF9" w:rsidRPr="00C9680B" w:rsidRDefault="001C7BF9">
      <w:pPr>
        <w:pStyle w:val="Normaltindrag"/>
      </w:pPr>
      <w:r w:rsidRPr="00C9680B">
        <w:t>Enligt skatteutskottets mening finns det mot bakgrund av de åtgärder som regeringen föreslår i syfte att begränsa effekten av de återställda taxeringsvä</w:t>
      </w:r>
      <w:r w:rsidRPr="00C9680B">
        <w:t>r</w:t>
      </w:r>
      <w:r w:rsidRPr="00C9680B">
        <w:t>dena inte anledning att fortsätta med frysningen av taxeringsvärdena, och utskottet avstyrker därför motionsförslagen med denna inriktning. Utskottet tillstyrker rege</w:t>
      </w:r>
      <w:r w:rsidRPr="00C9680B">
        <w:softHyphen/>
        <w:t>ringens nu aktuella förslag om en sänkning av fastighetsskatt</w:t>
      </w:r>
      <w:r w:rsidRPr="00C9680B">
        <w:t>e</w:t>
      </w:r>
      <w:r w:rsidRPr="00C9680B">
        <w:t>satserna för bostäder.</w:t>
      </w:r>
    </w:p>
    <w:p w:rsidR="001C7BF9" w:rsidRPr="00C9680B" w:rsidRDefault="001C7BF9">
      <w:pPr>
        <w:pStyle w:val="R4"/>
      </w:pPr>
      <w:r w:rsidRPr="00C9680B">
        <w:t>Bostadsutskottets yttrande</w:t>
      </w:r>
    </w:p>
    <w:p w:rsidR="001C7BF9" w:rsidRPr="00C9680B" w:rsidRDefault="001C7BF9">
      <w:r w:rsidRPr="00C9680B">
        <w:t>Bostadsutskottet anför i sitt yttrande (BoU1y) att frågor om beskattningen av byggande och boende under senare år har fått en allt större uppmärksamhet i den bostadspolitiska debatten. Inte minst gäller detta fastighetsbeskattningen. Uttaget av fastighetsskatt har också en betydande påverkan på boendekostn</w:t>
      </w:r>
      <w:r w:rsidRPr="00C9680B">
        <w:t>a</w:t>
      </w:r>
      <w:r w:rsidRPr="00C9680B">
        <w:t>derna. Det är mot bl.a. den bakgrunden som åtgärder under senare år har vidtagits för att begränsa uttaget. Som redovisas i budgetpropositionen har sålunda omräkningsförfarandet inte tillämpats som avsetts, skattesatsen gen</w:t>
      </w:r>
      <w:r w:rsidRPr="00C9680B">
        <w:t>e</w:t>
      </w:r>
      <w:r w:rsidRPr="00C9680B">
        <w:t>rellt sänkts från 1,7 % till 1,5 % samt skattesatsen för hyreshus tillfälligt sänkts till 1,2 % för åren 1999 och 2000. Dessa tillfälliga åtgärder har också vidtagits i avvaktan på resultaten av Fastighetstaxeringsutredningens respe</w:t>
      </w:r>
      <w:r w:rsidRPr="00C9680B">
        <w:t>k</w:t>
      </w:r>
      <w:r w:rsidRPr="00C9680B">
        <w:t>tive Fastighetsbeskattning</w:t>
      </w:r>
      <w:r w:rsidRPr="00C9680B">
        <w:t>s</w:t>
      </w:r>
      <w:r w:rsidRPr="00C9680B">
        <w:t xml:space="preserve">kommitténs arbete. </w:t>
      </w:r>
    </w:p>
    <w:p w:rsidR="001C7BF9" w:rsidRPr="00C9680B" w:rsidRDefault="001C7BF9">
      <w:pPr>
        <w:pStyle w:val="Normaltindrag"/>
      </w:pPr>
      <w:r w:rsidRPr="00C9680B">
        <w:t>De förä</w:t>
      </w:r>
      <w:r w:rsidRPr="00C9680B">
        <w:t>ndringar i fastighetsbeskattningen som nu föreslås är enligt b</w:t>
      </w:r>
      <w:r w:rsidRPr="00C9680B">
        <w:t>o</w:t>
      </w:r>
      <w:r w:rsidRPr="00C9680B">
        <w:t>stadsutskottets mening inte heller de avsedda, att i något grundläggande avs</w:t>
      </w:r>
      <w:r w:rsidRPr="00C9680B">
        <w:t>e</w:t>
      </w:r>
      <w:r w:rsidRPr="00C9680B">
        <w:t>ende förändra fastighetsskattesystemet. I stället är de avsedda att återställa taxeringsvärdet som grund för fastighetsbeskattningen enligt vad som u</w:t>
      </w:r>
      <w:r w:rsidRPr="00C9680B">
        <w:t>r</w:t>
      </w:r>
      <w:r w:rsidRPr="00C9680B">
        <w:t>sprungligen avsågs. Bostadsutskottet ansluter sig till denna principiella up</w:t>
      </w:r>
      <w:r w:rsidRPr="00C9680B">
        <w:t>p</w:t>
      </w:r>
      <w:r w:rsidRPr="00C9680B">
        <w:t>fattning. Samtidigt delar utskottet regeringens bedömning att skattesatserna måste sänkas för att de effekter som ett återställande skulle ge upp</w:t>
      </w:r>
      <w:r w:rsidRPr="00C9680B">
        <w:t>hov till vad gäller uttaget av fastighetsskatt och förmögenhetsskatt mellan åren 2000 och 2001 inte skall bli oacceptabla. Ett sådant synsätt motiverar enligt utskottets mening dessutom att en begränsningsregel för uttaget av fastighetsskatt uta</w:t>
      </w:r>
      <w:r w:rsidRPr="00C9680B">
        <w:t>r</w:t>
      </w:r>
      <w:r w:rsidRPr="00C9680B">
        <w:t xml:space="preserve">betas och införs redan för nästa år i enlighet med vad regeringen aviserar i budgetpropositionen. </w:t>
      </w:r>
    </w:p>
    <w:p w:rsidR="001C7BF9" w:rsidRPr="00C9680B" w:rsidRDefault="001C7BF9">
      <w:pPr>
        <w:pStyle w:val="Normaltindrag"/>
      </w:pPr>
      <w:r w:rsidRPr="00C9680B">
        <w:t>Bostadsutskottet anför vidare att mer omfattande förändringar i fastighets</w:t>
      </w:r>
      <w:r w:rsidRPr="00C9680B">
        <w:softHyphen/>
        <w:t>beskattningen bör anstå till dess att resultaten av Fastighets</w:t>
      </w:r>
      <w:r w:rsidRPr="00C9680B">
        <w:softHyphen/>
        <w:t>taxerings</w:t>
      </w:r>
      <w:r w:rsidRPr="00C9680B">
        <w:softHyphen/>
        <w:t xml:space="preserve">utredningens respektive Fastighetsbeskattningskommitténs arbete föreligger. Även om utredningarna nu avslutat sitt arbete bör den fortsatta beredningen av de förslag de lagt fram enligt utskottets mening nu avvaktas. Regeringen aviserar också i budgetpropositionen sin avsikt att återkomma till riksdagen när det gäller de förslag som de båda utredningarna lagt fram. </w:t>
      </w:r>
    </w:p>
    <w:p w:rsidR="001C7BF9" w:rsidRPr="00C9680B" w:rsidRDefault="001C7BF9">
      <w:pPr>
        <w:pStyle w:val="Normaltindrag"/>
      </w:pPr>
      <w:r w:rsidRPr="00C9680B">
        <w:t>Bostadsutskottet tillstyrker regeringens förslag vad gäller fasti</w:t>
      </w:r>
      <w:r w:rsidRPr="00C9680B">
        <w:t>g</w:t>
      </w:r>
      <w:r w:rsidRPr="00C9680B">
        <w:t>hets</w:t>
      </w:r>
      <w:r w:rsidRPr="00C9680B">
        <w:softHyphen/>
        <w:t>beskattningen för 2001 och avstyrker motionsyrkandena.</w:t>
      </w:r>
    </w:p>
    <w:p w:rsidR="001C7BF9" w:rsidRPr="00C9680B" w:rsidRDefault="001C7BF9">
      <w:pPr>
        <w:pStyle w:val="R4"/>
      </w:pPr>
      <w:r w:rsidRPr="00C9680B">
        <w:t>Finansutskottets ställningstagande</w:t>
      </w:r>
    </w:p>
    <w:p w:rsidR="001C7BF9" w:rsidRPr="00C9680B" w:rsidRDefault="001C7BF9">
      <w:r w:rsidRPr="00C9680B">
        <w:t>Finansutskottet tillstyrker i likhet med skatteutskottet och bostadsutskottet propositionens förslag om sänkt fastighetsskatt på bostäder och avstyrker motionerna Sk308 (m), Sk313 (m) yrkandena 1 och 32–35, Sk316 (fp), Sk321 (c) yrkandena 11, 12, 15 och 16, Sk322 (kd) yrkande 3, Sk323 (kd) yrkandena 16–21 och 53, Sk324 (fp) yrkande 13, Sk621 (m) yrkandena 1, 2 och 4, N385 (m) yrkande 9, Bo235 (fp) yrkande 12 och Bo414 (m) yrkandena 11, 12 och 14.</w:t>
      </w:r>
    </w:p>
    <w:p w:rsidR="001C7BF9" w:rsidRPr="00C9680B" w:rsidRDefault="001C7BF9">
      <w:pPr>
        <w:pStyle w:val="Utskottetsvervganden-RubrikFrslagspunkt"/>
        <w:outlineLvl w:val="0"/>
      </w:pPr>
      <w:bookmarkStart w:id="317" w:name="_Toc497720074"/>
      <w:bookmarkStart w:id="318" w:name="_Toc498238818"/>
      <w:bookmarkStart w:id="319" w:name="_Toc498910729"/>
      <w:r w:rsidRPr="00C9680B">
        <w:t>3.6.2 Förmögenhetsbeskattning</w:t>
      </w:r>
      <w:bookmarkEnd w:id="317"/>
      <w:bookmarkEnd w:id="318"/>
      <w:bookmarkEnd w:id="319"/>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 xml:space="preserve">Riksdagen instämmer i regeringens bedömning att fribeloppet för uttag av förmögenhetsskatt bör höjas från 900 000 kr till 1 000 000 kr för ensamstående och till 1 500 000 kr för sambeskattade par vid 2002 års inkomststaxering. Riksdagen avslår motionsförslagen om slopad sambeskattning, höjda fribelopp, slopad förmögenhetsskatt, m.m. </w:t>
      </w:r>
    </w:p>
    <w:p w:rsidR="001C7BF9" w:rsidRPr="00C9680B" w:rsidRDefault="001C7BF9">
      <w:pPr>
        <w:pStyle w:val="Utskottsfrslagikorthet-Text"/>
      </w:pPr>
      <w:r w:rsidRPr="00C9680B">
        <w:t xml:space="preserve">  Jämför reservationerna 12 (m), 13 (kd), 14 (c) och 15 (fp).</w:t>
      </w:r>
    </w:p>
    <w:p w:rsidR="001C7BF9" w:rsidRPr="00C9680B" w:rsidRDefault="001C7BF9">
      <w:pPr>
        <w:pStyle w:val="R4"/>
      </w:pPr>
      <w:bookmarkStart w:id="320" w:name="_Toc497206507"/>
      <w:bookmarkStart w:id="321" w:name="_Toc497720076"/>
      <w:r w:rsidRPr="00C9680B">
        <w:t>Budgetpropositionen</w:t>
      </w:r>
      <w:bookmarkEnd w:id="320"/>
      <w:bookmarkEnd w:id="321"/>
    </w:p>
    <w:p w:rsidR="001C7BF9" w:rsidRPr="00C9680B" w:rsidRDefault="001C7BF9">
      <w:r w:rsidRPr="00C9680B">
        <w:t>I propositionen (9.4.1) gör regeringen bedömningen att de högre taxering</w:t>
      </w:r>
      <w:r w:rsidRPr="00C9680B">
        <w:t>s</w:t>
      </w:r>
      <w:r w:rsidRPr="00C9680B">
        <w:t>värdena vid 2002 års inkomsttaxering gör att fribeloppet för uttag av förm</w:t>
      </w:r>
      <w:r w:rsidRPr="00C9680B">
        <w:t>ö</w:t>
      </w:r>
      <w:r w:rsidRPr="00C9680B">
        <w:t>genhets</w:t>
      </w:r>
      <w:r w:rsidRPr="00C9680B">
        <w:softHyphen/>
        <w:t>skatt bör höjas från 900 000 kr till 1 000 000 kr för ensamstående och till 1 500 000 kr för sambeskattade par. Ett förslag av denna innebörd ko</w:t>
      </w:r>
      <w:r w:rsidRPr="00C9680B">
        <w:t>m</w:t>
      </w:r>
      <w:r w:rsidRPr="00C9680B">
        <w:t>mer att läggas fram sen</w:t>
      </w:r>
      <w:r w:rsidRPr="00C9680B">
        <w:t>a</w:t>
      </w:r>
      <w:r w:rsidRPr="00C9680B">
        <w:t xml:space="preserve">re under hösten. </w:t>
      </w:r>
    </w:p>
    <w:p w:rsidR="001C7BF9" w:rsidRPr="00C9680B" w:rsidRDefault="001C7BF9">
      <w:pPr>
        <w:pStyle w:val="Normaltindrag"/>
      </w:pPr>
      <w:r w:rsidRPr="00C9680B">
        <w:t>Regeringen anför att det finns skäl att begränsa den trendmässiga ökningen i antalet skattskyldiga genom att justera fribeloppet inom förmögenhets</w:t>
      </w:r>
      <w:r w:rsidRPr="00C9680B">
        <w:softHyphen/>
        <w:t>beskattningen. Mot bakgrund av de principiella invändningar som utifrån bl.a. jämställdhetssynpunkt kan riktas mot sambeskattningen skulle man enligt vad regeringen anför kunna tänka sig att justeringen genomfördes i form av slo</w:t>
      </w:r>
      <w:r w:rsidRPr="00C9680B">
        <w:softHyphen/>
        <w:t>pad sambeskattning. Mot en sådan åtgärd kan dock anföras att slopad sambe</w:t>
      </w:r>
      <w:r w:rsidRPr="00C9680B">
        <w:softHyphen/>
        <w:t>skattning skapar incitament till omfördelning av förmögenheter inom hushål</w:t>
      </w:r>
      <w:r w:rsidRPr="00C9680B">
        <w:softHyphen/>
        <w:t xml:space="preserve">len av skatteplaneringsskäl. Därtill kommer att en sådan åtgärd inte skulle innebära någon lindring alls för ensamstående. Mot denna </w:t>
      </w:r>
      <w:r w:rsidRPr="00C9680B">
        <w:t>bakgrund avser regeringen att föreslå att fribeloppet höjs till 1 000 000 kr för fysisk person, dödsbo och familjestiftelse samt till 1 500 000 kr för sambeskattade par. Dessa förändringar beräknas begränsa antalet skattskyldiga till förmögenhets</w:t>
      </w:r>
      <w:r w:rsidRPr="00C9680B">
        <w:softHyphen/>
        <w:t xml:space="preserve">skatt till omkring 570 000 personer år 2001. </w:t>
      </w:r>
    </w:p>
    <w:p w:rsidR="001C7BF9" w:rsidRPr="00C9680B" w:rsidRDefault="001C7BF9">
      <w:pPr>
        <w:pStyle w:val="R4"/>
      </w:pPr>
      <w:bookmarkStart w:id="322" w:name="_Toc497206508"/>
      <w:bookmarkStart w:id="323" w:name="_Toc497720077"/>
      <w:r w:rsidRPr="00C9680B">
        <w:t>Motionerna</w:t>
      </w:r>
      <w:bookmarkEnd w:id="322"/>
      <w:bookmarkEnd w:id="323"/>
    </w:p>
    <w:p w:rsidR="001C7BF9" w:rsidRPr="00C9680B" w:rsidRDefault="001C7BF9">
      <w:r w:rsidRPr="00C9680B">
        <w:rPr>
          <w:i/>
        </w:rPr>
        <w:t>Moderata samlingspartiet</w:t>
      </w:r>
      <w:r w:rsidRPr="00C9680B">
        <w:t xml:space="preserve"> föreslår i </w:t>
      </w:r>
      <w:r w:rsidRPr="00C9680B">
        <w:rPr>
          <w:i/>
        </w:rPr>
        <w:t>motionerna Sk621</w:t>
      </w:r>
      <w:r w:rsidRPr="00C9680B">
        <w:t xml:space="preserve"> yrkande 6 av Bo Lundgren m.fl. (m), </w:t>
      </w:r>
      <w:r w:rsidRPr="00C9680B">
        <w:rPr>
          <w:i/>
        </w:rPr>
        <w:t xml:space="preserve">Sk313 </w:t>
      </w:r>
      <w:r w:rsidRPr="00C9680B">
        <w:t xml:space="preserve">yrkandena 7 och 36–38 av Carl Fredrik Graf m.fl. (m) och </w:t>
      </w:r>
      <w:r w:rsidRPr="00C9680B">
        <w:rPr>
          <w:i/>
        </w:rPr>
        <w:t>Sk306</w:t>
      </w:r>
      <w:r w:rsidRPr="00C9680B">
        <w:t xml:space="preserve"> av Marietta de Pourbaix-Lundin (m) att sambeskattningen av förmögenhet slopas och att fribeloppet bestäms till 1,5 miljoner kronor år 2001 samt att förmögenhetsska</w:t>
      </w:r>
      <w:r w:rsidRPr="00C9680B">
        <w:t>t</w:t>
      </w:r>
      <w:r w:rsidRPr="00C9680B">
        <w:t xml:space="preserve">ten slopas helt år 2002. </w:t>
      </w:r>
    </w:p>
    <w:p w:rsidR="001C7BF9" w:rsidRPr="00C9680B" w:rsidRDefault="001C7BF9">
      <w:r w:rsidRPr="00C9680B">
        <w:rPr>
          <w:i/>
        </w:rPr>
        <w:t>Kristdemokraterna</w:t>
      </w:r>
      <w:r w:rsidRPr="00C9680B">
        <w:t xml:space="preserve"> föreslår i </w:t>
      </w:r>
      <w:r w:rsidRPr="00C9680B">
        <w:rPr>
          <w:i/>
        </w:rPr>
        <w:t>motionerna Sk323</w:t>
      </w:r>
      <w:r w:rsidRPr="00C9680B">
        <w:t xml:space="preserve"> yrkandena 40–42 av Alf Svensson m.fl. (kd) och </w:t>
      </w:r>
      <w:r w:rsidRPr="00C9680B">
        <w:rPr>
          <w:i/>
        </w:rPr>
        <w:t xml:space="preserve">Sk322 </w:t>
      </w:r>
      <w:r w:rsidRPr="00C9680B">
        <w:t xml:space="preserve">yrkande 5 av Kenneth Lantz m.fl. (kd) att fribeloppet höjs till 1,8 miljoner kronor för sambeskattade par år 2001 och att förmögenhetsskatten därefter avvecklas stegvis. </w:t>
      </w:r>
    </w:p>
    <w:p w:rsidR="001C7BF9" w:rsidRPr="00C9680B" w:rsidRDefault="001C7BF9">
      <w:r w:rsidRPr="00C9680B">
        <w:rPr>
          <w:i/>
        </w:rPr>
        <w:t>Centerpartiet</w:t>
      </w:r>
      <w:r w:rsidRPr="00C9680B">
        <w:t xml:space="preserve"> föreslår i </w:t>
      </w:r>
      <w:r w:rsidRPr="00C9680B">
        <w:rPr>
          <w:i/>
        </w:rPr>
        <w:t>motion Sk321</w:t>
      </w:r>
      <w:r w:rsidRPr="00C9680B">
        <w:t xml:space="preserve"> yrkande 17 av Lennart Daléus m.fl. (c) att sambeskattningen avskaffas år 2001.</w:t>
      </w:r>
    </w:p>
    <w:p w:rsidR="001C7BF9" w:rsidRPr="00C9680B" w:rsidRDefault="001C7BF9">
      <w:r w:rsidRPr="00C9680B">
        <w:rPr>
          <w:i/>
        </w:rPr>
        <w:t>Folkpartiet liberalerna</w:t>
      </w:r>
      <w:r w:rsidRPr="00C9680B">
        <w:t xml:space="preserve"> föreslår i </w:t>
      </w:r>
      <w:r w:rsidRPr="00C9680B">
        <w:rPr>
          <w:i/>
        </w:rPr>
        <w:t>motion Sk324</w:t>
      </w:r>
      <w:r w:rsidRPr="00C9680B">
        <w:t xml:space="preserve"> yrkande 14 av Lars Leijo</w:t>
      </w:r>
      <w:r w:rsidRPr="00C9680B">
        <w:t>n</w:t>
      </w:r>
      <w:r w:rsidRPr="00C9680B">
        <w:t>borg m.fl. (fp) att sambeskattningen avskaffas år 2001. Motionärerna anför att det finns starka jämställdhetsskäl, och praktiska skäl, för att avskaffa samb</w:t>
      </w:r>
      <w:r w:rsidRPr="00C9680B">
        <w:t>e</w:t>
      </w:r>
      <w:r w:rsidRPr="00C9680B">
        <w:t>skattningen. De föreslår vidare att fribeloppet höjs till 2,1 miljoner kronor år 2002 med sikte på ett fullständigt avskaffande av förmögenhet</w:t>
      </w:r>
      <w:r w:rsidRPr="00C9680B">
        <w:t>s</w:t>
      </w:r>
      <w:r w:rsidRPr="00C9680B">
        <w:softHyphen/>
        <w:t xml:space="preserve">skatten. </w:t>
      </w:r>
    </w:p>
    <w:p w:rsidR="001C7BF9" w:rsidRPr="00C9680B" w:rsidRDefault="001C7BF9">
      <w:pPr>
        <w:pStyle w:val="R4"/>
      </w:pPr>
      <w:r w:rsidRPr="00C9680B">
        <w:t>Skatteutskottets yttrande</w:t>
      </w:r>
    </w:p>
    <w:p w:rsidR="001C7BF9" w:rsidRPr="00C9680B" w:rsidRDefault="001C7BF9">
      <w:r w:rsidRPr="00C9680B">
        <w:t>Skatteutskottet anför i sitt yttrande (SkU1y) att det är önskvärt att den tren</w:t>
      </w:r>
      <w:r w:rsidRPr="00C9680B">
        <w:t>d</w:t>
      </w:r>
      <w:r w:rsidRPr="00C9680B">
        <w:t>mässiga ökningen av antalet skattskyldiga som erlägger förmögenhetsskatt begränsas. Vidare finns det enligt vad utskottet anför anledning att söka göra reglerna mer neutrala i förhållande till den skattskyldiges familjeförhållanden. En möjlighet, som också framförs av flertalet motionärer, är här att slopa sambeskattningen. Sambeskattningen av förmögenhet har kritiserats på pri</w:t>
      </w:r>
      <w:r w:rsidRPr="00C9680B">
        <w:t>n</w:t>
      </w:r>
      <w:r w:rsidRPr="00C9680B">
        <w:t>cipiella grunder, och Riksskatteverket har i en rapport föreslagit att samb</w:t>
      </w:r>
      <w:r w:rsidRPr="00C9680B">
        <w:t>e</w:t>
      </w:r>
      <w:r w:rsidRPr="00C9680B">
        <w:t xml:space="preserve">skattningen slopas av förenklingsskäl. En nackdel med </w:t>
      </w:r>
      <w:r w:rsidRPr="00C9680B">
        <w:t>detta alternativ är dock att det sk</w:t>
      </w:r>
      <w:r w:rsidRPr="00C9680B">
        <w:t>a</w:t>
      </w:r>
      <w:r w:rsidRPr="00C9680B">
        <w:t>par ett incitament till skatte</w:t>
      </w:r>
      <w:r w:rsidRPr="00C9680B">
        <w:softHyphen/>
        <w:t>motiverade förmögenhets</w:t>
      </w:r>
      <w:r w:rsidRPr="00C9680B">
        <w:softHyphen/>
        <w:t>överföringar inom en familj. Enligt skatteutskottets mening bör denna situ</w:t>
      </w:r>
      <w:r w:rsidRPr="00C9680B">
        <w:t>a</w:t>
      </w:r>
      <w:r w:rsidRPr="00C9680B">
        <w:t>tion undvikas, och utskottet instämmer därför i rege</w:t>
      </w:r>
      <w:r w:rsidRPr="00C9680B">
        <w:softHyphen/>
        <w:t>ringens slutsats att met</w:t>
      </w:r>
      <w:r w:rsidRPr="00C9680B">
        <w:t>o</w:t>
      </w:r>
      <w:r w:rsidRPr="00C9680B">
        <w:t>den med olika fribelopp för ensamstående och sambe</w:t>
      </w:r>
      <w:r w:rsidRPr="00C9680B">
        <w:softHyphen/>
        <w:t>skattade par är att för</w:t>
      </w:r>
      <w:r w:rsidRPr="00C9680B">
        <w:t>e</w:t>
      </w:r>
      <w:r w:rsidRPr="00C9680B">
        <w:t>dra när effekten av de återställda taxeringsvärdena skall begrä</w:t>
      </w:r>
      <w:r w:rsidRPr="00C9680B">
        <w:t>n</w:t>
      </w:r>
      <w:r w:rsidRPr="00C9680B">
        <w:t>sas.</w:t>
      </w:r>
    </w:p>
    <w:p w:rsidR="001C7BF9" w:rsidRPr="00C9680B" w:rsidRDefault="001C7BF9">
      <w:pPr>
        <w:pStyle w:val="Normaltindrag"/>
      </w:pPr>
      <w:r w:rsidRPr="00C9680B">
        <w:t>Skatteutskottet anför att regeringens bedömning innebär att fribeloppet för ensamstående bör höjas till 1 000 000 kr och att</w:t>
      </w:r>
      <w:r w:rsidRPr="00C9680B">
        <w:t xml:space="preserve"> fribeloppet för sambeskattade par bör höjas till 1 500 000 kr och att detta innebär sänkt förmögenhetsskatt och en kraftig reducering av antalet skattskyldiga. Antalet skattskyldiga up</w:t>
      </w:r>
      <w:r w:rsidRPr="00C9680B">
        <w:t>p</w:t>
      </w:r>
      <w:r w:rsidRPr="00C9680B">
        <w:t>gick år 1997 till 570 000, år 2000 till 770 000 och beräknas år 2001 uppgå till 970 000 personer. Med regeringens förslag skulle antalet skattskyldiga återgå till 1997 års nivå.</w:t>
      </w:r>
    </w:p>
    <w:p w:rsidR="001C7BF9" w:rsidRPr="00C9680B" w:rsidRDefault="001C7BF9">
      <w:pPr>
        <w:pStyle w:val="Normaltindrag"/>
      </w:pPr>
      <w:r w:rsidRPr="00C9680B">
        <w:t>Skatteutskottet instämmer i regeringens bedömning av de förändringar som bör genomföras inom förmögenhetsbeskattningen och anser att regerin</w:t>
      </w:r>
      <w:r w:rsidRPr="00C9680B">
        <w:t>g</w:t>
      </w:r>
      <w:r w:rsidRPr="00C9680B">
        <w:t>ens för</w:t>
      </w:r>
      <w:r w:rsidRPr="00C9680B">
        <w:softHyphen/>
        <w:t>slag nu bör avvaktas. Utskottet är således inte berett att tillstyrka de olika motionsförslagen om slopad sambeskattning, kraftigt höjda fribelopp eller avskaffande av förmögenhet</w:t>
      </w:r>
      <w:r w:rsidRPr="00C9680B">
        <w:t>s</w:t>
      </w:r>
      <w:r w:rsidRPr="00C9680B">
        <w:t>skatten och avstyrker därför dessa.</w:t>
      </w:r>
    </w:p>
    <w:p w:rsidR="001C7BF9" w:rsidRPr="00C9680B" w:rsidRDefault="001C7BF9">
      <w:pPr>
        <w:pStyle w:val="R4"/>
      </w:pPr>
      <w:r w:rsidRPr="00C9680B">
        <w:t>Finansutskottets ställningstagande</w:t>
      </w:r>
    </w:p>
    <w:p w:rsidR="001C7BF9" w:rsidRPr="00C9680B" w:rsidRDefault="001C7BF9">
      <w:r w:rsidRPr="00C9680B">
        <w:t>Finansutskottet delar i likhet med skatteutskottet regeringens bedömning att fribeloppet för uttag av förmögenhetsskatt bör höjas från 900 000 kr till 1 000 000 kr för ensamstående och till 1 500 000 kr för sambeskattade par vid 2002 års taxering och avstyrker motionerna Sk306 (m), Sk313 (m) yrkandena 7 och 36–38, Sk321 (c) yrkande 17, Sk322 (kd) yrkande 5, Sk323 (kd) yrka</w:t>
      </w:r>
      <w:r w:rsidRPr="00C9680B">
        <w:t>n</w:t>
      </w:r>
      <w:r w:rsidRPr="00C9680B">
        <w:t>dena 40– 42, Sk324 (fp) yrkande 14 och Sk621 (m) yrkande 6.</w:t>
      </w:r>
    </w:p>
    <w:p w:rsidR="001C7BF9" w:rsidRPr="00C9680B" w:rsidRDefault="001C7BF9">
      <w:pPr>
        <w:pStyle w:val="Utskottetsvervganden-RubrikFrslagspunkt"/>
        <w:outlineLvl w:val="0"/>
      </w:pPr>
      <w:bookmarkStart w:id="324" w:name="_Toc497720079"/>
      <w:bookmarkStart w:id="325" w:name="_Toc498238819"/>
      <w:bookmarkStart w:id="326" w:name="_Toc498910730"/>
      <w:r w:rsidRPr="00C9680B">
        <w:t>3.6.3 Värdering av bostadshyreshus vid 2001 års förmögenhetstaxering</w:t>
      </w:r>
      <w:bookmarkEnd w:id="324"/>
      <w:bookmarkEnd w:id="325"/>
      <w:bookmarkEnd w:id="326"/>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bifaller regeringens förslag om att hyreshus (bostads</w:t>
      </w:r>
      <w:r w:rsidRPr="00C9680B">
        <w:softHyphen/>
        <w:t>delen) skall värderas till det lägsta av 1999 respektive 2000 års ta</w:t>
      </w:r>
      <w:r w:rsidRPr="00C9680B">
        <w:t>x</w:t>
      </w:r>
      <w:r w:rsidRPr="00C9680B">
        <w:t xml:space="preserve">eringsvärde vid beräkning av skattepliktig förmögenhet vid 2001 års taxering. </w:t>
      </w:r>
    </w:p>
    <w:p w:rsidR="001C7BF9" w:rsidRPr="00C9680B" w:rsidRDefault="001C7BF9">
      <w:pPr>
        <w:pStyle w:val="R4"/>
      </w:pPr>
      <w:bookmarkStart w:id="327" w:name="_Toc497206512"/>
      <w:bookmarkStart w:id="328" w:name="_Toc497720081"/>
      <w:r w:rsidRPr="00C9680B">
        <w:t>Budgetpropositionen</w:t>
      </w:r>
      <w:bookmarkEnd w:id="327"/>
      <w:bookmarkEnd w:id="328"/>
    </w:p>
    <w:p w:rsidR="001C7BF9" w:rsidRPr="00C9680B" w:rsidRDefault="001C7BF9">
      <w:r w:rsidRPr="00C9680B">
        <w:t>Regeringen föreslår (avsnitt 9.4.2) att hyreshus (bostadsdelen) skall få värd</w:t>
      </w:r>
      <w:r w:rsidRPr="00C9680B">
        <w:t>e</w:t>
      </w:r>
      <w:r w:rsidRPr="00C9680B">
        <w:t>ras till det lägsta av 1999 respektive 2000 års taxeringsvärde vid beräkning av skattepliktig förmögenhet vid 2001 års taxering. Vidare genomförs en rättelse av förm</w:t>
      </w:r>
      <w:r w:rsidRPr="00C9680B">
        <w:t>ö</w:t>
      </w:r>
      <w:r w:rsidRPr="00C9680B">
        <w:softHyphen/>
        <w:t xml:space="preserve">genhetsskattelagen. </w:t>
      </w:r>
    </w:p>
    <w:p w:rsidR="001C7BF9" w:rsidRPr="00C9680B" w:rsidRDefault="001C7BF9">
      <w:pPr>
        <w:pStyle w:val="Normaltindrag"/>
      </w:pPr>
      <w:r w:rsidRPr="00C9680B">
        <w:t>Regeringen anför att de höjda taxeringsvärdena för hyreshus till följd av 2000 års allmänna fastighetstaxering inte bör tillåtas slå igenom när det gäller uttag av förmögenhetsskatt vid 2001 års taxering. En bestämmelse motsv</w:t>
      </w:r>
      <w:r w:rsidRPr="00C9680B">
        <w:t>a</w:t>
      </w:r>
      <w:r w:rsidRPr="00C9680B">
        <w:t>rande den som genomförts på fastighetsskatteområdet bör därför införas även när det gäller förmögenhetsska</w:t>
      </w:r>
      <w:r w:rsidRPr="00C9680B">
        <w:t>t</w:t>
      </w:r>
      <w:r w:rsidRPr="00C9680B">
        <w:t xml:space="preserve">ten. </w:t>
      </w:r>
    </w:p>
    <w:p w:rsidR="001C7BF9" w:rsidRPr="00C9680B" w:rsidRDefault="001C7BF9">
      <w:pPr>
        <w:pStyle w:val="R4"/>
      </w:pPr>
      <w:r w:rsidRPr="00C9680B">
        <w:t>Skatteutskottets yttrande</w:t>
      </w:r>
    </w:p>
    <w:p w:rsidR="001C7BF9" w:rsidRPr="00C9680B" w:rsidRDefault="001C7BF9">
      <w:r w:rsidRPr="00C9680B">
        <w:t xml:space="preserve">Skatteutskottet har inte funnit någon anledning till erinran mot regeringens förslag och tillstyrker därför propositionen i denna del. </w:t>
      </w:r>
    </w:p>
    <w:p w:rsidR="001C7BF9" w:rsidRPr="00C9680B" w:rsidRDefault="001C7BF9">
      <w:pPr>
        <w:pStyle w:val="R4"/>
      </w:pPr>
      <w:r w:rsidRPr="00C9680B">
        <w:t>Finansutskottets ställningstagande</w:t>
      </w:r>
    </w:p>
    <w:p w:rsidR="001C7BF9" w:rsidRPr="00C9680B" w:rsidRDefault="001C7BF9">
      <w:r w:rsidRPr="00C9680B">
        <w:t>Finansutskottet tillstyrker i likhet med skatteutskottet propositionens förslag om värdering av bostadshyreshus vid 2001 års förmöge</w:t>
      </w:r>
      <w:r w:rsidRPr="00C9680B">
        <w:t>n</w:t>
      </w:r>
      <w:r w:rsidRPr="00C9680B">
        <w:t>hetstaxering.</w:t>
      </w:r>
    </w:p>
    <w:p w:rsidR="001C7BF9" w:rsidRPr="00C9680B" w:rsidRDefault="001C7BF9">
      <w:pPr>
        <w:pStyle w:val="Rubrik1b"/>
        <w:outlineLvl w:val="0"/>
      </w:pPr>
      <w:bookmarkStart w:id="329" w:name="_Toc497720083"/>
      <w:bookmarkStart w:id="330" w:name="_Toc498238820"/>
      <w:bookmarkStart w:id="331" w:name="_Toc498910731"/>
      <w:r w:rsidRPr="00C9680B">
        <w:t>3.7 Skatt på varor och tjänster</w:t>
      </w:r>
      <w:bookmarkEnd w:id="329"/>
      <w:bookmarkEnd w:id="330"/>
      <w:bookmarkEnd w:id="331"/>
    </w:p>
    <w:p w:rsidR="001C7BF9" w:rsidRPr="00C9680B" w:rsidRDefault="001C7BF9"/>
    <w:tbl>
      <w:tblPr>
        <w:tblW w:w="0" w:type="auto"/>
        <w:tblInd w:w="-851" w:type="dxa"/>
        <w:tblLayout w:type="fixed"/>
        <w:tblCellMar>
          <w:left w:w="30" w:type="dxa"/>
          <w:right w:w="30" w:type="dxa"/>
        </w:tblCellMar>
        <w:tblLook w:val="0000" w:firstRow="0" w:lastRow="0" w:firstColumn="0" w:lastColumn="0" w:noHBand="0" w:noVBand="0"/>
      </w:tblPr>
      <w:tblGrid>
        <w:gridCol w:w="821"/>
        <w:gridCol w:w="425"/>
        <w:gridCol w:w="568"/>
        <w:gridCol w:w="1872"/>
        <w:gridCol w:w="993"/>
        <w:gridCol w:w="709"/>
        <w:gridCol w:w="709"/>
        <w:gridCol w:w="709"/>
        <w:gridCol w:w="26"/>
        <w:gridCol w:w="825"/>
      </w:tblGrid>
      <w:tr w:rsidR="00000000" w:rsidRPr="00C9680B">
        <w:tblPrEx>
          <w:tblCellMar>
            <w:top w:w="0" w:type="dxa"/>
            <w:bottom w:w="0" w:type="dxa"/>
          </w:tblCellMar>
        </w:tblPrEx>
        <w:trPr>
          <w:gridAfter w:val="1"/>
          <w:wAfter w:w="823" w:type="dxa"/>
          <w:cantSplit/>
          <w:trHeight w:val="180"/>
        </w:trPr>
        <w:tc>
          <w:tcPr>
            <w:tcW w:w="6832" w:type="dxa"/>
            <w:gridSpan w:val="9"/>
            <w:tcBorders>
              <w:bottom w:val="single" w:sz="4" w:space="0" w:color="auto"/>
            </w:tcBorders>
          </w:tcPr>
          <w:p w:rsidR="001C7BF9" w:rsidRPr="00C9680B" w:rsidRDefault="001C7BF9">
            <w:pPr>
              <w:spacing w:before="40" w:line="180" w:lineRule="exact"/>
              <w:jc w:val="left"/>
              <w:rPr>
                <w:b/>
                <w:snapToGrid w:val="0"/>
                <w:color w:val="000000"/>
                <w:sz w:val="17"/>
                <w:lang w:eastAsia="sv-SE"/>
              </w:rPr>
            </w:pPr>
            <w:r w:rsidRPr="00C9680B">
              <w:rPr>
                <w:b/>
                <w:snapToGrid w:val="0"/>
                <w:color w:val="000000"/>
                <w:sz w:val="17"/>
                <w:lang w:eastAsia="sv-SE"/>
              </w:rPr>
              <w:t>Tabell 39. Huvudgrupp 1400 Skatt på varor och tjänster</w:t>
            </w:r>
          </w:p>
          <w:p w:rsidR="001C7BF9" w:rsidRPr="00C9680B" w:rsidRDefault="001C7BF9">
            <w:pPr>
              <w:pStyle w:val="Normaltindrag"/>
              <w:ind w:firstLine="0"/>
              <w:rPr>
                <w:sz w:val="14"/>
              </w:rPr>
            </w:pPr>
            <w:r w:rsidRPr="00C9680B">
              <w:rPr>
                <w:sz w:val="14"/>
              </w:rPr>
              <w:t>Miljoner kronor</w:t>
            </w:r>
          </w:p>
        </w:tc>
      </w:tr>
      <w:tr w:rsidR="00000000" w:rsidRPr="00C9680B">
        <w:tblPrEx>
          <w:jc w:val="right"/>
          <w:tblInd w:w="0" w:type="dxa"/>
          <w:tblCellMar>
            <w:top w:w="0" w:type="dxa"/>
            <w:bottom w:w="0" w:type="dxa"/>
          </w:tblCellMar>
        </w:tblPrEx>
        <w:trPr>
          <w:gridBefore w:val="1"/>
          <w:wBefore w:w="821" w:type="dxa"/>
          <w:cantSplit/>
          <w:trHeight w:val="180"/>
          <w:jc w:val="right"/>
        </w:trPr>
        <w:tc>
          <w:tcPr>
            <w:tcW w:w="2865" w:type="dxa"/>
            <w:gridSpan w:val="3"/>
            <w:tcBorders>
              <w:top w:val="single" w:sz="4" w:space="0" w:color="auto"/>
            </w:tcBorders>
          </w:tcPr>
          <w:p w:rsidR="001C7BF9" w:rsidRPr="00C9680B" w:rsidRDefault="001C7BF9">
            <w:pPr>
              <w:spacing w:before="40" w:line="180" w:lineRule="exact"/>
              <w:rPr>
                <w:snapToGrid w:val="0"/>
                <w:color w:val="000000"/>
                <w:sz w:val="17"/>
                <w:lang w:eastAsia="sv-SE"/>
              </w:rPr>
            </w:pPr>
          </w:p>
        </w:tc>
        <w:tc>
          <w:tcPr>
            <w:tcW w:w="993" w:type="dxa"/>
            <w:tcBorders>
              <w:top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Reg</w:t>
            </w:r>
            <w:r w:rsidRPr="00C9680B">
              <w:rPr>
                <w:b/>
                <w:snapToGrid w:val="0"/>
                <w:color w:val="000000"/>
                <w:sz w:val="17"/>
                <w:lang w:eastAsia="sv-SE"/>
              </w:rPr>
              <w:t>e</w:t>
            </w:r>
            <w:r w:rsidRPr="00C9680B">
              <w:rPr>
                <w:b/>
                <w:snapToGrid w:val="0"/>
                <w:color w:val="000000"/>
                <w:sz w:val="17"/>
                <w:lang w:eastAsia="sv-SE"/>
              </w:rPr>
              <w:t>ringens</w:t>
            </w:r>
          </w:p>
        </w:tc>
        <w:tc>
          <w:tcPr>
            <w:tcW w:w="2976" w:type="dxa"/>
            <w:gridSpan w:val="5"/>
            <w:tcBorders>
              <w:top w:val="single" w:sz="4" w:space="0" w:color="auto"/>
              <w:bottom w:val="single" w:sz="6" w:space="0" w:color="auto"/>
            </w:tcBorders>
          </w:tcPr>
          <w:p w:rsidR="001C7BF9" w:rsidRPr="00C9680B" w:rsidRDefault="001C7BF9">
            <w:pPr>
              <w:spacing w:before="40" w:line="180" w:lineRule="exact"/>
              <w:jc w:val="center"/>
              <w:rPr>
                <w:snapToGrid w:val="0"/>
                <w:color w:val="000000"/>
                <w:sz w:val="17"/>
                <w:lang w:eastAsia="sv-SE"/>
              </w:rPr>
            </w:pPr>
            <w:r w:rsidRPr="00C9680B">
              <w:rPr>
                <w:snapToGrid w:val="0"/>
                <w:color w:val="000000"/>
                <w:sz w:val="17"/>
                <w:lang w:eastAsia="sv-SE"/>
              </w:rPr>
              <w:t>Avvikelser från regeringens förslag</w:t>
            </w:r>
          </w:p>
        </w:tc>
      </w:tr>
      <w:tr w:rsidR="00000000" w:rsidRPr="00C9680B">
        <w:tblPrEx>
          <w:jc w:val="right"/>
          <w:tblInd w:w="0" w:type="dxa"/>
          <w:tblCellMar>
            <w:top w:w="0" w:type="dxa"/>
            <w:bottom w:w="0" w:type="dxa"/>
          </w:tblCellMar>
        </w:tblPrEx>
        <w:trPr>
          <w:gridBefore w:val="1"/>
          <w:wBefore w:w="821" w:type="dxa"/>
          <w:trHeight w:val="180"/>
          <w:jc w:val="right"/>
        </w:trPr>
        <w:tc>
          <w:tcPr>
            <w:tcW w:w="993" w:type="dxa"/>
            <w:gridSpan w:val="2"/>
            <w:tcBorders>
              <w:bottom w:val="single" w:sz="4" w:space="0" w:color="auto"/>
            </w:tcBorders>
          </w:tcPr>
          <w:p w:rsidR="001C7BF9" w:rsidRPr="00C9680B" w:rsidRDefault="001C7BF9">
            <w:pPr>
              <w:spacing w:before="40" w:line="180" w:lineRule="exact"/>
              <w:rPr>
                <w:snapToGrid w:val="0"/>
                <w:color w:val="000000"/>
                <w:sz w:val="17"/>
                <w:lang w:eastAsia="sv-SE"/>
              </w:rPr>
            </w:pPr>
            <w:r w:rsidRPr="00C9680B">
              <w:rPr>
                <w:snapToGrid w:val="0"/>
                <w:color w:val="000000"/>
                <w:sz w:val="17"/>
                <w:lang w:eastAsia="sv-SE"/>
              </w:rPr>
              <w:t>Inkomstt</w:t>
            </w:r>
            <w:r w:rsidRPr="00C9680B">
              <w:rPr>
                <w:snapToGrid w:val="0"/>
                <w:color w:val="000000"/>
                <w:sz w:val="17"/>
                <w:lang w:eastAsia="sv-SE"/>
              </w:rPr>
              <w:t>i</w:t>
            </w:r>
            <w:r w:rsidRPr="00C9680B">
              <w:rPr>
                <w:snapToGrid w:val="0"/>
                <w:color w:val="000000"/>
                <w:sz w:val="17"/>
                <w:lang w:eastAsia="sv-SE"/>
              </w:rPr>
              <w:t>tel</w:t>
            </w:r>
          </w:p>
        </w:tc>
        <w:tc>
          <w:tcPr>
            <w:tcW w:w="1872"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993" w:type="dxa"/>
            <w:tcBorders>
              <w:bottom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 xml:space="preserve">förslag </w:t>
            </w:r>
          </w:p>
        </w:tc>
        <w:tc>
          <w:tcPr>
            <w:tcW w:w="708" w:type="dxa"/>
            <w:tcBorders>
              <w:bottom w:val="single" w:sz="4" w:space="0" w:color="auto"/>
            </w:tcBorders>
          </w:tcPr>
          <w:p w:rsidR="001C7BF9" w:rsidRPr="00C9680B" w:rsidRDefault="001C7BF9">
            <w:pPr>
              <w:spacing w:before="40" w:line="180" w:lineRule="exact"/>
              <w:jc w:val="center"/>
              <w:rPr>
                <w:b/>
                <w:snapToGrid w:val="0"/>
                <w:color w:val="000000"/>
                <w:sz w:val="17"/>
                <w:lang w:eastAsia="sv-SE"/>
              </w:rPr>
            </w:pPr>
            <w:r w:rsidRPr="00C9680B">
              <w:rPr>
                <w:b/>
                <w:snapToGrid w:val="0"/>
                <w:color w:val="000000"/>
                <w:sz w:val="17"/>
                <w:lang w:eastAsia="sv-SE"/>
              </w:rPr>
              <w:t>m</w:t>
            </w:r>
          </w:p>
        </w:tc>
        <w:tc>
          <w:tcPr>
            <w:tcW w:w="709" w:type="dxa"/>
            <w:tcBorders>
              <w:bottom w:val="single" w:sz="4" w:space="0" w:color="auto"/>
            </w:tcBorders>
          </w:tcPr>
          <w:p w:rsidR="001C7BF9" w:rsidRPr="00C9680B" w:rsidRDefault="001C7BF9">
            <w:pPr>
              <w:spacing w:before="40" w:line="180" w:lineRule="exact"/>
              <w:jc w:val="center"/>
              <w:rPr>
                <w:b/>
                <w:snapToGrid w:val="0"/>
                <w:color w:val="000000"/>
                <w:sz w:val="17"/>
                <w:lang w:eastAsia="sv-SE"/>
              </w:rPr>
            </w:pPr>
            <w:r w:rsidRPr="00C9680B">
              <w:rPr>
                <w:b/>
                <w:snapToGrid w:val="0"/>
                <w:color w:val="000000"/>
                <w:sz w:val="17"/>
                <w:lang w:eastAsia="sv-SE"/>
              </w:rPr>
              <w:t>kd</w:t>
            </w:r>
          </w:p>
        </w:tc>
        <w:tc>
          <w:tcPr>
            <w:tcW w:w="709" w:type="dxa"/>
            <w:tcBorders>
              <w:bottom w:val="single" w:sz="4" w:space="0" w:color="auto"/>
            </w:tcBorders>
          </w:tcPr>
          <w:p w:rsidR="001C7BF9" w:rsidRPr="00C9680B" w:rsidRDefault="001C7BF9">
            <w:pPr>
              <w:spacing w:before="40" w:line="180" w:lineRule="exact"/>
              <w:jc w:val="center"/>
              <w:rPr>
                <w:b/>
                <w:snapToGrid w:val="0"/>
                <w:color w:val="000000"/>
                <w:sz w:val="17"/>
                <w:lang w:eastAsia="sv-SE"/>
              </w:rPr>
            </w:pPr>
            <w:r w:rsidRPr="00C9680B">
              <w:rPr>
                <w:b/>
                <w:snapToGrid w:val="0"/>
                <w:color w:val="000000"/>
                <w:sz w:val="17"/>
                <w:lang w:eastAsia="sv-SE"/>
              </w:rPr>
              <w:t>c</w:t>
            </w:r>
          </w:p>
        </w:tc>
        <w:tc>
          <w:tcPr>
            <w:tcW w:w="850" w:type="dxa"/>
            <w:gridSpan w:val="2"/>
            <w:tcBorders>
              <w:bottom w:val="single" w:sz="4" w:space="0" w:color="auto"/>
            </w:tcBorders>
          </w:tcPr>
          <w:p w:rsidR="001C7BF9" w:rsidRPr="00C9680B" w:rsidRDefault="001C7BF9">
            <w:pPr>
              <w:spacing w:before="40" w:line="180" w:lineRule="exact"/>
              <w:jc w:val="center"/>
              <w:rPr>
                <w:b/>
                <w:snapToGrid w:val="0"/>
                <w:color w:val="000000"/>
                <w:sz w:val="17"/>
                <w:lang w:eastAsia="sv-SE"/>
              </w:rPr>
            </w:pPr>
            <w:r w:rsidRPr="00C9680B">
              <w:rPr>
                <w:b/>
                <w:snapToGrid w:val="0"/>
                <w:color w:val="000000"/>
                <w:sz w:val="17"/>
                <w:lang w:eastAsia="sv-SE"/>
              </w:rPr>
              <w:t>fp</w:t>
            </w: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1411</w:t>
            </w:r>
          </w:p>
        </w:tc>
        <w:tc>
          <w:tcPr>
            <w:tcW w:w="2440" w:type="dxa"/>
            <w:gridSpan w:val="2"/>
          </w:tcPr>
          <w:p w:rsidR="001C7BF9" w:rsidRPr="00C9680B" w:rsidRDefault="001C7BF9">
            <w:pPr>
              <w:spacing w:before="80" w:line="180" w:lineRule="exact"/>
              <w:rPr>
                <w:b/>
                <w:snapToGrid w:val="0"/>
                <w:color w:val="000000"/>
                <w:sz w:val="17"/>
                <w:lang w:eastAsia="sv-SE"/>
              </w:rPr>
            </w:pPr>
            <w:r w:rsidRPr="00C9680B">
              <w:rPr>
                <w:b/>
                <w:snapToGrid w:val="0"/>
                <w:color w:val="000000"/>
                <w:sz w:val="17"/>
                <w:lang w:eastAsia="sv-SE"/>
              </w:rPr>
              <w:t>Mervärdesskatt, netto</w:t>
            </w:r>
          </w:p>
        </w:tc>
        <w:tc>
          <w:tcPr>
            <w:tcW w:w="993"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190 764</w:t>
            </w:r>
          </w:p>
        </w:tc>
        <w:tc>
          <w:tcPr>
            <w:tcW w:w="708"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+2 040</w:t>
            </w:r>
          </w:p>
        </w:tc>
        <w:tc>
          <w:tcPr>
            <w:tcW w:w="709" w:type="dxa"/>
          </w:tcPr>
          <w:p w:rsidR="001C7BF9" w:rsidRPr="00C9680B" w:rsidRDefault="001C7BF9">
            <w:pPr>
              <w:spacing w:before="80" w:line="180" w:lineRule="exact"/>
              <w:jc w:val="right"/>
              <w:rPr>
                <w:b/>
                <w:snapToGrid w:val="0"/>
                <w:color w:val="000000"/>
                <w:sz w:val="17"/>
                <w:lang w:eastAsia="sv-SE"/>
              </w:rPr>
            </w:pPr>
          </w:p>
        </w:tc>
        <w:tc>
          <w:tcPr>
            <w:tcW w:w="709" w:type="dxa"/>
          </w:tcPr>
          <w:p w:rsidR="001C7BF9" w:rsidRPr="00C9680B" w:rsidRDefault="001C7BF9">
            <w:pPr>
              <w:spacing w:before="80" w:line="180" w:lineRule="exact"/>
              <w:jc w:val="right"/>
              <w:rPr>
                <w:b/>
                <w:snapToGrid w:val="0"/>
                <w:color w:val="000000"/>
                <w:sz w:val="17"/>
                <w:lang w:eastAsia="sv-SE"/>
              </w:rPr>
            </w:pPr>
          </w:p>
        </w:tc>
        <w:tc>
          <w:tcPr>
            <w:tcW w:w="850" w:type="dxa"/>
            <w:gridSpan w:val="2"/>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-1 150</w:t>
            </w: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snapToGrid w:val="0"/>
                <w:color w:val="000000"/>
                <w:sz w:val="17"/>
                <w:lang w:eastAsia="sv-SE"/>
              </w:rPr>
            </w:pPr>
          </w:p>
        </w:tc>
        <w:tc>
          <w:tcPr>
            <w:tcW w:w="2440" w:type="dxa"/>
            <w:gridSpan w:val="2"/>
          </w:tcPr>
          <w:p w:rsidR="001C7BF9" w:rsidRPr="00C9680B" w:rsidRDefault="001C7BF9">
            <w:pPr>
              <w:spacing w:before="40" w:line="180" w:lineRule="exact"/>
              <w:ind w:left="113" w:hanging="113"/>
              <w:rPr>
                <w:snapToGrid w:val="0"/>
                <w:color w:val="000000"/>
                <w:sz w:val="17"/>
                <w:lang w:eastAsia="sv-SE"/>
              </w:rPr>
            </w:pPr>
            <w:r w:rsidRPr="00C9680B">
              <w:rPr>
                <w:snapToGrid w:val="0"/>
                <w:color w:val="000000"/>
                <w:sz w:val="17"/>
                <w:lang w:eastAsia="sv-SE"/>
              </w:rPr>
              <w:t>Sänkt skatt för personb</w:t>
            </w:r>
            <w:r w:rsidRPr="00C9680B">
              <w:rPr>
                <w:snapToGrid w:val="0"/>
                <w:color w:val="000000"/>
                <w:sz w:val="17"/>
                <w:lang w:eastAsia="sv-SE"/>
              </w:rPr>
              <w:t>e</w:t>
            </w:r>
            <w:r w:rsidRPr="00C9680B">
              <w:rPr>
                <w:snapToGrid w:val="0"/>
                <w:color w:val="000000"/>
                <w:sz w:val="17"/>
                <w:lang w:eastAsia="sv-SE"/>
              </w:rPr>
              <w:t>fordran</w:t>
            </w:r>
          </w:p>
        </w:tc>
        <w:tc>
          <w:tcPr>
            <w:tcW w:w="993"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-880</w:t>
            </w:r>
          </w:p>
        </w:tc>
        <w:tc>
          <w:tcPr>
            <w:tcW w:w="708"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+880</w:t>
            </w: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850" w:type="dxa"/>
            <w:gridSpan w:val="2"/>
          </w:tcPr>
          <w:p w:rsidR="001C7BF9" w:rsidRPr="00C9680B" w:rsidRDefault="001C7BF9">
            <w:pPr>
              <w:spacing w:before="40" w:line="180" w:lineRule="exact"/>
              <w:jc w:val="right"/>
              <w:rPr>
                <w:snapToGrid w:val="0"/>
                <w:color w:val="000000"/>
                <w:sz w:val="17"/>
                <w:lang w:eastAsia="sv-SE"/>
              </w:rPr>
            </w:pP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snapToGrid w:val="0"/>
                <w:color w:val="000000"/>
                <w:sz w:val="17"/>
                <w:lang w:eastAsia="sv-SE"/>
              </w:rPr>
            </w:pPr>
          </w:p>
        </w:tc>
        <w:tc>
          <w:tcPr>
            <w:tcW w:w="2440" w:type="dxa"/>
            <w:gridSpan w:val="2"/>
          </w:tcPr>
          <w:p w:rsidR="001C7BF9" w:rsidRPr="00C9680B" w:rsidRDefault="001C7BF9">
            <w:pPr>
              <w:spacing w:before="40" w:line="180" w:lineRule="exact"/>
              <w:ind w:left="113" w:hanging="113"/>
              <w:rPr>
                <w:snapToGrid w:val="0"/>
                <w:color w:val="000000"/>
                <w:sz w:val="17"/>
                <w:lang w:eastAsia="sv-SE"/>
              </w:rPr>
            </w:pPr>
            <w:r w:rsidRPr="00C9680B">
              <w:rPr>
                <w:snapToGrid w:val="0"/>
                <w:color w:val="000000"/>
                <w:sz w:val="17"/>
                <w:lang w:eastAsia="sv-SE"/>
              </w:rPr>
              <w:t>Sänkt moms djurparker</w:t>
            </w:r>
          </w:p>
        </w:tc>
        <w:tc>
          <w:tcPr>
            <w:tcW w:w="993"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-20</w:t>
            </w: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850" w:type="dxa"/>
            <w:gridSpan w:val="2"/>
          </w:tcPr>
          <w:p w:rsidR="001C7BF9" w:rsidRPr="00C9680B" w:rsidRDefault="001C7BF9">
            <w:pPr>
              <w:spacing w:before="40" w:line="180" w:lineRule="exact"/>
              <w:jc w:val="right"/>
              <w:rPr>
                <w:snapToGrid w:val="0"/>
                <w:color w:val="000000"/>
                <w:sz w:val="17"/>
                <w:lang w:eastAsia="sv-SE"/>
              </w:rPr>
            </w:pP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snapToGrid w:val="0"/>
                <w:color w:val="000000"/>
                <w:sz w:val="17"/>
                <w:lang w:eastAsia="sv-SE"/>
              </w:rPr>
            </w:pPr>
          </w:p>
        </w:tc>
        <w:tc>
          <w:tcPr>
            <w:tcW w:w="2440" w:type="dxa"/>
            <w:gridSpan w:val="2"/>
          </w:tcPr>
          <w:p w:rsidR="001C7BF9" w:rsidRPr="00C9680B" w:rsidRDefault="001C7BF9">
            <w:pPr>
              <w:spacing w:before="40" w:line="180" w:lineRule="exact"/>
              <w:ind w:left="113" w:hanging="113"/>
              <w:rPr>
                <w:snapToGrid w:val="0"/>
                <w:color w:val="000000"/>
                <w:sz w:val="17"/>
                <w:lang w:eastAsia="sv-SE"/>
              </w:rPr>
            </w:pPr>
            <w:r w:rsidRPr="00C9680B">
              <w:rPr>
                <w:snapToGrid w:val="0"/>
                <w:color w:val="000000"/>
                <w:sz w:val="17"/>
                <w:lang w:eastAsia="sv-SE"/>
              </w:rPr>
              <w:t>Sänkt bokmoms</w:t>
            </w:r>
          </w:p>
        </w:tc>
        <w:tc>
          <w:tcPr>
            <w:tcW w:w="993"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850" w:type="dxa"/>
            <w:gridSpan w:val="2"/>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-900</w:t>
            </w: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snapToGrid w:val="0"/>
                <w:color w:val="000000"/>
                <w:sz w:val="17"/>
                <w:lang w:eastAsia="sv-SE"/>
              </w:rPr>
            </w:pPr>
          </w:p>
        </w:tc>
        <w:tc>
          <w:tcPr>
            <w:tcW w:w="2440" w:type="dxa"/>
            <w:gridSpan w:val="2"/>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Höjd tidningsmoms (jfr slopad reklamskatt)</w:t>
            </w:r>
          </w:p>
        </w:tc>
        <w:tc>
          <w:tcPr>
            <w:tcW w:w="993"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+1 160</w:t>
            </w: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850" w:type="dxa"/>
            <w:gridSpan w:val="2"/>
          </w:tcPr>
          <w:p w:rsidR="001C7BF9" w:rsidRPr="00C9680B" w:rsidRDefault="001C7BF9">
            <w:pPr>
              <w:spacing w:before="40" w:line="180" w:lineRule="exact"/>
              <w:jc w:val="right"/>
              <w:rPr>
                <w:snapToGrid w:val="0"/>
                <w:color w:val="000000"/>
                <w:sz w:val="17"/>
                <w:lang w:eastAsia="sv-SE"/>
              </w:rPr>
            </w:pP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snapToGrid w:val="0"/>
                <w:color w:val="000000"/>
                <w:sz w:val="17"/>
                <w:lang w:eastAsia="sv-SE"/>
              </w:rPr>
            </w:pPr>
          </w:p>
        </w:tc>
        <w:tc>
          <w:tcPr>
            <w:tcW w:w="2440" w:type="dxa"/>
            <w:gridSpan w:val="2"/>
          </w:tcPr>
          <w:p w:rsidR="001C7BF9" w:rsidRPr="00C9680B" w:rsidRDefault="001C7BF9">
            <w:pPr>
              <w:spacing w:before="40" w:line="180" w:lineRule="exact"/>
              <w:ind w:left="113" w:hanging="113"/>
              <w:rPr>
                <w:snapToGrid w:val="0"/>
                <w:color w:val="000000"/>
                <w:sz w:val="17"/>
                <w:lang w:eastAsia="sv-SE"/>
              </w:rPr>
            </w:pPr>
            <w:r w:rsidRPr="00C9680B">
              <w:rPr>
                <w:snapToGrid w:val="0"/>
                <w:color w:val="000000"/>
                <w:sz w:val="17"/>
                <w:lang w:eastAsia="sv-SE"/>
              </w:rPr>
              <w:t>Senare skatteinbetalning</w:t>
            </w:r>
          </w:p>
        </w:tc>
        <w:tc>
          <w:tcPr>
            <w:tcW w:w="993"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850" w:type="dxa"/>
            <w:gridSpan w:val="2"/>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-250</w:t>
            </w: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snapToGrid w:val="0"/>
                <w:color w:val="000000"/>
                <w:sz w:val="17"/>
                <w:lang w:eastAsia="sv-SE"/>
              </w:rPr>
            </w:pPr>
          </w:p>
        </w:tc>
        <w:tc>
          <w:tcPr>
            <w:tcW w:w="2440" w:type="dxa"/>
            <w:gridSpan w:val="2"/>
          </w:tcPr>
          <w:p w:rsidR="001C7BF9" w:rsidRPr="00C9680B" w:rsidRDefault="001C7BF9">
            <w:pPr>
              <w:spacing w:before="40" w:line="180" w:lineRule="exact"/>
              <w:ind w:left="113" w:hanging="113"/>
              <w:rPr>
                <w:snapToGrid w:val="0"/>
                <w:color w:val="000000"/>
                <w:sz w:val="17"/>
                <w:lang w:eastAsia="sv-SE"/>
              </w:rPr>
            </w:pPr>
          </w:p>
        </w:tc>
        <w:tc>
          <w:tcPr>
            <w:tcW w:w="993"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850" w:type="dxa"/>
            <w:gridSpan w:val="2"/>
          </w:tcPr>
          <w:p w:rsidR="001C7BF9" w:rsidRPr="00C9680B" w:rsidRDefault="001C7BF9">
            <w:pPr>
              <w:spacing w:before="40" w:line="180" w:lineRule="exact"/>
              <w:jc w:val="right"/>
              <w:rPr>
                <w:snapToGrid w:val="0"/>
                <w:color w:val="000000"/>
                <w:sz w:val="17"/>
                <w:lang w:eastAsia="sv-SE"/>
              </w:rPr>
            </w:pP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1423</w:t>
            </w:r>
          </w:p>
        </w:tc>
        <w:tc>
          <w:tcPr>
            <w:tcW w:w="2440" w:type="dxa"/>
            <w:gridSpan w:val="2"/>
          </w:tcPr>
          <w:p w:rsidR="001C7BF9" w:rsidRPr="00C9680B" w:rsidRDefault="001C7BF9">
            <w:pPr>
              <w:spacing w:before="40" w:line="180" w:lineRule="exact"/>
              <w:ind w:left="113" w:hanging="113"/>
              <w:rPr>
                <w:b/>
                <w:snapToGrid w:val="0"/>
                <w:color w:val="000000"/>
                <w:sz w:val="17"/>
                <w:lang w:eastAsia="sv-SE"/>
              </w:rPr>
            </w:pPr>
            <w:r w:rsidRPr="00C9680B">
              <w:rPr>
                <w:b/>
                <w:snapToGrid w:val="0"/>
                <w:color w:val="000000"/>
                <w:sz w:val="17"/>
                <w:lang w:eastAsia="sv-SE"/>
              </w:rPr>
              <w:t>Försäljningsskatt på motorfo</w:t>
            </w:r>
            <w:r w:rsidRPr="00C9680B">
              <w:rPr>
                <w:b/>
                <w:snapToGrid w:val="0"/>
                <w:color w:val="000000"/>
                <w:sz w:val="17"/>
                <w:lang w:eastAsia="sv-SE"/>
              </w:rPr>
              <w:t>r</w:t>
            </w:r>
            <w:r w:rsidRPr="00C9680B">
              <w:rPr>
                <w:b/>
                <w:snapToGrid w:val="0"/>
                <w:color w:val="000000"/>
                <w:sz w:val="17"/>
                <w:lang w:eastAsia="sv-SE"/>
              </w:rPr>
              <w:t>don</w:t>
            </w:r>
          </w:p>
        </w:tc>
        <w:tc>
          <w:tcPr>
            <w:tcW w:w="993" w:type="dxa"/>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22</w:t>
            </w:r>
          </w:p>
        </w:tc>
        <w:tc>
          <w:tcPr>
            <w:tcW w:w="708" w:type="dxa"/>
          </w:tcPr>
          <w:p w:rsidR="001C7BF9" w:rsidRPr="00C9680B" w:rsidRDefault="001C7BF9">
            <w:pPr>
              <w:spacing w:before="40" w:line="180" w:lineRule="exact"/>
              <w:jc w:val="right"/>
              <w:rPr>
                <w:b/>
                <w:snapToGrid w:val="0"/>
                <w:color w:val="000000"/>
                <w:sz w:val="17"/>
                <w:lang w:eastAsia="sv-SE"/>
              </w:rPr>
            </w:pPr>
          </w:p>
        </w:tc>
        <w:tc>
          <w:tcPr>
            <w:tcW w:w="709" w:type="dxa"/>
          </w:tcPr>
          <w:p w:rsidR="001C7BF9" w:rsidRPr="00C9680B" w:rsidRDefault="001C7BF9">
            <w:pPr>
              <w:spacing w:before="40" w:line="180" w:lineRule="exact"/>
              <w:jc w:val="right"/>
              <w:rPr>
                <w:b/>
                <w:snapToGrid w:val="0"/>
                <w:color w:val="000000"/>
                <w:sz w:val="17"/>
                <w:lang w:eastAsia="sv-SE"/>
              </w:rPr>
            </w:pPr>
          </w:p>
        </w:tc>
        <w:tc>
          <w:tcPr>
            <w:tcW w:w="709" w:type="dxa"/>
          </w:tcPr>
          <w:p w:rsidR="001C7BF9" w:rsidRPr="00C9680B" w:rsidRDefault="001C7BF9">
            <w:pPr>
              <w:spacing w:before="40" w:line="180" w:lineRule="exact"/>
              <w:jc w:val="right"/>
              <w:rPr>
                <w:b/>
                <w:snapToGrid w:val="0"/>
                <w:color w:val="000000"/>
                <w:sz w:val="17"/>
                <w:lang w:eastAsia="sv-SE"/>
              </w:rPr>
            </w:pPr>
          </w:p>
        </w:tc>
        <w:tc>
          <w:tcPr>
            <w:tcW w:w="850" w:type="dxa"/>
            <w:gridSpan w:val="2"/>
          </w:tcPr>
          <w:p w:rsidR="001C7BF9" w:rsidRPr="00C9680B" w:rsidRDefault="001C7BF9">
            <w:pPr>
              <w:spacing w:before="40" w:line="180" w:lineRule="exact"/>
              <w:jc w:val="right"/>
              <w:rPr>
                <w:b/>
                <w:snapToGrid w:val="0"/>
                <w:color w:val="000000"/>
                <w:sz w:val="17"/>
                <w:lang w:eastAsia="sv-SE"/>
              </w:rPr>
            </w:pP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snapToGrid w:val="0"/>
                <w:color w:val="000000"/>
                <w:sz w:val="17"/>
                <w:lang w:eastAsia="sv-SE"/>
              </w:rPr>
            </w:pPr>
          </w:p>
        </w:tc>
        <w:tc>
          <w:tcPr>
            <w:tcW w:w="2440" w:type="dxa"/>
            <w:gridSpan w:val="2"/>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Avskaffad försäljningsskatt för lätta lastbilar m.m.</w:t>
            </w:r>
          </w:p>
        </w:tc>
        <w:tc>
          <w:tcPr>
            <w:tcW w:w="993" w:type="dxa"/>
          </w:tcPr>
          <w:p w:rsidR="001C7BF9" w:rsidRPr="00C9680B" w:rsidRDefault="001C7BF9">
            <w:pPr>
              <w:spacing w:before="120" w:line="180" w:lineRule="exact"/>
              <w:jc w:val="right"/>
              <w:rPr>
                <w:snapToGrid w:val="0"/>
                <w:color w:val="000000"/>
                <w:sz w:val="17"/>
                <w:lang w:eastAsia="sv-SE"/>
              </w:rPr>
            </w:pPr>
            <w:r w:rsidRPr="00C9680B">
              <w:rPr>
                <w:snapToGrid w:val="0"/>
                <w:color w:val="000000"/>
                <w:sz w:val="17"/>
                <w:lang w:eastAsia="sv-SE"/>
              </w:rPr>
              <w:t>-240</w:t>
            </w: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850" w:type="dxa"/>
            <w:gridSpan w:val="2"/>
          </w:tcPr>
          <w:p w:rsidR="001C7BF9" w:rsidRPr="00C9680B" w:rsidRDefault="001C7BF9">
            <w:pPr>
              <w:spacing w:before="40" w:line="180" w:lineRule="exact"/>
              <w:jc w:val="right"/>
              <w:rPr>
                <w:snapToGrid w:val="0"/>
                <w:color w:val="000000"/>
                <w:sz w:val="17"/>
                <w:lang w:eastAsia="sv-SE"/>
              </w:rPr>
            </w:pP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1425</w:t>
            </w:r>
          </w:p>
        </w:tc>
        <w:tc>
          <w:tcPr>
            <w:tcW w:w="2440" w:type="dxa"/>
            <w:gridSpan w:val="2"/>
          </w:tcPr>
          <w:p w:rsidR="001C7BF9" w:rsidRPr="00C9680B" w:rsidRDefault="001C7BF9">
            <w:pPr>
              <w:spacing w:before="40" w:line="180" w:lineRule="exact"/>
              <w:ind w:left="113" w:hanging="113"/>
              <w:rPr>
                <w:b/>
                <w:snapToGrid w:val="0"/>
                <w:color w:val="000000"/>
                <w:sz w:val="17"/>
                <w:lang w:eastAsia="sv-SE"/>
              </w:rPr>
            </w:pPr>
            <w:r w:rsidRPr="00C9680B">
              <w:rPr>
                <w:b/>
                <w:snapToGrid w:val="0"/>
                <w:color w:val="000000"/>
                <w:sz w:val="17"/>
                <w:lang w:eastAsia="sv-SE"/>
              </w:rPr>
              <w:t>Alkoholskatt</w:t>
            </w:r>
          </w:p>
        </w:tc>
        <w:tc>
          <w:tcPr>
            <w:tcW w:w="993" w:type="dxa"/>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10 469</w:t>
            </w:r>
          </w:p>
        </w:tc>
        <w:tc>
          <w:tcPr>
            <w:tcW w:w="708" w:type="dxa"/>
          </w:tcPr>
          <w:p w:rsidR="001C7BF9" w:rsidRPr="00C9680B" w:rsidRDefault="001C7BF9">
            <w:pPr>
              <w:spacing w:before="40" w:line="180" w:lineRule="exact"/>
              <w:jc w:val="right"/>
              <w:rPr>
                <w:b/>
                <w:snapToGrid w:val="0"/>
                <w:color w:val="000000"/>
                <w:sz w:val="17"/>
                <w:lang w:eastAsia="sv-SE"/>
              </w:rPr>
            </w:pPr>
          </w:p>
        </w:tc>
        <w:tc>
          <w:tcPr>
            <w:tcW w:w="709" w:type="dxa"/>
          </w:tcPr>
          <w:p w:rsidR="001C7BF9" w:rsidRPr="00C9680B" w:rsidRDefault="001C7BF9">
            <w:pPr>
              <w:spacing w:before="40" w:line="180" w:lineRule="exact"/>
              <w:jc w:val="right"/>
              <w:rPr>
                <w:b/>
                <w:snapToGrid w:val="0"/>
                <w:color w:val="000000"/>
                <w:sz w:val="17"/>
                <w:lang w:eastAsia="sv-SE"/>
              </w:rPr>
            </w:pPr>
          </w:p>
        </w:tc>
        <w:tc>
          <w:tcPr>
            <w:tcW w:w="709" w:type="dxa"/>
          </w:tcPr>
          <w:p w:rsidR="001C7BF9" w:rsidRPr="00C9680B" w:rsidRDefault="001C7BF9">
            <w:pPr>
              <w:spacing w:before="40" w:line="180" w:lineRule="exact"/>
              <w:jc w:val="right"/>
              <w:rPr>
                <w:b/>
                <w:snapToGrid w:val="0"/>
                <w:color w:val="000000"/>
                <w:sz w:val="17"/>
                <w:lang w:eastAsia="sv-SE"/>
              </w:rPr>
            </w:pPr>
          </w:p>
        </w:tc>
        <w:tc>
          <w:tcPr>
            <w:tcW w:w="850" w:type="dxa"/>
            <w:gridSpan w:val="2"/>
          </w:tcPr>
          <w:p w:rsidR="001C7BF9" w:rsidRPr="00C9680B" w:rsidRDefault="001C7BF9">
            <w:pPr>
              <w:spacing w:before="40" w:line="180" w:lineRule="exact"/>
              <w:jc w:val="right"/>
              <w:rPr>
                <w:b/>
                <w:snapToGrid w:val="0"/>
                <w:color w:val="000000"/>
                <w:sz w:val="17"/>
                <w:lang w:eastAsia="sv-SE"/>
              </w:rPr>
            </w:pP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snapToGrid w:val="0"/>
                <w:color w:val="000000"/>
                <w:sz w:val="17"/>
                <w:lang w:eastAsia="sv-SE"/>
              </w:rPr>
            </w:pPr>
          </w:p>
        </w:tc>
        <w:tc>
          <w:tcPr>
            <w:tcW w:w="2440" w:type="dxa"/>
            <w:gridSpan w:val="2"/>
          </w:tcPr>
          <w:p w:rsidR="001C7BF9" w:rsidRPr="00C9680B" w:rsidRDefault="001C7BF9">
            <w:pPr>
              <w:spacing w:before="40" w:line="180" w:lineRule="exact"/>
              <w:ind w:left="113" w:hanging="113"/>
              <w:rPr>
                <w:snapToGrid w:val="0"/>
                <w:color w:val="000000"/>
                <w:sz w:val="17"/>
                <w:lang w:eastAsia="sv-SE"/>
              </w:rPr>
            </w:pPr>
            <w:r w:rsidRPr="00C9680B">
              <w:rPr>
                <w:snapToGrid w:val="0"/>
                <w:color w:val="000000"/>
                <w:sz w:val="17"/>
                <w:lang w:eastAsia="sv-SE"/>
              </w:rPr>
              <w:t>Utökade införselkvoter</w:t>
            </w:r>
          </w:p>
        </w:tc>
        <w:tc>
          <w:tcPr>
            <w:tcW w:w="993"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-110</w:t>
            </w: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850" w:type="dxa"/>
            <w:gridSpan w:val="2"/>
          </w:tcPr>
          <w:p w:rsidR="001C7BF9" w:rsidRPr="00C9680B" w:rsidRDefault="001C7BF9">
            <w:pPr>
              <w:spacing w:before="40" w:line="180" w:lineRule="exact"/>
              <w:jc w:val="right"/>
              <w:rPr>
                <w:snapToGrid w:val="0"/>
                <w:color w:val="000000"/>
                <w:sz w:val="17"/>
                <w:lang w:eastAsia="sv-SE"/>
              </w:rPr>
            </w:pP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snapToGrid w:val="0"/>
                <w:color w:val="000000"/>
                <w:sz w:val="17"/>
                <w:lang w:eastAsia="sv-SE"/>
              </w:rPr>
            </w:pPr>
          </w:p>
        </w:tc>
        <w:tc>
          <w:tcPr>
            <w:tcW w:w="2440" w:type="dxa"/>
            <w:gridSpan w:val="2"/>
          </w:tcPr>
          <w:p w:rsidR="001C7BF9" w:rsidRPr="00C9680B" w:rsidRDefault="001C7BF9">
            <w:pPr>
              <w:spacing w:before="40" w:line="180" w:lineRule="exact"/>
              <w:ind w:left="113" w:hanging="113"/>
              <w:rPr>
                <w:snapToGrid w:val="0"/>
                <w:color w:val="000000"/>
                <w:sz w:val="17"/>
                <w:lang w:eastAsia="sv-SE"/>
              </w:rPr>
            </w:pPr>
          </w:p>
        </w:tc>
        <w:tc>
          <w:tcPr>
            <w:tcW w:w="993"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850" w:type="dxa"/>
            <w:gridSpan w:val="2"/>
          </w:tcPr>
          <w:p w:rsidR="001C7BF9" w:rsidRPr="00C9680B" w:rsidRDefault="001C7BF9">
            <w:pPr>
              <w:spacing w:before="40" w:line="180" w:lineRule="exact"/>
              <w:jc w:val="right"/>
              <w:rPr>
                <w:snapToGrid w:val="0"/>
                <w:color w:val="000000"/>
                <w:sz w:val="17"/>
                <w:lang w:eastAsia="sv-SE"/>
              </w:rPr>
            </w:pP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1428</w:t>
            </w:r>
          </w:p>
        </w:tc>
        <w:tc>
          <w:tcPr>
            <w:tcW w:w="2440" w:type="dxa"/>
            <w:gridSpan w:val="2"/>
          </w:tcPr>
          <w:p w:rsidR="001C7BF9" w:rsidRPr="00C9680B" w:rsidRDefault="001C7BF9">
            <w:pPr>
              <w:spacing w:before="40" w:line="180" w:lineRule="exact"/>
              <w:ind w:left="113" w:hanging="113"/>
              <w:rPr>
                <w:b/>
                <w:snapToGrid w:val="0"/>
                <w:color w:val="000000"/>
                <w:sz w:val="17"/>
                <w:lang w:eastAsia="sv-SE"/>
              </w:rPr>
            </w:pPr>
            <w:r w:rsidRPr="00C9680B">
              <w:rPr>
                <w:b/>
                <w:snapToGrid w:val="0"/>
                <w:color w:val="000000"/>
                <w:sz w:val="17"/>
                <w:lang w:eastAsia="sv-SE"/>
              </w:rPr>
              <w:t>Energiskatt</w:t>
            </w:r>
          </w:p>
        </w:tc>
        <w:tc>
          <w:tcPr>
            <w:tcW w:w="993" w:type="dxa"/>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55 275</w:t>
            </w:r>
          </w:p>
        </w:tc>
        <w:tc>
          <w:tcPr>
            <w:tcW w:w="708" w:type="dxa"/>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-11 680</w:t>
            </w:r>
          </w:p>
        </w:tc>
        <w:tc>
          <w:tcPr>
            <w:tcW w:w="709" w:type="dxa"/>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-4 840</w:t>
            </w:r>
          </w:p>
        </w:tc>
        <w:tc>
          <w:tcPr>
            <w:tcW w:w="709" w:type="dxa"/>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-1 330</w:t>
            </w:r>
          </w:p>
        </w:tc>
        <w:tc>
          <w:tcPr>
            <w:tcW w:w="850" w:type="dxa"/>
            <w:gridSpan w:val="2"/>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-1 270</w:t>
            </w: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snapToGrid w:val="0"/>
                <w:color w:val="000000"/>
                <w:sz w:val="17"/>
                <w:lang w:eastAsia="sv-SE"/>
              </w:rPr>
            </w:pPr>
          </w:p>
        </w:tc>
        <w:tc>
          <w:tcPr>
            <w:tcW w:w="2440" w:type="dxa"/>
            <w:gridSpan w:val="2"/>
          </w:tcPr>
          <w:p w:rsidR="001C7BF9" w:rsidRPr="00C9680B" w:rsidRDefault="001C7BF9">
            <w:pPr>
              <w:spacing w:before="40" w:line="180" w:lineRule="exact"/>
              <w:ind w:left="113" w:hanging="113"/>
              <w:rPr>
                <w:snapToGrid w:val="0"/>
                <w:color w:val="000000"/>
                <w:sz w:val="17"/>
                <w:lang w:eastAsia="sv-SE"/>
              </w:rPr>
            </w:pPr>
            <w:r w:rsidRPr="00C9680B">
              <w:rPr>
                <w:snapToGrid w:val="0"/>
                <w:color w:val="000000"/>
                <w:sz w:val="17"/>
                <w:lang w:eastAsia="sv-SE"/>
              </w:rPr>
              <w:t>Energiskatter</w:t>
            </w:r>
          </w:p>
        </w:tc>
        <w:tc>
          <w:tcPr>
            <w:tcW w:w="993"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-930</w:t>
            </w:r>
          </w:p>
        </w:tc>
        <w:tc>
          <w:tcPr>
            <w:tcW w:w="708"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-2 380</w:t>
            </w: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-2 380</w:t>
            </w:r>
          </w:p>
        </w:tc>
        <w:tc>
          <w:tcPr>
            <w:tcW w:w="709" w:type="dxa"/>
          </w:tcPr>
          <w:p w:rsidR="001C7BF9" w:rsidRPr="00C9680B" w:rsidRDefault="001C7BF9">
            <w:pPr>
              <w:spacing w:before="40" w:line="180" w:lineRule="exact"/>
              <w:jc w:val="right"/>
              <w:rPr>
                <w:snapToGrid w:val="0"/>
                <w:color w:val="000000"/>
                <w:sz w:val="17"/>
                <w:lang w:eastAsia="sv-SE"/>
              </w:rPr>
            </w:pPr>
          </w:p>
        </w:tc>
        <w:tc>
          <w:tcPr>
            <w:tcW w:w="850" w:type="dxa"/>
            <w:gridSpan w:val="2"/>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-1 000</w:t>
            </w: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snapToGrid w:val="0"/>
                <w:color w:val="000000"/>
                <w:sz w:val="17"/>
                <w:lang w:eastAsia="sv-SE"/>
              </w:rPr>
            </w:pPr>
          </w:p>
        </w:tc>
        <w:tc>
          <w:tcPr>
            <w:tcW w:w="2440" w:type="dxa"/>
            <w:gridSpan w:val="2"/>
          </w:tcPr>
          <w:p w:rsidR="001C7BF9" w:rsidRPr="00C9680B" w:rsidRDefault="001C7BF9">
            <w:pPr>
              <w:spacing w:before="40" w:line="180" w:lineRule="exact"/>
              <w:ind w:left="113" w:hanging="113"/>
              <w:rPr>
                <w:snapToGrid w:val="0"/>
                <w:color w:val="000000"/>
                <w:sz w:val="17"/>
                <w:lang w:eastAsia="sv-SE"/>
              </w:rPr>
            </w:pPr>
            <w:r w:rsidRPr="00C9680B">
              <w:rPr>
                <w:snapToGrid w:val="0"/>
                <w:color w:val="000000"/>
                <w:sz w:val="17"/>
                <w:lang w:eastAsia="sv-SE"/>
              </w:rPr>
              <w:t>Koldioxidskatt</w:t>
            </w:r>
          </w:p>
        </w:tc>
        <w:tc>
          <w:tcPr>
            <w:tcW w:w="993"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+4 240</w:t>
            </w:r>
          </w:p>
        </w:tc>
        <w:tc>
          <w:tcPr>
            <w:tcW w:w="708"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-4 240</w:t>
            </w: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-130</w:t>
            </w:r>
          </w:p>
        </w:tc>
        <w:tc>
          <w:tcPr>
            <w:tcW w:w="850" w:type="dxa"/>
            <w:gridSpan w:val="2"/>
          </w:tcPr>
          <w:p w:rsidR="001C7BF9" w:rsidRPr="00C9680B" w:rsidRDefault="001C7BF9">
            <w:pPr>
              <w:spacing w:before="40" w:line="180" w:lineRule="exact"/>
              <w:jc w:val="right"/>
              <w:rPr>
                <w:snapToGrid w:val="0"/>
                <w:color w:val="000000"/>
                <w:sz w:val="17"/>
                <w:lang w:eastAsia="sv-SE"/>
              </w:rPr>
            </w:pP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snapToGrid w:val="0"/>
                <w:color w:val="000000"/>
                <w:sz w:val="17"/>
                <w:lang w:eastAsia="sv-SE"/>
              </w:rPr>
            </w:pPr>
          </w:p>
        </w:tc>
        <w:tc>
          <w:tcPr>
            <w:tcW w:w="2440" w:type="dxa"/>
            <w:gridSpan w:val="2"/>
          </w:tcPr>
          <w:p w:rsidR="001C7BF9" w:rsidRPr="00C9680B" w:rsidRDefault="001C7BF9">
            <w:pPr>
              <w:spacing w:before="40" w:line="180" w:lineRule="exact"/>
              <w:ind w:left="113" w:hanging="113"/>
              <w:rPr>
                <w:snapToGrid w:val="0"/>
                <w:color w:val="000000"/>
                <w:sz w:val="17"/>
                <w:lang w:eastAsia="sv-SE"/>
              </w:rPr>
            </w:pPr>
            <w:r w:rsidRPr="00C9680B">
              <w:rPr>
                <w:snapToGrid w:val="0"/>
                <w:color w:val="000000"/>
                <w:sz w:val="17"/>
                <w:lang w:eastAsia="sv-SE"/>
              </w:rPr>
              <w:t>Drivmedelsskatter</w:t>
            </w:r>
          </w:p>
        </w:tc>
        <w:tc>
          <w:tcPr>
            <w:tcW w:w="993"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+270</w:t>
            </w:r>
          </w:p>
        </w:tc>
        <w:tc>
          <w:tcPr>
            <w:tcW w:w="708"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-3 850</w:t>
            </w: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-910</w:t>
            </w: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-270</w:t>
            </w:r>
          </w:p>
        </w:tc>
        <w:tc>
          <w:tcPr>
            <w:tcW w:w="850" w:type="dxa"/>
            <w:gridSpan w:val="2"/>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-270</w:t>
            </w: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snapToGrid w:val="0"/>
                <w:color w:val="000000"/>
                <w:sz w:val="17"/>
                <w:lang w:eastAsia="sv-SE"/>
              </w:rPr>
            </w:pPr>
          </w:p>
        </w:tc>
        <w:tc>
          <w:tcPr>
            <w:tcW w:w="2440" w:type="dxa"/>
            <w:gridSpan w:val="2"/>
          </w:tcPr>
          <w:p w:rsidR="001C7BF9" w:rsidRPr="00C9680B" w:rsidRDefault="001C7BF9">
            <w:pPr>
              <w:spacing w:before="40" w:line="180" w:lineRule="exact"/>
              <w:ind w:left="113" w:hanging="113"/>
              <w:rPr>
                <w:snapToGrid w:val="0"/>
                <w:color w:val="000000"/>
                <w:sz w:val="17"/>
                <w:lang w:eastAsia="sv-SE"/>
              </w:rPr>
            </w:pPr>
            <w:r w:rsidRPr="00C9680B">
              <w:rPr>
                <w:snapToGrid w:val="0"/>
                <w:color w:val="000000"/>
                <w:sz w:val="17"/>
                <w:lang w:eastAsia="sv-SE"/>
              </w:rPr>
              <w:t>Jordbruksskatter</w:t>
            </w:r>
          </w:p>
        </w:tc>
        <w:tc>
          <w:tcPr>
            <w:tcW w:w="993"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-1 210</w:t>
            </w: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-1 550</w:t>
            </w: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-1 230</w:t>
            </w:r>
          </w:p>
        </w:tc>
        <w:tc>
          <w:tcPr>
            <w:tcW w:w="850" w:type="dxa"/>
            <w:gridSpan w:val="2"/>
          </w:tcPr>
          <w:p w:rsidR="001C7BF9" w:rsidRPr="00C9680B" w:rsidRDefault="001C7BF9">
            <w:pPr>
              <w:spacing w:before="40" w:line="180" w:lineRule="exact"/>
              <w:jc w:val="right"/>
              <w:rPr>
                <w:snapToGrid w:val="0"/>
                <w:color w:val="000000"/>
                <w:sz w:val="17"/>
                <w:lang w:eastAsia="sv-SE"/>
              </w:rPr>
            </w:pP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snapToGrid w:val="0"/>
                <w:color w:val="000000"/>
                <w:sz w:val="17"/>
                <w:lang w:eastAsia="sv-SE"/>
              </w:rPr>
            </w:pPr>
          </w:p>
        </w:tc>
        <w:tc>
          <w:tcPr>
            <w:tcW w:w="2440" w:type="dxa"/>
            <w:gridSpan w:val="2"/>
          </w:tcPr>
          <w:p w:rsidR="001C7BF9" w:rsidRPr="00C9680B" w:rsidRDefault="001C7BF9">
            <w:pPr>
              <w:spacing w:before="40" w:line="180" w:lineRule="exact"/>
              <w:ind w:left="113" w:hanging="113"/>
              <w:rPr>
                <w:snapToGrid w:val="0"/>
                <w:color w:val="000000"/>
                <w:sz w:val="17"/>
                <w:lang w:eastAsia="sv-SE"/>
              </w:rPr>
            </w:pPr>
            <w:r w:rsidRPr="00C9680B">
              <w:rPr>
                <w:snapToGrid w:val="0"/>
                <w:color w:val="000000"/>
                <w:sz w:val="17"/>
                <w:lang w:eastAsia="sv-SE"/>
              </w:rPr>
              <w:t>Miljöskatter</w:t>
            </w:r>
          </w:p>
        </w:tc>
        <w:tc>
          <w:tcPr>
            <w:tcW w:w="993"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+300</w:t>
            </w:r>
          </w:p>
        </w:tc>
        <w:tc>
          <w:tcPr>
            <w:tcW w:w="850" w:type="dxa"/>
            <w:gridSpan w:val="2"/>
          </w:tcPr>
          <w:p w:rsidR="001C7BF9" w:rsidRPr="00C9680B" w:rsidRDefault="001C7BF9">
            <w:pPr>
              <w:spacing w:before="40" w:line="180" w:lineRule="exact"/>
              <w:jc w:val="right"/>
              <w:rPr>
                <w:snapToGrid w:val="0"/>
                <w:color w:val="000000"/>
                <w:sz w:val="17"/>
                <w:lang w:eastAsia="sv-SE"/>
              </w:rPr>
            </w:pP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snapToGrid w:val="0"/>
                <w:color w:val="000000"/>
                <w:sz w:val="17"/>
                <w:lang w:eastAsia="sv-SE"/>
              </w:rPr>
            </w:pPr>
          </w:p>
        </w:tc>
        <w:tc>
          <w:tcPr>
            <w:tcW w:w="2440" w:type="dxa"/>
            <w:gridSpan w:val="2"/>
          </w:tcPr>
          <w:p w:rsidR="001C7BF9" w:rsidRPr="00C9680B" w:rsidRDefault="001C7BF9">
            <w:pPr>
              <w:spacing w:before="40" w:line="180" w:lineRule="exact"/>
              <w:jc w:val="right"/>
              <w:rPr>
                <w:snapToGrid w:val="0"/>
                <w:color w:val="000000"/>
                <w:sz w:val="17"/>
                <w:lang w:eastAsia="sv-SE"/>
              </w:rPr>
            </w:pPr>
          </w:p>
        </w:tc>
        <w:tc>
          <w:tcPr>
            <w:tcW w:w="993"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850" w:type="dxa"/>
            <w:gridSpan w:val="2"/>
          </w:tcPr>
          <w:p w:rsidR="001C7BF9" w:rsidRPr="00C9680B" w:rsidRDefault="001C7BF9">
            <w:pPr>
              <w:spacing w:before="40" w:line="180" w:lineRule="exact"/>
              <w:jc w:val="right"/>
              <w:rPr>
                <w:snapToGrid w:val="0"/>
                <w:color w:val="000000"/>
                <w:sz w:val="17"/>
                <w:lang w:eastAsia="sv-SE"/>
              </w:rPr>
            </w:pP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1431</w:t>
            </w:r>
          </w:p>
        </w:tc>
        <w:tc>
          <w:tcPr>
            <w:tcW w:w="2438" w:type="dxa"/>
            <w:gridSpan w:val="2"/>
          </w:tcPr>
          <w:p w:rsidR="001C7BF9" w:rsidRPr="00C9680B" w:rsidRDefault="001C7BF9">
            <w:pPr>
              <w:spacing w:before="40" w:line="180" w:lineRule="exact"/>
              <w:ind w:left="113" w:hanging="113"/>
              <w:rPr>
                <w:b/>
                <w:snapToGrid w:val="0"/>
                <w:color w:val="000000"/>
                <w:sz w:val="17"/>
                <w:lang w:eastAsia="sv-SE"/>
              </w:rPr>
            </w:pPr>
            <w:r w:rsidRPr="00C9680B">
              <w:rPr>
                <w:b/>
                <w:snapToGrid w:val="0"/>
                <w:color w:val="000000"/>
                <w:sz w:val="17"/>
                <w:lang w:eastAsia="sv-SE"/>
              </w:rPr>
              <w:t>Särskild skatt på elektrisk kraft från kär</w:t>
            </w:r>
            <w:r w:rsidRPr="00C9680B">
              <w:rPr>
                <w:b/>
                <w:snapToGrid w:val="0"/>
                <w:color w:val="000000"/>
                <w:sz w:val="17"/>
                <w:lang w:eastAsia="sv-SE"/>
              </w:rPr>
              <w:t>n</w:t>
            </w:r>
            <w:r w:rsidRPr="00C9680B">
              <w:rPr>
                <w:b/>
                <w:snapToGrid w:val="0"/>
                <w:color w:val="000000"/>
                <w:sz w:val="17"/>
                <w:lang w:eastAsia="sv-SE"/>
              </w:rPr>
              <w:t>kraftverk</w:t>
            </w:r>
          </w:p>
        </w:tc>
        <w:tc>
          <w:tcPr>
            <w:tcW w:w="992" w:type="dxa"/>
          </w:tcPr>
          <w:p w:rsidR="001C7BF9" w:rsidRPr="00C9680B" w:rsidRDefault="001C7BF9">
            <w:pPr>
              <w:spacing w:before="160" w:line="180" w:lineRule="exact"/>
              <w:jc w:val="right"/>
              <w:rPr>
                <w:b/>
                <w:snapToGrid w:val="0"/>
                <w:color w:val="000000"/>
                <w:sz w:val="17"/>
                <w:lang w:eastAsia="sv-SE"/>
              </w:rPr>
            </w:pPr>
            <w:r w:rsidRPr="00C9680B">
              <w:rPr>
                <w:b/>
                <w:snapToGrid w:val="0"/>
                <w:color w:val="000000"/>
                <w:sz w:val="17"/>
                <w:lang w:eastAsia="sv-SE"/>
              </w:rPr>
              <w:t>1 826</w:t>
            </w:r>
          </w:p>
        </w:tc>
        <w:tc>
          <w:tcPr>
            <w:tcW w:w="709" w:type="dxa"/>
          </w:tcPr>
          <w:p w:rsidR="001C7BF9" w:rsidRPr="00C9680B" w:rsidRDefault="001C7BF9">
            <w:pPr>
              <w:spacing w:before="160" w:line="180" w:lineRule="exact"/>
              <w:jc w:val="right"/>
              <w:rPr>
                <w:b/>
                <w:snapToGrid w:val="0"/>
                <w:color w:val="000000"/>
                <w:sz w:val="17"/>
                <w:lang w:eastAsia="sv-SE"/>
              </w:rPr>
            </w:pPr>
            <w:r w:rsidRPr="00C9680B">
              <w:rPr>
                <w:b/>
                <w:snapToGrid w:val="0"/>
                <w:color w:val="000000"/>
                <w:sz w:val="17"/>
                <w:lang w:eastAsia="sv-SE"/>
              </w:rPr>
              <w:t>-300</w:t>
            </w:r>
          </w:p>
        </w:tc>
        <w:tc>
          <w:tcPr>
            <w:tcW w:w="709" w:type="dxa"/>
          </w:tcPr>
          <w:p w:rsidR="001C7BF9" w:rsidRPr="00C9680B" w:rsidRDefault="001C7BF9">
            <w:pPr>
              <w:spacing w:before="40" w:line="180" w:lineRule="exact"/>
              <w:jc w:val="right"/>
              <w:rPr>
                <w:b/>
                <w:snapToGrid w:val="0"/>
                <w:color w:val="000000"/>
                <w:sz w:val="17"/>
                <w:lang w:eastAsia="sv-SE"/>
              </w:rPr>
            </w:pPr>
          </w:p>
        </w:tc>
        <w:tc>
          <w:tcPr>
            <w:tcW w:w="708" w:type="dxa"/>
          </w:tcPr>
          <w:p w:rsidR="001C7BF9" w:rsidRPr="00C9680B" w:rsidRDefault="001C7BF9">
            <w:pPr>
              <w:spacing w:before="40" w:line="180" w:lineRule="exact"/>
              <w:jc w:val="right"/>
              <w:rPr>
                <w:b/>
                <w:snapToGrid w:val="0"/>
                <w:color w:val="000000"/>
                <w:sz w:val="17"/>
                <w:lang w:eastAsia="sv-SE"/>
              </w:rPr>
            </w:pPr>
          </w:p>
        </w:tc>
        <w:tc>
          <w:tcPr>
            <w:tcW w:w="851" w:type="dxa"/>
            <w:gridSpan w:val="2"/>
          </w:tcPr>
          <w:p w:rsidR="001C7BF9" w:rsidRPr="00C9680B" w:rsidRDefault="001C7BF9">
            <w:pPr>
              <w:spacing w:before="40" w:line="180" w:lineRule="exact"/>
              <w:jc w:val="right"/>
              <w:rPr>
                <w:b/>
                <w:snapToGrid w:val="0"/>
                <w:color w:val="000000"/>
                <w:sz w:val="17"/>
                <w:lang w:eastAsia="sv-SE"/>
              </w:rPr>
            </w:pP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80" w:line="180" w:lineRule="exact"/>
              <w:jc w:val="right"/>
              <w:rPr>
                <w:snapToGrid w:val="0"/>
                <w:color w:val="000000"/>
                <w:sz w:val="17"/>
                <w:lang w:eastAsia="sv-SE"/>
              </w:rPr>
            </w:pPr>
          </w:p>
        </w:tc>
        <w:tc>
          <w:tcPr>
            <w:tcW w:w="2438" w:type="dxa"/>
            <w:gridSpan w:val="2"/>
          </w:tcPr>
          <w:p w:rsidR="001C7BF9" w:rsidRPr="00C9680B" w:rsidRDefault="001C7BF9">
            <w:pPr>
              <w:spacing w:before="80" w:line="180" w:lineRule="exact"/>
              <w:ind w:left="113" w:hanging="113"/>
              <w:jc w:val="left"/>
              <w:rPr>
                <w:snapToGrid w:val="0"/>
                <w:color w:val="000000"/>
                <w:sz w:val="17"/>
                <w:lang w:eastAsia="sv-SE"/>
              </w:rPr>
            </w:pPr>
            <w:r w:rsidRPr="00C9680B">
              <w:rPr>
                <w:snapToGrid w:val="0"/>
                <w:color w:val="000000"/>
                <w:sz w:val="17"/>
                <w:lang w:eastAsia="sv-SE"/>
              </w:rPr>
              <w:t>Sänkt skatt på kärnkraft  0,5 öre/kWh</w:t>
            </w:r>
          </w:p>
        </w:tc>
        <w:tc>
          <w:tcPr>
            <w:tcW w:w="992" w:type="dxa"/>
          </w:tcPr>
          <w:p w:rsidR="001C7BF9" w:rsidRPr="00C9680B" w:rsidRDefault="001C7BF9">
            <w:pPr>
              <w:spacing w:before="120" w:line="180" w:lineRule="exact"/>
              <w:jc w:val="right"/>
              <w:rPr>
                <w:snapToGrid w:val="0"/>
                <w:color w:val="000000"/>
                <w:sz w:val="17"/>
                <w:lang w:eastAsia="sv-SE"/>
              </w:rPr>
            </w:pPr>
          </w:p>
        </w:tc>
        <w:tc>
          <w:tcPr>
            <w:tcW w:w="709" w:type="dxa"/>
          </w:tcPr>
          <w:p w:rsidR="001C7BF9" w:rsidRPr="00C9680B" w:rsidRDefault="001C7BF9">
            <w:pPr>
              <w:spacing w:before="80" w:line="180" w:lineRule="exact"/>
              <w:jc w:val="right"/>
              <w:rPr>
                <w:snapToGrid w:val="0"/>
                <w:color w:val="000000"/>
                <w:sz w:val="17"/>
                <w:lang w:eastAsia="sv-SE"/>
              </w:rPr>
            </w:pPr>
            <w:r w:rsidRPr="00C9680B">
              <w:rPr>
                <w:snapToGrid w:val="0"/>
                <w:color w:val="000000"/>
                <w:sz w:val="17"/>
                <w:lang w:eastAsia="sv-SE"/>
              </w:rPr>
              <w:t>-300</w:t>
            </w:r>
          </w:p>
        </w:tc>
        <w:tc>
          <w:tcPr>
            <w:tcW w:w="709" w:type="dxa"/>
          </w:tcPr>
          <w:p w:rsidR="001C7BF9" w:rsidRPr="00C9680B" w:rsidRDefault="001C7BF9">
            <w:pPr>
              <w:spacing w:before="80" w:line="180" w:lineRule="exact"/>
              <w:jc w:val="right"/>
              <w:rPr>
                <w:snapToGrid w:val="0"/>
                <w:color w:val="000000"/>
                <w:sz w:val="17"/>
                <w:lang w:eastAsia="sv-SE"/>
              </w:rPr>
            </w:pPr>
          </w:p>
        </w:tc>
        <w:tc>
          <w:tcPr>
            <w:tcW w:w="708" w:type="dxa"/>
          </w:tcPr>
          <w:p w:rsidR="001C7BF9" w:rsidRPr="00C9680B" w:rsidRDefault="001C7BF9">
            <w:pPr>
              <w:spacing w:before="80" w:line="180" w:lineRule="exact"/>
              <w:jc w:val="right"/>
              <w:rPr>
                <w:snapToGrid w:val="0"/>
                <w:color w:val="000000"/>
                <w:sz w:val="17"/>
                <w:lang w:eastAsia="sv-SE"/>
              </w:rPr>
            </w:pPr>
          </w:p>
        </w:tc>
        <w:tc>
          <w:tcPr>
            <w:tcW w:w="851" w:type="dxa"/>
            <w:gridSpan w:val="2"/>
          </w:tcPr>
          <w:p w:rsidR="001C7BF9" w:rsidRPr="00C9680B" w:rsidRDefault="001C7BF9">
            <w:pPr>
              <w:spacing w:before="80" w:line="180" w:lineRule="exact"/>
              <w:jc w:val="right"/>
              <w:rPr>
                <w:snapToGrid w:val="0"/>
                <w:color w:val="000000"/>
                <w:sz w:val="17"/>
                <w:lang w:eastAsia="sv-SE"/>
              </w:rPr>
            </w:pPr>
          </w:p>
        </w:tc>
      </w:tr>
      <w:tr w:rsidR="00000000" w:rsidRPr="00C9680B">
        <w:tblPrEx>
          <w:jc w:val="right"/>
          <w:tblInd w:w="0" w:type="dxa"/>
          <w:tblCellMar>
            <w:top w:w="0" w:type="dxa"/>
            <w:bottom w:w="0" w:type="dxa"/>
          </w:tblCellMar>
        </w:tblPrEx>
        <w:trPr>
          <w:gridBefore w:val="1"/>
          <w:wBefore w:w="821" w:type="dxa"/>
          <w:trHeight w:val="180"/>
          <w:jc w:val="right"/>
        </w:trPr>
        <w:tc>
          <w:tcPr>
            <w:tcW w:w="425"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1436</w:t>
            </w:r>
          </w:p>
        </w:tc>
        <w:tc>
          <w:tcPr>
            <w:tcW w:w="2438" w:type="dxa"/>
            <w:gridSpan w:val="2"/>
          </w:tcPr>
          <w:p w:rsidR="001C7BF9" w:rsidRPr="00C9680B" w:rsidRDefault="001C7BF9">
            <w:pPr>
              <w:spacing w:before="80" w:line="180" w:lineRule="exact"/>
              <w:ind w:left="113" w:hanging="113"/>
              <w:rPr>
                <w:b/>
                <w:snapToGrid w:val="0"/>
                <w:color w:val="000000"/>
                <w:sz w:val="17"/>
                <w:lang w:eastAsia="sv-SE"/>
              </w:rPr>
            </w:pPr>
            <w:r w:rsidRPr="00C9680B">
              <w:rPr>
                <w:b/>
                <w:snapToGrid w:val="0"/>
                <w:color w:val="000000"/>
                <w:sz w:val="17"/>
                <w:lang w:eastAsia="sv-SE"/>
              </w:rPr>
              <w:t>Skatt på avfall</w:t>
            </w:r>
          </w:p>
        </w:tc>
        <w:tc>
          <w:tcPr>
            <w:tcW w:w="992"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1 100</w:t>
            </w:r>
          </w:p>
        </w:tc>
        <w:tc>
          <w:tcPr>
            <w:tcW w:w="709" w:type="dxa"/>
          </w:tcPr>
          <w:p w:rsidR="001C7BF9" w:rsidRPr="00C9680B" w:rsidRDefault="001C7BF9">
            <w:pPr>
              <w:spacing w:before="80" w:line="180" w:lineRule="exact"/>
              <w:jc w:val="right"/>
              <w:rPr>
                <w:b/>
                <w:snapToGrid w:val="0"/>
                <w:color w:val="000000"/>
                <w:sz w:val="17"/>
                <w:lang w:eastAsia="sv-SE"/>
              </w:rPr>
            </w:pPr>
          </w:p>
        </w:tc>
        <w:tc>
          <w:tcPr>
            <w:tcW w:w="709" w:type="dxa"/>
          </w:tcPr>
          <w:p w:rsidR="001C7BF9" w:rsidRPr="00C9680B" w:rsidRDefault="001C7BF9">
            <w:pPr>
              <w:spacing w:before="80" w:line="180" w:lineRule="exact"/>
              <w:jc w:val="right"/>
              <w:rPr>
                <w:b/>
                <w:snapToGrid w:val="0"/>
                <w:color w:val="000000"/>
                <w:sz w:val="17"/>
                <w:lang w:eastAsia="sv-SE"/>
              </w:rPr>
            </w:pPr>
          </w:p>
        </w:tc>
        <w:tc>
          <w:tcPr>
            <w:tcW w:w="708"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300</w:t>
            </w:r>
          </w:p>
        </w:tc>
        <w:tc>
          <w:tcPr>
            <w:tcW w:w="851" w:type="dxa"/>
            <w:gridSpan w:val="2"/>
          </w:tcPr>
          <w:p w:rsidR="001C7BF9" w:rsidRPr="00C9680B" w:rsidRDefault="001C7BF9">
            <w:pPr>
              <w:spacing w:before="80" w:line="180" w:lineRule="exact"/>
              <w:jc w:val="right"/>
              <w:rPr>
                <w:b/>
                <w:snapToGrid w:val="0"/>
                <w:color w:val="000000"/>
                <w:sz w:val="17"/>
                <w:lang w:eastAsia="sv-SE"/>
              </w:rPr>
            </w:pPr>
          </w:p>
        </w:tc>
      </w:tr>
    </w:tbl>
    <w:p w:rsidR="001C7BF9" w:rsidRPr="00C9680B" w:rsidRDefault="001C7BF9"/>
    <w:tbl>
      <w:tblPr>
        <w:tblW w:w="0" w:type="auto"/>
        <w:tblInd w:w="-30" w:type="dxa"/>
        <w:tblLayout w:type="fixed"/>
        <w:tblCellMar>
          <w:left w:w="30" w:type="dxa"/>
          <w:right w:w="30" w:type="dxa"/>
        </w:tblCellMar>
        <w:tblLook w:val="0000" w:firstRow="0" w:lastRow="0" w:firstColumn="0" w:lastColumn="0" w:noHBand="0" w:noVBand="0"/>
      </w:tblPr>
      <w:tblGrid>
        <w:gridCol w:w="456"/>
        <w:gridCol w:w="537"/>
        <w:gridCol w:w="1731"/>
        <w:gridCol w:w="567"/>
        <w:gridCol w:w="708"/>
        <w:gridCol w:w="709"/>
        <w:gridCol w:w="709"/>
        <w:gridCol w:w="709"/>
        <w:gridCol w:w="708"/>
      </w:tblGrid>
      <w:tr w:rsidR="00000000" w:rsidRPr="00C9680B">
        <w:tblPrEx>
          <w:tblCellMar>
            <w:top w:w="0" w:type="dxa"/>
            <w:bottom w:w="0" w:type="dxa"/>
          </w:tblCellMar>
        </w:tblPrEx>
        <w:trPr>
          <w:cantSplit/>
          <w:trHeight w:val="180"/>
        </w:trPr>
        <w:tc>
          <w:tcPr>
            <w:tcW w:w="2724" w:type="dxa"/>
            <w:gridSpan w:val="3"/>
            <w:tcBorders>
              <w:top w:val="single" w:sz="4" w:space="0" w:color="auto"/>
            </w:tcBorders>
          </w:tcPr>
          <w:p w:rsidR="001C7BF9" w:rsidRPr="00C9680B" w:rsidRDefault="001C7BF9">
            <w:pPr>
              <w:spacing w:before="40" w:line="180" w:lineRule="exact"/>
              <w:rPr>
                <w:snapToGrid w:val="0"/>
                <w:color w:val="000000"/>
                <w:sz w:val="17"/>
                <w:lang w:eastAsia="sv-SE"/>
              </w:rPr>
            </w:pPr>
          </w:p>
        </w:tc>
        <w:tc>
          <w:tcPr>
            <w:tcW w:w="1275" w:type="dxa"/>
            <w:gridSpan w:val="2"/>
            <w:tcBorders>
              <w:top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Regerin</w:t>
            </w:r>
            <w:r w:rsidRPr="00C9680B">
              <w:rPr>
                <w:b/>
                <w:snapToGrid w:val="0"/>
                <w:color w:val="000000"/>
                <w:sz w:val="17"/>
                <w:lang w:eastAsia="sv-SE"/>
              </w:rPr>
              <w:t>g</w:t>
            </w:r>
            <w:r w:rsidRPr="00C9680B">
              <w:rPr>
                <w:b/>
                <w:snapToGrid w:val="0"/>
                <w:color w:val="000000"/>
                <w:sz w:val="17"/>
                <w:lang w:eastAsia="sv-SE"/>
              </w:rPr>
              <w:t>ens</w:t>
            </w:r>
          </w:p>
        </w:tc>
        <w:tc>
          <w:tcPr>
            <w:tcW w:w="2835" w:type="dxa"/>
            <w:gridSpan w:val="4"/>
            <w:tcBorders>
              <w:top w:val="single" w:sz="4" w:space="0" w:color="auto"/>
              <w:bottom w:val="single" w:sz="6" w:space="0" w:color="auto"/>
            </w:tcBorders>
          </w:tcPr>
          <w:p w:rsidR="001C7BF9" w:rsidRPr="00C9680B" w:rsidRDefault="001C7BF9">
            <w:pPr>
              <w:spacing w:before="40" w:line="180" w:lineRule="exact"/>
              <w:jc w:val="center"/>
              <w:rPr>
                <w:snapToGrid w:val="0"/>
                <w:color w:val="000000"/>
                <w:sz w:val="17"/>
                <w:lang w:eastAsia="sv-SE"/>
              </w:rPr>
            </w:pPr>
            <w:r w:rsidRPr="00C9680B">
              <w:rPr>
                <w:snapToGrid w:val="0"/>
                <w:color w:val="000000"/>
                <w:sz w:val="17"/>
                <w:lang w:eastAsia="sv-SE"/>
              </w:rPr>
              <w:t>Avvikelser från regeringens förslag</w:t>
            </w:r>
          </w:p>
        </w:tc>
      </w:tr>
      <w:tr w:rsidR="00000000" w:rsidRPr="00C9680B">
        <w:tblPrEx>
          <w:tblCellMar>
            <w:top w:w="0" w:type="dxa"/>
            <w:bottom w:w="0" w:type="dxa"/>
          </w:tblCellMar>
        </w:tblPrEx>
        <w:trPr>
          <w:trHeight w:val="180"/>
        </w:trPr>
        <w:tc>
          <w:tcPr>
            <w:tcW w:w="993" w:type="dxa"/>
            <w:gridSpan w:val="2"/>
            <w:tcBorders>
              <w:bottom w:val="single" w:sz="4" w:space="0" w:color="auto"/>
            </w:tcBorders>
          </w:tcPr>
          <w:p w:rsidR="001C7BF9" w:rsidRPr="00C9680B" w:rsidRDefault="001C7BF9">
            <w:pPr>
              <w:spacing w:before="40" w:line="180" w:lineRule="exact"/>
              <w:rPr>
                <w:snapToGrid w:val="0"/>
                <w:color w:val="000000"/>
                <w:sz w:val="17"/>
                <w:lang w:eastAsia="sv-SE"/>
              </w:rPr>
            </w:pPr>
            <w:r w:rsidRPr="00C9680B">
              <w:rPr>
                <w:snapToGrid w:val="0"/>
                <w:color w:val="000000"/>
                <w:sz w:val="17"/>
                <w:lang w:eastAsia="sv-SE"/>
              </w:rPr>
              <w:t>Inkomstt</w:t>
            </w:r>
            <w:r w:rsidRPr="00C9680B">
              <w:rPr>
                <w:snapToGrid w:val="0"/>
                <w:color w:val="000000"/>
                <w:sz w:val="17"/>
                <w:lang w:eastAsia="sv-SE"/>
              </w:rPr>
              <w:t>i</w:t>
            </w:r>
            <w:r w:rsidRPr="00C9680B">
              <w:rPr>
                <w:snapToGrid w:val="0"/>
                <w:color w:val="000000"/>
                <w:sz w:val="17"/>
                <w:lang w:eastAsia="sv-SE"/>
              </w:rPr>
              <w:t>tel</w:t>
            </w:r>
          </w:p>
        </w:tc>
        <w:tc>
          <w:tcPr>
            <w:tcW w:w="1731"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1275" w:type="dxa"/>
            <w:gridSpan w:val="2"/>
            <w:tcBorders>
              <w:bottom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 xml:space="preserve">förslag </w:t>
            </w:r>
          </w:p>
        </w:tc>
        <w:tc>
          <w:tcPr>
            <w:tcW w:w="709" w:type="dxa"/>
            <w:tcBorders>
              <w:bottom w:val="single" w:sz="4" w:space="0" w:color="auto"/>
            </w:tcBorders>
          </w:tcPr>
          <w:p w:rsidR="001C7BF9" w:rsidRPr="00C9680B" w:rsidRDefault="001C7BF9">
            <w:pPr>
              <w:spacing w:before="40" w:line="180" w:lineRule="exact"/>
              <w:jc w:val="center"/>
              <w:rPr>
                <w:b/>
                <w:snapToGrid w:val="0"/>
                <w:color w:val="000000"/>
                <w:sz w:val="17"/>
                <w:lang w:eastAsia="sv-SE"/>
              </w:rPr>
            </w:pPr>
            <w:r w:rsidRPr="00C9680B">
              <w:rPr>
                <w:b/>
                <w:snapToGrid w:val="0"/>
                <w:color w:val="000000"/>
                <w:sz w:val="17"/>
                <w:lang w:eastAsia="sv-SE"/>
              </w:rPr>
              <w:t>m</w:t>
            </w:r>
          </w:p>
        </w:tc>
        <w:tc>
          <w:tcPr>
            <w:tcW w:w="709" w:type="dxa"/>
            <w:tcBorders>
              <w:bottom w:val="single" w:sz="4" w:space="0" w:color="auto"/>
            </w:tcBorders>
          </w:tcPr>
          <w:p w:rsidR="001C7BF9" w:rsidRPr="00C9680B" w:rsidRDefault="001C7BF9">
            <w:pPr>
              <w:spacing w:before="40" w:line="180" w:lineRule="exact"/>
              <w:jc w:val="center"/>
              <w:rPr>
                <w:b/>
                <w:snapToGrid w:val="0"/>
                <w:color w:val="000000"/>
                <w:sz w:val="17"/>
                <w:lang w:eastAsia="sv-SE"/>
              </w:rPr>
            </w:pPr>
            <w:r w:rsidRPr="00C9680B">
              <w:rPr>
                <w:b/>
                <w:snapToGrid w:val="0"/>
                <w:color w:val="000000"/>
                <w:sz w:val="17"/>
                <w:lang w:eastAsia="sv-SE"/>
              </w:rPr>
              <w:t>kd</w:t>
            </w:r>
          </w:p>
        </w:tc>
        <w:tc>
          <w:tcPr>
            <w:tcW w:w="709" w:type="dxa"/>
            <w:tcBorders>
              <w:bottom w:val="single" w:sz="4" w:space="0" w:color="auto"/>
            </w:tcBorders>
          </w:tcPr>
          <w:p w:rsidR="001C7BF9" w:rsidRPr="00C9680B" w:rsidRDefault="001C7BF9">
            <w:pPr>
              <w:spacing w:before="40" w:line="180" w:lineRule="exact"/>
              <w:jc w:val="center"/>
              <w:rPr>
                <w:b/>
                <w:snapToGrid w:val="0"/>
                <w:color w:val="000000"/>
                <w:sz w:val="17"/>
                <w:lang w:eastAsia="sv-SE"/>
              </w:rPr>
            </w:pPr>
            <w:r w:rsidRPr="00C9680B">
              <w:rPr>
                <w:b/>
                <w:snapToGrid w:val="0"/>
                <w:color w:val="000000"/>
                <w:sz w:val="17"/>
                <w:lang w:eastAsia="sv-SE"/>
              </w:rPr>
              <w:t>c</w:t>
            </w:r>
          </w:p>
        </w:tc>
        <w:tc>
          <w:tcPr>
            <w:tcW w:w="708" w:type="dxa"/>
            <w:tcBorders>
              <w:bottom w:val="single" w:sz="4" w:space="0" w:color="auto"/>
            </w:tcBorders>
          </w:tcPr>
          <w:p w:rsidR="001C7BF9" w:rsidRPr="00C9680B" w:rsidRDefault="001C7BF9">
            <w:pPr>
              <w:spacing w:before="40" w:line="180" w:lineRule="exact"/>
              <w:jc w:val="center"/>
              <w:rPr>
                <w:b/>
                <w:snapToGrid w:val="0"/>
                <w:color w:val="000000"/>
                <w:sz w:val="17"/>
                <w:lang w:eastAsia="sv-SE"/>
              </w:rPr>
            </w:pPr>
            <w:r w:rsidRPr="00C9680B">
              <w:rPr>
                <w:b/>
                <w:snapToGrid w:val="0"/>
                <w:color w:val="000000"/>
                <w:sz w:val="17"/>
                <w:lang w:eastAsia="sv-SE"/>
              </w:rPr>
              <w:t>fp</w:t>
            </w:r>
          </w:p>
        </w:tc>
      </w:tr>
      <w:tr w:rsidR="00000000" w:rsidRPr="00C9680B">
        <w:tblPrEx>
          <w:tblCellMar>
            <w:top w:w="0" w:type="dxa"/>
            <w:bottom w:w="0" w:type="dxa"/>
          </w:tblCellMar>
        </w:tblPrEx>
        <w:trPr>
          <w:trHeight w:val="180"/>
        </w:trPr>
        <w:tc>
          <w:tcPr>
            <w:tcW w:w="456"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1452</w:t>
            </w:r>
          </w:p>
        </w:tc>
        <w:tc>
          <w:tcPr>
            <w:tcW w:w="2835" w:type="dxa"/>
            <w:gridSpan w:val="3"/>
          </w:tcPr>
          <w:p w:rsidR="001C7BF9" w:rsidRPr="00C9680B" w:rsidRDefault="001C7BF9">
            <w:pPr>
              <w:spacing w:before="80" w:line="180" w:lineRule="exact"/>
              <w:ind w:left="113" w:hanging="113"/>
              <w:rPr>
                <w:b/>
                <w:snapToGrid w:val="0"/>
                <w:color w:val="000000"/>
                <w:sz w:val="17"/>
                <w:lang w:eastAsia="sv-SE"/>
              </w:rPr>
            </w:pPr>
            <w:r w:rsidRPr="00C9680B">
              <w:rPr>
                <w:b/>
                <w:snapToGrid w:val="0"/>
                <w:color w:val="000000"/>
                <w:sz w:val="17"/>
                <w:lang w:eastAsia="sv-SE"/>
              </w:rPr>
              <w:t>Skatt på annonser och r</w:t>
            </w:r>
            <w:r w:rsidRPr="00C9680B">
              <w:rPr>
                <w:b/>
                <w:snapToGrid w:val="0"/>
                <w:color w:val="000000"/>
                <w:sz w:val="17"/>
                <w:lang w:eastAsia="sv-SE"/>
              </w:rPr>
              <w:t>e</w:t>
            </w:r>
            <w:r w:rsidRPr="00C9680B">
              <w:rPr>
                <w:b/>
                <w:snapToGrid w:val="0"/>
                <w:color w:val="000000"/>
                <w:sz w:val="17"/>
                <w:lang w:eastAsia="sv-SE"/>
              </w:rPr>
              <w:t>klam</w:t>
            </w:r>
          </w:p>
        </w:tc>
        <w:tc>
          <w:tcPr>
            <w:tcW w:w="708"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1 111</w:t>
            </w:r>
          </w:p>
        </w:tc>
        <w:tc>
          <w:tcPr>
            <w:tcW w:w="709"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-1 100</w:t>
            </w:r>
          </w:p>
        </w:tc>
        <w:tc>
          <w:tcPr>
            <w:tcW w:w="709" w:type="dxa"/>
          </w:tcPr>
          <w:p w:rsidR="001C7BF9" w:rsidRPr="00C9680B" w:rsidRDefault="001C7BF9">
            <w:pPr>
              <w:spacing w:before="80" w:line="180" w:lineRule="exact"/>
              <w:jc w:val="right"/>
              <w:rPr>
                <w:b/>
                <w:snapToGrid w:val="0"/>
                <w:color w:val="000000"/>
                <w:sz w:val="17"/>
                <w:lang w:eastAsia="sv-SE"/>
              </w:rPr>
            </w:pPr>
          </w:p>
        </w:tc>
        <w:tc>
          <w:tcPr>
            <w:tcW w:w="709" w:type="dxa"/>
          </w:tcPr>
          <w:p w:rsidR="001C7BF9" w:rsidRPr="00C9680B" w:rsidRDefault="001C7BF9">
            <w:pPr>
              <w:spacing w:before="80" w:line="180" w:lineRule="exact"/>
              <w:jc w:val="right"/>
              <w:rPr>
                <w:b/>
                <w:snapToGrid w:val="0"/>
                <w:color w:val="000000"/>
                <w:sz w:val="17"/>
                <w:lang w:eastAsia="sv-SE"/>
              </w:rPr>
            </w:pPr>
          </w:p>
        </w:tc>
        <w:tc>
          <w:tcPr>
            <w:tcW w:w="708" w:type="dxa"/>
          </w:tcPr>
          <w:p w:rsidR="001C7BF9" w:rsidRPr="00C9680B" w:rsidRDefault="001C7BF9">
            <w:pPr>
              <w:spacing w:before="80" w:line="180" w:lineRule="exact"/>
              <w:jc w:val="right"/>
              <w:rPr>
                <w:b/>
                <w:snapToGrid w:val="0"/>
                <w:color w:val="000000"/>
                <w:sz w:val="17"/>
                <w:lang w:eastAsia="sv-SE"/>
              </w:rPr>
            </w:pPr>
          </w:p>
        </w:tc>
      </w:tr>
      <w:tr w:rsidR="00000000" w:rsidRPr="00C9680B">
        <w:tblPrEx>
          <w:tblCellMar>
            <w:top w:w="0" w:type="dxa"/>
            <w:bottom w:w="0" w:type="dxa"/>
          </w:tblCellMar>
        </w:tblPrEx>
        <w:trPr>
          <w:trHeight w:val="180"/>
        </w:trPr>
        <w:tc>
          <w:tcPr>
            <w:tcW w:w="456" w:type="dxa"/>
          </w:tcPr>
          <w:p w:rsidR="001C7BF9" w:rsidRPr="00C9680B" w:rsidRDefault="001C7BF9">
            <w:pPr>
              <w:spacing w:before="80" w:line="180" w:lineRule="exact"/>
              <w:jc w:val="right"/>
              <w:rPr>
                <w:snapToGrid w:val="0"/>
                <w:color w:val="000000"/>
                <w:sz w:val="17"/>
                <w:lang w:eastAsia="sv-SE"/>
              </w:rPr>
            </w:pPr>
          </w:p>
        </w:tc>
        <w:tc>
          <w:tcPr>
            <w:tcW w:w="2835" w:type="dxa"/>
            <w:gridSpan w:val="3"/>
          </w:tcPr>
          <w:p w:rsidR="001C7BF9" w:rsidRPr="00C9680B" w:rsidRDefault="001C7BF9">
            <w:pPr>
              <w:spacing w:before="80" w:line="180" w:lineRule="exact"/>
              <w:ind w:left="113" w:hanging="113"/>
              <w:jc w:val="left"/>
              <w:rPr>
                <w:snapToGrid w:val="0"/>
                <w:color w:val="000000"/>
                <w:sz w:val="17"/>
                <w:lang w:eastAsia="sv-SE"/>
              </w:rPr>
            </w:pPr>
            <w:r w:rsidRPr="00C9680B">
              <w:rPr>
                <w:snapToGrid w:val="0"/>
                <w:color w:val="000000"/>
                <w:sz w:val="17"/>
                <w:lang w:eastAsia="sv-SE"/>
              </w:rPr>
              <w:t>Slopad reklamskatt (jfr höjd tidnings-</w:t>
            </w:r>
          </w:p>
          <w:p w:rsidR="001C7BF9" w:rsidRPr="00C9680B" w:rsidRDefault="001C7BF9">
            <w:pPr>
              <w:spacing w:before="0" w:line="180" w:lineRule="exact"/>
              <w:ind w:left="113" w:hanging="113"/>
              <w:jc w:val="left"/>
              <w:rPr>
                <w:snapToGrid w:val="0"/>
                <w:color w:val="000000"/>
                <w:sz w:val="17"/>
                <w:lang w:eastAsia="sv-SE"/>
              </w:rPr>
            </w:pPr>
            <w:r w:rsidRPr="00C9680B">
              <w:rPr>
                <w:snapToGrid w:val="0"/>
                <w:color w:val="000000"/>
                <w:sz w:val="17"/>
                <w:lang w:eastAsia="sv-SE"/>
              </w:rPr>
              <w:t xml:space="preserve"> moms)</w:t>
            </w:r>
          </w:p>
        </w:tc>
        <w:tc>
          <w:tcPr>
            <w:tcW w:w="708" w:type="dxa"/>
          </w:tcPr>
          <w:p w:rsidR="001C7BF9" w:rsidRPr="00C9680B" w:rsidRDefault="001C7BF9">
            <w:pPr>
              <w:spacing w:before="80" w:line="180" w:lineRule="exact"/>
              <w:rPr>
                <w:snapToGrid w:val="0"/>
                <w:color w:val="000000"/>
                <w:sz w:val="17"/>
                <w:lang w:eastAsia="sv-SE"/>
              </w:rPr>
            </w:pPr>
          </w:p>
        </w:tc>
        <w:tc>
          <w:tcPr>
            <w:tcW w:w="709" w:type="dxa"/>
          </w:tcPr>
          <w:p w:rsidR="001C7BF9" w:rsidRPr="00C9680B" w:rsidRDefault="001C7BF9">
            <w:pPr>
              <w:spacing w:before="80" w:line="180" w:lineRule="exact"/>
              <w:jc w:val="right"/>
              <w:rPr>
                <w:snapToGrid w:val="0"/>
                <w:color w:val="000000"/>
                <w:sz w:val="17"/>
                <w:lang w:eastAsia="sv-SE"/>
              </w:rPr>
            </w:pPr>
            <w:r w:rsidRPr="00C9680B">
              <w:rPr>
                <w:snapToGrid w:val="0"/>
                <w:color w:val="000000"/>
                <w:sz w:val="17"/>
                <w:lang w:eastAsia="sv-SE"/>
              </w:rPr>
              <w:t>-1 100</w:t>
            </w:r>
          </w:p>
        </w:tc>
        <w:tc>
          <w:tcPr>
            <w:tcW w:w="709" w:type="dxa"/>
          </w:tcPr>
          <w:p w:rsidR="001C7BF9" w:rsidRPr="00C9680B" w:rsidRDefault="001C7BF9">
            <w:pPr>
              <w:spacing w:before="80" w:line="180" w:lineRule="exact"/>
              <w:jc w:val="right"/>
              <w:rPr>
                <w:snapToGrid w:val="0"/>
                <w:color w:val="000000"/>
                <w:sz w:val="17"/>
                <w:lang w:eastAsia="sv-SE"/>
              </w:rPr>
            </w:pPr>
          </w:p>
        </w:tc>
        <w:tc>
          <w:tcPr>
            <w:tcW w:w="709" w:type="dxa"/>
          </w:tcPr>
          <w:p w:rsidR="001C7BF9" w:rsidRPr="00C9680B" w:rsidRDefault="001C7BF9">
            <w:pPr>
              <w:spacing w:before="80" w:line="180" w:lineRule="exact"/>
              <w:jc w:val="right"/>
              <w:rPr>
                <w:snapToGrid w:val="0"/>
                <w:color w:val="000000"/>
                <w:sz w:val="17"/>
                <w:lang w:eastAsia="sv-SE"/>
              </w:rPr>
            </w:pPr>
          </w:p>
        </w:tc>
        <w:tc>
          <w:tcPr>
            <w:tcW w:w="708" w:type="dxa"/>
          </w:tcPr>
          <w:p w:rsidR="001C7BF9" w:rsidRPr="00C9680B" w:rsidRDefault="001C7BF9">
            <w:pPr>
              <w:spacing w:before="80" w:line="180" w:lineRule="exact"/>
              <w:jc w:val="right"/>
              <w:rPr>
                <w:snapToGrid w:val="0"/>
                <w:color w:val="000000"/>
                <w:sz w:val="17"/>
                <w:lang w:eastAsia="sv-SE"/>
              </w:rPr>
            </w:pPr>
          </w:p>
        </w:tc>
      </w:tr>
      <w:tr w:rsidR="00000000" w:rsidRPr="00C9680B">
        <w:tblPrEx>
          <w:tblCellMar>
            <w:top w:w="0" w:type="dxa"/>
            <w:bottom w:w="0" w:type="dxa"/>
          </w:tblCellMar>
        </w:tblPrEx>
        <w:trPr>
          <w:trHeight w:val="180"/>
        </w:trPr>
        <w:tc>
          <w:tcPr>
            <w:tcW w:w="456" w:type="dxa"/>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1461</w:t>
            </w:r>
          </w:p>
        </w:tc>
        <w:tc>
          <w:tcPr>
            <w:tcW w:w="2835" w:type="dxa"/>
            <w:gridSpan w:val="3"/>
          </w:tcPr>
          <w:p w:rsidR="001C7BF9" w:rsidRPr="00C9680B" w:rsidRDefault="001C7BF9">
            <w:pPr>
              <w:spacing w:before="40" w:line="180" w:lineRule="exact"/>
              <w:ind w:left="113" w:hanging="113"/>
              <w:rPr>
                <w:b/>
                <w:snapToGrid w:val="0"/>
                <w:color w:val="000000"/>
                <w:sz w:val="17"/>
                <w:lang w:eastAsia="sv-SE"/>
              </w:rPr>
            </w:pPr>
            <w:r w:rsidRPr="00C9680B">
              <w:rPr>
                <w:b/>
                <w:snapToGrid w:val="0"/>
                <w:color w:val="000000"/>
                <w:sz w:val="17"/>
                <w:lang w:eastAsia="sv-SE"/>
              </w:rPr>
              <w:t>Fordonsskatt</w:t>
            </w:r>
          </w:p>
        </w:tc>
        <w:tc>
          <w:tcPr>
            <w:tcW w:w="708" w:type="dxa"/>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7 134</w:t>
            </w:r>
          </w:p>
        </w:tc>
        <w:tc>
          <w:tcPr>
            <w:tcW w:w="709" w:type="dxa"/>
          </w:tcPr>
          <w:p w:rsidR="001C7BF9" w:rsidRPr="00C9680B" w:rsidRDefault="001C7BF9">
            <w:pPr>
              <w:spacing w:before="40" w:line="180" w:lineRule="exact"/>
              <w:jc w:val="right"/>
              <w:rPr>
                <w:b/>
                <w:snapToGrid w:val="0"/>
                <w:color w:val="000000"/>
                <w:sz w:val="17"/>
                <w:lang w:eastAsia="sv-SE"/>
              </w:rPr>
            </w:pPr>
          </w:p>
        </w:tc>
        <w:tc>
          <w:tcPr>
            <w:tcW w:w="709" w:type="dxa"/>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-2 000</w:t>
            </w:r>
          </w:p>
        </w:tc>
        <w:tc>
          <w:tcPr>
            <w:tcW w:w="709" w:type="dxa"/>
          </w:tcPr>
          <w:p w:rsidR="001C7BF9" w:rsidRPr="00C9680B" w:rsidRDefault="001C7BF9">
            <w:pPr>
              <w:spacing w:before="40" w:line="180" w:lineRule="exact"/>
              <w:jc w:val="right"/>
              <w:rPr>
                <w:b/>
                <w:snapToGrid w:val="0"/>
                <w:color w:val="000000"/>
                <w:sz w:val="17"/>
                <w:lang w:eastAsia="sv-SE"/>
              </w:rPr>
            </w:pPr>
          </w:p>
        </w:tc>
        <w:tc>
          <w:tcPr>
            <w:tcW w:w="708" w:type="dxa"/>
          </w:tcPr>
          <w:p w:rsidR="001C7BF9" w:rsidRPr="00C9680B" w:rsidRDefault="001C7BF9">
            <w:pPr>
              <w:spacing w:before="40" w:line="180" w:lineRule="exact"/>
              <w:jc w:val="right"/>
              <w:rPr>
                <w:b/>
                <w:snapToGrid w:val="0"/>
                <w:color w:val="000000"/>
                <w:sz w:val="17"/>
                <w:lang w:eastAsia="sv-SE"/>
              </w:rPr>
            </w:pPr>
          </w:p>
        </w:tc>
      </w:tr>
      <w:tr w:rsidR="00000000" w:rsidRPr="00C9680B">
        <w:tblPrEx>
          <w:tblCellMar>
            <w:top w:w="0" w:type="dxa"/>
            <w:bottom w:w="0" w:type="dxa"/>
          </w:tblCellMar>
        </w:tblPrEx>
        <w:trPr>
          <w:trHeight w:val="180"/>
        </w:trPr>
        <w:tc>
          <w:tcPr>
            <w:tcW w:w="456" w:type="dxa"/>
          </w:tcPr>
          <w:p w:rsidR="001C7BF9" w:rsidRPr="00C9680B" w:rsidRDefault="001C7BF9">
            <w:pPr>
              <w:spacing w:before="40" w:line="180" w:lineRule="exact"/>
              <w:jc w:val="right"/>
              <w:rPr>
                <w:snapToGrid w:val="0"/>
                <w:color w:val="000000"/>
                <w:sz w:val="17"/>
                <w:lang w:eastAsia="sv-SE"/>
              </w:rPr>
            </w:pPr>
          </w:p>
        </w:tc>
        <w:tc>
          <w:tcPr>
            <w:tcW w:w="2835" w:type="dxa"/>
            <w:gridSpan w:val="3"/>
          </w:tcPr>
          <w:p w:rsidR="001C7BF9" w:rsidRPr="00C9680B" w:rsidRDefault="001C7BF9">
            <w:pPr>
              <w:spacing w:before="40" w:line="180" w:lineRule="exact"/>
              <w:ind w:left="113" w:hanging="113"/>
              <w:rPr>
                <w:snapToGrid w:val="0"/>
                <w:color w:val="000000"/>
                <w:sz w:val="17"/>
                <w:lang w:eastAsia="sv-SE"/>
              </w:rPr>
            </w:pPr>
            <w:r w:rsidRPr="00C9680B">
              <w:rPr>
                <w:snapToGrid w:val="0"/>
                <w:color w:val="000000"/>
                <w:sz w:val="17"/>
                <w:lang w:eastAsia="sv-SE"/>
              </w:rPr>
              <w:t>Höjd fordonsskatt för äldre diesel-</w:t>
            </w:r>
          </w:p>
          <w:p w:rsidR="001C7BF9" w:rsidRPr="00C9680B" w:rsidRDefault="001C7BF9">
            <w:pPr>
              <w:spacing w:before="0" w:line="180" w:lineRule="exact"/>
              <w:ind w:left="113" w:hanging="113"/>
              <w:rPr>
                <w:snapToGrid w:val="0"/>
                <w:color w:val="000000"/>
                <w:sz w:val="17"/>
                <w:lang w:eastAsia="sv-SE"/>
              </w:rPr>
            </w:pPr>
            <w:r w:rsidRPr="00C9680B">
              <w:rPr>
                <w:snapToGrid w:val="0"/>
                <w:color w:val="000000"/>
                <w:sz w:val="17"/>
                <w:lang w:eastAsia="sv-SE"/>
              </w:rPr>
              <w:t xml:space="preserve"> pe</w:t>
            </w:r>
            <w:r w:rsidRPr="00C9680B">
              <w:rPr>
                <w:snapToGrid w:val="0"/>
                <w:color w:val="000000"/>
                <w:sz w:val="17"/>
                <w:lang w:eastAsia="sv-SE"/>
              </w:rPr>
              <w:t>r</w:t>
            </w:r>
            <w:r w:rsidRPr="00C9680B">
              <w:rPr>
                <w:snapToGrid w:val="0"/>
                <w:color w:val="000000"/>
                <w:sz w:val="17"/>
                <w:lang w:eastAsia="sv-SE"/>
              </w:rPr>
              <w:t>sonbilar</w:t>
            </w:r>
          </w:p>
        </w:tc>
        <w:tc>
          <w:tcPr>
            <w:tcW w:w="708" w:type="dxa"/>
          </w:tcPr>
          <w:p w:rsidR="001C7BF9" w:rsidRPr="00C9680B" w:rsidRDefault="001C7BF9">
            <w:pPr>
              <w:spacing w:before="160" w:line="180" w:lineRule="exact"/>
              <w:jc w:val="right"/>
              <w:rPr>
                <w:snapToGrid w:val="0"/>
                <w:color w:val="000000"/>
                <w:sz w:val="17"/>
                <w:lang w:eastAsia="sv-SE"/>
              </w:rPr>
            </w:pPr>
            <w:r w:rsidRPr="00C9680B">
              <w:rPr>
                <w:snapToGrid w:val="0"/>
                <w:color w:val="000000"/>
                <w:sz w:val="17"/>
                <w:lang w:eastAsia="sv-SE"/>
              </w:rPr>
              <w:t>+200</w:t>
            </w: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p>
        </w:tc>
      </w:tr>
      <w:tr w:rsidR="00000000" w:rsidRPr="00C9680B">
        <w:tblPrEx>
          <w:tblCellMar>
            <w:top w:w="0" w:type="dxa"/>
            <w:bottom w:w="0" w:type="dxa"/>
          </w:tblCellMar>
        </w:tblPrEx>
        <w:trPr>
          <w:trHeight w:val="180"/>
        </w:trPr>
        <w:tc>
          <w:tcPr>
            <w:tcW w:w="456" w:type="dxa"/>
          </w:tcPr>
          <w:p w:rsidR="001C7BF9" w:rsidRPr="00C9680B" w:rsidRDefault="001C7BF9">
            <w:pPr>
              <w:spacing w:before="40" w:line="180" w:lineRule="exact"/>
              <w:jc w:val="right"/>
              <w:rPr>
                <w:snapToGrid w:val="0"/>
                <w:color w:val="000000"/>
                <w:sz w:val="17"/>
                <w:lang w:eastAsia="sv-SE"/>
              </w:rPr>
            </w:pPr>
          </w:p>
        </w:tc>
        <w:tc>
          <w:tcPr>
            <w:tcW w:w="2835" w:type="dxa"/>
            <w:gridSpan w:val="3"/>
          </w:tcPr>
          <w:p w:rsidR="001C7BF9" w:rsidRPr="00C9680B" w:rsidRDefault="001C7BF9">
            <w:pPr>
              <w:spacing w:before="40" w:line="180" w:lineRule="exact"/>
              <w:ind w:left="113" w:hanging="113"/>
              <w:rPr>
                <w:snapToGrid w:val="0"/>
                <w:color w:val="000000"/>
                <w:sz w:val="17"/>
                <w:lang w:eastAsia="sv-SE"/>
              </w:rPr>
            </w:pPr>
            <w:r w:rsidRPr="00C9680B">
              <w:rPr>
                <w:snapToGrid w:val="0"/>
                <w:color w:val="000000"/>
                <w:sz w:val="17"/>
                <w:lang w:eastAsia="sv-SE"/>
              </w:rPr>
              <w:t>Sänkt fordonsskatt</w:t>
            </w: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-2 000</w:t>
            </w:r>
          </w:p>
        </w:tc>
        <w:tc>
          <w:tcPr>
            <w:tcW w:w="709"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p>
        </w:tc>
      </w:tr>
      <w:tr w:rsidR="00000000" w:rsidRPr="00C9680B">
        <w:tblPrEx>
          <w:tblCellMar>
            <w:top w:w="0" w:type="dxa"/>
            <w:bottom w:w="0" w:type="dxa"/>
          </w:tblCellMar>
        </w:tblPrEx>
        <w:trPr>
          <w:trHeight w:val="180"/>
        </w:trPr>
        <w:tc>
          <w:tcPr>
            <w:tcW w:w="456"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1462</w:t>
            </w:r>
          </w:p>
        </w:tc>
        <w:tc>
          <w:tcPr>
            <w:tcW w:w="2835" w:type="dxa"/>
            <w:gridSpan w:val="3"/>
          </w:tcPr>
          <w:p w:rsidR="001C7BF9" w:rsidRPr="00C9680B" w:rsidRDefault="001C7BF9">
            <w:pPr>
              <w:spacing w:before="80" w:line="180" w:lineRule="exact"/>
              <w:ind w:left="113" w:hanging="113"/>
              <w:rPr>
                <w:b/>
                <w:snapToGrid w:val="0"/>
                <w:color w:val="000000"/>
                <w:sz w:val="17"/>
                <w:lang w:eastAsia="sv-SE"/>
              </w:rPr>
            </w:pPr>
            <w:r w:rsidRPr="00C9680B">
              <w:rPr>
                <w:b/>
                <w:snapToGrid w:val="0"/>
                <w:color w:val="000000"/>
                <w:sz w:val="17"/>
                <w:lang w:eastAsia="sv-SE"/>
              </w:rPr>
              <w:t>Vägavgifter</w:t>
            </w:r>
          </w:p>
        </w:tc>
        <w:tc>
          <w:tcPr>
            <w:tcW w:w="708"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641</w:t>
            </w:r>
          </w:p>
        </w:tc>
        <w:tc>
          <w:tcPr>
            <w:tcW w:w="709" w:type="dxa"/>
          </w:tcPr>
          <w:p w:rsidR="001C7BF9" w:rsidRPr="00C9680B" w:rsidRDefault="001C7BF9">
            <w:pPr>
              <w:spacing w:before="80" w:line="180" w:lineRule="exact"/>
              <w:jc w:val="right"/>
              <w:rPr>
                <w:b/>
                <w:snapToGrid w:val="0"/>
                <w:color w:val="000000"/>
                <w:sz w:val="17"/>
                <w:lang w:eastAsia="sv-SE"/>
              </w:rPr>
            </w:pPr>
          </w:p>
        </w:tc>
        <w:tc>
          <w:tcPr>
            <w:tcW w:w="709" w:type="dxa"/>
          </w:tcPr>
          <w:p w:rsidR="001C7BF9" w:rsidRPr="00C9680B" w:rsidRDefault="001C7BF9">
            <w:pPr>
              <w:spacing w:before="80" w:line="180" w:lineRule="exact"/>
              <w:jc w:val="right"/>
              <w:rPr>
                <w:b/>
                <w:snapToGrid w:val="0"/>
                <w:color w:val="000000"/>
                <w:sz w:val="17"/>
                <w:lang w:eastAsia="sv-SE"/>
              </w:rPr>
            </w:pPr>
          </w:p>
        </w:tc>
        <w:tc>
          <w:tcPr>
            <w:tcW w:w="709" w:type="dxa"/>
          </w:tcPr>
          <w:p w:rsidR="001C7BF9" w:rsidRPr="00C9680B" w:rsidRDefault="001C7BF9">
            <w:pPr>
              <w:spacing w:before="80" w:line="180" w:lineRule="exact"/>
              <w:jc w:val="right"/>
              <w:rPr>
                <w:b/>
                <w:snapToGrid w:val="0"/>
                <w:color w:val="000000"/>
                <w:sz w:val="17"/>
                <w:lang w:eastAsia="sv-SE"/>
              </w:rPr>
            </w:pPr>
          </w:p>
        </w:tc>
        <w:tc>
          <w:tcPr>
            <w:tcW w:w="708" w:type="dxa"/>
          </w:tcPr>
          <w:p w:rsidR="001C7BF9" w:rsidRPr="00C9680B" w:rsidRDefault="001C7BF9">
            <w:pPr>
              <w:spacing w:before="80" w:line="180" w:lineRule="exact"/>
              <w:jc w:val="right"/>
              <w:rPr>
                <w:b/>
                <w:snapToGrid w:val="0"/>
                <w:color w:val="000000"/>
                <w:sz w:val="17"/>
                <w:lang w:eastAsia="sv-SE"/>
              </w:rPr>
            </w:pPr>
          </w:p>
        </w:tc>
      </w:tr>
      <w:tr w:rsidR="00000000" w:rsidRPr="00C9680B">
        <w:tblPrEx>
          <w:tblCellMar>
            <w:top w:w="0" w:type="dxa"/>
            <w:bottom w:w="0" w:type="dxa"/>
          </w:tblCellMar>
        </w:tblPrEx>
        <w:trPr>
          <w:trHeight w:val="180"/>
        </w:trPr>
        <w:tc>
          <w:tcPr>
            <w:tcW w:w="456"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2835" w:type="dxa"/>
            <w:gridSpan w:val="3"/>
            <w:tcBorders>
              <w:bottom w:val="single" w:sz="4" w:space="0" w:color="auto"/>
            </w:tcBorders>
          </w:tcPr>
          <w:p w:rsidR="001C7BF9" w:rsidRPr="00C9680B" w:rsidRDefault="001C7BF9">
            <w:pPr>
              <w:spacing w:before="40" w:line="180" w:lineRule="exact"/>
              <w:ind w:left="113" w:hanging="113"/>
              <w:rPr>
                <w:snapToGrid w:val="0"/>
                <w:color w:val="000000"/>
                <w:sz w:val="17"/>
                <w:lang w:eastAsia="sv-SE"/>
              </w:rPr>
            </w:pPr>
            <w:r w:rsidRPr="00C9680B">
              <w:rPr>
                <w:snapToGrid w:val="0"/>
                <w:color w:val="000000"/>
                <w:sz w:val="17"/>
                <w:lang w:eastAsia="sv-SE"/>
              </w:rPr>
              <w:t>Differentierad vägavgift</w:t>
            </w:r>
          </w:p>
        </w:tc>
        <w:tc>
          <w:tcPr>
            <w:tcW w:w="708"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+70</w:t>
            </w:r>
          </w:p>
        </w:tc>
        <w:tc>
          <w:tcPr>
            <w:tcW w:w="709"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709"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709"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708"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r>
    </w:tbl>
    <w:p w:rsidR="001C7BF9" w:rsidRPr="00C9680B" w:rsidRDefault="001C7BF9"/>
    <w:p w:rsidR="001C7BF9" w:rsidRPr="00C9680B" w:rsidRDefault="001C7BF9">
      <w:pPr>
        <w:pStyle w:val="Utskottetsvervganden-RubrikFrslagspunkt"/>
        <w:spacing w:before="125"/>
        <w:outlineLvl w:val="0"/>
      </w:pPr>
      <w:bookmarkStart w:id="332" w:name="_Toc497720084"/>
      <w:bookmarkStart w:id="333" w:name="_Toc498238821"/>
      <w:bookmarkStart w:id="334" w:name="_Toc498910732"/>
      <w:r w:rsidRPr="00C9680B">
        <w:t>3.7.1 Mervärdesskatt på resor</w:t>
      </w:r>
      <w:bookmarkEnd w:id="332"/>
      <w:bookmarkEnd w:id="333"/>
      <w:bookmarkEnd w:id="334"/>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bifaller regeringens förslag om en sänkning av mer</w:t>
      </w:r>
      <w:r w:rsidRPr="00C9680B">
        <w:softHyphen/>
        <w:t>värdesskatten på personbefordran från 12 % till 6 %. Motionsfö</w:t>
      </w:r>
      <w:r w:rsidRPr="00C9680B">
        <w:t>r</w:t>
      </w:r>
      <w:r w:rsidRPr="00C9680B">
        <w:t xml:space="preserve">slagen avslås. </w:t>
      </w:r>
    </w:p>
    <w:p w:rsidR="001C7BF9" w:rsidRPr="00C9680B" w:rsidRDefault="001C7BF9">
      <w:pPr>
        <w:pStyle w:val="Utskottsfrslagikorthet-Text"/>
      </w:pPr>
      <w:r w:rsidRPr="00C9680B">
        <w:t xml:space="preserve">  Jämför reservation 12 (m).</w:t>
      </w:r>
    </w:p>
    <w:p w:rsidR="001C7BF9" w:rsidRPr="00C9680B" w:rsidRDefault="001C7BF9">
      <w:pPr>
        <w:pStyle w:val="R4"/>
      </w:pPr>
      <w:bookmarkStart w:id="335" w:name="_Toc497206517"/>
      <w:bookmarkStart w:id="336" w:name="_Toc497720086"/>
      <w:r w:rsidRPr="00C9680B">
        <w:t>Budgetpropositionen</w:t>
      </w:r>
      <w:bookmarkEnd w:id="335"/>
      <w:bookmarkEnd w:id="336"/>
    </w:p>
    <w:p w:rsidR="001C7BF9" w:rsidRPr="00C9680B" w:rsidRDefault="001C7BF9">
      <w:r w:rsidRPr="00C9680B">
        <w:t>Regeringen föreslår (avsnitt 9.9) att mervärdesskatten för personbefordran sänks från 12 % till 6 %. Den lägre skattesatsen skall tillämpas även på fär</w:t>
      </w:r>
      <w:r w:rsidRPr="00C9680B">
        <w:t>d</w:t>
      </w:r>
      <w:r w:rsidRPr="00C9680B">
        <w:t>bevis som säljs den 15 december eller senare om färdbeviset gäller personb</w:t>
      </w:r>
      <w:r w:rsidRPr="00C9680B">
        <w:t>e</w:t>
      </w:r>
      <w:r w:rsidRPr="00C9680B">
        <w:t>for</w:t>
      </w:r>
      <w:r w:rsidRPr="00C9680B">
        <w:t>d</w:t>
      </w:r>
      <w:r w:rsidRPr="00C9680B">
        <w:t>ran efter den 1 januari 2001.</w:t>
      </w:r>
    </w:p>
    <w:p w:rsidR="001C7BF9" w:rsidRPr="00C9680B" w:rsidRDefault="001C7BF9">
      <w:pPr>
        <w:pStyle w:val="Normaltindrag"/>
      </w:pPr>
      <w:r w:rsidRPr="00C9680B">
        <w:t>Regeringen anför att den föreslagna sänkningen av mervärdesskatten för personbefordran är avsedd som ett stöd för kollektivtrafiken och att den b</w:t>
      </w:r>
      <w:r w:rsidRPr="00C9680B">
        <w:t>a</w:t>
      </w:r>
      <w:r w:rsidRPr="00C9680B">
        <w:t>lanserar den dieselskattehöjning som sker inom ramen för den gröna skatt</w:t>
      </w:r>
      <w:r w:rsidRPr="00C9680B">
        <w:t>e</w:t>
      </w:r>
      <w:r w:rsidRPr="00C9680B">
        <w:t>växlin</w:t>
      </w:r>
      <w:r w:rsidRPr="00C9680B">
        <w:t>g</w:t>
      </w:r>
      <w:r w:rsidRPr="00C9680B">
        <w:t>en.</w:t>
      </w:r>
    </w:p>
    <w:p w:rsidR="001C7BF9" w:rsidRPr="00C9680B" w:rsidRDefault="001C7BF9">
      <w:pPr>
        <w:pStyle w:val="R4"/>
      </w:pPr>
      <w:bookmarkStart w:id="337" w:name="_Toc497206518"/>
      <w:bookmarkStart w:id="338" w:name="_Toc497720087"/>
      <w:r w:rsidRPr="00C9680B">
        <w:t>Motionerna</w:t>
      </w:r>
      <w:bookmarkEnd w:id="337"/>
      <w:bookmarkEnd w:id="338"/>
    </w:p>
    <w:p w:rsidR="001C7BF9" w:rsidRPr="00C9680B" w:rsidRDefault="001C7BF9">
      <w:r w:rsidRPr="00C9680B">
        <w:rPr>
          <w:i/>
        </w:rPr>
        <w:t>Moderata samlingspartiet</w:t>
      </w:r>
      <w:r w:rsidRPr="00C9680B">
        <w:t xml:space="preserve"> yrkar i </w:t>
      </w:r>
      <w:r w:rsidRPr="00C9680B">
        <w:rPr>
          <w:i/>
        </w:rPr>
        <w:t>motion Sk313</w:t>
      </w:r>
      <w:r w:rsidRPr="00C9680B">
        <w:t xml:space="preserve"> yrkande 11 av Carl Fredrik Graf m.fl. (m) att förslaget om sänkt moms på kollektiva transporter avslås. </w:t>
      </w:r>
    </w:p>
    <w:p w:rsidR="001C7BF9" w:rsidRPr="00C9680B" w:rsidRDefault="001C7BF9">
      <w:pPr>
        <w:spacing w:before="125"/>
      </w:pPr>
      <w:r w:rsidRPr="00C9680B">
        <w:t xml:space="preserve">I </w:t>
      </w:r>
      <w:r w:rsidRPr="00C9680B">
        <w:rPr>
          <w:i/>
        </w:rPr>
        <w:t>motion Sk318</w:t>
      </w:r>
      <w:r w:rsidRPr="00C9680B">
        <w:t xml:space="preserve"> av Jarl Lander och Hans Stenberg (s) begärs ett tillkänna</w:t>
      </w:r>
      <w:r w:rsidRPr="00C9680B">
        <w:softHyphen/>
        <w:t>givande om att mervärdesskattesänkningen bör komma operatörerna inom kollektivtrafiken till del.</w:t>
      </w:r>
    </w:p>
    <w:p w:rsidR="001C7BF9" w:rsidRPr="00C9680B" w:rsidRDefault="001C7BF9">
      <w:pPr>
        <w:pStyle w:val="R4"/>
      </w:pPr>
      <w:r w:rsidRPr="00C9680B">
        <w:t>Skatteutskottets yttrande</w:t>
      </w:r>
    </w:p>
    <w:p w:rsidR="001C7BF9" w:rsidRPr="00C9680B" w:rsidRDefault="001C7BF9">
      <w:pPr>
        <w:pStyle w:val="Normaltindrag"/>
        <w:spacing w:before="60"/>
        <w:ind w:firstLine="0"/>
      </w:pPr>
      <w:r w:rsidRPr="00C9680B">
        <w:t>Skatteutskottet (SkU1y) har ingen erinran mot regeringens förslag om sänkt mervärdes</w:t>
      </w:r>
      <w:r w:rsidRPr="00C9680B">
        <w:softHyphen/>
        <w:t>skatt på personbefordran och tillstyrker därför förslaget och avsty</w:t>
      </w:r>
      <w:r w:rsidRPr="00C9680B">
        <w:t>r</w:t>
      </w:r>
      <w:r w:rsidRPr="00C9680B">
        <w:t>ker motion Sk313 yrkande 11.</w:t>
      </w:r>
    </w:p>
    <w:p w:rsidR="001C7BF9" w:rsidRPr="00C9680B" w:rsidRDefault="001C7BF9">
      <w:pPr>
        <w:pStyle w:val="Normaltindrag"/>
      </w:pPr>
      <w:r w:rsidRPr="00C9680B">
        <w:t>Skatteutskottet ser inte någon anledning till ett tillkännagivande om hur skattesänkningen bör för</w:t>
      </w:r>
      <w:r w:rsidRPr="00C9680B">
        <w:softHyphen/>
        <w:t>delas mellan de olika intressenterna inom kollekti</w:t>
      </w:r>
      <w:r w:rsidRPr="00C9680B">
        <w:t>v</w:t>
      </w:r>
      <w:r w:rsidRPr="00C9680B">
        <w:t xml:space="preserve">trafiken och  avstyrker därför även motion Sk318. </w:t>
      </w:r>
    </w:p>
    <w:p w:rsidR="001C7BF9" w:rsidRPr="00C9680B" w:rsidRDefault="001C7BF9">
      <w:pPr>
        <w:pStyle w:val="R4"/>
      </w:pPr>
      <w:r w:rsidRPr="00C9680B">
        <w:t>Finansutskottets ställningstagande</w:t>
      </w:r>
    </w:p>
    <w:p w:rsidR="001C7BF9" w:rsidRPr="00C9680B" w:rsidRDefault="001C7BF9">
      <w:r w:rsidRPr="00C9680B">
        <w:t>Finansutskottet tillstyrker i likhet med skatteutskottet propositionens förslag om sänkt mervärdesskatt på personbefordran och avstyrker motionerna Sk313 (m) yrkande 11 och Sk318 (s).</w:t>
      </w:r>
    </w:p>
    <w:p w:rsidR="001C7BF9" w:rsidRPr="00C9680B" w:rsidRDefault="001C7BF9">
      <w:pPr>
        <w:pStyle w:val="Utskottetsvervganden-RubrikFrslagspunkt"/>
        <w:outlineLvl w:val="0"/>
      </w:pPr>
      <w:bookmarkStart w:id="339" w:name="_Toc497720089"/>
      <w:bookmarkStart w:id="340" w:name="_Toc498238822"/>
      <w:bookmarkStart w:id="341" w:name="_Toc498910733"/>
      <w:r w:rsidRPr="00C9680B">
        <w:t>3.7.2 Mervärdesskatt på böcker, tidningar och kultur</w:t>
      </w:r>
      <w:bookmarkEnd w:id="339"/>
      <w:bookmarkEnd w:id="340"/>
      <w:bookmarkEnd w:id="341"/>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avslår motionsförslagen om en sänkning av mervärdes</w:t>
      </w:r>
      <w:r w:rsidRPr="00C9680B">
        <w:softHyphen/>
        <w:t>skatten på böcker till 6 %. Riksdagen avslår förslaget om en höj</w:t>
      </w:r>
      <w:r w:rsidRPr="00C9680B">
        <w:softHyphen/>
        <w:t>ning av mervärdesskatten på tidningar till 25 % och om slopad r</w:t>
      </w:r>
      <w:r w:rsidRPr="00C9680B">
        <w:t>e</w:t>
      </w:r>
      <w:r w:rsidRPr="00C9680B">
        <w:t xml:space="preserve">klamskatt. </w:t>
      </w:r>
    </w:p>
    <w:p w:rsidR="001C7BF9" w:rsidRPr="00C9680B" w:rsidRDefault="001C7BF9">
      <w:pPr>
        <w:pStyle w:val="Utskottsfrslagikorthet-Text"/>
      </w:pPr>
      <w:r w:rsidRPr="00C9680B">
        <w:t xml:space="preserve">  Jämför reservationerna 12 (m) och 15 (fp). </w:t>
      </w:r>
    </w:p>
    <w:p w:rsidR="001C7BF9" w:rsidRPr="00C9680B" w:rsidRDefault="001C7BF9">
      <w:pPr>
        <w:pStyle w:val="R4"/>
      </w:pPr>
      <w:bookmarkStart w:id="342" w:name="_Toc497206522"/>
      <w:bookmarkStart w:id="343" w:name="_Toc497720091"/>
      <w:r w:rsidRPr="00C9680B">
        <w:t>Bakgrund</w:t>
      </w:r>
      <w:bookmarkEnd w:id="342"/>
      <w:bookmarkEnd w:id="343"/>
    </w:p>
    <w:p w:rsidR="001C7BF9" w:rsidRPr="00C9680B" w:rsidRDefault="001C7BF9">
      <w:r w:rsidRPr="00C9680B">
        <w:t>I Sverige beskattas böcker och tidskrifter med normal skattesats, 25 %. EG-direktivet tillåter reducerad skattesats på bl.a. böcker och tidskrifter, men Sverige har avstått från att använda denna möjlighet till differentiering (se bl.a. bet. 1996/97:SkU6 s. 29).</w:t>
      </w:r>
    </w:p>
    <w:p w:rsidR="001C7BF9" w:rsidRPr="00C9680B" w:rsidRDefault="001C7BF9">
      <w:pPr>
        <w:pStyle w:val="R4"/>
      </w:pPr>
      <w:bookmarkStart w:id="344" w:name="_Toc497206523"/>
      <w:bookmarkStart w:id="345" w:name="_Toc497720092"/>
      <w:r w:rsidRPr="00C9680B">
        <w:t>Motionerna</w:t>
      </w:r>
      <w:bookmarkEnd w:id="344"/>
      <w:bookmarkEnd w:id="345"/>
    </w:p>
    <w:p w:rsidR="001C7BF9" w:rsidRPr="00C9680B" w:rsidRDefault="001C7BF9">
      <w:r w:rsidRPr="00C9680B">
        <w:rPr>
          <w:i/>
        </w:rPr>
        <w:t>Moderata samlingspartiet</w:t>
      </w:r>
      <w:r w:rsidRPr="00C9680B">
        <w:t xml:space="preserve"> föreslår i </w:t>
      </w:r>
      <w:r w:rsidRPr="00C9680B">
        <w:rPr>
          <w:i/>
        </w:rPr>
        <w:t>motion Sk303</w:t>
      </w:r>
      <w:r w:rsidRPr="00C9680B">
        <w:t xml:space="preserve"> av Margareta Cederfelt (m) att mervärdesskatten på böcker sänks till 6 % år 2001. Motionären anför att en sänkning av priset på litteratur gör att läsandet främjas och där</w:t>
      </w:r>
      <w:r w:rsidRPr="00C9680B">
        <w:softHyphen/>
        <w:t>med ökar i</w:t>
      </w:r>
      <w:r w:rsidRPr="00C9680B">
        <w:t>n</w:t>
      </w:r>
      <w:r w:rsidRPr="00C9680B">
        <w:t xml:space="preserve">tresset för högre studier. I </w:t>
      </w:r>
      <w:r w:rsidRPr="00C9680B">
        <w:rPr>
          <w:i/>
        </w:rPr>
        <w:t>motion Sk313</w:t>
      </w:r>
      <w:r w:rsidRPr="00C9680B">
        <w:t xml:space="preserve"> yrkandena 41 och 42 av Carl Fredrik Graf m.fl. (m) föreslås att mervärdesskatten på dagstidningar höjs till 25 % och att rekla</w:t>
      </w:r>
      <w:r w:rsidRPr="00C9680B">
        <w:t>m</w:t>
      </w:r>
      <w:r w:rsidRPr="00C9680B">
        <w:t>skatten slopas år 2001.</w:t>
      </w:r>
    </w:p>
    <w:p w:rsidR="001C7BF9" w:rsidRPr="00C9680B" w:rsidRDefault="001C7BF9">
      <w:r w:rsidRPr="00C9680B">
        <w:rPr>
          <w:i/>
        </w:rPr>
        <w:t>Folkpartiet liberalerna</w:t>
      </w:r>
      <w:r w:rsidRPr="00C9680B">
        <w:t xml:space="preserve"> föreslår i </w:t>
      </w:r>
      <w:r w:rsidRPr="00C9680B">
        <w:rPr>
          <w:i/>
        </w:rPr>
        <w:t>motionerna Sk324</w:t>
      </w:r>
      <w:r w:rsidRPr="00C9680B">
        <w:t xml:space="preserve"> yrkande 22 av Lars      Leijonborg m.fl. (fp) och </w:t>
      </w:r>
      <w:r w:rsidRPr="00C9680B">
        <w:rPr>
          <w:i/>
        </w:rPr>
        <w:t>Ub227</w:t>
      </w:r>
      <w:r w:rsidRPr="00C9680B">
        <w:t xml:space="preserve"> yrkande 7 av Lars Leijonborg m.fl. (fp) att mervärdesskatten på böcker sänks till 6 % för att förbättra bokbranschens konkurrensläge och uppmuntra läsandet av det tryckta ordet i bokform. </w:t>
      </w:r>
    </w:p>
    <w:p w:rsidR="001C7BF9" w:rsidRPr="00C9680B" w:rsidRDefault="001C7BF9">
      <w:pPr>
        <w:pStyle w:val="R4"/>
      </w:pPr>
      <w:r w:rsidRPr="00C9680B">
        <w:t>Skatteutskottets yttrande</w:t>
      </w:r>
    </w:p>
    <w:p w:rsidR="001C7BF9" w:rsidRPr="00C9680B" w:rsidRDefault="001C7BF9">
      <w:r w:rsidRPr="00C9680B">
        <w:t>Skatteutskottet anför att utskottet under våren 2000 (1999/2000:SkU15 Al</w:t>
      </w:r>
      <w:r w:rsidRPr="00C9680B">
        <w:t>l</w:t>
      </w:r>
      <w:r w:rsidRPr="00C9680B">
        <w:t>männa motioner om mervärdesskatt) avstyrkt ett antal motioner om sänkt mervärdesskatt på böcker och då bl.a. hänvisat till att det inte är säkert att en mervärdes</w:t>
      </w:r>
      <w:r w:rsidRPr="00C9680B">
        <w:softHyphen/>
        <w:t>skattesänkning på böcker är bättre än andra åtgärder till samma eller lägre kostnader när det gäller att stimulera sunda läsvanor. Utskottet avstyrker m</w:t>
      </w:r>
      <w:r w:rsidRPr="00C9680B">
        <w:t>o</w:t>
      </w:r>
      <w:r w:rsidRPr="00C9680B">
        <w:t>tionsförslagen om sänkt mervärdesskatt på böcker.</w:t>
      </w:r>
    </w:p>
    <w:p w:rsidR="001C7BF9" w:rsidRPr="00C9680B" w:rsidRDefault="001C7BF9">
      <w:pPr>
        <w:pStyle w:val="Normaltindrag"/>
      </w:pPr>
      <w:r w:rsidRPr="00C9680B">
        <w:t>Skatteutskottet är inte heller berett att tillstyrka förslaget om en höjning av mer</w:t>
      </w:r>
      <w:r w:rsidRPr="00C9680B">
        <w:softHyphen/>
        <w:t>värdesskatten på tidningar och slopad reklamskatt och avstyrker därför även detta yrkande.</w:t>
      </w:r>
    </w:p>
    <w:p w:rsidR="001C7BF9" w:rsidRPr="00C9680B" w:rsidRDefault="001C7BF9">
      <w:pPr>
        <w:pStyle w:val="R4"/>
      </w:pPr>
      <w:r w:rsidRPr="00C9680B">
        <w:t>Finansutskottets ställningstagande</w:t>
      </w:r>
    </w:p>
    <w:p w:rsidR="001C7BF9" w:rsidRPr="00C9680B" w:rsidRDefault="001C7BF9">
      <w:r w:rsidRPr="00C9680B">
        <w:t>Finansutskottet avstyrker i likhet med skatteutskottet motionerna Sk303 (m), Sk313 (m) yrkandena 41 och 42, Sk324 (fp) yrkande 22 och Ub227 (fp) y</w:t>
      </w:r>
      <w:r w:rsidRPr="00C9680B">
        <w:t>r</w:t>
      </w:r>
      <w:r w:rsidRPr="00C9680B">
        <w:t>kande 7.</w:t>
      </w:r>
    </w:p>
    <w:p w:rsidR="001C7BF9" w:rsidRPr="00C9680B" w:rsidRDefault="001C7BF9">
      <w:pPr>
        <w:pStyle w:val="Utskottetsvervganden-RubrikFrslagspunkt"/>
        <w:outlineLvl w:val="0"/>
      </w:pPr>
      <w:bookmarkStart w:id="346" w:name="_Toc497720094"/>
      <w:bookmarkStart w:id="347" w:name="_Toc498238823"/>
      <w:bookmarkStart w:id="348" w:name="_Toc498910734"/>
      <w:r w:rsidRPr="00C9680B">
        <w:t>3.7.3 Skatt på alkohol och tobak</w:t>
      </w:r>
      <w:bookmarkEnd w:id="346"/>
      <w:bookmarkEnd w:id="347"/>
      <w:bookmarkEnd w:id="348"/>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bifaller regeringens förslag om en höjning av gränsen för privat införsel av vin till 26 liter, starkvin till 6 liter och starköl till 32 liter den 1 januari 2001. Riksdagen avslår motionsförslagen om ändrade gränser för privat i</w:t>
      </w:r>
      <w:r w:rsidRPr="00C9680B">
        <w:t>n</w:t>
      </w:r>
      <w:r w:rsidRPr="00C9680B">
        <w:t>försel och om sänkta alkohol</w:t>
      </w:r>
      <w:r w:rsidRPr="00C9680B">
        <w:softHyphen/>
        <w:t xml:space="preserve">skatter. </w:t>
      </w:r>
    </w:p>
    <w:p w:rsidR="001C7BF9" w:rsidRPr="00C9680B" w:rsidRDefault="001C7BF9">
      <w:pPr>
        <w:pStyle w:val="Utskottsfrslagikorthet-Text"/>
      </w:pPr>
      <w:r w:rsidRPr="00C9680B">
        <w:t xml:space="preserve">  Jämför reservation 12 (m).</w:t>
      </w:r>
    </w:p>
    <w:p w:rsidR="001C7BF9" w:rsidRPr="00C9680B" w:rsidRDefault="001C7BF9">
      <w:pPr>
        <w:pStyle w:val="R4"/>
      </w:pPr>
      <w:bookmarkStart w:id="349" w:name="_Toc497206527"/>
      <w:bookmarkStart w:id="350" w:name="_Toc497720096"/>
      <w:r w:rsidRPr="00C9680B">
        <w:t>Budgetpropositionen</w:t>
      </w:r>
      <w:bookmarkEnd w:id="349"/>
      <w:bookmarkEnd w:id="350"/>
    </w:p>
    <w:p w:rsidR="001C7BF9" w:rsidRPr="00C9680B" w:rsidRDefault="001C7BF9">
      <w:r w:rsidRPr="00C9680B">
        <w:t>Regeringen föreslår (avsnitt 9.8) att den mängd vin och öl som en resande kan föra in till Sverige från ett annat EU-land utan att skatt skall betalas i Sverige ökas från den 1 januari 2001. Från denna tidpunkt kan resande föra in 26 liter vin, 6 liter mellanklassprodukter (s.k. starkvin) och 32 liter starköl utan att svensk skatt skall betalas. Kvoterna för sprit och tobaksprodukter ändras inte.</w:t>
      </w:r>
    </w:p>
    <w:p w:rsidR="001C7BF9" w:rsidRPr="00C9680B" w:rsidRDefault="001C7BF9">
      <w:pPr>
        <w:pStyle w:val="Normaltindrag"/>
      </w:pPr>
      <w:r w:rsidRPr="00C9680B">
        <w:t>Regeringen anför att den av rådet beslutade ändringen av cirkul</w:t>
      </w:r>
      <w:r w:rsidRPr="00C9680B">
        <w:t>a</w:t>
      </w:r>
      <w:r w:rsidRPr="00C9680B">
        <w:t>tions</w:t>
      </w:r>
      <w:r w:rsidRPr="00C9680B">
        <w:softHyphen/>
        <w:t>direktivet innebär att införselkvoterna för vin och öl fr.o.m. den 1 januari 2001 skall höjas till 26 respektive 32 liter. Vidare skall enligt en anteckning i rådsprotokollet en ökning av kvoterna för mellanklassprodukter ske i linje med vad som anges i direktivet beträffande vin. Införselkvoten för s.k. stark</w:t>
      </w:r>
      <w:r w:rsidRPr="00C9680B">
        <w:softHyphen/>
        <w:t xml:space="preserve">vin ökas därför till 6 liter från samma tidpunkt. </w:t>
      </w:r>
    </w:p>
    <w:p w:rsidR="001C7BF9" w:rsidRPr="00C9680B" w:rsidRDefault="001C7BF9">
      <w:pPr>
        <w:pStyle w:val="R4"/>
      </w:pPr>
      <w:bookmarkStart w:id="351" w:name="_Toc497206528"/>
      <w:bookmarkStart w:id="352" w:name="_Toc497720097"/>
      <w:r w:rsidRPr="00C9680B">
        <w:t>Motionerna</w:t>
      </w:r>
      <w:bookmarkEnd w:id="351"/>
      <w:bookmarkEnd w:id="352"/>
    </w:p>
    <w:p w:rsidR="001C7BF9" w:rsidRPr="00C9680B" w:rsidRDefault="001C7BF9">
      <w:r w:rsidRPr="00C9680B">
        <w:rPr>
          <w:i/>
        </w:rPr>
        <w:t>Moderata samlingspartiet</w:t>
      </w:r>
      <w:r w:rsidRPr="00C9680B">
        <w:t xml:space="preserve"> föreslår i </w:t>
      </w:r>
      <w:r w:rsidRPr="00C9680B">
        <w:rPr>
          <w:i/>
        </w:rPr>
        <w:t>motionerna Sk313</w:t>
      </w:r>
      <w:r w:rsidRPr="00C9680B">
        <w:t xml:space="preserve"> yrkandena 9 och 10 av Carl Fredrik Graf m.fl. (m) och </w:t>
      </w:r>
      <w:r w:rsidRPr="00C9680B">
        <w:rPr>
          <w:i/>
        </w:rPr>
        <w:t>Sk1028</w:t>
      </w:r>
      <w:r w:rsidRPr="00C9680B">
        <w:t xml:space="preserve"> yrkandena 13–15 av Carl Fredrik Graf m.fl. (m) att gränserna för privat införsel bestäms till 3 liter sprit, 3 liter star</w:t>
      </w:r>
      <w:r w:rsidRPr="00C9680B">
        <w:t>k</w:t>
      </w:r>
      <w:r w:rsidRPr="00C9680B">
        <w:t>vin, 30 liter vin, 30 liter öl och 400 cigaretter fr.o.m. den 1 januari 2001 och att skattesatserna samtidigt sänks mot dansk nivå. Riksdagen bör vidare fatta beslut om en stegvis ökning av gränser för privat införsel.</w:t>
      </w:r>
    </w:p>
    <w:p w:rsidR="001C7BF9" w:rsidRPr="00C9680B" w:rsidRDefault="001C7BF9">
      <w:pPr>
        <w:pStyle w:val="R4"/>
      </w:pPr>
      <w:r w:rsidRPr="00C9680B">
        <w:br w:type="page"/>
        <w:t>Skatteutskottets yttrande</w:t>
      </w:r>
    </w:p>
    <w:p w:rsidR="001C7BF9" w:rsidRPr="00C9680B" w:rsidRDefault="001C7BF9">
      <w:r w:rsidRPr="00C9680B">
        <w:t>Skatteutskottet anför att det förslag som regeringen lägger fram grundar sig på den överenskommelse om en övergångsperiod för införselbegränsningarna som finns intagen i rådets direktiv 2000/44/EG. Enligt skatteutskottets m</w:t>
      </w:r>
      <w:r w:rsidRPr="00C9680B">
        <w:t>e</w:t>
      </w:r>
      <w:r w:rsidRPr="00C9680B">
        <w:t>ning finns det inte någon anledning att som motionärerna föreslår besluta om högre gränser än som anges i direktivet när det gäller sprit, vin och öl, och utskottet är inte heller berett att avvika från den av regeringen föreslagna gränsen för mellanklassprodukter. Skatteutskottet avstyrker motionen och tillstyrker propositi</w:t>
      </w:r>
      <w:r w:rsidRPr="00C9680B">
        <w:t>o</w:t>
      </w:r>
      <w:r w:rsidRPr="00C9680B">
        <w:t>nen i denna del.</w:t>
      </w:r>
    </w:p>
    <w:p w:rsidR="001C7BF9" w:rsidRPr="00C9680B" w:rsidRDefault="001C7BF9">
      <w:pPr>
        <w:pStyle w:val="Normaltindrag"/>
      </w:pPr>
      <w:r w:rsidRPr="00C9680B">
        <w:t>När det gäller förslaget om sänkning av alkoholskattesatserna anför ska</w:t>
      </w:r>
      <w:r w:rsidRPr="00C9680B">
        <w:t>t</w:t>
      </w:r>
      <w:r w:rsidRPr="00C9680B">
        <w:t>teutskottet att rege</w:t>
      </w:r>
      <w:r w:rsidRPr="00C9680B">
        <w:softHyphen/>
        <w:t>ringen i dagarna har presenterat en nationell handlingsplan för att förebygga alkoholskador (prop. 2000/01:20). I handlingsplanen för</w:t>
      </w:r>
      <w:r w:rsidRPr="00C9680B">
        <w:t>e</w:t>
      </w:r>
      <w:r w:rsidRPr="00C9680B">
        <w:t>slår rege</w:t>
      </w:r>
      <w:r w:rsidRPr="00C9680B">
        <w:softHyphen/>
        <w:t>ringen åtgärder för att Sverige fortsättningsvis, även vid höjda infö</w:t>
      </w:r>
      <w:r w:rsidRPr="00C9680B">
        <w:t>r</w:t>
      </w:r>
      <w:r w:rsidRPr="00C9680B">
        <w:t>selkvoter, skall kunna behålla målet om att begränsa alkoholens skadever</w:t>
      </w:r>
      <w:r w:rsidRPr="00C9680B">
        <w:t>k</w:t>
      </w:r>
      <w:r w:rsidRPr="00C9680B">
        <w:t>ningar och verka för att minska den totala alkoholkonsumtionen. Regeringen gör bedöm</w:t>
      </w:r>
      <w:r w:rsidRPr="00C9680B">
        <w:softHyphen/>
        <w:t>ningen att de svenska alkoholskatterna på spritdrycker, vin och starköl kommer att behöva ses över på sikt, och det fr</w:t>
      </w:r>
      <w:r w:rsidRPr="00C9680B">
        <w:t>amgår att regeringen har för avsikt att senare i en särskild proposition återkomma till frågan om de skatte</w:t>
      </w:r>
      <w:r w:rsidRPr="00C9680B">
        <w:softHyphen/>
        <w:t>justeringar som b</w:t>
      </w:r>
      <w:r w:rsidRPr="00C9680B">
        <w:t>e</w:t>
      </w:r>
      <w:r w:rsidRPr="00C9680B">
        <w:t xml:space="preserve">hövs. </w:t>
      </w:r>
    </w:p>
    <w:p w:rsidR="001C7BF9" w:rsidRPr="00C9680B" w:rsidRDefault="001C7BF9">
      <w:pPr>
        <w:pStyle w:val="Normaltindrag"/>
      </w:pPr>
      <w:r w:rsidRPr="00C9680B">
        <w:t>Enligt skatteutskottets mening är det inte aktuellt att nu genomföra några föränd</w:t>
      </w:r>
      <w:r w:rsidRPr="00C9680B">
        <w:softHyphen/>
        <w:t>ringar av alkoholskattesatserna. Utskottet avstyrker därför motionen även i denna del.</w:t>
      </w:r>
    </w:p>
    <w:p w:rsidR="001C7BF9" w:rsidRPr="00C9680B" w:rsidRDefault="001C7BF9">
      <w:pPr>
        <w:pStyle w:val="R4"/>
      </w:pPr>
      <w:r w:rsidRPr="00C9680B">
        <w:t>Finansutskottets ställningstagande</w:t>
      </w:r>
    </w:p>
    <w:p w:rsidR="001C7BF9" w:rsidRPr="00C9680B" w:rsidRDefault="001C7BF9">
      <w:r w:rsidRPr="00C9680B">
        <w:t>Finansutskottet tillstyrker i likhet med skatteutskottet propositionens förslag om en höjning av gränsen för privat införsel av vin, starkvin och starköl den 1 januari 2001 och avstyrker motionerna Sk313 (m) yrkandena 9 och 10 samt Sk1028 (m) yrkandena 13–15.</w:t>
      </w:r>
    </w:p>
    <w:p w:rsidR="001C7BF9" w:rsidRPr="00C9680B" w:rsidRDefault="001C7BF9">
      <w:pPr>
        <w:pStyle w:val="Utskottetsvervganden-RubrikFrslagspunkt"/>
        <w:outlineLvl w:val="0"/>
      </w:pPr>
      <w:bookmarkStart w:id="353" w:name="_Toc497720099"/>
      <w:bookmarkStart w:id="354" w:name="_Toc498238824"/>
      <w:bookmarkStart w:id="355" w:name="_Toc498910735"/>
      <w:r w:rsidRPr="00C9680B">
        <w:t>3.7.4 Förskjutning av skatteuttaget från energiskatt till koldioxidskatt</w:t>
      </w:r>
      <w:bookmarkEnd w:id="353"/>
      <w:bookmarkEnd w:id="354"/>
      <w:bookmarkEnd w:id="355"/>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bifaller regeringens förslag om en förskjutning av ska</w:t>
      </w:r>
      <w:r w:rsidRPr="00C9680B">
        <w:t>t</w:t>
      </w:r>
      <w:r w:rsidRPr="00C9680B">
        <w:t>teuttaget från energiskatt till koldioxidskatt. Koldioxidskatten höjs i ett första steg från 37 öre per kg till 46 öre per kg och intäkterna används för en sänkning av energiskatten på el och bränslen. Transportsektorns skattebelastning lämnas oförändrad. Skatteb</w:t>
      </w:r>
      <w:r w:rsidRPr="00C9680B">
        <w:t>e</w:t>
      </w:r>
      <w:r w:rsidRPr="00C9680B">
        <w:t>lastningen för tillverkningsindustrin samt jordbruks-, skogsbruks- och vattennäringarna hålls oförändrad genom att kol</w:t>
      </w:r>
      <w:r w:rsidRPr="00C9680B">
        <w:softHyphen/>
        <w:t>dioxidskattelättnaden höjs från 50 % till 65 % av koldioxid</w:t>
      </w:r>
      <w:r w:rsidRPr="00C9680B">
        <w:softHyphen/>
        <w:t>skatteuttaget. M</w:t>
      </w:r>
      <w:r w:rsidRPr="00C9680B">
        <w:t>o</w:t>
      </w:r>
      <w:r w:rsidRPr="00C9680B">
        <w:t xml:space="preserve">tionsförslagen avslås. </w:t>
      </w:r>
    </w:p>
    <w:p w:rsidR="001C7BF9" w:rsidRPr="00C9680B" w:rsidRDefault="001C7BF9">
      <w:pPr>
        <w:pStyle w:val="Utskottsfrslagikorthet-Text"/>
      </w:pPr>
      <w:r w:rsidRPr="00C9680B">
        <w:t xml:space="preserve">  Jämför reservation 12 (m)</w:t>
      </w:r>
      <w:r w:rsidRPr="00C9680B">
        <w:t>.</w:t>
      </w:r>
    </w:p>
    <w:p w:rsidR="001C7BF9" w:rsidRPr="00C9680B" w:rsidRDefault="001C7BF9">
      <w:pPr>
        <w:pStyle w:val="R4"/>
      </w:pPr>
      <w:bookmarkStart w:id="356" w:name="_Toc497206532"/>
      <w:bookmarkStart w:id="357" w:name="_Toc497720101"/>
      <w:r w:rsidRPr="00C9680B">
        <w:t>Budgetpropositionen</w:t>
      </w:r>
      <w:bookmarkEnd w:id="356"/>
      <w:bookmarkEnd w:id="357"/>
    </w:p>
    <w:p w:rsidR="001C7BF9" w:rsidRPr="00C9680B" w:rsidRDefault="001C7BF9">
      <w:r w:rsidRPr="00C9680B">
        <w:t>I propositionen föreslås (avsnitt 9.6.2.2) att koldioxidskatten ges en ökad tyngd i förhållande till energiskatten. Detta åstadkoms genom att koldioxid</w:t>
      </w:r>
      <w:r w:rsidRPr="00C9680B">
        <w:softHyphen/>
        <w:t>skatten höjs med 25 % samtidigt som energiskatten på el och bränslen för uppvärmning sänks med 8 %. Omläggningen utformas så att skattebelastnin</w:t>
      </w:r>
      <w:r w:rsidRPr="00C9680B">
        <w:t>g</w:t>
      </w:r>
      <w:r w:rsidRPr="00C9680B">
        <w:t>en för tillverknings</w:t>
      </w:r>
      <w:r w:rsidRPr="00C9680B">
        <w:softHyphen/>
        <w:t>industrin, jordbruks-, skogsbruks- och vattenbruksnärin</w:t>
      </w:r>
      <w:r w:rsidRPr="00C9680B">
        <w:t>g</w:t>
      </w:r>
      <w:r w:rsidRPr="00C9680B">
        <w:t>arna samt tran</w:t>
      </w:r>
      <w:r w:rsidRPr="00C9680B">
        <w:t>s</w:t>
      </w:r>
      <w:r w:rsidRPr="00C9680B">
        <w:t>port</w:t>
      </w:r>
      <w:r w:rsidRPr="00C9680B">
        <w:softHyphen/>
        <w:t>sektorn blir oförändrad.</w:t>
      </w:r>
    </w:p>
    <w:p w:rsidR="001C7BF9" w:rsidRPr="00C9680B" w:rsidRDefault="001C7BF9">
      <w:pPr>
        <w:pStyle w:val="Normaltindrag"/>
      </w:pPr>
      <w:r w:rsidRPr="00C9680B">
        <w:t>Regeringen anför att dagens energiskatt är oenhetlig och bidrar till att mot</w:t>
      </w:r>
      <w:r w:rsidRPr="00C9680B">
        <w:softHyphen/>
        <w:t>verka de miljöstyrande effekter som åsyftas bl.a. genom koldioxidskatten. Redan en intäktsneutral skatteomläggning med en minskad vikt för dagens energiskatt ökar den samlade miljöstyrnin</w:t>
      </w:r>
      <w:r w:rsidRPr="00C9680B">
        <w:t>g</w:t>
      </w:r>
      <w:r w:rsidRPr="00C9680B">
        <w:t xml:space="preserve">en. </w:t>
      </w:r>
    </w:p>
    <w:p w:rsidR="001C7BF9" w:rsidRPr="00C9680B" w:rsidRDefault="001C7BF9">
      <w:pPr>
        <w:pStyle w:val="R4"/>
      </w:pPr>
      <w:bookmarkStart w:id="358" w:name="_Toc497206533"/>
      <w:bookmarkStart w:id="359" w:name="_Toc497720102"/>
      <w:r w:rsidRPr="00C9680B">
        <w:t>Motionerna</w:t>
      </w:r>
      <w:bookmarkEnd w:id="358"/>
      <w:bookmarkEnd w:id="359"/>
    </w:p>
    <w:p w:rsidR="001C7BF9" w:rsidRPr="00C9680B" w:rsidRDefault="001C7BF9">
      <w:r w:rsidRPr="00C9680B">
        <w:rPr>
          <w:i/>
        </w:rPr>
        <w:t>Moderata samlingspartiet</w:t>
      </w:r>
      <w:r w:rsidRPr="00C9680B">
        <w:t xml:space="preserve"> yrkar i </w:t>
      </w:r>
      <w:r w:rsidRPr="00C9680B">
        <w:rPr>
          <w:i/>
        </w:rPr>
        <w:t>motionerna Sk1028</w:t>
      </w:r>
      <w:r w:rsidRPr="00C9680B">
        <w:t xml:space="preserve"> yrkande 3 delvis av Carl Fredrik Graf m.fl. (m) och </w:t>
      </w:r>
      <w:r w:rsidRPr="00C9680B">
        <w:rPr>
          <w:i/>
        </w:rPr>
        <w:t>Sk313</w:t>
      </w:r>
      <w:r w:rsidRPr="00C9680B">
        <w:t xml:space="preserve"> yrkandena 8 delvis och 26 av Carl Fredrik Graf m.fl. (m) att regeringens förslag avslås. Motionärerna anför att omläggningen medför att punktskatten på eldningsolja och andra bränslen stiger.</w:t>
      </w:r>
    </w:p>
    <w:p w:rsidR="001C7BF9" w:rsidRPr="00C9680B" w:rsidRDefault="001C7BF9">
      <w:pPr>
        <w:pStyle w:val="R4"/>
      </w:pPr>
      <w:r w:rsidRPr="00C9680B">
        <w:t>Skatteutskottets yttrande</w:t>
      </w:r>
    </w:p>
    <w:p w:rsidR="001C7BF9" w:rsidRPr="00C9680B" w:rsidRDefault="001C7BF9">
      <w:r w:rsidRPr="00C9680B">
        <w:t>Skatteutskottet anför i sitt yttrande (SkU1y) att utskottet i det föregående har behandlat regeringens strategi för grön skatte</w:t>
      </w:r>
      <w:r w:rsidRPr="00C9680B">
        <w:softHyphen/>
        <w:t>växling. Det främsta syftet är att öka miljörelateringen av skattesystemet och härvid är en reformering av d</w:t>
      </w:r>
      <w:r w:rsidRPr="00C9680B">
        <w:t>a</w:t>
      </w:r>
      <w:r w:rsidRPr="00C9680B">
        <w:t>gens energiskattesystem en central del. Den principskiss som presenterades i Skatteväxlingskommitténs betänkande utgör en utgångspunkt. Ett successivt införande av Skatteväxlingskommitténs modell kan skapa en energiskattem</w:t>
      </w:r>
      <w:r w:rsidRPr="00C9680B">
        <w:t>o</w:t>
      </w:r>
      <w:r w:rsidRPr="00C9680B">
        <w:t>dell som säkerställer en effektiv miljö</w:t>
      </w:r>
      <w:r w:rsidRPr="00C9680B">
        <w:softHyphen/>
        <w:t>styrning och en varaktig finansiering av de sänkta ska</w:t>
      </w:r>
      <w:r w:rsidRPr="00C9680B">
        <w:t>t</w:t>
      </w:r>
      <w:r w:rsidRPr="00C9680B">
        <w:t>terna på arbete.</w:t>
      </w:r>
    </w:p>
    <w:p w:rsidR="001C7BF9" w:rsidRPr="00C9680B" w:rsidRDefault="001C7BF9">
      <w:pPr>
        <w:pStyle w:val="Normaltindrag"/>
      </w:pPr>
      <w:r w:rsidRPr="00C9680B">
        <w:t>Enligt skatteutskottets mening är den omläggning som föreslås i</w:t>
      </w:r>
      <w:r w:rsidRPr="00C9680B">
        <w:t>n</w:t>
      </w:r>
      <w:r w:rsidRPr="00C9680B">
        <w:t>täktsneutral och har därför i första hand ett miljöpolitiskt syfte. Redan en neutral omläggning med en minskad vikt för dagens energiskatt bidrar enligt vad utskottet anför till att skattesystem</w:t>
      </w:r>
      <w:r w:rsidRPr="00C9680B">
        <w:softHyphen/>
        <w:t>ets miljörelatering ökar. Eftersom omläggningen har utformats så att skatte</w:t>
      </w:r>
      <w:r w:rsidRPr="00C9680B">
        <w:softHyphen/>
        <w:t>belastningen för tillverkningsindus</w:t>
      </w:r>
      <w:r w:rsidRPr="00C9680B">
        <w:t>t</w:t>
      </w:r>
      <w:r w:rsidRPr="00C9680B">
        <w:t>rin, jordbruks-, skogsbruks- och vatten</w:t>
      </w:r>
      <w:r w:rsidRPr="00C9680B">
        <w:softHyphen/>
        <w:t>bruksnäringarna samt transportsektorn blir oförändrad konstaterar utskottet att det i första hand är hushållens och servicesektorns förbrukning av el och fossila br</w:t>
      </w:r>
      <w:r w:rsidRPr="00C9680B">
        <w:t>änslen för uppvärmning samt motsvarande förbrukning i fjärrvärmeproduktionen som berörs. Vidare ko</w:t>
      </w:r>
      <w:r w:rsidRPr="00C9680B">
        <w:t>m</w:t>
      </w:r>
      <w:r w:rsidRPr="00C9680B">
        <w:t>mer förmånen av den halvering av energiskatten som tillämpas i kraftvärm</w:t>
      </w:r>
      <w:r w:rsidRPr="00C9680B">
        <w:t>e</w:t>
      </w:r>
      <w:r w:rsidRPr="00C9680B">
        <w:t>verk att minska i värde. Omläggningen medför en viss höjning av punktska</w:t>
      </w:r>
      <w:r w:rsidRPr="00C9680B">
        <w:t>t</w:t>
      </w:r>
      <w:r w:rsidRPr="00C9680B">
        <w:t>ten på fossila bränslen för uppvärmning.</w:t>
      </w:r>
    </w:p>
    <w:p w:rsidR="001C7BF9" w:rsidRPr="00C9680B" w:rsidRDefault="001C7BF9">
      <w:pPr>
        <w:pStyle w:val="Normaltindrag"/>
      </w:pPr>
      <w:r w:rsidRPr="00C9680B">
        <w:t>Skatteutskottet tillstyrker förslaget och avstyrker motionsyrkand</w:t>
      </w:r>
      <w:r w:rsidRPr="00C9680B">
        <w:t>e</w:t>
      </w:r>
      <w:r w:rsidRPr="00C9680B">
        <w:t>na.</w:t>
      </w:r>
    </w:p>
    <w:p w:rsidR="001C7BF9" w:rsidRPr="00C9680B" w:rsidRDefault="001C7BF9">
      <w:pPr>
        <w:pStyle w:val="R4"/>
      </w:pPr>
      <w:r w:rsidRPr="00C9680B">
        <w:t>Finansutskottets ställningstagande</w:t>
      </w:r>
    </w:p>
    <w:p w:rsidR="001C7BF9" w:rsidRPr="00C9680B" w:rsidRDefault="001C7BF9">
      <w:r w:rsidRPr="00C9680B">
        <w:t>Finansutskottet tillstyrker i likhet med skatteutskottet propositionens förslag om en förskjutning av skatteuttaget från energiskatt till koldioxidskatt och avstyrker motionerna Sk313 (m) yrkandena 8 delvis och 26 samt Sk1028 (m) yrkande 3 delvis.</w:t>
      </w:r>
    </w:p>
    <w:p w:rsidR="001C7BF9" w:rsidRPr="00C9680B" w:rsidRDefault="001C7BF9">
      <w:pPr>
        <w:pStyle w:val="Utskottetsvervganden-RubrikFrslagspunkt"/>
        <w:outlineLvl w:val="0"/>
      </w:pPr>
      <w:bookmarkStart w:id="360" w:name="_Toc497720104"/>
      <w:bookmarkStart w:id="361" w:name="_Toc498238825"/>
      <w:bookmarkStart w:id="362" w:name="_Toc498910736"/>
      <w:r w:rsidRPr="00C9680B">
        <w:t>3.7.5 Höjd koldioxidskatt</w:t>
      </w:r>
      <w:bookmarkEnd w:id="360"/>
      <w:bookmarkEnd w:id="361"/>
      <w:bookmarkEnd w:id="362"/>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bifaller regeringens förslag om en höjning av koldioxid</w:t>
      </w:r>
      <w:r w:rsidRPr="00C9680B">
        <w:softHyphen/>
        <w:t>skatten till 53 öre per kg. Härvid rättas lagtexten så att höjningen inte slår igenom på naturgas, metan och gasol som används som drivmedel. Riksdagen avslår motionsförslagen om sänkt energiskatt på bräns</w:t>
      </w:r>
      <w:r w:rsidRPr="00C9680B">
        <w:softHyphen/>
        <w:t>len och om en höjning av i</w:t>
      </w:r>
      <w:r w:rsidRPr="00C9680B">
        <w:t>n</w:t>
      </w:r>
      <w:r w:rsidRPr="00C9680B">
        <w:t xml:space="preserve">dustrins koldioxidskatt. </w:t>
      </w:r>
    </w:p>
    <w:p w:rsidR="001C7BF9" w:rsidRPr="00C9680B" w:rsidRDefault="001C7BF9">
      <w:pPr>
        <w:pStyle w:val="Utskottsfrslagikorthet-Text"/>
      </w:pPr>
      <w:r w:rsidRPr="00C9680B">
        <w:t xml:space="preserve">  Jämför reservationerna 12 (m) 14 (c) och 15 (fp). </w:t>
      </w:r>
    </w:p>
    <w:p w:rsidR="001C7BF9" w:rsidRPr="00C9680B" w:rsidRDefault="001C7BF9">
      <w:pPr>
        <w:pStyle w:val="R4"/>
      </w:pPr>
      <w:bookmarkStart w:id="363" w:name="_Toc497206537"/>
      <w:bookmarkStart w:id="364" w:name="_Toc497720106"/>
      <w:r w:rsidRPr="00C9680B">
        <w:t>Budgetpropositionen</w:t>
      </w:r>
      <w:bookmarkEnd w:id="363"/>
      <w:bookmarkEnd w:id="364"/>
    </w:p>
    <w:p w:rsidR="001C7BF9" w:rsidRPr="00C9680B" w:rsidRDefault="001C7BF9">
      <w:r w:rsidRPr="00C9680B">
        <w:t>Regeringen föreslår (avsnitt 9.6.2.3) att koldioxidskatten höjs ytterligare till ca 53 öre per kg koldioxid. Även denna del av omläggningen utformas så att skattebelast</w:t>
      </w:r>
      <w:r w:rsidRPr="00C9680B">
        <w:softHyphen/>
        <w:t>ningen för tillverkningsindustrin och jordbruks-, skogsbruks- och vatten</w:t>
      </w:r>
      <w:r w:rsidRPr="00C9680B">
        <w:softHyphen/>
        <w:t>bruksnäringarna samt transportse</w:t>
      </w:r>
      <w:r w:rsidRPr="00C9680B">
        <w:t>k</w:t>
      </w:r>
      <w:r w:rsidRPr="00C9680B">
        <w:t xml:space="preserve">torn blir oförändrad. </w:t>
      </w:r>
    </w:p>
    <w:p w:rsidR="001C7BF9" w:rsidRPr="00C9680B" w:rsidRDefault="001C7BF9">
      <w:pPr>
        <w:pStyle w:val="Normaltindrag"/>
      </w:pPr>
      <w:r w:rsidRPr="00C9680B">
        <w:t>Regeringen anför att höjningen sker i syfte att bl.a. bidra till att Sveriges åtaganden enligt Kyotoprotokollet kan uppfyllas. I förhållande till dagsläget medför förändringarna av energiskatten och koldioxidskatten nettoskattehöj</w:t>
      </w:r>
      <w:r w:rsidRPr="00C9680B">
        <w:softHyphen/>
        <w:t>ningar med 414 kr för eldningsolja.</w:t>
      </w:r>
    </w:p>
    <w:p w:rsidR="001C7BF9" w:rsidRPr="00C9680B" w:rsidRDefault="001C7BF9">
      <w:pPr>
        <w:pStyle w:val="R4"/>
      </w:pPr>
      <w:bookmarkStart w:id="365" w:name="_Toc497206538"/>
      <w:bookmarkStart w:id="366" w:name="_Toc497720107"/>
      <w:r w:rsidRPr="00C9680B">
        <w:t>Motionerna</w:t>
      </w:r>
      <w:bookmarkEnd w:id="365"/>
      <w:bookmarkEnd w:id="366"/>
    </w:p>
    <w:p w:rsidR="001C7BF9" w:rsidRPr="00C9680B" w:rsidRDefault="001C7BF9">
      <w:r w:rsidRPr="00C9680B">
        <w:rPr>
          <w:i/>
        </w:rPr>
        <w:t>Moderata samlingspartiet</w:t>
      </w:r>
      <w:r w:rsidRPr="00C9680B">
        <w:t xml:space="preserve"> yrkar i </w:t>
      </w:r>
      <w:r w:rsidRPr="00C9680B">
        <w:rPr>
          <w:i/>
        </w:rPr>
        <w:t>motionerna Sk313</w:t>
      </w:r>
      <w:r w:rsidRPr="00C9680B">
        <w:t xml:space="preserve"> yrkandena 8 delvis och 23 delvis samt </w:t>
      </w:r>
      <w:r w:rsidRPr="00C9680B">
        <w:rPr>
          <w:i/>
        </w:rPr>
        <w:t>Sk1028</w:t>
      </w:r>
      <w:r w:rsidRPr="00C9680B">
        <w:t xml:space="preserve"> yrkandena 3 delvis och 4 delvis av Carl Fredrik Graf m.fl. (m) att förslaget om höjd koldioxidskatt avslås. Motionärerna föreslår att energiskatten på bränslen i stället sänks med 8 %.</w:t>
      </w:r>
    </w:p>
    <w:p w:rsidR="001C7BF9" w:rsidRPr="00C9680B" w:rsidRDefault="001C7BF9">
      <w:pPr>
        <w:spacing w:before="125"/>
      </w:pPr>
      <w:r w:rsidRPr="00C9680B">
        <w:rPr>
          <w:i/>
        </w:rPr>
        <w:t xml:space="preserve">Centerpartiet </w:t>
      </w:r>
      <w:r w:rsidRPr="00C9680B">
        <w:t xml:space="preserve">yrkar i </w:t>
      </w:r>
      <w:r w:rsidRPr="00C9680B">
        <w:rPr>
          <w:i/>
        </w:rPr>
        <w:t>motion Sk321</w:t>
      </w:r>
      <w:r w:rsidRPr="00C9680B">
        <w:t xml:space="preserve"> yrkandena 27 och 28 av Lennart Daléus m.fl. (c) att förslaget avslås. Vidare föreslår motionärerna att industrins ned</w:t>
      </w:r>
      <w:r w:rsidRPr="00C9680B">
        <w:softHyphen/>
        <w:t>sättning av koldioxid</w:t>
      </w:r>
      <w:r w:rsidRPr="00C9680B">
        <w:t>s</w:t>
      </w:r>
      <w:r w:rsidRPr="00C9680B">
        <w:t>katten minskas till 25 %.</w:t>
      </w:r>
    </w:p>
    <w:p w:rsidR="001C7BF9" w:rsidRPr="00C9680B" w:rsidRDefault="001C7BF9">
      <w:pPr>
        <w:pStyle w:val="R4"/>
      </w:pPr>
      <w:r w:rsidRPr="00C9680B">
        <w:t>Skatteutskottets yttrande</w:t>
      </w:r>
    </w:p>
    <w:p w:rsidR="001C7BF9" w:rsidRPr="00C9680B" w:rsidRDefault="001C7BF9">
      <w:r w:rsidRPr="00C9680B">
        <w:t xml:space="preserve">Skatteutskottet anför i sitt yttrande (SkU1y) att höjningen av koldioxidskatten innebär att ytterligare ett steg tas i en grön skatteväxling där höjda skatter på energi och miljöfarliga utsläpp höjs och skatten på arbete sänks. Utskottet tillstyrker förslaget. </w:t>
      </w:r>
    </w:p>
    <w:p w:rsidR="001C7BF9" w:rsidRPr="00C9680B" w:rsidRDefault="001C7BF9">
      <w:pPr>
        <w:pStyle w:val="Normaltindrag"/>
      </w:pPr>
      <w:r w:rsidRPr="00C9680B">
        <w:t>När det gäller förslaget om en skärpning av industrins koldioxidbeskatt</w:t>
      </w:r>
      <w:r w:rsidRPr="00C9680B">
        <w:softHyphen/>
        <w:t>ning framhåller skatteutskottet att de förslag som regeringen lägger fram i detta ärende har utformats på ett sådant sätt att de nedsättningsberättigade verk</w:t>
      </w:r>
      <w:r w:rsidRPr="00C9680B">
        <w:softHyphen/>
        <w:t>samheterna inte skall få en ökad skattebelastning och att avsikten är att utform</w:t>
      </w:r>
      <w:r w:rsidRPr="00C9680B">
        <w:softHyphen/>
        <w:t>ningen av nedsättningssystemet för tillverkningsindustrin och jor</w:t>
      </w:r>
      <w:r w:rsidRPr="00C9680B">
        <w:t>d</w:t>
      </w:r>
      <w:r w:rsidRPr="00C9680B">
        <w:t>bruks-, skogsbruks- och vattenbruksnäringarna skall utredas som en del i förberedel</w:t>
      </w:r>
      <w:r w:rsidRPr="00C9680B">
        <w:softHyphen/>
        <w:t>serna för en fortsatt skatteväxling. Enligt utskottets mening bör resultatet av denna utre</w:t>
      </w:r>
      <w:r w:rsidRPr="00C9680B">
        <w:t>d</w:t>
      </w:r>
      <w:r w:rsidRPr="00C9680B">
        <w:t>ning avvaktas, och utskottet av</w:t>
      </w:r>
      <w:r w:rsidRPr="00C9680B">
        <w:t>styrker därför mo</w:t>
      </w:r>
      <w:r w:rsidRPr="00C9680B">
        <w:softHyphen/>
        <w:t>tions</w:t>
      </w:r>
      <w:r w:rsidRPr="00C9680B">
        <w:softHyphen/>
      </w:r>
      <w:r w:rsidRPr="00C9680B">
        <w:t>y</w:t>
      </w:r>
      <w:r w:rsidRPr="00C9680B">
        <w:t>rkandet.</w:t>
      </w:r>
    </w:p>
    <w:p w:rsidR="001C7BF9" w:rsidRPr="00C9680B" w:rsidRDefault="001C7BF9">
      <w:pPr>
        <w:pStyle w:val="Normaltindrag"/>
      </w:pPr>
      <w:r w:rsidRPr="00C9680B">
        <w:t>Slutligen har skatteutskottet uppmärksammat att lagtexten fått en utfor</w:t>
      </w:r>
      <w:r w:rsidRPr="00C9680B">
        <w:t>m</w:t>
      </w:r>
      <w:r w:rsidRPr="00C9680B">
        <w:t>ning som gör att höjningen av skatten på naturgas eller gasol som används som bränsle slår igenom på naturgas och gasol som används som drivmedel. Med hänsyn till att den uttalade avsikten i detta ärende är att skattebelastnin</w:t>
      </w:r>
      <w:r w:rsidRPr="00C9680B">
        <w:t>g</w:t>
      </w:r>
      <w:r w:rsidRPr="00C9680B">
        <w:t>en inom transportsektorn på andra bränslen än diesel inte skall öka år 2001 före</w:t>
      </w:r>
      <w:r w:rsidRPr="00C9680B">
        <w:softHyphen/>
        <w:t>slår utskottet att lagtexten korrigeras så att det sammantagna punkt</w:t>
      </w:r>
      <w:r w:rsidRPr="00C9680B">
        <w:softHyphen/>
        <w:t>skatte</w:t>
      </w:r>
      <w:r w:rsidRPr="00C9680B">
        <w:softHyphen/>
        <w:t>uttaget på naturgas och gasol som används som drivmedel inte ändras. U</w:t>
      </w:r>
      <w:r w:rsidRPr="00C9680B">
        <w:t>t</w:t>
      </w:r>
      <w:r w:rsidRPr="00C9680B">
        <w:t>skottet erinrar om att det utredningsarbete som regering</w:t>
      </w:r>
      <w:r w:rsidRPr="00C9680B">
        <w:t>en aviserar i propo</w:t>
      </w:r>
      <w:r w:rsidRPr="00C9680B">
        <w:softHyphen/>
        <w:t>sitionen också innefattar en översyn av den framtida vägtrafikbeskattningen i syfte att skapa förutsättningar för en ökad miljörelatering. Målsättningen är att öka trafikbeskattningens samlade miljöstyrning och att vägtrafiken där</w:t>
      </w:r>
      <w:r w:rsidRPr="00C9680B">
        <w:softHyphen/>
        <w:t>med skall betala sina samhälls</w:t>
      </w:r>
      <w:r w:rsidRPr="00C9680B">
        <w:softHyphen/>
        <w:t>ekonomiska kostnader.</w:t>
      </w:r>
    </w:p>
    <w:p w:rsidR="001C7BF9" w:rsidRPr="00C9680B" w:rsidRDefault="001C7BF9">
      <w:pPr>
        <w:pStyle w:val="R4"/>
      </w:pPr>
      <w:r w:rsidRPr="00C9680B">
        <w:t>Finansutskottets ställningstagande</w:t>
      </w:r>
    </w:p>
    <w:p w:rsidR="001C7BF9" w:rsidRPr="00C9680B" w:rsidRDefault="001C7BF9">
      <w:r w:rsidRPr="00C9680B">
        <w:t>Finansutskottet tillstyrker i likhet med skatteutskottet propositionens förslag om höjd koldioxidskatt och avstyrker motionerna Sk313 (m) yrkandena 8 och 23, båda delvis, Sk321 (c) yrkandena 27 och 28 samt Sk1028 (m) yrkandena 3 och 4, båda delvis.</w:t>
      </w:r>
    </w:p>
    <w:p w:rsidR="001C7BF9" w:rsidRPr="00C9680B" w:rsidRDefault="001C7BF9">
      <w:pPr>
        <w:pStyle w:val="Normaltindrag"/>
      </w:pPr>
      <w:r w:rsidRPr="00C9680B">
        <w:t>Finansutskottet föreslår att lagtexten korrigeras så att höjningen av koldi</w:t>
      </w:r>
      <w:r w:rsidRPr="00C9680B">
        <w:softHyphen/>
        <w:t>oxidskatten inte slår igenom på naturgas och gasol som används som drivm</w:t>
      </w:r>
      <w:r w:rsidRPr="00C9680B">
        <w:t>e</w:t>
      </w:r>
      <w:r w:rsidRPr="00C9680B">
        <w:t>del. Även metan som används som drivmedel bör inkluderas. Energiskatten sätts till 0 kr och koldioxidskatten bestäms till ett belopp som motsvarar det sammantagna punktskatteuttag som skulle ha tillämpats år 2001, vilket inkl</w:t>
      </w:r>
      <w:r w:rsidRPr="00C9680B">
        <w:t>u</w:t>
      </w:r>
      <w:r w:rsidRPr="00C9680B">
        <w:t>derar en mindre indexuppräkning. Koldioxidskatten bestäms på detta sätt till 1 264 kr per kbm för gasol, till 1 039 kr för naturgas och till 1 039 kr för metan.</w:t>
      </w:r>
    </w:p>
    <w:p w:rsidR="001C7BF9" w:rsidRPr="00C9680B" w:rsidRDefault="001C7BF9">
      <w:pPr>
        <w:pStyle w:val="Utskottetsvervganden-RubrikFrslagspunkt"/>
        <w:outlineLvl w:val="0"/>
      </w:pPr>
      <w:bookmarkStart w:id="367" w:name="_Toc497720109"/>
      <w:bookmarkStart w:id="368" w:name="_Toc498238826"/>
      <w:bookmarkStart w:id="369" w:name="_Toc498910737"/>
      <w:r w:rsidRPr="00C9680B">
        <w:t>3.7.6 Höjd energiskatt på el</w:t>
      </w:r>
      <w:bookmarkEnd w:id="367"/>
      <w:bookmarkEnd w:id="368"/>
      <w:bookmarkEnd w:id="369"/>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bifaller regeringens förslag om en höjning av energi</w:t>
      </w:r>
      <w:r w:rsidRPr="00C9680B">
        <w:softHyphen/>
        <w:t>skatten på el med netto 1,9 öre per kWh. Motionärernas förslag a</w:t>
      </w:r>
      <w:r w:rsidRPr="00C9680B">
        <w:t>v</w:t>
      </w:r>
      <w:r w:rsidRPr="00C9680B">
        <w:t xml:space="preserve">slås. </w:t>
      </w:r>
    </w:p>
    <w:p w:rsidR="001C7BF9" w:rsidRPr="00C9680B" w:rsidRDefault="001C7BF9">
      <w:pPr>
        <w:pStyle w:val="Utskottsfrslagikorthet-Text"/>
      </w:pPr>
      <w:r w:rsidRPr="00C9680B">
        <w:t xml:space="preserve">  Jämför reservationerna 12 (m), 13 (kd) och 15 (fp).</w:t>
      </w:r>
    </w:p>
    <w:p w:rsidR="001C7BF9" w:rsidRPr="00C9680B" w:rsidRDefault="001C7BF9">
      <w:pPr>
        <w:pStyle w:val="R4"/>
      </w:pPr>
      <w:bookmarkStart w:id="370" w:name="_Toc497206542"/>
      <w:bookmarkStart w:id="371" w:name="_Toc497720111"/>
      <w:r w:rsidRPr="00C9680B">
        <w:t>Budgetpropositionen</w:t>
      </w:r>
      <w:bookmarkEnd w:id="370"/>
      <w:bookmarkEnd w:id="371"/>
    </w:p>
    <w:p w:rsidR="001C7BF9" w:rsidRPr="00C9680B" w:rsidRDefault="001C7BF9">
      <w:r w:rsidRPr="00C9680B">
        <w:t>Regeringen föreslår (avsnitt 9.6.2.4) att energiskatten på el höjs netto med 1,8 öre per kWh. Till det kommer indexuppräkningen av skatten med 0,1 öre per kWh. Totalt ger detta en höjning med 1,9 öre per kWh.</w:t>
      </w:r>
    </w:p>
    <w:p w:rsidR="001C7BF9" w:rsidRPr="00C9680B" w:rsidRDefault="001C7BF9">
      <w:pPr>
        <w:pStyle w:val="Normaltindrag"/>
      </w:pPr>
      <w:r w:rsidRPr="00C9680B">
        <w:t>Regeringen anför att de föreslagna höjningarna av koldioxidskatten resul</w:t>
      </w:r>
      <w:r w:rsidRPr="00C9680B">
        <w:softHyphen/>
        <w:t>terar i att den relativa bränslekostnaden för el i småhus sjunker i förhållande till kostnaden för oljeuppvärmning. Elskattehöjningen kommer i viss mån att motverka denna effekt.</w:t>
      </w:r>
    </w:p>
    <w:p w:rsidR="001C7BF9" w:rsidRPr="00C9680B" w:rsidRDefault="001C7BF9">
      <w:pPr>
        <w:pStyle w:val="R4"/>
      </w:pPr>
      <w:bookmarkStart w:id="372" w:name="_Toc497206543"/>
      <w:bookmarkStart w:id="373" w:name="_Toc497720112"/>
      <w:r w:rsidRPr="00C9680B">
        <w:t>Motionerna</w:t>
      </w:r>
      <w:bookmarkEnd w:id="372"/>
      <w:bookmarkEnd w:id="373"/>
    </w:p>
    <w:p w:rsidR="001C7BF9" w:rsidRPr="00C9680B" w:rsidRDefault="001C7BF9">
      <w:r w:rsidRPr="00C9680B">
        <w:rPr>
          <w:i/>
        </w:rPr>
        <w:t>Moderata samlingspartiet</w:t>
      </w:r>
      <w:r w:rsidRPr="00C9680B">
        <w:t xml:space="preserve"> föreslår att energiskatten på el i stället sänks med 8 %. Yrkanden med denna inriktning finns i </w:t>
      </w:r>
      <w:r w:rsidRPr="00C9680B">
        <w:rPr>
          <w:i/>
        </w:rPr>
        <w:t xml:space="preserve">motionerna Sk1028 </w:t>
      </w:r>
      <w:r w:rsidRPr="00C9680B">
        <w:t xml:space="preserve">yrkandena 3 delvis och 4 delvis av Carl Fredrik Graf m.fl. (m) samt </w:t>
      </w:r>
      <w:r w:rsidRPr="00C9680B">
        <w:rPr>
          <w:i/>
        </w:rPr>
        <w:t>Sk313</w:t>
      </w:r>
      <w:r w:rsidRPr="00C9680B">
        <w:t xml:space="preserve"> yrkandena 8 delvis och 23 delvis av Carl Fredrik Graf m.fl. (m).</w:t>
      </w:r>
    </w:p>
    <w:p w:rsidR="001C7BF9" w:rsidRPr="00C9680B" w:rsidRDefault="001C7BF9">
      <w:pPr>
        <w:spacing w:before="125"/>
      </w:pPr>
      <w:r w:rsidRPr="00C9680B">
        <w:rPr>
          <w:i/>
        </w:rPr>
        <w:t>Kristdemokraterna</w:t>
      </w:r>
      <w:r w:rsidRPr="00C9680B">
        <w:t xml:space="preserve"> föreslår i </w:t>
      </w:r>
      <w:r w:rsidRPr="00C9680B">
        <w:rPr>
          <w:i/>
        </w:rPr>
        <w:t>motion Sk323</w:t>
      </w:r>
      <w:r w:rsidRPr="00C9680B">
        <w:t xml:space="preserve"> yrkande 49 av Alf Svensson m.fl. (kd) att förslaget om höjd energiskatt på el avslås. Motionärerna anför att energiskatten på el belastar all elproduktion lika och att den inte är miljö</w:t>
      </w:r>
      <w:r w:rsidRPr="00C9680B">
        <w:softHyphen/>
        <w:t>styrande.</w:t>
      </w:r>
    </w:p>
    <w:p w:rsidR="001C7BF9" w:rsidRPr="00C9680B" w:rsidRDefault="001C7BF9">
      <w:pPr>
        <w:pStyle w:val="R4"/>
      </w:pPr>
      <w:r w:rsidRPr="00C9680B">
        <w:t>Skatteutskottets yttrande</w:t>
      </w:r>
    </w:p>
    <w:p w:rsidR="001C7BF9" w:rsidRPr="00C9680B" w:rsidRDefault="001C7BF9">
      <w:r w:rsidRPr="00C9680B">
        <w:t>Skatteutskottet (SkU1y) delar regeringens bedömning i denna del. Utskottet avstyrker m</w:t>
      </w:r>
      <w:r w:rsidRPr="00C9680B">
        <w:t>o</w:t>
      </w:r>
      <w:r w:rsidRPr="00C9680B">
        <w:t>tionerna och tillstyrker propositionen.</w:t>
      </w:r>
    </w:p>
    <w:p w:rsidR="001C7BF9" w:rsidRPr="00C9680B" w:rsidRDefault="001C7BF9">
      <w:pPr>
        <w:pStyle w:val="R4"/>
      </w:pPr>
      <w:r w:rsidRPr="00C9680B">
        <w:t>Finansutskottets ställningstagande</w:t>
      </w:r>
    </w:p>
    <w:p w:rsidR="001C7BF9" w:rsidRPr="00C9680B" w:rsidRDefault="001C7BF9">
      <w:r w:rsidRPr="00C9680B">
        <w:t>Finansutskottet tillstyrker i likhet med skatteutskottet propositionens förslag om höjd energiskatt på el och avstyrker motionerna Sk313 (m) yrkandena 8 och  23, båda delvis, Sk323 (kd) yrkande 49 och Sk1028 (m) yrkandena 3 och  4, båda delvis.</w:t>
      </w:r>
    </w:p>
    <w:p w:rsidR="001C7BF9" w:rsidRPr="00C9680B" w:rsidRDefault="001C7BF9">
      <w:pPr>
        <w:pStyle w:val="Utskottetsvervganden-RubrikFrslagspunkt"/>
        <w:outlineLvl w:val="0"/>
      </w:pPr>
      <w:bookmarkStart w:id="374" w:name="_Toc497720114"/>
      <w:bookmarkStart w:id="375" w:name="_Toc498238827"/>
      <w:bookmarkStart w:id="376" w:name="_Toc498910738"/>
      <w:r w:rsidRPr="00C9680B">
        <w:t>3.7.7 Vissa miljöskatter</w:t>
      </w:r>
      <w:bookmarkEnd w:id="374"/>
      <w:bookmarkEnd w:id="375"/>
      <w:bookmarkEnd w:id="376"/>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avslår motionsförslagen om en kväveoxidskatt, en skatt på fö</w:t>
      </w:r>
      <w:r w:rsidRPr="00C9680B">
        <w:t>r</w:t>
      </w:r>
      <w:r w:rsidRPr="00C9680B">
        <w:t xml:space="preserve">bränning av avfall och en miljöskatt på inrikes flygresor. </w:t>
      </w:r>
    </w:p>
    <w:p w:rsidR="001C7BF9" w:rsidRPr="00C9680B" w:rsidRDefault="001C7BF9">
      <w:pPr>
        <w:pStyle w:val="Utskottsfrslagikorthet-Text"/>
        <w:rPr>
          <w:sz w:val="19"/>
        </w:rPr>
      </w:pPr>
      <w:r w:rsidRPr="00C9680B">
        <w:t xml:space="preserve">  Jämför reservation 14 (c).</w:t>
      </w:r>
      <w:bookmarkStart w:id="377" w:name="_Toc497206547"/>
      <w:bookmarkStart w:id="378" w:name="_Toc497720116"/>
      <w:bookmarkStart w:id="379" w:name="_Toc498238828"/>
      <w:r w:rsidRPr="00C9680B">
        <w:t xml:space="preserve"> </w:t>
      </w:r>
      <w:bookmarkEnd w:id="377"/>
      <w:bookmarkEnd w:id="378"/>
      <w:bookmarkEnd w:id="379"/>
    </w:p>
    <w:p w:rsidR="001C7BF9" w:rsidRPr="00C9680B" w:rsidRDefault="001C7BF9">
      <w:pPr>
        <w:pStyle w:val="R4"/>
        <w:rPr>
          <w:i w:val="0"/>
        </w:rPr>
      </w:pPr>
      <w:r w:rsidRPr="00C9680B">
        <w:t>Motionen</w:t>
      </w:r>
    </w:p>
    <w:p w:rsidR="001C7BF9" w:rsidRPr="00C9680B" w:rsidRDefault="001C7BF9">
      <w:r w:rsidRPr="00C9680B">
        <w:rPr>
          <w:i/>
        </w:rPr>
        <w:t>Centerpartiet</w:t>
      </w:r>
      <w:r w:rsidRPr="00C9680B">
        <w:t xml:space="preserve"> lägger i </w:t>
      </w:r>
      <w:r w:rsidRPr="00C9680B">
        <w:rPr>
          <w:i/>
        </w:rPr>
        <w:t>motion Sk321</w:t>
      </w:r>
      <w:r w:rsidRPr="00C9680B">
        <w:t xml:space="preserve"> av Lennart Daléus m.fl. (c) fram förslag om höjning och införande av vissa miljöskatter. Motionärerna anför att kv</w:t>
      </w:r>
      <w:r w:rsidRPr="00C9680B">
        <w:t>ä</w:t>
      </w:r>
      <w:r w:rsidRPr="00C9680B">
        <w:t>veoxidutsläppen stadigt har ökat och att en kväveoxidskatt därför bör tas ut med 10 kr per kg NO</w:t>
      </w:r>
      <w:r w:rsidRPr="00C9680B">
        <w:rPr>
          <w:vertAlign w:val="subscript"/>
        </w:rPr>
        <w:t>x</w:t>
      </w:r>
      <w:r w:rsidRPr="00C9680B">
        <w:t xml:space="preserve"> för pannor med en större effekt än 5 MW och med en nytti</w:t>
      </w:r>
      <w:r w:rsidRPr="00C9680B">
        <w:t>g</w:t>
      </w:r>
      <w:r w:rsidRPr="00C9680B">
        <w:t>gjord energiproduktion större än 20 GWh (yrkande 29). Vidare kon</w:t>
      </w:r>
      <w:r w:rsidRPr="00C9680B">
        <w:softHyphen/>
        <w:t>staterar motionärerna att avfallsskatten har lett till att förbränningen av avfall ökar och de föreslår att en skatt på förbränning av avfall införs för a</w:t>
      </w:r>
      <w:r w:rsidRPr="00C9680B">
        <w:t>tt säker</w:t>
      </w:r>
      <w:r w:rsidRPr="00C9680B">
        <w:softHyphen/>
        <w:t>ställa intentionen om minskade avfallsmängder (yrkande 30). Slutligen åter</w:t>
      </w:r>
      <w:r w:rsidRPr="00C9680B">
        <w:softHyphen/>
        <w:t>kommer motionärerna med ett förslag om att en miljöskatt på flyg bör införas med ett belopp per pa</w:t>
      </w:r>
      <w:r w:rsidRPr="00C9680B">
        <w:t>s</w:t>
      </w:r>
      <w:r w:rsidRPr="00C9680B">
        <w:t>sagerare och resa, vilket innebär att de största flyg</w:t>
      </w:r>
      <w:r w:rsidRPr="00C9680B">
        <w:softHyphen/>
        <w:t>planen med flest resenärer får bära de största kos</w:t>
      </w:r>
      <w:r w:rsidRPr="00C9680B">
        <w:t>t</w:t>
      </w:r>
      <w:r w:rsidRPr="00C9680B">
        <w:t>naderna (yrkande 31).</w:t>
      </w:r>
    </w:p>
    <w:p w:rsidR="001C7BF9" w:rsidRPr="00C9680B" w:rsidRDefault="001C7BF9">
      <w:pPr>
        <w:pStyle w:val="R4"/>
      </w:pPr>
      <w:r w:rsidRPr="00C9680B">
        <w:t>Skatteutskottets yttrande</w:t>
      </w:r>
    </w:p>
    <w:p w:rsidR="001C7BF9" w:rsidRPr="00C9680B" w:rsidRDefault="001C7BF9">
      <w:r w:rsidRPr="00C9680B">
        <w:t>Skatteutskottet anför (SkU1y) att den kväveoxidavgift som i dag tas ut på större anläggningar utgör ett exempel på ett väl fungerande ekonomiskt sty</w:t>
      </w:r>
      <w:r w:rsidRPr="00C9680B">
        <w:t>r</w:t>
      </w:r>
      <w:r w:rsidRPr="00C9680B">
        <w:t xml:space="preserve">medel inom miljöpolitiken, och utskottet är inte berett att tillstyrka att det i stället läggs en skatt på dessa anläggningar. </w:t>
      </w:r>
    </w:p>
    <w:p w:rsidR="001C7BF9" w:rsidRPr="00C9680B" w:rsidRDefault="001C7BF9">
      <w:pPr>
        <w:pStyle w:val="Normaltindrag"/>
      </w:pPr>
      <w:r w:rsidRPr="00C9680B">
        <w:t>När det gäller den nyligen införda skatten på avfall anför skatteutskottet att regeringen redan har uppmärksammat den fråga som motionärerna tar upp. Regeringen anför i budgetpropositionen att den nyligen införda skatten på avfall endast har varit i kraft under en kort tid, varför det ännu är för tidigt att bedöma vilka effekter den fått på avfallshanteringen. Det finns dock enlig</w:t>
      </w:r>
      <w:r w:rsidRPr="00C9680B">
        <w:t>t vad regeringen anför anledning att uppmärksamma riskerna med en ökad förbränning av osorterat avfall. Det är därför angeläget att följa upp och u</w:t>
      </w:r>
      <w:r w:rsidRPr="00C9680B">
        <w:t>t</w:t>
      </w:r>
      <w:r w:rsidRPr="00C9680B">
        <w:t>värdera hur systemet med avfallsbeskattning fungerar. En fråga som då kan aktualiseras är om en utvidgning av skattebasen bör ske till att omfatta även förbränning av avfall. Skatteutskottet anser att regeringens utvärdering av dessa frågor bör avvaktas.</w:t>
      </w:r>
    </w:p>
    <w:p w:rsidR="001C7BF9" w:rsidRPr="00C9680B" w:rsidRDefault="001C7BF9">
      <w:pPr>
        <w:pStyle w:val="Normaltindrag"/>
      </w:pPr>
      <w:r w:rsidRPr="00C9680B">
        <w:t>Skatteutskottet anför vidare att Sverige tidigare hade ett system med a</w:t>
      </w:r>
      <w:r w:rsidRPr="00C9680B">
        <w:t>v</w:t>
      </w:r>
      <w:r w:rsidRPr="00C9680B">
        <w:t>gasskatt inom inrikes luftfart. Systemet avvecklades sedan EU funnit att det inte var förenligt med det s.k. mineraloljedirektivet. Avgasrelaterade lan</w:t>
      </w:r>
      <w:r w:rsidRPr="00C9680B">
        <w:t>d</w:t>
      </w:r>
      <w:r w:rsidRPr="00C9680B">
        <w:t>ningsavgifter infördes den l januari 1998. Systemet tillämpas för flygplan över 9 ton maximal startvikt samt vid flygplatser med fler än 300 000 pass</w:t>
      </w:r>
      <w:r w:rsidRPr="00C9680B">
        <w:t>a</w:t>
      </w:r>
      <w:r w:rsidRPr="00C9680B">
        <w:t>gerare eller mer än 30 000 ton frakt per år. Systemet bygger på en klassific</w:t>
      </w:r>
      <w:r w:rsidRPr="00C9680B">
        <w:t>e</w:t>
      </w:r>
      <w:r w:rsidRPr="00C9680B">
        <w:t>ring av flygplanens avgasutsläpp under landning och start. Uppgifter om avgasutsläpp hämtas från en särskild databank som ICAO upprä</w:t>
      </w:r>
      <w:r w:rsidRPr="00C9680B">
        <w:t>ttat. Enligt skatteutskottets mening är det inte nu aktuellt att på nytt införa en miljöskatt på inrike</w:t>
      </w:r>
      <w:r w:rsidRPr="00C9680B">
        <w:t>s</w:t>
      </w:r>
      <w:r w:rsidRPr="00C9680B">
        <w:t xml:space="preserve">flyg. </w:t>
      </w:r>
    </w:p>
    <w:p w:rsidR="001C7BF9" w:rsidRPr="00C9680B" w:rsidRDefault="001C7BF9">
      <w:pPr>
        <w:pStyle w:val="Normaltindrag"/>
      </w:pPr>
      <w:r w:rsidRPr="00C9680B">
        <w:t>Skatteutskottet avstyrker motionsyrkandena.</w:t>
      </w:r>
    </w:p>
    <w:p w:rsidR="001C7BF9" w:rsidRPr="00C9680B" w:rsidRDefault="001C7BF9">
      <w:pPr>
        <w:pStyle w:val="R4"/>
      </w:pPr>
      <w:r w:rsidRPr="00C9680B">
        <w:t>Finansutskottets ställningstagande</w:t>
      </w:r>
    </w:p>
    <w:p w:rsidR="001C7BF9" w:rsidRPr="00C9680B" w:rsidRDefault="001C7BF9">
      <w:r w:rsidRPr="00C9680B">
        <w:t>Finansutskottet avstyrker i likhet med skatteutskottet motion Sk321 (c) y</w:t>
      </w:r>
      <w:r w:rsidRPr="00C9680B">
        <w:t>r</w:t>
      </w:r>
      <w:r w:rsidRPr="00C9680B">
        <w:t>kandena 29–31.</w:t>
      </w:r>
    </w:p>
    <w:p w:rsidR="001C7BF9" w:rsidRPr="00C9680B" w:rsidRDefault="001C7BF9">
      <w:pPr>
        <w:pStyle w:val="Utskottetsvervganden-RubrikFrslagspunkt"/>
      </w:pPr>
      <w:bookmarkStart w:id="380" w:name="_Toc497720118"/>
      <w:bookmarkStart w:id="381" w:name="_Toc498238829"/>
      <w:r w:rsidRPr="00C9680B">
        <w:br w:type="page"/>
      </w:r>
      <w:bookmarkStart w:id="382" w:name="_Toc498910739"/>
      <w:r w:rsidRPr="00C9680B">
        <w:t>3.7.8 Beskattning av drivmedel</w:t>
      </w:r>
      <w:bookmarkEnd w:id="380"/>
      <w:bookmarkEnd w:id="381"/>
      <w:bookmarkEnd w:id="382"/>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bifaller regeringens förslag om en höjning av energi</w:t>
      </w:r>
      <w:r w:rsidRPr="00C9680B">
        <w:softHyphen/>
        <w:t>skatten på di</w:t>
      </w:r>
      <w:r w:rsidRPr="00C9680B">
        <w:t>e</w:t>
      </w:r>
      <w:r w:rsidRPr="00C9680B">
        <w:t>selolja med 117 kr per m</w:t>
      </w:r>
      <w:r w:rsidRPr="00C9680B">
        <w:rPr>
          <w:vertAlign w:val="superscript"/>
        </w:rPr>
        <w:t>3</w:t>
      </w:r>
      <w:r w:rsidRPr="00C9680B">
        <w:t>. Riksdagen avslår motions</w:t>
      </w:r>
      <w:r w:rsidRPr="00C9680B">
        <w:softHyphen/>
        <w:t>förslagen om sänkta drivmedelsskatter och om tillkänna</w:t>
      </w:r>
      <w:r w:rsidRPr="00C9680B">
        <w:softHyphen/>
        <w:t>givanden om betydelsen av låga drivm</w:t>
      </w:r>
      <w:r w:rsidRPr="00C9680B">
        <w:t>e</w:t>
      </w:r>
      <w:r w:rsidRPr="00C9680B">
        <w:t xml:space="preserve">delsskatter. </w:t>
      </w:r>
    </w:p>
    <w:p w:rsidR="001C7BF9" w:rsidRPr="00C9680B" w:rsidRDefault="001C7BF9">
      <w:pPr>
        <w:pStyle w:val="Utskottsfrslagikorthet-Text"/>
      </w:pPr>
      <w:r w:rsidRPr="00C9680B">
        <w:t xml:space="preserve">  Jämför reservationerna 12 (m), 13 (kd), 14 (c) och 15 (fp). </w:t>
      </w:r>
    </w:p>
    <w:p w:rsidR="001C7BF9" w:rsidRPr="00C9680B" w:rsidRDefault="001C7BF9">
      <w:pPr>
        <w:pStyle w:val="R4"/>
      </w:pPr>
      <w:bookmarkStart w:id="383" w:name="_Toc497206551"/>
      <w:bookmarkStart w:id="384" w:name="_Toc497720120"/>
      <w:r w:rsidRPr="00C9680B">
        <w:t>Budgetpropositionen</w:t>
      </w:r>
      <w:bookmarkEnd w:id="383"/>
      <w:bookmarkEnd w:id="384"/>
    </w:p>
    <w:p w:rsidR="001C7BF9" w:rsidRPr="00C9680B" w:rsidRDefault="001C7BF9">
      <w:r w:rsidRPr="00C9680B">
        <w:t>Regeringen föreslår (avsnitt 9.6.2.5) att skatten på dieselolja höjs med 100 kr per m</w:t>
      </w:r>
      <w:r w:rsidRPr="00C9680B">
        <w:rPr>
          <w:vertAlign w:val="superscript"/>
        </w:rPr>
        <w:t>3</w:t>
      </w:r>
      <w:r w:rsidRPr="00C9680B">
        <w:t>. Till det kommer indexuppräkningen av skatten med 17 kr per m</w:t>
      </w:r>
      <w:r w:rsidRPr="00C9680B">
        <w:rPr>
          <w:vertAlign w:val="superscript"/>
        </w:rPr>
        <w:t>3</w:t>
      </w:r>
      <w:r w:rsidRPr="00C9680B">
        <w:t xml:space="preserve"> för miljöklass 1. Detta ger en sammanlagd höjning med 117 kr per m</w:t>
      </w:r>
      <w:r w:rsidRPr="00C9680B">
        <w:rPr>
          <w:vertAlign w:val="superscript"/>
        </w:rPr>
        <w:t>3</w:t>
      </w:r>
      <w:r w:rsidRPr="00C9680B">
        <w:t xml:space="preserve"> för mi</w:t>
      </w:r>
      <w:r w:rsidRPr="00C9680B">
        <w:t>l</w:t>
      </w:r>
      <w:r w:rsidRPr="00C9680B">
        <w:t>jöklass 1.</w:t>
      </w:r>
    </w:p>
    <w:p w:rsidR="001C7BF9" w:rsidRPr="00C9680B" w:rsidRDefault="001C7BF9">
      <w:pPr>
        <w:pStyle w:val="Normaltindrag"/>
      </w:pPr>
      <w:r w:rsidRPr="00C9680B">
        <w:t>Regeringen anför att dieselolja är lägre beskattad än bensin och att det från strikt miljösynpunkt inte finns skäl att ta ut lägre skatt för dieselolja. Natur</w:t>
      </w:r>
      <w:r w:rsidRPr="00C9680B">
        <w:softHyphen/>
        <w:t>vårdsverket har i en rapport till regeringen (dnr M98/1689/7) visat att diesel</w:t>
      </w:r>
      <w:r w:rsidRPr="00C9680B">
        <w:softHyphen/>
        <w:t>personbilar i vissa avseenden är sämre för miljön än bensinbilar. Vidare a</w:t>
      </w:r>
      <w:r w:rsidRPr="00C9680B">
        <w:t>n</w:t>
      </w:r>
      <w:r w:rsidRPr="00C9680B">
        <w:t>förs att den lägre skattenivån för dieselolja jämfört med bensin har motive</w:t>
      </w:r>
      <w:r w:rsidRPr="00C9680B">
        <w:softHyphen/>
        <w:t>rats med hänsyn till den yrkesmässiga trafikens konkurrenssituation och att frågan om en framtida harmonisering av drivmedelsskatterna bör kunna tas upp i den utre</w:t>
      </w:r>
      <w:r w:rsidRPr="00C9680B">
        <w:t>d</w:t>
      </w:r>
      <w:r w:rsidRPr="00C9680B">
        <w:t>ning om en ökad miljörelatering av vägtrafikbeskattningen som aviseras.</w:t>
      </w:r>
    </w:p>
    <w:p w:rsidR="001C7BF9" w:rsidRPr="00C9680B" w:rsidRDefault="001C7BF9">
      <w:pPr>
        <w:pStyle w:val="R4"/>
      </w:pPr>
      <w:bookmarkStart w:id="385" w:name="_Toc497206552"/>
      <w:bookmarkStart w:id="386" w:name="_Toc497720121"/>
      <w:r w:rsidRPr="00C9680B">
        <w:t>Motionerna</w:t>
      </w:r>
      <w:bookmarkEnd w:id="385"/>
      <w:bookmarkEnd w:id="386"/>
    </w:p>
    <w:p w:rsidR="001C7BF9" w:rsidRPr="00C9680B" w:rsidRDefault="001C7BF9">
      <w:r w:rsidRPr="00C9680B">
        <w:rPr>
          <w:i/>
        </w:rPr>
        <w:t>Moderata samlingspartiet</w:t>
      </w:r>
      <w:r w:rsidRPr="00C9680B">
        <w:t xml:space="preserve"> yrkar att punktskatten på bensin och diesel i stället sänks med 56 öre per liter (70 öre inklusive mervärdesskatt). Motionärerna begär också tillkännagivanden till regeringen om betydelsen av sänkta driv</w:t>
      </w:r>
      <w:r w:rsidRPr="00C9680B">
        <w:softHyphen/>
        <w:t>medelsskatter för boende i glesbygd, barnfamiljer, jordbruket och åkerinä</w:t>
      </w:r>
      <w:r w:rsidRPr="00C9680B">
        <w:softHyphen/>
        <w:t xml:space="preserve">ringen. Motionärerna framhåller också att en höjning av dieselskatten kan leda till att transporter flyttas över till utländska åkerier som använder sämre bränsle. Yrkanden med denna inriktning framställs i </w:t>
      </w:r>
      <w:r w:rsidRPr="00C9680B">
        <w:rPr>
          <w:i/>
        </w:rPr>
        <w:t>motionerna N385</w:t>
      </w:r>
      <w:r w:rsidRPr="00C9680B">
        <w:t xml:space="preserve"> yrka</w:t>
      </w:r>
      <w:r w:rsidRPr="00C9680B">
        <w:t>n</w:t>
      </w:r>
      <w:r w:rsidRPr="00C9680B">
        <w:t xml:space="preserve">de 6 </w:t>
      </w:r>
      <w:r w:rsidRPr="00C9680B">
        <w:t xml:space="preserve">av Bo Lundgren m.fl. (m), </w:t>
      </w:r>
      <w:r w:rsidRPr="00C9680B">
        <w:rPr>
          <w:i/>
        </w:rPr>
        <w:t>Sk313</w:t>
      </w:r>
      <w:r w:rsidRPr="00C9680B">
        <w:t xml:space="preserve"> yrkande 24 av Carl Fredrik Graf m.fl. (m), </w:t>
      </w:r>
      <w:r w:rsidRPr="00C9680B">
        <w:rPr>
          <w:i/>
        </w:rPr>
        <w:t xml:space="preserve">Sk315 </w:t>
      </w:r>
      <w:r w:rsidRPr="00C9680B">
        <w:t xml:space="preserve">av Roy Hansson (m), </w:t>
      </w:r>
      <w:r w:rsidRPr="00C9680B">
        <w:rPr>
          <w:i/>
        </w:rPr>
        <w:t>Sk1028</w:t>
      </w:r>
      <w:r w:rsidRPr="00C9680B">
        <w:t xml:space="preserve"> yrkandena 11 och 12 av Carl Fredrik Graf m.fl. (m), </w:t>
      </w:r>
      <w:r w:rsidRPr="00C9680B">
        <w:rPr>
          <w:i/>
        </w:rPr>
        <w:t>Sk301</w:t>
      </w:r>
      <w:r w:rsidRPr="00C9680B">
        <w:t xml:space="preserve"> av Rolf Gunnarsson (m), </w:t>
      </w:r>
      <w:r w:rsidRPr="00C9680B">
        <w:rPr>
          <w:i/>
        </w:rPr>
        <w:t>Sk302</w:t>
      </w:r>
      <w:r w:rsidRPr="00C9680B">
        <w:t xml:space="preserve"> av Rolf Gunnarsson (m), Sk304 av Stefan Hagfeldt (m), </w:t>
      </w:r>
      <w:r w:rsidRPr="00C9680B">
        <w:rPr>
          <w:i/>
        </w:rPr>
        <w:t>Sk305</w:t>
      </w:r>
      <w:r w:rsidRPr="00C9680B">
        <w:t xml:space="preserve"> av Catharina Elmsäter-Svärd och Margareta Cederfelt (m), </w:t>
      </w:r>
      <w:r w:rsidRPr="00C9680B">
        <w:rPr>
          <w:i/>
        </w:rPr>
        <w:t>Sk307</w:t>
      </w:r>
      <w:r w:rsidRPr="00C9680B">
        <w:t xml:space="preserve"> av Elizabeth Nyström och Anita Sidén (m), </w:t>
      </w:r>
      <w:r w:rsidRPr="00C9680B">
        <w:rPr>
          <w:i/>
        </w:rPr>
        <w:t>Sk311</w:t>
      </w:r>
      <w:r w:rsidRPr="00C9680B">
        <w:t xml:space="preserve"> yrkande 1 av Nils Fredrik Aurelius och Leif Carlson (m), </w:t>
      </w:r>
      <w:r w:rsidRPr="00C9680B">
        <w:rPr>
          <w:i/>
        </w:rPr>
        <w:t>Sk312</w:t>
      </w:r>
      <w:r w:rsidRPr="00C9680B">
        <w:t xml:space="preserve"> yrka</w:t>
      </w:r>
      <w:r w:rsidRPr="00C9680B">
        <w:t>n</w:t>
      </w:r>
      <w:r w:rsidRPr="00C9680B">
        <w:t xml:space="preserve">dena 1 och 2 av Berit Adolfsson och Inger René (m), </w:t>
      </w:r>
      <w:r w:rsidRPr="00C9680B">
        <w:rPr>
          <w:i/>
        </w:rPr>
        <w:t>Sk317</w:t>
      </w:r>
      <w:r w:rsidRPr="00C9680B">
        <w:t xml:space="preserve"> av Jeppe John</w:t>
      </w:r>
      <w:r w:rsidRPr="00C9680B">
        <w:t>s</w:t>
      </w:r>
      <w:r w:rsidRPr="00C9680B">
        <w:t>son o</w:t>
      </w:r>
      <w:r w:rsidRPr="00C9680B">
        <w:t xml:space="preserve">ch Anders G Högmark (m), </w:t>
      </w:r>
      <w:r w:rsidRPr="00C9680B">
        <w:rPr>
          <w:i/>
        </w:rPr>
        <w:t>Sk320</w:t>
      </w:r>
      <w:r w:rsidRPr="00C9680B">
        <w:t xml:space="preserve"> yrkandena 1 och 2 av Olle Lindström och Anders Sjölund (m), </w:t>
      </w:r>
      <w:r w:rsidRPr="00C9680B">
        <w:rPr>
          <w:i/>
        </w:rPr>
        <w:t>Sk620</w:t>
      </w:r>
      <w:r w:rsidRPr="00C9680B">
        <w:t xml:space="preserve"> yrkande 4 av Ingvar Eriksson och Olle Lin</w:t>
      </w:r>
      <w:r w:rsidRPr="00C9680B">
        <w:t>d</w:t>
      </w:r>
      <w:r w:rsidRPr="00C9680B">
        <w:t>ström (m),</w:t>
      </w:r>
      <w:r w:rsidRPr="00C9680B">
        <w:rPr>
          <w:i/>
        </w:rPr>
        <w:t xml:space="preserve"> Sk1025</w:t>
      </w:r>
      <w:r w:rsidRPr="00C9680B">
        <w:t xml:space="preserve"> yrkande 1 av Catharina Elmsäter-Svärd m.fl. (m) och </w:t>
      </w:r>
      <w:r w:rsidRPr="00C9680B">
        <w:rPr>
          <w:i/>
        </w:rPr>
        <w:t>Sk1029</w:t>
      </w:r>
      <w:r w:rsidRPr="00C9680B">
        <w:t xml:space="preserve"> yrkande 2 av Christel Anderberg (m).</w:t>
      </w:r>
    </w:p>
    <w:p w:rsidR="001C7BF9" w:rsidRPr="00C9680B" w:rsidRDefault="001C7BF9">
      <w:r w:rsidRPr="00C9680B">
        <w:rPr>
          <w:i/>
        </w:rPr>
        <w:t xml:space="preserve">Kristdemokraterna </w:t>
      </w:r>
      <w:r w:rsidRPr="00C9680B">
        <w:t>yrkar att regeringens förslag om en höjning av skatten på diesel avslås och föreslår att skatten på diesel i stället sänks med 25 öre per liter. Motionärerna anför att regeringen bör återkomma med en åtgärdsplan för att skapa lika vill</w:t>
      </w:r>
      <w:r w:rsidRPr="00C9680B">
        <w:softHyphen/>
        <w:t xml:space="preserve">kor mellan svensk och utländsk åkerinäring. Yrkanden med denna inriktning framställs i </w:t>
      </w:r>
      <w:r w:rsidRPr="00C9680B">
        <w:rPr>
          <w:i/>
        </w:rPr>
        <w:t>motionerna Sk323</w:t>
      </w:r>
      <w:r w:rsidRPr="00C9680B">
        <w:t xml:space="preserve"> yrkandena 31–33 av Alf Sven</w:t>
      </w:r>
      <w:r w:rsidRPr="00C9680B">
        <w:t>s</w:t>
      </w:r>
      <w:r w:rsidRPr="00C9680B">
        <w:t xml:space="preserve">son m.fl. (kd) och </w:t>
      </w:r>
      <w:r w:rsidRPr="00C9680B">
        <w:rPr>
          <w:i/>
        </w:rPr>
        <w:t xml:space="preserve">T212 </w:t>
      </w:r>
      <w:r w:rsidRPr="00C9680B">
        <w:t>yrkande 8 av Johnny Gylling m.fl. (kd).</w:t>
      </w:r>
    </w:p>
    <w:p w:rsidR="001C7BF9" w:rsidRPr="00C9680B" w:rsidRDefault="001C7BF9">
      <w:r w:rsidRPr="00C9680B">
        <w:rPr>
          <w:i/>
        </w:rPr>
        <w:t>Centerpartiet</w:t>
      </w:r>
      <w:r w:rsidRPr="00C9680B">
        <w:t xml:space="preserve"> yrkar i motion </w:t>
      </w:r>
      <w:r w:rsidRPr="00C9680B">
        <w:rPr>
          <w:i/>
        </w:rPr>
        <w:t>Sk321</w:t>
      </w:r>
      <w:r w:rsidRPr="00C9680B">
        <w:t xml:space="preserve"> yrkande 22 av Lennart Daléus m.fl. (c) att regeringens förslag avslås.</w:t>
      </w:r>
    </w:p>
    <w:p w:rsidR="001C7BF9" w:rsidRPr="00C9680B" w:rsidRDefault="001C7BF9">
      <w:pPr>
        <w:pStyle w:val="R4"/>
      </w:pPr>
      <w:r w:rsidRPr="00C9680B">
        <w:t>Skatteutskottets yttrande</w:t>
      </w:r>
    </w:p>
    <w:p w:rsidR="001C7BF9" w:rsidRPr="00C9680B" w:rsidRDefault="001C7BF9">
      <w:r w:rsidRPr="00C9680B">
        <w:t>Skatteutskottet delar i sitt yttrande (SkU1y) regeringens uppfattning att det inte finns något skäl att ta ut lägre skatt på dieselolja än på bensin och tillsty</w:t>
      </w:r>
      <w:r w:rsidRPr="00C9680B">
        <w:t>r</w:t>
      </w:r>
      <w:r w:rsidRPr="00C9680B">
        <w:t>ker därför det förslag om en mindre höjning av dieselskatten som regeringen lägger fram. Härigenom tas enligt vad utskottet anför ytterligare ett steg i den gröna skatteväxling som nu genomförs.</w:t>
      </w:r>
    </w:p>
    <w:p w:rsidR="001C7BF9" w:rsidRPr="00C9680B" w:rsidRDefault="001C7BF9">
      <w:pPr>
        <w:pStyle w:val="Normaltindrag"/>
      </w:pPr>
      <w:r w:rsidRPr="00C9680B">
        <w:t>Skatteutskottet konstaterar att en utredning kommer att tillsät</w:t>
      </w:r>
      <w:r w:rsidRPr="00C9680B">
        <w:softHyphen/>
        <w:t>tas med up</w:t>
      </w:r>
      <w:r w:rsidRPr="00C9680B">
        <w:t>p</w:t>
      </w:r>
      <w:r w:rsidRPr="00C9680B">
        <w:t>gift att öka miljörelatering av vägtrafikbeskattningen och att bl.a. dieselska</w:t>
      </w:r>
      <w:r w:rsidRPr="00C9680B">
        <w:t>t</w:t>
      </w:r>
      <w:r w:rsidRPr="00C9680B">
        <w:t>ten för privatbilism och yrkesmässig trafik skall ses över. Avsikten är att genomföra en analys av de sammantagna effekterna av alla vägtrafikrelater</w:t>
      </w:r>
      <w:r w:rsidRPr="00C9680B">
        <w:t>a</w:t>
      </w:r>
      <w:r w:rsidRPr="00C9680B">
        <w:t>de skatter, dvs. hänsyn skall också tas till verkningarna av fordonsskatter m.m. Målsättningen är att öka trafikbeskattningens samlade miljöstyrning och att vägtrafiken därmed skall betala sina samhällsekono</w:t>
      </w:r>
      <w:r w:rsidRPr="00C9680B">
        <w:softHyphen/>
        <w:t>miska kostnader. I utredningen skall också frågan om en framtid</w:t>
      </w:r>
      <w:r w:rsidRPr="00C9680B">
        <w:t>a harmonise</w:t>
      </w:r>
      <w:r w:rsidRPr="00C9680B">
        <w:softHyphen/>
        <w:t>ring av drivmedel</w:t>
      </w:r>
      <w:r w:rsidRPr="00C9680B">
        <w:t>s</w:t>
      </w:r>
      <w:r w:rsidRPr="00C9680B">
        <w:t>skatterna tas upp och härvid skall förhållandena i våra gran</w:t>
      </w:r>
      <w:r w:rsidRPr="00C9680B">
        <w:t>n</w:t>
      </w:r>
      <w:r w:rsidRPr="00C9680B">
        <w:t>länder beaktas.</w:t>
      </w:r>
    </w:p>
    <w:p w:rsidR="001C7BF9" w:rsidRPr="00C9680B" w:rsidRDefault="001C7BF9">
      <w:pPr>
        <w:pStyle w:val="Normaltindrag"/>
      </w:pPr>
      <w:r w:rsidRPr="00C9680B">
        <w:t>Enligt skatteutskottets mening är avsikten att den utredning som aviseras av regeringen skall ligga till grund för de fortsatta förändringarna på detta område. Det finns mot denna bakgrund inte någon anledning till ett tillkänna</w:t>
      </w:r>
      <w:r w:rsidRPr="00C9680B">
        <w:softHyphen/>
        <w:t>givande till regeringen om behovet av sänkta drivmedelsskatter på olika o</w:t>
      </w:r>
      <w:r w:rsidRPr="00C9680B">
        <w:t>m</w:t>
      </w:r>
      <w:r w:rsidRPr="00C9680B">
        <w:t xml:space="preserve">råden. </w:t>
      </w:r>
    </w:p>
    <w:p w:rsidR="001C7BF9" w:rsidRPr="00C9680B" w:rsidRDefault="001C7BF9">
      <w:pPr>
        <w:pStyle w:val="Normaltindrag"/>
      </w:pPr>
      <w:r w:rsidRPr="00C9680B">
        <w:t>Skatteutskottet tillstyrker propositionen i denna del. Utskottet avstyrker de aktuella motionerna.</w:t>
      </w:r>
    </w:p>
    <w:p w:rsidR="001C7BF9" w:rsidRPr="00C9680B" w:rsidRDefault="001C7BF9">
      <w:pPr>
        <w:pStyle w:val="R4"/>
      </w:pPr>
      <w:r w:rsidRPr="00C9680B">
        <w:t>Finansutskottets ställningstagande</w:t>
      </w:r>
    </w:p>
    <w:p w:rsidR="001C7BF9" w:rsidRPr="00C9680B" w:rsidRDefault="001C7BF9">
      <w:r w:rsidRPr="00C9680B">
        <w:t>Finansutskottet tillstyrker i likhet med skatteutskottet propositionens förslag om en höjning av energiskatten på dieselolja med 117 kr per kbm och avsty</w:t>
      </w:r>
      <w:r w:rsidRPr="00C9680B">
        <w:t>r</w:t>
      </w:r>
      <w:r w:rsidRPr="00C9680B">
        <w:t>ker motionerna Sk301 (m), Sk302 (m), Sk304 (m), Sk305 (m), Sk307 (m), Sk311 (m) yrkande 1, Sk312 (m) yrkandena 1 och 2, Sk313 (m) yrkande 24, Sk315 (m), Sk317 (m), Sk320 (m) yrkandena 1 och 2, Sk321 (c) yrkande 22, Sk323 (kd) yrkandena 31–33, Sk620 (m) yrkande 4, Sk1025 (m) yrkande 1, Sk1028 (m) yrkandena 11 och 12, Sk1029 (m) yrkande 2, T212 (kd) yrkande 8 och N385 (m) yrkande 6.</w:t>
      </w:r>
    </w:p>
    <w:p w:rsidR="001C7BF9" w:rsidRPr="00C9680B" w:rsidRDefault="001C7BF9">
      <w:pPr>
        <w:pStyle w:val="Utskottetsvervganden-RubrikFrslagspunkt"/>
      </w:pPr>
      <w:bookmarkStart w:id="387" w:name="_Toc497720123"/>
      <w:bookmarkStart w:id="388" w:name="_Toc498238830"/>
      <w:r w:rsidRPr="00C9680B">
        <w:br w:type="page"/>
      </w:r>
      <w:bookmarkStart w:id="389" w:name="_Toc498910740"/>
      <w:r w:rsidRPr="00C9680B">
        <w:t>3.7.9 Indexering av energi- och koldioxidskatt</w:t>
      </w:r>
      <w:bookmarkEnd w:id="387"/>
      <w:bookmarkEnd w:id="388"/>
      <w:bookmarkEnd w:id="389"/>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 xml:space="preserve">Riksdagen bifaller regeringens förslag om ändring av basmånaden för indexering av energi- och koldioxidskattesatserna från oktober till juni. </w:t>
      </w:r>
    </w:p>
    <w:p w:rsidR="001C7BF9" w:rsidRPr="00C9680B" w:rsidRDefault="001C7BF9">
      <w:pPr>
        <w:pStyle w:val="R4"/>
      </w:pPr>
      <w:bookmarkStart w:id="390" w:name="_Toc497206556"/>
      <w:bookmarkStart w:id="391" w:name="_Toc497720125"/>
      <w:r w:rsidRPr="00C9680B">
        <w:t>Budgetpropositionen</w:t>
      </w:r>
      <w:bookmarkEnd w:id="390"/>
      <w:bookmarkEnd w:id="391"/>
    </w:p>
    <w:p w:rsidR="001C7BF9" w:rsidRPr="00C9680B" w:rsidRDefault="001C7BF9">
      <w:r w:rsidRPr="00C9680B">
        <w:t>Regeringen föreslår (avsnitt 9.6.4) att den basmånad som används vid den årliga omräk</w:t>
      </w:r>
      <w:r w:rsidRPr="00C9680B">
        <w:softHyphen/>
        <w:t>ningen av energi- och koldioxidskattesatserna ändras från okt</w:t>
      </w:r>
      <w:r w:rsidRPr="00C9680B">
        <w:t>o</w:t>
      </w:r>
      <w:r w:rsidRPr="00C9680B">
        <w:t>ber till juni.</w:t>
      </w:r>
    </w:p>
    <w:p w:rsidR="001C7BF9" w:rsidRPr="00C9680B" w:rsidRDefault="001C7BF9">
      <w:pPr>
        <w:pStyle w:val="R4"/>
      </w:pPr>
      <w:r w:rsidRPr="00C9680B">
        <w:t>Skatteutskottets yttrande</w:t>
      </w:r>
    </w:p>
    <w:p w:rsidR="001C7BF9" w:rsidRPr="00C9680B" w:rsidRDefault="001C7BF9">
      <w:r w:rsidRPr="00C9680B">
        <w:t>Skatteutskottet (SkU1y) har inte funnit någon anledning till erinran mot detta förslag och tillsty</w:t>
      </w:r>
      <w:r w:rsidRPr="00C9680B">
        <w:t>r</w:t>
      </w:r>
      <w:r w:rsidRPr="00C9680B">
        <w:t>ker att det genomförs.</w:t>
      </w:r>
    </w:p>
    <w:p w:rsidR="001C7BF9" w:rsidRPr="00C9680B" w:rsidRDefault="001C7BF9">
      <w:pPr>
        <w:pStyle w:val="R4"/>
      </w:pPr>
      <w:r w:rsidRPr="00C9680B">
        <w:t>Finansutskottets ställningstagande</w:t>
      </w:r>
    </w:p>
    <w:p w:rsidR="001C7BF9" w:rsidRPr="00C9680B" w:rsidRDefault="001C7BF9">
      <w:r w:rsidRPr="00C9680B">
        <w:t>Finansutskottet tillstyrker i likhet med skatteutskottet propositionens förslag om ändring av basmånaden för indexering av energi- och kold</w:t>
      </w:r>
      <w:r w:rsidRPr="00C9680B">
        <w:t>i</w:t>
      </w:r>
      <w:r w:rsidRPr="00C9680B">
        <w:t>oxid</w:t>
      </w:r>
      <w:r w:rsidRPr="00C9680B">
        <w:softHyphen/>
        <w:t>skatte</w:t>
      </w:r>
      <w:r w:rsidRPr="00C9680B">
        <w:softHyphen/>
        <w:t>satserna.</w:t>
      </w:r>
    </w:p>
    <w:p w:rsidR="001C7BF9" w:rsidRPr="00C9680B" w:rsidRDefault="001C7BF9">
      <w:pPr>
        <w:pStyle w:val="Utskottetsvervganden-RubrikFrslagspunkt"/>
        <w:outlineLvl w:val="0"/>
      </w:pPr>
      <w:bookmarkStart w:id="392" w:name="_Toc497720127"/>
      <w:bookmarkStart w:id="393" w:name="_Toc498238831"/>
      <w:bookmarkStart w:id="394" w:name="_Toc498910741"/>
      <w:r w:rsidRPr="00C9680B">
        <w:t>3.7.10 Kalk- och cementindustrin</w:t>
      </w:r>
      <w:bookmarkEnd w:id="392"/>
      <w:bookmarkEnd w:id="393"/>
      <w:bookmarkEnd w:id="394"/>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bifaller regeringens förslag om en tvåårig förlängning av kalk- och cementbranschernas begränsning</w:t>
      </w:r>
      <w:r w:rsidRPr="00C9680B">
        <w:t>s</w:t>
      </w:r>
      <w:r w:rsidRPr="00C9680B">
        <w:t>regel.</w:t>
      </w:r>
    </w:p>
    <w:p w:rsidR="001C7BF9" w:rsidRPr="00C9680B" w:rsidRDefault="001C7BF9">
      <w:pPr>
        <w:pStyle w:val="R4"/>
      </w:pPr>
      <w:bookmarkStart w:id="395" w:name="_Toc497206560"/>
      <w:bookmarkStart w:id="396" w:name="_Toc497720129"/>
      <w:r w:rsidRPr="00C9680B">
        <w:t>Budgetpropositionen</w:t>
      </w:r>
      <w:bookmarkEnd w:id="395"/>
      <w:bookmarkEnd w:id="396"/>
    </w:p>
    <w:p w:rsidR="001C7BF9" w:rsidRPr="00C9680B" w:rsidRDefault="001C7BF9">
      <w:r w:rsidRPr="00C9680B">
        <w:t>Regeringen föreslår (avsnitt 9.6.6) att den övergångsvis gällande begrän</w:t>
      </w:r>
      <w:r w:rsidRPr="00C9680B">
        <w:t>s</w:t>
      </w:r>
      <w:r w:rsidRPr="00C9680B">
        <w:t>ningsregeln avse</w:t>
      </w:r>
      <w:r w:rsidRPr="00C9680B">
        <w:softHyphen/>
        <w:t>ende kalk- och cementbranscherna m.m. (1,2-procentsregeln) förlängs ytterli</w:t>
      </w:r>
      <w:r w:rsidRPr="00C9680B">
        <w:softHyphen/>
        <w:t>g</w:t>
      </w:r>
      <w:r w:rsidRPr="00C9680B">
        <w:t>a</w:t>
      </w:r>
      <w:r w:rsidRPr="00C9680B">
        <w:t>re två år.</w:t>
      </w:r>
    </w:p>
    <w:p w:rsidR="001C7BF9" w:rsidRPr="00C9680B" w:rsidRDefault="001C7BF9">
      <w:pPr>
        <w:pStyle w:val="Normaltindrag"/>
      </w:pPr>
      <w:r w:rsidRPr="00C9680B">
        <w:t>Regeringen anför att det är viktigt att energi- och koldioxid</w:t>
      </w:r>
      <w:r w:rsidRPr="00C9680B">
        <w:softHyphen/>
        <w:t>beskattningen har en utformning som ger goda förutsättningar för den svenska industrin att konkurrera internationellt. Så länge samtliga fossilbränslen inte beskattas i konkurrentländerna kan skattelättnader komma att behövas. Regeringen fi</w:t>
      </w:r>
      <w:r w:rsidRPr="00C9680B">
        <w:t>n</w:t>
      </w:r>
      <w:r w:rsidRPr="00C9680B">
        <w:t>ner därför skäl att föreslå att 1,2-procentsregeln förlängs ytterligare två år.</w:t>
      </w:r>
    </w:p>
    <w:p w:rsidR="001C7BF9" w:rsidRPr="00C9680B" w:rsidRDefault="001C7BF9">
      <w:pPr>
        <w:pStyle w:val="R4"/>
      </w:pPr>
      <w:r w:rsidRPr="00C9680B">
        <w:t>Skatteutskottets yttrande</w:t>
      </w:r>
    </w:p>
    <w:p w:rsidR="001C7BF9" w:rsidRPr="00C9680B" w:rsidRDefault="001C7BF9">
      <w:r w:rsidRPr="00C9680B">
        <w:t>Skatteutskottet (SkU1y) har inte funnit någon anledning till erinran mot detta förslag och tillsty</w:t>
      </w:r>
      <w:r w:rsidRPr="00C9680B">
        <w:t>r</w:t>
      </w:r>
      <w:r w:rsidRPr="00C9680B">
        <w:t>ker att det genomförs.</w:t>
      </w:r>
    </w:p>
    <w:p w:rsidR="001C7BF9" w:rsidRPr="00C9680B" w:rsidRDefault="001C7BF9">
      <w:pPr>
        <w:pStyle w:val="R4"/>
      </w:pPr>
      <w:r w:rsidRPr="00C9680B">
        <w:t>Finansutskottets ställningstagande</w:t>
      </w:r>
    </w:p>
    <w:p w:rsidR="001C7BF9" w:rsidRPr="00C9680B" w:rsidRDefault="001C7BF9">
      <w:r w:rsidRPr="00C9680B">
        <w:t>Finansutskottet tillstyrker i likhet med skatteutskottet propositionens förslag om en tvåårig förlängning av kalk- och cementbranschernas begränsning</w:t>
      </w:r>
      <w:r w:rsidRPr="00C9680B">
        <w:t>s</w:t>
      </w:r>
      <w:r w:rsidRPr="00C9680B">
        <w:softHyphen/>
        <w:t>regel.</w:t>
      </w:r>
    </w:p>
    <w:p w:rsidR="001C7BF9" w:rsidRPr="00C9680B" w:rsidRDefault="001C7BF9">
      <w:pPr>
        <w:pStyle w:val="Utskottetsvervganden-RubrikFrslagspunkt"/>
        <w:outlineLvl w:val="0"/>
      </w:pPr>
      <w:bookmarkStart w:id="397" w:name="_Toc497720131"/>
      <w:bookmarkStart w:id="398" w:name="_Toc498238832"/>
      <w:bookmarkStart w:id="399" w:name="_Toc498910742"/>
      <w:r w:rsidRPr="00C9680B">
        <w:t>3.7.11 Skatt på kärnkraftsel</w:t>
      </w:r>
      <w:bookmarkEnd w:id="397"/>
      <w:bookmarkEnd w:id="398"/>
      <w:bookmarkEnd w:id="399"/>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 xml:space="preserve">Riksdagen avslår motionsförslagen om sänkt skatt på kärnkraftsel. </w:t>
      </w:r>
    </w:p>
    <w:p w:rsidR="001C7BF9" w:rsidRPr="00C9680B" w:rsidRDefault="001C7BF9">
      <w:pPr>
        <w:pStyle w:val="Utskottsfrslagikorthet-Text"/>
      </w:pPr>
      <w:r w:rsidRPr="00C9680B">
        <w:t xml:space="preserve">  Jämför reservation12 (m).</w:t>
      </w:r>
    </w:p>
    <w:p w:rsidR="001C7BF9" w:rsidRPr="00C9680B" w:rsidRDefault="001C7BF9">
      <w:pPr>
        <w:pStyle w:val="Utskottetsvervganden-kursivrubrik"/>
        <w:rPr>
          <w:noProof w:val="0"/>
        </w:rPr>
      </w:pPr>
      <w:bookmarkStart w:id="400" w:name="_Toc497206564"/>
      <w:bookmarkStart w:id="401" w:name="_Toc497720133"/>
      <w:bookmarkStart w:id="402" w:name="_Toc498238833"/>
      <w:bookmarkStart w:id="403" w:name="_Toc498910743"/>
      <w:r w:rsidRPr="00C9680B">
        <w:rPr>
          <w:noProof w:val="0"/>
        </w:rPr>
        <w:t>Bakgrund</w:t>
      </w:r>
      <w:bookmarkEnd w:id="400"/>
      <w:bookmarkEnd w:id="401"/>
      <w:bookmarkEnd w:id="402"/>
      <w:bookmarkEnd w:id="403"/>
    </w:p>
    <w:p w:rsidR="001C7BF9" w:rsidRPr="00C9680B" w:rsidRDefault="001C7BF9">
      <w:r w:rsidRPr="00C9680B">
        <w:t>Skatt på termisk effekt i kärnkraftverk tas ut månadsvis med 5 514 kr per megawatt – motsvarande ca 181 kr per megawatt och dygn – av kärnkrafts</w:t>
      </w:r>
      <w:r w:rsidRPr="00C9680B">
        <w:softHyphen/>
        <w:t>reaktorns högsta tillåtna termiska effekt. Om en reaktor har varit ur drift u</w:t>
      </w:r>
      <w:r w:rsidRPr="00C9680B">
        <w:t>n</w:t>
      </w:r>
      <w:r w:rsidRPr="00C9680B">
        <w:t>der en sammanhängande period av mer än 90 kalenderdygn, får för varje dygn u</w:t>
      </w:r>
      <w:r w:rsidRPr="00C9680B">
        <w:t>t</w:t>
      </w:r>
      <w:r w:rsidRPr="00C9680B">
        <w:t>över de 90 första göras avdrag med 181 kr per megawatt av den ter</w:t>
      </w:r>
      <w:r w:rsidRPr="00C9680B">
        <w:softHyphen/>
        <w:t>miska effekten. Skatten ersatte den 1 juli 2000 en tidigare skatt på energi som producerats i kär</w:t>
      </w:r>
      <w:r w:rsidRPr="00C9680B">
        <w:t>n</w:t>
      </w:r>
      <w:r w:rsidRPr="00C9680B">
        <w:t xml:space="preserve">kraftverk. </w:t>
      </w:r>
    </w:p>
    <w:p w:rsidR="001C7BF9" w:rsidRPr="00C9680B" w:rsidRDefault="001C7BF9">
      <w:pPr>
        <w:pStyle w:val="R4"/>
      </w:pPr>
      <w:bookmarkStart w:id="404" w:name="_Toc497206565"/>
      <w:bookmarkStart w:id="405" w:name="_Toc497720134"/>
      <w:r w:rsidRPr="00C9680B">
        <w:t>Motionerna</w:t>
      </w:r>
      <w:bookmarkEnd w:id="404"/>
      <w:bookmarkEnd w:id="405"/>
    </w:p>
    <w:p w:rsidR="001C7BF9" w:rsidRPr="00C9680B" w:rsidRDefault="001C7BF9">
      <w:r w:rsidRPr="00C9680B">
        <w:rPr>
          <w:i/>
        </w:rPr>
        <w:t>Moderata samlingspartiet</w:t>
      </w:r>
      <w:r w:rsidRPr="00C9680B">
        <w:t xml:space="preserve"> föreslår att skatten på termisk effekt i kärnkraftverk omvandlas till en skatt på producerad energi och sänks med 0,5 öre per kWh till 2,2 öre per kWh. Yrkanden med denna inriktning framställs i </w:t>
      </w:r>
      <w:r w:rsidRPr="00C9680B">
        <w:rPr>
          <w:i/>
        </w:rPr>
        <w:t>motionerna Sk313</w:t>
      </w:r>
      <w:r w:rsidRPr="00C9680B">
        <w:t xml:space="preserve"> yrkandena 28 och 29 och </w:t>
      </w:r>
      <w:r w:rsidRPr="00C9680B">
        <w:rPr>
          <w:i/>
        </w:rPr>
        <w:t>Sk1028</w:t>
      </w:r>
      <w:r w:rsidRPr="00C9680B">
        <w:t xml:space="preserve"> yrkandena 5 och 6 av Carl Fredrik Graf m.fl. (m) samt </w:t>
      </w:r>
      <w:r w:rsidRPr="00C9680B">
        <w:rPr>
          <w:i/>
        </w:rPr>
        <w:t>Sk309</w:t>
      </w:r>
      <w:r w:rsidRPr="00C9680B">
        <w:t xml:space="preserve"> av Elizabeth Nyström och Kent Olsson (m).</w:t>
      </w:r>
    </w:p>
    <w:p w:rsidR="001C7BF9" w:rsidRPr="00C9680B" w:rsidRDefault="001C7BF9">
      <w:pPr>
        <w:pStyle w:val="R4"/>
      </w:pPr>
      <w:r w:rsidRPr="00C9680B">
        <w:t>Skatteutskottets yttrande</w:t>
      </w:r>
    </w:p>
    <w:p w:rsidR="001C7BF9" w:rsidRPr="00C9680B" w:rsidRDefault="001C7BF9">
      <w:r w:rsidRPr="00C9680B">
        <w:t>Skatteutskottet anför i sitt yttrande (SkU1y) att utskottet under våren 2000 har medverkat till att beskattningen av kärn</w:t>
      </w:r>
      <w:r w:rsidRPr="00C9680B">
        <w:softHyphen/>
        <w:t>kraftsproducerad el lades om till en skatt på installerad termisk effekt. Anled</w:t>
      </w:r>
      <w:r w:rsidRPr="00C9680B">
        <w:softHyphen/>
        <w:t>ningen till omläggningen var att den tidigare produktionsskatten kunde ge upphov till snedvridningar inom elpr</w:t>
      </w:r>
      <w:r w:rsidRPr="00C9680B">
        <w:t>o</w:t>
      </w:r>
      <w:r w:rsidRPr="00C9680B">
        <w:t>duktionssystemet. Skatteutskottet är inte berett att tillstyrka en återgång till den tidigare beskattningstekniken och avstyrker därför m</w:t>
      </w:r>
      <w:r w:rsidRPr="00C9680B">
        <w:t>o</w:t>
      </w:r>
      <w:r w:rsidRPr="00C9680B">
        <w:t>tionsyrkandena.</w:t>
      </w:r>
    </w:p>
    <w:p w:rsidR="001C7BF9" w:rsidRPr="00C9680B" w:rsidRDefault="001C7BF9">
      <w:pPr>
        <w:pStyle w:val="R4"/>
      </w:pPr>
      <w:r w:rsidRPr="00C9680B">
        <w:t>Finansutskottets ställningstagande</w:t>
      </w:r>
    </w:p>
    <w:p w:rsidR="001C7BF9" w:rsidRPr="00C9680B" w:rsidRDefault="001C7BF9">
      <w:r w:rsidRPr="00C9680B">
        <w:t>Finansutskottet avstyrker i likhet med skatteutskottet motionerna Sk309 (m), Sk313 (m) yrkandena 28 och 29 samt Sk1028 (m) y</w:t>
      </w:r>
      <w:r w:rsidRPr="00C9680B">
        <w:t>r</w:t>
      </w:r>
      <w:r w:rsidRPr="00C9680B">
        <w:t>kandena 5 och 6.</w:t>
      </w:r>
    </w:p>
    <w:p w:rsidR="001C7BF9" w:rsidRPr="00C9680B" w:rsidRDefault="001C7BF9">
      <w:pPr>
        <w:pStyle w:val="Utskottetsvervganden-RubrikFrslagspunkt"/>
        <w:outlineLvl w:val="0"/>
      </w:pPr>
      <w:bookmarkStart w:id="406" w:name="_Toc497720136"/>
      <w:bookmarkStart w:id="407" w:name="_Toc498238834"/>
      <w:bookmarkStart w:id="408" w:name="_Toc498910744"/>
      <w:r w:rsidRPr="00C9680B">
        <w:t>3.7.12 Jordbrukets beskattning</w:t>
      </w:r>
      <w:bookmarkEnd w:id="406"/>
      <w:bookmarkEnd w:id="407"/>
      <w:bookmarkEnd w:id="408"/>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avslår motionsförslagen om sänkt skatt på diesel i jord</w:t>
      </w:r>
      <w:r w:rsidRPr="00C9680B">
        <w:softHyphen/>
        <w:t>bruks-, skogsbruks- och arbetsmaskiner och om sänkt skatt på ha</w:t>
      </w:r>
      <w:r w:rsidRPr="00C9680B">
        <w:t>n</w:t>
      </w:r>
      <w:r w:rsidRPr="00C9680B">
        <w:t xml:space="preserve">delsgödselns kväveinnehåll. </w:t>
      </w:r>
    </w:p>
    <w:p w:rsidR="001C7BF9" w:rsidRPr="00C9680B" w:rsidRDefault="001C7BF9">
      <w:pPr>
        <w:pStyle w:val="Utskottsfrslagikorthet-Text"/>
      </w:pPr>
      <w:r w:rsidRPr="00C9680B">
        <w:t xml:space="preserve">  Jämför reservationerna 12 (m), 13 (kd) och 14 (c). </w:t>
      </w:r>
    </w:p>
    <w:p w:rsidR="001C7BF9" w:rsidRPr="00C9680B" w:rsidRDefault="001C7BF9">
      <w:pPr>
        <w:pStyle w:val="R4"/>
      </w:pPr>
      <w:bookmarkStart w:id="409" w:name="_Toc497206569"/>
      <w:bookmarkStart w:id="410" w:name="_Toc497720138"/>
      <w:r w:rsidRPr="00C9680B">
        <w:t>Motionerna</w:t>
      </w:r>
      <w:bookmarkEnd w:id="409"/>
      <w:bookmarkEnd w:id="410"/>
    </w:p>
    <w:p w:rsidR="001C7BF9" w:rsidRPr="00C9680B" w:rsidRDefault="001C7BF9">
      <w:r w:rsidRPr="00C9680B">
        <w:rPr>
          <w:i/>
        </w:rPr>
        <w:t>Moderata samlingspartiet</w:t>
      </w:r>
      <w:r w:rsidRPr="00C9680B">
        <w:t xml:space="preserve"> föreslår att skatten på diesel i jordbruks-, skogs</w:t>
      </w:r>
      <w:r w:rsidRPr="00C9680B">
        <w:softHyphen/>
        <w:t>bruks- och arbetsmaskiner sänks till 53 öre per liter och att skatten på ha</w:t>
      </w:r>
      <w:r w:rsidRPr="00C9680B">
        <w:t>n</w:t>
      </w:r>
      <w:r w:rsidRPr="00C9680B">
        <w:t>delsgödselns kväveinnehåll avskaffas. Yrkanden med denna inriktning fra</w:t>
      </w:r>
      <w:r w:rsidRPr="00C9680B">
        <w:t>m</w:t>
      </w:r>
      <w:r w:rsidRPr="00C9680B">
        <w:t xml:space="preserve">ställs i </w:t>
      </w:r>
      <w:r w:rsidRPr="00C9680B">
        <w:rPr>
          <w:i/>
        </w:rPr>
        <w:t>motionerna N385</w:t>
      </w:r>
      <w:r w:rsidRPr="00C9680B">
        <w:t xml:space="preserve"> yrkandena 10 och 11 av Bo Lundgren m.fl. (m), </w:t>
      </w:r>
      <w:r w:rsidRPr="00C9680B">
        <w:rPr>
          <w:i/>
        </w:rPr>
        <w:t>Sk313</w:t>
      </w:r>
      <w:r w:rsidRPr="00C9680B">
        <w:t xml:space="preserve"> yrkandena 27 och 30 av Carl Fredrik Graf m.fl. (m), </w:t>
      </w:r>
      <w:r w:rsidRPr="00C9680B">
        <w:rPr>
          <w:i/>
        </w:rPr>
        <w:t>Sk1028</w:t>
      </w:r>
      <w:r w:rsidRPr="00C9680B">
        <w:t xml:space="preserve"> yrkan</w:t>
      </w:r>
      <w:r w:rsidRPr="00C9680B">
        <w:softHyphen/>
        <w:t xml:space="preserve">dena 9 och 10 av Carl Fredrik Graf m.fl. (m), </w:t>
      </w:r>
      <w:r w:rsidRPr="00C9680B">
        <w:rPr>
          <w:i/>
        </w:rPr>
        <w:t>MJ244</w:t>
      </w:r>
      <w:r w:rsidRPr="00C9680B">
        <w:t xml:space="preserve"> yrkande 5 av Ingvar Eriksson m.fl. (m), </w:t>
      </w:r>
      <w:r w:rsidRPr="00C9680B">
        <w:rPr>
          <w:i/>
        </w:rPr>
        <w:t>MJ256</w:t>
      </w:r>
      <w:r w:rsidRPr="00C9680B">
        <w:t xml:space="preserve"> yrkande 4 av Ingvar Eriksson m.fl. (m) och </w:t>
      </w:r>
      <w:r w:rsidRPr="00C9680B">
        <w:rPr>
          <w:i/>
        </w:rPr>
        <w:t>Sk320</w:t>
      </w:r>
      <w:r w:rsidRPr="00C9680B">
        <w:t xml:space="preserve"> yrkande 3 av Olle Linds</w:t>
      </w:r>
      <w:r w:rsidRPr="00C9680B">
        <w:t>tröm och Anders Sjölund (m).</w:t>
      </w:r>
    </w:p>
    <w:p w:rsidR="001C7BF9" w:rsidRPr="00C9680B" w:rsidRDefault="001C7BF9">
      <w:r w:rsidRPr="00C9680B">
        <w:rPr>
          <w:i/>
        </w:rPr>
        <w:t>Kristdemokraterna</w:t>
      </w:r>
      <w:r w:rsidRPr="00C9680B">
        <w:t xml:space="preserve"> föreslår att dieselskatten sänks till 53 öre per liter för jordbruket, att skatten på kväve i handelsgödsel återförs till näringen och att även mindre jordbruk befrias från elskatt. Yrkandena framställs i motion </w:t>
      </w:r>
      <w:r w:rsidRPr="00C9680B">
        <w:rPr>
          <w:i/>
        </w:rPr>
        <w:t>Sk323</w:t>
      </w:r>
      <w:r w:rsidRPr="00C9680B">
        <w:t xml:space="preserve"> y</w:t>
      </w:r>
      <w:r w:rsidRPr="00C9680B">
        <w:t>r</w:t>
      </w:r>
      <w:r w:rsidRPr="00C9680B">
        <w:t xml:space="preserve">kandena 26–29 av Alf Svensson m.fl. (kd). </w:t>
      </w:r>
    </w:p>
    <w:p w:rsidR="001C7BF9" w:rsidRPr="00C9680B" w:rsidRDefault="001C7BF9">
      <w:r w:rsidRPr="00C9680B">
        <w:rPr>
          <w:i/>
        </w:rPr>
        <w:t>Centerpartiet</w:t>
      </w:r>
      <w:r w:rsidRPr="00C9680B">
        <w:t xml:space="preserve"> föreslår i motion </w:t>
      </w:r>
      <w:r w:rsidRPr="00C9680B">
        <w:rPr>
          <w:i/>
        </w:rPr>
        <w:t>Sk321</w:t>
      </w:r>
      <w:r w:rsidRPr="00C9680B">
        <w:t xml:space="preserve"> yrkande 21 av Lennart Daléus m.fl. (c) att jordbrukets vägtrafik</w:t>
      </w:r>
      <w:r w:rsidRPr="00C9680B">
        <w:softHyphen/>
        <w:t>avgifter och handelsgö</w:t>
      </w:r>
      <w:r w:rsidRPr="00C9680B">
        <w:t>d</w:t>
      </w:r>
      <w:r w:rsidRPr="00C9680B">
        <w:t>selavgifter restitueras.</w:t>
      </w:r>
    </w:p>
    <w:p w:rsidR="001C7BF9" w:rsidRPr="00C9680B" w:rsidRDefault="001C7BF9">
      <w:pPr>
        <w:pStyle w:val="R4"/>
      </w:pPr>
      <w:r w:rsidRPr="00C9680B">
        <w:t>Skatteutskottets yttrande</w:t>
      </w:r>
    </w:p>
    <w:p w:rsidR="001C7BF9" w:rsidRPr="00C9680B" w:rsidRDefault="001C7BF9">
      <w:r w:rsidRPr="00C9680B">
        <w:t>Skatteutskottet anför i sitt yttrande (SkU1y) att utskottet vid ett antal tillfällen har avstyrkt förslag om att arbetsfordon och liknande skall undantas från kravet på användning av den miljöklassade dieseln. De ökade miljökraven på motordrivna fordon gör enligt utskottets mening att det blir allt viktigare att inte vissa kategorier lämnas utanför. Arbetsfordonen hade tidigare av olika skäl inte kommit att omfattas av kravet på användning av miljöklassat dri</w:t>
      </w:r>
      <w:r w:rsidRPr="00C9680B">
        <w:t>v</w:t>
      </w:r>
      <w:r w:rsidRPr="00C9680B">
        <w:t>medel, och tillfälliga lösningar måste tillgripas för att komma till rätta med detta förhållande. Beslutet att även arbetsfordon skall omfattas av kravet på användning av högbeskattad miljö</w:t>
      </w:r>
      <w:r w:rsidRPr="00C9680B">
        <w:softHyphen/>
        <w:t>klassad dieselolja löste dessa problem (prop. 1994/95:203, bet. 1994/95:SkU28). Den fortsatta skatteväxlingen fö</w:t>
      </w:r>
      <w:r w:rsidRPr="00C9680B">
        <w:t>r</w:t>
      </w:r>
      <w:r w:rsidRPr="00C9680B">
        <w:t>utsätter att vissa frågor utreds och härvid kommer Utredningen om en ökad miljörelatering av vägtrafikbeskattningen att se över dieselskatten för priva</w:t>
      </w:r>
      <w:r w:rsidRPr="00C9680B">
        <w:t>t</w:t>
      </w:r>
      <w:r w:rsidRPr="00C9680B">
        <w:t>bilism och yrkesmässig trafik. I anslutning härtill komm</w:t>
      </w:r>
      <w:r w:rsidRPr="00C9680B">
        <w:t>er utredningen bl.a. att se över utformningen av beskattningen av arbetsmaskiner. Skatteutskottet ser mot denna bakgrund inte någon anledning att till</w:t>
      </w:r>
      <w:r w:rsidRPr="00C9680B">
        <w:softHyphen/>
        <w:t xml:space="preserve">styrka motionsförslagen om sänkt dieselskatt för jordbruket. </w:t>
      </w:r>
    </w:p>
    <w:p w:rsidR="001C7BF9" w:rsidRPr="00C9680B" w:rsidRDefault="001C7BF9">
      <w:pPr>
        <w:pStyle w:val="Normaltindrag"/>
      </w:pPr>
      <w:r w:rsidRPr="00C9680B">
        <w:t>När det gäller skatterna på bekämpningsmedel och handelsgödsel anför skatteutskottet att dessa ingår i det utredningsarbete för att förverkliga en fortsatt skatteväxling som regeringen aviserar. Avsikten är att översynen skall genomföras i form av en särskild utredning. Utredningen skall bl.a. pröv</w:t>
      </w:r>
      <w:r w:rsidRPr="00C9680B">
        <w:t>a huruvida de olika skatterna kan förändras så att de kan fungera som effektiv</w:t>
      </w:r>
      <w:r w:rsidRPr="00C9680B">
        <w:t>a</w:t>
      </w:r>
      <w:r w:rsidRPr="00C9680B">
        <w:t>re styrmedel på miljöområdet utan att kraven på kostnadseffektivitet efte</w:t>
      </w:r>
      <w:r w:rsidRPr="00C9680B">
        <w:t>r</w:t>
      </w:r>
      <w:r w:rsidRPr="00C9680B">
        <w:t xml:space="preserve">sätts. </w:t>
      </w:r>
    </w:p>
    <w:p w:rsidR="001C7BF9" w:rsidRPr="00C9680B" w:rsidRDefault="001C7BF9">
      <w:pPr>
        <w:pStyle w:val="Normaltindrag"/>
      </w:pPr>
      <w:r w:rsidRPr="00C9680B">
        <w:t>Skatteutskottet anför vidare när det gäller jordbrukets befrielse från ene</w:t>
      </w:r>
      <w:r w:rsidRPr="00C9680B">
        <w:t>r</w:t>
      </w:r>
      <w:r w:rsidRPr="00C9680B">
        <w:t>giskatt på el att denna på grund av det stora antalet nedsättnings</w:t>
      </w:r>
      <w:r w:rsidRPr="00C9680B">
        <w:softHyphen/>
        <w:t>berättigade har utformats som ett återbetalningssystem där återbetalning endast medges med belopp som över</w:t>
      </w:r>
      <w:r w:rsidRPr="00C9680B">
        <w:softHyphen/>
        <w:t>stiger 1 000 kr per årsperiod. Att denna metod avviker från vad som tillämpas för tillverkningsindustrin och växthusnäringen borde enligt vad som anfördes när reglerna infördes särskilt beaktas i en kommande översyn av elskatten (prop. 1999/2000:105, 1999/2000:SkU22). När det gäller de utredningar som bör genomföras inför en fortsatt s</w:t>
      </w:r>
      <w:r w:rsidRPr="00C9680B">
        <w:t>katte</w:t>
      </w:r>
      <w:r w:rsidRPr="00C9680B">
        <w:softHyphen/>
        <w:t>växling konstaterar regeringen att utvidgningen av industrins skattened</w:t>
      </w:r>
      <w:r w:rsidRPr="00C9680B">
        <w:softHyphen/>
        <w:t>sättning till att gälla även jord- och skogsbruket tydliggjorde behovet av ett nytt sätt att ta ut energiskatt på el samt dess kopplingar till det nedsatta områ</w:t>
      </w:r>
      <w:r w:rsidRPr="00C9680B">
        <w:softHyphen/>
        <w:t>det, och skatteutskottet ko</w:t>
      </w:r>
      <w:r w:rsidRPr="00C9680B">
        <w:t>n</w:t>
      </w:r>
      <w:r w:rsidRPr="00C9680B">
        <w:t>staterar att den utredning som skall se över utformningen av nedsättnings</w:t>
      </w:r>
      <w:r w:rsidRPr="00C9680B">
        <w:softHyphen/>
        <w:t>systemet för tillver</w:t>
      </w:r>
      <w:r w:rsidRPr="00C9680B">
        <w:t>k</w:t>
      </w:r>
      <w:r w:rsidRPr="00C9680B">
        <w:t>ningsindustrin och jordbruks-, skogsbruks- och vatten</w:t>
      </w:r>
      <w:r w:rsidRPr="00C9680B">
        <w:softHyphen/>
        <w:t>näringarna därför bl.a. kommer att se över reglerna och systemet för uttag av energi</w:t>
      </w:r>
      <w:r w:rsidRPr="00C9680B">
        <w:t>s</w:t>
      </w:r>
      <w:r w:rsidRPr="00C9680B">
        <w:t>katt på el.</w:t>
      </w:r>
    </w:p>
    <w:p w:rsidR="001C7BF9" w:rsidRPr="00C9680B" w:rsidRDefault="001C7BF9">
      <w:pPr>
        <w:pStyle w:val="Normaltindrag"/>
      </w:pPr>
      <w:r w:rsidRPr="00C9680B">
        <w:t>När det slutligen gäller yrkandet om en restitution av jordbrukets väg</w:t>
      </w:r>
      <w:r w:rsidRPr="00C9680B">
        <w:softHyphen/>
        <w:t>tra</w:t>
      </w:r>
      <w:r w:rsidRPr="00C9680B">
        <w:softHyphen/>
        <w:t xml:space="preserve">fikavgifter och handelsgödselskatter är utskottet inte berett att tillstyrka en sådan. </w:t>
      </w:r>
    </w:p>
    <w:p w:rsidR="001C7BF9" w:rsidRPr="00C9680B" w:rsidRDefault="001C7BF9">
      <w:pPr>
        <w:pStyle w:val="Normaltindrag"/>
      </w:pPr>
      <w:r w:rsidRPr="00C9680B">
        <w:t>Skatteutskottet avstyrker motionsyrkandena.</w:t>
      </w:r>
    </w:p>
    <w:p w:rsidR="001C7BF9" w:rsidRPr="00C9680B" w:rsidRDefault="001C7BF9">
      <w:pPr>
        <w:pStyle w:val="R4"/>
      </w:pPr>
      <w:r w:rsidRPr="00C9680B">
        <w:t>Finansutskottets ställningstagande</w:t>
      </w:r>
    </w:p>
    <w:p w:rsidR="001C7BF9" w:rsidRPr="00C9680B" w:rsidRDefault="001C7BF9">
      <w:r w:rsidRPr="00C9680B">
        <w:t>Finansutskottet avstyrker i likhet med skatteutskottet motionerna Sk313 (m) yrkandena 27 och 30, Sk320 (m) yrkande 3, Sk321 (c) yrkande 21, Sk323 (kd) yrkandena 26–29, Sk1028 (m) yrkandena 9 och 10, MJ244 (m) yrkande 5, MJ256 (m) yrkande 4 och N385 (m) yrkandena 10 och 11.</w:t>
      </w:r>
    </w:p>
    <w:p w:rsidR="001C7BF9" w:rsidRPr="00C9680B" w:rsidRDefault="001C7BF9">
      <w:pPr>
        <w:pStyle w:val="Utskottetsvervganden-RubrikFrslagspunkt"/>
        <w:outlineLvl w:val="0"/>
      </w:pPr>
      <w:bookmarkStart w:id="411" w:name="_Toc497720145"/>
      <w:bookmarkStart w:id="412" w:name="_Toc497720140"/>
      <w:bookmarkStart w:id="413" w:name="_Toc498238835"/>
      <w:bookmarkStart w:id="414" w:name="_Toc498910745"/>
      <w:r w:rsidRPr="00C9680B">
        <w:t>3.7.13 Fordonsskatt och försäljningsskatt</w:t>
      </w:r>
      <w:bookmarkEnd w:id="412"/>
      <w:bookmarkEnd w:id="413"/>
      <w:bookmarkEnd w:id="414"/>
    </w:p>
    <w:p w:rsidR="001C7BF9" w:rsidRPr="00C9680B" w:rsidRDefault="001C7BF9">
      <w:pPr>
        <w:pStyle w:val="Utskottsfrslagikorthet-Rubrik"/>
        <w:jc w:val="both"/>
        <w:outlineLvl w:val="0"/>
        <w:rPr>
          <w:noProof w:val="0"/>
        </w:rPr>
      </w:pPr>
      <w:r w:rsidRPr="00C9680B">
        <w:rPr>
          <w:noProof w:val="0"/>
        </w:rPr>
        <w:t>Utskottets delförslag i korthet</w:t>
      </w:r>
    </w:p>
    <w:p w:rsidR="001C7BF9" w:rsidRPr="00C9680B" w:rsidRDefault="001C7BF9">
      <w:pPr>
        <w:pStyle w:val="Utskottsfrslagikorthet-Text"/>
      </w:pPr>
      <w:r w:rsidRPr="00C9680B">
        <w:t>Riksdagen bifaller regeringens förslag om höjning av fordons</w:t>
      </w:r>
      <w:r w:rsidRPr="00C9680B">
        <w:softHyphen/>
        <w:t>skatten för dieseldrivna personbilar av 1993 års modell och äldre till samma nivå som gäller för nyare dieseldrivna personbilar. Riks</w:t>
      </w:r>
      <w:r w:rsidRPr="00C9680B">
        <w:softHyphen/>
        <w:t>dagen bifaller regeringens förslag om slopad försäljningsskatt på lätta lastb</w:t>
      </w:r>
      <w:r w:rsidRPr="00C9680B">
        <w:t>i</w:t>
      </w:r>
      <w:r w:rsidRPr="00C9680B">
        <w:t xml:space="preserve">lar och bussar samt motorcyklar. </w:t>
      </w:r>
    </w:p>
    <w:p w:rsidR="001C7BF9" w:rsidRPr="00C9680B" w:rsidRDefault="001C7BF9">
      <w:pPr>
        <w:pStyle w:val="Utskottsfrslagikorthet-Text"/>
      </w:pPr>
      <w:r w:rsidRPr="00C9680B">
        <w:t xml:space="preserve">  Jämför reservation 13 (kd).</w:t>
      </w:r>
    </w:p>
    <w:p w:rsidR="001C7BF9" w:rsidRPr="00C9680B" w:rsidRDefault="001C7BF9">
      <w:pPr>
        <w:pStyle w:val="R4"/>
      </w:pPr>
      <w:bookmarkStart w:id="415" w:name="_Toc497206573"/>
      <w:bookmarkStart w:id="416" w:name="_Toc497720142"/>
      <w:r w:rsidRPr="00C9680B">
        <w:br w:type="page"/>
        <w:t>Budgetpropositionen</w:t>
      </w:r>
      <w:bookmarkEnd w:id="415"/>
      <w:bookmarkEnd w:id="416"/>
    </w:p>
    <w:p w:rsidR="001C7BF9" w:rsidRPr="00C9680B" w:rsidRDefault="001C7BF9">
      <w:r w:rsidRPr="00C9680B">
        <w:t>Regeringen föreslår (avsnitt 9.7) att fordonsskatten för dieseldrivna perso</w:t>
      </w:r>
      <w:r w:rsidRPr="00C9680B">
        <w:t>n</w:t>
      </w:r>
      <w:r w:rsidRPr="00C9680B">
        <w:t>bilar av 1993 års modell och äldre höjs till samma nivå som gäller för nyare dieseldrivna personbilar. I övrigt vidtas inte några åtgärder avseende fordon</w:t>
      </w:r>
      <w:r w:rsidRPr="00C9680B">
        <w:t>s</w:t>
      </w:r>
      <w:r w:rsidRPr="00C9680B">
        <w:t>skatten med anledning av Trafikbeskat</w:t>
      </w:r>
      <w:r w:rsidRPr="00C9680B">
        <w:t>t</w:t>
      </w:r>
      <w:r w:rsidRPr="00C9680B">
        <w:t>ningsutredningens betänk</w:t>
      </w:r>
      <w:r w:rsidRPr="00C9680B">
        <w:softHyphen/>
        <w:t xml:space="preserve">anden. </w:t>
      </w:r>
    </w:p>
    <w:p w:rsidR="001C7BF9" w:rsidRPr="00C9680B" w:rsidRDefault="001C7BF9">
      <w:pPr>
        <w:pStyle w:val="Normaltindrag"/>
      </w:pPr>
      <w:r w:rsidRPr="00C9680B">
        <w:t>Den återstående försäljningsskatten på lätta lastbilar och bussar samt m</w:t>
      </w:r>
      <w:r w:rsidRPr="00C9680B">
        <w:t>o</w:t>
      </w:r>
      <w:r w:rsidRPr="00C9680B">
        <w:t>torcyklar avskaffas.</w:t>
      </w:r>
    </w:p>
    <w:p w:rsidR="001C7BF9" w:rsidRPr="00C9680B" w:rsidRDefault="001C7BF9">
      <w:pPr>
        <w:pStyle w:val="R4"/>
      </w:pPr>
      <w:r w:rsidRPr="00C9680B">
        <w:t>Motionen</w:t>
      </w:r>
    </w:p>
    <w:p w:rsidR="001C7BF9" w:rsidRPr="00C9680B" w:rsidRDefault="001C7BF9">
      <w:r w:rsidRPr="00C9680B">
        <w:rPr>
          <w:i/>
        </w:rPr>
        <w:t xml:space="preserve">Kristdemokraterna </w:t>
      </w:r>
      <w:r w:rsidRPr="00C9680B">
        <w:t xml:space="preserve">föreslår i </w:t>
      </w:r>
      <w:r w:rsidRPr="00C9680B">
        <w:rPr>
          <w:i/>
        </w:rPr>
        <w:t>motion Sk323</w:t>
      </w:r>
      <w:r w:rsidRPr="00C9680B">
        <w:t xml:space="preserve"> yrkande 51 att trafikförsäkringen åläggs ett ökat ansvar för kostnaden för personskador med ca 4 miljarder kronor och att trafikanterna kompenseras för en del av den ökade kostnaden g</w:t>
      </w:r>
      <w:r w:rsidRPr="00C9680B">
        <w:t>e</w:t>
      </w:r>
      <w:r w:rsidRPr="00C9680B">
        <w:t>nom att fordonsskatten sänks med 2 miljarder kronor år 2001.</w:t>
      </w:r>
    </w:p>
    <w:p w:rsidR="001C7BF9" w:rsidRPr="00C9680B" w:rsidRDefault="001C7BF9">
      <w:pPr>
        <w:pStyle w:val="R4"/>
      </w:pPr>
      <w:r w:rsidRPr="00C9680B">
        <w:t>Skatteutskottets yttrande</w:t>
      </w:r>
    </w:p>
    <w:p w:rsidR="001C7BF9" w:rsidRPr="00C9680B" w:rsidRDefault="001C7BF9">
      <w:r w:rsidRPr="00C9680B">
        <w:t>Skatteutskottet (SkU1y) har inte funnit någon anledning till erinran mot reg</w:t>
      </w:r>
      <w:r w:rsidRPr="00C9680B">
        <w:t>e</w:t>
      </w:r>
      <w:r w:rsidRPr="00C9680B">
        <w:t>rin</w:t>
      </w:r>
      <w:r w:rsidRPr="00C9680B">
        <w:t>g</w:t>
      </w:r>
      <w:r w:rsidRPr="00C9680B">
        <w:t>ens förslag och till</w:t>
      </w:r>
      <w:r w:rsidRPr="00C9680B">
        <w:softHyphen/>
        <w:t xml:space="preserve">styrker därför propositionen i denna del. </w:t>
      </w:r>
    </w:p>
    <w:p w:rsidR="001C7BF9" w:rsidRPr="00C9680B" w:rsidRDefault="001C7BF9">
      <w:pPr>
        <w:pStyle w:val="R4"/>
      </w:pPr>
      <w:r w:rsidRPr="00C9680B">
        <w:t>Finansutskottets ställningstagande</w:t>
      </w:r>
    </w:p>
    <w:p w:rsidR="001C7BF9" w:rsidRPr="00C9680B" w:rsidRDefault="001C7BF9">
      <w:r w:rsidRPr="00C9680B">
        <w:t>Finansutskottet tillstyrker i likhet med skatteutskottet propositionens förslag beträffande fordonsskatten och försäljningsskatten. När det gäller motions</w:t>
      </w:r>
      <w:r w:rsidRPr="00C9680B">
        <w:softHyphen/>
        <w:t>förslaget om ett utvidgat ansvar för trafikförsäkringen har utskottet vid den sammanfattande bedömningen av budgetförslagen (avsnitt 2.4.3) konstaterat att en sådan omläggning inte låter sig genomföras i den takt som motionäre</w:t>
      </w:r>
      <w:r w:rsidRPr="00C9680B">
        <w:t>r</w:t>
      </w:r>
      <w:r w:rsidRPr="00C9680B">
        <w:t>na för</w:t>
      </w:r>
      <w:r w:rsidRPr="00C9680B">
        <w:t>e</w:t>
      </w:r>
      <w:r w:rsidRPr="00C9680B">
        <w:t>slår. Utskottet avstyrker motionsyrkandet.</w:t>
      </w:r>
    </w:p>
    <w:p w:rsidR="001C7BF9" w:rsidRPr="00C9680B" w:rsidRDefault="001C7BF9">
      <w:pPr>
        <w:pStyle w:val="Rubrik2"/>
      </w:pPr>
      <w:bookmarkStart w:id="417" w:name="_Toc498238836"/>
      <w:bookmarkStart w:id="418" w:name="_Toc498910746"/>
      <w:r w:rsidRPr="00C9680B">
        <w:t>3.8 Nedsättning av skatter m.m.</w:t>
      </w:r>
      <w:bookmarkEnd w:id="417"/>
      <w:bookmarkEnd w:id="418"/>
    </w:p>
    <w:p w:rsidR="001C7BF9" w:rsidRPr="00C9680B" w:rsidRDefault="001C7BF9"/>
    <w:tbl>
      <w:tblPr>
        <w:tblW w:w="0" w:type="auto"/>
        <w:jc w:val="right"/>
        <w:tblLayout w:type="fixed"/>
        <w:tblCellMar>
          <w:left w:w="30" w:type="dxa"/>
          <w:right w:w="30" w:type="dxa"/>
        </w:tblCellMar>
        <w:tblLook w:val="0000" w:firstRow="0" w:lastRow="0" w:firstColumn="0" w:lastColumn="0" w:noHBand="0" w:noVBand="0"/>
      </w:tblPr>
      <w:tblGrid>
        <w:gridCol w:w="513"/>
        <w:gridCol w:w="567"/>
        <w:gridCol w:w="1842"/>
        <w:gridCol w:w="284"/>
        <w:gridCol w:w="709"/>
        <w:gridCol w:w="708"/>
        <w:gridCol w:w="709"/>
        <w:gridCol w:w="567"/>
        <w:gridCol w:w="709"/>
      </w:tblGrid>
      <w:tr w:rsidR="00000000" w:rsidRPr="00C9680B">
        <w:tblPrEx>
          <w:tblCellMar>
            <w:top w:w="0" w:type="dxa"/>
            <w:bottom w:w="0" w:type="dxa"/>
          </w:tblCellMar>
        </w:tblPrEx>
        <w:trPr>
          <w:cantSplit/>
          <w:trHeight w:val="180"/>
          <w:jc w:val="right"/>
        </w:trPr>
        <w:tc>
          <w:tcPr>
            <w:tcW w:w="6608" w:type="dxa"/>
            <w:gridSpan w:val="9"/>
          </w:tcPr>
          <w:p w:rsidR="001C7BF9" w:rsidRPr="00C9680B" w:rsidRDefault="001C7BF9">
            <w:pPr>
              <w:spacing w:before="40" w:line="180" w:lineRule="exact"/>
              <w:jc w:val="left"/>
              <w:rPr>
                <w:b/>
                <w:snapToGrid w:val="0"/>
                <w:color w:val="000000"/>
                <w:sz w:val="17"/>
                <w:lang w:eastAsia="sv-SE"/>
              </w:rPr>
            </w:pPr>
            <w:r w:rsidRPr="00C9680B">
              <w:rPr>
                <w:b/>
                <w:snapToGrid w:val="0"/>
                <w:color w:val="000000"/>
                <w:sz w:val="17"/>
                <w:lang w:eastAsia="sv-SE"/>
              </w:rPr>
              <w:t>Tabell 40. Huvudtitel 1700 Nedsättning av skatter</w:t>
            </w:r>
          </w:p>
          <w:p w:rsidR="001C7BF9" w:rsidRPr="00C9680B" w:rsidRDefault="001C7BF9">
            <w:pPr>
              <w:pStyle w:val="Normaltindrag"/>
              <w:ind w:firstLine="0"/>
              <w:rPr>
                <w:sz w:val="14"/>
              </w:rPr>
            </w:pPr>
            <w:r w:rsidRPr="00C9680B">
              <w:rPr>
                <w:sz w:val="14"/>
              </w:rPr>
              <w:t>Miljoner kronor</w:t>
            </w:r>
          </w:p>
        </w:tc>
      </w:tr>
      <w:tr w:rsidR="00000000" w:rsidRPr="00C9680B">
        <w:tblPrEx>
          <w:tblCellMar>
            <w:top w:w="0" w:type="dxa"/>
            <w:bottom w:w="0" w:type="dxa"/>
          </w:tblCellMar>
        </w:tblPrEx>
        <w:trPr>
          <w:cantSplit/>
          <w:trHeight w:val="180"/>
          <w:jc w:val="right"/>
        </w:trPr>
        <w:tc>
          <w:tcPr>
            <w:tcW w:w="2922" w:type="dxa"/>
            <w:gridSpan w:val="3"/>
            <w:tcBorders>
              <w:top w:val="single" w:sz="4" w:space="0" w:color="auto"/>
            </w:tcBorders>
          </w:tcPr>
          <w:p w:rsidR="001C7BF9" w:rsidRPr="00C9680B" w:rsidRDefault="001C7BF9">
            <w:pPr>
              <w:spacing w:before="40" w:line="180" w:lineRule="exact"/>
              <w:rPr>
                <w:snapToGrid w:val="0"/>
                <w:color w:val="000000"/>
                <w:sz w:val="17"/>
                <w:lang w:eastAsia="sv-SE"/>
              </w:rPr>
            </w:pPr>
          </w:p>
        </w:tc>
        <w:tc>
          <w:tcPr>
            <w:tcW w:w="993" w:type="dxa"/>
            <w:gridSpan w:val="2"/>
            <w:tcBorders>
              <w:top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Reg</w:t>
            </w:r>
            <w:r w:rsidRPr="00C9680B">
              <w:rPr>
                <w:b/>
                <w:snapToGrid w:val="0"/>
                <w:color w:val="000000"/>
                <w:sz w:val="17"/>
                <w:lang w:eastAsia="sv-SE"/>
              </w:rPr>
              <w:t>e</w:t>
            </w:r>
            <w:r w:rsidRPr="00C9680B">
              <w:rPr>
                <w:b/>
                <w:snapToGrid w:val="0"/>
                <w:color w:val="000000"/>
                <w:sz w:val="17"/>
                <w:lang w:eastAsia="sv-SE"/>
              </w:rPr>
              <w:t>ringens</w:t>
            </w:r>
          </w:p>
        </w:tc>
        <w:tc>
          <w:tcPr>
            <w:tcW w:w="2693" w:type="dxa"/>
            <w:gridSpan w:val="4"/>
            <w:tcBorders>
              <w:top w:val="single" w:sz="4" w:space="0" w:color="auto"/>
              <w:bottom w:val="single" w:sz="6" w:space="0" w:color="auto"/>
            </w:tcBorders>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Avvikelser från regeringens förslag</w:t>
            </w:r>
          </w:p>
        </w:tc>
      </w:tr>
      <w:tr w:rsidR="00000000" w:rsidRPr="00C9680B">
        <w:tblPrEx>
          <w:tblCellMar>
            <w:top w:w="0" w:type="dxa"/>
            <w:bottom w:w="0" w:type="dxa"/>
          </w:tblCellMar>
        </w:tblPrEx>
        <w:trPr>
          <w:trHeight w:val="180"/>
          <w:jc w:val="right"/>
        </w:trPr>
        <w:tc>
          <w:tcPr>
            <w:tcW w:w="1080" w:type="dxa"/>
            <w:gridSpan w:val="2"/>
            <w:tcBorders>
              <w:bottom w:val="single" w:sz="4" w:space="0" w:color="auto"/>
            </w:tcBorders>
          </w:tcPr>
          <w:p w:rsidR="001C7BF9" w:rsidRPr="00C9680B" w:rsidRDefault="001C7BF9">
            <w:pPr>
              <w:spacing w:before="40" w:line="180" w:lineRule="exact"/>
              <w:rPr>
                <w:snapToGrid w:val="0"/>
                <w:color w:val="000000"/>
                <w:sz w:val="17"/>
                <w:lang w:eastAsia="sv-SE"/>
              </w:rPr>
            </w:pPr>
            <w:r w:rsidRPr="00C9680B">
              <w:rPr>
                <w:snapToGrid w:val="0"/>
                <w:color w:val="000000"/>
                <w:sz w:val="17"/>
                <w:lang w:eastAsia="sv-SE"/>
              </w:rPr>
              <w:t>Inkomstt</w:t>
            </w:r>
            <w:r w:rsidRPr="00C9680B">
              <w:rPr>
                <w:snapToGrid w:val="0"/>
                <w:color w:val="000000"/>
                <w:sz w:val="17"/>
                <w:lang w:eastAsia="sv-SE"/>
              </w:rPr>
              <w:t>i</w:t>
            </w:r>
            <w:r w:rsidRPr="00C9680B">
              <w:rPr>
                <w:snapToGrid w:val="0"/>
                <w:color w:val="000000"/>
                <w:sz w:val="17"/>
                <w:lang w:eastAsia="sv-SE"/>
              </w:rPr>
              <w:t>tel</w:t>
            </w:r>
          </w:p>
        </w:tc>
        <w:tc>
          <w:tcPr>
            <w:tcW w:w="1842"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993" w:type="dxa"/>
            <w:gridSpan w:val="2"/>
            <w:tcBorders>
              <w:bottom w:val="single" w:sz="4" w:space="0" w:color="auto"/>
            </w:tcBorders>
          </w:tcPr>
          <w:p w:rsidR="001C7BF9" w:rsidRPr="00C9680B" w:rsidRDefault="001C7BF9">
            <w:pPr>
              <w:spacing w:before="40" w:line="180" w:lineRule="exact"/>
              <w:jc w:val="right"/>
              <w:rPr>
                <w:b/>
                <w:snapToGrid w:val="0"/>
                <w:color w:val="000000"/>
                <w:sz w:val="17"/>
                <w:lang w:eastAsia="sv-SE"/>
              </w:rPr>
            </w:pPr>
            <w:r w:rsidRPr="00C9680B">
              <w:rPr>
                <w:b/>
                <w:snapToGrid w:val="0"/>
                <w:color w:val="000000"/>
                <w:sz w:val="17"/>
                <w:lang w:eastAsia="sv-SE"/>
              </w:rPr>
              <w:t>fö</w:t>
            </w:r>
            <w:r w:rsidRPr="00C9680B">
              <w:rPr>
                <w:b/>
                <w:snapToGrid w:val="0"/>
                <w:color w:val="000000"/>
                <w:sz w:val="17"/>
                <w:lang w:eastAsia="sv-SE"/>
              </w:rPr>
              <w:t>r</w:t>
            </w:r>
            <w:r w:rsidRPr="00C9680B">
              <w:rPr>
                <w:b/>
                <w:snapToGrid w:val="0"/>
                <w:color w:val="000000"/>
                <w:sz w:val="17"/>
                <w:lang w:eastAsia="sv-SE"/>
              </w:rPr>
              <w:t>slag</w:t>
            </w:r>
          </w:p>
        </w:tc>
        <w:tc>
          <w:tcPr>
            <w:tcW w:w="708" w:type="dxa"/>
            <w:tcBorders>
              <w:bottom w:val="single" w:sz="4" w:space="0" w:color="auto"/>
            </w:tcBorders>
          </w:tcPr>
          <w:p w:rsidR="001C7BF9" w:rsidRPr="00C9680B" w:rsidRDefault="001C7BF9">
            <w:pPr>
              <w:spacing w:before="40" w:line="180" w:lineRule="exact"/>
              <w:jc w:val="center"/>
              <w:rPr>
                <w:b/>
                <w:snapToGrid w:val="0"/>
                <w:color w:val="000000"/>
                <w:sz w:val="17"/>
                <w:lang w:eastAsia="sv-SE"/>
              </w:rPr>
            </w:pPr>
            <w:r w:rsidRPr="00C9680B">
              <w:rPr>
                <w:b/>
                <w:snapToGrid w:val="0"/>
                <w:color w:val="000000"/>
                <w:sz w:val="17"/>
                <w:lang w:eastAsia="sv-SE"/>
              </w:rPr>
              <w:t>m</w:t>
            </w:r>
          </w:p>
        </w:tc>
        <w:tc>
          <w:tcPr>
            <w:tcW w:w="709" w:type="dxa"/>
            <w:tcBorders>
              <w:bottom w:val="single" w:sz="4" w:space="0" w:color="auto"/>
            </w:tcBorders>
          </w:tcPr>
          <w:p w:rsidR="001C7BF9" w:rsidRPr="00C9680B" w:rsidRDefault="001C7BF9">
            <w:pPr>
              <w:spacing w:before="40" w:line="180" w:lineRule="exact"/>
              <w:jc w:val="center"/>
              <w:rPr>
                <w:b/>
                <w:snapToGrid w:val="0"/>
                <w:color w:val="000000"/>
                <w:sz w:val="17"/>
                <w:lang w:eastAsia="sv-SE"/>
              </w:rPr>
            </w:pPr>
            <w:r w:rsidRPr="00C9680B">
              <w:rPr>
                <w:b/>
                <w:snapToGrid w:val="0"/>
                <w:color w:val="000000"/>
                <w:sz w:val="17"/>
                <w:lang w:eastAsia="sv-SE"/>
              </w:rPr>
              <w:t>kd</w:t>
            </w:r>
          </w:p>
        </w:tc>
        <w:tc>
          <w:tcPr>
            <w:tcW w:w="567" w:type="dxa"/>
            <w:tcBorders>
              <w:bottom w:val="single" w:sz="4" w:space="0" w:color="auto"/>
            </w:tcBorders>
          </w:tcPr>
          <w:p w:rsidR="001C7BF9" w:rsidRPr="00C9680B" w:rsidRDefault="001C7BF9">
            <w:pPr>
              <w:spacing w:before="40" w:line="180" w:lineRule="exact"/>
              <w:jc w:val="center"/>
              <w:rPr>
                <w:b/>
                <w:snapToGrid w:val="0"/>
                <w:color w:val="000000"/>
                <w:sz w:val="17"/>
                <w:lang w:eastAsia="sv-SE"/>
              </w:rPr>
            </w:pPr>
            <w:r w:rsidRPr="00C9680B">
              <w:rPr>
                <w:b/>
                <w:snapToGrid w:val="0"/>
                <w:color w:val="000000"/>
                <w:sz w:val="17"/>
                <w:lang w:eastAsia="sv-SE"/>
              </w:rPr>
              <w:t>c</w:t>
            </w:r>
          </w:p>
        </w:tc>
        <w:tc>
          <w:tcPr>
            <w:tcW w:w="709" w:type="dxa"/>
            <w:tcBorders>
              <w:bottom w:val="single" w:sz="4" w:space="0" w:color="auto"/>
            </w:tcBorders>
          </w:tcPr>
          <w:p w:rsidR="001C7BF9" w:rsidRPr="00C9680B" w:rsidRDefault="001C7BF9">
            <w:pPr>
              <w:spacing w:before="40" w:line="180" w:lineRule="exact"/>
              <w:jc w:val="center"/>
              <w:rPr>
                <w:b/>
                <w:snapToGrid w:val="0"/>
                <w:color w:val="000000"/>
                <w:sz w:val="17"/>
                <w:lang w:eastAsia="sv-SE"/>
              </w:rPr>
            </w:pPr>
            <w:r w:rsidRPr="00C9680B">
              <w:rPr>
                <w:b/>
                <w:snapToGrid w:val="0"/>
                <w:color w:val="000000"/>
                <w:sz w:val="17"/>
                <w:lang w:eastAsia="sv-SE"/>
              </w:rPr>
              <w:t>fp</w:t>
            </w:r>
          </w:p>
        </w:tc>
      </w:tr>
      <w:tr w:rsidR="00000000" w:rsidRPr="00C9680B">
        <w:tblPrEx>
          <w:tblCellMar>
            <w:top w:w="0" w:type="dxa"/>
            <w:bottom w:w="0" w:type="dxa"/>
          </w:tblCellMar>
        </w:tblPrEx>
        <w:trPr>
          <w:trHeight w:val="180"/>
          <w:jc w:val="right"/>
        </w:trPr>
        <w:tc>
          <w:tcPr>
            <w:tcW w:w="513" w:type="dxa"/>
          </w:tcPr>
          <w:p w:rsidR="001C7BF9" w:rsidRPr="00C9680B" w:rsidRDefault="001C7BF9">
            <w:pPr>
              <w:spacing w:before="120" w:line="180" w:lineRule="exact"/>
              <w:jc w:val="right"/>
              <w:rPr>
                <w:b/>
                <w:snapToGrid w:val="0"/>
                <w:color w:val="000000"/>
                <w:sz w:val="17"/>
                <w:lang w:eastAsia="sv-SE"/>
              </w:rPr>
            </w:pPr>
            <w:r w:rsidRPr="00C9680B">
              <w:rPr>
                <w:b/>
                <w:snapToGrid w:val="0"/>
                <w:color w:val="000000"/>
                <w:sz w:val="17"/>
                <w:lang w:eastAsia="sv-SE"/>
              </w:rPr>
              <w:t>1711</w:t>
            </w:r>
          </w:p>
        </w:tc>
        <w:tc>
          <w:tcPr>
            <w:tcW w:w="2693" w:type="dxa"/>
            <w:gridSpan w:val="3"/>
          </w:tcPr>
          <w:p w:rsidR="001C7BF9" w:rsidRPr="00C9680B" w:rsidRDefault="001C7BF9">
            <w:pPr>
              <w:spacing w:before="120" w:line="180" w:lineRule="exact"/>
              <w:ind w:left="113" w:hanging="113"/>
              <w:rPr>
                <w:b/>
                <w:snapToGrid w:val="0"/>
                <w:color w:val="000000"/>
                <w:sz w:val="17"/>
                <w:lang w:eastAsia="sv-SE"/>
              </w:rPr>
            </w:pPr>
            <w:r w:rsidRPr="00C9680B">
              <w:rPr>
                <w:b/>
                <w:snapToGrid w:val="0"/>
                <w:color w:val="000000"/>
                <w:sz w:val="17"/>
                <w:lang w:eastAsia="sv-SE"/>
              </w:rPr>
              <w:t>Nedsättning, anställning</w:t>
            </w:r>
            <w:r w:rsidRPr="00C9680B">
              <w:rPr>
                <w:b/>
                <w:snapToGrid w:val="0"/>
                <w:color w:val="000000"/>
                <w:sz w:val="17"/>
                <w:lang w:eastAsia="sv-SE"/>
              </w:rPr>
              <w:t>s</w:t>
            </w:r>
            <w:r w:rsidRPr="00C9680B">
              <w:rPr>
                <w:b/>
                <w:snapToGrid w:val="0"/>
                <w:color w:val="000000"/>
                <w:sz w:val="17"/>
                <w:lang w:eastAsia="sv-SE"/>
              </w:rPr>
              <w:t>stöd</w:t>
            </w:r>
          </w:p>
        </w:tc>
        <w:tc>
          <w:tcPr>
            <w:tcW w:w="709" w:type="dxa"/>
          </w:tcPr>
          <w:p w:rsidR="001C7BF9" w:rsidRPr="00C9680B" w:rsidRDefault="001C7BF9">
            <w:pPr>
              <w:spacing w:before="120" w:line="180" w:lineRule="exact"/>
              <w:jc w:val="right"/>
              <w:rPr>
                <w:b/>
                <w:snapToGrid w:val="0"/>
                <w:color w:val="000000"/>
                <w:sz w:val="17"/>
                <w:lang w:eastAsia="sv-SE"/>
              </w:rPr>
            </w:pPr>
            <w:r w:rsidRPr="00C9680B">
              <w:rPr>
                <w:b/>
                <w:snapToGrid w:val="0"/>
                <w:color w:val="000000"/>
                <w:sz w:val="17"/>
                <w:lang w:eastAsia="sv-SE"/>
              </w:rPr>
              <w:t>-2 250</w:t>
            </w:r>
          </w:p>
        </w:tc>
        <w:tc>
          <w:tcPr>
            <w:tcW w:w="708" w:type="dxa"/>
          </w:tcPr>
          <w:p w:rsidR="001C7BF9" w:rsidRPr="00C9680B" w:rsidRDefault="001C7BF9">
            <w:pPr>
              <w:spacing w:before="120" w:line="180" w:lineRule="exact"/>
              <w:jc w:val="right"/>
              <w:rPr>
                <w:snapToGrid w:val="0"/>
                <w:color w:val="000000"/>
                <w:sz w:val="17"/>
                <w:lang w:eastAsia="sv-SE"/>
              </w:rPr>
            </w:pPr>
          </w:p>
        </w:tc>
        <w:tc>
          <w:tcPr>
            <w:tcW w:w="709" w:type="dxa"/>
          </w:tcPr>
          <w:p w:rsidR="001C7BF9" w:rsidRPr="00C9680B" w:rsidRDefault="001C7BF9">
            <w:pPr>
              <w:spacing w:before="120" w:line="180" w:lineRule="exact"/>
              <w:jc w:val="right"/>
              <w:rPr>
                <w:b/>
                <w:snapToGrid w:val="0"/>
                <w:color w:val="000000"/>
                <w:sz w:val="17"/>
                <w:lang w:eastAsia="sv-SE"/>
              </w:rPr>
            </w:pPr>
            <w:r w:rsidRPr="00C9680B">
              <w:rPr>
                <w:b/>
                <w:snapToGrid w:val="0"/>
                <w:color w:val="000000"/>
                <w:sz w:val="17"/>
                <w:lang w:eastAsia="sv-SE"/>
              </w:rPr>
              <w:t>+750</w:t>
            </w:r>
          </w:p>
        </w:tc>
        <w:tc>
          <w:tcPr>
            <w:tcW w:w="567" w:type="dxa"/>
          </w:tcPr>
          <w:p w:rsidR="001C7BF9" w:rsidRPr="00C9680B" w:rsidRDefault="001C7BF9">
            <w:pPr>
              <w:spacing w:before="120" w:line="180" w:lineRule="exact"/>
              <w:jc w:val="right"/>
              <w:rPr>
                <w:snapToGrid w:val="0"/>
                <w:color w:val="000000"/>
                <w:sz w:val="17"/>
                <w:lang w:eastAsia="sv-SE"/>
              </w:rPr>
            </w:pPr>
          </w:p>
        </w:tc>
        <w:tc>
          <w:tcPr>
            <w:tcW w:w="709" w:type="dxa"/>
          </w:tcPr>
          <w:p w:rsidR="001C7BF9" w:rsidRPr="00C9680B" w:rsidRDefault="001C7BF9">
            <w:pPr>
              <w:spacing w:before="120" w:line="180" w:lineRule="exact"/>
              <w:jc w:val="right"/>
              <w:rPr>
                <w:b/>
                <w:snapToGrid w:val="0"/>
                <w:color w:val="000000"/>
                <w:sz w:val="17"/>
                <w:lang w:eastAsia="sv-SE"/>
              </w:rPr>
            </w:pPr>
            <w:r w:rsidRPr="00C9680B">
              <w:rPr>
                <w:b/>
                <w:snapToGrid w:val="0"/>
                <w:color w:val="000000"/>
                <w:sz w:val="17"/>
                <w:lang w:eastAsia="sv-SE"/>
              </w:rPr>
              <w:t>+2 250</w:t>
            </w:r>
          </w:p>
        </w:tc>
      </w:tr>
      <w:tr w:rsidR="00000000" w:rsidRPr="00C9680B">
        <w:tblPrEx>
          <w:tblCellMar>
            <w:top w:w="0" w:type="dxa"/>
            <w:bottom w:w="0" w:type="dxa"/>
          </w:tblCellMar>
        </w:tblPrEx>
        <w:trPr>
          <w:trHeight w:val="180"/>
          <w:jc w:val="right"/>
        </w:trPr>
        <w:tc>
          <w:tcPr>
            <w:tcW w:w="513" w:type="dxa"/>
          </w:tcPr>
          <w:p w:rsidR="001C7BF9" w:rsidRPr="00C9680B" w:rsidRDefault="001C7BF9">
            <w:pPr>
              <w:spacing w:before="40" w:line="180" w:lineRule="exact"/>
              <w:jc w:val="right"/>
              <w:rPr>
                <w:b/>
                <w:snapToGrid w:val="0"/>
                <w:color w:val="000000"/>
                <w:sz w:val="17"/>
                <w:lang w:eastAsia="sv-SE"/>
              </w:rPr>
            </w:pPr>
          </w:p>
        </w:tc>
        <w:tc>
          <w:tcPr>
            <w:tcW w:w="2693" w:type="dxa"/>
            <w:gridSpan w:val="3"/>
          </w:tcPr>
          <w:p w:rsidR="001C7BF9" w:rsidRPr="00C9680B" w:rsidRDefault="001C7BF9">
            <w:pPr>
              <w:spacing w:before="40" w:line="180" w:lineRule="exact"/>
              <w:ind w:left="113" w:hanging="113"/>
              <w:rPr>
                <w:snapToGrid w:val="0"/>
                <w:color w:val="000000"/>
                <w:sz w:val="17"/>
                <w:lang w:eastAsia="sv-SE"/>
              </w:rPr>
            </w:pPr>
            <w:r w:rsidRPr="00C9680B">
              <w:rPr>
                <w:snapToGrid w:val="0"/>
                <w:color w:val="000000"/>
                <w:sz w:val="17"/>
                <w:lang w:eastAsia="sv-SE"/>
              </w:rPr>
              <w:t>Alternativt anställningsstöd</w:t>
            </w:r>
          </w:p>
        </w:tc>
        <w:tc>
          <w:tcPr>
            <w:tcW w:w="709" w:type="dxa"/>
          </w:tcPr>
          <w:p w:rsidR="001C7BF9" w:rsidRPr="00C9680B" w:rsidRDefault="001C7BF9">
            <w:pPr>
              <w:spacing w:before="40" w:line="180" w:lineRule="exact"/>
              <w:jc w:val="right"/>
              <w:rPr>
                <w:b/>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+750</w:t>
            </w:r>
          </w:p>
        </w:tc>
        <w:tc>
          <w:tcPr>
            <w:tcW w:w="567"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+2 250</w:t>
            </w:r>
          </w:p>
        </w:tc>
      </w:tr>
      <w:tr w:rsidR="00000000" w:rsidRPr="00C9680B">
        <w:tblPrEx>
          <w:tblCellMar>
            <w:top w:w="0" w:type="dxa"/>
            <w:bottom w:w="0" w:type="dxa"/>
          </w:tblCellMar>
        </w:tblPrEx>
        <w:trPr>
          <w:trHeight w:val="180"/>
          <w:jc w:val="right"/>
        </w:trPr>
        <w:tc>
          <w:tcPr>
            <w:tcW w:w="513"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1712</w:t>
            </w:r>
          </w:p>
        </w:tc>
        <w:tc>
          <w:tcPr>
            <w:tcW w:w="2693" w:type="dxa"/>
            <w:gridSpan w:val="3"/>
          </w:tcPr>
          <w:p w:rsidR="001C7BF9" w:rsidRPr="00C9680B" w:rsidRDefault="001C7BF9">
            <w:pPr>
              <w:spacing w:before="80" w:line="180" w:lineRule="exact"/>
              <w:ind w:left="113" w:hanging="113"/>
              <w:rPr>
                <w:b/>
                <w:snapToGrid w:val="0"/>
                <w:color w:val="000000"/>
                <w:sz w:val="17"/>
                <w:lang w:eastAsia="sv-SE"/>
              </w:rPr>
            </w:pPr>
            <w:r w:rsidRPr="00C9680B">
              <w:rPr>
                <w:b/>
                <w:snapToGrid w:val="0"/>
                <w:color w:val="000000"/>
                <w:sz w:val="17"/>
                <w:lang w:eastAsia="sv-SE"/>
              </w:rPr>
              <w:t>Nedsättning, komp</w:t>
            </w:r>
            <w:r w:rsidRPr="00C9680B">
              <w:rPr>
                <w:b/>
                <w:snapToGrid w:val="0"/>
                <w:color w:val="000000"/>
                <w:sz w:val="17"/>
                <w:lang w:eastAsia="sv-SE"/>
              </w:rPr>
              <w:t>e</w:t>
            </w:r>
            <w:r w:rsidRPr="00C9680B">
              <w:rPr>
                <w:b/>
                <w:snapToGrid w:val="0"/>
                <w:color w:val="000000"/>
                <w:sz w:val="17"/>
                <w:lang w:eastAsia="sv-SE"/>
              </w:rPr>
              <w:t>tensutveckling</w:t>
            </w:r>
          </w:p>
        </w:tc>
        <w:tc>
          <w:tcPr>
            <w:tcW w:w="709"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-1 150</w:t>
            </w:r>
          </w:p>
        </w:tc>
        <w:tc>
          <w:tcPr>
            <w:tcW w:w="708" w:type="dxa"/>
          </w:tcPr>
          <w:p w:rsidR="001C7BF9" w:rsidRPr="00C9680B" w:rsidRDefault="001C7BF9">
            <w:pPr>
              <w:spacing w:before="80" w:line="180" w:lineRule="exact"/>
              <w:jc w:val="right"/>
              <w:rPr>
                <w:snapToGrid w:val="0"/>
                <w:color w:val="000000"/>
                <w:sz w:val="17"/>
                <w:lang w:eastAsia="sv-SE"/>
              </w:rPr>
            </w:pPr>
          </w:p>
        </w:tc>
        <w:tc>
          <w:tcPr>
            <w:tcW w:w="709"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+1 150</w:t>
            </w:r>
          </w:p>
        </w:tc>
        <w:tc>
          <w:tcPr>
            <w:tcW w:w="567" w:type="dxa"/>
          </w:tcPr>
          <w:p w:rsidR="001C7BF9" w:rsidRPr="00C9680B" w:rsidRDefault="001C7BF9">
            <w:pPr>
              <w:spacing w:before="80" w:line="180" w:lineRule="exact"/>
              <w:jc w:val="right"/>
              <w:rPr>
                <w:snapToGrid w:val="0"/>
                <w:color w:val="000000"/>
                <w:sz w:val="17"/>
                <w:lang w:eastAsia="sv-SE"/>
              </w:rPr>
            </w:pPr>
          </w:p>
        </w:tc>
        <w:tc>
          <w:tcPr>
            <w:tcW w:w="709"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+1 150</w:t>
            </w:r>
          </w:p>
        </w:tc>
      </w:tr>
      <w:tr w:rsidR="00000000" w:rsidRPr="00C9680B">
        <w:tblPrEx>
          <w:tblCellMar>
            <w:top w:w="0" w:type="dxa"/>
            <w:bottom w:w="0" w:type="dxa"/>
          </w:tblCellMar>
        </w:tblPrEx>
        <w:trPr>
          <w:trHeight w:val="180"/>
          <w:jc w:val="right"/>
        </w:trPr>
        <w:tc>
          <w:tcPr>
            <w:tcW w:w="513" w:type="dxa"/>
          </w:tcPr>
          <w:p w:rsidR="001C7BF9" w:rsidRPr="00C9680B" w:rsidRDefault="001C7BF9">
            <w:pPr>
              <w:spacing w:before="40" w:line="180" w:lineRule="exact"/>
              <w:jc w:val="right"/>
              <w:rPr>
                <w:b/>
                <w:snapToGrid w:val="0"/>
                <w:color w:val="000000"/>
                <w:sz w:val="17"/>
                <w:lang w:eastAsia="sv-SE"/>
              </w:rPr>
            </w:pPr>
          </w:p>
        </w:tc>
        <w:tc>
          <w:tcPr>
            <w:tcW w:w="2693" w:type="dxa"/>
            <w:gridSpan w:val="3"/>
          </w:tcPr>
          <w:p w:rsidR="001C7BF9" w:rsidRPr="00C9680B" w:rsidRDefault="001C7BF9">
            <w:pPr>
              <w:spacing w:before="40" w:line="180" w:lineRule="exact"/>
              <w:ind w:left="57" w:hanging="57"/>
              <w:jc w:val="left"/>
              <w:rPr>
                <w:snapToGrid w:val="0"/>
                <w:color w:val="000000"/>
                <w:sz w:val="17"/>
                <w:lang w:eastAsia="sv-SE"/>
              </w:rPr>
            </w:pPr>
            <w:r w:rsidRPr="00C9680B">
              <w:rPr>
                <w:snapToGrid w:val="0"/>
                <w:color w:val="000000"/>
                <w:sz w:val="17"/>
                <w:lang w:eastAsia="sv-SE"/>
              </w:rPr>
              <w:t>Individuella utbildningskonton, alte</w:t>
            </w:r>
            <w:r w:rsidRPr="00C9680B">
              <w:rPr>
                <w:snapToGrid w:val="0"/>
                <w:color w:val="000000"/>
                <w:sz w:val="17"/>
                <w:lang w:eastAsia="sv-SE"/>
              </w:rPr>
              <w:t>r</w:t>
            </w:r>
            <w:r w:rsidRPr="00C9680B">
              <w:rPr>
                <w:snapToGrid w:val="0"/>
                <w:color w:val="000000"/>
                <w:sz w:val="17"/>
                <w:lang w:eastAsia="sv-SE"/>
              </w:rPr>
              <w:t>nativmodell</w:t>
            </w:r>
          </w:p>
        </w:tc>
        <w:tc>
          <w:tcPr>
            <w:tcW w:w="1417" w:type="dxa"/>
            <w:gridSpan w:val="2"/>
          </w:tcPr>
          <w:p w:rsidR="001C7BF9" w:rsidRPr="00C9680B" w:rsidRDefault="001C7BF9">
            <w:pPr>
              <w:spacing w:before="40" w:line="180" w:lineRule="exac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+1 150</w:t>
            </w:r>
          </w:p>
        </w:tc>
        <w:tc>
          <w:tcPr>
            <w:tcW w:w="567"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+1 150</w:t>
            </w:r>
          </w:p>
        </w:tc>
      </w:tr>
      <w:tr w:rsidR="00000000" w:rsidRPr="00C9680B">
        <w:tblPrEx>
          <w:tblCellMar>
            <w:top w:w="0" w:type="dxa"/>
            <w:bottom w:w="0" w:type="dxa"/>
          </w:tblCellMar>
        </w:tblPrEx>
        <w:trPr>
          <w:trHeight w:val="180"/>
          <w:jc w:val="right"/>
        </w:trPr>
        <w:tc>
          <w:tcPr>
            <w:tcW w:w="513"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1713</w:t>
            </w:r>
          </w:p>
        </w:tc>
        <w:tc>
          <w:tcPr>
            <w:tcW w:w="2693" w:type="dxa"/>
            <w:gridSpan w:val="3"/>
          </w:tcPr>
          <w:p w:rsidR="001C7BF9" w:rsidRPr="00C9680B" w:rsidRDefault="001C7BF9">
            <w:pPr>
              <w:spacing w:before="80" w:line="180" w:lineRule="exact"/>
              <w:ind w:left="113" w:hanging="113"/>
              <w:rPr>
                <w:b/>
                <w:snapToGrid w:val="0"/>
                <w:color w:val="000000"/>
                <w:sz w:val="17"/>
                <w:lang w:eastAsia="sv-SE"/>
              </w:rPr>
            </w:pPr>
            <w:r w:rsidRPr="00C9680B">
              <w:rPr>
                <w:b/>
                <w:snapToGrid w:val="0"/>
                <w:color w:val="000000"/>
                <w:sz w:val="17"/>
                <w:lang w:eastAsia="sv-SE"/>
              </w:rPr>
              <w:t>Nedsättning, bredbandsinsta</w:t>
            </w:r>
            <w:r w:rsidRPr="00C9680B">
              <w:rPr>
                <w:b/>
                <w:snapToGrid w:val="0"/>
                <w:color w:val="000000"/>
                <w:sz w:val="17"/>
                <w:lang w:eastAsia="sv-SE"/>
              </w:rPr>
              <w:t>l</w:t>
            </w:r>
            <w:r w:rsidRPr="00C9680B">
              <w:rPr>
                <w:b/>
                <w:snapToGrid w:val="0"/>
                <w:color w:val="000000"/>
                <w:sz w:val="17"/>
                <w:lang w:eastAsia="sv-SE"/>
              </w:rPr>
              <w:t>lation</w:t>
            </w:r>
          </w:p>
        </w:tc>
        <w:tc>
          <w:tcPr>
            <w:tcW w:w="709"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-800</w:t>
            </w:r>
          </w:p>
        </w:tc>
        <w:tc>
          <w:tcPr>
            <w:tcW w:w="708"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+800</w:t>
            </w:r>
          </w:p>
        </w:tc>
        <w:tc>
          <w:tcPr>
            <w:tcW w:w="709" w:type="dxa"/>
          </w:tcPr>
          <w:p w:rsidR="001C7BF9" w:rsidRPr="00C9680B" w:rsidRDefault="001C7BF9">
            <w:pPr>
              <w:spacing w:before="80" w:line="180" w:lineRule="exact"/>
              <w:jc w:val="right"/>
              <w:rPr>
                <w:b/>
                <w:snapToGrid w:val="0"/>
                <w:color w:val="000000"/>
                <w:sz w:val="17"/>
                <w:lang w:eastAsia="sv-SE"/>
              </w:rPr>
            </w:pPr>
          </w:p>
        </w:tc>
        <w:tc>
          <w:tcPr>
            <w:tcW w:w="567"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+800</w:t>
            </w:r>
          </w:p>
        </w:tc>
        <w:tc>
          <w:tcPr>
            <w:tcW w:w="709" w:type="dxa"/>
          </w:tcPr>
          <w:p w:rsidR="001C7BF9" w:rsidRPr="00C9680B" w:rsidRDefault="001C7BF9">
            <w:pPr>
              <w:spacing w:before="80" w:line="180" w:lineRule="exact"/>
              <w:jc w:val="right"/>
              <w:rPr>
                <w:b/>
                <w:snapToGrid w:val="0"/>
                <w:color w:val="000000"/>
                <w:sz w:val="17"/>
                <w:lang w:eastAsia="sv-SE"/>
              </w:rPr>
            </w:pPr>
            <w:r w:rsidRPr="00C9680B">
              <w:rPr>
                <w:b/>
                <w:snapToGrid w:val="0"/>
                <w:color w:val="000000"/>
                <w:sz w:val="17"/>
                <w:lang w:eastAsia="sv-SE"/>
              </w:rPr>
              <w:t>+800</w:t>
            </w:r>
          </w:p>
        </w:tc>
      </w:tr>
      <w:tr w:rsidR="00000000" w:rsidRPr="00C9680B">
        <w:tblPrEx>
          <w:tblCellMar>
            <w:top w:w="0" w:type="dxa"/>
            <w:bottom w:w="0" w:type="dxa"/>
          </w:tblCellMar>
        </w:tblPrEx>
        <w:trPr>
          <w:trHeight w:val="180"/>
          <w:jc w:val="right"/>
        </w:trPr>
        <w:tc>
          <w:tcPr>
            <w:tcW w:w="513" w:type="dxa"/>
          </w:tcPr>
          <w:p w:rsidR="001C7BF9" w:rsidRPr="00C9680B" w:rsidRDefault="001C7BF9">
            <w:pPr>
              <w:spacing w:before="40" w:line="180" w:lineRule="exact"/>
              <w:jc w:val="right"/>
              <w:rPr>
                <w:b/>
                <w:snapToGrid w:val="0"/>
                <w:color w:val="000000"/>
                <w:sz w:val="17"/>
                <w:lang w:eastAsia="sv-SE"/>
              </w:rPr>
            </w:pPr>
          </w:p>
        </w:tc>
        <w:tc>
          <w:tcPr>
            <w:tcW w:w="2693" w:type="dxa"/>
            <w:gridSpan w:val="3"/>
          </w:tcPr>
          <w:p w:rsidR="001C7BF9" w:rsidRPr="00C9680B" w:rsidRDefault="001C7BF9">
            <w:pPr>
              <w:spacing w:before="40" w:line="180" w:lineRule="exact"/>
              <w:ind w:left="113" w:hanging="113"/>
              <w:rPr>
                <w:snapToGrid w:val="0"/>
                <w:color w:val="000000"/>
                <w:sz w:val="17"/>
                <w:lang w:eastAsia="sv-SE"/>
              </w:rPr>
            </w:pPr>
            <w:r w:rsidRPr="00C9680B">
              <w:rPr>
                <w:snapToGrid w:val="0"/>
                <w:color w:val="000000"/>
                <w:sz w:val="17"/>
                <w:lang w:eastAsia="sv-SE"/>
              </w:rPr>
              <w:t>Nej till regeringens förslag</w:t>
            </w:r>
          </w:p>
        </w:tc>
        <w:tc>
          <w:tcPr>
            <w:tcW w:w="709" w:type="dxa"/>
          </w:tcPr>
          <w:p w:rsidR="001C7BF9" w:rsidRPr="00C9680B" w:rsidRDefault="001C7BF9">
            <w:pPr>
              <w:spacing w:before="40" w:line="180" w:lineRule="exact"/>
              <w:jc w:val="right"/>
              <w:rPr>
                <w:b/>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+800</w:t>
            </w:r>
          </w:p>
        </w:tc>
        <w:tc>
          <w:tcPr>
            <w:tcW w:w="709" w:type="dxa"/>
          </w:tcPr>
          <w:p w:rsidR="001C7BF9" w:rsidRPr="00C9680B" w:rsidRDefault="001C7BF9">
            <w:pPr>
              <w:spacing w:before="40" w:line="180" w:lineRule="exact"/>
              <w:jc w:val="right"/>
              <w:rPr>
                <w:snapToGrid w:val="0"/>
                <w:color w:val="000000"/>
                <w:sz w:val="17"/>
                <w:lang w:eastAsia="sv-SE"/>
              </w:rPr>
            </w:pPr>
          </w:p>
        </w:tc>
        <w:tc>
          <w:tcPr>
            <w:tcW w:w="567"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+800</w:t>
            </w: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+800</w:t>
            </w:r>
          </w:p>
        </w:tc>
      </w:tr>
      <w:tr w:rsidR="00000000" w:rsidRPr="00C9680B">
        <w:tblPrEx>
          <w:tblCellMar>
            <w:top w:w="0" w:type="dxa"/>
            <w:bottom w:w="0" w:type="dxa"/>
          </w:tblCellMar>
        </w:tblPrEx>
        <w:trPr>
          <w:trHeight w:val="180"/>
          <w:jc w:val="right"/>
        </w:trPr>
        <w:tc>
          <w:tcPr>
            <w:tcW w:w="513" w:type="dxa"/>
          </w:tcPr>
          <w:p w:rsidR="001C7BF9" w:rsidRPr="00C9680B" w:rsidRDefault="001C7BF9">
            <w:pPr>
              <w:spacing w:before="100" w:line="180" w:lineRule="exact"/>
              <w:jc w:val="right"/>
              <w:rPr>
                <w:b/>
                <w:snapToGrid w:val="0"/>
                <w:color w:val="000000"/>
                <w:sz w:val="17"/>
                <w:lang w:eastAsia="sv-SE"/>
              </w:rPr>
            </w:pPr>
            <w:r w:rsidRPr="00C9680B">
              <w:rPr>
                <w:b/>
                <w:snapToGrid w:val="0"/>
                <w:color w:val="000000"/>
                <w:sz w:val="17"/>
                <w:lang w:eastAsia="sv-SE"/>
              </w:rPr>
              <w:t>1800</w:t>
            </w:r>
          </w:p>
        </w:tc>
        <w:tc>
          <w:tcPr>
            <w:tcW w:w="2693" w:type="dxa"/>
            <w:gridSpan w:val="3"/>
          </w:tcPr>
          <w:p w:rsidR="001C7BF9" w:rsidRPr="00C9680B" w:rsidRDefault="001C7BF9">
            <w:pPr>
              <w:spacing w:before="100" w:line="180" w:lineRule="exact"/>
              <w:ind w:left="113" w:hanging="113"/>
              <w:rPr>
                <w:b/>
                <w:snapToGrid w:val="0"/>
                <w:color w:val="000000"/>
                <w:sz w:val="17"/>
                <w:lang w:eastAsia="sv-SE"/>
              </w:rPr>
            </w:pPr>
            <w:r w:rsidRPr="00C9680B">
              <w:rPr>
                <w:b/>
                <w:snapToGrid w:val="0"/>
                <w:color w:val="000000"/>
                <w:sz w:val="17"/>
                <w:lang w:eastAsia="sv-SE"/>
              </w:rPr>
              <w:t>Övrigt</w:t>
            </w:r>
          </w:p>
        </w:tc>
        <w:tc>
          <w:tcPr>
            <w:tcW w:w="709" w:type="dxa"/>
          </w:tcPr>
          <w:p w:rsidR="001C7BF9" w:rsidRPr="00C9680B" w:rsidRDefault="001C7BF9">
            <w:pPr>
              <w:spacing w:before="100" w:line="180" w:lineRule="exact"/>
              <w:jc w:val="right"/>
              <w:rPr>
                <w:b/>
                <w:snapToGrid w:val="0"/>
                <w:color w:val="000000"/>
                <w:sz w:val="17"/>
                <w:lang w:eastAsia="sv-SE"/>
              </w:rPr>
            </w:pPr>
          </w:p>
        </w:tc>
        <w:tc>
          <w:tcPr>
            <w:tcW w:w="708" w:type="dxa"/>
          </w:tcPr>
          <w:p w:rsidR="001C7BF9" w:rsidRPr="00C9680B" w:rsidRDefault="001C7BF9">
            <w:pPr>
              <w:spacing w:before="100" w:line="180" w:lineRule="exact"/>
              <w:jc w:val="right"/>
              <w:rPr>
                <w:b/>
                <w:snapToGrid w:val="0"/>
                <w:color w:val="000000"/>
                <w:sz w:val="17"/>
                <w:lang w:eastAsia="sv-SE"/>
              </w:rPr>
            </w:pPr>
          </w:p>
        </w:tc>
        <w:tc>
          <w:tcPr>
            <w:tcW w:w="709" w:type="dxa"/>
          </w:tcPr>
          <w:p w:rsidR="001C7BF9" w:rsidRPr="00C9680B" w:rsidRDefault="001C7BF9">
            <w:pPr>
              <w:spacing w:before="100" w:line="180" w:lineRule="exact"/>
              <w:jc w:val="right"/>
              <w:rPr>
                <w:b/>
                <w:snapToGrid w:val="0"/>
                <w:color w:val="000000"/>
                <w:sz w:val="17"/>
                <w:lang w:eastAsia="sv-SE"/>
              </w:rPr>
            </w:pPr>
          </w:p>
        </w:tc>
        <w:tc>
          <w:tcPr>
            <w:tcW w:w="567" w:type="dxa"/>
          </w:tcPr>
          <w:p w:rsidR="001C7BF9" w:rsidRPr="00C9680B" w:rsidRDefault="001C7BF9">
            <w:pPr>
              <w:spacing w:before="100" w:line="180" w:lineRule="exact"/>
              <w:jc w:val="right"/>
              <w:rPr>
                <w:b/>
                <w:snapToGrid w:val="0"/>
                <w:color w:val="000000"/>
                <w:sz w:val="17"/>
                <w:lang w:eastAsia="sv-SE"/>
              </w:rPr>
            </w:pPr>
          </w:p>
        </w:tc>
        <w:tc>
          <w:tcPr>
            <w:tcW w:w="709" w:type="dxa"/>
          </w:tcPr>
          <w:p w:rsidR="001C7BF9" w:rsidRPr="00C9680B" w:rsidRDefault="001C7BF9">
            <w:pPr>
              <w:spacing w:before="100" w:line="180" w:lineRule="exact"/>
              <w:jc w:val="right"/>
              <w:rPr>
                <w:b/>
                <w:snapToGrid w:val="0"/>
                <w:color w:val="000000"/>
                <w:sz w:val="17"/>
                <w:lang w:eastAsia="sv-SE"/>
              </w:rPr>
            </w:pPr>
            <w:r w:rsidRPr="00C9680B">
              <w:rPr>
                <w:b/>
                <w:snapToGrid w:val="0"/>
                <w:color w:val="000000"/>
                <w:sz w:val="17"/>
                <w:lang w:eastAsia="sv-SE"/>
              </w:rPr>
              <w:t>+2 300</w:t>
            </w:r>
          </w:p>
        </w:tc>
      </w:tr>
      <w:tr w:rsidR="00000000" w:rsidRPr="00C9680B">
        <w:tblPrEx>
          <w:tblCellMar>
            <w:top w:w="0" w:type="dxa"/>
            <w:bottom w:w="0" w:type="dxa"/>
          </w:tblCellMar>
        </w:tblPrEx>
        <w:trPr>
          <w:trHeight w:val="180"/>
          <w:jc w:val="right"/>
        </w:trPr>
        <w:tc>
          <w:tcPr>
            <w:tcW w:w="513" w:type="dxa"/>
          </w:tcPr>
          <w:p w:rsidR="001C7BF9" w:rsidRPr="00C9680B" w:rsidRDefault="001C7BF9">
            <w:pPr>
              <w:spacing w:before="40" w:line="180" w:lineRule="exact"/>
              <w:jc w:val="right"/>
              <w:rPr>
                <w:snapToGrid w:val="0"/>
                <w:color w:val="000000"/>
                <w:sz w:val="17"/>
                <w:lang w:eastAsia="sv-SE"/>
              </w:rPr>
            </w:pPr>
          </w:p>
        </w:tc>
        <w:tc>
          <w:tcPr>
            <w:tcW w:w="2693" w:type="dxa"/>
            <w:gridSpan w:val="3"/>
          </w:tcPr>
          <w:p w:rsidR="001C7BF9" w:rsidRPr="00C9680B" w:rsidRDefault="001C7BF9">
            <w:pPr>
              <w:spacing w:before="40" w:line="180" w:lineRule="exact"/>
              <w:ind w:left="113" w:hanging="113"/>
              <w:rPr>
                <w:snapToGrid w:val="0"/>
                <w:color w:val="000000"/>
                <w:sz w:val="17"/>
                <w:lang w:eastAsia="sv-SE"/>
              </w:rPr>
            </w:pPr>
            <w:r w:rsidRPr="00C9680B">
              <w:rPr>
                <w:snapToGrid w:val="0"/>
                <w:color w:val="000000"/>
                <w:sz w:val="17"/>
                <w:lang w:eastAsia="sv-SE"/>
              </w:rPr>
              <w:t>Kommunmoms</w:t>
            </w:r>
          </w:p>
        </w:tc>
        <w:tc>
          <w:tcPr>
            <w:tcW w:w="709"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567"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+1 300</w:t>
            </w:r>
          </w:p>
        </w:tc>
      </w:tr>
      <w:tr w:rsidR="00000000" w:rsidRPr="00C9680B">
        <w:tblPrEx>
          <w:tblCellMar>
            <w:top w:w="0" w:type="dxa"/>
            <w:bottom w:w="0" w:type="dxa"/>
          </w:tblCellMar>
        </w:tblPrEx>
        <w:trPr>
          <w:trHeight w:val="180"/>
          <w:jc w:val="right"/>
        </w:trPr>
        <w:tc>
          <w:tcPr>
            <w:tcW w:w="513" w:type="dxa"/>
          </w:tcPr>
          <w:p w:rsidR="001C7BF9" w:rsidRPr="00C9680B" w:rsidRDefault="001C7BF9">
            <w:pPr>
              <w:spacing w:before="40" w:line="180" w:lineRule="exact"/>
              <w:jc w:val="right"/>
              <w:rPr>
                <w:snapToGrid w:val="0"/>
                <w:color w:val="000000"/>
                <w:sz w:val="17"/>
                <w:lang w:eastAsia="sv-SE"/>
              </w:rPr>
            </w:pPr>
          </w:p>
        </w:tc>
        <w:tc>
          <w:tcPr>
            <w:tcW w:w="2693" w:type="dxa"/>
            <w:gridSpan w:val="3"/>
          </w:tcPr>
          <w:p w:rsidR="001C7BF9" w:rsidRPr="00C9680B" w:rsidRDefault="001C7BF9">
            <w:pPr>
              <w:spacing w:before="40" w:line="180" w:lineRule="exact"/>
              <w:ind w:left="113" w:hanging="113"/>
              <w:rPr>
                <w:snapToGrid w:val="0"/>
                <w:color w:val="000000"/>
                <w:sz w:val="17"/>
                <w:lang w:eastAsia="sv-SE"/>
              </w:rPr>
            </w:pPr>
            <w:r w:rsidRPr="00C9680B">
              <w:rPr>
                <w:snapToGrid w:val="0"/>
                <w:color w:val="000000"/>
                <w:sz w:val="17"/>
                <w:lang w:eastAsia="sv-SE"/>
              </w:rPr>
              <w:t>Övrigt</w:t>
            </w:r>
          </w:p>
        </w:tc>
        <w:tc>
          <w:tcPr>
            <w:tcW w:w="709" w:type="dxa"/>
          </w:tcPr>
          <w:p w:rsidR="001C7BF9" w:rsidRPr="00C9680B" w:rsidRDefault="001C7BF9">
            <w:pPr>
              <w:spacing w:before="40" w:line="180" w:lineRule="exact"/>
              <w:jc w:val="right"/>
              <w:rPr>
                <w:snapToGrid w:val="0"/>
                <w:color w:val="000000"/>
                <w:sz w:val="17"/>
                <w:lang w:eastAsia="sv-SE"/>
              </w:rPr>
            </w:pPr>
          </w:p>
        </w:tc>
        <w:tc>
          <w:tcPr>
            <w:tcW w:w="708"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p>
        </w:tc>
        <w:tc>
          <w:tcPr>
            <w:tcW w:w="567" w:type="dxa"/>
          </w:tcPr>
          <w:p w:rsidR="001C7BF9" w:rsidRPr="00C9680B" w:rsidRDefault="001C7BF9">
            <w:pPr>
              <w:spacing w:before="40" w:line="180" w:lineRule="exact"/>
              <w:jc w:val="right"/>
              <w:rPr>
                <w:snapToGrid w:val="0"/>
                <w:color w:val="000000"/>
                <w:sz w:val="17"/>
                <w:lang w:eastAsia="sv-SE"/>
              </w:rPr>
            </w:pPr>
          </w:p>
        </w:tc>
        <w:tc>
          <w:tcPr>
            <w:tcW w:w="709" w:type="dxa"/>
          </w:tcPr>
          <w:p w:rsidR="001C7BF9" w:rsidRPr="00C9680B" w:rsidRDefault="001C7BF9">
            <w:pPr>
              <w:spacing w:before="40" w:line="180" w:lineRule="exact"/>
              <w:jc w:val="right"/>
              <w:rPr>
                <w:snapToGrid w:val="0"/>
                <w:color w:val="000000"/>
                <w:sz w:val="17"/>
                <w:lang w:eastAsia="sv-SE"/>
              </w:rPr>
            </w:pPr>
            <w:r w:rsidRPr="00C9680B">
              <w:rPr>
                <w:snapToGrid w:val="0"/>
                <w:color w:val="000000"/>
                <w:sz w:val="17"/>
                <w:lang w:eastAsia="sv-SE"/>
              </w:rPr>
              <w:t>+1 000</w:t>
            </w:r>
          </w:p>
        </w:tc>
      </w:tr>
      <w:tr w:rsidR="00000000" w:rsidRPr="00C9680B">
        <w:tblPrEx>
          <w:tblCellMar>
            <w:top w:w="0" w:type="dxa"/>
            <w:bottom w:w="0" w:type="dxa"/>
          </w:tblCellMar>
        </w:tblPrEx>
        <w:trPr>
          <w:trHeight w:val="180"/>
          <w:jc w:val="right"/>
        </w:trPr>
        <w:tc>
          <w:tcPr>
            <w:tcW w:w="513"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2693" w:type="dxa"/>
            <w:gridSpan w:val="3"/>
            <w:tcBorders>
              <w:bottom w:val="single" w:sz="4" w:space="0" w:color="auto"/>
            </w:tcBorders>
          </w:tcPr>
          <w:p w:rsidR="001C7BF9" w:rsidRPr="00C9680B" w:rsidRDefault="001C7BF9">
            <w:pPr>
              <w:spacing w:before="40" w:line="180" w:lineRule="exact"/>
              <w:ind w:left="113" w:hanging="113"/>
              <w:rPr>
                <w:snapToGrid w:val="0"/>
                <w:color w:val="000000"/>
                <w:sz w:val="17"/>
                <w:lang w:eastAsia="sv-SE"/>
              </w:rPr>
            </w:pPr>
          </w:p>
        </w:tc>
        <w:tc>
          <w:tcPr>
            <w:tcW w:w="709"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708"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709"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567"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c>
          <w:tcPr>
            <w:tcW w:w="709" w:type="dxa"/>
            <w:tcBorders>
              <w:bottom w:val="single" w:sz="4" w:space="0" w:color="auto"/>
            </w:tcBorders>
          </w:tcPr>
          <w:p w:rsidR="001C7BF9" w:rsidRPr="00C9680B" w:rsidRDefault="001C7BF9">
            <w:pPr>
              <w:spacing w:before="40" w:line="180" w:lineRule="exact"/>
              <w:jc w:val="right"/>
              <w:rPr>
                <w:snapToGrid w:val="0"/>
                <w:color w:val="000000"/>
                <w:sz w:val="17"/>
                <w:lang w:eastAsia="sv-SE"/>
              </w:rPr>
            </w:pPr>
          </w:p>
        </w:tc>
      </w:tr>
    </w:tbl>
    <w:p w:rsidR="001C7BF9" w:rsidRPr="00C9680B" w:rsidRDefault="001C7BF9">
      <w:pPr>
        <w:pStyle w:val="Utskottsfrslagikorthet-Rubrik"/>
        <w:rPr>
          <w:noProof w:val="0"/>
        </w:rPr>
      </w:pPr>
      <w:bookmarkStart w:id="419" w:name="_Toc498763578"/>
      <w:r w:rsidRPr="00C9680B">
        <w:rPr>
          <w:noProof w:val="0"/>
        </w:rPr>
        <w:t>Utskottets delförslag i korthet</w:t>
      </w:r>
    </w:p>
    <w:p w:rsidR="001C7BF9" w:rsidRPr="00C9680B" w:rsidRDefault="001C7BF9">
      <w:pPr>
        <w:pStyle w:val="Utskottsfrslagikorthet-Text"/>
      </w:pPr>
      <w:r w:rsidRPr="00C9680B">
        <w:t>Riksdagen godkänner regeringens förslag till beräkning av nedsät</w:t>
      </w:r>
      <w:r w:rsidRPr="00C9680B">
        <w:t>t</w:t>
      </w:r>
      <w:r w:rsidRPr="00C9680B">
        <w:t>ning av skatter m.m. Riksdagen avslår motsvarande förslag i m</w:t>
      </w:r>
      <w:r w:rsidRPr="00C9680B">
        <w:t>o</w:t>
      </w:r>
      <w:r w:rsidRPr="00C9680B">
        <w:t xml:space="preserve">tionerna. </w:t>
      </w:r>
    </w:p>
    <w:p w:rsidR="001C7BF9" w:rsidRPr="00C9680B" w:rsidRDefault="001C7BF9">
      <w:pPr>
        <w:pStyle w:val="Utskottsfrslagikorthet-Text"/>
      </w:pPr>
      <w:r w:rsidRPr="00C9680B">
        <w:t>Jämför reservationerna 12 (m), 13 (kd), 14 (c) och 15 (fp).</w:t>
      </w:r>
    </w:p>
    <w:p w:rsidR="001C7BF9" w:rsidRPr="00C9680B" w:rsidRDefault="001C7BF9">
      <w:pPr>
        <w:pStyle w:val="Rubrik4"/>
        <w:rPr>
          <w:noProof w:val="0"/>
        </w:rPr>
      </w:pPr>
      <w:bookmarkStart w:id="420" w:name="_Toc498910747"/>
      <w:r w:rsidRPr="00C9680B">
        <w:rPr>
          <w:noProof w:val="0"/>
        </w:rPr>
        <w:t>Propositionen</w:t>
      </w:r>
      <w:bookmarkEnd w:id="419"/>
      <w:bookmarkEnd w:id="420"/>
    </w:p>
    <w:p w:rsidR="001C7BF9" w:rsidRPr="00C9680B" w:rsidRDefault="001C7BF9">
      <w:r w:rsidRPr="00C9680B">
        <w:t>Under den nya inkomsthuvudgruppen 1700 Nedsättning av skatter redovisar regeringen nedsättning av skatter till följd av anställningsstöd, kompetensu</w:t>
      </w:r>
      <w:r w:rsidRPr="00C9680B">
        <w:t>t</w:t>
      </w:r>
      <w:r w:rsidRPr="00C9680B">
        <w:t>vec</w:t>
      </w:r>
      <w:r w:rsidRPr="00C9680B">
        <w:t>k</w:t>
      </w:r>
      <w:r w:rsidRPr="00C9680B">
        <w:t xml:space="preserve">ling och satsningen på bredbandsinstallation. </w:t>
      </w:r>
    </w:p>
    <w:p w:rsidR="001C7BF9" w:rsidRPr="00C9680B" w:rsidRDefault="001C7BF9">
      <w:pPr>
        <w:pStyle w:val="Rubrik4"/>
        <w:rPr>
          <w:noProof w:val="0"/>
        </w:rPr>
      </w:pPr>
      <w:bookmarkStart w:id="421" w:name="_Toc498763579"/>
      <w:bookmarkStart w:id="422" w:name="_Toc498910748"/>
      <w:r w:rsidRPr="00C9680B">
        <w:rPr>
          <w:noProof w:val="0"/>
        </w:rPr>
        <w:t>Motionerna</w:t>
      </w:r>
      <w:bookmarkEnd w:id="421"/>
      <w:bookmarkEnd w:id="422"/>
    </w:p>
    <w:p w:rsidR="001C7BF9" w:rsidRPr="00C9680B" w:rsidRDefault="001C7BF9">
      <w:r w:rsidRPr="00C9680B">
        <w:rPr>
          <w:i/>
        </w:rPr>
        <w:t xml:space="preserve">Moderata samlingspartiet </w:t>
      </w:r>
      <w:r w:rsidRPr="00C9680B">
        <w:t xml:space="preserve">motsätter sig i </w:t>
      </w:r>
      <w:r w:rsidRPr="00C9680B">
        <w:rPr>
          <w:i/>
        </w:rPr>
        <w:t>motion Fi208</w:t>
      </w:r>
      <w:r w:rsidRPr="00C9680B">
        <w:t xml:space="preserve"> (yrkande 7) regerin</w:t>
      </w:r>
      <w:r w:rsidRPr="00C9680B">
        <w:t>g</w:t>
      </w:r>
      <w:r w:rsidRPr="00C9680B">
        <w:t>ens s.k. bredbandsavdrag och tillgodoräknar istället staten motsvarande i</w:t>
      </w:r>
      <w:r w:rsidRPr="00C9680B">
        <w:t>n</w:t>
      </w:r>
      <w:r w:rsidRPr="00C9680B">
        <w:t>kom</w:t>
      </w:r>
      <w:r w:rsidRPr="00C9680B">
        <w:t>s</w:t>
      </w:r>
      <w:r w:rsidRPr="00C9680B">
        <w:t>ter.</w:t>
      </w:r>
    </w:p>
    <w:p w:rsidR="001C7BF9" w:rsidRPr="00C9680B" w:rsidRDefault="001C7BF9">
      <w:pPr>
        <w:pStyle w:val="Normaltindrag"/>
      </w:pPr>
      <w:r w:rsidRPr="00C9680B">
        <w:t xml:space="preserve">I </w:t>
      </w:r>
      <w:r w:rsidRPr="00C9680B">
        <w:rPr>
          <w:i/>
        </w:rPr>
        <w:t>motion Fi209</w:t>
      </w:r>
      <w:r w:rsidRPr="00C9680B">
        <w:t xml:space="preserve"> (yrkande 5) tillgodoräknar sig </w:t>
      </w:r>
      <w:r w:rsidRPr="00C9680B">
        <w:rPr>
          <w:i/>
        </w:rPr>
        <w:t>Kristdemokraterna</w:t>
      </w:r>
      <w:r w:rsidRPr="00C9680B">
        <w:t xml:space="preserve"> inkom</w:t>
      </w:r>
      <w:r w:rsidRPr="00C9680B">
        <w:t>s</w:t>
      </w:r>
      <w:r w:rsidRPr="00C9680B">
        <w:t>ter dels genom att förespråka en annan form av anställningsstöd än regerin</w:t>
      </w:r>
      <w:r w:rsidRPr="00C9680B">
        <w:t>g</w:t>
      </w:r>
      <w:r w:rsidRPr="00C9680B">
        <w:t xml:space="preserve">en, dels genom att avvisa regeringens finansiering av utbildningskonton och förorda en mindre kostsam modell. </w:t>
      </w:r>
    </w:p>
    <w:p w:rsidR="001C7BF9" w:rsidRPr="00C9680B" w:rsidRDefault="001C7BF9">
      <w:pPr>
        <w:pStyle w:val="Normaltindrag"/>
      </w:pPr>
      <w:r w:rsidRPr="00C9680B">
        <w:rPr>
          <w:i/>
        </w:rPr>
        <w:t xml:space="preserve">Centerpartiet </w:t>
      </w:r>
      <w:r w:rsidRPr="00C9680B">
        <w:t xml:space="preserve">avvisar i </w:t>
      </w:r>
      <w:r w:rsidRPr="00C9680B">
        <w:rPr>
          <w:i/>
        </w:rPr>
        <w:t>motion Fi210</w:t>
      </w:r>
      <w:r w:rsidRPr="00C9680B">
        <w:t xml:space="preserve"> (yrkande 3) av regeringens skattene</w:t>
      </w:r>
      <w:r w:rsidRPr="00C9680B">
        <w:t>d</w:t>
      </w:r>
      <w:r w:rsidRPr="00C9680B">
        <w:t>sät</w:t>
      </w:r>
      <w:r w:rsidRPr="00C9680B">
        <w:t>t</w:t>
      </w:r>
      <w:r w:rsidRPr="00C9680B">
        <w:t>ning för bredbandinstallation.</w:t>
      </w:r>
    </w:p>
    <w:p w:rsidR="001C7BF9" w:rsidRPr="00C9680B" w:rsidRDefault="001C7BF9">
      <w:pPr>
        <w:pStyle w:val="Normaltindrag"/>
      </w:pPr>
      <w:r w:rsidRPr="00C9680B">
        <w:rPr>
          <w:i/>
        </w:rPr>
        <w:t xml:space="preserve">Folkpartiet liberalerna </w:t>
      </w:r>
      <w:r w:rsidRPr="00C9680B">
        <w:t xml:space="preserve">säger i </w:t>
      </w:r>
      <w:r w:rsidRPr="00C9680B">
        <w:rPr>
          <w:i/>
        </w:rPr>
        <w:t>motion Fi211</w:t>
      </w:r>
      <w:r w:rsidRPr="00C9680B">
        <w:t xml:space="preserve"> (yrkande 5) nej både till reg</w:t>
      </w:r>
      <w:r w:rsidRPr="00C9680B">
        <w:t>e</w:t>
      </w:r>
      <w:r w:rsidRPr="00C9680B">
        <w:t>ringens s.k. bredbandsavdrag och till den form av avdrag som anställning</w:t>
      </w:r>
      <w:r w:rsidRPr="00C9680B">
        <w:t>s</w:t>
      </w:r>
      <w:r w:rsidRPr="00C9680B">
        <w:t>stödet innebär. Vidare förordas ett alternativt system för kompetensutvec</w:t>
      </w:r>
      <w:r w:rsidRPr="00C9680B">
        <w:t>k</w:t>
      </w:r>
      <w:r w:rsidRPr="00C9680B">
        <w:t>ling. Motionärerna föreslår också att kommunernas skuld till staten i ko</w:t>
      </w:r>
      <w:r w:rsidRPr="00C9680B">
        <w:t>m</w:t>
      </w:r>
      <w:r w:rsidRPr="00C9680B">
        <w:t xml:space="preserve">munkontosystemet inte skall efterskänkas utan tillgodoräknar i stället staten under 2001 delar av dessa medel. </w:t>
      </w:r>
    </w:p>
    <w:p w:rsidR="001C7BF9" w:rsidRPr="00C9680B" w:rsidRDefault="001C7BF9">
      <w:pPr>
        <w:pStyle w:val="Rubrik4"/>
        <w:rPr>
          <w:noProof w:val="0"/>
        </w:rPr>
      </w:pPr>
      <w:bookmarkStart w:id="423" w:name="_Toc498763580"/>
      <w:bookmarkStart w:id="424" w:name="_Toc498910749"/>
      <w:r w:rsidRPr="00C9680B">
        <w:rPr>
          <w:noProof w:val="0"/>
        </w:rPr>
        <w:t>Finansutskottets ställningstagande</w:t>
      </w:r>
      <w:bookmarkEnd w:id="423"/>
      <w:bookmarkEnd w:id="424"/>
    </w:p>
    <w:p w:rsidR="001C7BF9" w:rsidRPr="00C9680B" w:rsidRDefault="001C7BF9">
      <w:r w:rsidRPr="00C9680B">
        <w:t>Finansutskottet ser positivt på att en skattereduktion införs för utgifter vid anslutningar för tele- och datakommunikation. Utgångspunkten för förslaget är att stimulera företag och hushåll utanför större tätorter till bredbandsanslu</w:t>
      </w:r>
      <w:r w:rsidRPr="00C9680B">
        <w:t>t</w:t>
      </w:r>
      <w:r w:rsidRPr="00C9680B">
        <w:t>ningar. I korthet är förslaget så utformat att subvention utgår över ett visst belopp. Genom denna konstruktion får förslaget en god regionalpolitisk profil eftersom de regioner som har höga anslutningskostn</w:t>
      </w:r>
      <w:r w:rsidRPr="00C9680B">
        <w:t>a</w:t>
      </w:r>
      <w:r w:rsidRPr="00C9680B">
        <w:t>der gynnas.</w:t>
      </w:r>
    </w:p>
    <w:p w:rsidR="001C7BF9" w:rsidRPr="00C9680B" w:rsidRDefault="001C7BF9">
      <w:pPr>
        <w:pStyle w:val="Normaltindrag"/>
      </w:pPr>
      <w:r w:rsidRPr="00C9680B">
        <w:t>Frågan om kommunernas skuld i kommunkontosystemet behandlas i b</w:t>
      </w:r>
      <w:r w:rsidRPr="00C9680B">
        <w:t>e</w:t>
      </w:r>
      <w:r w:rsidRPr="00C9680B">
        <w:t>tänkande 2000/01:FiU11 där utskottet ställer sig bakom regeringens förslag att efterskänka skulden till kommunerna.</w:t>
      </w:r>
    </w:p>
    <w:p w:rsidR="001C7BF9" w:rsidRPr="00C9680B" w:rsidRDefault="001C7BF9">
      <w:pPr>
        <w:pStyle w:val="Normaltindrag"/>
      </w:pPr>
      <w:r w:rsidRPr="00C9680B">
        <w:t>Finansutskottet tillstyrker budgetpropositionens förslag till beräkning av nedsättning av skatter m.m. och avstyrker motionerna Fi208 (m) yrkande 7 delvis, Fi209 (kd) yrkande 5 delvis, Fi210 (c) yrkande 3 delvis och Fi211 (fp) yrkande 5 delvis.</w:t>
      </w:r>
    </w:p>
    <w:p w:rsidR="001C7BF9" w:rsidRPr="00C9680B" w:rsidRDefault="001C7BF9">
      <w:pPr>
        <w:pStyle w:val="Rubrik2"/>
      </w:pPr>
      <w:bookmarkStart w:id="425" w:name="_Toc498238837"/>
      <w:r w:rsidRPr="00C9680B">
        <w:br w:type="page"/>
      </w:r>
      <w:bookmarkStart w:id="426" w:name="_Toc498910750"/>
      <w:r w:rsidRPr="00C9680B">
        <w:t>3.9 Inkomster av statens verksamhet</w:t>
      </w:r>
      <w:bookmarkEnd w:id="425"/>
      <w:bookmarkEnd w:id="426"/>
    </w:p>
    <w:p w:rsidR="001C7BF9" w:rsidRPr="00C9680B" w:rsidRDefault="001C7BF9"/>
    <w:tbl>
      <w:tblPr>
        <w:tblW w:w="0" w:type="auto"/>
        <w:jc w:val="right"/>
        <w:tblLayout w:type="fixed"/>
        <w:tblCellMar>
          <w:left w:w="30" w:type="dxa"/>
          <w:right w:w="30" w:type="dxa"/>
        </w:tblCellMar>
        <w:tblLook w:val="0000" w:firstRow="0" w:lastRow="0" w:firstColumn="0" w:lastColumn="0" w:noHBand="0" w:noVBand="0"/>
      </w:tblPr>
      <w:tblGrid>
        <w:gridCol w:w="513"/>
        <w:gridCol w:w="708"/>
        <w:gridCol w:w="1701"/>
        <w:gridCol w:w="284"/>
        <w:gridCol w:w="793"/>
        <w:gridCol w:w="567"/>
        <w:gridCol w:w="709"/>
        <w:gridCol w:w="709"/>
        <w:gridCol w:w="709"/>
      </w:tblGrid>
      <w:tr w:rsidR="00000000" w:rsidRPr="00C9680B">
        <w:tblPrEx>
          <w:tblCellMar>
            <w:top w:w="0" w:type="dxa"/>
            <w:bottom w:w="0" w:type="dxa"/>
          </w:tblCellMar>
        </w:tblPrEx>
        <w:trPr>
          <w:cantSplit/>
          <w:trHeight w:val="180"/>
          <w:jc w:val="right"/>
        </w:trPr>
        <w:tc>
          <w:tcPr>
            <w:tcW w:w="6693" w:type="dxa"/>
            <w:gridSpan w:val="9"/>
          </w:tcPr>
          <w:p w:rsidR="001C7BF9" w:rsidRPr="00C9680B" w:rsidRDefault="001C7BF9">
            <w:pPr>
              <w:spacing w:before="40" w:line="180" w:lineRule="exact"/>
              <w:ind w:left="113" w:hanging="113"/>
              <w:jc w:val="left"/>
              <w:rPr>
                <w:b/>
                <w:snapToGrid w:val="0"/>
                <w:color w:val="000000"/>
                <w:sz w:val="17"/>
                <w:lang w:eastAsia="sv-SE"/>
              </w:rPr>
            </w:pPr>
            <w:r w:rsidRPr="00C9680B">
              <w:rPr>
                <w:b/>
                <w:snapToGrid w:val="0"/>
                <w:color w:val="000000"/>
                <w:sz w:val="17"/>
                <w:lang w:eastAsia="sv-SE"/>
              </w:rPr>
              <w:t>Tabell 41. Huvudgrupp 2000 Inkomster av statens verksa</w:t>
            </w:r>
            <w:r w:rsidRPr="00C9680B">
              <w:rPr>
                <w:b/>
                <w:snapToGrid w:val="0"/>
                <w:color w:val="000000"/>
                <w:sz w:val="17"/>
                <w:lang w:eastAsia="sv-SE"/>
              </w:rPr>
              <w:t>m</w:t>
            </w:r>
            <w:r w:rsidRPr="00C9680B">
              <w:rPr>
                <w:b/>
                <w:snapToGrid w:val="0"/>
                <w:color w:val="000000"/>
                <w:sz w:val="17"/>
                <w:lang w:eastAsia="sv-SE"/>
              </w:rPr>
              <w:t>het</w:t>
            </w:r>
          </w:p>
          <w:p w:rsidR="001C7BF9" w:rsidRPr="00C9680B" w:rsidRDefault="001C7BF9">
            <w:pPr>
              <w:pStyle w:val="Normaltindrag"/>
              <w:ind w:firstLine="0"/>
              <w:rPr>
                <w:sz w:val="14"/>
              </w:rPr>
            </w:pPr>
            <w:r w:rsidRPr="00C9680B">
              <w:rPr>
                <w:sz w:val="14"/>
              </w:rPr>
              <w:t>Miljoner kronor</w:t>
            </w:r>
          </w:p>
        </w:tc>
      </w:tr>
      <w:tr w:rsidR="00000000" w:rsidRPr="00C9680B">
        <w:tblPrEx>
          <w:tblCellMar>
            <w:top w:w="0" w:type="dxa"/>
            <w:bottom w:w="0" w:type="dxa"/>
          </w:tblCellMar>
        </w:tblPrEx>
        <w:trPr>
          <w:cantSplit/>
          <w:trHeight w:val="180"/>
          <w:jc w:val="right"/>
        </w:trPr>
        <w:tc>
          <w:tcPr>
            <w:tcW w:w="2922" w:type="dxa"/>
            <w:gridSpan w:val="3"/>
            <w:tcBorders>
              <w:top w:val="single" w:sz="4" w:space="0" w:color="auto"/>
            </w:tcBorders>
          </w:tcPr>
          <w:p w:rsidR="001C7BF9" w:rsidRPr="00C9680B" w:rsidRDefault="001C7BF9">
            <w:pPr>
              <w:spacing w:before="40" w:line="180" w:lineRule="exact"/>
              <w:ind w:left="113" w:hanging="113"/>
              <w:rPr>
                <w:snapToGrid w:val="0"/>
                <w:color w:val="000000"/>
                <w:sz w:val="17"/>
                <w:lang w:eastAsia="sv-SE"/>
              </w:rPr>
            </w:pPr>
          </w:p>
        </w:tc>
        <w:tc>
          <w:tcPr>
            <w:tcW w:w="1077" w:type="dxa"/>
            <w:gridSpan w:val="2"/>
            <w:tcBorders>
              <w:top w:val="single" w:sz="4" w:space="0" w:color="auto"/>
            </w:tcBorders>
          </w:tcPr>
          <w:p w:rsidR="001C7BF9" w:rsidRPr="00C9680B" w:rsidRDefault="001C7BF9">
            <w:pPr>
              <w:spacing w:before="40" w:line="180" w:lineRule="exact"/>
              <w:ind w:left="113" w:hanging="113"/>
              <w:jc w:val="right"/>
              <w:rPr>
                <w:b/>
                <w:snapToGrid w:val="0"/>
                <w:color w:val="000000"/>
                <w:sz w:val="17"/>
                <w:lang w:eastAsia="sv-SE"/>
              </w:rPr>
            </w:pPr>
            <w:r w:rsidRPr="00C9680B">
              <w:rPr>
                <w:b/>
                <w:snapToGrid w:val="0"/>
                <w:color w:val="000000"/>
                <w:sz w:val="17"/>
                <w:lang w:eastAsia="sv-SE"/>
              </w:rPr>
              <w:t>Reg</w:t>
            </w:r>
            <w:r w:rsidRPr="00C9680B">
              <w:rPr>
                <w:b/>
                <w:snapToGrid w:val="0"/>
                <w:color w:val="000000"/>
                <w:sz w:val="17"/>
                <w:lang w:eastAsia="sv-SE"/>
              </w:rPr>
              <w:t>e</w:t>
            </w:r>
            <w:r w:rsidRPr="00C9680B">
              <w:rPr>
                <w:b/>
                <w:snapToGrid w:val="0"/>
                <w:color w:val="000000"/>
                <w:sz w:val="17"/>
                <w:lang w:eastAsia="sv-SE"/>
              </w:rPr>
              <w:t>ringens</w:t>
            </w:r>
          </w:p>
        </w:tc>
        <w:tc>
          <w:tcPr>
            <w:tcW w:w="2694" w:type="dxa"/>
            <w:gridSpan w:val="4"/>
            <w:tcBorders>
              <w:top w:val="single" w:sz="4" w:space="0" w:color="auto"/>
              <w:bottom w:val="single" w:sz="6" w:space="0" w:color="auto"/>
            </w:tcBorders>
          </w:tcPr>
          <w:p w:rsidR="001C7BF9" w:rsidRPr="00C9680B" w:rsidRDefault="001C7BF9">
            <w:pPr>
              <w:spacing w:before="40" w:line="180" w:lineRule="exact"/>
              <w:ind w:left="113" w:hanging="113"/>
              <w:jc w:val="right"/>
              <w:rPr>
                <w:snapToGrid w:val="0"/>
                <w:color w:val="000000"/>
                <w:sz w:val="17"/>
                <w:lang w:eastAsia="sv-SE"/>
              </w:rPr>
            </w:pPr>
            <w:r w:rsidRPr="00C9680B">
              <w:rPr>
                <w:snapToGrid w:val="0"/>
                <w:color w:val="000000"/>
                <w:sz w:val="17"/>
                <w:lang w:eastAsia="sv-SE"/>
              </w:rPr>
              <w:t>Avvikelser från regeringens fö</w:t>
            </w:r>
            <w:r w:rsidRPr="00C9680B">
              <w:rPr>
                <w:snapToGrid w:val="0"/>
                <w:color w:val="000000"/>
                <w:sz w:val="17"/>
                <w:lang w:eastAsia="sv-SE"/>
              </w:rPr>
              <w:t>r</w:t>
            </w:r>
            <w:r w:rsidRPr="00C9680B">
              <w:rPr>
                <w:snapToGrid w:val="0"/>
                <w:color w:val="000000"/>
                <w:sz w:val="17"/>
                <w:lang w:eastAsia="sv-SE"/>
              </w:rPr>
              <w:t>slag</w:t>
            </w:r>
          </w:p>
        </w:tc>
      </w:tr>
      <w:tr w:rsidR="00000000" w:rsidRPr="00C9680B">
        <w:tblPrEx>
          <w:tblCellMar>
            <w:top w:w="0" w:type="dxa"/>
            <w:bottom w:w="0" w:type="dxa"/>
          </w:tblCellMar>
        </w:tblPrEx>
        <w:trPr>
          <w:trHeight w:val="180"/>
          <w:jc w:val="right"/>
        </w:trPr>
        <w:tc>
          <w:tcPr>
            <w:tcW w:w="1221" w:type="dxa"/>
            <w:gridSpan w:val="2"/>
            <w:tcBorders>
              <w:bottom w:val="single" w:sz="4" w:space="0" w:color="auto"/>
            </w:tcBorders>
          </w:tcPr>
          <w:p w:rsidR="001C7BF9" w:rsidRPr="00C9680B" w:rsidRDefault="001C7BF9">
            <w:pPr>
              <w:spacing w:before="40" w:line="180" w:lineRule="exact"/>
              <w:ind w:left="113" w:hanging="113"/>
              <w:rPr>
                <w:snapToGrid w:val="0"/>
                <w:color w:val="000000"/>
                <w:sz w:val="17"/>
                <w:lang w:eastAsia="sv-SE"/>
              </w:rPr>
            </w:pPr>
            <w:r w:rsidRPr="00C9680B">
              <w:rPr>
                <w:snapToGrid w:val="0"/>
                <w:color w:val="000000"/>
                <w:sz w:val="17"/>
                <w:lang w:eastAsia="sv-SE"/>
              </w:rPr>
              <w:t>Inkomstt</w:t>
            </w:r>
            <w:r w:rsidRPr="00C9680B">
              <w:rPr>
                <w:snapToGrid w:val="0"/>
                <w:color w:val="000000"/>
                <w:sz w:val="17"/>
                <w:lang w:eastAsia="sv-SE"/>
              </w:rPr>
              <w:t>i</w:t>
            </w:r>
            <w:r w:rsidRPr="00C9680B">
              <w:rPr>
                <w:snapToGrid w:val="0"/>
                <w:color w:val="000000"/>
                <w:sz w:val="17"/>
                <w:lang w:eastAsia="sv-SE"/>
              </w:rPr>
              <w:t>tel</w:t>
            </w:r>
          </w:p>
        </w:tc>
        <w:tc>
          <w:tcPr>
            <w:tcW w:w="1701" w:type="dxa"/>
            <w:tcBorders>
              <w:bottom w:val="single" w:sz="4" w:space="0" w:color="auto"/>
            </w:tcBorders>
          </w:tcPr>
          <w:p w:rsidR="001C7BF9" w:rsidRPr="00C9680B" w:rsidRDefault="001C7BF9">
            <w:pPr>
              <w:spacing w:before="40" w:line="180" w:lineRule="exact"/>
              <w:ind w:left="113" w:hanging="113"/>
              <w:jc w:val="right"/>
              <w:rPr>
                <w:snapToGrid w:val="0"/>
                <w:color w:val="000000"/>
                <w:sz w:val="17"/>
                <w:lang w:eastAsia="sv-SE"/>
              </w:rPr>
            </w:pPr>
          </w:p>
        </w:tc>
        <w:tc>
          <w:tcPr>
            <w:tcW w:w="1077" w:type="dxa"/>
            <w:gridSpan w:val="2"/>
            <w:tcBorders>
              <w:bottom w:val="single" w:sz="4" w:space="0" w:color="auto"/>
            </w:tcBorders>
          </w:tcPr>
          <w:p w:rsidR="001C7BF9" w:rsidRPr="00C9680B" w:rsidRDefault="001C7BF9">
            <w:pPr>
              <w:spacing w:before="40" w:line="180" w:lineRule="exact"/>
              <w:ind w:left="113" w:hanging="113"/>
              <w:jc w:val="right"/>
              <w:rPr>
                <w:b/>
                <w:snapToGrid w:val="0"/>
                <w:color w:val="000000"/>
                <w:sz w:val="17"/>
                <w:lang w:eastAsia="sv-SE"/>
              </w:rPr>
            </w:pPr>
            <w:r w:rsidRPr="00C9680B">
              <w:rPr>
                <w:b/>
                <w:snapToGrid w:val="0"/>
                <w:color w:val="000000"/>
                <w:sz w:val="17"/>
                <w:lang w:eastAsia="sv-SE"/>
              </w:rPr>
              <w:t>förslag</w:t>
            </w:r>
          </w:p>
        </w:tc>
        <w:tc>
          <w:tcPr>
            <w:tcW w:w="567" w:type="dxa"/>
            <w:tcBorders>
              <w:bottom w:val="single" w:sz="4" w:space="0" w:color="auto"/>
            </w:tcBorders>
          </w:tcPr>
          <w:p w:rsidR="001C7BF9" w:rsidRPr="00C9680B" w:rsidRDefault="001C7BF9">
            <w:pPr>
              <w:spacing w:before="40" w:line="180" w:lineRule="exact"/>
              <w:ind w:left="113" w:hanging="113"/>
              <w:jc w:val="right"/>
              <w:rPr>
                <w:b/>
                <w:snapToGrid w:val="0"/>
                <w:color w:val="000000"/>
                <w:sz w:val="17"/>
                <w:lang w:eastAsia="sv-SE"/>
              </w:rPr>
            </w:pPr>
            <w:r w:rsidRPr="00C9680B">
              <w:rPr>
                <w:b/>
                <w:snapToGrid w:val="0"/>
                <w:color w:val="000000"/>
                <w:sz w:val="17"/>
                <w:lang w:eastAsia="sv-SE"/>
              </w:rPr>
              <w:t>m</w:t>
            </w:r>
          </w:p>
        </w:tc>
        <w:tc>
          <w:tcPr>
            <w:tcW w:w="709" w:type="dxa"/>
            <w:tcBorders>
              <w:bottom w:val="single" w:sz="4" w:space="0" w:color="auto"/>
            </w:tcBorders>
          </w:tcPr>
          <w:p w:rsidR="001C7BF9" w:rsidRPr="00C9680B" w:rsidRDefault="001C7BF9">
            <w:pPr>
              <w:spacing w:before="40" w:line="180" w:lineRule="exact"/>
              <w:ind w:left="113" w:hanging="113"/>
              <w:jc w:val="right"/>
              <w:rPr>
                <w:b/>
                <w:snapToGrid w:val="0"/>
                <w:color w:val="000000"/>
                <w:sz w:val="17"/>
                <w:lang w:eastAsia="sv-SE"/>
              </w:rPr>
            </w:pPr>
            <w:r w:rsidRPr="00C9680B">
              <w:rPr>
                <w:b/>
                <w:snapToGrid w:val="0"/>
                <w:color w:val="000000"/>
                <w:sz w:val="17"/>
                <w:lang w:eastAsia="sv-SE"/>
              </w:rPr>
              <w:t>kd</w:t>
            </w:r>
          </w:p>
        </w:tc>
        <w:tc>
          <w:tcPr>
            <w:tcW w:w="709" w:type="dxa"/>
            <w:tcBorders>
              <w:bottom w:val="single" w:sz="4" w:space="0" w:color="auto"/>
            </w:tcBorders>
          </w:tcPr>
          <w:p w:rsidR="001C7BF9" w:rsidRPr="00C9680B" w:rsidRDefault="001C7BF9">
            <w:pPr>
              <w:spacing w:before="40" w:line="180" w:lineRule="exact"/>
              <w:ind w:left="113" w:hanging="113"/>
              <w:jc w:val="right"/>
              <w:rPr>
                <w:b/>
                <w:snapToGrid w:val="0"/>
                <w:color w:val="000000"/>
                <w:sz w:val="17"/>
                <w:lang w:eastAsia="sv-SE"/>
              </w:rPr>
            </w:pPr>
            <w:r w:rsidRPr="00C9680B">
              <w:rPr>
                <w:b/>
                <w:snapToGrid w:val="0"/>
                <w:color w:val="000000"/>
                <w:sz w:val="17"/>
                <w:lang w:eastAsia="sv-SE"/>
              </w:rPr>
              <w:t>c</w:t>
            </w:r>
          </w:p>
        </w:tc>
        <w:tc>
          <w:tcPr>
            <w:tcW w:w="709" w:type="dxa"/>
            <w:tcBorders>
              <w:bottom w:val="single" w:sz="4" w:space="0" w:color="auto"/>
            </w:tcBorders>
          </w:tcPr>
          <w:p w:rsidR="001C7BF9" w:rsidRPr="00C9680B" w:rsidRDefault="001C7BF9">
            <w:pPr>
              <w:spacing w:before="40" w:line="180" w:lineRule="exact"/>
              <w:ind w:left="113" w:hanging="113"/>
              <w:jc w:val="right"/>
              <w:rPr>
                <w:b/>
                <w:snapToGrid w:val="0"/>
                <w:color w:val="000000"/>
                <w:sz w:val="17"/>
                <w:lang w:eastAsia="sv-SE"/>
              </w:rPr>
            </w:pPr>
            <w:r w:rsidRPr="00C9680B">
              <w:rPr>
                <w:b/>
                <w:snapToGrid w:val="0"/>
                <w:color w:val="000000"/>
                <w:sz w:val="17"/>
                <w:lang w:eastAsia="sv-SE"/>
              </w:rPr>
              <w:t>fp</w:t>
            </w:r>
          </w:p>
        </w:tc>
      </w:tr>
      <w:tr w:rsidR="00000000" w:rsidRPr="00C9680B">
        <w:tblPrEx>
          <w:tblCellMar>
            <w:top w:w="0" w:type="dxa"/>
            <w:bottom w:w="0" w:type="dxa"/>
          </w:tblCellMar>
        </w:tblPrEx>
        <w:trPr>
          <w:trHeight w:val="180"/>
          <w:jc w:val="right"/>
        </w:trPr>
        <w:tc>
          <w:tcPr>
            <w:tcW w:w="513" w:type="dxa"/>
          </w:tcPr>
          <w:p w:rsidR="001C7BF9" w:rsidRPr="00C9680B" w:rsidRDefault="001C7BF9">
            <w:pPr>
              <w:spacing w:before="40" w:line="180" w:lineRule="exact"/>
              <w:ind w:left="113" w:hanging="113"/>
              <w:jc w:val="right"/>
              <w:rPr>
                <w:b/>
                <w:snapToGrid w:val="0"/>
                <w:color w:val="000000"/>
                <w:sz w:val="17"/>
                <w:lang w:eastAsia="sv-SE"/>
              </w:rPr>
            </w:pPr>
            <w:r w:rsidRPr="00C9680B">
              <w:rPr>
                <w:b/>
                <w:snapToGrid w:val="0"/>
                <w:color w:val="000000"/>
                <w:sz w:val="17"/>
                <w:lang w:eastAsia="sv-SE"/>
              </w:rPr>
              <w:t>2411</w:t>
            </w:r>
          </w:p>
        </w:tc>
        <w:tc>
          <w:tcPr>
            <w:tcW w:w="2693" w:type="dxa"/>
            <w:gridSpan w:val="3"/>
          </w:tcPr>
          <w:p w:rsidR="001C7BF9" w:rsidRPr="00C9680B" w:rsidRDefault="001C7BF9">
            <w:pPr>
              <w:spacing w:before="40" w:line="180" w:lineRule="exact"/>
              <w:ind w:left="113" w:hanging="113"/>
              <w:jc w:val="left"/>
              <w:rPr>
                <w:b/>
                <w:snapToGrid w:val="0"/>
                <w:color w:val="000000"/>
                <w:sz w:val="17"/>
                <w:lang w:eastAsia="sv-SE"/>
              </w:rPr>
            </w:pPr>
            <w:r w:rsidRPr="00C9680B">
              <w:rPr>
                <w:b/>
                <w:snapToGrid w:val="0"/>
                <w:color w:val="000000"/>
                <w:sz w:val="17"/>
                <w:lang w:eastAsia="sv-SE"/>
              </w:rPr>
              <w:t>Inkomster av statens a</w:t>
            </w:r>
            <w:r w:rsidRPr="00C9680B">
              <w:rPr>
                <w:b/>
                <w:snapToGrid w:val="0"/>
                <w:color w:val="000000"/>
                <w:sz w:val="17"/>
                <w:lang w:eastAsia="sv-SE"/>
              </w:rPr>
              <w:t>k</w:t>
            </w:r>
            <w:r w:rsidRPr="00C9680B">
              <w:rPr>
                <w:b/>
                <w:snapToGrid w:val="0"/>
                <w:color w:val="000000"/>
                <w:sz w:val="17"/>
                <w:lang w:eastAsia="sv-SE"/>
              </w:rPr>
              <w:t>tier</w:t>
            </w:r>
          </w:p>
        </w:tc>
        <w:tc>
          <w:tcPr>
            <w:tcW w:w="793" w:type="dxa"/>
          </w:tcPr>
          <w:p w:rsidR="001C7BF9" w:rsidRPr="00C9680B" w:rsidRDefault="001C7BF9">
            <w:pPr>
              <w:spacing w:before="40" w:line="180" w:lineRule="exact"/>
              <w:ind w:left="113" w:hanging="113"/>
              <w:jc w:val="right"/>
              <w:rPr>
                <w:b/>
                <w:snapToGrid w:val="0"/>
                <w:color w:val="000000"/>
                <w:sz w:val="17"/>
                <w:lang w:eastAsia="sv-SE"/>
              </w:rPr>
            </w:pPr>
            <w:r w:rsidRPr="00C9680B">
              <w:rPr>
                <w:b/>
                <w:snapToGrid w:val="0"/>
                <w:color w:val="000000"/>
                <w:sz w:val="17"/>
                <w:lang w:eastAsia="sv-SE"/>
              </w:rPr>
              <w:t>5 433</w:t>
            </w:r>
          </w:p>
        </w:tc>
        <w:tc>
          <w:tcPr>
            <w:tcW w:w="567" w:type="dxa"/>
          </w:tcPr>
          <w:p w:rsidR="001C7BF9" w:rsidRPr="00C9680B" w:rsidRDefault="001C7BF9">
            <w:pPr>
              <w:spacing w:before="40" w:line="180" w:lineRule="exact"/>
              <w:ind w:left="113" w:hanging="113"/>
              <w:jc w:val="right"/>
              <w:rPr>
                <w:snapToGrid w:val="0"/>
                <w:color w:val="000000"/>
                <w:sz w:val="17"/>
                <w:lang w:eastAsia="sv-SE"/>
              </w:rPr>
            </w:pPr>
          </w:p>
        </w:tc>
        <w:tc>
          <w:tcPr>
            <w:tcW w:w="709" w:type="dxa"/>
          </w:tcPr>
          <w:p w:rsidR="001C7BF9" w:rsidRPr="00C9680B" w:rsidRDefault="001C7BF9">
            <w:pPr>
              <w:spacing w:before="40" w:line="180" w:lineRule="exact"/>
              <w:ind w:left="113" w:hanging="113"/>
              <w:jc w:val="right"/>
              <w:rPr>
                <w:b/>
                <w:snapToGrid w:val="0"/>
                <w:color w:val="000000"/>
                <w:sz w:val="17"/>
                <w:lang w:eastAsia="sv-SE"/>
              </w:rPr>
            </w:pPr>
            <w:r w:rsidRPr="00C9680B">
              <w:rPr>
                <w:b/>
                <w:snapToGrid w:val="0"/>
                <w:color w:val="000000"/>
                <w:sz w:val="17"/>
                <w:lang w:eastAsia="sv-SE"/>
              </w:rPr>
              <w:t>-720</w:t>
            </w:r>
          </w:p>
        </w:tc>
        <w:tc>
          <w:tcPr>
            <w:tcW w:w="709" w:type="dxa"/>
          </w:tcPr>
          <w:p w:rsidR="001C7BF9" w:rsidRPr="00C9680B" w:rsidRDefault="001C7BF9">
            <w:pPr>
              <w:spacing w:before="40" w:line="180" w:lineRule="exact"/>
              <w:ind w:left="113" w:hanging="113"/>
              <w:jc w:val="right"/>
              <w:rPr>
                <w:b/>
                <w:snapToGrid w:val="0"/>
                <w:color w:val="000000"/>
                <w:sz w:val="17"/>
                <w:lang w:eastAsia="sv-SE"/>
              </w:rPr>
            </w:pPr>
          </w:p>
        </w:tc>
        <w:tc>
          <w:tcPr>
            <w:tcW w:w="709" w:type="dxa"/>
          </w:tcPr>
          <w:p w:rsidR="001C7BF9" w:rsidRPr="00C9680B" w:rsidRDefault="001C7BF9">
            <w:pPr>
              <w:spacing w:before="40" w:line="180" w:lineRule="exact"/>
              <w:ind w:left="113" w:hanging="113"/>
              <w:jc w:val="right"/>
              <w:rPr>
                <w:b/>
                <w:snapToGrid w:val="0"/>
                <w:color w:val="000000"/>
                <w:sz w:val="17"/>
                <w:lang w:eastAsia="sv-SE"/>
              </w:rPr>
            </w:pPr>
            <w:r w:rsidRPr="00C9680B">
              <w:rPr>
                <w:b/>
                <w:snapToGrid w:val="0"/>
                <w:color w:val="000000"/>
                <w:sz w:val="17"/>
                <w:lang w:eastAsia="sv-SE"/>
              </w:rPr>
              <w:t>+3 200</w:t>
            </w:r>
          </w:p>
        </w:tc>
      </w:tr>
      <w:tr w:rsidR="00000000" w:rsidRPr="00C9680B">
        <w:tblPrEx>
          <w:tblCellMar>
            <w:top w:w="0" w:type="dxa"/>
            <w:bottom w:w="0" w:type="dxa"/>
          </w:tblCellMar>
        </w:tblPrEx>
        <w:trPr>
          <w:trHeight w:val="180"/>
          <w:jc w:val="right"/>
        </w:trPr>
        <w:tc>
          <w:tcPr>
            <w:tcW w:w="513" w:type="dxa"/>
          </w:tcPr>
          <w:p w:rsidR="001C7BF9" w:rsidRPr="00C9680B" w:rsidRDefault="001C7BF9">
            <w:pPr>
              <w:spacing w:before="80" w:line="180" w:lineRule="exact"/>
              <w:ind w:left="113" w:hanging="113"/>
              <w:jc w:val="right"/>
              <w:rPr>
                <w:snapToGrid w:val="0"/>
                <w:color w:val="000000"/>
                <w:sz w:val="17"/>
                <w:lang w:eastAsia="sv-SE"/>
              </w:rPr>
            </w:pPr>
          </w:p>
        </w:tc>
        <w:tc>
          <w:tcPr>
            <w:tcW w:w="2693" w:type="dxa"/>
            <w:gridSpan w:val="3"/>
          </w:tcPr>
          <w:p w:rsidR="001C7BF9" w:rsidRPr="00C9680B" w:rsidRDefault="001C7BF9">
            <w:pPr>
              <w:spacing w:before="80" w:line="180" w:lineRule="exact"/>
              <w:ind w:left="113" w:hanging="113"/>
              <w:jc w:val="left"/>
              <w:rPr>
                <w:snapToGrid w:val="0"/>
                <w:color w:val="000000"/>
                <w:sz w:val="17"/>
                <w:lang w:eastAsia="sv-SE"/>
              </w:rPr>
            </w:pPr>
            <w:r w:rsidRPr="00C9680B">
              <w:rPr>
                <w:snapToGrid w:val="0"/>
                <w:color w:val="000000"/>
                <w:sz w:val="17"/>
                <w:lang w:eastAsia="sv-SE"/>
              </w:rPr>
              <w:t>Aktieutdelning (inlev. Vatte</w:t>
            </w:r>
            <w:r w:rsidRPr="00C9680B">
              <w:rPr>
                <w:snapToGrid w:val="0"/>
                <w:color w:val="000000"/>
                <w:sz w:val="17"/>
                <w:lang w:eastAsia="sv-SE"/>
              </w:rPr>
              <w:t>n</w:t>
            </w:r>
            <w:r w:rsidRPr="00C9680B">
              <w:rPr>
                <w:snapToGrid w:val="0"/>
                <w:color w:val="000000"/>
                <w:sz w:val="17"/>
                <w:lang w:eastAsia="sv-SE"/>
              </w:rPr>
              <w:t>fall)</w:t>
            </w:r>
          </w:p>
        </w:tc>
        <w:tc>
          <w:tcPr>
            <w:tcW w:w="793" w:type="dxa"/>
          </w:tcPr>
          <w:p w:rsidR="001C7BF9" w:rsidRPr="00C9680B" w:rsidRDefault="001C7BF9">
            <w:pPr>
              <w:spacing w:before="80" w:line="180" w:lineRule="exact"/>
              <w:ind w:left="113" w:hanging="113"/>
              <w:rPr>
                <w:snapToGrid w:val="0"/>
                <w:color w:val="000000"/>
                <w:sz w:val="17"/>
                <w:lang w:eastAsia="sv-SE"/>
              </w:rPr>
            </w:pPr>
          </w:p>
        </w:tc>
        <w:tc>
          <w:tcPr>
            <w:tcW w:w="567" w:type="dxa"/>
          </w:tcPr>
          <w:p w:rsidR="001C7BF9" w:rsidRPr="00C9680B" w:rsidRDefault="001C7BF9">
            <w:pPr>
              <w:spacing w:before="80" w:line="180" w:lineRule="exact"/>
              <w:ind w:left="113" w:hanging="113"/>
              <w:jc w:val="right"/>
              <w:rPr>
                <w:snapToGrid w:val="0"/>
                <w:color w:val="000000"/>
                <w:sz w:val="17"/>
                <w:lang w:eastAsia="sv-SE"/>
              </w:rPr>
            </w:pPr>
          </w:p>
        </w:tc>
        <w:tc>
          <w:tcPr>
            <w:tcW w:w="709" w:type="dxa"/>
          </w:tcPr>
          <w:p w:rsidR="001C7BF9" w:rsidRPr="00C9680B" w:rsidRDefault="001C7BF9">
            <w:pPr>
              <w:spacing w:before="80" w:line="180" w:lineRule="exact"/>
              <w:ind w:left="113" w:hanging="113"/>
              <w:jc w:val="right"/>
              <w:rPr>
                <w:snapToGrid w:val="0"/>
                <w:color w:val="000000"/>
                <w:sz w:val="17"/>
                <w:lang w:eastAsia="sv-SE"/>
              </w:rPr>
            </w:pPr>
          </w:p>
        </w:tc>
        <w:tc>
          <w:tcPr>
            <w:tcW w:w="709" w:type="dxa"/>
          </w:tcPr>
          <w:p w:rsidR="001C7BF9" w:rsidRPr="00C9680B" w:rsidRDefault="001C7BF9">
            <w:pPr>
              <w:spacing w:before="80" w:line="180" w:lineRule="exact"/>
              <w:ind w:left="113" w:hanging="113"/>
              <w:jc w:val="right"/>
              <w:rPr>
                <w:snapToGrid w:val="0"/>
                <w:color w:val="000000"/>
                <w:sz w:val="17"/>
                <w:lang w:eastAsia="sv-SE"/>
              </w:rPr>
            </w:pPr>
          </w:p>
        </w:tc>
        <w:tc>
          <w:tcPr>
            <w:tcW w:w="709" w:type="dxa"/>
          </w:tcPr>
          <w:p w:rsidR="001C7BF9" w:rsidRPr="00C9680B" w:rsidRDefault="001C7BF9">
            <w:pPr>
              <w:spacing w:before="80" w:line="180" w:lineRule="exact"/>
              <w:ind w:left="113" w:hanging="113"/>
              <w:jc w:val="right"/>
              <w:rPr>
                <w:snapToGrid w:val="0"/>
                <w:color w:val="000000"/>
                <w:sz w:val="17"/>
                <w:lang w:eastAsia="sv-SE"/>
              </w:rPr>
            </w:pPr>
            <w:r w:rsidRPr="00C9680B">
              <w:rPr>
                <w:snapToGrid w:val="0"/>
                <w:color w:val="000000"/>
                <w:sz w:val="17"/>
                <w:lang w:eastAsia="sv-SE"/>
              </w:rPr>
              <w:t>+500</w:t>
            </w:r>
          </w:p>
        </w:tc>
      </w:tr>
      <w:tr w:rsidR="00000000" w:rsidRPr="00C9680B">
        <w:tblPrEx>
          <w:tblCellMar>
            <w:top w:w="0" w:type="dxa"/>
            <w:bottom w:w="0" w:type="dxa"/>
          </w:tblCellMar>
        </w:tblPrEx>
        <w:trPr>
          <w:trHeight w:val="180"/>
          <w:jc w:val="right"/>
        </w:trPr>
        <w:tc>
          <w:tcPr>
            <w:tcW w:w="513" w:type="dxa"/>
          </w:tcPr>
          <w:p w:rsidR="001C7BF9" w:rsidRPr="00C9680B" w:rsidRDefault="001C7BF9">
            <w:pPr>
              <w:spacing w:before="40" w:line="180" w:lineRule="exact"/>
              <w:ind w:left="113" w:hanging="113"/>
              <w:jc w:val="right"/>
              <w:rPr>
                <w:snapToGrid w:val="0"/>
                <w:color w:val="000000"/>
                <w:sz w:val="17"/>
                <w:lang w:eastAsia="sv-SE"/>
              </w:rPr>
            </w:pPr>
          </w:p>
        </w:tc>
        <w:tc>
          <w:tcPr>
            <w:tcW w:w="2693" w:type="dxa"/>
            <w:gridSpan w:val="3"/>
          </w:tcPr>
          <w:p w:rsidR="001C7BF9" w:rsidRPr="00C9680B" w:rsidRDefault="001C7BF9">
            <w:pPr>
              <w:spacing w:before="40" w:line="180" w:lineRule="exact"/>
              <w:ind w:left="57" w:hanging="57"/>
              <w:jc w:val="left"/>
              <w:rPr>
                <w:snapToGrid w:val="0"/>
                <w:color w:val="000000"/>
                <w:sz w:val="17"/>
                <w:lang w:eastAsia="sv-SE"/>
              </w:rPr>
            </w:pPr>
            <w:r w:rsidRPr="00C9680B">
              <w:rPr>
                <w:snapToGrid w:val="0"/>
                <w:color w:val="000000"/>
                <w:sz w:val="17"/>
                <w:lang w:eastAsia="sv-SE"/>
              </w:rPr>
              <w:t>Licensintäkter, radiofrekve</w:t>
            </w:r>
            <w:r w:rsidRPr="00C9680B">
              <w:rPr>
                <w:snapToGrid w:val="0"/>
                <w:color w:val="000000"/>
                <w:sz w:val="17"/>
                <w:lang w:eastAsia="sv-SE"/>
              </w:rPr>
              <w:t>n</w:t>
            </w:r>
            <w:r w:rsidRPr="00C9680B">
              <w:rPr>
                <w:snapToGrid w:val="0"/>
                <w:color w:val="000000"/>
                <w:sz w:val="17"/>
                <w:lang w:eastAsia="sv-SE"/>
              </w:rPr>
              <w:t>ser m.m.</w:t>
            </w:r>
          </w:p>
        </w:tc>
        <w:tc>
          <w:tcPr>
            <w:tcW w:w="793" w:type="dxa"/>
          </w:tcPr>
          <w:p w:rsidR="001C7BF9" w:rsidRPr="00C9680B" w:rsidRDefault="001C7BF9">
            <w:pPr>
              <w:spacing w:before="40" w:line="180" w:lineRule="exact"/>
              <w:ind w:left="113" w:hanging="113"/>
              <w:jc w:val="right"/>
              <w:rPr>
                <w:snapToGrid w:val="0"/>
                <w:color w:val="000000"/>
                <w:sz w:val="17"/>
                <w:lang w:eastAsia="sv-SE"/>
              </w:rPr>
            </w:pPr>
          </w:p>
        </w:tc>
        <w:tc>
          <w:tcPr>
            <w:tcW w:w="567" w:type="dxa"/>
          </w:tcPr>
          <w:p w:rsidR="001C7BF9" w:rsidRPr="00C9680B" w:rsidRDefault="001C7BF9">
            <w:pPr>
              <w:spacing w:before="40" w:line="180" w:lineRule="exact"/>
              <w:ind w:left="113" w:hanging="113"/>
              <w:jc w:val="right"/>
              <w:rPr>
                <w:snapToGrid w:val="0"/>
                <w:color w:val="000000"/>
                <w:sz w:val="17"/>
                <w:lang w:eastAsia="sv-SE"/>
              </w:rPr>
            </w:pPr>
          </w:p>
        </w:tc>
        <w:tc>
          <w:tcPr>
            <w:tcW w:w="709" w:type="dxa"/>
          </w:tcPr>
          <w:p w:rsidR="001C7BF9" w:rsidRPr="00C9680B" w:rsidRDefault="001C7BF9">
            <w:pPr>
              <w:spacing w:before="40" w:line="180" w:lineRule="exact"/>
              <w:ind w:left="113" w:hanging="113"/>
              <w:jc w:val="right"/>
              <w:rPr>
                <w:snapToGrid w:val="0"/>
                <w:color w:val="000000"/>
                <w:sz w:val="17"/>
                <w:lang w:eastAsia="sv-SE"/>
              </w:rPr>
            </w:pPr>
          </w:p>
        </w:tc>
        <w:tc>
          <w:tcPr>
            <w:tcW w:w="709" w:type="dxa"/>
          </w:tcPr>
          <w:p w:rsidR="001C7BF9" w:rsidRPr="00C9680B" w:rsidRDefault="001C7BF9">
            <w:pPr>
              <w:spacing w:before="40" w:line="180" w:lineRule="exact"/>
              <w:ind w:left="113" w:hanging="113"/>
              <w:jc w:val="right"/>
              <w:rPr>
                <w:snapToGrid w:val="0"/>
                <w:color w:val="000000"/>
                <w:sz w:val="17"/>
                <w:lang w:eastAsia="sv-SE"/>
              </w:rPr>
            </w:pPr>
          </w:p>
        </w:tc>
        <w:tc>
          <w:tcPr>
            <w:tcW w:w="709" w:type="dxa"/>
          </w:tcPr>
          <w:p w:rsidR="001C7BF9" w:rsidRPr="00C9680B" w:rsidRDefault="001C7BF9">
            <w:pPr>
              <w:spacing w:before="40" w:line="180" w:lineRule="exact"/>
              <w:ind w:left="113" w:hanging="113"/>
              <w:jc w:val="right"/>
              <w:rPr>
                <w:snapToGrid w:val="0"/>
                <w:color w:val="000000"/>
                <w:sz w:val="17"/>
                <w:lang w:eastAsia="sv-SE"/>
              </w:rPr>
            </w:pPr>
            <w:r w:rsidRPr="00C9680B">
              <w:rPr>
                <w:snapToGrid w:val="0"/>
                <w:color w:val="000000"/>
                <w:sz w:val="17"/>
                <w:lang w:eastAsia="sv-SE"/>
              </w:rPr>
              <w:t>+2 700</w:t>
            </w:r>
          </w:p>
        </w:tc>
      </w:tr>
      <w:tr w:rsidR="00000000" w:rsidRPr="00C9680B">
        <w:tblPrEx>
          <w:tblCellMar>
            <w:top w:w="0" w:type="dxa"/>
            <w:bottom w:w="0" w:type="dxa"/>
          </w:tblCellMar>
        </w:tblPrEx>
        <w:trPr>
          <w:trHeight w:val="180"/>
          <w:jc w:val="right"/>
        </w:trPr>
        <w:tc>
          <w:tcPr>
            <w:tcW w:w="513" w:type="dxa"/>
          </w:tcPr>
          <w:p w:rsidR="001C7BF9" w:rsidRPr="00C9680B" w:rsidRDefault="001C7BF9">
            <w:pPr>
              <w:spacing w:before="40" w:line="180" w:lineRule="exact"/>
              <w:ind w:left="113" w:hanging="113"/>
              <w:jc w:val="right"/>
              <w:rPr>
                <w:b/>
                <w:snapToGrid w:val="0"/>
                <w:color w:val="000000"/>
                <w:sz w:val="17"/>
                <w:lang w:eastAsia="sv-SE"/>
              </w:rPr>
            </w:pPr>
            <w:r w:rsidRPr="00C9680B">
              <w:rPr>
                <w:b/>
                <w:snapToGrid w:val="0"/>
                <w:color w:val="000000"/>
                <w:sz w:val="17"/>
                <w:lang w:eastAsia="sv-SE"/>
              </w:rPr>
              <w:t>2556</w:t>
            </w:r>
          </w:p>
        </w:tc>
        <w:tc>
          <w:tcPr>
            <w:tcW w:w="2693" w:type="dxa"/>
            <w:gridSpan w:val="3"/>
          </w:tcPr>
          <w:p w:rsidR="001C7BF9" w:rsidRPr="00C9680B" w:rsidRDefault="001C7BF9">
            <w:pPr>
              <w:spacing w:before="40" w:line="180" w:lineRule="exact"/>
              <w:ind w:left="113" w:hanging="113"/>
              <w:jc w:val="left"/>
              <w:rPr>
                <w:b/>
                <w:snapToGrid w:val="0"/>
                <w:color w:val="000000"/>
                <w:sz w:val="17"/>
                <w:lang w:eastAsia="sv-SE"/>
              </w:rPr>
            </w:pPr>
            <w:r w:rsidRPr="00C9680B">
              <w:rPr>
                <w:b/>
                <w:snapToGrid w:val="0"/>
                <w:color w:val="000000"/>
                <w:sz w:val="17"/>
                <w:lang w:eastAsia="sv-SE"/>
              </w:rPr>
              <w:t>Djurregisteravgifter</w:t>
            </w:r>
          </w:p>
        </w:tc>
        <w:tc>
          <w:tcPr>
            <w:tcW w:w="793" w:type="dxa"/>
          </w:tcPr>
          <w:p w:rsidR="001C7BF9" w:rsidRPr="00C9680B" w:rsidRDefault="001C7BF9">
            <w:pPr>
              <w:spacing w:before="40" w:line="180" w:lineRule="exact"/>
              <w:ind w:left="113" w:hanging="113"/>
              <w:jc w:val="right"/>
              <w:rPr>
                <w:b/>
                <w:snapToGrid w:val="0"/>
                <w:color w:val="000000"/>
                <w:sz w:val="17"/>
                <w:lang w:eastAsia="sv-SE"/>
              </w:rPr>
            </w:pPr>
            <w:r w:rsidRPr="00C9680B">
              <w:rPr>
                <w:b/>
                <w:snapToGrid w:val="0"/>
                <w:color w:val="000000"/>
                <w:sz w:val="17"/>
                <w:lang w:eastAsia="sv-SE"/>
              </w:rPr>
              <w:t>13</w:t>
            </w:r>
          </w:p>
        </w:tc>
        <w:tc>
          <w:tcPr>
            <w:tcW w:w="567" w:type="dxa"/>
          </w:tcPr>
          <w:p w:rsidR="001C7BF9" w:rsidRPr="00C9680B" w:rsidRDefault="001C7BF9">
            <w:pPr>
              <w:spacing w:before="40" w:line="180" w:lineRule="exact"/>
              <w:ind w:left="113" w:hanging="113"/>
              <w:jc w:val="right"/>
              <w:rPr>
                <w:b/>
                <w:snapToGrid w:val="0"/>
                <w:color w:val="000000"/>
                <w:sz w:val="17"/>
                <w:lang w:eastAsia="sv-SE"/>
              </w:rPr>
            </w:pPr>
          </w:p>
        </w:tc>
        <w:tc>
          <w:tcPr>
            <w:tcW w:w="709" w:type="dxa"/>
          </w:tcPr>
          <w:p w:rsidR="001C7BF9" w:rsidRPr="00C9680B" w:rsidRDefault="001C7BF9">
            <w:pPr>
              <w:spacing w:before="40" w:line="180" w:lineRule="exact"/>
              <w:ind w:left="113" w:hanging="113"/>
              <w:jc w:val="right"/>
              <w:rPr>
                <w:b/>
                <w:snapToGrid w:val="0"/>
                <w:color w:val="000000"/>
                <w:sz w:val="17"/>
                <w:lang w:eastAsia="sv-SE"/>
              </w:rPr>
            </w:pPr>
            <w:r w:rsidRPr="00C9680B">
              <w:rPr>
                <w:b/>
                <w:snapToGrid w:val="0"/>
                <w:color w:val="000000"/>
                <w:sz w:val="17"/>
                <w:lang w:eastAsia="sv-SE"/>
              </w:rPr>
              <w:t>-10</w:t>
            </w:r>
          </w:p>
        </w:tc>
        <w:tc>
          <w:tcPr>
            <w:tcW w:w="709" w:type="dxa"/>
          </w:tcPr>
          <w:p w:rsidR="001C7BF9" w:rsidRPr="00C9680B" w:rsidRDefault="001C7BF9">
            <w:pPr>
              <w:spacing w:before="40" w:line="180" w:lineRule="exact"/>
              <w:ind w:left="113" w:hanging="113"/>
              <w:jc w:val="right"/>
              <w:rPr>
                <w:b/>
                <w:snapToGrid w:val="0"/>
                <w:color w:val="000000"/>
                <w:sz w:val="17"/>
                <w:lang w:eastAsia="sv-SE"/>
              </w:rPr>
            </w:pPr>
          </w:p>
        </w:tc>
        <w:tc>
          <w:tcPr>
            <w:tcW w:w="709" w:type="dxa"/>
          </w:tcPr>
          <w:p w:rsidR="001C7BF9" w:rsidRPr="00C9680B" w:rsidRDefault="001C7BF9">
            <w:pPr>
              <w:spacing w:before="40" w:line="180" w:lineRule="exact"/>
              <w:ind w:left="113" w:hanging="113"/>
              <w:jc w:val="right"/>
              <w:rPr>
                <w:b/>
                <w:snapToGrid w:val="0"/>
                <w:color w:val="000000"/>
                <w:sz w:val="17"/>
                <w:lang w:eastAsia="sv-SE"/>
              </w:rPr>
            </w:pPr>
          </w:p>
        </w:tc>
      </w:tr>
      <w:tr w:rsidR="00000000" w:rsidRPr="00C9680B">
        <w:tblPrEx>
          <w:tblCellMar>
            <w:top w:w="0" w:type="dxa"/>
            <w:bottom w:w="0" w:type="dxa"/>
          </w:tblCellMar>
        </w:tblPrEx>
        <w:trPr>
          <w:trHeight w:val="180"/>
          <w:jc w:val="right"/>
        </w:trPr>
        <w:tc>
          <w:tcPr>
            <w:tcW w:w="513" w:type="dxa"/>
          </w:tcPr>
          <w:p w:rsidR="001C7BF9" w:rsidRPr="00C9680B" w:rsidRDefault="001C7BF9">
            <w:pPr>
              <w:spacing w:before="40" w:line="180" w:lineRule="exact"/>
              <w:ind w:left="113" w:hanging="113"/>
              <w:jc w:val="right"/>
              <w:rPr>
                <w:snapToGrid w:val="0"/>
                <w:color w:val="000000"/>
                <w:sz w:val="17"/>
                <w:lang w:eastAsia="sv-SE"/>
              </w:rPr>
            </w:pPr>
          </w:p>
        </w:tc>
        <w:tc>
          <w:tcPr>
            <w:tcW w:w="2693" w:type="dxa"/>
            <w:gridSpan w:val="3"/>
          </w:tcPr>
          <w:p w:rsidR="001C7BF9" w:rsidRPr="00C9680B" w:rsidRDefault="001C7BF9">
            <w:pPr>
              <w:spacing w:before="40" w:line="180" w:lineRule="exact"/>
              <w:ind w:left="113" w:hanging="113"/>
              <w:jc w:val="left"/>
              <w:rPr>
                <w:snapToGrid w:val="0"/>
                <w:color w:val="000000"/>
                <w:sz w:val="17"/>
                <w:lang w:eastAsia="sv-SE"/>
              </w:rPr>
            </w:pPr>
            <w:r w:rsidRPr="00C9680B">
              <w:rPr>
                <w:snapToGrid w:val="0"/>
                <w:color w:val="000000"/>
                <w:sz w:val="17"/>
                <w:lang w:eastAsia="sv-SE"/>
              </w:rPr>
              <w:t>Slopad avgift till djurdat</w:t>
            </w:r>
            <w:r w:rsidRPr="00C9680B">
              <w:rPr>
                <w:snapToGrid w:val="0"/>
                <w:color w:val="000000"/>
                <w:sz w:val="17"/>
                <w:lang w:eastAsia="sv-SE"/>
              </w:rPr>
              <w:t>a</w:t>
            </w:r>
            <w:r w:rsidRPr="00C9680B">
              <w:rPr>
                <w:snapToGrid w:val="0"/>
                <w:color w:val="000000"/>
                <w:sz w:val="17"/>
                <w:lang w:eastAsia="sv-SE"/>
              </w:rPr>
              <w:t>bas</w:t>
            </w:r>
          </w:p>
        </w:tc>
        <w:tc>
          <w:tcPr>
            <w:tcW w:w="793" w:type="dxa"/>
          </w:tcPr>
          <w:p w:rsidR="001C7BF9" w:rsidRPr="00C9680B" w:rsidRDefault="001C7BF9">
            <w:pPr>
              <w:spacing w:before="40" w:line="180" w:lineRule="exact"/>
              <w:ind w:left="113" w:hanging="113"/>
              <w:jc w:val="right"/>
              <w:rPr>
                <w:snapToGrid w:val="0"/>
                <w:color w:val="000000"/>
                <w:sz w:val="17"/>
                <w:lang w:eastAsia="sv-SE"/>
              </w:rPr>
            </w:pPr>
          </w:p>
        </w:tc>
        <w:tc>
          <w:tcPr>
            <w:tcW w:w="567" w:type="dxa"/>
          </w:tcPr>
          <w:p w:rsidR="001C7BF9" w:rsidRPr="00C9680B" w:rsidRDefault="001C7BF9">
            <w:pPr>
              <w:spacing w:before="40" w:line="180" w:lineRule="exact"/>
              <w:ind w:left="113" w:hanging="113"/>
              <w:jc w:val="right"/>
              <w:rPr>
                <w:snapToGrid w:val="0"/>
                <w:color w:val="000000"/>
                <w:sz w:val="17"/>
                <w:lang w:eastAsia="sv-SE"/>
              </w:rPr>
            </w:pPr>
          </w:p>
        </w:tc>
        <w:tc>
          <w:tcPr>
            <w:tcW w:w="709" w:type="dxa"/>
          </w:tcPr>
          <w:p w:rsidR="001C7BF9" w:rsidRPr="00C9680B" w:rsidRDefault="001C7BF9">
            <w:pPr>
              <w:spacing w:before="40" w:line="180" w:lineRule="exact"/>
              <w:ind w:left="113" w:hanging="113"/>
              <w:jc w:val="right"/>
              <w:rPr>
                <w:snapToGrid w:val="0"/>
                <w:color w:val="000000"/>
                <w:sz w:val="17"/>
                <w:lang w:eastAsia="sv-SE"/>
              </w:rPr>
            </w:pPr>
            <w:r w:rsidRPr="00C9680B">
              <w:rPr>
                <w:snapToGrid w:val="0"/>
                <w:color w:val="000000"/>
                <w:sz w:val="17"/>
                <w:lang w:eastAsia="sv-SE"/>
              </w:rPr>
              <w:t>-10</w:t>
            </w:r>
          </w:p>
        </w:tc>
        <w:tc>
          <w:tcPr>
            <w:tcW w:w="709" w:type="dxa"/>
          </w:tcPr>
          <w:p w:rsidR="001C7BF9" w:rsidRPr="00C9680B" w:rsidRDefault="001C7BF9">
            <w:pPr>
              <w:spacing w:before="40" w:line="180" w:lineRule="exact"/>
              <w:ind w:left="113" w:hanging="113"/>
              <w:jc w:val="right"/>
              <w:rPr>
                <w:snapToGrid w:val="0"/>
                <w:color w:val="000000"/>
                <w:sz w:val="17"/>
                <w:lang w:eastAsia="sv-SE"/>
              </w:rPr>
            </w:pPr>
          </w:p>
        </w:tc>
        <w:tc>
          <w:tcPr>
            <w:tcW w:w="709" w:type="dxa"/>
          </w:tcPr>
          <w:p w:rsidR="001C7BF9" w:rsidRPr="00C9680B" w:rsidRDefault="001C7BF9">
            <w:pPr>
              <w:spacing w:before="40" w:line="180" w:lineRule="exact"/>
              <w:ind w:left="113" w:hanging="113"/>
              <w:jc w:val="right"/>
              <w:rPr>
                <w:snapToGrid w:val="0"/>
                <w:color w:val="000000"/>
                <w:sz w:val="17"/>
                <w:lang w:eastAsia="sv-SE"/>
              </w:rPr>
            </w:pPr>
          </w:p>
        </w:tc>
      </w:tr>
      <w:tr w:rsidR="00000000" w:rsidRPr="00C9680B">
        <w:tblPrEx>
          <w:tblCellMar>
            <w:top w:w="0" w:type="dxa"/>
            <w:bottom w:w="0" w:type="dxa"/>
          </w:tblCellMar>
        </w:tblPrEx>
        <w:trPr>
          <w:trHeight w:val="180"/>
          <w:jc w:val="right"/>
        </w:trPr>
        <w:tc>
          <w:tcPr>
            <w:tcW w:w="513" w:type="dxa"/>
            <w:tcBorders>
              <w:bottom w:val="single" w:sz="4" w:space="0" w:color="auto"/>
            </w:tcBorders>
          </w:tcPr>
          <w:p w:rsidR="001C7BF9" w:rsidRPr="00C9680B" w:rsidRDefault="001C7BF9">
            <w:pPr>
              <w:pStyle w:val="Normaltindrag"/>
            </w:pPr>
          </w:p>
        </w:tc>
        <w:tc>
          <w:tcPr>
            <w:tcW w:w="2693" w:type="dxa"/>
            <w:gridSpan w:val="3"/>
            <w:tcBorders>
              <w:bottom w:val="single" w:sz="4" w:space="0" w:color="auto"/>
            </w:tcBorders>
          </w:tcPr>
          <w:p w:rsidR="001C7BF9" w:rsidRPr="00C9680B" w:rsidRDefault="001C7BF9">
            <w:pPr>
              <w:spacing w:before="40" w:line="180" w:lineRule="exact"/>
              <w:ind w:left="113" w:hanging="113"/>
              <w:jc w:val="left"/>
              <w:rPr>
                <w:snapToGrid w:val="0"/>
                <w:color w:val="000000"/>
                <w:sz w:val="17"/>
                <w:lang w:eastAsia="sv-SE"/>
              </w:rPr>
            </w:pPr>
          </w:p>
        </w:tc>
        <w:tc>
          <w:tcPr>
            <w:tcW w:w="793" w:type="dxa"/>
            <w:tcBorders>
              <w:bottom w:val="single" w:sz="4" w:space="0" w:color="auto"/>
            </w:tcBorders>
          </w:tcPr>
          <w:p w:rsidR="001C7BF9" w:rsidRPr="00C9680B" w:rsidRDefault="001C7BF9">
            <w:pPr>
              <w:spacing w:before="40" w:line="180" w:lineRule="exact"/>
              <w:ind w:left="113" w:hanging="113"/>
              <w:jc w:val="right"/>
              <w:rPr>
                <w:snapToGrid w:val="0"/>
                <w:color w:val="000000"/>
                <w:sz w:val="17"/>
                <w:lang w:eastAsia="sv-SE"/>
              </w:rPr>
            </w:pPr>
          </w:p>
        </w:tc>
        <w:tc>
          <w:tcPr>
            <w:tcW w:w="567" w:type="dxa"/>
            <w:tcBorders>
              <w:bottom w:val="single" w:sz="4" w:space="0" w:color="auto"/>
            </w:tcBorders>
          </w:tcPr>
          <w:p w:rsidR="001C7BF9" w:rsidRPr="00C9680B" w:rsidRDefault="001C7BF9">
            <w:pPr>
              <w:spacing w:before="40" w:line="180" w:lineRule="exact"/>
              <w:ind w:left="113" w:hanging="113"/>
              <w:jc w:val="right"/>
              <w:rPr>
                <w:snapToGrid w:val="0"/>
                <w:color w:val="000000"/>
                <w:sz w:val="17"/>
                <w:lang w:eastAsia="sv-SE"/>
              </w:rPr>
            </w:pPr>
          </w:p>
        </w:tc>
        <w:tc>
          <w:tcPr>
            <w:tcW w:w="709" w:type="dxa"/>
            <w:tcBorders>
              <w:bottom w:val="single" w:sz="4" w:space="0" w:color="auto"/>
            </w:tcBorders>
          </w:tcPr>
          <w:p w:rsidR="001C7BF9" w:rsidRPr="00C9680B" w:rsidRDefault="001C7BF9">
            <w:pPr>
              <w:spacing w:before="40" w:line="180" w:lineRule="exact"/>
              <w:ind w:left="113" w:hanging="113"/>
              <w:jc w:val="right"/>
              <w:rPr>
                <w:snapToGrid w:val="0"/>
                <w:color w:val="000000"/>
                <w:sz w:val="17"/>
                <w:lang w:eastAsia="sv-SE"/>
              </w:rPr>
            </w:pPr>
          </w:p>
        </w:tc>
        <w:tc>
          <w:tcPr>
            <w:tcW w:w="709" w:type="dxa"/>
            <w:tcBorders>
              <w:bottom w:val="single" w:sz="4" w:space="0" w:color="auto"/>
            </w:tcBorders>
          </w:tcPr>
          <w:p w:rsidR="001C7BF9" w:rsidRPr="00C9680B" w:rsidRDefault="001C7BF9">
            <w:pPr>
              <w:spacing w:before="40" w:line="180" w:lineRule="exact"/>
              <w:ind w:left="113" w:hanging="113"/>
              <w:jc w:val="right"/>
              <w:rPr>
                <w:snapToGrid w:val="0"/>
                <w:color w:val="000000"/>
                <w:sz w:val="17"/>
                <w:lang w:eastAsia="sv-SE"/>
              </w:rPr>
            </w:pPr>
          </w:p>
        </w:tc>
        <w:tc>
          <w:tcPr>
            <w:tcW w:w="709" w:type="dxa"/>
            <w:tcBorders>
              <w:bottom w:val="single" w:sz="4" w:space="0" w:color="auto"/>
            </w:tcBorders>
          </w:tcPr>
          <w:p w:rsidR="001C7BF9" w:rsidRPr="00C9680B" w:rsidRDefault="001C7BF9">
            <w:pPr>
              <w:spacing w:before="40" w:line="180" w:lineRule="exact"/>
              <w:ind w:left="113" w:hanging="113"/>
              <w:jc w:val="right"/>
              <w:rPr>
                <w:snapToGrid w:val="0"/>
                <w:color w:val="000000"/>
                <w:sz w:val="17"/>
                <w:lang w:eastAsia="sv-SE"/>
              </w:rPr>
            </w:pPr>
          </w:p>
        </w:tc>
      </w:tr>
    </w:tbl>
    <w:p w:rsidR="001C7BF9" w:rsidRPr="00C9680B" w:rsidRDefault="001C7BF9">
      <w:pPr>
        <w:pStyle w:val="Normaltindrag"/>
      </w:pPr>
      <w:bookmarkStart w:id="427" w:name="_Toc498763582"/>
    </w:p>
    <w:p w:rsidR="001C7BF9" w:rsidRPr="00C9680B" w:rsidRDefault="001C7BF9">
      <w:pPr>
        <w:pStyle w:val="Utskottsfrslagikorthet-Rubrik"/>
        <w:outlineLvl w:val="0"/>
        <w:rPr>
          <w:noProof w:val="0"/>
        </w:rPr>
      </w:pPr>
      <w:r w:rsidRPr="00C9680B">
        <w:rPr>
          <w:noProof w:val="0"/>
        </w:rPr>
        <w:t>Utskottets delförslag i korthet</w:t>
      </w:r>
    </w:p>
    <w:p w:rsidR="001C7BF9" w:rsidRPr="00C9680B" w:rsidRDefault="001C7BF9">
      <w:pPr>
        <w:pStyle w:val="Utskottsfrslagikorthet-Text"/>
      </w:pPr>
      <w:r w:rsidRPr="00C9680B">
        <w:t>Rikdagen godkänner regeringens beräkning av Inkomster av statens verksamhet. Riksdagen avslår motionernas förslag.</w:t>
      </w:r>
    </w:p>
    <w:p w:rsidR="001C7BF9" w:rsidRPr="00C9680B" w:rsidRDefault="001C7BF9">
      <w:pPr>
        <w:pStyle w:val="Utskottsfrslagikorthet-Text"/>
      </w:pPr>
      <w:r w:rsidRPr="00C9680B">
        <w:t xml:space="preserve">  Jämför reservationerna 13 (kd) och 15 (fp).</w:t>
      </w:r>
    </w:p>
    <w:p w:rsidR="001C7BF9" w:rsidRPr="00C9680B" w:rsidRDefault="001C7BF9">
      <w:pPr>
        <w:pStyle w:val="Rubrik4"/>
        <w:rPr>
          <w:noProof w:val="0"/>
        </w:rPr>
      </w:pPr>
      <w:bookmarkStart w:id="428" w:name="_Toc498910751"/>
      <w:r w:rsidRPr="00C9680B">
        <w:rPr>
          <w:noProof w:val="0"/>
        </w:rPr>
        <w:t>Propositionen</w:t>
      </w:r>
      <w:bookmarkEnd w:id="427"/>
      <w:bookmarkEnd w:id="428"/>
    </w:p>
    <w:p w:rsidR="001C7BF9" w:rsidRPr="00C9680B" w:rsidRDefault="001C7BF9">
      <w:r w:rsidRPr="00C9680B">
        <w:t>Inkomsterna från statens verksamhet härrör främst från rörelseöverskott, t.ex. från Riksbanken och Svenska spel, aktieutdelningar och offentligrättsliga avgifter. I budgetpropositionen beräknar regeringen inkomsterna av statens verksa</w:t>
      </w:r>
      <w:r w:rsidRPr="00C9680B">
        <w:t>m</w:t>
      </w:r>
      <w:r w:rsidRPr="00C9680B">
        <w:t xml:space="preserve">het till 29 042miljoner kronor. </w:t>
      </w:r>
    </w:p>
    <w:p w:rsidR="001C7BF9" w:rsidRPr="00C9680B" w:rsidRDefault="001C7BF9">
      <w:pPr>
        <w:pStyle w:val="Rubrik4"/>
        <w:rPr>
          <w:noProof w:val="0"/>
        </w:rPr>
      </w:pPr>
      <w:bookmarkStart w:id="429" w:name="_Toc498763583"/>
      <w:bookmarkStart w:id="430" w:name="_Toc498910752"/>
      <w:r w:rsidRPr="00C9680B">
        <w:rPr>
          <w:noProof w:val="0"/>
        </w:rPr>
        <w:t>Motionerna</w:t>
      </w:r>
      <w:bookmarkEnd w:id="429"/>
      <w:bookmarkEnd w:id="430"/>
    </w:p>
    <w:p w:rsidR="001C7BF9" w:rsidRPr="00C9680B" w:rsidRDefault="001C7BF9">
      <w:r w:rsidRPr="00C9680B">
        <w:rPr>
          <w:i/>
        </w:rPr>
        <w:t>Kristdemokraterna</w:t>
      </w:r>
      <w:r w:rsidRPr="00C9680B">
        <w:t xml:space="preserve"> har i sin motion </w:t>
      </w:r>
      <w:r w:rsidRPr="00C9680B">
        <w:rPr>
          <w:i/>
        </w:rPr>
        <w:t xml:space="preserve">Fi209 </w:t>
      </w:r>
      <w:r w:rsidRPr="00C9680B">
        <w:t>(yrkande 5) beaktat effekterna av motionsförslag om att jordbrukares avgift till en djurdatabas slopas. Motion</w:t>
      </w:r>
      <w:r w:rsidRPr="00C9680B">
        <w:t>s</w:t>
      </w:r>
      <w:r w:rsidRPr="00C9680B">
        <w:t>förslaget behandlas av miljö- och jordbruksutskottet. Motionärerna tillgod</w:t>
      </w:r>
      <w:r w:rsidRPr="00C9680B">
        <w:t>o</w:t>
      </w:r>
      <w:r w:rsidRPr="00C9680B">
        <w:t>räknar sig också högre inkomster än regeringen från statens aktier.</w:t>
      </w:r>
    </w:p>
    <w:p w:rsidR="001C7BF9" w:rsidRPr="00C9680B" w:rsidRDefault="001C7BF9">
      <w:pPr>
        <w:pStyle w:val="Normaltindrag"/>
      </w:pPr>
      <w:r w:rsidRPr="00C9680B">
        <w:rPr>
          <w:i/>
        </w:rPr>
        <w:t>Folkpartiet liberalerna</w:t>
      </w:r>
      <w:r w:rsidRPr="00C9680B">
        <w:t xml:space="preserve"> har i sin motion </w:t>
      </w:r>
      <w:r w:rsidRPr="00C9680B">
        <w:rPr>
          <w:i/>
        </w:rPr>
        <w:t>Fi211</w:t>
      </w:r>
      <w:r w:rsidRPr="00C9680B">
        <w:t xml:space="preserve"> (yrkande 5) tillgodoräknat sig inkomster genom ökad utdelning från Vattenfall som en följd av att partiet motsätter sig avvecklingen av Barsebäck 1. Folkpartiet liberalerna räknar också med att en auktionering av radiofrekvenser o.d. kan ge betydande l</w:t>
      </w:r>
      <w:r w:rsidRPr="00C9680B">
        <w:t>i</w:t>
      </w:r>
      <w:r w:rsidRPr="00C9680B">
        <w:t>censinkom</w:t>
      </w:r>
      <w:r w:rsidRPr="00C9680B">
        <w:t>s</w:t>
      </w:r>
      <w:r w:rsidRPr="00C9680B">
        <w:t>ter.</w:t>
      </w:r>
    </w:p>
    <w:p w:rsidR="001C7BF9" w:rsidRPr="00C9680B" w:rsidRDefault="001C7BF9">
      <w:pPr>
        <w:pStyle w:val="Rubrik4"/>
        <w:rPr>
          <w:noProof w:val="0"/>
        </w:rPr>
      </w:pPr>
      <w:bookmarkStart w:id="431" w:name="_Toc498763584"/>
      <w:bookmarkStart w:id="432" w:name="_Toc498910753"/>
      <w:r w:rsidRPr="00C9680B">
        <w:rPr>
          <w:noProof w:val="0"/>
        </w:rPr>
        <w:t>Finansutskottets ställningstagande</w:t>
      </w:r>
      <w:bookmarkEnd w:id="431"/>
      <w:bookmarkEnd w:id="432"/>
    </w:p>
    <w:p w:rsidR="001C7BF9" w:rsidRPr="00C9680B" w:rsidRDefault="001C7BF9">
      <w:r w:rsidRPr="00C9680B">
        <w:t>Vad gäller förslaget om en djurdatabas som behandlas av miljö- och jor</w:t>
      </w:r>
      <w:r w:rsidRPr="00C9680B">
        <w:t>d</w:t>
      </w:r>
      <w:r w:rsidRPr="00C9680B">
        <w:t>bruksutskottet ser inte finansutskottet skäl att, i avvaktan på riksdagsbehan</w:t>
      </w:r>
      <w:r w:rsidRPr="00C9680B">
        <w:t>d</w:t>
      </w:r>
      <w:r w:rsidRPr="00C9680B">
        <w:t>lingen, föra upp något annat belopp i inkomstberäkningen än vad regeringen gjort i propositi</w:t>
      </w:r>
      <w:r w:rsidRPr="00C9680B">
        <w:t>o</w:t>
      </w:r>
      <w:r w:rsidRPr="00C9680B">
        <w:t>nen.</w:t>
      </w:r>
    </w:p>
    <w:p w:rsidR="001C7BF9" w:rsidRPr="00C9680B" w:rsidRDefault="001C7BF9">
      <w:pPr>
        <w:pStyle w:val="Normaltindrag"/>
      </w:pPr>
      <w:r w:rsidRPr="00C9680B">
        <w:t>Beträffande Folkpartiets förslag om ökade inleveranser från Vattenfall konstaterar utskottet att avvecklingen av Barsebäck fortskrider och att ökade inleveranser inte är aktuella. Beträffande licensintäkterna finns i dag ett prö</w:t>
      </w:r>
      <w:r w:rsidRPr="00C9680B">
        <w:t>v</w:t>
      </w:r>
      <w:r w:rsidRPr="00C9680B">
        <w:t>ningsförfarande för att få tillgång till frekvenser. Utskottet ser ingen anle</w:t>
      </w:r>
      <w:r w:rsidRPr="00C9680B">
        <w:t>d</w:t>
      </w:r>
      <w:r w:rsidRPr="00C9680B">
        <w:t>ning att frångå regeringens berä</w:t>
      </w:r>
      <w:r w:rsidRPr="00C9680B">
        <w:t>k</w:t>
      </w:r>
      <w:r w:rsidRPr="00C9680B">
        <w:t>ning.</w:t>
      </w:r>
    </w:p>
    <w:p w:rsidR="001C7BF9" w:rsidRPr="00C9680B" w:rsidRDefault="001C7BF9">
      <w:pPr>
        <w:pStyle w:val="Normaltindrag"/>
      </w:pPr>
      <w:r w:rsidRPr="00C9680B">
        <w:t>Finansutskottet avstyrker motionerna Fi209 (kd) yrkande 5 delvis och Fi211 (fp) yrkande 5 delvis.</w:t>
      </w:r>
    </w:p>
    <w:p w:rsidR="001C7BF9" w:rsidRPr="00C9680B" w:rsidRDefault="001C7BF9">
      <w:pPr>
        <w:pStyle w:val="Rubrik2"/>
      </w:pPr>
      <w:bookmarkStart w:id="433" w:name="_Toc466195728"/>
      <w:bookmarkStart w:id="434" w:name="_Toc466882417"/>
      <w:bookmarkStart w:id="435" w:name="_Toc498238838"/>
      <w:bookmarkStart w:id="436" w:name="_Toc498910754"/>
      <w:r w:rsidRPr="00C9680B">
        <w:t>3.10 Beräkning av statsbudgetens inkomster</w:t>
      </w:r>
      <w:bookmarkEnd w:id="433"/>
      <w:bookmarkEnd w:id="434"/>
      <w:bookmarkEnd w:id="435"/>
      <w:bookmarkEnd w:id="436"/>
    </w:p>
    <w:p w:rsidR="001C7BF9" w:rsidRPr="00C9680B" w:rsidRDefault="001C7BF9">
      <w:pPr>
        <w:pStyle w:val="Utskottsfrslagikorthet-Rubrik"/>
        <w:outlineLvl w:val="0"/>
        <w:rPr>
          <w:noProof w:val="0"/>
        </w:rPr>
      </w:pPr>
      <w:r w:rsidRPr="00C9680B">
        <w:rPr>
          <w:noProof w:val="0"/>
        </w:rPr>
        <w:t>Utskottets delförslag i korthet</w:t>
      </w:r>
    </w:p>
    <w:p w:rsidR="001C7BF9" w:rsidRPr="00C9680B" w:rsidRDefault="001C7BF9">
      <w:pPr>
        <w:pStyle w:val="Utskottsfrslagikorthet-Text"/>
      </w:pPr>
      <w:r w:rsidRPr="00C9680B">
        <w:t>Riksdagen godkänner regeringens förslag till beräkning av stat</w:t>
      </w:r>
      <w:r w:rsidRPr="00C9680B">
        <w:t>s</w:t>
      </w:r>
      <w:r w:rsidRPr="00C9680B">
        <w:t>budgetens i</w:t>
      </w:r>
      <w:r w:rsidRPr="00C9680B">
        <w:t>n</w:t>
      </w:r>
      <w:r w:rsidRPr="00C9680B">
        <w:t xml:space="preserve">komster. Partiernas alternativa förslag avslås. </w:t>
      </w:r>
    </w:p>
    <w:p w:rsidR="001C7BF9" w:rsidRPr="00C9680B" w:rsidRDefault="001C7BF9">
      <w:pPr>
        <w:pStyle w:val="Utskottsfrslagikorthet-Text"/>
      </w:pPr>
      <w:r w:rsidRPr="00C9680B">
        <w:t xml:space="preserve">  Jämför reservationerna 12 (m), 13 (kd), 14 (c) och 15 (fp).</w:t>
      </w:r>
    </w:p>
    <w:p w:rsidR="001C7BF9" w:rsidRPr="00C9680B" w:rsidRDefault="001C7BF9">
      <w:pPr>
        <w:pStyle w:val="R4"/>
        <w:spacing w:before="123"/>
      </w:pPr>
      <w:r w:rsidRPr="00C9680B">
        <w:t xml:space="preserve">Budgetpropositionen </w:t>
      </w:r>
    </w:p>
    <w:p w:rsidR="001C7BF9" w:rsidRPr="00C9680B" w:rsidRDefault="001C7BF9">
      <w:r w:rsidRPr="00C9680B">
        <w:t>Regeringen redovisar i propositionen sin beräkning av statsbudgetens i</w:t>
      </w:r>
      <w:r w:rsidRPr="00C9680B">
        <w:t>n</w:t>
      </w:r>
      <w:r w:rsidRPr="00C9680B">
        <w:t>komster budgetåret 2000 och föreslår att inkomstberäkningen på statsbudg</w:t>
      </w:r>
      <w:r w:rsidRPr="00C9680B">
        <w:t>e</w:t>
      </w:r>
      <w:r w:rsidRPr="00C9680B">
        <w:t>ten go</w:t>
      </w:r>
      <w:r w:rsidRPr="00C9680B">
        <w:t>d</w:t>
      </w:r>
      <w:r w:rsidRPr="00C9680B">
        <w:t xml:space="preserve">känns (punkt 7). </w:t>
      </w:r>
    </w:p>
    <w:p w:rsidR="001C7BF9" w:rsidRPr="00C9680B" w:rsidRDefault="001C7BF9">
      <w:pPr>
        <w:pStyle w:val="Normaltindrag"/>
      </w:pPr>
      <w:r w:rsidRPr="00C9680B">
        <w:t>I propositionens kapitel 5 redovisas skatternas utveckling under prognos</w:t>
      </w:r>
      <w:r w:rsidRPr="00C9680B">
        <w:softHyphen/>
        <w:t>perioden 1999–2003 enligt tre olika redovisningsprinciper. Den periodiserade redovisningen visar de skatter som är hänförliga till ett visst inkomstår. För det andra redovisas skatterna enligt det nya nationalräkenskapssystemet. Dessutom redovisas statsbudgetens inkomster av skatter och övriga inkom</w:t>
      </w:r>
      <w:r w:rsidRPr="00C9680B">
        <w:t>s</w:t>
      </w:r>
      <w:r w:rsidRPr="00C9680B">
        <w:t>ter. Inkomsterna på statsbu</w:t>
      </w:r>
      <w:r w:rsidRPr="00C9680B">
        <w:t>d</w:t>
      </w:r>
      <w:r w:rsidRPr="00C9680B">
        <w:t>geten är huvudsakligen kassamässiga.</w:t>
      </w:r>
    </w:p>
    <w:p w:rsidR="001C7BF9" w:rsidRPr="00C9680B" w:rsidRDefault="001C7BF9">
      <w:pPr>
        <w:pStyle w:val="Normaltindrag"/>
      </w:pPr>
    </w:p>
    <w:p w:rsidR="001C7BF9" w:rsidRPr="00C9680B" w:rsidRDefault="001C7BF9">
      <w:pPr>
        <w:pStyle w:val="Tabell"/>
        <w:rPr>
          <w:b/>
        </w:rPr>
      </w:pPr>
      <w:r w:rsidRPr="00C9680B">
        <w:rPr>
          <w:b/>
        </w:rPr>
        <w:t>Tabell 42. Offentliga sektorns periodiserade skatter, offentliga sektorns inkomster enligt nationalräkenskaperna samt statsbudgetens inkom</w:t>
      </w:r>
      <w:r w:rsidRPr="00C9680B">
        <w:rPr>
          <w:b/>
        </w:rPr>
        <w:t>s</w:t>
      </w:r>
      <w:r w:rsidRPr="00C9680B">
        <w:rPr>
          <w:b/>
        </w:rPr>
        <w:t>ter</w:t>
      </w:r>
    </w:p>
    <w:p w:rsidR="001C7BF9" w:rsidRPr="00C9680B" w:rsidRDefault="001C7BF9">
      <w:pPr>
        <w:pStyle w:val="TabellUnderrubrik"/>
        <w:spacing w:after="0" w:line="360" w:lineRule="auto"/>
        <w:rPr>
          <w:rFonts w:ascii="Times New Roman" w:hAnsi="Times New Roman"/>
          <w:i w:val="0"/>
          <w:sz w:val="16"/>
        </w:rPr>
      </w:pPr>
      <w:r w:rsidRPr="00C9680B">
        <w:rPr>
          <w:rFonts w:ascii="Times New Roman" w:hAnsi="Times New Roman"/>
          <w:i w:val="0"/>
          <w:sz w:val="16"/>
        </w:rPr>
        <w:t xml:space="preserve">Miljarder kronor och procent </w:t>
      </w:r>
    </w:p>
    <w:tbl>
      <w:tblPr>
        <w:tblW w:w="0" w:type="auto"/>
        <w:tblInd w:w="-22" w:type="dxa"/>
        <w:tblLayout w:type="fixed"/>
        <w:tblCellMar>
          <w:left w:w="107" w:type="dxa"/>
          <w:right w:w="107" w:type="dxa"/>
        </w:tblCellMar>
        <w:tblLook w:val="0000" w:firstRow="0" w:lastRow="0" w:firstColumn="0" w:lastColumn="0" w:noHBand="0" w:noVBand="0"/>
      </w:tblPr>
      <w:tblGrid>
        <w:gridCol w:w="2149"/>
        <w:gridCol w:w="141"/>
        <w:gridCol w:w="709"/>
        <w:gridCol w:w="709"/>
        <w:gridCol w:w="709"/>
        <w:gridCol w:w="708"/>
        <w:gridCol w:w="709"/>
      </w:tblGrid>
      <w:tr w:rsidR="00000000" w:rsidRPr="00C9680B">
        <w:tblPrEx>
          <w:tblCellMar>
            <w:top w:w="0" w:type="dxa"/>
            <w:bottom w:w="0" w:type="dxa"/>
          </w:tblCellMar>
        </w:tblPrEx>
        <w:tc>
          <w:tcPr>
            <w:tcW w:w="2149" w:type="dxa"/>
            <w:tcBorders>
              <w:top w:val="single" w:sz="4" w:space="0" w:color="auto"/>
            </w:tcBorders>
          </w:tcPr>
          <w:p w:rsidR="001C7BF9" w:rsidRPr="00C9680B" w:rsidRDefault="001C7BF9">
            <w:pPr>
              <w:pStyle w:val="TabellHuvud"/>
              <w:spacing w:before="40" w:after="40"/>
              <w:jc w:val="left"/>
              <w:rPr>
                <w:rFonts w:ascii="Times New Roman" w:hAnsi="Times New Roman"/>
                <w:b/>
                <w:sz w:val="16"/>
              </w:rPr>
            </w:pPr>
          </w:p>
        </w:tc>
        <w:tc>
          <w:tcPr>
            <w:tcW w:w="850" w:type="dxa"/>
            <w:gridSpan w:val="2"/>
            <w:tcBorders>
              <w:top w:val="single" w:sz="4" w:space="0" w:color="auto"/>
            </w:tcBorders>
          </w:tcPr>
          <w:p w:rsidR="001C7BF9" w:rsidRPr="00C9680B" w:rsidRDefault="001C7BF9">
            <w:pPr>
              <w:pStyle w:val="TabellHuvud"/>
              <w:spacing w:before="40" w:after="40"/>
              <w:rPr>
                <w:rFonts w:ascii="Times New Roman" w:hAnsi="Times New Roman"/>
                <w:b/>
                <w:sz w:val="16"/>
              </w:rPr>
            </w:pPr>
            <w:r w:rsidRPr="00C9680B">
              <w:rPr>
                <w:rFonts w:ascii="Times New Roman" w:hAnsi="Times New Roman"/>
                <w:b/>
                <w:sz w:val="16"/>
              </w:rPr>
              <w:t>1999</w:t>
            </w:r>
          </w:p>
        </w:tc>
        <w:tc>
          <w:tcPr>
            <w:tcW w:w="709" w:type="dxa"/>
            <w:tcBorders>
              <w:top w:val="single" w:sz="4" w:space="0" w:color="auto"/>
            </w:tcBorders>
          </w:tcPr>
          <w:p w:rsidR="001C7BF9" w:rsidRPr="00C9680B" w:rsidRDefault="001C7BF9">
            <w:pPr>
              <w:pStyle w:val="TabellHuvud"/>
              <w:spacing w:before="40" w:after="40"/>
              <w:rPr>
                <w:rFonts w:ascii="Times New Roman" w:hAnsi="Times New Roman"/>
                <w:b/>
                <w:sz w:val="16"/>
              </w:rPr>
            </w:pPr>
            <w:r w:rsidRPr="00C9680B">
              <w:rPr>
                <w:rFonts w:ascii="Times New Roman" w:hAnsi="Times New Roman"/>
                <w:b/>
                <w:sz w:val="16"/>
              </w:rPr>
              <w:t>2000</w:t>
            </w:r>
          </w:p>
        </w:tc>
        <w:tc>
          <w:tcPr>
            <w:tcW w:w="709" w:type="dxa"/>
            <w:tcBorders>
              <w:top w:val="single" w:sz="4" w:space="0" w:color="auto"/>
            </w:tcBorders>
          </w:tcPr>
          <w:p w:rsidR="001C7BF9" w:rsidRPr="00C9680B" w:rsidRDefault="001C7BF9">
            <w:pPr>
              <w:pStyle w:val="TabellHuvud"/>
              <w:spacing w:before="40" w:after="40"/>
              <w:rPr>
                <w:rFonts w:ascii="Times New Roman" w:hAnsi="Times New Roman"/>
                <w:b/>
                <w:sz w:val="16"/>
              </w:rPr>
            </w:pPr>
            <w:r w:rsidRPr="00C9680B">
              <w:rPr>
                <w:rFonts w:ascii="Times New Roman" w:hAnsi="Times New Roman"/>
                <w:b/>
                <w:sz w:val="16"/>
              </w:rPr>
              <w:t>2001</w:t>
            </w:r>
          </w:p>
        </w:tc>
        <w:tc>
          <w:tcPr>
            <w:tcW w:w="708" w:type="dxa"/>
            <w:tcBorders>
              <w:top w:val="single" w:sz="4" w:space="0" w:color="auto"/>
            </w:tcBorders>
          </w:tcPr>
          <w:p w:rsidR="001C7BF9" w:rsidRPr="00C9680B" w:rsidRDefault="001C7BF9">
            <w:pPr>
              <w:pStyle w:val="TabellHuvud"/>
              <w:spacing w:before="40" w:after="40"/>
              <w:rPr>
                <w:rFonts w:ascii="Times New Roman" w:hAnsi="Times New Roman"/>
                <w:b/>
                <w:sz w:val="16"/>
              </w:rPr>
            </w:pPr>
            <w:r w:rsidRPr="00C9680B">
              <w:rPr>
                <w:rFonts w:ascii="Times New Roman" w:hAnsi="Times New Roman"/>
                <w:b/>
                <w:sz w:val="16"/>
              </w:rPr>
              <w:t>2002</w:t>
            </w:r>
          </w:p>
        </w:tc>
        <w:tc>
          <w:tcPr>
            <w:tcW w:w="709" w:type="dxa"/>
            <w:tcBorders>
              <w:top w:val="single" w:sz="4" w:space="0" w:color="auto"/>
            </w:tcBorders>
          </w:tcPr>
          <w:p w:rsidR="001C7BF9" w:rsidRPr="00C9680B" w:rsidRDefault="001C7BF9">
            <w:pPr>
              <w:pStyle w:val="TabellHuvud"/>
              <w:spacing w:before="40" w:after="40"/>
              <w:rPr>
                <w:rFonts w:ascii="Times New Roman" w:hAnsi="Times New Roman"/>
                <w:b/>
                <w:sz w:val="16"/>
              </w:rPr>
            </w:pPr>
            <w:r w:rsidRPr="00C9680B">
              <w:rPr>
                <w:rFonts w:ascii="Times New Roman" w:hAnsi="Times New Roman"/>
                <w:b/>
                <w:sz w:val="16"/>
              </w:rPr>
              <w:t>2003</w:t>
            </w:r>
          </w:p>
        </w:tc>
      </w:tr>
      <w:tr w:rsidR="00000000" w:rsidRPr="00C9680B">
        <w:tblPrEx>
          <w:tblCellMar>
            <w:top w:w="0" w:type="dxa"/>
            <w:bottom w:w="0" w:type="dxa"/>
          </w:tblCellMar>
        </w:tblPrEx>
        <w:tc>
          <w:tcPr>
            <w:tcW w:w="2149" w:type="dxa"/>
            <w:tcBorders>
              <w:top w:val="single" w:sz="4" w:space="0" w:color="auto"/>
              <w:bottom w:val="single" w:sz="4" w:space="0" w:color="auto"/>
            </w:tcBorders>
          </w:tcPr>
          <w:p w:rsidR="001C7BF9" w:rsidRPr="00C9680B" w:rsidRDefault="001C7BF9">
            <w:pPr>
              <w:pStyle w:val="TabellRader"/>
              <w:spacing w:before="0"/>
              <w:jc w:val="left"/>
              <w:rPr>
                <w:rFonts w:ascii="Times New Roman" w:hAnsi="Times New Roman"/>
              </w:rPr>
            </w:pPr>
            <w:r w:rsidRPr="00C9680B">
              <w:rPr>
                <w:rFonts w:ascii="Times New Roman" w:hAnsi="Times New Roman"/>
                <w:b/>
              </w:rPr>
              <w:t>Offentlig sektor, period</w:t>
            </w:r>
            <w:r w:rsidRPr="00C9680B">
              <w:rPr>
                <w:rFonts w:ascii="Times New Roman" w:hAnsi="Times New Roman"/>
                <w:b/>
              </w:rPr>
              <w:t>i</w:t>
            </w:r>
            <w:r w:rsidRPr="00C9680B">
              <w:rPr>
                <w:rFonts w:ascii="Times New Roman" w:hAnsi="Times New Roman"/>
                <w:b/>
              </w:rPr>
              <w:t>serade ska</w:t>
            </w:r>
            <w:r w:rsidRPr="00C9680B">
              <w:rPr>
                <w:rFonts w:ascii="Times New Roman" w:hAnsi="Times New Roman"/>
                <w:b/>
              </w:rPr>
              <w:t>t</w:t>
            </w:r>
            <w:r w:rsidRPr="00C9680B">
              <w:rPr>
                <w:rFonts w:ascii="Times New Roman" w:hAnsi="Times New Roman"/>
                <w:b/>
              </w:rPr>
              <w:t>ter</w:t>
            </w:r>
          </w:p>
        </w:tc>
        <w:tc>
          <w:tcPr>
            <w:tcW w:w="850" w:type="dxa"/>
            <w:gridSpan w:val="2"/>
            <w:tcBorders>
              <w:top w:val="single" w:sz="4" w:space="0" w:color="auto"/>
              <w:bottom w:val="single" w:sz="4" w:space="0" w:color="auto"/>
            </w:tcBorders>
          </w:tcPr>
          <w:p w:rsidR="001C7BF9" w:rsidRPr="00C9680B" w:rsidRDefault="001C7BF9">
            <w:pPr>
              <w:pStyle w:val="TabellRader"/>
              <w:spacing w:before="0"/>
              <w:rPr>
                <w:rFonts w:ascii="Times New Roman" w:hAnsi="Times New Roman"/>
              </w:rPr>
            </w:pPr>
            <w:r w:rsidRPr="00C9680B">
              <w:rPr>
                <w:rFonts w:ascii="Times New Roman" w:hAnsi="Times New Roman"/>
              </w:rPr>
              <w:br/>
              <w:t>1 082</w:t>
            </w:r>
          </w:p>
        </w:tc>
        <w:tc>
          <w:tcPr>
            <w:tcW w:w="709" w:type="dxa"/>
            <w:tcBorders>
              <w:top w:val="single" w:sz="4" w:space="0" w:color="auto"/>
              <w:bottom w:val="single" w:sz="4" w:space="0" w:color="auto"/>
            </w:tcBorders>
          </w:tcPr>
          <w:p w:rsidR="001C7BF9" w:rsidRPr="00C9680B" w:rsidRDefault="001C7BF9">
            <w:pPr>
              <w:pStyle w:val="TabellRader"/>
              <w:spacing w:before="0"/>
              <w:rPr>
                <w:rFonts w:ascii="Times New Roman" w:hAnsi="Times New Roman"/>
              </w:rPr>
            </w:pPr>
            <w:r w:rsidRPr="00C9680B">
              <w:rPr>
                <w:rFonts w:ascii="Times New Roman" w:hAnsi="Times New Roman"/>
              </w:rPr>
              <w:br/>
              <w:t>1 117</w:t>
            </w:r>
          </w:p>
        </w:tc>
        <w:tc>
          <w:tcPr>
            <w:tcW w:w="709" w:type="dxa"/>
            <w:tcBorders>
              <w:top w:val="single" w:sz="4" w:space="0" w:color="auto"/>
              <w:bottom w:val="single" w:sz="4" w:space="0" w:color="auto"/>
            </w:tcBorders>
          </w:tcPr>
          <w:p w:rsidR="001C7BF9" w:rsidRPr="00C9680B" w:rsidRDefault="001C7BF9">
            <w:pPr>
              <w:pStyle w:val="TabellRader"/>
              <w:spacing w:before="0"/>
              <w:rPr>
                <w:rFonts w:ascii="Times New Roman" w:hAnsi="Times New Roman"/>
              </w:rPr>
            </w:pPr>
            <w:r w:rsidRPr="00C9680B">
              <w:rPr>
                <w:rFonts w:ascii="Times New Roman" w:hAnsi="Times New Roman"/>
              </w:rPr>
              <w:br/>
              <w:t>1 134</w:t>
            </w:r>
          </w:p>
        </w:tc>
        <w:tc>
          <w:tcPr>
            <w:tcW w:w="708" w:type="dxa"/>
            <w:tcBorders>
              <w:top w:val="single" w:sz="4" w:space="0" w:color="auto"/>
              <w:bottom w:val="single" w:sz="4" w:space="0" w:color="auto"/>
            </w:tcBorders>
          </w:tcPr>
          <w:p w:rsidR="001C7BF9" w:rsidRPr="00C9680B" w:rsidRDefault="001C7BF9">
            <w:pPr>
              <w:pStyle w:val="TabellRader"/>
              <w:spacing w:before="0"/>
              <w:rPr>
                <w:rFonts w:ascii="Times New Roman" w:hAnsi="Times New Roman"/>
              </w:rPr>
            </w:pPr>
            <w:r w:rsidRPr="00C9680B">
              <w:rPr>
                <w:rFonts w:ascii="Times New Roman" w:hAnsi="Times New Roman"/>
              </w:rPr>
              <w:br/>
              <w:t>1 176</w:t>
            </w:r>
          </w:p>
        </w:tc>
        <w:tc>
          <w:tcPr>
            <w:tcW w:w="709" w:type="dxa"/>
            <w:tcBorders>
              <w:top w:val="single" w:sz="4" w:space="0" w:color="auto"/>
              <w:bottom w:val="single" w:sz="4" w:space="0" w:color="auto"/>
            </w:tcBorders>
          </w:tcPr>
          <w:p w:rsidR="001C7BF9" w:rsidRPr="00C9680B" w:rsidRDefault="001C7BF9">
            <w:pPr>
              <w:pStyle w:val="TabellRader"/>
              <w:spacing w:before="0"/>
              <w:rPr>
                <w:rFonts w:ascii="Times New Roman" w:hAnsi="Times New Roman"/>
              </w:rPr>
            </w:pPr>
            <w:r w:rsidRPr="00C9680B">
              <w:rPr>
                <w:rFonts w:ascii="Times New Roman" w:hAnsi="Times New Roman"/>
              </w:rPr>
              <w:br/>
              <w:t>1 232</w:t>
            </w:r>
          </w:p>
        </w:tc>
      </w:tr>
      <w:tr w:rsidR="00000000" w:rsidRPr="00C9680B">
        <w:tblPrEx>
          <w:tblCellMar>
            <w:top w:w="0" w:type="dxa"/>
            <w:bottom w:w="0" w:type="dxa"/>
          </w:tblCellMar>
        </w:tblPrEx>
        <w:tc>
          <w:tcPr>
            <w:tcW w:w="2999" w:type="dxa"/>
            <w:gridSpan w:val="3"/>
          </w:tcPr>
          <w:p w:rsidR="001C7BF9" w:rsidRPr="00C9680B" w:rsidRDefault="001C7BF9">
            <w:pPr>
              <w:pStyle w:val="TabellRader"/>
              <w:tabs>
                <w:tab w:val="left" w:pos="85"/>
              </w:tabs>
              <w:spacing w:before="0"/>
              <w:jc w:val="left"/>
              <w:rPr>
                <w:rFonts w:ascii="Times New Roman" w:hAnsi="Times New Roman"/>
              </w:rPr>
            </w:pPr>
            <w:r w:rsidRPr="00C9680B">
              <w:rPr>
                <w:rFonts w:ascii="Times New Roman" w:hAnsi="Times New Roman"/>
              </w:rPr>
              <w:t>Årlig förändring</w:t>
            </w:r>
            <w:r w:rsidRPr="00C9680B">
              <w:rPr>
                <w:rFonts w:ascii="Times New Roman" w:hAnsi="Times New Roman"/>
              </w:rPr>
              <w:br/>
            </w:r>
            <w:r w:rsidRPr="00C9680B">
              <w:rPr>
                <w:rFonts w:ascii="Times New Roman" w:hAnsi="Times New Roman"/>
              </w:rPr>
              <w:tab/>
            </w:r>
            <w:r w:rsidRPr="00C9680B">
              <w:rPr>
                <w:rFonts w:ascii="Times New Roman" w:hAnsi="Times New Roman"/>
                <w:i/>
              </w:rPr>
              <w:t>procent</w:t>
            </w:r>
          </w:p>
        </w:tc>
        <w:tc>
          <w:tcPr>
            <w:tcW w:w="709" w:type="dxa"/>
          </w:tcPr>
          <w:p w:rsidR="001C7BF9" w:rsidRPr="00C9680B" w:rsidRDefault="001C7BF9">
            <w:pPr>
              <w:pStyle w:val="TabellRader"/>
              <w:spacing w:before="0"/>
              <w:rPr>
                <w:rFonts w:ascii="Times New Roman" w:hAnsi="Times New Roman"/>
              </w:rPr>
            </w:pPr>
            <w:r w:rsidRPr="00C9680B">
              <w:rPr>
                <w:rFonts w:ascii="Times New Roman" w:hAnsi="Times New Roman"/>
              </w:rPr>
              <w:t>34</w:t>
            </w:r>
            <w:r w:rsidRPr="00C9680B">
              <w:rPr>
                <w:rFonts w:ascii="Times New Roman" w:hAnsi="Times New Roman"/>
              </w:rPr>
              <w:br/>
            </w:r>
            <w:r w:rsidRPr="00C9680B">
              <w:rPr>
                <w:rFonts w:ascii="Times New Roman" w:hAnsi="Times New Roman"/>
                <w:i/>
              </w:rPr>
              <w:t>3,2</w:t>
            </w:r>
          </w:p>
        </w:tc>
        <w:tc>
          <w:tcPr>
            <w:tcW w:w="709" w:type="dxa"/>
          </w:tcPr>
          <w:p w:rsidR="001C7BF9" w:rsidRPr="00C9680B" w:rsidRDefault="001C7BF9">
            <w:pPr>
              <w:pStyle w:val="TabellRader"/>
              <w:spacing w:before="0"/>
              <w:rPr>
                <w:rFonts w:ascii="Times New Roman" w:hAnsi="Times New Roman"/>
              </w:rPr>
            </w:pPr>
            <w:r w:rsidRPr="00C9680B">
              <w:rPr>
                <w:rFonts w:ascii="Times New Roman" w:hAnsi="Times New Roman"/>
              </w:rPr>
              <w:t>17</w:t>
            </w:r>
            <w:r w:rsidRPr="00C9680B">
              <w:rPr>
                <w:rFonts w:ascii="Times New Roman" w:hAnsi="Times New Roman"/>
              </w:rPr>
              <w:br/>
            </w:r>
            <w:r w:rsidRPr="00C9680B">
              <w:rPr>
                <w:rFonts w:ascii="Times New Roman" w:hAnsi="Times New Roman"/>
                <w:i/>
              </w:rPr>
              <w:t>1,5</w:t>
            </w:r>
          </w:p>
        </w:tc>
        <w:tc>
          <w:tcPr>
            <w:tcW w:w="708" w:type="dxa"/>
          </w:tcPr>
          <w:p w:rsidR="001C7BF9" w:rsidRPr="00C9680B" w:rsidRDefault="001C7BF9">
            <w:pPr>
              <w:pStyle w:val="TabellRader"/>
              <w:spacing w:before="0"/>
              <w:rPr>
                <w:rFonts w:ascii="Times New Roman" w:hAnsi="Times New Roman"/>
              </w:rPr>
            </w:pPr>
            <w:r w:rsidRPr="00C9680B">
              <w:rPr>
                <w:rFonts w:ascii="Times New Roman" w:hAnsi="Times New Roman"/>
              </w:rPr>
              <w:t>42</w:t>
            </w:r>
            <w:r w:rsidRPr="00C9680B">
              <w:rPr>
                <w:rFonts w:ascii="Times New Roman" w:hAnsi="Times New Roman"/>
              </w:rPr>
              <w:br/>
            </w:r>
            <w:r w:rsidRPr="00C9680B">
              <w:rPr>
                <w:rFonts w:ascii="Times New Roman" w:hAnsi="Times New Roman"/>
                <w:i/>
              </w:rPr>
              <w:t>3,7</w:t>
            </w:r>
          </w:p>
        </w:tc>
        <w:tc>
          <w:tcPr>
            <w:tcW w:w="709" w:type="dxa"/>
          </w:tcPr>
          <w:p w:rsidR="001C7BF9" w:rsidRPr="00C9680B" w:rsidRDefault="001C7BF9">
            <w:pPr>
              <w:pStyle w:val="TabellRader"/>
              <w:spacing w:before="0"/>
              <w:rPr>
                <w:rFonts w:ascii="Times New Roman" w:hAnsi="Times New Roman"/>
              </w:rPr>
            </w:pPr>
            <w:r w:rsidRPr="00C9680B">
              <w:rPr>
                <w:rFonts w:ascii="Times New Roman" w:hAnsi="Times New Roman"/>
              </w:rPr>
              <w:t>56</w:t>
            </w:r>
            <w:r w:rsidRPr="00C9680B">
              <w:rPr>
                <w:rFonts w:ascii="Times New Roman" w:hAnsi="Times New Roman"/>
              </w:rPr>
              <w:br/>
            </w:r>
            <w:r w:rsidRPr="00C9680B">
              <w:rPr>
                <w:rFonts w:ascii="Times New Roman" w:hAnsi="Times New Roman"/>
                <w:i/>
              </w:rPr>
              <w:t>4,8</w:t>
            </w:r>
          </w:p>
        </w:tc>
      </w:tr>
      <w:tr w:rsidR="00000000" w:rsidRPr="00C9680B">
        <w:tblPrEx>
          <w:tblCellMar>
            <w:top w:w="0" w:type="dxa"/>
            <w:bottom w:w="0" w:type="dxa"/>
          </w:tblCellMar>
        </w:tblPrEx>
        <w:tc>
          <w:tcPr>
            <w:tcW w:w="2290" w:type="dxa"/>
            <w:gridSpan w:val="2"/>
            <w:tcBorders>
              <w:top w:val="single" w:sz="4" w:space="0" w:color="auto"/>
            </w:tcBorders>
          </w:tcPr>
          <w:p w:rsidR="001C7BF9" w:rsidRPr="00C9680B" w:rsidRDefault="001C7BF9">
            <w:pPr>
              <w:pStyle w:val="TabellRader"/>
              <w:tabs>
                <w:tab w:val="left" w:pos="85"/>
              </w:tabs>
              <w:spacing w:before="0"/>
              <w:jc w:val="left"/>
              <w:rPr>
                <w:rFonts w:ascii="Times New Roman" w:hAnsi="Times New Roman"/>
              </w:rPr>
            </w:pPr>
            <w:r w:rsidRPr="00C9680B">
              <w:rPr>
                <w:rFonts w:ascii="Times New Roman" w:hAnsi="Times New Roman"/>
                <w:b/>
              </w:rPr>
              <w:t>Offentlig sektor, enligt nationalräkensk</w:t>
            </w:r>
            <w:r w:rsidRPr="00C9680B">
              <w:rPr>
                <w:rFonts w:ascii="Times New Roman" w:hAnsi="Times New Roman"/>
                <w:b/>
              </w:rPr>
              <w:t>a</w:t>
            </w:r>
            <w:r w:rsidRPr="00C9680B">
              <w:rPr>
                <w:rFonts w:ascii="Times New Roman" w:hAnsi="Times New Roman"/>
                <w:b/>
              </w:rPr>
              <w:t>perna</w:t>
            </w:r>
            <w:r w:rsidRPr="00C9680B">
              <w:rPr>
                <w:rFonts w:ascii="Times New Roman" w:hAnsi="Times New Roman"/>
                <w:b/>
              </w:rPr>
              <w:br/>
            </w:r>
            <w:r w:rsidRPr="00C9680B">
              <w:rPr>
                <w:rFonts w:ascii="Times New Roman" w:hAnsi="Times New Roman"/>
              </w:rPr>
              <w:tab/>
              <w:t>skatter</w:t>
            </w:r>
            <w:r w:rsidRPr="00C9680B">
              <w:rPr>
                <w:rFonts w:ascii="Times New Roman" w:hAnsi="Times New Roman"/>
              </w:rPr>
              <w:br/>
            </w:r>
            <w:r w:rsidRPr="00C9680B">
              <w:rPr>
                <w:rFonts w:ascii="Times New Roman" w:hAnsi="Times New Roman"/>
              </w:rPr>
              <w:tab/>
              <w:t>övriga i</w:t>
            </w:r>
            <w:r w:rsidRPr="00C9680B">
              <w:rPr>
                <w:rFonts w:ascii="Times New Roman" w:hAnsi="Times New Roman"/>
              </w:rPr>
              <w:t>n</w:t>
            </w:r>
            <w:r w:rsidRPr="00C9680B">
              <w:rPr>
                <w:rFonts w:ascii="Times New Roman" w:hAnsi="Times New Roman"/>
              </w:rPr>
              <w:t>komster</w:t>
            </w:r>
            <w:r w:rsidRPr="00C9680B">
              <w:rPr>
                <w:rFonts w:ascii="Times New Roman" w:hAnsi="Times New Roman"/>
              </w:rPr>
              <w:br/>
            </w:r>
            <w:r w:rsidRPr="00C9680B">
              <w:rPr>
                <w:rFonts w:ascii="Times New Roman" w:hAnsi="Times New Roman"/>
              </w:rPr>
              <w:tab/>
              <w:t>totalt</w:t>
            </w:r>
          </w:p>
        </w:tc>
        <w:tc>
          <w:tcPr>
            <w:tcW w:w="709" w:type="dxa"/>
            <w:tcBorders>
              <w:top w:val="single" w:sz="4" w:space="0" w:color="auto"/>
            </w:tcBorders>
          </w:tcPr>
          <w:p w:rsidR="001C7BF9" w:rsidRPr="00C9680B" w:rsidRDefault="001C7BF9">
            <w:pPr>
              <w:pStyle w:val="TabellRader"/>
              <w:spacing w:before="0"/>
              <w:rPr>
                <w:rFonts w:ascii="Times New Roman" w:hAnsi="Times New Roman"/>
              </w:rPr>
            </w:pPr>
            <w:r w:rsidRPr="00C9680B">
              <w:rPr>
                <w:rFonts w:ascii="Times New Roman" w:hAnsi="Times New Roman"/>
              </w:rPr>
              <w:br/>
            </w:r>
            <w:r w:rsidRPr="00C9680B">
              <w:rPr>
                <w:rFonts w:ascii="Times New Roman" w:hAnsi="Times New Roman"/>
              </w:rPr>
              <w:br/>
              <w:t>1043</w:t>
            </w:r>
            <w:r w:rsidRPr="00C9680B">
              <w:rPr>
                <w:rFonts w:ascii="Times New Roman" w:hAnsi="Times New Roman"/>
              </w:rPr>
              <w:br/>
              <w:t>145</w:t>
            </w:r>
            <w:r w:rsidRPr="00C9680B">
              <w:rPr>
                <w:rFonts w:ascii="Times New Roman" w:hAnsi="Times New Roman"/>
              </w:rPr>
              <w:br/>
              <w:t>1 188</w:t>
            </w:r>
          </w:p>
        </w:tc>
        <w:tc>
          <w:tcPr>
            <w:tcW w:w="709" w:type="dxa"/>
            <w:tcBorders>
              <w:top w:val="single" w:sz="4" w:space="0" w:color="auto"/>
            </w:tcBorders>
          </w:tcPr>
          <w:p w:rsidR="001C7BF9" w:rsidRPr="00C9680B" w:rsidRDefault="001C7BF9">
            <w:pPr>
              <w:pStyle w:val="TabellRader"/>
              <w:spacing w:before="0"/>
              <w:rPr>
                <w:rFonts w:ascii="Times New Roman" w:hAnsi="Times New Roman"/>
              </w:rPr>
            </w:pPr>
            <w:r w:rsidRPr="00C9680B">
              <w:rPr>
                <w:rFonts w:ascii="Times New Roman" w:hAnsi="Times New Roman"/>
              </w:rPr>
              <w:br/>
            </w:r>
            <w:r w:rsidRPr="00C9680B">
              <w:rPr>
                <w:rFonts w:ascii="Times New Roman" w:hAnsi="Times New Roman"/>
              </w:rPr>
              <w:br/>
              <w:t>1 075</w:t>
            </w:r>
            <w:r w:rsidRPr="00C9680B">
              <w:rPr>
                <w:rFonts w:ascii="Times New Roman" w:hAnsi="Times New Roman"/>
              </w:rPr>
              <w:br/>
              <w:t>144</w:t>
            </w:r>
            <w:r w:rsidRPr="00C9680B">
              <w:rPr>
                <w:rFonts w:ascii="Times New Roman" w:hAnsi="Times New Roman"/>
              </w:rPr>
              <w:br/>
              <w:t>1 219</w:t>
            </w:r>
          </w:p>
        </w:tc>
        <w:tc>
          <w:tcPr>
            <w:tcW w:w="709" w:type="dxa"/>
            <w:tcBorders>
              <w:top w:val="single" w:sz="4" w:space="0" w:color="auto"/>
            </w:tcBorders>
          </w:tcPr>
          <w:p w:rsidR="001C7BF9" w:rsidRPr="00C9680B" w:rsidRDefault="001C7BF9">
            <w:pPr>
              <w:pStyle w:val="TabellRader"/>
              <w:spacing w:before="0"/>
              <w:rPr>
                <w:rFonts w:ascii="Times New Roman" w:hAnsi="Times New Roman"/>
              </w:rPr>
            </w:pPr>
            <w:r w:rsidRPr="00C9680B">
              <w:rPr>
                <w:rFonts w:ascii="Times New Roman" w:hAnsi="Times New Roman"/>
              </w:rPr>
              <w:br/>
            </w:r>
            <w:r w:rsidRPr="00C9680B">
              <w:rPr>
                <w:rFonts w:ascii="Times New Roman" w:hAnsi="Times New Roman"/>
              </w:rPr>
              <w:br/>
              <w:t>1 110</w:t>
            </w:r>
            <w:r w:rsidRPr="00C9680B">
              <w:rPr>
                <w:rFonts w:ascii="Times New Roman" w:hAnsi="Times New Roman"/>
              </w:rPr>
              <w:br/>
              <w:t>138</w:t>
            </w:r>
            <w:r w:rsidRPr="00C9680B">
              <w:rPr>
                <w:rFonts w:ascii="Times New Roman" w:hAnsi="Times New Roman"/>
              </w:rPr>
              <w:br/>
              <w:t>1 248</w:t>
            </w:r>
          </w:p>
        </w:tc>
        <w:tc>
          <w:tcPr>
            <w:tcW w:w="708" w:type="dxa"/>
            <w:tcBorders>
              <w:top w:val="single" w:sz="4" w:space="0" w:color="auto"/>
            </w:tcBorders>
          </w:tcPr>
          <w:p w:rsidR="001C7BF9" w:rsidRPr="00C9680B" w:rsidRDefault="001C7BF9">
            <w:pPr>
              <w:pStyle w:val="TabellRader"/>
              <w:spacing w:before="0"/>
              <w:rPr>
                <w:rFonts w:ascii="Times New Roman" w:hAnsi="Times New Roman"/>
              </w:rPr>
            </w:pPr>
            <w:r w:rsidRPr="00C9680B">
              <w:rPr>
                <w:rFonts w:ascii="Times New Roman" w:hAnsi="Times New Roman"/>
              </w:rPr>
              <w:br/>
            </w:r>
            <w:r w:rsidRPr="00C9680B">
              <w:rPr>
                <w:rFonts w:ascii="Times New Roman" w:hAnsi="Times New Roman"/>
              </w:rPr>
              <w:br/>
              <w:t>1 142</w:t>
            </w:r>
            <w:r w:rsidRPr="00C9680B">
              <w:rPr>
                <w:rFonts w:ascii="Times New Roman" w:hAnsi="Times New Roman"/>
              </w:rPr>
              <w:br/>
              <w:t>139</w:t>
            </w:r>
            <w:r w:rsidRPr="00C9680B">
              <w:rPr>
                <w:rFonts w:ascii="Times New Roman" w:hAnsi="Times New Roman"/>
              </w:rPr>
              <w:br/>
              <w:t>1 281</w:t>
            </w:r>
          </w:p>
        </w:tc>
        <w:tc>
          <w:tcPr>
            <w:tcW w:w="709" w:type="dxa"/>
            <w:tcBorders>
              <w:top w:val="single" w:sz="4" w:space="0" w:color="auto"/>
            </w:tcBorders>
          </w:tcPr>
          <w:p w:rsidR="001C7BF9" w:rsidRPr="00C9680B" w:rsidRDefault="001C7BF9">
            <w:pPr>
              <w:pStyle w:val="TabellRader"/>
              <w:spacing w:before="0"/>
              <w:rPr>
                <w:rFonts w:ascii="Times New Roman" w:hAnsi="Times New Roman"/>
              </w:rPr>
            </w:pPr>
            <w:r w:rsidRPr="00C9680B">
              <w:rPr>
                <w:rFonts w:ascii="Times New Roman" w:hAnsi="Times New Roman"/>
              </w:rPr>
              <w:br/>
            </w:r>
            <w:r w:rsidRPr="00C9680B">
              <w:rPr>
                <w:rFonts w:ascii="Times New Roman" w:hAnsi="Times New Roman"/>
              </w:rPr>
              <w:br/>
              <w:t>1 191</w:t>
            </w:r>
            <w:r w:rsidRPr="00C9680B">
              <w:rPr>
                <w:rFonts w:ascii="Times New Roman" w:hAnsi="Times New Roman"/>
              </w:rPr>
              <w:br/>
              <w:t>145</w:t>
            </w:r>
            <w:r w:rsidRPr="00C9680B">
              <w:rPr>
                <w:rFonts w:ascii="Times New Roman" w:hAnsi="Times New Roman"/>
              </w:rPr>
              <w:br/>
              <w:t>1 335</w:t>
            </w:r>
          </w:p>
        </w:tc>
      </w:tr>
      <w:tr w:rsidR="00000000" w:rsidRPr="00C9680B">
        <w:tblPrEx>
          <w:tblCellMar>
            <w:top w:w="0" w:type="dxa"/>
            <w:bottom w:w="0" w:type="dxa"/>
          </w:tblCellMar>
        </w:tblPrEx>
        <w:tc>
          <w:tcPr>
            <w:tcW w:w="2999" w:type="dxa"/>
            <w:gridSpan w:val="3"/>
            <w:tcBorders>
              <w:top w:val="single" w:sz="4" w:space="0" w:color="auto"/>
              <w:bottom w:val="single" w:sz="4" w:space="0" w:color="auto"/>
            </w:tcBorders>
          </w:tcPr>
          <w:p w:rsidR="001C7BF9" w:rsidRPr="00C9680B" w:rsidRDefault="001C7BF9">
            <w:pPr>
              <w:pStyle w:val="TabellRader"/>
              <w:tabs>
                <w:tab w:val="left" w:pos="85"/>
              </w:tabs>
              <w:spacing w:before="0"/>
              <w:jc w:val="left"/>
              <w:rPr>
                <w:rFonts w:ascii="Times New Roman" w:hAnsi="Times New Roman"/>
              </w:rPr>
            </w:pPr>
            <w:r w:rsidRPr="00C9680B">
              <w:rPr>
                <w:rFonts w:ascii="Times New Roman" w:hAnsi="Times New Roman"/>
              </w:rPr>
              <w:t>Årlig förändring skatter</w:t>
            </w:r>
            <w:r w:rsidRPr="00C9680B">
              <w:rPr>
                <w:rFonts w:ascii="Times New Roman" w:hAnsi="Times New Roman"/>
              </w:rPr>
              <w:br/>
            </w:r>
            <w:r w:rsidRPr="00C9680B">
              <w:rPr>
                <w:rFonts w:ascii="Times New Roman" w:hAnsi="Times New Roman"/>
              </w:rPr>
              <w:tab/>
            </w:r>
            <w:r w:rsidRPr="00C9680B">
              <w:rPr>
                <w:rFonts w:ascii="Times New Roman" w:hAnsi="Times New Roman"/>
                <w:i/>
              </w:rPr>
              <w:t>procent</w:t>
            </w:r>
          </w:p>
        </w:tc>
        <w:tc>
          <w:tcPr>
            <w:tcW w:w="709" w:type="dxa"/>
            <w:tcBorders>
              <w:top w:val="single" w:sz="4" w:space="0" w:color="auto"/>
              <w:bottom w:val="single" w:sz="4" w:space="0" w:color="auto"/>
            </w:tcBorders>
          </w:tcPr>
          <w:p w:rsidR="001C7BF9" w:rsidRPr="00C9680B" w:rsidRDefault="001C7BF9">
            <w:pPr>
              <w:pStyle w:val="TabellRader"/>
              <w:spacing w:before="0"/>
              <w:rPr>
                <w:rFonts w:ascii="Times New Roman" w:hAnsi="Times New Roman"/>
              </w:rPr>
            </w:pPr>
            <w:r w:rsidRPr="00C9680B">
              <w:rPr>
                <w:rFonts w:ascii="Times New Roman" w:hAnsi="Times New Roman"/>
              </w:rPr>
              <w:t>35</w:t>
            </w:r>
            <w:r w:rsidRPr="00C9680B">
              <w:rPr>
                <w:rFonts w:ascii="Times New Roman" w:hAnsi="Times New Roman"/>
              </w:rPr>
              <w:br/>
            </w:r>
            <w:r w:rsidRPr="00C9680B">
              <w:rPr>
                <w:rFonts w:ascii="Times New Roman" w:hAnsi="Times New Roman"/>
                <w:i/>
              </w:rPr>
              <w:t>3,4</w:t>
            </w:r>
          </w:p>
        </w:tc>
        <w:tc>
          <w:tcPr>
            <w:tcW w:w="709" w:type="dxa"/>
            <w:tcBorders>
              <w:top w:val="single" w:sz="4" w:space="0" w:color="auto"/>
              <w:bottom w:val="single" w:sz="4" w:space="0" w:color="auto"/>
            </w:tcBorders>
          </w:tcPr>
          <w:p w:rsidR="001C7BF9" w:rsidRPr="00C9680B" w:rsidRDefault="001C7BF9">
            <w:pPr>
              <w:pStyle w:val="TabellRader"/>
              <w:spacing w:before="0"/>
              <w:rPr>
                <w:rFonts w:ascii="Times New Roman" w:hAnsi="Times New Roman"/>
              </w:rPr>
            </w:pPr>
            <w:r w:rsidRPr="00C9680B">
              <w:rPr>
                <w:rFonts w:ascii="Times New Roman" w:hAnsi="Times New Roman"/>
              </w:rPr>
              <w:t>35</w:t>
            </w:r>
            <w:r w:rsidRPr="00C9680B">
              <w:rPr>
                <w:rFonts w:ascii="Times New Roman" w:hAnsi="Times New Roman"/>
              </w:rPr>
              <w:br/>
            </w:r>
            <w:r w:rsidRPr="00C9680B">
              <w:rPr>
                <w:rFonts w:ascii="Times New Roman" w:hAnsi="Times New Roman"/>
                <w:i/>
              </w:rPr>
              <w:t>3,3</w:t>
            </w:r>
          </w:p>
        </w:tc>
        <w:tc>
          <w:tcPr>
            <w:tcW w:w="708" w:type="dxa"/>
            <w:tcBorders>
              <w:top w:val="single" w:sz="4" w:space="0" w:color="auto"/>
              <w:bottom w:val="single" w:sz="4" w:space="0" w:color="auto"/>
            </w:tcBorders>
          </w:tcPr>
          <w:p w:rsidR="001C7BF9" w:rsidRPr="00C9680B" w:rsidRDefault="001C7BF9">
            <w:pPr>
              <w:pStyle w:val="TabellRader"/>
              <w:spacing w:before="0"/>
              <w:rPr>
                <w:rFonts w:ascii="Times New Roman" w:hAnsi="Times New Roman"/>
              </w:rPr>
            </w:pPr>
            <w:r w:rsidRPr="00C9680B">
              <w:rPr>
                <w:rFonts w:ascii="Times New Roman" w:hAnsi="Times New Roman"/>
              </w:rPr>
              <w:t>31</w:t>
            </w:r>
            <w:r w:rsidRPr="00C9680B">
              <w:rPr>
                <w:rFonts w:ascii="Times New Roman" w:hAnsi="Times New Roman"/>
              </w:rPr>
              <w:br/>
            </w:r>
            <w:r w:rsidRPr="00C9680B">
              <w:rPr>
                <w:rFonts w:ascii="Times New Roman" w:hAnsi="Times New Roman"/>
                <w:i/>
              </w:rPr>
              <w:t>2,8</w:t>
            </w:r>
          </w:p>
        </w:tc>
        <w:tc>
          <w:tcPr>
            <w:tcW w:w="709" w:type="dxa"/>
            <w:tcBorders>
              <w:top w:val="single" w:sz="4" w:space="0" w:color="auto"/>
              <w:bottom w:val="single" w:sz="4" w:space="0" w:color="auto"/>
            </w:tcBorders>
          </w:tcPr>
          <w:p w:rsidR="001C7BF9" w:rsidRPr="00C9680B" w:rsidRDefault="001C7BF9">
            <w:pPr>
              <w:pStyle w:val="TabellRader"/>
              <w:spacing w:before="0"/>
              <w:rPr>
                <w:rFonts w:ascii="Times New Roman" w:hAnsi="Times New Roman"/>
              </w:rPr>
            </w:pPr>
            <w:r w:rsidRPr="00C9680B">
              <w:rPr>
                <w:rFonts w:ascii="Times New Roman" w:hAnsi="Times New Roman"/>
              </w:rPr>
              <w:t>49</w:t>
            </w:r>
            <w:r w:rsidRPr="00C9680B">
              <w:rPr>
                <w:rFonts w:ascii="Times New Roman" w:hAnsi="Times New Roman"/>
              </w:rPr>
              <w:br/>
              <w:t>4,3</w:t>
            </w:r>
          </w:p>
        </w:tc>
      </w:tr>
      <w:tr w:rsidR="00000000" w:rsidRPr="00C9680B">
        <w:tblPrEx>
          <w:tblCellMar>
            <w:top w:w="0" w:type="dxa"/>
            <w:bottom w:w="0" w:type="dxa"/>
          </w:tblCellMar>
        </w:tblPrEx>
        <w:tc>
          <w:tcPr>
            <w:tcW w:w="2290" w:type="dxa"/>
            <w:gridSpan w:val="2"/>
          </w:tcPr>
          <w:p w:rsidR="001C7BF9" w:rsidRPr="00C9680B" w:rsidRDefault="001C7BF9">
            <w:pPr>
              <w:pStyle w:val="TabellRader"/>
              <w:tabs>
                <w:tab w:val="left" w:pos="85"/>
              </w:tabs>
              <w:spacing w:before="0"/>
              <w:jc w:val="left"/>
              <w:rPr>
                <w:rFonts w:ascii="Times New Roman" w:hAnsi="Times New Roman"/>
              </w:rPr>
            </w:pPr>
            <w:r w:rsidRPr="00C9680B">
              <w:rPr>
                <w:rFonts w:ascii="Times New Roman" w:hAnsi="Times New Roman"/>
                <w:b/>
              </w:rPr>
              <w:t>Statsbudgetens i</w:t>
            </w:r>
            <w:r w:rsidRPr="00C9680B">
              <w:rPr>
                <w:rFonts w:ascii="Times New Roman" w:hAnsi="Times New Roman"/>
                <w:b/>
              </w:rPr>
              <w:t>n</w:t>
            </w:r>
            <w:r w:rsidRPr="00C9680B">
              <w:rPr>
                <w:rFonts w:ascii="Times New Roman" w:hAnsi="Times New Roman"/>
                <w:b/>
              </w:rPr>
              <w:t>komster</w:t>
            </w:r>
            <w:r w:rsidRPr="00C9680B">
              <w:rPr>
                <w:rFonts w:ascii="Times New Roman" w:hAnsi="Times New Roman"/>
              </w:rPr>
              <w:br/>
            </w:r>
            <w:r w:rsidRPr="00C9680B">
              <w:rPr>
                <w:rFonts w:ascii="Times New Roman" w:hAnsi="Times New Roman"/>
              </w:rPr>
              <w:tab/>
              <w:t>skatter</w:t>
            </w:r>
            <w:r w:rsidRPr="00C9680B">
              <w:rPr>
                <w:rFonts w:ascii="Times New Roman" w:hAnsi="Times New Roman"/>
              </w:rPr>
              <w:br/>
            </w:r>
            <w:r w:rsidRPr="00C9680B">
              <w:rPr>
                <w:rFonts w:ascii="Times New Roman" w:hAnsi="Times New Roman"/>
              </w:rPr>
              <w:tab/>
              <w:t>övriga inkom</w:t>
            </w:r>
            <w:r w:rsidRPr="00C9680B">
              <w:rPr>
                <w:rFonts w:ascii="Times New Roman" w:hAnsi="Times New Roman"/>
              </w:rPr>
              <w:t>s</w:t>
            </w:r>
            <w:r w:rsidRPr="00C9680B">
              <w:rPr>
                <w:rFonts w:ascii="Times New Roman" w:hAnsi="Times New Roman"/>
              </w:rPr>
              <w:t>ter</w:t>
            </w:r>
            <w:r w:rsidRPr="00C9680B">
              <w:rPr>
                <w:rFonts w:ascii="Times New Roman" w:hAnsi="Times New Roman"/>
              </w:rPr>
              <w:br/>
            </w:r>
            <w:r w:rsidRPr="00C9680B">
              <w:rPr>
                <w:rFonts w:ascii="Times New Roman" w:hAnsi="Times New Roman"/>
              </w:rPr>
              <w:tab/>
              <w:t>totalt</w:t>
            </w:r>
          </w:p>
        </w:tc>
        <w:tc>
          <w:tcPr>
            <w:tcW w:w="709" w:type="dxa"/>
          </w:tcPr>
          <w:p w:rsidR="001C7BF9" w:rsidRPr="00C9680B" w:rsidRDefault="001C7BF9">
            <w:pPr>
              <w:pStyle w:val="TabellRader"/>
              <w:spacing w:before="0"/>
              <w:rPr>
                <w:rFonts w:ascii="Times New Roman" w:hAnsi="Times New Roman"/>
              </w:rPr>
            </w:pPr>
            <w:r w:rsidRPr="00C9680B">
              <w:rPr>
                <w:rFonts w:ascii="Times New Roman" w:hAnsi="Times New Roman"/>
              </w:rPr>
              <w:br/>
            </w:r>
            <w:r w:rsidRPr="00C9680B">
              <w:rPr>
                <w:rFonts w:ascii="Times New Roman" w:hAnsi="Times New Roman"/>
              </w:rPr>
              <w:br/>
              <w:t>672</w:t>
            </w:r>
            <w:r w:rsidRPr="00C9680B">
              <w:rPr>
                <w:rFonts w:ascii="Times New Roman" w:hAnsi="Times New Roman"/>
              </w:rPr>
              <w:br/>
              <w:t>52</w:t>
            </w:r>
            <w:r w:rsidRPr="00C9680B">
              <w:rPr>
                <w:rFonts w:ascii="Times New Roman" w:hAnsi="Times New Roman"/>
              </w:rPr>
              <w:br/>
              <w:t>725</w:t>
            </w:r>
          </w:p>
        </w:tc>
        <w:tc>
          <w:tcPr>
            <w:tcW w:w="709" w:type="dxa"/>
          </w:tcPr>
          <w:p w:rsidR="001C7BF9" w:rsidRPr="00C9680B" w:rsidRDefault="001C7BF9">
            <w:pPr>
              <w:pStyle w:val="TabellRader"/>
              <w:spacing w:before="0"/>
              <w:rPr>
                <w:rFonts w:ascii="Times New Roman" w:hAnsi="Times New Roman"/>
              </w:rPr>
            </w:pPr>
            <w:r w:rsidRPr="00C9680B">
              <w:rPr>
                <w:rFonts w:ascii="Times New Roman" w:hAnsi="Times New Roman"/>
              </w:rPr>
              <w:br/>
            </w:r>
            <w:r w:rsidRPr="00C9680B">
              <w:rPr>
                <w:rFonts w:ascii="Times New Roman" w:hAnsi="Times New Roman"/>
              </w:rPr>
              <w:br/>
              <w:t>653</w:t>
            </w:r>
            <w:r w:rsidRPr="00C9680B">
              <w:rPr>
                <w:rFonts w:ascii="Times New Roman" w:hAnsi="Times New Roman"/>
              </w:rPr>
              <w:br/>
              <w:t>128</w:t>
            </w:r>
            <w:r w:rsidRPr="00C9680B">
              <w:rPr>
                <w:rFonts w:ascii="Times New Roman" w:hAnsi="Times New Roman"/>
              </w:rPr>
              <w:br/>
              <w:t>782</w:t>
            </w:r>
          </w:p>
        </w:tc>
        <w:tc>
          <w:tcPr>
            <w:tcW w:w="709" w:type="dxa"/>
          </w:tcPr>
          <w:p w:rsidR="001C7BF9" w:rsidRPr="00C9680B" w:rsidRDefault="001C7BF9">
            <w:pPr>
              <w:pStyle w:val="TabellRader"/>
              <w:spacing w:before="0"/>
              <w:rPr>
                <w:rFonts w:ascii="Times New Roman" w:hAnsi="Times New Roman"/>
              </w:rPr>
            </w:pPr>
            <w:r w:rsidRPr="00C9680B">
              <w:rPr>
                <w:rFonts w:ascii="Times New Roman" w:hAnsi="Times New Roman"/>
              </w:rPr>
              <w:br/>
            </w:r>
            <w:r w:rsidRPr="00C9680B">
              <w:rPr>
                <w:rFonts w:ascii="Times New Roman" w:hAnsi="Times New Roman"/>
              </w:rPr>
              <w:br/>
              <w:t>651</w:t>
            </w:r>
            <w:r w:rsidRPr="00C9680B">
              <w:rPr>
                <w:rFonts w:ascii="Times New Roman" w:hAnsi="Times New Roman"/>
              </w:rPr>
              <w:br/>
              <w:t>66</w:t>
            </w:r>
            <w:r w:rsidRPr="00C9680B">
              <w:rPr>
                <w:rFonts w:ascii="Times New Roman" w:hAnsi="Times New Roman"/>
              </w:rPr>
              <w:br/>
              <w:t>717</w:t>
            </w:r>
          </w:p>
        </w:tc>
        <w:tc>
          <w:tcPr>
            <w:tcW w:w="708" w:type="dxa"/>
          </w:tcPr>
          <w:p w:rsidR="001C7BF9" w:rsidRPr="00C9680B" w:rsidRDefault="001C7BF9">
            <w:pPr>
              <w:pStyle w:val="TabellRader"/>
              <w:spacing w:before="0"/>
              <w:rPr>
                <w:rFonts w:ascii="Times New Roman" w:hAnsi="Times New Roman"/>
              </w:rPr>
            </w:pPr>
            <w:r w:rsidRPr="00C9680B">
              <w:rPr>
                <w:rFonts w:ascii="Times New Roman" w:hAnsi="Times New Roman"/>
              </w:rPr>
              <w:br/>
            </w:r>
            <w:r w:rsidRPr="00C9680B">
              <w:rPr>
                <w:rFonts w:ascii="Times New Roman" w:hAnsi="Times New Roman"/>
              </w:rPr>
              <w:br/>
              <w:t>666</w:t>
            </w:r>
            <w:r w:rsidRPr="00C9680B">
              <w:rPr>
                <w:rFonts w:ascii="Times New Roman" w:hAnsi="Times New Roman"/>
              </w:rPr>
              <w:br/>
              <w:t>66</w:t>
            </w:r>
            <w:r w:rsidRPr="00C9680B">
              <w:rPr>
                <w:rFonts w:ascii="Times New Roman" w:hAnsi="Times New Roman"/>
              </w:rPr>
              <w:br/>
              <w:t>732</w:t>
            </w:r>
          </w:p>
        </w:tc>
        <w:tc>
          <w:tcPr>
            <w:tcW w:w="709" w:type="dxa"/>
          </w:tcPr>
          <w:p w:rsidR="001C7BF9" w:rsidRPr="00C9680B" w:rsidRDefault="001C7BF9">
            <w:pPr>
              <w:pStyle w:val="TabellRader"/>
              <w:spacing w:before="0"/>
              <w:rPr>
                <w:rFonts w:ascii="Times New Roman" w:hAnsi="Times New Roman"/>
              </w:rPr>
            </w:pPr>
            <w:r w:rsidRPr="00C9680B">
              <w:rPr>
                <w:rFonts w:ascii="Times New Roman" w:hAnsi="Times New Roman"/>
              </w:rPr>
              <w:br/>
            </w:r>
            <w:r w:rsidRPr="00C9680B">
              <w:rPr>
                <w:rFonts w:ascii="Times New Roman" w:hAnsi="Times New Roman"/>
              </w:rPr>
              <w:br/>
              <w:t>692</w:t>
            </w:r>
            <w:r w:rsidRPr="00C9680B">
              <w:rPr>
                <w:rFonts w:ascii="Times New Roman" w:hAnsi="Times New Roman"/>
              </w:rPr>
              <w:br/>
              <w:t>65</w:t>
            </w:r>
            <w:r w:rsidRPr="00C9680B">
              <w:rPr>
                <w:rFonts w:ascii="Times New Roman" w:hAnsi="Times New Roman"/>
              </w:rPr>
              <w:br/>
              <w:t>756</w:t>
            </w:r>
          </w:p>
        </w:tc>
      </w:tr>
      <w:tr w:rsidR="00000000" w:rsidRPr="00C9680B">
        <w:tblPrEx>
          <w:tblCellMar>
            <w:top w:w="0" w:type="dxa"/>
            <w:bottom w:w="0" w:type="dxa"/>
          </w:tblCellMar>
        </w:tblPrEx>
        <w:tc>
          <w:tcPr>
            <w:tcW w:w="2999" w:type="dxa"/>
            <w:gridSpan w:val="3"/>
            <w:tcBorders>
              <w:top w:val="single" w:sz="6" w:space="0" w:color="auto"/>
              <w:bottom w:val="single" w:sz="4" w:space="0" w:color="auto"/>
            </w:tcBorders>
          </w:tcPr>
          <w:p w:rsidR="001C7BF9" w:rsidRPr="00C9680B" w:rsidRDefault="001C7BF9">
            <w:pPr>
              <w:pStyle w:val="TabellRader"/>
              <w:tabs>
                <w:tab w:val="left" w:pos="85"/>
              </w:tabs>
              <w:spacing w:before="0"/>
              <w:jc w:val="left"/>
              <w:rPr>
                <w:rFonts w:ascii="Times New Roman" w:hAnsi="Times New Roman"/>
              </w:rPr>
            </w:pPr>
            <w:r w:rsidRPr="00C9680B">
              <w:rPr>
                <w:rFonts w:ascii="Times New Roman" w:hAnsi="Times New Roman"/>
              </w:rPr>
              <w:t>Årlig förändring skatter</w:t>
            </w:r>
            <w:r w:rsidRPr="00C9680B">
              <w:rPr>
                <w:rFonts w:ascii="Times New Roman" w:hAnsi="Times New Roman"/>
              </w:rPr>
              <w:br/>
            </w:r>
            <w:r w:rsidRPr="00C9680B">
              <w:rPr>
                <w:rFonts w:ascii="Times New Roman" w:hAnsi="Times New Roman"/>
              </w:rPr>
              <w:tab/>
            </w:r>
            <w:r w:rsidRPr="00C9680B">
              <w:rPr>
                <w:rFonts w:ascii="Times New Roman" w:hAnsi="Times New Roman"/>
                <w:i/>
              </w:rPr>
              <w:t>procent</w:t>
            </w:r>
          </w:p>
        </w:tc>
        <w:tc>
          <w:tcPr>
            <w:tcW w:w="709" w:type="dxa"/>
            <w:tcBorders>
              <w:top w:val="single" w:sz="6" w:space="0" w:color="auto"/>
              <w:bottom w:val="single" w:sz="4" w:space="0" w:color="auto"/>
            </w:tcBorders>
          </w:tcPr>
          <w:p w:rsidR="001C7BF9" w:rsidRPr="00C9680B" w:rsidRDefault="001C7BF9">
            <w:pPr>
              <w:pStyle w:val="TabellRader"/>
              <w:spacing w:before="0"/>
              <w:rPr>
                <w:rFonts w:ascii="Times New Roman" w:hAnsi="Times New Roman"/>
              </w:rPr>
            </w:pPr>
            <w:r w:rsidRPr="00C9680B">
              <w:rPr>
                <w:rFonts w:ascii="Times New Roman" w:hAnsi="Times New Roman"/>
              </w:rPr>
              <w:t>-19</w:t>
            </w:r>
            <w:r w:rsidRPr="00C9680B">
              <w:rPr>
                <w:rFonts w:ascii="Times New Roman" w:hAnsi="Times New Roman"/>
              </w:rPr>
              <w:br/>
            </w:r>
            <w:r w:rsidRPr="00C9680B">
              <w:rPr>
                <w:rFonts w:ascii="Times New Roman" w:hAnsi="Times New Roman"/>
                <w:i/>
              </w:rPr>
              <w:t>-2,8</w:t>
            </w:r>
          </w:p>
        </w:tc>
        <w:tc>
          <w:tcPr>
            <w:tcW w:w="709" w:type="dxa"/>
            <w:tcBorders>
              <w:top w:val="single" w:sz="6" w:space="0" w:color="auto"/>
              <w:bottom w:val="single" w:sz="4" w:space="0" w:color="auto"/>
            </w:tcBorders>
          </w:tcPr>
          <w:p w:rsidR="001C7BF9" w:rsidRPr="00C9680B" w:rsidRDefault="001C7BF9">
            <w:pPr>
              <w:pStyle w:val="TabellRader"/>
              <w:spacing w:before="0"/>
              <w:rPr>
                <w:rFonts w:ascii="Times New Roman" w:hAnsi="Times New Roman"/>
              </w:rPr>
            </w:pPr>
            <w:r w:rsidRPr="00C9680B">
              <w:rPr>
                <w:rFonts w:ascii="Times New Roman" w:hAnsi="Times New Roman"/>
              </w:rPr>
              <w:t>-2</w:t>
            </w:r>
            <w:r w:rsidRPr="00C9680B">
              <w:rPr>
                <w:rFonts w:ascii="Times New Roman" w:hAnsi="Times New Roman"/>
              </w:rPr>
              <w:br/>
            </w:r>
            <w:r w:rsidRPr="00C9680B">
              <w:rPr>
                <w:rFonts w:ascii="Times New Roman" w:hAnsi="Times New Roman"/>
                <w:i/>
              </w:rPr>
              <w:t>–0,3</w:t>
            </w:r>
          </w:p>
        </w:tc>
        <w:tc>
          <w:tcPr>
            <w:tcW w:w="708" w:type="dxa"/>
            <w:tcBorders>
              <w:top w:val="single" w:sz="6" w:space="0" w:color="auto"/>
              <w:bottom w:val="single" w:sz="4" w:space="0" w:color="auto"/>
            </w:tcBorders>
          </w:tcPr>
          <w:p w:rsidR="001C7BF9" w:rsidRPr="00C9680B" w:rsidRDefault="001C7BF9">
            <w:pPr>
              <w:pStyle w:val="TabellRader"/>
              <w:spacing w:before="0"/>
              <w:rPr>
                <w:rFonts w:ascii="Times New Roman" w:hAnsi="Times New Roman"/>
              </w:rPr>
            </w:pPr>
            <w:r w:rsidRPr="00C9680B">
              <w:rPr>
                <w:rFonts w:ascii="Times New Roman" w:hAnsi="Times New Roman"/>
              </w:rPr>
              <w:t>14</w:t>
            </w:r>
            <w:r w:rsidRPr="00C9680B">
              <w:rPr>
                <w:rFonts w:ascii="Times New Roman" w:hAnsi="Times New Roman"/>
              </w:rPr>
              <w:br/>
            </w:r>
            <w:r w:rsidRPr="00C9680B">
              <w:rPr>
                <w:rFonts w:ascii="Times New Roman" w:hAnsi="Times New Roman"/>
                <w:i/>
              </w:rPr>
              <w:t>2,2</w:t>
            </w:r>
          </w:p>
        </w:tc>
        <w:tc>
          <w:tcPr>
            <w:tcW w:w="709" w:type="dxa"/>
            <w:tcBorders>
              <w:top w:val="single" w:sz="6" w:space="0" w:color="auto"/>
              <w:bottom w:val="single" w:sz="4" w:space="0" w:color="auto"/>
            </w:tcBorders>
          </w:tcPr>
          <w:p w:rsidR="001C7BF9" w:rsidRPr="00C9680B" w:rsidRDefault="001C7BF9">
            <w:pPr>
              <w:pStyle w:val="TabellRader"/>
              <w:spacing w:before="0"/>
              <w:rPr>
                <w:rFonts w:ascii="Times New Roman" w:hAnsi="Times New Roman"/>
              </w:rPr>
            </w:pPr>
            <w:r w:rsidRPr="00C9680B">
              <w:rPr>
                <w:rFonts w:ascii="Times New Roman" w:hAnsi="Times New Roman"/>
              </w:rPr>
              <w:t>26</w:t>
            </w:r>
            <w:r w:rsidRPr="00C9680B">
              <w:rPr>
                <w:rFonts w:ascii="Times New Roman" w:hAnsi="Times New Roman"/>
              </w:rPr>
              <w:br/>
            </w:r>
            <w:r w:rsidRPr="00C9680B">
              <w:rPr>
                <w:rFonts w:ascii="Times New Roman" w:hAnsi="Times New Roman"/>
                <w:i/>
              </w:rPr>
              <w:t>3,9</w:t>
            </w:r>
          </w:p>
        </w:tc>
      </w:tr>
    </w:tbl>
    <w:p w:rsidR="001C7BF9" w:rsidRPr="00C9680B" w:rsidRDefault="001C7BF9">
      <w:pPr>
        <w:pStyle w:val="TabellFotnot"/>
        <w:rPr>
          <w:rFonts w:ascii="Times New Roman" w:hAnsi="Times New Roman"/>
          <w:sz w:val="14"/>
        </w:rPr>
      </w:pPr>
      <w:r w:rsidRPr="00C9680B">
        <w:rPr>
          <w:rFonts w:ascii="Times New Roman" w:hAnsi="Times New Roman"/>
          <w:sz w:val="14"/>
        </w:rPr>
        <w:t xml:space="preserve">Anm: Beloppen är avrundade och summerar därför inte. </w:t>
      </w:r>
    </w:p>
    <w:p w:rsidR="001C7BF9" w:rsidRPr="00C9680B" w:rsidRDefault="001C7BF9">
      <w:pPr>
        <w:pStyle w:val="TabellFotnot"/>
        <w:rPr>
          <w:rFonts w:ascii="Times New Roman" w:hAnsi="Times New Roman"/>
          <w:sz w:val="14"/>
        </w:rPr>
      </w:pPr>
      <w:r w:rsidRPr="00C9680B">
        <w:rPr>
          <w:rFonts w:ascii="Times New Roman" w:hAnsi="Times New Roman"/>
          <w:sz w:val="14"/>
        </w:rPr>
        <w:t xml:space="preserve"> Källa: proposition 2000/01:1 s. 115.</w:t>
      </w:r>
    </w:p>
    <w:p w:rsidR="001C7BF9" w:rsidRPr="00C9680B" w:rsidRDefault="001C7BF9">
      <w:pPr>
        <w:pStyle w:val="Brdtextmedindrag"/>
      </w:pPr>
      <w:r w:rsidRPr="00C9680B">
        <w:t>Skatternas utveckling under prognosperioden enligt de olika red</w:t>
      </w:r>
      <w:r w:rsidRPr="00C9680B">
        <w:t>o</w:t>
      </w:r>
      <w:r w:rsidRPr="00C9680B">
        <w:t>visnings</w:t>
      </w:r>
      <w:r w:rsidRPr="00C9680B">
        <w:softHyphen/>
        <w:t>principerna framgår av tabell 42. De periodiserade skatterna ökar med mellan 17 och 56 miljarder kronor per år under progn</w:t>
      </w:r>
      <w:r w:rsidRPr="00C9680B">
        <w:t>o</w:t>
      </w:r>
      <w:r w:rsidRPr="00C9680B">
        <w:t>sperioden. Den svaga utveck</w:t>
      </w:r>
      <w:r w:rsidRPr="00C9680B">
        <w:softHyphen/>
        <w:t>lingen 2001 förklaras till största delen av de skatteändringar regeringen för</w:t>
      </w:r>
      <w:r w:rsidRPr="00C9680B">
        <w:t>e</w:t>
      </w:r>
      <w:r w:rsidRPr="00C9680B">
        <w:t>slår. Den stora ökningen år 2003 förklaras av bl.a. införandet av garantipe</w:t>
      </w:r>
      <w:r w:rsidRPr="00C9680B">
        <w:t>n</w:t>
      </w:r>
      <w:r w:rsidRPr="00C9680B">
        <w:t>sioner, vilket ökar skattei</w:t>
      </w:r>
      <w:r w:rsidRPr="00C9680B">
        <w:t>n</w:t>
      </w:r>
      <w:r w:rsidRPr="00C9680B">
        <w:t>täkterna med knappt 1miljard kronor.</w:t>
      </w:r>
    </w:p>
    <w:p w:rsidR="001C7BF9" w:rsidRPr="00C9680B" w:rsidRDefault="001C7BF9">
      <w:r w:rsidRPr="00C9680B">
        <w:t xml:space="preserve">Skatterna enligt nationalräkenskaperna (NR) följer i stort utvecklingen av de periodiserade skatterna men visar en annan utveckling </w:t>
      </w:r>
      <w:r w:rsidRPr="00C9680B">
        <w:t>mellan åren. Om e</w:t>
      </w:r>
      <w:r w:rsidRPr="00C9680B">
        <w:t>f</w:t>
      </w:r>
      <w:r w:rsidRPr="00C9680B">
        <w:t>fekterna av regeländringar 2001 exkluderas ökar skatterna enligt NR något långsammare än de periodiserade skatterna. År 2001 är skattebortfallet av förslagen 17 miljarder kronor i NR-termer men den periodiserade sänkningen uppgår till 24 miljarder kronor. Detta beror på att både fastighets- och förm</w:t>
      </w:r>
      <w:r w:rsidRPr="00C9680B">
        <w:t>ö</w:t>
      </w:r>
      <w:r w:rsidRPr="00C9680B">
        <w:t xml:space="preserve">genhetsskatten till största delen betalas som en kompletteringsbetalning och inte ingår i den preliminära skatten. </w:t>
      </w:r>
    </w:p>
    <w:p w:rsidR="001C7BF9" w:rsidRPr="00C9680B" w:rsidRDefault="001C7BF9">
      <w:pPr>
        <w:pStyle w:val="Normaltindrag"/>
      </w:pPr>
      <w:r w:rsidRPr="00C9680B">
        <w:t>Under perioden 1999 till 2003 beräknas statsbudgetens skatteinkomster öka med</w:t>
      </w:r>
      <w:r w:rsidRPr="00C9680B">
        <w:t xml:space="preserve"> 19 miljarder kronor. År 2000 minskar inkomsterna emellertid med 19 miljarder kronor, vilket förklaras av pensionsomläggningen och första steget i den påbörjade skattereformen. Nedgången beror även på en relativt stor slutreglering av kommunalskatter. År 2001 minskar skatteinkomsterna endast med 2 miljarder kronor trots det andra steget i skattereformen. Detta förklaras dels av tillfälligt ökade inkomster med 8 miljarder kronor 2001 på grund av försäkringsbolaget SPP:s utdelning, dels av att den ändrade fas</w:t>
      </w:r>
      <w:r w:rsidRPr="00C9680B">
        <w:t>ti</w:t>
      </w:r>
      <w:r w:rsidRPr="00C9680B">
        <w:t>g</w:t>
      </w:r>
      <w:r w:rsidRPr="00C9680B">
        <w:t>hetsskatten i huvudsak påverkar inkomsterna först 2002. Ökningen av ska</w:t>
      </w:r>
      <w:r w:rsidRPr="00C9680B">
        <w:t>t</w:t>
      </w:r>
      <w:r w:rsidRPr="00C9680B">
        <w:t>teinkomsterna 2001–2003 beror främst på en gynnsam utveckling av skatt</w:t>
      </w:r>
      <w:r w:rsidRPr="00C9680B">
        <w:t>e</w:t>
      </w:r>
      <w:r w:rsidRPr="00C9680B">
        <w:t>baserna. Den stora ökningen av övriga inkomster år 2000 beror på planerade försäljningar av statligt aktieinn</w:t>
      </w:r>
      <w:r w:rsidRPr="00C9680B">
        <w:t>e</w:t>
      </w:r>
      <w:r w:rsidRPr="00C9680B">
        <w:t>hav.</w:t>
      </w:r>
    </w:p>
    <w:p w:rsidR="001C7BF9" w:rsidRPr="00C9680B" w:rsidRDefault="001C7BF9">
      <w:pPr>
        <w:pStyle w:val="Normaltindrag"/>
      </w:pPr>
      <w:r w:rsidRPr="00C9680B">
        <w:t>En specifikation av statsbudgetens inkomster på huvudtitlar för prognosp</w:t>
      </w:r>
      <w:r w:rsidRPr="00C9680B">
        <w:t>e</w:t>
      </w:r>
      <w:r w:rsidRPr="00C9680B">
        <w:t>ri</w:t>
      </w:r>
      <w:r w:rsidRPr="00C9680B">
        <w:t>o</w:t>
      </w:r>
      <w:r w:rsidRPr="00C9680B">
        <w:t>den redovisas i tabell 43.</w:t>
      </w:r>
    </w:p>
    <w:p w:rsidR="001C7BF9" w:rsidRPr="00C9680B" w:rsidRDefault="001C7BF9">
      <w:pPr>
        <w:pStyle w:val="Normaltindrag"/>
      </w:pPr>
    </w:p>
    <w:p w:rsidR="001C7BF9" w:rsidRPr="00C9680B" w:rsidRDefault="001C7BF9">
      <w:pPr>
        <w:pStyle w:val="Tabell"/>
        <w:ind w:left="-57"/>
        <w:outlineLvl w:val="0"/>
        <w:rPr>
          <w:b/>
        </w:rPr>
      </w:pPr>
      <w:r w:rsidRPr="00C9680B">
        <w:rPr>
          <w:b/>
        </w:rPr>
        <w:t>Tabell 43. Statsbudgetens inkomster</w:t>
      </w:r>
    </w:p>
    <w:p w:rsidR="001C7BF9" w:rsidRPr="00C9680B" w:rsidRDefault="001C7BF9">
      <w:pPr>
        <w:pStyle w:val="Tabell"/>
        <w:ind w:left="-57"/>
        <w:outlineLvl w:val="0"/>
      </w:pPr>
      <w:r w:rsidRPr="00C9680B">
        <w:t>Miljarder kronor</w:t>
      </w: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F5" w:firstRow="1" w:lastRow="1" w:firstColumn="1" w:lastColumn="0" w:noHBand="0" w:noVBand="0"/>
      </w:tblPr>
      <w:tblGrid>
        <w:gridCol w:w="584"/>
        <w:gridCol w:w="1893"/>
        <w:gridCol w:w="703"/>
        <w:gridCol w:w="718"/>
        <w:gridCol w:w="708"/>
        <w:gridCol w:w="709"/>
        <w:gridCol w:w="709"/>
      </w:tblGrid>
      <w:tr w:rsidR="00000000" w:rsidRPr="00C9680B">
        <w:tblPrEx>
          <w:tblCellMar>
            <w:top w:w="0" w:type="dxa"/>
            <w:bottom w:w="0" w:type="dxa"/>
          </w:tblCellMar>
        </w:tblPrEx>
        <w:tc>
          <w:tcPr>
            <w:tcW w:w="584" w:type="dxa"/>
            <w:tcBorders>
              <w:top w:val="single" w:sz="4" w:space="0" w:color="auto"/>
              <w:bottom w:val="single" w:sz="4" w:space="0" w:color="auto"/>
            </w:tcBorders>
          </w:tcPr>
          <w:p w:rsidR="001C7BF9" w:rsidRPr="00C9680B" w:rsidRDefault="001C7BF9">
            <w:pPr>
              <w:pStyle w:val="SBTabell"/>
              <w:rPr>
                <w:b/>
                <w:sz w:val="16"/>
              </w:rPr>
            </w:pPr>
          </w:p>
        </w:tc>
        <w:tc>
          <w:tcPr>
            <w:tcW w:w="1893" w:type="dxa"/>
            <w:tcBorders>
              <w:top w:val="single" w:sz="4" w:space="0" w:color="auto"/>
              <w:bottom w:val="single" w:sz="4" w:space="0" w:color="auto"/>
            </w:tcBorders>
          </w:tcPr>
          <w:p w:rsidR="001C7BF9" w:rsidRPr="00C9680B" w:rsidRDefault="001C7BF9">
            <w:pPr>
              <w:pStyle w:val="SBTabell"/>
              <w:rPr>
                <w:b/>
                <w:sz w:val="16"/>
              </w:rPr>
            </w:pPr>
          </w:p>
        </w:tc>
        <w:tc>
          <w:tcPr>
            <w:tcW w:w="703" w:type="dxa"/>
            <w:tcBorders>
              <w:top w:val="single" w:sz="4" w:space="0" w:color="auto"/>
              <w:bottom w:val="single" w:sz="4" w:space="0" w:color="auto"/>
            </w:tcBorders>
          </w:tcPr>
          <w:p w:rsidR="001C7BF9" w:rsidRPr="00C9680B" w:rsidRDefault="001C7BF9">
            <w:pPr>
              <w:pStyle w:val="SBTabell"/>
              <w:jc w:val="right"/>
              <w:rPr>
                <w:b/>
                <w:sz w:val="16"/>
              </w:rPr>
            </w:pPr>
            <w:r w:rsidRPr="00C9680B">
              <w:rPr>
                <w:b/>
                <w:sz w:val="16"/>
              </w:rPr>
              <w:t>Utfall</w:t>
            </w:r>
          </w:p>
          <w:p w:rsidR="001C7BF9" w:rsidRPr="00C9680B" w:rsidRDefault="001C7BF9">
            <w:pPr>
              <w:pStyle w:val="SBTabell"/>
              <w:jc w:val="right"/>
              <w:rPr>
                <w:b/>
                <w:sz w:val="16"/>
              </w:rPr>
            </w:pPr>
            <w:r w:rsidRPr="00C9680B">
              <w:rPr>
                <w:b/>
                <w:sz w:val="16"/>
              </w:rPr>
              <w:t>1999</w:t>
            </w:r>
          </w:p>
        </w:tc>
        <w:tc>
          <w:tcPr>
            <w:tcW w:w="718" w:type="dxa"/>
            <w:tcBorders>
              <w:top w:val="single" w:sz="4" w:space="0" w:color="auto"/>
              <w:bottom w:val="single" w:sz="4" w:space="0" w:color="auto"/>
            </w:tcBorders>
          </w:tcPr>
          <w:p w:rsidR="001C7BF9" w:rsidRPr="00C9680B" w:rsidRDefault="001C7BF9">
            <w:pPr>
              <w:pStyle w:val="SBTabell"/>
              <w:jc w:val="right"/>
              <w:rPr>
                <w:b/>
                <w:sz w:val="16"/>
              </w:rPr>
            </w:pPr>
            <w:r w:rsidRPr="00C9680B">
              <w:rPr>
                <w:b/>
                <w:sz w:val="16"/>
              </w:rPr>
              <w:t>Pr</w:t>
            </w:r>
            <w:r w:rsidRPr="00C9680B">
              <w:rPr>
                <w:b/>
                <w:sz w:val="16"/>
              </w:rPr>
              <w:t>o</w:t>
            </w:r>
            <w:r w:rsidRPr="00C9680B">
              <w:rPr>
                <w:b/>
                <w:sz w:val="16"/>
              </w:rPr>
              <w:t>gnos</w:t>
            </w:r>
          </w:p>
          <w:p w:rsidR="001C7BF9" w:rsidRPr="00C9680B" w:rsidRDefault="001C7BF9">
            <w:pPr>
              <w:pStyle w:val="SBTabell"/>
              <w:jc w:val="right"/>
              <w:rPr>
                <w:b/>
                <w:sz w:val="16"/>
              </w:rPr>
            </w:pPr>
            <w:r w:rsidRPr="00C9680B">
              <w:rPr>
                <w:b/>
                <w:sz w:val="16"/>
              </w:rPr>
              <w:t>2000</w:t>
            </w:r>
          </w:p>
        </w:tc>
        <w:tc>
          <w:tcPr>
            <w:tcW w:w="708" w:type="dxa"/>
            <w:tcBorders>
              <w:top w:val="single" w:sz="4" w:space="0" w:color="auto"/>
              <w:bottom w:val="single" w:sz="4" w:space="0" w:color="auto"/>
            </w:tcBorders>
          </w:tcPr>
          <w:p w:rsidR="001C7BF9" w:rsidRPr="00C9680B" w:rsidRDefault="001C7BF9">
            <w:pPr>
              <w:pStyle w:val="SBTabell"/>
              <w:jc w:val="right"/>
              <w:rPr>
                <w:b/>
                <w:sz w:val="16"/>
              </w:rPr>
            </w:pPr>
          </w:p>
          <w:p w:rsidR="001C7BF9" w:rsidRPr="00C9680B" w:rsidRDefault="001C7BF9">
            <w:pPr>
              <w:pStyle w:val="SBTabell"/>
              <w:jc w:val="right"/>
              <w:rPr>
                <w:b/>
                <w:sz w:val="16"/>
              </w:rPr>
            </w:pPr>
            <w:r w:rsidRPr="00C9680B">
              <w:rPr>
                <w:b/>
                <w:sz w:val="16"/>
              </w:rPr>
              <w:t>2001</w:t>
            </w:r>
          </w:p>
        </w:tc>
        <w:tc>
          <w:tcPr>
            <w:tcW w:w="709" w:type="dxa"/>
            <w:tcBorders>
              <w:top w:val="single" w:sz="4" w:space="0" w:color="auto"/>
              <w:bottom w:val="single" w:sz="4" w:space="0" w:color="auto"/>
            </w:tcBorders>
          </w:tcPr>
          <w:p w:rsidR="001C7BF9" w:rsidRPr="00C9680B" w:rsidRDefault="001C7BF9">
            <w:pPr>
              <w:pStyle w:val="SBTabell"/>
              <w:jc w:val="right"/>
              <w:rPr>
                <w:b/>
                <w:sz w:val="16"/>
              </w:rPr>
            </w:pPr>
          </w:p>
          <w:p w:rsidR="001C7BF9" w:rsidRPr="00C9680B" w:rsidRDefault="001C7BF9">
            <w:pPr>
              <w:pStyle w:val="SBTabell"/>
              <w:jc w:val="right"/>
              <w:rPr>
                <w:b/>
                <w:sz w:val="16"/>
              </w:rPr>
            </w:pPr>
            <w:r w:rsidRPr="00C9680B">
              <w:rPr>
                <w:b/>
                <w:sz w:val="16"/>
              </w:rPr>
              <w:t>2002</w:t>
            </w:r>
          </w:p>
        </w:tc>
        <w:tc>
          <w:tcPr>
            <w:tcW w:w="709" w:type="dxa"/>
            <w:tcBorders>
              <w:top w:val="single" w:sz="4" w:space="0" w:color="auto"/>
              <w:bottom w:val="single" w:sz="4" w:space="0" w:color="auto"/>
            </w:tcBorders>
          </w:tcPr>
          <w:p w:rsidR="001C7BF9" w:rsidRPr="00C9680B" w:rsidRDefault="001C7BF9">
            <w:pPr>
              <w:pStyle w:val="SBTabell"/>
              <w:jc w:val="right"/>
              <w:rPr>
                <w:b/>
                <w:sz w:val="16"/>
              </w:rPr>
            </w:pPr>
          </w:p>
          <w:p w:rsidR="001C7BF9" w:rsidRPr="00C9680B" w:rsidRDefault="001C7BF9">
            <w:pPr>
              <w:pStyle w:val="SBTabell"/>
              <w:jc w:val="right"/>
              <w:rPr>
                <w:b/>
                <w:sz w:val="16"/>
              </w:rPr>
            </w:pPr>
            <w:r w:rsidRPr="00C9680B">
              <w:rPr>
                <w:b/>
                <w:sz w:val="16"/>
              </w:rPr>
              <w:t>2003</w:t>
            </w:r>
          </w:p>
        </w:tc>
      </w:tr>
      <w:tr w:rsidR="00000000" w:rsidRPr="00C9680B">
        <w:tblPrEx>
          <w:tblCellMar>
            <w:top w:w="0" w:type="dxa"/>
            <w:bottom w:w="0" w:type="dxa"/>
          </w:tblCellMar>
        </w:tblPrEx>
        <w:tc>
          <w:tcPr>
            <w:tcW w:w="584" w:type="dxa"/>
            <w:tcBorders>
              <w:top w:val="nil"/>
            </w:tcBorders>
          </w:tcPr>
          <w:p w:rsidR="001C7BF9" w:rsidRPr="00C9680B" w:rsidRDefault="001C7BF9">
            <w:pPr>
              <w:pStyle w:val="SBTabell"/>
              <w:rPr>
                <w:sz w:val="16"/>
              </w:rPr>
            </w:pPr>
            <w:r w:rsidRPr="00C9680B">
              <w:rPr>
                <w:sz w:val="16"/>
              </w:rPr>
              <w:t>1000</w:t>
            </w:r>
          </w:p>
        </w:tc>
        <w:tc>
          <w:tcPr>
            <w:tcW w:w="1893" w:type="dxa"/>
            <w:tcBorders>
              <w:top w:val="nil"/>
            </w:tcBorders>
          </w:tcPr>
          <w:p w:rsidR="001C7BF9" w:rsidRPr="00C9680B" w:rsidRDefault="001C7BF9">
            <w:pPr>
              <w:pStyle w:val="SBTabell"/>
              <w:jc w:val="left"/>
              <w:rPr>
                <w:sz w:val="16"/>
              </w:rPr>
            </w:pPr>
            <w:r w:rsidRPr="00C9680B">
              <w:rPr>
                <w:sz w:val="16"/>
              </w:rPr>
              <w:t>Skatter m.m.</w:t>
            </w:r>
          </w:p>
        </w:tc>
        <w:tc>
          <w:tcPr>
            <w:tcW w:w="703" w:type="dxa"/>
            <w:tcBorders>
              <w:top w:val="nil"/>
            </w:tcBorders>
          </w:tcPr>
          <w:p w:rsidR="001C7BF9" w:rsidRPr="00C9680B" w:rsidRDefault="001C7BF9">
            <w:pPr>
              <w:pStyle w:val="SBTabell"/>
              <w:jc w:val="right"/>
              <w:rPr>
                <w:sz w:val="16"/>
              </w:rPr>
            </w:pPr>
            <w:r w:rsidRPr="00C9680B">
              <w:rPr>
                <w:sz w:val="16"/>
              </w:rPr>
              <w:t>672,4</w:t>
            </w:r>
          </w:p>
        </w:tc>
        <w:tc>
          <w:tcPr>
            <w:tcW w:w="718" w:type="dxa"/>
            <w:tcBorders>
              <w:top w:val="nil"/>
            </w:tcBorders>
          </w:tcPr>
          <w:p w:rsidR="001C7BF9" w:rsidRPr="00C9680B" w:rsidRDefault="001C7BF9">
            <w:pPr>
              <w:pStyle w:val="SBTabell"/>
              <w:jc w:val="right"/>
              <w:rPr>
                <w:sz w:val="16"/>
              </w:rPr>
            </w:pPr>
            <w:r w:rsidRPr="00C9680B">
              <w:rPr>
                <w:sz w:val="16"/>
              </w:rPr>
              <w:t>653,3</w:t>
            </w:r>
          </w:p>
        </w:tc>
        <w:tc>
          <w:tcPr>
            <w:tcW w:w="708" w:type="dxa"/>
            <w:tcBorders>
              <w:top w:val="nil"/>
            </w:tcBorders>
          </w:tcPr>
          <w:p w:rsidR="001C7BF9" w:rsidRPr="00C9680B" w:rsidRDefault="001C7BF9">
            <w:pPr>
              <w:pStyle w:val="SBTabell"/>
              <w:jc w:val="right"/>
              <w:rPr>
                <w:sz w:val="16"/>
              </w:rPr>
            </w:pPr>
            <w:r w:rsidRPr="00C9680B">
              <w:rPr>
                <w:sz w:val="16"/>
              </w:rPr>
              <w:t>651,2</w:t>
            </w:r>
          </w:p>
        </w:tc>
        <w:tc>
          <w:tcPr>
            <w:tcW w:w="709" w:type="dxa"/>
            <w:tcBorders>
              <w:top w:val="nil"/>
            </w:tcBorders>
          </w:tcPr>
          <w:p w:rsidR="001C7BF9" w:rsidRPr="00C9680B" w:rsidRDefault="001C7BF9">
            <w:pPr>
              <w:pStyle w:val="SBTabell"/>
              <w:jc w:val="right"/>
              <w:rPr>
                <w:sz w:val="16"/>
              </w:rPr>
            </w:pPr>
            <w:r w:rsidRPr="00C9680B">
              <w:rPr>
                <w:sz w:val="16"/>
              </w:rPr>
              <w:t>665,6</w:t>
            </w:r>
          </w:p>
        </w:tc>
        <w:tc>
          <w:tcPr>
            <w:tcW w:w="709" w:type="dxa"/>
            <w:tcBorders>
              <w:top w:val="nil"/>
            </w:tcBorders>
          </w:tcPr>
          <w:p w:rsidR="001C7BF9" w:rsidRPr="00C9680B" w:rsidRDefault="001C7BF9">
            <w:pPr>
              <w:pStyle w:val="SBTabell"/>
              <w:jc w:val="right"/>
              <w:rPr>
                <w:sz w:val="16"/>
              </w:rPr>
            </w:pPr>
            <w:r w:rsidRPr="00C9680B">
              <w:rPr>
                <w:sz w:val="16"/>
              </w:rPr>
              <w:t>691,6</w:t>
            </w:r>
          </w:p>
        </w:tc>
      </w:tr>
      <w:tr w:rsidR="00000000" w:rsidRPr="00C9680B">
        <w:tblPrEx>
          <w:tblCellMar>
            <w:top w:w="0" w:type="dxa"/>
            <w:bottom w:w="0" w:type="dxa"/>
          </w:tblCellMar>
        </w:tblPrEx>
        <w:tc>
          <w:tcPr>
            <w:tcW w:w="584" w:type="dxa"/>
          </w:tcPr>
          <w:p w:rsidR="001C7BF9" w:rsidRPr="00C9680B" w:rsidRDefault="001C7BF9">
            <w:pPr>
              <w:pStyle w:val="SBTabell"/>
              <w:rPr>
                <w:sz w:val="16"/>
              </w:rPr>
            </w:pPr>
            <w:r w:rsidRPr="00C9680B">
              <w:rPr>
                <w:sz w:val="16"/>
              </w:rPr>
              <w:t>2000</w:t>
            </w:r>
          </w:p>
        </w:tc>
        <w:tc>
          <w:tcPr>
            <w:tcW w:w="1893" w:type="dxa"/>
          </w:tcPr>
          <w:p w:rsidR="001C7BF9" w:rsidRPr="00C9680B" w:rsidRDefault="001C7BF9">
            <w:pPr>
              <w:pStyle w:val="SBTabell"/>
              <w:jc w:val="left"/>
              <w:rPr>
                <w:sz w:val="16"/>
              </w:rPr>
            </w:pPr>
            <w:r w:rsidRPr="00C9680B">
              <w:rPr>
                <w:sz w:val="16"/>
              </w:rPr>
              <w:t>Inkomster av statens verksamhet</w:t>
            </w:r>
          </w:p>
        </w:tc>
        <w:tc>
          <w:tcPr>
            <w:tcW w:w="703" w:type="dxa"/>
          </w:tcPr>
          <w:p w:rsidR="001C7BF9" w:rsidRPr="00C9680B" w:rsidRDefault="001C7BF9">
            <w:pPr>
              <w:pStyle w:val="SBTabell"/>
              <w:jc w:val="right"/>
              <w:rPr>
                <w:sz w:val="16"/>
              </w:rPr>
            </w:pPr>
          </w:p>
          <w:p w:rsidR="001C7BF9" w:rsidRPr="00C9680B" w:rsidRDefault="001C7BF9">
            <w:pPr>
              <w:pStyle w:val="SBTabell"/>
              <w:jc w:val="right"/>
              <w:rPr>
                <w:sz w:val="16"/>
              </w:rPr>
            </w:pPr>
            <w:r w:rsidRPr="00C9680B">
              <w:rPr>
                <w:sz w:val="16"/>
              </w:rPr>
              <w:t>34,1</w:t>
            </w:r>
          </w:p>
        </w:tc>
        <w:tc>
          <w:tcPr>
            <w:tcW w:w="718" w:type="dxa"/>
          </w:tcPr>
          <w:p w:rsidR="001C7BF9" w:rsidRPr="00C9680B" w:rsidRDefault="001C7BF9">
            <w:pPr>
              <w:pStyle w:val="SBTabell"/>
              <w:jc w:val="right"/>
              <w:rPr>
                <w:sz w:val="16"/>
              </w:rPr>
            </w:pPr>
          </w:p>
          <w:p w:rsidR="001C7BF9" w:rsidRPr="00C9680B" w:rsidRDefault="001C7BF9">
            <w:pPr>
              <w:pStyle w:val="SBTabell"/>
              <w:jc w:val="right"/>
              <w:rPr>
                <w:sz w:val="16"/>
              </w:rPr>
            </w:pPr>
            <w:r w:rsidRPr="00C9680B">
              <w:rPr>
                <w:sz w:val="16"/>
              </w:rPr>
              <w:t>45,6</w:t>
            </w:r>
          </w:p>
        </w:tc>
        <w:tc>
          <w:tcPr>
            <w:tcW w:w="708" w:type="dxa"/>
          </w:tcPr>
          <w:p w:rsidR="001C7BF9" w:rsidRPr="00C9680B" w:rsidRDefault="001C7BF9">
            <w:pPr>
              <w:pStyle w:val="SBTabell"/>
              <w:jc w:val="right"/>
              <w:rPr>
                <w:sz w:val="16"/>
              </w:rPr>
            </w:pPr>
          </w:p>
          <w:p w:rsidR="001C7BF9" w:rsidRPr="00C9680B" w:rsidRDefault="001C7BF9">
            <w:pPr>
              <w:pStyle w:val="SBTabell"/>
              <w:jc w:val="right"/>
              <w:rPr>
                <w:sz w:val="16"/>
              </w:rPr>
            </w:pPr>
            <w:r w:rsidRPr="00C9680B">
              <w:rPr>
                <w:sz w:val="16"/>
              </w:rPr>
              <w:t>29,0</w:t>
            </w:r>
          </w:p>
        </w:tc>
        <w:tc>
          <w:tcPr>
            <w:tcW w:w="709" w:type="dxa"/>
          </w:tcPr>
          <w:p w:rsidR="001C7BF9" w:rsidRPr="00C9680B" w:rsidRDefault="001C7BF9">
            <w:pPr>
              <w:pStyle w:val="SBTabell"/>
              <w:jc w:val="right"/>
              <w:rPr>
                <w:sz w:val="16"/>
              </w:rPr>
            </w:pPr>
          </w:p>
          <w:p w:rsidR="001C7BF9" w:rsidRPr="00C9680B" w:rsidRDefault="001C7BF9">
            <w:pPr>
              <w:pStyle w:val="SBTabell"/>
              <w:jc w:val="right"/>
              <w:rPr>
                <w:sz w:val="16"/>
              </w:rPr>
            </w:pPr>
            <w:r w:rsidRPr="00C9680B">
              <w:rPr>
                <w:sz w:val="16"/>
              </w:rPr>
              <w:t>27,9</w:t>
            </w:r>
          </w:p>
        </w:tc>
        <w:tc>
          <w:tcPr>
            <w:tcW w:w="709" w:type="dxa"/>
          </w:tcPr>
          <w:p w:rsidR="001C7BF9" w:rsidRPr="00C9680B" w:rsidRDefault="001C7BF9">
            <w:pPr>
              <w:pStyle w:val="SBTabell"/>
              <w:jc w:val="right"/>
              <w:rPr>
                <w:sz w:val="16"/>
              </w:rPr>
            </w:pPr>
          </w:p>
          <w:p w:rsidR="001C7BF9" w:rsidRPr="00C9680B" w:rsidRDefault="001C7BF9">
            <w:pPr>
              <w:pStyle w:val="SBTabell"/>
              <w:jc w:val="right"/>
              <w:rPr>
                <w:sz w:val="16"/>
              </w:rPr>
            </w:pPr>
            <w:r w:rsidRPr="00C9680B">
              <w:rPr>
                <w:sz w:val="16"/>
              </w:rPr>
              <w:t>27,2</w:t>
            </w:r>
          </w:p>
        </w:tc>
      </w:tr>
      <w:tr w:rsidR="00000000" w:rsidRPr="00C9680B">
        <w:tblPrEx>
          <w:tblCellMar>
            <w:top w:w="0" w:type="dxa"/>
            <w:bottom w:w="0" w:type="dxa"/>
          </w:tblCellMar>
        </w:tblPrEx>
        <w:tc>
          <w:tcPr>
            <w:tcW w:w="584" w:type="dxa"/>
          </w:tcPr>
          <w:p w:rsidR="001C7BF9" w:rsidRPr="00C9680B" w:rsidRDefault="001C7BF9">
            <w:pPr>
              <w:pStyle w:val="SBTabell"/>
              <w:rPr>
                <w:sz w:val="16"/>
              </w:rPr>
            </w:pPr>
            <w:r w:rsidRPr="00C9680B">
              <w:rPr>
                <w:sz w:val="16"/>
              </w:rPr>
              <w:t>3000</w:t>
            </w:r>
          </w:p>
        </w:tc>
        <w:tc>
          <w:tcPr>
            <w:tcW w:w="1893" w:type="dxa"/>
          </w:tcPr>
          <w:p w:rsidR="001C7BF9" w:rsidRPr="00C9680B" w:rsidRDefault="001C7BF9">
            <w:pPr>
              <w:pStyle w:val="SBTabell"/>
              <w:jc w:val="left"/>
              <w:rPr>
                <w:sz w:val="16"/>
              </w:rPr>
            </w:pPr>
            <w:r w:rsidRPr="00C9680B">
              <w:rPr>
                <w:sz w:val="16"/>
              </w:rPr>
              <w:t>Inkomster av försåld egendom</w:t>
            </w:r>
          </w:p>
        </w:tc>
        <w:tc>
          <w:tcPr>
            <w:tcW w:w="703" w:type="dxa"/>
          </w:tcPr>
          <w:p w:rsidR="001C7BF9" w:rsidRPr="00C9680B" w:rsidRDefault="001C7BF9">
            <w:pPr>
              <w:pStyle w:val="SBTabell"/>
              <w:jc w:val="right"/>
              <w:rPr>
                <w:sz w:val="16"/>
              </w:rPr>
            </w:pPr>
          </w:p>
          <w:p w:rsidR="001C7BF9" w:rsidRPr="00C9680B" w:rsidRDefault="001C7BF9">
            <w:pPr>
              <w:pStyle w:val="SBTabell"/>
              <w:jc w:val="right"/>
              <w:rPr>
                <w:sz w:val="16"/>
              </w:rPr>
            </w:pPr>
            <w:r w:rsidRPr="00C9680B">
              <w:rPr>
                <w:sz w:val="16"/>
              </w:rPr>
              <w:t>1,0</w:t>
            </w:r>
          </w:p>
        </w:tc>
        <w:tc>
          <w:tcPr>
            <w:tcW w:w="718" w:type="dxa"/>
          </w:tcPr>
          <w:p w:rsidR="001C7BF9" w:rsidRPr="00C9680B" w:rsidRDefault="001C7BF9">
            <w:pPr>
              <w:pStyle w:val="SBTabell"/>
              <w:jc w:val="right"/>
              <w:rPr>
                <w:sz w:val="16"/>
              </w:rPr>
            </w:pPr>
          </w:p>
          <w:p w:rsidR="001C7BF9" w:rsidRPr="00C9680B" w:rsidRDefault="001C7BF9">
            <w:pPr>
              <w:pStyle w:val="SBTabell"/>
              <w:jc w:val="right"/>
              <w:rPr>
                <w:sz w:val="16"/>
              </w:rPr>
            </w:pPr>
            <w:r w:rsidRPr="00C9680B">
              <w:rPr>
                <w:sz w:val="16"/>
              </w:rPr>
              <w:t>61,5</w:t>
            </w:r>
          </w:p>
        </w:tc>
        <w:tc>
          <w:tcPr>
            <w:tcW w:w="708" w:type="dxa"/>
          </w:tcPr>
          <w:p w:rsidR="001C7BF9" w:rsidRPr="00C9680B" w:rsidRDefault="001C7BF9">
            <w:pPr>
              <w:pStyle w:val="SBTabell"/>
              <w:jc w:val="right"/>
              <w:rPr>
                <w:sz w:val="16"/>
              </w:rPr>
            </w:pPr>
          </w:p>
          <w:p w:rsidR="001C7BF9" w:rsidRPr="00C9680B" w:rsidRDefault="001C7BF9">
            <w:pPr>
              <w:pStyle w:val="SBTabell"/>
              <w:jc w:val="right"/>
              <w:rPr>
                <w:sz w:val="16"/>
              </w:rPr>
            </w:pPr>
            <w:r w:rsidRPr="00C9680B">
              <w:rPr>
                <w:sz w:val="16"/>
              </w:rPr>
              <w:t>15,0</w:t>
            </w:r>
          </w:p>
        </w:tc>
        <w:tc>
          <w:tcPr>
            <w:tcW w:w="709" w:type="dxa"/>
          </w:tcPr>
          <w:p w:rsidR="001C7BF9" w:rsidRPr="00C9680B" w:rsidRDefault="001C7BF9">
            <w:pPr>
              <w:pStyle w:val="SBTabell"/>
              <w:jc w:val="right"/>
              <w:rPr>
                <w:sz w:val="16"/>
              </w:rPr>
            </w:pPr>
          </w:p>
          <w:p w:rsidR="001C7BF9" w:rsidRPr="00C9680B" w:rsidRDefault="001C7BF9">
            <w:pPr>
              <w:pStyle w:val="SBTabell"/>
              <w:jc w:val="right"/>
              <w:rPr>
                <w:sz w:val="16"/>
              </w:rPr>
            </w:pPr>
            <w:r w:rsidRPr="00C9680B">
              <w:rPr>
                <w:sz w:val="16"/>
              </w:rPr>
              <w:t>15,0</w:t>
            </w:r>
          </w:p>
        </w:tc>
        <w:tc>
          <w:tcPr>
            <w:tcW w:w="709" w:type="dxa"/>
          </w:tcPr>
          <w:p w:rsidR="001C7BF9" w:rsidRPr="00C9680B" w:rsidRDefault="001C7BF9">
            <w:pPr>
              <w:pStyle w:val="SBTabell"/>
              <w:jc w:val="right"/>
              <w:rPr>
                <w:sz w:val="16"/>
              </w:rPr>
            </w:pPr>
          </w:p>
          <w:p w:rsidR="001C7BF9" w:rsidRPr="00C9680B" w:rsidRDefault="001C7BF9">
            <w:pPr>
              <w:pStyle w:val="SBTabell"/>
              <w:jc w:val="right"/>
              <w:rPr>
                <w:sz w:val="16"/>
              </w:rPr>
            </w:pPr>
            <w:r w:rsidRPr="00C9680B">
              <w:rPr>
                <w:sz w:val="16"/>
              </w:rPr>
              <w:t>15,0</w:t>
            </w:r>
          </w:p>
        </w:tc>
      </w:tr>
      <w:tr w:rsidR="00000000" w:rsidRPr="00C9680B">
        <w:tblPrEx>
          <w:tblCellMar>
            <w:top w:w="0" w:type="dxa"/>
            <w:bottom w:w="0" w:type="dxa"/>
          </w:tblCellMar>
        </w:tblPrEx>
        <w:tc>
          <w:tcPr>
            <w:tcW w:w="584" w:type="dxa"/>
          </w:tcPr>
          <w:p w:rsidR="001C7BF9" w:rsidRPr="00C9680B" w:rsidRDefault="001C7BF9">
            <w:pPr>
              <w:pStyle w:val="SBTabell"/>
              <w:rPr>
                <w:sz w:val="16"/>
              </w:rPr>
            </w:pPr>
            <w:r w:rsidRPr="00C9680B">
              <w:rPr>
                <w:sz w:val="16"/>
              </w:rPr>
              <w:t>4000</w:t>
            </w:r>
          </w:p>
        </w:tc>
        <w:tc>
          <w:tcPr>
            <w:tcW w:w="1893" w:type="dxa"/>
          </w:tcPr>
          <w:p w:rsidR="001C7BF9" w:rsidRPr="00C9680B" w:rsidRDefault="001C7BF9">
            <w:pPr>
              <w:pStyle w:val="SBTabell"/>
              <w:jc w:val="left"/>
              <w:rPr>
                <w:sz w:val="16"/>
              </w:rPr>
            </w:pPr>
            <w:r w:rsidRPr="00C9680B">
              <w:rPr>
                <w:sz w:val="16"/>
              </w:rPr>
              <w:t>Återbetalning av lån</w:t>
            </w:r>
          </w:p>
        </w:tc>
        <w:tc>
          <w:tcPr>
            <w:tcW w:w="703" w:type="dxa"/>
          </w:tcPr>
          <w:p w:rsidR="001C7BF9" w:rsidRPr="00C9680B" w:rsidRDefault="001C7BF9">
            <w:pPr>
              <w:pStyle w:val="SBTabell"/>
              <w:jc w:val="right"/>
              <w:rPr>
                <w:sz w:val="16"/>
              </w:rPr>
            </w:pPr>
            <w:r w:rsidRPr="00C9680B">
              <w:rPr>
                <w:sz w:val="16"/>
              </w:rPr>
              <w:t>3,1</w:t>
            </w:r>
          </w:p>
        </w:tc>
        <w:tc>
          <w:tcPr>
            <w:tcW w:w="718" w:type="dxa"/>
          </w:tcPr>
          <w:p w:rsidR="001C7BF9" w:rsidRPr="00C9680B" w:rsidRDefault="001C7BF9">
            <w:pPr>
              <w:pStyle w:val="SBTabell"/>
              <w:jc w:val="right"/>
              <w:rPr>
                <w:sz w:val="16"/>
              </w:rPr>
            </w:pPr>
            <w:r w:rsidRPr="00C9680B">
              <w:rPr>
                <w:sz w:val="16"/>
              </w:rPr>
              <w:t>2,5</w:t>
            </w:r>
          </w:p>
        </w:tc>
        <w:tc>
          <w:tcPr>
            <w:tcW w:w="708" w:type="dxa"/>
          </w:tcPr>
          <w:p w:rsidR="001C7BF9" w:rsidRPr="00C9680B" w:rsidRDefault="001C7BF9">
            <w:pPr>
              <w:pStyle w:val="SBTabell"/>
              <w:jc w:val="right"/>
              <w:rPr>
                <w:sz w:val="16"/>
              </w:rPr>
            </w:pPr>
            <w:r w:rsidRPr="00C9680B">
              <w:rPr>
                <w:sz w:val="16"/>
              </w:rPr>
              <w:t>2,5</w:t>
            </w:r>
          </w:p>
        </w:tc>
        <w:tc>
          <w:tcPr>
            <w:tcW w:w="709" w:type="dxa"/>
          </w:tcPr>
          <w:p w:rsidR="001C7BF9" w:rsidRPr="00C9680B" w:rsidRDefault="001C7BF9">
            <w:pPr>
              <w:pStyle w:val="SBTabell"/>
              <w:jc w:val="right"/>
              <w:rPr>
                <w:sz w:val="16"/>
              </w:rPr>
            </w:pPr>
            <w:r w:rsidRPr="00C9680B">
              <w:rPr>
                <w:sz w:val="16"/>
              </w:rPr>
              <w:t>2,5</w:t>
            </w:r>
          </w:p>
        </w:tc>
        <w:tc>
          <w:tcPr>
            <w:tcW w:w="709" w:type="dxa"/>
          </w:tcPr>
          <w:p w:rsidR="001C7BF9" w:rsidRPr="00C9680B" w:rsidRDefault="001C7BF9">
            <w:pPr>
              <w:pStyle w:val="SBTabell"/>
              <w:jc w:val="right"/>
              <w:rPr>
                <w:sz w:val="16"/>
              </w:rPr>
            </w:pPr>
            <w:r w:rsidRPr="00C9680B">
              <w:rPr>
                <w:sz w:val="16"/>
              </w:rPr>
              <w:t>2,4</w:t>
            </w:r>
          </w:p>
        </w:tc>
      </w:tr>
      <w:tr w:rsidR="00000000" w:rsidRPr="00C9680B">
        <w:tblPrEx>
          <w:tblCellMar>
            <w:top w:w="0" w:type="dxa"/>
            <w:bottom w:w="0" w:type="dxa"/>
          </w:tblCellMar>
        </w:tblPrEx>
        <w:tc>
          <w:tcPr>
            <w:tcW w:w="584" w:type="dxa"/>
          </w:tcPr>
          <w:p w:rsidR="001C7BF9" w:rsidRPr="00C9680B" w:rsidRDefault="001C7BF9">
            <w:pPr>
              <w:pStyle w:val="SBTabell"/>
              <w:rPr>
                <w:sz w:val="16"/>
              </w:rPr>
            </w:pPr>
            <w:r w:rsidRPr="00C9680B">
              <w:rPr>
                <w:sz w:val="16"/>
              </w:rPr>
              <w:t>5000</w:t>
            </w:r>
          </w:p>
        </w:tc>
        <w:tc>
          <w:tcPr>
            <w:tcW w:w="1893" w:type="dxa"/>
          </w:tcPr>
          <w:p w:rsidR="001C7BF9" w:rsidRPr="00C9680B" w:rsidRDefault="001C7BF9">
            <w:pPr>
              <w:pStyle w:val="SBTabell"/>
              <w:jc w:val="left"/>
              <w:rPr>
                <w:sz w:val="16"/>
              </w:rPr>
            </w:pPr>
            <w:r w:rsidRPr="00C9680B">
              <w:rPr>
                <w:sz w:val="16"/>
              </w:rPr>
              <w:t>Kalkylmässiga inkomster</w:t>
            </w:r>
          </w:p>
        </w:tc>
        <w:tc>
          <w:tcPr>
            <w:tcW w:w="703" w:type="dxa"/>
          </w:tcPr>
          <w:p w:rsidR="001C7BF9" w:rsidRPr="00C9680B" w:rsidRDefault="001C7BF9">
            <w:pPr>
              <w:pStyle w:val="SBTabell"/>
              <w:jc w:val="right"/>
              <w:rPr>
                <w:sz w:val="16"/>
              </w:rPr>
            </w:pPr>
            <w:r w:rsidRPr="00C9680B">
              <w:rPr>
                <w:sz w:val="16"/>
              </w:rPr>
              <w:t>5,2</w:t>
            </w:r>
          </w:p>
        </w:tc>
        <w:tc>
          <w:tcPr>
            <w:tcW w:w="718" w:type="dxa"/>
          </w:tcPr>
          <w:p w:rsidR="001C7BF9" w:rsidRPr="00C9680B" w:rsidRDefault="001C7BF9">
            <w:pPr>
              <w:pStyle w:val="SBTabell"/>
              <w:jc w:val="right"/>
              <w:rPr>
                <w:sz w:val="16"/>
              </w:rPr>
            </w:pPr>
            <w:r w:rsidRPr="00C9680B">
              <w:rPr>
                <w:sz w:val="16"/>
              </w:rPr>
              <w:t>8,4</w:t>
            </w:r>
          </w:p>
        </w:tc>
        <w:tc>
          <w:tcPr>
            <w:tcW w:w="708" w:type="dxa"/>
          </w:tcPr>
          <w:p w:rsidR="001C7BF9" w:rsidRPr="00C9680B" w:rsidRDefault="001C7BF9">
            <w:pPr>
              <w:pStyle w:val="SBTabell"/>
              <w:jc w:val="right"/>
              <w:rPr>
                <w:sz w:val="16"/>
              </w:rPr>
            </w:pPr>
            <w:r w:rsidRPr="00C9680B">
              <w:rPr>
                <w:sz w:val="16"/>
              </w:rPr>
              <w:t>8,9</w:t>
            </w:r>
          </w:p>
        </w:tc>
        <w:tc>
          <w:tcPr>
            <w:tcW w:w="709" w:type="dxa"/>
          </w:tcPr>
          <w:p w:rsidR="001C7BF9" w:rsidRPr="00C9680B" w:rsidRDefault="001C7BF9">
            <w:pPr>
              <w:pStyle w:val="SBTabell"/>
              <w:jc w:val="right"/>
              <w:rPr>
                <w:sz w:val="16"/>
              </w:rPr>
            </w:pPr>
            <w:r w:rsidRPr="00C9680B">
              <w:rPr>
                <w:sz w:val="16"/>
              </w:rPr>
              <w:t>8,9</w:t>
            </w:r>
          </w:p>
        </w:tc>
        <w:tc>
          <w:tcPr>
            <w:tcW w:w="709" w:type="dxa"/>
          </w:tcPr>
          <w:p w:rsidR="001C7BF9" w:rsidRPr="00C9680B" w:rsidRDefault="001C7BF9">
            <w:pPr>
              <w:pStyle w:val="SBTabell"/>
              <w:jc w:val="right"/>
              <w:rPr>
                <w:sz w:val="16"/>
              </w:rPr>
            </w:pPr>
            <w:r w:rsidRPr="00C9680B">
              <w:rPr>
                <w:sz w:val="16"/>
              </w:rPr>
              <w:t>9,0</w:t>
            </w:r>
          </w:p>
        </w:tc>
      </w:tr>
      <w:tr w:rsidR="00000000" w:rsidRPr="00C9680B">
        <w:tblPrEx>
          <w:tblCellMar>
            <w:top w:w="0" w:type="dxa"/>
            <w:bottom w:w="0" w:type="dxa"/>
          </w:tblCellMar>
        </w:tblPrEx>
        <w:tc>
          <w:tcPr>
            <w:tcW w:w="584" w:type="dxa"/>
            <w:tcBorders>
              <w:bottom w:val="nil"/>
            </w:tcBorders>
          </w:tcPr>
          <w:p w:rsidR="001C7BF9" w:rsidRPr="00C9680B" w:rsidRDefault="001C7BF9">
            <w:pPr>
              <w:pStyle w:val="SBTabell"/>
              <w:rPr>
                <w:sz w:val="16"/>
              </w:rPr>
            </w:pPr>
            <w:r w:rsidRPr="00C9680B">
              <w:rPr>
                <w:sz w:val="16"/>
              </w:rPr>
              <w:t>6000</w:t>
            </w:r>
          </w:p>
        </w:tc>
        <w:tc>
          <w:tcPr>
            <w:tcW w:w="1893" w:type="dxa"/>
            <w:tcBorders>
              <w:bottom w:val="nil"/>
            </w:tcBorders>
          </w:tcPr>
          <w:p w:rsidR="001C7BF9" w:rsidRPr="00C9680B" w:rsidRDefault="001C7BF9">
            <w:pPr>
              <w:pStyle w:val="SBTabell"/>
              <w:jc w:val="left"/>
              <w:rPr>
                <w:sz w:val="16"/>
              </w:rPr>
            </w:pPr>
            <w:r w:rsidRPr="00C9680B">
              <w:rPr>
                <w:sz w:val="16"/>
              </w:rPr>
              <w:t>Bidrag m.m. från EU</w:t>
            </w:r>
          </w:p>
        </w:tc>
        <w:tc>
          <w:tcPr>
            <w:tcW w:w="703" w:type="dxa"/>
            <w:tcBorders>
              <w:bottom w:val="nil"/>
            </w:tcBorders>
          </w:tcPr>
          <w:p w:rsidR="001C7BF9" w:rsidRPr="00C9680B" w:rsidRDefault="001C7BF9">
            <w:pPr>
              <w:pStyle w:val="SBTabell"/>
              <w:jc w:val="right"/>
              <w:rPr>
                <w:sz w:val="16"/>
              </w:rPr>
            </w:pPr>
            <w:r w:rsidRPr="00C9680B">
              <w:rPr>
                <w:sz w:val="16"/>
              </w:rPr>
              <w:t>9,3</w:t>
            </w:r>
          </w:p>
        </w:tc>
        <w:tc>
          <w:tcPr>
            <w:tcW w:w="718" w:type="dxa"/>
            <w:tcBorders>
              <w:bottom w:val="nil"/>
            </w:tcBorders>
          </w:tcPr>
          <w:p w:rsidR="001C7BF9" w:rsidRPr="00C9680B" w:rsidRDefault="001C7BF9">
            <w:pPr>
              <w:pStyle w:val="SBTabell"/>
              <w:jc w:val="right"/>
              <w:rPr>
                <w:sz w:val="16"/>
              </w:rPr>
            </w:pPr>
            <w:r w:rsidRPr="00C9680B">
              <w:rPr>
                <w:sz w:val="16"/>
              </w:rPr>
              <w:t>10,2</w:t>
            </w:r>
          </w:p>
        </w:tc>
        <w:tc>
          <w:tcPr>
            <w:tcW w:w="708" w:type="dxa"/>
            <w:tcBorders>
              <w:bottom w:val="nil"/>
            </w:tcBorders>
          </w:tcPr>
          <w:p w:rsidR="001C7BF9" w:rsidRPr="00C9680B" w:rsidRDefault="001C7BF9">
            <w:pPr>
              <w:pStyle w:val="SBTabell"/>
              <w:jc w:val="right"/>
              <w:rPr>
                <w:sz w:val="16"/>
              </w:rPr>
            </w:pPr>
            <w:r w:rsidRPr="00C9680B">
              <w:rPr>
                <w:sz w:val="16"/>
              </w:rPr>
              <w:t>10,6</w:t>
            </w:r>
          </w:p>
        </w:tc>
        <w:tc>
          <w:tcPr>
            <w:tcW w:w="709" w:type="dxa"/>
            <w:tcBorders>
              <w:bottom w:val="nil"/>
            </w:tcBorders>
          </w:tcPr>
          <w:p w:rsidR="001C7BF9" w:rsidRPr="00C9680B" w:rsidRDefault="001C7BF9">
            <w:pPr>
              <w:pStyle w:val="SBTabell"/>
              <w:jc w:val="right"/>
              <w:rPr>
                <w:sz w:val="16"/>
              </w:rPr>
            </w:pPr>
            <w:r w:rsidRPr="00C9680B">
              <w:rPr>
                <w:sz w:val="16"/>
              </w:rPr>
              <w:t>11,8</w:t>
            </w:r>
          </w:p>
        </w:tc>
        <w:tc>
          <w:tcPr>
            <w:tcW w:w="709" w:type="dxa"/>
            <w:tcBorders>
              <w:bottom w:val="nil"/>
            </w:tcBorders>
          </w:tcPr>
          <w:p w:rsidR="001C7BF9" w:rsidRPr="00C9680B" w:rsidRDefault="001C7BF9">
            <w:pPr>
              <w:pStyle w:val="SBTabell"/>
              <w:jc w:val="right"/>
              <w:rPr>
                <w:sz w:val="16"/>
              </w:rPr>
            </w:pPr>
            <w:r w:rsidRPr="00C9680B">
              <w:rPr>
                <w:sz w:val="16"/>
              </w:rPr>
              <w:t>11,1</w:t>
            </w:r>
          </w:p>
        </w:tc>
      </w:tr>
      <w:tr w:rsidR="00000000" w:rsidRPr="00C9680B">
        <w:tblPrEx>
          <w:tblCellMar>
            <w:top w:w="0" w:type="dxa"/>
            <w:bottom w:w="0" w:type="dxa"/>
          </w:tblCellMar>
        </w:tblPrEx>
        <w:trPr>
          <w:cantSplit/>
        </w:trPr>
        <w:tc>
          <w:tcPr>
            <w:tcW w:w="2477" w:type="dxa"/>
            <w:gridSpan w:val="2"/>
            <w:tcBorders>
              <w:top w:val="nil"/>
              <w:left w:val="nil"/>
              <w:bottom w:val="single" w:sz="4" w:space="0" w:color="auto"/>
              <w:right w:val="nil"/>
            </w:tcBorders>
          </w:tcPr>
          <w:p w:rsidR="001C7BF9" w:rsidRPr="00C9680B" w:rsidRDefault="001C7BF9">
            <w:pPr>
              <w:pStyle w:val="SBTabell"/>
              <w:spacing w:before="60" w:after="40"/>
              <w:jc w:val="left"/>
              <w:rPr>
                <w:b/>
                <w:sz w:val="16"/>
              </w:rPr>
            </w:pPr>
            <w:r w:rsidRPr="00C9680B">
              <w:rPr>
                <w:b/>
                <w:sz w:val="16"/>
              </w:rPr>
              <w:t>Statsbudgetens totala inkomster</w:t>
            </w:r>
          </w:p>
        </w:tc>
        <w:tc>
          <w:tcPr>
            <w:tcW w:w="703" w:type="dxa"/>
            <w:tcBorders>
              <w:top w:val="nil"/>
              <w:left w:val="nil"/>
              <w:bottom w:val="single" w:sz="4" w:space="0" w:color="auto"/>
              <w:right w:val="nil"/>
            </w:tcBorders>
          </w:tcPr>
          <w:p w:rsidR="001C7BF9" w:rsidRPr="00C9680B" w:rsidRDefault="001C7BF9">
            <w:pPr>
              <w:pStyle w:val="SBTabell"/>
              <w:spacing w:before="60" w:after="40"/>
              <w:jc w:val="right"/>
              <w:rPr>
                <w:b/>
                <w:sz w:val="16"/>
              </w:rPr>
            </w:pPr>
            <w:r w:rsidRPr="00C9680B">
              <w:rPr>
                <w:b/>
                <w:sz w:val="16"/>
              </w:rPr>
              <w:t>725,1</w:t>
            </w:r>
          </w:p>
        </w:tc>
        <w:tc>
          <w:tcPr>
            <w:tcW w:w="718" w:type="dxa"/>
            <w:tcBorders>
              <w:top w:val="nil"/>
              <w:left w:val="nil"/>
              <w:bottom w:val="single" w:sz="4" w:space="0" w:color="auto"/>
              <w:right w:val="nil"/>
            </w:tcBorders>
          </w:tcPr>
          <w:p w:rsidR="001C7BF9" w:rsidRPr="00C9680B" w:rsidRDefault="001C7BF9">
            <w:pPr>
              <w:pStyle w:val="SBTabell"/>
              <w:spacing w:before="60" w:after="40"/>
              <w:jc w:val="right"/>
              <w:rPr>
                <w:b/>
                <w:sz w:val="16"/>
              </w:rPr>
            </w:pPr>
            <w:r w:rsidRPr="00C9680B">
              <w:rPr>
                <w:b/>
                <w:sz w:val="16"/>
              </w:rPr>
              <w:t>781,6</w:t>
            </w:r>
          </w:p>
        </w:tc>
        <w:tc>
          <w:tcPr>
            <w:tcW w:w="708" w:type="dxa"/>
            <w:tcBorders>
              <w:top w:val="nil"/>
              <w:left w:val="nil"/>
              <w:bottom w:val="single" w:sz="4" w:space="0" w:color="auto"/>
              <w:right w:val="nil"/>
            </w:tcBorders>
          </w:tcPr>
          <w:p w:rsidR="001C7BF9" w:rsidRPr="00C9680B" w:rsidRDefault="001C7BF9">
            <w:pPr>
              <w:pStyle w:val="SBTabell"/>
              <w:spacing w:before="60" w:after="40"/>
              <w:jc w:val="right"/>
              <w:rPr>
                <w:b/>
                <w:sz w:val="16"/>
              </w:rPr>
            </w:pPr>
            <w:r w:rsidRPr="00C9680B">
              <w:rPr>
                <w:b/>
                <w:sz w:val="16"/>
              </w:rPr>
              <w:t>717,1</w:t>
            </w:r>
          </w:p>
        </w:tc>
        <w:tc>
          <w:tcPr>
            <w:tcW w:w="709" w:type="dxa"/>
            <w:tcBorders>
              <w:top w:val="nil"/>
              <w:left w:val="nil"/>
              <w:bottom w:val="single" w:sz="4" w:space="0" w:color="auto"/>
              <w:right w:val="nil"/>
            </w:tcBorders>
          </w:tcPr>
          <w:p w:rsidR="001C7BF9" w:rsidRPr="00C9680B" w:rsidRDefault="001C7BF9">
            <w:pPr>
              <w:pStyle w:val="SBTabell"/>
              <w:spacing w:before="60" w:after="40"/>
              <w:jc w:val="right"/>
              <w:rPr>
                <w:b/>
                <w:sz w:val="16"/>
              </w:rPr>
            </w:pPr>
            <w:r w:rsidRPr="00C9680B">
              <w:rPr>
                <w:b/>
                <w:sz w:val="16"/>
              </w:rPr>
              <w:t>731,8</w:t>
            </w:r>
          </w:p>
        </w:tc>
        <w:tc>
          <w:tcPr>
            <w:tcW w:w="709" w:type="dxa"/>
            <w:tcBorders>
              <w:top w:val="nil"/>
              <w:left w:val="nil"/>
              <w:bottom w:val="single" w:sz="4" w:space="0" w:color="auto"/>
              <w:right w:val="nil"/>
            </w:tcBorders>
          </w:tcPr>
          <w:p w:rsidR="001C7BF9" w:rsidRPr="00C9680B" w:rsidRDefault="001C7BF9">
            <w:pPr>
              <w:pStyle w:val="SBTabell"/>
              <w:spacing w:before="60" w:after="40"/>
              <w:jc w:val="right"/>
              <w:rPr>
                <w:b/>
                <w:sz w:val="16"/>
              </w:rPr>
            </w:pPr>
            <w:r w:rsidRPr="00C9680B">
              <w:rPr>
                <w:b/>
                <w:sz w:val="16"/>
              </w:rPr>
              <w:t>756,3</w:t>
            </w:r>
          </w:p>
        </w:tc>
      </w:tr>
    </w:tbl>
    <w:p w:rsidR="001C7BF9" w:rsidRPr="00C9680B" w:rsidRDefault="001C7BF9">
      <w:pPr>
        <w:rPr>
          <w:sz w:val="14"/>
        </w:rPr>
      </w:pPr>
      <w:r w:rsidRPr="00C9680B">
        <w:rPr>
          <w:sz w:val="14"/>
        </w:rPr>
        <w:t>Källa: propositon 2000/01:1 s. 131</w:t>
      </w:r>
    </w:p>
    <w:p w:rsidR="001C7BF9" w:rsidRPr="00C9680B" w:rsidRDefault="001C7BF9">
      <w:pPr>
        <w:spacing w:before="60"/>
      </w:pPr>
      <w:r w:rsidRPr="00C9680B">
        <w:t>I propositionen beräknas inkomsterna år 2001 att uppgå till 717,1 miljarder kronor. I beräkningarna har hänsyn tagits till budgeteffekter av föreslagna åtgä</w:t>
      </w:r>
      <w:r w:rsidRPr="00C9680B">
        <w:t>r</w:t>
      </w:r>
      <w:r w:rsidRPr="00C9680B">
        <w:t>der på skatteområdet. Dessa effekter redovisas i tabell 44.</w:t>
      </w:r>
    </w:p>
    <w:p w:rsidR="001C7BF9" w:rsidRPr="00C9680B" w:rsidRDefault="001C7BF9">
      <w:pPr>
        <w:pStyle w:val="R4"/>
        <w:spacing w:before="240"/>
      </w:pPr>
      <w:r w:rsidRPr="00C9680B">
        <w:t>Motionerna</w:t>
      </w:r>
    </w:p>
    <w:p w:rsidR="001C7BF9" w:rsidRPr="00C9680B" w:rsidRDefault="001C7BF9">
      <w:r w:rsidRPr="00C9680B">
        <w:rPr>
          <w:i/>
        </w:rPr>
        <w:t>Moderata samlingspartiet, Kristdemokraterna, Centerpartiet och Folkpartiet</w:t>
      </w:r>
      <w:r w:rsidRPr="00C9680B">
        <w:t xml:space="preserve"> </w:t>
      </w:r>
      <w:r w:rsidRPr="00C9680B">
        <w:rPr>
          <w:i/>
        </w:rPr>
        <w:t>liberalerna</w:t>
      </w:r>
      <w:r w:rsidRPr="00C9680B">
        <w:t xml:space="preserve"> begär i sina </w:t>
      </w:r>
      <w:r w:rsidRPr="00C9680B">
        <w:rPr>
          <w:i/>
        </w:rPr>
        <w:t xml:space="preserve">motioner Fi208 </w:t>
      </w:r>
      <w:r w:rsidRPr="00C9680B">
        <w:t xml:space="preserve">(m), </w:t>
      </w:r>
      <w:r w:rsidRPr="00C9680B">
        <w:rPr>
          <w:i/>
        </w:rPr>
        <w:t xml:space="preserve">Fi209 </w:t>
      </w:r>
      <w:r w:rsidRPr="00C9680B">
        <w:t xml:space="preserve">(kd), </w:t>
      </w:r>
      <w:r w:rsidRPr="00C9680B">
        <w:rPr>
          <w:i/>
        </w:rPr>
        <w:t xml:space="preserve">Fi210 </w:t>
      </w:r>
      <w:r w:rsidRPr="00C9680B">
        <w:t xml:space="preserve">(c) och </w:t>
      </w:r>
      <w:r w:rsidRPr="00C9680B">
        <w:rPr>
          <w:i/>
        </w:rPr>
        <w:t xml:space="preserve">Fi211 </w:t>
      </w:r>
      <w:r w:rsidRPr="00C9680B">
        <w:t>(fp) godkännande av de egna inkomstberäkninga</w:t>
      </w:r>
      <w:r w:rsidRPr="00C9680B">
        <w:t>r</w:t>
      </w:r>
      <w:r w:rsidRPr="00C9680B">
        <w:t>na.</w:t>
      </w:r>
    </w:p>
    <w:p w:rsidR="001C7BF9" w:rsidRPr="00C9680B" w:rsidRDefault="001C7BF9">
      <w:pPr>
        <w:pStyle w:val="R4"/>
        <w:spacing w:before="240"/>
      </w:pPr>
      <w:r w:rsidRPr="00C9680B">
        <w:t xml:space="preserve">Skatteutskottets och socialförsäkringsutskottets yttranden </w:t>
      </w:r>
    </w:p>
    <w:p w:rsidR="001C7BF9" w:rsidRPr="00C9680B" w:rsidRDefault="001C7BF9">
      <w:r w:rsidRPr="00C9680B">
        <w:t xml:space="preserve">Skatteutskottet har i sitt yttrande (SkU1y) inte funnit någon anledning till erinran mot den inkomstberäkning som regeringen redovisar och tillstyrker därmed att beräkningen godkänns. </w:t>
      </w:r>
    </w:p>
    <w:p w:rsidR="001C7BF9" w:rsidRPr="00C9680B" w:rsidRDefault="001C7BF9">
      <w:pPr>
        <w:pStyle w:val="Normaltindrag"/>
      </w:pPr>
      <w:r w:rsidRPr="00C9680B">
        <w:t>Socialförsäkringsutskottet tillstyrker i sitt yttrande (SfU1y) på motsvarade sätt propositionens inkomstberäkning på de områden som berör socialförsä</w:t>
      </w:r>
      <w:r w:rsidRPr="00C9680B">
        <w:t>k</w:t>
      </w:r>
      <w:r w:rsidRPr="00C9680B">
        <w:softHyphen/>
        <w:t xml:space="preserve">ringsutskottets beredningsområde. </w:t>
      </w:r>
    </w:p>
    <w:p w:rsidR="001C7BF9" w:rsidRPr="00C9680B" w:rsidRDefault="001C7BF9">
      <w:pPr>
        <w:pStyle w:val="Normaltindrag"/>
      </w:pPr>
    </w:p>
    <w:tbl>
      <w:tblPr>
        <w:tblW w:w="0" w:type="auto"/>
        <w:tblLayout w:type="fixed"/>
        <w:tblCellMar>
          <w:left w:w="71" w:type="dxa"/>
          <w:right w:w="71" w:type="dxa"/>
        </w:tblCellMar>
        <w:tblLook w:val="0000" w:firstRow="0" w:lastRow="0" w:firstColumn="0" w:lastColumn="0" w:noHBand="0" w:noVBand="0"/>
      </w:tblPr>
      <w:tblGrid>
        <w:gridCol w:w="14"/>
        <w:gridCol w:w="2113"/>
        <w:gridCol w:w="177"/>
        <w:gridCol w:w="629"/>
        <w:gridCol w:w="629"/>
        <w:gridCol w:w="629"/>
        <w:gridCol w:w="629"/>
        <w:gridCol w:w="629"/>
        <w:gridCol w:w="629"/>
        <w:gridCol w:w="163"/>
        <w:gridCol w:w="466"/>
        <w:gridCol w:w="243"/>
        <w:gridCol w:w="386"/>
        <w:gridCol w:w="35"/>
      </w:tblGrid>
      <w:tr w:rsidR="00000000" w:rsidRPr="00C9680B">
        <w:tblPrEx>
          <w:tblCellMar>
            <w:top w:w="0" w:type="dxa"/>
            <w:bottom w:w="0" w:type="dxa"/>
          </w:tblCellMar>
        </w:tblPrEx>
        <w:trPr>
          <w:gridBefore w:val="1"/>
          <w:wBefore w:w="14" w:type="dxa"/>
          <w:cantSplit/>
        </w:trPr>
        <w:tc>
          <w:tcPr>
            <w:tcW w:w="7357" w:type="dxa"/>
            <w:gridSpan w:val="13"/>
          </w:tcPr>
          <w:p w:rsidR="001C7BF9" w:rsidRPr="00C9680B" w:rsidRDefault="001C7BF9">
            <w:pPr>
              <w:pStyle w:val="Tabell"/>
              <w:rPr>
                <w:b/>
              </w:rPr>
            </w:pPr>
            <w:r w:rsidRPr="00C9680B">
              <w:rPr>
                <w:b/>
              </w:rPr>
              <w:t>Tabell 44. Budgeteffekter av åtgärder på skatteområdet i budgetpropositionen för 2001 m.m. Bru</w:t>
            </w:r>
            <w:r w:rsidRPr="00C9680B">
              <w:rPr>
                <w:b/>
              </w:rPr>
              <w:t>t</w:t>
            </w:r>
            <w:r w:rsidRPr="00C9680B">
              <w:rPr>
                <w:b/>
              </w:rPr>
              <w:t>toeffekter, kassamässiga effekter för staten och periodiserade effekter för offentlig sektor år 2001–2003 samt varaktiga effekter för offentlig se</w:t>
            </w:r>
            <w:r w:rsidRPr="00C9680B">
              <w:rPr>
                <w:b/>
              </w:rPr>
              <w:t>k</w:t>
            </w:r>
            <w:r w:rsidRPr="00C9680B">
              <w:rPr>
                <w:b/>
              </w:rPr>
              <w:t>tor</w:t>
            </w:r>
          </w:p>
          <w:p w:rsidR="001C7BF9" w:rsidRPr="00C9680B" w:rsidRDefault="001C7BF9">
            <w:pPr>
              <w:pStyle w:val="Tabell"/>
            </w:pPr>
            <w:r w:rsidRPr="00C9680B">
              <w:t>Miljarder kronor</w:t>
            </w:r>
          </w:p>
        </w:tc>
      </w:tr>
      <w:tr w:rsidR="00000000" w:rsidRPr="00C9680B">
        <w:tblPrEx>
          <w:tblCellMar>
            <w:top w:w="0" w:type="dxa"/>
            <w:bottom w:w="0" w:type="dxa"/>
          </w:tblCellMar>
        </w:tblPrEx>
        <w:trPr>
          <w:gridBefore w:val="1"/>
          <w:wBefore w:w="14" w:type="dxa"/>
        </w:trPr>
        <w:tc>
          <w:tcPr>
            <w:tcW w:w="2113" w:type="dxa"/>
            <w:tcBorders>
              <w:top w:val="single" w:sz="4" w:space="0" w:color="auto"/>
            </w:tcBorders>
          </w:tcPr>
          <w:p w:rsidR="001C7BF9" w:rsidRPr="00C9680B" w:rsidRDefault="001C7BF9">
            <w:pPr>
              <w:pStyle w:val="TabellHuvud"/>
              <w:spacing w:line="170" w:lineRule="exact"/>
              <w:rPr>
                <w:rFonts w:ascii="Times New Roman" w:hAnsi="Times New Roman"/>
                <w:sz w:val="16"/>
              </w:rPr>
            </w:pPr>
          </w:p>
        </w:tc>
        <w:tc>
          <w:tcPr>
            <w:tcW w:w="806" w:type="dxa"/>
            <w:gridSpan w:val="2"/>
            <w:tcBorders>
              <w:top w:val="single" w:sz="4" w:space="0" w:color="auto"/>
            </w:tcBorders>
          </w:tcPr>
          <w:p w:rsidR="001C7BF9" w:rsidRPr="00C9680B" w:rsidRDefault="001C7BF9">
            <w:pPr>
              <w:pStyle w:val="TabellHuvud"/>
              <w:spacing w:line="170" w:lineRule="exact"/>
              <w:rPr>
                <w:rFonts w:ascii="Times New Roman" w:hAnsi="Times New Roman"/>
                <w:sz w:val="16"/>
              </w:rPr>
            </w:pPr>
          </w:p>
        </w:tc>
        <w:tc>
          <w:tcPr>
            <w:tcW w:w="629" w:type="dxa"/>
            <w:tcBorders>
              <w:top w:val="single" w:sz="4" w:space="0" w:color="auto"/>
              <w:bottom w:val="single" w:sz="4" w:space="0" w:color="auto"/>
            </w:tcBorders>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t>St</w:t>
            </w:r>
            <w:r w:rsidRPr="00C9680B">
              <w:rPr>
                <w:rFonts w:ascii="Times New Roman" w:hAnsi="Times New Roman"/>
                <w:sz w:val="16"/>
              </w:rPr>
              <w:t>a</w:t>
            </w:r>
            <w:r w:rsidRPr="00C9680B">
              <w:rPr>
                <w:rFonts w:ascii="Times New Roman" w:hAnsi="Times New Roman"/>
                <w:sz w:val="16"/>
              </w:rPr>
              <w:t>ten</w:t>
            </w:r>
          </w:p>
        </w:tc>
        <w:tc>
          <w:tcPr>
            <w:tcW w:w="629" w:type="dxa"/>
            <w:tcBorders>
              <w:top w:val="single" w:sz="4" w:space="0" w:color="auto"/>
              <w:bottom w:val="single" w:sz="4" w:space="0" w:color="auto"/>
            </w:tcBorders>
          </w:tcPr>
          <w:p w:rsidR="001C7BF9" w:rsidRPr="00C9680B" w:rsidRDefault="001C7BF9">
            <w:pPr>
              <w:pStyle w:val="TabellHuvud"/>
              <w:spacing w:line="170" w:lineRule="exact"/>
              <w:rPr>
                <w:rFonts w:ascii="Times New Roman" w:hAnsi="Times New Roman"/>
                <w:sz w:val="16"/>
              </w:rPr>
            </w:pPr>
          </w:p>
        </w:tc>
        <w:tc>
          <w:tcPr>
            <w:tcW w:w="629" w:type="dxa"/>
            <w:tcBorders>
              <w:top w:val="single" w:sz="4" w:space="0" w:color="auto"/>
              <w:bottom w:val="single" w:sz="4" w:space="0" w:color="auto"/>
            </w:tcBorders>
          </w:tcPr>
          <w:p w:rsidR="001C7BF9" w:rsidRPr="00C9680B" w:rsidRDefault="001C7BF9">
            <w:pPr>
              <w:pStyle w:val="TabellHuvud"/>
              <w:spacing w:line="170" w:lineRule="exact"/>
              <w:rPr>
                <w:rFonts w:ascii="Times New Roman" w:hAnsi="Times New Roman"/>
                <w:sz w:val="16"/>
              </w:rPr>
            </w:pPr>
          </w:p>
        </w:tc>
        <w:tc>
          <w:tcPr>
            <w:tcW w:w="1421" w:type="dxa"/>
            <w:gridSpan w:val="3"/>
            <w:tcBorders>
              <w:top w:val="single" w:sz="4" w:space="0" w:color="auto"/>
              <w:bottom w:val="single" w:sz="4" w:space="0" w:color="auto"/>
            </w:tcBorders>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t>Offentlig se</w:t>
            </w:r>
            <w:r w:rsidRPr="00C9680B">
              <w:rPr>
                <w:rFonts w:ascii="Times New Roman" w:hAnsi="Times New Roman"/>
                <w:sz w:val="16"/>
              </w:rPr>
              <w:t>k</w:t>
            </w:r>
            <w:r w:rsidRPr="00C9680B">
              <w:rPr>
                <w:rFonts w:ascii="Times New Roman" w:hAnsi="Times New Roman"/>
                <w:sz w:val="16"/>
              </w:rPr>
              <w:t>tor</w:t>
            </w:r>
          </w:p>
        </w:tc>
        <w:tc>
          <w:tcPr>
            <w:tcW w:w="709" w:type="dxa"/>
            <w:gridSpan w:val="2"/>
            <w:tcBorders>
              <w:top w:val="single" w:sz="4" w:space="0" w:color="auto"/>
              <w:bottom w:val="single" w:sz="4" w:space="0" w:color="auto"/>
            </w:tcBorders>
          </w:tcPr>
          <w:p w:rsidR="001C7BF9" w:rsidRPr="00C9680B" w:rsidRDefault="001C7BF9">
            <w:pPr>
              <w:pStyle w:val="TabellHuvud"/>
              <w:spacing w:line="170" w:lineRule="exact"/>
              <w:rPr>
                <w:rFonts w:ascii="Times New Roman" w:hAnsi="Times New Roman"/>
                <w:sz w:val="16"/>
              </w:rPr>
            </w:pPr>
          </w:p>
        </w:tc>
        <w:tc>
          <w:tcPr>
            <w:tcW w:w="421" w:type="dxa"/>
            <w:gridSpan w:val="2"/>
            <w:tcBorders>
              <w:top w:val="single" w:sz="4" w:space="0" w:color="auto"/>
              <w:bottom w:val="single" w:sz="4" w:space="0" w:color="auto"/>
            </w:tcBorders>
          </w:tcPr>
          <w:p w:rsidR="001C7BF9" w:rsidRPr="00C9680B" w:rsidRDefault="001C7BF9">
            <w:pPr>
              <w:pStyle w:val="TabellHuvud"/>
              <w:spacing w:line="170" w:lineRule="exact"/>
              <w:jc w:val="left"/>
              <w:rPr>
                <w:rFonts w:ascii="Times New Roman" w:hAnsi="Times New Roman"/>
                <w:sz w:val="16"/>
              </w:rPr>
            </w:pPr>
          </w:p>
        </w:tc>
      </w:tr>
      <w:tr w:rsidR="00000000" w:rsidRPr="00C9680B">
        <w:tblPrEx>
          <w:tblCellMar>
            <w:top w:w="0" w:type="dxa"/>
            <w:left w:w="0" w:type="dxa"/>
            <w:bottom w:w="0" w:type="dxa"/>
            <w:right w:w="0" w:type="dxa"/>
          </w:tblCellMar>
        </w:tblPrEx>
        <w:tc>
          <w:tcPr>
            <w:tcW w:w="2302" w:type="dxa"/>
            <w:gridSpan w:val="3"/>
          </w:tcPr>
          <w:p w:rsidR="001C7BF9" w:rsidRPr="00C9680B" w:rsidRDefault="001C7BF9">
            <w:pPr>
              <w:pStyle w:val="TabellHuvud"/>
              <w:spacing w:line="170" w:lineRule="exact"/>
              <w:rPr>
                <w:rFonts w:ascii="Times New Roman" w:hAnsi="Times New Roman"/>
                <w:sz w:val="16"/>
              </w:rPr>
            </w:pPr>
          </w:p>
        </w:tc>
        <w:tc>
          <w:tcPr>
            <w:tcW w:w="629" w:type="dxa"/>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br/>
              <w:t>Bru</w:t>
            </w:r>
            <w:r w:rsidRPr="00C9680B">
              <w:rPr>
                <w:rFonts w:ascii="Times New Roman" w:hAnsi="Times New Roman"/>
                <w:sz w:val="16"/>
              </w:rPr>
              <w:t>t</w:t>
            </w:r>
            <w:r w:rsidRPr="00C9680B">
              <w:rPr>
                <w:rFonts w:ascii="Times New Roman" w:hAnsi="Times New Roman"/>
                <w:sz w:val="16"/>
              </w:rPr>
              <w:t>to-e</w:t>
            </w:r>
            <w:r w:rsidRPr="00C9680B">
              <w:rPr>
                <w:rFonts w:ascii="Times New Roman" w:hAnsi="Times New Roman"/>
                <w:sz w:val="16"/>
              </w:rPr>
              <w:t>f</w:t>
            </w:r>
            <w:r w:rsidRPr="00C9680B">
              <w:rPr>
                <w:rFonts w:ascii="Times New Roman" w:hAnsi="Times New Roman"/>
                <w:sz w:val="16"/>
              </w:rPr>
              <w:t>fekt </w:t>
            </w:r>
          </w:p>
        </w:tc>
        <w:tc>
          <w:tcPr>
            <w:tcW w:w="629" w:type="dxa"/>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br/>
            </w:r>
            <w:r w:rsidRPr="00C9680B">
              <w:rPr>
                <w:rFonts w:ascii="Times New Roman" w:hAnsi="Times New Roman"/>
                <w:sz w:val="16"/>
              </w:rPr>
              <w:br/>
              <w:t>2001</w:t>
            </w:r>
          </w:p>
        </w:tc>
        <w:tc>
          <w:tcPr>
            <w:tcW w:w="629" w:type="dxa"/>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br/>
            </w:r>
            <w:r w:rsidRPr="00C9680B">
              <w:rPr>
                <w:rFonts w:ascii="Times New Roman" w:hAnsi="Times New Roman"/>
                <w:sz w:val="16"/>
              </w:rPr>
              <w:br/>
              <w:t>2002</w:t>
            </w:r>
          </w:p>
        </w:tc>
        <w:tc>
          <w:tcPr>
            <w:tcW w:w="629" w:type="dxa"/>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br/>
            </w:r>
            <w:r w:rsidRPr="00C9680B">
              <w:rPr>
                <w:rFonts w:ascii="Times New Roman" w:hAnsi="Times New Roman"/>
                <w:sz w:val="16"/>
              </w:rPr>
              <w:br/>
              <w:t>2003</w:t>
            </w:r>
          </w:p>
        </w:tc>
        <w:tc>
          <w:tcPr>
            <w:tcW w:w="629" w:type="dxa"/>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br/>
            </w:r>
            <w:r w:rsidRPr="00C9680B">
              <w:rPr>
                <w:rFonts w:ascii="Times New Roman" w:hAnsi="Times New Roman"/>
                <w:sz w:val="16"/>
              </w:rPr>
              <w:br/>
              <w:t>2001</w:t>
            </w:r>
          </w:p>
        </w:tc>
        <w:tc>
          <w:tcPr>
            <w:tcW w:w="629" w:type="dxa"/>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br/>
            </w:r>
            <w:r w:rsidRPr="00C9680B">
              <w:rPr>
                <w:rFonts w:ascii="Times New Roman" w:hAnsi="Times New Roman"/>
                <w:sz w:val="16"/>
              </w:rPr>
              <w:br/>
              <w:t>2002</w:t>
            </w:r>
          </w:p>
        </w:tc>
        <w:tc>
          <w:tcPr>
            <w:tcW w:w="629" w:type="dxa"/>
            <w:gridSpan w:val="2"/>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br/>
            </w:r>
            <w:r w:rsidRPr="00C9680B">
              <w:rPr>
                <w:rFonts w:ascii="Times New Roman" w:hAnsi="Times New Roman"/>
                <w:sz w:val="16"/>
              </w:rPr>
              <w:br/>
              <w:t>2003</w:t>
            </w:r>
          </w:p>
        </w:tc>
        <w:tc>
          <w:tcPr>
            <w:tcW w:w="664" w:type="dxa"/>
            <w:gridSpan w:val="3"/>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t xml:space="preserve">Varaktig effekt </w:t>
            </w:r>
          </w:p>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t>off sekt</w:t>
            </w:r>
          </w:p>
        </w:tc>
      </w:tr>
      <w:tr w:rsidR="00000000" w:rsidRPr="00C9680B">
        <w:tblPrEx>
          <w:tblCellMar>
            <w:top w:w="0" w:type="dxa"/>
            <w:bottom w:w="0" w:type="dxa"/>
          </w:tblCellMar>
        </w:tblPrEx>
        <w:tc>
          <w:tcPr>
            <w:tcW w:w="7371" w:type="dxa"/>
            <w:gridSpan w:val="14"/>
            <w:tcBorders>
              <w:top w:val="single" w:sz="4" w:space="0" w:color="auto"/>
              <w:bottom w:val="single" w:sz="4" w:space="0" w:color="auto"/>
            </w:tcBorders>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I. Förslag i bu</w:t>
            </w:r>
            <w:r w:rsidRPr="00C9680B">
              <w:rPr>
                <w:rFonts w:ascii="Times New Roman" w:hAnsi="Times New Roman"/>
              </w:rPr>
              <w:t>d</w:t>
            </w:r>
            <w:r w:rsidRPr="00C9680B">
              <w:rPr>
                <w:rFonts w:ascii="Times New Roman" w:hAnsi="Times New Roman"/>
              </w:rPr>
              <w:t>getpropositionen</w:t>
            </w:r>
          </w:p>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i/>
              </w:rPr>
              <w:t>Förvärvsinkomstskatt</w:t>
            </w:r>
          </w:p>
        </w:tc>
      </w:tr>
      <w:tr w:rsidR="00000000" w:rsidRPr="00C9680B">
        <w:tblPrEx>
          <w:tblCellMar>
            <w:top w:w="0" w:type="dxa"/>
            <w:bottom w:w="0" w:type="dxa"/>
          </w:tblCellMar>
        </w:tblPrEx>
        <w:trPr>
          <w:gridAfter w:val="1"/>
          <w:wAfter w:w="35" w:type="dxa"/>
        </w:trPr>
        <w:tc>
          <w:tcPr>
            <w:tcW w:w="2304" w:type="dxa"/>
            <w:gridSpan w:val="3"/>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Kompensation för allmän pensionsa</w:t>
            </w:r>
            <w:r w:rsidRPr="00C9680B">
              <w:rPr>
                <w:rFonts w:ascii="Times New Roman" w:hAnsi="Times New Roman"/>
              </w:rPr>
              <w:t>v</w:t>
            </w:r>
            <w:r w:rsidRPr="00C9680B">
              <w:rPr>
                <w:rFonts w:ascii="Times New Roman" w:hAnsi="Times New Roman"/>
              </w:rPr>
              <w:t>gift</w:t>
            </w:r>
          </w:p>
        </w:tc>
        <w:tc>
          <w:tcPr>
            <w:tcW w:w="629" w:type="dxa"/>
          </w:tcPr>
          <w:p w:rsidR="001C7BF9" w:rsidRPr="00C9680B" w:rsidRDefault="001C7BF9">
            <w:pPr>
              <w:pStyle w:val="TabellRader"/>
              <w:spacing w:before="120" w:line="180" w:lineRule="exact"/>
              <w:rPr>
                <w:rFonts w:ascii="Times New Roman" w:hAnsi="Times New Roman"/>
              </w:rPr>
            </w:pPr>
            <w:r w:rsidRPr="00C9680B">
              <w:rPr>
                <w:rFonts w:ascii="Times New Roman" w:hAnsi="Times New Roman"/>
              </w:rPr>
              <w:t>-9,86</w:t>
            </w:r>
          </w:p>
        </w:tc>
        <w:tc>
          <w:tcPr>
            <w:tcW w:w="629" w:type="dxa"/>
          </w:tcPr>
          <w:p w:rsidR="001C7BF9" w:rsidRPr="00C9680B" w:rsidRDefault="001C7BF9">
            <w:pPr>
              <w:pStyle w:val="TabellRader"/>
              <w:spacing w:before="120" w:line="180" w:lineRule="exact"/>
              <w:rPr>
                <w:rFonts w:ascii="Times New Roman" w:hAnsi="Times New Roman"/>
              </w:rPr>
            </w:pPr>
            <w:r w:rsidRPr="00C9680B">
              <w:rPr>
                <w:rFonts w:ascii="Times New Roman" w:hAnsi="Times New Roman"/>
              </w:rPr>
              <w:t>-8,53</w:t>
            </w:r>
          </w:p>
        </w:tc>
        <w:tc>
          <w:tcPr>
            <w:tcW w:w="629" w:type="dxa"/>
          </w:tcPr>
          <w:p w:rsidR="001C7BF9" w:rsidRPr="00C9680B" w:rsidRDefault="001C7BF9">
            <w:pPr>
              <w:pStyle w:val="TabellRader"/>
              <w:spacing w:before="120" w:line="180" w:lineRule="exact"/>
              <w:rPr>
                <w:rFonts w:ascii="Times New Roman" w:hAnsi="Times New Roman"/>
              </w:rPr>
            </w:pPr>
            <w:r w:rsidRPr="00C9680B">
              <w:rPr>
                <w:rFonts w:ascii="Times New Roman" w:hAnsi="Times New Roman"/>
              </w:rPr>
              <w:t>-9,86</w:t>
            </w:r>
          </w:p>
        </w:tc>
        <w:tc>
          <w:tcPr>
            <w:tcW w:w="629" w:type="dxa"/>
          </w:tcPr>
          <w:p w:rsidR="001C7BF9" w:rsidRPr="00C9680B" w:rsidRDefault="001C7BF9">
            <w:pPr>
              <w:pStyle w:val="TabellRader"/>
              <w:spacing w:before="120" w:line="180" w:lineRule="exact"/>
              <w:rPr>
                <w:rFonts w:ascii="Times New Roman" w:hAnsi="Times New Roman"/>
              </w:rPr>
            </w:pPr>
            <w:r w:rsidRPr="00C9680B">
              <w:rPr>
                <w:rFonts w:ascii="Times New Roman" w:hAnsi="Times New Roman"/>
              </w:rPr>
              <w:t>-9,86</w:t>
            </w:r>
          </w:p>
        </w:tc>
        <w:tc>
          <w:tcPr>
            <w:tcW w:w="629" w:type="dxa"/>
          </w:tcPr>
          <w:p w:rsidR="001C7BF9" w:rsidRPr="00C9680B" w:rsidRDefault="001C7BF9">
            <w:pPr>
              <w:pStyle w:val="TabellRader"/>
              <w:spacing w:before="120" w:line="180" w:lineRule="exact"/>
              <w:rPr>
                <w:rFonts w:ascii="Times New Roman" w:hAnsi="Times New Roman"/>
              </w:rPr>
            </w:pPr>
            <w:r w:rsidRPr="00C9680B">
              <w:rPr>
                <w:rFonts w:ascii="Times New Roman" w:hAnsi="Times New Roman"/>
              </w:rPr>
              <w:t>-9,86</w:t>
            </w:r>
          </w:p>
        </w:tc>
        <w:tc>
          <w:tcPr>
            <w:tcW w:w="629" w:type="dxa"/>
          </w:tcPr>
          <w:p w:rsidR="001C7BF9" w:rsidRPr="00C9680B" w:rsidRDefault="001C7BF9">
            <w:pPr>
              <w:pStyle w:val="TabellRader"/>
              <w:spacing w:before="120" w:line="180" w:lineRule="exact"/>
              <w:rPr>
                <w:rFonts w:ascii="Times New Roman" w:hAnsi="Times New Roman"/>
              </w:rPr>
            </w:pPr>
            <w:r w:rsidRPr="00C9680B">
              <w:rPr>
                <w:rFonts w:ascii="Times New Roman" w:hAnsi="Times New Roman"/>
              </w:rPr>
              <w:t>-9,86</w:t>
            </w:r>
          </w:p>
        </w:tc>
        <w:tc>
          <w:tcPr>
            <w:tcW w:w="629" w:type="dxa"/>
            <w:gridSpan w:val="2"/>
          </w:tcPr>
          <w:p w:rsidR="001C7BF9" w:rsidRPr="00C9680B" w:rsidRDefault="001C7BF9">
            <w:pPr>
              <w:pStyle w:val="TabellRader"/>
              <w:spacing w:before="120" w:line="180" w:lineRule="exact"/>
              <w:rPr>
                <w:rFonts w:ascii="Times New Roman" w:hAnsi="Times New Roman"/>
              </w:rPr>
            </w:pPr>
            <w:r w:rsidRPr="00C9680B">
              <w:rPr>
                <w:rFonts w:ascii="Times New Roman" w:hAnsi="Times New Roman"/>
              </w:rPr>
              <w:t>-9,86</w:t>
            </w:r>
          </w:p>
        </w:tc>
        <w:tc>
          <w:tcPr>
            <w:tcW w:w="629" w:type="dxa"/>
            <w:gridSpan w:val="2"/>
          </w:tcPr>
          <w:p w:rsidR="001C7BF9" w:rsidRPr="00C9680B" w:rsidRDefault="001C7BF9">
            <w:pPr>
              <w:pStyle w:val="TabellRader"/>
              <w:spacing w:before="120" w:line="180" w:lineRule="exact"/>
              <w:rPr>
                <w:rFonts w:ascii="Times New Roman" w:hAnsi="Times New Roman"/>
              </w:rPr>
            </w:pPr>
            <w:r w:rsidRPr="00C9680B">
              <w:rPr>
                <w:rFonts w:ascii="Times New Roman" w:hAnsi="Times New Roman"/>
              </w:rPr>
              <w:t>-9,86</w:t>
            </w:r>
          </w:p>
        </w:tc>
      </w:tr>
      <w:tr w:rsidR="00000000" w:rsidRPr="00C9680B">
        <w:tblPrEx>
          <w:tblCellMar>
            <w:top w:w="0" w:type="dxa"/>
            <w:bottom w:w="0" w:type="dxa"/>
          </w:tblCellMar>
        </w:tblPrEx>
        <w:trPr>
          <w:gridAfter w:val="1"/>
          <w:wAfter w:w="35" w:type="dxa"/>
        </w:trPr>
        <w:tc>
          <w:tcPr>
            <w:tcW w:w="2304" w:type="dxa"/>
            <w:gridSpan w:val="3"/>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varav skatteredu</w:t>
            </w:r>
            <w:r w:rsidRPr="00C9680B">
              <w:rPr>
                <w:rFonts w:ascii="Times New Roman" w:hAnsi="Times New Roman"/>
              </w:rPr>
              <w:t>k</w:t>
            </w:r>
            <w:r w:rsidRPr="00C9680B">
              <w:rPr>
                <w:rFonts w:ascii="Times New Roman" w:hAnsi="Times New Roman"/>
              </w:rPr>
              <w:t>tion</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-16,56</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-15,18</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-16,56</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-16,56</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-16,56</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-16,56</w:t>
            </w:r>
          </w:p>
        </w:tc>
        <w:tc>
          <w:tcPr>
            <w:tcW w:w="629" w:type="dxa"/>
            <w:gridSpan w:val="2"/>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-16,56</w:t>
            </w:r>
          </w:p>
        </w:tc>
        <w:tc>
          <w:tcPr>
            <w:tcW w:w="629" w:type="dxa"/>
            <w:gridSpan w:val="2"/>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-16,56</w:t>
            </w:r>
          </w:p>
        </w:tc>
      </w:tr>
      <w:tr w:rsidR="00000000" w:rsidRPr="00C9680B">
        <w:tblPrEx>
          <w:tblCellMar>
            <w:top w:w="0" w:type="dxa"/>
            <w:bottom w:w="0" w:type="dxa"/>
          </w:tblCellMar>
        </w:tblPrEx>
        <w:trPr>
          <w:gridAfter w:val="1"/>
          <w:wAfter w:w="35" w:type="dxa"/>
        </w:trPr>
        <w:tc>
          <w:tcPr>
            <w:tcW w:w="2304" w:type="dxa"/>
            <w:gridSpan w:val="3"/>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varav ökad kommuna</w:t>
            </w:r>
            <w:r w:rsidRPr="00C9680B">
              <w:rPr>
                <w:rFonts w:ascii="Times New Roman" w:hAnsi="Times New Roman"/>
              </w:rPr>
              <w:t>l</w:t>
            </w:r>
            <w:r w:rsidRPr="00C9680B">
              <w:rPr>
                <w:rFonts w:ascii="Times New Roman" w:hAnsi="Times New Roman"/>
              </w:rPr>
              <w:t>skatt</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5,00</w:t>
            </w:r>
          </w:p>
        </w:tc>
        <w:tc>
          <w:tcPr>
            <w:tcW w:w="629" w:type="dxa"/>
          </w:tcPr>
          <w:p w:rsidR="001C7BF9" w:rsidRPr="00C9680B" w:rsidRDefault="001C7BF9">
            <w:pPr>
              <w:pStyle w:val="TabellRader"/>
              <w:spacing w:before="40" w:line="180" w:lineRule="exact"/>
              <w:rPr>
                <w:rFonts w:ascii="Times New Roman" w:hAnsi="Times New Roman"/>
              </w:rPr>
            </w:pPr>
          </w:p>
        </w:tc>
        <w:tc>
          <w:tcPr>
            <w:tcW w:w="629" w:type="dxa"/>
          </w:tcPr>
          <w:p w:rsidR="001C7BF9" w:rsidRPr="00C9680B" w:rsidRDefault="001C7BF9">
            <w:pPr>
              <w:pStyle w:val="TabellRader"/>
              <w:spacing w:before="40" w:line="180" w:lineRule="exact"/>
              <w:rPr>
                <w:rFonts w:ascii="Times New Roman" w:hAnsi="Times New Roman"/>
              </w:rPr>
            </w:pPr>
          </w:p>
        </w:tc>
        <w:tc>
          <w:tcPr>
            <w:tcW w:w="629" w:type="dxa"/>
          </w:tcPr>
          <w:p w:rsidR="001C7BF9" w:rsidRPr="00C9680B" w:rsidRDefault="001C7BF9">
            <w:pPr>
              <w:pStyle w:val="TabellRader"/>
              <w:spacing w:before="40" w:line="180" w:lineRule="exact"/>
              <w:rPr>
                <w:rFonts w:ascii="Times New Roman" w:hAnsi="Times New Roman"/>
              </w:rPr>
            </w:pP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5,00</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5,00</w:t>
            </w:r>
          </w:p>
        </w:tc>
        <w:tc>
          <w:tcPr>
            <w:tcW w:w="629" w:type="dxa"/>
            <w:gridSpan w:val="2"/>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5,00</w:t>
            </w:r>
          </w:p>
        </w:tc>
        <w:tc>
          <w:tcPr>
            <w:tcW w:w="629" w:type="dxa"/>
            <w:gridSpan w:val="2"/>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5,00</w:t>
            </w:r>
          </w:p>
        </w:tc>
      </w:tr>
      <w:tr w:rsidR="00000000" w:rsidRPr="00C9680B">
        <w:tblPrEx>
          <w:tblCellMar>
            <w:top w:w="0" w:type="dxa"/>
            <w:bottom w:w="0" w:type="dxa"/>
          </w:tblCellMar>
        </w:tblPrEx>
        <w:trPr>
          <w:gridAfter w:val="1"/>
          <w:wAfter w:w="35" w:type="dxa"/>
        </w:trPr>
        <w:tc>
          <w:tcPr>
            <w:tcW w:w="2304" w:type="dxa"/>
            <w:gridSpan w:val="3"/>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varav minskade kommunb</w:t>
            </w:r>
            <w:r w:rsidRPr="00C9680B">
              <w:rPr>
                <w:rFonts w:ascii="Times New Roman" w:hAnsi="Times New Roman"/>
              </w:rPr>
              <w:t>i</w:t>
            </w:r>
            <w:r w:rsidRPr="00C9680B">
              <w:rPr>
                <w:rFonts w:ascii="Times New Roman" w:hAnsi="Times New Roman"/>
              </w:rPr>
              <w:t>drag</w:t>
            </w:r>
          </w:p>
        </w:tc>
        <w:tc>
          <w:tcPr>
            <w:tcW w:w="629" w:type="dxa"/>
          </w:tcPr>
          <w:p w:rsidR="001C7BF9" w:rsidRPr="00C9680B" w:rsidRDefault="001C7BF9">
            <w:pPr>
              <w:pStyle w:val="TabellRader"/>
              <w:spacing w:before="40" w:line="180" w:lineRule="exact"/>
              <w:rPr>
                <w:rFonts w:ascii="Times New Roman" w:hAnsi="Times New Roman"/>
              </w:rPr>
            </w:pP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5,00</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5,00</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5,00</w:t>
            </w:r>
          </w:p>
        </w:tc>
        <w:tc>
          <w:tcPr>
            <w:tcW w:w="629" w:type="dxa"/>
          </w:tcPr>
          <w:p w:rsidR="001C7BF9" w:rsidRPr="00C9680B" w:rsidRDefault="001C7BF9">
            <w:pPr>
              <w:pStyle w:val="TabellRader"/>
              <w:spacing w:before="40" w:line="180" w:lineRule="exact"/>
              <w:rPr>
                <w:rFonts w:ascii="Times New Roman" w:hAnsi="Times New Roman"/>
              </w:rPr>
            </w:pPr>
          </w:p>
        </w:tc>
        <w:tc>
          <w:tcPr>
            <w:tcW w:w="629" w:type="dxa"/>
          </w:tcPr>
          <w:p w:rsidR="001C7BF9" w:rsidRPr="00C9680B" w:rsidRDefault="001C7BF9">
            <w:pPr>
              <w:pStyle w:val="TabellRader"/>
              <w:spacing w:before="40" w:line="180" w:lineRule="exact"/>
              <w:rPr>
                <w:rFonts w:ascii="Times New Roman" w:hAnsi="Times New Roman"/>
              </w:rPr>
            </w:pPr>
          </w:p>
        </w:tc>
        <w:tc>
          <w:tcPr>
            <w:tcW w:w="629" w:type="dxa"/>
            <w:gridSpan w:val="2"/>
          </w:tcPr>
          <w:p w:rsidR="001C7BF9" w:rsidRPr="00C9680B" w:rsidRDefault="001C7BF9">
            <w:pPr>
              <w:pStyle w:val="TabellRader"/>
              <w:spacing w:before="40" w:line="180" w:lineRule="exact"/>
              <w:rPr>
                <w:rFonts w:ascii="Times New Roman" w:hAnsi="Times New Roman"/>
              </w:rPr>
            </w:pPr>
          </w:p>
        </w:tc>
        <w:tc>
          <w:tcPr>
            <w:tcW w:w="629" w:type="dxa"/>
            <w:gridSpan w:val="2"/>
          </w:tcPr>
          <w:p w:rsidR="001C7BF9" w:rsidRPr="00C9680B" w:rsidRDefault="001C7BF9">
            <w:pPr>
              <w:pStyle w:val="TabellRader"/>
              <w:spacing w:before="40" w:line="180" w:lineRule="exact"/>
              <w:rPr>
                <w:rFonts w:ascii="Times New Roman" w:hAnsi="Times New Roman"/>
              </w:rPr>
            </w:pPr>
          </w:p>
        </w:tc>
      </w:tr>
      <w:tr w:rsidR="00000000" w:rsidRPr="00C9680B">
        <w:tblPrEx>
          <w:tblCellMar>
            <w:top w:w="0" w:type="dxa"/>
            <w:bottom w:w="0" w:type="dxa"/>
          </w:tblCellMar>
        </w:tblPrEx>
        <w:trPr>
          <w:gridAfter w:val="1"/>
          <w:wAfter w:w="35" w:type="dxa"/>
        </w:trPr>
        <w:tc>
          <w:tcPr>
            <w:tcW w:w="2304" w:type="dxa"/>
            <w:gridSpan w:val="3"/>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varav ökad statlig skatt</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1,70</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1,65</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1,70</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1,70</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1,70</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1,70</w:t>
            </w:r>
          </w:p>
        </w:tc>
        <w:tc>
          <w:tcPr>
            <w:tcW w:w="629" w:type="dxa"/>
            <w:gridSpan w:val="2"/>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1,70</w:t>
            </w:r>
          </w:p>
        </w:tc>
        <w:tc>
          <w:tcPr>
            <w:tcW w:w="629" w:type="dxa"/>
            <w:gridSpan w:val="2"/>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1,70</w:t>
            </w:r>
          </w:p>
        </w:tc>
      </w:tr>
      <w:tr w:rsidR="00000000" w:rsidRPr="00C9680B">
        <w:tblPrEx>
          <w:tblCellMar>
            <w:top w:w="0" w:type="dxa"/>
            <w:bottom w:w="0" w:type="dxa"/>
          </w:tblCellMar>
        </w:tblPrEx>
        <w:trPr>
          <w:gridAfter w:val="1"/>
          <w:wAfter w:w="35" w:type="dxa"/>
        </w:trPr>
        <w:tc>
          <w:tcPr>
            <w:tcW w:w="2304" w:type="dxa"/>
            <w:gridSpan w:val="3"/>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Uppjustering av skiktgrä</w:t>
            </w:r>
            <w:r w:rsidRPr="00C9680B">
              <w:rPr>
                <w:rFonts w:ascii="Times New Roman" w:hAnsi="Times New Roman"/>
              </w:rPr>
              <w:t>n</w:t>
            </w:r>
            <w:r w:rsidRPr="00C9680B">
              <w:rPr>
                <w:rFonts w:ascii="Times New Roman" w:hAnsi="Times New Roman"/>
              </w:rPr>
              <w:t>ser</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-3,50</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-3,21</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-3,50</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-3,50</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-3,50</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-3,50</w:t>
            </w:r>
          </w:p>
        </w:tc>
        <w:tc>
          <w:tcPr>
            <w:tcW w:w="629" w:type="dxa"/>
            <w:gridSpan w:val="2"/>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-3,50</w:t>
            </w:r>
          </w:p>
        </w:tc>
        <w:tc>
          <w:tcPr>
            <w:tcW w:w="629" w:type="dxa"/>
            <w:gridSpan w:val="2"/>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-3,50</w:t>
            </w:r>
          </w:p>
        </w:tc>
      </w:tr>
      <w:tr w:rsidR="00000000" w:rsidRPr="00C9680B">
        <w:tblPrEx>
          <w:tblCellMar>
            <w:top w:w="0" w:type="dxa"/>
            <w:bottom w:w="0" w:type="dxa"/>
          </w:tblCellMar>
        </w:tblPrEx>
        <w:trPr>
          <w:gridAfter w:val="1"/>
          <w:wAfter w:w="35" w:type="dxa"/>
        </w:trPr>
        <w:tc>
          <w:tcPr>
            <w:tcW w:w="2304" w:type="dxa"/>
            <w:gridSpan w:val="3"/>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Utökat resea</w:t>
            </w:r>
            <w:r w:rsidRPr="00C9680B">
              <w:rPr>
                <w:rFonts w:ascii="Times New Roman" w:hAnsi="Times New Roman"/>
              </w:rPr>
              <w:t>v</w:t>
            </w:r>
            <w:r w:rsidRPr="00C9680B">
              <w:rPr>
                <w:rFonts w:ascii="Times New Roman" w:hAnsi="Times New Roman"/>
              </w:rPr>
              <w:t>drag</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-0,25</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-0,00</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-0,05</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-0,05</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-0,25</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-0,25</w:t>
            </w:r>
          </w:p>
        </w:tc>
        <w:tc>
          <w:tcPr>
            <w:tcW w:w="629" w:type="dxa"/>
            <w:gridSpan w:val="2"/>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-0,25</w:t>
            </w:r>
          </w:p>
        </w:tc>
        <w:tc>
          <w:tcPr>
            <w:tcW w:w="629" w:type="dxa"/>
            <w:gridSpan w:val="2"/>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-0,25</w:t>
            </w:r>
          </w:p>
        </w:tc>
      </w:tr>
      <w:tr w:rsidR="00000000" w:rsidRPr="00C9680B">
        <w:tblPrEx>
          <w:tblCellMar>
            <w:top w:w="0" w:type="dxa"/>
            <w:bottom w:w="0" w:type="dxa"/>
          </w:tblCellMar>
        </w:tblPrEx>
        <w:tc>
          <w:tcPr>
            <w:tcW w:w="7371" w:type="dxa"/>
            <w:gridSpan w:val="14"/>
          </w:tcPr>
          <w:p w:rsidR="001C7BF9" w:rsidRPr="00C9680B" w:rsidRDefault="001C7BF9">
            <w:pPr>
              <w:pStyle w:val="TabellRader"/>
              <w:spacing w:before="40" w:line="180" w:lineRule="exact"/>
              <w:jc w:val="left"/>
              <w:rPr>
                <w:rFonts w:ascii="Times New Roman" w:hAnsi="Times New Roman"/>
                <w:i/>
              </w:rPr>
            </w:pPr>
            <w:r w:rsidRPr="00C9680B">
              <w:rPr>
                <w:rFonts w:ascii="Times New Roman" w:hAnsi="Times New Roman"/>
                <w:i/>
              </w:rPr>
              <w:t>Fastighetsskatt</w:t>
            </w:r>
          </w:p>
        </w:tc>
      </w:tr>
      <w:tr w:rsidR="00000000" w:rsidRPr="00C9680B">
        <w:tblPrEx>
          <w:tblCellMar>
            <w:top w:w="0" w:type="dxa"/>
            <w:bottom w:w="0" w:type="dxa"/>
          </w:tblCellMar>
        </w:tblPrEx>
        <w:trPr>
          <w:gridAfter w:val="1"/>
          <w:wAfter w:w="35" w:type="dxa"/>
        </w:trPr>
        <w:tc>
          <w:tcPr>
            <w:tcW w:w="2304" w:type="dxa"/>
            <w:gridSpan w:val="3"/>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Sänkt fastighetsskatt småhus till 1,2 %</w:t>
            </w:r>
          </w:p>
        </w:tc>
        <w:tc>
          <w:tcPr>
            <w:tcW w:w="629" w:type="dxa"/>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-3,56</w:t>
            </w:r>
          </w:p>
        </w:tc>
        <w:tc>
          <w:tcPr>
            <w:tcW w:w="629" w:type="dxa"/>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-1,07</w:t>
            </w:r>
          </w:p>
        </w:tc>
        <w:tc>
          <w:tcPr>
            <w:tcW w:w="629" w:type="dxa"/>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-3,05</w:t>
            </w:r>
          </w:p>
        </w:tc>
        <w:tc>
          <w:tcPr>
            <w:tcW w:w="629" w:type="dxa"/>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-3,03</w:t>
            </w:r>
          </w:p>
        </w:tc>
        <w:tc>
          <w:tcPr>
            <w:tcW w:w="629" w:type="dxa"/>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-3,56</w:t>
            </w:r>
          </w:p>
        </w:tc>
        <w:tc>
          <w:tcPr>
            <w:tcW w:w="629" w:type="dxa"/>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-2,87</w:t>
            </w:r>
          </w:p>
        </w:tc>
        <w:tc>
          <w:tcPr>
            <w:tcW w:w="629" w:type="dxa"/>
            <w:gridSpan w:val="2"/>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-2,87</w:t>
            </w:r>
          </w:p>
        </w:tc>
        <w:tc>
          <w:tcPr>
            <w:tcW w:w="629" w:type="dxa"/>
            <w:gridSpan w:val="2"/>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-2,87</w:t>
            </w:r>
          </w:p>
        </w:tc>
      </w:tr>
      <w:tr w:rsidR="00000000" w:rsidRPr="00C9680B">
        <w:tblPrEx>
          <w:tblCellMar>
            <w:top w:w="0" w:type="dxa"/>
            <w:bottom w:w="0" w:type="dxa"/>
          </w:tblCellMar>
        </w:tblPrEx>
        <w:trPr>
          <w:gridAfter w:val="1"/>
          <w:wAfter w:w="35" w:type="dxa"/>
        </w:trPr>
        <w:tc>
          <w:tcPr>
            <w:tcW w:w="2304" w:type="dxa"/>
            <w:gridSpan w:val="3"/>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Sänkt fastighetsskatt hyreshus till 0,7 %</w:t>
            </w:r>
          </w:p>
        </w:tc>
        <w:tc>
          <w:tcPr>
            <w:tcW w:w="629" w:type="dxa"/>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-4,58</w:t>
            </w:r>
          </w:p>
        </w:tc>
        <w:tc>
          <w:tcPr>
            <w:tcW w:w="629" w:type="dxa"/>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0</w:t>
            </w:r>
          </w:p>
        </w:tc>
        <w:tc>
          <w:tcPr>
            <w:tcW w:w="629" w:type="dxa"/>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-3,91</w:t>
            </w:r>
          </w:p>
        </w:tc>
        <w:tc>
          <w:tcPr>
            <w:tcW w:w="629" w:type="dxa"/>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-8,47</w:t>
            </w:r>
          </w:p>
        </w:tc>
        <w:tc>
          <w:tcPr>
            <w:tcW w:w="629" w:type="dxa"/>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-4,58</w:t>
            </w:r>
          </w:p>
        </w:tc>
        <w:tc>
          <w:tcPr>
            <w:tcW w:w="629" w:type="dxa"/>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-3,70</w:t>
            </w:r>
          </w:p>
        </w:tc>
        <w:tc>
          <w:tcPr>
            <w:tcW w:w="629" w:type="dxa"/>
            <w:gridSpan w:val="2"/>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-3,70</w:t>
            </w:r>
          </w:p>
        </w:tc>
        <w:tc>
          <w:tcPr>
            <w:tcW w:w="629" w:type="dxa"/>
            <w:gridSpan w:val="2"/>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-3,70</w:t>
            </w:r>
          </w:p>
        </w:tc>
      </w:tr>
      <w:tr w:rsidR="00000000" w:rsidRPr="00C9680B">
        <w:tblPrEx>
          <w:tblCellMar>
            <w:top w:w="0" w:type="dxa"/>
            <w:bottom w:w="0" w:type="dxa"/>
          </w:tblCellMar>
        </w:tblPrEx>
        <w:trPr>
          <w:gridAfter w:val="1"/>
          <w:wAfter w:w="35" w:type="dxa"/>
        </w:trPr>
        <w:tc>
          <w:tcPr>
            <w:tcW w:w="2304" w:type="dxa"/>
            <w:gridSpan w:val="3"/>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Höjd kapitalvinstskatt för privatbostäder till 20 %</w:t>
            </w:r>
          </w:p>
        </w:tc>
        <w:tc>
          <w:tcPr>
            <w:tcW w:w="629" w:type="dxa"/>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1,50</w:t>
            </w:r>
          </w:p>
        </w:tc>
        <w:tc>
          <w:tcPr>
            <w:tcW w:w="629" w:type="dxa"/>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0</w:t>
            </w:r>
          </w:p>
        </w:tc>
        <w:tc>
          <w:tcPr>
            <w:tcW w:w="629" w:type="dxa"/>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1,30</w:t>
            </w:r>
          </w:p>
        </w:tc>
        <w:tc>
          <w:tcPr>
            <w:tcW w:w="629" w:type="dxa"/>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1,30</w:t>
            </w:r>
          </w:p>
        </w:tc>
        <w:tc>
          <w:tcPr>
            <w:tcW w:w="629" w:type="dxa"/>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1,50</w:t>
            </w:r>
          </w:p>
        </w:tc>
        <w:tc>
          <w:tcPr>
            <w:tcW w:w="629" w:type="dxa"/>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1,50</w:t>
            </w:r>
          </w:p>
        </w:tc>
        <w:tc>
          <w:tcPr>
            <w:tcW w:w="629" w:type="dxa"/>
            <w:gridSpan w:val="2"/>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1,50</w:t>
            </w:r>
          </w:p>
        </w:tc>
        <w:tc>
          <w:tcPr>
            <w:tcW w:w="629" w:type="dxa"/>
            <w:gridSpan w:val="2"/>
          </w:tcPr>
          <w:p w:rsidR="001C7BF9" w:rsidRPr="00C9680B" w:rsidRDefault="001C7BF9">
            <w:pPr>
              <w:pStyle w:val="TabellRader"/>
              <w:spacing w:before="200" w:line="180" w:lineRule="exact"/>
              <w:rPr>
                <w:rFonts w:ascii="Times New Roman" w:hAnsi="Times New Roman"/>
              </w:rPr>
            </w:pPr>
            <w:r w:rsidRPr="00C9680B">
              <w:rPr>
                <w:rFonts w:ascii="Times New Roman" w:hAnsi="Times New Roman"/>
              </w:rPr>
              <w:t>1,00</w:t>
            </w:r>
          </w:p>
        </w:tc>
      </w:tr>
      <w:tr w:rsidR="00000000" w:rsidRPr="00C9680B">
        <w:tblPrEx>
          <w:tblCellMar>
            <w:top w:w="0" w:type="dxa"/>
            <w:bottom w:w="0" w:type="dxa"/>
          </w:tblCellMar>
        </w:tblPrEx>
        <w:trPr>
          <w:gridAfter w:val="1"/>
          <w:wAfter w:w="35" w:type="dxa"/>
        </w:trPr>
        <w:tc>
          <w:tcPr>
            <w:tcW w:w="2304" w:type="dxa"/>
            <w:gridSpan w:val="3"/>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 xml:space="preserve">Begränsningsregel </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-0,5</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-0,15</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-0,43</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-0,43</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-0,50</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-0,40</w:t>
            </w:r>
          </w:p>
        </w:tc>
        <w:tc>
          <w:tcPr>
            <w:tcW w:w="629" w:type="dxa"/>
            <w:gridSpan w:val="2"/>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-0,40</w:t>
            </w:r>
          </w:p>
        </w:tc>
        <w:tc>
          <w:tcPr>
            <w:tcW w:w="629" w:type="dxa"/>
            <w:gridSpan w:val="2"/>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-0,40</w:t>
            </w:r>
          </w:p>
        </w:tc>
      </w:tr>
      <w:tr w:rsidR="00000000" w:rsidRPr="00C9680B">
        <w:tblPrEx>
          <w:tblCellMar>
            <w:top w:w="0" w:type="dxa"/>
            <w:bottom w:w="0" w:type="dxa"/>
          </w:tblCellMar>
        </w:tblPrEx>
        <w:tc>
          <w:tcPr>
            <w:tcW w:w="7371" w:type="dxa"/>
            <w:gridSpan w:val="14"/>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i/>
              </w:rPr>
              <w:t>Förmögenhetsskatt</w:t>
            </w:r>
          </w:p>
        </w:tc>
      </w:tr>
      <w:tr w:rsidR="00000000" w:rsidRPr="00C9680B">
        <w:tblPrEx>
          <w:tblCellMar>
            <w:top w:w="0" w:type="dxa"/>
            <w:bottom w:w="0" w:type="dxa"/>
          </w:tblCellMar>
        </w:tblPrEx>
        <w:trPr>
          <w:gridAfter w:val="1"/>
          <w:wAfter w:w="35" w:type="dxa"/>
        </w:trPr>
        <w:tc>
          <w:tcPr>
            <w:tcW w:w="2304" w:type="dxa"/>
            <w:gridSpan w:val="3"/>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 xml:space="preserve">Höjt fribelopp till 1,0/1,5 mkr </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-2,69</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-2,15</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-2,76</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-2,83</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-2,69</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-2,77</w:t>
            </w:r>
          </w:p>
        </w:tc>
        <w:tc>
          <w:tcPr>
            <w:tcW w:w="629" w:type="dxa"/>
            <w:gridSpan w:val="2"/>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-2,86</w:t>
            </w:r>
          </w:p>
        </w:tc>
        <w:tc>
          <w:tcPr>
            <w:tcW w:w="629" w:type="dxa"/>
            <w:gridSpan w:val="2"/>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-2,86</w:t>
            </w:r>
          </w:p>
        </w:tc>
      </w:tr>
      <w:tr w:rsidR="00000000" w:rsidRPr="00C9680B">
        <w:tblPrEx>
          <w:tblCellMar>
            <w:top w:w="0" w:type="dxa"/>
            <w:bottom w:w="0" w:type="dxa"/>
          </w:tblCellMar>
        </w:tblPrEx>
        <w:trPr>
          <w:gridAfter w:val="1"/>
          <w:wAfter w:w="35" w:type="dxa"/>
        </w:trPr>
        <w:tc>
          <w:tcPr>
            <w:tcW w:w="2304" w:type="dxa"/>
            <w:gridSpan w:val="3"/>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i/>
              </w:rPr>
              <w:t>Fordonsskatter</w:t>
            </w:r>
          </w:p>
        </w:tc>
        <w:tc>
          <w:tcPr>
            <w:tcW w:w="629" w:type="dxa"/>
          </w:tcPr>
          <w:p w:rsidR="001C7BF9" w:rsidRPr="00C9680B" w:rsidRDefault="001C7BF9">
            <w:pPr>
              <w:pStyle w:val="TabellRader"/>
              <w:spacing w:before="40" w:line="180" w:lineRule="exact"/>
              <w:rPr>
                <w:rFonts w:ascii="Times New Roman" w:hAnsi="Times New Roman"/>
              </w:rPr>
            </w:pPr>
          </w:p>
        </w:tc>
        <w:tc>
          <w:tcPr>
            <w:tcW w:w="629" w:type="dxa"/>
          </w:tcPr>
          <w:p w:rsidR="001C7BF9" w:rsidRPr="00C9680B" w:rsidRDefault="001C7BF9">
            <w:pPr>
              <w:pStyle w:val="TabellRader"/>
              <w:spacing w:before="40" w:line="180" w:lineRule="exact"/>
              <w:rPr>
                <w:rFonts w:ascii="Times New Roman" w:hAnsi="Times New Roman"/>
              </w:rPr>
            </w:pPr>
          </w:p>
        </w:tc>
        <w:tc>
          <w:tcPr>
            <w:tcW w:w="629" w:type="dxa"/>
          </w:tcPr>
          <w:p w:rsidR="001C7BF9" w:rsidRPr="00C9680B" w:rsidRDefault="001C7BF9">
            <w:pPr>
              <w:pStyle w:val="TabellRader"/>
              <w:spacing w:before="40" w:line="180" w:lineRule="exact"/>
              <w:rPr>
                <w:rFonts w:ascii="Times New Roman" w:hAnsi="Times New Roman"/>
              </w:rPr>
            </w:pPr>
          </w:p>
        </w:tc>
        <w:tc>
          <w:tcPr>
            <w:tcW w:w="629" w:type="dxa"/>
          </w:tcPr>
          <w:p w:rsidR="001C7BF9" w:rsidRPr="00C9680B" w:rsidRDefault="001C7BF9">
            <w:pPr>
              <w:pStyle w:val="TabellRader"/>
              <w:spacing w:before="40" w:line="180" w:lineRule="exact"/>
              <w:rPr>
                <w:rFonts w:ascii="Times New Roman" w:hAnsi="Times New Roman"/>
              </w:rPr>
            </w:pPr>
          </w:p>
        </w:tc>
        <w:tc>
          <w:tcPr>
            <w:tcW w:w="629" w:type="dxa"/>
          </w:tcPr>
          <w:p w:rsidR="001C7BF9" w:rsidRPr="00C9680B" w:rsidRDefault="001C7BF9">
            <w:pPr>
              <w:pStyle w:val="TabellRader"/>
              <w:spacing w:before="40" w:line="180" w:lineRule="exact"/>
              <w:rPr>
                <w:rFonts w:ascii="Times New Roman" w:hAnsi="Times New Roman"/>
              </w:rPr>
            </w:pPr>
          </w:p>
        </w:tc>
        <w:tc>
          <w:tcPr>
            <w:tcW w:w="629" w:type="dxa"/>
          </w:tcPr>
          <w:p w:rsidR="001C7BF9" w:rsidRPr="00C9680B" w:rsidRDefault="001C7BF9">
            <w:pPr>
              <w:pStyle w:val="TabellRader"/>
              <w:spacing w:before="40" w:line="180" w:lineRule="exact"/>
              <w:rPr>
                <w:rFonts w:ascii="Times New Roman" w:hAnsi="Times New Roman"/>
              </w:rPr>
            </w:pPr>
          </w:p>
        </w:tc>
        <w:tc>
          <w:tcPr>
            <w:tcW w:w="629" w:type="dxa"/>
            <w:gridSpan w:val="2"/>
          </w:tcPr>
          <w:p w:rsidR="001C7BF9" w:rsidRPr="00C9680B" w:rsidRDefault="001C7BF9">
            <w:pPr>
              <w:pStyle w:val="TabellRader"/>
              <w:spacing w:before="40" w:line="180" w:lineRule="exact"/>
              <w:rPr>
                <w:rFonts w:ascii="Times New Roman" w:hAnsi="Times New Roman"/>
              </w:rPr>
            </w:pPr>
          </w:p>
        </w:tc>
        <w:tc>
          <w:tcPr>
            <w:tcW w:w="629" w:type="dxa"/>
            <w:gridSpan w:val="2"/>
          </w:tcPr>
          <w:p w:rsidR="001C7BF9" w:rsidRPr="00C9680B" w:rsidRDefault="001C7BF9">
            <w:pPr>
              <w:pStyle w:val="TabellRader"/>
              <w:spacing w:before="40" w:line="180" w:lineRule="exact"/>
              <w:rPr>
                <w:rFonts w:ascii="Times New Roman" w:hAnsi="Times New Roman"/>
              </w:rPr>
            </w:pPr>
          </w:p>
        </w:tc>
      </w:tr>
      <w:tr w:rsidR="00000000" w:rsidRPr="00C9680B">
        <w:tblPrEx>
          <w:tblCellMar>
            <w:top w:w="0" w:type="dxa"/>
            <w:bottom w:w="0" w:type="dxa"/>
          </w:tblCellMar>
        </w:tblPrEx>
        <w:trPr>
          <w:gridAfter w:val="1"/>
          <w:wAfter w:w="35" w:type="dxa"/>
        </w:trPr>
        <w:tc>
          <w:tcPr>
            <w:tcW w:w="2304" w:type="dxa"/>
            <w:gridSpan w:val="3"/>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Avskaffad försäljningsskatt för lätta lastbilar m.m.</w:t>
            </w:r>
          </w:p>
        </w:tc>
        <w:tc>
          <w:tcPr>
            <w:tcW w:w="629" w:type="dxa"/>
          </w:tcPr>
          <w:p w:rsidR="001C7BF9" w:rsidRPr="00C9680B" w:rsidRDefault="001C7BF9">
            <w:pPr>
              <w:pStyle w:val="TabellRader"/>
              <w:spacing w:before="200" w:after="0" w:line="180" w:lineRule="exact"/>
              <w:rPr>
                <w:rFonts w:ascii="Times New Roman" w:hAnsi="Times New Roman"/>
              </w:rPr>
            </w:pPr>
            <w:r w:rsidRPr="00C9680B">
              <w:rPr>
                <w:rFonts w:ascii="Times New Roman" w:hAnsi="Times New Roman"/>
              </w:rPr>
              <w:t>-0,26</w:t>
            </w:r>
          </w:p>
        </w:tc>
        <w:tc>
          <w:tcPr>
            <w:tcW w:w="629" w:type="dxa"/>
          </w:tcPr>
          <w:p w:rsidR="001C7BF9" w:rsidRPr="00C9680B" w:rsidRDefault="001C7BF9">
            <w:pPr>
              <w:pStyle w:val="TabellRader"/>
              <w:spacing w:before="200" w:after="0" w:line="180" w:lineRule="exact"/>
              <w:rPr>
                <w:rFonts w:ascii="Times New Roman" w:hAnsi="Times New Roman"/>
              </w:rPr>
            </w:pPr>
            <w:r w:rsidRPr="00C9680B">
              <w:rPr>
                <w:rFonts w:ascii="Times New Roman" w:hAnsi="Times New Roman"/>
              </w:rPr>
              <w:t>-0,24</w:t>
            </w:r>
          </w:p>
        </w:tc>
        <w:tc>
          <w:tcPr>
            <w:tcW w:w="629" w:type="dxa"/>
          </w:tcPr>
          <w:p w:rsidR="001C7BF9" w:rsidRPr="00C9680B" w:rsidRDefault="001C7BF9">
            <w:pPr>
              <w:pStyle w:val="TabellRader"/>
              <w:spacing w:before="200" w:after="0" w:line="180" w:lineRule="exact"/>
              <w:rPr>
                <w:rFonts w:ascii="Times New Roman" w:hAnsi="Times New Roman"/>
              </w:rPr>
            </w:pPr>
            <w:r w:rsidRPr="00C9680B">
              <w:rPr>
                <w:rFonts w:ascii="Times New Roman" w:hAnsi="Times New Roman"/>
              </w:rPr>
              <w:t>-0,26</w:t>
            </w:r>
          </w:p>
        </w:tc>
        <w:tc>
          <w:tcPr>
            <w:tcW w:w="629" w:type="dxa"/>
          </w:tcPr>
          <w:p w:rsidR="001C7BF9" w:rsidRPr="00C9680B" w:rsidRDefault="001C7BF9">
            <w:pPr>
              <w:pStyle w:val="TabellRader"/>
              <w:spacing w:before="200" w:after="0" w:line="180" w:lineRule="exact"/>
              <w:rPr>
                <w:rFonts w:ascii="Times New Roman" w:hAnsi="Times New Roman"/>
              </w:rPr>
            </w:pPr>
            <w:r w:rsidRPr="00C9680B">
              <w:rPr>
                <w:rFonts w:ascii="Times New Roman" w:hAnsi="Times New Roman"/>
              </w:rPr>
              <w:t>-0,26</w:t>
            </w:r>
          </w:p>
        </w:tc>
        <w:tc>
          <w:tcPr>
            <w:tcW w:w="629" w:type="dxa"/>
          </w:tcPr>
          <w:p w:rsidR="001C7BF9" w:rsidRPr="00C9680B" w:rsidRDefault="001C7BF9">
            <w:pPr>
              <w:pStyle w:val="TabellRader"/>
              <w:spacing w:before="200" w:after="0" w:line="180" w:lineRule="exact"/>
              <w:rPr>
                <w:rFonts w:ascii="Times New Roman" w:hAnsi="Times New Roman"/>
              </w:rPr>
            </w:pPr>
            <w:r w:rsidRPr="00C9680B">
              <w:rPr>
                <w:rFonts w:ascii="Times New Roman" w:hAnsi="Times New Roman"/>
              </w:rPr>
              <w:t>-0,26</w:t>
            </w:r>
          </w:p>
        </w:tc>
        <w:tc>
          <w:tcPr>
            <w:tcW w:w="629" w:type="dxa"/>
          </w:tcPr>
          <w:p w:rsidR="001C7BF9" w:rsidRPr="00C9680B" w:rsidRDefault="001C7BF9">
            <w:pPr>
              <w:pStyle w:val="TabellRader"/>
              <w:spacing w:before="200" w:after="0" w:line="180" w:lineRule="exact"/>
              <w:rPr>
                <w:rFonts w:ascii="Times New Roman" w:hAnsi="Times New Roman"/>
              </w:rPr>
            </w:pPr>
            <w:r w:rsidRPr="00C9680B">
              <w:rPr>
                <w:rFonts w:ascii="Times New Roman" w:hAnsi="Times New Roman"/>
              </w:rPr>
              <w:t>-0,26</w:t>
            </w:r>
          </w:p>
        </w:tc>
        <w:tc>
          <w:tcPr>
            <w:tcW w:w="629" w:type="dxa"/>
            <w:gridSpan w:val="2"/>
          </w:tcPr>
          <w:p w:rsidR="001C7BF9" w:rsidRPr="00C9680B" w:rsidRDefault="001C7BF9">
            <w:pPr>
              <w:pStyle w:val="TabellRader"/>
              <w:spacing w:before="200" w:after="0" w:line="180" w:lineRule="exact"/>
              <w:rPr>
                <w:rFonts w:ascii="Times New Roman" w:hAnsi="Times New Roman"/>
              </w:rPr>
            </w:pPr>
            <w:r w:rsidRPr="00C9680B">
              <w:rPr>
                <w:rFonts w:ascii="Times New Roman" w:hAnsi="Times New Roman"/>
              </w:rPr>
              <w:t>-0,26</w:t>
            </w:r>
          </w:p>
        </w:tc>
        <w:tc>
          <w:tcPr>
            <w:tcW w:w="629" w:type="dxa"/>
            <w:gridSpan w:val="2"/>
          </w:tcPr>
          <w:p w:rsidR="001C7BF9" w:rsidRPr="00C9680B" w:rsidRDefault="001C7BF9">
            <w:pPr>
              <w:pStyle w:val="TabellRader"/>
              <w:spacing w:before="200" w:after="0" w:line="180" w:lineRule="exact"/>
              <w:rPr>
                <w:rFonts w:ascii="Times New Roman" w:hAnsi="Times New Roman"/>
              </w:rPr>
            </w:pPr>
            <w:r w:rsidRPr="00C9680B">
              <w:rPr>
                <w:rFonts w:ascii="Times New Roman" w:hAnsi="Times New Roman"/>
              </w:rPr>
              <w:t>-0,26</w:t>
            </w:r>
          </w:p>
        </w:tc>
      </w:tr>
      <w:tr w:rsidR="00000000" w:rsidRPr="00C9680B">
        <w:tblPrEx>
          <w:tblCellMar>
            <w:top w:w="0" w:type="dxa"/>
            <w:bottom w:w="0" w:type="dxa"/>
          </w:tblCellMar>
        </w:tblPrEx>
        <w:trPr>
          <w:gridAfter w:val="1"/>
          <w:wAfter w:w="35" w:type="dxa"/>
        </w:trPr>
        <w:tc>
          <w:tcPr>
            <w:tcW w:w="2304" w:type="dxa"/>
            <w:gridSpan w:val="3"/>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Höjd fordonsskatt för äldre dieselpe</w:t>
            </w:r>
            <w:r w:rsidRPr="00C9680B">
              <w:rPr>
                <w:rFonts w:ascii="Times New Roman" w:hAnsi="Times New Roman"/>
              </w:rPr>
              <w:t>r</w:t>
            </w:r>
            <w:r w:rsidRPr="00C9680B">
              <w:rPr>
                <w:rFonts w:ascii="Times New Roman" w:hAnsi="Times New Roman"/>
              </w:rPr>
              <w:t>sonbilar</w:t>
            </w:r>
          </w:p>
        </w:tc>
        <w:tc>
          <w:tcPr>
            <w:tcW w:w="629" w:type="dxa"/>
          </w:tcPr>
          <w:p w:rsidR="001C7BF9" w:rsidRPr="00C9680B" w:rsidRDefault="001C7BF9">
            <w:pPr>
              <w:pStyle w:val="TabellRader"/>
              <w:spacing w:before="200" w:after="0" w:line="180" w:lineRule="exact"/>
              <w:rPr>
                <w:rFonts w:ascii="Times New Roman" w:hAnsi="Times New Roman"/>
              </w:rPr>
            </w:pPr>
            <w:r w:rsidRPr="00C9680B">
              <w:rPr>
                <w:rFonts w:ascii="Times New Roman" w:hAnsi="Times New Roman"/>
              </w:rPr>
              <w:t>0,21</w:t>
            </w:r>
          </w:p>
        </w:tc>
        <w:tc>
          <w:tcPr>
            <w:tcW w:w="629" w:type="dxa"/>
          </w:tcPr>
          <w:p w:rsidR="001C7BF9" w:rsidRPr="00C9680B" w:rsidRDefault="001C7BF9">
            <w:pPr>
              <w:pStyle w:val="TabellRader"/>
              <w:spacing w:before="200" w:after="0" w:line="180" w:lineRule="exact"/>
              <w:rPr>
                <w:rFonts w:ascii="Times New Roman" w:hAnsi="Times New Roman"/>
              </w:rPr>
            </w:pPr>
            <w:r w:rsidRPr="00C9680B">
              <w:rPr>
                <w:rFonts w:ascii="Times New Roman" w:hAnsi="Times New Roman"/>
              </w:rPr>
              <w:t>0,20</w:t>
            </w:r>
          </w:p>
        </w:tc>
        <w:tc>
          <w:tcPr>
            <w:tcW w:w="629" w:type="dxa"/>
          </w:tcPr>
          <w:p w:rsidR="001C7BF9" w:rsidRPr="00C9680B" w:rsidRDefault="001C7BF9">
            <w:pPr>
              <w:pStyle w:val="TabellRader"/>
              <w:spacing w:before="200" w:after="0" w:line="180" w:lineRule="exact"/>
              <w:rPr>
                <w:rFonts w:ascii="Times New Roman" w:hAnsi="Times New Roman"/>
              </w:rPr>
            </w:pPr>
            <w:r w:rsidRPr="00C9680B">
              <w:rPr>
                <w:rFonts w:ascii="Times New Roman" w:hAnsi="Times New Roman"/>
              </w:rPr>
              <w:t>0,21</w:t>
            </w:r>
          </w:p>
        </w:tc>
        <w:tc>
          <w:tcPr>
            <w:tcW w:w="629" w:type="dxa"/>
          </w:tcPr>
          <w:p w:rsidR="001C7BF9" w:rsidRPr="00C9680B" w:rsidRDefault="001C7BF9">
            <w:pPr>
              <w:pStyle w:val="TabellRader"/>
              <w:spacing w:before="200" w:after="0" w:line="180" w:lineRule="exact"/>
              <w:rPr>
                <w:rFonts w:ascii="Times New Roman" w:hAnsi="Times New Roman"/>
              </w:rPr>
            </w:pPr>
            <w:r w:rsidRPr="00C9680B">
              <w:rPr>
                <w:rFonts w:ascii="Times New Roman" w:hAnsi="Times New Roman"/>
              </w:rPr>
              <w:t>0,21</w:t>
            </w:r>
          </w:p>
        </w:tc>
        <w:tc>
          <w:tcPr>
            <w:tcW w:w="629" w:type="dxa"/>
          </w:tcPr>
          <w:p w:rsidR="001C7BF9" w:rsidRPr="00C9680B" w:rsidRDefault="001C7BF9">
            <w:pPr>
              <w:pStyle w:val="TabellRader"/>
              <w:spacing w:before="200" w:after="0" w:line="180" w:lineRule="exact"/>
              <w:rPr>
                <w:rFonts w:ascii="Times New Roman" w:hAnsi="Times New Roman"/>
              </w:rPr>
            </w:pPr>
            <w:r w:rsidRPr="00C9680B">
              <w:rPr>
                <w:rFonts w:ascii="Times New Roman" w:hAnsi="Times New Roman"/>
              </w:rPr>
              <w:t>0,21</w:t>
            </w:r>
          </w:p>
        </w:tc>
        <w:tc>
          <w:tcPr>
            <w:tcW w:w="629" w:type="dxa"/>
          </w:tcPr>
          <w:p w:rsidR="001C7BF9" w:rsidRPr="00C9680B" w:rsidRDefault="001C7BF9">
            <w:pPr>
              <w:pStyle w:val="TabellRader"/>
              <w:spacing w:before="200" w:after="0" w:line="180" w:lineRule="exact"/>
              <w:rPr>
                <w:rFonts w:ascii="Times New Roman" w:hAnsi="Times New Roman"/>
              </w:rPr>
            </w:pPr>
            <w:r w:rsidRPr="00C9680B">
              <w:rPr>
                <w:rFonts w:ascii="Times New Roman" w:hAnsi="Times New Roman"/>
              </w:rPr>
              <w:t>0,21</w:t>
            </w:r>
          </w:p>
        </w:tc>
        <w:tc>
          <w:tcPr>
            <w:tcW w:w="629" w:type="dxa"/>
            <w:gridSpan w:val="2"/>
          </w:tcPr>
          <w:p w:rsidR="001C7BF9" w:rsidRPr="00C9680B" w:rsidRDefault="001C7BF9">
            <w:pPr>
              <w:pStyle w:val="TabellRader"/>
              <w:spacing w:before="200" w:after="0" w:line="180" w:lineRule="exact"/>
              <w:rPr>
                <w:rFonts w:ascii="Times New Roman" w:hAnsi="Times New Roman"/>
              </w:rPr>
            </w:pPr>
            <w:r w:rsidRPr="00C9680B">
              <w:rPr>
                <w:rFonts w:ascii="Times New Roman" w:hAnsi="Times New Roman"/>
              </w:rPr>
              <w:t>0,21</w:t>
            </w:r>
          </w:p>
        </w:tc>
        <w:tc>
          <w:tcPr>
            <w:tcW w:w="629" w:type="dxa"/>
            <w:gridSpan w:val="2"/>
          </w:tcPr>
          <w:p w:rsidR="001C7BF9" w:rsidRPr="00C9680B" w:rsidRDefault="001C7BF9">
            <w:pPr>
              <w:pStyle w:val="TabellRader"/>
              <w:spacing w:before="200" w:after="0" w:line="180" w:lineRule="exact"/>
              <w:rPr>
                <w:rFonts w:ascii="Times New Roman" w:hAnsi="Times New Roman"/>
              </w:rPr>
            </w:pPr>
            <w:r w:rsidRPr="00C9680B">
              <w:rPr>
                <w:rFonts w:ascii="Times New Roman" w:hAnsi="Times New Roman"/>
              </w:rPr>
              <w:t>0,21</w:t>
            </w:r>
          </w:p>
        </w:tc>
      </w:tr>
      <w:tr w:rsidR="00000000" w:rsidRPr="00C9680B">
        <w:tblPrEx>
          <w:tblCellMar>
            <w:top w:w="0" w:type="dxa"/>
            <w:bottom w:w="0" w:type="dxa"/>
          </w:tblCellMar>
        </w:tblPrEx>
        <w:trPr>
          <w:gridAfter w:val="1"/>
          <w:wAfter w:w="35" w:type="dxa"/>
        </w:trPr>
        <w:tc>
          <w:tcPr>
            <w:tcW w:w="2304" w:type="dxa"/>
            <w:gridSpan w:val="3"/>
          </w:tcPr>
          <w:p w:rsidR="001C7BF9" w:rsidRPr="00C9680B" w:rsidRDefault="001C7BF9">
            <w:pPr>
              <w:pStyle w:val="TabellRader"/>
              <w:spacing w:before="40" w:line="180" w:lineRule="exact"/>
              <w:jc w:val="left"/>
              <w:rPr>
                <w:rFonts w:ascii="Times New Roman" w:hAnsi="Times New Roman"/>
                <w:i/>
              </w:rPr>
            </w:pPr>
            <w:r w:rsidRPr="00C9680B">
              <w:rPr>
                <w:rFonts w:ascii="Times New Roman" w:hAnsi="Times New Roman"/>
                <w:i/>
              </w:rPr>
              <w:t>Mervärdesskatt</w:t>
            </w:r>
          </w:p>
        </w:tc>
        <w:tc>
          <w:tcPr>
            <w:tcW w:w="629" w:type="dxa"/>
          </w:tcPr>
          <w:p w:rsidR="001C7BF9" w:rsidRPr="00C9680B" w:rsidRDefault="001C7BF9">
            <w:pPr>
              <w:pStyle w:val="TabellRader"/>
              <w:spacing w:before="40" w:line="180" w:lineRule="exact"/>
              <w:rPr>
                <w:rFonts w:ascii="Times New Roman" w:hAnsi="Times New Roman"/>
              </w:rPr>
            </w:pPr>
          </w:p>
        </w:tc>
        <w:tc>
          <w:tcPr>
            <w:tcW w:w="629" w:type="dxa"/>
          </w:tcPr>
          <w:p w:rsidR="001C7BF9" w:rsidRPr="00C9680B" w:rsidRDefault="001C7BF9">
            <w:pPr>
              <w:pStyle w:val="TabellRader"/>
              <w:spacing w:before="40" w:line="180" w:lineRule="exact"/>
              <w:rPr>
                <w:rFonts w:ascii="Times New Roman" w:hAnsi="Times New Roman"/>
              </w:rPr>
            </w:pPr>
          </w:p>
        </w:tc>
        <w:tc>
          <w:tcPr>
            <w:tcW w:w="629" w:type="dxa"/>
          </w:tcPr>
          <w:p w:rsidR="001C7BF9" w:rsidRPr="00C9680B" w:rsidRDefault="001C7BF9">
            <w:pPr>
              <w:pStyle w:val="TabellRader"/>
              <w:spacing w:before="40" w:line="180" w:lineRule="exact"/>
              <w:rPr>
                <w:rFonts w:ascii="Times New Roman" w:hAnsi="Times New Roman"/>
              </w:rPr>
            </w:pPr>
          </w:p>
        </w:tc>
        <w:tc>
          <w:tcPr>
            <w:tcW w:w="629" w:type="dxa"/>
          </w:tcPr>
          <w:p w:rsidR="001C7BF9" w:rsidRPr="00C9680B" w:rsidRDefault="001C7BF9">
            <w:pPr>
              <w:pStyle w:val="TabellRader"/>
              <w:spacing w:before="40" w:line="180" w:lineRule="exact"/>
              <w:rPr>
                <w:rFonts w:ascii="Times New Roman" w:hAnsi="Times New Roman"/>
              </w:rPr>
            </w:pPr>
          </w:p>
        </w:tc>
        <w:tc>
          <w:tcPr>
            <w:tcW w:w="629" w:type="dxa"/>
          </w:tcPr>
          <w:p w:rsidR="001C7BF9" w:rsidRPr="00C9680B" w:rsidRDefault="001C7BF9">
            <w:pPr>
              <w:pStyle w:val="TabellRader"/>
              <w:spacing w:before="40" w:line="180" w:lineRule="exact"/>
              <w:rPr>
                <w:rFonts w:ascii="Times New Roman" w:hAnsi="Times New Roman"/>
              </w:rPr>
            </w:pPr>
          </w:p>
        </w:tc>
        <w:tc>
          <w:tcPr>
            <w:tcW w:w="629" w:type="dxa"/>
          </w:tcPr>
          <w:p w:rsidR="001C7BF9" w:rsidRPr="00C9680B" w:rsidRDefault="001C7BF9">
            <w:pPr>
              <w:pStyle w:val="TabellRader"/>
              <w:spacing w:before="40" w:line="180" w:lineRule="exact"/>
              <w:rPr>
                <w:rFonts w:ascii="Times New Roman" w:hAnsi="Times New Roman"/>
              </w:rPr>
            </w:pPr>
          </w:p>
        </w:tc>
        <w:tc>
          <w:tcPr>
            <w:tcW w:w="629" w:type="dxa"/>
            <w:gridSpan w:val="2"/>
          </w:tcPr>
          <w:p w:rsidR="001C7BF9" w:rsidRPr="00C9680B" w:rsidRDefault="001C7BF9">
            <w:pPr>
              <w:pStyle w:val="TabellRader"/>
              <w:spacing w:before="40" w:line="180" w:lineRule="exact"/>
              <w:rPr>
                <w:rFonts w:ascii="Times New Roman" w:hAnsi="Times New Roman"/>
              </w:rPr>
            </w:pPr>
          </w:p>
        </w:tc>
        <w:tc>
          <w:tcPr>
            <w:tcW w:w="629" w:type="dxa"/>
            <w:gridSpan w:val="2"/>
          </w:tcPr>
          <w:p w:rsidR="001C7BF9" w:rsidRPr="00C9680B" w:rsidRDefault="001C7BF9">
            <w:pPr>
              <w:pStyle w:val="TabellRader"/>
              <w:spacing w:before="40" w:line="180" w:lineRule="exact"/>
              <w:rPr>
                <w:rFonts w:ascii="Times New Roman" w:hAnsi="Times New Roman"/>
              </w:rPr>
            </w:pPr>
          </w:p>
        </w:tc>
      </w:tr>
      <w:tr w:rsidR="00000000" w:rsidRPr="00C9680B">
        <w:tblPrEx>
          <w:tblCellMar>
            <w:top w:w="0" w:type="dxa"/>
            <w:bottom w:w="0" w:type="dxa"/>
          </w:tblCellMar>
        </w:tblPrEx>
        <w:trPr>
          <w:gridAfter w:val="1"/>
          <w:wAfter w:w="35" w:type="dxa"/>
        </w:trPr>
        <w:tc>
          <w:tcPr>
            <w:tcW w:w="2304" w:type="dxa"/>
            <w:gridSpan w:val="3"/>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Sänkt skatt för personbefor</w:t>
            </w:r>
            <w:r w:rsidRPr="00C9680B">
              <w:rPr>
                <w:rFonts w:ascii="Times New Roman" w:hAnsi="Times New Roman"/>
              </w:rPr>
              <w:t>d</w:t>
            </w:r>
            <w:r w:rsidRPr="00C9680B">
              <w:rPr>
                <w:rFonts w:ascii="Times New Roman" w:hAnsi="Times New Roman"/>
              </w:rPr>
              <w:t xml:space="preserve">ran </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-1,00</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-0,88</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-0,86</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-0,85</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-1,00</w:t>
            </w:r>
          </w:p>
        </w:tc>
        <w:tc>
          <w:tcPr>
            <w:tcW w:w="629" w:type="dxa"/>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-0,81</w:t>
            </w:r>
          </w:p>
        </w:tc>
        <w:tc>
          <w:tcPr>
            <w:tcW w:w="629" w:type="dxa"/>
            <w:gridSpan w:val="2"/>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-0,81</w:t>
            </w:r>
          </w:p>
        </w:tc>
        <w:tc>
          <w:tcPr>
            <w:tcW w:w="629" w:type="dxa"/>
            <w:gridSpan w:val="2"/>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-0,81</w:t>
            </w:r>
          </w:p>
        </w:tc>
      </w:tr>
    </w:tbl>
    <w:p w:rsidR="001C7BF9" w:rsidRPr="00C9680B" w:rsidRDefault="001C7BF9"/>
    <w:p w:rsidR="001C7BF9" w:rsidRPr="00C9680B" w:rsidRDefault="001C7BF9">
      <w:pPr>
        <w:pStyle w:val="Normaltindrag"/>
      </w:pPr>
      <w:r w:rsidRPr="00C9680B">
        <w:br w:type="page"/>
      </w:r>
    </w:p>
    <w:tbl>
      <w:tblPr>
        <w:tblW w:w="0" w:type="auto"/>
        <w:jc w:val="right"/>
        <w:tblLayout w:type="fixed"/>
        <w:tblCellMar>
          <w:left w:w="71" w:type="dxa"/>
          <w:right w:w="71" w:type="dxa"/>
        </w:tblCellMar>
        <w:tblLook w:val="0000" w:firstRow="0" w:lastRow="0" w:firstColumn="0" w:lastColumn="0" w:noHBand="0" w:noVBand="0"/>
      </w:tblPr>
      <w:tblGrid>
        <w:gridCol w:w="97"/>
        <w:gridCol w:w="34"/>
        <w:gridCol w:w="70"/>
        <w:gridCol w:w="49"/>
        <w:gridCol w:w="2078"/>
        <w:gridCol w:w="83"/>
        <w:gridCol w:w="97"/>
        <w:gridCol w:w="153"/>
        <w:gridCol w:w="414"/>
        <w:gridCol w:w="63"/>
        <w:gridCol w:w="186"/>
        <w:gridCol w:w="380"/>
        <w:gridCol w:w="63"/>
        <w:gridCol w:w="186"/>
        <w:gridCol w:w="380"/>
        <w:gridCol w:w="63"/>
        <w:gridCol w:w="186"/>
        <w:gridCol w:w="380"/>
        <w:gridCol w:w="63"/>
        <w:gridCol w:w="186"/>
        <w:gridCol w:w="380"/>
        <w:gridCol w:w="63"/>
        <w:gridCol w:w="186"/>
        <w:gridCol w:w="380"/>
        <w:gridCol w:w="63"/>
        <w:gridCol w:w="163"/>
        <w:gridCol w:w="23"/>
        <w:gridCol w:w="380"/>
        <w:gridCol w:w="63"/>
        <w:gridCol w:w="186"/>
        <w:gridCol w:w="57"/>
        <w:gridCol w:w="323"/>
        <w:gridCol w:w="63"/>
        <w:gridCol w:w="36"/>
        <w:gridCol w:w="155"/>
      </w:tblGrid>
      <w:tr w:rsidR="00000000" w:rsidRPr="00C9680B">
        <w:tblPrEx>
          <w:tblCellMar>
            <w:top w:w="0" w:type="dxa"/>
            <w:bottom w:w="0" w:type="dxa"/>
          </w:tblCellMar>
        </w:tblPrEx>
        <w:trPr>
          <w:gridBefore w:val="2"/>
          <w:gridAfter w:val="1"/>
          <w:wBefore w:w="131" w:type="dxa"/>
          <w:wAfter w:w="154" w:type="dxa"/>
          <w:jc w:val="right"/>
        </w:trPr>
        <w:tc>
          <w:tcPr>
            <w:tcW w:w="2197" w:type="dxa"/>
            <w:gridSpan w:val="3"/>
            <w:tcBorders>
              <w:top w:val="single" w:sz="4" w:space="0" w:color="auto"/>
            </w:tcBorders>
          </w:tcPr>
          <w:p w:rsidR="001C7BF9" w:rsidRPr="00C9680B" w:rsidRDefault="001C7BF9">
            <w:pPr>
              <w:pStyle w:val="TabellHuvud"/>
              <w:spacing w:line="170" w:lineRule="exact"/>
              <w:rPr>
                <w:rFonts w:ascii="Times New Roman" w:hAnsi="Times New Roman"/>
                <w:sz w:val="16"/>
              </w:rPr>
            </w:pPr>
          </w:p>
        </w:tc>
        <w:tc>
          <w:tcPr>
            <w:tcW w:w="807" w:type="dxa"/>
            <w:gridSpan w:val="5"/>
            <w:tcBorders>
              <w:top w:val="single" w:sz="4" w:space="0" w:color="auto"/>
            </w:tcBorders>
          </w:tcPr>
          <w:p w:rsidR="001C7BF9" w:rsidRPr="00C9680B" w:rsidRDefault="001C7BF9">
            <w:pPr>
              <w:pStyle w:val="TabellHuvud"/>
              <w:spacing w:line="170" w:lineRule="exact"/>
              <w:rPr>
                <w:rFonts w:ascii="Times New Roman" w:hAnsi="Times New Roman"/>
                <w:sz w:val="16"/>
              </w:rPr>
            </w:pPr>
          </w:p>
        </w:tc>
        <w:tc>
          <w:tcPr>
            <w:tcW w:w="629" w:type="dxa"/>
            <w:gridSpan w:val="3"/>
            <w:tcBorders>
              <w:top w:val="single" w:sz="4" w:space="0" w:color="auto"/>
              <w:bottom w:val="single" w:sz="4" w:space="0" w:color="auto"/>
            </w:tcBorders>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t>St</w:t>
            </w:r>
            <w:r w:rsidRPr="00C9680B">
              <w:rPr>
                <w:rFonts w:ascii="Times New Roman" w:hAnsi="Times New Roman"/>
                <w:sz w:val="16"/>
              </w:rPr>
              <w:t>a</w:t>
            </w:r>
            <w:r w:rsidRPr="00C9680B">
              <w:rPr>
                <w:rFonts w:ascii="Times New Roman" w:hAnsi="Times New Roman"/>
                <w:sz w:val="16"/>
              </w:rPr>
              <w:t>ten</w:t>
            </w:r>
          </w:p>
        </w:tc>
        <w:tc>
          <w:tcPr>
            <w:tcW w:w="629" w:type="dxa"/>
            <w:gridSpan w:val="3"/>
            <w:tcBorders>
              <w:top w:val="single" w:sz="4" w:space="0" w:color="auto"/>
              <w:bottom w:val="single" w:sz="4" w:space="0" w:color="auto"/>
            </w:tcBorders>
          </w:tcPr>
          <w:p w:rsidR="001C7BF9" w:rsidRPr="00C9680B" w:rsidRDefault="001C7BF9">
            <w:pPr>
              <w:pStyle w:val="TabellHuvud"/>
              <w:spacing w:line="170" w:lineRule="exact"/>
              <w:rPr>
                <w:rFonts w:ascii="Times New Roman" w:hAnsi="Times New Roman"/>
                <w:sz w:val="16"/>
              </w:rPr>
            </w:pPr>
          </w:p>
        </w:tc>
        <w:tc>
          <w:tcPr>
            <w:tcW w:w="629" w:type="dxa"/>
            <w:gridSpan w:val="3"/>
            <w:tcBorders>
              <w:top w:val="single" w:sz="4" w:space="0" w:color="auto"/>
              <w:bottom w:val="single" w:sz="4" w:space="0" w:color="auto"/>
            </w:tcBorders>
          </w:tcPr>
          <w:p w:rsidR="001C7BF9" w:rsidRPr="00C9680B" w:rsidRDefault="001C7BF9">
            <w:pPr>
              <w:pStyle w:val="TabellHuvud"/>
              <w:spacing w:line="170" w:lineRule="exact"/>
              <w:rPr>
                <w:rFonts w:ascii="Times New Roman" w:hAnsi="Times New Roman"/>
                <w:sz w:val="16"/>
              </w:rPr>
            </w:pPr>
          </w:p>
        </w:tc>
        <w:tc>
          <w:tcPr>
            <w:tcW w:w="1421" w:type="dxa"/>
            <w:gridSpan w:val="7"/>
            <w:tcBorders>
              <w:top w:val="single" w:sz="4" w:space="0" w:color="auto"/>
              <w:bottom w:val="single" w:sz="4" w:space="0" w:color="auto"/>
            </w:tcBorders>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t>Offentlig se</w:t>
            </w:r>
            <w:r w:rsidRPr="00C9680B">
              <w:rPr>
                <w:rFonts w:ascii="Times New Roman" w:hAnsi="Times New Roman"/>
                <w:sz w:val="16"/>
              </w:rPr>
              <w:t>k</w:t>
            </w:r>
            <w:r w:rsidRPr="00C9680B">
              <w:rPr>
                <w:rFonts w:ascii="Times New Roman" w:hAnsi="Times New Roman"/>
                <w:sz w:val="16"/>
              </w:rPr>
              <w:t>tor</w:t>
            </w:r>
          </w:p>
        </w:tc>
        <w:tc>
          <w:tcPr>
            <w:tcW w:w="709" w:type="dxa"/>
            <w:gridSpan w:val="5"/>
            <w:tcBorders>
              <w:top w:val="single" w:sz="4" w:space="0" w:color="auto"/>
              <w:bottom w:val="single" w:sz="4" w:space="0" w:color="auto"/>
            </w:tcBorders>
          </w:tcPr>
          <w:p w:rsidR="001C7BF9" w:rsidRPr="00C9680B" w:rsidRDefault="001C7BF9">
            <w:pPr>
              <w:pStyle w:val="TabellHuvud"/>
              <w:spacing w:line="170" w:lineRule="exact"/>
              <w:rPr>
                <w:rFonts w:ascii="Times New Roman" w:hAnsi="Times New Roman"/>
                <w:sz w:val="16"/>
              </w:rPr>
            </w:pPr>
          </w:p>
        </w:tc>
        <w:tc>
          <w:tcPr>
            <w:tcW w:w="421" w:type="dxa"/>
            <w:gridSpan w:val="3"/>
            <w:tcBorders>
              <w:top w:val="single" w:sz="4" w:space="0" w:color="auto"/>
              <w:bottom w:val="single" w:sz="4" w:space="0" w:color="auto"/>
            </w:tcBorders>
          </w:tcPr>
          <w:p w:rsidR="001C7BF9" w:rsidRPr="00C9680B" w:rsidRDefault="001C7BF9">
            <w:pPr>
              <w:pStyle w:val="TabellHuvud"/>
              <w:spacing w:line="170" w:lineRule="exact"/>
              <w:jc w:val="left"/>
              <w:rPr>
                <w:rFonts w:ascii="Times New Roman" w:hAnsi="Times New Roman"/>
                <w:sz w:val="16"/>
              </w:rPr>
            </w:pPr>
          </w:p>
        </w:tc>
      </w:tr>
      <w:tr w:rsidR="00000000" w:rsidRPr="00C9680B">
        <w:tblPrEx>
          <w:tblCellMar>
            <w:top w:w="0" w:type="dxa"/>
            <w:left w:w="0" w:type="dxa"/>
            <w:bottom w:w="0" w:type="dxa"/>
            <w:right w:w="0" w:type="dxa"/>
          </w:tblCellMar>
        </w:tblPrEx>
        <w:trPr>
          <w:gridBefore w:val="3"/>
          <w:gridAfter w:val="1"/>
          <w:wBefore w:w="201" w:type="dxa"/>
          <w:wAfter w:w="155" w:type="dxa"/>
          <w:jc w:val="right"/>
        </w:trPr>
        <w:tc>
          <w:tcPr>
            <w:tcW w:w="2302" w:type="dxa"/>
            <w:gridSpan w:val="4"/>
          </w:tcPr>
          <w:p w:rsidR="001C7BF9" w:rsidRPr="00C9680B" w:rsidRDefault="001C7BF9">
            <w:pPr>
              <w:pStyle w:val="TabellHuvud"/>
              <w:spacing w:line="170" w:lineRule="exact"/>
              <w:rPr>
                <w:rFonts w:ascii="Times New Roman" w:hAnsi="Times New Roman"/>
                <w:sz w:val="16"/>
              </w:rPr>
            </w:pPr>
          </w:p>
        </w:tc>
        <w:tc>
          <w:tcPr>
            <w:tcW w:w="630" w:type="dxa"/>
            <w:gridSpan w:val="3"/>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br/>
              <w:t>Bru</w:t>
            </w:r>
            <w:r w:rsidRPr="00C9680B">
              <w:rPr>
                <w:rFonts w:ascii="Times New Roman" w:hAnsi="Times New Roman"/>
                <w:sz w:val="16"/>
              </w:rPr>
              <w:t>t</w:t>
            </w:r>
            <w:r w:rsidRPr="00C9680B">
              <w:rPr>
                <w:rFonts w:ascii="Times New Roman" w:hAnsi="Times New Roman"/>
                <w:sz w:val="16"/>
              </w:rPr>
              <w:t>to-e</w:t>
            </w:r>
            <w:r w:rsidRPr="00C9680B">
              <w:rPr>
                <w:rFonts w:ascii="Times New Roman" w:hAnsi="Times New Roman"/>
                <w:sz w:val="16"/>
              </w:rPr>
              <w:t>f</w:t>
            </w:r>
            <w:r w:rsidRPr="00C9680B">
              <w:rPr>
                <w:rFonts w:ascii="Times New Roman" w:hAnsi="Times New Roman"/>
                <w:sz w:val="16"/>
              </w:rPr>
              <w:t>fekt </w:t>
            </w:r>
          </w:p>
        </w:tc>
        <w:tc>
          <w:tcPr>
            <w:tcW w:w="629" w:type="dxa"/>
            <w:gridSpan w:val="3"/>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br/>
            </w:r>
            <w:r w:rsidRPr="00C9680B">
              <w:rPr>
                <w:rFonts w:ascii="Times New Roman" w:hAnsi="Times New Roman"/>
                <w:sz w:val="16"/>
              </w:rPr>
              <w:br/>
              <w:t>2001</w:t>
            </w:r>
          </w:p>
        </w:tc>
        <w:tc>
          <w:tcPr>
            <w:tcW w:w="629" w:type="dxa"/>
            <w:gridSpan w:val="3"/>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br/>
            </w:r>
            <w:r w:rsidRPr="00C9680B">
              <w:rPr>
                <w:rFonts w:ascii="Times New Roman" w:hAnsi="Times New Roman"/>
                <w:sz w:val="16"/>
              </w:rPr>
              <w:br/>
              <w:t>2002</w:t>
            </w:r>
          </w:p>
        </w:tc>
        <w:tc>
          <w:tcPr>
            <w:tcW w:w="629" w:type="dxa"/>
            <w:gridSpan w:val="3"/>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br/>
            </w:r>
            <w:r w:rsidRPr="00C9680B">
              <w:rPr>
                <w:rFonts w:ascii="Times New Roman" w:hAnsi="Times New Roman"/>
                <w:sz w:val="16"/>
              </w:rPr>
              <w:br/>
              <w:t>2003</w:t>
            </w:r>
          </w:p>
        </w:tc>
        <w:tc>
          <w:tcPr>
            <w:tcW w:w="629" w:type="dxa"/>
            <w:gridSpan w:val="3"/>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br/>
            </w:r>
            <w:r w:rsidRPr="00C9680B">
              <w:rPr>
                <w:rFonts w:ascii="Times New Roman" w:hAnsi="Times New Roman"/>
                <w:sz w:val="16"/>
              </w:rPr>
              <w:br/>
              <w:t>2001</w:t>
            </w:r>
          </w:p>
        </w:tc>
        <w:tc>
          <w:tcPr>
            <w:tcW w:w="629" w:type="dxa"/>
            <w:gridSpan w:val="3"/>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br/>
            </w:r>
            <w:r w:rsidRPr="00C9680B">
              <w:rPr>
                <w:rFonts w:ascii="Times New Roman" w:hAnsi="Times New Roman"/>
                <w:sz w:val="16"/>
              </w:rPr>
              <w:br/>
              <w:t>2002</w:t>
            </w:r>
          </w:p>
        </w:tc>
        <w:tc>
          <w:tcPr>
            <w:tcW w:w="629" w:type="dxa"/>
            <w:gridSpan w:val="4"/>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br/>
            </w:r>
            <w:r w:rsidRPr="00C9680B">
              <w:rPr>
                <w:rFonts w:ascii="Times New Roman" w:hAnsi="Times New Roman"/>
                <w:sz w:val="16"/>
              </w:rPr>
              <w:br/>
              <w:t>2003</w:t>
            </w:r>
          </w:p>
        </w:tc>
        <w:tc>
          <w:tcPr>
            <w:tcW w:w="665" w:type="dxa"/>
            <w:gridSpan w:val="5"/>
          </w:tcPr>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t xml:space="preserve">Varaktig effekt </w:t>
            </w:r>
          </w:p>
          <w:p w:rsidR="001C7BF9" w:rsidRPr="00C9680B" w:rsidRDefault="001C7BF9">
            <w:pPr>
              <w:pStyle w:val="TabellHuvud"/>
              <w:spacing w:line="170" w:lineRule="exact"/>
              <w:rPr>
                <w:rFonts w:ascii="Times New Roman" w:hAnsi="Times New Roman"/>
                <w:sz w:val="16"/>
              </w:rPr>
            </w:pPr>
            <w:r w:rsidRPr="00C9680B">
              <w:rPr>
                <w:rFonts w:ascii="Times New Roman" w:hAnsi="Times New Roman"/>
                <w:sz w:val="16"/>
              </w:rPr>
              <w:t>off sekt</w:t>
            </w:r>
          </w:p>
        </w:tc>
      </w:tr>
      <w:tr w:rsidR="00000000" w:rsidRPr="00C9680B">
        <w:tblPrEx>
          <w:tblCellMar>
            <w:top w:w="0" w:type="dxa"/>
            <w:bottom w:w="0" w:type="dxa"/>
          </w:tblCellMar>
        </w:tblPrEx>
        <w:trPr>
          <w:gridBefore w:val="2"/>
          <w:gridAfter w:val="1"/>
          <w:wBefore w:w="131" w:type="dxa"/>
          <w:wAfter w:w="154" w:type="dxa"/>
          <w:jc w:val="right"/>
        </w:trPr>
        <w:tc>
          <w:tcPr>
            <w:tcW w:w="7442" w:type="dxa"/>
            <w:gridSpan w:val="32"/>
            <w:tcBorders>
              <w:top w:val="single" w:sz="4" w:space="0" w:color="auto"/>
              <w:bottom w:val="single" w:sz="4" w:space="0" w:color="auto"/>
            </w:tcBorders>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I. Förslag i bu</w:t>
            </w:r>
            <w:r w:rsidRPr="00C9680B">
              <w:rPr>
                <w:rFonts w:ascii="Times New Roman" w:hAnsi="Times New Roman"/>
              </w:rPr>
              <w:t>d</w:t>
            </w:r>
            <w:r w:rsidRPr="00C9680B">
              <w:rPr>
                <w:rFonts w:ascii="Times New Roman" w:hAnsi="Times New Roman"/>
              </w:rPr>
              <w:t>getpropositionen (forts.)</w:t>
            </w:r>
          </w:p>
        </w:tc>
      </w:tr>
      <w:tr w:rsidR="00000000" w:rsidRPr="00C9680B">
        <w:tblPrEx>
          <w:tblCellMar>
            <w:top w:w="0" w:type="dxa"/>
            <w:bottom w:w="0" w:type="dxa"/>
          </w:tblCellMar>
        </w:tblPrEx>
        <w:trPr>
          <w:gridBefore w:val="1"/>
          <w:gridAfter w:val="2"/>
          <w:wBefore w:w="96" w:type="dxa"/>
          <w:wAfter w:w="189" w:type="dxa"/>
          <w:jc w:val="right"/>
        </w:trPr>
        <w:tc>
          <w:tcPr>
            <w:tcW w:w="2411" w:type="dxa"/>
            <w:gridSpan w:val="6"/>
          </w:tcPr>
          <w:p w:rsidR="001C7BF9" w:rsidRPr="00C9680B" w:rsidRDefault="001C7BF9">
            <w:pPr>
              <w:pStyle w:val="TabellRader"/>
              <w:spacing w:before="40" w:line="180" w:lineRule="exact"/>
              <w:jc w:val="left"/>
              <w:rPr>
                <w:rFonts w:ascii="Times New Roman" w:hAnsi="Times New Roman"/>
                <w:i/>
              </w:rPr>
            </w:pPr>
            <w:r w:rsidRPr="00C9680B">
              <w:rPr>
                <w:rFonts w:ascii="Times New Roman" w:hAnsi="Times New Roman"/>
                <w:i/>
              </w:rPr>
              <w:t>Alkoholskatter</w:t>
            </w:r>
          </w:p>
        </w:tc>
        <w:tc>
          <w:tcPr>
            <w:tcW w:w="628" w:type="dxa"/>
            <w:gridSpan w:val="3"/>
          </w:tcPr>
          <w:p w:rsidR="001C7BF9" w:rsidRPr="00C9680B" w:rsidRDefault="001C7BF9">
            <w:pPr>
              <w:pStyle w:val="TabellRader"/>
              <w:spacing w:before="40" w:line="180" w:lineRule="exact"/>
              <w:rPr>
                <w:rFonts w:ascii="Times New Roman" w:hAnsi="Times New Roman"/>
              </w:rPr>
            </w:pPr>
          </w:p>
        </w:tc>
        <w:tc>
          <w:tcPr>
            <w:tcW w:w="629" w:type="dxa"/>
            <w:gridSpan w:val="3"/>
          </w:tcPr>
          <w:p w:rsidR="001C7BF9" w:rsidRPr="00C9680B" w:rsidRDefault="001C7BF9">
            <w:pPr>
              <w:pStyle w:val="TabellRader"/>
              <w:spacing w:before="40" w:line="180" w:lineRule="exact"/>
              <w:rPr>
                <w:rFonts w:ascii="Times New Roman" w:hAnsi="Times New Roman"/>
              </w:rPr>
            </w:pPr>
          </w:p>
        </w:tc>
        <w:tc>
          <w:tcPr>
            <w:tcW w:w="629" w:type="dxa"/>
            <w:gridSpan w:val="3"/>
          </w:tcPr>
          <w:p w:rsidR="001C7BF9" w:rsidRPr="00C9680B" w:rsidRDefault="001C7BF9">
            <w:pPr>
              <w:pStyle w:val="TabellRader"/>
              <w:spacing w:before="40" w:line="180" w:lineRule="exact"/>
              <w:rPr>
                <w:rFonts w:ascii="Times New Roman" w:hAnsi="Times New Roman"/>
              </w:rPr>
            </w:pPr>
          </w:p>
        </w:tc>
        <w:tc>
          <w:tcPr>
            <w:tcW w:w="629" w:type="dxa"/>
            <w:gridSpan w:val="3"/>
          </w:tcPr>
          <w:p w:rsidR="001C7BF9" w:rsidRPr="00C9680B" w:rsidRDefault="001C7BF9">
            <w:pPr>
              <w:pStyle w:val="TabellRader"/>
              <w:spacing w:before="40" w:line="180" w:lineRule="exact"/>
              <w:rPr>
                <w:rFonts w:ascii="Times New Roman" w:hAnsi="Times New Roman"/>
              </w:rPr>
            </w:pPr>
          </w:p>
        </w:tc>
        <w:tc>
          <w:tcPr>
            <w:tcW w:w="629" w:type="dxa"/>
            <w:gridSpan w:val="3"/>
          </w:tcPr>
          <w:p w:rsidR="001C7BF9" w:rsidRPr="00C9680B" w:rsidRDefault="001C7BF9">
            <w:pPr>
              <w:pStyle w:val="TabellRader"/>
              <w:spacing w:before="40" w:line="180" w:lineRule="exact"/>
              <w:rPr>
                <w:rFonts w:ascii="Times New Roman" w:hAnsi="Times New Roman"/>
              </w:rPr>
            </w:pPr>
          </w:p>
        </w:tc>
        <w:tc>
          <w:tcPr>
            <w:tcW w:w="629" w:type="dxa"/>
            <w:gridSpan w:val="3"/>
          </w:tcPr>
          <w:p w:rsidR="001C7BF9" w:rsidRPr="00C9680B" w:rsidRDefault="001C7BF9">
            <w:pPr>
              <w:pStyle w:val="TabellRader"/>
              <w:spacing w:before="40" w:line="180" w:lineRule="exact"/>
              <w:rPr>
                <w:rFonts w:ascii="Times New Roman" w:hAnsi="Times New Roman"/>
              </w:rPr>
            </w:pPr>
          </w:p>
        </w:tc>
        <w:tc>
          <w:tcPr>
            <w:tcW w:w="629" w:type="dxa"/>
            <w:gridSpan w:val="4"/>
          </w:tcPr>
          <w:p w:rsidR="001C7BF9" w:rsidRPr="00C9680B" w:rsidRDefault="001C7BF9">
            <w:pPr>
              <w:pStyle w:val="TabellRader"/>
              <w:spacing w:before="40" w:line="180" w:lineRule="exact"/>
              <w:rPr>
                <w:rFonts w:ascii="Times New Roman" w:hAnsi="Times New Roman"/>
              </w:rPr>
            </w:pPr>
          </w:p>
        </w:tc>
        <w:tc>
          <w:tcPr>
            <w:tcW w:w="629" w:type="dxa"/>
            <w:gridSpan w:val="4"/>
          </w:tcPr>
          <w:p w:rsidR="001C7BF9" w:rsidRPr="00C9680B" w:rsidRDefault="001C7BF9">
            <w:pPr>
              <w:pStyle w:val="TabellRader"/>
              <w:spacing w:before="40" w:line="180" w:lineRule="exact"/>
              <w:rPr>
                <w:rFonts w:ascii="Times New Roman" w:hAnsi="Times New Roman"/>
              </w:rPr>
            </w:pPr>
          </w:p>
        </w:tc>
      </w:tr>
      <w:tr w:rsidR="00000000" w:rsidRPr="00C9680B">
        <w:tblPrEx>
          <w:tblCellMar>
            <w:top w:w="0" w:type="dxa"/>
            <w:bottom w:w="0" w:type="dxa"/>
          </w:tblCellMar>
        </w:tblPrEx>
        <w:trPr>
          <w:gridBefore w:val="1"/>
          <w:gridAfter w:val="2"/>
          <w:wBefore w:w="96" w:type="dxa"/>
          <w:wAfter w:w="189" w:type="dxa"/>
          <w:jc w:val="right"/>
        </w:trPr>
        <w:tc>
          <w:tcPr>
            <w:tcW w:w="2411" w:type="dxa"/>
            <w:gridSpan w:val="6"/>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Utökade infö</w:t>
            </w:r>
            <w:r w:rsidRPr="00C9680B">
              <w:rPr>
                <w:rFonts w:ascii="Times New Roman" w:hAnsi="Times New Roman"/>
              </w:rPr>
              <w:t>r</w:t>
            </w:r>
            <w:r w:rsidRPr="00C9680B">
              <w:rPr>
                <w:rFonts w:ascii="Times New Roman" w:hAnsi="Times New Roman"/>
              </w:rPr>
              <w:t>selkvoter</w:t>
            </w:r>
          </w:p>
        </w:tc>
        <w:tc>
          <w:tcPr>
            <w:tcW w:w="628"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-0,13</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-0,11</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-0,13</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-0,13</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-0,13</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-0,13</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-0,13</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-0,13</w:t>
            </w:r>
          </w:p>
        </w:tc>
      </w:tr>
      <w:tr w:rsidR="00000000" w:rsidRPr="00C9680B">
        <w:tblPrEx>
          <w:tblCellMar>
            <w:top w:w="0" w:type="dxa"/>
            <w:bottom w:w="0" w:type="dxa"/>
          </w:tblCellMar>
        </w:tblPrEx>
        <w:trPr>
          <w:gridBefore w:val="2"/>
          <w:gridAfter w:val="1"/>
          <w:wBefore w:w="131" w:type="dxa"/>
          <w:wAfter w:w="154" w:type="dxa"/>
          <w:jc w:val="right"/>
        </w:trPr>
        <w:tc>
          <w:tcPr>
            <w:tcW w:w="7442" w:type="dxa"/>
            <w:gridSpan w:val="32"/>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i/>
              </w:rPr>
              <w:t>Energiskatter</w:t>
            </w:r>
          </w:p>
        </w:tc>
      </w:tr>
      <w:tr w:rsidR="00000000" w:rsidRPr="00C9680B">
        <w:tblPrEx>
          <w:tblCellMar>
            <w:top w:w="0" w:type="dxa"/>
            <w:bottom w:w="0" w:type="dxa"/>
          </w:tblCellMar>
        </w:tblPrEx>
        <w:trPr>
          <w:gridBefore w:val="1"/>
          <w:gridAfter w:val="2"/>
          <w:wBefore w:w="94" w:type="dxa"/>
          <w:wAfter w:w="191" w:type="dxa"/>
          <w:jc w:val="right"/>
        </w:trPr>
        <w:tc>
          <w:tcPr>
            <w:tcW w:w="2411" w:type="dxa"/>
            <w:gridSpan w:val="6"/>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Omläggning från energiskatt till koldioxid</w:t>
            </w:r>
            <w:r w:rsidRPr="00C9680B">
              <w:rPr>
                <w:rFonts w:ascii="Times New Roman" w:hAnsi="Times New Roman"/>
              </w:rPr>
              <w:t>s</w:t>
            </w:r>
            <w:r w:rsidRPr="00C9680B">
              <w:rPr>
                <w:rFonts w:ascii="Times New Roman" w:hAnsi="Times New Roman"/>
              </w:rPr>
              <w:t>katt, netto</w:t>
            </w:r>
          </w:p>
        </w:tc>
        <w:tc>
          <w:tcPr>
            <w:tcW w:w="628" w:type="dxa"/>
            <w:gridSpan w:val="3"/>
          </w:tcPr>
          <w:p w:rsidR="001C7BF9" w:rsidRPr="00C9680B" w:rsidRDefault="001C7BF9">
            <w:pPr>
              <w:pStyle w:val="TabellRader"/>
              <w:spacing w:before="160" w:line="180" w:lineRule="exact"/>
              <w:rPr>
                <w:rFonts w:ascii="Times New Roman" w:hAnsi="Times New Roman"/>
              </w:rPr>
            </w:pPr>
            <w:r w:rsidRPr="00C9680B">
              <w:rPr>
                <w:rFonts w:ascii="Times New Roman" w:hAnsi="Times New Roman"/>
              </w:rPr>
              <w:t>0</w:t>
            </w:r>
          </w:p>
        </w:tc>
        <w:tc>
          <w:tcPr>
            <w:tcW w:w="629" w:type="dxa"/>
            <w:gridSpan w:val="3"/>
          </w:tcPr>
          <w:p w:rsidR="001C7BF9" w:rsidRPr="00C9680B" w:rsidRDefault="001C7BF9">
            <w:pPr>
              <w:pStyle w:val="TabellRader"/>
              <w:spacing w:before="160" w:line="180" w:lineRule="exact"/>
              <w:rPr>
                <w:rFonts w:ascii="Times New Roman" w:hAnsi="Times New Roman"/>
              </w:rPr>
            </w:pPr>
            <w:r w:rsidRPr="00C9680B">
              <w:rPr>
                <w:rFonts w:ascii="Times New Roman" w:hAnsi="Times New Roman"/>
              </w:rPr>
              <w:t>-0,10</w:t>
            </w:r>
          </w:p>
        </w:tc>
        <w:tc>
          <w:tcPr>
            <w:tcW w:w="629" w:type="dxa"/>
            <w:gridSpan w:val="3"/>
          </w:tcPr>
          <w:p w:rsidR="001C7BF9" w:rsidRPr="00C9680B" w:rsidRDefault="001C7BF9">
            <w:pPr>
              <w:pStyle w:val="TabellRader"/>
              <w:spacing w:before="160" w:line="180" w:lineRule="exact"/>
              <w:rPr>
                <w:rFonts w:ascii="Times New Roman" w:hAnsi="Times New Roman"/>
              </w:rPr>
            </w:pPr>
            <w:r w:rsidRPr="00C9680B">
              <w:rPr>
                <w:rFonts w:ascii="Times New Roman" w:hAnsi="Times New Roman"/>
              </w:rPr>
              <w:t>0,01</w:t>
            </w:r>
          </w:p>
        </w:tc>
        <w:tc>
          <w:tcPr>
            <w:tcW w:w="629" w:type="dxa"/>
            <w:gridSpan w:val="3"/>
          </w:tcPr>
          <w:p w:rsidR="001C7BF9" w:rsidRPr="00C9680B" w:rsidRDefault="001C7BF9">
            <w:pPr>
              <w:pStyle w:val="TabellRader"/>
              <w:spacing w:before="160" w:line="180" w:lineRule="exact"/>
              <w:rPr>
                <w:rFonts w:ascii="Times New Roman" w:hAnsi="Times New Roman"/>
              </w:rPr>
            </w:pPr>
            <w:r w:rsidRPr="00C9680B">
              <w:rPr>
                <w:rFonts w:ascii="Times New Roman" w:hAnsi="Times New Roman"/>
              </w:rPr>
              <w:t>0,02</w:t>
            </w:r>
          </w:p>
        </w:tc>
        <w:tc>
          <w:tcPr>
            <w:tcW w:w="629" w:type="dxa"/>
            <w:gridSpan w:val="3"/>
          </w:tcPr>
          <w:p w:rsidR="001C7BF9" w:rsidRPr="00C9680B" w:rsidRDefault="001C7BF9">
            <w:pPr>
              <w:pStyle w:val="TabellRader"/>
              <w:spacing w:before="160" w:line="180" w:lineRule="exact"/>
              <w:rPr>
                <w:rFonts w:ascii="Times New Roman" w:hAnsi="Times New Roman"/>
              </w:rPr>
            </w:pPr>
            <w:r w:rsidRPr="00C9680B">
              <w:rPr>
                <w:rFonts w:ascii="Times New Roman" w:hAnsi="Times New Roman"/>
              </w:rPr>
              <w:t>-0,01</w:t>
            </w:r>
          </w:p>
        </w:tc>
        <w:tc>
          <w:tcPr>
            <w:tcW w:w="629" w:type="dxa"/>
            <w:gridSpan w:val="3"/>
          </w:tcPr>
          <w:p w:rsidR="001C7BF9" w:rsidRPr="00C9680B" w:rsidRDefault="001C7BF9">
            <w:pPr>
              <w:pStyle w:val="TabellRader"/>
              <w:spacing w:before="160" w:line="180" w:lineRule="exact"/>
              <w:rPr>
                <w:rFonts w:ascii="Times New Roman" w:hAnsi="Times New Roman"/>
              </w:rPr>
            </w:pPr>
            <w:r w:rsidRPr="00C9680B">
              <w:rPr>
                <w:rFonts w:ascii="Times New Roman" w:hAnsi="Times New Roman"/>
              </w:rPr>
              <w:t>0,08</w:t>
            </w:r>
          </w:p>
        </w:tc>
        <w:tc>
          <w:tcPr>
            <w:tcW w:w="629" w:type="dxa"/>
            <w:gridSpan w:val="4"/>
          </w:tcPr>
          <w:p w:rsidR="001C7BF9" w:rsidRPr="00C9680B" w:rsidRDefault="001C7BF9">
            <w:pPr>
              <w:pStyle w:val="TabellRader"/>
              <w:spacing w:before="160" w:line="180" w:lineRule="exact"/>
              <w:rPr>
                <w:rFonts w:ascii="Times New Roman" w:hAnsi="Times New Roman"/>
              </w:rPr>
            </w:pPr>
            <w:r w:rsidRPr="00C9680B">
              <w:rPr>
                <w:rFonts w:ascii="Times New Roman" w:hAnsi="Times New Roman"/>
              </w:rPr>
              <w:t>0,08</w:t>
            </w:r>
          </w:p>
        </w:tc>
        <w:tc>
          <w:tcPr>
            <w:tcW w:w="629" w:type="dxa"/>
            <w:gridSpan w:val="4"/>
          </w:tcPr>
          <w:p w:rsidR="001C7BF9" w:rsidRPr="00C9680B" w:rsidRDefault="001C7BF9">
            <w:pPr>
              <w:pStyle w:val="TabellRader"/>
              <w:spacing w:before="160" w:line="180" w:lineRule="exact"/>
              <w:rPr>
                <w:rFonts w:ascii="Times New Roman" w:hAnsi="Times New Roman"/>
              </w:rPr>
            </w:pPr>
            <w:r w:rsidRPr="00C9680B">
              <w:rPr>
                <w:rFonts w:ascii="Times New Roman" w:hAnsi="Times New Roman"/>
              </w:rPr>
              <w:t>0,08</w:t>
            </w:r>
          </w:p>
        </w:tc>
      </w:tr>
      <w:tr w:rsidR="00000000" w:rsidRPr="00C9680B">
        <w:tblPrEx>
          <w:tblCellMar>
            <w:top w:w="0" w:type="dxa"/>
            <w:bottom w:w="0" w:type="dxa"/>
          </w:tblCellMar>
        </w:tblPrEx>
        <w:trPr>
          <w:gridBefore w:val="1"/>
          <w:gridAfter w:val="2"/>
          <w:wBefore w:w="94" w:type="dxa"/>
          <w:wAfter w:w="191" w:type="dxa"/>
          <w:jc w:val="right"/>
        </w:trPr>
        <w:tc>
          <w:tcPr>
            <w:tcW w:w="2411" w:type="dxa"/>
            <w:gridSpan w:val="6"/>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varav sänkt energi</w:t>
            </w:r>
            <w:r w:rsidRPr="00C9680B">
              <w:rPr>
                <w:rFonts w:ascii="Times New Roman" w:hAnsi="Times New Roman"/>
              </w:rPr>
              <w:t>s</w:t>
            </w:r>
            <w:r w:rsidRPr="00C9680B">
              <w:rPr>
                <w:rFonts w:ascii="Times New Roman" w:hAnsi="Times New Roman"/>
              </w:rPr>
              <w:t>katt</w:t>
            </w:r>
          </w:p>
        </w:tc>
        <w:tc>
          <w:tcPr>
            <w:tcW w:w="628"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-3,06</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-3,18</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-3,04</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-2,96</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-3,04</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-2,67</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-2,67</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-2,61</w:t>
            </w:r>
          </w:p>
        </w:tc>
      </w:tr>
      <w:tr w:rsidR="00000000" w:rsidRPr="00C9680B">
        <w:tblPrEx>
          <w:tblCellMar>
            <w:top w:w="0" w:type="dxa"/>
            <w:bottom w:w="0" w:type="dxa"/>
          </w:tblCellMar>
        </w:tblPrEx>
        <w:trPr>
          <w:gridBefore w:val="1"/>
          <w:gridAfter w:val="2"/>
          <w:wBefore w:w="94" w:type="dxa"/>
          <w:wAfter w:w="191" w:type="dxa"/>
          <w:jc w:val="right"/>
        </w:trPr>
        <w:tc>
          <w:tcPr>
            <w:tcW w:w="2411" w:type="dxa"/>
            <w:gridSpan w:val="6"/>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varav höjd koldioxid</w:t>
            </w:r>
            <w:r w:rsidRPr="00C9680B">
              <w:rPr>
                <w:rFonts w:ascii="Times New Roman" w:hAnsi="Times New Roman"/>
              </w:rPr>
              <w:t>s</w:t>
            </w:r>
            <w:r w:rsidRPr="00C9680B">
              <w:rPr>
                <w:rFonts w:ascii="Times New Roman" w:hAnsi="Times New Roman"/>
              </w:rPr>
              <w:t>katt</w:t>
            </w:r>
          </w:p>
        </w:tc>
        <w:tc>
          <w:tcPr>
            <w:tcW w:w="628"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3,06</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3,21</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3,05</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2,98</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3,16</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2,75</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2,75</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2,70</w:t>
            </w:r>
          </w:p>
        </w:tc>
      </w:tr>
      <w:tr w:rsidR="00000000" w:rsidRPr="00C9680B">
        <w:tblPrEx>
          <w:tblCellMar>
            <w:top w:w="0" w:type="dxa"/>
            <w:bottom w:w="0" w:type="dxa"/>
          </w:tblCellMar>
        </w:tblPrEx>
        <w:trPr>
          <w:gridBefore w:val="1"/>
          <w:gridAfter w:val="2"/>
          <w:wBefore w:w="94" w:type="dxa"/>
          <w:wAfter w:w="191" w:type="dxa"/>
          <w:jc w:val="right"/>
        </w:trPr>
        <w:tc>
          <w:tcPr>
            <w:tcW w:w="2411" w:type="dxa"/>
            <w:gridSpan w:val="6"/>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varav förändrad indexering punk</w:t>
            </w:r>
            <w:r w:rsidRPr="00C9680B">
              <w:rPr>
                <w:rFonts w:ascii="Times New Roman" w:hAnsi="Times New Roman"/>
              </w:rPr>
              <w:t>t</w:t>
            </w:r>
            <w:r w:rsidRPr="00C9680B">
              <w:rPr>
                <w:rFonts w:ascii="Times New Roman" w:hAnsi="Times New Roman"/>
              </w:rPr>
              <w:t>skatter</w:t>
            </w:r>
          </w:p>
        </w:tc>
        <w:tc>
          <w:tcPr>
            <w:tcW w:w="628" w:type="dxa"/>
            <w:gridSpan w:val="3"/>
          </w:tcPr>
          <w:p w:rsidR="001C7BF9" w:rsidRPr="00C9680B" w:rsidRDefault="001C7BF9">
            <w:pPr>
              <w:pStyle w:val="TabellRader"/>
              <w:spacing w:before="160" w:after="0" w:line="180" w:lineRule="exact"/>
              <w:rPr>
                <w:rFonts w:ascii="Times New Roman" w:hAnsi="Times New Roman"/>
              </w:rPr>
            </w:pPr>
            <w:r w:rsidRPr="00C9680B">
              <w:rPr>
                <w:rFonts w:ascii="Times New Roman" w:hAnsi="Times New Roman"/>
              </w:rPr>
              <w:t>0</w:t>
            </w:r>
          </w:p>
        </w:tc>
        <w:tc>
          <w:tcPr>
            <w:tcW w:w="629" w:type="dxa"/>
            <w:gridSpan w:val="3"/>
          </w:tcPr>
          <w:p w:rsidR="001C7BF9" w:rsidRPr="00C9680B" w:rsidRDefault="001C7BF9">
            <w:pPr>
              <w:pStyle w:val="TabellRader"/>
              <w:spacing w:before="160" w:after="0" w:line="180" w:lineRule="exact"/>
              <w:rPr>
                <w:rFonts w:ascii="Times New Roman" w:hAnsi="Times New Roman"/>
              </w:rPr>
            </w:pPr>
            <w:r w:rsidRPr="00C9680B">
              <w:rPr>
                <w:rFonts w:ascii="Times New Roman" w:hAnsi="Times New Roman"/>
              </w:rPr>
              <w:t>-0,13</w:t>
            </w:r>
          </w:p>
        </w:tc>
        <w:tc>
          <w:tcPr>
            <w:tcW w:w="629" w:type="dxa"/>
            <w:gridSpan w:val="3"/>
          </w:tcPr>
          <w:p w:rsidR="001C7BF9" w:rsidRPr="00C9680B" w:rsidRDefault="001C7BF9">
            <w:pPr>
              <w:pStyle w:val="TabellRader"/>
              <w:spacing w:before="160" w:after="0" w:line="180" w:lineRule="exact"/>
              <w:rPr>
                <w:rFonts w:ascii="Times New Roman" w:hAnsi="Times New Roman"/>
              </w:rPr>
            </w:pPr>
            <w:r w:rsidRPr="00C9680B">
              <w:rPr>
                <w:rFonts w:ascii="Times New Roman" w:hAnsi="Times New Roman"/>
              </w:rPr>
              <w:t>0</w:t>
            </w:r>
          </w:p>
        </w:tc>
        <w:tc>
          <w:tcPr>
            <w:tcW w:w="629" w:type="dxa"/>
            <w:gridSpan w:val="3"/>
          </w:tcPr>
          <w:p w:rsidR="001C7BF9" w:rsidRPr="00C9680B" w:rsidRDefault="001C7BF9">
            <w:pPr>
              <w:pStyle w:val="TabellRader"/>
              <w:spacing w:before="160" w:after="0" w:line="180" w:lineRule="exact"/>
              <w:rPr>
                <w:rFonts w:ascii="Times New Roman" w:hAnsi="Times New Roman"/>
              </w:rPr>
            </w:pPr>
            <w:r w:rsidRPr="00C9680B">
              <w:rPr>
                <w:rFonts w:ascii="Times New Roman" w:hAnsi="Times New Roman"/>
              </w:rPr>
              <w:t>0</w:t>
            </w:r>
          </w:p>
        </w:tc>
        <w:tc>
          <w:tcPr>
            <w:tcW w:w="629" w:type="dxa"/>
            <w:gridSpan w:val="3"/>
          </w:tcPr>
          <w:p w:rsidR="001C7BF9" w:rsidRPr="00C9680B" w:rsidRDefault="001C7BF9">
            <w:pPr>
              <w:pStyle w:val="TabellRader"/>
              <w:spacing w:before="160" w:after="0" w:line="180" w:lineRule="exact"/>
              <w:rPr>
                <w:rFonts w:ascii="Times New Roman" w:hAnsi="Times New Roman"/>
              </w:rPr>
            </w:pPr>
            <w:r w:rsidRPr="00C9680B">
              <w:rPr>
                <w:rFonts w:ascii="Times New Roman" w:hAnsi="Times New Roman"/>
              </w:rPr>
              <w:t>-0,13</w:t>
            </w:r>
          </w:p>
        </w:tc>
        <w:tc>
          <w:tcPr>
            <w:tcW w:w="629" w:type="dxa"/>
            <w:gridSpan w:val="3"/>
          </w:tcPr>
          <w:p w:rsidR="001C7BF9" w:rsidRPr="00C9680B" w:rsidRDefault="001C7BF9">
            <w:pPr>
              <w:pStyle w:val="TabellRader"/>
              <w:spacing w:before="160" w:after="0" w:line="180" w:lineRule="exact"/>
              <w:rPr>
                <w:rFonts w:ascii="Times New Roman" w:hAnsi="Times New Roman"/>
              </w:rPr>
            </w:pPr>
            <w:r w:rsidRPr="00C9680B">
              <w:rPr>
                <w:rFonts w:ascii="Times New Roman" w:hAnsi="Times New Roman"/>
              </w:rPr>
              <w:t>0</w:t>
            </w:r>
          </w:p>
        </w:tc>
        <w:tc>
          <w:tcPr>
            <w:tcW w:w="629" w:type="dxa"/>
            <w:gridSpan w:val="4"/>
          </w:tcPr>
          <w:p w:rsidR="001C7BF9" w:rsidRPr="00C9680B" w:rsidRDefault="001C7BF9">
            <w:pPr>
              <w:pStyle w:val="TabellRader"/>
              <w:spacing w:before="160" w:after="0" w:line="180" w:lineRule="exact"/>
              <w:rPr>
                <w:rFonts w:ascii="Times New Roman" w:hAnsi="Times New Roman"/>
              </w:rPr>
            </w:pPr>
            <w:r w:rsidRPr="00C9680B">
              <w:rPr>
                <w:rFonts w:ascii="Times New Roman" w:hAnsi="Times New Roman"/>
              </w:rPr>
              <w:t>0</w:t>
            </w:r>
          </w:p>
        </w:tc>
        <w:tc>
          <w:tcPr>
            <w:tcW w:w="629" w:type="dxa"/>
            <w:gridSpan w:val="4"/>
          </w:tcPr>
          <w:p w:rsidR="001C7BF9" w:rsidRPr="00C9680B" w:rsidRDefault="001C7BF9">
            <w:pPr>
              <w:pStyle w:val="TabellRader"/>
              <w:spacing w:before="160" w:after="0" w:line="180" w:lineRule="exact"/>
              <w:rPr>
                <w:rFonts w:ascii="Times New Roman" w:hAnsi="Times New Roman"/>
              </w:rPr>
            </w:pPr>
            <w:r w:rsidRPr="00C9680B">
              <w:rPr>
                <w:rFonts w:ascii="Times New Roman" w:hAnsi="Times New Roman"/>
              </w:rPr>
              <w:t>-0,01</w:t>
            </w:r>
          </w:p>
        </w:tc>
      </w:tr>
      <w:tr w:rsidR="00000000" w:rsidRPr="00C9680B">
        <w:tblPrEx>
          <w:tblCellMar>
            <w:top w:w="0" w:type="dxa"/>
            <w:bottom w:w="0" w:type="dxa"/>
          </w:tblCellMar>
        </w:tblPrEx>
        <w:trPr>
          <w:gridBefore w:val="1"/>
          <w:gridAfter w:val="2"/>
          <w:wBefore w:w="94" w:type="dxa"/>
          <w:wAfter w:w="191" w:type="dxa"/>
          <w:jc w:val="right"/>
        </w:trPr>
        <w:tc>
          <w:tcPr>
            <w:tcW w:w="2411" w:type="dxa"/>
            <w:gridSpan w:val="6"/>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Höjd koldioxidskatt</w:t>
            </w:r>
          </w:p>
        </w:tc>
        <w:tc>
          <w:tcPr>
            <w:tcW w:w="628"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0,96</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1,03</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0,99</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0,97</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0,99</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0,84</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0,84</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0,83</w:t>
            </w:r>
          </w:p>
        </w:tc>
      </w:tr>
      <w:tr w:rsidR="00000000" w:rsidRPr="00C9680B">
        <w:tblPrEx>
          <w:tblCellMar>
            <w:top w:w="0" w:type="dxa"/>
            <w:bottom w:w="0" w:type="dxa"/>
          </w:tblCellMar>
        </w:tblPrEx>
        <w:trPr>
          <w:gridBefore w:val="1"/>
          <w:gridAfter w:val="2"/>
          <w:wBefore w:w="94" w:type="dxa"/>
          <w:wAfter w:w="191" w:type="dxa"/>
          <w:jc w:val="right"/>
        </w:trPr>
        <w:tc>
          <w:tcPr>
            <w:tcW w:w="2411" w:type="dxa"/>
            <w:gridSpan w:val="6"/>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Höjd energiskatt på el</w:t>
            </w:r>
          </w:p>
        </w:tc>
        <w:tc>
          <w:tcPr>
            <w:tcW w:w="628"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2,29</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2,38</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2,32</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2,26</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2,05</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1,80</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1,80</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1,76</w:t>
            </w:r>
          </w:p>
        </w:tc>
      </w:tr>
      <w:tr w:rsidR="00000000" w:rsidRPr="00C9680B">
        <w:tblPrEx>
          <w:tblCellMar>
            <w:top w:w="0" w:type="dxa"/>
            <w:bottom w:w="0" w:type="dxa"/>
          </w:tblCellMar>
        </w:tblPrEx>
        <w:trPr>
          <w:gridBefore w:val="1"/>
          <w:gridAfter w:val="2"/>
          <w:wBefore w:w="94" w:type="dxa"/>
          <w:wAfter w:w="191" w:type="dxa"/>
          <w:jc w:val="right"/>
        </w:trPr>
        <w:tc>
          <w:tcPr>
            <w:tcW w:w="2411" w:type="dxa"/>
            <w:gridSpan w:val="6"/>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Höjd skatt på dies</w:t>
            </w:r>
            <w:r w:rsidRPr="00C9680B">
              <w:rPr>
                <w:rFonts w:ascii="Times New Roman" w:hAnsi="Times New Roman"/>
              </w:rPr>
              <w:t>e</w:t>
            </w:r>
            <w:r w:rsidRPr="00C9680B">
              <w:rPr>
                <w:rFonts w:ascii="Times New Roman" w:hAnsi="Times New Roman"/>
              </w:rPr>
              <w:t>lolja</w:t>
            </w:r>
          </w:p>
        </w:tc>
        <w:tc>
          <w:tcPr>
            <w:tcW w:w="628"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0,30</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0,27</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0,27</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0,25</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0,26</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0,25</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0,25</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0,24</w:t>
            </w:r>
          </w:p>
        </w:tc>
      </w:tr>
      <w:tr w:rsidR="00000000" w:rsidRPr="00C9680B">
        <w:tblPrEx>
          <w:tblCellMar>
            <w:top w:w="0" w:type="dxa"/>
            <w:bottom w:w="0" w:type="dxa"/>
          </w:tblCellMar>
        </w:tblPrEx>
        <w:trPr>
          <w:gridBefore w:val="2"/>
          <w:gridAfter w:val="1"/>
          <w:wBefore w:w="131" w:type="dxa"/>
          <w:wAfter w:w="154" w:type="dxa"/>
          <w:jc w:val="right"/>
        </w:trPr>
        <w:tc>
          <w:tcPr>
            <w:tcW w:w="7442" w:type="dxa"/>
            <w:gridSpan w:val="32"/>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i/>
              </w:rPr>
              <w:t>Sänkta skatter på arbete</w:t>
            </w:r>
          </w:p>
        </w:tc>
      </w:tr>
      <w:tr w:rsidR="00000000" w:rsidRPr="00C9680B">
        <w:tblPrEx>
          <w:tblCellMar>
            <w:top w:w="0" w:type="dxa"/>
            <w:bottom w:w="0" w:type="dxa"/>
          </w:tblCellMar>
        </w:tblPrEx>
        <w:trPr>
          <w:gridBefore w:val="1"/>
          <w:gridAfter w:val="2"/>
          <w:wBefore w:w="94" w:type="dxa"/>
          <w:wAfter w:w="191" w:type="dxa"/>
          <w:jc w:val="right"/>
        </w:trPr>
        <w:tc>
          <w:tcPr>
            <w:tcW w:w="2411" w:type="dxa"/>
            <w:gridSpan w:val="6"/>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Höjda grundavdrag</w:t>
            </w:r>
          </w:p>
        </w:tc>
        <w:tc>
          <w:tcPr>
            <w:tcW w:w="628"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-2,80</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-0,73</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-0,80</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-0,80</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-2,80</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-2,80</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-2,80</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-2,80</w:t>
            </w:r>
          </w:p>
        </w:tc>
      </w:tr>
      <w:tr w:rsidR="00000000" w:rsidRPr="00C9680B">
        <w:tblPrEx>
          <w:tblCellMar>
            <w:top w:w="0" w:type="dxa"/>
            <w:bottom w:w="0" w:type="dxa"/>
          </w:tblCellMar>
        </w:tblPrEx>
        <w:trPr>
          <w:gridBefore w:val="1"/>
          <w:gridAfter w:val="2"/>
          <w:wBefore w:w="94" w:type="dxa"/>
          <w:wAfter w:w="191" w:type="dxa"/>
          <w:jc w:val="right"/>
        </w:trPr>
        <w:tc>
          <w:tcPr>
            <w:tcW w:w="2411" w:type="dxa"/>
            <w:gridSpan w:val="6"/>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Sänkt allmän lön</w:t>
            </w:r>
            <w:r w:rsidRPr="00C9680B">
              <w:rPr>
                <w:rFonts w:ascii="Times New Roman" w:hAnsi="Times New Roman"/>
              </w:rPr>
              <w:t>e</w:t>
            </w:r>
            <w:r w:rsidRPr="00C9680B">
              <w:rPr>
                <w:rFonts w:ascii="Times New Roman" w:hAnsi="Times New Roman"/>
              </w:rPr>
              <w:t>avgift</w:t>
            </w:r>
          </w:p>
        </w:tc>
        <w:tc>
          <w:tcPr>
            <w:tcW w:w="628"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-0,94</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-0,76</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-0,75</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-0,70</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-0,49</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-0,49</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-0,49</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-0,45</w:t>
            </w:r>
          </w:p>
        </w:tc>
      </w:tr>
      <w:tr w:rsidR="00000000" w:rsidRPr="00C9680B">
        <w:tblPrEx>
          <w:tblCellMar>
            <w:top w:w="0" w:type="dxa"/>
            <w:bottom w:w="0" w:type="dxa"/>
          </w:tblCellMar>
        </w:tblPrEx>
        <w:trPr>
          <w:gridBefore w:val="1"/>
          <w:gridAfter w:val="2"/>
          <w:wBefore w:w="97" w:type="dxa"/>
          <w:wAfter w:w="188" w:type="dxa"/>
          <w:jc w:val="right"/>
        </w:trPr>
        <w:tc>
          <w:tcPr>
            <w:tcW w:w="2411" w:type="dxa"/>
            <w:gridSpan w:val="6"/>
          </w:tcPr>
          <w:p w:rsidR="001C7BF9" w:rsidRPr="00C9680B" w:rsidRDefault="001C7BF9">
            <w:pPr>
              <w:pStyle w:val="TabellRader"/>
              <w:spacing w:before="40" w:line="180" w:lineRule="exact"/>
              <w:rPr>
                <w:rFonts w:ascii="Times New Roman" w:hAnsi="Times New Roman"/>
                <w:i/>
              </w:rPr>
            </w:pPr>
            <w:r w:rsidRPr="00C9680B">
              <w:rPr>
                <w:rFonts w:ascii="Times New Roman" w:hAnsi="Times New Roman"/>
                <w:i/>
              </w:rPr>
              <w:t>Delsumma</w:t>
            </w:r>
          </w:p>
        </w:tc>
        <w:tc>
          <w:tcPr>
            <w:tcW w:w="628" w:type="dxa"/>
            <w:gridSpan w:val="3"/>
          </w:tcPr>
          <w:p w:rsidR="001C7BF9" w:rsidRPr="00C9680B" w:rsidRDefault="001C7BF9">
            <w:pPr>
              <w:pStyle w:val="TabellRader"/>
              <w:spacing w:before="40" w:line="180" w:lineRule="exact"/>
              <w:rPr>
                <w:rFonts w:ascii="Times New Roman" w:hAnsi="Times New Roman"/>
                <w:i/>
              </w:rPr>
            </w:pPr>
            <w:r w:rsidRPr="00C9680B">
              <w:rPr>
                <w:rFonts w:ascii="Times New Roman" w:hAnsi="Times New Roman"/>
                <w:i/>
              </w:rPr>
              <w:t>-24,81</w:t>
            </w:r>
          </w:p>
        </w:tc>
        <w:tc>
          <w:tcPr>
            <w:tcW w:w="629" w:type="dxa"/>
            <w:gridSpan w:val="3"/>
          </w:tcPr>
          <w:p w:rsidR="001C7BF9" w:rsidRPr="00C9680B" w:rsidRDefault="001C7BF9">
            <w:pPr>
              <w:pStyle w:val="TabellRader"/>
              <w:spacing w:before="40" w:line="180" w:lineRule="exact"/>
              <w:rPr>
                <w:rFonts w:ascii="Times New Roman" w:hAnsi="Times New Roman"/>
                <w:i/>
              </w:rPr>
            </w:pPr>
            <w:r w:rsidRPr="00C9680B">
              <w:rPr>
                <w:rFonts w:ascii="Times New Roman" w:hAnsi="Times New Roman"/>
                <w:i/>
              </w:rPr>
              <w:t>-14,05</w:t>
            </w:r>
          </w:p>
        </w:tc>
        <w:tc>
          <w:tcPr>
            <w:tcW w:w="629" w:type="dxa"/>
            <w:gridSpan w:val="3"/>
          </w:tcPr>
          <w:p w:rsidR="001C7BF9" w:rsidRPr="00C9680B" w:rsidRDefault="001C7BF9">
            <w:pPr>
              <w:pStyle w:val="TabellRader"/>
              <w:spacing w:before="40" w:line="180" w:lineRule="exact"/>
              <w:rPr>
                <w:rFonts w:ascii="Times New Roman" w:hAnsi="Times New Roman"/>
                <w:i/>
              </w:rPr>
            </w:pPr>
            <w:r w:rsidRPr="00C9680B">
              <w:rPr>
                <w:rFonts w:ascii="Times New Roman" w:hAnsi="Times New Roman"/>
                <w:i/>
              </w:rPr>
              <w:t>-21,26</w:t>
            </w:r>
          </w:p>
        </w:tc>
        <w:tc>
          <w:tcPr>
            <w:tcW w:w="629" w:type="dxa"/>
            <w:gridSpan w:val="3"/>
          </w:tcPr>
          <w:p w:rsidR="001C7BF9" w:rsidRPr="00C9680B" w:rsidRDefault="001C7BF9">
            <w:pPr>
              <w:pStyle w:val="TabellRader"/>
              <w:spacing w:before="40" w:line="180" w:lineRule="exact"/>
              <w:rPr>
                <w:rFonts w:ascii="Times New Roman" w:hAnsi="Times New Roman"/>
                <w:i/>
              </w:rPr>
            </w:pPr>
            <w:r w:rsidRPr="00C9680B">
              <w:rPr>
                <w:rFonts w:ascii="Times New Roman" w:hAnsi="Times New Roman"/>
                <w:i/>
              </w:rPr>
              <w:t>-25,90</w:t>
            </w:r>
          </w:p>
        </w:tc>
        <w:tc>
          <w:tcPr>
            <w:tcW w:w="629" w:type="dxa"/>
            <w:gridSpan w:val="3"/>
          </w:tcPr>
          <w:p w:rsidR="001C7BF9" w:rsidRPr="00C9680B" w:rsidRDefault="001C7BF9">
            <w:pPr>
              <w:pStyle w:val="TabellRader"/>
              <w:spacing w:before="40" w:line="180" w:lineRule="exact"/>
              <w:rPr>
                <w:rFonts w:ascii="Times New Roman" w:hAnsi="Times New Roman"/>
                <w:i/>
              </w:rPr>
            </w:pPr>
            <w:r w:rsidRPr="00C9680B">
              <w:rPr>
                <w:rFonts w:ascii="Times New Roman" w:hAnsi="Times New Roman"/>
                <w:i/>
              </w:rPr>
              <w:t>-24,62</w:t>
            </w:r>
          </w:p>
        </w:tc>
        <w:tc>
          <w:tcPr>
            <w:tcW w:w="629" w:type="dxa"/>
            <w:gridSpan w:val="3"/>
          </w:tcPr>
          <w:p w:rsidR="001C7BF9" w:rsidRPr="00C9680B" w:rsidRDefault="001C7BF9">
            <w:pPr>
              <w:pStyle w:val="TabellRader"/>
              <w:spacing w:before="40" w:line="180" w:lineRule="exact"/>
              <w:rPr>
                <w:rFonts w:ascii="Times New Roman" w:hAnsi="Times New Roman"/>
                <w:i/>
              </w:rPr>
            </w:pPr>
            <w:r w:rsidRPr="00C9680B">
              <w:rPr>
                <w:rFonts w:ascii="Times New Roman" w:hAnsi="Times New Roman"/>
                <w:i/>
              </w:rPr>
              <w:t>-23,16</w:t>
            </w:r>
          </w:p>
        </w:tc>
        <w:tc>
          <w:tcPr>
            <w:tcW w:w="629" w:type="dxa"/>
            <w:gridSpan w:val="4"/>
          </w:tcPr>
          <w:p w:rsidR="001C7BF9" w:rsidRPr="00C9680B" w:rsidRDefault="001C7BF9">
            <w:pPr>
              <w:pStyle w:val="TabellRader"/>
              <w:spacing w:before="40" w:line="180" w:lineRule="exact"/>
              <w:rPr>
                <w:rFonts w:ascii="Times New Roman" w:hAnsi="Times New Roman"/>
                <w:i/>
              </w:rPr>
            </w:pPr>
            <w:r w:rsidRPr="00C9680B">
              <w:rPr>
                <w:rFonts w:ascii="Times New Roman" w:hAnsi="Times New Roman"/>
                <w:i/>
              </w:rPr>
              <w:t>-23,25</w:t>
            </w:r>
          </w:p>
        </w:tc>
        <w:tc>
          <w:tcPr>
            <w:tcW w:w="629" w:type="dxa"/>
            <w:gridSpan w:val="4"/>
          </w:tcPr>
          <w:p w:rsidR="001C7BF9" w:rsidRPr="00C9680B" w:rsidRDefault="001C7BF9">
            <w:pPr>
              <w:pStyle w:val="TabellRader"/>
              <w:spacing w:before="40" w:line="180" w:lineRule="exact"/>
              <w:rPr>
                <w:rFonts w:ascii="Times New Roman" w:hAnsi="Times New Roman"/>
                <w:i/>
              </w:rPr>
            </w:pPr>
            <w:r w:rsidRPr="00C9680B">
              <w:rPr>
                <w:rFonts w:ascii="Times New Roman" w:hAnsi="Times New Roman"/>
                <w:i/>
              </w:rPr>
              <w:t>-23,77</w:t>
            </w:r>
          </w:p>
        </w:tc>
      </w:tr>
      <w:tr w:rsidR="00000000" w:rsidRPr="00C9680B">
        <w:tblPrEx>
          <w:tblCellMar>
            <w:top w:w="0" w:type="dxa"/>
            <w:left w:w="107" w:type="dxa"/>
            <w:bottom w:w="0" w:type="dxa"/>
            <w:right w:w="107" w:type="dxa"/>
          </w:tblCellMar>
        </w:tblPrEx>
        <w:trPr>
          <w:gridBefore w:val="1"/>
          <w:gridAfter w:val="1"/>
          <w:wBefore w:w="95" w:type="dxa"/>
          <w:wAfter w:w="154" w:type="dxa"/>
          <w:jc w:val="right"/>
        </w:trPr>
        <w:tc>
          <w:tcPr>
            <w:tcW w:w="7478" w:type="dxa"/>
            <w:gridSpan w:val="33"/>
            <w:tcBorders>
              <w:top w:val="single" w:sz="4" w:space="0" w:color="auto"/>
              <w:bottom w:val="single" w:sz="4" w:space="0" w:color="auto"/>
            </w:tcBorders>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II. Förslag i andra propositi</w:t>
            </w:r>
            <w:r w:rsidRPr="00C9680B">
              <w:rPr>
                <w:rFonts w:ascii="Times New Roman" w:hAnsi="Times New Roman"/>
              </w:rPr>
              <w:t>o</w:t>
            </w:r>
            <w:r w:rsidRPr="00C9680B">
              <w:rPr>
                <w:rFonts w:ascii="Times New Roman" w:hAnsi="Times New Roman"/>
              </w:rPr>
              <w:t>ner</w:t>
            </w:r>
          </w:p>
        </w:tc>
      </w:tr>
      <w:tr w:rsidR="00000000" w:rsidRPr="00C9680B">
        <w:tblPrEx>
          <w:tblCellMar>
            <w:top w:w="0" w:type="dxa"/>
            <w:left w:w="107" w:type="dxa"/>
            <w:bottom w:w="0" w:type="dxa"/>
            <w:right w:w="107" w:type="dxa"/>
          </w:tblCellMar>
        </w:tblPrEx>
        <w:trPr>
          <w:gridAfter w:val="3"/>
          <w:wAfter w:w="249" w:type="dxa"/>
          <w:jc w:val="right"/>
        </w:trPr>
        <w:tc>
          <w:tcPr>
            <w:tcW w:w="2411" w:type="dxa"/>
            <w:gridSpan w:val="6"/>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Sänkt moms djurpa</w:t>
            </w:r>
            <w:r w:rsidRPr="00C9680B">
              <w:rPr>
                <w:rFonts w:ascii="Times New Roman" w:hAnsi="Times New Roman"/>
              </w:rPr>
              <w:t>r</w:t>
            </w:r>
            <w:r w:rsidRPr="00C9680B">
              <w:rPr>
                <w:rFonts w:ascii="Times New Roman" w:hAnsi="Times New Roman"/>
              </w:rPr>
              <w:t>ker</w:t>
            </w:r>
          </w:p>
        </w:tc>
        <w:tc>
          <w:tcPr>
            <w:tcW w:w="664"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-0,02</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-0,02</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-0,01</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-0,01</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-0,02</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-0,01</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-0,01</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-0,01</w:t>
            </w:r>
          </w:p>
        </w:tc>
      </w:tr>
      <w:tr w:rsidR="00000000" w:rsidRPr="00C9680B">
        <w:tblPrEx>
          <w:tblCellMar>
            <w:top w:w="0" w:type="dxa"/>
            <w:left w:w="107" w:type="dxa"/>
            <w:bottom w:w="0" w:type="dxa"/>
            <w:right w:w="107" w:type="dxa"/>
          </w:tblCellMar>
        </w:tblPrEx>
        <w:trPr>
          <w:gridAfter w:val="3"/>
          <w:wAfter w:w="249" w:type="dxa"/>
          <w:jc w:val="right"/>
        </w:trPr>
        <w:tc>
          <w:tcPr>
            <w:tcW w:w="2411" w:type="dxa"/>
            <w:gridSpan w:val="6"/>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Yrkesfiskaravdrag</w:t>
            </w:r>
          </w:p>
        </w:tc>
        <w:tc>
          <w:tcPr>
            <w:tcW w:w="664"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-0,02</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-0,01</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-0,01</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-0,01</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-0,01</w:t>
            </w:r>
          </w:p>
        </w:tc>
      </w:tr>
      <w:tr w:rsidR="00000000" w:rsidRPr="00C9680B">
        <w:tblPrEx>
          <w:tblCellMar>
            <w:top w:w="0" w:type="dxa"/>
            <w:left w:w="107" w:type="dxa"/>
            <w:bottom w:w="0" w:type="dxa"/>
            <w:right w:w="107" w:type="dxa"/>
          </w:tblCellMar>
        </w:tblPrEx>
        <w:trPr>
          <w:gridAfter w:val="3"/>
          <w:wAfter w:w="249" w:type="dxa"/>
          <w:jc w:val="right"/>
        </w:trPr>
        <w:tc>
          <w:tcPr>
            <w:tcW w:w="2411" w:type="dxa"/>
            <w:gridSpan w:val="6"/>
          </w:tcPr>
          <w:p w:rsidR="001C7BF9" w:rsidRPr="00C9680B" w:rsidRDefault="001C7BF9">
            <w:pPr>
              <w:pStyle w:val="TabellRader"/>
              <w:spacing w:before="40" w:line="180" w:lineRule="exact"/>
              <w:jc w:val="left"/>
              <w:rPr>
                <w:rFonts w:ascii="Times New Roman" w:hAnsi="Times New Roman"/>
              </w:rPr>
            </w:pPr>
            <w:r w:rsidRPr="00C9680B">
              <w:rPr>
                <w:rFonts w:ascii="Times New Roman" w:hAnsi="Times New Roman"/>
              </w:rPr>
              <w:t>Differentierad väga</w:t>
            </w:r>
            <w:r w:rsidRPr="00C9680B">
              <w:rPr>
                <w:rFonts w:ascii="Times New Roman" w:hAnsi="Times New Roman"/>
              </w:rPr>
              <w:t>v</w:t>
            </w:r>
            <w:r w:rsidRPr="00C9680B">
              <w:rPr>
                <w:rFonts w:ascii="Times New Roman" w:hAnsi="Times New Roman"/>
              </w:rPr>
              <w:t>gift</w:t>
            </w:r>
          </w:p>
        </w:tc>
        <w:tc>
          <w:tcPr>
            <w:tcW w:w="664"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0,07</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0,06</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0,07</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0,07</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0,07</w:t>
            </w:r>
          </w:p>
        </w:tc>
        <w:tc>
          <w:tcPr>
            <w:tcW w:w="629" w:type="dxa"/>
            <w:gridSpan w:val="3"/>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0,07</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0,07</w:t>
            </w:r>
          </w:p>
        </w:tc>
        <w:tc>
          <w:tcPr>
            <w:tcW w:w="629" w:type="dxa"/>
            <w:gridSpan w:val="4"/>
          </w:tcPr>
          <w:p w:rsidR="001C7BF9" w:rsidRPr="00C9680B" w:rsidRDefault="001C7BF9">
            <w:pPr>
              <w:pStyle w:val="TabellRader"/>
              <w:spacing w:before="40" w:line="180" w:lineRule="exact"/>
              <w:rPr>
                <w:rFonts w:ascii="Times New Roman" w:hAnsi="Times New Roman"/>
              </w:rPr>
            </w:pPr>
            <w:r w:rsidRPr="00C9680B">
              <w:rPr>
                <w:rFonts w:ascii="Times New Roman" w:hAnsi="Times New Roman"/>
              </w:rPr>
              <w:t>0,07</w:t>
            </w:r>
          </w:p>
        </w:tc>
      </w:tr>
      <w:tr w:rsidR="00000000" w:rsidRPr="00C9680B">
        <w:tblPrEx>
          <w:tblCellMar>
            <w:top w:w="0" w:type="dxa"/>
            <w:left w:w="107" w:type="dxa"/>
            <w:bottom w:w="0" w:type="dxa"/>
            <w:right w:w="107" w:type="dxa"/>
          </w:tblCellMar>
        </w:tblPrEx>
        <w:trPr>
          <w:gridAfter w:val="3"/>
          <w:wAfter w:w="249" w:type="dxa"/>
          <w:jc w:val="right"/>
        </w:trPr>
        <w:tc>
          <w:tcPr>
            <w:tcW w:w="2411" w:type="dxa"/>
            <w:gridSpan w:val="6"/>
          </w:tcPr>
          <w:p w:rsidR="001C7BF9" w:rsidRPr="00C9680B" w:rsidRDefault="001C7BF9">
            <w:pPr>
              <w:pStyle w:val="TabellRader"/>
              <w:spacing w:before="40" w:line="180" w:lineRule="exact"/>
              <w:jc w:val="left"/>
              <w:rPr>
                <w:rFonts w:ascii="Times New Roman" w:hAnsi="Times New Roman"/>
              </w:rPr>
            </w:pPr>
          </w:p>
        </w:tc>
        <w:tc>
          <w:tcPr>
            <w:tcW w:w="664" w:type="dxa"/>
            <w:gridSpan w:val="3"/>
          </w:tcPr>
          <w:p w:rsidR="001C7BF9" w:rsidRPr="00C9680B" w:rsidRDefault="001C7BF9">
            <w:pPr>
              <w:pStyle w:val="TabellRader"/>
              <w:spacing w:before="40" w:line="180" w:lineRule="exact"/>
              <w:rPr>
                <w:rFonts w:ascii="Times New Roman" w:hAnsi="Times New Roman"/>
              </w:rPr>
            </w:pPr>
          </w:p>
        </w:tc>
        <w:tc>
          <w:tcPr>
            <w:tcW w:w="629" w:type="dxa"/>
            <w:gridSpan w:val="3"/>
          </w:tcPr>
          <w:p w:rsidR="001C7BF9" w:rsidRPr="00C9680B" w:rsidRDefault="001C7BF9">
            <w:pPr>
              <w:pStyle w:val="TabellRader"/>
              <w:spacing w:before="40" w:line="180" w:lineRule="exact"/>
              <w:rPr>
                <w:rFonts w:ascii="Times New Roman" w:hAnsi="Times New Roman"/>
              </w:rPr>
            </w:pPr>
          </w:p>
        </w:tc>
        <w:tc>
          <w:tcPr>
            <w:tcW w:w="629" w:type="dxa"/>
            <w:gridSpan w:val="3"/>
          </w:tcPr>
          <w:p w:rsidR="001C7BF9" w:rsidRPr="00C9680B" w:rsidRDefault="001C7BF9">
            <w:pPr>
              <w:pStyle w:val="TabellRader"/>
              <w:spacing w:before="40" w:line="180" w:lineRule="exact"/>
              <w:rPr>
                <w:rFonts w:ascii="Times New Roman" w:hAnsi="Times New Roman"/>
              </w:rPr>
            </w:pPr>
          </w:p>
        </w:tc>
        <w:tc>
          <w:tcPr>
            <w:tcW w:w="629" w:type="dxa"/>
            <w:gridSpan w:val="3"/>
          </w:tcPr>
          <w:p w:rsidR="001C7BF9" w:rsidRPr="00C9680B" w:rsidRDefault="001C7BF9">
            <w:pPr>
              <w:pStyle w:val="TabellRader"/>
              <w:spacing w:before="40" w:line="180" w:lineRule="exact"/>
              <w:rPr>
                <w:rFonts w:ascii="Times New Roman" w:hAnsi="Times New Roman"/>
              </w:rPr>
            </w:pPr>
          </w:p>
        </w:tc>
        <w:tc>
          <w:tcPr>
            <w:tcW w:w="629" w:type="dxa"/>
            <w:gridSpan w:val="3"/>
          </w:tcPr>
          <w:p w:rsidR="001C7BF9" w:rsidRPr="00C9680B" w:rsidRDefault="001C7BF9">
            <w:pPr>
              <w:pStyle w:val="TabellRader"/>
              <w:spacing w:before="40" w:line="180" w:lineRule="exact"/>
              <w:rPr>
                <w:rFonts w:ascii="Times New Roman" w:hAnsi="Times New Roman"/>
              </w:rPr>
            </w:pPr>
          </w:p>
        </w:tc>
        <w:tc>
          <w:tcPr>
            <w:tcW w:w="629" w:type="dxa"/>
            <w:gridSpan w:val="3"/>
          </w:tcPr>
          <w:p w:rsidR="001C7BF9" w:rsidRPr="00C9680B" w:rsidRDefault="001C7BF9">
            <w:pPr>
              <w:pStyle w:val="TabellRader"/>
              <w:spacing w:before="40" w:line="180" w:lineRule="exact"/>
              <w:rPr>
                <w:rFonts w:ascii="Times New Roman" w:hAnsi="Times New Roman"/>
              </w:rPr>
            </w:pPr>
          </w:p>
        </w:tc>
        <w:tc>
          <w:tcPr>
            <w:tcW w:w="629" w:type="dxa"/>
            <w:gridSpan w:val="4"/>
          </w:tcPr>
          <w:p w:rsidR="001C7BF9" w:rsidRPr="00C9680B" w:rsidRDefault="001C7BF9">
            <w:pPr>
              <w:pStyle w:val="TabellRader"/>
              <w:spacing w:before="40" w:line="180" w:lineRule="exact"/>
              <w:rPr>
                <w:rFonts w:ascii="Times New Roman" w:hAnsi="Times New Roman"/>
              </w:rPr>
            </w:pPr>
          </w:p>
        </w:tc>
        <w:tc>
          <w:tcPr>
            <w:tcW w:w="629" w:type="dxa"/>
            <w:gridSpan w:val="4"/>
          </w:tcPr>
          <w:p w:rsidR="001C7BF9" w:rsidRPr="00C9680B" w:rsidRDefault="001C7BF9">
            <w:pPr>
              <w:pStyle w:val="TabellRader"/>
              <w:spacing w:before="40" w:line="180" w:lineRule="exact"/>
              <w:rPr>
                <w:rFonts w:ascii="Times New Roman" w:hAnsi="Times New Roman"/>
              </w:rPr>
            </w:pPr>
          </w:p>
        </w:tc>
      </w:tr>
      <w:tr w:rsidR="00000000" w:rsidRPr="00C9680B">
        <w:tblPrEx>
          <w:tblCellMar>
            <w:top w:w="0" w:type="dxa"/>
            <w:left w:w="107" w:type="dxa"/>
            <w:bottom w:w="0" w:type="dxa"/>
            <w:right w:w="107" w:type="dxa"/>
          </w:tblCellMar>
        </w:tblPrEx>
        <w:trPr>
          <w:gridAfter w:val="3"/>
          <w:wAfter w:w="249" w:type="dxa"/>
          <w:jc w:val="right"/>
        </w:trPr>
        <w:tc>
          <w:tcPr>
            <w:tcW w:w="2411" w:type="dxa"/>
            <w:gridSpan w:val="6"/>
          </w:tcPr>
          <w:p w:rsidR="001C7BF9" w:rsidRPr="00C9680B" w:rsidRDefault="001C7BF9">
            <w:pPr>
              <w:pStyle w:val="TabellRader"/>
              <w:spacing w:before="40" w:line="180" w:lineRule="exact"/>
              <w:rPr>
                <w:rFonts w:ascii="Times New Roman" w:hAnsi="Times New Roman"/>
                <w:i/>
              </w:rPr>
            </w:pPr>
            <w:r w:rsidRPr="00C9680B">
              <w:rPr>
                <w:rFonts w:ascii="Times New Roman" w:hAnsi="Times New Roman"/>
                <w:i/>
              </w:rPr>
              <w:t>Delsumma</w:t>
            </w:r>
          </w:p>
        </w:tc>
        <w:tc>
          <w:tcPr>
            <w:tcW w:w="664" w:type="dxa"/>
            <w:gridSpan w:val="3"/>
          </w:tcPr>
          <w:p w:rsidR="001C7BF9" w:rsidRPr="00C9680B" w:rsidRDefault="001C7BF9">
            <w:pPr>
              <w:pStyle w:val="TabellRader"/>
              <w:spacing w:before="40" w:line="180" w:lineRule="exact"/>
              <w:rPr>
                <w:rFonts w:ascii="Times New Roman" w:hAnsi="Times New Roman"/>
                <w:i/>
              </w:rPr>
            </w:pPr>
            <w:r w:rsidRPr="00C9680B">
              <w:rPr>
                <w:rFonts w:ascii="Times New Roman" w:hAnsi="Times New Roman"/>
                <w:i/>
              </w:rPr>
              <w:t>0,03</w:t>
            </w:r>
          </w:p>
        </w:tc>
        <w:tc>
          <w:tcPr>
            <w:tcW w:w="629" w:type="dxa"/>
            <w:gridSpan w:val="3"/>
          </w:tcPr>
          <w:p w:rsidR="001C7BF9" w:rsidRPr="00C9680B" w:rsidRDefault="001C7BF9">
            <w:pPr>
              <w:pStyle w:val="TabellRader"/>
              <w:spacing w:before="40" w:line="180" w:lineRule="exact"/>
              <w:rPr>
                <w:rFonts w:ascii="Times New Roman" w:hAnsi="Times New Roman"/>
                <w:i/>
              </w:rPr>
            </w:pPr>
            <w:r w:rsidRPr="00C9680B">
              <w:rPr>
                <w:rFonts w:ascii="Times New Roman" w:hAnsi="Times New Roman"/>
                <w:i/>
              </w:rPr>
              <w:t>0,04</w:t>
            </w:r>
          </w:p>
        </w:tc>
        <w:tc>
          <w:tcPr>
            <w:tcW w:w="629" w:type="dxa"/>
            <w:gridSpan w:val="3"/>
          </w:tcPr>
          <w:p w:rsidR="001C7BF9" w:rsidRPr="00C9680B" w:rsidRDefault="001C7BF9">
            <w:pPr>
              <w:pStyle w:val="TabellRader"/>
              <w:spacing w:before="40" w:line="180" w:lineRule="exact"/>
              <w:rPr>
                <w:rFonts w:ascii="Times New Roman" w:hAnsi="Times New Roman"/>
                <w:i/>
              </w:rPr>
            </w:pPr>
            <w:r w:rsidRPr="00C9680B">
              <w:rPr>
                <w:rFonts w:ascii="Times New Roman" w:hAnsi="Times New Roman"/>
                <w:i/>
              </w:rPr>
              <w:t>0,06</w:t>
            </w:r>
          </w:p>
        </w:tc>
        <w:tc>
          <w:tcPr>
            <w:tcW w:w="629" w:type="dxa"/>
            <w:gridSpan w:val="3"/>
          </w:tcPr>
          <w:p w:rsidR="001C7BF9" w:rsidRPr="00C9680B" w:rsidRDefault="001C7BF9">
            <w:pPr>
              <w:pStyle w:val="TabellRader"/>
              <w:spacing w:before="40" w:line="180" w:lineRule="exact"/>
              <w:rPr>
                <w:rFonts w:ascii="Times New Roman" w:hAnsi="Times New Roman"/>
                <w:i/>
              </w:rPr>
            </w:pPr>
            <w:r w:rsidRPr="00C9680B">
              <w:rPr>
                <w:rFonts w:ascii="Times New Roman" w:hAnsi="Times New Roman"/>
                <w:i/>
              </w:rPr>
              <w:t>0,06</w:t>
            </w:r>
          </w:p>
        </w:tc>
        <w:tc>
          <w:tcPr>
            <w:tcW w:w="629" w:type="dxa"/>
            <w:gridSpan w:val="3"/>
          </w:tcPr>
          <w:p w:rsidR="001C7BF9" w:rsidRPr="00C9680B" w:rsidRDefault="001C7BF9">
            <w:pPr>
              <w:pStyle w:val="TabellRader"/>
              <w:spacing w:before="40" w:line="180" w:lineRule="exact"/>
              <w:rPr>
                <w:rFonts w:ascii="Times New Roman" w:hAnsi="Times New Roman"/>
                <w:i/>
              </w:rPr>
            </w:pPr>
            <w:r w:rsidRPr="00C9680B">
              <w:rPr>
                <w:rFonts w:ascii="Times New Roman" w:hAnsi="Times New Roman"/>
                <w:i/>
              </w:rPr>
              <w:t>0,04</w:t>
            </w:r>
          </w:p>
        </w:tc>
        <w:tc>
          <w:tcPr>
            <w:tcW w:w="629" w:type="dxa"/>
            <w:gridSpan w:val="3"/>
          </w:tcPr>
          <w:p w:rsidR="001C7BF9" w:rsidRPr="00C9680B" w:rsidRDefault="001C7BF9">
            <w:pPr>
              <w:pStyle w:val="TabellRader"/>
              <w:spacing w:before="40" w:line="180" w:lineRule="exact"/>
              <w:rPr>
                <w:rFonts w:ascii="Times New Roman" w:hAnsi="Times New Roman"/>
                <w:i/>
              </w:rPr>
            </w:pPr>
            <w:r w:rsidRPr="00C9680B">
              <w:rPr>
                <w:rFonts w:ascii="Times New Roman" w:hAnsi="Times New Roman"/>
                <w:i/>
              </w:rPr>
              <w:t>0,05</w:t>
            </w:r>
          </w:p>
        </w:tc>
        <w:tc>
          <w:tcPr>
            <w:tcW w:w="629" w:type="dxa"/>
            <w:gridSpan w:val="4"/>
          </w:tcPr>
          <w:p w:rsidR="001C7BF9" w:rsidRPr="00C9680B" w:rsidRDefault="001C7BF9">
            <w:pPr>
              <w:pStyle w:val="TabellRader"/>
              <w:spacing w:before="40" w:line="180" w:lineRule="exact"/>
              <w:rPr>
                <w:rFonts w:ascii="Times New Roman" w:hAnsi="Times New Roman"/>
                <w:i/>
              </w:rPr>
            </w:pPr>
            <w:r w:rsidRPr="00C9680B">
              <w:rPr>
                <w:rFonts w:ascii="Times New Roman" w:hAnsi="Times New Roman"/>
                <w:i/>
              </w:rPr>
              <w:t>0,05</w:t>
            </w:r>
          </w:p>
        </w:tc>
        <w:tc>
          <w:tcPr>
            <w:tcW w:w="629" w:type="dxa"/>
            <w:gridSpan w:val="4"/>
          </w:tcPr>
          <w:p w:rsidR="001C7BF9" w:rsidRPr="00C9680B" w:rsidRDefault="001C7BF9">
            <w:pPr>
              <w:pStyle w:val="TabellRader"/>
              <w:spacing w:before="40" w:line="180" w:lineRule="exact"/>
              <w:rPr>
                <w:rFonts w:ascii="Times New Roman" w:hAnsi="Times New Roman"/>
                <w:i/>
              </w:rPr>
            </w:pPr>
            <w:r w:rsidRPr="00C9680B">
              <w:rPr>
                <w:rFonts w:ascii="Times New Roman" w:hAnsi="Times New Roman"/>
                <w:i/>
              </w:rPr>
              <w:t>0,05</w:t>
            </w:r>
          </w:p>
        </w:tc>
      </w:tr>
      <w:tr w:rsidR="00000000" w:rsidRPr="00C9680B">
        <w:tblPrEx>
          <w:tblCellMar>
            <w:top w:w="0" w:type="dxa"/>
            <w:left w:w="107" w:type="dxa"/>
            <w:bottom w:w="0" w:type="dxa"/>
            <w:right w:w="107" w:type="dxa"/>
          </w:tblCellMar>
        </w:tblPrEx>
        <w:trPr>
          <w:gridAfter w:val="3"/>
          <w:wAfter w:w="249" w:type="dxa"/>
          <w:jc w:val="right"/>
        </w:trPr>
        <w:tc>
          <w:tcPr>
            <w:tcW w:w="2411" w:type="dxa"/>
            <w:gridSpan w:val="6"/>
          </w:tcPr>
          <w:p w:rsidR="001C7BF9" w:rsidRPr="00C9680B" w:rsidRDefault="001C7BF9">
            <w:pPr>
              <w:pStyle w:val="TabellRader"/>
              <w:spacing w:before="40" w:line="180" w:lineRule="exact"/>
              <w:jc w:val="left"/>
              <w:rPr>
                <w:rFonts w:ascii="Times New Roman" w:hAnsi="Times New Roman"/>
              </w:rPr>
            </w:pPr>
          </w:p>
        </w:tc>
        <w:tc>
          <w:tcPr>
            <w:tcW w:w="664" w:type="dxa"/>
            <w:gridSpan w:val="3"/>
          </w:tcPr>
          <w:p w:rsidR="001C7BF9" w:rsidRPr="00C9680B" w:rsidRDefault="001C7BF9">
            <w:pPr>
              <w:pStyle w:val="TabellRader"/>
              <w:spacing w:before="40" w:line="180" w:lineRule="exact"/>
              <w:rPr>
                <w:rFonts w:ascii="Times New Roman" w:hAnsi="Times New Roman"/>
              </w:rPr>
            </w:pPr>
          </w:p>
        </w:tc>
        <w:tc>
          <w:tcPr>
            <w:tcW w:w="629" w:type="dxa"/>
            <w:gridSpan w:val="3"/>
          </w:tcPr>
          <w:p w:rsidR="001C7BF9" w:rsidRPr="00C9680B" w:rsidRDefault="001C7BF9">
            <w:pPr>
              <w:pStyle w:val="TabellRader"/>
              <w:spacing w:before="40" w:line="180" w:lineRule="exact"/>
              <w:rPr>
                <w:rFonts w:ascii="Times New Roman" w:hAnsi="Times New Roman"/>
              </w:rPr>
            </w:pPr>
          </w:p>
        </w:tc>
        <w:tc>
          <w:tcPr>
            <w:tcW w:w="629" w:type="dxa"/>
            <w:gridSpan w:val="3"/>
          </w:tcPr>
          <w:p w:rsidR="001C7BF9" w:rsidRPr="00C9680B" w:rsidRDefault="001C7BF9">
            <w:pPr>
              <w:pStyle w:val="TabellRader"/>
              <w:spacing w:before="40" w:line="180" w:lineRule="exact"/>
              <w:rPr>
                <w:rFonts w:ascii="Times New Roman" w:hAnsi="Times New Roman"/>
              </w:rPr>
            </w:pPr>
          </w:p>
        </w:tc>
        <w:tc>
          <w:tcPr>
            <w:tcW w:w="629" w:type="dxa"/>
            <w:gridSpan w:val="3"/>
          </w:tcPr>
          <w:p w:rsidR="001C7BF9" w:rsidRPr="00C9680B" w:rsidRDefault="001C7BF9">
            <w:pPr>
              <w:pStyle w:val="TabellRader"/>
              <w:spacing w:before="40" w:line="180" w:lineRule="exact"/>
              <w:rPr>
                <w:rFonts w:ascii="Times New Roman" w:hAnsi="Times New Roman"/>
              </w:rPr>
            </w:pPr>
          </w:p>
        </w:tc>
        <w:tc>
          <w:tcPr>
            <w:tcW w:w="629" w:type="dxa"/>
            <w:gridSpan w:val="3"/>
          </w:tcPr>
          <w:p w:rsidR="001C7BF9" w:rsidRPr="00C9680B" w:rsidRDefault="001C7BF9">
            <w:pPr>
              <w:pStyle w:val="TabellRader"/>
              <w:spacing w:before="40" w:line="180" w:lineRule="exact"/>
              <w:rPr>
                <w:rFonts w:ascii="Times New Roman" w:hAnsi="Times New Roman"/>
              </w:rPr>
            </w:pPr>
          </w:p>
        </w:tc>
        <w:tc>
          <w:tcPr>
            <w:tcW w:w="629" w:type="dxa"/>
            <w:gridSpan w:val="3"/>
          </w:tcPr>
          <w:p w:rsidR="001C7BF9" w:rsidRPr="00C9680B" w:rsidRDefault="001C7BF9">
            <w:pPr>
              <w:pStyle w:val="TabellRader"/>
              <w:spacing w:before="40" w:line="180" w:lineRule="exact"/>
              <w:rPr>
                <w:rFonts w:ascii="Times New Roman" w:hAnsi="Times New Roman"/>
              </w:rPr>
            </w:pPr>
          </w:p>
        </w:tc>
        <w:tc>
          <w:tcPr>
            <w:tcW w:w="629" w:type="dxa"/>
            <w:gridSpan w:val="4"/>
          </w:tcPr>
          <w:p w:rsidR="001C7BF9" w:rsidRPr="00C9680B" w:rsidRDefault="001C7BF9">
            <w:pPr>
              <w:pStyle w:val="TabellRader"/>
              <w:spacing w:before="40" w:line="180" w:lineRule="exact"/>
              <w:rPr>
                <w:rFonts w:ascii="Times New Roman" w:hAnsi="Times New Roman"/>
              </w:rPr>
            </w:pPr>
          </w:p>
        </w:tc>
        <w:tc>
          <w:tcPr>
            <w:tcW w:w="629" w:type="dxa"/>
            <w:gridSpan w:val="4"/>
          </w:tcPr>
          <w:p w:rsidR="001C7BF9" w:rsidRPr="00C9680B" w:rsidRDefault="001C7BF9">
            <w:pPr>
              <w:pStyle w:val="TabellRader"/>
              <w:spacing w:before="40" w:line="180" w:lineRule="exact"/>
              <w:rPr>
                <w:rFonts w:ascii="Times New Roman" w:hAnsi="Times New Roman"/>
              </w:rPr>
            </w:pPr>
          </w:p>
        </w:tc>
      </w:tr>
      <w:tr w:rsidR="00000000" w:rsidRPr="00C9680B">
        <w:tblPrEx>
          <w:tblCellMar>
            <w:top w:w="0" w:type="dxa"/>
            <w:bottom w:w="0" w:type="dxa"/>
          </w:tblCellMar>
        </w:tblPrEx>
        <w:trPr>
          <w:gridBefore w:val="4"/>
          <w:wBefore w:w="250" w:type="dxa"/>
          <w:jc w:val="right"/>
        </w:trPr>
        <w:tc>
          <w:tcPr>
            <w:tcW w:w="2411" w:type="dxa"/>
            <w:gridSpan w:val="4"/>
            <w:tcBorders>
              <w:bottom w:val="single" w:sz="4" w:space="0" w:color="auto"/>
            </w:tcBorders>
          </w:tcPr>
          <w:p w:rsidR="001C7BF9" w:rsidRPr="00C9680B" w:rsidRDefault="001C7BF9">
            <w:pPr>
              <w:pStyle w:val="TabellSlutsumma"/>
              <w:spacing w:before="40" w:line="180" w:lineRule="exact"/>
              <w:jc w:val="left"/>
              <w:rPr>
                <w:rFonts w:ascii="Times New Roman" w:hAnsi="Times New Roman"/>
              </w:rPr>
            </w:pPr>
            <w:r w:rsidRPr="00C9680B">
              <w:rPr>
                <w:rFonts w:ascii="Times New Roman" w:hAnsi="Times New Roman"/>
              </w:rPr>
              <w:t>Summa totalt</w:t>
            </w:r>
          </w:p>
        </w:tc>
        <w:tc>
          <w:tcPr>
            <w:tcW w:w="663" w:type="dxa"/>
            <w:gridSpan w:val="3"/>
            <w:tcBorders>
              <w:bottom w:val="single" w:sz="4" w:space="0" w:color="auto"/>
            </w:tcBorders>
          </w:tcPr>
          <w:p w:rsidR="001C7BF9" w:rsidRPr="00C9680B" w:rsidRDefault="001C7BF9">
            <w:pPr>
              <w:pStyle w:val="TabellSlutsumma"/>
              <w:spacing w:before="40" w:line="180" w:lineRule="exact"/>
              <w:rPr>
                <w:rFonts w:ascii="Times New Roman" w:hAnsi="Times New Roman"/>
                <w:spacing w:val="4"/>
              </w:rPr>
            </w:pPr>
            <w:r w:rsidRPr="00C9680B">
              <w:rPr>
                <w:rFonts w:ascii="Times New Roman" w:hAnsi="Times New Roman"/>
                <w:spacing w:val="4"/>
              </w:rPr>
              <w:t>-24,78</w:t>
            </w:r>
          </w:p>
        </w:tc>
        <w:tc>
          <w:tcPr>
            <w:tcW w:w="629" w:type="dxa"/>
            <w:gridSpan w:val="3"/>
            <w:tcBorders>
              <w:bottom w:val="single" w:sz="4" w:space="0" w:color="auto"/>
            </w:tcBorders>
          </w:tcPr>
          <w:p w:rsidR="001C7BF9" w:rsidRPr="00C9680B" w:rsidRDefault="001C7BF9">
            <w:pPr>
              <w:pStyle w:val="TabellSlutsumma"/>
              <w:spacing w:before="40" w:line="180" w:lineRule="exact"/>
              <w:rPr>
                <w:rFonts w:ascii="Times New Roman" w:hAnsi="Times New Roman"/>
                <w:spacing w:val="4"/>
              </w:rPr>
            </w:pPr>
            <w:r w:rsidRPr="00C9680B">
              <w:rPr>
                <w:rFonts w:ascii="Times New Roman" w:hAnsi="Times New Roman"/>
                <w:spacing w:val="4"/>
              </w:rPr>
              <w:t>-14,01</w:t>
            </w:r>
          </w:p>
        </w:tc>
        <w:tc>
          <w:tcPr>
            <w:tcW w:w="629" w:type="dxa"/>
            <w:gridSpan w:val="3"/>
            <w:tcBorders>
              <w:bottom w:val="single" w:sz="4" w:space="0" w:color="auto"/>
            </w:tcBorders>
          </w:tcPr>
          <w:p w:rsidR="001C7BF9" w:rsidRPr="00C9680B" w:rsidRDefault="001C7BF9">
            <w:pPr>
              <w:pStyle w:val="TabellSlutsumma"/>
              <w:spacing w:before="40" w:line="180" w:lineRule="exact"/>
              <w:rPr>
                <w:rFonts w:ascii="Times New Roman" w:hAnsi="Times New Roman"/>
                <w:spacing w:val="4"/>
              </w:rPr>
            </w:pPr>
            <w:r w:rsidRPr="00C9680B">
              <w:rPr>
                <w:rFonts w:ascii="Times New Roman" w:hAnsi="Times New Roman"/>
                <w:spacing w:val="4"/>
              </w:rPr>
              <w:t>-21,20</w:t>
            </w:r>
          </w:p>
        </w:tc>
        <w:tc>
          <w:tcPr>
            <w:tcW w:w="629" w:type="dxa"/>
            <w:gridSpan w:val="3"/>
            <w:tcBorders>
              <w:bottom w:val="single" w:sz="4" w:space="0" w:color="auto"/>
            </w:tcBorders>
          </w:tcPr>
          <w:p w:rsidR="001C7BF9" w:rsidRPr="00C9680B" w:rsidRDefault="001C7BF9">
            <w:pPr>
              <w:pStyle w:val="TabellSlutsumma"/>
              <w:spacing w:before="40" w:line="180" w:lineRule="exact"/>
              <w:rPr>
                <w:rFonts w:ascii="Times New Roman" w:hAnsi="Times New Roman"/>
                <w:spacing w:val="4"/>
              </w:rPr>
            </w:pPr>
            <w:r w:rsidRPr="00C9680B">
              <w:rPr>
                <w:rFonts w:ascii="Times New Roman" w:hAnsi="Times New Roman"/>
                <w:spacing w:val="4"/>
              </w:rPr>
              <w:t>-25,84</w:t>
            </w:r>
          </w:p>
        </w:tc>
        <w:tc>
          <w:tcPr>
            <w:tcW w:w="629" w:type="dxa"/>
            <w:gridSpan w:val="3"/>
            <w:tcBorders>
              <w:bottom w:val="single" w:sz="4" w:space="0" w:color="auto"/>
            </w:tcBorders>
          </w:tcPr>
          <w:p w:rsidR="001C7BF9" w:rsidRPr="00C9680B" w:rsidRDefault="001C7BF9">
            <w:pPr>
              <w:pStyle w:val="TabellSlutsumma"/>
              <w:spacing w:before="40" w:line="180" w:lineRule="exact"/>
              <w:rPr>
                <w:rFonts w:ascii="Times New Roman" w:hAnsi="Times New Roman"/>
                <w:spacing w:val="4"/>
              </w:rPr>
            </w:pPr>
            <w:r w:rsidRPr="00C9680B">
              <w:rPr>
                <w:rFonts w:ascii="Times New Roman" w:hAnsi="Times New Roman"/>
                <w:spacing w:val="4"/>
              </w:rPr>
              <w:t>-24,58</w:t>
            </w:r>
          </w:p>
        </w:tc>
        <w:tc>
          <w:tcPr>
            <w:tcW w:w="629" w:type="dxa"/>
            <w:gridSpan w:val="4"/>
            <w:tcBorders>
              <w:bottom w:val="single" w:sz="4" w:space="0" w:color="auto"/>
            </w:tcBorders>
          </w:tcPr>
          <w:p w:rsidR="001C7BF9" w:rsidRPr="00C9680B" w:rsidRDefault="001C7BF9">
            <w:pPr>
              <w:pStyle w:val="TabellSlutsumma"/>
              <w:spacing w:before="40" w:line="180" w:lineRule="exact"/>
              <w:rPr>
                <w:rFonts w:ascii="Times New Roman" w:hAnsi="Times New Roman"/>
                <w:spacing w:val="4"/>
              </w:rPr>
            </w:pPr>
            <w:r w:rsidRPr="00C9680B">
              <w:rPr>
                <w:rFonts w:ascii="Times New Roman" w:hAnsi="Times New Roman"/>
                <w:spacing w:val="4"/>
              </w:rPr>
              <w:t>-23,11</w:t>
            </w:r>
          </w:p>
        </w:tc>
        <w:tc>
          <w:tcPr>
            <w:tcW w:w="629" w:type="dxa"/>
            <w:gridSpan w:val="3"/>
            <w:tcBorders>
              <w:bottom w:val="single" w:sz="4" w:space="0" w:color="auto"/>
            </w:tcBorders>
          </w:tcPr>
          <w:p w:rsidR="001C7BF9" w:rsidRPr="00C9680B" w:rsidRDefault="001C7BF9">
            <w:pPr>
              <w:pStyle w:val="TabellSlutsumma"/>
              <w:spacing w:before="40" w:line="180" w:lineRule="exact"/>
              <w:rPr>
                <w:rFonts w:ascii="Times New Roman" w:hAnsi="Times New Roman"/>
                <w:spacing w:val="4"/>
              </w:rPr>
            </w:pPr>
            <w:r w:rsidRPr="00C9680B">
              <w:rPr>
                <w:rFonts w:ascii="Times New Roman" w:hAnsi="Times New Roman"/>
                <w:spacing w:val="4"/>
              </w:rPr>
              <w:t>-23,20</w:t>
            </w:r>
          </w:p>
        </w:tc>
        <w:tc>
          <w:tcPr>
            <w:tcW w:w="629" w:type="dxa"/>
            <w:gridSpan w:val="5"/>
            <w:tcBorders>
              <w:bottom w:val="single" w:sz="4" w:space="0" w:color="auto"/>
            </w:tcBorders>
          </w:tcPr>
          <w:p w:rsidR="001C7BF9" w:rsidRPr="00C9680B" w:rsidRDefault="001C7BF9">
            <w:pPr>
              <w:pStyle w:val="TabellSlutsumma"/>
              <w:spacing w:before="40" w:line="180" w:lineRule="exact"/>
              <w:rPr>
                <w:rFonts w:ascii="Times New Roman" w:hAnsi="Times New Roman"/>
                <w:spacing w:val="4"/>
              </w:rPr>
            </w:pPr>
            <w:r w:rsidRPr="00C9680B">
              <w:rPr>
                <w:rFonts w:ascii="Times New Roman" w:hAnsi="Times New Roman"/>
                <w:spacing w:val="4"/>
              </w:rPr>
              <w:t>-23,72</w:t>
            </w:r>
          </w:p>
        </w:tc>
      </w:tr>
    </w:tbl>
    <w:p w:rsidR="001C7BF9" w:rsidRPr="00C9680B" w:rsidRDefault="001C7BF9">
      <w:pPr>
        <w:pStyle w:val="R4"/>
        <w:spacing w:before="240"/>
      </w:pPr>
      <w:r w:rsidRPr="00C9680B">
        <w:t xml:space="preserve">Finansutskottets ställningstagande </w:t>
      </w:r>
    </w:p>
    <w:p w:rsidR="001C7BF9" w:rsidRPr="00C9680B" w:rsidRDefault="001C7BF9">
      <w:pPr>
        <w:pStyle w:val="Brdtext3"/>
      </w:pPr>
      <w:r w:rsidRPr="00C9680B">
        <w:t>Utskottet har i det föregående tagit ställning till de olika skatteförslagen. Det finns mot denna bakgrund också anledning att ta ställning till förslagens samlade effekter på statsbudgetens inkomster.</w:t>
      </w:r>
    </w:p>
    <w:p w:rsidR="001C7BF9" w:rsidRPr="00C9680B" w:rsidRDefault="001C7BF9">
      <w:pPr>
        <w:pStyle w:val="Normaltindrag"/>
      </w:pPr>
      <w:r w:rsidRPr="00C9680B">
        <w:t>I tabell 45 redovisas partiernas inkomstberäkningar i deras respektive bu</w:t>
      </w:r>
      <w:r w:rsidRPr="00C9680B">
        <w:t>d</w:t>
      </w:r>
      <w:r w:rsidRPr="00C9680B">
        <w:t>getalternativ. Utskottet vill med anledning av oppositionspartiernas inkoms</w:t>
      </w:r>
      <w:r w:rsidRPr="00C9680B">
        <w:t>t</w:t>
      </w:r>
      <w:r w:rsidRPr="00C9680B">
        <w:t>berä</w:t>
      </w:r>
      <w:r w:rsidRPr="00C9680B">
        <w:t>k</w:t>
      </w:r>
      <w:r w:rsidRPr="00C9680B">
        <w:t xml:space="preserve">ningar göra några kommentarer. </w:t>
      </w:r>
    </w:p>
    <w:p w:rsidR="001C7BF9" w:rsidRPr="00C9680B" w:rsidRDefault="001C7BF9">
      <w:pPr>
        <w:pStyle w:val="Normaltindrag"/>
        <w:spacing w:before="120"/>
      </w:pPr>
      <w:r w:rsidRPr="00C9680B">
        <w:br w:type="page"/>
      </w:r>
    </w:p>
    <w:tbl>
      <w:tblPr>
        <w:tblW w:w="0" w:type="auto"/>
        <w:tblInd w:w="-30" w:type="dxa"/>
        <w:tblLayout w:type="fixed"/>
        <w:tblCellMar>
          <w:left w:w="30" w:type="dxa"/>
          <w:right w:w="30" w:type="dxa"/>
        </w:tblCellMar>
        <w:tblLook w:val="0000" w:firstRow="0" w:lastRow="0" w:firstColumn="0" w:lastColumn="0" w:noHBand="0" w:noVBand="0"/>
      </w:tblPr>
      <w:tblGrid>
        <w:gridCol w:w="1"/>
        <w:gridCol w:w="489"/>
        <w:gridCol w:w="2291"/>
        <w:gridCol w:w="992"/>
        <w:gridCol w:w="850"/>
        <w:gridCol w:w="851"/>
        <w:gridCol w:w="850"/>
        <w:gridCol w:w="851"/>
      </w:tblGrid>
      <w:tr w:rsidR="00000000" w:rsidRPr="00C9680B">
        <w:tblPrEx>
          <w:tblCellMar>
            <w:top w:w="0" w:type="dxa"/>
            <w:bottom w:w="0" w:type="dxa"/>
          </w:tblCellMar>
        </w:tblPrEx>
        <w:trPr>
          <w:cantSplit/>
          <w:trHeight w:val="160"/>
        </w:trPr>
        <w:tc>
          <w:tcPr>
            <w:tcW w:w="7175" w:type="dxa"/>
            <w:gridSpan w:val="8"/>
          </w:tcPr>
          <w:p w:rsidR="001C7BF9" w:rsidRPr="00C9680B" w:rsidRDefault="001C7BF9">
            <w:pPr>
              <w:pStyle w:val="Tabell"/>
              <w:jc w:val="left"/>
              <w:rPr>
                <w:b/>
              </w:rPr>
            </w:pPr>
            <w:r w:rsidRPr="00C9680B">
              <w:rPr>
                <w:b/>
              </w:rPr>
              <w:t>Tabell 45. Inkomstberäkningar enligt respektive partis budgetförslag (prelimin</w:t>
            </w:r>
            <w:r w:rsidRPr="00C9680B">
              <w:rPr>
                <w:b/>
              </w:rPr>
              <w:t>ä</w:t>
            </w:r>
            <w:r w:rsidRPr="00C9680B">
              <w:rPr>
                <w:b/>
              </w:rPr>
              <w:t>ra siffror)</w:t>
            </w:r>
          </w:p>
          <w:p w:rsidR="001C7BF9" w:rsidRPr="00C9680B" w:rsidRDefault="001C7BF9">
            <w:pPr>
              <w:pStyle w:val="TabellUnderrubrik"/>
              <w:rPr>
                <w:rFonts w:ascii="Times New Roman" w:hAnsi="Times New Roman"/>
                <w:i w:val="0"/>
                <w:snapToGrid w:val="0"/>
                <w:sz w:val="16"/>
                <w:lang w:eastAsia="sv-SE"/>
              </w:rPr>
            </w:pPr>
            <w:r w:rsidRPr="00C9680B">
              <w:rPr>
                <w:rFonts w:ascii="Times New Roman" w:hAnsi="Times New Roman"/>
                <w:i w:val="0"/>
                <w:sz w:val="16"/>
              </w:rPr>
              <w:t>Miljoner kronor</w:t>
            </w:r>
          </w:p>
        </w:tc>
      </w:tr>
      <w:tr w:rsidR="00000000" w:rsidRPr="00C9680B">
        <w:tblPrEx>
          <w:tblCellMar>
            <w:top w:w="0" w:type="dxa"/>
            <w:bottom w:w="0" w:type="dxa"/>
          </w:tblCellMar>
        </w:tblPrEx>
        <w:trPr>
          <w:cantSplit/>
          <w:trHeight w:val="160"/>
        </w:trPr>
        <w:tc>
          <w:tcPr>
            <w:tcW w:w="2781" w:type="dxa"/>
            <w:gridSpan w:val="3"/>
            <w:tcBorders>
              <w:top w:val="single" w:sz="4" w:space="0" w:color="auto"/>
            </w:tcBorders>
          </w:tcPr>
          <w:p w:rsidR="001C7BF9" w:rsidRPr="00C9680B" w:rsidRDefault="001C7BF9">
            <w:pPr>
              <w:pStyle w:val="SBTabell"/>
              <w:rPr>
                <w:snapToGrid w:val="0"/>
                <w:sz w:val="16"/>
                <w:lang w:eastAsia="sv-SE"/>
              </w:rPr>
            </w:pPr>
          </w:p>
        </w:tc>
        <w:tc>
          <w:tcPr>
            <w:tcW w:w="992" w:type="dxa"/>
            <w:tcBorders>
              <w:top w:val="single" w:sz="4" w:space="0" w:color="auto"/>
            </w:tcBorders>
          </w:tcPr>
          <w:p w:rsidR="001C7BF9" w:rsidRPr="00C9680B" w:rsidRDefault="001C7BF9">
            <w:pPr>
              <w:pStyle w:val="SBTabell"/>
              <w:jc w:val="right"/>
              <w:rPr>
                <w:snapToGrid w:val="0"/>
                <w:sz w:val="16"/>
                <w:lang w:eastAsia="sv-SE"/>
              </w:rPr>
            </w:pPr>
            <w:r w:rsidRPr="00C9680B">
              <w:rPr>
                <w:b/>
                <w:snapToGrid w:val="0"/>
                <w:sz w:val="16"/>
                <w:lang w:eastAsia="sv-SE"/>
              </w:rPr>
              <w:t>Reg</w:t>
            </w:r>
            <w:r w:rsidRPr="00C9680B">
              <w:rPr>
                <w:b/>
                <w:snapToGrid w:val="0"/>
                <w:sz w:val="16"/>
                <w:lang w:eastAsia="sv-SE"/>
              </w:rPr>
              <w:t>e</w:t>
            </w:r>
            <w:r w:rsidRPr="00C9680B">
              <w:rPr>
                <w:b/>
                <w:snapToGrid w:val="0"/>
                <w:sz w:val="16"/>
                <w:lang w:eastAsia="sv-SE"/>
              </w:rPr>
              <w:t>ringens</w:t>
            </w:r>
          </w:p>
        </w:tc>
        <w:tc>
          <w:tcPr>
            <w:tcW w:w="3402" w:type="dxa"/>
            <w:gridSpan w:val="4"/>
            <w:tcBorders>
              <w:top w:val="single" w:sz="4" w:space="0" w:color="auto"/>
              <w:bottom w:val="single" w:sz="4" w:space="0" w:color="auto"/>
            </w:tcBorders>
          </w:tcPr>
          <w:p w:rsidR="001C7BF9" w:rsidRPr="00C9680B" w:rsidRDefault="001C7BF9">
            <w:pPr>
              <w:pStyle w:val="SBTabell"/>
              <w:jc w:val="center"/>
              <w:rPr>
                <w:snapToGrid w:val="0"/>
                <w:sz w:val="16"/>
                <w:lang w:eastAsia="sv-SE"/>
              </w:rPr>
            </w:pPr>
            <w:r w:rsidRPr="00C9680B">
              <w:rPr>
                <w:snapToGrid w:val="0"/>
                <w:sz w:val="16"/>
                <w:lang w:eastAsia="sv-SE"/>
              </w:rPr>
              <w:t>Oppositionspartiernas inkoms</w:t>
            </w:r>
            <w:r w:rsidRPr="00C9680B">
              <w:rPr>
                <w:snapToGrid w:val="0"/>
                <w:sz w:val="16"/>
                <w:lang w:eastAsia="sv-SE"/>
              </w:rPr>
              <w:t>t</w:t>
            </w:r>
            <w:r w:rsidRPr="00C9680B">
              <w:rPr>
                <w:snapToGrid w:val="0"/>
                <w:sz w:val="16"/>
                <w:lang w:eastAsia="sv-SE"/>
              </w:rPr>
              <w:t>förslag</w:t>
            </w:r>
          </w:p>
          <w:p w:rsidR="001C7BF9" w:rsidRPr="00C9680B" w:rsidRDefault="001C7BF9">
            <w:pPr>
              <w:pStyle w:val="SBTabell"/>
              <w:jc w:val="center"/>
              <w:rPr>
                <w:snapToGrid w:val="0"/>
                <w:sz w:val="16"/>
                <w:lang w:eastAsia="sv-SE"/>
              </w:rPr>
            </w:pPr>
            <w:r w:rsidRPr="00C9680B">
              <w:rPr>
                <w:snapToGrid w:val="0"/>
                <w:sz w:val="16"/>
                <w:lang w:eastAsia="sv-SE"/>
              </w:rPr>
              <w:t>(avvikelser från regeringens förslag)</w:t>
            </w:r>
          </w:p>
        </w:tc>
      </w:tr>
      <w:tr w:rsidR="00000000" w:rsidRPr="00C9680B">
        <w:tblPrEx>
          <w:tblCellMar>
            <w:top w:w="0" w:type="dxa"/>
            <w:bottom w:w="0" w:type="dxa"/>
          </w:tblCellMar>
        </w:tblPrEx>
        <w:trPr>
          <w:trHeight w:val="247"/>
        </w:trPr>
        <w:tc>
          <w:tcPr>
            <w:tcW w:w="2781" w:type="dxa"/>
            <w:hMerge w:val="restart"/>
            <w:tcBorders>
              <w:bottom w:val="single" w:sz="4" w:space="0" w:color="auto"/>
            </w:tcBorders>
          </w:tcPr>
          <w:p w:rsidR="001C7BF9" w:rsidRPr="00C9680B" w:rsidRDefault="001C7BF9">
            <w:pPr>
              <w:pStyle w:val="SBTabell"/>
              <w:rPr>
                <w:b/>
                <w:snapToGrid w:val="0"/>
                <w:sz w:val="16"/>
                <w:lang w:eastAsia="sv-SE"/>
              </w:rPr>
            </w:pPr>
            <w:r w:rsidRPr="00C9680B">
              <w:rPr>
                <w:b/>
                <w:snapToGrid w:val="0"/>
                <w:sz w:val="16"/>
                <w:lang w:eastAsia="sv-SE"/>
              </w:rPr>
              <w:t>Inkomsttyp</w:t>
            </w:r>
          </w:p>
        </w:tc>
        <w:tc>
          <w:tcPr>
            <w:gridSpan w:val="2"/>
            <w:hMerge/>
            <w:tcBorders>
              <w:bottom w:val="single" w:sz="4" w:space="0" w:color="auto"/>
            </w:tcBorders>
          </w:tcPr>
          <w:p w:rsidR="001C7BF9" w:rsidRPr="00C9680B" w:rsidRDefault="001C7BF9">
            <w:pPr>
              <w:pStyle w:val="SBTabell"/>
              <w:rPr>
                <w:b/>
                <w:snapToGrid w:val="0"/>
                <w:sz w:val="16"/>
                <w:lang w:eastAsia="sv-SE"/>
              </w:rPr>
            </w:pPr>
          </w:p>
        </w:tc>
        <w:tc>
          <w:tcPr>
            <w:tcW w:w="992" w:type="dxa"/>
            <w:tcBorders>
              <w:bottom w:val="single" w:sz="4" w:space="0" w:color="auto"/>
            </w:tcBorders>
          </w:tcPr>
          <w:p w:rsidR="001C7BF9" w:rsidRPr="00C9680B" w:rsidRDefault="001C7BF9">
            <w:pPr>
              <w:pStyle w:val="SBTabell"/>
              <w:jc w:val="right"/>
              <w:rPr>
                <w:b/>
                <w:snapToGrid w:val="0"/>
                <w:sz w:val="16"/>
                <w:lang w:eastAsia="sv-SE"/>
              </w:rPr>
            </w:pPr>
            <w:r w:rsidRPr="00C9680B">
              <w:rPr>
                <w:b/>
                <w:snapToGrid w:val="0"/>
                <w:sz w:val="16"/>
                <w:lang w:eastAsia="sv-SE"/>
              </w:rPr>
              <w:t xml:space="preserve"> förslag</w:t>
            </w:r>
          </w:p>
        </w:tc>
        <w:tc>
          <w:tcPr>
            <w:tcW w:w="850" w:type="dxa"/>
            <w:tcBorders>
              <w:bottom w:val="single" w:sz="4" w:space="0" w:color="auto"/>
            </w:tcBorders>
          </w:tcPr>
          <w:p w:rsidR="001C7BF9" w:rsidRPr="00C9680B" w:rsidRDefault="001C7BF9">
            <w:pPr>
              <w:pStyle w:val="SBTabell"/>
              <w:jc w:val="right"/>
              <w:rPr>
                <w:b/>
                <w:snapToGrid w:val="0"/>
                <w:sz w:val="16"/>
                <w:lang w:eastAsia="sv-SE"/>
              </w:rPr>
            </w:pPr>
            <w:r w:rsidRPr="00C9680B">
              <w:rPr>
                <w:b/>
                <w:snapToGrid w:val="0"/>
                <w:sz w:val="16"/>
                <w:lang w:eastAsia="sv-SE"/>
              </w:rPr>
              <w:t>m</w:t>
            </w:r>
          </w:p>
        </w:tc>
        <w:tc>
          <w:tcPr>
            <w:tcW w:w="851" w:type="dxa"/>
            <w:tcBorders>
              <w:bottom w:val="single" w:sz="4" w:space="0" w:color="auto"/>
            </w:tcBorders>
          </w:tcPr>
          <w:p w:rsidR="001C7BF9" w:rsidRPr="00C9680B" w:rsidRDefault="001C7BF9">
            <w:pPr>
              <w:pStyle w:val="SBTabell"/>
              <w:jc w:val="right"/>
              <w:rPr>
                <w:b/>
                <w:snapToGrid w:val="0"/>
                <w:sz w:val="16"/>
                <w:lang w:eastAsia="sv-SE"/>
              </w:rPr>
            </w:pPr>
            <w:r w:rsidRPr="00C9680B">
              <w:rPr>
                <w:b/>
                <w:snapToGrid w:val="0"/>
                <w:sz w:val="16"/>
                <w:lang w:eastAsia="sv-SE"/>
              </w:rPr>
              <w:t>kd</w:t>
            </w:r>
          </w:p>
        </w:tc>
        <w:tc>
          <w:tcPr>
            <w:tcW w:w="850" w:type="dxa"/>
            <w:tcBorders>
              <w:bottom w:val="single" w:sz="4" w:space="0" w:color="auto"/>
            </w:tcBorders>
          </w:tcPr>
          <w:p w:rsidR="001C7BF9" w:rsidRPr="00C9680B" w:rsidRDefault="001C7BF9">
            <w:pPr>
              <w:pStyle w:val="SBTabell"/>
              <w:jc w:val="right"/>
              <w:rPr>
                <w:b/>
                <w:snapToGrid w:val="0"/>
                <w:sz w:val="16"/>
                <w:lang w:eastAsia="sv-SE"/>
              </w:rPr>
            </w:pPr>
            <w:r w:rsidRPr="00C9680B">
              <w:rPr>
                <w:b/>
                <w:snapToGrid w:val="0"/>
                <w:sz w:val="16"/>
                <w:lang w:eastAsia="sv-SE"/>
              </w:rPr>
              <w:t>c</w:t>
            </w:r>
          </w:p>
        </w:tc>
        <w:tc>
          <w:tcPr>
            <w:tcW w:w="851" w:type="dxa"/>
            <w:tcBorders>
              <w:bottom w:val="single" w:sz="4" w:space="0" w:color="auto"/>
            </w:tcBorders>
          </w:tcPr>
          <w:p w:rsidR="001C7BF9" w:rsidRPr="00C9680B" w:rsidRDefault="001C7BF9">
            <w:pPr>
              <w:pStyle w:val="SBTabell"/>
              <w:jc w:val="right"/>
              <w:rPr>
                <w:b/>
                <w:snapToGrid w:val="0"/>
                <w:sz w:val="16"/>
                <w:lang w:eastAsia="sv-SE"/>
              </w:rPr>
            </w:pPr>
            <w:r w:rsidRPr="00C9680B">
              <w:rPr>
                <w:b/>
                <w:snapToGrid w:val="0"/>
                <w:sz w:val="16"/>
                <w:lang w:eastAsia="sv-SE"/>
              </w:rPr>
              <w:t>fp</w:t>
            </w:r>
          </w:p>
        </w:tc>
      </w:tr>
      <w:tr w:rsidR="00000000" w:rsidRPr="00C9680B">
        <w:tblPrEx>
          <w:tblCellMar>
            <w:top w:w="0" w:type="dxa"/>
            <w:bottom w:w="0" w:type="dxa"/>
          </w:tblCellMar>
        </w:tblPrEx>
        <w:trPr>
          <w:trHeight w:val="247"/>
        </w:trPr>
        <w:tc>
          <w:tcPr>
            <w:tcW w:w="490" w:type="dxa"/>
            <w:gridSpan w:val="2"/>
          </w:tcPr>
          <w:p w:rsidR="001C7BF9" w:rsidRPr="00C9680B" w:rsidRDefault="001C7BF9">
            <w:pPr>
              <w:pStyle w:val="SBTabell"/>
              <w:rPr>
                <w:snapToGrid w:val="0"/>
                <w:sz w:val="16"/>
                <w:lang w:eastAsia="sv-SE"/>
              </w:rPr>
            </w:pPr>
            <w:r w:rsidRPr="00C9680B">
              <w:rPr>
                <w:snapToGrid w:val="0"/>
                <w:sz w:val="16"/>
                <w:lang w:eastAsia="sv-SE"/>
              </w:rPr>
              <w:t>1000</w:t>
            </w:r>
          </w:p>
        </w:tc>
        <w:tc>
          <w:tcPr>
            <w:tcW w:w="2291" w:type="dxa"/>
          </w:tcPr>
          <w:p w:rsidR="001C7BF9" w:rsidRPr="00C9680B" w:rsidRDefault="001C7BF9">
            <w:pPr>
              <w:pStyle w:val="SBTabell"/>
              <w:rPr>
                <w:snapToGrid w:val="0"/>
                <w:sz w:val="16"/>
                <w:lang w:eastAsia="sv-SE"/>
              </w:rPr>
            </w:pPr>
            <w:r w:rsidRPr="00C9680B">
              <w:rPr>
                <w:snapToGrid w:val="0"/>
                <w:sz w:val="16"/>
                <w:lang w:eastAsia="sv-SE"/>
              </w:rPr>
              <w:t>Skatter m.m.</w:t>
            </w:r>
          </w:p>
        </w:tc>
        <w:tc>
          <w:tcPr>
            <w:tcW w:w="992" w:type="dxa"/>
          </w:tcPr>
          <w:p w:rsidR="001C7BF9" w:rsidRPr="00C9680B" w:rsidRDefault="001C7BF9">
            <w:pPr>
              <w:pStyle w:val="SBTabell"/>
              <w:jc w:val="right"/>
              <w:rPr>
                <w:snapToGrid w:val="0"/>
                <w:sz w:val="16"/>
                <w:lang w:eastAsia="sv-SE"/>
              </w:rPr>
            </w:pPr>
            <w:r w:rsidRPr="00C9680B">
              <w:rPr>
                <w:snapToGrid w:val="0"/>
                <w:sz w:val="16"/>
                <w:lang w:eastAsia="sv-SE"/>
              </w:rPr>
              <w:t>651 168</w:t>
            </w:r>
          </w:p>
        </w:tc>
        <w:tc>
          <w:tcPr>
            <w:tcW w:w="850" w:type="dxa"/>
          </w:tcPr>
          <w:p w:rsidR="001C7BF9" w:rsidRPr="00C9680B" w:rsidRDefault="001C7BF9">
            <w:pPr>
              <w:pStyle w:val="SBTabell"/>
              <w:jc w:val="right"/>
              <w:rPr>
                <w:snapToGrid w:val="0"/>
                <w:sz w:val="16"/>
                <w:lang w:eastAsia="sv-SE"/>
              </w:rPr>
            </w:pPr>
            <w:r w:rsidRPr="00C9680B">
              <w:rPr>
                <w:snapToGrid w:val="0"/>
                <w:sz w:val="16"/>
                <w:lang w:eastAsia="sv-SE"/>
              </w:rPr>
              <w:t>+1 800</w:t>
            </w:r>
          </w:p>
        </w:tc>
        <w:tc>
          <w:tcPr>
            <w:tcW w:w="851" w:type="dxa"/>
          </w:tcPr>
          <w:p w:rsidR="001C7BF9" w:rsidRPr="00C9680B" w:rsidRDefault="001C7BF9">
            <w:pPr>
              <w:pStyle w:val="SBTabell"/>
              <w:jc w:val="right"/>
              <w:rPr>
                <w:snapToGrid w:val="0"/>
                <w:sz w:val="16"/>
                <w:lang w:eastAsia="sv-SE"/>
              </w:rPr>
            </w:pPr>
            <w:r w:rsidRPr="00C9680B">
              <w:rPr>
                <w:snapToGrid w:val="0"/>
                <w:sz w:val="16"/>
                <w:lang w:eastAsia="sv-SE"/>
              </w:rPr>
              <w:t>-25 640</w:t>
            </w:r>
          </w:p>
        </w:tc>
        <w:tc>
          <w:tcPr>
            <w:tcW w:w="850" w:type="dxa"/>
          </w:tcPr>
          <w:p w:rsidR="001C7BF9" w:rsidRPr="00C9680B" w:rsidRDefault="001C7BF9">
            <w:pPr>
              <w:pStyle w:val="SBTabell"/>
              <w:jc w:val="right"/>
              <w:rPr>
                <w:snapToGrid w:val="0"/>
                <w:sz w:val="16"/>
                <w:lang w:eastAsia="sv-SE"/>
              </w:rPr>
            </w:pPr>
            <w:r w:rsidRPr="00C9680B">
              <w:rPr>
                <w:snapToGrid w:val="0"/>
                <w:sz w:val="16"/>
                <w:lang w:eastAsia="sv-SE"/>
              </w:rPr>
              <w:t>-10 185</w:t>
            </w:r>
          </w:p>
        </w:tc>
        <w:tc>
          <w:tcPr>
            <w:tcW w:w="851" w:type="dxa"/>
          </w:tcPr>
          <w:p w:rsidR="001C7BF9" w:rsidRPr="00C9680B" w:rsidRDefault="001C7BF9">
            <w:pPr>
              <w:pStyle w:val="SBTabell"/>
              <w:jc w:val="right"/>
              <w:rPr>
                <w:snapToGrid w:val="0"/>
                <w:sz w:val="16"/>
                <w:lang w:eastAsia="sv-SE"/>
              </w:rPr>
            </w:pPr>
            <w:r w:rsidRPr="00C9680B">
              <w:rPr>
                <w:snapToGrid w:val="0"/>
                <w:sz w:val="16"/>
                <w:lang w:eastAsia="sv-SE"/>
              </w:rPr>
              <w:t>-14 505</w:t>
            </w:r>
          </w:p>
        </w:tc>
      </w:tr>
      <w:tr w:rsidR="00000000" w:rsidRPr="00C9680B">
        <w:tblPrEx>
          <w:tblCellMar>
            <w:top w:w="0" w:type="dxa"/>
            <w:bottom w:w="0" w:type="dxa"/>
          </w:tblCellMar>
        </w:tblPrEx>
        <w:trPr>
          <w:trHeight w:val="247"/>
        </w:trPr>
        <w:tc>
          <w:tcPr>
            <w:tcW w:w="490" w:type="dxa"/>
            <w:gridSpan w:val="2"/>
          </w:tcPr>
          <w:p w:rsidR="001C7BF9" w:rsidRPr="00C9680B" w:rsidRDefault="001C7BF9">
            <w:pPr>
              <w:pStyle w:val="SBTabell"/>
              <w:rPr>
                <w:snapToGrid w:val="0"/>
                <w:sz w:val="16"/>
                <w:lang w:eastAsia="sv-SE"/>
              </w:rPr>
            </w:pPr>
            <w:r w:rsidRPr="00C9680B">
              <w:rPr>
                <w:snapToGrid w:val="0"/>
                <w:sz w:val="16"/>
                <w:lang w:eastAsia="sv-SE"/>
              </w:rPr>
              <w:t>2000</w:t>
            </w:r>
          </w:p>
        </w:tc>
        <w:tc>
          <w:tcPr>
            <w:tcW w:w="2291" w:type="dxa"/>
          </w:tcPr>
          <w:p w:rsidR="001C7BF9" w:rsidRPr="00C9680B" w:rsidRDefault="001C7BF9">
            <w:pPr>
              <w:pStyle w:val="SBTabell"/>
              <w:rPr>
                <w:snapToGrid w:val="0"/>
                <w:sz w:val="16"/>
                <w:lang w:eastAsia="sv-SE"/>
              </w:rPr>
            </w:pPr>
            <w:r w:rsidRPr="00C9680B">
              <w:rPr>
                <w:snapToGrid w:val="0"/>
                <w:sz w:val="16"/>
                <w:lang w:eastAsia="sv-SE"/>
              </w:rPr>
              <w:t>Inkomster av statens verksa</w:t>
            </w:r>
            <w:r w:rsidRPr="00C9680B">
              <w:rPr>
                <w:snapToGrid w:val="0"/>
                <w:sz w:val="16"/>
                <w:lang w:eastAsia="sv-SE"/>
              </w:rPr>
              <w:t>m</w:t>
            </w:r>
            <w:r w:rsidRPr="00C9680B">
              <w:rPr>
                <w:snapToGrid w:val="0"/>
                <w:sz w:val="16"/>
                <w:lang w:eastAsia="sv-SE"/>
              </w:rPr>
              <w:t>het</w:t>
            </w:r>
          </w:p>
        </w:tc>
        <w:tc>
          <w:tcPr>
            <w:tcW w:w="992" w:type="dxa"/>
          </w:tcPr>
          <w:p w:rsidR="001C7BF9" w:rsidRPr="00C9680B" w:rsidRDefault="001C7BF9">
            <w:pPr>
              <w:pStyle w:val="SBTabell"/>
              <w:jc w:val="right"/>
              <w:rPr>
                <w:snapToGrid w:val="0"/>
                <w:sz w:val="16"/>
                <w:lang w:eastAsia="sv-SE"/>
              </w:rPr>
            </w:pPr>
            <w:r w:rsidRPr="00C9680B">
              <w:rPr>
                <w:snapToGrid w:val="0"/>
                <w:sz w:val="16"/>
                <w:lang w:eastAsia="sv-SE"/>
              </w:rPr>
              <w:t>29 042</w:t>
            </w:r>
          </w:p>
        </w:tc>
        <w:tc>
          <w:tcPr>
            <w:tcW w:w="850" w:type="dxa"/>
          </w:tcPr>
          <w:p w:rsidR="001C7BF9" w:rsidRPr="00C9680B" w:rsidRDefault="001C7BF9">
            <w:pPr>
              <w:pStyle w:val="SBTabell"/>
              <w:jc w:val="right"/>
              <w:rPr>
                <w:snapToGrid w:val="0"/>
                <w:sz w:val="16"/>
                <w:lang w:eastAsia="sv-SE"/>
              </w:rPr>
            </w:pPr>
          </w:p>
        </w:tc>
        <w:tc>
          <w:tcPr>
            <w:tcW w:w="851" w:type="dxa"/>
          </w:tcPr>
          <w:p w:rsidR="001C7BF9" w:rsidRPr="00C9680B" w:rsidRDefault="001C7BF9">
            <w:pPr>
              <w:pStyle w:val="SBTabell"/>
              <w:jc w:val="right"/>
              <w:rPr>
                <w:snapToGrid w:val="0"/>
                <w:sz w:val="16"/>
                <w:lang w:eastAsia="sv-SE"/>
              </w:rPr>
            </w:pPr>
            <w:r w:rsidRPr="00C9680B">
              <w:rPr>
                <w:snapToGrid w:val="0"/>
                <w:sz w:val="16"/>
                <w:lang w:eastAsia="sv-SE"/>
              </w:rPr>
              <w:t>-730</w:t>
            </w:r>
          </w:p>
        </w:tc>
        <w:tc>
          <w:tcPr>
            <w:tcW w:w="850" w:type="dxa"/>
          </w:tcPr>
          <w:p w:rsidR="001C7BF9" w:rsidRPr="00C9680B" w:rsidRDefault="001C7BF9">
            <w:pPr>
              <w:pStyle w:val="SBTabell"/>
              <w:jc w:val="right"/>
              <w:rPr>
                <w:snapToGrid w:val="0"/>
                <w:sz w:val="16"/>
                <w:lang w:eastAsia="sv-SE"/>
              </w:rPr>
            </w:pPr>
          </w:p>
        </w:tc>
        <w:tc>
          <w:tcPr>
            <w:tcW w:w="851" w:type="dxa"/>
          </w:tcPr>
          <w:p w:rsidR="001C7BF9" w:rsidRPr="00C9680B" w:rsidRDefault="001C7BF9">
            <w:pPr>
              <w:pStyle w:val="SBTabell"/>
              <w:jc w:val="right"/>
              <w:rPr>
                <w:snapToGrid w:val="0"/>
                <w:sz w:val="16"/>
                <w:lang w:eastAsia="sv-SE"/>
              </w:rPr>
            </w:pPr>
            <w:r w:rsidRPr="00C9680B">
              <w:rPr>
                <w:snapToGrid w:val="0"/>
                <w:sz w:val="16"/>
                <w:lang w:eastAsia="sv-SE"/>
              </w:rPr>
              <w:t>+3 200</w:t>
            </w:r>
          </w:p>
        </w:tc>
      </w:tr>
      <w:tr w:rsidR="00000000" w:rsidRPr="00C9680B">
        <w:tblPrEx>
          <w:tblCellMar>
            <w:top w:w="0" w:type="dxa"/>
            <w:bottom w:w="0" w:type="dxa"/>
          </w:tblCellMar>
        </w:tblPrEx>
        <w:trPr>
          <w:trHeight w:val="247"/>
        </w:trPr>
        <w:tc>
          <w:tcPr>
            <w:tcW w:w="490" w:type="dxa"/>
            <w:gridSpan w:val="2"/>
          </w:tcPr>
          <w:p w:rsidR="001C7BF9" w:rsidRPr="00C9680B" w:rsidRDefault="001C7BF9">
            <w:pPr>
              <w:pStyle w:val="SBTabell"/>
              <w:rPr>
                <w:snapToGrid w:val="0"/>
                <w:sz w:val="16"/>
                <w:lang w:eastAsia="sv-SE"/>
              </w:rPr>
            </w:pPr>
            <w:r w:rsidRPr="00C9680B">
              <w:rPr>
                <w:snapToGrid w:val="0"/>
                <w:sz w:val="16"/>
                <w:lang w:eastAsia="sv-SE"/>
              </w:rPr>
              <w:t>3000</w:t>
            </w:r>
          </w:p>
        </w:tc>
        <w:tc>
          <w:tcPr>
            <w:tcW w:w="2291" w:type="dxa"/>
          </w:tcPr>
          <w:p w:rsidR="001C7BF9" w:rsidRPr="00C9680B" w:rsidRDefault="001C7BF9">
            <w:pPr>
              <w:pStyle w:val="SBTabell"/>
              <w:rPr>
                <w:snapToGrid w:val="0"/>
                <w:sz w:val="16"/>
                <w:lang w:eastAsia="sv-SE"/>
              </w:rPr>
            </w:pPr>
            <w:r w:rsidRPr="00C9680B">
              <w:rPr>
                <w:snapToGrid w:val="0"/>
                <w:sz w:val="16"/>
                <w:lang w:eastAsia="sv-SE"/>
              </w:rPr>
              <w:t>Inkomster av försåld egendom</w:t>
            </w:r>
          </w:p>
        </w:tc>
        <w:tc>
          <w:tcPr>
            <w:tcW w:w="992" w:type="dxa"/>
          </w:tcPr>
          <w:p w:rsidR="001C7BF9" w:rsidRPr="00C9680B" w:rsidRDefault="001C7BF9">
            <w:pPr>
              <w:pStyle w:val="SBTabell"/>
              <w:jc w:val="right"/>
              <w:rPr>
                <w:snapToGrid w:val="0"/>
                <w:sz w:val="16"/>
                <w:lang w:eastAsia="sv-SE"/>
              </w:rPr>
            </w:pPr>
            <w:r w:rsidRPr="00C9680B">
              <w:rPr>
                <w:snapToGrid w:val="0"/>
                <w:sz w:val="16"/>
                <w:lang w:eastAsia="sv-SE"/>
              </w:rPr>
              <w:t>15 001</w:t>
            </w:r>
          </w:p>
        </w:tc>
        <w:tc>
          <w:tcPr>
            <w:tcW w:w="850" w:type="dxa"/>
          </w:tcPr>
          <w:p w:rsidR="001C7BF9" w:rsidRPr="00C9680B" w:rsidRDefault="001C7BF9">
            <w:pPr>
              <w:pStyle w:val="SBTabell"/>
              <w:jc w:val="right"/>
              <w:rPr>
                <w:snapToGrid w:val="0"/>
                <w:sz w:val="16"/>
                <w:lang w:eastAsia="sv-SE"/>
              </w:rPr>
            </w:pPr>
            <w:r w:rsidRPr="00C9680B">
              <w:rPr>
                <w:snapToGrid w:val="0"/>
                <w:sz w:val="16"/>
                <w:lang w:eastAsia="sv-SE"/>
              </w:rPr>
              <w:t>+80 000</w:t>
            </w:r>
          </w:p>
        </w:tc>
        <w:tc>
          <w:tcPr>
            <w:tcW w:w="851" w:type="dxa"/>
          </w:tcPr>
          <w:p w:rsidR="001C7BF9" w:rsidRPr="00C9680B" w:rsidRDefault="001C7BF9">
            <w:pPr>
              <w:pStyle w:val="SBTabell"/>
              <w:jc w:val="right"/>
              <w:rPr>
                <w:snapToGrid w:val="0"/>
                <w:sz w:val="16"/>
                <w:lang w:eastAsia="sv-SE"/>
              </w:rPr>
            </w:pPr>
            <w:r w:rsidRPr="00C9680B">
              <w:rPr>
                <w:snapToGrid w:val="0"/>
                <w:sz w:val="16"/>
                <w:lang w:eastAsia="sv-SE"/>
              </w:rPr>
              <w:t>+80 000</w:t>
            </w:r>
          </w:p>
        </w:tc>
        <w:tc>
          <w:tcPr>
            <w:tcW w:w="850" w:type="dxa"/>
          </w:tcPr>
          <w:p w:rsidR="001C7BF9" w:rsidRPr="00C9680B" w:rsidRDefault="001C7BF9">
            <w:pPr>
              <w:pStyle w:val="SBTabell"/>
              <w:jc w:val="right"/>
              <w:rPr>
                <w:snapToGrid w:val="0"/>
                <w:sz w:val="16"/>
                <w:lang w:eastAsia="sv-SE"/>
              </w:rPr>
            </w:pPr>
            <w:r w:rsidRPr="00C9680B">
              <w:rPr>
                <w:snapToGrid w:val="0"/>
                <w:sz w:val="16"/>
                <w:lang w:eastAsia="sv-SE"/>
              </w:rPr>
              <w:t>+50 000</w:t>
            </w:r>
          </w:p>
        </w:tc>
        <w:tc>
          <w:tcPr>
            <w:tcW w:w="851" w:type="dxa"/>
          </w:tcPr>
          <w:p w:rsidR="001C7BF9" w:rsidRPr="00C9680B" w:rsidRDefault="001C7BF9">
            <w:pPr>
              <w:pStyle w:val="SBTabell"/>
              <w:jc w:val="right"/>
              <w:rPr>
                <w:snapToGrid w:val="0"/>
                <w:sz w:val="16"/>
                <w:lang w:eastAsia="sv-SE"/>
              </w:rPr>
            </w:pPr>
            <w:r w:rsidRPr="00C9680B">
              <w:rPr>
                <w:snapToGrid w:val="0"/>
                <w:sz w:val="16"/>
                <w:lang w:eastAsia="sv-SE"/>
              </w:rPr>
              <w:t>+80 000</w:t>
            </w:r>
          </w:p>
        </w:tc>
      </w:tr>
      <w:tr w:rsidR="00000000" w:rsidRPr="00C9680B">
        <w:tblPrEx>
          <w:tblCellMar>
            <w:top w:w="0" w:type="dxa"/>
            <w:bottom w:w="0" w:type="dxa"/>
          </w:tblCellMar>
        </w:tblPrEx>
        <w:trPr>
          <w:trHeight w:val="247"/>
        </w:trPr>
        <w:tc>
          <w:tcPr>
            <w:tcW w:w="490" w:type="dxa"/>
            <w:gridSpan w:val="2"/>
          </w:tcPr>
          <w:p w:rsidR="001C7BF9" w:rsidRPr="00C9680B" w:rsidRDefault="001C7BF9">
            <w:pPr>
              <w:pStyle w:val="SBTabell"/>
              <w:rPr>
                <w:snapToGrid w:val="0"/>
                <w:sz w:val="16"/>
                <w:lang w:eastAsia="sv-SE"/>
              </w:rPr>
            </w:pPr>
            <w:r w:rsidRPr="00C9680B">
              <w:rPr>
                <w:snapToGrid w:val="0"/>
                <w:sz w:val="16"/>
                <w:lang w:eastAsia="sv-SE"/>
              </w:rPr>
              <w:t>4000</w:t>
            </w:r>
          </w:p>
        </w:tc>
        <w:tc>
          <w:tcPr>
            <w:tcW w:w="2291" w:type="dxa"/>
          </w:tcPr>
          <w:p w:rsidR="001C7BF9" w:rsidRPr="00C9680B" w:rsidRDefault="001C7BF9">
            <w:pPr>
              <w:pStyle w:val="SBTabell"/>
              <w:rPr>
                <w:snapToGrid w:val="0"/>
                <w:sz w:val="16"/>
                <w:lang w:eastAsia="sv-SE"/>
              </w:rPr>
            </w:pPr>
            <w:r w:rsidRPr="00C9680B">
              <w:rPr>
                <w:snapToGrid w:val="0"/>
                <w:sz w:val="16"/>
                <w:lang w:eastAsia="sv-SE"/>
              </w:rPr>
              <w:t>Återbetalning av lån</w:t>
            </w:r>
          </w:p>
        </w:tc>
        <w:tc>
          <w:tcPr>
            <w:tcW w:w="992" w:type="dxa"/>
          </w:tcPr>
          <w:p w:rsidR="001C7BF9" w:rsidRPr="00C9680B" w:rsidRDefault="001C7BF9">
            <w:pPr>
              <w:pStyle w:val="SBTabell"/>
              <w:jc w:val="right"/>
              <w:rPr>
                <w:snapToGrid w:val="0"/>
                <w:sz w:val="16"/>
                <w:lang w:eastAsia="sv-SE"/>
              </w:rPr>
            </w:pPr>
            <w:r w:rsidRPr="00C9680B">
              <w:rPr>
                <w:snapToGrid w:val="0"/>
                <w:sz w:val="16"/>
                <w:lang w:eastAsia="sv-SE"/>
              </w:rPr>
              <w:t>2 521</w:t>
            </w:r>
          </w:p>
        </w:tc>
        <w:tc>
          <w:tcPr>
            <w:tcW w:w="850" w:type="dxa"/>
          </w:tcPr>
          <w:p w:rsidR="001C7BF9" w:rsidRPr="00C9680B" w:rsidRDefault="001C7BF9">
            <w:pPr>
              <w:pStyle w:val="SBTabell"/>
              <w:jc w:val="right"/>
              <w:rPr>
                <w:snapToGrid w:val="0"/>
                <w:sz w:val="16"/>
                <w:lang w:eastAsia="sv-SE"/>
              </w:rPr>
            </w:pPr>
          </w:p>
        </w:tc>
        <w:tc>
          <w:tcPr>
            <w:tcW w:w="851" w:type="dxa"/>
          </w:tcPr>
          <w:p w:rsidR="001C7BF9" w:rsidRPr="00C9680B" w:rsidRDefault="001C7BF9">
            <w:pPr>
              <w:pStyle w:val="SBTabell"/>
              <w:jc w:val="right"/>
              <w:rPr>
                <w:snapToGrid w:val="0"/>
                <w:sz w:val="16"/>
                <w:lang w:eastAsia="sv-SE"/>
              </w:rPr>
            </w:pPr>
          </w:p>
        </w:tc>
        <w:tc>
          <w:tcPr>
            <w:tcW w:w="850" w:type="dxa"/>
          </w:tcPr>
          <w:p w:rsidR="001C7BF9" w:rsidRPr="00C9680B" w:rsidRDefault="001C7BF9">
            <w:pPr>
              <w:pStyle w:val="SBTabell"/>
              <w:jc w:val="right"/>
              <w:rPr>
                <w:snapToGrid w:val="0"/>
                <w:sz w:val="16"/>
                <w:lang w:eastAsia="sv-SE"/>
              </w:rPr>
            </w:pPr>
          </w:p>
        </w:tc>
        <w:tc>
          <w:tcPr>
            <w:tcW w:w="851" w:type="dxa"/>
          </w:tcPr>
          <w:p w:rsidR="001C7BF9" w:rsidRPr="00C9680B" w:rsidRDefault="001C7BF9">
            <w:pPr>
              <w:pStyle w:val="SBTabell"/>
              <w:jc w:val="right"/>
              <w:rPr>
                <w:snapToGrid w:val="0"/>
                <w:sz w:val="16"/>
                <w:lang w:eastAsia="sv-SE"/>
              </w:rPr>
            </w:pPr>
          </w:p>
        </w:tc>
      </w:tr>
      <w:tr w:rsidR="00000000" w:rsidRPr="00C9680B">
        <w:tblPrEx>
          <w:tblCellMar>
            <w:top w:w="0" w:type="dxa"/>
            <w:bottom w:w="0" w:type="dxa"/>
          </w:tblCellMar>
        </w:tblPrEx>
        <w:trPr>
          <w:trHeight w:val="247"/>
        </w:trPr>
        <w:tc>
          <w:tcPr>
            <w:tcW w:w="490" w:type="dxa"/>
            <w:gridSpan w:val="2"/>
          </w:tcPr>
          <w:p w:rsidR="001C7BF9" w:rsidRPr="00C9680B" w:rsidRDefault="001C7BF9">
            <w:pPr>
              <w:pStyle w:val="SBTabell"/>
              <w:rPr>
                <w:snapToGrid w:val="0"/>
                <w:sz w:val="16"/>
                <w:lang w:eastAsia="sv-SE"/>
              </w:rPr>
            </w:pPr>
            <w:r w:rsidRPr="00C9680B">
              <w:rPr>
                <w:snapToGrid w:val="0"/>
                <w:sz w:val="16"/>
                <w:lang w:eastAsia="sv-SE"/>
              </w:rPr>
              <w:t>5000</w:t>
            </w:r>
          </w:p>
        </w:tc>
        <w:tc>
          <w:tcPr>
            <w:tcW w:w="2291" w:type="dxa"/>
          </w:tcPr>
          <w:p w:rsidR="001C7BF9" w:rsidRPr="00C9680B" w:rsidRDefault="001C7BF9">
            <w:pPr>
              <w:pStyle w:val="SBTabell"/>
              <w:rPr>
                <w:snapToGrid w:val="0"/>
                <w:sz w:val="16"/>
                <w:lang w:eastAsia="sv-SE"/>
              </w:rPr>
            </w:pPr>
            <w:r w:rsidRPr="00C9680B">
              <w:rPr>
                <w:snapToGrid w:val="0"/>
                <w:sz w:val="16"/>
                <w:lang w:eastAsia="sv-SE"/>
              </w:rPr>
              <w:t>Kalkylmässiga inkom</w:t>
            </w:r>
            <w:r w:rsidRPr="00C9680B">
              <w:rPr>
                <w:snapToGrid w:val="0"/>
                <w:sz w:val="16"/>
                <w:lang w:eastAsia="sv-SE"/>
              </w:rPr>
              <w:t>s</w:t>
            </w:r>
            <w:r w:rsidRPr="00C9680B">
              <w:rPr>
                <w:snapToGrid w:val="0"/>
                <w:sz w:val="16"/>
                <w:lang w:eastAsia="sv-SE"/>
              </w:rPr>
              <w:t>ter</w:t>
            </w:r>
          </w:p>
        </w:tc>
        <w:tc>
          <w:tcPr>
            <w:tcW w:w="992" w:type="dxa"/>
          </w:tcPr>
          <w:p w:rsidR="001C7BF9" w:rsidRPr="00C9680B" w:rsidRDefault="001C7BF9">
            <w:pPr>
              <w:pStyle w:val="SBTabell"/>
              <w:jc w:val="right"/>
              <w:rPr>
                <w:snapToGrid w:val="0"/>
                <w:sz w:val="16"/>
                <w:lang w:eastAsia="sv-SE"/>
              </w:rPr>
            </w:pPr>
            <w:r w:rsidRPr="00C9680B">
              <w:rPr>
                <w:snapToGrid w:val="0"/>
                <w:sz w:val="16"/>
                <w:lang w:eastAsia="sv-SE"/>
              </w:rPr>
              <w:t>8 856</w:t>
            </w:r>
          </w:p>
        </w:tc>
        <w:tc>
          <w:tcPr>
            <w:tcW w:w="850" w:type="dxa"/>
          </w:tcPr>
          <w:p w:rsidR="001C7BF9" w:rsidRPr="00C9680B" w:rsidRDefault="001C7BF9">
            <w:pPr>
              <w:pStyle w:val="SBTabell"/>
              <w:jc w:val="right"/>
              <w:rPr>
                <w:snapToGrid w:val="0"/>
                <w:sz w:val="16"/>
                <w:lang w:eastAsia="sv-SE"/>
              </w:rPr>
            </w:pPr>
          </w:p>
        </w:tc>
        <w:tc>
          <w:tcPr>
            <w:tcW w:w="851" w:type="dxa"/>
          </w:tcPr>
          <w:p w:rsidR="001C7BF9" w:rsidRPr="00C9680B" w:rsidRDefault="001C7BF9">
            <w:pPr>
              <w:pStyle w:val="SBTabell"/>
              <w:jc w:val="right"/>
              <w:rPr>
                <w:snapToGrid w:val="0"/>
                <w:sz w:val="16"/>
                <w:lang w:eastAsia="sv-SE"/>
              </w:rPr>
            </w:pPr>
          </w:p>
        </w:tc>
        <w:tc>
          <w:tcPr>
            <w:tcW w:w="850" w:type="dxa"/>
          </w:tcPr>
          <w:p w:rsidR="001C7BF9" w:rsidRPr="00C9680B" w:rsidRDefault="001C7BF9">
            <w:pPr>
              <w:pStyle w:val="SBTabell"/>
              <w:jc w:val="right"/>
              <w:rPr>
                <w:snapToGrid w:val="0"/>
                <w:sz w:val="16"/>
                <w:lang w:eastAsia="sv-SE"/>
              </w:rPr>
            </w:pPr>
          </w:p>
        </w:tc>
        <w:tc>
          <w:tcPr>
            <w:tcW w:w="851" w:type="dxa"/>
          </w:tcPr>
          <w:p w:rsidR="001C7BF9" w:rsidRPr="00C9680B" w:rsidRDefault="001C7BF9">
            <w:pPr>
              <w:pStyle w:val="SBTabell"/>
              <w:jc w:val="right"/>
              <w:rPr>
                <w:snapToGrid w:val="0"/>
                <w:sz w:val="16"/>
                <w:lang w:eastAsia="sv-SE"/>
              </w:rPr>
            </w:pPr>
          </w:p>
        </w:tc>
      </w:tr>
      <w:tr w:rsidR="00000000" w:rsidRPr="00C9680B">
        <w:tblPrEx>
          <w:tblCellMar>
            <w:top w:w="0" w:type="dxa"/>
            <w:bottom w:w="0" w:type="dxa"/>
          </w:tblCellMar>
        </w:tblPrEx>
        <w:trPr>
          <w:trHeight w:val="247"/>
        </w:trPr>
        <w:tc>
          <w:tcPr>
            <w:tcW w:w="490" w:type="dxa"/>
            <w:gridSpan w:val="2"/>
          </w:tcPr>
          <w:p w:rsidR="001C7BF9" w:rsidRPr="00C9680B" w:rsidRDefault="001C7BF9">
            <w:pPr>
              <w:pStyle w:val="SBTabell"/>
              <w:rPr>
                <w:snapToGrid w:val="0"/>
                <w:sz w:val="16"/>
                <w:lang w:eastAsia="sv-SE"/>
              </w:rPr>
            </w:pPr>
            <w:r w:rsidRPr="00C9680B">
              <w:rPr>
                <w:snapToGrid w:val="0"/>
                <w:sz w:val="16"/>
                <w:lang w:eastAsia="sv-SE"/>
              </w:rPr>
              <w:t>6000</w:t>
            </w:r>
          </w:p>
        </w:tc>
        <w:tc>
          <w:tcPr>
            <w:tcW w:w="2291" w:type="dxa"/>
          </w:tcPr>
          <w:p w:rsidR="001C7BF9" w:rsidRPr="00C9680B" w:rsidRDefault="001C7BF9">
            <w:pPr>
              <w:pStyle w:val="SBTabell"/>
              <w:rPr>
                <w:snapToGrid w:val="0"/>
                <w:sz w:val="16"/>
                <w:lang w:eastAsia="sv-SE"/>
              </w:rPr>
            </w:pPr>
            <w:r w:rsidRPr="00C9680B">
              <w:rPr>
                <w:snapToGrid w:val="0"/>
                <w:sz w:val="16"/>
                <w:lang w:eastAsia="sv-SE"/>
              </w:rPr>
              <w:t>Bidrag m.m från EU</w:t>
            </w:r>
          </w:p>
        </w:tc>
        <w:tc>
          <w:tcPr>
            <w:tcW w:w="992" w:type="dxa"/>
          </w:tcPr>
          <w:p w:rsidR="001C7BF9" w:rsidRPr="00C9680B" w:rsidRDefault="001C7BF9">
            <w:pPr>
              <w:pStyle w:val="SBTabell"/>
              <w:jc w:val="right"/>
              <w:rPr>
                <w:snapToGrid w:val="0"/>
                <w:sz w:val="16"/>
                <w:lang w:eastAsia="sv-SE"/>
              </w:rPr>
            </w:pPr>
            <w:r w:rsidRPr="00C9680B">
              <w:rPr>
                <w:snapToGrid w:val="0"/>
                <w:sz w:val="16"/>
                <w:lang w:eastAsia="sv-SE"/>
              </w:rPr>
              <w:t>10 556</w:t>
            </w:r>
          </w:p>
        </w:tc>
        <w:tc>
          <w:tcPr>
            <w:tcW w:w="850" w:type="dxa"/>
          </w:tcPr>
          <w:p w:rsidR="001C7BF9" w:rsidRPr="00C9680B" w:rsidRDefault="001C7BF9">
            <w:pPr>
              <w:pStyle w:val="SBTabell"/>
              <w:jc w:val="right"/>
              <w:rPr>
                <w:snapToGrid w:val="0"/>
                <w:sz w:val="16"/>
                <w:lang w:eastAsia="sv-SE"/>
              </w:rPr>
            </w:pPr>
          </w:p>
        </w:tc>
        <w:tc>
          <w:tcPr>
            <w:tcW w:w="851" w:type="dxa"/>
          </w:tcPr>
          <w:p w:rsidR="001C7BF9" w:rsidRPr="00C9680B" w:rsidRDefault="001C7BF9">
            <w:pPr>
              <w:pStyle w:val="SBTabell"/>
              <w:jc w:val="right"/>
              <w:rPr>
                <w:snapToGrid w:val="0"/>
                <w:sz w:val="16"/>
                <w:lang w:eastAsia="sv-SE"/>
              </w:rPr>
            </w:pPr>
          </w:p>
        </w:tc>
        <w:tc>
          <w:tcPr>
            <w:tcW w:w="850" w:type="dxa"/>
          </w:tcPr>
          <w:p w:rsidR="001C7BF9" w:rsidRPr="00C9680B" w:rsidRDefault="001C7BF9">
            <w:pPr>
              <w:pStyle w:val="SBTabell"/>
              <w:jc w:val="right"/>
              <w:rPr>
                <w:snapToGrid w:val="0"/>
                <w:sz w:val="16"/>
                <w:lang w:eastAsia="sv-SE"/>
              </w:rPr>
            </w:pPr>
          </w:p>
        </w:tc>
        <w:tc>
          <w:tcPr>
            <w:tcW w:w="851" w:type="dxa"/>
          </w:tcPr>
          <w:p w:rsidR="001C7BF9" w:rsidRPr="00C9680B" w:rsidRDefault="001C7BF9">
            <w:pPr>
              <w:pStyle w:val="SBTabell"/>
              <w:jc w:val="right"/>
              <w:rPr>
                <w:snapToGrid w:val="0"/>
                <w:sz w:val="16"/>
                <w:lang w:eastAsia="sv-SE"/>
              </w:rPr>
            </w:pPr>
          </w:p>
        </w:tc>
      </w:tr>
      <w:tr w:rsidR="00000000" w:rsidRPr="00C9680B">
        <w:tblPrEx>
          <w:tblCellMar>
            <w:top w:w="0" w:type="dxa"/>
            <w:bottom w:w="0" w:type="dxa"/>
          </w:tblCellMar>
        </w:tblPrEx>
        <w:trPr>
          <w:trHeight w:val="247"/>
        </w:trPr>
        <w:tc>
          <w:tcPr>
            <w:tcW w:w="2781" w:type="dxa"/>
            <w:hMerge w:val="restart"/>
            <w:tcBorders>
              <w:bottom w:val="single" w:sz="4" w:space="0" w:color="auto"/>
            </w:tcBorders>
          </w:tcPr>
          <w:p w:rsidR="001C7BF9" w:rsidRPr="00C9680B" w:rsidRDefault="001C7BF9">
            <w:pPr>
              <w:pStyle w:val="SBTabell"/>
              <w:rPr>
                <w:b/>
                <w:snapToGrid w:val="0"/>
                <w:sz w:val="16"/>
                <w:lang w:eastAsia="sv-SE"/>
              </w:rPr>
            </w:pPr>
            <w:r w:rsidRPr="00C9680B">
              <w:rPr>
                <w:b/>
                <w:snapToGrid w:val="0"/>
                <w:sz w:val="16"/>
                <w:lang w:eastAsia="sv-SE"/>
              </w:rPr>
              <w:t>Summa inkomster</w:t>
            </w:r>
          </w:p>
        </w:tc>
        <w:tc>
          <w:tcPr>
            <w:gridSpan w:val="2"/>
            <w:hMerge/>
            <w:tcBorders>
              <w:bottom w:val="single" w:sz="4" w:space="0" w:color="auto"/>
            </w:tcBorders>
          </w:tcPr>
          <w:p w:rsidR="001C7BF9" w:rsidRPr="00C9680B" w:rsidRDefault="001C7BF9">
            <w:pPr>
              <w:pStyle w:val="SBTabell"/>
              <w:rPr>
                <w:b/>
                <w:snapToGrid w:val="0"/>
                <w:sz w:val="16"/>
                <w:lang w:eastAsia="sv-SE"/>
              </w:rPr>
            </w:pPr>
          </w:p>
        </w:tc>
        <w:tc>
          <w:tcPr>
            <w:tcW w:w="992" w:type="dxa"/>
            <w:tcBorders>
              <w:bottom w:val="single" w:sz="4" w:space="0" w:color="auto"/>
            </w:tcBorders>
          </w:tcPr>
          <w:p w:rsidR="001C7BF9" w:rsidRPr="00C9680B" w:rsidRDefault="001C7BF9">
            <w:pPr>
              <w:pStyle w:val="SBTabell"/>
              <w:jc w:val="right"/>
              <w:rPr>
                <w:b/>
                <w:snapToGrid w:val="0"/>
                <w:sz w:val="16"/>
                <w:lang w:eastAsia="sv-SE"/>
              </w:rPr>
            </w:pPr>
            <w:r w:rsidRPr="00C9680B">
              <w:rPr>
                <w:b/>
                <w:snapToGrid w:val="0"/>
                <w:sz w:val="16"/>
                <w:lang w:eastAsia="sv-SE"/>
              </w:rPr>
              <w:t>717 145</w:t>
            </w:r>
          </w:p>
        </w:tc>
        <w:tc>
          <w:tcPr>
            <w:tcW w:w="850" w:type="dxa"/>
            <w:tcBorders>
              <w:bottom w:val="single" w:sz="4" w:space="0" w:color="auto"/>
            </w:tcBorders>
          </w:tcPr>
          <w:p w:rsidR="001C7BF9" w:rsidRPr="00C9680B" w:rsidRDefault="001C7BF9">
            <w:pPr>
              <w:pStyle w:val="SBTabell"/>
              <w:jc w:val="right"/>
              <w:rPr>
                <w:b/>
                <w:snapToGrid w:val="0"/>
                <w:sz w:val="16"/>
                <w:lang w:eastAsia="sv-SE"/>
              </w:rPr>
            </w:pPr>
            <w:r w:rsidRPr="00C9680B">
              <w:rPr>
                <w:b/>
                <w:snapToGrid w:val="0"/>
                <w:sz w:val="16"/>
                <w:lang w:eastAsia="sv-SE"/>
              </w:rPr>
              <w:t>+81 800</w:t>
            </w:r>
          </w:p>
        </w:tc>
        <w:tc>
          <w:tcPr>
            <w:tcW w:w="851" w:type="dxa"/>
            <w:tcBorders>
              <w:bottom w:val="single" w:sz="4" w:space="0" w:color="auto"/>
            </w:tcBorders>
          </w:tcPr>
          <w:p w:rsidR="001C7BF9" w:rsidRPr="00C9680B" w:rsidRDefault="001C7BF9">
            <w:pPr>
              <w:pStyle w:val="SBTabell"/>
              <w:jc w:val="right"/>
              <w:rPr>
                <w:b/>
                <w:snapToGrid w:val="0"/>
                <w:sz w:val="16"/>
                <w:lang w:eastAsia="sv-SE"/>
              </w:rPr>
            </w:pPr>
            <w:r w:rsidRPr="00C9680B">
              <w:rPr>
                <w:b/>
                <w:snapToGrid w:val="0"/>
                <w:sz w:val="16"/>
                <w:lang w:eastAsia="sv-SE"/>
              </w:rPr>
              <w:t>+53 630</w:t>
            </w:r>
          </w:p>
        </w:tc>
        <w:tc>
          <w:tcPr>
            <w:tcW w:w="850" w:type="dxa"/>
            <w:tcBorders>
              <w:bottom w:val="single" w:sz="4" w:space="0" w:color="auto"/>
            </w:tcBorders>
          </w:tcPr>
          <w:p w:rsidR="001C7BF9" w:rsidRPr="00C9680B" w:rsidRDefault="001C7BF9">
            <w:pPr>
              <w:pStyle w:val="SBTabell"/>
              <w:jc w:val="right"/>
              <w:rPr>
                <w:b/>
                <w:snapToGrid w:val="0"/>
                <w:sz w:val="16"/>
                <w:lang w:eastAsia="sv-SE"/>
              </w:rPr>
            </w:pPr>
            <w:r w:rsidRPr="00C9680B">
              <w:rPr>
                <w:b/>
                <w:snapToGrid w:val="0"/>
                <w:sz w:val="16"/>
                <w:lang w:eastAsia="sv-SE"/>
              </w:rPr>
              <w:t>+39 815</w:t>
            </w:r>
          </w:p>
        </w:tc>
        <w:tc>
          <w:tcPr>
            <w:tcW w:w="851" w:type="dxa"/>
            <w:tcBorders>
              <w:bottom w:val="single" w:sz="4" w:space="0" w:color="auto"/>
            </w:tcBorders>
          </w:tcPr>
          <w:p w:rsidR="001C7BF9" w:rsidRPr="00C9680B" w:rsidRDefault="001C7BF9">
            <w:pPr>
              <w:pStyle w:val="SBTabell"/>
              <w:jc w:val="right"/>
              <w:rPr>
                <w:b/>
                <w:snapToGrid w:val="0"/>
                <w:sz w:val="16"/>
                <w:lang w:eastAsia="sv-SE"/>
              </w:rPr>
            </w:pPr>
            <w:r w:rsidRPr="00C9680B">
              <w:rPr>
                <w:b/>
                <w:snapToGrid w:val="0"/>
                <w:sz w:val="16"/>
                <w:lang w:eastAsia="sv-SE"/>
              </w:rPr>
              <w:t>+68 695</w:t>
            </w:r>
          </w:p>
        </w:tc>
      </w:tr>
    </w:tbl>
    <w:p w:rsidR="001C7BF9" w:rsidRPr="00C9680B" w:rsidRDefault="001C7BF9">
      <w:pPr>
        <w:spacing w:before="240"/>
      </w:pPr>
      <w:r w:rsidRPr="00C9680B">
        <w:t>Alla oppositionspartierna föreslår att skatterna totalt sett skall sänkas i rel</w:t>
      </w:r>
      <w:r w:rsidRPr="00C9680B">
        <w:t>a</w:t>
      </w:r>
      <w:r w:rsidRPr="00C9680B">
        <w:t>tion till regeringens förslag. Effekterna på statsbudgetens inkomster bestäms också av hur skattesänkningarna utformas tekniskt samt hur de redovisas. Eftersom partierna redovisar sina förslag på olika sätt ger redovisningen av statsbudgeteffekterna en missvisande och svårtolkad bild. Redovisningen skiljer sig särskilt åt beträffande regleringarna mellan staten och kommune</w:t>
      </w:r>
      <w:r w:rsidRPr="00C9680B">
        <w:t>r</w:t>
      </w:r>
      <w:r w:rsidRPr="00C9680B">
        <w:t>na. En väsentlig del av partiernas skatteförslag leder till att kommunerna förlorar inkomster. Partierna kompenserar kommunerna för ink</w:t>
      </w:r>
      <w:r w:rsidRPr="00C9680B">
        <w:t>omstbortfallet i enlighet med finansieringsprincipen men väljer att göra det på olika sätt. Moderata samlingspartiet redovisar kompensationen enligt budgetlagens principer, dvs. som utgifter under utgiftsområde 25 Allmänna bidrag till kommunerna. Övriga redovisar i stället till största delen kompensationen till kommunerna netto, dvs. som en negativ inkomst, på inkomsttiteln 1111 Fysiska personers inkomstskatt. Resultatet av detta blir att inkomsttiteln i många fall uppvisar ett stort och varaktigt minus. Ko</w:t>
      </w:r>
      <w:r w:rsidRPr="00C9680B">
        <w:t>mmunerna tillförs på så sätt betydande belopp utan att riksdagen tar ställning till dessa. En sådan redovisning är enligt utskottets mening olycklig då den gör redovisningen mer svårgenomtränglig och det kan ifrågasättas om den tillgodoser budgetlagens krav på bruttored</w:t>
      </w:r>
      <w:r w:rsidRPr="00C9680B">
        <w:t>o</w:t>
      </w:r>
      <w:r w:rsidRPr="00C9680B">
        <w:t>visning (se även avsnitt 2.4.3).</w:t>
      </w:r>
    </w:p>
    <w:p w:rsidR="001C7BF9" w:rsidRPr="00C9680B" w:rsidRDefault="001C7BF9">
      <w:pPr>
        <w:pStyle w:val="Normaltindrag"/>
      </w:pPr>
      <w:r w:rsidRPr="00C9680B">
        <w:t>En mer rättvisande bild av skatteförslagen ges i stället om man jämför e</w:t>
      </w:r>
      <w:r w:rsidRPr="00C9680B">
        <w:t>f</w:t>
      </w:r>
      <w:r w:rsidRPr="00C9680B">
        <w:t xml:space="preserve">fekterna på den konsoliderade offentliga sektorns inkomster som i tabell 46. Med en sådan redovisning elimineras de missvisande effekterna av de olika sätten att beräkna statsbudgetens inkomster. </w:t>
      </w:r>
    </w:p>
    <w:p w:rsidR="001C7BF9" w:rsidRPr="00C9680B" w:rsidRDefault="001C7BF9">
      <w:pPr>
        <w:pStyle w:val="Normaltindrag"/>
      </w:pPr>
    </w:p>
    <w:p w:rsidR="001C7BF9" w:rsidRPr="00C9680B" w:rsidRDefault="001C7BF9">
      <w:pPr>
        <w:pStyle w:val="Tabell"/>
        <w:jc w:val="left"/>
      </w:pPr>
      <w:r w:rsidRPr="00C9680B">
        <w:rPr>
          <w:b/>
          <w:snapToGrid w:val="0"/>
          <w:lang w:eastAsia="sv-SE"/>
        </w:rPr>
        <w:t>Tabell 46 Offentliga sektorns inkomster 2000–2003</w:t>
      </w:r>
      <w:r w:rsidRPr="00C9680B">
        <w:rPr>
          <w:b/>
          <w:snapToGrid w:val="0"/>
          <w:lang w:eastAsia="sv-SE"/>
        </w:rPr>
        <w:br/>
        <w:t>Regeringens förslag och avvikelser enligt oppositionspartie</w:t>
      </w:r>
      <w:r w:rsidRPr="00C9680B">
        <w:rPr>
          <w:b/>
          <w:snapToGrid w:val="0"/>
          <w:lang w:eastAsia="sv-SE"/>
        </w:rPr>
        <w:t>r</w:t>
      </w:r>
      <w:r w:rsidRPr="00C9680B">
        <w:rPr>
          <w:b/>
          <w:snapToGrid w:val="0"/>
          <w:lang w:eastAsia="sv-SE"/>
        </w:rPr>
        <w:t>nas förslag</w:t>
      </w:r>
      <w:r w:rsidRPr="00C9680B">
        <w:rPr>
          <w:b/>
          <w:snapToGrid w:val="0"/>
          <w:lang w:eastAsia="sv-SE"/>
        </w:rPr>
        <w:br/>
      </w:r>
      <w:r w:rsidRPr="00C9680B">
        <w:rPr>
          <w:snapToGrid w:val="0"/>
          <w:lang w:eastAsia="sv-SE"/>
        </w:rPr>
        <w:t>Miljarder kronor</w:t>
      </w:r>
    </w:p>
    <w:tbl>
      <w:tblPr>
        <w:tblW w:w="0" w:type="auto"/>
        <w:tblInd w:w="-30" w:type="dxa"/>
        <w:tblLayout w:type="fixed"/>
        <w:tblCellMar>
          <w:left w:w="30" w:type="dxa"/>
          <w:right w:w="30" w:type="dxa"/>
        </w:tblCellMar>
        <w:tblLook w:val="0000" w:firstRow="0" w:lastRow="0" w:firstColumn="0" w:lastColumn="0" w:noHBand="0" w:noVBand="0"/>
      </w:tblPr>
      <w:tblGrid>
        <w:gridCol w:w="2639"/>
        <w:gridCol w:w="709"/>
        <w:gridCol w:w="850"/>
        <w:gridCol w:w="851"/>
        <w:gridCol w:w="850"/>
      </w:tblGrid>
      <w:tr w:rsidR="00000000" w:rsidRPr="00C9680B">
        <w:tblPrEx>
          <w:tblCellMar>
            <w:top w:w="0" w:type="dxa"/>
            <w:bottom w:w="0" w:type="dxa"/>
          </w:tblCellMar>
        </w:tblPrEx>
        <w:trPr>
          <w:trHeight w:val="180"/>
        </w:trPr>
        <w:tc>
          <w:tcPr>
            <w:tcW w:w="2639" w:type="dxa"/>
            <w:tcBorders>
              <w:top w:val="single" w:sz="6" w:space="0" w:color="auto"/>
              <w:bottom w:val="single" w:sz="6" w:space="0" w:color="auto"/>
            </w:tcBorders>
          </w:tcPr>
          <w:p w:rsidR="001C7BF9" w:rsidRPr="00C9680B" w:rsidRDefault="001C7BF9">
            <w:pPr>
              <w:pStyle w:val="SBTabell"/>
              <w:spacing w:line="180" w:lineRule="exact"/>
              <w:rPr>
                <w:snapToGrid w:val="0"/>
                <w:sz w:val="17"/>
                <w:lang w:eastAsia="sv-SE"/>
              </w:rPr>
            </w:pPr>
          </w:p>
        </w:tc>
        <w:tc>
          <w:tcPr>
            <w:tcW w:w="709" w:type="dxa"/>
            <w:tcBorders>
              <w:top w:val="single" w:sz="6" w:space="0" w:color="auto"/>
              <w:bottom w:val="single" w:sz="6" w:space="0" w:color="auto"/>
            </w:tcBorders>
          </w:tcPr>
          <w:p w:rsidR="001C7BF9" w:rsidRPr="00C9680B" w:rsidRDefault="001C7BF9">
            <w:pPr>
              <w:pStyle w:val="SBTabell"/>
              <w:spacing w:line="180" w:lineRule="exact"/>
              <w:jc w:val="right"/>
              <w:rPr>
                <w:b/>
                <w:snapToGrid w:val="0"/>
                <w:sz w:val="17"/>
                <w:lang w:eastAsia="sv-SE"/>
              </w:rPr>
            </w:pPr>
            <w:r w:rsidRPr="00C9680B">
              <w:rPr>
                <w:b/>
                <w:snapToGrid w:val="0"/>
                <w:sz w:val="17"/>
                <w:lang w:eastAsia="sv-SE"/>
              </w:rPr>
              <w:t>2000</w:t>
            </w:r>
          </w:p>
        </w:tc>
        <w:tc>
          <w:tcPr>
            <w:tcW w:w="850" w:type="dxa"/>
            <w:tcBorders>
              <w:top w:val="single" w:sz="6" w:space="0" w:color="auto"/>
              <w:bottom w:val="single" w:sz="6" w:space="0" w:color="auto"/>
            </w:tcBorders>
          </w:tcPr>
          <w:p w:rsidR="001C7BF9" w:rsidRPr="00C9680B" w:rsidRDefault="001C7BF9">
            <w:pPr>
              <w:pStyle w:val="SBTabell"/>
              <w:spacing w:line="180" w:lineRule="exact"/>
              <w:jc w:val="right"/>
              <w:rPr>
                <w:b/>
                <w:snapToGrid w:val="0"/>
                <w:sz w:val="17"/>
                <w:lang w:eastAsia="sv-SE"/>
              </w:rPr>
            </w:pPr>
            <w:r w:rsidRPr="00C9680B">
              <w:rPr>
                <w:b/>
                <w:snapToGrid w:val="0"/>
                <w:sz w:val="17"/>
                <w:lang w:eastAsia="sv-SE"/>
              </w:rPr>
              <w:t>2001</w:t>
            </w:r>
          </w:p>
        </w:tc>
        <w:tc>
          <w:tcPr>
            <w:tcW w:w="851" w:type="dxa"/>
            <w:tcBorders>
              <w:top w:val="single" w:sz="6" w:space="0" w:color="auto"/>
              <w:bottom w:val="single" w:sz="6" w:space="0" w:color="auto"/>
            </w:tcBorders>
          </w:tcPr>
          <w:p w:rsidR="001C7BF9" w:rsidRPr="00C9680B" w:rsidRDefault="001C7BF9">
            <w:pPr>
              <w:pStyle w:val="SBTabell"/>
              <w:spacing w:line="180" w:lineRule="exact"/>
              <w:jc w:val="right"/>
              <w:rPr>
                <w:b/>
                <w:snapToGrid w:val="0"/>
                <w:sz w:val="17"/>
                <w:lang w:eastAsia="sv-SE"/>
              </w:rPr>
            </w:pPr>
            <w:r w:rsidRPr="00C9680B">
              <w:rPr>
                <w:b/>
                <w:snapToGrid w:val="0"/>
                <w:sz w:val="17"/>
                <w:lang w:eastAsia="sv-SE"/>
              </w:rPr>
              <w:t>2002</w:t>
            </w:r>
          </w:p>
        </w:tc>
        <w:tc>
          <w:tcPr>
            <w:tcW w:w="850" w:type="dxa"/>
            <w:tcBorders>
              <w:top w:val="single" w:sz="6" w:space="0" w:color="auto"/>
              <w:bottom w:val="single" w:sz="6" w:space="0" w:color="auto"/>
            </w:tcBorders>
          </w:tcPr>
          <w:p w:rsidR="001C7BF9" w:rsidRPr="00C9680B" w:rsidRDefault="001C7BF9">
            <w:pPr>
              <w:pStyle w:val="SBTabell"/>
              <w:spacing w:line="180" w:lineRule="exact"/>
              <w:jc w:val="right"/>
              <w:rPr>
                <w:b/>
                <w:snapToGrid w:val="0"/>
                <w:sz w:val="17"/>
                <w:lang w:eastAsia="sv-SE"/>
              </w:rPr>
            </w:pPr>
            <w:r w:rsidRPr="00C9680B">
              <w:rPr>
                <w:b/>
                <w:snapToGrid w:val="0"/>
                <w:sz w:val="17"/>
                <w:lang w:eastAsia="sv-SE"/>
              </w:rPr>
              <w:t>2003</w:t>
            </w:r>
          </w:p>
        </w:tc>
      </w:tr>
      <w:tr w:rsidR="00000000" w:rsidRPr="00C9680B">
        <w:tblPrEx>
          <w:tblCellMar>
            <w:top w:w="0" w:type="dxa"/>
            <w:bottom w:w="0" w:type="dxa"/>
          </w:tblCellMar>
        </w:tblPrEx>
        <w:trPr>
          <w:trHeight w:val="180"/>
        </w:trPr>
        <w:tc>
          <w:tcPr>
            <w:tcW w:w="2639" w:type="dxa"/>
          </w:tcPr>
          <w:p w:rsidR="001C7BF9" w:rsidRPr="00C9680B" w:rsidRDefault="001C7BF9">
            <w:pPr>
              <w:pStyle w:val="SBTabell"/>
              <w:spacing w:line="180" w:lineRule="exact"/>
              <w:rPr>
                <w:snapToGrid w:val="0"/>
                <w:sz w:val="17"/>
                <w:lang w:eastAsia="sv-SE"/>
              </w:rPr>
            </w:pPr>
            <w:r w:rsidRPr="00C9680B">
              <w:rPr>
                <w:snapToGrid w:val="0"/>
                <w:sz w:val="17"/>
                <w:lang w:eastAsia="sv-SE"/>
              </w:rPr>
              <w:t>Regeringens förslag</w:t>
            </w:r>
          </w:p>
        </w:tc>
        <w:tc>
          <w:tcPr>
            <w:tcW w:w="709" w:type="dxa"/>
          </w:tcPr>
          <w:p w:rsidR="001C7BF9" w:rsidRPr="00C9680B" w:rsidRDefault="001C7BF9">
            <w:pPr>
              <w:pStyle w:val="SBTabell"/>
              <w:spacing w:line="180" w:lineRule="exact"/>
              <w:jc w:val="right"/>
              <w:rPr>
                <w:snapToGrid w:val="0"/>
                <w:sz w:val="17"/>
                <w:lang w:eastAsia="sv-SE"/>
              </w:rPr>
            </w:pPr>
            <w:r w:rsidRPr="00C9680B">
              <w:rPr>
                <w:snapToGrid w:val="0"/>
                <w:sz w:val="17"/>
                <w:lang w:eastAsia="sv-SE"/>
              </w:rPr>
              <w:t>1 218,7</w:t>
            </w:r>
          </w:p>
        </w:tc>
        <w:tc>
          <w:tcPr>
            <w:tcW w:w="850" w:type="dxa"/>
          </w:tcPr>
          <w:p w:rsidR="001C7BF9" w:rsidRPr="00C9680B" w:rsidRDefault="001C7BF9">
            <w:pPr>
              <w:pStyle w:val="SBTabell"/>
              <w:spacing w:line="180" w:lineRule="exact"/>
              <w:jc w:val="right"/>
              <w:rPr>
                <w:snapToGrid w:val="0"/>
                <w:sz w:val="17"/>
                <w:lang w:eastAsia="sv-SE"/>
              </w:rPr>
            </w:pPr>
            <w:r w:rsidRPr="00C9680B">
              <w:rPr>
                <w:snapToGrid w:val="0"/>
                <w:sz w:val="17"/>
                <w:lang w:eastAsia="sv-SE"/>
              </w:rPr>
              <w:t>1 248,1</w:t>
            </w:r>
          </w:p>
        </w:tc>
        <w:tc>
          <w:tcPr>
            <w:tcW w:w="851" w:type="dxa"/>
          </w:tcPr>
          <w:p w:rsidR="001C7BF9" w:rsidRPr="00C9680B" w:rsidRDefault="001C7BF9">
            <w:pPr>
              <w:pStyle w:val="SBTabell"/>
              <w:spacing w:line="180" w:lineRule="exact"/>
              <w:jc w:val="right"/>
              <w:rPr>
                <w:snapToGrid w:val="0"/>
                <w:sz w:val="17"/>
                <w:lang w:eastAsia="sv-SE"/>
              </w:rPr>
            </w:pPr>
            <w:r w:rsidRPr="00C9680B">
              <w:rPr>
                <w:snapToGrid w:val="0"/>
                <w:sz w:val="17"/>
                <w:lang w:eastAsia="sv-SE"/>
              </w:rPr>
              <w:t>1 281,2</w:t>
            </w:r>
          </w:p>
        </w:tc>
        <w:tc>
          <w:tcPr>
            <w:tcW w:w="850" w:type="dxa"/>
          </w:tcPr>
          <w:p w:rsidR="001C7BF9" w:rsidRPr="00C9680B" w:rsidRDefault="001C7BF9">
            <w:pPr>
              <w:pStyle w:val="SBTabell"/>
              <w:spacing w:line="180" w:lineRule="exact"/>
              <w:jc w:val="right"/>
              <w:rPr>
                <w:snapToGrid w:val="0"/>
                <w:sz w:val="17"/>
                <w:lang w:eastAsia="sv-SE"/>
              </w:rPr>
            </w:pPr>
            <w:r w:rsidRPr="00C9680B">
              <w:rPr>
                <w:snapToGrid w:val="0"/>
                <w:sz w:val="17"/>
                <w:lang w:eastAsia="sv-SE"/>
              </w:rPr>
              <w:t>1 335,4</w:t>
            </w:r>
          </w:p>
        </w:tc>
      </w:tr>
      <w:tr w:rsidR="00000000" w:rsidRPr="00C9680B">
        <w:tblPrEx>
          <w:tblCellMar>
            <w:top w:w="0" w:type="dxa"/>
            <w:bottom w:w="0" w:type="dxa"/>
          </w:tblCellMar>
        </w:tblPrEx>
        <w:trPr>
          <w:trHeight w:val="180"/>
        </w:trPr>
        <w:tc>
          <w:tcPr>
            <w:tcW w:w="2639" w:type="dxa"/>
          </w:tcPr>
          <w:p w:rsidR="001C7BF9" w:rsidRPr="00C9680B" w:rsidRDefault="001C7BF9">
            <w:pPr>
              <w:pStyle w:val="SBTabell"/>
              <w:spacing w:before="80" w:line="180" w:lineRule="exact"/>
              <w:rPr>
                <w:i/>
                <w:snapToGrid w:val="0"/>
                <w:sz w:val="17"/>
                <w:lang w:eastAsia="sv-SE"/>
              </w:rPr>
            </w:pPr>
            <w:r w:rsidRPr="00C9680B">
              <w:rPr>
                <w:i/>
                <w:snapToGrid w:val="0"/>
                <w:sz w:val="17"/>
                <w:lang w:eastAsia="sv-SE"/>
              </w:rPr>
              <w:t>Oppositionspartiernas förslag</w:t>
            </w:r>
          </w:p>
        </w:tc>
        <w:tc>
          <w:tcPr>
            <w:tcW w:w="709" w:type="dxa"/>
          </w:tcPr>
          <w:p w:rsidR="001C7BF9" w:rsidRPr="00C9680B" w:rsidRDefault="001C7BF9">
            <w:pPr>
              <w:pStyle w:val="SBTabell"/>
              <w:spacing w:before="80" w:line="180" w:lineRule="exact"/>
              <w:jc w:val="right"/>
              <w:rPr>
                <w:snapToGrid w:val="0"/>
                <w:sz w:val="17"/>
                <w:lang w:eastAsia="sv-SE"/>
              </w:rPr>
            </w:pPr>
          </w:p>
        </w:tc>
        <w:tc>
          <w:tcPr>
            <w:tcW w:w="850" w:type="dxa"/>
          </w:tcPr>
          <w:p w:rsidR="001C7BF9" w:rsidRPr="00C9680B" w:rsidRDefault="001C7BF9">
            <w:pPr>
              <w:pStyle w:val="SBTabell"/>
              <w:spacing w:before="80" w:line="180" w:lineRule="exact"/>
              <w:jc w:val="right"/>
              <w:rPr>
                <w:snapToGrid w:val="0"/>
                <w:sz w:val="17"/>
                <w:lang w:eastAsia="sv-SE"/>
              </w:rPr>
            </w:pPr>
          </w:p>
        </w:tc>
        <w:tc>
          <w:tcPr>
            <w:tcW w:w="851" w:type="dxa"/>
          </w:tcPr>
          <w:p w:rsidR="001C7BF9" w:rsidRPr="00C9680B" w:rsidRDefault="001C7BF9">
            <w:pPr>
              <w:pStyle w:val="SBTabell"/>
              <w:spacing w:before="80" w:line="180" w:lineRule="exact"/>
              <w:jc w:val="right"/>
              <w:rPr>
                <w:snapToGrid w:val="0"/>
                <w:sz w:val="17"/>
                <w:lang w:eastAsia="sv-SE"/>
              </w:rPr>
            </w:pPr>
          </w:p>
        </w:tc>
        <w:tc>
          <w:tcPr>
            <w:tcW w:w="850" w:type="dxa"/>
          </w:tcPr>
          <w:p w:rsidR="001C7BF9" w:rsidRPr="00C9680B" w:rsidRDefault="001C7BF9">
            <w:pPr>
              <w:pStyle w:val="SBTabell"/>
              <w:spacing w:before="80" w:line="180" w:lineRule="exact"/>
              <w:jc w:val="right"/>
              <w:rPr>
                <w:snapToGrid w:val="0"/>
                <w:sz w:val="17"/>
                <w:lang w:eastAsia="sv-SE"/>
              </w:rPr>
            </w:pPr>
          </w:p>
        </w:tc>
      </w:tr>
      <w:tr w:rsidR="00000000" w:rsidRPr="00C9680B">
        <w:tblPrEx>
          <w:tblCellMar>
            <w:top w:w="0" w:type="dxa"/>
            <w:bottom w:w="0" w:type="dxa"/>
          </w:tblCellMar>
        </w:tblPrEx>
        <w:trPr>
          <w:trHeight w:val="180"/>
        </w:trPr>
        <w:tc>
          <w:tcPr>
            <w:tcW w:w="2639" w:type="dxa"/>
          </w:tcPr>
          <w:p w:rsidR="001C7BF9" w:rsidRPr="00C9680B" w:rsidRDefault="001C7BF9">
            <w:pPr>
              <w:pStyle w:val="SBTabell"/>
              <w:spacing w:before="80" w:line="180" w:lineRule="exact"/>
              <w:rPr>
                <w:snapToGrid w:val="0"/>
                <w:sz w:val="17"/>
                <w:lang w:eastAsia="sv-SE"/>
              </w:rPr>
            </w:pPr>
            <w:r w:rsidRPr="00C9680B">
              <w:rPr>
                <w:snapToGrid w:val="0"/>
                <w:sz w:val="17"/>
                <w:lang w:eastAsia="sv-SE"/>
              </w:rPr>
              <w:t>Moderata samlingspartiet</w:t>
            </w:r>
          </w:p>
        </w:tc>
        <w:tc>
          <w:tcPr>
            <w:tcW w:w="709" w:type="dxa"/>
          </w:tcPr>
          <w:p w:rsidR="001C7BF9" w:rsidRPr="00C9680B" w:rsidRDefault="001C7BF9">
            <w:pPr>
              <w:pStyle w:val="SBTabell"/>
              <w:spacing w:before="80" w:line="180" w:lineRule="exact"/>
              <w:jc w:val="right"/>
              <w:rPr>
                <w:snapToGrid w:val="0"/>
                <w:sz w:val="17"/>
                <w:lang w:eastAsia="sv-SE"/>
              </w:rPr>
            </w:pPr>
          </w:p>
        </w:tc>
        <w:tc>
          <w:tcPr>
            <w:tcW w:w="850" w:type="dxa"/>
          </w:tcPr>
          <w:p w:rsidR="001C7BF9" w:rsidRPr="00C9680B" w:rsidRDefault="001C7BF9">
            <w:pPr>
              <w:pStyle w:val="SBTabell"/>
              <w:spacing w:before="80" w:line="180" w:lineRule="exact"/>
              <w:jc w:val="right"/>
              <w:rPr>
                <w:snapToGrid w:val="0"/>
                <w:sz w:val="17"/>
                <w:lang w:eastAsia="sv-SE"/>
              </w:rPr>
            </w:pPr>
            <w:r w:rsidRPr="00C9680B">
              <w:rPr>
                <w:snapToGrid w:val="0"/>
                <w:sz w:val="17"/>
                <w:lang w:eastAsia="sv-SE"/>
              </w:rPr>
              <w:t>-48,4</w:t>
            </w:r>
          </w:p>
        </w:tc>
        <w:tc>
          <w:tcPr>
            <w:tcW w:w="851" w:type="dxa"/>
          </w:tcPr>
          <w:p w:rsidR="001C7BF9" w:rsidRPr="00C9680B" w:rsidRDefault="001C7BF9">
            <w:pPr>
              <w:pStyle w:val="SBTabell"/>
              <w:spacing w:before="80" w:line="180" w:lineRule="exact"/>
              <w:jc w:val="right"/>
              <w:rPr>
                <w:snapToGrid w:val="0"/>
                <w:sz w:val="17"/>
                <w:lang w:eastAsia="sv-SE"/>
              </w:rPr>
            </w:pPr>
            <w:r w:rsidRPr="00C9680B">
              <w:rPr>
                <w:snapToGrid w:val="0"/>
                <w:sz w:val="17"/>
                <w:lang w:eastAsia="sv-SE"/>
              </w:rPr>
              <w:t>-79,3</w:t>
            </w:r>
          </w:p>
        </w:tc>
        <w:tc>
          <w:tcPr>
            <w:tcW w:w="850" w:type="dxa"/>
          </w:tcPr>
          <w:p w:rsidR="001C7BF9" w:rsidRPr="00C9680B" w:rsidRDefault="001C7BF9">
            <w:pPr>
              <w:pStyle w:val="SBTabell"/>
              <w:spacing w:before="80" w:line="180" w:lineRule="exact"/>
              <w:jc w:val="right"/>
              <w:rPr>
                <w:snapToGrid w:val="0"/>
                <w:sz w:val="17"/>
                <w:lang w:eastAsia="sv-SE"/>
              </w:rPr>
            </w:pPr>
            <w:r w:rsidRPr="00C9680B">
              <w:rPr>
                <w:snapToGrid w:val="0"/>
                <w:sz w:val="17"/>
                <w:lang w:eastAsia="sv-SE"/>
              </w:rPr>
              <w:t>-106,1</w:t>
            </w:r>
          </w:p>
        </w:tc>
      </w:tr>
      <w:tr w:rsidR="00000000" w:rsidRPr="00C9680B">
        <w:tblPrEx>
          <w:tblCellMar>
            <w:top w:w="0" w:type="dxa"/>
            <w:bottom w:w="0" w:type="dxa"/>
          </w:tblCellMar>
        </w:tblPrEx>
        <w:trPr>
          <w:trHeight w:val="180"/>
        </w:trPr>
        <w:tc>
          <w:tcPr>
            <w:tcW w:w="2639" w:type="dxa"/>
          </w:tcPr>
          <w:p w:rsidR="001C7BF9" w:rsidRPr="00C9680B" w:rsidRDefault="001C7BF9">
            <w:pPr>
              <w:pStyle w:val="SBTabell"/>
              <w:spacing w:line="180" w:lineRule="exact"/>
              <w:rPr>
                <w:snapToGrid w:val="0"/>
                <w:sz w:val="17"/>
                <w:lang w:eastAsia="sv-SE"/>
              </w:rPr>
            </w:pPr>
            <w:r w:rsidRPr="00C9680B">
              <w:rPr>
                <w:snapToGrid w:val="0"/>
                <w:sz w:val="17"/>
                <w:lang w:eastAsia="sv-SE"/>
              </w:rPr>
              <w:t>Kristdemokraterna</w:t>
            </w:r>
          </w:p>
        </w:tc>
        <w:tc>
          <w:tcPr>
            <w:tcW w:w="709" w:type="dxa"/>
          </w:tcPr>
          <w:p w:rsidR="001C7BF9" w:rsidRPr="00C9680B" w:rsidRDefault="001C7BF9">
            <w:pPr>
              <w:pStyle w:val="SBTabell"/>
              <w:spacing w:line="180" w:lineRule="exact"/>
              <w:jc w:val="right"/>
              <w:rPr>
                <w:snapToGrid w:val="0"/>
                <w:sz w:val="17"/>
                <w:lang w:eastAsia="sv-SE"/>
              </w:rPr>
            </w:pPr>
          </w:p>
        </w:tc>
        <w:tc>
          <w:tcPr>
            <w:tcW w:w="850" w:type="dxa"/>
          </w:tcPr>
          <w:p w:rsidR="001C7BF9" w:rsidRPr="00C9680B" w:rsidRDefault="001C7BF9">
            <w:pPr>
              <w:pStyle w:val="SBTabell"/>
              <w:spacing w:line="180" w:lineRule="exact"/>
              <w:jc w:val="right"/>
              <w:rPr>
                <w:snapToGrid w:val="0"/>
                <w:sz w:val="17"/>
                <w:lang w:eastAsia="sv-SE"/>
              </w:rPr>
            </w:pPr>
            <w:r w:rsidRPr="00C9680B">
              <w:rPr>
                <w:snapToGrid w:val="0"/>
                <w:sz w:val="17"/>
                <w:lang w:eastAsia="sv-SE"/>
              </w:rPr>
              <w:t>-26,4</w:t>
            </w:r>
          </w:p>
        </w:tc>
        <w:tc>
          <w:tcPr>
            <w:tcW w:w="851" w:type="dxa"/>
          </w:tcPr>
          <w:p w:rsidR="001C7BF9" w:rsidRPr="00C9680B" w:rsidRDefault="001C7BF9">
            <w:pPr>
              <w:pStyle w:val="SBTabell"/>
              <w:spacing w:line="180" w:lineRule="exact"/>
              <w:jc w:val="right"/>
              <w:rPr>
                <w:snapToGrid w:val="0"/>
                <w:sz w:val="17"/>
                <w:lang w:eastAsia="sv-SE"/>
              </w:rPr>
            </w:pPr>
            <w:r w:rsidRPr="00C9680B">
              <w:rPr>
                <w:snapToGrid w:val="0"/>
                <w:sz w:val="17"/>
                <w:lang w:eastAsia="sv-SE"/>
              </w:rPr>
              <w:t>-47,0</w:t>
            </w:r>
          </w:p>
        </w:tc>
        <w:tc>
          <w:tcPr>
            <w:tcW w:w="850" w:type="dxa"/>
          </w:tcPr>
          <w:p w:rsidR="001C7BF9" w:rsidRPr="00C9680B" w:rsidRDefault="001C7BF9">
            <w:pPr>
              <w:pStyle w:val="SBTabell"/>
              <w:spacing w:line="180" w:lineRule="exact"/>
              <w:jc w:val="right"/>
              <w:rPr>
                <w:snapToGrid w:val="0"/>
                <w:sz w:val="17"/>
                <w:lang w:eastAsia="sv-SE"/>
              </w:rPr>
            </w:pPr>
            <w:r w:rsidRPr="00C9680B">
              <w:rPr>
                <w:snapToGrid w:val="0"/>
                <w:sz w:val="17"/>
                <w:lang w:eastAsia="sv-SE"/>
              </w:rPr>
              <w:t>-56,0</w:t>
            </w:r>
          </w:p>
        </w:tc>
      </w:tr>
      <w:tr w:rsidR="00000000" w:rsidRPr="00C9680B">
        <w:tblPrEx>
          <w:tblCellMar>
            <w:top w:w="0" w:type="dxa"/>
            <w:bottom w:w="0" w:type="dxa"/>
          </w:tblCellMar>
        </w:tblPrEx>
        <w:trPr>
          <w:trHeight w:val="180"/>
        </w:trPr>
        <w:tc>
          <w:tcPr>
            <w:tcW w:w="2639" w:type="dxa"/>
          </w:tcPr>
          <w:p w:rsidR="001C7BF9" w:rsidRPr="00C9680B" w:rsidRDefault="001C7BF9">
            <w:pPr>
              <w:pStyle w:val="SBTabell"/>
              <w:spacing w:line="180" w:lineRule="exact"/>
              <w:rPr>
                <w:snapToGrid w:val="0"/>
                <w:sz w:val="17"/>
                <w:lang w:eastAsia="sv-SE"/>
              </w:rPr>
            </w:pPr>
            <w:r w:rsidRPr="00C9680B">
              <w:rPr>
                <w:snapToGrid w:val="0"/>
                <w:sz w:val="17"/>
                <w:lang w:eastAsia="sv-SE"/>
              </w:rPr>
              <w:t>Centerpartiet</w:t>
            </w:r>
          </w:p>
        </w:tc>
        <w:tc>
          <w:tcPr>
            <w:tcW w:w="709" w:type="dxa"/>
          </w:tcPr>
          <w:p w:rsidR="001C7BF9" w:rsidRPr="00C9680B" w:rsidRDefault="001C7BF9">
            <w:pPr>
              <w:pStyle w:val="SBTabell"/>
              <w:spacing w:line="180" w:lineRule="exact"/>
              <w:jc w:val="right"/>
              <w:rPr>
                <w:snapToGrid w:val="0"/>
                <w:sz w:val="17"/>
                <w:lang w:eastAsia="sv-SE"/>
              </w:rPr>
            </w:pPr>
          </w:p>
        </w:tc>
        <w:tc>
          <w:tcPr>
            <w:tcW w:w="850" w:type="dxa"/>
          </w:tcPr>
          <w:p w:rsidR="001C7BF9" w:rsidRPr="00C9680B" w:rsidRDefault="001C7BF9">
            <w:pPr>
              <w:pStyle w:val="SBTabell"/>
              <w:spacing w:line="180" w:lineRule="exact"/>
              <w:jc w:val="right"/>
              <w:rPr>
                <w:snapToGrid w:val="0"/>
                <w:sz w:val="17"/>
                <w:lang w:eastAsia="sv-SE"/>
              </w:rPr>
            </w:pPr>
            <w:r w:rsidRPr="00C9680B">
              <w:rPr>
                <w:snapToGrid w:val="0"/>
                <w:sz w:val="17"/>
                <w:lang w:eastAsia="sv-SE"/>
              </w:rPr>
              <w:t>-10,2</w:t>
            </w:r>
          </w:p>
        </w:tc>
        <w:tc>
          <w:tcPr>
            <w:tcW w:w="851" w:type="dxa"/>
          </w:tcPr>
          <w:p w:rsidR="001C7BF9" w:rsidRPr="00C9680B" w:rsidRDefault="001C7BF9">
            <w:pPr>
              <w:pStyle w:val="SBTabell"/>
              <w:spacing w:line="180" w:lineRule="exact"/>
              <w:jc w:val="right"/>
              <w:rPr>
                <w:snapToGrid w:val="0"/>
                <w:sz w:val="17"/>
                <w:lang w:eastAsia="sv-SE"/>
              </w:rPr>
            </w:pPr>
            <w:r w:rsidRPr="00C9680B">
              <w:rPr>
                <w:snapToGrid w:val="0"/>
                <w:sz w:val="17"/>
                <w:lang w:eastAsia="sv-SE"/>
              </w:rPr>
              <w:t>-36,5</w:t>
            </w:r>
          </w:p>
        </w:tc>
        <w:tc>
          <w:tcPr>
            <w:tcW w:w="850" w:type="dxa"/>
          </w:tcPr>
          <w:p w:rsidR="001C7BF9" w:rsidRPr="00C9680B" w:rsidRDefault="001C7BF9">
            <w:pPr>
              <w:pStyle w:val="SBTabell"/>
              <w:spacing w:line="180" w:lineRule="exact"/>
              <w:jc w:val="right"/>
              <w:rPr>
                <w:snapToGrid w:val="0"/>
                <w:sz w:val="17"/>
                <w:lang w:eastAsia="sv-SE"/>
              </w:rPr>
            </w:pPr>
            <w:r w:rsidRPr="00C9680B">
              <w:rPr>
                <w:snapToGrid w:val="0"/>
                <w:sz w:val="17"/>
                <w:lang w:eastAsia="sv-SE"/>
              </w:rPr>
              <w:t>-57,9</w:t>
            </w:r>
          </w:p>
        </w:tc>
      </w:tr>
      <w:tr w:rsidR="00000000" w:rsidRPr="00C9680B">
        <w:tblPrEx>
          <w:tblCellMar>
            <w:top w:w="0" w:type="dxa"/>
            <w:bottom w:w="0" w:type="dxa"/>
          </w:tblCellMar>
        </w:tblPrEx>
        <w:trPr>
          <w:trHeight w:val="180"/>
        </w:trPr>
        <w:tc>
          <w:tcPr>
            <w:tcW w:w="2639" w:type="dxa"/>
            <w:tcBorders>
              <w:bottom w:val="single" w:sz="4" w:space="0" w:color="auto"/>
            </w:tcBorders>
          </w:tcPr>
          <w:p w:rsidR="001C7BF9" w:rsidRPr="00C9680B" w:rsidRDefault="001C7BF9">
            <w:pPr>
              <w:pStyle w:val="SBTabell"/>
              <w:spacing w:line="180" w:lineRule="exact"/>
              <w:rPr>
                <w:snapToGrid w:val="0"/>
                <w:sz w:val="17"/>
                <w:lang w:eastAsia="sv-SE"/>
              </w:rPr>
            </w:pPr>
            <w:r w:rsidRPr="00C9680B">
              <w:rPr>
                <w:snapToGrid w:val="0"/>
                <w:sz w:val="17"/>
                <w:lang w:eastAsia="sv-SE"/>
              </w:rPr>
              <w:t>Folkpartiet liberalerna</w:t>
            </w:r>
          </w:p>
        </w:tc>
        <w:tc>
          <w:tcPr>
            <w:tcW w:w="709" w:type="dxa"/>
            <w:tcBorders>
              <w:bottom w:val="single" w:sz="4" w:space="0" w:color="auto"/>
            </w:tcBorders>
          </w:tcPr>
          <w:p w:rsidR="001C7BF9" w:rsidRPr="00C9680B" w:rsidRDefault="001C7BF9">
            <w:pPr>
              <w:pStyle w:val="SBTabell"/>
              <w:spacing w:line="180" w:lineRule="exact"/>
              <w:jc w:val="right"/>
              <w:rPr>
                <w:snapToGrid w:val="0"/>
                <w:sz w:val="17"/>
                <w:lang w:eastAsia="sv-SE"/>
              </w:rPr>
            </w:pPr>
          </w:p>
        </w:tc>
        <w:tc>
          <w:tcPr>
            <w:tcW w:w="850" w:type="dxa"/>
            <w:tcBorders>
              <w:bottom w:val="single" w:sz="4" w:space="0" w:color="auto"/>
            </w:tcBorders>
          </w:tcPr>
          <w:p w:rsidR="001C7BF9" w:rsidRPr="00C9680B" w:rsidRDefault="001C7BF9">
            <w:pPr>
              <w:pStyle w:val="SBTabell"/>
              <w:spacing w:line="180" w:lineRule="exact"/>
              <w:jc w:val="right"/>
              <w:rPr>
                <w:snapToGrid w:val="0"/>
                <w:sz w:val="17"/>
                <w:lang w:eastAsia="sv-SE"/>
              </w:rPr>
            </w:pPr>
            <w:r w:rsidRPr="00C9680B">
              <w:rPr>
                <w:snapToGrid w:val="0"/>
                <w:sz w:val="17"/>
                <w:lang w:eastAsia="sv-SE"/>
              </w:rPr>
              <w:t>-29,2</w:t>
            </w:r>
          </w:p>
        </w:tc>
        <w:tc>
          <w:tcPr>
            <w:tcW w:w="851" w:type="dxa"/>
            <w:tcBorders>
              <w:bottom w:val="single" w:sz="4" w:space="0" w:color="auto"/>
            </w:tcBorders>
          </w:tcPr>
          <w:p w:rsidR="001C7BF9" w:rsidRPr="00C9680B" w:rsidRDefault="001C7BF9">
            <w:pPr>
              <w:pStyle w:val="SBTabell"/>
              <w:spacing w:line="180" w:lineRule="exact"/>
              <w:jc w:val="right"/>
              <w:rPr>
                <w:snapToGrid w:val="0"/>
                <w:sz w:val="17"/>
                <w:lang w:eastAsia="sv-SE"/>
              </w:rPr>
            </w:pPr>
            <w:r w:rsidRPr="00C9680B">
              <w:rPr>
                <w:snapToGrid w:val="0"/>
                <w:sz w:val="17"/>
                <w:lang w:eastAsia="sv-SE"/>
              </w:rPr>
              <w:t>-56,4</w:t>
            </w:r>
          </w:p>
        </w:tc>
        <w:tc>
          <w:tcPr>
            <w:tcW w:w="850" w:type="dxa"/>
            <w:tcBorders>
              <w:bottom w:val="single" w:sz="4" w:space="0" w:color="auto"/>
            </w:tcBorders>
          </w:tcPr>
          <w:p w:rsidR="001C7BF9" w:rsidRPr="00C9680B" w:rsidRDefault="001C7BF9">
            <w:pPr>
              <w:pStyle w:val="SBTabell"/>
              <w:spacing w:line="180" w:lineRule="exact"/>
              <w:jc w:val="right"/>
              <w:rPr>
                <w:snapToGrid w:val="0"/>
                <w:sz w:val="17"/>
                <w:lang w:eastAsia="sv-SE"/>
              </w:rPr>
            </w:pPr>
            <w:r w:rsidRPr="00C9680B">
              <w:rPr>
                <w:snapToGrid w:val="0"/>
                <w:sz w:val="17"/>
                <w:lang w:eastAsia="sv-SE"/>
              </w:rPr>
              <w:t>-62,9</w:t>
            </w:r>
          </w:p>
        </w:tc>
      </w:tr>
    </w:tbl>
    <w:p w:rsidR="001C7BF9" w:rsidRPr="00C9680B" w:rsidRDefault="001C7BF9">
      <w:pPr>
        <w:spacing w:before="240"/>
      </w:pPr>
      <w:r w:rsidRPr="00C9680B">
        <w:t>Utskottet har i avsnitt 2.4.3 utförligt behandlat budgetförslagen i partimoti</w:t>
      </w:r>
      <w:r w:rsidRPr="00C9680B">
        <w:t>o</w:t>
      </w:r>
      <w:r w:rsidRPr="00C9680B">
        <w:t xml:space="preserve">nerna från Moderata samlingspartiet, Kristdemokraterna, Centerpartiet och Folkpartiet liberalerna och där avstyrkt dessa. I överensstämmelse härmed avstyrker utskottet motionerna Fi208 (m) yrkande 7, Fi209 (kd) yrkande 5, Fi210 (c) yrkande 3, Fi211 (fp) yrkande 5 och Sk323 (kd) yrkande 1. </w:t>
      </w:r>
    </w:p>
    <w:p w:rsidR="001C7BF9" w:rsidRPr="00C9680B" w:rsidRDefault="001C7BF9">
      <w:pPr>
        <w:pStyle w:val="Normaltindrag"/>
      </w:pPr>
      <w:r w:rsidRPr="00C9680B">
        <w:t>Finansutskottet har ovan behandlat skattepolitikens inriktning och olika ska</w:t>
      </w:r>
      <w:r w:rsidRPr="00C9680B">
        <w:t>t</w:t>
      </w:r>
      <w:r w:rsidRPr="00C9680B">
        <w:t>te- och avgiftsförslag och därvid tillstyrkt regeringens förslag. I konse</w:t>
      </w:r>
      <w:r w:rsidRPr="00C9680B">
        <w:softHyphen/>
        <w:t>kvens härmed tillstyrker utskottet budgetpropositionens förslag till inkoms</w:t>
      </w:r>
      <w:r w:rsidRPr="00C9680B">
        <w:t>t</w:t>
      </w:r>
      <w:r w:rsidRPr="00C9680B">
        <w:t>beräkning (y</w:t>
      </w:r>
      <w:r w:rsidRPr="00C9680B">
        <w:t>r</w:t>
      </w:r>
      <w:r w:rsidRPr="00C9680B">
        <w:t>kande 7).</w:t>
      </w:r>
    </w:p>
    <w:p w:rsidR="001C7BF9" w:rsidRPr="00C9680B" w:rsidRDefault="001C7BF9">
      <w:pPr>
        <w:pStyle w:val="Utskottetsvervganden-RubrikFrslagspunkt"/>
        <w:outlineLvl w:val="0"/>
      </w:pPr>
      <w:bookmarkStart w:id="437" w:name="_Toc497720144"/>
      <w:bookmarkStart w:id="438" w:name="_Toc498238839"/>
      <w:bookmarkStart w:id="439" w:name="_Toc498910755"/>
      <w:bookmarkEnd w:id="411"/>
      <w:r w:rsidRPr="00C9680B">
        <w:t>3.11 Lagförslagen</w:t>
      </w:r>
      <w:bookmarkEnd w:id="438"/>
      <w:bookmarkEnd w:id="439"/>
    </w:p>
    <w:p w:rsidR="001C7BF9" w:rsidRPr="00C9680B" w:rsidRDefault="001C7BF9">
      <w:pPr>
        <w:pStyle w:val="Utskottsfrslagikorthet-Rubrik"/>
        <w:outlineLvl w:val="0"/>
        <w:rPr>
          <w:noProof w:val="0"/>
        </w:rPr>
      </w:pPr>
      <w:r w:rsidRPr="00C9680B">
        <w:rPr>
          <w:noProof w:val="0"/>
        </w:rPr>
        <w:t>Utskottets delförslag i korthet</w:t>
      </w:r>
    </w:p>
    <w:p w:rsidR="001C7BF9" w:rsidRPr="00C9680B" w:rsidRDefault="001C7BF9">
      <w:pPr>
        <w:pStyle w:val="Utskottsfrslagikorthet-Text"/>
      </w:pPr>
      <w:r w:rsidRPr="00C9680B">
        <w:t>Riksdagen antar de av regeringen framlagda lagförslagen med de ändringar som utskottet föreslår i fråga om skatteuttaget på natu</w:t>
      </w:r>
      <w:r w:rsidRPr="00C9680B">
        <w:t>r</w:t>
      </w:r>
      <w:r w:rsidRPr="00C9680B">
        <w:t>gas, metan och gasol som används som drivmedel, avrundningen av det allmänna grundavdraget, skattereduktionen på förvärvsinkom</w:t>
      </w:r>
      <w:r w:rsidRPr="00C9680B">
        <w:t>s</w:t>
      </w:r>
      <w:r w:rsidRPr="00C9680B">
        <w:t>ter vid 2002 års taxering, underlaget för förmögenhetsskatt vid 2001 års taxering samt vissa övergångsbestämmelser.</w:t>
      </w:r>
    </w:p>
    <w:p w:rsidR="001C7BF9" w:rsidRPr="00C9680B" w:rsidRDefault="001C7BF9">
      <w:pPr>
        <w:pStyle w:val="R4"/>
        <w:outlineLvl w:val="0"/>
      </w:pPr>
      <w:r w:rsidRPr="00C9680B">
        <w:t>Lagförslagen</w:t>
      </w:r>
      <w:bookmarkEnd w:id="437"/>
    </w:p>
    <w:p w:rsidR="001C7BF9" w:rsidRPr="00C9680B" w:rsidRDefault="001C7BF9">
      <w:r w:rsidRPr="00C9680B">
        <w:t>Finansutskottet har inhämtat Lagrådets yttrande över förslaget till lag om underlag för förmögenhetsskatt i vissa fall vid 2001 års taxering (lagförslag 3.11), och Lagrå</w:t>
      </w:r>
      <w:r w:rsidRPr="00C9680B">
        <w:softHyphen/>
        <w:t>det har föreslagit en viss omformulering av lagtexten. U</w:t>
      </w:r>
      <w:r w:rsidRPr="00C9680B">
        <w:t>t</w:t>
      </w:r>
      <w:r w:rsidRPr="00C9680B">
        <w:t>skottet tillstyrker den av Lagrådet föreslagna ändrin</w:t>
      </w:r>
      <w:r w:rsidRPr="00C9680B">
        <w:t>g</w:t>
      </w:r>
      <w:r w:rsidRPr="00C9680B">
        <w:t xml:space="preserve">en. </w:t>
      </w:r>
    </w:p>
    <w:p w:rsidR="001C7BF9" w:rsidRPr="00C9680B" w:rsidRDefault="001C7BF9">
      <w:pPr>
        <w:pStyle w:val="Normaltindrag"/>
      </w:pPr>
      <w:r w:rsidRPr="00C9680B">
        <w:t>Härutöver bör följande justeringar genomföras. I förslaget till lag om änd</w:t>
      </w:r>
      <w:r w:rsidRPr="00C9680B">
        <w:softHyphen/>
        <w:t>ring i lagen om statlig fastighetsskatt (lagförslag 3.1) föreslår utskottet att den sista meningen i övergångs</w:t>
      </w:r>
      <w:r w:rsidRPr="00C9680B">
        <w:softHyphen/>
        <w:t>bestämmelsen ges en tydligare utformning när det gäller de regler som skall tillämpas övergångsvis. I förslaget till lag om än</w:t>
      </w:r>
      <w:r w:rsidRPr="00C9680B">
        <w:t>d</w:t>
      </w:r>
      <w:r w:rsidRPr="00C9680B">
        <w:t>ring i inkomstskattelagen (lagförslag 3.2) bör 63 kap. 2 § andra stycket utfo</w:t>
      </w:r>
      <w:r w:rsidRPr="00C9680B">
        <w:t>r</w:t>
      </w:r>
      <w:r w:rsidRPr="00C9680B">
        <w:t>mas så att det klart framgår att grundavdra</w:t>
      </w:r>
      <w:r w:rsidRPr="00C9680B">
        <w:softHyphen/>
        <w:t>get skall avrundas uppåt. I lagen om skattereduktion på förvärvsinkomster vid 2002 års taxering (lagförslag 3.5) föreslår utskottet att det klargörs at</w:t>
      </w:r>
      <w:r w:rsidRPr="00C9680B">
        <w:t>t skattereduktionen inte skall beaktas när ett skattebelopp beräknas enligt lagen (1997:324) om begränsning av skatt. Som framgår av vad utskottet anfört under rubriken Höjd koldioxidskatt föreslår utskottet att förslaget till lag om ändring i lagen (1994:1776) om skatt på energi (lagförslag 3.12) justeras så att den sammantagna punktskatteb</w:t>
      </w:r>
      <w:r w:rsidRPr="00C9680B">
        <w:t>e</w:t>
      </w:r>
      <w:r w:rsidRPr="00C9680B">
        <w:t>lastningen på naturgas, gasol och metan som används som drivmedel inte ändras. Förslaget till lag om upphävande av lagen (1978:69) om försäljning</w:t>
      </w:r>
      <w:r w:rsidRPr="00C9680B">
        <w:t>s</w:t>
      </w:r>
      <w:r w:rsidRPr="00C9680B">
        <w:t>skatt på motorfordon (</w:t>
      </w:r>
      <w:r w:rsidRPr="00C9680B">
        <w:t>lagförslag 3.14) föreslås kompletterat med en text som klargör att lagen (1985:146) om avräkning vid återbetalning av skatter och avgifter och lagen (1993:891) om indrivning av statliga fordringar m.m. for</w:t>
      </w:r>
      <w:r w:rsidRPr="00C9680B">
        <w:t>t</w:t>
      </w:r>
      <w:r w:rsidRPr="00C9680B">
        <w:t>farande skall tillämpas beträffande den upphävda lagen. En närmare motiv</w:t>
      </w:r>
      <w:r w:rsidRPr="00C9680B">
        <w:t>e</w:t>
      </w:r>
      <w:r w:rsidRPr="00C9680B">
        <w:t>ring till denna justering finns i proposition 2000/01:31 s. 86.</w:t>
      </w:r>
    </w:p>
    <w:p w:rsidR="001C7BF9" w:rsidRPr="00C9680B" w:rsidRDefault="001C7BF9">
      <w:pPr>
        <w:pStyle w:val="Normaltindrag"/>
      </w:pPr>
      <w:r w:rsidRPr="00C9680B">
        <w:t>Slutligen har utskottet överlämnat förslaget till lag om ändring i 7 kap. 1 § mervärdesskatte</w:t>
      </w:r>
      <w:r w:rsidRPr="00C9680B">
        <w:softHyphen/>
        <w:t>lagen (1994:200) till skatteutskottet för en lagteknisk sa</w:t>
      </w:r>
      <w:r w:rsidRPr="00C9680B">
        <w:t>m</w:t>
      </w:r>
      <w:r w:rsidRPr="00C9680B">
        <w:t>ordning med det förslag om ändring i samma paragraf som läggs fram i pr</w:t>
      </w:r>
      <w:r w:rsidRPr="00C9680B">
        <w:t>o</w:t>
      </w:r>
      <w:r w:rsidRPr="00C9680B">
        <w:t>position 2000/01:23 om sänkt mervärdesskatt på tillträde till djurpa</w:t>
      </w:r>
      <w:r w:rsidRPr="00C9680B">
        <w:t>r</w:t>
      </w:r>
      <w:r w:rsidRPr="00C9680B">
        <w:t>ker.</w:t>
      </w:r>
    </w:p>
    <w:p w:rsidR="001C7BF9" w:rsidRPr="00C9680B" w:rsidRDefault="001C7BF9">
      <w:pPr>
        <w:pStyle w:val="Normaltindrag"/>
      </w:pPr>
      <w:r w:rsidRPr="00C9680B">
        <w:t>De förändringar som utskottet föreslår finns intagna i bilaga 3.</w:t>
      </w:r>
    </w:p>
    <w:p w:rsidR="001C7BF9" w:rsidRPr="00C9680B" w:rsidRDefault="001C7BF9"/>
    <w:p w:rsidR="001C7BF9" w:rsidRPr="00C9680B" w:rsidRDefault="001C7BF9">
      <w:pPr>
        <w:pStyle w:val="Rubrik1"/>
        <w:rPr>
          <w:noProof w:val="0"/>
        </w:rPr>
        <w:sectPr w:rsidR="00000000" w:rsidRPr="00C9680B">
          <w:headerReference w:type="even" r:id="rId68"/>
          <w:headerReference w:type="default" r:id="rId69"/>
          <w:footerReference w:type="even" r:id="rId70"/>
          <w:footerReference w:type="default" r:id="rId71"/>
          <w:headerReference w:type="first" r:id="rId72"/>
          <w:footerReference w:type="first" r:id="rId73"/>
          <w:footnotePr>
            <w:numRestart w:val="eachSect"/>
          </w:footnotePr>
          <w:pgSz w:w="11906" w:h="16838" w:code="9"/>
          <w:pgMar w:top="907" w:right="4649" w:bottom="4508" w:left="1304" w:header="340" w:footer="227" w:gutter="0"/>
          <w:cols w:space="720"/>
          <w:titlePg/>
        </w:sectPr>
      </w:pPr>
    </w:p>
    <w:p w:rsidR="001C7BF9" w:rsidRPr="00C9680B" w:rsidRDefault="001C7BF9">
      <w:pPr>
        <w:pStyle w:val="Rubrik1"/>
        <w:spacing w:after="400"/>
        <w:rPr>
          <w:noProof w:val="0"/>
        </w:rPr>
      </w:pPr>
      <w:bookmarkStart w:id="440" w:name="_Toc498157117"/>
      <w:bookmarkStart w:id="441" w:name="_Toc498910756"/>
      <w:r w:rsidRPr="00C9680B">
        <w:rPr>
          <w:noProof w:val="0"/>
        </w:rPr>
        <w:t>4 Utgifter</w:t>
      </w:r>
      <w:bookmarkEnd w:id="440"/>
      <w:bookmarkEnd w:id="441"/>
    </w:p>
    <w:p w:rsidR="001C7BF9" w:rsidRPr="00C9680B" w:rsidRDefault="001C7BF9">
      <w:pPr>
        <w:pStyle w:val="Rubrik2"/>
        <w:spacing w:before="0"/>
      </w:pPr>
      <w:bookmarkStart w:id="442" w:name="_Toc498157118"/>
      <w:bookmarkStart w:id="443" w:name="_Toc498910757"/>
      <w:r w:rsidRPr="00C9680B">
        <w:t>4.1 Fördelning av utgifter på utgiftsområden åren 2001–2003</w:t>
      </w:r>
      <w:bookmarkEnd w:id="442"/>
      <w:bookmarkEnd w:id="443"/>
    </w:p>
    <w:p w:rsidR="001C7BF9" w:rsidRPr="00C9680B" w:rsidRDefault="001C7BF9">
      <w:pPr>
        <w:pStyle w:val="Rubrik3"/>
        <w:spacing w:before="0"/>
        <w:rPr>
          <w:noProof w:val="0"/>
        </w:rPr>
      </w:pPr>
      <w:bookmarkStart w:id="444" w:name="_Toc498157119"/>
      <w:bookmarkStart w:id="445" w:name="_Toc498910758"/>
      <w:r w:rsidRPr="00C9680B">
        <w:rPr>
          <w:noProof w:val="0"/>
        </w:rPr>
        <w:t>4.1.1 Utgiftsområde 1 Rikets styrelse</w:t>
      </w:r>
      <w:bookmarkEnd w:id="444"/>
      <w:bookmarkEnd w:id="445"/>
    </w:p>
    <w:p w:rsidR="001C7BF9" w:rsidRPr="00C9680B" w:rsidRDefault="001C7BF9">
      <w:r w:rsidRPr="00C9680B">
        <w:t>Utgiftsområdet omfattar utgifter för statschefen, riksdagen och dess myndi</w:t>
      </w:r>
      <w:r w:rsidRPr="00C9680B">
        <w:t>g</w:t>
      </w:r>
      <w:r w:rsidRPr="00C9680B">
        <w:t>heter, regeringen, centrala nyndigheter samt mediefrågor.</w:t>
      </w:r>
    </w:p>
    <w:p w:rsidR="001C7BF9" w:rsidRPr="00C9680B" w:rsidRDefault="001C7BF9">
      <w:pPr>
        <w:pStyle w:val="Normaltindrag"/>
      </w:pPr>
      <w:r w:rsidRPr="00C9680B">
        <w:t>De totala utgifterna för utgiftsområdet år 2000 beräknas uppgå till 5 014 mi</w:t>
      </w:r>
      <w:r w:rsidRPr="00C9680B">
        <w:t>l</w:t>
      </w:r>
      <w:r w:rsidRPr="00C9680B">
        <w:t>joner kronor.</w:t>
      </w:r>
    </w:p>
    <w:p w:rsidR="001C7BF9" w:rsidRPr="00C9680B" w:rsidRDefault="001C7BF9">
      <w:pPr>
        <w:pStyle w:val="Rubrik4"/>
        <w:rPr>
          <w:noProof w:val="0"/>
        </w:rPr>
      </w:pPr>
      <w:bookmarkStart w:id="446" w:name="_Toc498763590"/>
      <w:bookmarkStart w:id="447" w:name="_Toc498910759"/>
      <w:r w:rsidRPr="00C9680B">
        <w:rPr>
          <w:noProof w:val="0"/>
        </w:rPr>
        <w:t>Budgetpropositionen</w:t>
      </w:r>
      <w:bookmarkEnd w:id="446"/>
      <w:bookmarkEnd w:id="447"/>
      <w:r w:rsidRPr="00C9680B">
        <w:rPr>
          <w:noProof w:val="0"/>
        </w:rPr>
        <w:t xml:space="preserve"> </w:t>
      </w:r>
    </w:p>
    <w:p w:rsidR="001C7BF9" w:rsidRPr="00C9680B" w:rsidRDefault="001C7BF9">
      <w:r w:rsidRPr="00C9680B">
        <w:t>I budgetpropositionen (avsnitt 7.4) anges att förändringen av utgiftsområde</w:t>
      </w:r>
      <w:r w:rsidRPr="00C9680B">
        <w:t>s</w:t>
      </w:r>
      <w:r w:rsidRPr="00C9680B">
        <w:t>ramen jämfört med beräkningen i 2000 års ekonomiska vårproposition i h</w:t>
      </w:r>
      <w:r w:rsidRPr="00C9680B">
        <w:t>u</w:t>
      </w:r>
      <w:r w:rsidRPr="00C9680B">
        <w:t>vudsak förklaras av att en central säkerhetsfunktion flyttar från utgiftsområde 5 Utrikesförvaltning och internationell samverkan till Regeringskansliets anslag under u</w:t>
      </w:r>
      <w:r w:rsidRPr="00C9680B">
        <w:t>t</w:t>
      </w:r>
      <w:r w:rsidRPr="00C9680B">
        <w:t xml:space="preserve">giftsområde 1. </w:t>
      </w:r>
    </w:p>
    <w:p w:rsidR="001C7BF9" w:rsidRPr="00C9680B" w:rsidRDefault="001C7BF9">
      <w:pPr>
        <w:pStyle w:val="Normaltindrag"/>
      </w:pPr>
      <w:r w:rsidRPr="00C9680B">
        <w:t>Propositionens och oppositionspartiernas förslag till ramnivå för utgift</w:t>
      </w:r>
      <w:r w:rsidRPr="00C9680B">
        <w:t>s</w:t>
      </w:r>
      <w:r w:rsidRPr="00C9680B">
        <w:t>omr</w:t>
      </w:r>
      <w:r w:rsidRPr="00C9680B">
        <w:t>å</w:t>
      </w:r>
      <w:r w:rsidRPr="00C9680B">
        <w:t>det under åren 2001–2003 redovisas i efterföljande tabell.</w:t>
      </w:r>
    </w:p>
    <w:p w:rsidR="001C7BF9" w:rsidRPr="00C9680B" w:rsidRDefault="001C7BF9">
      <w:pPr>
        <w:pStyle w:val="FiU1tabellrubrik2000"/>
        <w:spacing w:line="190" w:lineRule="exact"/>
        <w:outlineLvl w:val="0"/>
      </w:pPr>
      <w:r w:rsidRPr="00C9680B">
        <w:t>Förslag till ram för utgiftsområde 1 Rikets styrelse</w:t>
      </w:r>
    </w:p>
    <w:p w:rsidR="001C7BF9" w:rsidRPr="00C9680B" w:rsidRDefault="001C7BF9">
      <w:pPr>
        <w:pStyle w:val="Tabelltext"/>
        <w:spacing w:after="40" w:line="190" w:lineRule="exact"/>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exact"/>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spacing w:line="200" w:lineRule="exact"/>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5 316</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-377</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-560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-307</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-760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5 135</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-639</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-430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-610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-630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4" w:space="0" w:color="auto"/>
            </w:tcBorders>
          </w:tcPr>
          <w:p w:rsidR="001C7BF9" w:rsidRPr="00C9680B" w:rsidRDefault="001C7BF9">
            <w:pPr>
              <w:pStyle w:val="Tabell"/>
              <w:keepLines/>
            </w:pPr>
            <w:r w:rsidRPr="00C9680B">
              <w:t>2003</w:t>
            </w:r>
          </w:p>
        </w:tc>
        <w:tc>
          <w:tcPr>
            <w:tcW w:w="57" w:type="dxa"/>
            <w:tcBorders>
              <w:bottom w:val="single" w:sz="4" w:space="0" w:color="auto"/>
            </w:tcBorders>
          </w:tcPr>
          <w:p w:rsidR="001C7BF9" w:rsidRPr="00C9680B" w:rsidRDefault="001C7BF9">
            <w:pPr>
              <w:pStyle w:val="Tabell"/>
              <w:keepLines/>
              <w:rPr>
                <w:b/>
              </w:rPr>
            </w:pPr>
          </w:p>
        </w:tc>
        <w:tc>
          <w:tcPr>
            <w:tcW w:w="964" w:type="dxa"/>
            <w:gridSpan w:val="2"/>
            <w:tcBorders>
              <w:bottom w:val="single" w:sz="4" w:space="0" w:color="auto"/>
            </w:tcBorders>
          </w:tcPr>
          <w:p w:rsidR="001C7BF9" w:rsidRPr="00C9680B" w:rsidRDefault="001C7BF9">
            <w:pPr>
              <w:pStyle w:val="Tabell"/>
              <w:keepLines/>
              <w:ind w:right="199"/>
              <w:jc w:val="right"/>
            </w:pPr>
            <w:r w:rsidRPr="00C9680B">
              <w:t>5 021</w:t>
            </w:r>
          </w:p>
        </w:tc>
        <w:tc>
          <w:tcPr>
            <w:tcW w:w="142" w:type="dxa"/>
            <w:tcBorders>
              <w:bottom w:val="single" w:sz="4" w:space="0" w:color="auto"/>
            </w:tcBorders>
          </w:tcPr>
          <w:p w:rsidR="001C7BF9" w:rsidRPr="00C9680B" w:rsidRDefault="001C7BF9">
            <w:pPr>
              <w:pStyle w:val="Tabell"/>
              <w:keepLines/>
            </w:pPr>
          </w:p>
        </w:tc>
        <w:tc>
          <w:tcPr>
            <w:tcW w:w="851" w:type="dxa"/>
            <w:tcBorders>
              <w:bottom w:val="single" w:sz="4" w:space="0" w:color="auto"/>
            </w:tcBorders>
          </w:tcPr>
          <w:p w:rsidR="001C7BF9" w:rsidRPr="00C9680B" w:rsidRDefault="001C7BF9">
            <w:pPr>
              <w:pStyle w:val="Tabell"/>
              <w:keepLines/>
              <w:ind w:right="170"/>
              <w:jc w:val="right"/>
            </w:pPr>
            <w:r w:rsidRPr="00C9680B">
              <w:t>-634</w:t>
            </w:r>
          </w:p>
        </w:tc>
        <w:tc>
          <w:tcPr>
            <w:tcW w:w="142" w:type="dxa"/>
            <w:gridSpan w:val="2"/>
            <w:tcBorders>
              <w:bottom w:val="single" w:sz="4" w:space="0" w:color="auto"/>
            </w:tcBorders>
          </w:tcPr>
          <w:p w:rsidR="001C7BF9" w:rsidRPr="00C9680B" w:rsidRDefault="001C7BF9">
            <w:pPr>
              <w:pStyle w:val="Tabell"/>
              <w:keepLines/>
              <w:ind w:right="170"/>
              <w:jc w:val="right"/>
            </w:pPr>
          </w:p>
        </w:tc>
        <w:tc>
          <w:tcPr>
            <w:tcW w:w="851" w:type="dxa"/>
            <w:tcBorders>
              <w:bottom w:val="single" w:sz="4" w:space="0" w:color="auto"/>
            </w:tcBorders>
          </w:tcPr>
          <w:p w:rsidR="001C7BF9" w:rsidRPr="00C9680B" w:rsidRDefault="001C7BF9">
            <w:pPr>
              <w:pStyle w:val="Tabell"/>
              <w:keepLines/>
              <w:ind w:right="170"/>
              <w:jc w:val="right"/>
            </w:pPr>
            <w:r w:rsidRPr="00C9680B">
              <w:t>-330</w:t>
            </w:r>
          </w:p>
        </w:tc>
        <w:tc>
          <w:tcPr>
            <w:tcW w:w="142" w:type="dxa"/>
            <w:tcBorders>
              <w:bottom w:val="single" w:sz="4" w:space="0" w:color="auto"/>
            </w:tcBorders>
          </w:tcPr>
          <w:p w:rsidR="001C7BF9" w:rsidRPr="00C9680B" w:rsidRDefault="001C7BF9">
            <w:pPr>
              <w:pStyle w:val="Tabell"/>
              <w:keepLines/>
              <w:ind w:right="170"/>
              <w:jc w:val="right"/>
            </w:pPr>
          </w:p>
        </w:tc>
        <w:tc>
          <w:tcPr>
            <w:tcW w:w="792" w:type="dxa"/>
            <w:gridSpan w:val="3"/>
            <w:tcBorders>
              <w:bottom w:val="single" w:sz="4" w:space="0" w:color="auto"/>
            </w:tcBorders>
          </w:tcPr>
          <w:p w:rsidR="001C7BF9" w:rsidRPr="00C9680B" w:rsidRDefault="001C7BF9">
            <w:pPr>
              <w:pStyle w:val="Tabell"/>
              <w:keepLines/>
              <w:ind w:right="170"/>
              <w:jc w:val="right"/>
            </w:pPr>
            <w:r w:rsidRPr="00C9680B">
              <w:t>-536</w:t>
            </w:r>
          </w:p>
        </w:tc>
        <w:tc>
          <w:tcPr>
            <w:tcW w:w="141" w:type="dxa"/>
            <w:tcBorders>
              <w:bottom w:val="single" w:sz="4" w:space="0" w:color="auto"/>
            </w:tcBorders>
          </w:tcPr>
          <w:p w:rsidR="001C7BF9" w:rsidRPr="00C9680B" w:rsidRDefault="001C7BF9">
            <w:pPr>
              <w:pStyle w:val="Tabell"/>
              <w:keepLines/>
              <w:jc w:val="left"/>
            </w:pPr>
          </w:p>
        </w:tc>
        <w:tc>
          <w:tcPr>
            <w:tcW w:w="936" w:type="dxa"/>
            <w:tcBorders>
              <w:bottom w:val="single" w:sz="4" w:space="0" w:color="auto"/>
            </w:tcBorders>
          </w:tcPr>
          <w:p w:rsidR="001C7BF9" w:rsidRPr="00C9680B" w:rsidRDefault="001C7BF9">
            <w:pPr>
              <w:pStyle w:val="Tabell"/>
              <w:keepLines/>
              <w:ind w:right="170"/>
              <w:jc w:val="right"/>
            </w:pPr>
            <w:r w:rsidRPr="00C9680B">
              <w:t>-685</w:t>
            </w:r>
          </w:p>
        </w:tc>
        <w:tc>
          <w:tcPr>
            <w:tcW w:w="198" w:type="dxa"/>
            <w:tcBorders>
              <w:bottom w:val="single" w:sz="4" w:space="0" w:color="auto"/>
            </w:tcBorders>
          </w:tcPr>
          <w:p w:rsidR="001C7BF9" w:rsidRPr="00C9680B" w:rsidRDefault="001C7BF9">
            <w:pPr>
              <w:pStyle w:val="Tabell"/>
              <w:keepLines/>
              <w:ind w:right="170"/>
              <w:jc w:val="right"/>
            </w:pPr>
          </w:p>
        </w:tc>
      </w:tr>
    </w:tbl>
    <w:p w:rsidR="001C7BF9" w:rsidRPr="00C9680B" w:rsidRDefault="001C7BF9">
      <w:pPr>
        <w:pStyle w:val="Rubrik4"/>
        <w:rPr>
          <w:noProof w:val="0"/>
        </w:rPr>
      </w:pPr>
      <w:bookmarkStart w:id="448" w:name="_Toc498763591"/>
      <w:bookmarkStart w:id="449" w:name="_Toc498910760"/>
      <w:r w:rsidRPr="00C9680B">
        <w:rPr>
          <w:noProof w:val="0"/>
        </w:rPr>
        <w:t>Motionerna</w:t>
      </w:r>
      <w:bookmarkEnd w:id="448"/>
      <w:bookmarkEnd w:id="449"/>
    </w:p>
    <w:p w:rsidR="001C7BF9" w:rsidRPr="00C9680B" w:rsidRDefault="001C7BF9">
      <w:r w:rsidRPr="00C9680B">
        <w:rPr>
          <w:i/>
        </w:rPr>
        <w:t>Moderata samlingspartiet</w:t>
      </w:r>
      <w:r w:rsidRPr="00C9680B">
        <w:t xml:space="preserve"> föreslår i motion </w:t>
      </w:r>
      <w:r w:rsidRPr="00C9680B">
        <w:rPr>
          <w:i/>
        </w:rPr>
        <w:t>Fi208</w:t>
      </w:r>
      <w:r w:rsidRPr="00C9680B">
        <w:t xml:space="preserve"> att partistödet minskas med en tredjedel av det nuvarande fr.o.m. 2001 och därefter successivt avvecklas. Vidare bör presstödet avvecklas i två steg. I motionen föreslås också att 20 miljoner kronor avsätts till särskilda projekt för att upplysa om kommuni</w:t>
      </w:r>
      <w:r w:rsidRPr="00C9680B">
        <w:t>s</w:t>
      </w:r>
      <w:r w:rsidRPr="00C9680B">
        <w:t>mens förbrytelser mot mänskli</w:t>
      </w:r>
      <w:r w:rsidRPr="00C9680B">
        <w:t>g</w:t>
      </w:r>
      <w:r w:rsidRPr="00C9680B">
        <w:t>heten.</w:t>
      </w:r>
    </w:p>
    <w:p w:rsidR="001C7BF9" w:rsidRPr="00C9680B" w:rsidRDefault="001C7BF9">
      <w:pPr>
        <w:pStyle w:val="Normaltindrag"/>
      </w:pPr>
      <w:r w:rsidRPr="00C9680B">
        <w:rPr>
          <w:i/>
        </w:rPr>
        <w:t xml:space="preserve">Kristdemokraterna </w:t>
      </w:r>
      <w:r w:rsidRPr="00C9680B">
        <w:t xml:space="preserve">anser i motion </w:t>
      </w:r>
      <w:r w:rsidRPr="00C9680B">
        <w:rPr>
          <w:i/>
        </w:rPr>
        <w:t>Fi209</w:t>
      </w:r>
      <w:r w:rsidRPr="00C9680B">
        <w:t xml:space="preserve"> att regeringens förslag om en uppjustering med 3 % av presstödet för år 2000 kan återtas och att det inte bör ske någon uppjustering för år 2001. Vidare bör anslaget till Regeringskansliet minskas med 430 miljoner kronor år 2001, med 300 miljoner kronor år 2002 och med 200 miljoner kr</w:t>
      </w:r>
      <w:r w:rsidRPr="00C9680B">
        <w:t>o</w:t>
      </w:r>
      <w:r w:rsidRPr="00C9680B">
        <w:t>nor år 2003.</w:t>
      </w:r>
    </w:p>
    <w:p w:rsidR="001C7BF9" w:rsidRPr="00C9680B" w:rsidRDefault="001C7BF9">
      <w:pPr>
        <w:pStyle w:val="Normaltindrag"/>
      </w:pPr>
      <w:r w:rsidRPr="00C9680B">
        <w:rPr>
          <w:i/>
        </w:rPr>
        <w:t>Centerpartiet</w:t>
      </w:r>
      <w:r w:rsidRPr="00C9680B">
        <w:t xml:space="preserve"> förordar i motion </w:t>
      </w:r>
      <w:r w:rsidRPr="00C9680B">
        <w:rPr>
          <w:i/>
        </w:rPr>
        <w:t xml:space="preserve">Fi210 </w:t>
      </w:r>
      <w:r w:rsidRPr="00C9680B">
        <w:t>att ramen för utgiftsområdet sätts 307 miljoner kronor lägre än regeringens förslag för år 2001. För år 2002 föreslås en minskning med 610 miljoner kronor och för år 2003 en minskning med 536 miljoner kronor.</w:t>
      </w:r>
    </w:p>
    <w:p w:rsidR="001C7BF9" w:rsidRPr="00C9680B" w:rsidRDefault="001C7BF9">
      <w:pPr>
        <w:pStyle w:val="Normaltindrag"/>
      </w:pPr>
      <w:r w:rsidRPr="00C9680B">
        <w:rPr>
          <w:i/>
        </w:rPr>
        <w:t>Folkpartiet liberalerna</w:t>
      </w:r>
      <w:r w:rsidRPr="00C9680B">
        <w:t xml:space="preserve"> föreslår i motion </w:t>
      </w:r>
      <w:r w:rsidRPr="00C9680B">
        <w:rPr>
          <w:i/>
        </w:rPr>
        <w:t>Fi211</w:t>
      </w:r>
      <w:r w:rsidRPr="00C9680B">
        <w:t xml:space="preserve"> ett lägre anslag till Reg</w:t>
      </w:r>
      <w:r w:rsidRPr="00C9680B">
        <w:t>e</w:t>
      </w:r>
      <w:r w:rsidRPr="00C9680B">
        <w:t>ringskansliet. Vidare föreslås att partiernas beroende av offentliga medel på sikt bör begränsas samt att presstödet minskas med 400 miljoner kronor.</w:t>
      </w:r>
    </w:p>
    <w:p w:rsidR="001C7BF9" w:rsidRPr="00C9680B" w:rsidRDefault="001C7BF9">
      <w:pPr>
        <w:pStyle w:val="Rubrik4"/>
        <w:rPr>
          <w:noProof w:val="0"/>
        </w:rPr>
      </w:pPr>
      <w:bookmarkStart w:id="450" w:name="_Toc498763592"/>
      <w:bookmarkStart w:id="451" w:name="_Toc498910761"/>
      <w:r w:rsidRPr="00C9680B">
        <w:rPr>
          <w:noProof w:val="0"/>
        </w:rPr>
        <w:t>Konstitutionsutskottet</w:t>
      </w:r>
      <w:bookmarkEnd w:id="450"/>
      <w:bookmarkEnd w:id="451"/>
    </w:p>
    <w:p w:rsidR="001C7BF9" w:rsidRPr="00C9680B" w:rsidRDefault="001C7BF9">
      <w:r w:rsidRPr="00C9680B">
        <w:t>Konstitutionsutskottet tillstyrker i sitt yttrande (KU1y) propositionens förslag och avstyrker motionerna. Konstitutionsutskottet redovisar sitt yttrande pol</w:t>
      </w:r>
      <w:r w:rsidRPr="00C9680B">
        <w:t>i</w:t>
      </w:r>
      <w:r w:rsidRPr="00C9680B">
        <w:t>tikområdesvis.</w:t>
      </w:r>
    </w:p>
    <w:p w:rsidR="001C7BF9" w:rsidRPr="00C9680B" w:rsidRDefault="001C7BF9">
      <w:pPr>
        <w:pStyle w:val="Normaltindrag"/>
      </w:pPr>
      <w:r w:rsidRPr="00C9680B">
        <w:t>I avvikande meningar tillstyrker företrädarna för Moderata samlingspartiet, Kristdemokraterna, Centerpartiet samt Folkpartiet liberalerna förslagen i respektive partimotion.</w:t>
      </w:r>
    </w:p>
    <w:p w:rsidR="001C7BF9" w:rsidRPr="00C9680B" w:rsidRDefault="001C7BF9">
      <w:pPr>
        <w:pStyle w:val="Rubrik4"/>
        <w:rPr>
          <w:noProof w:val="0"/>
        </w:rPr>
      </w:pPr>
      <w:bookmarkStart w:id="452" w:name="_Toc498763593"/>
      <w:bookmarkStart w:id="453" w:name="_Toc498910762"/>
      <w:r w:rsidRPr="00C9680B">
        <w:rPr>
          <w:noProof w:val="0"/>
        </w:rPr>
        <w:t>Finansutskottets ställningstagande</w:t>
      </w:r>
      <w:bookmarkEnd w:id="452"/>
      <w:bookmarkEnd w:id="453"/>
    </w:p>
    <w:p w:rsidR="001C7BF9" w:rsidRPr="00C9680B" w:rsidRDefault="001C7BF9">
      <w:r w:rsidRPr="00C9680B">
        <w:t>Finansutskottet har tidigare i betänkandet i avsnitten 2.4.3 och 2.6 redovisat sin bedömning av fördelningen  av utgifterna på utgiftsområden för budge</w:t>
      </w:r>
      <w:r w:rsidRPr="00C9680B">
        <w:t>t</w:t>
      </w:r>
      <w:r w:rsidRPr="00C9680B">
        <w:t>året 2001 och därvid tillstyrkt regeringens förslag till ramar för utgiftsomr</w:t>
      </w:r>
      <w:r w:rsidRPr="00C9680B">
        <w:t>å</w:t>
      </w:r>
      <w:r w:rsidRPr="00C9680B">
        <w:t>det. Konstitutionsutskottet har för sin del inte haft något att invända mot regeringens förslag till ram för utgiftsomr</w:t>
      </w:r>
      <w:r w:rsidRPr="00C9680B">
        <w:t>å</w:t>
      </w:r>
      <w:r w:rsidRPr="00C9680B">
        <w:t>de 1.</w:t>
      </w:r>
    </w:p>
    <w:p w:rsidR="001C7BF9" w:rsidRPr="00C9680B" w:rsidRDefault="001C7BF9">
      <w:pPr>
        <w:pStyle w:val="Normaltindrag"/>
      </w:pPr>
      <w:r w:rsidRPr="00C9680B">
        <w:t>Finansutskottet tillstyrker således propositionens förslag till ramnivå för utgiftsområde 1 och föreslår att utgiftsramen fastställs till 5 316 miljoner kronor. Motionernas förslag till alternativa ramar avstyrks. Finansutskottet behandlar politikområdesindelningen i avsnitt 5.2 Indelningen i politikomr</w:t>
      </w:r>
      <w:r w:rsidRPr="00C9680B">
        <w:t>å</w:t>
      </w:r>
      <w:r w:rsidRPr="00C9680B">
        <w:t>den.</w:t>
      </w:r>
    </w:p>
    <w:p w:rsidR="001C7BF9" w:rsidRPr="00C9680B" w:rsidRDefault="001C7BF9">
      <w:pPr>
        <w:pStyle w:val="Rubrik3"/>
        <w:rPr>
          <w:noProof w:val="0"/>
        </w:rPr>
      </w:pPr>
      <w:bookmarkStart w:id="454" w:name="_Toc498157120"/>
      <w:bookmarkStart w:id="455" w:name="_Toc498910763"/>
      <w:r w:rsidRPr="00C9680B">
        <w:rPr>
          <w:noProof w:val="0"/>
        </w:rPr>
        <w:t>4.1.2 Utgiftsområde 2 Samhällsekonomi och finansförvaltning</w:t>
      </w:r>
      <w:bookmarkEnd w:id="454"/>
      <w:bookmarkEnd w:id="455"/>
    </w:p>
    <w:p w:rsidR="001C7BF9" w:rsidRPr="00C9680B" w:rsidRDefault="001C7BF9">
      <w:r w:rsidRPr="00C9680B">
        <w:t>Utgiftsområdet omfattar ett antal centrala myndigheter, bl.a. Riksrev</w:t>
      </w:r>
      <w:r w:rsidRPr="00C9680B">
        <w:t>i</w:t>
      </w:r>
      <w:r w:rsidRPr="00C9680B">
        <w:t>sionsverket, Ekonomistyrningsverket, Statskontoret, Statistiska centralbyrån, Konjunkturinstitutet, Riksgäldskontoret, Kammarkollegiet, Statens kvalitets- och kompetensråd, Statens fastighetsverk, Fortifikationsverket, Finansinspe</w:t>
      </w:r>
      <w:r w:rsidRPr="00C9680B">
        <w:t>k</w:t>
      </w:r>
      <w:r w:rsidRPr="00C9680B">
        <w:t>tionen, Insättningsgarantinämnden och Premiepensionsmyndigheten. Vidare ingår vissa kostnader för statens upplåning och låneförvaltning, vissa särski</w:t>
      </w:r>
      <w:r w:rsidRPr="00C9680B">
        <w:t>l</w:t>
      </w:r>
      <w:r w:rsidRPr="00C9680B">
        <w:t>da finansierings- och garantiåtaganden samt Riksd</w:t>
      </w:r>
      <w:r w:rsidRPr="00C9680B">
        <w:t>a</w:t>
      </w:r>
      <w:r w:rsidRPr="00C9680B">
        <w:t>gens revisorer.</w:t>
      </w:r>
    </w:p>
    <w:p w:rsidR="001C7BF9" w:rsidRPr="00C9680B" w:rsidRDefault="001C7BF9">
      <w:pPr>
        <w:pStyle w:val="Normaltindrag"/>
      </w:pPr>
      <w:r w:rsidRPr="00C9680B">
        <w:t>De totala utgifterna för utgiftsområdet år 2000 beräknas uppgå t</w:t>
      </w:r>
      <w:r w:rsidRPr="00C9680B">
        <w:t>ill 1 709 mi</w:t>
      </w:r>
      <w:r w:rsidRPr="00C9680B">
        <w:t>l</w:t>
      </w:r>
      <w:r w:rsidRPr="00C9680B">
        <w:t>joner kronor.</w:t>
      </w:r>
    </w:p>
    <w:p w:rsidR="001C7BF9" w:rsidRPr="00C9680B" w:rsidRDefault="001C7BF9">
      <w:pPr>
        <w:pStyle w:val="R4"/>
      </w:pPr>
      <w:r w:rsidRPr="00C9680B">
        <w:t>Budgetpropositionen</w:t>
      </w:r>
    </w:p>
    <w:p w:rsidR="001C7BF9" w:rsidRPr="00C9680B" w:rsidRDefault="001C7BF9">
      <w:r w:rsidRPr="00C9680B">
        <w:t>I budgetpropositionen (avsnitt 7.4) redovisas att de prioriteringar som gjorts inom utgiftsområdet är av begränsad omfattning och avser resurstillskott för ekonomisk statistik. Förändringen av utgiftsområdesramen jämfört med b</w:t>
      </w:r>
      <w:r w:rsidRPr="00C9680B">
        <w:t>e</w:t>
      </w:r>
      <w:r w:rsidRPr="00C9680B">
        <w:t>räkningen i 2000 års ekonomiska vårproposition förklaras i huvudsak av att delar av anslag som disponeras av Riksgäldskontoret och vissa nämnder överförts till andra utgift</w:t>
      </w:r>
      <w:r w:rsidRPr="00C9680B">
        <w:t>s</w:t>
      </w:r>
      <w:r w:rsidRPr="00C9680B">
        <w:t>områden.</w:t>
      </w:r>
    </w:p>
    <w:p w:rsidR="001C7BF9" w:rsidRPr="00C9680B" w:rsidRDefault="001C7BF9">
      <w:pPr>
        <w:pStyle w:val="Normaltindrag"/>
      </w:pPr>
    </w:p>
    <w:p w:rsidR="001C7BF9" w:rsidRPr="00C9680B" w:rsidRDefault="001C7BF9">
      <w:pPr>
        <w:pStyle w:val="FiU1tabellrubrik2000"/>
        <w:keepLines/>
        <w:outlineLvl w:val="0"/>
      </w:pPr>
      <w:r w:rsidRPr="00C9680B">
        <w:t>Förslag till ram för utgiftsområde 2 Samhällsekonomi och finansförval</w:t>
      </w:r>
      <w:r w:rsidRPr="00C9680B">
        <w:t>t</w:t>
      </w:r>
      <w:r w:rsidRPr="00C9680B">
        <w:t>ning</w:t>
      </w:r>
    </w:p>
    <w:p w:rsidR="001C7BF9" w:rsidRPr="00C9680B" w:rsidRDefault="001C7BF9">
      <w:pPr>
        <w:pStyle w:val="Tabell"/>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1 308</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-61</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-63</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-136</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-10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1 372</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-147</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-114</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-136</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-78</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1 339</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-93</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-145</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-100</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-12</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4"/>
      </w:pPr>
      <w:r w:rsidRPr="00C9680B">
        <w:t>Motionerna</w:t>
      </w:r>
    </w:p>
    <w:p w:rsidR="001C7BF9" w:rsidRPr="00C9680B" w:rsidRDefault="001C7BF9">
      <w:r w:rsidRPr="00C9680B">
        <w:rPr>
          <w:i/>
        </w:rPr>
        <w:t>Moderata samlingspartiet</w:t>
      </w:r>
      <w:r w:rsidRPr="00C9680B">
        <w:t xml:space="preserve"> föreslår i motion </w:t>
      </w:r>
      <w:r w:rsidRPr="00C9680B">
        <w:rPr>
          <w:i/>
        </w:rPr>
        <w:t>Fi208</w:t>
      </w:r>
      <w:r w:rsidRPr="00C9680B">
        <w:t xml:space="preserve"> en minskning av ramen. Besparingar görs genom motionärernas förslag att Riksrevisionsverket och Riksdagens revisorer skall slås ihop till ett verk – Riksrevisorn. Motionärerna föreslår också att Statistiska centralbyråns uppgifter bör begränsas och fok</w:t>
      </w:r>
      <w:r w:rsidRPr="00C9680B">
        <w:t>u</w:t>
      </w:r>
      <w:r w:rsidRPr="00C9680B">
        <w:t>seras samt avgiftsfinansieras i högre grad. Genomförandet av en folk- och bostadsräkning avvisas. Vidare föreslås att Nämnden för offentlig upphan</w:t>
      </w:r>
      <w:r w:rsidRPr="00C9680B">
        <w:t>d</w:t>
      </w:r>
      <w:r w:rsidRPr="00C9680B">
        <w:t>ling bör slås samman med Konkurrensverket till en ny myndighet – Konku</w:t>
      </w:r>
      <w:r w:rsidRPr="00C9680B">
        <w:t>r</w:t>
      </w:r>
      <w:r w:rsidRPr="00C9680B">
        <w:t>rens- och upphan</w:t>
      </w:r>
      <w:r w:rsidRPr="00C9680B">
        <w:t>dlingsverket. Statens kvalitets- och kompetensråd bör a</w:t>
      </w:r>
      <w:r w:rsidRPr="00C9680B">
        <w:t>v</w:t>
      </w:r>
      <w:r w:rsidRPr="00C9680B">
        <w:t>vecklas.</w:t>
      </w:r>
    </w:p>
    <w:p w:rsidR="001C7BF9" w:rsidRPr="00C9680B" w:rsidRDefault="001C7BF9">
      <w:pPr>
        <w:pStyle w:val="Normaltindrag"/>
      </w:pPr>
      <w:r w:rsidRPr="00C9680B">
        <w:rPr>
          <w:i/>
        </w:rPr>
        <w:t>Kristdemokraterna</w:t>
      </w:r>
      <w:r w:rsidRPr="00C9680B">
        <w:t xml:space="preserve"> anser i motion </w:t>
      </w:r>
      <w:r w:rsidRPr="00C9680B">
        <w:rPr>
          <w:i/>
        </w:rPr>
        <w:t>Fi209</w:t>
      </w:r>
      <w:r w:rsidRPr="00C9680B">
        <w:t xml:space="preserve"> att ramarna kan minskas genom besparingar och sammanslagningar av vissa myndighetsfunktioner under utgift</w:t>
      </w:r>
      <w:r w:rsidRPr="00C9680B">
        <w:t>s</w:t>
      </w:r>
      <w:r w:rsidRPr="00C9680B">
        <w:t xml:space="preserve">området som i dag överlappar varandra. </w:t>
      </w:r>
    </w:p>
    <w:p w:rsidR="001C7BF9" w:rsidRPr="00C9680B" w:rsidRDefault="001C7BF9">
      <w:pPr>
        <w:pStyle w:val="Normaltindrag"/>
      </w:pPr>
      <w:r w:rsidRPr="00C9680B">
        <w:rPr>
          <w:i/>
        </w:rPr>
        <w:t>Centerpartiet</w:t>
      </w:r>
      <w:r w:rsidRPr="00C9680B">
        <w:t xml:space="preserve"> förespråkar i motion </w:t>
      </w:r>
      <w:r w:rsidRPr="00C9680B">
        <w:rPr>
          <w:i/>
        </w:rPr>
        <w:t>Fi210</w:t>
      </w:r>
      <w:r w:rsidRPr="00C9680B">
        <w:t xml:space="preserve"> sänkta ramar för u</w:t>
      </w:r>
      <w:r w:rsidRPr="00C9680B">
        <w:t>t</w:t>
      </w:r>
      <w:r w:rsidRPr="00C9680B">
        <w:t xml:space="preserve">giftsområdet. </w:t>
      </w:r>
    </w:p>
    <w:p w:rsidR="001C7BF9" w:rsidRPr="00C9680B" w:rsidRDefault="001C7BF9">
      <w:pPr>
        <w:pStyle w:val="Normaltindrag"/>
      </w:pPr>
      <w:r w:rsidRPr="00C9680B">
        <w:rPr>
          <w:i/>
        </w:rPr>
        <w:t>Folkpartiet liberalerna</w:t>
      </w:r>
      <w:r w:rsidRPr="00C9680B">
        <w:t xml:space="preserve"> motsätter sig i motion </w:t>
      </w:r>
      <w:r w:rsidRPr="00C9680B">
        <w:rPr>
          <w:i/>
        </w:rPr>
        <w:t>Fi211</w:t>
      </w:r>
      <w:r w:rsidRPr="00C9680B">
        <w:t xml:space="preserve"> att en folk- och b</w:t>
      </w:r>
      <w:r w:rsidRPr="00C9680B">
        <w:t>o</w:t>
      </w:r>
      <w:r w:rsidRPr="00C9680B">
        <w:t>stadsräkning genomförs. Vidare föreslås att lönestatistiken inte skall överf</w:t>
      </w:r>
      <w:r w:rsidRPr="00C9680B">
        <w:t>ö</w:t>
      </w:r>
      <w:r w:rsidRPr="00C9680B">
        <w:t>ras till Medlingsinstitutet utan ligga kvar på Statistiska centralbyrån men finansieras inom anslaget.</w:t>
      </w:r>
    </w:p>
    <w:p w:rsidR="001C7BF9" w:rsidRPr="00C9680B" w:rsidRDefault="001C7BF9">
      <w:pPr>
        <w:pStyle w:val="R4"/>
      </w:pPr>
      <w:r w:rsidRPr="00C9680B">
        <w:t>Finansutskottets ställningstagande</w:t>
      </w:r>
    </w:p>
    <w:p w:rsidR="001C7BF9" w:rsidRPr="00C9680B" w:rsidRDefault="001C7BF9">
      <w:r w:rsidRPr="00C9680B">
        <w:t>Finansutskottet har tidigare i betänkandet i avsnitten 2.4.3 och 2.6 redovisat sin bedömning av fördelningen av utgifterna på utgiftsområden för budgetåret 2001 och därvid tillstyrkt regeringens förslag till ramar för utgiftsomr</w:t>
      </w:r>
      <w:r w:rsidRPr="00C9680B">
        <w:t>å</w:t>
      </w:r>
      <w:r w:rsidRPr="00C9680B">
        <w:t>dena.</w:t>
      </w:r>
    </w:p>
    <w:p w:rsidR="001C7BF9" w:rsidRPr="00C9680B" w:rsidRDefault="001C7BF9">
      <w:pPr>
        <w:pStyle w:val="Normaltindrag"/>
      </w:pPr>
      <w:r w:rsidRPr="00C9680B">
        <w:t>Finansutskottet tillstyrker således propositionens förslag till ramnivå för utgiftsområde 2 och föreslår att utgiftsramen fastställs till 1 308 miljoner kronor. Motionernas förslag till alternativa ramar avstyrks.</w:t>
      </w:r>
    </w:p>
    <w:p w:rsidR="001C7BF9" w:rsidRPr="00C9680B" w:rsidRDefault="001C7BF9">
      <w:pPr>
        <w:pStyle w:val="Rubrik3"/>
        <w:rPr>
          <w:noProof w:val="0"/>
        </w:rPr>
      </w:pPr>
      <w:bookmarkStart w:id="456" w:name="_Toc498157121"/>
      <w:bookmarkStart w:id="457" w:name="_Toc498910764"/>
      <w:r w:rsidRPr="00C9680B">
        <w:rPr>
          <w:noProof w:val="0"/>
        </w:rPr>
        <w:t>4.1.3 Utgiftsområde 3 Skatteförvaltning och uppbörd</w:t>
      </w:r>
      <w:bookmarkEnd w:id="456"/>
      <w:bookmarkEnd w:id="457"/>
    </w:p>
    <w:p w:rsidR="001C7BF9" w:rsidRPr="00C9680B" w:rsidRDefault="001C7BF9">
      <w:r w:rsidRPr="00C9680B">
        <w:t>Utgiftsområdet omfattar Riksskatteverket, skattemyndigheterna och Tullve</w:t>
      </w:r>
      <w:r w:rsidRPr="00C9680B">
        <w:t>r</w:t>
      </w:r>
      <w:r w:rsidRPr="00C9680B">
        <w:t>ket.</w:t>
      </w:r>
    </w:p>
    <w:p w:rsidR="001C7BF9" w:rsidRPr="00C9680B" w:rsidRDefault="001C7BF9">
      <w:pPr>
        <w:pStyle w:val="Normaltindrag"/>
      </w:pPr>
      <w:r w:rsidRPr="00C9680B">
        <w:t>De totala utgifterna för utgiftsområdet år 2000 beräknas uppgå till ca 6 229 miljoner kronor.</w:t>
      </w:r>
    </w:p>
    <w:p w:rsidR="001C7BF9" w:rsidRPr="00C9680B" w:rsidRDefault="001C7BF9">
      <w:pPr>
        <w:pStyle w:val="R4"/>
        <w:outlineLvl w:val="0"/>
        <w:rPr>
          <w:sz w:val="19"/>
        </w:rPr>
      </w:pPr>
      <w:r w:rsidRPr="00C9680B">
        <w:t>Budgetpropositionen</w:t>
      </w:r>
    </w:p>
    <w:p w:rsidR="001C7BF9" w:rsidRPr="00C9680B" w:rsidRDefault="001C7BF9">
      <w:r w:rsidRPr="00C9680B">
        <w:t>I budgetpropositionen (avsnitt 7.4) förklaras förändringen av utgiftsområde</w:t>
      </w:r>
      <w:r w:rsidRPr="00C9680B">
        <w:t>s</w:t>
      </w:r>
      <w:r w:rsidRPr="00C9680B">
        <w:t>ramen jämfört med 2000 års ekonomiska vårproposition i huvudsak av öve</w:t>
      </w:r>
      <w:r w:rsidRPr="00C9680B">
        <w:t>r</w:t>
      </w:r>
      <w:r w:rsidRPr="00C9680B">
        <w:t xml:space="preserve">föring av verksamhet från domstolsväsendet till skatteförvaltningen rörande hantering av bouppteckningar samt ny pris- och löneomräkning. </w:t>
      </w:r>
    </w:p>
    <w:p w:rsidR="001C7BF9" w:rsidRPr="00C9680B" w:rsidRDefault="001C7BF9">
      <w:pPr>
        <w:pStyle w:val="Normaltindrag"/>
      </w:pPr>
      <w:r w:rsidRPr="00C9680B">
        <w:t>Propositionens och oppositionspartiernas förslag till ramnivå för utgift</w:t>
      </w:r>
      <w:r w:rsidRPr="00C9680B">
        <w:t>s</w:t>
      </w:r>
      <w:r w:rsidRPr="00C9680B">
        <w:t>området under åren 2001</w:t>
      </w:r>
      <w:r w:rsidRPr="00C9680B">
        <w:sym w:font="Symbol" w:char="F02D"/>
      </w:r>
      <w:r w:rsidRPr="00C9680B">
        <w:t>2003 redovisas i efterföljande t</w:t>
      </w:r>
      <w:r w:rsidRPr="00C9680B">
        <w:t>a</w:t>
      </w:r>
      <w:r w:rsidRPr="00C9680B">
        <w:t>bell.</w:t>
      </w:r>
    </w:p>
    <w:p w:rsidR="001C7BF9" w:rsidRPr="00C9680B" w:rsidRDefault="001C7BF9">
      <w:pPr>
        <w:pStyle w:val="FiU1tabellrubrik2000"/>
        <w:keepLines/>
        <w:outlineLvl w:val="0"/>
      </w:pPr>
      <w:r w:rsidRPr="00C9680B">
        <w:t>Förslag till ram för utgiftsområde 3 skatteförvaltning och up</w:t>
      </w:r>
      <w:r w:rsidRPr="00C9680B">
        <w:t>p</w:t>
      </w:r>
      <w:r w:rsidRPr="00C9680B">
        <w:t>börd</w:t>
      </w:r>
    </w:p>
    <w:p w:rsidR="001C7BF9" w:rsidRPr="00C9680B" w:rsidRDefault="001C7BF9">
      <w:pPr>
        <w:pStyle w:val="Tabell"/>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6 207</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+50</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+120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sym w:font="Symbol" w:char="F0B1"/>
            </w:r>
            <w:r w:rsidRPr="00C9680B">
              <w:t>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+75</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6 338</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+50</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+120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sym w:font="Symbol" w:char="F0B1"/>
            </w:r>
            <w:r w:rsidRPr="00C9680B">
              <w:t>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+75</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6 483</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+50</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+120</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sym w:font="Symbol" w:char="F0B1"/>
            </w:r>
            <w:r w:rsidRPr="00C9680B">
              <w:t>0</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+75</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4"/>
      </w:pPr>
      <w:r w:rsidRPr="00C9680B">
        <w:t>Motionerna</w:t>
      </w:r>
    </w:p>
    <w:p w:rsidR="001C7BF9" w:rsidRPr="00C9680B" w:rsidRDefault="001C7BF9">
      <w:r w:rsidRPr="00C9680B">
        <w:rPr>
          <w:i/>
        </w:rPr>
        <w:t>Moderata samlingspartiet</w:t>
      </w:r>
      <w:r w:rsidRPr="00C9680B">
        <w:t xml:space="preserve"> framhåller i </w:t>
      </w:r>
      <w:r w:rsidRPr="00C9680B">
        <w:rPr>
          <w:i/>
        </w:rPr>
        <w:t>motion Fi208</w:t>
      </w:r>
      <w:r w:rsidRPr="00C9680B">
        <w:t xml:space="preserve"> att smugglingen av cigaretter fortfarande är betydande trots skattesänkningar och att tullen bör få större resurser för ökad kontroll.</w:t>
      </w:r>
    </w:p>
    <w:p w:rsidR="001C7BF9" w:rsidRPr="00C9680B" w:rsidRDefault="001C7BF9">
      <w:pPr>
        <w:pStyle w:val="Normaltindrag"/>
      </w:pPr>
      <w:r w:rsidRPr="00C9680B">
        <w:rPr>
          <w:i/>
        </w:rPr>
        <w:t>Kristdemokraterna</w:t>
      </w:r>
      <w:r w:rsidRPr="00C9680B">
        <w:t xml:space="preserve"> föreslår i </w:t>
      </w:r>
      <w:r w:rsidRPr="00C9680B">
        <w:rPr>
          <w:i/>
        </w:rPr>
        <w:t>motion Fi209</w:t>
      </w:r>
      <w:r w:rsidRPr="00C9680B">
        <w:t xml:space="preserve"> ökade medel för effektivisering av skattekontrollen för att hålla tillbaka den svarta sektorn. Även Tullverket föreslås få ökade resurser för att förstärka kontroll och spaning av illegal införsel av  narkotika, vapen, alkohol, tobak och andra skattepliktiga varor.</w:t>
      </w:r>
    </w:p>
    <w:p w:rsidR="001C7BF9" w:rsidRPr="00C9680B" w:rsidRDefault="001C7BF9">
      <w:pPr>
        <w:pStyle w:val="Normaltindrag"/>
      </w:pPr>
      <w:r w:rsidRPr="00C9680B">
        <w:rPr>
          <w:i/>
        </w:rPr>
        <w:t>Centerpartiet</w:t>
      </w:r>
      <w:r w:rsidRPr="00C9680B">
        <w:t xml:space="preserve"> förordar i </w:t>
      </w:r>
      <w:r w:rsidRPr="00C9680B">
        <w:rPr>
          <w:i/>
        </w:rPr>
        <w:t>motion Fi210</w:t>
      </w:r>
      <w:r w:rsidRPr="00C9680B">
        <w:t xml:space="preserve"> en oförändrad ram för utgiftsomr</w:t>
      </w:r>
      <w:r w:rsidRPr="00C9680B">
        <w:t>å</w:t>
      </w:r>
      <w:r w:rsidRPr="00C9680B">
        <w:t>det jämfört med regeringens förslag.</w:t>
      </w:r>
    </w:p>
    <w:p w:rsidR="001C7BF9" w:rsidRPr="00C9680B" w:rsidRDefault="001C7BF9">
      <w:pPr>
        <w:pStyle w:val="Normaltindrag"/>
      </w:pPr>
      <w:r w:rsidRPr="00C9680B">
        <w:rPr>
          <w:i/>
        </w:rPr>
        <w:t>Folkpartiet liberalerna</w:t>
      </w:r>
      <w:r w:rsidRPr="00C9680B">
        <w:t xml:space="preserve"> föreslår i </w:t>
      </w:r>
      <w:r w:rsidRPr="00C9680B">
        <w:rPr>
          <w:i/>
        </w:rPr>
        <w:t>motion Fi211</w:t>
      </w:r>
      <w:r w:rsidRPr="00C9680B">
        <w:t xml:space="preserve"> ökade resurser till skatt</w:t>
      </w:r>
      <w:r w:rsidRPr="00C9680B">
        <w:t>e</w:t>
      </w:r>
      <w:r w:rsidRPr="00C9680B">
        <w:t>myndigheterna för åtgärder som kan medverka till att öka skatteintäkterna. Ökade resurser föreslås även till Tullen för insatser mot den illegala införseln av alkohol och narkotika.</w:t>
      </w:r>
    </w:p>
    <w:p w:rsidR="001C7BF9" w:rsidRPr="00C9680B" w:rsidRDefault="001C7BF9">
      <w:pPr>
        <w:pStyle w:val="R4"/>
        <w:outlineLvl w:val="0"/>
      </w:pPr>
      <w:r w:rsidRPr="00C9680B">
        <w:t>Skatteutskottets yttrande</w:t>
      </w:r>
    </w:p>
    <w:p w:rsidR="001C7BF9" w:rsidRPr="00C9680B" w:rsidRDefault="001C7BF9">
      <w:r w:rsidRPr="00C9680B">
        <w:t>Skatteutskottet konstaterar i sitt yttrande (SkU1y) att bekämpning av smug</w:t>
      </w:r>
      <w:r w:rsidRPr="00C9680B">
        <w:t>g</w:t>
      </w:r>
      <w:r w:rsidRPr="00C9680B">
        <w:t>ling, skattefusk och annan ekonomisk verksamhet sedan länge är högt prior</w:t>
      </w:r>
      <w:r w:rsidRPr="00C9680B">
        <w:t>i</w:t>
      </w:r>
      <w:r w:rsidRPr="00C9680B">
        <w:t>terad hos tullen och skatteförvaltningen. Utskottet uttrycker sin oro över att skatteförvaltningen inte förmått upprätthålla skattekontrollverksamheten på en tillräckligt hög nivå och fäster därför stor vikt vid att skatteförvaltningen i årets budget fr.o.m. 2001 tillförs ett varaktigt resurstillskott. Skatteutskottets förhoppning är att resursförstärkningarna kommer att ytterligare öka effekt</w:t>
      </w:r>
      <w:r w:rsidRPr="00C9680B">
        <w:t>i</w:t>
      </w:r>
      <w:r w:rsidRPr="00C9680B">
        <w:t xml:space="preserve">viteten i myndigheternas arbete med att </w:t>
      </w:r>
      <w:r w:rsidRPr="00C9680B">
        <w:t xml:space="preserve">bekämpa och förebygga ekonomisk brottslighet. </w:t>
      </w:r>
    </w:p>
    <w:p w:rsidR="001C7BF9" w:rsidRPr="00C9680B" w:rsidRDefault="001C7BF9">
      <w:pPr>
        <w:pStyle w:val="Normaltindrag"/>
      </w:pPr>
      <w:r w:rsidRPr="00C9680B">
        <w:t>Skatteutskottet avstyrker samtliga motionsyrkanden i här berörda delar och föreslår att riksdagen beslutar i enlighet med regeringens förslag till ram för utgiftsområdet för budgetåret 2001. I övrigt tillstyrks propositionens förslag till preliminär fördelning av utgifterna på utgiftsområdet för åren 2002 och 2003.</w:t>
      </w:r>
    </w:p>
    <w:p w:rsidR="001C7BF9" w:rsidRPr="00C9680B" w:rsidRDefault="001C7BF9">
      <w:pPr>
        <w:pStyle w:val="Normaltindrag"/>
      </w:pPr>
      <w:r w:rsidRPr="00C9680B">
        <w:t>Till yttrandet har fogats avvikande meningar från företrädarna för Mod</w:t>
      </w:r>
      <w:r w:rsidRPr="00C9680B">
        <w:t>e</w:t>
      </w:r>
      <w:r w:rsidRPr="00C9680B">
        <w:t>rata samlingspartiet, Kristdemokraterna, Centerpartiet och Folkpartiet liber</w:t>
      </w:r>
      <w:r w:rsidRPr="00C9680B">
        <w:t>a</w:t>
      </w:r>
      <w:r w:rsidRPr="00C9680B">
        <w:t>lerna.</w:t>
      </w:r>
    </w:p>
    <w:p w:rsidR="001C7BF9" w:rsidRPr="00C9680B" w:rsidRDefault="001C7BF9">
      <w:pPr>
        <w:pStyle w:val="R4"/>
        <w:outlineLvl w:val="0"/>
      </w:pPr>
      <w:r w:rsidRPr="00C9680B">
        <w:t>Finansutskottets ställningstagande</w:t>
      </w:r>
    </w:p>
    <w:p w:rsidR="001C7BF9" w:rsidRPr="00C9680B" w:rsidRDefault="001C7BF9">
      <w:r w:rsidRPr="00C9680B">
        <w:t>Finansutskottet har tidigare i betänkandet (avsnitten 2.4.3 och 2.6) redovisat sin bedömning av fördelningen av utgifterna på utgiftsområden för budgetåret 2001 och därvid tillstyrkt regeringens förslag. Skatteutskottet har inte haft något att erinra mot den föreslagna r</w:t>
      </w:r>
      <w:r w:rsidRPr="00C9680B">
        <w:t>a</w:t>
      </w:r>
      <w:r w:rsidRPr="00C9680B">
        <w:t>men för utgiftsområdet.</w:t>
      </w:r>
    </w:p>
    <w:p w:rsidR="001C7BF9" w:rsidRPr="00C9680B" w:rsidRDefault="001C7BF9">
      <w:pPr>
        <w:pStyle w:val="Normaltindrag"/>
      </w:pPr>
      <w:r w:rsidRPr="00C9680B">
        <w:t>Finansutskottet tillstyrker således i likhet med skatteutskottet propositi</w:t>
      </w:r>
      <w:r w:rsidRPr="00C9680B">
        <w:t>o</w:t>
      </w:r>
      <w:r w:rsidRPr="00C9680B">
        <w:t>nens förslag till ram för utgiftsområde 3 för budgetåret 2001 och föreslår att utgiftsramen fastställs till 6 207 miljoner kronor. Motionernas förslag till alternativa ramar avstyrks.</w:t>
      </w:r>
    </w:p>
    <w:p w:rsidR="001C7BF9" w:rsidRPr="00C9680B" w:rsidRDefault="001C7BF9">
      <w:pPr>
        <w:pStyle w:val="Rubrik3"/>
        <w:rPr>
          <w:noProof w:val="0"/>
        </w:rPr>
      </w:pPr>
      <w:bookmarkStart w:id="458" w:name="_Toc498157122"/>
      <w:bookmarkStart w:id="459" w:name="_Toc498910765"/>
      <w:r w:rsidRPr="00C9680B">
        <w:rPr>
          <w:noProof w:val="0"/>
        </w:rPr>
        <w:t>4.1.4 Utgiftsområde 4 Rättsväsendet</w:t>
      </w:r>
      <w:bookmarkEnd w:id="458"/>
      <w:bookmarkEnd w:id="459"/>
    </w:p>
    <w:p w:rsidR="001C7BF9" w:rsidRPr="00C9680B" w:rsidRDefault="001C7BF9">
      <w:r w:rsidRPr="00C9680B">
        <w:t>Utgiftsområdet omfattar polisen, åklagarväsendet, domstolsväsendet, rätt</w:t>
      </w:r>
      <w:r w:rsidRPr="00C9680B">
        <w:t>s</w:t>
      </w:r>
      <w:r w:rsidRPr="00C9680B">
        <w:t>hjälpen, kriminalvården, exekutionsväsendet, Brottsförebyggande rådet, Brottsoffermyndigheten, Rättsmedicinalverket och Gente</w:t>
      </w:r>
      <w:r w:rsidRPr="00C9680B">
        <w:t>k</w:t>
      </w:r>
      <w:r w:rsidRPr="00C9680B">
        <w:t xml:space="preserve">niknämnden. </w:t>
      </w:r>
    </w:p>
    <w:p w:rsidR="001C7BF9" w:rsidRPr="00C9680B" w:rsidRDefault="001C7BF9">
      <w:pPr>
        <w:pStyle w:val="Normaltindrag"/>
      </w:pPr>
      <w:r w:rsidRPr="00C9680B">
        <w:t>De totala utgifterna för utgiftsområdet år 2000 beräknas uppgå till 23 508 miljoner kronor.</w:t>
      </w:r>
    </w:p>
    <w:p w:rsidR="001C7BF9" w:rsidRPr="00C9680B" w:rsidRDefault="001C7BF9">
      <w:pPr>
        <w:pStyle w:val="R4"/>
      </w:pPr>
      <w:r w:rsidRPr="00C9680B">
        <w:t>Budgetpropositionen</w:t>
      </w:r>
    </w:p>
    <w:p w:rsidR="001C7BF9" w:rsidRPr="00C9680B" w:rsidRDefault="001C7BF9">
      <w:r w:rsidRPr="00C9680B">
        <w:t>I budgetpropositionen (avsnitt 7.4) redovisar regeringen att förändringen av utgiftsområdesramen jämfört med 2000 års ekonomiska vårproposition i huvudsak förklaras av överföring av verksamhet till skatteförvaltningen r</w:t>
      </w:r>
      <w:r w:rsidRPr="00C9680B">
        <w:t>ö</w:t>
      </w:r>
      <w:r w:rsidRPr="00C9680B">
        <w:t>rande registrering av bouppteckningar samt överföring av medel till Statens institutionsstyrelse till följd av ökade kostnader inom ramen för sluten un</w:t>
      </w:r>
      <w:r w:rsidRPr="00C9680B">
        <w:t>g</w:t>
      </w:r>
      <w:r w:rsidRPr="00C9680B">
        <w:t>domsvård.</w:t>
      </w:r>
    </w:p>
    <w:p w:rsidR="001C7BF9" w:rsidRPr="00C9680B" w:rsidRDefault="001C7BF9">
      <w:pPr>
        <w:pStyle w:val="Normaltindrag"/>
      </w:pPr>
      <w:r w:rsidRPr="00C9680B">
        <w:t>I följande tablå redovisas föreslagna utgiftsramar enligt budgetpropositi</w:t>
      </w:r>
      <w:r w:rsidRPr="00C9680B">
        <w:t>o</w:t>
      </w:r>
      <w:r w:rsidRPr="00C9680B">
        <w:t>nen och motionerna.</w:t>
      </w:r>
    </w:p>
    <w:p w:rsidR="001C7BF9" w:rsidRPr="00C9680B" w:rsidRDefault="001C7BF9">
      <w:pPr>
        <w:pStyle w:val="FiU1tabellrubrik2000"/>
        <w:keepLines/>
        <w:outlineLvl w:val="0"/>
      </w:pPr>
      <w:r w:rsidRPr="00C9680B">
        <w:t>Förslag till ram för utgiftsområde 4 Rättsväsendet</w:t>
      </w:r>
    </w:p>
    <w:p w:rsidR="001C7BF9" w:rsidRPr="00C9680B" w:rsidRDefault="001C7BF9">
      <w:pPr>
        <w:pStyle w:val="Tabell"/>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23 973</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+1 034</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+1 000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+260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+402</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25 082</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+869</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+1 000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+320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+482</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25 726</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+868</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+1 000</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+410</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+482</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4"/>
      </w:pPr>
      <w:r w:rsidRPr="00C9680B">
        <w:t>Motionerna</w:t>
      </w:r>
    </w:p>
    <w:p w:rsidR="001C7BF9" w:rsidRPr="00C9680B" w:rsidRDefault="001C7BF9">
      <w:r w:rsidRPr="00C9680B">
        <w:rPr>
          <w:i/>
        </w:rPr>
        <w:t xml:space="preserve">Moderata samlingspartiet </w:t>
      </w:r>
      <w:r w:rsidRPr="00C9680B">
        <w:t xml:space="preserve">redovisar i motion </w:t>
      </w:r>
      <w:r w:rsidRPr="00C9680B">
        <w:rPr>
          <w:i/>
        </w:rPr>
        <w:t>Fi208</w:t>
      </w:r>
      <w:r w:rsidRPr="00C9680B">
        <w:t xml:space="preserve"> att partiet inte anser att de förstärkningar som regeringen tillför utgiftsområdet är tillräckliga. Motion</w:t>
      </w:r>
      <w:r w:rsidRPr="00C9680B">
        <w:t>ä</w:t>
      </w:r>
      <w:r w:rsidRPr="00C9680B">
        <w:t>rerna vill återupprätta medborgarnas förtroende för rättsstaten och satsar därför ca 2,7 miljarder kronor mer är regeringen på rättsväsendet under de kommande tre åren samtidigt som kraven på effektivt resursutnyttjande, r</w:t>
      </w:r>
      <w:r w:rsidRPr="00C9680B">
        <w:t>e</w:t>
      </w:r>
      <w:r w:rsidRPr="00C9680B">
        <w:t>sultatuppföljning och gott ledarskap skärps. I dag finns ett uppdämt behov av personalförstärkning, kompetensutveckling och vidareutbildning. Ett effektivt r</w:t>
      </w:r>
      <w:r w:rsidRPr="00C9680B">
        <w:t>esursutnyttjande föru</w:t>
      </w:r>
      <w:r w:rsidRPr="00C9680B">
        <w:t>t</w:t>
      </w:r>
      <w:r w:rsidRPr="00C9680B">
        <w:t>sätter också att nödvändiga satsningar görs på IT-teknik och metodutveckling. Det behövs också mer resurser för att kunna bekämpa den ökande gränsöverskridande och svårutredda brottsligheten. Kronofogdemyndighetens anslag föreslås minskas till följd av en successiv avveckling av konkurstillsynen. Vidare bör Domstolsverket ersättas av en självständig domstolsstyrelse.</w:t>
      </w:r>
    </w:p>
    <w:p w:rsidR="001C7BF9" w:rsidRPr="00C9680B" w:rsidRDefault="001C7BF9">
      <w:pPr>
        <w:pStyle w:val="Normaltindrag"/>
      </w:pPr>
      <w:r w:rsidRPr="00C9680B">
        <w:rPr>
          <w:i/>
        </w:rPr>
        <w:t>Kristdemokraterna</w:t>
      </w:r>
      <w:r w:rsidRPr="00C9680B">
        <w:t xml:space="preserve"> satsar i motion </w:t>
      </w:r>
      <w:r w:rsidRPr="00C9680B">
        <w:rPr>
          <w:i/>
        </w:rPr>
        <w:t>Fi209</w:t>
      </w:r>
      <w:r w:rsidRPr="00C9680B">
        <w:t xml:space="preserve"> under den kommande treårsper</w:t>
      </w:r>
      <w:r w:rsidRPr="00C9680B">
        <w:t>i</w:t>
      </w:r>
      <w:r w:rsidRPr="00C9680B">
        <w:t>oden 3,5 miljarder kronor mer än regeringen på rättsväsendet. Ytterligare resurser skall tillföras polisen, åklagarväsendet, domstolsväsendet, krimina</w:t>
      </w:r>
      <w:r w:rsidRPr="00C9680B">
        <w:t>l</w:t>
      </w:r>
      <w:r w:rsidRPr="00C9680B">
        <w:t>vården, Brottsoffermyndigheten och det brott</w:t>
      </w:r>
      <w:r w:rsidRPr="00C9680B">
        <w:t>s</w:t>
      </w:r>
      <w:r w:rsidRPr="00C9680B">
        <w:t xml:space="preserve">förebyggande arbetet. </w:t>
      </w:r>
    </w:p>
    <w:p w:rsidR="001C7BF9" w:rsidRPr="00C9680B" w:rsidRDefault="001C7BF9">
      <w:pPr>
        <w:pStyle w:val="Normaltindrag"/>
      </w:pPr>
      <w:r w:rsidRPr="00C9680B">
        <w:rPr>
          <w:i/>
        </w:rPr>
        <w:t>Centerpartiet</w:t>
      </w:r>
      <w:r w:rsidRPr="00C9680B">
        <w:t xml:space="preserve"> förordar i motion </w:t>
      </w:r>
      <w:r w:rsidRPr="00C9680B">
        <w:rPr>
          <w:i/>
        </w:rPr>
        <w:t>Fi210</w:t>
      </w:r>
      <w:r w:rsidRPr="00C9680B">
        <w:t xml:space="preserve"> en höjning av ramen. Ytterligare r</w:t>
      </w:r>
      <w:r w:rsidRPr="00C9680B">
        <w:t>e</w:t>
      </w:r>
      <w:r w:rsidRPr="00C9680B">
        <w:t xml:space="preserve">surser bör satsas på polisen och kriminalvården. Det brottsförebyggande arbetet måste också förstärkas. </w:t>
      </w:r>
    </w:p>
    <w:p w:rsidR="001C7BF9" w:rsidRPr="00C9680B" w:rsidRDefault="001C7BF9">
      <w:pPr>
        <w:pStyle w:val="Normaltindrag"/>
      </w:pPr>
      <w:r w:rsidRPr="00C9680B">
        <w:rPr>
          <w:i/>
        </w:rPr>
        <w:t xml:space="preserve">Folkpartiet liberalerna </w:t>
      </w:r>
      <w:r w:rsidRPr="00C9680B">
        <w:t xml:space="preserve">anser i motion </w:t>
      </w:r>
      <w:r w:rsidRPr="00C9680B">
        <w:rPr>
          <w:i/>
        </w:rPr>
        <w:t>Fi211</w:t>
      </w:r>
      <w:r w:rsidRPr="00C9680B">
        <w:t xml:space="preserve"> att rättsväsendet måste fö</w:t>
      </w:r>
      <w:r w:rsidRPr="00C9680B">
        <w:t>r</w:t>
      </w:r>
      <w:r w:rsidRPr="00C9680B">
        <w:t>stärkas. Ytterligare resurser skall tillföras polisen, åklagarväsendet, domstols</w:t>
      </w:r>
      <w:r w:rsidRPr="00C9680B">
        <w:noBreakHyphen/>
        <w:t xml:space="preserve"> väsendet och brottsofferjouren. Rättstryggheten måste förstärkas genom stöd till vittnen som utsätts för hot. Vidare bör möjligheterna att få rättshjälp utö</w:t>
      </w:r>
      <w:r w:rsidRPr="00C9680B">
        <w:t>k</w:t>
      </w:r>
      <w:r w:rsidRPr="00C9680B">
        <w:t>as.</w:t>
      </w:r>
    </w:p>
    <w:p w:rsidR="001C7BF9" w:rsidRPr="00C9680B" w:rsidRDefault="001C7BF9">
      <w:pPr>
        <w:pStyle w:val="R4"/>
      </w:pPr>
      <w:r w:rsidRPr="00C9680B">
        <w:t>Justitieutskottets yttrande</w:t>
      </w:r>
    </w:p>
    <w:p w:rsidR="001C7BF9" w:rsidRPr="00C9680B" w:rsidRDefault="001C7BF9">
      <w:pPr>
        <w:rPr>
          <w:b/>
        </w:rPr>
      </w:pPr>
      <w:r w:rsidRPr="00C9680B">
        <w:t>Justitieutskottet tillstyrker i sitt yttrande (JuU1y) regeringens förslag och avstyrker motionerna. I yttrandet behandlar justitieutskottet även indelningen av stat</w:t>
      </w:r>
      <w:r w:rsidRPr="00C9680B">
        <w:t>s</w:t>
      </w:r>
      <w:r w:rsidRPr="00C9680B">
        <w:t>budgeten i politikområden.</w:t>
      </w:r>
    </w:p>
    <w:p w:rsidR="001C7BF9" w:rsidRPr="00C9680B" w:rsidRDefault="001C7BF9">
      <w:pPr>
        <w:pStyle w:val="Normaltindrag"/>
      </w:pPr>
      <w:r w:rsidRPr="00C9680B">
        <w:t>Företrädarna för Moderata samlingspartiet, Kristdemokraterna, Centerpa</w:t>
      </w:r>
      <w:r w:rsidRPr="00C9680B">
        <w:t>r</w:t>
      </w:r>
      <w:r w:rsidRPr="00C9680B">
        <w:t>tiet och Folkpartiet liberalerna tillstyrker i avvikande meningar förslagen i respektive partimotion.</w:t>
      </w:r>
    </w:p>
    <w:p w:rsidR="001C7BF9" w:rsidRPr="00C9680B" w:rsidRDefault="001C7BF9">
      <w:pPr>
        <w:pStyle w:val="R4"/>
      </w:pPr>
      <w:r w:rsidRPr="00C9680B">
        <w:t>Finansutskottets ställningstagande</w:t>
      </w:r>
    </w:p>
    <w:p w:rsidR="001C7BF9" w:rsidRPr="00C9680B" w:rsidRDefault="001C7BF9">
      <w:r w:rsidRPr="00C9680B">
        <w:t>Finansutskottet har tidigare i betänkandet i avsnitten 2.4.3 och 2.6 redovisat sin bedömning av fördelningen av utgifterna på utgiftsområden för budgetåret 2001 och därvid tillstyrkt regeringens förslag till ramar för utgiftsområdena. Justitieutskottet har för sin del inte haft något att erinra mot den föreslagna ramen för utgiftsområde 4.</w:t>
      </w:r>
    </w:p>
    <w:p w:rsidR="001C7BF9" w:rsidRPr="00C9680B" w:rsidRDefault="001C7BF9">
      <w:pPr>
        <w:pStyle w:val="Normaltindrag"/>
        <w:rPr>
          <w:b/>
          <w:i/>
        </w:rPr>
      </w:pPr>
      <w:r w:rsidRPr="00C9680B">
        <w:t>Finansutskottet tillstyrker således propositionens förslag till ramnivå för utgiftsområde 4 och föreslår att utgiftsramen fastställs till 23 973 miljoner kronor. Motionerna avstyrks i berörda delar. Finansutskottet behandlar inde</w:t>
      </w:r>
      <w:r w:rsidRPr="00C9680B">
        <w:t>l</w:t>
      </w:r>
      <w:r w:rsidRPr="00C9680B">
        <w:t xml:space="preserve">ningen av statsbudgeten i politikområden i avsnitt </w:t>
      </w:r>
      <w:r w:rsidRPr="00C9680B">
        <w:rPr>
          <w:i/>
        </w:rPr>
        <w:t>5.2 Indelningen i polit</w:t>
      </w:r>
      <w:r w:rsidRPr="00C9680B">
        <w:rPr>
          <w:i/>
        </w:rPr>
        <w:t>i</w:t>
      </w:r>
      <w:r w:rsidRPr="00C9680B">
        <w:rPr>
          <w:i/>
        </w:rPr>
        <w:t>k</w:t>
      </w:r>
      <w:r w:rsidRPr="00C9680B">
        <w:rPr>
          <w:i/>
        </w:rPr>
        <w:softHyphen/>
        <w:t xml:space="preserve">områden. </w:t>
      </w:r>
    </w:p>
    <w:p w:rsidR="001C7BF9" w:rsidRPr="00C9680B" w:rsidRDefault="001C7BF9">
      <w:pPr>
        <w:pStyle w:val="Rubrik3"/>
        <w:rPr>
          <w:noProof w:val="0"/>
        </w:rPr>
      </w:pPr>
      <w:bookmarkStart w:id="460" w:name="_Toc498157123"/>
      <w:bookmarkStart w:id="461" w:name="_Toc498910766"/>
      <w:r w:rsidRPr="00C9680B">
        <w:rPr>
          <w:noProof w:val="0"/>
        </w:rPr>
        <w:t>4.1.5 Utgiftsområde 5 Utrikesförvaltning och internationell samverkan</w:t>
      </w:r>
      <w:bookmarkEnd w:id="460"/>
      <w:bookmarkEnd w:id="461"/>
    </w:p>
    <w:p w:rsidR="001C7BF9" w:rsidRPr="00C9680B" w:rsidRDefault="001C7BF9">
      <w:r w:rsidRPr="00C9680B">
        <w:t>Utgiftsområdet omfattar förvaltningskostnader för Utrikesdepartementet, bidrag till vissa internationella organisationer, information om Sverige i u</w:t>
      </w:r>
      <w:r w:rsidRPr="00C9680B">
        <w:t>t</w:t>
      </w:r>
      <w:r w:rsidRPr="00C9680B">
        <w:t>landet, nedrustnings- och säkerhetspolitiska frågor samt övriga utrikespoliti</w:t>
      </w:r>
      <w:r w:rsidRPr="00C9680B">
        <w:t>s</w:t>
      </w:r>
      <w:r w:rsidRPr="00C9680B">
        <w:t>ka frågor.</w:t>
      </w:r>
    </w:p>
    <w:p w:rsidR="001C7BF9" w:rsidRPr="00C9680B" w:rsidRDefault="001C7BF9">
      <w:pPr>
        <w:pStyle w:val="Normaltindrag"/>
      </w:pPr>
      <w:r w:rsidRPr="00C9680B">
        <w:t>De totala utgifterna för utgiftsområdet år 2000 beräknas uppgå till 3 089 mi</w:t>
      </w:r>
      <w:r w:rsidRPr="00C9680B">
        <w:t>l</w:t>
      </w:r>
      <w:r w:rsidRPr="00C9680B">
        <w:t>joner kronor.</w:t>
      </w:r>
    </w:p>
    <w:p w:rsidR="001C7BF9" w:rsidRPr="00C9680B" w:rsidRDefault="001C7BF9">
      <w:pPr>
        <w:pStyle w:val="R4"/>
      </w:pPr>
      <w:r w:rsidRPr="00C9680B">
        <w:t>Budgetpropositionen</w:t>
      </w:r>
    </w:p>
    <w:p w:rsidR="001C7BF9" w:rsidRPr="00C9680B" w:rsidRDefault="001C7BF9">
      <w:r w:rsidRPr="00C9680B">
        <w:t>I budgetpropositionen (avsnitt 7.4) förklaras förändringen av ramen för u</w:t>
      </w:r>
      <w:r w:rsidRPr="00C9680B">
        <w:t>t</w:t>
      </w:r>
      <w:r w:rsidRPr="00C9680B">
        <w:t>giftsområdet i huvudsak av kompensation för vissa valutakursförändringar samt överföring till utgiftsområde 1 Rikets styrelse.</w:t>
      </w:r>
    </w:p>
    <w:p w:rsidR="001C7BF9" w:rsidRPr="00C9680B" w:rsidRDefault="001C7BF9">
      <w:pPr>
        <w:pStyle w:val="Normaltindrag"/>
      </w:pPr>
      <w:r w:rsidRPr="00C9680B">
        <w:t>Propositionens och oppositionspartiernas förslag till ramnivå för utgift</w:t>
      </w:r>
      <w:r w:rsidRPr="00C9680B">
        <w:t>s</w:t>
      </w:r>
      <w:r w:rsidRPr="00C9680B">
        <w:t>området under åren 2001</w:t>
      </w:r>
      <w:r w:rsidRPr="00C9680B">
        <w:sym w:font="Symbol" w:char="F02D"/>
      </w:r>
      <w:r w:rsidRPr="00C9680B">
        <w:t>2003 redovisas i efterföljande t</w:t>
      </w:r>
      <w:r w:rsidRPr="00C9680B">
        <w:t>a</w:t>
      </w:r>
      <w:r w:rsidRPr="00C9680B">
        <w:t>bell.</w:t>
      </w:r>
    </w:p>
    <w:p w:rsidR="001C7BF9" w:rsidRPr="00C9680B" w:rsidRDefault="001C7BF9">
      <w:pPr>
        <w:pStyle w:val="FiU1tabellrubrik2000"/>
        <w:keepLines/>
        <w:outlineLvl w:val="0"/>
      </w:pPr>
      <w:r w:rsidRPr="00C9680B">
        <w:t>Förslag till ram för utgiftsområde 5 utrikesförvaltning och internationell samve</w:t>
      </w:r>
      <w:r w:rsidRPr="00C9680B">
        <w:t>r</w:t>
      </w:r>
      <w:r w:rsidRPr="00C9680B">
        <w:t>-</w:t>
      </w:r>
    </w:p>
    <w:p w:rsidR="001C7BF9" w:rsidRPr="00C9680B" w:rsidRDefault="001C7BF9">
      <w:pPr>
        <w:pStyle w:val="FiU1tabellrubrik2000"/>
        <w:keepLines/>
        <w:spacing w:before="0" w:line="180" w:lineRule="exact"/>
      </w:pPr>
      <w:r w:rsidRPr="00C9680B">
        <w:t>kan</w:t>
      </w:r>
    </w:p>
    <w:p w:rsidR="001C7BF9" w:rsidRPr="00C9680B" w:rsidRDefault="001C7BF9">
      <w:pPr>
        <w:pStyle w:val="Tabell"/>
        <w:keepLines/>
        <w:spacing w:after="4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2 908</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-88</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sym w:font="Symbol" w:char="F0B1"/>
            </w:r>
            <w:r w:rsidRPr="00C9680B">
              <w:t>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sym w:font="Symbol" w:char="F0B1"/>
            </w:r>
            <w:r w:rsidRPr="00C9680B">
              <w:t>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sym w:font="Symbol" w:char="F0B1"/>
            </w:r>
            <w:r w:rsidRPr="00C9680B">
              <w:t>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2 881</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-112</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sym w:font="Symbol" w:char="F0B1"/>
            </w:r>
            <w:r w:rsidRPr="00C9680B">
              <w:t>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sym w:font="Symbol" w:char="F0B1"/>
            </w:r>
            <w:r w:rsidRPr="00C9680B">
              <w:t>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sym w:font="Symbol" w:char="F0B1"/>
            </w:r>
            <w:r w:rsidRPr="00C9680B">
              <w:t>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2 926</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-115</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sym w:font="Symbol" w:char="F0B1"/>
            </w:r>
            <w:r w:rsidRPr="00C9680B">
              <w:t>0</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sym w:font="Symbol" w:char="F0B1"/>
            </w:r>
            <w:r w:rsidRPr="00C9680B">
              <w:t>0</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sym w:font="Symbol" w:char="F0B1"/>
            </w:r>
            <w:r w:rsidRPr="00C9680B">
              <w:t>0</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4"/>
      </w:pPr>
      <w:r w:rsidRPr="00C9680B">
        <w:t>Motionerna</w:t>
      </w:r>
    </w:p>
    <w:p w:rsidR="001C7BF9" w:rsidRPr="00C9680B" w:rsidRDefault="001C7BF9">
      <w:pPr>
        <w:pStyle w:val="Normaltindrag"/>
        <w:ind w:firstLine="0"/>
      </w:pPr>
      <w:r w:rsidRPr="00C9680B">
        <w:t xml:space="preserve">Enligt </w:t>
      </w:r>
      <w:r w:rsidRPr="00C9680B">
        <w:rPr>
          <w:i/>
        </w:rPr>
        <w:t>Moderata samlingspartiets motion Fi208</w:t>
      </w:r>
      <w:r w:rsidRPr="00C9680B">
        <w:t xml:space="preserve"> kräver den snabba globalis</w:t>
      </w:r>
      <w:r w:rsidRPr="00C9680B">
        <w:t>e</w:t>
      </w:r>
      <w:r w:rsidRPr="00C9680B">
        <w:t>ringen samt ett kraftfullt och framgångsrikt agerande inom ramen för EU svensk diplomatisk närvaro i princip i hela Europa, Medelhavsområdet och i de utomeuropeiska industriländerna. Mot denna bakgrund föreslås en fö</w:t>
      </w:r>
      <w:r w:rsidRPr="00C9680B">
        <w:t>r</w:t>
      </w:r>
      <w:r w:rsidRPr="00C9680B">
        <w:t>stärkning av anslaget till utrikesförvaltningen, i vilken ingår även en ökning av de medel som ställs till ambassadernas förfogande för näringsfrämjande verksamhet i utlandet. Utrikesdepartementets resurser bör dessutom öka med a</w:t>
      </w:r>
      <w:r w:rsidRPr="00C9680B">
        <w:t>nledning av Sveriges ordförandeskap i EU.</w:t>
      </w:r>
    </w:p>
    <w:p w:rsidR="001C7BF9" w:rsidRPr="00C9680B" w:rsidRDefault="001C7BF9">
      <w:pPr>
        <w:pStyle w:val="Normaltindrag"/>
      </w:pPr>
      <w:r w:rsidRPr="00C9680B">
        <w:rPr>
          <w:i/>
        </w:rPr>
        <w:t>Kristdemokraterna</w:t>
      </w:r>
      <w:r w:rsidRPr="00C9680B">
        <w:t xml:space="preserve"> (</w:t>
      </w:r>
      <w:r w:rsidRPr="00C9680B">
        <w:rPr>
          <w:i/>
        </w:rPr>
        <w:t>motion Fi209</w:t>
      </w:r>
      <w:r w:rsidRPr="00C9680B">
        <w:t>),</w:t>
      </w:r>
      <w:r w:rsidRPr="00C9680B">
        <w:rPr>
          <w:i/>
        </w:rPr>
        <w:t xml:space="preserve"> Centerpartiet </w:t>
      </w:r>
      <w:r w:rsidRPr="00C9680B">
        <w:t>(</w:t>
      </w:r>
      <w:r w:rsidRPr="00C9680B">
        <w:rPr>
          <w:i/>
        </w:rPr>
        <w:t>motion Fi210</w:t>
      </w:r>
      <w:r w:rsidRPr="00C9680B">
        <w:t xml:space="preserve">) och </w:t>
      </w:r>
      <w:r w:rsidRPr="00C9680B">
        <w:rPr>
          <w:i/>
        </w:rPr>
        <w:t>Folkpartiet liberalerna</w:t>
      </w:r>
      <w:r w:rsidRPr="00C9680B">
        <w:t xml:space="preserve"> (</w:t>
      </w:r>
      <w:r w:rsidRPr="00C9680B">
        <w:rPr>
          <w:i/>
        </w:rPr>
        <w:t>motion Fi211</w:t>
      </w:r>
      <w:r w:rsidRPr="00C9680B">
        <w:t>) avviker inte från regeringens beräkn</w:t>
      </w:r>
      <w:r w:rsidRPr="00C9680B">
        <w:t>a</w:t>
      </w:r>
      <w:r w:rsidRPr="00C9680B">
        <w:t>de ram för utgiftso</w:t>
      </w:r>
      <w:r w:rsidRPr="00C9680B">
        <w:t>m</w:t>
      </w:r>
      <w:r w:rsidRPr="00C9680B">
        <w:t>rådet.</w:t>
      </w:r>
    </w:p>
    <w:p w:rsidR="001C7BF9" w:rsidRPr="00C9680B" w:rsidRDefault="001C7BF9">
      <w:pPr>
        <w:pStyle w:val="R4"/>
      </w:pPr>
      <w:r w:rsidRPr="00C9680B">
        <w:t>Utrikesutskottets yttrande</w:t>
      </w:r>
    </w:p>
    <w:p w:rsidR="001C7BF9" w:rsidRPr="00C9680B" w:rsidRDefault="001C7BF9">
      <w:r w:rsidRPr="00C9680B">
        <w:t>Utrikesutskottet bedömer i sitt yttrande (UU1y) att budgetsaneringen och den förstärkning av statsfinanserna som den har lett till möjliggör en ökad sat</w:t>
      </w:r>
      <w:r w:rsidRPr="00C9680B">
        <w:t>s</w:t>
      </w:r>
      <w:r w:rsidRPr="00C9680B">
        <w:t>ning på utgiftsområde 5. De av regeringen föreslagna ökningarna av utgift</w:t>
      </w:r>
      <w:r w:rsidRPr="00C9680B">
        <w:t>s</w:t>
      </w:r>
      <w:r w:rsidRPr="00C9680B">
        <w:t>ramen anses vara väl motiverade.</w:t>
      </w:r>
    </w:p>
    <w:p w:rsidR="001C7BF9" w:rsidRPr="00C9680B" w:rsidRDefault="001C7BF9">
      <w:pPr>
        <w:pStyle w:val="Normaltindrag"/>
      </w:pPr>
      <w:r w:rsidRPr="00C9680B">
        <w:t>Utrikesutskottet tillstyrker därmed regeringens förslag och avstyrker m</w:t>
      </w:r>
      <w:r w:rsidRPr="00C9680B">
        <w:t>o</w:t>
      </w:r>
      <w:r w:rsidRPr="00C9680B">
        <w:t>tionerna.</w:t>
      </w:r>
    </w:p>
    <w:p w:rsidR="001C7BF9" w:rsidRPr="00C9680B" w:rsidRDefault="001C7BF9">
      <w:pPr>
        <w:pStyle w:val="Normaltindrag"/>
      </w:pPr>
      <w:r w:rsidRPr="00C9680B">
        <w:t>I två avvikande meningar tillstyrker företrädarna för Moderata samling</w:t>
      </w:r>
      <w:r w:rsidRPr="00C9680B">
        <w:t>s</w:t>
      </w:r>
      <w:r w:rsidRPr="00C9680B">
        <w:t>partiet sina förslag om dels anslagens fördelning mellan utgiftsområdena, dels ramen för utgiftsområde 5. Företrädarna för Kristdemokraterna lägger des</w:t>
      </w:r>
      <w:r w:rsidRPr="00C9680B">
        <w:t>s</w:t>
      </w:r>
      <w:r w:rsidRPr="00C9680B">
        <w:t>utom inom ramen för utskottets yttrande ett särskilt yttrande angående m</w:t>
      </w:r>
      <w:r w:rsidRPr="00C9680B">
        <w:t>e</w:t>
      </w:r>
      <w:r w:rsidRPr="00C9680B">
        <w:t>delsanvändningen inom u</w:t>
      </w:r>
      <w:r w:rsidRPr="00C9680B">
        <w:t>t</w:t>
      </w:r>
      <w:r w:rsidRPr="00C9680B">
        <w:t>giftsområde 5.</w:t>
      </w:r>
    </w:p>
    <w:p w:rsidR="001C7BF9" w:rsidRPr="00C9680B" w:rsidRDefault="001C7BF9">
      <w:pPr>
        <w:pStyle w:val="R4"/>
      </w:pPr>
      <w:r w:rsidRPr="00C9680B">
        <w:t>Finansutskottets ställningstagande</w:t>
      </w:r>
    </w:p>
    <w:p w:rsidR="001C7BF9" w:rsidRPr="00C9680B" w:rsidRDefault="001C7BF9">
      <w:r w:rsidRPr="00C9680B">
        <w:t>Finansutskottet har tidigare i betänkandet i avsnitten 2.4.3 och 2.6 redovisat sin bedömning av fördelningen av utgifterna på utgiftsområden för budgetåret 2001 och därvid tillstyrkt regeringens förslag till ramar för utgiftsområdena. Utrikesutskottet har för sin del inte haft något att invända mot regeringens förslag till ram för utgiftsområde 5.</w:t>
      </w:r>
    </w:p>
    <w:p w:rsidR="001C7BF9" w:rsidRPr="00C9680B" w:rsidRDefault="001C7BF9">
      <w:pPr>
        <w:pStyle w:val="Normaltindrag"/>
      </w:pPr>
      <w:r w:rsidRPr="00C9680B">
        <w:t>Finansutskottet tillstyrker således propositionens förslag till ramnivå för utgiftsområde 5 och föreslår att utgiftsramen för år 2001 fastställs till 2 908 miljoner kronor. Motionerna avstyrks i berörda delar. De frågor Kristdem</w:t>
      </w:r>
      <w:r w:rsidRPr="00C9680B">
        <w:t>o</w:t>
      </w:r>
      <w:r w:rsidRPr="00C9680B">
        <w:t>kraterna tar upp i sitt särskilda yttrande inom ramen för utrikesutskottets yttrande (UU1y) förutsätter utskottet tas upp i samband med beredningen av anslagen inom u</w:t>
      </w:r>
      <w:r w:rsidRPr="00C9680B">
        <w:t>t</w:t>
      </w:r>
      <w:r w:rsidRPr="00C9680B">
        <w:t>giftsområde 5.</w:t>
      </w:r>
    </w:p>
    <w:p w:rsidR="001C7BF9" w:rsidRPr="00C9680B" w:rsidRDefault="001C7BF9">
      <w:pPr>
        <w:pStyle w:val="Rubrik3"/>
        <w:rPr>
          <w:noProof w:val="0"/>
        </w:rPr>
      </w:pPr>
      <w:bookmarkStart w:id="462" w:name="_Toc498157124"/>
      <w:bookmarkStart w:id="463" w:name="_Toc498910767"/>
      <w:r w:rsidRPr="00C9680B">
        <w:rPr>
          <w:noProof w:val="0"/>
        </w:rPr>
        <w:t>4.1.6 Utgiftsområde 6 Totalförsvar</w:t>
      </w:r>
      <w:bookmarkEnd w:id="462"/>
      <w:bookmarkEnd w:id="463"/>
    </w:p>
    <w:p w:rsidR="001C7BF9" w:rsidRPr="00C9680B" w:rsidRDefault="001C7BF9">
      <w:r w:rsidRPr="00C9680B">
        <w:t>Utgiftsområdet omfattar verksamheter inom det militära och civila försvaret, Kustbevakningen, nämnder samt totalförsvarsgemensamma verksamheter och stödverksamhet till det militära och civila försvaret. I utgiftsområdet ingår även internationell fredsfrämjande verksamhet med svensk militär trupp utomlands. Från och med år 2000 omfattar utgiftsområdet även Sprängämn</w:t>
      </w:r>
      <w:r w:rsidRPr="00C9680B">
        <w:t>e</w:t>
      </w:r>
      <w:r w:rsidRPr="00C9680B">
        <w:t>s</w:t>
      </w:r>
      <w:r w:rsidRPr="00C9680B">
        <w:softHyphen/>
        <w:t>inspektionen.</w:t>
      </w:r>
    </w:p>
    <w:p w:rsidR="001C7BF9" w:rsidRPr="00C9680B" w:rsidRDefault="001C7BF9">
      <w:pPr>
        <w:pStyle w:val="Normaltindrag"/>
      </w:pPr>
      <w:r w:rsidRPr="00C9680B">
        <w:t>De totala utgifterna för utgiftsområdet år 2000 beräknas uppgå till 45 700 miljoner kronor.</w:t>
      </w:r>
    </w:p>
    <w:p w:rsidR="001C7BF9" w:rsidRPr="00C9680B" w:rsidRDefault="001C7BF9">
      <w:pPr>
        <w:pStyle w:val="R4"/>
      </w:pPr>
      <w:r w:rsidRPr="00C9680B">
        <w:t>Budgetpropositionen</w:t>
      </w:r>
    </w:p>
    <w:p w:rsidR="001C7BF9" w:rsidRPr="00C9680B" w:rsidRDefault="001C7BF9">
      <w:r w:rsidRPr="00C9680B">
        <w:t>I budgetpropositionen (avsnitt 7.4) aviserar regeringen inga större förändrin</w:t>
      </w:r>
      <w:r w:rsidRPr="00C9680B">
        <w:t>g</w:t>
      </w:r>
      <w:r w:rsidRPr="00C9680B">
        <w:t>ar av ramen för utgiftsområde 6 jämfört med tidigare b</w:t>
      </w:r>
      <w:r w:rsidRPr="00C9680B">
        <w:t>e</w:t>
      </w:r>
      <w:r w:rsidRPr="00C9680B">
        <w:t>räkningar.</w:t>
      </w:r>
    </w:p>
    <w:p w:rsidR="001C7BF9" w:rsidRPr="00C9680B" w:rsidRDefault="001C7BF9">
      <w:pPr>
        <w:pStyle w:val="Normaltindrag"/>
      </w:pPr>
      <w:r w:rsidRPr="00C9680B">
        <w:t>Propositionens och oppositionspartiernas förslag till ramnivå för utgift</w:t>
      </w:r>
      <w:r w:rsidRPr="00C9680B">
        <w:t>s</w:t>
      </w:r>
      <w:r w:rsidRPr="00C9680B">
        <w:t>området under åren 2001</w:t>
      </w:r>
      <w:r w:rsidRPr="00C9680B">
        <w:sym w:font="Symbol" w:char="F02D"/>
      </w:r>
      <w:r w:rsidRPr="00C9680B">
        <w:t>2003 redovisas i efterföljande t</w:t>
      </w:r>
      <w:r w:rsidRPr="00C9680B">
        <w:t>a</w:t>
      </w:r>
      <w:r w:rsidRPr="00C9680B">
        <w:t>bell.</w:t>
      </w:r>
    </w:p>
    <w:p w:rsidR="001C7BF9" w:rsidRPr="00C9680B" w:rsidRDefault="001C7BF9">
      <w:pPr>
        <w:pStyle w:val="Normaltindrag"/>
      </w:pPr>
    </w:p>
    <w:p w:rsidR="001C7BF9" w:rsidRPr="00C9680B" w:rsidRDefault="001C7BF9">
      <w:pPr>
        <w:pStyle w:val="Normaltindrag"/>
      </w:pPr>
    </w:p>
    <w:p w:rsidR="001C7BF9" w:rsidRPr="00C9680B" w:rsidRDefault="001C7BF9">
      <w:pPr>
        <w:pStyle w:val="Normaltindrag"/>
      </w:pPr>
    </w:p>
    <w:p w:rsidR="001C7BF9" w:rsidRPr="00C9680B" w:rsidRDefault="001C7BF9">
      <w:pPr>
        <w:pStyle w:val="FiU1tabellrubrik2000"/>
        <w:keepLines/>
        <w:outlineLvl w:val="0"/>
      </w:pPr>
      <w:r w:rsidRPr="00C9680B">
        <w:t>Förslag till ram för utgiftsområde 6 Totalförsvar</w:t>
      </w:r>
    </w:p>
    <w:p w:rsidR="001C7BF9" w:rsidRPr="00C9680B" w:rsidRDefault="001C7BF9">
      <w:pPr>
        <w:pStyle w:val="Tabell"/>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46 530</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+1 044</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+550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sym w:font="Symbol" w:char="F0B1"/>
            </w:r>
            <w:r w:rsidRPr="00C9680B">
              <w:t>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sym w:font="Symbol" w:char="F0B1"/>
            </w:r>
            <w:r w:rsidRPr="00C9680B">
              <w:t>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45 508</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+1 673</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+550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sym w:font="Symbol" w:char="F0B1"/>
            </w:r>
            <w:r w:rsidRPr="00C9680B">
              <w:t>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+1 000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44 513</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+2 649</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+550</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sym w:font="Symbol" w:char="F0B1"/>
            </w:r>
            <w:r w:rsidRPr="00C9680B">
              <w:t>0</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+2 000</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4"/>
      </w:pPr>
      <w:r w:rsidRPr="00C9680B">
        <w:t>Motionerna</w:t>
      </w:r>
    </w:p>
    <w:p w:rsidR="001C7BF9" w:rsidRPr="00C9680B" w:rsidRDefault="001C7BF9">
      <w:r w:rsidRPr="00C9680B">
        <w:rPr>
          <w:i/>
        </w:rPr>
        <w:t>Moderata samlingspartiet</w:t>
      </w:r>
      <w:r w:rsidRPr="00C9680B">
        <w:t xml:space="preserve"> anser i </w:t>
      </w:r>
      <w:r w:rsidRPr="00C9680B">
        <w:rPr>
          <w:i/>
        </w:rPr>
        <w:t>motion Fi208</w:t>
      </w:r>
      <w:r w:rsidRPr="00C9680B">
        <w:t xml:space="preserve"> att försvaret bör utvecklas i huvudsak på samma nivå som under de två senaste försvarsbeslutsperioderna. I avvaktan på nästa heltäckande försvarsbeslut och att uppgifter och effektmål för totalförsvarets samlade ledning har beslutats av riksdagen föreslås ansl</w:t>
      </w:r>
      <w:r w:rsidRPr="00C9680B">
        <w:t>a</w:t>
      </w:r>
      <w:r w:rsidRPr="00C9680B">
        <w:t>gen behållas på nuvarande nivå. Anslagsnivån och den av riksdagen beslutade inriktningen för Kustbevakningen bör också behållas. I enlighet med tidigare moderata förslag bör anslaget för internationell verksamhet (den del som omf</w:t>
      </w:r>
      <w:r w:rsidRPr="00C9680B">
        <w:t>attar kos</w:t>
      </w:r>
      <w:r w:rsidRPr="00C9680B">
        <w:t>t</w:t>
      </w:r>
      <w:r w:rsidRPr="00C9680B">
        <w:t>naderna vid insats) ligga utanför utgiftsområdet.</w:t>
      </w:r>
    </w:p>
    <w:p w:rsidR="001C7BF9" w:rsidRPr="00C9680B" w:rsidRDefault="001C7BF9">
      <w:pPr>
        <w:pStyle w:val="Normaltindrag"/>
      </w:pPr>
      <w:r w:rsidRPr="00C9680B">
        <w:rPr>
          <w:i/>
        </w:rPr>
        <w:t>Kristdemokraterna</w:t>
      </w:r>
      <w:r w:rsidRPr="00C9680B">
        <w:t xml:space="preserve"> framhåller i </w:t>
      </w:r>
      <w:r w:rsidRPr="00C9680B">
        <w:rPr>
          <w:i/>
        </w:rPr>
        <w:t>motion Fi209</w:t>
      </w:r>
      <w:r w:rsidRPr="00C9680B">
        <w:t xml:space="preserve"> att partiet motsatte sig de omfattande nedskärningar av Försvarsmaktens organisation som riksdagen beslutat på förslag från regeringen och Centerpartiet. Därutöver föreslås ök</w:t>
      </w:r>
      <w:r w:rsidRPr="00C9680B">
        <w:t>a</w:t>
      </w:r>
      <w:r w:rsidRPr="00C9680B">
        <w:t>de resurser till Sveriges deltagande i internationell fredsfrämjande och hum</w:t>
      </w:r>
      <w:r w:rsidRPr="00C9680B">
        <w:t>a</w:t>
      </w:r>
      <w:r w:rsidRPr="00C9680B">
        <w:t>nitär verksamhet samt till Kustbeva</w:t>
      </w:r>
      <w:r w:rsidRPr="00C9680B">
        <w:t>k</w:t>
      </w:r>
      <w:r w:rsidRPr="00C9680B">
        <w:t>ningen.</w:t>
      </w:r>
    </w:p>
    <w:p w:rsidR="001C7BF9" w:rsidRPr="00C9680B" w:rsidRDefault="001C7BF9">
      <w:pPr>
        <w:pStyle w:val="Normaltindrag"/>
      </w:pPr>
      <w:r w:rsidRPr="00C9680B">
        <w:rPr>
          <w:i/>
        </w:rPr>
        <w:t>Centerpartiet</w:t>
      </w:r>
      <w:r w:rsidRPr="00C9680B">
        <w:t xml:space="preserve"> följer i </w:t>
      </w:r>
      <w:r w:rsidRPr="00C9680B">
        <w:rPr>
          <w:i/>
        </w:rPr>
        <w:t>motion Fi210</w:t>
      </w:r>
      <w:r w:rsidRPr="00C9680B">
        <w:t xml:space="preserve"> regeringens beräknade utgiftsram i e</w:t>
      </w:r>
      <w:r w:rsidRPr="00C9680B">
        <w:t>n</w:t>
      </w:r>
      <w:r w:rsidRPr="00C9680B">
        <w:t>lighet med överenskommelsen med Socialdemokraterna vad avser inriktnin</w:t>
      </w:r>
      <w:r w:rsidRPr="00C9680B">
        <w:t>g</w:t>
      </w:r>
      <w:r w:rsidRPr="00C9680B">
        <w:t>en och finansieringen av försvaret.</w:t>
      </w:r>
    </w:p>
    <w:p w:rsidR="001C7BF9" w:rsidRPr="00C9680B" w:rsidRDefault="001C7BF9">
      <w:pPr>
        <w:pStyle w:val="Normaltindrag"/>
      </w:pPr>
      <w:r w:rsidRPr="00C9680B">
        <w:rPr>
          <w:i/>
        </w:rPr>
        <w:t>Folkpartiet liberalerna</w:t>
      </w:r>
      <w:r w:rsidRPr="00C9680B">
        <w:t xml:space="preserve"> avviker inte i </w:t>
      </w:r>
      <w:r w:rsidRPr="00C9680B">
        <w:rPr>
          <w:i/>
        </w:rPr>
        <w:t>motion Fi211</w:t>
      </w:r>
      <w:r w:rsidRPr="00C9680B">
        <w:t xml:space="preserve"> från regeringens b</w:t>
      </w:r>
      <w:r w:rsidRPr="00C9680B">
        <w:t>e</w:t>
      </w:r>
      <w:r w:rsidRPr="00C9680B">
        <w:t>räknade utgiftsram för år 2001. För åren 2002 och 2003 föreslår motionärerna att ramen för utgiftsområdet ökas jämfört med regeringens beräkningar.</w:t>
      </w:r>
    </w:p>
    <w:p w:rsidR="001C7BF9" w:rsidRPr="00C9680B" w:rsidRDefault="001C7BF9">
      <w:pPr>
        <w:pStyle w:val="R4"/>
      </w:pPr>
      <w:r w:rsidRPr="00C9680B">
        <w:t>Försvarsutskottets yttrande</w:t>
      </w:r>
    </w:p>
    <w:p w:rsidR="001C7BF9" w:rsidRPr="00C9680B" w:rsidRDefault="001C7BF9">
      <w:r w:rsidRPr="00C9680B">
        <w:t>Försvarsutskottet erinrar i sitt yttrande (FöU1y) om att nu gällande försvar</w:t>
      </w:r>
      <w:r w:rsidRPr="00C9680B">
        <w:t>s</w:t>
      </w:r>
      <w:r w:rsidRPr="00C9680B">
        <w:t>beslutsperiod omfattar åren 1997</w:t>
      </w:r>
      <w:r w:rsidRPr="00C9680B">
        <w:sym w:font="Symbol" w:char="F02D"/>
      </w:r>
      <w:r w:rsidRPr="00C9680B">
        <w:t>2001. I samband med den säkerhetspoliti</w:t>
      </w:r>
      <w:r w:rsidRPr="00C9680B">
        <w:t>s</w:t>
      </w:r>
      <w:r w:rsidRPr="00C9680B">
        <w:t>ka kontrollstation som genomfördes våren 1999 beslutade riksdagen bl.a. om de ekonomiska riktlinjerna för utgiftsperioden 2000</w:t>
      </w:r>
      <w:r w:rsidRPr="00C9680B">
        <w:sym w:font="Symbol" w:char="F02D"/>
      </w:r>
      <w:r w:rsidRPr="00C9680B">
        <w:t>2004. Försvarsutskottet konstaterar därutöver att förslaget från Moderata samlingspartiet att föra över utgifterna för fredsfrämjande truppinsatser till utgiftsområde 7 Internationellt bistånd har behandlats vid flera tillfällen. Riksdagen beslutade redan våren 1996 att dessa utgifter skall finansieras inom ut</w:t>
      </w:r>
      <w:r w:rsidRPr="00C9680B">
        <w:t>giftsområde 6. Någon o</w:t>
      </w:r>
      <w:r w:rsidRPr="00C9680B">
        <w:t>m</w:t>
      </w:r>
      <w:r w:rsidRPr="00C9680B">
        <w:t>prövning av detta bör enligt försvarsutskottet inte ske inför beredningen av budgeten för år 2001.</w:t>
      </w:r>
    </w:p>
    <w:p w:rsidR="001C7BF9" w:rsidRPr="00C9680B" w:rsidRDefault="001C7BF9">
      <w:pPr>
        <w:pStyle w:val="Normaltindrag"/>
      </w:pPr>
      <w:r w:rsidRPr="00C9680B">
        <w:t>Försvarsutskottet anser sålunda att regeringens förslag beträffande ram för utgiftsområde 6 för år 2001 och preliminära ramar för 2002</w:t>
      </w:r>
      <w:r w:rsidRPr="00C9680B">
        <w:sym w:font="Symbol" w:char="F02D"/>
      </w:r>
      <w:r w:rsidRPr="00C9680B">
        <w:t>2003 bör bifallas av riksdagen. Motionerna bör därför avslås i dessa delar. Försvarsutskottet tar också i sitt yttrande upp hur politikområdesindelningen påverkar beredningen inom utgiftsområdet.</w:t>
      </w:r>
    </w:p>
    <w:p w:rsidR="001C7BF9" w:rsidRPr="00C9680B" w:rsidRDefault="001C7BF9">
      <w:pPr>
        <w:pStyle w:val="Normaltindrag"/>
      </w:pPr>
      <w:r w:rsidRPr="00C9680B">
        <w:t>Till yttrandet har fogats avvikande meningar från företrädare för Moderata samlingspartiet, Kristdemokraterna, Folkpartiet liberalerna och Miljöpartiet de gröna.</w:t>
      </w:r>
    </w:p>
    <w:p w:rsidR="001C7BF9" w:rsidRPr="00C9680B" w:rsidRDefault="001C7BF9">
      <w:pPr>
        <w:pStyle w:val="R4"/>
      </w:pPr>
      <w:r w:rsidRPr="00C9680B">
        <w:t>Finansutskottets ställningstagande</w:t>
      </w:r>
    </w:p>
    <w:p w:rsidR="001C7BF9" w:rsidRPr="00C9680B" w:rsidRDefault="001C7BF9">
      <w:r w:rsidRPr="00C9680B">
        <w:t>Finansutskottet har tidigare i betänkandet (avsnitten 2.4.3 och 2.6) redovisat sin bedömning av fördelningen av utgifterna på utgiftsområden för budgetåret 2001 och därvid tillstyrkt regeringens förslag. Försvarsutskottet har inte haft något att erinra mot den föreslagna ramen för utgiftsområdet.</w:t>
      </w:r>
    </w:p>
    <w:p w:rsidR="001C7BF9" w:rsidRPr="00C9680B" w:rsidRDefault="001C7BF9">
      <w:pPr>
        <w:pStyle w:val="Normaltindrag"/>
      </w:pPr>
      <w:r w:rsidRPr="00C9680B">
        <w:t>Finansutskottet tillstyrker således, i likhet med försvarsutskottet, propos</w:t>
      </w:r>
      <w:r w:rsidRPr="00C9680B">
        <w:t>i</w:t>
      </w:r>
      <w:r w:rsidRPr="00C9680B">
        <w:t>tionens förslag till ramnivå för utgiftsområde 6 och föreslår att utgiftsramen för år 2001 fastställs till 46 530 miljoner kronor. Partimotionernas förslag till alternat</w:t>
      </w:r>
      <w:r w:rsidRPr="00C9680B">
        <w:t>i</w:t>
      </w:r>
      <w:r w:rsidRPr="00C9680B">
        <w:t>va ramar avstyrks. Finansutskottet behandlar statsbudgetens politik</w:t>
      </w:r>
      <w:r w:rsidRPr="00C9680B">
        <w:softHyphen/>
        <w:t>områdesindelning i avsnitt 5.2 Inde</w:t>
      </w:r>
      <w:r w:rsidRPr="00C9680B">
        <w:t>l</w:t>
      </w:r>
      <w:r w:rsidRPr="00C9680B">
        <w:t>ning i politikområden.</w:t>
      </w:r>
    </w:p>
    <w:p w:rsidR="001C7BF9" w:rsidRPr="00C9680B" w:rsidRDefault="001C7BF9">
      <w:pPr>
        <w:pStyle w:val="Rubrik3"/>
        <w:rPr>
          <w:noProof w:val="0"/>
        </w:rPr>
      </w:pPr>
      <w:bookmarkStart w:id="464" w:name="_Toc498157125"/>
      <w:bookmarkStart w:id="465" w:name="_Toc498910768"/>
      <w:r w:rsidRPr="00C9680B">
        <w:rPr>
          <w:noProof w:val="0"/>
        </w:rPr>
        <w:t>4.1.7 Utgiftsområde 7 Internationellt bistånd</w:t>
      </w:r>
      <w:bookmarkEnd w:id="464"/>
      <w:bookmarkEnd w:id="465"/>
    </w:p>
    <w:p w:rsidR="001C7BF9" w:rsidRPr="00C9680B" w:rsidRDefault="001C7BF9">
      <w:r w:rsidRPr="00C9680B">
        <w:t xml:space="preserve">Utgiftsområdet omfattar utvecklingssamarbete med utvecklingsländer och samarbete med länder i Central- och Östeuropa. </w:t>
      </w:r>
    </w:p>
    <w:p w:rsidR="001C7BF9" w:rsidRPr="00C9680B" w:rsidRDefault="001C7BF9">
      <w:pPr>
        <w:pStyle w:val="Normaltindrag"/>
      </w:pPr>
      <w:r w:rsidRPr="00C9680B">
        <w:t>De totala utgifterna inom utgiftsområdet år 2000 beräknas uppgå till 15 110 miljoner kronor.</w:t>
      </w:r>
    </w:p>
    <w:p w:rsidR="001C7BF9" w:rsidRPr="00C9680B" w:rsidRDefault="001C7BF9">
      <w:pPr>
        <w:pStyle w:val="R4"/>
      </w:pPr>
      <w:r w:rsidRPr="00C9680B">
        <w:t>Budgetpropositionen</w:t>
      </w:r>
    </w:p>
    <w:p w:rsidR="001C7BF9" w:rsidRPr="00C9680B" w:rsidRDefault="001C7BF9">
      <w:r w:rsidRPr="00C9680B">
        <w:t>I budgetpropositionen (avsnitt 7.4) förklaras förändringen av utgiftsområde</w:t>
      </w:r>
      <w:r w:rsidRPr="00C9680B">
        <w:t>s</w:t>
      </w:r>
      <w:r w:rsidRPr="00C9680B">
        <w:t>ramen jämfört med 2000 års ekonomiska vårproposition av den nedreviderade BNI-prognosen som minskar biståndsanslaget 2001 samt förändrade asyla</w:t>
      </w:r>
      <w:r w:rsidRPr="00C9680B">
        <w:t>v</w:t>
      </w:r>
      <w:r w:rsidRPr="00C9680B">
        <w:t>räkningar. I enlighet med regeringens vårproposition är 2001 års biståndsram 0,73 procent av BNI. År 2002 ökas den till att motsvara 0,74 procent av BNI och 2003 till 0,81 procent av BNI.</w:t>
      </w:r>
    </w:p>
    <w:p w:rsidR="001C7BF9" w:rsidRPr="00C9680B" w:rsidRDefault="001C7BF9">
      <w:pPr>
        <w:pStyle w:val="Normaltindrag"/>
      </w:pPr>
      <w:r w:rsidRPr="00C9680B">
        <w:t xml:space="preserve">I följande tablå redovisas budgetpropositionens och motionernas förslag till utgiftsramar. </w:t>
      </w:r>
    </w:p>
    <w:p w:rsidR="001C7BF9" w:rsidRPr="00C9680B" w:rsidRDefault="001C7BF9">
      <w:pPr>
        <w:pStyle w:val="FiU1tabellrubrik2000"/>
        <w:keepLines/>
        <w:outlineLvl w:val="0"/>
      </w:pPr>
      <w:r w:rsidRPr="00C9680B">
        <w:t>Förslag till ram för utgiftsområde 7 Internationellt bistånd</w:t>
      </w:r>
    </w:p>
    <w:p w:rsidR="001C7BF9" w:rsidRPr="00C9680B" w:rsidRDefault="001C7BF9">
      <w:pPr>
        <w:pStyle w:val="Tabell"/>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14 966</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-966</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+600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+700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+1 700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15 570</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-1 908</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+800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+950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+2 400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18 185</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-4 060</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+2 000</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+225</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+1 700</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4"/>
      </w:pPr>
      <w:r w:rsidRPr="00C9680B">
        <w:t>Motionerna</w:t>
      </w:r>
    </w:p>
    <w:p w:rsidR="001C7BF9" w:rsidRPr="00C9680B" w:rsidRDefault="001C7BF9">
      <w:r w:rsidRPr="00C9680B">
        <w:t xml:space="preserve">Enligt </w:t>
      </w:r>
      <w:r w:rsidRPr="00C9680B">
        <w:rPr>
          <w:i/>
        </w:rPr>
        <w:t>Moderata samlingspartiets motion Fi208</w:t>
      </w:r>
      <w:r w:rsidRPr="00C9680B">
        <w:t xml:space="preserve"> skall effektivitetsmål och inte utbetalningsmål styra det svenska biståndet. Insatser i tredje världen bör i</w:t>
      </w:r>
      <w:r w:rsidRPr="00C9680B">
        <w:t>n</w:t>
      </w:r>
      <w:r w:rsidRPr="00C9680B">
        <w:t>riktas på att effektivt utrota fattigdomen genom satsningar på fri handel, fri företagsamhet och respekt för mänskliga rättigheter. En kraftfull satsning på en ansvarsfull skuldsanering för utvecklingsorienterade regimer i Afrika skall genomföras. Vidare bör det skapas en samlad post för Sveriges fredsbevara</w:t>
      </w:r>
      <w:r w:rsidRPr="00C9680B">
        <w:t>n</w:t>
      </w:r>
      <w:r w:rsidRPr="00C9680B">
        <w:t>de verksamhet inom utgiftsområde 7. Motionärerna anser</w:t>
      </w:r>
      <w:r w:rsidRPr="00C9680B">
        <w:t xml:space="preserve"> att regeringens oförmåga att hantera finansieringsfrågorna var en bidragande orsak till att det svenska truppbidraget till KFOR försenades avsevärt. Vidare anförs i moti</w:t>
      </w:r>
      <w:r w:rsidRPr="00C9680B">
        <w:t>o</w:t>
      </w:r>
      <w:r w:rsidRPr="00C9680B">
        <w:t>nen att den s.k. Östersjömiljarden bör upplösas och medel tillföras det ordin</w:t>
      </w:r>
      <w:r w:rsidRPr="00C9680B">
        <w:t>a</w:t>
      </w:r>
      <w:r w:rsidRPr="00C9680B">
        <w:t>rie anslaget Samarbete med Central- och Östeur</w:t>
      </w:r>
      <w:r w:rsidRPr="00C9680B">
        <w:t>o</w:t>
      </w:r>
      <w:r w:rsidRPr="00C9680B">
        <w:t>pa.</w:t>
      </w:r>
    </w:p>
    <w:p w:rsidR="001C7BF9" w:rsidRPr="00C9680B" w:rsidRDefault="001C7BF9">
      <w:pPr>
        <w:pStyle w:val="Normaltindrag"/>
      </w:pPr>
      <w:r w:rsidRPr="00C9680B">
        <w:rPr>
          <w:i/>
        </w:rPr>
        <w:t>Kristdemokraterna</w:t>
      </w:r>
      <w:r w:rsidRPr="00C9680B">
        <w:t xml:space="preserve"> anser i </w:t>
      </w:r>
      <w:r w:rsidRPr="00C9680B">
        <w:rPr>
          <w:i/>
        </w:rPr>
        <w:t>motion Fi209</w:t>
      </w:r>
      <w:r w:rsidRPr="00C9680B">
        <w:t xml:space="preserve"> att regeringens framförhållning inom biståndet är minimal och politiken ogenomtänkt. Samtidigt som man nu återför tidigare reservationer föreslår man nya utgiftstak som drabbar bistå</w:t>
      </w:r>
      <w:r w:rsidRPr="00C9680B">
        <w:t>n</w:t>
      </w:r>
      <w:r w:rsidRPr="00C9680B">
        <w:t>det orimligt hårt. Motionärerna tycker att det finns skäl och möjligheter för en ytterligare ökad biståndsnivå. Som en del av en femårsplan för att nå enpr</w:t>
      </w:r>
      <w:r w:rsidRPr="00C9680B">
        <w:t>o</w:t>
      </w:r>
      <w:r w:rsidRPr="00C9680B">
        <w:t>centsmålet föreslår Kristdemokraterna ökad utgiftsram för biståndet. B</w:t>
      </w:r>
      <w:r w:rsidRPr="00C9680B">
        <w:t>i</w:t>
      </w:r>
      <w:r w:rsidRPr="00C9680B">
        <w:t>ståndsramen år 2003 bör därmed nå 0,9 procent av BNI.</w:t>
      </w:r>
    </w:p>
    <w:p w:rsidR="001C7BF9" w:rsidRPr="00C9680B" w:rsidRDefault="001C7BF9">
      <w:pPr>
        <w:pStyle w:val="Normaltindrag"/>
      </w:pPr>
      <w:r w:rsidRPr="00C9680B">
        <w:rPr>
          <w:i/>
        </w:rPr>
        <w:t>Centerpartiet</w:t>
      </w:r>
      <w:r w:rsidRPr="00C9680B">
        <w:t xml:space="preserve"> föreslår i </w:t>
      </w:r>
      <w:r w:rsidRPr="00C9680B">
        <w:rPr>
          <w:i/>
        </w:rPr>
        <w:t>motion Fi210</w:t>
      </w:r>
      <w:r w:rsidRPr="00C9680B">
        <w:t xml:space="preserve"> en högre utgiftsram för det intern</w:t>
      </w:r>
      <w:r w:rsidRPr="00C9680B">
        <w:t>a</w:t>
      </w:r>
      <w:r w:rsidRPr="00C9680B">
        <w:t>tionella biståndet jämfört med regeringens beräkningar. Motionärerna anser att Sverige bör öka sitt engagemang för internationell rättvisa och anser därför att biståndsmålet på 1 procent av BNI skall återupptas i en jämnare och sna</w:t>
      </w:r>
      <w:r w:rsidRPr="00C9680B">
        <w:t>b</w:t>
      </w:r>
      <w:r w:rsidRPr="00C9680B">
        <w:t>bare takt än vad som nu sker.</w:t>
      </w:r>
    </w:p>
    <w:p w:rsidR="001C7BF9" w:rsidRPr="00C9680B" w:rsidRDefault="001C7BF9">
      <w:pPr>
        <w:pStyle w:val="Normaltindrag"/>
      </w:pPr>
      <w:r w:rsidRPr="00C9680B">
        <w:rPr>
          <w:i/>
        </w:rPr>
        <w:t>Folkpartiet</w:t>
      </w:r>
      <w:r w:rsidRPr="00C9680B">
        <w:t xml:space="preserve"> </w:t>
      </w:r>
      <w:r w:rsidRPr="00C9680B">
        <w:rPr>
          <w:i/>
        </w:rPr>
        <w:t>liberalerna</w:t>
      </w:r>
      <w:r w:rsidRPr="00C9680B">
        <w:t xml:space="preserve"> förordar i </w:t>
      </w:r>
      <w:r w:rsidRPr="00C9680B">
        <w:rPr>
          <w:i/>
        </w:rPr>
        <w:t>motion Fi211</w:t>
      </w:r>
      <w:r w:rsidRPr="00C9680B">
        <w:t xml:space="preserve"> att målet för biståndet som andel av BNI bör återställas. Ramen för utgiftsområdet föreslås höjas för hela perioden 2001</w:t>
      </w:r>
      <w:r w:rsidRPr="00C9680B">
        <w:sym w:font="Symbol" w:char="F02D"/>
      </w:r>
      <w:r w:rsidRPr="00C9680B">
        <w:t>2003 så att målet om enprocentsnivån för biståndet kan nås inom en femårsperiod.</w:t>
      </w:r>
    </w:p>
    <w:p w:rsidR="001C7BF9" w:rsidRPr="00C9680B" w:rsidRDefault="001C7BF9">
      <w:pPr>
        <w:pStyle w:val="R4"/>
      </w:pPr>
      <w:r w:rsidRPr="00C9680B">
        <w:t>Utrikesutskottets yttrande</w:t>
      </w:r>
    </w:p>
    <w:p w:rsidR="001C7BF9" w:rsidRPr="00C9680B" w:rsidRDefault="001C7BF9">
      <w:r w:rsidRPr="00C9680B">
        <w:t>Utrikesutskottet anser i sitt yttrande (UU1y) att regeringens förslag avseende utgiftsområde 7 är väl avvägt, varför det bör tillstyrkas. I konsekvens härmed  avstyrks motionerna vad avser såväl budgetåret 2001 som budgetåren 2002</w:t>
      </w:r>
      <w:r w:rsidRPr="00C9680B">
        <w:sym w:font="Symbol" w:char="F02D"/>
      </w:r>
      <w:r w:rsidRPr="00C9680B">
        <w:t>2003.</w:t>
      </w:r>
    </w:p>
    <w:p w:rsidR="001C7BF9" w:rsidRPr="00C9680B" w:rsidRDefault="001C7BF9">
      <w:pPr>
        <w:pStyle w:val="Normaltindrag"/>
      </w:pPr>
      <w:r w:rsidRPr="00C9680B">
        <w:t>I avvikande meningar tillstyrker företrädarna för Moderata samlingspartiet, Kristdemokraterna, Centerpartiet samt Folkpartiet liberalerna förslagen i respektive motion.</w:t>
      </w:r>
    </w:p>
    <w:p w:rsidR="001C7BF9" w:rsidRPr="00C9680B" w:rsidRDefault="001C7BF9">
      <w:pPr>
        <w:pStyle w:val="R4"/>
      </w:pPr>
      <w:r w:rsidRPr="00C9680B">
        <w:t>Finansutskottets ställningstagande</w:t>
      </w:r>
    </w:p>
    <w:p w:rsidR="001C7BF9" w:rsidRPr="00C9680B" w:rsidRDefault="001C7BF9">
      <w:r w:rsidRPr="00C9680B">
        <w:t>Finansutskottet har tidigare i betänkandet i avsnitten 2.4.3 och 2.6 redovisat sin bedömning av utgifterna på utgiftsområden för budgetåret 2001 och dä</w:t>
      </w:r>
      <w:r w:rsidRPr="00C9680B">
        <w:t>r</w:t>
      </w:r>
      <w:r w:rsidRPr="00C9680B">
        <w:t>vid tillstyrkt regeringens förslag till ramar för utgiftsområdena. Utrikesu</w:t>
      </w:r>
      <w:r w:rsidRPr="00C9680B">
        <w:t>t</w:t>
      </w:r>
      <w:r w:rsidRPr="00C9680B">
        <w:t>skottet har för sin del inte haft något att invända mot regeringens förslag till ram för utgiftsomr</w:t>
      </w:r>
      <w:r w:rsidRPr="00C9680B">
        <w:t>å</w:t>
      </w:r>
      <w:r w:rsidRPr="00C9680B">
        <w:t>de 7.</w:t>
      </w:r>
    </w:p>
    <w:p w:rsidR="001C7BF9" w:rsidRPr="00C9680B" w:rsidRDefault="001C7BF9">
      <w:pPr>
        <w:pStyle w:val="Normaltindrag"/>
      </w:pPr>
      <w:r w:rsidRPr="00C9680B">
        <w:t>Finansutskottet tillstyrker således propositionens förslag till ramnivå för utgiftsområde 7 och föreslår att utgiftsramen för år 2001 fastställs till 14 966 mi</w:t>
      </w:r>
      <w:r w:rsidRPr="00C9680B">
        <w:t>l</w:t>
      </w:r>
      <w:r w:rsidRPr="00C9680B">
        <w:t>joner kronor. Partimotionerna avstyrks i berörda delar.</w:t>
      </w:r>
    </w:p>
    <w:p w:rsidR="001C7BF9" w:rsidRPr="00C9680B" w:rsidRDefault="001C7BF9">
      <w:pPr>
        <w:pStyle w:val="Rubrik3"/>
        <w:rPr>
          <w:noProof w:val="0"/>
        </w:rPr>
      </w:pPr>
      <w:bookmarkStart w:id="466" w:name="_Toc498157126"/>
      <w:bookmarkStart w:id="467" w:name="_Toc498910769"/>
      <w:r w:rsidRPr="00C9680B">
        <w:rPr>
          <w:noProof w:val="0"/>
        </w:rPr>
        <w:t>4.1.8 Utgiftsområde 8 Invandrare och flyktingar</w:t>
      </w:r>
      <w:bookmarkEnd w:id="466"/>
      <w:bookmarkEnd w:id="467"/>
    </w:p>
    <w:p w:rsidR="001C7BF9" w:rsidRPr="00C9680B" w:rsidRDefault="001C7BF9">
      <w:r w:rsidRPr="00C9680B">
        <w:t>Utgiftsområdet omfattar statlig migrations-, integrations- och minoritetspol</w:t>
      </w:r>
      <w:r w:rsidRPr="00C9680B">
        <w:t>i</w:t>
      </w:r>
      <w:r w:rsidRPr="00C9680B">
        <w:t>tik samt delar av storstadspolitiken.</w:t>
      </w:r>
    </w:p>
    <w:p w:rsidR="001C7BF9" w:rsidRPr="00C9680B" w:rsidRDefault="001C7BF9">
      <w:pPr>
        <w:pStyle w:val="Normaltindrag"/>
      </w:pPr>
      <w:r w:rsidRPr="00C9680B">
        <w:t>De totala utgifterna för utgiftsområdet år 2000 beräknas uppgå till 4 542 mi</w:t>
      </w:r>
      <w:r w:rsidRPr="00C9680B">
        <w:t>l</w:t>
      </w:r>
      <w:r w:rsidRPr="00C9680B">
        <w:t>joner kronor.</w:t>
      </w:r>
    </w:p>
    <w:p w:rsidR="001C7BF9" w:rsidRPr="00C9680B" w:rsidRDefault="001C7BF9">
      <w:pPr>
        <w:pStyle w:val="Rubrik4"/>
        <w:rPr>
          <w:noProof w:val="0"/>
        </w:rPr>
      </w:pPr>
      <w:bookmarkStart w:id="468" w:name="_Toc498763601"/>
      <w:bookmarkStart w:id="469" w:name="_Toc498910770"/>
      <w:r w:rsidRPr="00C9680B">
        <w:rPr>
          <w:noProof w:val="0"/>
        </w:rPr>
        <w:t>Budgetpropositionen</w:t>
      </w:r>
      <w:bookmarkEnd w:id="468"/>
      <w:bookmarkEnd w:id="469"/>
    </w:p>
    <w:p w:rsidR="001C7BF9" w:rsidRPr="00C9680B" w:rsidRDefault="001C7BF9">
      <w:r w:rsidRPr="00C9680B">
        <w:t>I budgetpropositionen (avsnitt 7.4) redovisar regeringen att de prioriteringar som gjorts inom utgiftsområdet genom förändrade resurser är att Migr</w:t>
      </w:r>
      <w:r w:rsidRPr="00C9680B">
        <w:t>a</w:t>
      </w:r>
      <w:r w:rsidRPr="00C9680B">
        <w:t>tionsverket tillförs 15 miljoner kronor år 2001. Ombudsmannen mot etnisk diskriminering tillförs 4 miljoner kronor. Därutöver sker vissa ompriorit</w:t>
      </w:r>
      <w:r w:rsidRPr="00C9680B">
        <w:t>e</w:t>
      </w:r>
      <w:r w:rsidRPr="00C9680B">
        <w:t>ringar inom utgiftso</w:t>
      </w:r>
      <w:r w:rsidRPr="00C9680B">
        <w:t>m</w:t>
      </w:r>
      <w:r w:rsidRPr="00C9680B">
        <w:t>rådet.</w:t>
      </w:r>
    </w:p>
    <w:p w:rsidR="001C7BF9" w:rsidRPr="00C9680B" w:rsidRDefault="001C7BF9">
      <w:pPr>
        <w:pStyle w:val="Normaltindrag"/>
      </w:pPr>
      <w:r w:rsidRPr="00C9680B">
        <w:t>Förändringen av utgiftsområdesramen jämfört med bedömningen i 2000 års ekonomiska vårproposition förklaras i huvudsak av volymförändringar till följd av antagande om ett ökat antal asylsökande och en snabbare ärendeha</w:t>
      </w:r>
      <w:r w:rsidRPr="00C9680B">
        <w:t>n</w:t>
      </w:r>
      <w:r w:rsidRPr="00C9680B">
        <w:t>tering vid Migrationsverket och Utlänningsnämnden. Utgiftsområdesramen förändras också till följd av att sammanlagt 82,5 miljoner kronor för sysse</w:t>
      </w:r>
      <w:r w:rsidRPr="00C9680B">
        <w:t>l</w:t>
      </w:r>
      <w:r w:rsidRPr="00C9680B">
        <w:t>sättningsskapande åtgärder för invandrare överförs till utgiftsområdena 13, 16 och 24.</w:t>
      </w:r>
    </w:p>
    <w:p w:rsidR="001C7BF9" w:rsidRPr="00C9680B" w:rsidRDefault="001C7BF9">
      <w:pPr>
        <w:pStyle w:val="Normaltindrag"/>
      </w:pPr>
      <w:r w:rsidRPr="00C9680B">
        <w:t>Propositionens och oppositionspartiernas förslag till ramnivå för utgift</w:t>
      </w:r>
      <w:r w:rsidRPr="00C9680B">
        <w:t>s</w:t>
      </w:r>
      <w:r w:rsidRPr="00C9680B">
        <w:t>omr</w:t>
      </w:r>
      <w:r w:rsidRPr="00C9680B">
        <w:t>å</w:t>
      </w:r>
      <w:r w:rsidRPr="00C9680B">
        <w:t>det under åren 2001–2003 redovisas i efterföljande tabell.</w:t>
      </w:r>
    </w:p>
    <w:p w:rsidR="001C7BF9" w:rsidRPr="00C9680B" w:rsidRDefault="001C7BF9">
      <w:pPr>
        <w:pStyle w:val="FiU1tabellrubrik2000"/>
        <w:keepLines/>
        <w:outlineLvl w:val="0"/>
      </w:pPr>
      <w:r w:rsidRPr="00C9680B">
        <w:t>Förslag till ram för utgiftsområde 8 Invandrare och flyktingar</w:t>
      </w:r>
    </w:p>
    <w:p w:rsidR="001C7BF9" w:rsidRPr="00C9680B" w:rsidRDefault="001C7BF9">
      <w:pPr>
        <w:pStyle w:val="Tabell"/>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4 942</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-578</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-344</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-535</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-442</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4 683</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-129</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-63</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-386</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-201</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4 717</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-243</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-295</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-513</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-317</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ubrik4"/>
        <w:rPr>
          <w:noProof w:val="0"/>
        </w:rPr>
      </w:pPr>
      <w:bookmarkStart w:id="470" w:name="_Toc498763602"/>
      <w:bookmarkStart w:id="471" w:name="_Toc498910771"/>
      <w:r w:rsidRPr="00C9680B">
        <w:rPr>
          <w:noProof w:val="0"/>
        </w:rPr>
        <w:t>Motionerna</w:t>
      </w:r>
      <w:bookmarkEnd w:id="470"/>
      <w:bookmarkEnd w:id="471"/>
    </w:p>
    <w:p w:rsidR="001C7BF9" w:rsidRPr="00C9680B" w:rsidRDefault="001C7BF9">
      <w:r w:rsidRPr="00C9680B">
        <w:rPr>
          <w:i/>
        </w:rPr>
        <w:t>Moderata samlingspartiet</w:t>
      </w:r>
      <w:r w:rsidRPr="00C9680B">
        <w:t xml:space="preserve"> är i </w:t>
      </w:r>
      <w:r w:rsidRPr="00C9680B">
        <w:rPr>
          <w:i/>
        </w:rPr>
        <w:t>motion</w:t>
      </w:r>
      <w:r w:rsidRPr="00C9680B">
        <w:t xml:space="preserve"> </w:t>
      </w:r>
      <w:r w:rsidRPr="00C9680B">
        <w:rPr>
          <w:i/>
        </w:rPr>
        <w:t>Fi208</w:t>
      </w:r>
      <w:r w:rsidRPr="00C9680B">
        <w:t xml:space="preserve"> fortfarande tveksamt till Integr</w:t>
      </w:r>
      <w:r w:rsidRPr="00C9680B">
        <w:t>a</w:t>
      </w:r>
      <w:r w:rsidRPr="00C9680B">
        <w:t>tionsverkets existens. Motionärerna föreslår därför att 20 miljoner kronor av verkets anslag förs över till Migrationsverket år 2001. Vidare förespråkar motionärerna att den svenska arbets- och bostadsmarknaden avregleras, vilket kommer att öka den sociala rörligheten och påverka integrationsarbetet pos</w:t>
      </w:r>
      <w:r w:rsidRPr="00C9680B">
        <w:t>i</w:t>
      </w:r>
      <w:r w:rsidRPr="00C9680B">
        <w:t>tivt.</w:t>
      </w:r>
    </w:p>
    <w:p w:rsidR="001C7BF9" w:rsidRPr="00C9680B" w:rsidRDefault="001C7BF9">
      <w:pPr>
        <w:pStyle w:val="Normaltindrag"/>
      </w:pPr>
      <w:r w:rsidRPr="00C9680B">
        <w:rPr>
          <w:i/>
        </w:rPr>
        <w:t>Kristdemokraterna</w:t>
      </w:r>
      <w:r w:rsidRPr="00C9680B">
        <w:t xml:space="preserve"> avvisar i </w:t>
      </w:r>
      <w:r w:rsidRPr="00C9680B">
        <w:rPr>
          <w:i/>
        </w:rPr>
        <w:t>motion Fi209</w:t>
      </w:r>
      <w:r w:rsidRPr="00C9680B">
        <w:t xml:space="preserve"> regeringens förslag till förlän</w:t>
      </w:r>
      <w:r w:rsidRPr="00C9680B">
        <w:t>g</w:t>
      </w:r>
      <w:r w:rsidRPr="00C9680B">
        <w:t>ning av satsningen på utsatta bostadsområden. Motionärerna föreslår vidare en nedläggning av Integrationsverket från den 1 juni 2001.</w:t>
      </w:r>
    </w:p>
    <w:p w:rsidR="001C7BF9" w:rsidRPr="00C9680B" w:rsidRDefault="001C7BF9">
      <w:pPr>
        <w:pStyle w:val="Normaltindrag"/>
      </w:pPr>
      <w:r w:rsidRPr="00C9680B">
        <w:rPr>
          <w:i/>
        </w:rPr>
        <w:t>Centerpartiet</w:t>
      </w:r>
      <w:r w:rsidRPr="00C9680B">
        <w:t xml:space="preserve"> föreslår i </w:t>
      </w:r>
      <w:r w:rsidRPr="00C9680B">
        <w:rPr>
          <w:i/>
        </w:rPr>
        <w:t>motion Fi210</w:t>
      </w:r>
      <w:r w:rsidRPr="00C9680B">
        <w:t xml:space="preserve"> en sänkning av ramen med 535 mi</w:t>
      </w:r>
      <w:r w:rsidRPr="00C9680B">
        <w:t>l</w:t>
      </w:r>
      <w:r w:rsidRPr="00C9680B">
        <w:t>joner kronor år 2001, med 386 miljoner kronor år 2002 och med 513 miljoner kronor år 2003.</w:t>
      </w:r>
    </w:p>
    <w:p w:rsidR="001C7BF9" w:rsidRPr="00C9680B" w:rsidRDefault="001C7BF9">
      <w:pPr>
        <w:pStyle w:val="Normaltindrag"/>
      </w:pPr>
      <w:r w:rsidRPr="00C9680B">
        <w:rPr>
          <w:i/>
        </w:rPr>
        <w:t>Folkpartiet liberalerna</w:t>
      </w:r>
      <w:r w:rsidRPr="00C9680B">
        <w:t xml:space="preserve"> anser i </w:t>
      </w:r>
      <w:r w:rsidRPr="00C9680B">
        <w:rPr>
          <w:i/>
        </w:rPr>
        <w:t>motion Fi211</w:t>
      </w:r>
      <w:r w:rsidRPr="00C9680B">
        <w:t xml:space="preserve"> att integration inte är en pr</w:t>
      </w:r>
      <w:r w:rsidRPr="00C9680B">
        <w:t>o</w:t>
      </w:r>
      <w:r w:rsidRPr="00C9680B">
        <w:t>cess som kan styras genom byråkratiska beslut. Enligt motionärerna kan Integrationsverket därför läggas ned. Vidare anför motionärerna att en dom</w:t>
      </w:r>
      <w:r w:rsidRPr="00C9680B">
        <w:t>i</w:t>
      </w:r>
      <w:r w:rsidRPr="00C9680B">
        <w:t>nerande del av de projekt som finansieras under anslaget Utvecklingsinsatser i storstadsregionerna inte har en tillfredsställande effektivitet och förankring bland de b</w:t>
      </w:r>
      <w:r w:rsidRPr="00C9680B">
        <w:t>e</w:t>
      </w:r>
      <w:r w:rsidRPr="00C9680B">
        <w:t>rörda.</w:t>
      </w:r>
    </w:p>
    <w:p w:rsidR="001C7BF9" w:rsidRPr="00C9680B" w:rsidRDefault="001C7BF9">
      <w:pPr>
        <w:pStyle w:val="Rubrik4"/>
        <w:rPr>
          <w:noProof w:val="0"/>
        </w:rPr>
      </w:pPr>
      <w:bookmarkStart w:id="472" w:name="_Toc498763603"/>
      <w:bookmarkStart w:id="473" w:name="_Toc498910772"/>
      <w:r w:rsidRPr="00C9680B">
        <w:rPr>
          <w:noProof w:val="0"/>
        </w:rPr>
        <w:t>Socialförsäkringsutskottets yttrande</w:t>
      </w:r>
      <w:bookmarkEnd w:id="472"/>
      <w:bookmarkEnd w:id="473"/>
    </w:p>
    <w:p w:rsidR="001C7BF9" w:rsidRPr="00C9680B" w:rsidRDefault="001C7BF9">
      <w:r w:rsidRPr="00C9680B">
        <w:t>Socialförsäkringsutskottet tillstyrker i sitt yttrande (SfU1y) regeringens fö</w:t>
      </w:r>
      <w:r w:rsidRPr="00C9680B">
        <w:t>r</w:t>
      </w:r>
      <w:r w:rsidRPr="00C9680B">
        <w:t>slag till ramnivå för budgetåret 2001 och avstyrker motsvarande förslag i motionerna. Moderata samlingspartiet, Kristdemokraterna, Centerpartiet och Folkpartiet liberalerna biträder i var sin avvikande mening sina partiers r</w:t>
      </w:r>
      <w:r w:rsidRPr="00C9680B">
        <w:t>e</w:t>
      </w:r>
      <w:r w:rsidRPr="00C9680B">
        <w:t>spektive förslag till ramnivå för utgift</w:t>
      </w:r>
      <w:r w:rsidRPr="00C9680B">
        <w:t>s</w:t>
      </w:r>
      <w:r w:rsidRPr="00C9680B">
        <w:t>området.</w:t>
      </w:r>
    </w:p>
    <w:p w:rsidR="001C7BF9" w:rsidRPr="00C9680B" w:rsidRDefault="001C7BF9">
      <w:pPr>
        <w:pStyle w:val="Rubrik4"/>
        <w:rPr>
          <w:noProof w:val="0"/>
        </w:rPr>
      </w:pPr>
      <w:bookmarkStart w:id="474" w:name="_Toc498763604"/>
      <w:bookmarkStart w:id="475" w:name="_Toc498910773"/>
      <w:r w:rsidRPr="00C9680B">
        <w:rPr>
          <w:noProof w:val="0"/>
        </w:rPr>
        <w:t>Finansutskottets ställningstagande</w:t>
      </w:r>
      <w:bookmarkEnd w:id="474"/>
      <w:bookmarkEnd w:id="475"/>
    </w:p>
    <w:p w:rsidR="001C7BF9" w:rsidRPr="00C9680B" w:rsidRDefault="001C7BF9">
      <w:r w:rsidRPr="00C9680B">
        <w:t>Finansutskottet har tidigare i betänkandet i avsnitten 2.4.3 och 2.6 redovisat sin bedömning av fördelningen av utgifter på utgiftsområden för budgetåret 2001 och därvid tillstyrkt regeringens förslag till ramar för utgiftsområdena. Socialförsäkringsutskottet har för sin del inte funnit skäl att göra en annan bedömning än regeringen och tillstyrker regeringens förslag till ram för u</w:t>
      </w:r>
      <w:r w:rsidRPr="00C9680B">
        <w:t>t</w:t>
      </w:r>
      <w:r w:rsidRPr="00C9680B">
        <w:t>giftsområde 8 för bu</w:t>
      </w:r>
      <w:r w:rsidRPr="00C9680B">
        <w:t>d</w:t>
      </w:r>
      <w:r w:rsidRPr="00C9680B">
        <w:t>getåret 2001.</w:t>
      </w:r>
    </w:p>
    <w:p w:rsidR="001C7BF9" w:rsidRPr="00C9680B" w:rsidRDefault="001C7BF9">
      <w:pPr>
        <w:pStyle w:val="Normaltindrag"/>
      </w:pPr>
      <w:r w:rsidRPr="00C9680B">
        <w:t>Finansutskottet tillstyrker således propositionens förslag till ramnivå för utgiftsområde 8 och föreslår att utgiftsramen fastställs till 4 942 miljoner kronor. Partimotionernas förslag till alternativa ramar a</w:t>
      </w:r>
      <w:r w:rsidRPr="00C9680B">
        <w:t>v</w:t>
      </w:r>
      <w:r w:rsidRPr="00C9680B">
        <w:t>styrks.</w:t>
      </w:r>
    </w:p>
    <w:p w:rsidR="001C7BF9" w:rsidRPr="00C9680B" w:rsidRDefault="001C7BF9">
      <w:pPr>
        <w:pStyle w:val="Rubrik3"/>
        <w:rPr>
          <w:noProof w:val="0"/>
        </w:rPr>
      </w:pPr>
      <w:bookmarkStart w:id="476" w:name="_Toc498157127"/>
      <w:bookmarkStart w:id="477" w:name="_Toc498910774"/>
      <w:r w:rsidRPr="00C9680B">
        <w:rPr>
          <w:noProof w:val="0"/>
        </w:rPr>
        <w:t>4.1.9 Utgiftsområde 9 Hälsovård, sjukvård och social omsorg</w:t>
      </w:r>
      <w:bookmarkEnd w:id="476"/>
      <w:bookmarkEnd w:id="477"/>
    </w:p>
    <w:p w:rsidR="001C7BF9" w:rsidRPr="00C9680B" w:rsidRDefault="001C7BF9">
      <w:r w:rsidRPr="00C9680B">
        <w:t>Utgiftsområdet omfattar verksamheterna hälsovård, sjukvård och social o</w:t>
      </w:r>
      <w:r w:rsidRPr="00C9680B">
        <w:t>m</w:t>
      </w:r>
      <w:r w:rsidRPr="00C9680B">
        <w:t>sorg. Statens utgifter för utgiftsområdet utgör en mindre del av de samlade offentliga utgifterna för hälso- och sjukvård och social omsorg. Huvudansv</w:t>
      </w:r>
      <w:r w:rsidRPr="00C9680B">
        <w:t>a</w:t>
      </w:r>
      <w:r w:rsidRPr="00C9680B">
        <w:t>ret för dessa verksamheter ligger inom komm</w:t>
      </w:r>
      <w:r w:rsidRPr="00C9680B">
        <w:t>u</w:t>
      </w:r>
      <w:r w:rsidRPr="00C9680B">
        <w:t>ner och landsting.</w:t>
      </w:r>
    </w:p>
    <w:p w:rsidR="001C7BF9" w:rsidRPr="00C9680B" w:rsidRDefault="001C7BF9">
      <w:pPr>
        <w:pStyle w:val="Normaltindrag"/>
      </w:pPr>
      <w:r w:rsidRPr="00C9680B">
        <w:t>De totala utgifterna för utgiftsområdet år 2000 beräknas uppgå till 28 529 miljoner kronor.</w:t>
      </w:r>
    </w:p>
    <w:p w:rsidR="001C7BF9" w:rsidRPr="00C9680B" w:rsidRDefault="001C7BF9">
      <w:pPr>
        <w:pStyle w:val="Rubrik4"/>
        <w:rPr>
          <w:noProof w:val="0"/>
        </w:rPr>
      </w:pPr>
      <w:bookmarkStart w:id="478" w:name="_Toc498763606"/>
      <w:bookmarkStart w:id="479" w:name="_Toc498910775"/>
      <w:r w:rsidRPr="00C9680B">
        <w:rPr>
          <w:noProof w:val="0"/>
        </w:rPr>
        <w:t>Budgetpropositionen</w:t>
      </w:r>
      <w:bookmarkEnd w:id="478"/>
      <w:bookmarkEnd w:id="479"/>
    </w:p>
    <w:p w:rsidR="001C7BF9" w:rsidRPr="00C9680B" w:rsidRDefault="001C7BF9">
      <w:r w:rsidRPr="00C9680B">
        <w:t>I budgetpropositionen (avsnitt 7.4) meddelar regeringen att förändringen av utgiftsområdesramen jämfört med beräkningarna i 2000 års vårproposition bl.a. förklaras av att utgifterna för den statliga assistansersättningen ökar med anledning av införandet av rätten att behålla assistans efter fyllda 65 år. Reg</w:t>
      </w:r>
      <w:r w:rsidRPr="00C9680B">
        <w:t>e</w:t>
      </w:r>
      <w:r w:rsidRPr="00C9680B">
        <w:t>ringen föreslår att utgiftsområdet ökar med 50 miljoner kronor 2001, 75 mi</w:t>
      </w:r>
      <w:r w:rsidRPr="00C9680B">
        <w:t>l</w:t>
      </w:r>
      <w:r w:rsidRPr="00C9680B">
        <w:t>joner kronor 2002 och 100 miljoner kronor 2003 för att genomföra en nati</w:t>
      </w:r>
      <w:r w:rsidRPr="00C9680B">
        <w:t>o</w:t>
      </w:r>
      <w:r w:rsidRPr="00C9680B">
        <w:t>nell handlingsplan för alkoholskadeförebyggande insatser. Utöver tidigare aviserade tillskott om 200 miljoner kronor för 2002 och ytterligare 300 milj</w:t>
      </w:r>
      <w:r w:rsidRPr="00C9680B">
        <w:t>o</w:t>
      </w:r>
      <w:r w:rsidRPr="00C9680B">
        <w:t>ner kronor 2003 föreslår regeringen nu att tandvården tillförs ytterligare 100 miljoner kr</w:t>
      </w:r>
      <w:r w:rsidRPr="00C9680B">
        <w:t>o</w:t>
      </w:r>
      <w:r w:rsidRPr="00C9680B">
        <w:t xml:space="preserve">nor nästa år. </w:t>
      </w:r>
    </w:p>
    <w:p w:rsidR="001C7BF9" w:rsidRPr="00C9680B" w:rsidRDefault="001C7BF9">
      <w:pPr>
        <w:pStyle w:val="Normaltindrag"/>
      </w:pPr>
      <w:r w:rsidRPr="00C9680B">
        <w:t>Därutöver föreslår regeringen att ytterligare 42 miljoner tillförs utgiftso</w:t>
      </w:r>
      <w:r w:rsidRPr="00C9680B">
        <w:t>m</w:t>
      </w:r>
      <w:r w:rsidRPr="00C9680B">
        <w:t>rådet med anledning av att fler personer än tidigare kommer att beviljas e</w:t>
      </w:r>
      <w:r w:rsidRPr="00C9680B">
        <w:t>r</w:t>
      </w:r>
      <w:r w:rsidRPr="00C9680B">
        <w:t>sättning från Steriliseringsersättningsnämnden. Vidare ökas utgiftsområdet till följd av att utgi</w:t>
      </w:r>
      <w:r w:rsidRPr="00C9680B">
        <w:t>f</w:t>
      </w:r>
      <w:r w:rsidRPr="00C9680B">
        <w:t>terna för läkemedel förväntas öka.</w:t>
      </w:r>
    </w:p>
    <w:p w:rsidR="001C7BF9" w:rsidRPr="00C9680B" w:rsidRDefault="001C7BF9">
      <w:pPr>
        <w:pStyle w:val="Normaltindrag"/>
      </w:pPr>
      <w:r w:rsidRPr="00C9680B">
        <w:t>Propositionens och oppositionspartiernas förslag till ramnivåer för utgift</w:t>
      </w:r>
      <w:r w:rsidRPr="00C9680B">
        <w:t>s</w:t>
      </w:r>
      <w:r w:rsidRPr="00C9680B">
        <w:t>o</w:t>
      </w:r>
      <w:r w:rsidRPr="00C9680B">
        <w:t>m</w:t>
      </w:r>
      <w:r w:rsidRPr="00C9680B">
        <w:t>rådet under åren 2001–2003 redovisas i efterföljande tabell.</w:t>
      </w:r>
    </w:p>
    <w:p w:rsidR="001C7BF9" w:rsidRPr="00C9680B" w:rsidRDefault="001C7BF9">
      <w:pPr>
        <w:pStyle w:val="FiU1tabellrubrik2000"/>
        <w:outlineLvl w:val="0"/>
      </w:pPr>
      <w:r w:rsidRPr="00C9680B">
        <w:t>Förslag till ram för utgiftsområde 9 Hälsovård, sjukvård och social o</w:t>
      </w:r>
      <w:r w:rsidRPr="00C9680B">
        <w:t>m</w:t>
      </w:r>
      <w:r w:rsidRPr="00C9680B">
        <w:t>sorg</w:t>
      </w:r>
    </w:p>
    <w:p w:rsidR="001C7BF9" w:rsidRPr="00C9680B" w:rsidRDefault="001C7BF9">
      <w:pPr>
        <w:pStyle w:val="Tabell"/>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29 374</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+100</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+63</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+942</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+3 654</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30 309</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-2 514</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+163</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+712</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+3 804</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31 896</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-4 665</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+163</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+588</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+3 884</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ubrik4"/>
        <w:rPr>
          <w:noProof w:val="0"/>
        </w:rPr>
      </w:pPr>
      <w:bookmarkStart w:id="480" w:name="_Toc498763607"/>
      <w:bookmarkStart w:id="481" w:name="_Toc498910776"/>
      <w:r w:rsidRPr="00C9680B">
        <w:rPr>
          <w:noProof w:val="0"/>
        </w:rPr>
        <w:t>Motionerna</w:t>
      </w:r>
      <w:bookmarkEnd w:id="480"/>
      <w:bookmarkEnd w:id="481"/>
    </w:p>
    <w:p w:rsidR="001C7BF9" w:rsidRPr="00C9680B" w:rsidRDefault="001C7BF9">
      <w:r w:rsidRPr="00C9680B">
        <w:rPr>
          <w:i/>
        </w:rPr>
        <w:t>Moderata samlingspartiet</w:t>
      </w:r>
      <w:r w:rsidRPr="00C9680B">
        <w:t xml:space="preserve"> anser i </w:t>
      </w:r>
      <w:r w:rsidRPr="00C9680B">
        <w:rPr>
          <w:i/>
        </w:rPr>
        <w:t>motion Fi208</w:t>
      </w:r>
      <w:r w:rsidRPr="00C9680B">
        <w:t xml:space="preserve"> att regeringens satsningar på en förbättrad tandvård är otillräckliga och vill redan från år 2001 förstärka tandvårdsförsäkringen med 300 miljoner kronor årligen. Vidare föreslås att det ekonomiska ansvaret för assistansersättningens första 20 timmar återförs till staten och att stödet till handikapprörelsens rekreationsanläggningar höjs med 2 milj</w:t>
      </w:r>
      <w:r w:rsidRPr="00C9680B">
        <w:t>o</w:t>
      </w:r>
      <w:r w:rsidRPr="00C9680B">
        <w:t>ner kronor.</w:t>
      </w:r>
    </w:p>
    <w:p w:rsidR="001C7BF9" w:rsidRPr="00C9680B" w:rsidRDefault="001C7BF9">
      <w:pPr>
        <w:pStyle w:val="Normaltindrag"/>
      </w:pPr>
      <w:r w:rsidRPr="00C9680B">
        <w:rPr>
          <w:i/>
        </w:rPr>
        <w:t>Kristdemokraterna</w:t>
      </w:r>
      <w:r w:rsidRPr="00C9680B">
        <w:t xml:space="preserve"> förordar i </w:t>
      </w:r>
      <w:r w:rsidRPr="00C9680B">
        <w:rPr>
          <w:i/>
        </w:rPr>
        <w:t>motion Fi209</w:t>
      </w:r>
      <w:r w:rsidRPr="00C9680B">
        <w:t xml:space="preserve"> att en utredning tillsätts för att se över möjligheterna att samordna sjuk- och tandvårdsförsäkringarna. I a</w:t>
      </w:r>
      <w:r w:rsidRPr="00C9680B">
        <w:t>v</w:t>
      </w:r>
      <w:r w:rsidRPr="00C9680B">
        <w:t>vaktan på utredningen föreslås att tandvårdsförsäkringen tillförs 100 miljoner kronor per år under 2001–2003. Vidare föreslår motionärerna en extra sat</w:t>
      </w:r>
      <w:r w:rsidRPr="00C9680B">
        <w:t>s</w:t>
      </w:r>
      <w:r w:rsidRPr="00C9680B">
        <w:t>ning på stimulansbidrag till kommunernas arbete med anhörigvårdare från år 2002.</w:t>
      </w:r>
    </w:p>
    <w:p w:rsidR="001C7BF9" w:rsidRPr="00C9680B" w:rsidRDefault="001C7BF9">
      <w:pPr>
        <w:pStyle w:val="Normaltindrag"/>
      </w:pPr>
      <w:r w:rsidRPr="00C9680B">
        <w:rPr>
          <w:i/>
        </w:rPr>
        <w:t>Centerpartiet</w:t>
      </w:r>
      <w:r w:rsidRPr="00C9680B">
        <w:t xml:space="preserve"> föreslår i </w:t>
      </w:r>
      <w:r w:rsidRPr="00C9680B">
        <w:rPr>
          <w:i/>
        </w:rPr>
        <w:t>motion Fi210</w:t>
      </w:r>
      <w:r w:rsidRPr="00C9680B">
        <w:t xml:space="preserve"> att ett system med hemservicechec</w:t>
      </w:r>
      <w:r w:rsidRPr="00C9680B">
        <w:t>k</w:t>
      </w:r>
      <w:r w:rsidRPr="00C9680B">
        <w:t>ar för pensionärshushåll införs samt en allmän besparing i myndigheters administration. Centerpartiets medverkan i försvarsuppgörelsen 1998 innebär enligt motionärerna att vården och omsorgen kommer att tillföras ytterligare 8 miljarder kronor under 2002–2004. De områden som skall prioriteras är primärvården, äldreomsorgen och psykiatrin.</w:t>
      </w:r>
    </w:p>
    <w:p w:rsidR="001C7BF9" w:rsidRPr="00C9680B" w:rsidRDefault="001C7BF9">
      <w:pPr>
        <w:pStyle w:val="Normaltindrag"/>
      </w:pPr>
      <w:r w:rsidRPr="00C9680B">
        <w:rPr>
          <w:i/>
        </w:rPr>
        <w:t>Folkpartiet liberalerna</w:t>
      </w:r>
      <w:r w:rsidRPr="00C9680B">
        <w:t xml:space="preserve"> föreslår i </w:t>
      </w:r>
      <w:r w:rsidRPr="00C9680B">
        <w:rPr>
          <w:i/>
        </w:rPr>
        <w:t>motion Fi211</w:t>
      </w:r>
      <w:r w:rsidRPr="00C9680B">
        <w:t xml:space="preserve"> att handikappreformen återställs och att en särskild tillgänglighetsreform för handikappade geno</w:t>
      </w:r>
      <w:r w:rsidRPr="00C9680B">
        <w:t>m</w:t>
      </w:r>
      <w:r w:rsidRPr="00C9680B">
        <w:t>förs. V</w:t>
      </w:r>
      <w:r w:rsidRPr="00C9680B">
        <w:t>i</w:t>
      </w:r>
      <w:r w:rsidRPr="00C9680B">
        <w:t>dare föreslås att 4 miljoner kronor ges i ökade bidrag till bl.a. kvinno</w:t>
      </w:r>
      <w:r w:rsidRPr="00C9680B">
        <w:softHyphen/>
        <w:t>jourerna under anslaget Folkhälsopolitiska åtgärder.</w:t>
      </w:r>
    </w:p>
    <w:p w:rsidR="001C7BF9" w:rsidRPr="00C9680B" w:rsidRDefault="001C7BF9">
      <w:pPr>
        <w:pStyle w:val="Rubrik4"/>
        <w:rPr>
          <w:noProof w:val="0"/>
        </w:rPr>
      </w:pPr>
      <w:bookmarkStart w:id="482" w:name="_Toc498763608"/>
      <w:bookmarkStart w:id="483" w:name="_Toc498910777"/>
      <w:r w:rsidRPr="00C9680B">
        <w:rPr>
          <w:noProof w:val="0"/>
        </w:rPr>
        <w:t>Socialutskottets yttrande</w:t>
      </w:r>
      <w:bookmarkEnd w:id="482"/>
      <w:bookmarkEnd w:id="483"/>
    </w:p>
    <w:p w:rsidR="001C7BF9" w:rsidRPr="00C9680B" w:rsidRDefault="001C7BF9">
      <w:r w:rsidRPr="00C9680B">
        <w:t>Socialutskottet anser i sitt yttrande (SoU1y) att regeringens förslag till ram för utgiftsområdet för budgetåret 2001 bör tillstyrkas och att motionerna Fi208 (m), Fi209 (kd), Fi210 (c) och Fi211 (fp) bör avstyrkas i denna del. Därutöver behandlar socialutskottet också motionerna So282 (m), So481 (m, s, v, kd, c, fp, mp), So504 (s, v, mp), Ju724 (v, s, c, fp, mp) och L459 (fp) i här aktuella delar. I samliga motioner begärs tillkännagivande om fortsatt specialdestin</w:t>
      </w:r>
      <w:r w:rsidRPr="00C9680B">
        <w:t>e</w:t>
      </w:r>
      <w:r w:rsidRPr="00C9680B">
        <w:t>rat statligt bidrag för hiv/aidsinsatser i storstadsregionerna. Det specialdest</w:t>
      </w:r>
      <w:r w:rsidRPr="00C9680B">
        <w:t>i</w:t>
      </w:r>
      <w:r w:rsidRPr="00C9680B">
        <w:t>nerade bidraget har under senare år utbetalats från utgiftsområde 25 anslag A2 Bidrag för särskilda insatser i vissa kommuner, som bereds av finansu</w:t>
      </w:r>
      <w:r w:rsidRPr="00C9680B">
        <w:t>t</w:t>
      </w:r>
      <w:r w:rsidRPr="00C9680B">
        <w:t>skottet. Socialutskottet föreslår att motionsyrkandena överlämnas till f</w:t>
      </w:r>
      <w:r w:rsidRPr="00C9680B">
        <w:t>i</w:t>
      </w:r>
      <w:r w:rsidRPr="00C9680B">
        <w:t>nansutskottet. Socialutskottet förordar ett tillkännagivande till regeringen om ett fortsatt särskilt statsbidrag till storstadsregione</w:t>
      </w:r>
      <w:r w:rsidRPr="00C9680B">
        <w:t>r</w:t>
      </w:r>
      <w:r w:rsidRPr="00C9680B">
        <w:t xml:space="preserve">na. </w:t>
      </w:r>
    </w:p>
    <w:p w:rsidR="001C7BF9" w:rsidRPr="00C9680B" w:rsidRDefault="001C7BF9">
      <w:pPr>
        <w:pStyle w:val="Normaltindrag"/>
      </w:pPr>
      <w:r w:rsidRPr="00C9680B">
        <w:t>Företrädarna för Moderata samlingspartiet, Kristdemokraterna, Center</w:t>
      </w:r>
      <w:r w:rsidRPr="00C9680B">
        <w:t>pa</w:t>
      </w:r>
      <w:r w:rsidRPr="00C9680B">
        <w:t>r</w:t>
      </w:r>
      <w:r w:rsidRPr="00C9680B">
        <w:t>tiet och Folkpartiet liberalerna tillstyrker i avvikande meningar förslagen i respektive partimotioner.</w:t>
      </w:r>
    </w:p>
    <w:p w:rsidR="001C7BF9" w:rsidRPr="00C9680B" w:rsidRDefault="001C7BF9">
      <w:pPr>
        <w:pStyle w:val="Rubrik4"/>
        <w:rPr>
          <w:noProof w:val="0"/>
        </w:rPr>
      </w:pPr>
      <w:bookmarkStart w:id="484" w:name="_Toc498763609"/>
      <w:bookmarkStart w:id="485" w:name="_Toc498910778"/>
      <w:r w:rsidRPr="00C9680B">
        <w:rPr>
          <w:noProof w:val="0"/>
        </w:rPr>
        <w:t>Finansutskottets ställningstagande</w:t>
      </w:r>
      <w:bookmarkEnd w:id="484"/>
      <w:bookmarkEnd w:id="485"/>
    </w:p>
    <w:p w:rsidR="001C7BF9" w:rsidRPr="00C9680B" w:rsidRDefault="001C7BF9">
      <w:r w:rsidRPr="00C9680B">
        <w:t>Finansutskottet har tidigare i betänkandet i avsnitten 2.4.3 och 2.6 redovisat sin bedömning av fördelningen av utgifterna på utgiftsområden för budgetåret 2001 och därvid tillstyrkt regeringens förslag. Finansutskottet tillstyrker sål</w:t>
      </w:r>
      <w:r w:rsidRPr="00C9680B">
        <w:t>e</w:t>
      </w:r>
      <w:r w:rsidRPr="00C9680B">
        <w:t>des propositionens förslag till utgiftsram för utgiftsområde 9 och föreslår att utgiftsramen fastställs till 29 374 miljoner kronor. Motionernas förslag till alternativa ramar avstyrks.</w:t>
      </w:r>
    </w:p>
    <w:p w:rsidR="001C7BF9" w:rsidRPr="00C9680B" w:rsidRDefault="001C7BF9">
      <w:pPr>
        <w:pStyle w:val="Normaltindrag"/>
      </w:pPr>
      <w:r w:rsidRPr="00C9680B">
        <w:t>Finansutskottet ställer sig positivt till ett fortsatt specialdestinerat bidrag för hiv/aidsinsatser i storstadsregionerna. Motionsyrkandena med begäran om tillkännagivande därom behandlar finansutskottet i sitt betänkande om al</w:t>
      </w:r>
      <w:r w:rsidRPr="00C9680B">
        <w:t>l</w:t>
      </w:r>
      <w:r w:rsidRPr="00C9680B">
        <w:t xml:space="preserve">männa bidrag till kommunerna (bet. 2000/01:FiU3). </w:t>
      </w:r>
    </w:p>
    <w:p w:rsidR="001C7BF9" w:rsidRPr="00C9680B" w:rsidRDefault="001C7BF9">
      <w:pPr>
        <w:pStyle w:val="Rubrik3"/>
        <w:rPr>
          <w:noProof w:val="0"/>
        </w:rPr>
      </w:pPr>
      <w:bookmarkStart w:id="486" w:name="_Toc498157128"/>
      <w:bookmarkStart w:id="487" w:name="_Toc498910779"/>
      <w:r w:rsidRPr="00C9680B">
        <w:rPr>
          <w:noProof w:val="0"/>
        </w:rPr>
        <w:t>4.1.10 Utgiftsområde 10 Ekonomisk trygghet vid sjukdom och handikapp</w:t>
      </w:r>
      <w:bookmarkEnd w:id="486"/>
      <w:bookmarkEnd w:id="487"/>
    </w:p>
    <w:p w:rsidR="001C7BF9" w:rsidRPr="00C9680B" w:rsidRDefault="001C7BF9">
      <w:r w:rsidRPr="00C9680B">
        <w:t>Utgiftsområdet omfattar dels transfereringar med anknytning till sjukdom och handikapp, dels kostnaderna för socialförsäkringsadministrationen, dvs. Rik</w:t>
      </w:r>
      <w:r w:rsidRPr="00C9680B">
        <w:t>s</w:t>
      </w:r>
      <w:r w:rsidRPr="00C9680B">
        <w:t>försäkringsverket och de allmänna försäkringskassorna. Förmånerna ges i form av dagersättningar såsom sjukpenning, rehabiliteringsersättning och närståendepenning. Även utgifterna för ATP i form av förtidspension, arbet</w:t>
      </w:r>
      <w:r w:rsidRPr="00C9680B">
        <w:t>s</w:t>
      </w:r>
      <w:r w:rsidRPr="00C9680B">
        <w:t>skadeersättningar m.m. redov</w:t>
      </w:r>
      <w:r w:rsidRPr="00C9680B">
        <w:t>i</w:t>
      </w:r>
      <w:r w:rsidRPr="00C9680B">
        <w:t>sas under utgiftsområdet.</w:t>
      </w:r>
    </w:p>
    <w:p w:rsidR="001C7BF9" w:rsidRPr="00C9680B" w:rsidRDefault="001C7BF9">
      <w:pPr>
        <w:pStyle w:val="Normaltindrag"/>
      </w:pPr>
      <w:r w:rsidRPr="00C9680B">
        <w:t>De totala utgifterna för utgiftsområdet år 2000 beräknas uppgå till 98 198 miljoner kronor.</w:t>
      </w:r>
    </w:p>
    <w:p w:rsidR="001C7BF9" w:rsidRPr="00C9680B" w:rsidRDefault="001C7BF9">
      <w:pPr>
        <w:pStyle w:val="Rubrik4"/>
        <w:rPr>
          <w:noProof w:val="0"/>
        </w:rPr>
      </w:pPr>
      <w:bookmarkStart w:id="488" w:name="_Toc498910780"/>
      <w:r w:rsidRPr="00C9680B">
        <w:rPr>
          <w:noProof w:val="0"/>
        </w:rPr>
        <w:t>Budgetpropositionen</w:t>
      </w:r>
      <w:bookmarkEnd w:id="488"/>
    </w:p>
    <w:p w:rsidR="001C7BF9" w:rsidRPr="00C9680B" w:rsidRDefault="001C7BF9">
      <w:r w:rsidRPr="00C9680B">
        <w:t>I budgetpropositionen (avsnitt 7.4) meddelar regeringen att den kraftiga avv</w:t>
      </w:r>
      <w:r w:rsidRPr="00C9680B">
        <w:t>i</w:t>
      </w:r>
      <w:r w:rsidRPr="00C9680B">
        <w:t>kelsen mellan anslagna medel och nuvarande prognos främst förklaras av utfallet för anslaget Sjukpenning och rehabilitering m.m. Utgifterna för sju</w:t>
      </w:r>
      <w:r w:rsidRPr="00C9680B">
        <w:t>k</w:t>
      </w:r>
      <w:r w:rsidRPr="00C9680B">
        <w:t>penning har även i år ökat på grund av en ökad sjukfrånvaro och utgiftspr</w:t>
      </w:r>
      <w:r w:rsidRPr="00C9680B">
        <w:t>o</w:t>
      </w:r>
      <w:r w:rsidRPr="00C9680B">
        <w:t>gnosen har successivt reviderats. I förhållande till 2000 års ekonomiska vå</w:t>
      </w:r>
      <w:r w:rsidRPr="00C9680B">
        <w:t>r</w:t>
      </w:r>
      <w:r w:rsidRPr="00C9680B">
        <w:t>proposition beräknas utgi</w:t>
      </w:r>
      <w:r w:rsidRPr="00C9680B">
        <w:t>f</w:t>
      </w:r>
      <w:r w:rsidRPr="00C9680B">
        <w:t>terna för 2001 öka med 1,9 miljarder kronor.</w:t>
      </w:r>
    </w:p>
    <w:p w:rsidR="001C7BF9" w:rsidRPr="00C9680B" w:rsidRDefault="001C7BF9">
      <w:pPr>
        <w:pStyle w:val="Normaltindrag"/>
      </w:pPr>
      <w:r w:rsidRPr="00C9680B">
        <w:t>Utredningsarbetet med att reformera systemet med förtidspension har a</w:t>
      </w:r>
      <w:r w:rsidRPr="00C9680B">
        <w:t>v</w:t>
      </w:r>
      <w:r w:rsidRPr="00C9680B">
        <w:t>slutats och omgående sänts ut på remiss. Enligt regeringen skall det reform</w:t>
      </w:r>
      <w:r w:rsidRPr="00C9680B">
        <w:t>e</w:t>
      </w:r>
      <w:r w:rsidRPr="00C9680B">
        <w:t>rade förtidspensionssystemet, med hänsyn till genomförandet av det reform</w:t>
      </w:r>
      <w:r w:rsidRPr="00C9680B">
        <w:t>e</w:t>
      </w:r>
      <w:r w:rsidRPr="00C9680B">
        <w:t>rade ålderspensionssystemet, träda i kraft den 1 januari 2003.</w:t>
      </w:r>
    </w:p>
    <w:p w:rsidR="001C7BF9" w:rsidRPr="00C9680B" w:rsidRDefault="001C7BF9">
      <w:pPr>
        <w:pStyle w:val="Normaltindrag"/>
      </w:pPr>
      <w:r w:rsidRPr="00C9680B">
        <w:t>Propositionens och oppositionspartiernas förslag till ramnivåer för utgift</w:t>
      </w:r>
      <w:r w:rsidRPr="00C9680B">
        <w:t>s</w:t>
      </w:r>
      <w:r w:rsidRPr="00C9680B">
        <w:t>o</w:t>
      </w:r>
      <w:r w:rsidRPr="00C9680B">
        <w:t>m</w:t>
      </w:r>
      <w:r w:rsidRPr="00C9680B">
        <w:t>rådet under åren 2001–2003 redovisas i efterföljande tabell.</w:t>
      </w:r>
    </w:p>
    <w:p w:rsidR="001C7BF9" w:rsidRPr="00C9680B" w:rsidRDefault="001C7BF9">
      <w:pPr>
        <w:pStyle w:val="FiU1tabellrubrik2000"/>
        <w:keepLines/>
        <w:outlineLvl w:val="0"/>
      </w:pPr>
      <w:r w:rsidRPr="00C9680B">
        <w:t xml:space="preserve">Förslag till ram för utgiftsområde 10 Ekonomisk trygghet vid sjukdom och </w:t>
      </w:r>
    </w:p>
    <w:p w:rsidR="001C7BF9" w:rsidRPr="00C9680B" w:rsidRDefault="001C7BF9">
      <w:pPr>
        <w:pStyle w:val="FiU1tabellrubrik2000"/>
        <w:keepLines/>
        <w:spacing w:before="0" w:line="180" w:lineRule="exact"/>
      </w:pPr>
      <w:r w:rsidRPr="00C9680B">
        <w:t>ha</w:t>
      </w:r>
      <w:r w:rsidRPr="00C9680B">
        <w:t>n</w:t>
      </w:r>
      <w:r w:rsidRPr="00C9680B">
        <w:t>dikapp</w:t>
      </w:r>
    </w:p>
    <w:p w:rsidR="001C7BF9" w:rsidRPr="00C9680B" w:rsidRDefault="001C7BF9">
      <w:pPr>
        <w:pStyle w:val="Tabell"/>
        <w:keepLines/>
        <w:spacing w:after="4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101 950</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-11 340</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-5 880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-4 693</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-4 740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104 402</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-13 860</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-6 795</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-5 270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-6 035</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107 345</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-16 490</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-8 675</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-5 800</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-7 880</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ubrik4"/>
        <w:rPr>
          <w:noProof w:val="0"/>
        </w:rPr>
      </w:pPr>
      <w:bookmarkStart w:id="489" w:name="_Toc498763612"/>
      <w:bookmarkStart w:id="490" w:name="_Toc498910781"/>
      <w:r w:rsidRPr="00C9680B">
        <w:rPr>
          <w:noProof w:val="0"/>
        </w:rPr>
        <w:t>Motionerna</w:t>
      </w:r>
      <w:bookmarkEnd w:id="489"/>
      <w:bookmarkEnd w:id="490"/>
    </w:p>
    <w:p w:rsidR="001C7BF9" w:rsidRPr="00C9680B" w:rsidRDefault="001C7BF9">
      <w:r w:rsidRPr="00C9680B">
        <w:rPr>
          <w:i/>
        </w:rPr>
        <w:t>Moderata samlingspartiet</w:t>
      </w:r>
      <w:r w:rsidRPr="00C9680B">
        <w:t xml:space="preserve"> föreslår i </w:t>
      </w:r>
      <w:r w:rsidRPr="00C9680B">
        <w:rPr>
          <w:i/>
        </w:rPr>
        <w:t>motion Fi208</w:t>
      </w:r>
      <w:r w:rsidRPr="00C9680B">
        <w:t xml:space="preserve"> att ersättningsnivån i sju</w:t>
      </w:r>
      <w:r w:rsidRPr="00C9680B">
        <w:t>k</w:t>
      </w:r>
      <w:r w:rsidRPr="00C9680B">
        <w:t>försäkringen skall vara 75 % samt att en andra karensdag införs den åttonde sjukdagen. I motionen föreslås vidare att försäkringskassan skall få det fina</w:t>
      </w:r>
      <w:r w:rsidRPr="00C9680B">
        <w:t>n</w:t>
      </w:r>
      <w:r w:rsidRPr="00C9680B">
        <w:t>siella ansvaret för rehabilitering med möjlighet att upphandla rehabilitering på annat håll än i det egna landstinget. Motionärerna tillskjuter en miljard extra till försäkring</w:t>
      </w:r>
      <w:r w:rsidRPr="00C9680B">
        <w:t>s</w:t>
      </w:r>
      <w:r w:rsidRPr="00C9680B">
        <w:t>kassan för detta ändamål.</w:t>
      </w:r>
    </w:p>
    <w:p w:rsidR="001C7BF9" w:rsidRPr="00C9680B" w:rsidRDefault="001C7BF9">
      <w:pPr>
        <w:pStyle w:val="Normaltindrag"/>
      </w:pPr>
      <w:r w:rsidRPr="00C9680B">
        <w:rPr>
          <w:i/>
        </w:rPr>
        <w:t>Kristdemokraterna</w:t>
      </w:r>
      <w:r w:rsidRPr="00C9680B">
        <w:t xml:space="preserve"> anser i </w:t>
      </w:r>
      <w:r w:rsidRPr="00C9680B">
        <w:rPr>
          <w:i/>
        </w:rPr>
        <w:t>motion Fi209</w:t>
      </w:r>
      <w:r w:rsidRPr="00C9680B">
        <w:t xml:space="preserve"> att den nya rehabiliteringsförsä</w:t>
      </w:r>
      <w:r w:rsidRPr="00C9680B">
        <w:t>k</w:t>
      </w:r>
      <w:r w:rsidRPr="00C9680B">
        <w:t>ring som föreslås i SOU 2000:78 i alla väsentliga huvuddrag bör genomföras från den 1 juli 2001. Enligt motionärerna innebär reformen endast två år efter genomförandet en nettovinst i form av lägre utbetalningar av sjukpenning och förtidspension. Vidare förespråkar motionärerna en ny modell för trafikfö</w:t>
      </w:r>
      <w:r w:rsidRPr="00C9680B">
        <w:t>r</w:t>
      </w:r>
      <w:r w:rsidRPr="00C9680B">
        <w:t>säkringen där samtliga personskadekostnader i samband med trafikolyckor förs över till trafikförsäkringen. Slutligen föreslås att sjukförsäkringen skall</w:t>
      </w:r>
      <w:r w:rsidRPr="00C9680B">
        <w:t xml:space="preserve"> innehålla två karensdagar med ett högriskskydd på 10 dagar per år.</w:t>
      </w:r>
    </w:p>
    <w:p w:rsidR="001C7BF9" w:rsidRPr="00C9680B" w:rsidRDefault="001C7BF9">
      <w:pPr>
        <w:pStyle w:val="Normaltindrag"/>
      </w:pPr>
      <w:r w:rsidRPr="00C9680B">
        <w:rPr>
          <w:i/>
        </w:rPr>
        <w:t>Centerpartiet</w:t>
      </w:r>
      <w:r w:rsidRPr="00C9680B">
        <w:t xml:space="preserve"> anser i motion </w:t>
      </w:r>
      <w:r w:rsidRPr="00C9680B">
        <w:rPr>
          <w:i/>
        </w:rPr>
        <w:t>Fi210</w:t>
      </w:r>
      <w:r w:rsidRPr="00C9680B">
        <w:t xml:space="preserve"> att det bör göras en massiv satsning på rehabilitering. Motionärerna presenterar ett paket med rehabiliteringsinsatser som bl.a. består av ett ökat inflytande för den enskilde, möjlighet att växla sjukpenning mot rehabiliteringsersättning och införande av en vård- och hjälpmedelsgaranti. Vidare vill motionärerna utveckla möjligheterna för en aktiv ersättning i stället för fö</w:t>
      </w:r>
      <w:r w:rsidRPr="00C9680B">
        <w:t>r</w:t>
      </w:r>
      <w:r w:rsidRPr="00C9680B">
        <w:t>tidspensioner.</w:t>
      </w:r>
    </w:p>
    <w:p w:rsidR="001C7BF9" w:rsidRPr="00C9680B" w:rsidRDefault="001C7BF9">
      <w:pPr>
        <w:pStyle w:val="Normaltindrag"/>
      </w:pPr>
      <w:r w:rsidRPr="00C9680B">
        <w:t xml:space="preserve">Enligt </w:t>
      </w:r>
      <w:r w:rsidRPr="00C9680B">
        <w:rPr>
          <w:i/>
        </w:rPr>
        <w:t>Folkpartiet liberalernas motion Fi211</w:t>
      </w:r>
      <w:r w:rsidRPr="00C9680B">
        <w:t xml:space="preserve"> håller utgifterna inom sju</w:t>
      </w:r>
      <w:r w:rsidRPr="00C9680B">
        <w:t>k</w:t>
      </w:r>
      <w:r w:rsidRPr="00C9680B">
        <w:t>försäkringen på att glida regeringen ur händerna. Motionärerna anser därför att aktiva åtgärder såsom FINSAM-modellen måste sättas in så att den stiga</w:t>
      </w:r>
      <w:r w:rsidRPr="00C9680B">
        <w:t>n</w:t>
      </w:r>
      <w:r w:rsidRPr="00C9680B">
        <w:t>de frånvaron kan hejdas. Vidare föreslås att närståendepenningen förbättras med 50 miljoner kronor och att de allmänna försäkringskassorna ges ökade resurser för bl.a. ett intensifierat rehabiliteringsarbete.</w:t>
      </w:r>
    </w:p>
    <w:p w:rsidR="001C7BF9" w:rsidRPr="00C9680B" w:rsidRDefault="001C7BF9">
      <w:pPr>
        <w:pStyle w:val="Rubrik4"/>
        <w:rPr>
          <w:noProof w:val="0"/>
        </w:rPr>
      </w:pPr>
      <w:bookmarkStart w:id="491" w:name="_Toc498763613"/>
      <w:bookmarkStart w:id="492" w:name="_Toc498910782"/>
      <w:r w:rsidRPr="00C9680B">
        <w:rPr>
          <w:noProof w:val="0"/>
        </w:rPr>
        <w:t>Socialförsäkringsutskottets yttrande</w:t>
      </w:r>
      <w:bookmarkEnd w:id="491"/>
      <w:bookmarkEnd w:id="492"/>
    </w:p>
    <w:p w:rsidR="001C7BF9" w:rsidRPr="00C9680B" w:rsidRDefault="001C7BF9">
      <w:r w:rsidRPr="00C9680B">
        <w:t>Utskottet konstaterar i sitt yttrande (SfU1y) att regeringen i förslaget till u</w:t>
      </w:r>
      <w:r w:rsidRPr="00C9680B">
        <w:t>t</w:t>
      </w:r>
      <w:r w:rsidRPr="00C9680B">
        <w:t>giftsram för budgetåret 2001 har beaktat ökningen av sjukfrånvaron. Vidare konstaterar utskottet att det för närvarande inte finns något som tyder på att utgifterna kommer att minska under de närmaste åren. Utskottet har tidigare uttalat att kostnadsutvecklingen inom sjukförsäkringen inger stark oro. De bakomliggande orsakerna måste analyseras ingående så att utvecklingen på längre sikt kan bedömas och att man därmed så långt möjligt undviker oföru</w:t>
      </w:r>
      <w:r w:rsidRPr="00C9680B">
        <w:t>t</w:t>
      </w:r>
      <w:r w:rsidRPr="00C9680B">
        <w:t xml:space="preserve">sedda utgiftsökningar som nödvändiggör snabba ingrepp och </w:t>
      </w:r>
      <w:r w:rsidRPr="00C9680B">
        <w:t>förändringar i ersättningssystemen. Enligt utskottets mening måste åtgärder sättas in för att bryta utvecklingen mot ökad sjukfrånvaro och i förlängningen fler förtidspe</w:t>
      </w:r>
      <w:r w:rsidRPr="00C9680B">
        <w:t>n</w:t>
      </w:r>
      <w:r w:rsidRPr="00C9680B">
        <w:t>sioner. Utskottet välkomnar därför den handlingsplan för att öka hälsan som regeringen aviserat till hösten 2001.</w:t>
      </w:r>
    </w:p>
    <w:p w:rsidR="001C7BF9" w:rsidRPr="00C9680B" w:rsidRDefault="001C7BF9">
      <w:pPr>
        <w:pStyle w:val="Normaltindrag"/>
      </w:pPr>
      <w:r w:rsidRPr="00C9680B">
        <w:t>Utskottet godtar regeringens förslag till utgiftsram för år 2001. Moderata samlingspartiet, Kristdemokraterna, Centerpartiet och Folkpartiet liberalerna biträder i var sin avvikande mening sina respektive partiers förslag till r</w:t>
      </w:r>
      <w:r w:rsidRPr="00C9680B">
        <w:t>amn</w:t>
      </w:r>
      <w:r w:rsidRPr="00C9680B">
        <w:t>i</w:t>
      </w:r>
      <w:r w:rsidRPr="00C9680B">
        <w:t>vå för utgiftsområdet.</w:t>
      </w:r>
    </w:p>
    <w:p w:rsidR="001C7BF9" w:rsidRPr="00C9680B" w:rsidRDefault="001C7BF9">
      <w:pPr>
        <w:pStyle w:val="Rubrik4"/>
        <w:rPr>
          <w:noProof w:val="0"/>
        </w:rPr>
      </w:pPr>
      <w:bookmarkStart w:id="493" w:name="_Toc498763614"/>
      <w:bookmarkStart w:id="494" w:name="_Toc498910783"/>
      <w:r w:rsidRPr="00C9680B">
        <w:rPr>
          <w:noProof w:val="0"/>
        </w:rPr>
        <w:t>Finansutskottets ställningstagande</w:t>
      </w:r>
      <w:bookmarkEnd w:id="493"/>
      <w:bookmarkEnd w:id="494"/>
      <w:r w:rsidRPr="00C9680B">
        <w:rPr>
          <w:noProof w:val="0"/>
        </w:rPr>
        <w:t xml:space="preserve"> </w:t>
      </w:r>
    </w:p>
    <w:p w:rsidR="001C7BF9" w:rsidRPr="00C9680B" w:rsidRDefault="001C7BF9">
      <w:r w:rsidRPr="00C9680B">
        <w:t>Finansutskottet har tidigare i betänkandet i avsnitten 2.4.3 och 2.6 redovisat sin bedömning av fördelningen av utgifterna på utgiftsområden för budgetåret 2001 och därvid tillstyrkt regeringens förslag till ramar för utgiftsområdena. Socialförsäkringsutskottet har för sin del godtagit den föreslagna ramen för utgiftsområde 10.</w:t>
      </w:r>
    </w:p>
    <w:p w:rsidR="001C7BF9" w:rsidRPr="00C9680B" w:rsidRDefault="001C7BF9">
      <w:pPr>
        <w:pStyle w:val="Normaltindrag"/>
      </w:pPr>
      <w:r w:rsidRPr="00C9680B">
        <w:t>Finansutskottet tillstyrker således propositionens förslag till ramnivå för utgiftsområde 10 och föreslår att utgiftsramen för år 2001 fastställs till 101 950 miljoner kronor. Motionernas förslag till alternativa ramar avstyrks.</w:t>
      </w:r>
    </w:p>
    <w:p w:rsidR="001C7BF9" w:rsidRPr="00C9680B" w:rsidRDefault="001C7BF9">
      <w:pPr>
        <w:pStyle w:val="Rubrik3"/>
        <w:rPr>
          <w:noProof w:val="0"/>
        </w:rPr>
      </w:pPr>
      <w:bookmarkStart w:id="495" w:name="_Toc498157129"/>
      <w:bookmarkStart w:id="496" w:name="_Toc498910784"/>
      <w:r w:rsidRPr="00C9680B">
        <w:rPr>
          <w:noProof w:val="0"/>
        </w:rPr>
        <w:t>4.1.11 Utgiftsområde 11 Ekonomisk trygghet vid ålderdom</w:t>
      </w:r>
      <w:bookmarkEnd w:id="495"/>
      <w:bookmarkEnd w:id="496"/>
    </w:p>
    <w:p w:rsidR="001C7BF9" w:rsidRPr="00C9680B" w:rsidRDefault="001C7BF9">
      <w:r w:rsidRPr="00C9680B">
        <w:t>Utgiftsområdet omfattar folkpension och pensionstillskott i form av ålders</w:t>
      </w:r>
      <w:r w:rsidRPr="00C9680B">
        <w:softHyphen/>
        <w:t>pension, efterlevandepension till vuxna, bostadstillägg för pensionärer (BTB) samt särskilt pensionstillägg.</w:t>
      </w:r>
    </w:p>
    <w:p w:rsidR="001C7BF9" w:rsidRPr="00C9680B" w:rsidRDefault="001C7BF9">
      <w:pPr>
        <w:pStyle w:val="Normaltindrag"/>
      </w:pPr>
      <w:r w:rsidRPr="00C9680B">
        <w:t>De totala utgifterna för utgiftsområdet år 2000 beräknas uppgå till 33 615 miljoner kronor.</w:t>
      </w:r>
    </w:p>
    <w:p w:rsidR="001C7BF9" w:rsidRPr="00C9680B" w:rsidRDefault="001C7BF9">
      <w:pPr>
        <w:pStyle w:val="Rubrik4"/>
        <w:rPr>
          <w:noProof w:val="0"/>
        </w:rPr>
      </w:pPr>
      <w:bookmarkStart w:id="497" w:name="_Toc498763616"/>
      <w:bookmarkStart w:id="498" w:name="_Toc498910785"/>
      <w:r w:rsidRPr="00C9680B">
        <w:rPr>
          <w:noProof w:val="0"/>
        </w:rPr>
        <w:t>Budgetpropositionen</w:t>
      </w:r>
      <w:bookmarkEnd w:id="497"/>
      <w:bookmarkEnd w:id="498"/>
    </w:p>
    <w:p w:rsidR="001C7BF9" w:rsidRPr="00C9680B" w:rsidRDefault="001C7BF9">
      <w:r w:rsidRPr="00C9680B">
        <w:t>I budgetpropositionen (avsnitt 7.4) uppges att andelen pensionärer med ATP beräknas öka de närmaste åren och att färre pensionärer därmed blir berätt</w:t>
      </w:r>
      <w:r w:rsidRPr="00C9680B">
        <w:t>i</w:t>
      </w:r>
      <w:r w:rsidRPr="00C9680B">
        <w:t>gade till pensionstillskott. Denna tendens till minskade utgifter uppvägs dock genom att regeringen föreslår förbättringar för pensionärer med de lägsta inkomsterna. Utöver reformerna som aviserades i 2000 års ekonomiska vå</w:t>
      </w:r>
      <w:r w:rsidRPr="00C9680B">
        <w:t>r</w:t>
      </w:r>
      <w:r w:rsidRPr="00C9680B">
        <w:t>proposition föreslår regeringen vidare att ytterligare 30 miljoner kronor til</w:t>
      </w:r>
      <w:r w:rsidRPr="00C9680B">
        <w:t>l</w:t>
      </w:r>
      <w:r w:rsidRPr="00C9680B">
        <w:t>skjuts det särski</w:t>
      </w:r>
      <w:r w:rsidRPr="00C9680B">
        <w:t>l</w:t>
      </w:r>
      <w:r w:rsidRPr="00C9680B">
        <w:t>da bostadstillägget till pensionärer (SBTP).</w:t>
      </w:r>
    </w:p>
    <w:p w:rsidR="001C7BF9" w:rsidRPr="00C9680B" w:rsidRDefault="001C7BF9">
      <w:pPr>
        <w:pStyle w:val="Normaltindrag"/>
      </w:pPr>
      <w:r w:rsidRPr="00C9680B">
        <w:t>Jämfört med de ramar för utgiftsområdet som angavs i 2000 års ekonomi</w:t>
      </w:r>
      <w:r w:rsidRPr="00C9680B">
        <w:t>s</w:t>
      </w:r>
      <w:r w:rsidRPr="00C9680B">
        <w:t>ka vårproposition ökar utgiftsområdets omfattning med ca 17,5 miljarder kronor 2003. Det finns i huvudsak två orsaker till detta. För det första förs utgifterna för den bosättningsbaserade delen av folkpensionen (7,5 miljarder kronor) från ålderspensionssystemet vid sidan av statsbudgeten till utgiftso</w:t>
      </w:r>
      <w:r w:rsidRPr="00C9680B">
        <w:t>m</w:t>
      </w:r>
      <w:r w:rsidRPr="00C9680B">
        <w:t>råde 11 Ekonomisk trygghet vid ålderdom. För det andra ersätts 2003 fol</w:t>
      </w:r>
      <w:r w:rsidRPr="00C9680B">
        <w:t>k</w:t>
      </w:r>
      <w:r w:rsidRPr="00C9680B">
        <w:t>pension och pensionstillskott av garantipensionen enligt de reformerade å</w:t>
      </w:r>
      <w:r w:rsidRPr="00C9680B">
        <w:t>l</w:t>
      </w:r>
      <w:r w:rsidRPr="00C9680B">
        <w:t>derspensionsreglerna. Den nya garantipensionen är till skilln</w:t>
      </w:r>
      <w:r w:rsidRPr="00C9680B">
        <w:t>ad från folkpe</w:t>
      </w:r>
      <w:r w:rsidRPr="00C9680B">
        <w:t>n</w:t>
      </w:r>
      <w:r w:rsidRPr="00C9680B">
        <w:t>sionen och pensionstillskottet en fullt beskattad förmån, vilket innebär att utgifterna ökar brutto med ca 10,5 miljarder kronor.</w:t>
      </w:r>
    </w:p>
    <w:p w:rsidR="001C7BF9" w:rsidRPr="00C9680B" w:rsidRDefault="001C7BF9">
      <w:pPr>
        <w:pStyle w:val="Normaltindrag"/>
      </w:pPr>
      <w:r w:rsidRPr="00C9680B">
        <w:t>I följande tablå redovisas budgetpropositionens och motionernas förslag till utgiftsramar.</w:t>
      </w:r>
    </w:p>
    <w:p w:rsidR="001C7BF9" w:rsidRPr="00C9680B" w:rsidRDefault="001C7BF9">
      <w:pPr>
        <w:pStyle w:val="FiU1tabellrubrik2000"/>
        <w:keepLines/>
        <w:outlineLvl w:val="0"/>
      </w:pPr>
      <w:r w:rsidRPr="00C9680B">
        <w:t>Förslag till ram för utgiftsområde 11 Ekonomisk trygghet vid å</w:t>
      </w:r>
      <w:r w:rsidRPr="00C9680B">
        <w:t>l</w:t>
      </w:r>
      <w:r w:rsidRPr="00C9680B">
        <w:t>derdom</w:t>
      </w:r>
    </w:p>
    <w:p w:rsidR="001C7BF9" w:rsidRPr="00C9680B" w:rsidRDefault="001C7BF9">
      <w:pPr>
        <w:pStyle w:val="Tabell"/>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33 780</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+445</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+1 806</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+341</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+835</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33 150</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+555</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+1 820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+359</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+840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50 904</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+565</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+900</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+1 000</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+850</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ubrik4"/>
        <w:rPr>
          <w:noProof w:val="0"/>
        </w:rPr>
      </w:pPr>
      <w:bookmarkStart w:id="499" w:name="_Toc498763617"/>
      <w:bookmarkStart w:id="500" w:name="_Toc498910786"/>
      <w:r w:rsidRPr="00C9680B">
        <w:rPr>
          <w:noProof w:val="0"/>
        </w:rPr>
        <w:t>Motionerna</w:t>
      </w:r>
      <w:bookmarkEnd w:id="499"/>
      <w:bookmarkEnd w:id="500"/>
    </w:p>
    <w:p w:rsidR="001C7BF9" w:rsidRPr="00C9680B" w:rsidRDefault="001C7BF9">
      <w:r w:rsidRPr="00C9680B">
        <w:rPr>
          <w:i/>
        </w:rPr>
        <w:t>Moderata samlingspartiet</w:t>
      </w:r>
      <w:r w:rsidRPr="00C9680B">
        <w:t xml:space="preserve"> föreslår i </w:t>
      </w:r>
      <w:r w:rsidRPr="00C9680B">
        <w:rPr>
          <w:i/>
        </w:rPr>
        <w:t>motion Fi208</w:t>
      </w:r>
      <w:r w:rsidRPr="00C9680B">
        <w:t xml:space="preserve"> att de pensionärer som 1993–1998 fick sin pension sänkt skall kompenseras genom att folkpensi</w:t>
      </w:r>
      <w:r w:rsidRPr="00C9680B">
        <w:t>o</w:t>
      </w:r>
      <w:r w:rsidRPr="00C9680B">
        <w:t>nerna under denna period retroaktivt beräknas på två extra procent  av basb</w:t>
      </w:r>
      <w:r w:rsidRPr="00C9680B">
        <w:t>e</w:t>
      </w:r>
      <w:r w:rsidRPr="00C9680B">
        <w:t>loppet under den kommande sexårsperioden 2001–2006. Motionärerna vill också höja den ”skäliga levnadsnivån” i det särskilda bostadstillägget för pensionärer (SBTB) med 12 % till 135,4 % av prisbasbeloppet för ensamst</w:t>
      </w:r>
      <w:r w:rsidRPr="00C9680B">
        <w:t>å</w:t>
      </w:r>
      <w:r w:rsidRPr="00C9680B">
        <w:t>ende och 114,4 % för gifta.</w:t>
      </w:r>
    </w:p>
    <w:p w:rsidR="001C7BF9" w:rsidRPr="00C9680B" w:rsidRDefault="001C7BF9">
      <w:pPr>
        <w:pStyle w:val="Normaltindrag"/>
      </w:pPr>
      <w:r w:rsidRPr="00C9680B">
        <w:rPr>
          <w:i/>
        </w:rPr>
        <w:t>Kristdemokraterna</w:t>
      </w:r>
      <w:r w:rsidRPr="00C9680B">
        <w:t xml:space="preserve"> anser i </w:t>
      </w:r>
      <w:r w:rsidRPr="00C9680B">
        <w:rPr>
          <w:i/>
        </w:rPr>
        <w:t>motion Fi209</w:t>
      </w:r>
      <w:r w:rsidRPr="00C9680B">
        <w:t xml:space="preserve"> att omställningsperioden i efterl</w:t>
      </w:r>
      <w:r w:rsidRPr="00C9680B">
        <w:t>e</w:t>
      </w:r>
      <w:r w:rsidRPr="00C9680B">
        <w:t>vandepensionen skall återställas till tolv månader i ett steg redan från 2001 och att inkomstprövningen av änkepensionen avskaffas. Motionärerna vill också att fritidsfastighet inte skall ingå i inkomstprövningen för b</w:t>
      </w:r>
      <w:r w:rsidRPr="00C9680B">
        <w:t>o</w:t>
      </w:r>
      <w:r w:rsidRPr="00C9680B">
        <w:t>stadstillägg. För att förbättra för de sämst ställda pensionärerna föreslår m</w:t>
      </w:r>
      <w:r w:rsidRPr="00C9680B">
        <w:t>o</w:t>
      </w:r>
      <w:r w:rsidRPr="00C9680B">
        <w:t xml:space="preserve">tionärerna ett höjt pensionstillskott med 200  kr per månad åren 2001 och 2002. </w:t>
      </w:r>
    </w:p>
    <w:p w:rsidR="001C7BF9" w:rsidRPr="00C9680B" w:rsidRDefault="001C7BF9">
      <w:pPr>
        <w:pStyle w:val="Normaltindrag"/>
      </w:pPr>
      <w:r w:rsidRPr="00C9680B">
        <w:rPr>
          <w:i/>
        </w:rPr>
        <w:t>Centerpartiet</w:t>
      </w:r>
      <w:r w:rsidRPr="00C9680B">
        <w:t xml:space="preserve"> anser i </w:t>
      </w:r>
      <w:r w:rsidRPr="00C9680B">
        <w:rPr>
          <w:i/>
        </w:rPr>
        <w:t>motion Fi210</w:t>
      </w:r>
      <w:r w:rsidRPr="00C9680B">
        <w:t xml:space="preserve"> att ökad trygghet för pensionärer med låga pensioner är angeläget. Motionärerna föreslår därför en höjning med 3 000</w:t>
      </w:r>
      <w:r w:rsidRPr="00C9680B">
        <w:softHyphen/>
      </w:r>
      <w:r w:rsidRPr="00C9680B">
        <w:softHyphen/>
        <w:t xml:space="preserve"> kr om året för pensionärer med låg eller ingen ATP. Centerpartiet för</w:t>
      </w:r>
      <w:r w:rsidRPr="00C9680B">
        <w:t>e</w:t>
      </w:r>
      <w:r w:rsidRPr="00C9680B">
        <w:t>språkar en ökning av ramen för utgiftsområdet med 341 miljoner kronor år 2001, med 359 miljoner kronor år 2002 och med 1 000 miljoner kronor år 2003.</w:t>
      </w:r>
    </w:p>
    <w:p w:rsidR="001C7BF9" w:rsidRPr="00C9680B" w:rsidRDefault="001C7BF9">
      <w:pPr>
        <w:pStyle w:val="Normaltindrag"/>
      </w:pPr>
      <w:r w:rsidRPr="00C9680B">
        <w:rPr>
          <w:i/>
        </w:rPr>
        <w:t>Folkpartiet liberalerna</w:t>
      </w:r>
      <w:r w:rsidRPr="00C9680B">
        <w:t xml:space="preserve"> förespråkar i </w:t>
      </w:r>
      <w:r w:rsidRPr="00C9680B">
        <w:rPr>
          <w:i/>
        </w:rPr>
        <w:t>motion Fi211</w:t>
      </w:r>
      <w:r w:rsidRPr="00C9680B">
        <w:t xml:space="preserve"> att änkepensionerna återställs till den tidigare nivån. Den tid som omställningspensionen kan utgå utsträcks till att gälla tolv månader. Vidare anser motionärerna att innehav av fritidshus inte skall påverka b</w:t>
      </w:r>
      <w:r w:rsidRPr="00C9680B">
        <w:t>o</w:t>
      </w:r>
      <w:r w:rsidRPr="00C9680B">
        <w:t>stadstillägg för pensionärer.</w:t>
      </w:r>
    </w:p>
    <w:p w:rsidR="001C7BF9" w:rsidRPr="00C9680B" w:rsidRDefault="001C7BF9">
      <w:pPr>
        <w:pStyle w:val="Rubrik4"/>
        <w:rPr>
          <w:noProof w:val="0"/>
        </w:rPr>
      </w:pPr>
      <w:bookmarkStart w:id="501" w:name="_Toc498763618"/>
      <w:bookmarkStart w:id="502" w:name="_Toc498910787"/>
      <w:r w:rsidRPr="00C9680B">
        <w:rPr>
          <w:noProof w:val="0"/>
        </w:rPr>
        <w:t>Socialförsäkringsutskottets yttrande</w:t>
      </w:r>
      <w:bookmarkEnd w:id="501"/>
      <w:bookmarkEnd w:id="502"/>
    </w:p>
    <w:p w:rsidR="001C7BF9" w:rsidRPr="00C9680B" w:rsidRDefault="001C7BF9">
      <w:r w:rsidRPr="00C9680B">
        <w:t>Socialförsäkringsutskottet anför i sitt yttrande (SfU1y) att man inte har något att erinra mot regeringens beräkningar. Utskottet tillstyrker den av regeringen föreslagna utgiftsramen för år 2001 samt avstyrker denna del av förslagen i moti</w:t>
      </w:r>
      <w:r w:rsidRPr="00C9680B">
        <w:t>o</w:t>
      </w:r>
      <w:r w:rsidRPr="00C9680B">
        <w:t>nerna.</w:t>
      </w:r>
    </w:p>
    <w:p w:rsidR="001C7BF9" w:rsidRPr="00C9680B" w:rsidRDefault="001C7BF9">
      <w:pPr>
        <w:pStyle w:val="Normaltindrag"/>
      </w:pPr>
      <w:r w:rsidRPr="00C9680B">
        <w:t>Moderata samlingspartiet, Kristdemokraterna, Centerpartiet och Folkpart</w:t>
      </w:r>
      <w:r w:rsidRPr="00C9680B">
        <w:t>i</w:t>
      </w:r>
      <w:r w:rsidRPr="00C9680B">
        <w:t xml:space="preserve">et liberalerna biträder i var sin avvikande mening sina respektive partiers förslag till ramnivå för utgiftsområdet. </w:t>
      </w:r>
    </w:p>
    <w:p w:rsidR="001C7BF9" w:rsidRPr="00C9680B" w:rsidRDefault="001C7BF9">
      <w:pPr>
        <w:pStyle w:val="Rubrik4"/>
        <w:rPr>
          <w:noProof w:val="0"/>
        </w:rPr>
      </w:pPr>
      <w:bookmarkStart w:id="503" w:name="_Toc498763619"/>
      <w:bookmarkStart w:id="504" w:name="_Toc498910788"/>
      <w:r w:rsidRPr="00C9680B">
        <w:rPr>
          <w:noProof w:val="0"/>
        </w:rPr>
        <w:t>Finansutskottets ställningstagande</w:t>
      </w:r>
      <w:bookmarkEnd w:id="503"/>
      <w:bookmarkEnd w:id="504"/>
    </w:p>
    <w:p w:rsidR="001C7BF9" w:rsidRPr="00C9680B" w:rsidRDefault="001C7BF9">
      <w:r w:rsidRPr="00C9680B">
        <w:t>Finansutskottet har tidigare i betänkandet i avsnitten 2.4.3 och 2.6 redovisat sin bedömning av fördelningen av utgifterna på utgiftsområden för år 2001 och därvid tillstyrkt regeringens förslag till ramar för utgiftsområdena. Socia</w:t>
      </w:r>
      <w:r w:rsidRPr="00C9680B">
        <w:t>l</w:t>
      </w:r>
      <w:r w:rsidRPr="00C9680B">
        <w:t>försäkringsutskottet har för sin del inte haft något att erinra mot den föresla</w:t>
      </w:r>
      <w:r w:rsidRPr="00C9680B">
        <w:t>g</w:t>
      </w:r>
      <w:r w:rsidRPr="00C9680B">
        <w:t>na ramen för utgiftsområde 11.</w:t>
      </w:r>
    </w:p>
    <w:p w:rsidR="001C7BF9" w:rsidRPr="00C9680B" w:rsidRDefault="001C7BF9">
      <w:pPr>
        <w:pStyle w:val="Normaltindrag"/>
      </w:pPr>
      <w:r w:rsidRPr="00C9680B">
        <w:t>Finansutskottet tillstyrker således propositionens förslag till ramnivå för utgiftsområde 11 och föreslår att utgiftsramen för år 2001 fastställs till 33 780 miljoner kronor. Motionernas förslag till alternativa ramar avstyrks.</w:t>
      </w:r>
    </w:p>
    <w:p w:rsidR="001C7BF9" w:rsidRPr="00C9680B" w:rsidRDefault="001C7BF9">
      <w:pPr>
        <w:pStyle w:val="Rubrik3"/>
        <w:rPr>
          <w:noProof w:val="0"/>
        </w:rPr>
      </w:pPr>
      <w:bookmarkStart w:id="505" w:name="_Toc498157130"/>
      <w:bookmarkStart w:id="506" w:name="_Toc498910789"/>
      <w:r w:rsidRPr="00C9680B">
        <w:rPr>
          <w:noProof w:val="0"/>
        </w:rPr>
        <w:t>4.1.12 Utgiftsområde 12 Ekonomisk trygghet för familjer och barn</w:t>
      </w:r>
      <w:bookmarkEnd w:id="505"/>
      <w:bookmarkEnd w:id="506"/>
    </w:p>
    <w:p w:rsidR="001C7BF9" w:rsidRPr="00C9680B" w:rsidRDefault="001C7BF9">
      <w:r w:rsidRPr="00C9680B">
        <w:t>Utgiftsområdet omfattar statens ekonomiska stöd till barnfamiljer (förutom bostadsbidraget som återfinns under utgiftsområde 18 och studiebidragen som återfinns under utgiftsområde 15). Stödet utgörs av allmänna barnbidrag, föräldraförsäkring  inklusive havandeskapspenning, underhållsstöd, bidrag till kostnader för internationella adoptioner, folkpension och ATP i form av barnpension samt vårdb</w:t>
      </w:r>
      <w:r w:rsidRPr="00C9680B">
        <w:t>i</w:t>
      </w:r>
      <w:r w:rsidRPr="00C9680B">
        <w:t>drag för familjer med handikappade barn.</w:t>
      </w:r>
    </w:p>
    <w:p w:rsidR="001C7BF9" w:rsidRPr="00C9680B" w:rsidRDefault="001C7BF9">
      <w:pPr>
        <w:pStyle w:val="Normaltindrag"/>
      </w:pPr>
      <w:r w:rsidRPr="00C9680B">
        <w:t>För år 2000 beräknas de totala utgifterna för utgiftsområdet uppgå till 44 569 mi</w:t>
      </w:r>
      <w:r w:rsidRPr="00C9680B">
        <w:t>l</w:t>
      </w:r>
      <w:r w:rsidRPr="00C9680B">
        <w:t>joner kronor.</w:t>
      </w:r>
    </w:p>
    <w:p w:rsidR="001C7BF9" w:rsidRPr="00C9680B" w:rsidRDefault="001C7BF9">
      <w:pPr>
        <w:pStyle w:val="Rubrik4"/>
        <w:rPr>
          <w:noProof w:val="0"/>
        </w:rPr>
      </w:pPr>
      <w:bookmarkStart w:id="507" w:name="_Toc498763621"/>
      <w:bookmarkStart w:id="508" w:name="_Toc498910790"/>
      <w:r w:rsidRPr="00C9680B">
        <w:rPr>
          <w:noProof w:val="0"/>
        </w:rPr>
        <w:t>Budgetpropositionen</w:t>
      </w:r>
      <w:bookmarkEnd w:id="507"/>
      <w:bookmarkEnd w:id="508"/>
    </w:p>
    <w:p w:rsidR="001C7BF9" w:rsidRPr="00C9680B" w:rsidRDefault="001C7BF9">
      <w:r w:rsidRPr="00C9680B">
        <w:t>I budgetpropositionen (avsnitt 7.4) föreslår regeringen att barnbidraget höjs med 100 kr per barn och månad den 1 januari 2001. Flerbarnstillägget höjs i motsvarande mån. Regeringen föreslår också att adoptionskostnadsbidraget höjs med 16 000 kr från den 1 januari 2001.Vidare föreslås att rätten till u</w:t>
      </w:r>
      <w:r w:rsidRPr="00C9680B">
        <w:t>n</w:t>
      </w:r>
      <w:r w:rsidRPr="00C9680B">
        <w:t>derhållsstöd inträder först månaden efter den månad föräldrarna flyttat isär. Utbetalningen flyttas därmed fram en månad.</w:t>
      </w:r>
    </w:p>
    <w:p w:rsidR="001C7BF9" w:rsidRPr="00C9680B" w:rsidRDefault="001C7BF9">
      <w:pPr>
        <w:pStyle w:val="Normaltindrag"/>
      </w:pPr>
      <w:r w:rsidRPr="00C9680B">
        <w:t>Förändringen av utgiftsområdesramen jämfört med bedömningen i 2000 års ekonomiska vårproposition förklaras i huvudsak av att barnafödandet beräknas bli lägre. I förhållande till vad som angavs i den ekonomiska vå</w:t>
      </w:r>
      <w:r w:rsidRPr="00C9680B">
        <w:t>r</w:t>
      </w:r>
      <w:r w:rsidRPr="00C9680B">
        <w:t>propositionen beräknas ramen minska med 425 miljoner kronor.</w:t>
      </w:r>
    </w:p>
    <w:p w:rsidR="001C7BF9" w:rsidRPr="00C9680B" w:rsidRDefault="001C7BF9">
      <w:pPr>
        <w:pStyle w:val="Normaltindrag"/>
      </w:pPr>
      <w:r w:rsidRPr="00C9680B">
        <w:t>Propositionens och oppositionspartiernas förslag till preliminär ramnivå för u</w:t>
      </w:r>
      <w:r w:rsidRPr="00C9680B">
        <w:t>t</w:t>
      </w:r>
      <w:r w:rsidRPr="00C9680B">
        <w:t>giftsområdet redovisas i efterföljande tabell.</w:t>
      </w:r>
    </w:p>
    <w:p w:rsidR="001C7BF9" w:rsidRPr="00C9680B" w:rsidRDefault="001C7BF9">
      <w:pPr>
        <w:pStyle w:val="FiU1tabellrubrik2000"/>
        <w:keepLines/>
        <w:outlineLvl w:val="0"/>
      </w:pPr>
      <w:r w:rsidRPr="00C9680B">
        <w:t>Förslag till ram för utgiftsområde 12 Ekonomisk trygghet för familjer och barn</w:t>
      </w:r>
    </w:p>
    <w:p w:rsidR="001C7BF9" w:rsidRPr="00C9680B" w:rsidRDefault="001C7BF9">
      <w:pPr>
        <w:pStyle w:val="Tabell"/>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47 747</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-3 626</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-845</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+570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-2 300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48 930</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-1 596</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+846</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+3 050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+75</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50 756</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-1 776</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+746</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+3 040</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+50</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ubrik4"/>
        <w:rPr>
          <w:noProof w:val="0"/>
        </w:rPr>
      </w:pPr>
      <w:bookmarkStart w:id="509" w:name="_Toc498763622"/>
      <w:bookmarkStart w:id="510" w:name="_Toc498910791"/>
      <w:r w:rsidRPr="00C9680B">
        <w:rPr>
          <w:noProof w:val="0"/>
        </w:rPr>
        <w:t>Motionerna</w:t>
      </w:r>
      <w:bookmarkEnd w:id="509"/>
      <w:bookmarkEnd w:id="510"/>
    </w:p>
    <w:p w:rsidR="001C7BF9" w:rsidRPr="00C9680B" w:rsidRDefault="001C7BF9">
      <w:r w:rsidRPr="00C9680B">
        <w:rPr>
          <w:i/>
        </w:rPr>
        <w:t>Moderata samlingspartiet</w:t>
      </w:r>
      <w:r w:rsidRPr="00C9680B">
        <w:t xml:space="preserve"> föreslår i </w:t>
      </w:r>
      <w:r w:rsidRPr="00C9680B">
        <w:rPr>
          <w:i/>
        </w:rPr>
        <w:t>motion Fi208</w:t>
      </w:r>
      <w:r w:rsidRPr="00C9680B">
        <w:t xml:space="preserve"> att föräldrar skall få ett extra grundavdrag per barn om 10 000 kr i den kommunala beskattningen. Motionärerna avstyrker därför regeringens förslag att höja barnbidraget med ytterligare 100 kr från den 1 januari 2001. I motionen föreslås vidare att ett särskilt barnomsorgskonto inrättas för barn i förskoleåldern fr.o.m. den 1 januari 2002 och att en avdragsrätt på 50 000 kr per år i den kommunala beskattningen införs för styrkta barnomsorgskostnader. Regeringens förslag att införa e</w:t>
      </w:r>
      <w:r w:rsidRPr="00C9680B">
        <w:t>n extra månad i föräldraförsäkringen och att återinföra kontaktd</w:t>
      </w:r>
      <w:r w:rsidRPr="00C9680B">
        <w:t>a</w:t>
      </w:r>
      <w:r w:rsidRPr="00C9680B">
        <w:t>garna i skolan a</w:t>
      </w:r>
      <w:r w:rsidRPr="00C9680B">
        <w:t>v</w:t>
      </w:r>
      <w:r w:rsidRPr="00C9680B">
        <w:t>styrks.</w:t>
      </w:r>
    </w:p>
    <w:p w:rsidR="001C7BF9" w:rsidRPr="00C9680B" w:rsidRDefault="001C7BF9">
      <w:pPr>
        <w:pStyle w:val="Normaltindrag"/>
      </w:pPr>
      <w:r w:rsidRPr="00C9680B">
        <w:rPr>
          <w:i/>
        </w:rPr>
        <w:t>Kristdemokraterna</w:t>
      </w:r>
      <w:r w:rsidRPr="00C9680B">
        <w:t xml:space="preserve"> hävdar i </w:t>
      </w:r>
      <w:r w:rsidRPr="00C9680B">
        <w:rPr>
          <w:i/>
        </w:rPr>
        <w:t>motion Fi209</w:t>
      </w:r>
      <w:r w:rsidRPr="00C9680B">
        <w:t xml:space="preserve"> familjens rätt att avgöra bar</w:t>
      </w:r>
      <w:r w:rsidRPr="00C9680B">
        <w:t>n</w:t>
      </w:r>
      <w:r w:rsidRPr="00C9680B">
        <w:t>omsorgsform inklusive egen omsorg i hemmet. Motionärerna föreslår att garantinivån i föräldraförsäkringen höjs från dagens 60 kr per dag till 150 kr per dag. Vidare föreslår motionärerna ett nytt beräkningssätt för SGI, vilket leder till att kostnaderna för föräldr</w:t>
      </w:r>
      <w:r w:rsidRPr="00C9680B">
        <w:t>a</w:t>
      </w:r>
      <w:r w:rsidRPr="00C9680B">
        <w:t>försäkringen kommer att minska.</w:t>
      </w:r>
    </w:p>
    <w:p w:rsidR="001C7BF9" w:rsidRPr="00C9680B" w:rsidRDefault="001C7BF9">
      <w:pPr>
        <w:pStyle w:val="Normaltindrag"/>
      </w:pPr>
      <w:r w:rsidRPr="00C9680B">
        <w:rPr>
          <w:i/>
        </w:rPr>
        <w:t>Centerpartiet</w:t>
      </w:r>
      <w:r w:rsidRPr="00C9680B">
        <w:t xml:space="preserve"> vill i </w:t>
      </w:r>
      <w:r w:rsidRPr="00C9680B">
        <w:rPr>
          <w:i/>
        </w:rPr>
        <w:t>motion Fi210</w:t>
      </w:r>
      <w:r w:rsidRPr="00C9680B">
        <w:t xml:space="preserve"> förnya familjepolitiken och göra det f</w:t>
      </w:r>
      <w:r w:rsidRPr="00C9680B">
        <w:t>a</w:t>
      </w:r>
      <w:r w:rsidRPr="00C9680B">
        <w:t>miljepolitiska stödet bättre anpassat efter olika familjers livsvillkor, förhå</w:t>
      </w:r>
      <w:r w:rsidRPr="00C9680B">
        <w:t>l</w:t>
      </w:r>
      <w:r w:rsidRPr="00C9680B">
        <w:t>landen och önskemål. Motionärerna föreslår bl.a. en höjning av den lägsta nivån i föräldrapenningen från 60 kr per dag till 200 kr per dag och rätt till avdrag för barnomsorgskostnader och för resor till och från barnomsorgen. Regeringens förslag om maxtaxa på dagis avstyrks.</w:t>
      </w:r>
    </w:p>
    <w:p w:rsidR="001C7BF9" w:rsidRPr="00C9680B" w:rsidRDefault="001C7BF9">
      <w:pPr>
        <w:pStyle w:val="Normaltindrag"/>
      </w:pPr>
      <w:r w:rsidRPr="00C9680B">
        <w:rPr>
          <w:i/>
        </w:rPr>
        <w:t>Folkpartiet liberalerna</w:t>
      </w:r>
      <w:r w:rsidRPr="00C9680B">
        <w:t xml:space="preserve"> föreslår i </w:t>
      </w:r>
      <w:r w:rsidRPr="00C9680B">
        <w:rPr>
          <w:i/>
        </w:rPr>
        <w:t>motion Fi211</w:t>
      </w:r>
      <w:r w:rsidRPr="00C9680B">
        <w:t xml:space="preserve"> att den barnbidragshöjning som regeringen avser ske 2001 ersätts med en motsvarande skattesänkning samtidigt som beloppet höjs ytterligare. Motionärerna föreslår också att e</w:t>
      </w:r>
      <w:r w:rsidRPr="00C9680B">
        <w:t>r</w:t>
      </w:r>
      <w:r w:rsidRPr="00C9680B">
        <w:t>sättningen i pappa/mammamånaden höjs till 90 % för att stimulera en jämnare fördelning av utnyttjandet av föräldraförsäkringen mellan föräldrarna. Vidare anser motionärerna att utgifterna inom underhållsstödet kan hållas tillbaka, bl.a. genom markering av det gemensamma föräldraansvaret.</w:t>
      </w:r>
    </w:p>
    <w:p w:rsidR="001C7BF9" w:rsidRPr="00C9680B" w:rsidRDefault="001C7BF9">
      <w:pPr>
        <w:pStyle w:val="Rubrik4"/>
        <w:rPr>
          <w:noProof w:val="0"/>
        </w:rPr>
      </w:pPr>
      <w:bookmarkStart w:id="511" w:name="_Toc498763623"/>
      <w:bookmarkStart w:id="512" w:name="_Toc498910792"/>
      <w:r w:rsidRPr="00C9680B">
        <w:rPr>
          <w:noProof w:val="0"/>
        </w:rPr>
        <w:t>Socialförsäkringsutskott</w:t>
      </w:r>
      <w:r w:rsidRPr="00C9680B">
        <w:rPr>
          <w:noProof w:val="0"/>
        </w:rPr>
        <w:t>ets yttrande</w:t>
      </w:r>
      <w:bookmarkEnd w:id="511"/>
      <w:bookmarkEnd w:id="512"/>
      <w:r w:rsidRPr="00C9680B">
        <w:rPr>
          <w:noProof w:val="0"/>
        </w:rPr>
        <w:t xml:space="preserve"> </w:t>
      </w:r>
    </w:p>
    <w:p w:rsidR="001C7BF9" w:rsidRPr="00C9680B" w:rsidRDefault="001C7BF9">
      <w:r w:rsidRPr="00C9680B">
        <w:t>Socialförsäkringsutskottet tillstyrker i sitt yttrande (SfU1y) regeringens fö</w:t>
      </w:r>
      <w:r w:rsidRPr="00C9680B">
        <w:t>r</w:t>
      </w:r>
      <w:r w:rsidRPr="00C9680B">
        <w:t>slag till utgiftsram för år 2001 och avstyrker motsvarande förslag i motione</w:t>
      </w:r>
      <w:r w:rsidRPr="00C9680B">
        <w:t>r</w:t>
      </w:r>
      <w:r w:rsidRPr="00C9680B">
        <w:t>na.</w:t>
      </w:r>
    </w:p>
    <w:p w:rsidR="001C7BF9" w:rsidRPr="00C9680B" w:rsidRDefault="001C7BF9">
      <w:pPr>
        <w:pStyle w:val="Normaltindrag"/>
      </w:pPr>
      <w:r w:rsidRPr="00C9680B">
        <w:t>Moderata samlingspartiet, Kristdemokraterna, Centerpartiet och Folkpart</w:t>
      </w:r>
      <w:r w:rsidRPr="00C9680B">
        <w:t>i</w:t>
      </w:r>
      <w:r w:rsidRPr="00C9680B">
        <w:t>et liberalerna biträder i var sin avvikande mening sina respektive partiers förslag till ramnivå för utgiftsområdet.</w:t>
      </w:r>
    </w:p>
    <w:p w:rsidR="001C7BF9" w:rsidRPr="00C9680B" w:rsidRDefault="001C7BF9">
      <w:pPr>
        <w:pStyle w:val="Rubrik4"/>
        <w:rPr>
          <w:noProof w:val="0"/>
        </w:rPr>
      </w:pPr>
      <w:bookmarkStart w:id="513" w:name="_Toc498763624"/>
      <w:bookmarkStart w:id="514" w:name="_Toc498910793"/>
      <w:r w:rsidRPr="00C9680B">
        <w:rPr>
          <w:noProof w:val="0"/>
        </w:rPr>
        <w:t>Finansutskottets ställningstagande</w:t>
      </w:r>
      <w:bookmarkEnd w:id="513"/>
      <w:bookmarkEnd w:id="514"/>
    </w:p>
    <w:p w:rsidR="001C7BF9" w:rsidRPr="00C9680B" w:rsidRDefault="001C7BF9">
      <w:r w:rsidRPr="00C9680B">
        <w:t>Finansutskottet har tidigare i betänkandet i avsnitten 2.4.3 och 2.6 redovisat sin bedömning av fördelningen av utgifterna på utgiftsområden för budgetåret 2001 och därvid tillstyrkt regeringens förslag till ramar för utgiftsområdena. Socialförsäkringsutskottet har för sin del tillstyrkt regeringens förslag till ram för utgiftso</w:t>
      </w:r>
      <w:r w:rsidRPr="00C9680B">
        <w:t>m</w:t>
      </w:r>
      <w:r w:rsidRPr="00C9680B">
        <w:t>råde 12.</w:t>
      </w:r>
    </w:p>
    <w:p w:rsidR="001C7BF9" w:rsidRPr="00C9680B" w:rsidRDefault="001C7BF9">
      <w:pPr>
        <w:pStyle w:val="Normaltindrag"/>
      </w:pPr>
      <w:r w:rsidRPr="00C9680B">
        <w:t>Finansutskottet tillstyrker således propositionens förslag till ramnivå år 2001 för utgiftsområde 12 och föreslår att utgiftsramen fastställs till 47 747 miljoner kronor. Motionernas förslag till alternativa ramar avstyrks.</w:t>
      </w:r>
    </w:p>
    <w:p w:rsidR="001C7BF9" w:rsidRPr="00C9680B" w:rsidRDefault="001C7BF9">
      <w:pPr>
        <w:pStyle w:val="Rubrik3"/>
        <w:rPr>
          <w:noProof w:val="0"/>
        </w:rPr>
      </w:pPr>
      <w:bookmarkStart w:id="515" w:name="_Toc498157131"/>
      <w:bookmarkStart w:id="516" w:name="_Toc498910794"/>
      <w:r w:rsidRPr="00C9680B">
        <w:rPr>
          <w:noProof w:val="0"/>
        </w:rPr>
        <w:t>4.1.13 Utgiftsområde13 Arbetsmarknad</w:t>
      </w:r>
      <w:bookmarkEnd w:id="515"/>
      <w:bookmarkEnd w:id="516"/>
    </w:p>
    <w:p w:rsidR="001C7BF9" w:rsidRPr="00C9680B" w:rsidRDefault="001C7BF9">
      <w:r w:rsidRPr="00C9680B">
        <w:t>Utgiftsområdet omfattar arbetsmarknadspolitiska program, bidrag till arbet</w:t>
      </w:r>
      <w:r w:rsidRPr="00C9680B">
        <w:t>s</w:t>
      </w:r>
      <w:r w:rsidRPr="00C9680B">
        <w:t>löshetsersättning, lönegarantiersättning, särskilda insatser för arbetshandika</w:t>
      </w:r>
      <w:r w:rsidRPr="00C9680B">
        <w:t>p</w:t>
      </w:r>
      <w:r w:rsidRPr="00C9680B">
        <w:t>pade och platsförmedling. Utgiftsområdet omfattar vidare bl.a. Samhall AB:s ver</w:t>
      </w:r>
      <w:r w:rsidRPr="00C9680B">
        <w:t>k</w:t>
      </w:r>
      <w:r w:rsidRPr="00C9680B">
        <w:t>samhet och Arbetsmarknadsverket.</w:t>
      </w:r>
    </w:p>
    <w:p w:rsidR="001C7BF9" w:rsidRPr="00C9680B" w:rsidRDefault="001C7BF9">
      <w:pPr>
        <w:pStyle w:val="Normaltindrag"/>
      </w:pPr>
      <w:r w:rsidRPr="00C9680B">
        <w:t>De totala utgifterna för utgiftsområdet år 2000 beräknas uppgå till 33 498 miljoner kronor.</w:t>
      </w:r>
    </w:p>
    <w:p w:rsidR="001C7BF9" w:rsidRPr="00C9680B" w:rsidRDefault="001C7BF9">
      <w:pPr>
        <w:pStyle w:val="R4"/>
      </w:pPr>
      <w:r w:rsidRPr="00C9680B">
        <w:t>Budgetpropositionen</w:t>
      </w:r>
    </w:p>
    <w:p w:rsidR="001C7BF9" w:rsidRPr="00C9680B" w:rsidRDefault="001C7BF9">
      <w:r w:rsidRPr="00C9680B">
        <w:t>I budgetpropositionen (avsnitt 7.4) redovisas att förändringen av utgiftsomr</w:t>
      </w:r>
      <w:r w:rsidRPr="00C9680B">
        <w:t>å</w:t>
      </w:r>
      <w:r w:rsidRPr="00C9680B">
        <w:t>desramen jämfört med 2000 års ekonomiska vårproposition förklaras i huvu</w:t>
      </w:r>
      <w:r w:rsidRPr="00C9680B">
        <w:t>d</w:t>
      </w:r>
      <w:r w:rsidRPr="00C9680B">
        <w:t>sak av att det under utgiftsområde 14 tidigare verksamhetsområdet arbet</w:t>
      </w:r>
      <w:r w:rsidRPr="00C9680B">
        <w:t>s</w:t>
      </w:r>
      <w:r w:rsidRPr="00C9680B">
        <w:t>marknad nu ingår i utgiftsområdet. Utgiftsområdet föreslås samtidigt byta namn från Ek</w:t>
      </w:r>
      <w:r w:rsidRPr="00C9680B">
        <w:t>o</w:t>
      </w:r>
      <w:r w:rsidRPr="00C9680B">
        <w:t>nomisk trygghet vid arbetslöshet till Arbetsmarknad.</w:t>
      </w:r>
    </w:p>
    <w:p w:rsidR="001C7BF9" w:rsidRPr="00C9680B" w:rsidRDefault="001C7BF9">
      <w:pPr>
        <w:pStyle w:val="Normaltindrag"/>
      </w:pPr>
      <w:r w:rsidRPr="00C9680B">
        <w:t>I följande tablå redovisas föreslagna utgiftsramar enligt budgetpropositi</w:t>
      </w:r>
      <w:r w:rsidRPr="00C9680B">
        <w:t>o</w:t>
      </w:r>
      <w:r w:rsidRPr="00C9680B">
        <w:t>nen och motionerna.</w:t>
      </w:r>
    </w:p>
    <w:p w:rsidR="001C7BF9" w:rsidRPr="00C9680B" w:rsidRDefault="001C7BF9">
      <w:pPr>
        <w:pStyle w:val="FiU1tabellrubrik2000"/>
        <w:keepLines/>
        <w:outlineLvl w:val="0"/>
      </w:pPr>
      <w:r w:rsidRPr="00C9680B">
        <w:t>Förslag till ram för utgiftsområde 13 Arbetsmarknad</w:t>
      </w:r>
    </w:p>
    <w:p w:rsidR="001C7BF9" w:rsidRPr="00C9680B" w:rsidRDefault="001C7BF9">
      <w:pPr>
        <w:pStyle w:val="Tabell"/>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63 031</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-5 376</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-9 140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-26 978</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-6 520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61 429</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-15 423</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-10 350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-27 847</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-16 120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61 467</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-16 333</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-10 850</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-31 852</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-16 000</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4"/>
      </w:pPr>
      <w:r w:rsidRPr="00C9680B">
        <w:t>Motionerna</w:t>
      </w:r>
    </w:p>
    <w:p w:rsidR="001C7BF9" w:rsidRPr="00C9680B" w:rsidRDefault="001C7BF9">
      <w:r w:rsidRPr="00C9680B">
        <w:rPr>
          <w:i/>
        </w:rPr>
        <w:t>Moderata samlingspartiet</w:t>
      </w:r>
      <w:r w:rsidRPr="00C9680B">
        <w:t xml:space="preserve"> föreslår i motion </w:t>
      </w:r>
      <w:r w:rsidRPr="00C9680B">
        <w:rPr>
          <w:i/>
        </w:rPr>
        <w:t>Fi208</w:t>
      </w:r>
      <w:r w:rsidRPr="00C9680B">
        <w:t xml:space="preserve"> att arbetslöshetsförsäkrin</w:t>
      </w:r>
      <w:r w:rsidRPr="00C9680B">
        <w:t>g</w:t>
      </w:r>
      <w:r w:rsidRPr="00C9680B">
        <w:t>en skall vara allmän och obligatorisk med en högre grad av egenfinansiering som balanseras av skattesänkningar. Den skall inte administreras av de fac</w:t>
      </w:r>
      <w:r w:rsidRPr="00C9680B">
        <w:t>k</w:t>
      </w:r>
      <w:r w:rsidRPr="00C9680B">
        <w:t>liga organisationerna, utan vara ett statligt åtagande. Arbetslöshetsförsäkrin</w:t>
      </w:r>
      <w:r w:rsidRPr="00C9680B">
        <w:t>g</w:t>
      </w:r>
      <w:r w:rsidRPr="00C9680B">
        <w:t>en skall fungera som en omställningsförsäkring. Det föreslås också att försä</w:t>
      </w:r>
      <w:r w:rsidRPr="00C9680B">
        <w:t>k</w:t>
      </w:r>
      <w:r w:rsidRPr="00C9680B">
        <w:t>ringens varaktighet i tiden bör begränsas genom införandet av en bortre p</w:t>
      </w:r>
      <w:r w:rsidRPr="00C9680B">
        <w:t>a</w:t>
      </w:r>
      <w:r w:rsidRPr="00C9680B">
        <w:t>rentes. Vidare förespråkas en omläggning av arbetsmarknadspolitiken för att möt</w:t>
      </w:r>
      <w:r w:rsidRPr="00C9680B">
        <w:t>a bristen på arbetskraft inom vissa sektorer.</w:t>
      </w:r>
    </w:p>
    <w:p w:rsidR="001C7BF9" w:rsidRPr="00C9680B" w:rsidRDefault="001C7BF9">
      <w:pPr>
        <w:pStyle w:val="Normaltindrag"/>
      </w:pPr>
      <w:r w:rsidRPr="00C9680B">
        <w:rPr>
          <w:i/>
        </w:rPr>
        <w:t>Kristdemokraterna</w:t>
      </w:r>
      <w:r w:rsidRPr="00C9680B">
        <w:t xml:space="preserve"> bedömer i motion </w:t>
      </w:r>
      <w:r w:rsidRPr="00C9680B">
        <w:rPr>
          <w:i/>
        </w:rPr>
        <w:t>Fi209</w:t>
      </w:r>
      <w:r w:rsidRPr="00C9680B">
        <w:t xml:space="preserve"> att partiets förslag om ökade resurser för fler tjänster inom vård, omsorg och skola samt kraftfulla företags- och tillväxtfrämjande åtgärder leder till att trycket på arbetslöshetsförsäkrin</w:t>
      </w:r>
      <w:r w:rsidRPr="00C9680B">
        <w:t>g</w:t>
      </w:r>
      <w:r w:rsidRPr="00C9680B">
        <w:t>en kan minska. Motionärerna föreslår att det bör införas en allmän och obl</w:t>
      </w:r>
      <w:r w:rsidRPr="00C9680B">
        <w:t>i</w:t>
      </w:r>
      <w:r w:rsidRPr="00C9680B">
        <w:t>gatorisk arbetslöshetsförsäkring i vilken självfinansieringsgraden höjs till 33 %. Vidare föreslås vissa strukturella förändringar i arbetsvillkoret för a-kassan, vilket leder till minskade utgifter. Regelverken måste ocks</w:t>
      </w:r>
      <w:r w:rsidRPr="00C9680B">
        <w:t>å förändras så att eventuella hinder för att ta ett arbete undanröjs. Motionärerna anser vidare att regelsystemen för de arbetsmarknadspolitiska programmen måste förenklas och att antalet åtgärder minskas. Den arbetsmarknadspolitiska å</w:t>
      </w:r>
      <w:r w:rsidRPr="00C9680B">
        <w:t>t</w:t>
      </w:r>
      <w:r w:rsidRPr="00C9680B">
        <w:t>gärden flyttningsbidrag avvisas.</w:t>
      </w:r>
    </w:p>
    <w:p w:rsidR="001C7BF9" w:rsidRPr="00C9680B" w:rsidRDefault="001C7BF9">
      <w:pPr>
        <w:pStyle w:val="Normaltindrag"/>
      </w:pPr>
      <w:r w:rsidRPr="00C9680B">
        <w:rPr>
          <w:i/>
        </w:rPr>
        <w:t>Centerpartiet</w:t>
      </w:r>
      <w:r w:rsidRPr="00C9680B">
        <w:t xml:space="preserve"> förordar i motion </w:t>
      </w:r>
      <w:r w:rsidRPr="00C9680B">
        <w:rPr>
          <w:i/>
        </w:rPr>
        <w:t>Fi210</w:t>
      </w:r>
      <w:r w:rsidRPr="00C9680B">
        <w:t xml:space="preserve"> en minskning av ramen. Motion</w:t>
      </w:r>
      <w:r w:rsidRPr="00C9680B">
        <w:t>ä</w:t>
      </w:r>
      <w:r w:rsidRPr="00C9680B">
        <w:t>rerna anser att allt försörjningsstöd till arbetslösa skall koncentreras under utgiftsområde 13. Då uppnås en bättre samordning och större flexibilitet med ett bättre utfall som följd. Motionärerna anser vidare att verksamhetsområdet arbetsmar</w:t>
      </w:r>
      <w:r w:rsidRPr="00C9680B">
        <w:t>k</w:t>
      </w:r>
      <w:r w:rsidRPr="00C9680B">
        <w:t>nad i huvudsak skall ligga kvar under utgiftsområde14.</w:t>
      </w:r>
    </w:p>
    <w:p w:rsidR="001C7BF9" w:rsidRPr="00C9680B" w:rsidRDefault="001C7BF9">
      <w:pPr>
        <w:pStyle w:val="Normaltindrag"/>
      </w:pPr>
      <w:r w:rsidRPr="00C9680B">
        <w:rPr>
          <w:i/>
        </w:rPr>
        <w:t xml:space="preserve">Folkpartiet liberalerna </w:t>
      </w:r>
      <w:r w:rsidRPr="00C9680B">
        <w:t xml:space="preserve">anför i motion </w:t>
      </w:r>
      <w:r w:rsidRPr="00C9680B">
        <w:rPr>
          <w:i/>
        </w:rPr>
        <w:t>Fi211</w:t>
      </w:r>
      <w:r w:rsidRPr="00C9680B">
        <w:t xml:space="preserve"> att den förbättrade konjunkt</w:t>
      </w:r>
      <w:r w:rsidRPr="00C9680B">
        <w:t>u</w:t>
      </w:r>
      <w:r w:rsidRPr="00C9680B">
        <w:t>ren gör det möjligt att reducera antalet personer i konjunkturberoende arbet</w:t>
      </w:r>
      <w:r w:rsidRPr="00C9680B">
        <w:t>s</w:t>
      </w:r>
      <w:r w:rsidRPr="00C9680B">
        <w:t>marknadspolitiska åtgärder. Köp av arbetsmarknadspolitisk utbildning kan minskas i motsvarande mån. Motionärerna anser att Arbetsmarknadsverkets förvaltningskostnader kan minskas. Däremot bör ökade medel beräknas för särskilda insatser för arbetshandikappade samt Samhall.</w:t>
      </w:r>
    </w:p>
    <w:p w:rsidR="001C7BF9" w:rsidRPr="00C9680B" w:rsidRDefault="001C7BF9">
      <w:pPr>
        <w:pStyle w:val="R4"/>
      </w:pPr>
      <w:r w:rsidRPr="00C9680B">
        <w:t>Arbetsmarknadsutskottets yttrande</w:t>
      </w:r>
    </w:p>
    <w:p w:rsidR="001C7BF9" w:rsidRPr="00C9680B" w:rsidRDefault="001C7BF9">
      <w:r w:rsidRPr="00C9680B">
        <w:t>Arbetsmarknadsutskottet, som har yttrat sig i form av ett protokollsutdrag, tillstyrker regeringens förslag och avstyrker motionerna. I yttrandet behandlar arbetsmarknadsutskottet även utvecklingen på arbetsmarknaden m.m. samt indelningen av statsbudgeten i politiko</w:t>
      </w:r>
      <w:r w:rsidRPr="00C9680B">
        <w:t>m</w:t>
      </w:r>
      <w:r w:rsidRPr="00C9680B">
        <w:t>råden.</w:t>
      </w:r>
    </w:p>
    <w:p w:rsidR="001C7BF9" w:rsidRPr="00C9680B" w:rsidRDefault="001C7BF9">
      <w:pPr>
        <w:pStyle w:val="Normaltindrag"/>
      </w:pPr>
      <w:r w:rsidRPr="00C9680B">
        <w:t>Företrädarna för Moderata samlingspartiet, Kristdemokraterna, Centerpa</w:t>
      </w:r>
      <w:r w:rsidRPr="00C9680B">
        <w:t>r</w:t>
      </w:r>
      <w:r w:rsidRPr="00C9680B">
        <w:t>tiet och Folkpartiet liberalerna har anmält en gemensam avvikande mening i fråga om utvecklingen på arbetsmarknaden m.m. Företrädarna för Moderata samlingspartiet tillstyrker i en avvikande mening partiets förslag till ram för utgiftso</w:t>
      </w:r>
      <w:r w:rsidRPr="00C9680B">
        <w:t>m</w:t>
      </w:r>
      <w:r w:rsidRPr="00C9680B">
        <w:t>rådet.</w:t>
      </w:r>
    </w:p>
    <w:p w:rsidR="001C7BF9" w:rsidRPr="00C9680B" w:rsidRDefault="001C7BF9">
      <w:pPr>
        <w:pStyle w:val="R4"/>
      </w:pPr>
      <w:r w:rsidRPr="00C9680B">
        <w:t>Finansutskottets ställningstagande</w:t>
      </w:r>
    </w:p>
    <w:p w:rsidR="001C7BF9" w:rsidRPr="00C9680B" w:rsidRDefault="001C7BF9">
      <w:r w:rsidRPr="00C9680B">
        <w:t>Finansutskottet har tidigare i betänkandet i avsnitten 2.4.3 och 2.6 redovisat sin bedömning av fördelningen av utgifterna på utgiftsområden för budgetåret 2001 och därvid tillstyrkt regeringens förslag till ramar för utgiftsområdena. Arbetsmarknadsutskottet har för sin del inte haft något att erinra mot den föreslagna ramen för utgiftsområde 13.</w:t>
      </w:r>
    </w:p>
    <w:p w:rsidR="001C7BF9" w:rsidRPr="00C9680B" w:rsidRDefault="001C7BF9">
      <w:pPr>
        <w:pStyle w:val="Normaltindrag"/>
      </w:pPr>
      <w:r w:rsidRPr="00C9680B">
        <w:t>Konstitutionsutskottet har tillstyrkt regeringens förslag att föreskrifterna i riksdagsordningen skall ändras så att utgiftsområde 13 Ekonomisk trygghet vid arbetslöshet ersätts av utgiftsområde 13 Arbetsmarknad (prop. 2000/01:1, volym 7, bet. KU4, rskr. 19).</w:t>
      </w:r>
    </w:p>
    <w:p w:rsidR="001C7BF9" w:rsidRPr="00C9680B" w:rsidRDefault="001C7BF9">
      <w:pPr>
        <w:pStyle w:val="Normaltindrag"/>
      </w:pPr>
      <w:r w:rsidRPr="00C9680B">
        <w:t>Finansutskottet tillstyrker således propositionens förslag till ramnivå för utgiftsområde 13 och föreslår att utgiftsramen fastställs till 63 031 miljoner kronor. Motionerna avstyrks i berörda delar. Finansutskottet behandlar inde</w:t>
      </w:r>
      <w:r w:rsidRPr="00C9680B">
        <w:t>l</w:t>
      </w:r>
      <w:r w:rsidRPr="00C9680B">
        <w:t xml:space="preserve">ningen av statsbudgeten i politikområden i avsnitt </w:t>
      </w:r>
      <w:r w:rsidRPr="00C9680B">
        <w:rPr>
          <w:i/>
        </w:rPr>
        <w:t>5.2 Indelningen i politik</w:t>
      </w:r>
      <w:r w:rsidRPr="00C9680B">
        <w:rPr>
          <w:i/>
        </w:rPr>
        <w:softHyphen/>
        <w:t xml:space="preserve">områden </w:t>
      </w:r>
      <w:r w:rsidRPr="00C9680B">
        <w:t>och kommenterar utvecklingen på arbetsmarknaden i avsnitten 1.2 och 1.3.</w:t>
      </w:r>
    </w:p>
    <w:p w:rsidR="001C7BF9" w:rsidRPr="00C9680B" w:rsidRDefault="001C7BF9">
      <w:pPr>
        <w:pStyle w:val="Rubrik3"/>
        <w:rPr>
          <w:noProof w:val="0"/>
        </w:rPr>
      </w:pPr>
      <w:bookmarkStart w:id="517" w:name="_Toc498157132"/>
      <w:bookmarkStart w:id="518" w:name="_Toc498910795"/>
      <w:r w:rsidRPr="00C9680B">
        <w:rPr>
          <w:noProof w:val="0"/>
        </w:rPr>
        <w:t>4.1.14 Utgiftsområde 14 Arbetsliv</w:t>
      </w:r>
      <w:bookmarkEnd w:id="517"/>
      <w:bookmarkEnd w:id="518"/>
    </w:p>
    <w:p w:rsidR="001C7BF9" w:rsidRPr="00C9680B" w:rsidRDefault="001C7BF9">
      <w:r w:rsidRPr="00C9680B">
        <w:t>Utgiftsområdet omfattar frågor inom arbetsmiljö, arbetsrätt, arbetsorganis</w:t>
      </w:r>
      <w:r w:rsidRPr="00C9680B">
        <w:t>a</w:t>
      </w:r>
      <w:r w:rsidRPr="00C9680B">
        <w:t>tion, arbetstid, lönebildning, jämställdhet och diskriminering, relationen me</w:t>
      </w:r>
      <w:r w:rsidRPr="00C9680B">
        <w:t>l</w:t>
      </w:r>
      <w:r w:rsidRPr="00C9680B">
        <w:t>lan arbetstagaren och arbetsgivaren samt statliga arbetsgivarfrågor. Utgift</w:t>
      </w:r>
      <w:r w:rsidRPr="00C9680B">
        <w:t>s</w:t>
      </w:r>
      <w:r w:rsidRPr="00C9680B">
        <w:t>området omfattar ett antal myndigheter bl.a. Arbetarskyddsverket, Arbet</w:t>
      </w:r>
      <w:r w:rsidRPr="00C9680B">
        <w:t>s</w:t>
      </w:r>
      <w:r w:rsidRPr="00C9680B">
        <w:t>livsinstitutet och Medlingsinstitutet.</w:t>
      </w:r>
    </w:p>
    <w:p w:rsidR="001C7BF9" w:rsidRPr="00C9680B" w:rsidRDefault="001C7BF9">
      <w:pPr>
        <w:pStyle w:val="Normaltindrag"/>
      </w:pPr>
      <w:r w:rsidRPr="00C9680B">
        <w:t>De totala utgifterna för utgiftsområdet år 2000 beräknas uppgå till 42 163 miljoner kronor.</w:t>
      </w:r>
    </w:p>
    <w:p w:rsidR="001C7BF9" w:rsidRPr="00C9680B" w:rsidRDefault="001C7BF9">
      <w:pPr>
        <w:pStyle w:val="R4"/>
      </w:pPr>
      <w:r w:rsidRPr="00C9680B">
        <w:t>Budgetpropositionen</w:t>
      </w:r>
    </w:p>
    <w:p w:rsidR="001C7BF9" w:rsidRPr="00C9680B" w:rsidRDefault="001C7BF9">
      <w:r w:rsidRPr="00C9680B">
        <w:t>I budgetpropositionen (avsnitt 7.4) redovisas att förändringen av utgiftsomr</w:t>
      </w:r>
      <w:r w:rsidRPr="00C9680B">
        <w:t>å</w:t>
      </w:r>
      <w:r w:rsidRPr="00C9680B">
        <w:t>desramen jämfört med 2000 års ekonomiska vårproposition förklaras i huvu</w:t>
      </w:r>
      <w:r w:rsidRPr="00C9680B">
        <w:t>d</w:t>
      </w:r>
      <w:r w:rsidRPr="00C9680B">
        <w:t>sak med att det tidigare verksamhetsområdet Arbetsmarknad överförts till utgiftsområde 13. Vidare föreslås en ökning av anslaget till Arbetarskydd</w:t>
      </w:r>
      <w:r w:rsidRPr="00C9680B">
        <w:t>s</w:t>
      </w:r>
      <w:r w:rsidRPr="00C9680B">
        <w:t>verket med 50 miljoner kronor. Utgiftsområdet föreslås samtidigt byta namn från Arbet</w:t>
      </w:r>
      <w:r w:rsidRPr="00C9680B">
        <w:t>s</w:t>
      </w:r>
      <w:r w:rsidRPr="00C9680B">
        <w:t>marknad och arbetsliv till Arbetsliv.</w:t>
      </w:r>
    </w:p>
    <w:p w:rsidR="001C7BF9" w:rsidRPr="00C9680B" w:rsidRDefault="001C7BF9">
      <w:pPr>
        <w:pStyle w:val="Normaltindrag"/>
      </w:pPr>
      <w:r w:rsidRPr="00C9680B">
        <w:t>I följande tablå redovisas föreslagna utgiftsramar enligt budgetpropositi</w:t>
      </w:r>
      <w:r w:rsidRPr="00C9680B">
        <w:t>o</w:t>
      </w:r>
      <w:r w:rsidRPr="00C9680B">
        <w:t>nen och motionerna.</w:t>
      </w:r>
    </w:p>
    <w:p w:rsidR="001C7BF9" w:rsidRPr="00C9680B" w:rsidRDefault="001C7BF9">
      <w:pPr>
        <w:pStyle w:val="FiU1tabellrubrik2000"/>
        <w:keepLines/>
        <w:outlineLvl w:val="0"/>
      </w:pPr>
      <w:r w:rsidRPr="00C9680B">
        <w:t>Förslag till ram för utgiftsområde 14 Arbetsliv</w:t>
      </w:r>
    </w:p>
    <w:p w:rsidR="001C7BF9" w:rsidRPr="00C9680B" w:rsidRDefault="001C7BF9">
      <w:pPr>
        <w:pStyle w:val="Tabell"/>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8 542</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-146</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-166</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+22 868</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-25</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8 466</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-230</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-216</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+22 744</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-25</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8 437</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-335</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-216</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+23 193</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-25</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4"/>
      </w:pPr>
      <w:r w:rsidRPr="00C9680B">
        <w:t>Motionerna</w:t>
      </w:r>
    </w:p>
    <w:p w:rsidR="001C7BF9" w:rsidRPr="00C9680B" w:rsidRDefault="001C7BF9">
      <w:r w:rsidRPr="00C9680B">
        <w:rPr>
          <w:i/>
        </w:rPr>
        <w:t xml:space="preserve">Moderata samlingspartiet </w:t>
      </w:r>
      <w:r w:rsidRPr="00C9680B">
        <w:t xml:space="preserve">föreslår i motion </w:t>
      </w:r>
      <w:r w:rsidRPr="00C9680B">
        <w:rPr>
          <w:i/>
        </w:rPr>
        <w:t>Fi208</w:t>
      </w:r>
      <w:r w:rsidRPr="00C9680B">
        <w:t xml:space="preserve"> en delvis annan myndi</w:t>
      </w:r>
      <w:r w:rsidRPr="00C9680B">
        <w:t>g</w:t>
      </w:r>
      <w:r w:rsidRPr="00C9680B">
        <w:t>hetsstruktur för utgiftsområdet. Vidare föreslås att samtliga ombudsmän mot diskr</w:t>
      </w:r>
      <w:r w:rsidRPr="00C9680B">
        <w:t>i</w:t>
      </w:r>
      <w:r w:rsidRPr="00C9680B">
        <w:t>minering bör samlas i en myndighet under detta utgiftsområde.</w:t>
      </w:r>
    </w:p>
    <w:p w:rsidR="001C7BF9" w:rsidRPr="00C9680B" w:rsidRDefault="001C7BF9">
      <w:pPr>
        <w:pStyle w:val="Normaltindrag"/>
      </w:pPr>
      <w:r w:rsidRPr="00C9680B">
        <w:rPr>
          <w:i/>
        </w:rPr>
        <w:t>Kristdemokraterna</w:t>
      </w:r>
      <w:r w:rsidRPr="00C9680B">
        <w:t xml:space="preserve"> förordar i motion </w:t>
      </w:r>
      <w:r w:rsidRPr="00C9680B">
        <w:rPr>
          <w:i/>
        </w:rPr>
        <w:t>Fi209</w:t>
      </w:r>
      <w:r w:rsidRPr="00C9680B">
        <w:t xml:space="preserve"> besparingar på Arbetarskydd</w:t>
      </w:r>
      <w:r w:rsidRPr="00C9680B">
        <w:t>s</w:t>
      </w:r>
      <w:r w:rsidRPr="00C9680B">
        <w:t>verket, Arbetslivsinstitutet och Medlingsinstitutet.</w:t>
      </w:r>
    </w:p>
    <w:p w:rsidR="001C7BF9" w:rsidRPr="00C9680B" w:rsidRDefault="001C7BF9">
      <w:pPr>
        <w:pStyle w:val="Normaltindrag"/>
      </w:pPr>
      <w:r w:rsidRPr="00C9680B">
        <w:rPr>
          <w:i/>
        </w:rPr>
        <w:t>Centerpartiet</w:t>
      </w:r>
      <w:r w:rsidRPr="00C9680B">
        <w:t xml:space="preserve"> föreslår i motion </w:t>
      </w:r>
      <w:r w:rsidRPr="00C9680B">
        <w:rPr>
          <w:i/>
        </w:rPr>
        <w:t>Fi210</w:t>
      </w:r>
      <w:r w:rsidRPr="00C9680B">
        <w:t xml:space="preserve"> en ökning av ramen. Motionärerna anser att verksamhetsområdet arbetsmarknad i huvudsak skall ligga kvar under utgift</w:t>
      </w:r>
      <w:r w:rsidRPr="00C9680B">
        <w:t>s</w:t>
      </w:r>
      <w:r w:rsidRPr="00C9680B">
        <w:t>område14.</w:t>
      </w:r>
    </w:p>
    <w:p w:rsidR="001C7BF9" w:rsidRPr="00C9680B" w:rsidRDefault="001C7BF9">
      <w:pPr>
        <w:pStyle w:val="Normaltindrag"/>
      </w:pPr>
      <w:r w:rsidRPr="00C9680B">
        <w:rPr>
          <w:i/>
        </w:rPr>
        <w:t>Folkpartiet liberalerna</w:t>
      </w:r>
      <w:r w:rsidRPr="00C9680B">
        <w:t xml:space="preserve"> bedömer i motion </w:t>
      </w:r>
      <w:r w:rsidRPr="00C9680B">
        <w:rPr>
          <w:i/>
        </w:rPr>
        <w:t>Fi211</w:t>
      </w:r>
      <w:r w:rsidRPr="00C9680B">
        <w:t xml:space="preserve"> att en viss minskning kan göras av de sä</w:t>
      </w:r>
      <w:r w:rsidRPr="00C9680B">
        <w:t>r</w:t>
      </w:r>
      <w:r w:rsidRPr="00C9680B">
        <w:t>skilda utbildningsinsatserna.</w:t>
      </w:r>
    </w:p>
    <w:p w:rsidR="001C7BF9" w:rsidRPr="00C9680B" w:rsidRDefault="001C7BF9">
      <w:pPr>
        <w:pStyle w:val="R4"/>
      </w:pPr>
      <w:r w:rsidRPr="00C9680B">
        <w:t>Arbetsmarknadsutskottets yttrande</w:t>
      </w:r>
    </w:p>
    <w:p w:rsidR="001C7BF9" w:rsidRPr="00C9680B" w:rsidRDefault="001C7BF9">
      <w:r w:rsidRPr="00C9680B">
        <w:t>Arbetsmarknadsutskottet, som har yttrat sig i form av ett protokollsutdrag, tillstyrker regeringens förslag och avstyrker motionerna. I yttrandet behandlar arbetsmarknadsutskottet även utvecklingen på arbetsmarknaden m.m. samt indelningen av statsbudgeten i politiko</w:t>
      </w:r>
      <w:r w:rsidRPr="00C9680B">
        <w:t>m</w:t>
      </w:r>
      <w:r w:rsidRPr="00C9680B">
        <w:t>råden.</w:t>
      </w:r>
    </w:p>
    <w:p w:rsidR="001C7BF9" w:rsidRPr="00C9680B" w:rsidRDefault="001C7BF9">
      <w:pPr>
        <w:pStyle w:val="Normaltindrag"/>
      </w:pPr>
      <w:r w:rsidRPr="00C9680B">
        <w:t>Företrädarna för Moderata samlingspartiet, Kristdemokraterna, Centerpa</w:t>
      </w:r>
      <w:r w:rsidRPr="00C9680B">
        <w:t>r</w:t>
      </w:r>
      <w:r w:rsidRPr="00C9680B">
        <w:t>tiet och Folkpartiet liberalerna har anmält en gemensam avvikande mening i fråga om utvecklingen på arbetsmarknaden m.m. Företrädarna för Moderata samlingspartiet tillstyrker i en avvikande mening partiets förslag till ram för utgiftso</w:t>
      </w:r>
      <w:r w:rsidRPr="00C9680B">
        <w:t>m</w:t>
      </w:r>
      <w:r w:rsidRPr="00C9680B">
        <w:t>rådet.</w:t>
      </w:r>
    </w:p>
    <w:p w:rsidR="001C7BF9" w:rsidRPr="00C9680B" w:rsidRDefault="001C7BF9">
      <w:pPr>
        <w:pStyle w:val="R4"/>
      </w:pPr>
      <w:r w:rsidRPr="00C9680B">
        <w:t>Finansutskottets ställningstagande</w:t>
      </w:r>
    </w:p>
    <w:p w:rsidR="001C7BF9" w:rsidRPr="00C9680B" w:rsidRDefault="001C7BF9">
      <w:r w:rsidRPr="00C9680B">
        <w:t>Finansutskottet har tidigare i betänkandet i avsnitten 2.4.3 och 2.6 redovisat sin bedömning av fördelningen av utgifterna på utgiftsområden för budgetåret 2001 och därvid tillstyrkt regeringens förslag till ramar för utgiftsområdena. Arbetsmarknadsutskottet har för sin del inte haft något att erinra mot den föreslagna ramen för utgiftsområde 14.</w:t>
      </w:r>
    </w:p>
    <w:p w:rsidR="001C7BF9" w:rsidRPr="00C9680B" w:rsidRDefault="001C7BF9">
      <w:pPr>
        <w:pStyle w:val="Normaltindrag"/>
      </w:pPr>
      <w:r w:rsidRPr="00C9680B">
        <w:t>Konstitutionsutskottet har tillstyrkt regeringens förslag att föreskrifterna i riksdagsordningen skall ändras så att utgiftsområde 14 Arbetsmarknad och arbetsliv ersätts av utgiftsområde 14 Arbetsliv (prop. 2000/01:1, volym 7, bet. KU4, rskr. 19).</w:t>
      </w:r>
    </w:p>
    <w:p w:rsidR="001C7BF9" w:rsidRPr="00C9680B" w:rsidRDefault="001C7BF9">
      <w:pPr>
        <w:pStyle w:val="Normaltindrag"/>
        <w:rPr>
          <w:b/>
        </w:rPr>
      </w:pPr>
      <w:r w:rsidRPr="00C9680B">
        <w:t>Finansutskottet tillstyrker således propositionens förslag till ramnivå för utgiftsområde 14 och föreslår att utgiftsramen fastställs till 8 542 miljoner kronor. Motionerna avstyrks i berörda delar. Finansutskottet behandlar inde</w:t>
      </w:r>
      <w:r w:rsidRPr="00C9680B">
        <w:t>l</w:t>
      </w:r>
      <w:r w:rsidRPr="00C9680B">
        <w:t xml:space="preserve">ningen av statsbudgeten i politikområden i avsnitt </w:t>
      </w:r>
      <w:r w:rsidRPr="00C9680B">
        <w:rPr>
          <w:i/>
        </w:rPr>
        <w:t>5.2 Indelningen i politik</w:t>
      </w:r>
      <w:r w:rsidRPr="00C9680B">
        <w:rPr>
          <w:i/>
        </w:rPr>
        <w:softHyphen/>
        <w:t>områden</w:t>
      </w:r>
      <w:r w:rsidRPr="00C9680B">
        <w:t xml:space="preserve"> och kommenterar utvecklingen på arbetsmarknaden i avsnitten 1.2 och 1.3.</w:t>
      </w:r>
    </w:p>
    <w:p w:rsidR="001C7BF9" w:rsidRPr="00C9680B" w:rsidRDefault="001C7BF9">
      <w:pPr>
        <w:pStyle w:val="Rubrik3"/>
        <w:rPr>
          <w:noProof w:val="0"/>
        </w:rPr>
      </w:pPr>
      <w:bookmarkStart w:id="519" w:name="_Toc498157133"/>
      <w:r w:rsidRPr="00C9680B">
        <w:rPr>
          <w:noProof w:val="0"/>
        </w:rPr>
        <w:br w:type="page"/>
      </w:r>
      <w:bookmarkStart w:id="520" w:name="_Toc498910796"/>
      <w:r w:rsidRPr="00C9680B">
        <w:rPr>
          <w:noProof w:val="0"/>
        </w:rPr>
        <w:t>4.1.15 Utgiftsområde 15 Studiestöd</w:t>
      </w:r>
      <w:bookmarkEnd w:id="519"/>
      <w:bookmarkEnd w:id="520"/>
    </w:p>
    <w:p w:rsidR="001C7BF9" w:rsidRPr="00C9680B" w:rsidRDefault="001C7BF9">
      <w:r w:rsidRPr="00C9680B">
        <w:t>Utgiftsområdet omfattar statens utgifter för finansiering av studier på gymn</w:t>
      </w:r>
      <w:r w:rsidRPr="00C9680B">
        <w:t>a</w:t>
      </w:r>
      <w:r w:rsidRPr="00C9680B">
        <w:t>sien</w:t>
      </w:r>
      <w:r w:rsidRPr="00C9680B">
        <w:t>i</w:t>
      </w:r>
      <w:r w:rsidRPr="00C9680B">
        <w:t>vå, vuxenstudier samt högskola.</w:t>
      </w:r>
    </w:p>
    <w:p w:rsidR="001C7BF9" w:rsidRPr="00C9680B" w:rsidRDefault="001C7BF9">
      <w:pPr>
        <w:pStyle w:val="Normaltindrag"/>
      </w:pPr>
      <w:r w:rsidRPr="00C9680B">
        <w:t>För 2000 beräknas de totala utgifterna på utgiftsområdet till 18 898 milj</w:t>
      </w:r>
      <w:r w:rsidRPr="00C9680B">
        <w:t>o</w:t>
      </w:r>
      <w:r w:rsidRPr="00C9680B">
        <w:t>ner kronor.</w:t>
      </w:r>
    </w:p>
    <w:p w:rsidR="001C7BF9" w:rsidRPr="00C9680B" w:rsidRDefault="001C7BF9">
      <w:pPr>
        <w:pStyle w:val="Rubrik4"/>
        <w:rPr>
          <w:noProof w:val="0"/>
        </w:rPr>
      </w:pPr>
      <w:bookmarkStart w:id="521" w:name="_Toc498763628"/>
      <w:bookmarkStart w:id="522" w:name="_Toc498910797"/>
      <w:r w:rsidRPr="00C9680B">
        <w:rPr>
          <w:noProof w:val="0"/>
        </w:rPr>
        <w:t>Budgetpropositionen</w:t>
      </w:r>
      <w:bookmarkEnd w:id="521"/>
      <w:bookmarkEnd w:id="522"/>
    </w:p>
    <w:p w:rsidR="001C7BF9" w:rsidRPr="00C9680B" w:rsidRDefault="001C7BF9">
      <w:r w:rsidRPr="00C9680B">
        <w:t>I budgetpropositionen (avsnitt 7.4) meddelar regeringen att förändringarna av utgiftsområdesramarna för åren 2001 och 2002 jämfört med beräkningen i 2000 års ekonomiska vårproposition huvudsakligen förklaras av neddra</w:t>
      </w:r>
      <w:r w:rsidRPr="00C9680B">
        <w:t>g</w:t>
      </w:r>
      <w:r w:rsidRPr="00C9680B">
        <w:t>ningar av platser inom Kunskapslyftet inklusive folkbildningen, vilket min</w:t>
      </w:r>
      <w:r w:rsidRPr="00C9680B">
        <w:t>s</w:t>
      </w:r>
      <w:r w:rsidRPr="00C9680B">
        <w:t>kar behovet av studiestöd för vuxenstuderande. För 2003 beräknas ett ökat behov av vuxenstudiestöd jämfört med vad som beräknades i vårpropositi</w:t>
      </w:r>
      <w:r w:rsidRPr="00C9680B">
        <w:t>o</w:t>
      </w:r>
      <w:r w:rsidRPr="00C9680B">
        <w:t>nen, vilket medför en något högre utgiftsområdesram 2003.</w:t>
      </w:r>
    </w:p>
    <w:p w:rsidR="001C7BF9" w:rsidRPr="00C9680B" w:rsidRDefault="001C7BF9">
      <w:pPr>
        <w:pStyle w:val="Normaltindrag"/>
      </w:pPr>
      <w:r w:rsidRPr="00C9680B">
        <w:t>Propositionens och oppositionspartiernas förslag till ramnivå för utgift</w:t>
      </w:r>
      <w:r w:rsidRPr="00C9680B">
        <w:t>s</w:t>
      </w:r>
      <w:r w:rsidRPr="00C9680B">
        <w:t>omr</w:t>
      </w:r>
      <w:r w:rsidRPr="00C9680B">
        <w:t>å</w:t>
      </w:r>
      <w:r w:rsidRPr="00C9680B">
        <w:t>det under åren 2001–2003 redovisas i efterföljande tabell.</w:t>
      </w:r>
    </w:p>
    <w:p w:rsidR="001C7BF9" w:rsidRPr="00C9680B" w:rsidRDefault="001C7BF9">
      <w:pPr>
        <w:pStyle w:val="FiU1tabellrubrik2000"/>
        <w:keepLines/>
        <w:outlineLvl w:val="0"/>
      </w:pPr>
      <w:r w:rsidRPr="00C9680B">
        <w:t>Förslag till ram för utgiftsområde 15 Studiestöd</w:t>
      </w:r>
    </w:p>
    <w:p w:rsidR="001C7BF9" w:rsidRPr="00C9680B" w:rsidRDefault="001C7BF9">
      <w:pPr>
        <w:pStyle w:val="Tabell"/>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21 622</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-2 047</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-2 378</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-4 812</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-2 016</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24 365</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-3 364</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-673</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-2 256</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-1 640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24 727</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-1 760</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+3 659</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-803</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-1 040</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ubrik4"/>
        <w:rPr>
          <w:noProof w:val="0"/>
        </w:rPr>
      </w:pPr>
      <w:bookmarkStart w:id="523" w:name="_Toc498763629"/>
      <w:bookmarkStart w:id="524" w:name="_Toc498910798"/>
      <w:r w:rsidRPr="00C9680B">
        <w:rPr>
          <w:noProof w:val="0"/>
        </w:rPr>
        <w:t>Motionerna</w:t>
      </w:r>
      <w:bookmarkEnd w:id="523"/>
      <w:bookmarkEnd w:id="524"/>
    </w:p>
    <w:p w:rsidR="001C7BF9" w:rsidRPr="00C9680B" w:rsidRDefault="001C7BF9">
      <w:r w:rsidRPr="00C9680B">
        <w:rPr>
          <w:i/>
        </w:rPr>
        <w:t>Moderata samlingspartiet</w:t>
      </w:r>
      <w:r w:rsidRPr="00C9680B">
        <w:t xml:space="preserve"> föreslår i </w:t>
      </w:r>
      <w:r w:rsidRPr="00C9680B">
        <w:rPr>
          <w:i/>
        </w:rPr>
        <w:t>motion Fi208</w:t>
      </w:r>
      <w:r w:rsidRPr="00C9680B">
        <w:t xml:space="preserve"> att anslagen under utgift</w:t>
      </w:r>
      <w:r w:rsidRPr="00C9680B">
        <w:t>s</w:t>
      </w:r>
      <w:r w:rsidRPr="00C9680B">
        <w:t>området minskas. Detta som en följd av de förändringar motionärerna geno</w:t>
      </w:r>
      <w:r w:rsidRPr="00C9680B">
        <w:t>m</w:t>
      </w:r>
      <w:r w:rsidRPr="00C9680B">
        <w:t xml:space="preserve">för under utgiftsområde 16 vad gäller särskilda utbildningsinsatser för vuxna. Vidare föreslås att nuvarande nivå av studiebidragen bibehålls. </w:t>
      </w:r>
    </w:p>
    <w:p w:rsidR="001C7BF9" w:rsidRPr="00C9680B" w:rsidRDefault="001C7BF9">
      <w:pPr>
        <w:pStyle w:val="Normaltindrag"/>
      </w:pPr>
      <w:r w:rsidRPr="00C9680B">
        <w:rPr>
          <w:i/>
        </w:rPr>
        <w:t>Kristdemokraterna</w:t>
      </w:r>
      <w:r w:rsidRPr="00C9680B">
        <w:t xml:space="preserve"> förespråkar i </w:t>
      </w:r>
      <w:r w:rsidRPr="00C9680B">
        <w:rPr>
          <w:i/>
        </w:rPr>
        <w:t>motion Fi209</w:t>
      </w:r>
      <w:r w:rsidRPr="00C9680B">
        <w:t xml:space="preserve"> en jämn och långsiktig u</w:t>
      </w:r>
      <w:r w:rsidRPr="00C9680B">
        <w:t>t</w:t>
      </w:r>
      <w:r w:rsidRPr="00C9680B">
        <w:t>byggnad av högskolan, med totalt sett något lägre antal platser än regeringens förslag. Därmed möjliggörs särskilda satsningar inom högskolans område som beskrivs inom utgiftsområde 16 Utbildning och universitetsforskning. Vidare föreslås att kraftiga förbättringar av studiestödet inleds från höstterm</w:t>
      </w:r>
      <w:r w:rsidRPr="00C9680B">
        <w:t>i</w:t>
      </w:r>
      <w:r w:rsidRPr="00C9680B">
        <w:t>nen 2002.</w:t>
      </w:r>
    </w:p>
    <w:p w:rsidR="001C7BF9" w:rsidRPr="00C9680B" w:rsidRDefault="001C7BF9">
      <w:pPr>
        <w:pStyle w:val="Normaltindrag"/>
        <w:rPr>
          <w:i/>
        </w:rPr>
      </w:pPr>
      <w:r w:rsidRPr="00C9680B">
        <w:rPr>
          <w:i/>
        </w:rPr>
        <w:t>Centerpartiet</w:t>
      </w:r>
      <w:r w:rsidRPr="00C9680B">
        <w:t xml:space="preserve"> vill i </w:t>
      </w:r>
      <w:r w:rsidRPr="00C9680B">
        <w:rPr>
          <w:i/>
        </w:rPr>
        <w:t>motion Fi210</w:t>
      </w:r>
      <w:r w:rsidRPr="00C9680B">
        <w:t xml:space="preserve"> investera på alla nivåer från förskola till högre utbildning och forskning. Motionärerna föreslår att studiemedelssy</w:t>
      </w:r>
      <w:r w:rsidRPr="00C9680B">
        <w:softHyphen/>
        <w:t xml:space="preserve">stemet förändras så att studiemedlet består av hälften bidrag och hälften lån och att fribeloppet höjs till två basbelopp. </w:t>
      </w:r>
    </w:p>
    <w:p w:rsidR="001C7BF9" w:rsidRPr="00C9680B" w:rsidRDefault="001C7BF9">
      <w:pPr>
        <w:pStyle w:val="Normaltindrag"/>
      </w:pPr>
      <w:r w:rsidRPr="00C9680B">
        <w:rPr>
          <w:i/>
        </w:rPr>
        <w:t>Folkpartiet liberalerna</w:t>
      </w:r>
      <w:r w:rsidRPr="00C9680B">
        <w:t xml:space="preserve"> föreslår i </w:t>
      </w:r>
      <w:r w:rsidRPr="00C9680B">
        <w:rPr>
          <w:i/>
        </w:rPr>
        <w:t>motion Fi211</w:t>
      </w:r>
      <w:r w:rsidRPr="00C9680B">
        <w:t xml:space="preserve"> att det särskilda utbil</w:t>
      </w:r>
      <w:r w:rsidRPr="00C9680B">
        <w:t>d</w:t>
      </w:r>
      <w:r w:rsidRPr="00C9680B">
        <w:t>ningsbidraget tas bort och ersätts med studiemedel. Bidragsdelen föreslås vara 60 %. Motionärerna föreslår också att antalet berörda personer kan minska och att anslaget Bidrag till vissa organisationer (de s.k. LO-pengarna) bör utgå.</w:t>
      </w:r>
    </w:p>
    <w:p w:rsidR="001C7BF9" w:rsidRPr="00C9680B" w:rsidRDefault="001C7BF9">
      <w:r w:rsidRPr="00C9680B">
        <w:rPr>
          <w:i/>
          <w:sz w:val="21"/>
        </w:rPr>
        <w:t>Utbildningsutskotte</w:t>
      </w:r>
      <w:r w:rsidRPr="00C9680B">
        <w:rPr>
          <w:i/>
        </w:rPr>
        <w:t>t</w:t>
      </w:r>
      <w:r w:rsidRPr="00C9680B">
        <w:t xml:space="preserve"> har avstått från att yttra sig. </w:t>
      </w:r>
    </w:p>
    <w:p w:rsidR="001C7BF9" w:rsidRPr="00C9680B" w:rsidRDefault="001C7BF9">
      <w:pPr>
        <w:pStyle w:val="Rubrik4"/>
        <w:rPr>
          <w:noProof w:val="0"/>
        </w:rPr>
      </w:pPr>
      <w:bookmarkStart w:id="525" w:name="_Toc498763630"/>
      <w:bookmarkStart w:id="526" w:name="_Toc498910799"/>
      <w:r w:rsidRPr="00C9680B">
        <w:rPr>
          <w:noProof w:val="0"/>
        </w:rPr>
        <w:t>Finansutskottets ställningstagande</w:t>
      </w:r>
      <w:bookmarkEnd w:id="525"/>
      <w:bookmarkEnd w:id="526"/>
    </w:p>
    <w:p w:rsidR="001C7BF9" w:rsidRPr="00C9680B" w:rsidRDefault="001C7BF9">
      <w:r w:rsidRPr="00C9680B">
        <w:t>Finansutskottet har tidigare i betänkandet (avsnitten 2.4.3 och 2.6) redovisat sin bedömning av fördelningen av utgifterna på utgiftsområden för budgetåret 2001 och därvid tillstyrkt regeringens förslag.</w:t>
      </w:r>
    </w:p>
    <w:p w:rsidR="001C7BF9" w:rsidRPr="00C9680B" w:rsidRDefault="001C7BF9">
      <w:pPr>
        <w:pStyle w:val="Normaltindrag"/>
      </w:pPr>
      <w:r w:rsidRPr="00C9680B">
        <w:t>Finansutskottet tillstyrker således propositionens förslag till ramnivå för utgiftsområde 15 och föreslår att utgiftsramen fastställs till 21 622 miljoner kronor. Motionernas förslag till alternativa ramar a</w:t>
      </w:r>
      <w:r w:rsidRPr="00C9680B">
        <w:t>v</w:t>
      </w:r>
      <w:r w:rsidRPr="00C9680B">
        <w:t>styrks.</w:t>
      </w:r>
    </w:p>
    <w:p w:rsidR="001C7BF9" w:rsidRPr="00C9680B" w:rsidRDefault="001C7BF9">
      <w:pPr>
        <w:pStyle w:val="Rubrik3"/>
        <w:rPr>
          <w:noProof w:val="0"/>
        </w:rPr>
      </w:pPr>
      <w:bookmarkStart w:id="527" w:name="_Toc498157134"/>
      <w:bookmarkStart w:id="528" w:name="_Toc498910800"/>
      <w:r w:rsidRPr="00C9680B">
        <w:rPr>
          <w:noProof w:val="0"/>
        </w:rPr>
        <w:t>4.1.16 Utgiftsområde 16 Utbildning och universitetsforskning</w:t>
      </w:r>
      <w:bookmarkEnd w:id="527"/>
      <w:bookmarkEnd w:id="528"/>
    </w:p>
    <w:p w:rsidR="001C7BF9" w:rsidRPr="00C9680B" w:rsidRDefault="001C7BF9">
      <w:r w:rsidRPr="00C9680B">
        <w:t>Utgiftsområdet omfattar skola och barnomsorg, vuxenutbildning, kvalificerad yrkesutbildning, högskoleutbildning och forskning samt centrala myndigheter inom Utbildningsdepartementets ansvarsomr</w:t>
      </w:r>
      <w:r w:rsidRPr="00C9680B">
        <w:t>å</w:t>
      </w:r>
      <w:r w:rsidRPr="00C9680B">
        <w:t>de.</w:t>
      </w:r>
    </w:p>
    <w:p w:rsidR="001C7BF9" w:rsidRPr="00C9680B" w:rsidRDefault="001C7BF9">
      <w:pPr>
        <w:pStyle w:val="Normaltindrag"/>
      </w:pPr>
      <w:r w:rsidRPr="00C9680B">
        <w:t>För 2000 beräknas de totala utgifterna på utgiftsområdet till 31 743 milj</w:t>
      </w:r>
      <w:r w:rsidRPr="00C9680B">
        <w:t>o</w:t>
      </w:r>
      <w:r w:rsidRPr="00C9680B">
        <w:t>ner kr</w:t>
      </w:r>
      <w:r w:rsidRPr="00C9680B">
        <w:t>o</w:t>
      </w:r>
      <w:r w:rsidRPr="00C9680B">
        <w:t>nor.</w:t>
      </w:r>
    </w:p>
    <w:p w:rsidR="001C7BF9" w:rsidRPr="00C9680B" w:rsidRDefault="001C7BF9">
      <w:pPr>
        <w:pStyle w:val="Rubrik4"/>
        <w:rPr>
          <w:noProof w:val="0"/>
        </w:rPr>
      </w:pPr>
      <w:bookmarkStart w:id="529" w:name="_Toc498763632"/>
      <w:bookmarkStart w:id="530" w:name="_Toc498910801"/>
      <w:r w:rsidRPr="00C9680B">
        <w:rPr>
          <w:noProof w:val="0"/>
        </w:rPr>
        <w:t>Budgetpropositionen</w:t>
      </w:r>
      <w:bookmarkEnd w:id="529"/>
      <w:bookmarkEnd w:id="530"/>
    </w:p>
    <w:p w:rsidR="001C7BF9" w:rsidRPr="00C9680B" w:rsidRDefault="001C7BF9">
      <w:r w:rsidRPr="00C9680B">
        <w:t>I budgetpropositionen (avsnitt 7.4) meddelas att utgiftsområdesramarna för 2001–2003 har ökats med 101, 1 068 respektive 2 469 miljoner kronor jä</w:t>
      </w:r>
      <w:r w:rsidRPr="00C9680B">
        <w:t>m</w:t>
      </w:r>
      <w:r w:rsidRPr="00C9680B">
        <w:t>fört med beräkningarna i 2000 års ekonomiska vårproposition. Detta är enligt regeringen främst en följd av den föreslagna satsningen på skolan. Förän</w:t>
      </w:r>
      <w:r w:rsidRPr="00C9680B">
        <w:t>d</w:t>
      </w:r>
      <w:r w:rsidRPr="00C9680B">
        <w:t>ringarna förklaras även av den nya organisationen för forskningsfinansiering och förslagen i propositionen Forskning och förnyelse. I utgiftsområdesr</w:t>
      </w:r>
      <w:r w:rsidRPr="00C9680B">
        <w:t>a</w:t>
      </w:r>
      <w:r w:rsidRPr="00C9680B">
        <w:t>marna har vidare beräknats 5 miljoner kronor till Science Center.</w:t>
      </w:r>
    </w:p>
    <w:p w:rsidR="001C7BF9" w:rsidRPr="00C9680B" w:rsidRDefault="001C7BF9">
      <w:pPr>
        <w:pStyle w:val="Normaltindrag"/>
      </w:pPr>
      <w:r w:rsidRPr="00C9680B">
        <w:t>Propositionens och oppositionspartiernas förslag till ramnivå för utgift</w:t>
      </w:r>
      <w:r w:rsidRPr="00C9680B">
        <w:t>s</w:t>
      </w:r>
      <w:r w:rsidRPr="00C9680B">
        <w:t>omr</w:t>
      </w:r>
      <w:r w:rsidRPr="00C9680B">
        <w:t>å</w:t>
      </w:r>
      <w:r w:rsidRPr="00C9680B">
        <w:t>det under åren 2001–2003 redovisas i efterföljande tabell.</w:t>
      </w:r>
    </w:p>
    <w:p w:rsidR="001C7BF9" w:rsidRPr="00C9680B" w:rsidRDefault="001C7BF9">
      <w:pPr>
        <w:pStyle w:val="FiU1tabellrubrik2000"/>
        <w:keepLines/>
        <w:outlineLvl w:val="0"/>
      </w:pPr>
      <w:r w:rsidRPr="00C9680B">
        <w:t>Förslag till ram för utgiftsområde 16 Utbildning och universitetsfors</w:t>
      </w:r>
      <w:r w:rsidRPr="00C9680B">
        <w:t>k</w:t>
      </w:r>
      <w:r w:rsidRPr="00C9680B">
        <w:t>ning</w:t>
      </w:r>
    </w:p>
    <w:p w:rsidR="001C7BF9" w:rsidRPr="00C9680B" w:rsidRDefault="001C7BF9">
      <w:pPr>
        <w:pStyle w:val="Tabell"/>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34 846</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-1 260</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-1 369</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-40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-500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40 751</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+49 783</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-6 331</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-4 940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-4 150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43 202</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+47 576</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-8 095</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-5 940</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-3 900</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ubrik4"/>
        <w:rPr>
          <w:noProof w:val="0"/>
        </w:rPr>
      </w:pPr>
      <w:bookmarkStart w:id="531" w:name="_Toc498763633"/>
      <w:bookmarkStart w:id="532" w:name="_Toc498910802"/>
      <w:r w:rsidRPr="00C9680B">
        <w:rPr>
          <w:noProof w:val="0"/>
        </w:rPr>
        <w:t>Motionerna</w:t>
      </w:r>
      <w:bookmarkEnd w:id="531"/>
      <w:bookmarkEnd w:id="532"/>
    </w:p>
    <w:p w:rsidR="001C7BF9" w:rsidRPr="00C9680B" w:rsidRDefault="001C7BF9">
      <w:r w:rsidRPr="00C9680B">
        <w:rPr>
          <w:i/>
        </w:rPr>
        <w:t>Moderata samlingspartiet</w:t>
      </w:r>
      <w:r w:rsidRPr="00C9680B">
        <w:t xml:space="preserve"> förordar i </w:t>
      </w:r>
      <w:r w:rsidRPr="00C9680B">
        <w:rPr>
          <w:i/>
        </w:rPr>
        <w:t>motion Fi208</w:t>
      </w:r>
      <w:r w:rsidRPr="00C9680B">
        <w:t xml:space="preserve"> en i förhållande till reg</w:t>
      </w:r>
      <w:r w:rsidRPr="00C9680B">
        <w:t>e</w:t>
      </w:r>
      <w:r w:rsidRPr="00C9680B">
        <w:t>ringen snabbare avveckling av Kunskapslyftet. Motionärerna anvisar i stället en kraftfull satsning på kvalificerad yrkesutbildning. Vidare föreslår motion</w:t>
      </w:r>
      <w:r w:rsidRPr="00C9680B">
        <w:t>ä</w:t>
      </w:r>
      <w:r w:rsidRPr="00C9680B">
        <w:t>rerna att staten övertar finansieringen av grundskolan och att en nationell skolpeng införs inkluderande en extra resursförstärkning till den egna skolan. Regeringens förslag till maxtaxa och införande av allmän förskola avvisas. I stället vill motionärerna inrätta alternativet barnskola för barn i försko</w:t>
      </w:r>
      <w:r w:rsidRPr="00C9680B">
        <w:t xml:space="preserve">lan. Slutligen föreslår motionärerna att satsningen på universitet och högskolor måste intensifieras. </w:t>
      </w:r>
    </w:p>
    <w:p w:rsidR="001C7BF9" w:rsidRPr="00C9680B" w:rsidRDefault="001C7BF9">
      <w:pPr>
        <w:pStyle w:val="Normaltindrag"/>
      </w:pPr>
      <w:r w:rsidRPr="00C9680B">
        <w:rPr>
          <w:i/>
        </w:rPr>
        <w:t>Kristdemokraterna</w:t>
      </w:r>
      <w:r w:rsidRPr="00C9680B">
        <w:t xml:space="preserve"> anser i </w:t>
      </w:r>
      <w:r w:rsidRPr="00C9680B">
        <w:rPr>
          <w:i/>
        </w:rPr>
        <w:t>motion Fi209</w:t>
      </w:r>
      <w:r w:rsidRPr="00C9680B">
        <w:t xml:space="preserve"> att utbyggnaden av antalet hö</w:t>
      </w:r>
      <w:r w:rsidRPr="00C9680B">
        <w:t>g</w:t>
      </w:r>
      <w:r w:rsidRPr="00C9680B">
        <w:t>skoleplatser bör ske i en takt som organisationen mäktar med. Den nuvarande nivån på antalet högskoleplatser bör enligt motionärerna gälla under den närmaste treårsperioden. Regeringens förslag om maxtaxa inom den komm</w:t>
      </w:r>
      <w:r w:rsidRPr="00C9680B">
        <w:t>u</w:t>
      </w:r>
      <w:r w:rsidRPr="00C9680B">
        <w:t>nala barnomsorgen avvisas, liksom den centralstyrda skolsatsning som reg</w:t>
      </w:r>
      <w:r w:rsidRPr="00C9680B">
        <w:t>e</w:t>
      </w:r>
      <w:r w:rsidRPr="00C9680B">
        <w:t>ringen budgeterar i budgetpropositionen. Vidare anser motionärerna att fun</w:t>
      </w:r>
      <w:r w:rsidRPr="00C9680B">
        <w:t>k</w:t>
      </w:r>
      <w:r w:rsidRPr="00C9680B">
        <w:t>tioner inom CSN som inte är myndighetsutövning bör läggas ut på de banker som tillhandahåller</w:t>
      </w:r>
      <w:r w:rsidRPr="00C9680B">
        <w:t xml:space="preserve"> lån.</w:t>
      </w:r>
    </w:p>
    <w:p w:rsidR="001C7BF9" w:rsidRPr="00C9680B" w:rsidRDefault="001C7BF9">
      <w:pPr>
        <w:pStyle w:val="Normaltindrag"/>
      </w:pPr>
      <w:r w:rsidRPr="00C9680B">
        <w:rPr>
          <w:i/>
        </w:rPr>
        <w:t>Centerpartiet</w:t>
      </w:r>
      <w:r w:rsidRPr="00C9680B">
        <w:t xml:space="preserve"> anser i </w:t>
      </w:r>
      <w:r w:rsidRPr="00C9680B">
        <w:rPr>
          <w:i/>
        </w:rPr>
        <w:t>motion Fi210</w:t>
      </w:r>
      <w:r w:rsidRPr="00C9680B">
        <w:t xml:space="preserve"> att skolan bör få mer resurser. Motion</w:t>
      </w:r>
      <w:r w:rsidRPr="00C9680B">
        <w:t>ä</w:t>
      </w:r>
      <w:r w:rsidRPr="00C9680B">
        <w:t>rerna vill därför satsa ytterligare 1 000 miljoner kronor på skolan under år 2001, 2 000 miljoner kronor under år 2002 och 3 000 miljoner kronor under år 2003. Motionärerna vill också genomföra en särskild satsning som innebär program för matematik-, läs- och skrivutveckling. Vidare anser motionärerna att den högre utbildningen kan centraliseras till alla regioner genom bl.a. bredbandskommun</w:t>
      </w:r>
      <w:r w:rsidRPr="00C9680B">
        <w:t>i</w:t>
      </w:r>
      <w:r w:rsidRPr="00C9680B">
        <w:t>kationer.</w:t>
      </w:r>
    </w:p>
    <w:p w:rsidR="001C7BF9" w:rsidRPr="00C9680B" w:rsidRDefault="001C7BF9">
      <w:pPr>
        <w:pStyle w:val="Normaltindrag"/>
      </w:pPr>
      <w:r w:rsidRPr="00C9680B">
        <w:rPr>
          <w:i/>
        </w:rPr>
        <w:t>Folkpartiet liberalerna</w:t>
      </w:r>
      <w:r w:rsidRPr="00C9680B">
        <w:t xml:space="preserve"> anser i </w:t>
      </w:r>
      <w:r w:rsidRPr="00C9680B">
        <w:rPr>
          <w:i/>
        </w:rPr>
        <w:t>motion Fi211</w:t>
      </w:r>
      <w:r w:rsidRPr="00C9680B">
        <w:t xml:space="preserve"> att den förbättrade konjunkt</w:t>
      </w:r>
      <w:r w:rsidRPr="00C9680B">
        <w:t>u</w:t>
      </w:r>
      <w:r w:rsidRPr="00C9680B">
        <w:t>ren gör att utgifterna för Kunskapslyftet kan minska med ca 25 %. Med hä</w:t>
      </w:r>
      <w:r w:rsidRPr="00C9680B">
        <w:t>n</w:t>
      </w:r>
      <w:r w:rsidRPr="00C9680B">
        <w:t>syn till den viktiga roll som forskningen spelar för vår tillväxt och vårt vä</w:t>
      </w:r>
      <w:r w:rsidRPr="00C9680B">
        <w:t>l</w:t>
      </w:r>
      <w:r w:rsidRPr="00C9680B">
        <w:t>stånd satsar motionärerna en halv miljard kronor per år på universitet och högskolor.</w:t>
      </w:r>
    </w:p>
    <w:p w:rsidR="001C7BF9" w:rsidRPr="00C9680B" w:rsidRDefault="001C7BF9">
      <w:r w:rsidRPr="00C9680B">
        <w:rPr>
          <w:i/>
        </w:rPr>
        <w:t>Utbildningsutskotte</w:t>
      </w:r>
      <w:r w:rsidRPr="00C9680B">
        <w:rPr>
          <w:i/>
        </w:rPr>
        <w:t>t</w:t>
      </w:r>
      <w:r w:rsidRPr="00C9680B">
        <w:t xml:space="preserve"> har avstått från att yttra sig.</w:t>
      </w:r>
    </w:p>
    <w:p w:rsidR="001C7BF9" w:rsidRPr="00C9680B" w:rsidRDefault="001C7BF9">
      <w:pPr>
        <w:pStyle w:val="Rubrik4"/>
        <w:rPr>
          <w:noProof w:val="0"/>
        </w:rPr>
      </w:pPr>
      <w:bookmarkStart w:id="533" w:name="_Toc498763634"/>
      <w:bookmarkStart w:id="534" w:name="_Toc498910803"/>
      <w:r w:rsidRPr="00C9680B">
        <w:rPr>
          <w:noProof w:val="0"/>
        </w:rPr>
        <w:t>Finansutskottets ställningstagande</w:t>
      </w:r>
      <w:bookmarkEnd w:id="533"/>
      <w:bookmarkEnd w:id="534"/>
    </w:p>
    <w:p w:rsidR="001C7BF9" w:rsidRPr="00C9680B" w:rsidRDefault="001C7BF9">
      <w:r w:rsidRPr="00C9680B">
        <w:t>Finansutskottet har tidigare i betänkandet (avsnitt 2.4.3 och 2.6) redovisat sin bedömning av fördelningen av utgifterna på utgiftsområden för budgetåret 2001 och därvid tillstyrkt regeringens förslag.</w:t>
      </w:r>
    </w:p>
    <w:p w:rsidR="001C7BF9" w:rsidRPr="00C9680B" w:rsidRDefault="001C7BF9">
      <w:pPr>
        <w:pStyle w:val="Normaltindrag"/>
      </w:pPr>
      <w:r w:rsidRPr="00C9680B">
        <w:t>Finansutskottet tillstyrker således propositionens förslag till ramnivå för utgiftsområde 16 och föreslår att utgiftsramen fastställs till 34 846 miljoner kronor. Motionernas förslag till alternativa ramar a</w:t>
      </w:r>
      <w:r w:rsidRPr="00C9680B">
        <w:t>v</w:t>
      </w:r>
      <w:r w:rsidRPr="00C9680B">
        <w:t>styrks.</w:t>
      </w:r>
    </w:p>
    <w:p w:rsidR="001C7BF9" w:rsidRPr="00C9680B" w:rsidRDefault="001C7BF9">
      <w:pPr>
        <w:pStyle w:val="Rubrik3"/>
        <w:rPr>
          <w:noProof w:val="0"/>
        </w:rPr>
      </w:pPr>
      <w:bookmarkStart w:id="535" w:name="_Toc498157135"/>
      <w:bookmarkStart w:id="536" w:name="_Toc498910804"/>
      <w:r w:rsidRPr="00C9680B">
        <w:rPr>
          <w:noProof w:val="0"/>
        </w:rPr>
        <w:t>4.1.17 Utgiftsområde 17 Kultur, medier, trossamfund och fritid</w:t>
      </w:r>
      <w:bookmarkEnd w:id="535"/>
      <w:bookmarkEnd w:id="536"/>
    </w:p>
    <w:p w:rsidR="001C7BF9" w:rsidRPr="00C9680B" w:rsidRDefault="001C7BF9">
      <w:r w:rsidRPr="00C9680B">
        <w:t>Utgiftsområdet omfattar frågor om teater, dans, musik, bibliotek, litteratur, kulturtidskrifter, bild och form, konsthantverk, ersättningar och bidrag till konstnärer, film, arkiv, kulturmiljö, arkitektur, formgivning och design, m</w:t>
      </w:r>
      <w:r w:rsidRPr="00C9680B">
        <w:t>u</w:t>
      </w:r>
      <w:r w:rsidRPr="00C9680B">
        <w:t>seer och utställningar, vissa medier, forskning inom kultur- och medieomr</w:t>
      </w:r>
      <w:r w:rsidRPr="00C9680B">
        <w:t>å</w:t>
      </w:r>
      <w:r w:rsidRPr="00C9680B">
        <w:t>det samt stöd till trossamfund. Vidare omfattar utgiftsområdet folkbildningen, bidrag till kontakttolkutbildningen samt vissa handikappåtgärder. Utgiftso</w:t>
      </w:r>
      <w:r w:rsidRPr="00C9680B">
        <w:t>m</w:t>
      </w:r>
      <w:r w:rsidRPr="00C9680B">
        <w:t>rådet omfattar slutligen ungdoms-, folkrörelse-, frilufts- och idrottsfrågor.</w:t>
      </w:r>
    </w:p>
    <w:p w:rsidR="001C7BF9" w:rsidRPr="00C9680B" w:rsidRDefault="001C7BF9">
      <w:pPr>
        <w:pStyle w:val="Normaltindrag"/>
      </w:pPr>
      <w:r w:rsidRPr="00C9680B">
        <w:t>För 2000 beräknas de totala utgifterna på utgiftsområdet till 7 620 miljoner kronor.</w:t>
      </w:r>
    </w:p>
    <w:p w:rsidR="001C7BF9" w:rsidRPr="00C9680B" w:rsidRDefault="001C7BF9">
      <w:pPr>
        <w:pStyle w:val="Rubrik4"/>
        <w:rPr>
          <w:noProof w:val="0"/>
        </w:rPr>
      </w:pPr>
      <w:bookmarkStart w:id="537" w:name="_Toc498763636"/>
      <w:bookmarkStart w:id="538" w:name="_Toc498910805"/>
      <w:r w:rsidRPr="00C9680B">
        <w:rPr>
          <w:noProof w:val="0"/>
        </w:rPr>
        <w:t>Budgetpropositionen</w:t>
      </w:r>
      <w:bookmarkEnd w:id="537"/>
      <w:bookmarkEnd w:id="538"/>
    </w:p>
    <w:p w:rsidR="001C7BF9" w:rsidRPr="00C9680B" w:rsidRDefault="001C7BF9">
      <w:r w:rsidRPr="00C9680B">
        <w:t>I budgetpropositionen (avsnitt 7.4) meddelar regeringen att de prioriteringar som gjorts inom utgiftsområdet genom förändrade resurser är satsningar på i första hand konstnärernas villkor samt kulturinstitutionerna, främst de cen</w:t>
      </w:r>
      <w:r w:rsidRPr="00C9680B">
        <w:softHyphen/>
        <w:t>trala och regionala museerna. Förändringar av utgiftsområdesramen jämfört med bedömningen i 2000 års ekonomiska vårproposition förklaras av ytterl</w:t>
      </w:r>
      <w:r w:rsidRPr="00C9680B">
        <w:t>i</w:t>
      </w:r>
      <w:r w:rsidRPr="00C9680B">
        <w:t>gare reformmedel på 18 miljoner kronor. Därtill ökar utgiftsområdet till följd av ökade kostnader för premier för statsbidrag till icke-statliga arbetsgivare vars anställda är anslutna till de statliga avtalsförsäkringarna.</w:t>
      </w:r>
    </w:p>
    <w:p w:rsidR="001C7BF9" w:rsidRPr="00C9680B" w:rsidRDefault="001C7BF9">
      <w:pPr>
        <w:pStyle w:val="Normaltindrag"/>
      </w:pPr>
      <w:r w:rsidRPr="00C9680B">
        <w:t>Propositionens och oppositionspartiernas förslag till ramnivå för utgift</w:t>
      </w:r>
      <w:r w:rsidRPr="00C9680B">
        <w:t>s</w:t>
      </w:r>
      <w:r w:rsidRPr="00C9680B">
        <w:t>omr</w:t>
      </w:r>
      <w:r w:rsidRPr="00C9680B">
        <w:t>å</w:t>
      </w:r>
      <w:r w:rsidRPr="00C9680B">
        <w:t>det under åren 2001–2003 redovisas i efterföljande tabell.</w:t>
      </w:r>
    </w:p>
    <w:p w:rsidR="001C7BF9" w:rsidRPr="00C9680B" w:rsidRDefault="001C7BF9">
      <w:pPr>
        <w:pStyle w:val="FiU1tabellrubrik2000"/>
        <w:keepLines/>
        <w:outlineLvl w:val="0"/>
      </w:pPr>
      <w:r w:rsidRPr="00C9680B">
        <w:t>Förslag till ram för utgiftsområde 17 Kultur, medier, trossamfund och fritid</w:t>
      </w:r>
    </w:p>
    <w:p w:rsidR="001C7BF9" w:rsidRPr="00C9680B" w:rsidRDefault="001C7BF9">
      <w:pPr>
        <w:pStyle w:val="Tabell"/>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7 807</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-1 518</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+70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+165</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+40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7 965</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-1 518</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+70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+340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+40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8 092</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-1 518</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+70</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+365</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+40</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ubrik4"/>
        <w:rPr>
          <w:noProof w:val="0"/>
        </w:rPr>
      </w:pPr>
      <w:bookmarkStart w:id="539" w:name="_Toc498763637"/>
      <w:bookmarkStart w:id="540" w:name="_Toc498910806"/>
      <w:r w:rsidRPr="00C9680B">
        <w:rPr>
          <w:noProof w:val="0"/>
        </w:rPr>
        <w:t>Motionerna</w:t>
      </w:r>
      <w:bookmarkEnd w:id="539"/>
      <w:bookmarkEnd w:id="540"/>
    </w:p>
    <w:p w:rsidR="001C7BF9" w:rsidRPr="00C9680B" w:rsidRDefault="001C7BF9">
      <w:r w:rsidRPr="00C9680B">
        <w:rPr>
          <w:i/>
        </w:rPr>
        <w:t>Moderata samlingspartiet</w:t>
      </w:r>
      <w:r w:rsidRPr="00C9680B">
        <w:t xml:space="preserve"> anser i </w:t>
      </w:r>
      <w:r w:rsidRPr="00C9680B">
        <w:rPr>
          <w:i/>
        </w:rPr>
        <w:t xml:space="preserve">motion Fi208 </w:t>
      </w:r>
      <w:r w:rsidRPr="00C9680B">
        <w:t>att statens ansvar bör ko</w:t>
      </w:r>
      <w:r w:rsidRPr="00C9680B">
        <w:t>n</w:t>
      </w:r>
      <w:r w:rsidRPr="00C9680B">
        <w:t>centreras till områden som är av allmänt intresse och av nationell karaktär samt beroende av statliga medel för att verksamheter skall komma till stånd. En ny kulturfond som skall komplettera bidrag från andra sektorer än den offentliga bör inrättas, vilken initialt tillförs 120 miljoner kronor. Härigenom kan, enligt motionärerna, en politiskt oberoende och långsiktigt säkrad fina</w:t>
      </w:r>
      <w:r w:rsidRPr="00C9680B">
        <w:t>n</w:t>
      </w:r>
      <w:r w:rsidRPr="00C9680B">
        <w:t>siering skapas. Anslagen till Statens kulturråd och till allmän kulturverksa</w:t>
      </w:r>
      <w:r w:rsidRPr="00C9680B">
        <w:t>m</w:t>
      </w:r>
      <w:r w:rsidRPr="00C9680B">
        <w:t>het</w:t>
      </w:r>
      <w:r w:rsidRPr="00C9680B">
        <w:t xml:space="preserve"> kan därför minskas. Vidare anser motionärerna att de fria teatergrupperna bör få högre anslag. Slutligen föreslås att ökade resurser ges till vaktslåendet om kulturarvet och en förbättrad kulturmiljövård.</w:t>
      </w:r>
    </w:p>
    <w:p w:rsidR="001C7BF9" w:rsidRPr="00C9680B" w:rsidRDefault="001C7BF9">
      <w:pPr>
        <w:pStyle w:val="Normaltindrag"/>
      </w:pPr>
      <w:r w:rsidRPr="00C9680B">
        <w:rPr>
          <w:i/>
        </w:rPr>
        <w:t>Kristdemokraterna</w:t>
      </w:r>
      <w:r w:rsidRPr="00C9680B">
        <w:t xml:space="preserve"> föreslår i </w:t>
      </w:r>
      <w:r w:rsidRPr="00C9680B">
        <w:rPr>
          <w:i/>
        </w:rPr>
        <w:t>motion Fi209</w:t>
      </w:r>
      <w:r w:rsidRPr="00C9680B">
        <w:t xml:space="preserve"> att ramen för utgiftsområdet bör utökas med 70 miljoner kronor årligen den kommande treårsperioden. Motionärerna föreslår också en sänkning av momsen på böcker från 25 % till 6 procent från år 2002.</w:t>
      </w:r>
    </w:p>
    <w:p w:rsidR="001C7BF9" w:rsidRPr="00C9680B" w:rsidRDefault="001C7BF9">
      <w:pPr>
        <w:pStyle w:val="Normaltindrag"/>
      </w:pPr>
      <w:r w:rsidRPr="00C9680B">
        <w:rPr>
          <w:i/>
        </w:rPr>
        <w:t>Centerpartiet</w:t>
      </w:r>
      <w:r w:rsidRPr="00C9680B">
        <w:t xml:space="preserve"> föreslår i </w:t>
      </w:r>
      <w:r w:rsidRPr="00C9680B">
        <w:rPr>
          <w:i/>
        </w:rPr>
        <w:t>motion Fi210</w:t>
      </w:r>
      <w:r w:rsidRPr="00C9680B">
        <w:t xml:space="preserve"> att utgiftsområdesramen ökas med 165 miljoner kronor år 2001, med 340 miljoner kronor år 2002 och med 365 mi</w:t>
      </w:r>
      <w:r w:rsidRPr="00C9680B">
        <w:t>l</w:t>
      </w:r>
      <w:r w:rsidRPr="00C9680B">
        <w:t>joner kronor år 2003.</w:t>
      </w:r>
    </w:p>
    <w:p w:rsidR="001C7BF9" w:rsidRPr="00C9680B" w:rsidRDefault="001C7BF9">
      <w:pPr>
        <w:pStyle w:val="Normaltindrag"/>
      </w:pPr>
      <w:r w:rsidRPr="00C9680B">
        <w:rPr>
          <w:i/>
        </w:rPr>
        <w:t>Folkpartiet liberalerna</w:t>
      </w:r>
      <w:r w:rsidRPr="00C9680B">
        <w:t xml:space="preserve"> föreslår i </w:t>
      </w:r>
      <w:r w:rsidRPr="00C9680B">
        <w:rPr>
          <w:i/>
        </w:rPr>
        <w:t>motion Fi211</w:t>
      </w:r>
      <w:r w:rsidRPr="00C9680B">
        <w:t xml:space="preserve"> ökade satsningar bl.a. till den regionala musikverksamheten och de regionala museerna. Vidare vill motionärerna öka stödet till trossamfund, idrotten och allmänna samlingsl</w:t>
      </w:r>
      <w:r w:rsidRPr="00C9680B">
        <w:t>o</w:t>
      </w:r>
      <w:r w:rsidRPr="00C9680B">
        <w:t>kaler. I motionen föreslås också att momsen på böcker sänks från 25 % till 6 %.</w:t>
      </w:r>
    </w:p>
    <w:p w:rsidR="001C7BF9" w:rsidRPr="00C9680B" w:rsidRDefault="001C7BF9">
      <w:pPr>
        <w:pStyle w:val="Rubrik4"/>
        <w:rPr>
          <w:noProof w:val="0"/>
        </w:rPr>
      </w:pPr>
      <w:bookmarkStart w:id="541" w:name="_Toc498763638"/>
      <w:bookmarkStart w:id="542" w:name="_Toc498910807"/>
      <w:r w:rsidRPr="00C9680B">
        <w:rPr>
          <w:noProof w:val="0"/>
        </w:rPr>
        <w:t>Kulturutskottets yttrande</w:t>
      </w:r>
      <w:bookmarkEnd w:id="541"/>
      <w:bookmarkEnd w:id="542"/>
    </w:p>
    <w:p w:rsidR="001C7BF9" w:rsidRPr="00C9680B" w:rsidRDefault="001C7BF9">
      <w:r w:rsidRPr="00C9680B">
        <w:t>I ett protokollsutdrag från kulturutskottet tillstyrks regeringens förslag till ram för utgiftsområdet. Representanterna för Moderata samlingspartiet, Kristd</w:t>
      </w:r>
      <w:r w:rsidRPr="00C9680B">
        <w:t>e</w:t>
      </w:r>
      <w:r w:rsidRPr="00C9680B">
        <w:t>mokraterna, Centerpartiet och Folkpartiet liberalerna reserverar sig till förmån för r</w:t>
      </w:r>
      <w:r w:rsidRPr="00C9680B">
        <w:t>e</w:t>
      </w:r>
      <w:r w:rsidRPr="00C9680B">
        <w:t>spektive partis förslag.</w:t>
      </w:r>
    </w:p>
    <w:p w:rsidR="001C7BF9" w:rsidRPr="00C9680B" w:rsidRDefault="001C7BF9">
      <w:pPr>
        <w:pStyle w:val="Rubrik4"/>
        <w:rPr>
          <w:noProof w:val="0"/>
        </w:rPr>
      </w:pPr>
      <w:bookmarkStart w:id="543" w:name="_Toc498763639"/>
      <w:bookmarkStart w:id="544" w:name="_Toc498910808"/>
      <w:r w:rsidRPr="00C9680B">
        <w:rPr>
          <w:noProof w:val="0"/>
        </w:rPr>
        <w:t>Finansutskottets ställningstagande</w:t>
      </w:r>
      <w:bookmarkEnd w:id="543"/>
      <w:bookmarkEnd w:id="544"/>
    </w:p>
    <w:p w:rsidR="001C7BF9" w:rsidRPr="00C9680B" w:rsidRDefault="001C7BF9">
      <w:r w:rsidRPr="00C9680B">
        <w:t>Finansutskottet har tidigare i betänkandet (avsnitten 2.4.3 och 2.6) redovisat sin bedömning av fördelningen av utgifterna på utgiftsområden för budgetåret 2001 och därvid tillstyrkt regeringens förslag. Kulturutskottet har från sina utgång</w:t>
      </w:r>
      <w:r w:rsidRPr="00C9680B">
        <w:t>s</w:t>
      </w:r>
      <w:r w:rsidRPr="00C9680B">
        <w:t xml:space="preserve">punkter tillstyrkt förslaget till ram för utgiftsområdet. </w:t>
      </w:r>
    </w:p>
    <w:p w:rsidR="001C7BF9" w:rsidRPr="00C9680B" w:rsidRDefault="001C7BF9">
      <w:pPr>
        <w:pStyle w:val="Normaltindrag"/>
      </w:pPr>
      <w:r w:rsidRPr="00C9680B">
        <w:t>Finansutskottet tillstyrker således propositionens förslag till ramnivå för utgiftsområde 17 och föreslår att utgiftsramen fastställs till 7 807 miljoner kronor. Partimotionernas förslag till alternativa ramar avstyrks.</w:t>
      </w:r>
    </w:p>
    <w:p w:rsidR="001C7BF9" w:rsidRPr="00C9680B" w:rsidRDefault="001C7BF9">
      <w:pPr>
        <w:pStyle w:val="Rubrik3"/>
        <w:rPr>
          <w:noProof w:val="0"/>
        </w:rPr>
      </w:pPr>
      <w:bookmarkStart w:id="545" w:name="_Toc498157136"/>
      <w:bookmarkStart w:id="546" w:name="_Toc498910809"/>
      <w:r w:rsidRPr="00C9680B">
        <w:rPr>
          <w:noProof w:val="0"/>
        </w:rPr>
        <w:t>4.1.18 Utgiftsområde 18 Samhällsplanering, bostadsförsörjning och byggande</w:t>
      </w:r>
      <w:bookmarkEnd w:id="545"/>
      <w:bookmarkEnd w:id="546"/>
    </w:p>
    <w:p w:rsidR="001C7BF9" w:rsidRPr="00C9680B" w:rsidRDefault="001C7BF9">
      <w:r w:rsidRPr="00C9680B">
        <w:t>Utgiftsområdet omfattar plan-, bygg- och bostadsväsendet, geotekniska fr</w:t>
      </w:r>
      <w:r w:rsidRPr="00C9680B">
        <w:t>å</w:t>
      </w:r>
      <w:r w:rsidRPr="00C9680B">
        <w:t>gor, länsstyrelserna, lantmäteriverksamhet samt stöd till ekologisk omstäl</w:t>
      </w:r>
      <w:r w:rsidRPr="00C9680B">
        <w:t>l</w:t>
      </w:r>
      <w:r w:rsidRPr="00C9680B">
        <w:t>ning och utveckling.</w:t>
      </w:r>
    </w:p>
    <w:p w:rsidR="001C7BF9" w:rsidRPr="00C9680B" w:rsidRDefault="001C7BF9">
      <w:pPr>
        <w:pStyle w:val="Normaltindrag"/>
      </w:pPr>
      <w:r w:rsidRPr="00C9680B">
        <w:t>De totala utgifterna för utgiftsområdet år 2000 beräknas uppgå till 12 760 miljoner kronor.</w:t>
      </w:r>
    </w:p>
    <w:p w:rsidR="001C7BF9" w:rsidRPr="00C9680B" w:rsidRDefault="001C7BF9">
      <w:pPr>
        <w:pStyle w:val="R4"/>
      </w:pPr>
      <w:r w:rsidRPr="00C9680B">
        <w:t>Budgetpropositionen</w:t>
      </w:r>
    </w:p>
    <w:p w:rsidR="001C7BF9" w:rsidRPr="00C9680B" w:rsidRDefault="001C7BF9">
      <w:r w:rsidRPr="00C9680B">
        <w:t>I budgetpropositionen (avsnitt 7.4) anförs att förändringen av utgiftsområde</w:t>
      </w:r>
      <w:r w:rsidRPr="00C9680B">
        <w:t>s</w:t>
      </w:r>
      <w:r w:rsidRPr="00C9680B">
        <w:t>ramen jämfört med beräkningen i 2000 års ekonomiska vårproposition förkl</w:t>
      </w:r>
      <w:r w:rsidRPr="00C9680B">
        <w:t>a</w:t>
      </w:r>
      <w:r w:rsidRPr="00C9680B">
        <w:t>ras i huvudsak av att anslagen för byggforskning överförs till det nya fors</w:t>
      </w:r>
      <w:r w:rsidRPr="00C9680B">
        <w:t>k</w:t>
      </w:r>
      <w:r w:rsidRPr="00C9680B">
        <w:t>ningsrådet för miljö, areella näringar och samhällsbyggande under utgiftso</w:t>
      </w:r>
      <w:r w:rsidRPr="00C9680B">
        <w:t>m</w:t>
      </w:r>
      <w:r w:rsidRPr="00C9680B">
        <w:t>råde 20. Som en följd av överföringarna minskar utgiftsområdet med ca 135 miljoner kronor. Bostadsbidraget minskar med i genomsnitt 100 miljoner kronor respektive år 2001–2003 jämfört med beräkningen i 2000 års ekon</w:t>
      </w:r>
      <w:r w:rsidRPr="00C9680B">
        <w:t>o</w:t>
      </w:r>
      <w:r w:rsidRPr="00C9680B">
        <w:t>miska vårproposition. Detta beror på att löner och sysselsättning beräk</w:t>
      </w:r>
      <w:r w:rsidRPr="00C9680B">
        <w:t>nas öka, vilket medför att färre familjer blir berättigade till bostadsbidrag. Ansl</w:t>
      </w:r>
      <w:r w:rsidRPr="00C9680B">
        <w:t>a</w:t>
      </w:r>
      <w:r w:rsidRPr="00C9680B">
        <w:t>get för investeringar som främjar ekologisk hållbarhet vid bostadsbyggande minskas 2001 med 115 miljoner kr</w:t>
      </w:r>
      <w:r w:rsidRPr="00C9680B">
        <w:t>o</w:t>
      </w:r>
      <w:r w:rsidRPr="00C9680B">
        <w:t>nor. Anslaget till lokala investeringspro</w:t>
      </w:r>
      <w:r w:rsidRPr="00C9680B">
        <w:softHyphen/>
        <w:t>gram minskas med 50 miljoner kronor 2001 och 65 miljoner kronor 2002 och 2003 för att finansiera insatser inom utgiftsområdena 16, 20 och 23. Länsst</w:t>
      </w:r>
      <w:r w:rsidRPr="00C9680B">
        <w:t>y</w:t>
      </w:r>
      <w:r w:rsidRPr="00C9680B">
        <w:t xml:space="preserve">relserna och de regionala självstyrelseorganen tillförs 46 miljoner kronor för strukturfondsadministration genom överföring från </w:t>
      </w:r>
      <w:r w:rsidRPr="00C9680B">
        <w:t>utgiftsområdena 13 och 19. Länsstyrelserna tillförs också 15 miljoner kronor för miljötillsyn genom överföring från utgiftso</w:t>
      </w:r>
      <w:r w:rsidRPr="00C9680B">
        <w:t>m</w:t>
      </w:r>
      <w:r w:rsidRPr="00C9680B">
        <w:t>råde 20.</w:t>
      </w:r>
    </w:p>
    <w:p w:rsidR="001C7BF9" w:rsidRPr="00C9680B" w:rsidRDefault="001C7BF9">
      <w:pPr>
        <w:pStyle w:val="Normaltindrag"/>
      </w:pPr>
      <w:r w:rsidRPr="00C9680B">
        <w:t>I följande tablå redovisas föreslagna utgiftsramar enligt budgetpropositi</w:t>
      </w:r>
      <w:r w:rsidRPr="00C9680B">
        <w:t>o</w:t>
      </w:r>
      <w:r w:rsidRPr="00C9680B">
        <w:t>nen och motionerna.</w:t>
      </w:r>
    </w:p>
    <w:p w:rsidR="001C7BF9" w:rsidRPr="00C9680B" w:rsidRDefault="001C7BF9">
      <w:pPr>
        <w:pStyle w:val="FiU1tabellrubrik2000"/>
        <w:keepLines/>
        <w:outlineLvl w:val="0"/>
      </w:pPr>
      <w:r w:rsidRPr="00C9680B">
        <w:t>Förslag till ram för utgiftsområde 18 Samhällsplanering, bostadsförsör</w:t>
      </w:r>
      <w:r w:rsidRPr="00C9680B">
        <w:t>j</w:t>
      </w:r>
      <w:r w:rsidRPr="00C9680B">
        <w:t xml:space="preserve">ning och </w:t>
      </w:r>
    </w:p>
    <w:p w:rsidR="001C7BF9" w:rsidRPr="00C9680B" w:rsidRDefault="001C7BF9">
      <w:pPr>
        <w:pStyle w:val="FiU1tabellrubrik2000"/>
        <w:keepLines/>
        <w:spacing w:before="0" w:line="180" w:lineRule="exact"/>
      </w:pPr>
      <w:r w:rsidRPr="00C9680B">
        <w:t>byggande</w:t>
      </w:r>
    </w:p>
    <w:p w:rsidR="001C7BF9" w:rsidRPr="00C9680B" w:rsidRDefault="001C7BF9">
      <w:pPr>
        <w:pStyle w:val="Tabell"/>
        <w:keepLines/>
        <w:spacing w:after="4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11 635</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-2 096</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-560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-1 667</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-2 504</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11 012</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-1 951</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-999</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-1 430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-2 184</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10 613</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-2 288</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-1 140</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-1 135</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-1 858</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4"/>
      </w:pPr>
      <w:r w:rsidRPr="00C9680B">
        <w:t>Motionerna</w:t>
      </w:r>
    </w:p>
    <w:p w:rsidR="001C7BF9" w:rsidRPr="00C9680B" w:rsidRDefault="001C7BF9">
      <w:r w:rsidRPr="00C9680B">
        <w:rPr>
          <w:i/>
        </w:rPr>
        <w:t>Moderata samlingspartiet</w:t>
      </w:r>
      <w:r w:rsidRPr="00C9680B">
        <w:t xml:space="preserve"> anser i motion </w:t>
      </w:r>
      <w:r w:rsidRPr="00C9680B">
        <w:rPr>
          <w:i/>
        </w:rPr>
        <w:t>Fi208</w:t>
      </w:r>
      <w:r w:rsidRPr="00C9680B">
        <w:t xml:space="preserve"> att ett successivt avvecklande av fastighetsskatten medför att räntebidragen kan trappas ned. Bostadsbidr</w:t>
      </w:r>
      <w:r w:rsidRPr="00C9680B">
        <w:t>a</w:t>
      </w:r>
      <w:r w:rsidRPr="00C9680B">
        <w:t>gen bör renodlas för att endast gå till barnfamiljer och växlas på sikt mot sänkt skatt. Genom avregleringar kan kostnaderna för Boverket skäras ned. Motionärerna föreslår också att stödet till lokala investeringsprogram för ekologisk hållbarhet och bidrag till bostadsinvesteringar som främjar ekol</w:t>
      </w:r>
      <w:r w:rsidRPr="00C9680B">
        <w:t>o</w:t>
      </w:r>
      <w:r w:rsidRPr="00C9680B">
        <w:t>gisk hållbarhet avskaffas. Vidare bör bidrag till åtgärder mot radon i bostäder avsk</w:t>
      </w:r>
      <w:r w:rsidRPr="00C9680B">
        <w:t>a</w:t>
      </w:r>
      <w:r w:rsidRPr="00C9680B">
        <w:t>f</w:t>
      </w:r>
      <w:r w:rsidRPr="00C9680B">
        <w:t xml:space="preserve">fas. </w:t>
      </w:r>
    </w:p>
    <w:p w:rsidR="001C7BF9" w:rsidRPr="00C9680B" w:rsidRDefault="001C7BF9">
      <w:pPr>
        <w:pStyle w:val="Normaltindrag"/>
      </w:pPr>
      <w:r w:rsidRPr="00C9680B">
        <w:rPr>
          <w:i/>
        </w:rPr>
        <w:t>Kristdemokraterna</w:t>
      </w:r>
      <w:r w:rsidRPr="00C9680B">
        <w:t xml:space="preserve"> föreslår i motion </w:t>
      </w:r>
      <w:r w:rsidRPr="00C9680B">
        <w:rPr>
          <w:i/>
        </w:rPr>
        <w:t>Fi209</w:t>
      </w:r>
      <w:r w:rsidRPr="00C9680B">
        <w:t xml:space="preserve"> vissa förbättringar i bostadsb</w:t>
      </w:r>
      <w:r w:rsidRPr="00C9680B">
        <w:t>i</w:t>
      </w:r>
      <w:r w:rsidRPr="00C9680B">
        <w:t>draget som skall finansieras genom att höjningen av barnbidraget begränsas till 75 kr per barn och månad under utgiftsområde 12. Motionärerna anser att vissa mindre besparingar på räntebidraget till det äldre fastighetsbeståndet kan göras, och motionärerna avvisar räntebidrag på nya fastigheter. Motion</w:t>
      </w:r>
      <w:r w:rsidRPr="00C9680B">
        <w:t>ä</w:t>
      </w:r>
      <w:r w:rsidRPr="00C9680B">
        <w:t>rerna föreslår en mer offensiv satsning på förbättrad inomhusmiljö, allergis</w:t>
      </w:r>
      <w:r w:rsidRPr="00C9680B">
        <w:t>a</w:t>
      </w:r>
      <w:r w:rsidRPr="00C9680B">
        <w:t>nering av bostäder och skolor m.m. Motionärerna avvisar de lokala invest</w:t>
      </w:r>
      <w:r w:rsidRPr="00C9680B">
        <w:t>e</w:t>
      </w:r>
      <w:r w:rsidRPr="00C9680B">
        <w:t>ri</w:t>
      </w:r>
      <w:r w:rsidRPr="00C9680B">
        <w:t>ngsprogrammen.</w:t>
      </w:r>
    </w:p>
    <w:p w:rsidR="001C7BF9" w:rsidRPr="00C9680B" w:rsidRDefault="001C7BF9">
      <w:pPr>
        <w:pStyle w:val="Normaltindrag"/>
      </w:pPr>
      <w:r w:rsidRPr="00C9680B">
        <w:rPr>
          <w:i/>
        </w:rPr>
        <w:t>Centerpartiet</w:t>
      </w:r>
      <w:r w:rsidRPr="00C9680B">
        <w:t xml:space="preserve"> förespråkar i motion </w:t>
      </w:r>
      <w:r w:rsidRPr="00C9680B">
        <w:rPr>
          <w:i/>
        </w:rPr>
        <w:t>Fi210</w:t>
      </w:r>
      <w:r w:rsidRPr="00C9680B">
        <w:t xml:space="preserve"> en minskning av ramen för u</w:t>
      </w:r>
      <w:r w:rsidRPr="00C9680B">
        <w:t>t</w:t>
      </w:r>
      <w:r w:rsidRPr="00C9680B">
        <w:t>gift</w:t>
      </w:r>
      <w:r w:rsidRPr="00C9680B">
        <w:t>s</w:t>
      </w:r>
      <w:r w:rsidRPr="00C9680B">
        <w:t>området.</w:t>
      </w:r>
    </w:p>
    <w:p w:rsidR="001C7BF9" w:rsidRPr="00C9680B" w:rsidRDefault="001C7BF9">
      <w:pPr>
        <w:pStyle w:val="Normaltindrag"/>
      </w:pPr>
      <w:r w:rsidRPr="00C9680B">
        <w:rPr>
          <w:i/>
        </w:rPr>
        <w:t>Folkpartiet liberalerna</w:t>
      </w:r>
      <w:r w:rsidRPr="00C9680B">
        <w:t xml:space="preserve"> är i motion </w:t>
      </w:r>
      <w:r w:rsidRPr="00C9680B">
        <w:rPr>
          <w:i/>
        </w:rPr>
        <w:t>Fi211</w:t>
      </w:r>
      <w:r w:rsidRPr="00C9680B">
        <w:t xml:space="preserve"> kritiskt till de lokala invest</w:t>
      </w:r>
      <w:r w:rsidRPr="00C9680B">
        <w:t>e</w:t>
      </w:r>
      <w:r w:rsidRPr="00C9680B">
        <w:t>ringsprogrammen och anser att de bör avskaffas. Motionärerna anser att vissa besparingar kan göras på bostadsbidragen och räntebidragen. Besparingar kan också göras på byråkratin inom utgiftsområdet, Boverket och Lantmäterive</w:t>
      </w:r>
      <w:r w:rsidRPr="00C9680B">
        <w:t>r</w:t>
      </w:r>
      <w:r w:rsidRPr="00C9680B">
        <w:t>ket. Motionärerna vill satsa mer än regeringen på investeringsbidrag för a</w:t>
      </w:r>
      <w:r w:rsidRPr="00C9680B">
        <w:t>n</w:t>
      </w:r>
      <w:r w:rsidRPr="00C9680B">
        <w:t>ordning av bostäder för st</w:t>
      </w:r>
      <w:r w:rsidRPr="00C9680B">
        <w:t>u</w:t>
      </w:r>
      <w:r w:rsidRPr="00C9680B">
        <w:t>denter.</w:t>
      </w:r>
    </w:p>
    <w:p w:rsidR="001C7BF9" w:rsidRPr="00C9680B" w:rsidRDefault="001C7BF9">
      <w:pPr>
        <w:pStyle w:val="R4"/>
      </w:pPr>
      <w:r w:rsidRPr="00C9680B">
        <w:t>Bostadsutskottets yttrande</w:t>
      </w:r>
    </w:p>
    <w:p w:rsidR="001C7BF9" w:rsidRPr="00C9680B" w:rsidRDefault="001C7BF9">
      <w:pPr>
        <w:rPr>
          <w:b/>
        </w:rPr>
      </w:pPr>
      <w:r w:rsidRPr="00C9680B">
        <w:t>Bostadsutskottet tillstyrker i sitt yttrande (BoU1y) regeringens förslag och avstyrker motionerna. I yttrandet behandlar bostadsutskottet även indelningen av statsbudgeten i politikområden.</w:t>
      </w:r>
    </w:p>
    <w:p w:rsidR="001C7BF9" w:rsidRPr="00C9680B" w:rsidRDefault="001C7BF9">
      <w:pPr>
        <w:pStyle w:val="Normaltindrag"/>
      </w:pPr>
      <w:r w:rsidRPr="00C9680B">
        <w:t>Företrädarna för Moderata samlingspartiet, Kristdemokraterna, Centerpa</w:t>
      </w:r>
      <w:r w:rsidRPr="00C9680B">
        <w:t>r</w:t>
      </w:r>
      <w:r w:rsidRPr="00C9680B">
        <w:t>tiet och Folkpartiet liberalerna tillstyrker i avvikande meningar förslagen i respektive partimotion.</w:t>
      </w:r>
    </w:p>
    <w:p w:rsidR="001C7BF9" w:rsidRPr="00C9680B" w:rsidRDefault="001C7BF9">
      <w:pPr>
        <w:pStyle w:val="R4"/>
      </w:pPr>
      <w:r w:rsidRPr="00C9680B">
        <w:t>Finansutskottets ställningstagande</w:t>
      </w:r>
    </w:p>
    <w:p w:rsidR="001C7BF9" w:rsidRPr="00C9680B" w:rsidRDefault="001C7BF9">
      <w:r w:rsidRPr="00C9680B">
        <w:t>Finansutskottet har tidigare i betänkandet i avsnitten 2.4.3 och 2.6 redovisat sin bedömning av fördelningen av utgifterna på utgiftsområden för budgetåret 2001 och därvid tillstyrkt regeringens förslag till ramar för utgiftsområdena. Bostadsutskottet har för sin del inte haft något att erinra mot den föreslagna ramen för utgiftsområde 18.</w:t>
      </w:r>
    </w:p>
    <w:p w:rsidR="001C7BF9" w:rsidRPr="00C9680B" w:rsidRDefault="001C7BF9">
      <w:pPr>
        <w:pStyle w:val="Normaltindrag"/>
      </w:pPr>
      <w:r w:rsidRPr="00C9680B">
        <w:t>Finansutskottet tillstyrker således propositionens förslag till ramnivå för utgiftsområde 18 och föreslår att utgiftsramen fastställs till 11 635 miljoner kronor. Motionerna avstyrks i berörda delar. Finansutskottet behandlar inde</w:t>
      </w:r>
      <w:r w:rsidRPr="00C9680B">
        <w:t>l</w:t>
      </w:r>
      <w:r w:rsidRPr="00C9680B">
        <w:t xml:space="preserve">ningen av statsbudgeten i politikområden i avsnitt </w:t>
      </w:r>
      <w:r w:rsidRPr="00C9680B">
        <w:rPr>
          <w:i/>
        </w:rPr>
        <w:t>5.2 Indelningen i polit</w:t>
      </w:r>
      <w:r w:rsidRPr="00C9680B">
        <w:rPr>
          <w:i/>
        </w:rPr>
        <w:t>i</w:t>
      </w:r>
      <w:r w:rsidRPr="00C9680B">
        <w:rPr>
          <w:i/>
        </w:rPr>
        <w:t>k</w:t>
      </w:r>
      <w:r w:rsidRPr="00C9680B">
        <w:rPr>
          <w:i/>
        </w:rPr>
        <w:softHyphen/>
        <w:t xml:space="preserve">områden. </w:t>
      </w:r>
    </w:p>
    <w:p w:rsidR="001C7BF9" w:rsidRPr="00C9680B" w:rsidRDefault="001C7BF9">
      <w:pPr>
        <w:pStyle w:val="Rubrik3"/>
        <w:rPr>
          <w:noProof w:val="0"/>
        </w:rPr>
      </w:pPr>
      <w:bookmarkStart w:id="547" w:name="_Toc498157137"/>
      <w:bookmarkStart w:id="548" w:name="_Toc498910810"/>
      <w:r w:rsidRPr="00C9680B">
        <w:rPr>
          <w:noProof w:val="0"/>
        </w:rPr>
        <w:t>4.1.19 Utgiftsområde 19 Regional utjämning och utveckling</w:t>
      </w:r>
      <w:bookmarkEnd w:id="547"/>
      <w:bookmarkEnd w:id="548"/>
    </w:p>
    <w:p w:rsidR="001C7BF9" w:rsidRPr="00C9680B" w:rsidRDefault="001C7BF9">
      <w:r w:rsidRPr="00C9680B">
        <w:t>Utgiftsområdet omfattar bl.a. olika former av regionalpolitiska företagsstöd och medel som länsstyrelserna och självstyrelseorganen samt Närings- och teknikutvecklingsverket förfogar över för regional projektverksamhet samt en del av medfinansieringen av EG:s strukturfondsprogram. Vidare ingår även medel för utbetalningar från EG:s regionalfond samt medel för Glesbygd</w:t>
      </w:r>
      <w:r w:rsidRPr="00C9680B">
        <w:t>s</w:t>
      </w:r>
      <w:r w:rsidRPr="00C9680B">
        <w:t>verket och Statens institut för regiona</w:t>
      </w:r>
      <w:r w:rsidRPr="00C9680B">
        <w:t>l</w:t>
      </w:r>
      <w:r w:rsidRPr="00C9680B">
        <w:t>forskning.</w:t>
      </w:r>
    </w:p>
    <w:p w:rsidR="001C7BF9" w:rsidRPr="00C9680B" w:rsidRDefault="001C7BF9">
      <w:pPr>
        <w:pStyle w:val="Normaltindrag"/>
      </w:pPr>
      <w:r w:rsidRPr="00C9680B">
        <w:t>De totala utgifterna för utgiftsområdet år 2000 beräknas uppgå till 3 371 mi</w:t>
      </w:r>
      <w:r w:rsidRPr="00C9680B">
        <w:t>l</w:t>
      </w:r>
      <w:r w:rsidRPr="00C9680B">
        <w:t>joner kronor.</w:t>
      </w:r>
    </w:p>
    <w:p w:rsidR="001C7BF9" w:rsidRPr="00C9680B" w:rsidRDefault="001C7BF9">
      <w:pPr>
        <w:pStyle w:val="R4"/>
      </w:pPr>
      <w:r w:rsidRPr="00C9680B">
        <w:t>Budgetpropositionen</w:t>
      </w:r>
    </w:p>
    <w:p w:rsidR="001C7BF9" w:rsidRPr="00C9680B" w:rsidRDefault="001C7BF9">
      <w:r w:rsidRPr="00C9680B">
        <w:t>I budgetpropositionen (avsnitt 7.4) redovisar regeringen att förändringen av utgiftsområdesramen jämfört med 2000 års ekonomiska vårproposition fö</w:t>
      </w:r>
      <w:r w:rsidRPr="00C9680B">
        <w:t>r</w:t>
      </w:r>
      <w:r w:rsidRPr="00C9680B">
        <w:t>klaras i huvudsak av att medel överförs till utgiftsområde 18 för att finansiera strukturfondsadministrationen. Dessutom kommer Statens institut för regi</w:t>
      </w:r>
      <w:r w:rsidRPr="00C9680B">
        <w:t>o</w:t>
      </w:r>
      <w:r w:rsidRPr="00C9680B">
        <w:t>nalforskning att överföras till utgiftsområde 24 i samband med att en ny my</w:t>
      </w:r>
      <w:r w:rsidRPr="00C9680B">
        <w:t>n</w:t>
      </w:r>
      <w:r w:rsidRPr="00C9680B">
        <w:t>dighetsstruktur inom näringslivsområdet införs. Slutligen överförs medel från utgiftsområde 13 som en del av finansieringen a</w:t>
      </w:r>
      <w:r w:rsidRPr="00C9680B">
        <w:t>v</w:t>
      </w:r>
      <w:r w:rsidRPr="00C9680B">
        <w:t>seende IT-infrastruktur.</w:t>
      </w:r>
    </w:p>
    <w:p w:rsidR="001C7BF9" w:rsidRPr="00C9680B" w:rsidRDefault="001C7BF9">
      <w:pPr>
        <w:pStyle w:val="Normaltindrag"/>
      </w:pPr>
      <w:r w:rsidRPr="00C9680B">
        <w:t>I följande tablå redovisas föreslagna utgiftsramar enligt budgetpropositi</w:t>
      </w:r>
      <w:r w:rsidRPr="00C9680B">
        <w:t>o</w:t>
      </w:r>
      <w:r w:rsidRPr="00C9680B">
        <w:t>nen och oppositionspartiernas förslag.</w:t>
      </w:r>
    </w:p>
    <w:p w:rsidR="001C7BF9" w:rsidRPr="00C9680B" w:rsidRDefault="001C7BF9">
      <w:pPr>
        <w:pStyle w:val="FiU1tabellrubrik2000"/>
        <w:keepNext/>
        <w:keepLines/>
        <w:outlineLvl w:val="0"/>
      </w:pPr>
      <w:r w:rsidRPr="00C9680B">
        <w:t>Förslag till ram för utgiftsområde 19 Regional utjämning och u</w:t>
      </w:r>
      <w:r w:rsidRPr="00C9680B">
        <w:t>t</w:t>
      </w:r>
      <w:r w:rsidRPr="00C9680B">
        <w:t>veckling</w:t>
      </w:r>
    </w:p>
    <w:p w:rsidR="001C7BF9" w:rsidRPr="00C9680B" w:rsidRDefault="001C7BF9">
      <w:pPr>
        <w:pStyle w:val="Tabell"/>
        <w:keepNext/>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Next/>
              <w:keepLines/>
            </w:pPr>
          </w:p>
        </w:tc>
        <w:tc>
          <w:tcPr>
            <w:tcW w:w="1253" w:type="dxa"/>
            <w:gridSpan w:val="4"/>
            <w:tcBorders>
              <w:top w:val="single" w:sz="6" w:space="0" w:color="000000"/>
            </w:tcBorders>
          </w:tcPr>
          <w:p w:rsidR="001C7BF9" w:rsidRPr="00C9680B" w:rsidRDefault="001C7BF9">
            <w:pPr>
              <w:pStyle w:val="Tabell"/>
              <w:keepNext/>
              <w:keepLines/>
            </w:pPr>
          </w:p>
        </w:tc>
        <w:tc>
          <w:tcPr>
            <w:tcW w:w="1253" w:type="dxa"/>
            <w:gridSpan w:val="4"/>
            <w:tcBorders>
              <w:top w:val="single" w:sz="6" w:space="0" w:color="000000"/>
            </w:tcBorders>
          </w:tcPr>
          <w:p w:rsidR="001C7BF9" w:rsidRPr="00C9680B" w:rsidRDefault="001C7BF9">
            <w:pPr>
              <w:pStyle w:val="Tabell"/>
              <w:keepNext/>
              <w:keepLines/>
              <w:jc w:val="center"/>
            </w:pPr>
          </w:p>
        </w:tc>
        <w:tc>
          <w:tcPr>
            <w:tcW w:w="142" w:type="dxa"/>
            <w:tcBorders>
              <w:top w:val="single" w:sz="6" w:space="0" w:color="000000"/>
            </w:tcBorders>
          </w:tcPr>
          <w:p w:rsidR="001C7BF9" w:rsidRPr="00C9680B" w:rsidRDefault="001C7BF9">
            <w:pPr>
              <w:pStyle w:val="Tabell"/>
              <w:keepNext/>
              <w:keepLines/>
            </w:pPr>
          </w:p>
        </w:tc>
        <w:tc>
          <w:tcPr>
            <w:tcW w:w="1769" w:type="dxa"/>
            <w:gridSpan w:val="4"/>
            <w:tcBorders>
              <w:top w:val="single" w:sz="6" w:space="0" w:color="000000"/>
            </w:tcBorders>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rPr>
          <w:trHeight w:hRule="exact" w:val="200"/>
        </w:trPr>
        <w:tc>
          <w:tcPr>
            <w:tcW w:w="454" w:type="dxa"/>
          </w:tcPr>
          <w:p w:rsidR="001C7BF9" w:rsidRPr="00C9680B" w:rsidRDefault="001C7BF9">
            <w:pPr>
              <w:pStyle w:val="Tabell"/>
              <w:keepNext/>
              <w:keepLines/>
              <w:jc w:val="left"/>
            </w:pPr>
            <w:r w:rsidRPr="00C9680B">
              <w:t>År</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jc w:val="center"/>
            </w:pPr>
            <w:r w:rsidRPr="00C9680B">
              <w:t>Proposi-</w:t>
            </w:r>
          </w:p>
        </w:tc>
        <w:tc>
          <w:tcPr>
            <w:tcW w:w="142" w:type="dxa"/>
          </w:tcPr>
          <w:p w:rsidR="001C7BF9" w:rsidRPr="00C9680B" w:rsidRDefault="001C7BF9">
            <w:pPr>
              <w:pStyle w:val="Tabell"/>
              <w:keepNext/>
              <w:keepLines/>
            </w:pPr>
          </w:p>
        </w:tc>
        <w:tc>
          <w:tcPr>
            <w:tcW w:w="4053" w:type="dxa"/>
            <w:gridSpan w:val="11"/>
            <w:tcBorders>
              <w:bottom w:val="single" w:sz="4" w:space="0" w:color="auto"/>
            </w:tcBorders>
          </w:tcPr>
          <w:p w:rsidR="001C7BF9" w:rsidRPr="00C9680B" w:rsidRDefault="001C7BF9">
            <w:pPr>
              <w:pStyle w:val="Tabell"/>
              <w:keepNext/>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Next/>
              <w:keepLines/>
            </w:pPr>
          </w:p>
        </w:tc>
        <w:tc>
          <w:tcPr>
            <w:tcW w:w="57" w:type="dxa"/>
            <w:tcBorders>
              <w:bottom w:val="single" w:sz="6" w:space="0" w:color="auto"/>
            </w:tcBorders>
          </w:tcPr>
          <w:p w:rsidR="001C7BF9" w:rsidRPr="00C9680B" w:rsidRDefault="001C7BF9">
            <w:pPr>
              <w:pStyle w:val="Tabell"/>
              <w:keepNext/>
              <w:keepLines/>
            </w:pPr>
          </w:p>
        </w:tc>
        <w:tc>
          <w:tcPr>
            <w:tcW w:w="964" w:type="dxa"/>
            <w:gridSpan w:val="2"/>
            <w:tcBorders>
              <w:bottom w:val="single" w:sz="6" w:space="0" w:color="auto"/>
            </w:tcBorders>
          </w:tcPr>
          <w:p w:rsidR="001C7BF9" w:rsidRPr="00C9680B" w:rsidRDefault="001C7BF9">
            <w:pPr>
              <w:pStyle w:val="Tabell"/>
              <w:keepNext/>
              <w:keepLines/>
              <w:jc w:val="left"/>
            </w:pPr>
            <w:r w:rsidRPr="00C9680B">
              <w:t xml:space="preserve">    Tionen</w:t>
            </w:r>
          </w:p>
        </w:tc>
        <w:tc>
          <w:tcPr>
            <w:tcW w:w="142" w:type="dxa"/>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80" w:lineRule="auto"/>
              <w:rPr>
                <w:sz w:val="16"/>
              </w:rPr>
            </w:pPr>
          </w:p>
          <w:p w:rsidR="001C7BF9" w:rsidRPr="00C9680B" w:rsidRDefault="001C7BF9">
            <w:pPr>
              <w:pStyle w:val="Tabell"/>
              <w:keepNext/>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Next/>
              <w:keepLines/>
              <w:spacing w:before="90"/>
            </w:pPr>
          </w:p>
        </w:tc>
        <w:tc>
          <w:tcPr>
            <w:tcW w:w="792" w:type="dxa"/>
            <w:gridSpan w:val="3"/>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 xml:space="preserve">   Ce</w:t>
            </w:r>
            <w:r w:rsidRPr="00C9680B">
              <w:t>n</w:t>
            </w:r>
            <w:r w:rsidRPr="00C9680B">
              <w:t>ter-</w:t>
            </w:r>
          </w:p>
          <w:p w:rsidR="001C7BF9" w:rsidRPr="00C9680B" w:rsidRDefault="001C7BF9">
            <w:pPr>
              <w:pStyle w:val="Tabell"/>
              <w:keepNext/>
              <w:keepLines/>
            </w:pPr>
            <w:r w:rsidRPr="00C9680B">
              <w:t xml:space="preserve">   partiet</w:t>
            </w:r>
          </w:p>
        </w:tc>
        <w:tc>
          <w:tcPr>
            <w:tcW w:w="141" w:type="dxa"/>
            <w:tcBorders>
              <w:bottom w:val="single" w:sz="6" w:space="0" w:color="auto"/>
            </w:tcBorders>
          </w:tcPr>
          <w:p w:rsidR="001C7BF9" w:rsidRPr="00C9680B" w:rsidRDefault="001C7BF9">
            <w:pPr>
              <w:pStyle w:val="Tabell"/>
              <w:keepNext/>
              <w:keepLines/>
            </w:pPr>
          </w:p>
        </w:tc>
        <w:tc>
          <w:tcPr>
            <w:tcW w:w="1134" w:type="dxa"/>
            <w:gridSpan w:val="2"/>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Next/>
              <w:keepLines/>
            </w:pP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jc w:val="center"/>
            </w:pP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gridSpan w:val="2"/>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tcPr>
          <w:p w:rsidR="001C7BF9" w:rsidRPr="00C9680B" w:rsidRDefault="001C7BF9">
            <w:pPr>
              <w:pStyle w:val="Tabell"/>
              <w:keepNext/>
              <w:keepLines/>
            </w:pPr>
          </w:p>
        </w:tc>
        <w:tc>
          <w:tcPr>
            <w:tcW w:w="792" w:type="dxa"/>
            <w:gridSpan w:val="3"/>
          </w:tcPr>
          <w:p w:rsidR="001C7BF9" w:rsidRPr="00C9680B" w:rsidRDefault="001C7BF9">
            <w:pPr>
              <w:pStyle w:val="Tabell"/>
              <w:keepNext/>
              <w:keepLines/>
              <w:ind w:right="38"/>
              <w:jc w:val="right"/>
            </w:pPr>
          </w:p>
        </w:tc>
        <w:tc>
          <w:tcPr>
            <w:tcW w:w="141" w:type="dxa"/>
          </w:tcPr>
          <w:p w:rsidR="001C7BF9" w:rsidRPr="00C9680B" w:rsidRDefault="001C7BF9">
            <w:pPr>
              <w:pStyle w:val="Tabell"/>
              <w:keepNext/>
              <w:keepLines/>
            </w:pPr>
          </w:p>
        </w:tc>
        <w:tc>
          <w:tcPr>
            <w:tcW w:w="1134" w:type="dxa"/>
            <w:gridSpan w:val="2"/>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c>
          <w:tcPr>
            <w:tcW w:w="454" w:type="dxa"/>
          </w:tcPr>
          <w:p w:rsidR="001C7BF9" w:rsidRPr="00C9680B" w:rsidRDefault="001C7BF9">
            <w:pPr>
              <w:pStyle w:val="Tabell"/>
              <w:keepNext/>
              <w:keepLines/>
            </w:pPr>
            <w:r w:rsidRPr="00C9680B">
              <w:t>2001</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ind w:right="199"/>
              <w:jc w:val="right"/>
            </w:pPr>
            <w:r w:rsidRPr="00C9680B">
              <w:t>4 214</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t>-300</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ind w:right="170"/>
              <w:jc w:val="right"/>
            </w:pPr>
            <w:r w:rsidRPr="00C9680B">
              <w:t>-450</w:t>
            </w:r>
          </w:p>
        </w:tc>
        <w:tc>
          <w:tcPr>
            <w:tcW w:w="142" w:type="dxa"/>
          </w:tcPr>
          <w:p w:rsidR="001C7BF9" w:rsidRPr="00C9680B" w:rsidRDefault="001C7BF9">
            <w:pPr>
              <w:pStyle w:val="Tabell"/>
              <w:keepNext/>
              <w:keepLines/>
              <w:ind w:right="170"/>
              <w:jc w:val="right"/>
            </w:pPr>
          </w:p>
        </w:tc>
        <w:tc>
          <w:tcPr>
            <w:tcW w:w="792" w:type="dxa"/>
            <w:gridSpan w:val="3"/>
          </w:tcPr>
          <w:p w:rsidR="001C7BF9" w:rsidRPr="00C9680B" w:rsidRDefault="001C7BF9">
            <w:pPr>
              <w:pStyle w:val="Tabell"/>
              <w:keepNext/>
              <w:keepLines/>
              <w:ind w:right="170"/>
              <w:jc w:val="right"/>
            </w:pPr>
            <w:r w:rsidRPr="00C9680B">
              <w:t>-450</w:t>
            </w:r>
          </w:p>
        </w:tc>
        <w:tc>
          <w:tcPr>
            <w:tcW w:w="141" w:type="dxa"/>
          </w:tcPr>
          <w:p w:rsidR="001C7BF9" w:rsidRPr="00C9680B" w:rsidRDefault="001C7BF9">
            <w:pPr>
              <w:pStyle w:val="Tabell"/>
              <w:keepNext/>
              <w:keepLines/>
              <w:jc w:val="left"/>
            </w:pPr>
          </w:p>
        </w:tc>
        <w:tc>
          <w:tcPr>
            <w:tcW w:w="936" w:type="dxa"/>
          </w:tcPr>
          <w:p w:rsidR="001C7BF9" w:rsidRPr="00C9680B" w:rsidRDefault="001C7BF9">
            <w:pPr>
              <w:pStyle w:val="Tabell"/>
              <w:keepNext/>
              <w:keepLines/>
              <w:ind w:right="170"/>
              <w:jc w:val="right"/>
            </w:pPr>
            <w:r w:rsidRPr="00C9680B">
              <w:t>-950</w:t>
            </w:r>
          </w:p>
        </w:tc>
        <w:tc>
          <w:tcPr>
            <w:tcW w:w="198" w:type="dxa"/>
          </w:tcPr>
          <w:p w:rsidR="001C7BF9" w:rsidRPr="00C9680B" w:rsidRDefault="001C7BF9">
            <w:pPr>
              <w:pStyle w:val="Tabell"/>
              <w:keepNext/>
              <w:keepLines/>
              <w:ind w:right="170"/>
              <w:jc w:val="right"/>
            </w:pPr>
          </w:p>
        </w:tc>
      </w:tr>
      <w:tr w:rsidR="00000000" w:rsidRPr="00C9680B">
        <w:tblPrEx>
          <w:tblCellMar>
            <w:top w:w="0" w:type="dxa"/>
            <w:left w:w="0" w:type="dxa"/>
            <w:bottom w:w="0" w:type="dxa"/>
            <w:right w:w="0" w:type="dxa"/>
          </w:tblCellMar>
        </w:tblPrEx>
        <w:tc>
          <w:tcPr>
            <w:tcW w:w="454" w:type="dxa"/>
          </w:tcPr>
          <w:p w:rsidR="001C7BF9" w:rsidRPr="00C9680B" w:rsidRDefault="001C7BF9">
            <w:pPr>
              <w:pStyle w:val="Tabell"/>
              <w:keepNext/>
              <w:keepLines/>
            </w:pPr>
            <w:r w:rsidRPr="00C9680B">
              <w:t>2002</w:t>
            </w: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ind w:right="199"/>
              <w:jc w:val="right"/>
            </w:pPr>
            <w:r w:rsidRPr="00C9680B">
              <w:t>3 352</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t>-500</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ind w:right="170"/>
              <w:jc w:val="right"/>
            </w:pPr>
            <w:r w:rsidRPr="00C9680B">
              <w:t>-80</w:t>
            </w:r>
          </w:p>
        </w:tc>
        <w:tc>
          <w:tcPr>
            <w:tcW w:w="142" w:type="dxa"/>
          </w:tcPr>
          <w:p w:rsidR="001C7BF9" w:rsidRPr="00C9680B" w:rsidRDefault="001C7BF9">
            <w:pPr>
              <w:pStyle w:val="Tabell"/>
              <w:keepNext/>
              <w:keepLines/>
              <w:ind w:right="170"/>
              <w:jc w:val="right"/>
            </w:pPr>
          </w:p>
        </w:tc>
        <w:tc>
          <w:tcPr>
            <w:tcW w:w="792" w:type="dxa"/>
            <w:gridSpan w:val="3"/>
          </w:tcPr>
          <w:p w:rsidR="001C7BF9" w:rsidRPr="00C9680B" w:rsidRDefault="001C7BF9">
            <w:pPr>
              <w:pStyle w:val="Tabell"/>
              <w:keepNext/>
              <w:keepLines/>
              <w:ind w:right="170"/>
              <w:jc w:val="right"/>
            </w:pPr>
            <w:r w:rsidRPr="00C9680B">
              <w:t>+152</w:t>
            </w:r>
          </w:p>
        </w:tc>
        <w:tc>
          <w:tcPr>
            <w:tcW w:w="141" w:type="dxa"/>
          </w:tcPr>
          <w:p w:rsidR="001C7BF9" w:rsidRPr="00C9680B" w:rsidRDefault="001C7BF9">
            <w:pPr>
              <w:pStyle w:val="Tabell"/>
              <w:keepNext/>
              <w:keepLines/>
              <w:jc w:val="left"/>
            </w:pPr>
          </w:p>
        </w:tc>
        <w:tc>
          <w:tcPr>
            <w:tcW w:w="936" w:type="dxa"/>
          </w:tcPr>
          <w:p w:rsidR="001C7BF9" w:rsidRPr="00C9680B" w:rsidRDefault="001C7BF9">
            <w:pPr>
              <w:pStyle w:val="Tabell"/>
              <w:keepNext/>
              <w:keepLines/>
              <w:ind w:right="170"/>
              <w:jc w:val="right"/>
            </w:pPr>
            <w:r w:rsidRPr="00C9680B">
              <w:t>-750</w:t>
            </w:r>
          </w:p>
        </w:tc>
        <w:tc>
          <w:tcPr>
            <w:tcW w:w="198" w:type="dxa"/>
          </w:tcPr>
          <w:p w:rsidR="001C7BF9" w:rsidRPr="00C9680B" w:rsidRDefault="001C7BF9">
            <w:pPr>
              <w:pStyle w:val="Tabell"/>
              <w:keepNext/>
              <w:keepLines/>
              <w:ind w:right="170"/>
              <w:jc w:val="right"/>
            </w:pPr>
          </w:p>
        </w:tc>
      </w:tr>
      <w:tr w:rsidR="00000000" w:rsidRPr="00C9680B">
        <w:tblPrEx>
          <w:tblCellMar>
            <w:top w:w="0" w:type="dxa"/>
            <w:left w:w="0" w:type="dxa"/>
            <w:bottom w:w="0" w:type="dxa"/>
            <w:right w:w="0" w:type="dxa"/>
          </w:tblCellMar>
        </w:tblPrEx>
        <w:trPr>
          <w:trHeight w:hRule="exact" w:val="200"/>
        </w:trPr>
        <w:tc>
          <w:tcPr>
            <w:tcW w:w="454" w:type="dxa"/>
            <w:tcBorders>
              <w:bottom w:val="single" w:sz="6" w:space="0" w:color="auto"/>
            </w:tcBorders>
          </w:tcPr>
          <w:p w:rsidR="001C7BF9" w:rsidRPr="00C9680B" w:rsidRDefault="001C7BF9">
            <w:pPr>
              <w:pStyle w:val="Tabell"/>
              <w:keepNext/>
              <w:keepLines/>
            </w:pPr>
            <w:r w:rsidRPr="00C9680B">
              <w:t>2003</w:t>
            </w:r>
          </w:p>
        </w:tc>
        <w:tc>
          <w:tcPr>
            <w:tcW w:w="57" w:type="dxa"/>
            <w:tcBorders>
              <w:bottom w:val="single" w:sz="6" w:space="0" w:color="auto"/>
            </w:tcBorders>
          </w:tcPr>
          <w:p w:rsidR="001C7BF9" w:rsidRPr="00C9680B" w:rsidRDefault="001C7BF9">
            <w:pPr>
              <w:pStyle w:val="Tabell"/>
              <w:keepNext/>
              <w:keepLines/>
              <w:rPr>
                <w:b/>
              </w:rPr>
            </w:pPr>
          </w:p>
        </w:tc>
        <w:tc>
          <w:tcPr>
            <w:tcW w:w="964" w:type="dxa"/>
            <w:gridSpan w:val="2"/>
            <w:tcBorders>
              <w:bottom w:val="single" w:sz="6" w:space="0" w:color="auto"/>
            </w:tcBorders>
          </w:tcPr>
          <w:p w:rsidR="001C7BF9" w:rsidRPr="00C9680B" w:rsidRDefault="001C7BF9">
            <w:pPr>
              <w:pStyle w:val="Tabell"/>
              <w:keepNext/>
              <w:keepLines/>
              <w:ind w:right="199"/>
              <w:jc w:val="right"/>
            </w:pPr>
            <w:r w:rsidRPr="00C9680B">
              <w:t>3 451</w:t>
            </w:r>
          </w:p>
        </w:tc>
        <w:tc>
          <w:tcPr>
            <w:tcW w:w="142" w:type="dxa"/>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ind w:right="170"/>
              <w:jc w:val="right"/>
            </w:pPr>
            <w:r w:rsidRPr="00C9680B">
              <w:t>-900</w:t>
            </w:r>
          </w:p>
        </w:tc>
        <w:tc>
          <w:tcPr>
            <w:tcW w:w="142" w:type="dxa"/>
            <w:gridSpan w:val="2"/>
            <w:tcBorders>
              <w:bottom w:val="single" w:sz="6" w:space="0" w:color="auto"/>
            </w:tcBorders>
          </w:tcPr>
          <w:p w:rsidR="001C7BF9" w:rsidRPr="00C9680B" w:rsidRDefault="001C7BF9">
            <w:pPr>
              <w:pStyle w:val="Tabell"/>
              <w:keepNext/>
              <w:keepLines/>
              <w:ind w:right="170"/>
              <w:jc w:val="right"/>
            </w:pPr>
          </w:p>
        </w:tc>
        <w:tc>
          <w:tcPr>
            <w:tcW w:w="851" w:type="dxa"/>
            <w:tcBorders>
              <w:bottom w:val="single" w:sz="6" w:space="0" w:color="auto"/>
            </w:tcBorders>
          </w:tcPr>
          <w:p w:rsidR="001C7BF9" w:rsidRPr="00C9680B" w:rsidRDefault="001C7BF9">
            <w:pPr>
              <w:pStyle w:val="Tabell"/>
              <w:keepNext/>
              <w:keepLines/>
              <w:ind w:right="170"/>
              <w:jc w:val="right"/>
            </w:pPr>
            <w:r w:rsidRPr="00C9680B">
              <w:t>-280</w:t>
            </w:r>
          </w:p>
        </w:tc>
        <w:tc>
          <w:tcPr>
            <w:tcW w:w="142" w:type="dxa"/>
            <w:tcBorders>
              <w:bottom w:val="single" w:sz="6" w:space="0" w:color="auto"/>
            </w:tcBorders>
          </w:tcPr>
          <w:p w:rsidR="001C7BF9" w:rsidRPr="00C9680B" w:rsidRDefault="001C7BF9">
            <w:pPr>
              <w:pStyle w:val="Tabell"/>
              <w:keepNext/>
              <w:keepLines/>
              <w:ind w:right="170"/>
              <w:jc w:val="right"/>
            </w:pPr>
          </w:p>
        </w:tc>
        <w:tc>
          <w:tcPr>
            <w:tcW w:w="792" w:type="dxa"/>
            <w:gridSpan w:val="3"/>
            <w:tcBorders>
              <w:bottom w:val="single" w:sz="6" w:space="0" w:color="auto"/>
            </w:tcBorders>
          </w:tcPr>
          <w:p w:rsidR="001C7BF9" w:rsidRPr="00C9680B" w:rsidRDefault="001C7BF9">
            <w:pPr>
              <w:pStyle w:val="Tabell"/>
              <w:keepNext/>
              <w:keepLines/>
              <w:ind w:right="170"/>
              <w:jc w:val="right"/>
            </w:pPr>
            <w:r w:rsidRPr="00C9680B">
              <w:t>+153</w:t>
            </w:r>
          </w:p>
        </w:tc>
        <w:tc>
          <w:tcPr>
            <w:tcW w:w="141" w:type="dxa"/>
            <w:tcBorders>
              <w:bottom w:val="single" w:sz="6" w:space="0" w:color="auto"/>
            </w:tcBorders>
          </w:tcPr>
          <w:p w:rsidR="001C7BF9" w:rsidRPr="00C9680B" w:rsidRDefault="001C7BF9">
            <w:pPr>
              <w:pStyle w:val="Tabell"/>
              <w:keepNext/>
              <w:keepLines/>
              <w:jc w:val="left"/>
            </w:pPr>
          </w:p>
        </w:tc>
        <w:tc>
          <w:tcPr>
            <w:tcW w:w="936" w:type="dxa"/>
            <w:tcBorders>
              <w:bottom w:val="single" w:sz="6" w:space="0" w:color="auto"/>
            </w:tcBorders>
          </w:tcPr>
          <w:p w:rsidR="001C7BF9" w:rsidRPr="00C9680B" w:rsidRDefault="001C7BF9">
            <w:pPr>
              <w:pStyle w:val="Tabell"/>
              <w:keepNext/>
              <w:keepLines/>
              <w:ind w:right="170"/>
              <w:jc w:val="right"/>
            </w:pPr>
            <w:r w:rsidRPr="00C9680B">
              <w:t>-950</w:t>
            </w:r>
          </w:p>
        </w:tc>
        <w:tc>
          <w:tcPr>
            <w:tcW w:w="198" w:type="dxa"/>
            <w:tcBorders>
              <w:bottom w:val="single" w:sz="6" w:space="0" w:color="auto"/>
            </w:tcBorders>
          </w:tcPr>
          <w:p w:rsidR="001C7BF9" w:rsidRPr="00C9680B" w:rsidRDefault="001C7BF9">
            <w:pPr>
              <w:pStyle w:val="Tabell"/>
              <w:keepNext/>
              <w:keepLines/>
              <w:ind w:right="170"/>
              <w:jc w:val="right"/>
            </w:pPr>
          </w:p>
        </w:tc>
      </w:tr>
    </w:tbl>
    <w:p w:rsidR="001C7BF9" w:rsidRPr="00C9680B" w:rsidRDefault="001C7BF9">
      <w:pPr>
        <w:pStyle w:val="R4"/>
      </w:pPr>
      <w:r w:rsidRPr="00C9680B">
        <w:t>Motionerna</w:t>
      </w:r>
    </w:p>
    <w:p w:rsidR="001C7BF9" w:rsidRPr="00C9680B" w:rsidRDefault="001C7BF9">
      <w:r w:rsidRPr="00C9680B">
        <w:rPr>
          <w:i/>
        </w:rPr>
        <w:t xml:space="preserve">Moderata samlingspartiet </w:t>
      </w:r>
      <w:r w:rsidRPr="00C9680B">
        <w:t xml:space="preserve">redovisar i motion </w:t>
      </w:r>
      <w:r w:rsidRPr="00C9680B">
        <w:rPr>
          <w:i/>
        </w:rPr>
        <w:t>Fi208</w:t>
      </w:r>
      <w:r w:rsidRPr="00C9680B">
        <w:t xml:space="preserve"> en minskning av utgift</w:t>
      </w:r>
      <w:r w:rsidRPr="00C9680B">
        <w:t>s</w:t>
      </w:r>
      <w:r w:rsidRPr="00C9680B">
        <w:t>ramen. Motionärerna anser att regionernas konkurrenskraft måste stärkas. Enligt motionärerna bör målet för regionalpolitiken vara att skapa förutsät</w:t>
      </w:r>
      <w:r w:rsidRPr="00C9680B">
        <w:t>t</w:t>
      </w:r>
      <w:r w:rsidRPr="00C9680B">
        <w:t>ningar för olika regioners och människors möjligheter till utveckling. Genom att förbättra och bygga ut vägnätet och IT-infrastrukturen, sänka drivmedel</w:t>
      </w:r>
      <w:r w:rsidRPr="00C9680B">
        <w:t>s</w:t>
      </w:r>
      <w:r w:rsidRPr="00C9680B">
        <w:t>skatterna och förbättra villkoren för företagande vill motionärerna lägga grunden för tillväxt i hela Sverige. Samtidigt skall de transfereringar som sker inom ra</w:t>
      </w:r>
      <w:r w:rsidRPr="00C9680B">
        <w:t>men för EU:s strukturfonder i största möjliga mån komma svenska regioner till godo. Vidare bör de selektiva stödåtgärderna trappas ner och ersättas av generellt bättre fö</w:t>
      </w:r>
      <w:r w:rsidRPr="00C9680B">
        <w:t>r</w:t>
      </w:r>
      <w:r w:rsidRPr="00C9680B">
        <w:t xml:space="preserve">utsättningar. </w:t>
      </w:r>
    </w:p>
    <w:p w:rsidR="001C7BF9" w:rsidRPr="00C9680B" w:rsidRDefault="001C7BF9">
      <w:pPr>
        <w:pStyle w:val="Normaltindrag"/>
      </w:pPr>
      <w:r w:rsidRPr="00C9680B">
        <w:rPr>
          <w:i/>
        </w:rPr>
        <w:t>Kristdemokraterna</w:t>
      </w:r>
      <w:r w:rsidRPr="00C9680B">
        <w:t xml:space="preserve"> redovisar i motion </w:t>
      </w:r>
      <w:r w:rsidRPr="00C9680B">
        <w:rPr>
          <w:i/>
        </w:rPr>
        <w:t>Fi209</w:t>
      </w:r>
      <w:r w:rsidRPr="00C9680B">
        <w:t xml:space="preserve"> att målet för den kristdem</w:t>
      </w:r>
      <w:r w:rsidRPr="00C9680B">
        <w:t>o</w:t>
      </w:r>
      <w:r w:rsidRPr="00C9680B">
        <w:t>kratiska regionalpolitiken är att skapa förutsättningar för en livskraftig land</w:t>
      </w:r>
      <w:r w:rsidRPr="00C9680B">
        <w:t>s</w:t>
      </w:r>
      <w:r w:rsidRPr="00C9680B">
        <w:t>bygd med människor i alla åldrar och med arbetsmöjligheter, god service, bra miljö och rik kultur. Regionalpolitiken kan inte ses isolerad och därför måste den statliga sektorspolitiken ta regionalpolitisk hänsyn. Motionärerna anser att nedsättningen av socialavgifterna med 8 % som gällt ett antal år inom stödområdena bör vara kvar. Motionärerna avvisar vissa delar av regering</w:t>
      </w:r>
      <w:r w:rsidRPr="00C9680B">
        <w:t>ens IT-satsning.</w:t>
      </w:r>
    </w:p>
    <w:p w:rsidR="001C7BF9" w:rsidRPr="00C9680B" w:rsidRDefault="001C7BF9">
      <w:pPr>
        <w:pStyle w:val="Normaltindrag"/>
      </w:pPr>
      <w:r w:rsidRPr="00C9680B">
        <w:rPr>
          <w:i/>
        </w:rPr>
        <w:t>Centerpartiet</w:t>
      </w:r>
      <w:r w:rsidRPr="00C9680B">
        <w:t xml:space="preserve"> förespråkar i motion </w:t>
      </w:r>
      <w:r w:rsidRPr="00C9680B">
        <w:rPr>
          <w:i/>
        </w:rPr>
        <w:t xml:space="preserve">Fi210 </w:t>
      </w:r>
      <w:r w:rsidRPr="00C9680B">
        <w:t>att regionalpolitiken måste o</w:t>
      </w:r>
      <w:r w:rsidRPr="00C9680B">
        <w:t>m</w:t>
      </w:r>
      <w:r w:rsidRPr="00C9680B">
        <w:t>formas från att bygga på stöd och bidrag till ett mer til</w:t>
      </w:r>
      <w:r w:rsidRPr="00C9680B">
        <w:t>l</w:t>
      </w:r>
      <w:r w:rsidRPr="00C9680B">
        <w:t>växtorienterat under</w:t>
      </w:r>
      <w:r w:rsidRPr="00C9680B">
        <w:softHyphen/>
        <w:t xml:space="preserve">ifrånperspektiv. Av kommittémotion </w:t>
      </w:r>
      <w:r w:rsidRPr="00C9680B">
        <w:rPr>
          <w:i/>
        </w:rPr>
        <w:t>N368</w:t>
      </w:r>
      <w:r w:rsidRPr="00C9680B">
        <w:t xml:space="preserve"> framgår att partiet vill minska ramen år 2001 med 450 miljoner kronor. Målet för regionalpolitiken är att ge utrymme för människors livskvalitet och att ta till vara livskraften i hela la</w:t>
      </w:r>
      <w:r w:rsidRPr="00C9680B">
        <w:t>n</w:t>
      </w:r>
      <w:r w:rsidRPr="00C9680B">
        <w:t>det. För att nå detta krävs en god infrastruktur och en garanterad grundlä</w:t>
      </w:r>
      <w:r w:rsidRPr="00C9680B">
        <w:t>g</w:t>
      </w:r>
      <w:r w:rsidRPr="00C9680B">
        <w:t>gande service så att hela Sverige kan leva och utvecklas på likvärdiga v</w:t>
      </w:r>
      <w:r w:rsidRPr="00C9680B">
        <w:t>illkor. Motionärerna vill skapa möjligheter för tillväxt och företagande i utsatta regioner för att avlasta de storstadsregioner där tillväxten riskerar att leda till överhettning. Incitament för färdigutbildade att flytta ut och bli verksamma i Småortssverige är ang</w:t>
      </w:r>
      <w:r w:rsidRPr="00C9680B">
        <w:t>e</w:t>
      </w:r>
      <w:r w:rsidRPr="00C9680B">
        <w:t>lägna.</w:t>
      </w:r>
    </w:p>
    <w:p w:rsidR="001C7BF9" w:rsidRPr="00C9680B" w:rsidRDefault="001C7BF9">
      <w:pPr>
        <w:pStyle w:val="Normaltindrag"/>
      </w:pPr>
      <w:r w:rsidRPr="00C9680B">
        <w:rPr>
          <w:i/>
        </w:rPr>
        <w:t>Folkpartiet liberalerna</w:t>
      </w:r>
      <w:r w:rsidRPr="00C9680B">
        <w:t xml:space="preserve"> föreslår i motion </w:t>
      </w:r>
      <w:r w:rsidRPr="00C9680B">
        <w:rPr>
          <w:i/>
        </w:rPr>
        <w:t>Fi211</w:t>
      </w:r>
      <w:r w:rsidRPr="00C9680B">
        <w:t xml:space="preserve"> att utgifterna för de trad</w:t>
      </w:r>
      <w:r w:rsidRPr="00C9680B">
        <w:t>i</w:t>
      </w:r>
      <w:r w:rsidRPr="00C9680B">
        <w:t>tionella regionalpolitiska åtgärderna kan minskas med 500 miljoner kronor. Motionärerna anser vidare att kostnaden för de regionala transportnäten inte bör b</w:t>
      </w:r>
      <w:r w:rsidRPr="00C9680B">
        <w:t>e</w:t>
      </w:r>
      <w:r w:rsidRPr="00C9680B">
        <w:t>lasta staten.</w:t>
      </w:r>
    </w:p>
    <w:p w:rsidR="001C7BF9" w:rsidRPr="00C9680B" w:rsidRDefault="001C7BF9">
      <w:pPr>
        <w:pStyle w:val="R4"/>
      </w:pPr>
      <w:r w:rsidRPr="00C9680B">
        <w:t>Näringsutskottets yttrande</w:t>
      </w:r>
    </w:p>
    <w:p w:rsidR="001C7BF9" w:rsidRPr="00C9680B" w:rsidRDefault="001C7BF9">
      <w:r w:rsidRPr="00C9680B">
        <w:t>Näringsutskottet, som har yttrat sig i form av ett protokollsutdrag, tillstyrker regeringens förslag. Företrädarna för Moderata samlingspartiet, Kristdem</w:t>
      </w:r>
      <w:r w:rsidRPr="00C9680B">
        <w:t>o</w:t>
      </w:r>
      <w:r w:rsidRPr="00C9680B">
        <w:t>kraterna, Centerpartiet och Folkpartiet liberalerna tillstyrker sina partiers respektive förslag.</w:t>
      </w:r>
    </w:p>
    <w:p w:rsidR="001C7BF9" w:rsidRPr="00C9680B" w:rsidRDefault="001C7BF9">
      <w:pPr>
        <w:pStyle w:val="R4"/>
      </w:pPr>
      <w:r w:rsidRPr="00C9680B">
        <w:t>Finansutskottets ställningstagande</w:t>
      </w:r>
    </w:p>
    <w:p w:rsidR="001C7BF9" w:rsidRPr="00C9680B" w:rsidRDefault="001C7BF9">
      <w:r w:rsidRPr="00C9680B">
        <w:t>Finansutskottet har tidigare i betänkandet i avsnitten 2.4.3 och 2.6 redovisat sin bedömning av fördelningen av utgifterna på utgiftsområden för budgetåret 2001 och därvid tillstyrkt regeringens förslag till ramar för utgiftsområdena. Näringsutskottet har för sin del inte haft något att erinra mot den föreslagna ramen för utgiftsområde 19.</w:t>
      </w:r>
    </w:p>
    <w:p w:rsidR="001C7BF9" w:rsidRPr="00C9680B" w:rsidRDefault="001C7BF9">
      <w:pPr>
        <w:pStyle w:val="Normaltindrag"/>
        <w:rPr>
          <w:b/>
          <w:i/>
        </w:rPr>
      </w:pPr>
      <w:r w:rsidRPr="00C9680B">
        <w:t>Finansutskottet tillstyrker således propositionens förslag till ramnivå för utgiftsområde 19 och föreslår att utgiftsramen fastställs till 4 214 miljoner kronor. Motionerna avstyrks i berörda delar.</w:t>
      </w:r>
    </w:p>
    <w:p w:rsidR="001C7BF9" w:rsidRPr="00C9680B" w:rsidRDefault="001C7BF9">
      <w:pPr>
        <w:pStyle w:val="Rubrik3"/>
        <w:rPr>
          <w:noProof w:val="0"/>
        </w:rPr>
      </w:pPr>
      <w:bookmarkStart w:id="549" w:name="_Toc498157138"/>
      <w:bookmarkStart w:id="550" w:name="_Toc498910811"/>
      <w:r w:rsidRPr="00C9680B">
        <w:rPr>
          <w:noProof w:val="0"/>
        </w:rPr>
        <w:t>4.1.20 Utgiftsområde 20 Allmän miljö- och naturvård</w:t>
      </w:r>
      <w:bookmarkEnd w:id="549"/>
      <w:bookmarkEnd w:id="550"/>
    </w:p>
    <w:p w:rsidR="001C7BF9" w:rsidRPr="00C9680B" w:rsidRDefault="001C7BF9">
      <w:r w:rsidRPr="00C9680B">
        <w:t>Utgiftsområdet omfattar frågor rörande biologisk mångfald och naturvård, sanering och återställning av förorenade områden, vatten- och luftvård, a</w:t>
      </w:r>
      <w:r w:rsidRPr="00C9680B">
        <w:t>v</w:t>
      </w:r>
      <w:r w:rsidRPr="00C9680B">
        <w:t>fallsfrågor, miljöskydd, miljö- och kretsloppsforskning, kemikaliekontroll, strålskydd och säkerhetsfrågor kopplade till kärnkraften samt internationellt miljösamarbete.</w:t>
      </w:r>
    </w:p>
    <w:p w:rsidR="001C7BF9" w:rsidRPr="00C9680B" w:rsidRDefault="001C7BF9">
      <w:pPr>
        <w:pStyle w:val="Normaltindrag"/>
      </w:pPr>
      <w:r w:rsidRPr="00C9680B">
        <w:t>För år 2000 beräknas de totala utgifterna på utgiftsområdet till 1 783 mi</w:t>
      </w:r>
      <w:r w:rsidRPr="00C9680B">
        <w:t>l</w:t>
      </w:r>
      <w:r w:rsidRPr="00C9680B">
        <w:t>joner kronor.</w:t>
      </w:r>
    </w:p>
    <w:p w:rsidR="001C7BF9" w:rsidRPr="00C9680B" w:rsidRDefault="001C7BF9">
      <w:pPr>
        <w:pStyle w:val="R4"/>
      </w:pPr>
      <w:r w:rsidRPr="00C9680B">
        <w:t>Budgetpropositionen</w:t>
      </w:r>
    </w:p>
    <w:p w:rsidR="001C7BF9" w:rsidRPr="00C9680B" w:rsidRDefault="001C7BF9">
      <w:r w:rsidRPr="00C9680B">
        <w:t>I budgetpropositionen (avsnitt 7.4) föreslås en ny organisation för forskning</w:t>
      </w:r>
      <w:r w:rsidRPr="00C9680B">
        <w:t>s</w:t>
      </w:r>
      <w:r w:rsidRPr="00C9680B">
        <w:t>finansiering inom området. Ett nytt forskningsråd för miljö, areella näringar och samhällsbyggande bildas 2001 och två nya anslag uppförs för detta ä</w:t>
      </w:r>
      <w:r w:rsidRPr="00C9680B">
        <w:t>n</w:t>
      </w:r>
      <w:r w:rsidRPr="00C9680B">
        <w:t>damål under utgiftsområde 20. Anslagen tillförs medel från anslag som fina</w:t>
      </w:r>
      <w:r w:rsidRPr="00C9680B">
        <w:t>n</w:t>
      </w:r>
      <w:r w:rsidRPr="00C9680B">
        <w:t>sierar forskning inom utgiftsområdena 16, 18, 20 och 23. Regeringen berä</w:t>
      </w:r>
      <w:r w:rsidRPr="00C9680B">
        <w:t>k</w:t>
      </w:r>
      <w:r w:rsidRPr="00C9680B">
        <w:t>nar också en förstärkning av resurserna för miljöövervakning för perioden 2001</w:t>
      </w:r>
      <w:r w:rsidRPr="00C9680B">
        <w:sym w:font="Symbol" w:char="F02D"/>
      </w:r>
      <w:r w:rsidRPr="00C9680B">
        <w:t>2003. Slutligen överförs medel för länsstyrelsernas miljötillsyn till utgiftsområde 18 år 2003.</w:t>
      </w:r>
    </w:p>
    <w:p w:rsidR="001C7BF9" w:rsidRPr="00C9680B" w:rsidRDefault="001C7BF9">
      <w:pPr>
        <w:pStyle w:val="Normaltindrag"/>
      </w:pPr>
      <w:r w:rsidRPr="00C9680B">
        <w:t>Propositionens och oppositionspartiern</w:t>
      </w:r>
      <w:r w:rsidRPr="00C9680B">
        <w:t>as förslag till ramnivå för utgift</w:t>
      </w:r>
      <w:r w:rsidRPr="00C9680B">
        <w:t>s</w:t>
      </w:r>
      <w:r w:rsidRPr="00C9680B">
        <w:t>området under åren 2001</w:t>
      </w:r>
      <w:r w:rsidRPr="00C9680B">
        <w:sym w:font="Symbol" w:char="F02D"/>
      </w:r>
      <w:r w:rsidRPr="00C9680B">
        <w:t>2003 redovisas i efterföljande t</w:t>
      </w:r>
      <w:r w:rsidRPr="00C9680B">
        <w:t>a</w:t>
      </w:r>
      <w:r w:rsidRPr="00C9680B">
        <w:t>bell.</w:t>
      </w:r>
    </w:p>
    <w:p w:rsidR="001C7BF9" w:rsidRPr="00C9680B" w:rsidRDefault="001C7BF9">
      <w:pPr>
        <w:pStyle w:val="FiU1tabellrubrik2000"/>
        <w:keepNext/>
        <w:keepLines/>
        <w:outlineLvl w:val="0"/>
      </w:pPr>
      <w:r w:rsidRPr="00C9680B">
        <w:t>Förslag till ram för utgiftsområde 20 Allmän miljö- och natu</w:t>
      </w:r>
      <w:r w:rsidRPr="00C9680B">
        <w:t>r</w:t>
      </w:r>
      <w:r w:rsidRPr="00C9680B">
        <w:t>vård</w:t>
      </w:r>
    </w:p>
    <w:p w:rsidR="001C7BF9" w:rsidRPr="00C9680B" w:rsidRDefault="001C7BF9">
      <w:pPr>
        <w:pStyle w:val="Tabell"/>
        <w:keepNext/>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Next/>
              <w:keepLines/>
            </w:pPr>
          </w:p>
        </w:tc>
        <w:tc>
          <w:tcPr>
            <w:tcW w:w="1253" w:type="dxa"/>
            <w:gridSpan w:val="4"/>
            <w:tcBorders>
              <w:top w:val="single" w:sz="6" w:space="0" w:color="000000"/>
            </w:tcBorders>
          </w:tcPr>
          <w:p w:rsidR="001C7BF9" w:rsidRPr="00C9680B" w:rsidRDefault="001C7BF9">
            <w:pPr>
              <w:pStyle w:val="Tabell"/>
              <w:keepNext/>
              <w:keepLines/>
            </w:pPr>
          </w:p>
        </w:tc>
        <w:tc>
          <w:tcPr>
            <w:tcW w:w="1253" w:type="dxa"/>
            <w:gridSpan w:val="4"/>
            <w:tcBorders>
              <w:top w:val="single" w:sz="6" w:space="0" w:color="000000"/>
            </w:tcBorders>
          </w:tcPr>
          <w:p w:rsidR="001C7BF9" w:rsidRPr="00C9680B" w:rsidRDefault="001C7BF9">
            <w:pPr>
              <w:pStyle w:val="Tabell"/>
              <w:keepNext/>
              <w:keepLines/>
              <w:jc w:val="center"/>
            </w:pPr>
          </w:p>
        </w:tc>
        <w:tc>
          <w:tcPr>
            <w:tcW w:w="142" w:type="dxa"/>
            <w:tcBorders>
              <w:top w:val="single" w:sz="6" w:space="0" w:color="000000"/>
            </w:tcBorders>
          </w:tcPr>
          <w:p w:rsidR="001C7BF9" w:rsidRPr="00C9680B" w:rsidRDefault="001C7BF9">
            <w:pPr>
              <w:pStyle w:val="Tabell"/>
              <w:keepNext/>
              <w:keepLines/>
            </w:pPr>
          </w:p>
        </w:tc>
        <w:tc>
          <w:tcPr>
            <w:tcW w:w="1769" w:type="dxa"/>
            <w:gridSpan w:val="4"/>
            <w:tcBorders>
              <w:top w:val="single" w:sz="6" w:space="0" w:color="000000"/>
            </w:tcBorders>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Next/>
              <w:keepLines/>
              <w:jc w:val="left"/>
            </w:pPr>
            <w:r w:rsidRPr="00C9680B">
              <w:t>År</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jc w:val="center"/>
            </w:pPr>
            <w:r w:rsidRPr="00C9680B">
              <w:t>Proposi-</w:t>
            </w:r>
          </w:p>
        </w:tc>
        <w:tc>
          <w:tcPr>
            <w:tcW w:w="142" w:type="dxa"/>
          </w:tcPr>
          <w:p w:rsidR="001C7BF9" w:rsidRPr="00C9680B" w:rsidRDefault="001C7BF9">
            <w:pPr>
              <w:pStyle w:val="Tabell"/>
              <w:keepNext/>
              <w:keepLines/>
            </w:pPr>
          </w:p>
        </w:tc>
        <w:tc>
          <w:tcPr>
            <w:tcW w:w="4053" w:type="dxa"/>
            <w:gridSpan w:val="11"/>
            <w:tcBorders>
              <w:bottom w:val="single" w:sz="4" w:space="0" w:color="auto"/>
            </w:tcBorders>
          </w:tcPr>
          <w:p w:rsidR="001C7BF9" w:rsidRPr="00C9680B" w:rsidRDefault="001C7BF9">
            <w:pPr>
              <w:pStyle w:val="Tabell"/>
              <w:keepNext/>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Next/>
              <w:keepLines/>
            </w:pPr>
          </w:p>
        </w:tc>
        <w:tc>
          <w:tcPr>
            <w:tcW w:w="57" w:type="dxa"/>
            <w:tcBorders>
              <w:bottom w:val="single" w:sz="6" w:space="0" w:color="auto"/>
            </w:tcBorders>
          </w:tcPr>
          <w:p w:rsidR="001C7BF9" w:rsidRPr="00C9680B" w:rsidRDefault="001C7BF9">
            <w:pPr>
              <w:pStyle w:val="Tabell"/>
              <w:keepNext/>
              <w:keepLines/>
            </w:pPr>
          </w:p>
        </w:tc>
        <w:tc>
          <w:tcPr>
            <w:tcW w:w="964" w:type="dxa"/>
            <w:gridSpan w:val="2"/>
            <w:tcBorders>
              <w:bottom w:val="single" w:sz="6" w:space="0" w:color="auto"/>
            </w:tcBorders>
          </w:tcPr>
          <w:p w:rsidR="001C7BF9" w:rsidRPr="00C9680B" w:rsidRDefault="001C7BF9">
            <w:pPr>
              <w:pStyle w:val="Tabell"/>
              <w:keepNext/>
              <w:keepLines/>
              <w:jc w:val="left"/>
            </w:pPr>
            <w:r w:rsidRPr="00C9680B">
              <w:t xml:space="preserve">    tionen</w:t>
            </w:r>
          </w:p>
        </w:tc>
        <w:tc>
          <w:tcPr>
            <w:tcW w:w="142" w:type="dxa"/>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80" w:lineRule="auto"/>
              <w:rPr>
                <w:sz w:val="16"/>
              </w:rPr>
            </w:pPr>
          </w:p>
          <w:p w:rsidR="001C7BF9" w:rsidRPr="00C9680B" w:rsidRDefault="001C7BF9">
            <w:pPr>
              <w:pStyle w:val="Tabell"/>
              <w:keepNext/>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Next/>
              <w:keepLines/>
              <w:spacing w:before="90"/>
            </w:pPr>
          </w:p>
        </w:tc>
        <w:tc>
          <w:tcPr>
            <w:tcW w:w="792" w:type="dxa"/>
            <w:gridSpan w:val="3"/>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 xml:space="preserve">   Ce</w:t>
            </w:r>
            <w:r w:rsidRPr="00C9680B">
              <w:t>n</w:t>
            </w:r>
            <w:r w:rsidRPr="00C9680B">
              <w:t>ter-</w:t>
            </w:r>
          </w:p>
          <w:p w:rsidR="001C7BF9" w:rsidRPr="00C9680B" w:rsidRDefault="001C7BF9">
            <w:pPr>
              <w:pStyle w:val="Tabell"/>
              <w:keepNext/>
              <w:keepLines/>
            </w:pPr>
            <w:r w:rsidRPr="00C9680B">
              <w:t xml:space="preserve">   partiet</w:t>
            </w:r>
          </w:p>
        </w:tc>
        <w:tc>
          <w:tcPr>
            <w:tcW w:w="141" w:type="dxa"/>
            <w:tcBorders>
              <w:bottom w:val="single" w:sz="6" w:space="0" w:color="auto"/>
            </w:tcBorders>
          </w:tcPr>
          <w:p w:rsidR="001C7BF9" w:rsidRPr="00C9680B" w:rsidRDefault="001C7BF9">
            <w:pPr>
              <w:pStyle w:val="Tabell"/>
              <w:keepNext/>
              <w:keepLines/>
            </w:pPr>
          </w:p>
        </w:tc>
        <w:tc>
          <w:tcPr>
            <w:tcW w:w="1134" w:type="dxa"/>
            <w:gridSpan w:val="2"/>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Next/>
              <w:keepLines/>
            </w:pP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jc w:val="center"/>
            </w:pP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gridSpan w:val="2"/>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tcPr>
          <w:p w:rsidR="001C7BF9" w:rsidRPr="00C9680B" w:rsidRDefault="001C7BF9">
            <w:pPr>
              <w:pStyle w:val="Tabell"/>
              <w:keepNext/>
              <w:keepLines/>
            </w:pPr>
          </w:p>
        </w:tc>
        <w:tc>
          <w:tcPr>
            <w:tcW w:w="792" w:type="dxa"/>
            <w:gridSpan w:val="3"/>
          </w:tcPr>
          <w:p w:rsidR="001C7BF9" w:rsidRPr="00C9680B" w:rsidRDefault="001C7BF9">
            <w:pPr>
              <w:pStyle w:val="Tabell"/>
              <w:keepNext/>
              <w:keepLines/>
              <w:ind w:right="38"/>
              <w:jc w:val="right"/>
            </w:pPr>
          </w:p>
        </w:tc>
        <w:tc>
          <w:tcPr>
            <w:tcW w:w="141" w:type="dxa"/>
          </w:tcPr>
          <w:p w:rsidR="001C7BF9" w:rsidRPr="00C9680B" w:rsidRDefault="001C7BF9">
            <w:pPr>
              <w:pStyle w:val="Tabell"/>
              <w:keepNext/>
              <w:keepLines/>
            </w:pPr>
          </w:p>
        </w:tc>
        <w:tc>
          <w:tcPr>
            <w:tcW w:w="1134" w:type="dxa"/>
            <w:gridSpan w:val="2"/>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Next/>
              <w:keepLines/>
            </w:pPr>
            <w:r w:rsidRPr="00C9680B">
              <w:t>2001</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ind w:right="199"/>
              <w:jc w:val="right"/>
            </w:pPr>
            <w:r w:rsidRPr="00C9680B">
              <w:t>2 201</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t>-98</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ind w:right="170"/>
              <w:jc w:val="right"/>
            </w:pPr>
            <w:r w:rsidRPr="00C9680B">
              <w:t>+50</w:t>
            </w:r>
          </w:p>
        </w:tc>
        <w:tc>
          <w:tcPr>
            <w:tcW w:w="142" w:type="dxa"/>
          </w:tcPr>
          <w:p w:rsidR="001C7BF9" w:rsidRPr="00C9680B" w:rsidRDefault="001C7BF9">
            <w:pPr>
              <w:pStyle w:val="Tabell"/>
              <w:keepNext/>
              <w:keepLines/>
              <w:ind w:right="170"/>
              <w:jc w:val="right"/>
            </w:pPr>
          </w:p>
        </w:tc>
        <w:tc>
          <w:tcPr>
            <w:tcW w:w="792" w:type="dxa"/>
            <w:gridSpan w:val="3"/>
          </w:tcPr>
          <w:p w:rsidR="001C7BF9" w:rsidRPr="00C9680B" w:rsidRDefault="001C7BF9">
            <w:pPr>
              <w:pStyle w:val="Tabell"/>
              <w:keepNext/>
              <w:keepLines/>
              <w:ind w:right="170"/>
              <w:jc w:val="right"/>
            </w:pPr>
            <w:r w:rsidRPr="00C9680B">
              <w:t>+115</w:t>
            </w:r>
          </w:p>
        </w:tc>
        <w:tc>
          <w:tcPr>
            <w:tcW w:w="141" w:type="dxa"/>
          </w:tcPr>
          <w:p w:rsidR="001C7BF9" w:rsidRPr="00C9680B" w:rsidRDefault="001C7BF9">
            <w:pPr>
              <w:pStyle w:val="Tabell"/>
              <w:keepNext/>
              <w:keepLines/>
              <w:jc w:val="left"/>
            </w:pPr>
          </w:p>
        </w:tc>
        <w:tc>
          <w:tcPr>
            <w:tcW w:w="936" w:type="dxa"/>
          </w:tcPr>
          <w:p w:rsidR="001C7BF9" w:rsidRPr="00C9680B" w:rsidRDefault="001C7BF9">
            <w:pPr>
              <w:pStyle w:val="Tabell"/>
              <w:keepNext/>
              <w:keepLines/>
              <w:ind w:right="170"/>
              <w:jc w:val="right"/>
            </w:pPr>
            <w:r w:rsidRPr="00C9680B">
              <w:t>+50</w:t>
            </w:r>
          </w:p>
        </w:tc>
        <w:tc>
          <w:tcPr>
            <w:tcW w:w="198" w:type="dxa"/>
          </w:tcPr>
          <w:p w:rsidR="001C7BF9" w:rsidRPr="00C9680B" w:rsidRDefault="001C7BF9">
            <w:pPr>
              <w:pStyle w:val="Tabell"/>
              <w:keepNext/>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Next/>
              <w:keepLines/>
            </w:pPr>
            <w:r w:rsidRPr="00C9680B">
              <w:t>2002</w:t>
            </w: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ind w:right="199"/>
              <w:jc w:val="right"/>
            </w:pPr>
            <w:r w:rsidRPr="00C9680B">
              <w:t>2 409</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t>+852</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ind w:right="170"/>
              <w:jc w:val="right"/>
            </w:pPr>
            <w:r w:rsidRPr="00C9680B">
              <w:t>+50</w:t>
            </w:r>
          </w:p>
        </w:tc>
        <w:tc>
          <w:tcPr>
            <w:tcW w:w="142" w:type="dxa"/>
          </w:tcPr>
          <w:p w:rsidR="001C7BF9" w:rsidRPr="00C9680B" w:rsidRDefault="001C7BF9">
            <w:pPr>
              <w:pStyle w:val="Tabell"/>
              <w:keepNext/>
              <w:keepLines/>
              <w:ind w:right="170"/>
              <w:jc w:val="right"/>
            </w:pPr>
          </w:p>
        </w:tc>
        <w:tc>
          <w:tcPr>
            <w:tcW w:w="792" w:type="dxa"/>
            <w:gridSpan w:val="3"/>
          </w:tcPr>
          <w:p w:rsidR="001C7BF9" w:rsidRPr="00C9680B" w:rsidRDefault="001C7BF9">
            <w:pPr>
              <w:pStyle w:val="Tabell"/>
              <w:keepNext/>
              <w:keepLines/>
              <w:ind w:right="170"/>
              <w:jc w:val="right"/>
            </w:pPr>
            <w:r w:rsidRPr="00C9680B">
              <w:t>+413</w:t>
            </w:r>
          </w:p>
        </w:tc>
        <w:tc>
          <w:tcPr>
            <w:tcW w:w="141" w:type="dxa"/>
          </w:tcPr>
          <w:p w:rsidR="001C7BF9" w:rsidRPr="00C9680B" w:rsidRDefault="001C7BF9">
            <w:pPr>
              <w:pStyle w:val="Tabell"/>
              <w:keepNext/>
              <w:keepLines/>
              <w:jc w:val="left"/>
            </w:pPr>
          </w:p>
        </w:tc>
        <w:tc>
          <w:tcPr>
            <w:tcW w:w="936" w:type="dxa"/>
          </w:tcPr>
          <w:p w:rsidR="001C7BF9" w:rsidRPr="00C9680B" w:rsidRDefault="001C7BF9">
            <w:pPr>
              <w:pStyle w:val="Tabell"/>
              <w:keepNext/>
              <w:keepLines/>
              <w:ind w:right="170"/>
              <w:jc w:val="right"/>
            </w:pPr>
            <w:r w:rsidRPr="00C9680B">
              <w:t>+50</w:t>
            </w:r>
          </w:p>
        </w:tc>
        <w:tc>
          <w:tcPr>
            <w:tcW w:w="198" w:type="dxa"/>
          </w:tcPr>
          <w:p w:rsidR="001C7BF9" w:rsidRPr="00C9680B" w:rsidRDefault="001C7BF9">
            <w:pPr>
              <w:pStyle w:val="Tabell"/>
              <w:keepNext/>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Next/>
              <w:keepLines/>
            </w:pPr>
            <w:r w:rsidRPr="00C9680B">
              <w:t>2003</w:t>
            </w:r>
          </w:p>
        </w:tc>
        <w:tc>
          <w:tcPr>
            <w:tcW w:w="57" w:type="dxa"/>
            <w:tcBorders>
              <w:bottom w:val="single" w:sz="6" w:space="0" w:color="auto"/>
            </w:tcBorders>
          </w:tcPr>
          <w:p w:rsidR="001C7BF9" w:rsidRPr="00C9680B" w:rsidRDefault="001C7BF9">
            <w:pPr>
              <w:pStyle w:val="Tabell"/>
              <w:keepNext/>
              <w:keepLines/>
              <w:rPr>
                <w:b/>
              </w:rPr>
            </w:pPr>
          </w:p>
        </w:tc>
        <w:tc>
          <w:tcPr>
            <w:tcW w:w="964" w:type="dxa"/>
            <w:gridSpan w:val="2"/>
            <w:tcBorders>
              <w:bottom w:val="single" w:sz="6" w:space="0" w:color="auto"/>
            </w:tcBorders>
          </w:tcPr>
          <w:p w:rsidR="001C7BF9" w:rsidRPr="00C9680B" w:rsidRDefault="001C7BF9">
            <w:pPr>
              <w:pStyle w:val="Tabell"/>
              <w:keepNext/>
              <w:keepLines/>
              <w:ind w:right="199"/>
              <w:jc w:val="right"/>
            </w:pPr>
            <w:r w:rsidRPr="00C9680B">
              <w:t>2 593</w:t>
            </w:r>
          </w:p>
        </w:tc>
        <w:tc>
          <w:tcPr>
            <w:tcW w:w="142" w:type="dxa"/>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ind w:right="170"/>
              <w:jc w:val="right"/>
            </w:pPr>
            <w:r w:rsidRPr="00C9680B">
              <w:t>-198</w:t>
            </w:r>
          </w:p>
        </w:tc>
        <w:tc>
          <w:tcPr>
            <w:tcW w:w="142" w:type="dxa"/>
            <w:gridSpan w:val="2"/>
            <w:tcBorders>
              <w:bottom w:val="single" w:sz="6" w:space="0" w:color="auto"/>
            </w:tcBorders>
          </w:tcPr>
          <w:p w:rsidR="001C7BF9" w:rsidRPr="00C9680B" w:rsidRDefault="001C7BF9">
            <w:pPr>
              <w:pStyle w:val="Tabell"/>
              <w:keepNext/>
              <w:keepLines/>
              <w:ind w:right="170"/>
              <w:jc w:val="right"/>
            </w:pPr>
          </w:p>
        </w:tc>
        <w:tc>
          <w:tcPr>
            <w:tcW w:w="851" w:type="dxa"/>
            <w:tcBorders>
              <w:bottom w:val="single" w:sz="6" w:space="0" w:color="auto"/>
            </w:tcBorders>
          </w:tcPr>
          <w:p w:rsidR="001C7BF9" w:rsidRPr="00C9680B" w:rsidRDefault="001C7BF9">
            <w:pPr>
              <w:pStyle w:val="Tabell"/>
              <w:keepNext/>
              <w:keepLines/>
              <w:ind w:right="170"/>
              <w:jc w:val="right"/>
            </w:pPr>
            <w:r w:rsidRPr="00C9680B">
              <w:t>+50</w:t>
            </w:r>
          </w:p>
        </w:tc>
        <w:tc>
          <w:tcPr>
            <w:tcW w:w="142" w:type="dxa"/>
            <w:tcBorders>
              <w:bottom w:val="single" w:sz="6" w:space="0" w:color="auto"/>
            </w:tcBorders>
          </w:tcPr>
          <w:p w:rsidR="001C7BF9" w:rsidRPr="00C9680B" w:rsidRDefault="001C7BF9">
            <w:pPr>
              <w:pStyle w:val="Tabell"/>
              <w:keepNext/>
              <w:keepLines/>
              <w:ind w:right="170"/>
              <w:jc w:val="right"/>
            </w:pPr>
          </w:p>
        </w:tc>
        <w:tc>
          <w:tcPr>
            <w:tcW w:w="792" w:type="dxa"/>
            <w:gridSpan w:val="3"/>
            <w:tcBorders>
              <w:bottom w:val="single" w:sz="6" w:space="0" w:color="auto"/>
            </w:tcBorders>
          </w:tcPr>
          <w:p w:rsidR="001C7BF9" w:rsidRPr="00C9680B" w:rsidRDefault="001C7BF9">
            <w:pPr>
              <w:pStyle w:val="Tabell"/>
              <w:keepNext/>
              <w:keepLines/>
              <w:ind w:right="170"/>
              <w:jc w:val="right"/>
            </w:pPr>
            <w:r w:rsidRPr="00C9680B">
              <w:t>+415</w:t>
            </w:r>
          </w:p>
        </w:tc>
        <w:tc>
          <w:tcPr>
            <w:tcW w:w="141" w:type="dxa"/>
            <w:tcBorders>
              <w:bottom w:val="single" w:sz="6" w:space="0" w:color="auto"/>
            </w:tcBorders>
          </w:tcPr>
          <w:p w:rsidR="001C7BF9" w:rsidRPr="00C9680B" w:rsidRDefault="001C7BF9">
            <w:pPr>
              <w:pStyle w:val="Tabell"/>
              <w:keepNext/>
              <w:keepLines/>
              <w:jc w:val="left"/>
            </w:pPr>
          </w:p>
        </w:tc>
        <w:tc>
          <w:tcPr>
            <w:tcW w:w="936" w:type="dxa"/>
            <w:tcBorders>
              <w:bottom w:val="single" w:sz="6" w:space="0" w:color="auto"/>
            </w:tcBorders>
          </w:tcPr>
          <w:p w:rsidR="001C7BF9" w:rsidRPr="00C9680B" w:rsidRDefault="001C7BF9">
            <w:pPr>
              <w:pStyle w:val="Tabell"/>
              <w:keepNext/>
              <w:keepLines/>
              <w:ind w:right="170"/>
              <w:jc w:val="right"/>
            </w:pPr>
            <w:r w:rsidRPr="00C9680B">
              <w:t>+50</w:t>
            </w:r>
          </w:p>
        </w:tc>
        <w:tc>
          <w:tcPr>
            <w:tcW w:w="198" w:type="dxa"/>
            <w:tcBorders>
              <w:bottom w:val="single" w:sz="6" w:space="0" w:color="auto"/>
            </w:tcBorders>
          </w:tcPr>
          <w:p w:rsidR="001C7BF9" w:rsidRPr="00C9680B" w:rsidRDefault="001C7BF9">
            <w:pPr>
              <w:pStyle w:val="Tabell"/>
              <w:keepNext/>
              <w:keepLines/>
              <w:ind w:right="170"/>
              <w:jc w:val="right"/>
            </w:pPr>
          </w:p>
        </w:tc>
      </w:tr>
    </w:tbl>
    <w:p w:rsidR="001C7BF9" w:rsidRPr="00C9680B" w:rsidRDefault="001C7BF9">
      <w:pPr>
        <w:pStyle w:val="R4"/>
      </w:pPr>
      <w:r w:rsidRPr="00C9680B">
        <w:t>Motionerna</w:t>
      </w:r>
    </w:p>
    <w:p w:rsidR="001C7BF9" w:rsidRPr="00C9680B" w:rsidRDefault="001C7BF9">
      <w:r w:rsidRPr="00C9680B">
        <w:rPr>
          <w:i/>
        </w:rPr>
        <w:t>Moderata samlingspartiet</w:t>
      </w:r>
      <w:r w:rsidRPr="00C9680B">
        <w:t xml:space="preserve"> i </w:t>
      </w:r>
      <w:r w:rsidRPr="00C9680B">
        <w:rPr>
          <w:i/>
        </w:rPr>
        <w:t>motion Fi208</w:t>
      </w:r>
      <w:r w:rsidRPr="00C9680B">
        <w:t xml:space="preserve"> anser att miljöövervakning är en mycket viktig verksamhet och att det är riktigt att regeringen föreslår ökning av anslaget. Motionärerna ser dock risken att en så snabb och kraftig a</w:t>
      </w:r>
      <w:r w:rsidRPr="00C9680B">
        <w:t>n</w:t>
      </w:r>
      <w:r w:rsidRPr="00C9680B">
        <w:t xml:space="preserve">slagsökning inte kan tillgodogöras och föreslår därför minskat anslag för detta ändamål. Vidare skall större andel skyddsvärd mark skyddas genom s.k. skötselkontrakt, vilket gör bevarandearbetet mer kostnadseffektivt. En fond för biologisk mångfald, som skall vara öppen för donationer, föreslås skapas år 2002. </w:t>
      </w:r>
      <w:r w:rsidRPr="00C9680B">
        <w:t>Som en följd av partiets modell för bevarande av biologisk mångfald minskas anslagsb</w:t>
      </w:r>
      <w:r w:rsidRPr="00C9680B">
        <w:t>e</w:t>
      </w:r>
      <w:r w:rsidRPr="00C9680B">
        <w:t>hovet inom utgiftsområdet.</w:t>
      </w:r>
    </w:p>
    <w:p w:rsidR="001C7BF9" w:rsidRPr="00C9680B" w:rsidRDefault="001C7BF9">
      <w:pPr>
        <w:pStyle w:val="Normaltindrag"/>
      </w:pPr>
      <w:r w:rsidRPr="00C9680B">
        <w:rPr>
          <w:i/>
        </w:rPr>
        <w:t>Kristdemokraterna</w:t>
      </w:r>
      <w:r w:rsidRPr="00C9680B">
        <w:t xml:space="preserve"> betonar i </w:t>
      </w:r>
      <w:r w:rsidRPr="00C9680B">
        <w:rPr>
          <w:i/>
        </w:rPr>
        <w:t>motion Fi209</w:t>
      </w:r>
      <w:r w:rsidRPr="00C9680B">
        <w:t xml:space="preserve"> vikten av en sammanhållen syn på sjö- och skogskalkning. Kalkningsanslaget bör förstärkas och skogskal</w:t>
      </w:r>
      <w:r w:rsidRPr="00C9680B">
        <w:t>k</w:t>
      </w:r>
      <w:r w:rsidRPr="00C9680B">
        <w:t>ning bör nu föras under detta utgiftsområde. Resursramen för utgiftsområdet föreslås därför utökas.</w:t>
      </w:r>
    </w:p>
    <w:p w:rsidR="001C7BF9" w:rsidRPr="00C9680B" w:rsidRDefault="001C7BF9">
      <w:pPr>
        <w:pStyle w:val="Normaltindrag"/>
      </w:pPr>
      <w:r w:rsidRPr="00C9680B">
        <w:rPr>
          <w:i/>
        </w:rPr>
        <w:t>Centerpartiet</w:t>
      </w:r>
      <w:r w:rsidRPr="00C9680B">
        <w:t xml:space="preserve"> betonar i </w:t>
      </w:r>
      <w:r w:rsidRPr="00C9680B">
        <w:rPr>
          <w:i/>
        </w:rPr>
        <w:t>motion Fi210</w:t>
      </w:r>
      <w:r w:rsidRPr="00C9680B">
        <w:t xml:space="preserve"> vikten av den globala utvecklingen på området. Sverige skall vara ett föredöme på miljöområdet och utöka sitt engagemang i internationellt miljösamarbete. Utgiftsramen föreslås öka jä</w:t>
      </w:r>
      <w:r w:rsidRPr="00C9680B">
        <w:t>m</w:t>
      </w:r>
      <w:r w:rsidRPr="00C9680B">
        <w:t>fört med regeringens beräkningar.</w:t>
      </w:r>
    </w:p>
    <w:p w:rsidR="001C7BF9" w:rsidRPr="00C9680B" w:rsidRDefault="001C7BF9">
      <w:pPr>
        <w:pStyle w:val="Normaltindrag"/>
      </w:pPr>
      <w:r w:rsidRPr="00C9680B">
        <w:rPr>
          <w:i/>
        </w:rPr>
        <w:t>Folkpartiet liberalerna</w:t>
      </w:r>
      <w:r w:rsidRPr="00C9680B">
        <w:t xml:space="preserve"> föreslår i </w:t>
      </w:r>
      <w:r w:rsidRPr="00C9680B">
        <w:rPr>
          <w:i/>
        </w:rPr>
        <w:t>motion Fi211</w:t>
      </w:r>
      <w:r w:rsidRPr="00C9680B">
        <w:t xml:space="preserve"> ökade resurser för att bev</w:t>
      </w:r>
      <w:r w:rsidRPr="00C9680B">
        <w:t>a</w:t>
      </w:r>
      <w:r w:rsidRPr="00C9680B">
        <w:t>ra den biologiska mångfalden.</w:t>
      </w:r>
    </w:p>
    <w:p w:rsidR="001C7BF9" w:rsidRPr="00C9680B" w:rsidRDefault="001C7BF9">
      <w:r w:rsidRPr="00C9680B">
        <w:rPr>
          <w:i/>
        </w:rPr>
        <w:t>Miljö- och jordbruksutskottet</w:t>
      </w:r>
      <w:r w:rsidRPr="00C9680B">
        <w:t xml:space="preserve"> har avstått från att yttra sig.</w:t>
      </w:r>
    </w:p>
    <w:p w:rsidR="001C7BF9" w:rsidRPr="00C9680B" w:rsidRDefault="001C7BF9">
      <w:pPr>
        <w:pStyle w:val="R4"/>
      </w:pPr>
      <w:r w:rsidRPr="00C9680B">
        <w:t>Finansutskottets ställningstagande</w:t>
      </w:r>
    </w:p>
    <w:p w:rsidR="001C7BF9" w:rsidRPr="00C9680B" w:rsidRDefault="001C7BF9">
      <w:r w:rsidRPr="00C9680B">
        <w:t>Finansutskottet har tidigare i betänkandet (avsnitten 2.4.3 och 2.6) redovisat sin bedömning av fördelningen av utgifterna på utgiftsområden för budgetåret 2001 och därvid tillstyrkt regeringens förslag.</w:t>
      </w:r>
    </w:p>
    <w:p w:rsidR="001C7BF9" w:rsidRPr="00C9680B" w:rsidRDefault="001C7BF9">
      <w:pPr>
        <w:pStyle w:val="Normaltindrag"/>
      </w:pPr>
      <w:r w:rsidRPr="00C9680B">
        <w:t>Finansutskottet tillstyrker således propositionens förslag till ramnivå för utgiftsområde 20 och föreslår att utgiftsramen fastställs till 2 201 miljoner kronor. Motionernas förslag till alternativa ramar a</w:t>
      </w:r>
      <w:r w:rsidRPr="00C9680B">
        <w:t>v</w:t>
      </w:r>
      <w:r w:rsidRPr="00C9680B">
        <w:t>styrks.</w:t>
      </w:r>
    </w:p>
    <w:p w:rsidR="001C7BF9" w:rsidRPr="00C9680B" w:rsidRDefault="001C7BF9">
      <w:pPr>
        <w:pStyle w:val="Rubrik3"/>
        <w:rPr>
          <w:noProof w:val="0"/>
        </w:rPr>
      </w:pPr>
      <w:bookmarkStart w:id="551" w:name="_Toc498157139"/>
      <w:bookmarkStart w:id="552" w:name="_Toc498910812"/>
      <w:r w:rsidRPr="00C9680B">
        <w:rPr>
          <w:noProof w:val="0"/>
        </w:rPr>
        <w:t>4.1.21 Utgiftsområde 21 Energi</w:t>
      </w:r>
      <w:bookmarkEnd w:id="551"/>
      <w:bookmarkEnd w:id="552"/>
    </w:p>
    <w:p w:rsidR="001C7BF9" w:rsidRPr="00C9680B" w:rsidRDefault="001C7BF9">
      <w:r w:rsidRPr="00C9680B">
        <w:t>Utgiftsområdet omfattar insatser för omställning och utveckling av energ</w:t>
      </w:r>
      <w:r w:rsidRPr="00C9680B">
        <w:t>i</w:t>
      </w:r>
      <w:r w:rsidRPr="00C9680B">
        <w:t>systemet samt insatser för att främja utvecklingen av effektiva energimarkn</w:t>
      </w:r>
      <w:r w:rsidRPr="00C9680B">
        <w:t>a</w:t>
      </w:r>
      <w:r w:rsidRPr="00C9680B">
        <w:t>der.</w:t>
      </w:r>
    </w:p>
    <w:p w:rsidR="001C7BF9" w:rsidRPr="00C9680B" w:rsidRDefault="001C7BF9">
      <w:pPr>
        <w:pStyle w:val="Normaltindrag"/>
      </w:pPr>
      <w:r w:rsidRPr="00C9680B">
        <w:t>De totala utgifterna för utgiftsområdet år 2000 beräknas uppgå till 1 948 mi</w:t>
      </w:r>
      <w:r w:rsidRPr="00C9680B">
        <w:t>l</w:t>
      </w:r>
      <w:r w:rsidRPr="00C9680B">
        <w:t>joner kronor.</w:t>
      </w:r>
    </w:p>
    <w:p w:rsidR="001C7BF9" w:rsidRPr="00C9680B" w:rsidRDefault="001C7BF9">
      <w:pPr>
        <w:pStyle w:val="R4"/>
      </w:pPr>
      <w:r w:rsidRPr="00C9680B">
        <w:t>Budgetpropositionen</w:t>
      </w:r>
    </w:p>
    <w:p w:rsidR="001C7BF9" w:rsidRPr="00C9680B" w:rsidRDefault="001C7BF9">
      <w:r w:rsidRPr="00C9680B">
        <w:t>I budgetpropositionen (avsnitt 7.4) anför regeringen att ett fortsatt stöd för småskalig elproduktion under åren 2001 och 2002 med 210 miljoner kronor per år finansieras genom omprioriteringar inom utgiftsområdet. Utgiftsomr</w:t>
      </w:r>
      <w:r w:rsidRPr="00C9680B">
        <w:t>å</w:t>
      </w:r>
      <w:r w:rsidRPr="00C9680B">
        <w:t>desramen för 2001 är oförändrad jämfört med den beräkning som gjordes i 2000 års ekonomiska vårpropos</w:t>
      </w:r>
      <w:r w:rsidRPr="00C9680B">
        <w:t>i</w:t>
      </w:r>
      <w:r w:rsidRPr="00C9680B">
        <w:t>tion.</w:t>
      </w:r>
    </w:p>
    <w:p w:rsidR="001C7BF9" w:rsidRPr="00C9680B" w:rsidRDefault="001C7BF9">
      <w:pPr>
        <w:pStyle w:val="Normaltindrag"/>
      </w:pPr>
      <w:r w:rsidRPr="00C9680B">
        <w:t>I följande tablå redovisas föreslagna utgiftsramar enligt budgetpropositi</w:t>
      </w:r>
      <w:r w:rsidRPr="00C9680B">
        <w:t>o</w:t>
      </w:r>
      <w:r w:rsidRPr="00C9680B">
        <w:t>nen och motionerna.</w:t>
      </w:r>
    </w:p>
    <w:p w:rsidR="001C7BF9" w:rsidRPr="00C9680B" w:rsidRDefault="001C7BF9">
      <w:pPr>
        <w:pStyle w:val="FiU1tabellrubrik2000"/>
        <w:keepLines/>
        <w:outlineLvl w:val="0"/>
      </w:pPr>
      <w:r w:rsidRPr="00C9680B">
        <w:t>Förslag till ram för utgiftsområde 21 Energi</w:t>
      </w:r>
    </w:p>
    <w:p w:rsidR="001C7BF9" w:rsidRPr="00C9680B" w:rsidRDefault="001C7BF9">
      <w:pPr>
        <w:pStyle w:val="Tabell"/>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2 262</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-849</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-225</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+100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-1 586</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2 085</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-637</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-225</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+100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-1 376</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1 304</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-105</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-200</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+350</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-837</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4"/>
      </w:pPr>
      <w:r w:rsidRPr="00C9680B">
        <w:t>Motionerna</w:t>
      </w:r>
    </w:p>
    <w:p w:rsidR="001C7BF9" w:rsidRPr="00C9680B" w:rsidRDefault="001C7BF9">
      <w:r w:rsidRPr="00C9680B">
        <w:rPr>
          <w:i/>
        </w:rPr>
        <w:t xml:space="preserve">Moderata samlingspartiet </w:t>
      </w:r>
      <w:r w:rsidRPr="00C9680B">
        <w:t xml:space="preserve">anför i motion </w:t>
      </w:r>
      <w:r w:rsidRPr="00C9680B">
        <w:rPr>
          <w:i/>
        </w:rPr>
        <w:t>Fi208</w:t>
      </w:r>
      <w:r w:rsidRPr="00C9680B">
        <w:t xml:space="preserve"> att man nu kan börja se e</w:t>
      </w:r>
      <w:r w:rsidRPr="00C9680B">
        <w:t>f</w:t>
      </w:r>
      <w:r w:rsidRPr="00C9680B">
        <w:t>fekterna av regeringens misslyckade energipolitik. Stängningen av Bars</w:t>
      </w:r>
      <w:r w:rsidRPr="00C9680B">
        <w:t>e</w:t>
      </w:r>
      <w:r w:rsidRPr="00C9680B">
        <w:t>bäck 1 har lett till kraftigt ökade utsläpp av koldioxid och andra miljöskadliga ämnen. Energiomställningsprogrammet har kostat skattebetalarna miljardb</w:t>
      </w:r>
      <w:r w:rsidRPr="00C9680B">
        <w:t>e</w:t>
      </w:r>
      <w:r w:rsidRPr="00C9680B">
        <w:t>lopp som har slösats bort eftersom programmet inte gett avsedd effekt. M</w:t>
      </w:r>
      <w:r w:rsidRPr="00C9680B">
        <w:t>o</w:t>
      </w:r>
      <w:r w:rsidRPr="00C9680B">
        <w:t>tionärerna anser att det nu är dags att avveckla energipolitiken. Motionärerna avvisar såväl den förtida kärnkraftsavvecklingen som den bidragspolitik avvecklingen fört</w:t>
      </w:r>
      <w:r w:rsidRPr="00C9680B">
        <w:t xml:space="preserve"> med sig. Energimyndigheten kan därför minska sin ver</w:t>
      </w:r>
      <w:r w:rsidRPr="00C9680B">
        <w:t>k</w:t>
      </w:r>
      <w:r w:rsidRPr="00C9680B">
        <w:t xml:space="preserve">samhet. </w:t>
      </w:r>
    </w:p>
    <w:p w:rsidR="001C7BF9" w:rsidRPr="00C9680B" w:rsidRDefault="001C7BF9">
      <w:pPr>
        <w:pStyle w:val="Normaltindrag"/>
      </w:pPr>
      <w:r w:rsidRPr="00C9680B">
        <w:rPr>
          <w:i/>
        </w:rPr>
        <w:t>Kristdemokraterna</w:t>
      </w:r>
      <w:r w:rsidRPr="00C9680B">
        <w:t xml:space="preserve"> anser i motion </w:t>
      </w:r>
      <w:r w:rsidRPr="00C9680B">
        <w:rPr>
          <w:i/>
        </w:rPr>
        <w:t>Fi209</w:t>
      </w:r>
      <w:r w:rsidRPr="00C9680B">
        <w:t xml:space="preserve"> att kärnkraften skall avvecklas i takt med att förnybara energikällor kan fasas in. Beslutet om kärnkraftsa</w:t>
      </w:r>
      <w:r w:rsidRPr="00C9680B">
        <w:t>v</w:t>
      </w:r>
      <w:r w:rsidRPr="00C9680B">
        <w:t>vecklingen har tagits utan grundläggande konsekvensanalyser beträffande ekonomi och miljö. Motionärerna anser att satsningar på forskning och u</w:t>
      </w:r>
      <w:r w:rsidRPr="00C9680B">
        <w:t>t</w:t>
      </w:r>
      <w:r w:rsidRPr="00C9680B">
        <w:t>veckling av alternativa energislag bör prioriteras. Motionärerna anser att anslaget till energiforskningen bör minskas med 100 miljoner kronor för vart och ett av de kommande tre åren eftersom det energipolitiska programmet inte givit för</w:t>
      </w:r>
      <w:r w:rsidRPr="00C9680B">
        <w:t>väntad effekt. En besparing kan också göras på energiteknikst</w:t>
      </w:r>
      <w:r w:rsidRPr="00C9680B">
        <w:t>ö</w:t>
      </w:r>
      <w:r w:rsidRPr="00C9680B">
        <w:t xml:space="preserve">det med 100 miljoner kronor per år.. </w:t>
      </w:r>
    </w:p>
    <w:p w:rsidR="001C7BF9" w:rsidRPr="00C9680B" w:rsidRDefault="001C7BF9">
      <w:pPr>
        <w:pStyle w:val="Normaltindrag"/>
      </w:pPr>
      <w:r w:rsidRPr="00C9680B">
        <w:rPr>
          <w:i/>
        </w:rPr>
        <w:t>Centerpartiet</w:t>
      </w:r>
      <w:r w:rsidRPr="00C9680B">
        <w:t xml:space="preserve"> föreslår i motion </w:t>
      </w:r>
      <w:r w:rsidRPr="00C9680B">
        <w:rPr>
          <w:i/>
        </w:rPr>
        <w:t>Fi210</w:t>
      </w:r>
      <w:r w:rsidRPr="00C9680B">
        <w:t xml:space="preserve"> en ökning av ramen för utgiftsomr</w:t>
      </w:r>
      <w:r w:rsidRPr="00C9680B">
        <w:t>å</w:t>
      </w:r>
      <w:r w:rsidRPr="00C9680B">
        <w:t xml:space="preserve">det. </w:t>
      </w:r>
    </w:p>
    <w:p w:rsidR="001C7BF9" w:rsidRPr="00C9680B" w:rsidRDefault="001C7BF9">
      <w:pPr>
        <w:pStyle w:val="Normaltindrag"/>
      </w:pPr>
      <w:r w:rsidRPr="00C9680B">
        <w:rPr>
          <w:i/>
        </w:rPr>
        <w:t>Folkpartiet liberalerna</w:t>
      </w:r>
      <w:r w:rsidRPr="00C9680B">
        <w:t xml:space="preserve"> föreslår i motion </w:t>
      </w:r>
      <w:r w:rsidRPr="00C9680B">
        <w:rPr>
          <w:i/>
        </w:rPr>
        <w:t>Fi211</w:t>
      </w:r>
      <w:r w:rsidRPr="00C9680B">
        <w:t xml:space="preserve"> att Barsebäck på nytt bör tas i drift. Staten kan då undvika kostnader för avvecklingen samtidigt som större delen av åtgärdsprogrammen inom energiområdet kan slopas. Motion</w:t>
      </w:r>
      <w:r w:rsidRPr="00C9680B">
        <w:t>ä</w:t>
      </w:r>
      <w:r w:rsidRPr="00C9680B">
        <w:t>rerna anser vidare att medel bör avsättas för stöd till energisäkerhet i Östeur</w:t>
      </w:r>
      <w:r w:rsidRPr="00C9680B">
        <w:t>o</w:t>
      </w:r>
      <w:r w:rsidRPr="00C9680B">
        <w:t>pa.</w:t>
      </w:r>
    </w:p>
    <w:p w:rsidR="001C7BF9" w:rsidRPr="00C9680B" w:rsidRDefault="001C7BF9">
      <w:pPr>
        <w:pStyle w:val="R4"/>
      </w:pPr>
      <w:r w:rsidRPr="00C9680B">
        <w:t>Näringsutskottets yttrande</w:t>
      </w:r>
    </w:p>
    <w:p w:rsidR="001C7BF9" w:rsidRPr="00C9680B" w:rsidRDefault="001C7BF9">
      <w:r w:rsidRPr="00C9680B">
        <w:t>Näringsutskottet, som har yttrat sig i form av ett protokollsutdrag, tillstyrker regeringens förslag. Företrädarna för Moderata samlingspartiet, Kristdem</w:t>
      </w:r>
      <w:r w:rsidRPr="00C9680B">
        <w:t>o</w:t>
      </w:r>
      <w:r w:rsidRPr="00C9680B">
        <w:t>kraterna, Centerpartiet och Folkpartiet liberalerna tillstyrker förslagen i r</w:t>
      </w:r>
      <w:r w:rsidRPr="00C9680B">
        <w:t>e</w:t>
      </w:r>
      <w:r w:rsidRPr="00C9680B">
        <w:t>spektive partimotion.</w:t>
      </w:r>
    </w:p>
    <w:p w:rsidR="001C7BF9" w:rsidRPr="00C9680B" w:rsidRDefault="001C7BF9">
      <w:pPr>
        <w:pStyle w:val="R4"/>
      </w:pPr>
      <w:r w:rsidRPr="00C9680B">
        <w:t>Finansutskottets ställningstagande</w:t>
      </w:r>
    </w:p>
    <w:p w:rsidR="001C7BF9" w:rsidRPr="00C9680B" w:rsidRDefault="001C7BF9">
      <w:r w:rsidRPr="00C9680B">
        <w:t>Finansutskottet har tidigare i betänkandet i avsnitten 2.4.3 och 2.6 redovisat sin bedömning av fördelningen av utgifterna på utgiftsområden för budgetåret 2001 och därvid tillstyrkt regeringens förslag till ramar för utgiftsområdena. Näringsutskottet har för sin del inte haft något att erinra mot den föreslagna ramen för utgiftsområde 21.</w:t>
      </w:r>
    </w:p>
    <w:p w:rsidR="001C7BF9" w:rsidRPr="00C9680B" w:rsidRDefault="001C7BF9">
      <w:pPr>
        <w:pStyle w:val="Normaltindrag"/>
      </w:pPr>
      <w:r w:rsidRPr="00C9680B">
        <w:t>Finansutskottet tillstyrker således propositionens förslag till ramnivå för utgiftsområde 21 och föreslår att utgiftsramen fastställs till 2 262 miljoner kronor. Motionerna avstyrks i berörda delar.</w:t>
      </w:r>
    </w:p>
    <w:p w:rsidR="001C7BF9" w:rsidRPr="00C9680B" w:rsidRDefault="001C7BF9">
      <w:pPr>
        <w:pStyle w:val="Rubrik3"/>
        <w:rPr>
          <w:noProof w:val="0"/>
        </w:rPr>
      </w:pPr>
      <w:bookmarkStart w:id="553" w:name="_Toc498157140"/>
      <w:bookmarkStart w:id="554" w:name="_Toc498910813"/>
      <w:r w:rsidRPr="00C9680B">
        <w:rPr>
          <w:noProof w:val="0"/>
        </w:rPr>
        <w:t>4.1.22 Utgiftsområde 22 Kommunikationer</w:t>
      </w:r>
      <w:bookmarkEnd w:id="553"/>
      <w:bookmarkEnd w:id="554"/>
    </w:p>
    <w:p w:rsidR="001C7BF9" w:rsidRPr="00C9680B" w:rsidRDefault="001C7BF9">
      <w:r w:rsidRPr="00C9680B">
        <w:t>Utgiftsområdet omfattar väghållning och banhållning, vägtrafik och jär</w:t>
      </w:r>
      <w:r w:rsidRPr="00C9680B">
        <w:t>n</w:t>
      </w:r>
      <w:r w:rsidRPr="00C9680B">
        <w:t>vägstrafik, sjöfart, luftfart, postbefordran, telekommunikationer och övergr</w:t>
      </w:r>
      <w:r w:rsidRPr="00C9680B">
        <w:t>i</w:t>
      </w:r>
      <w:r w:rsidRPr="00C9680B">
        <w:t>pande i</w:t>
      </w:r>
      <w:r w:rsidRPr="00C9680B">
        <w:t>n</w:t>
      </w:r>
      <w:r w:rsidRPr="00C9680B">
        <w:t>formationsteknikfrågor. I utgiftsområdet ingår också miljöfrågor.</w:t>
      </w:r>
    </w:p>
    <w:p w:rsidR="001C7BF9" w:rsidRPr="00C9680B" w:rsidRDefault="001C7BF9">
      <w:pPr>
        <w:pStyle w:val="Normaltindrag"/>
      </w:pPr>
      <w:r w:rsidRPr="00C9680B">
        <w:t>De totala utgifterna för utgiftsområdet år 2000 beräknas uppgå till 26 380 milj</w:t>
      </w:r>
      <w:r w:rsidRPr="00C9680B">
        <w:t>o</w:t>
      </w:r>
      <w:r w:rsidRPr="00C9680B">
        <w:t>ner kronor.</w:t>
      </w:r>
    </w:p>
    <w:p w:rsidR="001C7BF9" w:rsidRPr="00C9680B" w:rsidRDefault="001C7BF9">
      <w:pPr>
        <w:pStyle w:val="Rubrik4"/>
        <w:rPr>
          <w:noProof w:val="0"/>
        </w:rPr>
      </w:pPr>
      <w:bookmarkStart w:id="555" w:name="_Toc498763645"/>
      <w:bookmarkStart w:id="556" w:name="_Toc498910814"/>
      <w:r w:rsidRPr="00C9680B">
        <w:rPr>
          <w:noProof w:val="0"/>
        </w:rPr>
        <w:t>Budgetpropositionen</w:t>
      </w:r>
      <w:bookmarkEnd w:id="555"/>
      <w:bookmarkEnd w:id="556"/>
    </w:p>
    <w:p w:rsidR="001C7BF9" w:rsidRPr="00C9680B" w:rsidRDefault="001C7BF9">
      <w:r w:rsidRPr="00C9680B">
        <w:t>I budgetpropositionen (avsnitt 7.2) meddelar regeringen att förändringen av utgiftsområdesramen för 2000 och 2001 jämfört med 2000 års ekonomiska vårproposition främst förklaras av anslagshöjningar till följd av översvä</w:t>
      </w:r>
      <w:r w:rsidRPr="00C9680B">
        <w:t>m</w:t>
      </w:r>
      <w:r w:rsidRPr="00C9680B">
        <w:t>ningarna under sommaren 2000 samt att forskningsmedel överförts till annat utgiftso</w:t>
      </w:r>
      <w:r w:rsidRPr="00C9680B">
        <w:t>m</w:t>
      </w:r>
      <w:r w:rsidRPr="00C9680B">
        <w:t>råde fr.o.m. 2001.</w:t>
      </w:r>
    </w:p>
    <w:p w:rsidR="001C7BF9" w:rsidRPr="00C9680B" w:rsidRDefault="001C7BF9">
      <w:pPr>
        <w:pStyle w:val="Normaltindrag"/>
      </w:pPr>
      <w:r w:rsidRPr="00C9680B">
        <w:t>Propositionens och oppositionspartiernas förslag till ramnivå för utgift</w:t>
      </w:r>
      <w:r w:rsidRPr="00C9680B">
        <w:t>s</w:t>
      </w:r>
      <w:r w:rsidRPr="00C9680B">
        <w:t>omr</w:t>
      </w:r>
      <w:r w:rsidRPr="00C9680B">
        <w:t>å</w:t>
      </w:r>
      <w:r w:rsidRPr="00C9680B">
        <w:t>det under åren 2001–2003 redovisas i efterföljande tabell.</w:t>
      </w:r>
    </w:p>
    <w:p w:rsidR="001C7BF9" w:rsidRPr="00C9680B" w:rsidRDefault="001C7BF9">
      <w:pPr>
        <w:pStyle w:val="FiU1tabellrubrik2000"/>
        <w:keepNext/>
        <w:keepLines/>
        <w:outlineLvl w:val="0"/>
      </w:pPr>
      <w:r w:rsidRPr="00C9680B">
        <w:t>Förslag till ram för utgiftsområde 22 Kommunikationer</w:t>
      </w:r>
    </w:p>
    <w:p w:rsidR="001C7BF9" w:rsidRPr="00C9680B" w:rsidRDefault="001C7BF9">
      <w:pPr>
        <w:pStyle w:val="Tabell"/>
        <w:keepNext/>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Next/>
              <w:keepLines/>
            </w:pPr>
          </w:p>
        </w:tc>
        <w:tc>
          <w:tcPr>
            <w:tcW w:w="1253" w:type="dxa"/>
            <w:gridSpan w:val="4"/>
            <w:tcBorders>
              <w:top w:val="single" w:sz="6" w:space="0" w:color="000000"/>
            </w:tcBorders>
          </w:tcPr>
          <w:p w:rsidR="001C7BF9" w:rsidRPr="00C9680B" w:rsidRDefault="001C7BF9">
            <w:pPr>
              <w:pStyle w:val="Tabell"/>
              <w:keepNext/>
              <w:keepLines/>
            </w:pPr>
          </w:p>
        </w:tc>
        <w:tc>
          <w:tcPr>
            <w:tcW w:w="1253" w:type="dxa"/>
            <w:gridSpan w:val="4"/>
            <w:tcBorders>
              <w:top w:val="single" w:sz="6" w:space="0" w:color="000000"/>
            </w:tcBorders>
          </w:tcPr>
          <w:p w:rsidR="001C7BF9" w:rsidRPr="00C9680B" w:rsidRDefault="001C7BF9">
            <w:pPr>
              <w:pStyle w:val="Tabell"/>
              <w:keepNext/>
              <w:keepLines/>
              <w:jc w:val="center"/>
            </w:pPr>
          </w:p>
        </w:tc>
        <w:tc>
          <w:tcPr>
            <w:tcW w:w="142" w:type="dxa"/>
            <w:tcBorders>
              <w:top w:val="single" w:sz="6" w:space="0" w:color="000000"/>
            </w:tcBorders>
          </w:tcPr>
          <w:p w:rsidR="001C7BF9" w:rsidRPr="00C9680B" w:rsidRDefault="001C7BF9">
            <w:pPr>
              <w:pStyle w:val="Tabell"/>
              <w:keepNext/>
              <w:keepLines/>
            </w:pPr>
          </w:p>
        </w:tc>
        <w:tc>
          <w:tcPr>
            <w:tcW w:w="1769" w:type="dxa"/>
            <w:gridSpan w:val="4"/>
            <w:tcBorders>
              <w:top w:val="single" w:sz="6" w:space="0" w:color="000000"/>
            </w:tcBorders>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Next/>
              <w:keepLines/>
              <w:jc w:val="left"/>
            </w:pPr>
            <w:r w:rsidRPr="00C9680B">
              <w:t>År</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jc w:val="center"/>
            </w:pPr>
            <w:r w:rsidRPr="00C9680B">
              <w:t>Proposi-</w:t>
            </w:r>
          </w:p>
        </w:tc>
        <w:tc>
          <w:tcPr>
            <w:tcW w:w="142" w:type="dxa"/>
          </w:tcPr>
          <w:p w:rsidR="001C7BF9" w:rsidRPr="00C9680B" w:rsidRDefault="001C7BF9">
            <w:pPr>
              <w:pStyle w:val="Tabell"/>
              <w:keepNext/>
              <w:keepLines/>
            </w:pPr>
          </w:p>
        </w:tc>
        <w:tc>
          <w:tcPr>
            <w:tcW w:w="4053" w:type="dxa"/>
            <w:gridSpan w:val="11"/>
            <w:tcBorders>
              <w:bottom w:val="single" w:sz="4" w:space="0" w:color="auto"/>
            </w:tcBorders>
          </w:tcPr>
          <w:p w:rsidR="001C7BF9" w:rsidRPr="00C9680B" w:rsidRDefault="001C7BF9">
            <w:pPr>
              <w:pStyle w:val="Tabell"/>
              <w:keepNext/>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Next/>
              <w:keepLines/>
            </w:pPr>
          </w:p>
        </w:tc>
        <w:tc>
          <w:tcPr>
            <w:tcW w:w="57" w:type="dxa"/>
            <w:tcBorders>
              <w:bottom w:val="single" w:sz="6" w:space="0" w:color="auto"/>
            </w:tcBorders>
          </w:tcPr>
          <w:p w:rsidR="001C7BF9" w:rsidRPr="00C9680B" w:rsidRDefault="001C7BF9">
            <w:pPr>
              <w:pStyle w:val="Tabell"/>
              <w:keepNext/>
              <w:keepLines/>
            </w:pPr>
          </w:p>
        </w:tc>
        <w:tc>
          <w:tcPr>
            <w:tcW w:w="964" w:type="dxa"/>
            <w:gridSpan w:val="2"/>
            <w:tcBorders>
              <w:bottom w:val="single" w:sz="6" w:space="0" w:color="auto"/>
            </w:tcBorders>
          </w:tcPr>
          <w:p w:rsidR="001C7BF9" w:rsidRPr="00C9680B" w:rsidRDefault="001C7BF9">
            <w:pPr>
              <w:pStyle w:val="Tabell"/>
              <w:keepNext/>
              <w:keepLines/>
              <w:jc w:val="left"/>
            </w:pPr>
            <w:r w:rsidRPr="00C9680B">
              <w:t xml:space="preserve">    tionen</w:t>
            </w:r>
          </w:p>
        </w:tc>
        <w:tc>
          <w:tcPr>
            <w:tcW w:w="142" w:type="dxa"/>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80" w:lineRule="auto"/>
              <w:rPr>
                <w:sz w:val="16"/>
              </w:rPr>
            </w:pPr>
          </w:p>
          <w:p w:rsidR="001C7BF9" w:rsidRPr="00C9680B" w:rsidRDefault="001C7BF9">
            <w:pPr>
              <w:pStyle w:val="Tabell"/>
              <w:keepNext/>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Next/>
              <w:keepLines/>
              <w:spacing w:before="90"/>
            </w:pPr>
          </w:p>
        </w:tc>
        <w:tc>
          <w:tcPr>
            <w:tcW w:w="792" w:type="dxa"/>
            <w:gridSpan w:val="3"/>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 xml:space="preserve">   Ce</w:t>
            </w:r>
            <w:r w:rsidRPr="00C9680B">
              <w:t>n</w:t>
            </w:r>
            <w:r w:rsidRPr="00C9680B">
              <w:t>ter-</w:t>
            </w:r>
          </w:p>
          <w:p w:rsidR="001C7BF9" w:rsidRPr="00C9680B" w:rsidRDefault="001C7BF9">
            <w:pPr>
              <w:pStyle w:val="Tabell"/>
              <w:keepNext/>
              <w:keepLines/>
            </w:pPr>
            <w:r w:rsidRPr="00C9680B">
              <w:t xml:space="preserve">   partiet</w:t>
            </w:r>
          </w:p>
        </w:tc>
        <w:tc>
          <w:tcPr>
            <w:tcW w:w="141" w:type="dxa"/>
            <w:tcBorders>
              <w:bottom w:val="single" w:sz="6" w:space="0" w:color="auto"/>
            </w:tcBorders>
          </w:tcPr>
          <w:p w:rsidR="001C7BF9" w:rsidRPr="00C9680B" w:rsidRDefault="001C7BF9">
            <w:pPr>
              <w:pStyle w:val="Tabell"/>
              <w:keepNext/>
              <w:keepLines/>
            </w:pPr>
          </w:p>
        </w:tc>
        <w:tc>
          <w:tcPr>
            <w:tcW w:w="1134" w:type="dxa"/>
            <w:gridSpan w:val="2"/>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Next/>
              <w:keepLines/>
            </w:pP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jc w:val="center"/>
            </w:pP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gridSpan w:val="2"/>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tcPr>
          <w:p w:rsidR="001C7BF9" w:rsidRPr="00C9680B" w:rsidRDefault="001C7BF9">
            <w:pPr>
              <w:pStyle w:val="Tabell"/>
              <w:keepNext/>
              <w:keepLines/>
            </w:pPr>
          </w:p>
        </w:tc>
        <w:tc>
          <w:tcPr>
            <w:tcW w:w="792" w:type="dxa"/>
            <w:gridSpan w:val="3"/>
          </w:tcPr>
          <w:p w:rsidR="001C7BF9" w:rsidRPr="00C9680B" w:rsidRDefault="001C7BF9">
            <w:pPr>
              <w:pStyle w:val="Tabell"/>
              <w:keepNext/>
              <w:keepLines/>
              <w:ind w:right="38"/>
              <w:jc w:val="right"/>
            </w:pPr>
          </w:p>
        </w:tc>
        <w:tc>
          <w:tcPr>
            <w:tcW w:w="141" w:type="dxa"/>
          </w:tcPr>
          <w:p w:rsidR="001C7BF9" w:rsidRPr="00C9680B" w:rsidRDefault="001C7BF9">
            <w:pPr>
              <w:pStyle w:val="Tabell"/>
              <w:keepNext/>
              <w:keepLines/>
            </w:pPr>
          </w:p>
        </w:tc>
        <w:tc>
          <w:tcPr>
            <w:tcW w:w="1134" w:type="dxa"/>
            <w:gridSpan w:val="2"/>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Next/>
              <w:keepLines/>
            </w:pPr>
            <w:r w:rsidRPr="00C9680B">
              <w:t>2001</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ind w:right="199"/>
              <w:jc w:val="right"/>
            </w:pPr>
            <w:r w:rsidRPr="00C9680B">
              <w:t>24 690</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t>-42</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ind w:right="170"/>
              <w:jc w:val="right"/>
            </w:pPr>
            <w:r w:rsidRPr="00C9680B">
              <w:t>+3 550</w:t>
            </w:r>
          </w:p>
        </w:tc>
        <w:tc>
          <w:tcPr>
            <w:tcW w:w="142" w:type="dxa"/>
          </w:tcPr>
          <w:p w:rsidR="001C7BF9" w:rsidRPr="00C9680B" w:rsidRDefault="001C7BF9">
            <w:pPr>
              <w:pStyle w:val="Tabell"/>
              <w:keepNext/>
              <w:keepLines/>
              <w:ind w:right="170"/>
              <w:jc w:val="right"/>
            </w:pPr>
          </w:p>
        </w:tc>
        <w:tc>
          <w:tcPr>
            <w:tcW w:w="792" w:type="dxa"/>
            <w:gridSpan w:val="3"/>
          </w:tcPr>
          <w:p w:rsidR="001C7BF9" w:rsidRPr="00C9680B" w:rsidRDefault="001C7BF9">
            <w:pPr>
              <w:pStyle w:val="Tabell"/>
              <w:keepNext/>
              <w:keepLines/>
              <w:ind w:right="170"/>
              <w:jc w:val="right"/>
            </w:pPr>
            <w:r w:rsidRPr="00C9680B">
              <w:t>+2 415</w:t>
            </w:r>
          </w:p>
        </w:tc>
        <w:tc>
          <w:tcPr>
            <w:tcW w:w="141" w:type="dxa"/>
          </w:tcPr>
          <w:p w:rsidR="001C7BF9" w:rsidRPr="00C9680B" w:rsidRDefault="001C7BF9">
            <w:pPr>
              <w:pStyle w:val="Tabell"/>
              <w:keepNext/>
              <w:keepLines/>
              <w:jc w:val="left"/>
            </w:pPr>
          </w:p>
        </w:tc>
        <w:tc>
          <w:tcPr>
            <w:tcW w:w="936" w:type="dxa"/>
          </w:tcPr>
          <w:p w:rsidR="001C7BF9" w:rsidRPr="00C9680B" w:rsidRDefault="001C7BF9">
            <w:pPr>
              <w:pStyle w:val="Tabell"/>
              <w:keepNext/>
              <w:keepLines/>
              <w:ind w:right="170"/>
              <w:jc w:val="right"/>
            </w:pPr>
            <w:r w:rsidRPr="00C9680B">
              <w:t>-359</w:t>
            </w:r>
          </w:p>
        </w:tc>
        <w:tc>
          <w:tcPr>
            <w:tcW w:w="198" w:type="dxa"/>
          </w:tcPr>
          <w:p w:rsidR="001C7BF9" w:rsidRPr="00C9680B" w:rsidRDefault="001C7BF9">
            <w:pPr>
              <w:pStyle w:val="Tabell"/>
              <w:keepNext/>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Next/>
              <w:keepLines/>
            </w:pPr>
            <w:r w:rsidRPr="00C9680B">
              <w:t>2002</w:t>
            </w: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ind w:right="199"/>
              <w:jc w:val="right"/>
            </w:pPr>
            <w:r w:rsidRPr="00C9680B">
              <w:t>24 902</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t>+3 765</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ind w:right="170"/>
              <w:jc w:val="right"/>
            </w:pPr>
            <w:r w:rsidRPr="00C9680B">
              <w:t>+3 150</w:t>
            </w:r>
          </w:p>
        </w:tc>
        <w:tc>
          <w:tcPr>
            <w:tcW w:w="142" w:type="dxa"/>
          </w:tcPr>
          <w:p w:rsidR="001C7BF9" w:rsidRPr="00C9680B" w:rsidRDefault="001C7BF9">
            <w:pPr>
              <w:pStyle w:val="Tabell"/>
              <w:keepNext/>
              <w:keepLines/>
              <w:ind w:right="170"/>
              <w:jc w:val="right"/>
            </w:pPr>
          </w:p>
        </w:tc>
        <w:tc>
          <w:tcPr>
            <w:tcW w:w="792" w:type="dxa"/>
            <w:gridSpan w:val="3"/>
          </w:tcPr>
          <w:p w:rsidR="001C7BF9" w:rsidRPr="00C9680B" w:rsidRDefault="001C7BF9">
            <w:pPr>
              <w:pStyle w:val="Tabell"/>
              <w:keepNext/>
              <w:keepLines/>
              <w:ind w:right="170"/>
              <w:jc w:val="right"/>
            </w:pPr>
            <w:r w:rsidRPr="00C9680B">
              <w:t>+2 230</w:t>
            </w:r>
          </w:p>
        </w:tc>
        <w:tc>
          <w:tcPr>
            <w:tcW w:w="141" w:type="dxa"/>
          </w:tcPr>
          <w:p w:rsidR="001C7BF9" w:rsidRPr="00C9680B" w:rsidRDefault="001C7BF9">
            <w:pPr>
              <w:pStyle w:val="Tabell"/>
              <w:keepNext/>
              <w:keepLines/>
              <w:jc w:val="left"/>
            </w:pPr>
          </w:p>
        </w:tc>
        <w:tc>
          <w:tcPr>
            <w:tcW w:w="936" w:type="dxa"/>
          </w:tcPr>
          <w:p w:rsidR="001C7BF9" w:rsidRPr="00C9680B" w:rsidRDefault="001C7BF9">
            <w:pPr>
              <w:pStyle w:val="Tabell"/>
              <w:keepNext/>
              <w:keepLines/>
              <w:ind w:right="170"/>
              <w:jc w:val="right"/>
            </w:pPr>
            <w:r w:rsidRPr="00C9680B">
              <w:t>+1 945</w:t>
            </w:r>
          </w:p>
        </w:tc>
        <w:tc>
          <w:tcPr>
            <w:tcW w:w="198" w:type="dxa"/>
          </w:tcPr>
          <w:p w:rsidR="001C7BF9" w:rsidRPr="00C9680B" w:rsidRDefault="001C7BF9">
            <w:pPr>
              <w:pStyle w:val="Tabell"/>
              <w:keepNext/>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25 894</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+3 765</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+3 650</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+2 230</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-1 055</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ubrik4"/>
        <w:keepNext w:val="0"/>
        <w:rPr>
          <w:noProof w:val="0"/>
        </w:rPr>
      </w:pPr>
      <w:bookmarkStart w:id="557" w:name="_Toc498763646"/>
      <w:bookmarkStart w:id="558" w:name="_Toc498910815"/>
      <w:r w:rsidRPr="00C9680B">
        <w:rPr>
          <w:noProof w:val="0"/>
        </w:rPr>
        <w:t>Motionerna</w:t>
      </w:r>
      <w:bookmarkEnd w:id="557"/>
      <w:bookmarkEnd w:id="558"/>
    </w:p>
    <w:p w:rsidR="001C7BF9" w:rsidRPr="00C9680B" w:rsidRDefault="001C7BF9">
      <w:r w:rsidRPr="00C9680B">
        <w:rPr>
          <w:i/>
        </w:rPr>
        <w:t>Moderata samlingspartiet</w:t>
      </w:r>
      <w:r w:rsidRPr="00C9680B">
        <w:t xml:space="preserve"> föreslår i </w:t>
      </w:r>
      <w:r w:rsidRPr="00C9680B">
        <w:rPr>
          <w:i/>
        </w:rPr>
        <w:t>motion Fi208</w:t>
      </w:r>
      <w:r w:rsidRPr="00C9680B">
        <w:t xml:space="preserve"> att anslagen ökas med 14 miljarder kronor under treårsperioden för att påbörja ett särskilt vägutbyg</w:t>
      </w:r>
      <w:r w:rsidRPr="00C9680B">
        <w:t>g</w:t>
      </w:r>
      <w:r w:rsidRPr="00C9680B">
        <w:t>nadsprogram. Motionärerna menar att väganslagen även framgent bör ligga på den nya och högre nivån. Ökningen av anslaget skall också gå till att fö</w:t>
      </w:r>
      <w:r w:rsidRPr="00C9680B">
        <w:t>r</w:t>
      </w:r>
      <w:r w:rsidRPr="00C9680B">
        <w:t>bättra det eftersatta underhållet. Vidare anser motionärerna att bidraget till sjöfarten slopas och att ersättningen till posten minskas. SMHI kan enligt motionärerna i hö</w:t>
      </w:r>
      <w:r w:rsidRPr="00C9680B">
        <w:t>g</w:t>
      </w:r>
      <w:r w:rsidRPr="00C9680B">
        <w:t>re grad avgiftsfinansiera sin verksamhet.</w:t>
      </w:r>
    </w:p>
    <w:p w:rsidR="001C7BF9" w:rsidRPr="00C9680B" w:rsidRDefault="001C7BF9">
      <w:pPr>
        <w:pStyle w:val="Normaltindrag"/>
      </w:pPr>
      <w:r w:rsidRPr="00C9680B">
        <w:t xml:space="preserve">I </w:t>
      </w:r>
      <w:r w:rsidRPr="00C9680B">
        <w:rPr>
          <w:i/>
        </w:rPr>
        <w:t>motion Fi209</w:t>
      </w:r>
      <w:r w:rsidRPr="00C9680B">
        <w:t xml:space="preserve"> föreslår </w:t>
      </w:r>
      <w:r w:rsidRPr="00C9680B">
        <w:rPr>
          <w:i/>
        </w:rPr>
        <w:t>Kristdemokraterna</w:t>
      </w:r>
      <w:r w:rsidRPr="00C9680B">
        <w:t xml:space="preserve"> en storsatsning på det nu snabbt förfallande vägnätet. För investeringar m.m. avsätts 9,5 miljarder kronor under perioden att användas främst för väginvesteringar. Av det b</w:t>
      </w:r>
      <w:r w:rsidRPr="00C9680B">
        <w:t>e</w:t>
      </w:r>
      <w:r w:rsidRPr="00C9680B">
        <w:t>loppet avses en stor del användas till PPP-projekt (public-private partnership). Vidare anslår motionärerna 450 miljoner kronor under treårsperioden för en förbättrad ba</w:t>
      </w:r>
      <w:r w:rsidRPr="00C9680B">
        <w:t>n</w:t>
      </w:r>
      <w:r w:rsidRPr="00C9680B">
        <w:t>hållning.</w:t>
      </w:r>
    </w:p>
    <w:p w:rsidR="001C7BF9" w:rsidRPr="00C9680B" w:rsidRDefault="001C7BF9">
      <w:pPr>
        <w:pStyle w:val="Normaltindrag"/>
      </w:pPr>
      <w:r w:rsidRPr="00C9680B">
        <w:rPr>
          <w:i/>
        </w:rPr>
        <w:t>Centerpartiet</w:t>
      </w:r>
      <w:r w:rsidRPr="00C9680B">
        <w:t xml:space="preserve"> anser i </w:t>
      </w:r>
      <w:r w:rsidRPr="00C9680B">
        <w:rPr>
          <w:i/>
        </w:rPr>
        <w:t>motion Fi210</w:t>
      </w:r>
      <w:r w:rsidRPr="00C9680B">
        <w:t xml:space="preserve"> att regeringen inte visar något intresse för att åtgärda de brister som finns i dagens infrastruktur. Centerpartiet avsä</w:t>
      </w:r>
      <w:r w:rsidRPr="00C9680B">
        <w:t>t</w:t>
      </w:r>
      <w:r w:rsidRPr="00C9680B">
        <w:t>ter därför mer pengar än regeringen till bl.a. bärighetshöjande åtgärder samt drift och underhåll av det befintliga vägnätet. Motionärerna vill ge alla mö</w:t>
      </w:r>
      <w:r w:rsidRPr="00C9680B">
        <w:t>j</w:t>
      </w:r>
      <w:r w:rsidRPr="00C9680B">
        <w:t>lighet att ta del av den nya tekniken genom en digital allemansrätt, vilken innebär att staten tar ansvar för utbyggnaden av ett bredbandsnät som alla får tillgång till. Utbyggnaden av detta bör, enligt motionärern</w:t>
      </w:r>
      <w:r w:rsidRPr="00C9680B">
        <w:t>a, ske i ett statligt bolag som uppbär avgifter från de operatörer som tillhandahåller själva tran</w:t>
      </w:r>
      <w:r w:rsidRPr="00C9680B">
        <w:t>s</w:t>
      </w:r>
      <w:r w:rsidRPr="00C9680B">
        <w:t>porttjänsten.</w:t>
      </w:r>
    </w:p>
    <w:p w:rsidR="001C7BF9" w:rsidRPr="00C9680B" w:rsidRDefault="001C7BF9">
      <w:pPr>
        <w:pStyle w:val="Normaltindrag"/>
      </w:pPr>
      <w:r w:rsidRPr="00C9680B">
        <w:rPr>
          <w:i/>
        </w:rPr>
        <w:t>Folkpartiet liberalerna</w:t>
      </w:r>
      <w:r w:rsidRPr="00C9680B">
        <w:t xml:space="preserve"> anser i </w:t>
      </w:r>
      <w:r w:rsidRPr="00C9680B">
        <w:rPr>
          <w:i/>
        </w:rPr>
        <w:t>motion Fi211</w:t>
      </w:r>
      <w:r w:rsidRPr="00C9680B">
        <w:t xml:space="preserve"> att en permanent ökning av väginvesteringsnivån bör göras med 750 miljoner kronor per år. Därtill för</w:t>
      </w:r>
      <w:r w:rsidRPr="00C9680B">
        <w:t>e</w:t>
      </w:r>
      <w:r w:rsidRPr="00C9680B">
        <w:t>slår motionärerna en tidsbegränsad storstadssatsning för att minska de akuta trafikproblemen, i första hand i Stockholm och Göteborg. För detta ändamål avsätts 4 miljarder kronor över två år. Vidare anser motionärerna att Banve</w:t>
      </w:r>
      <w:r w:rsidRPr="00C9680B">
        <w:t>r</w:t>
      </w:r>
      <w:r w:rsidRPr="00C9680B">
        <w:t>kets fleråriga program kan genomföras i en något långsammare takt och att byråkratin inom utgiftsområdet kan minskas.</w:t>
      </w:r>
    </w:p>
    <w:p w:rsidR="001C7BF9" w:rsidRPr="00C9680B" w:rsidRDefault="001C7BF9">
      <w:pPr>
        <w:pStyle w:val="Rubrik4"/>
        <w:rPr>
          <w:noProof w:val="0"/>
        </w:rPr>
      </w:pPr>
      <w:bookmarkStart w:id="559" w:name="_Toc498763647"/>
      <w:bookmarkStart w:id="560" w:name="_Toc498910816"/>
      <w:r w:rsidRPr="00C9680B">
        <w:rPr>
          <w:noProof w:val="0"/>
        </w:rPr>
        <w:t>Trafikutskottets yttrande</w:t>
      </w:r>
      <w:bookmarkEnd w:id="559"/>
      <w:bookmarkEnd w:id="560"/>
    </w:p>
    <w:p w:rsidR="001C7BF9" w:rsidRPr="00C9680B" w:rsidRDefault="001C7BF9">
      <w:r w:rsidRPr="00C9680B">
        <w:t>Trafikutskottet, som har yttrat sig i form av ett protokollsutdrag, tillstyrker reg</w:t>
      </w:r>
      <w:r w:rsidRPr="00C9680B">
        <w:t>e</w:t>
      </w:r>
      <w:r w:rsidRPr="00C9680B">
        <w:t>ringens förslag till utgiftsram för utgiftsområdet.</w:t>
      </w:r>
    </w:p>
    <w:p w:rsidR="001C7BF9" w:rsidRPr="00C9680B" w:rsidRDefault="001C7BF9">
      <w:pPr>
        <w:pStyle w:val="Normaltindrag"/>
      </w:pPr>
      <w:r w:rsidRPr="00C9680B">
        <w:t>Företrädare för Moderata samlingspartiet, Kristdemokraterna, Centerpart</w:t>
      </w:r>
      <w:r w:rsidRPr="00C9680B">
        <w:t>i</w:t>
      </w:r>
      <w:r w:rsidRPr="00C9680B">
        <w:t>et och Folkpartiet liberalerna tillstyrker i var sin avvikande mening sina part</w:t>
      </w:r>
      <w:r w:rsidRPr="00C9680B">
        <w:t>i</w:t>
      </w:r>
      <w:r w:rsidRPr="00C9680B">
        <w:t>ers respektive förslag till ram för utgiftsområdet.</w:t>
      </w:r>
    </w:p>
    <w:p w:rsidR="001C7BF9" w:rsidRPr="00C9680B" w:rsidRDefault="001C7BF9">
      <w:pPr>
        <w:pStyle w:val="Rubrik4"/>
        <w:rPr>
          <w:noProof w:val="0"/>
        </w:rPr>
      </w:pPr>
      <w:bookmarkStart w:id="561" w:name="_Toc498763648"/>
      <w:bookmarkStart w:id="562" w:name="_Toc498910817"/>
      <w:r w:rsidRPr="00C9680B">
        <w:rPr>
          <w:noProof w:val="0"/>
        </w:rPr>
        <w:t>Finansutskottets ställningstagande</w:t>
      </w:r>
      <w:bookmarkEnd w:id="561"/>
      <w:bookmarkEnd w:id="562"/>
    </w:p>
    <w:p w:rsidR="001C7BF9" w:rsidRPr="00C9680B" w:rsidRDefault="001C7BF9">
      <w:r w:rsidRPr="00C9680B">
        <w:t>Finansutskottet har tidigare i betänkandet i avsnitten 2.4.3 och 2.6 redovisat sin bedömning av fördelningen av utgifterna på utgiftsområden för budgetåret 2001 och därvid tillstyrkt regeringens förslag till ramar för utgiftsområdet. Trafikutskottet tillstyrker för sin del den föreslagna ramen för utgiftsområde 22.</w:t>
      </w:r>
    </w:p>
    <w:p w:rsidR="001C7BF9" w:rsidRPr="00C9680B" w:rsidRDefault="001C7BF9">
      <w:pPr>
        <w:pStyle w:val="Normaltindrag"/>
      </w:pPr>
      <w:r w:rsidRPr="00C9680B">
        <w:t>Finansutskottet tillstyrker således propositionens förslag till ramnivå för utgiftsområde 22 och föreslår att utgiftsramen fastställs till 24 690 miljoner kronor. Motionernas förslag till alternativa ramar a</w:t>
      </w:r>
      <w:r w:rsidRPr="00C9680B">
        <w:t>v</w:t>
      </w:r>
      <w:r w:rsidRPr="00C9680B">
        <w:t>styrks.</w:t>
      </w:r>
    </w:p>
    <w:p w:rsidR="001C7BF9" w:rsidRPr="00C9680B" w:rsidRDefault="001C7BF9">
      <w:pPr>
        <w:pStyle w:val="Rubrik3"/>
        <w:rPr>
          <w:noProof w:val="0"/>
        </w:rPr>
      </w:pPr>
      <w:bookmarkStart w:id="563" w:name="_Toc498157141"/>
      <w:bookmarkStart w:id="564" w:name="_Toc498910818"/>
      <w:r w:rsidRPr="00C9680B">
        <w:rPr>
          <w:noProof w:val="0"/>
        </w:rPr>
        <w:t>4.1.23 Utgiftsområde 23 Jord- och skogsbruk, fiske med anslutande näringar</w:t>
      </w:r>
      <w:bookmarkEnd w:id="563"/>
      <w:bookmarkEnd w:id="564"/>
    </w:p>
    <w:p w:rsidR="001C7BF9" w:rsidRPr="00C9680B" w:rsidRDefault="001C7BF9">
      <w:r w:rsidRPr="00C9680B">
        <w:t>Utgiftsområdet omfattar jordbruk och trädgårdsnäring, fiske, rennäring, dju</w:t>
      </w:r>
      <w:r w:rsidRPr="00C9680B">
        <w:t>r</w:t>
      </w:r>
      <w:r w:rsidRPr="00C9680B">
        <w:t>skydd och djurhälsovård, livsmedelskontroll, viss utbildning och forskning samt skogsnäring.</w:t>
      </w:r>
    </w:p>
    <w:p w:rsidR="001C7BF9" w:rsidRPr="00C9680B" w:rsidRDefault="001C7BF9">
      <w:pPr>
        <w:pStyle w:val="Normaltindrag"/>
      </w:pPr>
      <w:r w:rsidRPr="00C9680B">
        <w:t>De totala utgifterna för utgiftsområdet år 2000 beräknas uppgå till ca 10 370 miljoner kronor.</w:t>
      </w:r>
    </w:p>
    <w:p w:rsidR="001C7BF9" w:rsidRPr="00C9680B" w:rsidRDefault="001C7BF9">
      <w:pPr>
        <w:pStyle w:val="R4"/>
        <w:rPr>
          <w:sz w:val="19"/>
        </w:rPr>
      </w:pPr>
      <w:r w:rsidRPr="00C9680B">
        <w:t>Budgetpropositionen</w:t>
      </w:r>
    </w:p>
    <w:p w:rsidR="001C7BF9" w:rsidRPr="00C9680B" w:rsidRDefault="001C7BF9">
      <w:r w:rsidRPr="00C9680B">
        <w:t>I budgetpropositionen (avsnitt 7.4) förklaras förändringen av utgiftsområde</w:t>
      </w:r>
      <w:r w:rsidRPr="00C9680B">
        <w:t>s</w:t>
      </w:r>
      <w:r w:rsidRPr="00C9680B">
        <w:t>ramen jämfört med 2000 års ekonomiska vårproposition i huvudsak av att regeringen föreslår resursförstärkningar till området under perioden 2001–2003. Förstärkningen består av ett nytt investeringsbidrag för plantering av äde</w:t>
      </w:r>
      <w:r w:rsidRPr="00C9680B">
        <w:t>l</w:t>
      </w:r>
      <w:r w:rsidRPr="00C9680B">
        <w:t>lövskog, resurser till inventering och skydd av hotade småbiotoper samt fö</w:t>
      </w:r>
      <w:r w:rsidRPr="00C9680B">
        <w:t>r</w:t>
      </w:r>
      <w:r w:rsidRPr="00C9680B">
        <w:t>stärkning av verksamheten vid Artdatabanken. Ersättning för viltskador för</w:t>
      </w:r>
      <w:r w:rsidRPr="00C9680B">
        <w:t>e</w:t>
      </w:r>
      <w:r w:rsidRPr="00C9680B">
        <w:t xml:space="preserve">slås vidare öka åren 2002 och 2003. Dessutom flyttas medel från Skogs- och jordbrukets forskningsråd till det nya forskningsrådet inom </w:t>
      </w:r>
      <w:r w:rsidRPr="00C9680B">
        <w:t>utgiftsområde 20 Allmän miljö och naturvård.</w:t>
      </w:r>
    </w:p>
    <w:p w:rsidR="001C7BF9" w:rsidRPr="00C9680B" w:rsidRDefault="001C7BF9">
      <w:pPr>
        <w:pStyle w:val="Normaltindrag"/>
      </w:pPr>
      <w:r w:rsidRPr="00C9680B">
        <w:t>Propositionens och oppositionspartiernas förslag till ramnivå för utgift</w:t>
      </w:r>
      <w:r w:rsidRPr="00C9680B">
        <w:t>s</w:t>
      </w:r>
      <w:r w:rsidRPr="00C9680B">
        <w:t>området under åren 2001</w:t>
      </w:r>
      <w:r w:rsidRPr="00C9680B">
        <w:sym w:font="Symbol" w:char="F02D"/>
      </w:r>
      <w:r w:rsidRPr="00C9680B">
        <w:t>2003 redovisas i efterföljande t</w:t>
      </w:r>
      <w:r w:rsidRPr="00C9680B">
        <w:t>a</w:t>
      </w:r>
      <w:r w:rsidRPr="00C9680B">
        <w:t>bell.</w:t>
      </w:r>
    </w:p>
    <w:p w:rsidR="001C7BF9" w:rsidRPr="00C9680B" w:rsidRDefault="001C7BF9">
      <w:pPr>
        <w:pStyle w:val="FiU1tabellrubrik2000"/>
        <w:keepLines/>
        <w:outlineLvl w:val="0"/>
      </w:pPr>
      <w:r w:rsidRPr="00C9680B">
        <w:t xml:space="preserve">Förslag till ram för utgiftsområde 23 Jord- och skogsbruk, fiske med anslutande </w:t>
      </w:r>
    </w:p>
    <w:p w:rsidR="001C7BF9" w:rsidRPr="00C9680B" w:rsidRDefault="001C7BF9">
      <w:pPr>
        <w:pStyle w:val="FiU1tabellrubrik2000"/>
        <w:keepLines/>
        <w:spacing w:before="0" w:line="180" w:lineRule="exact"/>
      </w:pPr>
      <w:r w:rsidRPr="00C9680B">
        <w:t>näringar</w:t>
      </w:r>
    </w:p>
    <w:p w:rsidR="001C7BF9" w:rsidRPr="00C9680B" w:rsidRDefault="001C7BF9">
      <w:pPr>
        <w:pStyle w:val="Tabell"/>
        <w:keepLines/>
        <w:spacing w:after="4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w:t>
            </w:r>
            <w:r w:rsidRPr="00C9680B">
              <w:t>n</w:t>
            </w:r>
            <w:r w:rsidRPr="00C9680B">
              <w:t>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13 677</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-26</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+553</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+732</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-66</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13 883</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-46</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+538</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+746</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-66</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13 967</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-46</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+278</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+745</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-66</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4"/>
      </w:pPr>
      <w:r w:rsidRPr="00C9680B">
        <w:t>Motionerna</w:t>
      </w:r>
    </w:p>
    <w:p w:rsidR="001C7BF9" w:rsidRPr="00C9680B" w:rsidRDefault="001C7BF9">
      <w:r w:rsidRPr="00C9680B">
        <w:rPr>
          <w:i/>
        </w:rPr>
        <w:t>Moderata samlingspartiet</w:t>
      </w:r>
      <w:r w:rsidRPr="00C9680B">
        <w:t xml:space="preserve"> framhåller i </w:t>
      </w:r>
      <w:r w:rsidRPr="00C9680B">
        <w:rPr>
          <w:i/>
        </w:rPr>
        <w:t>motion Fi208</w:t>
      </w:r>
      <w:r w:rsidRPr="00C9680B">
        <w:t xml:space="preserve"> att medel inom utgift</w:t>
      </w:r>
      <w:r w:rsidRPr="00C9680B">
        <w:t>s</w:t>
      </w:r>
      <w:r w:rsidRPr="00C9680B">
        <w:t>området kan sparas genom förenklade regler vid Statens jordbruksverk. A</w:t>
      </w:r>
      <w:r w:rsidRPr="00C9680B">
        <w:t>n</w:t>
      </w:r>
      <w:r w:rsidRPr="00C9680B">
        <w:t>slaget till livsmedelsekonomiska institutet bör samtidigt halveras för att sedan fasas ut. Vidare föreslås att jaktinstrumentet på ett tydligare sätt används för att reglera viltskadorna så att anslaget för ersättningar för viltskador kan minskas. Även jordbrukets forskningsanslag föreslås minskas med avseende på ekologisk forskning.</w:t>
      </w:r>
    </w:p>
    <w:p w:rsidR="001C7BF9" w:rsidRPr="00C9680B" w:rsidRDefault="001C7BF9">
      <w:pPr>
        <w:pStyle w:val="Normaltindrag"/>
      </w:pPr>
      <w:r w:rsidRPr="00C9680B">
        <w:rPr>
          <w:i/>
        </w:rPr>
        <w:t>Kristdemokraterna</w:t>
      </w:r>
      <w:r w:rsidRPr="00C9680B">
        <w:t xml:space="preserve"> anser i </w:t>
      </w:r>
      <w:r w:rsidRPr="00C9680B">
        <w:rPr>
          <w:i/>
        </w:rPr>
        <w:t>motion Fi209</w:t>
      </w:r>
      <w:r w:rsidRPr="00C9680B">
        <w:t xml:space="preserve"> att jordbrukspolitiken bör syfta till fortsatt användning av åkermarken för livsmedelsproduktion. En ökad satsning på exportfrämjande åtgärder förordas som ett sätt att stärka den svenska livsmedelsnäringen liksom återinförandet av avbytartjänst. Dessutom föreslås förenklade regelverk samt en reformering av distriktsveterinärorgan</w:t>
      </w:r>
      <w:r w:rsidRPr="00C9680B">
        <w:t>i</w:t>
      </w:r>
      <w:r w:rsidRPr="00C9680B">
        <w:t>sationen för att minska medelsbehov för Jordbruksverket. Motionärerna vill också genomföra ett omfattande miljöprogram inom jor</w:t>
      </w:r>
      <w:r w:rsidRPr="00C9680B">
        <w:t>d</w:t>
      </w:r>
      <w:r w:rsidRPr="00C9680B">
        <w:t>bruket.</w:t>
      </w:r>
    </w:p>
    <w:p w:rsidR="001C7BF9" w:rsidRPr="00C9680B" w:rsidRDefault="001C7BF9">
      <w:pPr>
        <w:pStyle w:val="Normaltindrag"/>
      </w:pPr>
      <w:r w:rsidRPr="00C9680B">
        <w:rPr>
          <w:i/>
        </w:rPr>
        <w:t>Centerpartiet</w:t>
      </w:r>
      <w:r w:rsidRPr="00C9680B">
        <w:t xml:space="preserve"> föreslår i </w:t>
      </w:r>
      <w:r w:rsidRPr="00C9680B">
        <w:rPr>
          <w:i/>
        </w:rPr>
        <w:t>motion Fi210</w:t>
      </w:r>
      <w:r w:rsidRPr="00C9680B">
        <w:t xml:space="preserve"> en ökning av ramen för utgiftsomr</w:t>
      </w:r>
      <w:r w:rsidRPr="00C9680B">
        <w:t>å</w:t>
      </w:r>
      <w:r w:rsidRPr="00C9680B">
        <w:t>det, utöver regeringens förslag.</w:t>
      </w:r>
    </w:p>
    <w:p w:rsidR="001C7BF9" w:rsidRPr="00C9680B" w:rsidRDefault="001C7BF9">
      <w:pPr>
        <w:pStyle w:val="Normaltindrag"/>
      </w:pPr>
      <w:r w:rsidRPr="00C9680B">
        <w:rPr>
          <w:i/>
        </w:rPr>
        <w:t>Folkpartiet liberalerna</w:t>
      </w:r>
      <w:r w:rsidRPr="00C9680B">
        <w:t xml:space="preserve"> anser i </w:t>
      </w:r>
      <w:r w:rsidRPr="00C9680B">
        <w:rPr>
          <w:i/>
        </w:rPr>
        <w:t>motion Fi211</w:t>
      </w:r>
      <w:r w:rsidRPr="00C9680B">
        <w:t xml:space="preserve"> att djurhälsovård och dju</w:t>
      </w:r>
      <w:r w:rsidRPr="00C9680B">
        <w:t>r</w:t>
      </w:r>
      <w:r w:rsidRPr="00C9680B">
        <w:t>skyddsfrämjande åtgärder samt miljöförbättrande åtgärder i jordbruket beh</w:t>
      </w:r>
      <w:r w:rsidRPr="00C9680B">
        <w:t>ö</w:t>
      </w:r>
      <w:r w:rsidRPr="00C9680B">
        <w:t>ver utökas. Enligt motionärerna kan byråkratin inom utgiftsområdet minska.</w:t>
      </w:r>
    </w:p>
    <w:p w:rsidR="001C7BF9" w:rsidRPr="00C9680B" w:rsidRDefault="001C7BF9">
      <w:pPr>
        <w:spacing w:before="120"/>
      </w:pPr>
      <w:r w:rsidRPr="00C9680B">
        <w:rPr>
          <w:i/>
        </w:rPr>
        <w:t>Miljö- och jordbruksutskottet</w:t>
      </w:r>
      <w:r w:rsidRPr="00C9680B">
        <w:t xml:space="preserve"> har avstått från att yttra sig.</w:t>
      </w:r>
    </w:p>
    <w:p w:rsidR="001C7BF9" w:rsidRPr="00C9680B" w:rsidRDefault="001C7BF9">
      <w:pPr>
        <w:pStyle w:val="R4"/>
      </w:pPr>
      <w:r w:rsidRPr="00C9680B">
        <w:t>Finansutskottets ställningstagande</w:t>
      </w:r>
    </w:p>
    <w:p w:rsidR="001C7BF9" w:rsidRPr="00C9680B" w:rsidRDefault="001C7BF9">
      <w:r w:rsidRPr="00C9680B">
        <w:t xml:space="preserve">Finansutskottet har tidigare i betänkandet (avsnitten 2.4.3 och 2.6) redovisat sin bedömning av fördelningen av utgifterna på utgiftsområden för budgetåret 2001 och därvid tillstyrkt regeringens förslag. </w:t>
      </w:r>
    </w:p>
    <w:p w:rsidR="001C7BF9" w:rsidRPr="00C9680B" w:rsidRDefault="001C7BF9">
      <w:pPr>
        <w:pStyle w:val="Normaltindrag"/>
      </w:pPr>
      <w:r w:rsidRPr="00C9680B">
        <w:t>Finansutskottet tillstyrker således propositionens förslag till ram för u</w:t>
      </w:r>
      <w:r w:rsidRPr="00C9680B">
        <w:t>t</w:t>
      </w:r>
      <w:r w:rsidRPr="00C9680B">
        <w:t>giftsområde 23 för budgetåret 2001 och föreslår att utgiftsramen fastställs till 13 677 miljoner kronor. Motionernas förslag till alternat</w:t>
      </w:r>
      <w:r w:rsidRPr="00C9680B">
        <w:t>i</w:t>
      </w:r>
      <w:r w:rsidRPr="00C9680B">
        <w:t>va ramar avstyrks.</w:t>
      </w:r>
    </w:p>
    <w:p w:rsidR="001C7BF9" w:rsidRPr="00C9680B" w:rsidRDefault="001C7BF9">
      <w:pPr>
        <w:pStyle w:val="Rubrik3"/>
        <w:rPr>
          <w:noProof w:val="0"/>
        </w:rPr>
      </w:pPr>
      <w:bookmarkStart w:id="565" w:name="_Toc498157142"/>
      <w:bookmarkStart w:id="566" w:name="_Toc498910819"/>
      <w:r w:rsidRPr="00C9680B">
        <w:rPr>
          <w:noProof w:val="0"/>
        </w:rPr>
        <w:t>4.1.24 Utgiftsområde 24 Näringsliv</w:t>
      </w:r>
      <w:bookmarkEnd w:id="565"/>
      <w:bookmarkEnd w:id="566"/>
    </w:p>
    <w:p w:rsidR="001C7BF9" w:rsidRPr="00C9680B" w:rsidRDefault="001C7BF9">
      <w:r w:rsidRPr="00C9680B">
        <w:t>Utgiftsområdet omfattar verksamheterna näringspolitik, teknologisk i</w:t>
      </w:r>
      <w:r w:rsidRPr="00C9680B">
        <w:t>n</w:t>
      </w:r>
      <w:r w:rsidRPr="00C9680B">
        <w:t>frastruktur, konkurrensfrågor, teknisk forskning och utveckling, utrikesha</w:t>
      </w:r>
      <w:r w:rsidRPr="00C9680B">
        <w:t>n</w:t>
      </w:r>
      <w:r w:rsidRPr="00C9680B">
        <w:t>del, export och investeringsfrämjande, konsumentfrågor och övriga åtaga</w:t>
      </w:r>
      <w:r w:rsidRPr="00C9680B">
        <w:t>n</w:t>
      </w:r>
      <w:r w:rsidRPr="00C9680B">
        <w:t>den.</w:t>
      </w:r>
    </w:p>
    <w:p w:rsidR="001C7BF9" w:rsidRPr="00C9680B" w:rsidRDefault="001C7BF9">
      <w:pPr>
        <w:pStyle w:val="Normaltindrag"/>
      </w:pPr>
      <w:r w:rsidRPr="00C9680B">
        <w:t>De totala utgifterna för utgiftsområdet år 2000 beräknas uppgå till 3 503 mi</w:t>
      </w:r>
      <w:r w:rsidRPr="00C9680B">
        <w:t>l</w:t>
      </w:r>
      <w:r w:rsidRPr="00C9680B">
        <w:t>joner kronor.</w:t>
      </w:r>
    </w:p>
    <w:p w:rsidR="001C7BF9" w:rsidRPr="00C9680B" w:rsidRDefault="001C7BF9">
      <w:pPr>
        <w:pStyle w:val="R4"/>
      </w:pPr>
      <w:r w:rsidRPr="00C9680B">
        <w:t>Budgetpropositionen</w:t>
      </w:r>
    </w:p>
    <w:p w:rsidR="001C7BF9" w:rsidRPr="00C9680B" w:rsidRDefault="001C7BF9">
      <w:r w:rsidRPr="00C9680B">
        <w:t>I budgetpropositionen (avsnitt 7.4) redovisar regeringen att förändringen av utgiftsområdesramen jämfört med beräkningen i 2000 års ekonomiska vå</w:t>
      </w:r>
      <w:r w:rsidRPr="00C9680B">
        <w:t>r</w:t>
      </w:r>
      <w:r w:rsidRPr="00C9680B">
        <w:t>proposition förklaras i huvudsak av den nya myndighetsstrukturen på n</w:t>
      </w:r>
      <w:r w:rsidRPr="00C9680B">
        <w:t>ä</w:t>
      </w:r>
      <w:r w:rsidRPr="00C9680B">
        <w:t>ringslivsområdet. Riksdagen godkände i våras regeringens förslag och rik</w:t>
      </w:r>
      <w:r w:rsidRPr="00C9680B">
        <w:t>t</w:t>
      </w:r>
      <w:r w:rsidRPr="00C9680B">
        <w:t>linjer för tre nya myndigheter för analys, forskning och utveckling samt för</w:t>
      </w:r>
      <w:r w:rsidRPr="00C9680B">
        <w:t>e</w:t>
      </w:r>
      <w:r w:rsidRPr="00C9680B">
        <w:t>tagsutveckling. Regeringen föreslår att fem nya anslag förs upp för detta ändamål under utgiftsområde 24. Medel förs från anslag inom utgiftsområd</w:t>
      </w:r>
      <w:r w:rsidRPr="00C9680B">
        <w:t>e</w:t>
      </w:r>
      <w:r w:rsidRPr="00C9680B">
        <w:t>na 8, 14, 16, 19, 22 och 24. Som en följd av dessa överföringar ökar utgift</w:t>
      </w:r>
      <w:r w:rsidRPr="00C9680B">
        <w:t>s</w:t>
      </w:r>
      <w:r w:rsidRPr="00C9680B">
        <w:t xml:space="preserve">områdesramen med 321 miljoner kronor jämfört med beräkningen i 2000 </w:t>
      </w:r>
      <w:r w:rsidRPr="00C9680B">
        <w:t>års ekonomiska vå</w:t>
      </w:r>
      <w:r w:rsidRPr="00C9680B">
        <w:t>r</w:t>
      </w:r>
      <w:r w:rsidRPr="00C9680B">
        <w:t>proposition.</w:t>
      </w:r>
    </w:p>
    <w:p w:rsidR="001C7BF9" w:rsidRPr="00C9680B" w:rsidRDefault="001C7BF9">
      <w:pPr>
        <w:pStyle w:val="Normaltindrag"/>
      </w:pPr>
      <w:r w:rsidRPr="00C9680B">
        <w:t>I följande tablå redovisas föreslagna utgiftsramar enligt budgetpropositi</w:t>
      </w:r>
      <w:r w:rsidRPr="00C9680B">
        <w:t>o</w:t>
      </w:r>
      <w:r w:rsidRPr="00C9680B">
        <w:t>nen och motionerna.</w:t>
      </w:r>
    </w:p>
    <w:p w:rsidR="001C7BF9" w:rsidRPr="00C9680B" w:rsidRDefault="001C7BF9">
      <w:pPr>
        <w:pStyle w:val="FiU1tabellrubrik2000"/>
        <w:keepNext/>
        <w:keepLines/>
        <w:outlineLvl w:val="0"/>
      </w:pPr>
      <w:r w:rsidRPr="00C9680B">
        <w:t>Förslag till ram för utgiftsområde 24 Näringsliv</w:t>
      </w:r>
    </w:p>
    <w:p w:rsidR="001C7BF9" w:rsidRPr="00C9680B" w:rsidRDefault="001C7BF9">
      <w:pPr>
        <w:pStyle w:val="Tabell"/>
        <w:keepNext/>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Next/>
              <w:keepLines/>
            </w:pPr>
          </w:p>
        </w:tc>
        <w:tc>
          <w:tcPr>
            <w:tcW w:w="1253" w:type="dxa"/>
            <w:gridSpan w:val="4"/>
            <w:tcBorders>
              <w:top w:val="single" w:sz="6" w:space="0" w:color="000000"/>
            </w:tcBorders>
          </w:tcPr>
          <w:p w:rsidR="001C7BF9" w:rsidRPr="00C9680B" w:rsidRDefault="001C7BF9">
            <w:pPr>
              <w:pStyle w:val="Tabell"/>
              <w:keepNext/>
              <w:keepLines/>
            </w:pPr>
          </w:p>
        </w:tc>
        <w:tc>
          <w:tcPr>
            <w:tcW w:w="1253" w:type="dxa"/>
            <w:gridSpan w:val="4"/>
            <w:tcBorders>
              <w:top w:val="single" w:sz="6" w:space="0" w:color="000000"/>
            </w:tcBorders>
          </w:tcPr>
          <w:p w:rsidR="001C7BF9" w:rsidRPr="00C9680B" w:rsidRDefault="001C7BF9">
            <w:pPr>
              <w:pStyle w:val="Tabell"/>
              <w:keepNext/>
              <w:keepLines/>
              <w:jc w:val="center"/>
            </w:pPr>
          </w:p>
        </w:tc>
        <w:tc>
          <w:tcPr>
            <w:tcW w:w="142" w:type="dxa"/>
            <w:tcBorders>
              <w:top w:val="single" w:sz="6" w:space="0" w:color="000000"/>
            </w:tcBorders>
          </w:tcPr>
          <w:p w:rsidR="001C7BF9" w:rsidRPr="00C9680B" w:rsidRDefault="001C7BF9">
            <w:pPr>
              <w:pStyle w:val="Tabell"/>
              <w:keepNext/>
              <w:keepLines/>
            </w:pPr>
          </w:p>
        </w:tc>
        <w:tc>
          <w:tcPr>
            <w:tcW w:w="1769" w:type="dxa"/>
            <w:gridSpan w:val="4"/>
            <w:tcBorders>
              <w:top w:val="single" w:sz="6" w:space="0" w:color="000000"/>
            </w:tcBorders>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rPr>
          <w:trHeight w:hRule="exact" w:val="200"/>
        </w:trPr>
        <w:tc>
          <w:tcPr>
            <w:tcW w:w="454" w:type="dxa"/>
          </w:tcPr>
          <w:p w:rsidR="001C7BF9" w:rsidRPr="00C9680B" w:rsidRDefault="001C7BF9">
            <w:pPr>
              <w:pStyle w:val="Tabell"/>
              <w:keepNext/>
              <w:keepLines/>
              <w:jc w:val="left"/>
            </w:pPr>
            <w:r w:rsidRPr="00C9680B">
              <w:t>År</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jc w:val="center"/>
            </w:pPr>
            <w:r w:rsidRPr="00C9680B">
              <w:t>Proposi-</w:t>
            </w:r>
          </w:p>
        </w:tc>
        <w:tc>
          <w:tcPr>
            <w:tcW w:w="142" w:type="dxa"/>
          </w:tcPr>
          <w:p w:rsidR="001C7BF9" w:rsidRPr="00C9680B" w:rsidRDefault="001C7BF9">
            <w:pPr>
              <w:pStyle w:val="Tabell"/>
              <w:keepNext/>
              <w:keepLines/>
            </w:pPr>
          </w:p>
        </w:tc>
        <w:tc>
          <w:tcPr>
            <w:tcW w:w="4053" w:type="dxa"/>
            <w:gridSpan w:val="11"/>
            <w:tcBorders>
              <w:bottom w:val="single" w:sz="4" w:space="0" w:color="auto"/>
            </w:tcBorders>
          </w:tcPr>
          <w:p w:rsidR="001C7BF9" w:rsidRPr="00C9680B" w:rsidRDefault="001C7BF9">
            <w:pPr>
              <w:pStyle w:val="Tabell"/>
              <w:keepNext/>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Next/>
              <w:keepLines/>
            </w:pPr>
          </w:p>
        </w:tc>
        <w:tc>
          <w:tcPr>
            <w:tcW w:w="57" w:type="dxa"/>
            <w:tcBorders>
              <w:bottom w:val="single" w:sz="6" w:space="0" w:color="auto"/>
            </w:tcBorders>
          </w:tcPr>
          <w:p w:rsidR="001C7BF9" w:rsidRPr="00C9680B" w:rsidRDefault="001C7BF9">
            <w:pPr>
              <w:pStyle w:val="Tabell"/>
              <w:keepNext/>
              <w:keepLines/>
            </w:pPr>
          </w:p>
        </w:tc>
        <w:tc>
          <w:tcPr>
            <w:tcW w:w="964" w:type="dxa"/>
            <w:gridSpan w:val="2"/>
            <w:tcBorders>
              <w:bottom w:val="single" w:sz="6" w:space="0" w:color="auto"/>
            </w:tcBorders>
          </w:tcPr>
          <w:p w:rsidR="001C7BF9" w:rsidRPr="00C9680B" w:rsidRDefault="001C7BF9">
            <w:pPr>
              <w:pStyle w:val="Tabell"/>
              <w:keepNext/>
              <w:keepLines/>
              <w:jc w:val="left"/>
            </w:pPr>
            <w:r w:rsidRPr="00C9680B">
              <w:t xml:space="preserve">    tionen</w:t>
            </w:r>
          </w:p>
        </w:tc>
        <w:tc>
          <w:tcPr>
            <w:tcW w:w="142" w:type="dxa"/>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80" w:lineRule="auto"/>
              <w:rPr>
                <w:sz w:val="16"/>
              </w:rPr>
            </w:pPr>
          </w:p>
          <w:p w:rsidR="001C7BF9" w:rsidRPr="00C9680B" w:rsidRDefault="001C7BF9">
            <w:pPr>
              <w:pStyle w:val="Tabell"/>
              <w:keepNext/>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Next/>
              <w:keepLines/>
              <w:spacing w:before="90"/>
            </w:pPr>
          </w:p>
        </w:tc>
        <w:tc>
          <w:tcPr>
            <w:tcW w:w="792" w:type="dxa"/>
            <w:gridSpan w:val="3"/>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 xml:space="preserve">   Ce</w:t>
            </w:r>
            <w:r w:rsidRPr="00C9680B">
              <w:t>n</w:t>
            </w:r>
            <w:r w:rsidRPr="00C9680B">
              <w:t>ter-</w:t>
            </w:r>
          </w:p>
          <w:p w:rsidR="001C7BF9" w:rsidRPr="00C9680B" w:rsidRDefault="001C7BF9">
            <w:pPr>
              <w:pStyle w:val="Tabell"/>
              <w:keepNext/>
              <w:keepLines/>
            </w:pPr>
            <w:r w:rsidRPr="00C9680B">
              <w:t xml:space="preserve">   partiet</w:t>
            </w:r>
          </w:p>
        </w:tc>
        <w:tc>
          <w:tcPr>
            <w:tcW w:w="141" w:type="dxa"/>
            <w:tcBorders>
              <w:bottom w:val="single" w:sz="6" w:space="0" w:color="auto"/>
            </w:tcBorders>
          </w:tcPr>
          <w:p w:rsidR="001C7BF9" w:rsidRPr="00C9680B" w:rsidRDefault="001C7BF9">
            <w:pPr>
              <w:pStyle w:val="Tabell"/>
              <w:keepNext/>
              <w:keepLines/>
            </w:pPr>
          </w:p>
        </w:tc>
        <w:tc>
          <w:tcPr>
            <w:tcW w:w="1134" w:type="dxa"/>
            <w:gridSpan w:val="2"/>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Next/>
              <w:keepLines/>
            </w:pP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jc w:val="center"/>
            </w:pP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gridSpan w:val="2"/>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tcPr>
          <w:p w:rsidR="001C7BF9" w:rsidRPr="00C9680B" w:rsidRDefault="001C7BF9">
            <w:pPr>
              <w:pStyle w:val="Tabell"/>
              <w:keepNext/>
              <w:keepLines/>
            </w:pPr>
          </w:p>
        </w:tc>
        <w:tc>
          <w:tcPr>
            <w:tcW w:w="792" w:type="dxa"/>
            <w:gridSpan w:val="3"/>
          </w:tcPr>
          <w:p w:rsidR="001C7BF9" w:rsidRPr="00C9680B" w:rsidRDefault="001C7BF9">
            <w:pPr>
              <w:pStyle w:val="Tabell"/>
              <w:keepNext/>
              <w:keepLines/>
              <w:ind w:right="38"/>
              <w:jc w:val="right"/>
            </w:pPr>
          </w:p>
        </w:tc>
        <w:tc>
          <w:tcPr>
            <w:tcW w:w="141" w:type="dxa"/>
          </w:tcPr>
          <w:p w:rsidR="001C7BF9" w:rsidRPr="00C9680B" w:rsidRDefault="001C7BF9">
            <w:pPr>
              <w:pStyle w:val="Tabell"/>
              <w:keepNext/>
              <w:keepLines/>
            </w:pPr>
          </w:p>
        </w:tc>
        <w:tc>
          <w:tcPr>
            <w:tcW w:w="1134" w:type="dxa"/>
            <w:gridSpan w:val="2"/>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c>
          <w:tcPr>
            <w:tcW w:w="454" w:type="dxa"/>
          </w:tcPr>
          <w:p w:rsidR="001C7BF9" w:rsidRPr="00C9680B" w:rsidRDefault="001C7BF9">
            <w:pPr>
              <w:pStyle w:val="Tabell"/>
              <w:keepNext/>
              <w:keepLines/>
            </w:pPr>
            <w:r w:rsidRPr="00C9680B">
              <w:t>2001</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ind w:right="199"/>
              <w:jc w:val="right"/>
            </w:pPr>
            <w:r w:rsidRPr="00C9680B">
              <w:t>3 518</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t>-385</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ind w:right="170"/>
              <w:jc w:val="right"/>
            </w:pPr>
            <w:r w:rsidRPr="00C9680B">
              <w:t>-336</w:t>
            </w:r>
          </w:p>
        </w:tc>
        <w:tc>
          <w:tcPr>
            <w:tcW w:w="142" w:type="dxa"/>
          </w:tcPr>
          <w:p w:rsidR="001C7BF9" w:rsidRPr="00C9680B" w:rsidRDefault="001C7BF9">
            <w:pPr>
              <w:pStyle w:val="Tabell"/>
              <w:keepNext/>
              <w:keepLines/>
              <w:ind w:right="170"/>
              <w:jc w:val="right"/>
            </w:pPr>
          </w:p>
        </w:tc>
        <w:tc>
          <w:tcPr>
            <w:tcW w:w="792" w:type="dxa"/>
            <w:gridSpan w:val="3"/>
          </w:tcPr>
          <w:p w:rsidR="001C7BF9" w:rsidRPr="00C9680B" w:rsidRDefault="001C7BF9">
            <w:pPr>
              <w:pStyle w:val="Tabell"/>
              <w:keepNext/>
              <w:keepLines/>
              <w:ind w:right="170"/>
              <w:jc w:val="right"/>
            </w:pPr>
            <w:r w:rsidRPr="00C9680B">
              <w:t>-364</w:t>
            </w:r>
          </w:p>
        </w:tc>
        <w:tc>
          <w:tcPr>
            <w:tcW w:w="141" w:type="dxa"/>
          </w:tcPr>
          <w:p w:rsidR="001C7BF9" w:rsidRPr="00C9680B" w:rsidRDefault="001C7BF9">
            <w:pPr>
              <w:pStyle w:val="Tabell"/>
              <w:keepNext/>
              <w:keepLines/>
              <w:jc w:val="left"/>
            </w:pPr>
          </w:p>
        </w:tc>
        <w:tc>
          <w:tcPr>
            <w:tcW w:w="936" w:type="dxa"/>
          </w:tcPr>
          <w:p w:rsidR="001C7BF9" w:rsidRPr="00C9680B" w:rsidRDefault="001C7BF9">
            <w:pPr>
              <w:pStyle w:val="Tabell"/>
              <w:keepNext/>
              <w:keepLines/>
              <w:ind w:right="170"/>
              <w:jc w:val="right"/>
            </w:pPr>
            <w:r w:rsidRPr="00C9680B">
              <w:t>-329</w:t>
            </w:r>
          </w:p>
        </w:tc>
        <w:tc>
          <w:tcPr>
            <w:tcW w:w="198" w:type="dxa"/>
          </w:tcPr>
          <w:p w:rsidR="001C7BF9" w:rsidRPr="00C9680B" w:rsidRDefault="001C7BF9">
            <w:pPr>
              <w:pStyle w:val="Tabell"/>
              <w:keepNext/>
              <w:keepLines/>
              <w:ind w:right="170"/>
              <w:jc w:val="right"/>
            </w:pPr>
          </w:p>
        </w:tc>
      </w:tr>
      <w:tr w:rsidR="00000000" w:rsidRPr="00C9680B">
        <w:tblPrEx>
          <w:tblCellMar>
            <w:top w:w="0" w:type="dxa"/>
            <w:left w:w="0" w:type="dxa"/>
            <w:bottom w:w="0" w:type="dxa"/>
            <w:right w:w="0" w:type="dxa"/>
          </w:tblCellMar>
        </w:tblPrEx>
        <w:tc>
          <w:tcPr>
            <w:tcW w:w="454" w:type="dxa"/>
          </w:tcPr>
          <w:p w:rsidR="001C7BF9" w:rsidRPr="00C9680B" w:rsidRDefault="001C7BF9">
            <w:pPr>
              <w:pStyle w:val="Tabell"/>
              <w:keepNext/>
              <w:keepLines/>
            </w:pPr>
            <w:r w:rsidRPr="00C9680B">
              <w:t>2002</w:t>
            </w: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ind w:right="199"/>
              <w:jc w:val="right"/>
            </w:pPr>
            <w:r w:rsidRPr="00C9680B">
              <w:t>3 283</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t>-313</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ind w:right="170"/>
              <w:jc w:val="right"/>
            </w:pPr>
            <w:r w:rsidRPr="00C9680B">
              <w:t>-316</w:t>
            </w:r>
          </w:p>
        </w:tc>
        <w:tc>
          <w:tcPr>
            <w:tcW w:w="142" w:type="dxa"/>
          </w:tcPr>
          <w:p w:rsidR="001C7BF9" w:rsidRPr="00C9680B" w:rsidRDefault="001C7BF9">
            <w:pPr>
              <w:pStyle w:val="Tabell"/>
              <w:keepNext/>
              <w:keepLines/>
              <w:ind w:right="170"/>
              <w:jc w:val="right"/>
            </w:pPr>
          </w:p>
        </w:tc>
        <w:tc>
          <w:tcPr>
            <w:tcW w:w="792" w:type="dxa"/>
            <w:gridSpan w:val="3"/>
          </w:tcPr>
          <w:p w:rsidR="001C7BF9" w:rsidRPr="00C9680B" w:rsidRDefault="001C7BF9">
            <w:pPr>
              <w:pStyle w:val="Tabell"/>
              <w:keepNext/>
              <w:keepLines/>
              <w:ind w:right="170"/>
              <w:jc w:val="right"/>
            </w:pPr>
            <w:r w:rsidRPr="00C9680B">
              <w:t>-556</w:t>
            </w:r>
          </w:p>
        </w:tc>
        <w:tc>
          <w:tcPr>
            <w:tcW w:w="141" w:type="dxa"/>
          </w:tcPr>
          <w:p w:rsidR="001C7BF9" w:rsidRPr="00C9680B" w:rsidRDefault="001C7BF9">
            <w:pPr>
              <w:pStyle w:val="Tabell"/>
              <w:keepNext/>
              <w:keepLines/>
              <w:jc w:val="left"/>
            </w:pPr>
          </w:p>
        </w:tc>
        <w:tc>
          <w:tcPr>
            <w:tcW w:w="936" w:type="dxa"/>
          </w:tcPr>
          <w:p w:rsidR="001C7BF9" w:rsidRPr="00C9680B" w:rsidRDefault="001C7BF9">
            <w:pPr>
              <w:pStyle w:val="Tabell"/>
              <w:keepNext/>
              <w:keepLines/>
              <w:ind w:right="170"/>
              <w:jc w:val="right"/>
            </w:pPr>
            <w:r w:rsidRPr="00C9680B">
              <w:t>-259</w:t>
            </w:r>
          </w:p>
        </w:tc>
        <w:tc>
          <w:tcPr>
            <w:tcW w:w="198" w:type="dxa"/>
          </w:tcPr>
          <w:p w:rsidR="001C7BF9" w:rsidRPr="00C9680B" w:rsidRDefault="001C7BF9">
            <w:pPr>
              <w:pStyle w:val="Tabell"/>
              <w:keepNext/>
              <w:keepLines/>
              <w:ind w:right="170"/>
              <w:jc w:val="right"/>
            </w:pPr>
          </w:p>
        </w:tc>
      </w:tr>
      <w:tr w:rsidR="00000000" w:rsidRPr="00C9680B">
        <w:tblPrEx>
          <w:tblCellMar>
            <w:top w:w="0" w:type="dxa"/>
            <w:left w:w="0" w:type="dxa"/>
            <w:bottom w:w="0" w:type="dxa"/>
            <w:right w:w="0" w:type="dxa"/>
          </w:tblCellMar>
        </w:tblPrEx>
        <w:trPr>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3 254</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-263</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-316</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-359</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-209</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4"/>
        <w:keepNext w:val="0"/>
      </w:pPr>
      <w:r w:rsidRPr="00C9680B">
        <w:t>Motioner</w:t>
      </w:r>
    </w:p>
    <w:p w:rsidR="001C7BF9" w:rsidRPr="00C9680B" w:rsidRDefault="001C7BF9">
      <w:r w:rsidRPr="00C9680B">
        <w:rPr>
          <w:i/>
        </w:rPr>
        <w:t xml:space="preserve">Moderata samlingspartiet </w:t>
      </w:r>
      <w:r w:rsidRPr="00C9680B">
        <w:t xml:space="preserve">anser i motion </w:t>
      </w:r>
      <w:r w:rsidRPr="00C9680B">
        <w:rPr>
          <w:i/>
        </w:rPr>
        <w:t>Fi208</w:t>
      </w:r>
      <w:r w:rsidRPr="00C9680B">
        <w:t xml:space="preserve"> att ett bra klimat för arbete och företagande fås genom generellt bättre förutsättningar för människor och företag, inte genom subventioner som snedvrider konkurrensen och förhindrar utveckling. Anslaget Näringslivsutveckling är till viss del inriktat på subve</w:t>
      </w:r>
      <w:r w:rsidRPr="00C9680B">
        <w:t>n</w:t>
      </w:r>
      <w:r w:rsidRPr="00C9680B">
        <w:t>tioner, varför det kan minskas. Konkurrensverkets uppgift är mycket viktig, och verket tillförs därför ytterligare medel. Motionärerna avvisar regeringens förslag om att 45 miljoner kronor skall användas till omstrukturering av vi</w:t>
      </w:r>
      <w:r w:rsidRPr="00C9680B">
        <w:t>ssa statligt ägda företag m.m. Vidare bör Konsumentverket renodla verksamheten och öka avgiftsfinansieringen. Anslagen till konsumentorganisationerna bör minskas.</w:t>
      </w:r>
    </w:p>
    <w:p w:rsidR="001C7BF9" w:rsidRPr="00C9680B" w:rsidRDefault="001C7BF9">
      <w:pPr>
        <w:pStyle w:val="Normaltindrag"/>
      </w:pPr>
      <w:r w:rsidRPr="00C9680B">
        <w:rPr>
          <w:i/>
        </w:rPr>
        <w:t>Kristdemokraterna</w:t>
      </w:r>
      <w:r w:rsidRPr="00C9680B">
        <w:t xml:space="preserve"> förordar i motion </w:t>
      </w:r>
      <w:r w:rsidRPr="00C9680B">
        <w:rPr>
          <w:i/>
        </w:rPr>
        <w:t>Fi209</w:t>
      </w:r>
      <w:r w:rsidRPr="00C9680B">
        <w:t xml:space="preserve"> generella åtgärder för att fö</w:t>
      </w:r>
      <w:r w:rsidRPr="00C9680B">
        <w:t>r</w:t>
      </w:r>
      <w:r w:rsidRPr="00C9680B">
        <w:t>bättra företagsklimatet i landet i stället för riktade stödåtgärder till vissa för</w:t>
      </w:r>
      <w:r w:rsidRPr="00C9680B">
        <w:t>e</w:t>
      </w:r>
      <w:r w:rsidRPr="00C9680B">
        <w:t>tag och vissa regioner. Motionärerna föreslår besparingar på vissa myndigh</w:t>
      </w:r>
      <w:r w:rsidRPr="00C9680B">
        <w:t>e</w:t>
      </w:r>
      <w:r w:rsidRPr="00C9680B">
        <w:t>ter under utgiftsområdet. Konkurrensverket bör dock tillföras ökade resurser. M</w:t>
      </w:r>
      <w:r w:rsidRPr="00C9680B">
        <w:t>o</w:t>
      </w:r>
      <w:r w:rsidRPr="00C9680B">
        <w:t xml:space="preserve">tionärerna avvisar programmet beträffande den s.k. Östersjömiljarden. </w:t>
      </w:r>
    </w:p>
    <w:p w:rsidR="001C7BF9" w:rsidRPr="00C9680B" w:rsidRDefault="001C7BF9">
      <w:pPr>
        <w:pStyle w:val="Normaltindrag"/>
      </w:pPr>
      <w:r w:rsidRPr="00C9680B">
        <w:rPr>
          <w:i/>
        </w:rPr>
        <w:t>Centerpartiet</w:t>
      </w:r>
      <w:r w:rsidRPr="00C9680B">
        <w:t xml:space="preserve"> anför i motion </w:t>
      </w:r>
      <w:r w:rsidRPr="00C9680B">
        <w:rPr>
          <w:i/>
        </w:rPr>
        <w:t>Fi210</w:t>
      </w:r>
      <w:r w:rsidRPr="00C9680B">
        <w:t xml:space="preserve"> att det för att i framtiden med säkerhet kunna garantera tillväxt och välfärd är av stor vikt att det skapas ett för</w:t>
      </w:r>
      <w:r w:rsidRPr="00C9680B">
        <w:t>e</w:t>
      </w:r>
      <w:r w:rsidRPr="00C9680B">
        <w:t>tagsklimat med positiva attityder gentemot företagande, företagen och entr</w:t>
      </w:r>
      <w:r w:rsidRPr="00C9680B">
        <w:t>e</w:t>
      </w:r>
      <w:r w:rsidRPr="00C9680B">
        <w:t>prenö</w:t>
      </w:r>
      <w:r w:rsidRPr="00C9680B">
        <w:t>r</w:t>
      </w:r>
      <w:r w:rsidRPr="00C9680B">
        <w:t>skap.</w:t>
      </w:r>
    </w:p>
    <w:p w:rsidR="001C7BF9" w:rsidRPr="00C9680B" w:rsidRDefault="001C7BF9">
      <w:pPr>
        <w:pStyle w:val="Normaltindrag"/>
      </w:pPr>
      <w:r w:rsidRPr="00C9680B">
        <w:rPr>
          <w:i/>
        </w:rPr>
        <w:t xml:space="preserve">Folkpartiet liberalerna </w:t>
      </w:r>
      <w:r w:rsidRPr="00C9680B">
        <w:t xml:space="preserve">förespråkar i motion </w:t>
      </w:r>
      <w:r w:rsidRPr="00C9680B">
        <w:rPr>
          <w:i/>
        </w:rPr>
        <w:t>Fi211</w:t>
      </w:r>
      <w:r w:rsidRPr="00C9680B">
        <w:t xml:space="preserve"> att Konkurrensverket bör förstärkas och ytterligare medel anslås till konkurrensforskningen. Den s.k. Östersjömiljarden bör återkallas och medel bör i stället anslås till den farliga kärnkraften i Östeuropa.</w:t>
      </w:r>
    </w:p>
    <w:p w:rsidR="001C7BF9" w:rsidRPr="00C9680B" w:rsidRDefault="001C7BF9">
      <w:pPr>
        <w:pStyle w:val="R4"/>
      </w:pPr>
      <w:r w:rsidRPr="00C9680B">
        <w:t>Näringsutskottets yttrande</w:t>
      </w:r>
    </w:p>
    <w:p w:rsidR="001C7BF9" w:rsidRPr="00C9680B" w:rsidRDefault="001C7BF9">
      <w:r w:rsidRPr="00C9680B">
        <w:t>Näringsutskottet, som har yttrat sig i form av ett protokollsutdrag, tillstyrker regeringens förslag. Företrädarna för Moderata samlingspartiet, Kristdem</w:t>
      </w:r>
      <w:r w:rsidRPr="00C9680B">
        <w:t>o</w:t>
      </w:r>
      <w:r w:rsidRPr="00C9680B">
        <w:t>kraterna, Centerpartiet och Folkpartiet liberalerna tillstyrker förslagen i r</w:t>
      </w:r>
      <w:r w:rsidRPr="00C9680B">
        <w:t>e</w:t>
      </w:r>
      <w:r w:rsidRPr="00C9680B">
        <w:t>spektive partimotion.</w:t>
      </w:r>
    </w:p>
    <w:p w:rsidR="001C7BF9" w:rsidRPr="00C9680B" w:rsidRDefault="001C7BF9">
      <w:pPr>
        <w:pStyle w:val="R4"/>
      </w:pPr>
      <w:r w:rsidRPr="00C9680B">
        <w:t>Finansutskottets ställningstagande</w:t>
      </w:r>
    </w:p>
    <w:p w:rsidR="001C7BF9" w:rsidRPr="00C9680B" w:rsidRDefault="001C7BF9">
      <w:r w:rsidRPr="00C9680B">
        <w:t>Finansutskottet har tidigare i betänkandet i avsnitten 2.4.3 och 2.6 redovisat sin bedömning av fördelningen av utgifterna på utgiftsområden för budgetåret 2001 och därvid tillstyrkt regeringens förslag till ramar för utgiftsområdena. Näringsutskottet har för sin del inte haft något att erinra mot den föreslagna ramen för utgiftsområde 24.</w:t>
      </w:r>
    </w:p>
    <w:p w:rsidR="001C7BF9" w:rsidRPr="00C9680B" w:rsidRDefault="001C7BF9">
      <w:pPr>
        <w:pStyle w:val="Normaltindrag"/>
      </w:pPr>
      <w:r w:rsidRPr="00C9680B">
        <w:t>Finansutskottet tillstyrker således propositionens förslag till ramnivå för utgiftsområde 24 och föreslår att utgiftsramen fastställs till 3 518 miljoner kronor. Motionerna avstyrks i berörda delar.</w:t>
      </w:r>
    </w:p>
    <w:p w:rsidR="001C7BF9" w:rsidRPr="00C9680B" w:rsidRDefault="001C7BF9">
      <w:pPr>
        <w:pStyle w:val="Rubrik3"/>
        <w:rPr>
          <w:noProof w:val="0"/>
        </w:rPr>
      </w:pPr>
      <w:bookmarkStart w:id="567" w:name="_Toc498157143"/>
      <w:bookmarkStart w:id="568" w:name="_Toc498910820"/>
      <w:r w:rsidRPr="00C9680B">
        <w:rPr>
          <w:noProof w:val="0"/>
        </w:rPr>
        <w:t>4.1.25 Utgiftsområde 25 Allmänna bidrag till kommuner</w:t>
      </w:r>
      <w:bookmarkEnd w:id="567"/>
      <w:bookmarkEnd w:id="568"/>
    </w:p>
    <w:p w:rsidR="001C7BF9" w:rsidRPr="00C9680B" w:rsidRDefault="001C7BF9">
      <w:r w:rsidRPr="00C9680B">
        <w:t>Utgiftsområdet omfattar huvuddelen av statens bidrag till kommuner och landsting. Bidragen lämnas dels i form av ett allmänt finansiellt stöd till kommuner och landsting, dels i form av ett bidrag för att åstadkomma likvä</w:t>
      </w:r>
      <w:r w:rsidRPr="00C9680B">
        <w:t>r</w:t>
      </w:r>
      <w:r w:rsidRPr="00C9680B">
        <w:t>diga ekonomiska förutsättningar mellan kommuner respektive landsting. Utgiftsområdet omfattar bl.a. även ett bidrag för särskilda insatser i vissa kommuner och landsting.</w:t>
      </w:r>
    </w:p>
    <w:p w:rsidR="001C7BF9" w:rsidRPr="00C9680B" w:rsidRDefault="001C7BF9">
      <w:pPr>
        <w:pStyle w:val="Normaltindrag"/>
      </w:pPr>
      <w:r w:rsidRPr="00C9680B">
        <w:t>De totala utgifterna för utgiftsområdet år 2000 beräknas uppgå till 98 437 miljoner kronor.</w:t>
      </w:r>
    </w:p>
    <w:p w:rsidR="001C7BF9" w:rsidRPr="00C9680B" w:rsidRDefault="001C7BF9">
      <w:pPr>
        <w:pStyle w:val="R4"/>
      </w:pPr>
      <w:r w:rsidRPr="00C9680B">
        <w:t>Budgetpropositionen</w:t>
      </w:r>
    </w:p>
    <w:p w:rsidR="001C7BF9" w:rsidRPr="00C9680B" w:rsidRDefault="001C7BF9">
      <w:r w:rsidRPr="00C9680B">
        <w:t>I budgetpropositionen (avsnitt 7.4) redovisas att målet för utgiftsområdet är att skapa goda och likvärdiga ekonomiska förutsättningar för kommuner respektive landsting att uppnå de nationella målen inom olika verksamheter. Förändringen av utgiftsområdesramen jämfört med regeringens vårpropos</w:t>
      </w:r>
      <w:r w:rsidRPr="00C9680B">
        <w:t>i</w:t>
      </w:r>
      <w:r w:rsidRPr="00C9680B">
        <w:t>tion är till stor del konsekvensen av förslag som påverkar de kommunala skatteintäkterna. Förslaget om skattereduktion för allmän pensionsavgift leder till en ökning av kommunsektorns skatteintäkter med 5 miljarder kronor. Höjningen av grundavdraget leder till 2 miljarder kronor i minskade skattei</w:t>
      </w:r>
      <w:r w:rsidRPr="00C9680B">
        <w:t>n</w:t>
      </w:r>
      <w:r w:rsidRPr="00C9680B">
        <w:t xml:space="preserve">täkter för kommunsektorn. Nivån på det generella statsbidraget föreslås därför sänkas med 3 miljarder kronor. Definitiva beräkningar av omslutningen i utjämningssystemet gör att utjämningsbidraget föreslås höjas </w:t>
      </w:r>
      <w:r w:rsidRPr="00C9680B">
        <w:t>med 0,6 milja</w:t>
      </w:r>
      <w:r w:rsidRPr="00C9680B">
        <w:t>r</w:t>
      </w:r>
      <w:r w:rsidRPr="00C9680B">
        <w:t>der kronor. Samtidigt föreslås att utjämningsavgiften höjs i motsvarande mån. Genom att beskattad garantipension införs och det särskilda grundavdraget (SGA) avskaffas beräknas kommunernas skatteintäkter öka med ca 9,5 mi</w:t>
      </w:r>
      <w:r w:rsidRPr="00C9680B">
        <w:t>l</w:t>
      </w:r>
      <w:r w:rsidRPr="00C9680B">
        <w:t>jarder kronor 2003, vilket justeras genom att statsbidraget sänks med motsv</w:t>
      </w:r>
      <w:r w:rsidRPr="00C9680B">
        <w:t>a</w:t>
      </w:r>
      <w:r w:rsidRPr="00C9680B">
        <w:t>rande belopp. Beloppen kan komma att revideras då den slutliga justeringen sker i budgetpropositionen för 2003.</w:t>
      </w:r>
    </w:p>
    <w:p w:rsidR="001C7BF9" w:rsidRPr="00C9680B" w:rsidRDefault="001C7BF9">
      <w:pPr>
        <w:pStyle w:val="Normaltindrag"/>
      </w:pPr>
      <w:r w:rsidRPr="00C9680B">
        <w:t xml:space="preserve">Propositionens och oppositionspartiernas förslag till ram för utgiftsområdet under åren </w:t>
      </w:r>
      <w:r w:rsidRPr="00C9680B">
        <w:t>2001–2003 redovisas i efterföljande tabell.</w:t>
      </w:r>
    </w:p>
    <w:p w:rsidR="001C7BF9" w:rsidRPr="00C9680B" w:rsidRDefault="001C7BF9">
      <w:pPr>
        <w:pStyle w:val="FiU1tabellrubrik2000"/>
        <w:keepNext/>
        <w:keepLines/>
        <w:outlineLvl w:val="0"/>
      </w:pPr>
      <w:r w:rsidRPr="00C9680B">
        <w:t>Förslag till ram för utgiftsområde 25 Allmänna bidrag till kommuner</w:t>
      </w:r>
    </w:p>
    <w:p w:rsidR="001C7BF9" w:rsidRPr="00C9680B" w:rsidRDefault="001C7BF9">
      <w:pPr>
        <w:pStyle w:val="Tabell"/>
        <w:keepNext/>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Next/>
              <w:keepLines/>
            </w:pPr>
          </w:p>
        </w:tc>
        <w:tc>
          <w:tcPr>
            <w:tcW w:w="1253" w:type="dxa"/>
            <w:gridSpan w:val="4"/>
            <w:tcBorders>
              <w:top w:val="single" w:sz="6" w:space="0" w:color="000000"/>
            </w:tcBorders>
          </w:tcPr>
          <w:p w:rsidR="001C7BF9" w:rsidRPr="00C9680B" w:rsidRDefault="001C7BF9">
            <w:pPr>
              <w:pStyle w:val="Tabell"/>
              <w:keepNext/>
              <w:keepLines/>
            </w:pPr>
          </w:p>
        </w:tc>
        <w:tc>
          <w:tcPr>
            <w:tcW w:w="1253" w:type="dxa"/>
            <w:gridSpan w:val="4"/>
            <w:tcBorders>
              <w:top w:val="single" w:sz="6" w:space="0" w:color="000000"/>
            </w:tcBorders>
          </w:tcPr>
          <w:p w:rsidR="001C7BF9" w:rsidRPr="00C9680B" w:rsidRDefault="001C7BF9">
            <w:pPr>
              <w:pStyle w:val="Tabell"/>
              <w:keepNext/>
              <w:keepLines/>
              <w:jc w:val="center"/>
            </w:pPr>
          </w:p>
        </w:tc>
        <w:tc>
          <w:tcPr>
            <w:tcW w:w="142" w:type="dxa"/>
            <w:tcBorders>
              <w:top w:val="single" w:sz="6" w:space="0" w:color="000000"/>
            </w:tcBorders>
          </w:tcPr>
          <w:p w:rsidR="001C7BF9" w:rsidRPr="00C9680B" w:rsidRDefault="001C7BF9">
            <w:pPr>
              <w:pStyle w:val="Tabell"/>
              <w:keepNext/>
              <w:keepLines/>
            </w:pPr>
          </w:p>
        </w:tc>
        <w:tc>
          <w:tcPr>
            <w:tcW w:w="1769" w:type="dxa"/>
            <w:gridSpan w:val="4"/>
            <w:tcBorders>
              <w:top w:val="single" w:sz="6" w:space="0" w:color="000000"/>
            </w:tcBorders>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Next/>
              <w:keepLines/>
              <w:jc w:val="left"/>
            </w:pPr>
            <w:r w:rsidRPr="00C9680B">
              <w:t>År</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jc w:val="center"/>
            </w:pPr>
            <w:r w:rsidRPr="00C9680B">
              <w:t>Proposi-</w:t>
            </w:r>
          </w:p>
        </w:tc>
        <w:tc>
          <w:tcPr>
            <w:tcW w:w="142" w:type="dxa"/>
          </w:tcPr>
          <w:p w:rsidR="001C7BF9" w:rsidRPr="00C9680B" w:rsidRDefault="001C7BF9">
            <w:pPr>
              <w:pStyle w:val="Tabell"/>
              <w:keepNext/>
              <w:keepLines/>
            </w:pPr>
          </w:p>
        </w:tc>
        <w:tc>
          <w:tcPr>
            <w:tcW w:w="4053" w:type="dxa"/>
            <w:gridSpan w:val="11"/>
            <w:tcBorders>
              <w:bottom w:val="single" w:sz="4" w:space="0" w:color="auto"/>
            </w:tcBorders>
          </w:tcPr>
          <w:p w:rsidR="001C7BF9" w:rsidRPr="00C9680B" w:rsidRDefault="001C7BF9">
            <w:pPr>
              <w:pStyle w:val="Tabell"/>
              <w:keepNext/>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Next/>
              <w:keepLines/>
            </w:pPr>
          </w:p>
        </w:tc>
        <w:tc>
          <w:tcPr>
            <w:tcW w:w="57" w:type="dxa"/>
            <w:tcBorders>
              <w:bottom w:val="single" w:sz="6" w:space="0" w:color="auto"/>
            </w:tcBorders>
          </w:tcPr>
          <w:p w:rsidR="001C7BF9" w:rsidRPr="00C9680B" w:rsidRDefault="001C7BF9">
            <w:pPr>
              <w:pStyle w:val="Tabell"/>
              <w:keepNext/>
              <w:keepLines/>
            </w:pPr>
          </w:p>
        </w:tc>
        <w:tc>
          <w:tcPr>
            <w:tcW w:w="964" w:type="dxa"/>
            <w:gridSpan w:val="2"/>
            <w:tcBorders>
              <w:bottom w:val="single" w:sz="6" w:space="0" w:color="auto"/>
            </w:tcBorders>
          </w:tcPr>
          <w:p w:rsidR="001C7BF9" w:rsidRPr="00C9680B" w:rsidRDefault="001C7BF9">
            <w:pPr>
              <w:pStyle w:val="Tabell"/>
              <w:keepNext/>
              <w:keepLines/>
              <w:jc w:val="left"/>
            </w:pPr>
            <w:r w:rsidRPr="00C9680B">
              <w:t xml:space="preserve">    tionen</w:t>
            </w:r>
          </w:p>
        </w:tc>
        <w:tc>
          <w:tcPr>
            <w:tcW w:w="142" w:type="dxa"/>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80" w:lineRule="auto"/>
              <w:rPr>
                <w:sz w:val="16"/>
              </w:rPr>
            </w:pPr>
          </w:p>
          <w:p w:rsidR="001C7BF9" w:rsidRPr="00C9680B" w:rsidRDefault="001C7BF9">
            <w:pPr>
              <w:pStyle w:val="Tabell"/>
              <w:keepNext/>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Next/>
              <w:keepLines/>
              <w:spacing w:before="90"/>
            </w:pPr>
          </w:p>
        </w:tc>
        <w:tc>
          <w:tcPr>
            <w:tcW w:w="792" w:type="dxa"/>
            <w:gridSpan w:val="3"/>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 xml:space="preserve">   Ce</w:t>
            </w:r>
            <w:r w:rsidRPr="00C9680B">
              <w:t>n</w:t>
            </w:r>
            <w:r w:rsidRPr="00C9680B">
              <w:t>ter-</w:t>
            </w:r>
          </w:p>
          <w:p w:rsidR="001C7BF9" w:rsidRPr="00C9680B" w:rsidRDefault="001C7BF9">
            <w:pPr>
              <w:pStyle w:val="Tabell"/>
              <w:keepNext/>
              <w:keepLines/>
            </w:pPr>
            <w:r w:rsidRPr="00C9680B">
              <w:t xml:space="preserve">   partiet</w:t>
            </w:r>
          </w:p>
        </w:tc>
        <w:tc>
          <w:tcPr>
            <w:tcW w:w="141" w:type="dxa"/>
            <w:tcBorders>
              <w:bottom w:val="single" w:sz="6" w:space="0" w:color="auto"/>
            </w:tcBorders>
          </w:tcPr>
          <w:p w:rsidR="001C7BF9" w:rsidRPr="00C9680B" w:rsidRDefault="001C7BF9">
            <w:pPr>
              <w:pStyle w:val="Tabell"/>
              <w:keepNext/>
              <w:keepLines/>
            </w:pPr>
          </w:p>
        </w:tc>
        <w:tc>
          <w:tcPr>
            <w:tcW w:w="1134" w:type="dxa"/>
            <w:gridSpan w:val="2"/>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Next/>
              <w:keepLines/>
            </w:pP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jc w:val="center"/>
            </w:pP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gridSpan w:val="2"/>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tcPr>
          <w:p w:rsidR="001C7BF9" w:rsidRPr="00C9680B" w:rsidRDefault="001C7BF9">
            <w:pPr>
              <w:pStyle w:val="Tabell"/>
              <w:keepNext/>
              <w:keepLines/>
            </w:pPr>
          </w:p>
        </w:tc>
        <w:tc>
          <w:tcPr>
            <w:tcW w:w="792" w:type="dxa"/>
            <w:gridSpan w:val="3"/>
          </w:tcPr>
          <w:p w:rsidR="001C7BF9" w:rsidRPr="00C9680B" w:rsidRDefault="001C7BF9">
            <w:pPr>
              <w:pStyle w:val="Tabell"/>
              <w:keepNext/>
              <w:keepLines/>
              <w:ind w:right="38"/>
              <w:jc w:val="right"/>
            </w:pPr>
          </w:p>
        </w:tc>
        <w:tc>
          <w:tcPr>
            <w:tcW w:w="141" w:type="dxa"/>
          </w:tcPr>
          <w:p w:rsidR="001C7BF9" w:rsidRPr="00C9680B" w:rsidRDefault="001C7BF9">
            <w:pPr>
              <w:pStyle w:val="Tabell"/>
              <w:keepNext/>
              <w:keepLines/>
            </w:pPr>
          </w:p>
        </w:tc>
        <w:tc>
          <w:tcPr>
            <w:tcW w:w="1134" w:type="dxa"/>
            <w:gridSpan w:val="2"/>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Next/>
              <w:keepLines/>
            </w:pPr>
            <w:r w:rsidRPr="00C9680B">
              <w:t>2001</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ind w:right="199"/>
              <w:jc w:val="right"/>
            </w:pPr>
            <w:r w:rsidRPr="00C9680B">
              <w:t>99 363</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t>+45 281</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ind w:right="170"/>
              <w:jc w:val="right"/>
            </w:pPr>
            <w:r w:rsidRPr="00C9680B">
              <w:t>+5 376</w:t>
            </w:r>
          </w:p>
        </w:tc>
        <w:tc>
          <w:tcPr>
            <w:tcW w:w="142" w:type="dxa"/>
          </w:tcPr>
          <w:p w:rsidR="001C7BF9" w:rsidRPr="00C9680B" w:rsidRDefault="001C7BF9">
            <w:pPr>
              <w:pStyle w:val="Tabell"/>
              <w:keepNext/>
              <w:keepLines/>
              <w:ind w:right="170"/>
              <w:jc w:val="right"/>
            </w:pPr>
          </w:p>
        </w:tc>
        <w:tc>
          <w:tcPr>
            <w:tcW w:w="792" w:type="dxa"/>
            <w:gridSpan w:val="3"/>
          </w:tcPr>
          <w:p w:rsidR="001C7BF9" w:rsidRPr="00C9680B" w:rsidRDefault="001C7BF9">
            <w:pPr>
              <w:pStyle w:val="Tabell"/>
              <w:keepNext/>
              <w:keepLines/>
              <w:ind w:right="170"/>
              <w:jc w:val="right"/>
            </w:pPr>
            <w:r w:rsidRPr="00C9680B">
              <w:t>+769</w:t>
            </w:r>
          </w:p>
        </w:tc>
        <w:tc>
          <w:tcPr>
            <w:tcW w:w="141" w:type="dxa"/>
          </w:tcPr>
          <w:p w:rsidR="001C7BF9" w:rsidRPr="00C9680B" w:rsidRDefault="001C7BF9">
            <w:pPr>
              <w:pStyle w:val="Tabell"/>
              <w:keepNext/>
              <w:keepLines/>
              <w:jc w:val="left"/>
            </w:pPr>
          </w:p>
        </w:tc>
        <w:tc>
          <w:tcPr>
            <w:tcW w:w="936" w:type="dxa"/>
          </w:tcPr>
          <w:p w:rsidR="001C7BF9" w:rsidRPr="00C9680B" w:rsidRDefault="001C7BF9">
            <w:pPr>
              <w:pStyle w:val="Tabell"/>
              <w:keepNext/>
              <w:keepLines/>
              <w:ind w:right="170"/>
              <w:jc w:val="right"/>
            </w:pPr>
            <w:r w:rsidRPr="00C9680B">
              <w:t>-3 817</w:t>
            </w:r>
          </w:p>
        </w:tc>
        <w:tc>
          <w:tcPr>
            <w:tcW w:w="198" w:type="dxa"/>
          </w:tcPr>
          <w:p w:rsidR="001C7BF9" w:rsidRPr="00C9680B" w:rsidRDefault="001C7BF9">
            <w:pPr>
              <w:pStyle w:val="Tabell"/>
              <w:keepNext/>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Next/>
              <w:keepLines/>
            </w:pPr>
            <w:r w:rsidRPr="00C9680B">
              <w:t>2002</w:t>
            </w: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ind w:right="199"/>
              <w:jc w:val="right"/>
            </w:pPr>
            <w:r w:rsidRPr="00C9680B">
              <w:t>99 338</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t>+2 031</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ind w:right="170"/>
              <w:jc w:val="right"/>
            </w:pPr>
            <w:r w:rsidRPr="00C9680B">
              <w:t>+4 513</w:t>
            </w:r>
          </w:p>
        </w:tc>
        <w:tc>
          <w:tcPr>
            <w:tcW w:w="142" w:type="dxa"/>
          </w:tcPr>
          <w:p w:rsidR="001C7BF9" w:rsidRPr="00C9680B" w:rsidRDefault="001C7BF9">
            <w:pPr>
              <w:pStyle w:val="Tabell"/>
              <w:keepNext/>
              <w:keepLines/>
              <w:ind w:right="170"/>
              <w:jc w:val="right"/>
            </w:pPr>
          </w:p>
        </w:tc>
        <w:tc>
          <w:tcPr>
            <w:tcW w:w="792" w:type="dxa"/>
            <w:gridSpan w:val="3"/>
          </w:tcPr>
          <w:p w:rsidR="001C7BF9" w:rsidRPr="00C9680B" w:rsidRDefault="001C7BF9">
            <w:pPr>
              <w:pStyle w:val="Tabell"/>
              <w:keepNext/>
              <w:keepLines/>
              <w:ind w:right="170"/>
              <w:jc w:val="right"/>
            </w:pPr>
            <w:r w:rsidRPr="00C9680B">
              <w:t>+1 499</w:t>
            </w:r>
          </w:p>
        </w:tc>
        <w:tc>
          <w:tcPr>
            <w:tcW w:w="141" w:type="dxa"/>
          </w:tcPr>
          <w:p w:rsidR="001C7BF9" w:rsidRPr="00C9680B" w:rsidRDefault="001C7BF9">
            <w:pPr>
              <w:pStyle w:val="Tabell"/>
              <w:keepNext/>
              <w:keepLines/>
              <w:jc w:val="left"/>
            </w:pPr>
          </w:p>
        </w:tc>
        <w:tc>
          <w:tcPr>
            <w:tcW w:w="936" w:type="dxa"/>
          </w:tcPr>
          <w:p w:rsidR="001C7BF9" w:rsidRPr="00C9680B" w:rsidRDefault="001C7BF9">
            <w:pPr>
              <w:pStyle w:val="Tabell"/>
              <w:keepNext/>
              <w:keepLines/>
              <w:ind w:right="170"/>
              <w:jc w:val="right"/>
            </w:pPr>
            <w:r w:rsidRPr="00C9680B">
              <w:t>-2 927</w:t>
            </w:r>
          </w:p>
        </w:tc>
        <w:tc>
          <w:tcPr>
            <w:tcW w:w="198" w:type="dxa"/>
          </w:tcPr>
          <w:p w:rsidR="001C7BF9" w:rsidRPr="00C9680B" w:rsidRDefault="001C7BF9">
            <w:pPr>
              <w:pStyle w:val="Tabell"/>
              <w:keepNext/>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92 196</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+11 749</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+3 241</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+2 340</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-2 645</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4"/>
        <w:keepNext w:val="0"/>
      </w:pPr>
      <w:r w:rsidRPr="00C9680B">
        <w:t>Motionerna</w:t>
      </w:r>
    </w:p>
    <w:p w:rsidR="001C7BF9" w:rsidRPr="00C9680B" w:rsidRDefault="001C7BF9">
      <w:pPr>
        <w:pStyle w:val="Normaltindrag"/>
        <w:ind w:firstLine="0"/>
      </w:pPr>
      <w:r w:rsidRPr="00C9680B">
        <w:t xml:space="preserve">Enligt </w:t>
      </w:r>
      <w:r w:rsidRPr="00C9680B">
        <w:rPr>
          <w:i/>
        </w:rPr>
        <w:t>Moderata samlingspartiets motion Fi208</w:t>
      </w:r>
      <w:r w:rsidRPr="00C9680B">
        <w:t xml:space="preserve"> finns det behov av avregl</w:t>
      </w:r>
      <w:r w:rsidRPr="00C9680B">
        <w:t>e</w:t>
      </w:r>
      <w:r w:rsidRPr="00C9680B">
        <w:t>ringar och förändrade ansvarsförhållanden mellan stat och kommun för att skapa förutsättningar för kommuner att effektivisera sin verksamhet. Moti</w:t>
      </w:r>
      <w:r w:rsidRPr="00C9680B">
        <w:t>o</w:t>
      </w:r>
      <w:r w:rsidRPr="00C9680B">
        <w:t>närerna föreslår att de allmänna statsbidragen minskar motsvarande en del av de ökade skatteintäkterna för kommuner. Samtidigt ställer sig Moderata sa</w:t>
      </w:r>
      <w:r w:rsidRPr="00C9680B">
        <w:t>m</w:t>
      </w:r>
      <w:r w:rsidRPr="00C9680B">
        <w:t>lingspartiet bakom finansieringsprincipen, vilket innebär att kommunernas ekonomiska ställning inte skall förändras genom statliga beslut. Kommunerna</w:t>
      </w:r>
      <w:r w:rsidRPr="00C9680B">
        <w:t xml:space="preserve"> föreslås därmed få full kompensation för minskat skatteunderlag eller ökade kostnader. Motionärerna avvisar dessutom kommunakuten och hänvisar till behovet av en annan modell för eventuella bidrag till kommuner och land</w:t>
      </w:r>
      <w:r w:rsidRPr="00C9680B">
        <w:t>s</w:t>
      </w:r>
      <w:r w:rsidRPr="00C9680B">
        <w:t>ting med betalningssvårigh</w:t>
      </w:r>
      <w:r w:rsidRPr="00C9680B">
        <w:t>e</w:t>
      </w:r>
      <w:r w:rsidRPr="00C9680B">
        <w:t>ter.</w:t>
      </w:r>
    </w:p>
    <w:p w:rsidR="001C7BF9" w:rsidRPr="00C9680B" w:rsidRDefault="001C7BF9">
      <w:pPr>
        <w:pStyle w:val="Normaltindrag"/>
      </w:pPr>
      <w:r w:rsidRPr="00C9680B">
        <w:rPr>
          <w:i/>
        </w:rPr>
        <w:t>Kristdemokraterna</w:t>
      </w:r>
      <w:r w:rsidRPr="00C9680B">
        <w:t xml:space="preserve"> föreslår i </w:t>
      </w:r>
      <w:r w:rsidRPr="00C9680B">
        <w:rPr>
          <w:i/>
        </w:rPr>
        <w:t>motion Fi209</w:t>
      </w:r>
      <w:r w:rsidRPr="00C9680B">
        <w:t xml:space="preserve"> att kommunsektorn får ett til</w:t>
      </w:r>
      <w:r w:rsidRPr="00C9680B">
        <w:t>l</w:t>
      </w:r>
      <w:r w:rsidRPr="00C9680B">
        <w:t>skott utöver de medel regeringen anslår för att möjliggöra en ökning av ant</w:t>
      </w:r>
      <w:r w:rsidRPr="00C9680B">
        <w:t>a</w:t>
      </w:r>
      <w:r w:rsidRPr="00C9680B">
        <w:t>let vårdplatser samt ett införande av enhetstaxa i äldreomsorgen. Kommune</w:t>
      </w:r>
      <w:r w:rsidRPr="00C9680B">
        <w:t>r</w:t>
      </w:r>
      <w:r w:rsidRPr="00C9680B">
        <w:t>na bör samtidigt fritt få använda pengarna för den skolsatsning som regerin</w:t>
      </w:r>
      <w:r w:rsidRPr="00C9680B">
        <w:t>g</w:t>
      </w:r>
      <w:r w:rsidRPr="00C9680B">
        <w:t>en vill genomföra. Dessa tillskott bör dessutom omfördelas tidsmässigt så att de snabbare kommer kommunerna till del. Kommunsektorn påverkas också indirekt av en rad förändringar som motionärerna föreslår på olika områden. Alla des</w:t>
      </w:r>
      <w:r w:rsidRPr="00C9680B">
        <w:t>sa effekter föreslås regleras i enlighet med finansieringsprincipen. Motionärerna föreslår att ramen för utgiftsområdet sammantaget bör öka mer än den av regeringen föreslagna statsb</w:t>
      </w:r>
      <w:r w:rsidRPr="00C9680B">
        <w:t>i</w:t>
      </w:r>
      <w:r w:rsidRPr="00C9680B">
        <w:t>dragshöjningen.</w:t>
      </w:r>
    </w:p>
    <w:p w:rsidR="001C7BF9" w:rsidRPr="00C9680B" w:rsidRDefault="001C7BF9">
      <w:pPr>
        <w:pStyle w:val="Normaltindrag"/>
      </w:pPr>
      <w:r w:rsidRPr="00C9680B">
        <w:rPr>
          <w:i/>
        </w:rPr>
        <w:t>Centerpartiet</w:t>
      </w:r>
      <w:r w:rsidRPr="00C9680B">
        <w:t xml:space="preserve"> anför i </w:t>
      </w:r>
      <w:r w:rsidRPr="00C9680B">
        <w:rPr>
          <w:i/>
        </w:rPr>
        <w:t>motion Fi210</w:t>
      </w:r>
      <w:r w:rsidRPr="00C9680B">
        <w:t xml:space="preserve"> att kommunernas verksamhet under det senaste decenniet effektiviserats tack vare strukturförändringar till följd av den ekonomiska krisen under 1990-talet, vilka har underlättats av statsb</w:t>
      </w:r>
      <w:r w:rsidRPr="00C9680B">
        <w:t>i</w:t>
      </w:r>
      <w:r w:rsidRPr="00C9680B">
        <w:t>dragssystemet med specialdestinerade statsbidrag. Trots detta anser motion</w:t>
      </w:r>
      <w:r w:rsidRPr="00C9680B">
        <w:t>ä</w:t>
      </w:r>
      <w:r w:rsidRPr="00C9680B">
        <w:t>rerna att det alltjämt finns obalanser mellan de olika kommunernas ekonom</w:t>
      </w:r>
      <w:r w:rsidRPr="00C9680B">
        <w:t>i</w:t>
      </w:r>
      <w:r w:rsidRPr="00C9680B">
        <w:t>er. Flera kommuner klarar inte balanskravet, ofta beroende på minskad b</w:t>
      </w:r>
      <w:r w:rsidRPr="00C9680B">
        <w:t>e</w:t>
      </w:r>
      <w:r w:rsidRPr="00C9680B">
        <w:t xml:space="preserve">folkning. Centerpartiet förordar därför en regionalpolitik som skapar tillväxt, </w:t>
      </w:r>
      <w:r w:rsidRPr="00C9680B">
        <w:t>utveckling och attraktionskraft även i dessa kommuner. Dessutom bör den faktor i utjämningssystemet som kompenserar för befolkningsminskning förstärkas. Det kommunala självstyret föreslås förstärkas genom att komm</w:t>
      </w:r>
      <w:r w:rsidRPr="00C9680B">
        <w:t>u</w:t>
      </w:r>
      <w:r w:rsidRPr="00C9680B">
        <w:t>nerna tilldelas i förhållande till regeringen utökade medel för skolsatsningar utan att detaljreglera dess användning. I Centerpartiets budgetalternativ finns ett antal förslag som indirekt påverka kommunsektorn. Samtliga dessa effe</w:t>
      </w:r>
      <w:r w:rsidRPr="00C9680B">
        <w:t>k</w:t>
      </w:r>
      <w:r w:rsidRPr="00C9680B">
        <w:t>ter föreslås regleras i enlighet med finansieringsprincipen. Moti</w:t>
      </w:r>
      <w:r w:rsidRPr="00C9680B">
        <w:t>onärerna anser att den föreslagna utgiftsramen skall vara högre än regeringens fö</w:t>
      </w:r>
      <w:r w:rsidRPr="00C9680B">
        <w:t>r</w:t>
      </w:r>
      <w:r w:rsidRPr="00C9680B">
        <w:t>slag.</w:t>
      </w:r>
    </w:p>
    <w:p w:rsidR="001C7BF9" w:rsidRPr="00C9680B" w:rsidRDefault="001C7BF9">
      <w:pPr>
        <w:pStyle w:val="Normaltindrag"/>
      </w:pPr>
      <w:r w:rsidRPr="00C9680B">
        <w:rPr>
          <w:i/>
        </w:rPr>
        <w:t>Folkpartiet liberalerna</w:t>
      </w:r>
      <w:r w:rsidRPr="00C9680B">
        <w:t xml:space="preserve"> anser i </w:t>
      </w:r>
      <w:r w:rsidRPr="00C9680B">
        <w:rPr>
          <w:i/>
        </w:rPr>
        <w:t>motion Fi211</w:t>
      </w:r>
      <w:r w:rsidRPr="00C9680B">
        <w:t xml:space="preserve"> att kommunsektorn fortfara</w:t>
      </w:r>
      <w:r w:rsidRPr="00C9680B">
        <w:t>n</w:t>
      </w:r>
      <w:r w:rsidRPr="00C9680B">
        <w:t>de dras med betydande strukturproblem. Motionärerna ställer sig bakom de i budgetpropositionen angivna utökningarna av statsbidrag, men avser att åte</w:t>
      </w:r>
      <w:r w:rsidRPr="00C9680B">
        <w:t>r</w:t>
      </w:r>
      <w:r w:rsidRPr="00C9680B">
        <w:t>komma med ett definitivt ställningstagande för kommande år när den fortsatta utvecklingen av kommunernas skatteinkomster blir synlig. Tillsammans med utökade statsbidrag föreslås flera strukturreformer för den kommunala sektorn genomföras, bl.a. prioritering av kärnverksamheterna, utförsäljning av  ko</w:t>
      </w:r>
      <w:r w:rsidRPr="00C9680B">
        <w:t>m</w:t>
      </w:r>
      <w:r w:rsidRPr="00C9680B">
        <w:t>munala bol</w:t>
      </w:r>
      <w:r w:rsidRPr="00C9680B">
        <w:t>ag och avreglering av vården och skolan. Samtidigt bör det ko</w:t>
      </w:r>
      <w:r w:rsidRPr="00C9680B">
        <w:t>m</w:t>
      </w:r>
      <w:r w:rsidRPr="00C9680B">
        <w:t>munala utjämningssystemet reformeras så att endast de strukturellt betingade kostnad</w:t>
      </w:r>
      <w:r w:rsidRPr="00C9680B">
        <w:t>s</w:t>
      </w:r>
      <w:r w:rsidRPr="00C9680B">
        <w:t>skillnaderna utjämnas. Vidare kritiseras kommunakuten, kretslopps</w:t>
      </w:r>
      <w:r w:rsidRPr="00C9680B">
        <w:softHyphen/>
        <w:t>miljarden, storstadssatsningen, lokala investeringsprogram och maxtaxan som försvagande för det kommunala självstyret. Folkpartiet stödjer helt finansi</w:t>
      </w:r>
      <w:r w:rsidRPr="00C9680B">
        <w:t>e</w:t>
      </w:r>
      <w:r w:rsidRPr="00C9680B">
        <w:t>ringsprincipen, vilket innebär att de skattesänkningar som föreslås i motionen och som till viss del påverkar de kommunala skatterna skall justeras</w:t>
      </w:r>
      <w:r w:rsidRPr="00C9680B">
        <w:t xml:space="preserve"> netto så att kommunernas ekonomi inte påverkas. Den totala ramen för utgiftsområdet beräknas vara lägre jämfört med propositionen till följd av minskade gen</w:t>
      </w:r>
      <w:r w:rsidRPr="00C9680B">
        <w:t>e</w:t>
      </w:r>
      <w:r w:rsidRPr="00C9680B">
        <w:t>rella bidrag till kommunerna som resultat av den föreslagna överföringen  av assistansersättningen till staten. Dessutom föreslås att bidraget för särskilda insatser (kommunakuten) avskaffas och att ett särskilt anslag för insatser mot hiv/aids inrättas i storst</w:t>
      </w:r>
      <w:r w:rsidRPr="00C9680B">
        <w:t>ä</w:t>
      </w:r>
      <w:r w:rsidRPr="00C9680B">
        <w:t>derna.</w:t>
      </w:r>
    </w:p>
    <w:p w:rsidR="001C7BF9" w:rsidRPr="00C9680B" w:rsidRDefault="001C7BF9">
      <w:pPr>
        <w:pStyle w:val="R4"/>
      </w:pPr>
      <w:r w:rsidRPr="00C9680B">
        <w:t>Finansutskottets ställningstagande</w:t>
      </w:r>
    </w:p>
    <w:p w:rsidR="001C7BF9" w:rsidRPr="00C9680B" w:rsidRDefault="001C7BF9">
      <w:r w:rsidRPr="00C9680B">
        <w:t>Utskottet konstaterar att beslutade och aviserade tillskott innebär en i förhå</w:t>
      </w:r>
      <w:r w:rsidRPr="00C9680B">
        <w:t>l</w:t>
      </w:r>
      <w:r w:rsidRPr="00C9680B">
        <w:t>lande till 1996 års nivå sammanlagd höjning av statsbidragen till kommuner och landsting med 24 miljarder kronor år 2001, obeaktat den reglering som sker till följd av skattereformen. I motionerna har partierna presenterat alte</w:t>
      </w:r>
      <w:r w:rsidRPr="00C9680B">
        <w:t>r</w:t>
      </w:r>
      <w:r w:rsidRPr="00C9680B">
        <w:t>nativa förslag till ramar för utgiftsområdet. Utskottet återkommer inom kort i sitt betänkande om anslagen inom utgiftsområde 25 (bet. 2000/01:FiU3) till partiernas kommunalek</w:t>
      </w:r>
      <w:r w:rsidRPr="00C9680B">
        <w:t>o</w:t>
      </w:r>
      <w:r w:rsidRPr="00C9680B">
        <w:t>nomiska alternativ.</w:t>
      </w:r>
    </w:p>
    <w:p w:rsidR="001C7BF9" w:rsidRPr="00C9680B" w:rsidRDefault="001C7BF9">
      <w:pPr>
        <w:pStyle w:val="Normaltindrag"/>
      </w:pPr>
      <w:r w:rsidRPr="00C9680B">
        <w:t>Kristdemokraterna, Centerpartiet och Folkpartiet liberalerna har till skil</w:t>
      </w:r>
      <w:r w:rsidRPr="00C9680B">
        <w:t>l</w:t>
      </w:r>
      <w:r w:rsidRPr="00C9680B">
        <w:t>nad från Moderata samlingspartiet valt att reglera mellanhavandena mellan staten och kommunerna till följd av finansieringsprincipen via inkomsttitel istället för via bidragen till kommunerna. Om regleringen i stället skulle ske via utgiftsområde 25 Allmänna bidrag till kommuner skulle ramarna bli som framgår av nedanst</w:t>
      </w:r>
      <w:r w:rsidRPr="00C9680B">
        <w:t>å</w:t>
      </w:r>
      <w:r w:rsidRPr="00C9680B">
        <w:t>ende tabell.</w:t>
      </w:r>
    </w:p>
    <w:p w:rsidR="001C7BF9" w:rsidRPr="00C9680B" w:rsidRDefault="001C7BF9">
      <w:pPr>
        <w:pStyle w:val="FiU1tabellrubrik2000"/>
        <w:keepNext/>
        <w:keepLines/>
        <w:spacing w:line="180" w:lineRule="exact"/>
      </w:pPr>
      <w:r w:rsidRPr="00C9680B">
        <w:t>Ram för utgiftsområde 25 Allmänna bidrag till kommuner om regleringarna hade gjorts via bidragen till kommunerna</w:t>
      </w:r>
    </w:p>
    <w:p w:rsidR="001C7BF9" w:rsidRPr="00C9680B" w:rsidRDefault="001C7BF9">
      <w:pPr>
        <w:pStyle w:val="Tabell"/>
        <w:keepNext/>
        <w:keepLines/>
        <w:spacing w:after="4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Next/>
              <w:keepLines/>
            </w:pPr>
          </w:p>
        </w:tc>
        <w:tc>
          <w:tcPr>
            <w:tcW w:w="1253" w:type="dxa"/>
            <w:gridSpan w:val="4"/>
            <w:tcBorders>
              <w:top w:val="single" w:sz="6" w:space="0" w:color="000000"/>
            </w:tcBorders>
          </w:tcPr>
          <w:p w:rsidR="001C7BF9" w:rsidRPr="00C9680B" w:rsidRDefault="001C7BF9">
            <w:pPr>
              <w:pStyle w:val="Tabell"/>
              <w:keepNext/>
              <w:keepLines/>
            </w:pPr>
          </w:p>
        </w:tc>
        <w:tc>
          <w:tcPr>
            <w:tcW w:w="1253" w:type="dxa"/>
            <w:gridSpan w:val="4"/>
            <w:tcBorders>
              <w:top w:val="single" w:sz="6" w:space="0" w:color="000000"/>
            </w:tcBorders>
          </w:tcPr>
          <w:p w:rsidR="001C7BF9" w:rsidRPr="00C9680B" w:rsidRDefault="001C7BF9">
            <w:pPr>
              <w:pStyle w:val="Tabell"/>
              <w:keepNext/>
              <w:keepLines/>
              <w:jc w:val="center"/>
            </w:pPr>
          </w:p>
        </w:tc>
        <w:tc>
          <w:tcPr>
            <w:tcW w:w="142" w:type="dxa"/>
            <w:tcBorders>
              <w:top w:val="single" w:sz="6" w:space="0" w:color="000000"/>
            </w:tcBorders>
          </w:tcPr>
          <w:p w:rsidR="001C7BF9" w:rsidRPr="00C9680B" w:rsidRDefault="001C7BF9">
            <w:pPr>
              <w:pStyle w:val="Tabell"/>
              <w:keepNext/>
              <w:keepLines/>
            </w:pPr>
          </w:p>
        </w:tc>
        <w:tc>
          <w:tcPr>
            <w:tcW w:w="1769" w:type="dxa"/>
            <w:gridSpan w:val="4"/>
            <w:tcBorders>
              <w:top w:val="single" w:sz="6" w:space="0" w:color="000000"/>
            </w:tcBorders>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Next/>
              <w:keepLines/>
              <w:jc w:val="left"/>
            </w:pPr>
            <w:r w:rsidRPr="00C9680B">
              <w:t>År</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jc w:val="center"/>
            </w:pPr>
            <w:r w:rsidRPr="00C9680B">
              <w:t>Proposi-</w:t>
            </w:r>
          </w:p>
        </w:tc>
        <w:tc>
          <w:tcPr>
            <w:tcW w:w="142" w:type="dxa"/>
          </w:tcPr>
          <w:p w:rsidR="001C7BF9" w:rsidRPr="00C9680B" w:rsidRDefault="001C7BF9">
            <w:pPr>
              <w:pStyle w:val="Tabell"/>
              <w:keepNext/>
              <w:keepLines/>
            </w:pPr>
          </w:p>
        </w:tc>
        <w:tc>
          <w:tcPr>
            <w:tcW w:w="4053" w:type="dxa"/>
            <w:gridSpan w:val="11"/>
            <w:tcBorders>
              <w:bottom w:val="single" w:sz="4" w:space="0" w:color="auto"/>
            </w:tcBorders>
          </w:tcPr>
          <w:p w:rsidR="001C7BF9" w:rsidRPr="00C9680B" w:rsidRDefault="001C7BF9">
            <w:pPr>
              <w:pStyle w:val="Tabell"/>
              <w:keepNext/>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Next/>
              <w:keepLines/>
            </w:pPr>
          </w:p>
        </w:tc>
        <w:tc>
          <w:tcPr>
            <w:tcW w:w="57" w:type="dxa"/>
            <w:tcBorders>
              <w:bottom w:val="single" w:sz="6" w:space="0" w:color="auto"/>
            </w:tcBorders>
          </w:tcPr>
          <w:p w:rsidR="001C7BF9" w:rsidRPr="00C9680B" w:rsidRDefault="001C7BF9">
            <w:pPr>
              <w:pStyle w:val="Tabell"/>
              <w:keepNext/>
              <w:keepLines/>
            </w:pPr>
          </w:p>
        </w:tc>
        <w:tc>
          <w:tcPr>
            <w:tcW w:w="964" w:type="dxa"/>
            <w:gridSpan w:val="2"/>
            <w:tcBorders>
              <w:bottom w:val="single" w:sz="6" w:space="0" w:color="auto"/>
            </w:tcBorders>
          </w:tcPr>
          <w:p w:rsidR="001C7BF9" w:rsidRPr="00C9680B" w:rsidRDefault="001C7BF9">
            <w:pPr>
              <w:pStyle w:val="Tabell"/>
              <w:keepNext/>
              <w:keepLines/>
              <w:jc w:val="left"/>
            </w:pPr>
            <w:r w:rsidRPr="00C9680B">
              <w:t xml:space="preserve">    tionen</w:t>
            </w:r>
          </w:p>
        </w:tc>
        <w:tc>
          <w:tcPr>
            <w:tcW w:w="142" w:type="dxa"/>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80" w:lineRule="auto"/>
              <w:rPr>
                <w:sz w:val="16"/>
              </w:rPr>
            </w:pPr>
          </w:p>
          <w:p w:rsidR="001C7BF9" w:rsidRPr="00C9680B" w:rsidRDefault="001C7BF9">
            <w:pPr>
              <w:pStyle w:val="Tabell"/>
              <w:keepNext/>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Next/>
              <w:keepLines/>
              <w:spacing w:before="90"/>
            </w:pPr>
          </w:p>
        </w:tc>
        <w:tc>
          <w:tcPr>
            <w:tcW w:w="792" w:type="dxa"/>
            <w:gridSpan w:val="3"/>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 xml:space="preserve">   Ce</w:t>
            </w:r>
            <w:r w:rsidRPr="00C9680B">
              <w:t>n</w:t>
            </w:r>
            <w:r w:rsidRPr="00C9680B">
              <w:t>ter-</w:t>
            </w:r>
          </w:p>
          <w:p w:rsidR="001C7BF9" w:rsidRPr="00C9680B" w:rsidRDefault="001C7BF9">
            <w:pPr>
              <w:pStyle w:val="Tabell"/>
              <w:keepNext/>
              <w:keepLines/>
            </w:pPr>
            <w:r w:rsidRPr="00C9680B">
              <w:t xml:space="preserve">   partiet</w:t>
            </w:r>
          </w:p>
        </w:tc>
        <w:tc>
          <w:tcPr>
            <w:tcW w:w="141" w:type="dxa"/>
            <w:tcBorders>
              <w:bottom w:val="single" w:sz="6" w:space="0" w:color="auto"/>
            </w:tcBorders>
          </w:tcPr>
          <w:p w:rsidR="001C7BF9" w:rsidRPr="00C9680B" w:rsidRDefault="001C7BF9">
            <w:pPr>
              <w:pStyle w:val="Tabell"/>
              <w:keepNext/>
              <w:keepLines/>
            </w:pPr>
          </w:p>
        </w:tc>
        <w:tc>
          <w:tcPr>
            <w:tcW w:w="1134" w:type="dxa"/>
            <w:gridSpan w:val="2"/>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Next/>
              <w:keepLines/>
            </w:pP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jc w:val="center"/>
            </w:pP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gridSpan w:val="2"/>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tcPr>
          <w:p w:rsidR="001C7BF9" w:rsidRPr="00C9680B" w:rsidRDefault="001C7BF9">
            <w:pPr>
              <w:pStyle w:val="Tabell"/>
              <w:keepNext/>
              <w:keepLines/>
            </w:pPr>
          </w:p>
        </w:tc>
        <w:tc>
          <w:tcPr>
            <w:tcW w:w="792" w:type="dxa"/>
            <w:gridSpan w:val="3"/>
          </w:tcPr>
          <w:p w:rsidR="001C7BF9" w:rsidRPr="00C9680B" w:rsidRDefault="001C7BF9">
            <w:pPr>
              <w:pStyle w:val="Tabell"/>
              <w:keepNext/>
              <w:keepLines/>
              <w:ind w:right="38"/>
              <w:jc w:val="right"/>
            </w:pPr>
          </w:p>
        </w:tc>
        <w:tc>
          <w:tcPr>
            <w:tcW w:w="141" w:type="dxa"/>
          </w:tcPr>
          <w:p w:rsidR="001C7BF9" w:rsidRPr="00C9680B" w:rsidRDefault="001C7BF9">
            <w:pPr>
              <w:pStyle w:val="Tabell"/>
              <w:keepNext/>
              <w:keepLines/>
            </w:pPr>
          </w:p>
        </w:tc>
        <w:tc>
          <w:tcPr>
            <w:tcW w:w="1134" w:type="dxa"/>
            <w:gridSpan w:val="2"/>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Next/>
              <w:keepLines/>
            </w:pPr>
            <w:r w:rsidRPr="00C9680B">
              <w:t>2001</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ind w:right="199"/>
              <w:jc w:val="right"/>
            </w:pPr>
            <w:r w:rsidRPr="00C9680B">
              <w:t>99 363</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t>+45 281</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jc w:val="right"/>
              <w:rPr>
                <w:snapToGrid w:val="0"/>
                <w:lang w:eastAsia="sv-SE"/>
              </w:rPr>
            </w:pPr>
            <w:r w:rsidRPr="00C9680B">
              <w:rPr>
                <w:snapToGrid w:val="0"/>
                <w:lang w:eastAsia="sv-SE"/>
              </w:rPr>
              <w:t>+42 542</w:t>
            </w:r>
          </w:p>
        </w:tc>
        <w:tc>
          <w:tcPr>
            <w:tcW w:w="142" w:type="dxa"/>
          </w:tcPr>
          <w:p w:rsidR="001C7BF9" w:rsidRPr="00C9680B" w:rsidRDefault="001C7BF9">
            <w:pPr>
              <w:pStyle w:val="Tabell"/>
              <w:keepNext/>
              <w:keepLines/>
              <w:jc w:val="right"/>
            </w:pPr>
          </w:p>
        </w:tc>
        <w:tc>
          <w:tcPr>
            <w:tcW w:w="792" w:type="dxa"/>
            <w:gridSpan w:val="3"/>
          </w:tcPr>
          <w:p w:rsidR="001C7BF9" w:rsidRPr="00C9680B" w:rsidRDefault="001C7BF9">
            <w:pPr>
              <w:pStyle w:val="Tabell"/>
              <w:keepNext/>
              <w:keepLines/>
              <w:jc w:val="right"/>
              <w:rPr>
                <w:snapToGrid w:val="0"/>
                <w:lang w:eastAsia="sv-SE"/>
              </w:rPr>
            </w:pPr>
            <w:r w:rsidRPr="00C9680B">
              <w:rPr>
                <w:snapToGrid w:val="0"/>
                <w:lang w:eastAsia="sv-SE"/>
              </w:rPr>
              <w:t>+16 869</w:t>
            </w:r>
          </w:p>
        </w:tc>
        <w:tc>
          <w:tcPr>
            <w:tcW w:w="141" w:type="dxa"/>
          </w:tcPr>
          <w:p w:rsidR="001C7BF9" w:rsidRPr="00C9680B" w:rsidRDefault="001C7BF9">
            <w:pPr>
              <w:pStyle w:val="Tabell"/>
              <w:keepNext/>
              <w:keepLines/>
              <w:jc w:val="right"/>
            </w:pPr>
          </w:p>
        </w:tc>
        <w:tc>
          <w:tcPr>
            <w:tcW w:w="936" w:type="dxa"/>
          </w:tcPr>
          <w:p w:rsidR="001C7BF9" w:rsidRPr="00C9680B" w:rsidRDefault="001C7BF9">
            <w:pPr>
              <w:pStyle w:val="Tabell"/>
              <w:keepNext/>
              <w:keepLines/>
              <w:jc w:val="right"/>
              <w:rPr>
                <w:snapToGrid w:val="0"/>
                <w:lang w:eastAsia="sv-SE"/>
              </w:rPr>
            </w:pPr>
            <w:r w:rsidRPr="00C9680B">
              <w:rPr>
                <w:snapToGrid w:val="0"/>
                <w:lang w:eastAsia="sv-SE"/>
              </w:rPr>
              <w:t>+11 742</w:t>
            </w:r>
          </w:p>
        </w:tc>
        <w:tc>
          <w:tcPr>
            <w:tcW w:w="198" w:type="dxa"/>
          </w:tcPr>
          <w:p w:rsidR="001C7BF9" w:rsidRPr="00C9680B" w:rsidRDefault="001C7BF9">
            <w:pPr>
              <w:pStyle w:val="Tabell"/>
              <w:keepNext/>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Next/>
              <w:keepLines/>
            </w:pPr>
            <w:r w:rsidRPr="00C9680B">
              <w:t>2002</w:t>
            </w: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ind w:right="199"/>
              <w:jc w:val="right"/>
            </w:pPr>
            <w:r w:rsidRPr="00C9680B">
              <w:t>99 338</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t>+2 031</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jc w:val="right"/>
              <w:rPr>
                <w:snapToGrid w:val="0"/>
                <w:lang w:eastAsia="sv-SE"/>
              </w:rPr>
            </w:pPr>
            <w:r w:rsidRPr="00C9680B">
              <w:rPr>
                <w:snapToGrid w:val="0"/>
                <w:lang w:eastAsia="sv-SE"/>
              </w:rPr>
              <w:t>+49 709</w:t>
            </w:r>
          </w:p>
        </w:tc>
        <w:tc>
          <w:tcPr>
            <w:tcW w:w="142" w:type="dxa"/>
          </w:tcPr>
          <w:p w:rsidR="001C7BF9" w:rsidRPr="00C9680B" w:rsidRDefault="001C7BF9">
            <w:pPr>
              <w:pStyle w:val="Tabell"/>
              <w:keepNext/>
              <w:keepLines/>
              <w:jc w:val="right"/>
            </w:pPr>
          </w:p>
        </w:tc>
        <w:tc>
          <w:tcPr>
            <w:tcW w:w="792" w:type="dxa"/>
            <w:gridSpan w:val="3"/>
          </w:tcPr>
          <w:p w:rsidR="001C7BF9" w:rsidRPr="00C9680B" w:rsidRDefault="001C7BF9">
            <w:pPr>
              <w:pStyle w:val="Tabell"/>
              <w:keepNext/>
              <w:keepLines/>
              <w:jc w:val="right"/>
              <w:rPr>
                <w:snapToGrid w:val="0"/>
                <w:lang w:eastAsia="sv-SE"/>
              </w:rPr>
            </w:pPr>
            <w:r w:rsidRPr="00C9680B">
              <w:rPr>
                <w:snapToGrid w:val="0"/>
                <w:lang w:eastAsia="sv-SE"/>
              </w:rPr>
              <w:t>+28 299</w:t>
            </w:r>
          </w:p>
        </w:tc>
        <w:tc>
          <w:tcPr>
            <w:tcW w:w="141" w:type="dxa"/>
          </w:tcPr>
          <w:p w:rsidR="001C7BF9" w:rsidRPr="00C9680B" w:rsidRDefault="001C7BF9">
            <w:pPr>
              <w:pStyle w:val="Tabell"/>
              <w:keepNext/>
              <w:keepLines/>
              <w:jc w:val="right"/>
            </w:pPr>
          </w:p>
        </w:tc>
        <w:tc>
          <w:tcPr>
            <w:tcW w:w="936" w:type="dxa"/>
          </w:tcPr>
          <w:p w:rsidR="001C7BF9" w:rsidRPr="00C9680B" w:rsidRDefault="001C7BF9">
            <w:pPr>
              <w:pStyle w:val="Tabell"/>
              <w:keepNext/>
              <w:keepLines/>
              <w:jc w:val="right"/>
              <w:rPr>
                <w:snapToGrid w:val="0"/>
                <w:lang w:eastAsia="sv-SE"/>
              </w:rPr>
            </w:pPr>
            <w:r w:rsidRPr="00C9680B">
              <w:rPr>
                <w:snapToGrid w:val="0"/>
                <w:lang w:eastAsia="sv-SE"/>
              </w:rPr>
              <w:t>+13 999</w:t>
            </w:r>
          </w:p>
        </w:tc>
        <w:tc>
          <w:tcPr>
            <w:tcW w:w="198" w:type="dxa"/>
          </w:tcPr>
          <w:p w:rsidR="001C7BF9" w:rsidRPr="00C9680B" w:rsidRDefault="001C7BF9">
            <w:pPr>
              <w:pStyle w:val="Tabell"/>
              <w:keepNext/>
              <w:keepLines/>
              <w:ind w:right="170"/>
              <w:jc w:val="right"/>
            </w:pPr>
          </w:p>
        </w:tc>
      </w:tr>
      <w:tr w:rsidR="00000000" w:rsidRPr="00C9680B">
        <w:tblPrEx>
          <w:tblCellMar>
            <w:top w:w="0" w:type="dxa"/>
            <w:left w:w="0" w:type="dxa"/>
            <w:bottom w:w="0" w:type="dxa"/>
            <w:right w:w="0" w:type="dxa"/>
          </w:tblCellMar>
        </w:tblPrEx>
        <w:trPr>
          <w:cantSplit/>
          <w:trHeight w:hRule="exact" w:val="26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92 196</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+11 749</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jc w:val="right"/>
              <w:rPr>
                <w:snapToGrid w:val="0"/>
                <w:lang w:eastAsia="sv-SE"/>
              </w:rPr>
            </w:pPr>
            <w:r w:rsidRPr="00C9680B">
              <w:rPr>
                <w:snapToGrid w:val="0"/>
                <w:lang w:eastAsia="sv-SE"/>
              </w:rPr>
              <w:t>+59 407</w:t>
            </w:r>
          </w:p>
        </w:tc>
        <w:tc>
          <w:tcPr>
            <w:tcW w:w="142" w:type="dxa"/>
            <w:tcBorders>
              <w:bottom w:val="single" w:sz="6" w:space="0" w:color="auto"/>
            </w:tcBorders>
          </w:tcPr>
          <w:p w:rsidR="001C7BF9" w:rsidRPr="00C9680B" w:rsidRDefault="001C7BF9">
            <w:pPr>
              <w:pStyle w:val="Tabell"/>
              <w:keepLines/>
              <w:jc w:val="right"/>
            </w:pPr>
          </w:p>
        </w:tc>
        <w:tc>
          <w:tcPr>
            <w:tcW w:w="792" w:type="dxa"/>
            <w:gridSpan w:val="3"/>
            <w:tcBorders>
              <w:bottom w:val="single" w:sz="6" w:space="0" w:color="auto"/>
            </w:tcBorders>
          </w:tcPr>
          <w:p w:rsidR="001C7BF9" w:rsidRPr="00C9680B" w:rsidRDefault="001C7BF9">
            <w:pPr>
              <w:pStyle w:val="Tabell"/>
              <w:keepLines/>
              <w:jc w:val="right"/>
              <w:rPr>
                <w:snapToGrid w:val="0"/>
                <w:lang w:eastAsia="sv-SE"/>
              </w:rPr>
            </w:pPr>
            <w:r w:rsidRPr="00C9680B">
              <w:rPr>
                <w:snapToGrid w:val="0"/>
                <w:lang w:eastAsia="sv-SE"/>
              </w:rPr>
              <w:t>-15 260</w:t>
            </w:r>
          </w:p>
        </w:tc>
        <w:tc>
          <w:tcPr>
            <w:tcW w:w="141" w:type="dxa"/>
            <w:tcBorders>
              <w:bottom w:val="single" w:sz="6" w:space="0" w:color="auto"/>
            </w:tcBorders>
          </w:tcPr>
          <w:p w:rsidR="001C7BF9" w:rsidRPr="00C9680B" w:rsidRDefault="001C7BF9">
            <w:pPr>
              <w:pStyle w:val="Tabell"/>
              <w:keepLines/>
              <w:jc w:val="right"/>
            </w:pPr>
          </w:p>
        </w:tc>
        <w:tc>
          <w:tcPr>
            <w:tcW w:w="936" w:type="dxa"/>
            <w:tcBorders>
              <w:bottom w:val="single" w:sz="6" w:space="0" w:color="auto"/>
            </w:tcBorders>
          </w:tcPr>
          <w:p w:rsidR="001C7BF9" w:rsidRPr="00C9680B" w:rsidRDefault="001C7BF9">
            <w:pPr>
              <w:pStyle w:val="Tabell"/>
              <w:keepLines/>
              <w:jc w:val="right"/>
              <w:rPr>
                <w:snapToGrid w:val="0"/>
                <w:lang w:eastAsia="sv-SE"/>
              </w:rPr>
            </w:pPr>
            <w:r w:rsidRPr="00C9680B">
              <w:rPr>
                <w:snapToGrid w:val="0"/>
                <w:lang w:eastAsia="sv-SE"/>
              </w:rPr>
              <w:t>+18 175</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r w:rsidRPr="00C9680B">
        <w:t>Finansutskottet har tidigare i betänkandet i avsnitten 2.4.3 och 2.6 redovisat sin bedömning av fördelningen av utgifterna på utgiftsområden för budgetåret 2001 och därvid tillstyrkt regeringens förslag till ramar för utgiftso</w:t>
      </w:r>
      <w:r w:rsidRPr="00C9680B">
        <w:t>m</w:t>
      </w:r>
      <w:r w:rsidRPr="00C9680B">
        <w:t xml:space="preserve">rådena. </w:t>
      </w:r>
    </w:p>
    <w:p w:rsidR="001C7BF9" w:rsidRPr="00C9680B" w:rsidRDefault="001C7BF9">
      <w:pPr>
        <w:pStyle w:val="Normaltindrag"/>
      </w:pPr>
      <w:r w:rsidRPr="00C9680B">
        <w:t>Finansutskottet tillstyrker således propositionens förslag till ramnivå för utgiftsområde 25 och föreslår att utgiftsramen för år 2001 fastställs till 99 363 miljoner kronor. Motionerna avstyrks i berörda d</w:t>
      </w:r>
      <w:r w:rsidRPr="00C9680B">
        <w:t>e</w:t>
      </w:r>
      <w:r w:rsidRPr="00C9680B">
        <w:t xml:space="preserve">lar. </w:t>
      </w:r>
    </w:p>
    <w:p w:rsidR="001C7BF9" w:rsidRPr="00C9680B" w:rsidRDefault="001C7BF9">
      <w:pPr>
        <w:pStyle w:val="Rubrik3"/>
        <w:rPr>
          <w:noProof w:val="0"/>
        </w:rPr>
      </w:pPr>
      <w:bookmarkStart w:id="569" w:name="_Toc498157144"/>
      <w:bookmarkStart w:id="570" w:name="_Toc498910821"/>
      <w:r w:rsidRPr="00C9680B">
        <w:rPr>
          <w:noProof w:val="0"/>
        </w:rPr>
        <w:t>4.1.26 Utgiftsområde 26 Statsskuldsräntor m.m.</w:t>
      </w:r>
      <w:bookmarkEnd w:id="569"/>
      <w:bookmarkEnd w:id="570"/>
    </w:p>
    <w:p w:rsidR="001C7BF9" w:rsidRPr="00C9680B" w:rsidRDefault="001C7BF9">
      <w:r w:rsidRPr="00C9680B">
        <w:t>Utgiftsområdet omfattar utgifter för räntorna på statsskulden, oförutsedda utgifter samt Riksgäldskontorets provisionskostnader i samband med uppl</w:t>
      </w:r>
      <w:r w:rsidRPr="00C9680B">
        <w:t>å</w:t>
      </w:r>
      <w:r w:rsidRPr="00C9680B">
        <w:t>ning och skuldförvaltning.</w:t>
      </w:r>
    </w:p>
    <w:p w:rsidR="001C7BF9" w:rsidRPr="00C9680B" w:rsidRDefault="001C7BF9">
      <w:pPr>
        <w:pStyle w:val="Normaltindrag"/>
      </w:pPr>
      <w:r w:rsidRPr="00C9680B">
        <w:t>För år 2000 beräknas de totala utgifterna på utgiftsområdet uppgå till 87 970 miljoner kronor.</w:t>
      </w:r>
    </w:p>
    <w:p w:rsidR="001C7BF9" w:rsidRPr="00C9680B" w:rsidRDefault="001C7BF9">
      <w:pPr>
        <w:pStyle w:val="Rubrik4"/>
        <w:rPr>
          <w:noProof w:val="0"/>
        </w:rPr>
      </w:pPr>
      <w:bookmarkStart w:id="571" w:name="_Toc498763653"/>
      <w:bookmarkStart w:id="572" w:name="_Toc498910822"/>
      <w:r w:rsidRPr="00C9680B">
        <w:rPr>
          <w:noProof w:val="0"/>
        </w:rPr>
        <w:t>Budgetpropositionen</w:t>
      </w:r>
      <w:bookmarkEnd w:id="571"/>
      <w:bookmarkEnd w:id="572"/>
    </w:p>
    <w:p w:rsidR="001C7BF9" w:rsidRPr="00C9680B" w:rsidRDefault="001C7BF9">
      <w:r w:rsidRPr="00C9680B">
        <w:t>I budgetpropositionen (avsnitt 7.4) meddelar regeringen att förändringarna av utgiftsområdesramen 2001 jämfört med 2000 års ekonomiska vårproposition i huvudsak förklaras av högre prognostiserade valuta- och kursförluster. U</w:t>
      </w:r>
      <w:r w:rsidRPr="00C9680B">
        <w:t>t</w:t>
      </w:r>
      <w:r w:rsidRPr="00C9680B">
        <w:t>giftsområdesramen har även justerats med anledning av överföringen av provisionsutbetalningar för upplåning i svenska kronor som t.o.m. 2000 f</w:t>
      </w:r>
      <w:r w:rsidRPr="00C9680B">
        <w:t>i</w:t>
      </w:r>
      <w:r w:rsidRPr="00C9680B">
        <w:t>nansieras under utgiftsområde 2. Enligt regeringen innebär förändringen att samtliga provisionskostnader i samband med upplåning och skuldförvaltning redovisas under detta utgiftsområde. På grund av denna förändring höjs a</w:t>
      </w:r>
      <w:r w:rsidRPr="00C9680B">
        <w:t>n</w:t>
      </w:r>
      <w:r w:rsidRPr="00C9680B">
        <w:t>slaget under perioden 2001–2003 med 255, 185 respektive 150 miljoner kr</w:t>
      </w:r>
      <w:r w:rsidRPr="00C9680B">
        <w:t>o</w:t>
      </w:r>
      <w:r w:rsidRPr="00C9680B">
        <w:t>nor. Utgifterna under utgiftstaket minskar med samma belopp vilket föranl</w:t>
      </w:r>
      <w:r w:rsidRPr="00C9680B">
        <w:t>e</w:t>
      </w:r>
      <w:r w:rsidRPr="00C9680B">
        <w:t>der en teknisk justering av utgiftstaket.</w:t>
      </w:r>
    </w:p>
    <w:p w:rsidR="001C7BF9" w:rsidRPr="00C9680B" w:rsidRDefault="001C7BF9">
      <w:pPr>
        <w:pStyle w:val="Normaltindrag"/>
      </w:pPr>
      <w:r w:rsidRPr="00C9680B">
        <w:t>Propositionens och oppositionspartiernas förslag till ramnivå för utgift</w:t>
      </w:r>
      <w:r w:rsidRPr="00C9680B">
        <w:t>s</w:t>
      </w:r>
      <w:r w:rsidRPr="00C9680B">
        <w:t>omr</w:t>
      </w:r>
      <w:r w:rsidRPr="00C9680B">
        <w:t>å</w:t>
      </w:r>
      <w:r w:rsidRPr="00C9680B">
        <w:t>det under åren 2001–2003 redovisas i efterföljande tabell.</w:t>
      </w:r>
    </w:p>
    <w:p w:rsidR="001C7BF9" w:rsidRPr="00C9680B" w:rsidRDefault="001C7BF9">
      <w:pPr>
        <w:pStyle w:val="FiU1tabellrubrik2000"/>
        <w:keepNext/>
        <w:keepLines/>
        <w:outlineLvl w:val="0"/>
      </w:pPr>
      <w:r w:rsidRPr="00C9680B">
        <w:t>Förslag till ram för utgiftsområde 26 Statsskuldsräntor m.m.</w:t>
      </w:r>
    </w:p>
    <w:p w:rsidR="001C7BF9" w:rsidRPr="00C9680B" w:rsidRDefault="001C7BF9">
      <w:pPr>
        <w:pStyle w:val="Tabell"/>
        <w:keepNext/>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Next/>
              <w:keepLines/>
            </w:pPr>
          </w:p>
        </w:tc>
        <w:tc>
          <w:tcPr>
            <w:tcW w:w="1253" w:type="dxa"/>
            <w:gridSpan w:val="4"/>
            <w:tcBorders>
              <w:top w:val="single" w:sz="6" w:space="0" w:color="000000"/>
            </w:tcBorders>
          </w:tcPr>
          <w:p w:rsidR="001C7BF9" w:rsidRPr="00C9680B" w:rsidRDefault="001C7BF9">
            <w:pPr>
              <w:pStyle w:val="Tabell"/>
              <w:keepNext/>
              <w:keepLines/>
            </w:pPr>
          </w:p>
        </w:tc>
        <w:tc>
          <w:tcPr>
            <w:tcW w:w="1253" w:type="dxa"/>
            <w:gridSpan w:val="4"/>
            <w:tcBorders>
              <w:top w:val="single" w:sz="6" w:space="0" w:color="000000"/>
            </w:tcBorders>
          </w:tcPr>
          <w:p w:rsidR="001C7BF9" w:rsidRPr="00C9680B" w:rsidRDefault="001C7BF9">
            <w:pPr>
              <w:pStyle w:val="Tabell"/>
              <w:keepNext/>
              <w:keepLines/>
              <w:jc w:val="center"/>
            </w:pPr>
          </w:p>
        </w:tc>
        <w:tc>
          <w:tcPr>
            <w:tcW w:w="142" w:type="dxa"/>
            <w:tcBorders>
              <w:top w:val="single" w:sz="6" w:space="0" w:color="000000"/>
            </w:tcBorders>
          </w:tcPr>
          <w:p w:rsidR="001C7BF9" w:rsidRPr="00C9680B" w:rsidRDefault="001C7BF9">
            <w:pPr>
              <w:pStyle w:val="Tabell"/>
              <w:keepNext/>
              <w:keepLines/>
            </w:pPr>
          </w:p>
        </w:tc>
        <w:tc>
          <w:tcPr>
            <w:tcW w:w="1769" w:type="dxa"/>
            <w:gridSpan w:val="4"/>
            <w:tcBorders>
              <w:top w:val="single" w:sz="6" w:space="0" w:color="000000"/>
            </w:tcBorders>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Next/>
              <w:keepLines/>
              <w:jc w:val="left"/>
            </w:pPr>
            <w:r w:rsidRPr="00C9680B">
              <w:t>År</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jc w:val="center"/>
            </w:pPr>
            <w:r w:rsidRPr="00C9680B">
              <w:t>Proposi-</w:t>
            </w:r>
          </w:p>
        </w:tc>
        <w:tc>
          <w:tcPr>
            <w:tcW w:w="142" w:type="dxa"/>
          </w:tcPr>
          <w:p w:rsidR="001C7BF9" w:rsidRPr="00C9680B" w:rsidRDefault="001C7BF9">
            <w:pPr>
              <w:pStyle w:val="Tabell"/>
              <w:keepNext/>
              <w:keepLines/>
            </w:pPr>
          </w:p>
        </w:tc>
        <w:tc>
          <w:tcPr>
            <w:tcW w:w="4053" w:type="dxa"/>
            <w:gridSpan w:val="11"/>
            <w:tcBorders>
              <w:bottom w:val="single" w:sz="4" w:space="0" w:color="auto"/>
            </w:tcBorders>
          </w:tcPr>
          <w:p w:rsidR="001C7BF9" w:rsidRPr="00C9680B" w:rsidRDefault="001C7BF9">
            <w:pPr>
              <w:pStyle w:val="Tabell"/>
              <w:keepNext/>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Next/>
              <w:keepLines/>
            </w:pPr>
          </w:p>
        </w:tc>
        <w:tc>
          <w:tcPr>
            <w:tcW w:w="57" w:type="dxa"/>
            <w:tcBorders>
              <w:bottom w:val="single" w:sz="6" w:space="0" w:color="auto"/>
            </w:tcBorders>
          </w:tcPr>
          <w:p w:rsidR="001C7BF9" w:rsidRPr="00C9680B" w:rsidRDefault="001C7BF9">
            <w:pPr>
              <w:pStyle w:val="Tabell"/>
              <w:keepNext/>
              <w:keepLines/>
            </w:pPr>
          </w:p>
        </w:tc>
        <w:tc>
          <w:tcPr>
            <w:tcW w:w="964" w:type="dxa"/>
            <w:gridSpan w:val="2"/>
            <w:tcBorders>
              <w:bottom w:val="single" w:sz="6" w:space="0" w:color="auto"/>
            </w:tcBorders>
          </w:tcPr>
          <w:p w:rsidR="001C7BF9" w:rsidRPr="00C9680B" w:rsidRDefault="001C7BF9">
            <w:pPr>
              <w:pStyle w:val="Tabell"/>
              <w:keepNext/>
              <w:keepLines/>
              <w:jc w:val="left"/>
            </w:pPr>
            <w:r w:rsidRPr="00C9680B">
              <w:t xml:space="preserve">    tionen</w:t>
            </w:r>
          </w:p>
        </w:tc>
        <w:tc>
          <w:tcPr>
            <w:tcW w:w="142" w:type="dxa"/>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80" w:lineRule="auto"/>
              <w:rPr>
                <w:sz w:val="16"/>
              </w:rPr>
            </w:pPr>
          </w:p>
          <w:p w:rsidR="001C7BF9" w:rsidRPr="00C9680B" w:rsidRDefault="001C7BF9">
            <w:pPr>
              <w:pStyle w:val="Tabell"/>
              <w:keepNext/>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Next/>
              <w:keepLines/>
              <w:spacing w:before="90"/>
            </w:pPr>
          </w:p>
        </w:tc>
        <w:tc>
          <w:tcPr>
            <w:tcW w:w="792" w:type="dxa"/>
            <w:gridSpan w:val="3"/>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 xml:space="preserve">   Ce</w:t>
            </w:r>
            <w:r w:rsidRPr="00C9680B">
              <w:t>n</w:t>
            </w:r>
            <w:r w:rsidRPr="00C9680B">
              <w:t>ter-</w:t>
            </w:r>
          </w:p>
          <w:p w:rsidR="001C7BF9" w:rsidRPr="00C9680B" w:rsidRDefault="001C7BF9">
            <w:pPr>
              <w:pStyle w:val="Tabell"/>
              <w:keepNext/>
              <w:keepLines/>
            </w:pPr>
            <w:r w:rsidRPr="00C9680B">
              <w:t xml:space="preserve">   partiet</w:t>
            </w:r>
          </w:p>
        </w:tc>
        <w:tc>
          <w:tcPr>
            <w:tcW w:w="141" w:type="dxa"/>
            <w:tcBorders>
              <w:bottom w:val="single" w:sz="6" w:space="0" w:color="auto"/>
            </w:tcBorders>
          </w:tcPr>
          <w:p w:rsidR="001C7BF9" w:rsidRPr="00C9680B" w:rsidRDefault="001C7BF9">
            <w:pPr>
              <w:pStyle w:val="Tabell"/>
              <w:keepNext/>
              <w:keepLines/>
            </w:pPr>
          </w:p>
        </w:tc>
        <w:tc>
          <w:tcPr>
            <w:tcW w:w="1134" w:type="dxa"/>
            <w:gridSpan w:val="2"/>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Next/>
              <w:keepLines/>
            </w:pP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jc w:val="center"/>
            </w:pP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gridSpan w:val="2"/>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tcPr>
          <w:p w:rsidR="001C7BF9" w:rsidRPr="00C9680B" w:rsidRDefault="001C7BF9">
            <w:pPr>
              <w:pStyle w:val="Tabell"/>
              <w:keepNext/>
              <w:keepLines/>
            </w:pPr>
          </w:p>
        </w:tc>
        <w:tc>
          <w:tcPr>
            <w:tcW w:w="792" w:type="dxa"/>
            <w:gridSpan w:val="3"/>
          </w:tcPr>
          <w:p w:rsidR="001C7BF9" w:rsidRPr="00C9680B" w:rsidRDefault="001C7BF9">
            <w:pPr>
              <w:pStyle w:val="Tabell"/>
              <w:keepNext/>
              <w:keepLines/>
              <w:ind w:right="38"/>
              <w:jc w:val="right"/>
            </w:pPr>
          </w:p>
        </w:tc>
        <w:tc>
          <w:tcPr>
            <w:tcW w:w="141" w:type="dxa"/>
          </w:tcPr>
          <w:p w:rsidR="001C7BF9" w:rsidRPr="00C9680B" w:rsidRDefault="001C7BF9">
            <w:pPr>
              <w:pStyle w:val="Tabell"/>
              <w:keepNext/>
              <w:keepLines/>
            </w:pPr>
          </w:p>
        </w:tc>
        <w:tc>
          <w:tcPr>
            <w:tcW w:w="1134" w:type="dxa"/>
            <w:gridSpan w:val="2"/>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Next/>
              <w:keepLines/>
            </w:pPr>
            <w:r w:rsidRPr="00C9680B">
              <w:t>2001</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ind w:right="199"/>
              <w:jc w:val="right"/>
            </w:pPr>
            <w:r w:rsidRPr="00C9680B">
              <w:t>70 925</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t>-2 085</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ind w:right="170"/>
              <w:jc w:val="right"/>
            </w:pPr>
            <w:r w:rsidRPr="00C9680B">
              <w:t>-1 222</w:t>
            </w:r>
          </w:p>
        </w:tc>
        <w:tc>
          <w:tcPr>
            <w:tcW w:w="142" w:type="dxa"/>
          </w:tcPr>
          <w:p w:rsidR="001C7BF9" w:rsidRPr="00C9680B" w:rsidRDefault="001C7BF9">
            <w:pPr>
              <w:pStyle w:val="Tabell"/>
              <w:keepNext/>
              <w:keepLines/>
              <w:ind w:right="170"/>
              <w:jc w:val="right"/>
            </w:pPr>
          </w:p>
        </w:tc>
        <w:tc>
          <w:tcPr>
            <w:tcW w:w="792" w:type="dxa"/>
            <w:gridSpan w:val="3"/>
          </w:tcPr>
          <w:p w:rsidR="001C7BF9" w:rsidRPr="00C9680B" w:rsidRDefault="001C7BF9">
            <w:pPr>
              <w:pStyle w:val="Tabell"/>
              <w:keepNext/>
              <w:keepLines/>
              <w:ind w:right="170"/>
              <w:jc w:val="right"/>
            </w:pPr>
            <w:r w:rsidRPr="00C9680B">
              <w:t>-869</w:t>
            </w:r>
          </w:p>
        </w:tc>
        <w:tc>
          <w:tcPr>
            <w:tcW w:w="141" w:type="dxa"/>
          </w:tcPr>
          <w:p w:rsidR="001C7BF9" w:rsidRPr="00C9680B" w:rsidRDefault="001C7BF9">
            <w:pPr>
              <w:pStyle w:val="Tabell"/>
              <w:keepNext/>
              <w:keepLines/>
              <w:jc w:val="left"/>
            </w:pPr>
          </w:p>
        </w:tc>
        <w:tc>
          <w:tcPr>
            <w:tcW w:w="936" w:type="dxa"/>
          </w:tcPr>
          <w:p w:rsidR="001C7BF9" w:rsidRPr="00C9680B" w:rsidRDefault="001C7BF9">
            <w:pPr>
              <w:pStyle w:val="Tabell"/>
              <w:keepNext/>
              <w:keepLines/>
              <w:ind w:right="170"/>
              <w:jc w:val="right"/>
            </w:pPr>
            <w:r w:rsidRPr="00C9680B">
              <w:t>-1 700</w:t>
            </w:r>
          </w:p>
        </w:tc>
        <w:tc>
          <w:tcPr>
            <w:tcW w:w="198" w:type="dxa"/>
          </w:tcPr>
          <w:p w:rsidR="001C7BF9" w:rsidRPr="00C9680B" w:rsidRDefault="001C7BF9">
            <w:pPr>
              <w:pStyle w:val="Tabell"/>
              <w:keepNext/>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Next/>
              <w:keepLines/>
            </w:pPr>
            <w:r w:rsidRPr="00C9680B">
              <w:t>2002</w:t>
            </w: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ind w:right="199"/>
              <w:jc w:val="right"/>
            </w:pPr>
            <w:r w:rsidRPr="00C9680B">
              <w:t>65 355</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t>-5 130</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ind w:right="170"/>
              <w:jc w:val="right"/>
            </w:pPr>
            <w:r w:rsidRPr="00C9680B">
              <w:t>-4 994</w:t>
            </w:r>
          </w:p>
        </w:tc>
        <w:tc>
          <w:tcPr>
            <w:tcW w:w="142" w:type="dxa"/>
          </w:tcPr>
          <w:p w:rsidR="001C7BF9" w:rsidRPr="00C9680B" w:rsidRDefault="001C7BF9">
            <w:pPr>
              <w:pStyle w:val="Tabell"/>
              <w:keepNext/>
              <w:keepLines/>
              <w:ind w:right="170"/>
              <w:jc w:val="right"/>
            </w:pPr>
          </w:p>
        </w:tc>
        <w:tc>
          <w:tcPr>
            <w:tcW w:w="792" w:type="dxa"/>
            <w:gridSpan w:val="3"/>
          </w:tcPr>
          <w:p w:rsidR="001C7BF9" w:rsidRPr="00C9680B" w:rsidRDefault="001C7BF9">
            <w:pPr>
              <w:pStyle w:val="Tabell"/>
              <w:keepNext/>
              <w:keepLines/>
              <w:ind w:right="170"/>
              <w:jc w:val="right"/>
            </w:pPr>
            <w:r w:rsidRPr="00C9680B">
              <w:t>-3 249</w:t>
            </w:r>
          </w:p>
        </w:tc>
        <w:tc>
          <w:tcPr>
            <w:tcW w:w="141" w:type="dxa"/>
          </w:tcPr>
          <w:p w:rsidR="001C7BF9" w:rsidRPr="00C9680B" w:rsidRDefault="001C7BF9">
            <w:pPr>
              <w:pStyle w:val="Tabell"/>
              <w:keepNext/>
              <w:keepLines/>
              <w:jc w:val="left"/>
            </w:pPr>
          </w:p>
        </w:tc>
        <w:tc>
          <w:tcPr>
            <w:tcW w:w="936" w:type="dxa"/>
          </w:tcPr>
          <w:p w:rsidR="001C7BF9" w:rsidRPr="00C9680B" w:rsidRDefault="001C7BF9">
            <w:pPr>
              <w:pStyle w:val="Tabell"/>
              <w:keepNext/>
              <w:keepLines/>
              <w:ind w:right="170"/>
              <w:jc w:val="right"/>
            </w:pPr>
            <w:r w:rsidRPr="00C9680B">
              <w:t>-3 300</w:t>
            </w:r>
          </w:p>
        </w:tc>
        <w:tc>
          <w:tcPr>
            <w:tcW w:w="198" w:type="dxa"/>
          </w:tcPr>
          <w:p w:rsidR="001C7BF9" w:rsidRPr="00C9680B" w:rsidRDefault="001C7BF9">
            <w:pPr>
              <w:pStyle w:val="Tabell"/>
              <w:keepNext/>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58 120</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-7 380</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-7 359</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-4 749</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-4 000</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Rubrik4"/>
        <w:keepNext w:val="0"/>
        <w:rPr>
          <w:noProof w:val="0"/>
        </w:rPr>
      </w:pPr>
      <w:bookmarkStart w:id="573" w:name="_Toc498763654"/>
      <w:bookmarkStart w:id="574" w:name="_Toc498910823"/>
      <w:r w:rsidRPr="00C9680B">
        <w:rPr>
          <w:noProof w:val="0"/>
        </w:rPr>
        <w:t>Motionerna</w:t>
      </w:r>
      <w:bookmarkEnd w:id="573"/>
      <w:bookmarkEnd w:id="574"/>
    </w:p>
    <w:p w:rsidR="001C7BF9" w:rsidRPr="00C9680B" w:rsidRDefault="001C7BF9">
      <w:r w:rsidRPr="00C9680B">
        <w:rPr>
          <w:i/>
        </w:rPr>
        <w:t>Moderata samlingspartiet</w:t>
      </w:r>
      <w:r w:rsidRPr="00C9680B">
        <w:t xml:space="preserve"> anser i </w:t>
      </w:r>
      <w:r w:rsidRPr="00C9680B">
        <w:rPr>
          <w:i/>
        </w:rPr>
        <w:t>motion Fi208</w:t>
      </w:r>
      <w:r w:rsidRPr="00C9680B">
        <w:t xml:space="preserve"> att det är mycket angeläget att minska statsskulden från dagens höga nivå. Motionärerna föreslår att öve</w:t>
      </w:r>
      <w:r w:rsidRPr="00C9680B">
        <w:t>r</w:t>
      </w:r>
      <w:r w:rsidRPr="00C9680B">
        <w:t>skottet i de offentliga finanserna och betydligt större privatiseringar än reg</w:t>
      </w:r>
      <w:r w:rsidRPr="00C9680B">
        <w:t>e</w:t>
      </w:r>
      <w:r w:rsidRPr="00C9680B">
        <w:t>ringen räknar med används till att minska statsskulden. I motionen föreslås också att Riksgäldskontorets anslag minskas.</w:t>
      </w:r>
    </w:p>
    <w:p w:rsidR="001C7BF9" w:rsidRPr="00C9680B" w:rsidRDefault="001C7BF9">
      <w:pPr>
        <w:pStyle w:val="Normaltindrag"/>
      </w:pPr>
      <w:r w:rsidRPr="00C9680B">
        <w:rPr>
          <w:i/>
        </w:rPr>
        <w:t>Kristdemokraterna</w:t>
      </w:r>
      <w:r w:rsidRPr="00C9680B">
        <w:t xml:space="preserve"> föreslår i </w:t>
      </w:r>
      <w:r w:rsidRPr="00C9680B">
        <w:rPr>
          <w:i/>
        </w:rPr>
        <w:t>motion Fi209</w:t>
      </w:r>
      <w:r w:rsidRPr="00C9680B">
        <w:t xml:space="preserve"> en ökad utförsäljning av statl</w:t>
      </w:r>
      <w:r w:rsidRPr="00C9680B">
        <w:t>i</w:t>
      </w:r>
      <w:r w:rsidRPr="00C9680B">
        <w:t>ga företag under den kommande perioden med 80, 45 respektive 45 miljarder kronor mer än vad regeringen räknar med 2001–2003, vilket i kombination med de övriga sammantagna budgetsaldoförändringarna minskar upplåning</w:t>
      </w:r>
      <w:r w:rsidRPr="00C9680B">
        <w:t>s</w:t>
      </w:r>
      <w:r w:rsidRPr="00C9680B">
        <w:t>behovet. Motionärerna menar att statsskulden minskar med ca 160 miljarder kronor mer än med regeringens politik över treårsperioden.</w:t>
      </w:r>
    </w:p>
    <w:p w:rsidR="001C7BF9" w:rsidRPr="00C9680B" w:rsidRDefault="001C7BF9">
      <w:pPr>
        <w:pStyle w:val="Normaltindrag"/>
      </w:pPr>
      <w:r w:rsidRPr="00C9680B">
        <w:t xml:space="preserve">I </w:t>
      </w:r>
      <w:r w:rsidRPr="00C9680B">
        <w:rPr>
          <w:i/>
        </w:rPr>
        <w:t>motion Fi210</w:t>
      </w:r>
      <w:r w:rsidRPr="00C9680B">
        <w:t xml:space="preserve"> presenterar </w:t>
      </w:r>
      <w:r w:rsidRPr="00C9680B">
        <w:rPr>
          <w:i/>
        </w:rPr>
        <w:t>Centerpartiet</w:t>
      </w:r>
      <w:r w:rsidRPr="00C9680B">
        <w:t xml:space="preserve"> ett budgetförslag som innebär markant lägre utgifter än regeringens. Denna stramhet i utgifterna vill moti</w:t>
      </w:r>
      <w:r w:rsidRPr="00C9680B">
        <w:t>o</w:t>
      </w:r>
      <w:r w:rsidRPr="00C9680B">
        <w:t>närerna använda dels för att sänka skatter, dels för att amortera på statssku</w:t>
      </w:r>
      <w:r w:rsidRPr="00C9680B">
        <w:t>l</w:t>
      </w:r>
      <w:r w:rsidRPr="00C9680B">
        <w:t>den med drygt 1,3 miljarder kronor mer än regeringen. Därutöver föreslås att amorteringar görs på statsskulden med hjälp av inkomster från försäljning av statlig ege</w:t>
      </w:r>
      <w:r w:rsidRPr="00C9680B">
        <w:t>n</w:t>
      </w:r>
      <w:r w:rsidRPr="00C9680B">
        <w:t xml:space="preserve">dom </w:t>
      </w:r>
    </w:p>
    <w:p w:rsidR="001C7BF9" w:rsidRPr="00C9680B" w:rsidRDefault="001C7BF9">
      <w:pPr>
        <w:pStyle w:val="Normaltindrag"/>
      </w:pPr>
      <w:r w:rsidRPr="00C9680B">
        <w:rPr>
          <w:i/>
        </w:rPr>
        <w:t>Folkpartiet liberalerna</w:t>
      </w:r>
      <w:r w:rsidRPr="00C9680B">
        <w:t xml:space="preserve"> anser i </w:t>
      </w:r>
      <w:r w:rsidRPr="00C9680B">
        <w:rPr>
          <w:i/>
        </w:rPr>
        <w:t>motion Fi211</w:t>
      </w:r>
      <w:r w:rsidRPr="00C9680B">
        <w:t xml:space="preserve"> att statens utgifter för räntor kan minska genom en betydligt mera omfattande försäljning av statliga för</w:t>
      </w:r>
      <w:r w:rsidRPr="00C9680B">
        <w:t>e</w:t>
      </w:r>
      <w:r w:rsidRPr="00C9680B">
        <w:t>tag än regeringen räknar med. Intäkterna vill motionärerna använda för att amortera på statsskulden. Den minskning av räntebetalningarna som då up</w:t>
      </w:r>
      <w:r w:rsidRPr="00C9680B">
        <w:t>p</w:t>
      </w:r>
      <w:r w:rsidRPr="00C9680B">
        <w:t>kommer är enligt motionärerna en långsiktig besparing. Motionärerna anser att försäljningen bör ske successivt.</w:t>
      </w:r>
    </w:p>
    <w:p w:rsidR="001C7BF9" w:rsidRPr="00C9680B" w:rsidRDefault="001C7BF9">
      <w:pPr>
        <w:pStyle w:val="Rubrik4"/>
        <w:rPr>
          <w:noProof w:val="0"/>
        </w:rPr>
      </w:pPr>
      <w:bookmarkStart w:id="575" w:name="_Toc498763655"/>
      <w:bookmarkStart w:id="576" w:name="_Toc498910824"/>
      <w:r w:rsidRPr="00C9680B">
        <w:rPr>
          <w:noProof w:val="0"/>
        </w:rPr>
        <w:t>Finansutskottets ställningstagande</w:t>
      </w:r>
      <w:bookmarkEnd w:id="575"/>
      <w:bookmarkEnd w:id="576"/>
    </w:p>
    <w:p w:rsidR="001C7BF9" w:rsidRPr="00C9680B" w:rsidRDefault="001C7BF9">
      <w:r w:rsidRPr="00C9680B">
        <w:t>Finansutskottet har tidigare i betänkandet (avsnitten 2.4.3 och 2.6) redovisat sin bedömning av fördelningen av utgifterna på utgiftsområden för budgetåret 2001 och därvid tillstyrkt regeringens förslag.</w:t>
      </w:r>
    </w:p>
    <w:p w:rsidR="001C7BF9" w:rsidRPr="00C9680B" w:rsidRDefault="001C7BF9">
      <w:pPr>
        <w:pStyle w:val="Normaltindrag"/>
      </w:pPr>
      <w:r w:rsidRPr="00C9680B">
        <w:t>Finansutskottet tillstyrker således propositionens förslag till ramnivå för utgiftsområde 26 och föreslår att utgiftsramen fastställs till 70 925 miljoner kronor. Partimotionernas förslag till alternativa ramar avstyrks.</w:t>
      </w:r>
    </w:p>
    <w:p w:rsidR="001C7BF9" w:rsidRPr="00C9680B" w:rsidRDefault="001C7BF9">
      <w:pPr>
        <w:pStyle w:val="Normaltindrag"/>
      </w:pPr>
    </w:p>
    <w:p w:rsidR="001C7BF9" w:rsidRPr="00C9680B" w:rsidRDefault="001C7BF9">
      <w:pPr>
        <w:pStyle w:val="Normaltindrag"/>
      </w:pPr>
    </w:p>
    <w:p w:rsidR="001C7BF9" w:rsidRPr="00C9680B" w:rsidRDefault="001C7BF9">
      <w:pPr>
        <w:pStyle w:val="Rubrik3"/>
        <w:rPr>
          <w:noProof w:val="0"/>
        </w:rPr>
      </w:pPr>
      <w:bookmarkStart w:id="577" w:name="_Toc498157145"/>
      <w:bookmarkStart w:id="578" w:name="_Toc498910825"/>
      <w:r w:rsidRPr="00C9680B">
        <w:rPr>
          <w:noProof w:val="0"/>
        </w:rPr>
        <w:t>4.1.27 Utgiftsområde 27 Avgiften till Europeiska gemenskapen</w:t>
      </w:r>
      <w:bookmarkEnd w:id="577"/>
      <w:bookmarkEnd w:id="578"/>
    </w:p>
    <w:p w:rsidR="001C7BF9" w:rsidRPr="00C9680B" w:rsidRDefault="001C7BF9">
      <w:r w:rsidRPr="00C9680B">
        <w:t>Utgiftsområdet avser Sveriges avgift till EU-budgeten.</w:t>
      </w:r>
    </w:p>
    <w:p w:rsidR="001C7BF9" w:rsidRPr="00C9680B" w:rsidRDefault="001C7BF9">
      <w:pPr>
        <w:pStyle w:val="Normaltindrag"/>
      </w:pPr>
      <w:r w:rsidRPr="00C9680B">
        <w:t>De totala utgifterna för utgiftsområdet år 2000 beräknas uppgå till 22 131 miljoner kronor.</w:t>
      </w:r>
    </w:p>
    <w:p w:rsidR="001C7BF9" w:rsidRPr="00C9680B" w:rsidRDefault="001C7BF9">
      <w:pPr>
        <w:pStyle w:val="R4"/>
      </w:pPr>
      <w:r w:rsidRPr="00C9680B">
        <w:t>Budgetpropositionen</w:t>
      </w:r>
    </w:p>
    <w:p w:rsidR="001C7BF9" w:rsidRPr="00C9680B" w:rsidRDefault="001C7BF9">
      <w:r w:rsidRPr="00C9680B">
        <w:t>Den årliga EU-budgeten fastställs inom ramen för budgetplanen för 2000–2006, det s.k. finansiella perspektivet. Budgetpropositionens förslag (avsnitt 7.4) baseras på senare uppgifter än dem som fanns tillgängliga vid tidpunkten för 2000 års vårproposition.</w:t>
      </w:r>
    </w:p>
    <w:p w:rsidR="001C7BF9" w:rsidRPr="00C9680B" w:rsidRDefault="001C7BF9">
      <w:pPr>
        <w:pStyle w:val="Normaltindrag"/>
      </w:pPr>
      <w:r w:rsidRPr="00C9680B">
        <w:t xml:space="preserve">I följande tablå redovisas budgetpropositionens och motionernas förslag till utgiftsramar. </w:t>
      </w:r>
    </w:p>
    <w:p w:rsidR="001C7BF9" w:rsidRPr="00C9680B" w:rsidRDefault="001C7BF9">
      <w:pPr>
        <w:pStyle w:val="FiU1tabellrubrik2000"/>
        <w:keepNext/>
        <w:keepLines/>
        <w:outlineLvl w:val="0"/>
      </w:pPr>
      <w:r w:rsidRPr="00C9680B">
        <w:t>Förslag till ram för utgiftsområde 27 Avgiften till Europeiska gemensk</w:t>
      </w:r>
      <w:r w:rsidRPr="00C9680B">
        <w:t>a</w:t>
      </w:r>
      <w:r w:rsidRPr="00C9680B">
        <w:t>pen</w:t>
      </w:r>
    </w:p>
    <w:p w:rsidR="001C7BF9" w:rsidRPr="00C9680B" w:rsidRDefault="001C7BF9">
      <w:pPr>
        <w:pStyle w:val="Tabell"/>
        <w:keepNext/>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Next/>
              <w:keepLines/>
            </w:pPr>
          </w:p>
        </w:tc>
        <w:tc>
          <w:tcPr>
            <w:tcW w:w="1253" w:type="dxa"/>
            <w:gridSpan w:val="4"/>
            <w:tcBorders>
              <w:top w:val="single" w:sz="6" w:space="0" w:color="000000"/>
            </w:tcBorders>
          </w:tcPr>
          <w:p w:rsidR="001C7BF9" w:rsidRPr="00C9680B" w:rsidRDefault="001C7BF9">
            <w:pPr>
              <w:pStyle w:val="Tabell"/>
              <w:keepNext/>
              <w:keepLines/>
            </w:pPr>
          </w:p>
        </w:tc>
        <w:tc>
          <w:tcPr>
            <w:tcW w:w="1253" w:type="dxa"/>
            <w:gridSpan w:val="4"/>
            <w:tcBorders>
              <w:top w:val="single" w:sz="6" w:space="0" w:color="000000"/>
            </w:tcBorders>
          </w:tcPr>
          <w:p w:rsidR="001C7BF9" w:rsidRPr="00C9680B" w:rsidRDefault="001C7BF9">
            <w:pPr>
              <w:pStyle w:val="Tabell"/>
              <w:keepNext/>
              <w:keepLines/>
              <w:jc w:val="center"/>
            </w:pPr>
          </w:p>
        </w:tc>
        <w:tc>
          <w:tcPr>
            <w:tcW w:w="142" w:type="dxa"/>
            <w:tcBorders>
              <w:top w:val="single" w:sz="6" w:space="0" w:color="000000"/>
            </w:tcBorders>
          </w:tcPr>
          <w:p w:rsidR="001C7BF9" w:rsidRPr="00C9680B" w:rsidRDefault="001C7BF9">
            <w:pPr>
              <w:pStyle w:val="Tabell"/>
              <w:keepNext/>
              <w:keepLines/>
            </w:pPr>
          </w:p>
        </w:tc>
        <w:tc>
          <w:tcPr>
            <w:tcW w:w="1769" w:type="dxa"/>
            <w:gridSpan w:val="4"/>
            <w:tcBorders>
              <w:top w:val="single" w:sz="6" w:space="0" w:color="000000"/>
            </w:tcBorders>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Next/>
              <w:keepLines/>
              <w:jc w:val="left"/>
            </w:pPr>
            <w:r w:rsidRPr="00C9680B">
              <w:t>År</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jc w:val="center"/>
            </w:pPr>
            <w:r w:rsidRPr="00C9680B">
              <w:t>Proposi-</w:t>
            </w:r>
          </w:p>
        </w:tc>
        <w:tc>
          <w:tcPr>
            <w:tcW w:w="142" w:type="dxa"/>
          </w:tcPr>
          <w:p w:rsidR="001C7BF9" w:rsidRPr="00C9680B" w:rsidRDefault="001C7BF9">
            <w:pPr>
              <w:pStyle w:val="Tabell"/>
              <w:keepNext/>
              <w:keepLines/>
            </w:pPr>
          </w:p>
        </w:tc>
        <w:tc>
          <w:tcPr>
            <w:tcW w:w="4053" w:type="dxa"/>
            <w:gridSpan w:val="11"/>
            <w:tcBorders>
              <w:bottom w:val="single" w:sz="4" w:space="0" w:color="auto"/>
            </w:tcBorders>
          </w:tcPr>
          <w:p w:rsidR="001C7BF9" w:rsidRPr="00C9680B" w:rsidRDefault="001C7BF9">
            <w:pPr>
              <w:pStyle w:val="Tabell"/>
              <w:keepNext/>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Next/>
              <w:keepLines/>
            </w:pPr>
          </w:p>
        </w:tc>
        <w:tc>
          <w:tcPr>
            <w:tcW w:w="57" w:type="dxa"/>
            <w:tcBorders>
              <w:bottom w:val="single" w:sz="6" w:space="0" w:color="auto"/>
            </w:tcBorders>
          </w:tcPr>
          <w:p w:rsidR="001C7BF9" w:rsidRPr="00C9680B" w:rsidRDefault="001C7BF9">
            <w:pPr>
              <w:pStyle w:val="Tabell"/>
              <w:keepNext/>
              <w:keepLines/>
            </w:pPr>
          </w:p>
        </w:tc>
        <w:tc>
          <w:tcPr>
            <w:tcW w:w="964" w:type="dxa"/>
            <w:gridSpan w:val="2"/>
            <w:tcBorders>
              <w:bottom w:val="single" w:sz="6" w:space="0" w:color="auto"/>
            </w:tcBorders>
          </w:tcPr>
          <w:p w:rsidR="001C7BF9" w:rsidRPr="00C9680B" w:rsidRDefault="001C7BF9">
            <w:pPr>
              <w:pStyle w:val="Tabell"/>
              <w:keepNext/>
              <w:keepLines/>
              <w:jc w:val="left"/>
            </w:pPr>
            <w:r w:rsidRPr="00C9680B">
              <w:t xml:space="preserve">    tionen</w:t>
            </w:r>
          </w:p>
        </w:tc>
        <w:tc>
          <w:tcPr>
            <w:tcW w:w="142" w:type="dxa"/>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80" w:lineRule="auto"/>
              <w:rPr>
                <w:sz w:val="16"/>
              </w:rPr>
            </w:pPr>
          </w:p>
          <w:p w:rsidR="001C7BF9" w:rsidRPr="00C9680B" w:rsidRDefault="001C7BF9">
            <w:pPr>
              <w:pStyle w:val="Tabell"/>
              <w:keepNext/>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Next/>
              <w:keepLines/>
              <w:spacing w:before="90"/>
            </w:pPr>
          </w:p>
        </w:tc>
        <w:tc>
          <w:tcPr>
            <w:tcW w:w="792" w:type="dxa"/>
            <w:gridSpan w:val="3"/>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 xml:space="preserve">   Ce</w:t>
            </w:r>
            <w:r w:rsidRPr="00C9680B">
              <w:t>n</w:t>
            </w:r>
            <w:r w:rsidRPr="00C9680B">
              <w:t>ter-</w:t>
            </w:r>
          </w:p>
          <w:p w:rsidR="001C7BF9" w:rsidRPr="00C9680B" w:rsidRDefault="001C7BF9">
            <w:pPr>
              <w:pStyle w:val="Tabell"/>
              <w:keepNext/>
              <w:keepLines/>
            </w:pPr>
            <w:r w:rsidRPr="00C9680B">
              <w:t xml:space="preserve">   partiet</w:t>
            </w:r>
          </w:p>
        </w:tc>
        <w:tc>
          <w:tcPr>
            <w:tcW w:w="141" w:type="dxa"/>
            <w:tcBorders>
              <w:bottom w:val="single" w:sz="6" w:space="0" w:color="auto"/>
            </w:tcBorders>
          </w:tcPr>
          <w:p w:rsidR="001C7BF9" w:rsidRPr="00C9680B" w:rsidRDefault="001C7BF9">
            <w:pPr>
              <w:pStyle w:val="Tabell"/>
              <w:keepNext/>
              <w:keepLines/>
            </w:pPr>
          </w:p>
        </w:tc>
        <w:tc>
          <w:tcPr>
            <w:tcW w:w="1134" w:type="dxa"/>
            <w:gridSpan w:val="2"/>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Next/>
              <w:keepLines/>
            </w:pP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jc w:val="center"/>
            </w:pP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gridSpan w:val="2"/>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tcPr>
          <w:p w:rsidR="001C7BF9" w:rsidRPr="00C9680B" w:rsidRDefault="001C7BF9">
            <w:pPr>
              <w:pStyle w:val="Tabell"/>
              <w:keepNext/>
              <w:keepLines/>
            </w:pPr>
          </w:p>
        </w:tc>
        <w:tc>
          <w:tcPr>
            <w:tcW w:w="792" w:type="dxa"/>
            <w:gridSpan w:val="3"/>
          </w:tcPr>
          <w:p w:rsidR="001C7BF9" w:rsidRPr="00C9680B" w:rsidRDefault="001C7BF9">
            <w:pPr>
              <w:pStyle w:val="Tabell"/>
              <w:keepNext/>
              <w:keepLines/>
              <w:ind w:right="38"/>
              <w:jc w:val="right"/>
            </w:pPr>
          </w:p>
        </w:tc>
        <w:tc>
          <w:tcPr>
            <w:tcW w:w="141" w:type="dxa"/>
          </w:tcPr>
          <w:p w:rsidR="001C7BF9" w:rsidRPr="00C9680B" w:rsidRDefault="001C7BF9">
            <w:pPr>
              <w:pStyle w:val="Tabell"/>
              <w:keepNext/>
              <w:keepLines/>
            </w:pPr>
          </w:p>
        </w:tc>
        <w:tc>
          <w:tcPr>
            <w:tcW w:w="1134" w:type="dxa"/>
            <w:gridSpan w:val="2"/>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Next/>
              <w:keepLines/>
            </w:pPr>
            <w:r w:rsidRPr="00C9680B">
              <w:t>2001</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ind w:right="199"/>
              <w:jc w:val="right"/>
            </w:pPr>
            <w:r w:rsidRPr="00C9680B">
              <w:t>23 804</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sym w:font="Symbol" w:char="F0B1"/>
            </w:r>
            <w:r w:rsidRPr="00C9680B">
              <w:t>0</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ind w:right="170"/>
              <w:jc w:val="right"/>
            </w:pPr>
            <w:r w:rsidRPr="00C9680B">
              <w:sym w:font="Symbol" w:char="F0B1"/>
            </w:r>
            <w:r w:rsidRPr="00C9680B">
              <w:t>0</w:t>
            </w:r>
          </w:p>
        </w:tc>
        <w:tc>
          <w:tcPr>
            <w:tcW w:w="142" w:type="dxa"/>
          </w:tcPr>
          <w:p w:rsidR="001C7BF9" w:rsidRPr="00C9680B" w:rsidRDefault="001C7BF9">
            <w:pPr>
              <w:pStyle w:val="Tabell"/>
              <w:keepNext/>
              <w:keepLines/>
              <w:ind w:right="170"/>
              <w:jc w:val="right"/>
            </w:pPr>
          </w:p>
        </w:tc>
        <w:tc>
          <w:tcPr>
            <w:tcW w:w="792" w:type="dxa"/>
            <w:gridSpan w:val="3"/>
          </w:tcPr>
          <w:p w:rsidR="001C7BF9" w:rsidRPr="00C9680B" w:rsidRDefault="001C7BF9">
            <w:pPr>
              <w:pStyle w:val="Tabell"/>
              <w:keepNext/>
              <w:keepLines/>
              <w:ind w:right="170"/>
              <w:jc w:val="right"/>
            </w:pPr>
            <w:r w:rsidRPr="00C9680B">
              <w:sym w:font="Symbol" w:char="F0B1"/>
            </w:r>
            <w:r w:rsidRPr="00C9680B">
              <w:t>0</w:t>
            </w:r>
          </w:p>
        </w:tc>
        <w:tc>
          <w:tcPr>
            <w:tcW w:w="141" w:type="dxa"/>
          </w:tcPr>
          <w:p w:rsidR="001C7BF9" w:rsidRPr="00C9680B" w:rsidRDefault="001C7BF9">
            <w:pPr>
              <w:pStyle w:val="Tabell"/>
              <w:keepNext/>
              <w:keepLines/>
              <w:jc w:val="left"/>
            </w:pPr>
          </w:p>
        </w:tc>
        <w:tc>
          <w:tcPr>
            <w:tcW w:w="936" w:type="dxa"/>
          </w:tcPr>
          <w:p w:rsidR="001C7BF9" w:rsidRPr="00C9680B" w:rsidRDefault="001C7BF9">
            <w:pPr>
              <w:pStyle w:val="Tabell"/>
              <w:keepNext/>
              <w:keepLines/>
              <w:ind w:right="170"/>
              <w:jc w:val="right"/>
            </w:pPr>
            <w:r w:rsidRPr="00C9680B">
              <w:sym w:font="Symbol" w:char="F0B1"/>
            </w:r>
            <w:r w:rsidRPr="00C9680B">
              <w:t>0</w:t>
            </w:r>
          </w:p>
        </w:tc>
        <w:tc>
          <w:tcPr>
            <w:tcW w:w="198" w:type="dxa"/>
          </w:tcPr>
          <w:p w:rsidR="001C7BF9" w:rsidRPr="00C9680B" w:rsidRDefault="001C7BF9">
            <w:pPr>
              <w:pStyle w:val="Tabell"/>
              <w:keepNext/>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Next/>
              <w:keepLines/>
            </w:pPr>
            <w:r w:rsidRPr="00C9680B">
              <w:t>2002</w:t>
            </w: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ind w:right="199"/>
              <w:jc w:val="right"/>
            </w:pPr>
            <w:r w:rsidRPr="00C9680B">
              <w:t>23 633</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sym w:font="Symbol" w:char="F0B1"/>
            </w:r>
            <w:r w:rsidRPr="00C9680B">
              <w:t>0</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ind w:right="170"/>
              <w:jc w:val="right"/>
            </w:pPr>
            <w:r w:rsidRPr="00C9680B">
              <w:sym w:font="Symbol" w:char="F0B1"/>
            </w:r>
            <w:r w:rsidRPr="00C9680B">
              <w:t>0</w:t>
            </w:r>
          </w:p>
        </w:tc>
        <w:tc>
          <w:tcPr>
            <w:tcW w:w="142" w:type="dxa"/>
          </w:tcPr>
          <w:p w:rsidR="001C7BF9" w:rsidRPr="00C9680B" w:rsidRDefault="001C7BF9">
            <w:pPr>
              <w:pStyle w:val="Tabell"/>
              <w:keepNext/>
              <w:keepLines/>
              <w:ind w:right="170"/>
              <w:jc w:val="right"/>
            </w:pPr>
          </w:p>
        </w:tc>
        <w:tc>
          <w:tcPr>
            <w:tcW w:w="792" w:type="dxa"/>
            <w:gridSpan w:val="3"/>
          </w:tcPr>
          <w:p w:rsidR="001C7BF9" w:rsidRPr="00C9680B" w:rsidRDefault="001C7BF9">
            <w:pPr>
              <w:pStyle w:val="Tabell"/>
              <w:keepNext/>
              <w:keepLines/>
              <w:ind w:right="170"/>
              <w:jc w:val="right"/>
            </w:pPr>
            <w:r w:rsidRPr="00C9680B">
              <w:sym w:font="Symbol" w:char="F0B1"/>
            </w:r>
            <w:r w:rsidRPr="00C9680B">
              <w:t>0</w:t>
            </w:r>
          </w:p>
        </w:tc>
        <w:tc>
          <w:tcPr>
            <w:tcW w:w="141" w:type="dxa"/>
          </w:tcPr>
          <w:p w:rsidR="001C7BF9" w:rsidRPr="00C9680B" w:rsidRDefault="001C7BF9">
            <w:pPr>
              <w:pStyle w:val="Tabell"/>
              <w:keepNext/>
              <w:keepLines/>
              <w:jc w:val="left"/>
            </w:pPr>
          </w:p>
        </w:tc>
        <w:tc>
          <w:tcPr>
            <w:tcW w:w="936" w:type="dxa"/>
          </w:tcPr>
          <w:p w:rsidR="001C7BF9" w:rsidRPr="00C9680B" w:rsidRDefault="001C7BF9">
            <w:pPr>
              <w:pStyle w:val="Tabell"/>
              <w:keepNext/>
              <w:keepLines/>
              <w:ind w:right="170"/>
              <w:jc w:val="right"/>
            </w:pPr>
            <w:r w:rsidRPr="00C9680B">
              <w:sym w:font="Symbol" w:char="F0B1"/>
            </w:r>
            <w:r w:rsidRPr="00C9680B">
              <w:t>0</w:t>
            </w:r>
          </w:p>
        </w:tc>
        <w:tc>
          <w:tcPr>
            <w:tcW w:w="198" w:type="dxa"/>
          </w:tcPr>
          <w:p w:rsidR="001C7BF9" w:rsidRPr="00C9680B" w:rsidRDefault="001C7BF9">
            <w:pPr>
              <w:pStyle w:val="Tabell"/>
              <w:keepNext/>
              <w:keepLines/>
              <w:ind w:right="170"/>
              <w:jc w:val="right"/>
            </w:pPr>
          </w:p>
        </w:tc>
      </w:tr>
      <w:tr w:rsidR="00000000" w:rsidRPr="00C9680B">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1C7BF9" w:rsidRPr="00C9680B" w:rsidRDefault="001C7BF9">
            <w:pPr>
              <w:pStyle w:val="Tabell"/>
              <w:keepNext/>
              <w:keepLines/>
            </w:pPr>
            <w:r w:rsidRPr="00C9680B">
              <w:t>2003</w:t>
            </w:r>
          </w:p>
        </w:tc>
        <w:tc>
          <w:tcPr>
            <w:tcW w:w="57" w:type="dxa"/>
            <w:tcBorders>
              <w:bottom w:val="single" w:sz="6" w:space="0" w:color="auto"/>
            </w:tcBorders>
          </w:tcPr>
          <w:p w:rsidR="001C7BF9" w:rsidRPr="00C9680B" w:rsidRDefault="001C7BF9">
            <w:pPr>
              <w:pStyle w:val="Tabell"/>
              <w:keepNext/>
              <w:keepLines/>
              <w:rPr>
                <w:b/>
              </w:rPr>
            </w:pPr>
          </w:p>
        </w:tc>
        <w:tc>
          <w:tcPr>
            <w:tcW w:w="964" w:type="dxa"/>
            <w:gridSpan w:val="2"/>
            <w:tcBorders>
              <w:bottom w:val="single" w:sz="6" w:space="0" w:color="auto"/>
            </w:tcBorders>
          </w:tcPr>
          <w:p w:rsidR="001C7BF9" w:rsidRPr="00C9680B" w:rsidRDefault="001C7BF9">
            <w:pPr>
              <w:pStyle w:val="Tabell"/>
              <w:keepNext/>
              <w:keepLines/>
              <w:ind w:right="199"/>
              <w:jc w:val="right"/>
            </w:pPr>
            <w:r w:rsidRPr="00C9680B">
              <w:t>24 330</w:t>
            </w:r>
          </w:p>
        </w:tc>
        <w:tc>
          <w:tcPr>
            <w:tcW w:w="142" w:type="dxa"/>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ind w:right="170"/>
              <w:jc w:val="right"/>
            </w:pPr>
            <w:r w:rsidRPr="00C9680B">
              <w:sym w:font="Symbol" w:char="F0B1"/>
            </w:r>
            <w:r w:rsidRPr="00C9680B">
              <w:t>0</w:t>
            </w:r>
          </w:p>
        </w:tc>
        <w:tc>
          <w:tcPr>
            <w:tcW w:w="142" w:type="dxa"/>
            <w:gridSpan w:val="2"/>
            <w:tcBorders>
              <w:bottom w:val="single" w:sz="6" w:space="0" w:color="auto"/>
            </w:tcBorders>
          </w:tcPr>
          <w:p w:rsidR="001C7BF9" w:rsidRPr="00C9680B" w:rsidRDefault="001C7BF9">
            <w:pPr>
              <w:pStyle w:val="Tabell"/>
              <w:keepNext/>
              <w:keepLines/>
              <w:ind w:right="170"/>
              <w:jc w:val="right"/>
            </w:pPr>
          </w:p>
        </w:tc>
        <w:tc>
          <w:tcPr>
            <w:tcW w:w="851" w:type="dxa"/>
            <w:tcBorders>
              <w:bottom w:val="single" w:sz="6" w:space="0" w:color="auto"/>
            </w:tcBorders>
          </w:tcPr>
          <w:p w:rsidR="001C7BF9" w:rsidRPr="00C9680B" w:rsidRDefault="001C7BF9">
            <w:pPr>
              <w:pStyle w:val="Tabell"/>
              <w:keepNext/>
              <w:keepLines/>
              <w:ind w:right="170"/>
              <w:jc w:val="right"/>
            </w:pPr>
            <w:r w:rsidRPr="00C9680B">
              <w:sym w:font="Symbol" w:char="F0B1"/>
            </w:r>
            <w:r w:rsidRPr="00C9680B">
              <w:t>0</w:t>
            </w:r>
          </w:p>
        </w:tc>
        <w:tc>
          <w:tcPr>
            <w:tcW w:w="142" w:type="dxa"/>
            <w:tcBorders>
              <w:bottom w:val="single" w:sz="6" w:space="0" w:color="auto"/>
            </w:tcBorders>
          </w:tcPr>
          <w:p w:rsidR="001C7BF9" w:rsidRPr="00C9680B" w:rsidRDefault="001C7BF9">
            <w:pPr>
              <w:pStyle w:val="Tabell"/>
              <w:keepNext/>
              <w:keepLines/>
              <w:ind w:right="170"/>
              <w:jc w:val="right"/>
            </w:pPr>
          </w:p>
        </w:tc>
        <w:tc>
          <w:tcPr>
            <w:tcW w:w="792" w:type="dxa"/>
            <w:gridSpan w:val="3"/>
            <w:tcBorders>
              <w:bottom w:val="single" w:sz="6" w:space="0" w:color="auto"/>
            </w:tcBorders>
          </w:tcPr>
          <w:p w:rsidR="001C7BF9" w:rsidRPr="00C9680B" w:rsidRDefault="001C7BF9">
            <w:pPr>
              <w:pStyle w:val="Tabell"/>
              <w:keepNext/>
              <w:keepLines/>
              <w:ind w:right="170"/>
              <w:jc w:val="right"/>
            </w:pPr>
            <w:r w:rsidRPr="00C9680B">
              <w:sym w:font="Symbol" w:char="F0B1"/>
            </w:r>
            <w:r w:rsidRPr="00C9680B">
              <w:t>0</w:t>
            </w:r>
          </w:p>
        </w:tc>
        <w:tc>
          <w:tcPr>
            <w:tcW w:w="141" w:type="dxa"/>
            <w:tcBorders>
              <w:bottom w:val="single" w:sz="6" w:space="0" w:color="auto"/>
            </w:tcBorders>
          </w:tcPr>
          <w:p w:rsidR="001C7BF9" w:rsidRPr="00C9680B" w:rsidRDefault="001C7BF9">
            <w:pPr>
              <w:pStyle w:val="Tabell"/>
              <w:keepNext/>
              <w:keepLines/>
              <w:jc w:val="left"/>
            </w:pPr>
          </w:p>
        </w:tc>
        <w:tc>
          <w:tcPr>
            <w:tcW w:w="936" w:type="dxa"/>
            <w:tcBorders>
              <w:bottom w:val="single" w:sz="6" w:space="0" w:color="auto"/>
            </w:tcBorders>
          </w:tcPr>
          <w:p w:rsidR="001C7BF9" w:rsidRPr="00C9680B" w:rsidRDefault="001C7BF9">
            <w:pPr>
              <w:pStyle w:val="Tabell"/>
              <w:keepNext/>
              <w:keepLines/>
              <w:ind w:right="170"/>
              <w:jc w:val="right"/>
            </w:pPr>
            <w:r w:rsidRPr="00C9680B">
              <w:sym w:font="Symbol" w:char="F0B1"/>
            </w:r>
            <w:r w:rsidRPr="00C9680B">
              <w:t>0</w:t>
            </w:r>
          </w:p>
        </w:tc>
        <w:tc>
          <w:tcPr>
            <w:tcW w:w="198" w:type="dxa"/>
            <w:tcBorders>
              <w:bottom w:val="single" w:sz="6" w:space="0" w:color="auto"/>
            </w:tcBorders>
          </w:tcPr>
          <w:p w:rsidR="001C7BF9" w:rsidRPr="00C9680B" w:rsidRDefault="001C7BF9">
            <w:pPr>
              <w:pStyle w:val="Tabell"/>
              <w:keepNext/>
              <w:keepLines/>
              <w:ind w:right="170"/>
              <w:jc w:val="right"/>
            </w:pPr>
          </w:p>
        </w:tc>
      </w:tr>
    </w:tbl>
    <w:p w:rsidR="001C7BF9" w:rsidRPr="00C9680B" w:rsidRDefault="001C7BF9">
      <w:pPr>
        <w:spacing w:before="60"/>
      </w:pPr>
    </w:p>
    <w:p w:rsidR="001C7BF9" w:rsidRPr="00C9680B" w:rsidRDefault="001C7BF9">
      <w:pPr>
        <w:spacing w:before="60"/>
      </w:pPr>
      <w:r w:rsidRPr="00C9680B">
        <w:t xml:space="preserve">Som framgår av tabellen har inget av oppositionspartierna föreslagit någon annan ram än regeringens. </w:t>
      </w:r>
    </w:p>
    <w:p w:rsidR="001C7BF9" w:rsidRPr="00C9680B" w:rsidRDefault="001C7BF9">
      <w:pPr>
        <w:pStyle w:val="R4"/>
      </w:pPr>
      <w:r w:rsidRPr="00C9680B">
        <w:t>Finansutskottets ställningstagande</w:t>
      </w:r>
    </w:p>
    <w:p w:rsidR="001C7BF9" w:rsidRPr="00C9680B" w:rsidRDefault="001C7BF9">
      <w:r w:rsidRPr="00C9680B">
        <w:t>Finansutskottet har tidigare i betänkandet i avsnitten 2.4.3 och 2.6 redovisat sin bedömning av fördelningen av utgifterna på utgiftsområden för budgetåret 2001 och därvid tillstyrkt regeringens förslag till ramar för utgiftsomr</w:t>
      </w:r>
      <w:r w:rsidRPr="00C9680B">
        <w:t>å</w:t>
      </w:r>
      <w:r w:rsidRPr="00C9680B">
        <w:t>dena.</w:t>
      </w:r>
    </w:p>
    <w:p w:rsidR="001C7BF9" w:rsidRPr="00C9680B" w:rsidRDefault="001C7BF9">
      <w:pPr>
        <w:pStyle w:val="Normaltindrag"/>
      </w:pPr>
      <w:r w:rsidRPr="00C9680B">
        <w:t>Finansutskottet tillstyrker således propositionens förslag till ramnivå för utgiftsområde 27 och föreslår att utgiftsramen fastställs till 23 804 miljoner kronor.</w:t>
      </w:r>
    </w:p>
    <w:p w:rsidR="001C7BF9" w:rsidRPr="00C9680B" w:rsidRDefault="001C7BF9">
      <w:pPr>
        <w:pStyle w:val="Rubrik3"/>
        <w:rPr>
          <w:noProof w:val="0"/>
        </w:rPr>
      </w:pPr>
      <w:bookmarkStart w:id="579" w:name="_Toc498157146"/>
      <w:bookmarkStart w:id="580" w:name="_Toc498910826"/>
      <w:r w:rsidRPr="00C9680B">
        <w:rPr>
          <w:noProof w:val="0"/>
        </w:rPr>
        <w:t>4.1.28 Ålderspensionssystemet vid sidan av statsbudgeten</w:t>
      </w:r>
      <w:bookmarkEnd w:id="579"/>
      <w:bookmarkEnd w:id="580"/>
    </w:p>
    <w:p w:rsidR="001C7BF9" w:rsidRPr="00C9680B" w:rsidRDefault="001C7BF9">
      <w:r w:rsidRPr="00C9680B">
        <w:t>Utgifterna omfattar ålderspension i form av allmän tilläggspension (ATP) och ålderspension i form av folkpension till pensionärer som även uppbär ATP. Vidare ingår fr.o.m. 2001 reformerad tilläggspension, inkomstpension och premi</w:t>
      </w:r>
      <w:r w:rsidRPr="00C9680B">
        <w:t>e</w:t>
      </w:r>
      <w:r w:rsidRPr="00C9680B">
        <w:t>pension.</w:t>
      </w:r>
    </w:p>
    <w:p w:rsidR="001C7BF9" w:rsidRPr="00C9680B" w:rsidRDefault="001C7BF9">
      <w:pPr>
        <w:pStyle w:val="Normaltindrag"/>
      </w:pPr>
      <w:r w:rsidRPr="00C9680B">
        <w:t>För 2000 beräknas de totala utgifterna uppgå till 139 949 miljoner kronor.</w:t>
      </w:r>
    </w:p>
    <w:p w:rsidR="001C7BF9" w:rsidRPr="00C9680B" w:rsidRDefault="001C7BF9">
      <w:pPr>
        <w:pStyle w:val="Rubrik4"/>
        <w:rPr>
          <w:noProof w:val="0"/>
        </w:rPr>
      </w:pPr>
      <w:bookmarkStart w:id="581" w:name="_Toc498763658"/>
      <w:bookmarkStart w:id="582" w:name="_Toc498910827"/>
      <w:r w:rsidRPr="00C9680B">
        <w:rPr>
          <w:noProof w:val="0"/>
        </w:rPr>
        <w:t>Budgetpropositionen</w:t>
      </w:r>
      <w:bookmarkEnd w:id="581"/>
      <w:bookmarkEnd w:id="582"/>
    </w:p>
    <w:p w:rsidR="001C7BF9" w:rsidRPr="00C9680B" w:rsidRDefault="001C7BF9">
      <w:r w:rsidRPr="00C9680B">
        <w:t>I budgetpropositionen (avsnitt 7.4) meddelar regeringen att utgifterna för utgiftsområdet ökar för varje år. Detta beror dels på att den genomsnittliga ATP-nivån trendmässigt stiger, dels på prisbasbeloppets utveckling. För närvarande pågår också arbetet med att införa det reformerade ålderspe</w:t>
      </w:r>
      <w:r w:rsidRPr="00C9680B">
        <w:t>n</w:t>
      </w:r>
      <w:r w:rsidRPr="00C9680B">
        <w:t>sionssystemet. Även detta påverkar de prognostiserade utgifterna. Bland annat kommer ATP-pensionen fr.o.m. 2002 att följa inkomstutvecklingen genom följsamhetsindexering i stället för att prisindexeras som hittills. Vidare kommer utgifterna för den bosättningsbaserade delen av folkpensionen till pensionärer som också uppbär tilläggspension att föras från ålderspension</w:t>
      </w:r>
      <w:r w:rsidRPr="00C9680B">
        <w:t>s</w:t>
      </w:r>
      <w:r w:rsidRPr="00C9680B">
        <w:t>systemet vid sidan av statsbudgeten till utgiftsområde 11 fr.o.m. år 2003. Denna överföring av kostnader förklarar trendbrottet i utgiftsutv</w:t>
      </w:r>
      <w:r w:rsidRPr="00C9680B">
        <w:t>ecklingen mellan åren 2002 och 2003.</w:t>
      </w:r>
    </w:p>
    <w:p w:rsidR="001C7BF9" w:rsidRPr="00C9680B" w:rsidRDefault="001C7BF9">
      <w:pPr>
        <w:pStyle w:val="FiU1tabellrubrik2000"/>
        <w:keepNext/>
        <w:keepLines/>
        <w:outlineLvl w:val="0"/>
      </w:pPr>
      <w:r w:rsidRPr="00C9680B">
        <w:t>Ålderspensionssystemet vid sidan av statsbudgeten</w:t>
      </w:r>
    </w:p>
    <w:p w:rsidR="001C7BF9" w:rsidRPr="00C9680B" w:rsidRDefault="001C7BF9">
      <w:pPr>
        <w:pStyle w:val="Tabell"/>
        <w:keepNext/>
        <w:keepLines/>
        <w:spacing w:after="40"/>
        <w:outlineLvl w:val="0"/>
        <w:rPr>
          <w:sz w:val="14"/>
        </w:rPr>
      </w:pPr>
      <w:r w:rsidRPr="00C9680B">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Next/>
              <w:keepLines/>
            </w:pPr>
          </w:p>
        </w:tc>
        <w:tc>
          <w:tcPr>
            <w:tcW w:w="1253" w:type="dxa"/>
            <w:gridSpan w:val="4"/>
            <w:tcBorders>
              <w:top w:val="single" w:sz="6" w:space="0" w:color="000000"/>
            </w:tcBorders>
          </w:tcPr>
          <w:p w:rsidR="001C7BF9" w:rsidRPr="00C9680B" w:rsidRDefault="001C7BF9">
            <w:pPr>
              <w:pStyle w:val="Tabell"/>
              <w:keepNext/>
              <w:keepLines/>
            </w:pPr>
          </w:p>
        </w:tc>
        <w:tc>
          <w:tcPr>
            <w:tcW w:w="1253" w:type="dxa"/>
            <w:gridSpan w:val="4"/>
            <w:tcBorders>
              <w:top w:val="single" w:sz="6" w:space="0" w:color="000000"/>
            </w:tcBorders>
          </w:tcPr>
          <w:p w:rsidR="001C7BF9" w:rsidRPr="00C9680B" w:rsidRDefault="001C7BF9">
            <w:pPr>
              <w:pStyle w:val="Tabell"/>
              <w:keepNext/>
              <w:keepLines/>
              <w:jc w:val="center"/>
            </w:pPr>
          </w:p>
        </w:tc>
        <w:tc>
          <w:tcPr>
            <w:tcW w:w="142" w:type="dxa"/>
            <w:tcBorders>
              <w:top w:val="single" w:sz="6" w:space="0" w:color="000000"/>
            </w:tcBorders>
          </w:tcPr>
          <w:p w:rsidR="001C7BF9" w:rsidRPr="00C9680B" w:rsidRDefault="001C7BF9">
            <w:pPr>
              <w:pStyle w:val="Tabell"/>
              <w:keepNext/>
              <w:keepLines/>
            </w:pPr>
          </w:p>
        </w:tc>
        <w:tc>
          <w:tcPr>
            <w:tcW w:w="1769" w:type="dxa"/>
            <w:gridSpan w:val="4"/>
            <w:tcBorders>
              <w:top w:val="single" w:sz="6" w:space="0" w:color="000000"/>
            </w:tcBorders>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rPr>
          <w:cantSplit/>
          <w:trHeight w:hRule="exact" w:val="200"/>
        </w:trPr>
        <w:tc>
          <w:tcPr>
            <w:tcW w:w="454" w:type="dxa"/>
          </w:tcPr>
          <w:p w:rsidR="001C7BF9" w:rsidRPr="00C9680B" w:rsidRDefault="001C7BF9">
            <w:pPr>
              <w:pStyle w:val="Tabell"/>
              <w:keepNext/>
              <w:keepLines/>
              <w:jc w:val="left"/>
            </w:pPr>
            <w:r w:rsidRPr="00C9680B">
              <w:t>År</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jc w:val="center"/>
            </w:pPr>
            <w:r w:rsidRPr="00C9680B">
              <w:t>Proposi-</w:t>
            </w:r>
          </w:p>
        </w:tc>
        <w:tc>
          <w:tcPr>
            <w:tcW w:w="142" w:type="dxa"/>
          </w:tcPr>
          <w:p w:rsidR="001C7BF9" w:rsidRPr="00C9680B" w:rsidRDefault="001C7BF9">
            <w:pPr>
              <w:pStyle w:val="Tabell"/>
              <w:keepNext/>
              <w:keepLines/>
            </w:pPr>
          </w:p>
        </w:tc>
        <w:tc>
          <w:tcPr>
            <w:tcW w:w="4053" w:type="dxa"/>
            <w:gridSpan w:val="11"/>
            <w:tcBorders>
              <w:bottom w:val="single" w:sz="4" w:space="0" w:color="auto"/>
            </w:tcBorders>
          </w:tcPr>
          <w:p w:rsidR="001C7BF9" w:rsidRPr="00C9680B" w:rsidRDefault="001C7BF9">
            <w:pPr>
              <w:pStyle w:val="Tabell"/>
              <w:keepNext/>
              <w:keepLines/>
            </w:pPr>
            <w:r w:rsidRPr="00C9680B">
              <w:t>Oppositionspartiernas avvikelser från pr</w:t>
            </w:r>
            <w:r w:rsidRPr="00C9680B">
              <w:t>o</w:t>
            </w:r>
            <w:r w:rsidRPr="00C9680B">
              <w:t>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Next/>
              <w:keepLines/>
            </w:pPr>
          </w:p>
        </w:tc>
        <w:tc>
          <w:tcPr>
            <w:tcW w:w="57" w:type="dxa"/>
            <w:tcBorders>
              <w:bottom w:val="single" w:sz="6" w:space="0" w:color="auto"/>
            </w:tcBorders>
          </w:tcPr>
          <w:p w:rsidR="001C7BF9" w:rsidRPr="00C9680B" w:rsidRDefault="001C7BF9">
            <w:pPr>
              <w:pStyle w:val="Tabell"/>
              <w:keepNext/>
              <w:keepLines/>
            </w:pPr>
          </w:p>
        </w:tc>
        <w:tc>
          <w:tcPr>
            <w:tcW w:w="964" w:type="dxa"/>
            <w:gridSpan w:val="2"/>
            <w:tcBorders>
              <w:bottom w:val="single" w:sz="6" w:space="0" w:color="auto"/>
            </w:tcBorders>
          </w:tcPr>
          <w:p w:rsidR="001C7BF9" w:rsidRPr="00C9680B" w:rsidRDefault="001C7BF9">
            <w:pPr>
              <w:pStyle w:val="Tabell"/>
              <w:keepNext/>
              <w:keepLines/>
              <w:jc w:val="left"/>
            </w:pPr>
            <w:r w:rsidRPr="00C9680B">
              <w:t xml:space="preserve">    tionen</w:t>
            </w:r>
          </w:p>
        </w:tc>
        <w:tc>
          <w:tcPr>
            <w:tcW w:w="142" w:type="dxa"/>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80" w:lineRule="auto"/>
              <w:rPr>
                <w:sz w:val="16"/>
              </w:rPr>
            </w:pPr>
          </w:p>
          <w:p w:rsidR="001C7BF9" w:rsidRPr="00C9680B" w:rsidRDefault="001C7BF9">
            <w:pPr>
              <w:pStyle w:val="Tabell"/>
              <w:keepNext/>
              <w:keepLines/>
            </w:pPr>
            <w:r w:rsidRPr="00C9680B">
              <w:t>Moderata sa</w:t>
            </w:r>
            <w:r w:rsidRPr="00C9680B">
              <w:t>m</w:t>
            </w:r>
            <w:r w:rsidRPr="00C9680B">
              <w:t>lings-partiet</w:t>
            </w:r>
          </w:p>
        </w:tc>
        <w:tc>
          <w:tcPr>
            <w:tcW w:w="142" w:type="dxa"/>
            <w:gridSpan w:val="2"/>
            <w:tcBorders>
              <w:bottom w:val="single" w:sz="6" w:space="0" w:color="auto"/>
            </w:tcBorders>
          </w:tcPr>
          <w:p w:rsidR="001C7BF9" w:rsidRPr="00C9680B" w:rsidRDefault="001C7BF9">
            <w:pPr>
              <w:pStyle w:val="Tabell"/>
              <w:keepNext/>
              <w:keepLines/>
            </w:pPr>
          </w:p>
        </w:tc>
        <w:tc>
          <w:tcPr>
            <w:tcW w:w="851" w:type="dxa"/>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Kristd</w:t>
            </w:r>
            <w:r w:rsidRPr="00C9680B">
              <w:t>e</w:t>
            </w:r>
            <w:r w:rsidRPr="00C9680B">
              <w:t>mo-kraterna</w:t>
            </w:r>
          </w:p>
        </w:tc>
        <w:tc>
          <w:tcPr>
            <w:tcW w:w="142" w:type="dxa"/>
            <w:tcBorders>
              <w:bottom w:val="single" w:sz="6" w:space="0" w:color="auto"/>
            </w:tcBorders>
          </w:tcPr>
          <w:p w:rsidR="001C7BF9" w:rsidRPr="00C9680B" w:rsidRDefault="001C7BF9">
            <w:pPr>
              <w:pStyle w:val="Tabell"/>
              <w:keepNext/>
              <w:keepLines/>
              <w:spacing w:before="90"/>
            </w:pPr>
          </w:p>
        </w:tc>
        <w:tc>
          <w:tcPr>
            <w:tcW w:w="792" w:type="dxa"/>
            <w:gridSpan w:val="3"/>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 xml:space="preserve">   Ce</w:t>
            </w:r>
            <w:r w:rsidRPr="00C9680B">
              <w:t>n</w:t>
            </w:r>
            <w:r w:rsidRPr="00C9680B">
              <w:t>ter-</w:t>
            </w:r>
          </w:p>
          <w:p w:rsidR="001C7BF9" w:rsidRPr="00C9680B" w:rsidRDefault="001C7BF9">
            <w:pPr>
              <w:pStyle w:val="Tabell"/>
              <w:keepNext/>
              <w:keepLines/>
            </w:pPr>
            <w:r w:rsidRPr="00C9680B">
              <w:t xml:space="preserve">   Partiet</w:t>
            </w:r>
          </w:p>
        </w:tc>
        <w:tc>
          <w:tcPr>
            <w:tcW w:w="141" w:type="dxa"/>
            <w:tcBorders>
              <w:bottom w:val="single" w:sz="6" w:space="0" w:color="auto"/>
            </w:tcBorders>
          </w:tcPr>
          <w:p w:rsidR="001C7BF9" w:rsidRPr="00C9680B" w:rsidRDefault="001C7BF9">
            <w:pPr>
              <w:pStyle w:val="Tabell"/>
              <w:keepNext/>
              <w:keepLines/>
            </w:pPr>
          </w:p>
        </w:tc>
        <w:tc>
          <w:tcPr>
            <w:tcW w:w="1134" w:type="dxa"/>
            <w:gridSpan w:val="2"/>
            <w:tcBorders>
              <w:bottom w:val="single" w:sz="6" w:space="0" w:color="auto"/>
            </w:tcBorders>
          </w:tcPr>
          <w:p w:rsidR="001C7BF9" w:rsidRPr="00C9680B" w:rsidRDefault="001C7BF9">
            <w:pPr>
              <w:pStyle w:val="Tabell"/>
              <w:keepNext/>
              <w:keepLines/>
              <w:spacing w:line="-80" w:lineRule="auto"/>
            </w:pPr>
          </w:p>
          <w:p w:rsidR="001C7BF9" w:rsidRPr="00C9680B" w:rsidRDefault="001C7BF9">
            <w:pPr>
              <w:pStyle w:val="Tabell"/>
              <w:keepNext/>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Next/>
              <w:keepLines/>
            </w:pP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jc w:val="center"/>
            </w:pP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gridSpan w:val="2"/>
          </w:tcPr>
          <w:p w:rsidR="001C7BF9" w:rsidRPr="00C9680B" w:rsidRDefault="001C7BF9">
            <w:pPr>
              <w:pStyle w:val="Tabell"/>
              <w:keepNext/>
              <w:keepLines/>
            </w:pPr>
          </w:p>
        </w:tc>
        <w:tc>
          <w:tcPr>
            <w:tcW w:w="851" w:type="dxa"/>
          </w:tcPr>
          <w:p w:rsidR="001C7BF9" w:rsidRPr="00C9680B" w:rsidRDefault="001C7BF9">
            <w:pPr>
              <w:pStyle w:val="Tabell"/>
              <w:keepNext/>
              <w:keepLines/>
            </w:pPr>
          </w:p>
        </w:tc>
        <w:tc>
          <w:tcPr>
            <w:tcW w:w="142" w:type="dxa"/>
          </w:tcPr>
          <w:p w:rsidR="001C7BF9" w:rsidRPr="00C9680B" w:rsidRDefault="001C7BF9">
            <w:pPr>
              <w:pStyle w:val="Tabell"/>
              <w:keepNext/>
              <w:keepLines/>
            </w:pPr>
          </w:p>
        </w:tc>
        <w:tc>
          <w:tcPr>
            <w:tcW w:w="792" w:type="dxa"/>
            <w:gridSpan w:val="3"/>
          </w:tcPr>
          <w:p w:rsidR="001C7BF9" w:rsidRPr="00C9680B" w:rsidRDefault="001C7BF9">
            <w:pPr>
              <w:pStyle w:val="Tabell"/>
              <w:keepNext/>
              <w:keepLines/>
              <w:ind w:right="38"/>
              <w:jc w:val="right"/>
            </w:pPr>
          </w:p>
        </w:tc>
        <w:tc>
          <w:tcPr>
            <w:tcW w:w="141" w:type="dxa"/>
          </w:tcPr>
          <w:p w:rsidR="001C7BF9" w:rsidRPr="00C9680B" w:rsidRDefault="001C7BF9">
            <w:pPr>
              <w:pStyle w:val="Tabell"/>
              <w:keepNext/>
              <w:keepLines/>
            </w:pPr>
          </w:p>
        </w:tc>
        <w:tc>
          <w:tcPr>
            <w:tcW w:w="1134" w:type="dxa"/>
            <w:gridSpan w:val="2"/>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Next/>
              <w:keepLines/>
            </w:pPr>
            <w:r w:rsidRPr="00C9680B">
              <w:t>2001</w:t>
            </w:r>
          </w:p>
        </w:tc>
        <w:tc>
          <w:tcPr>
            <w:tcW w:w="57" w:type="dxa"/>
          </w:tcPr>
          <w:p w:rsidR="001C7BF9" w:rsidRPr="00C9680B" w:rsidRDefault="001C7BF9">
            <w:pPr>
              <w:pStyle w:val="Tabell"/>
              <w:keepNext/>
              <w:keepLines/>
            </w:pPr>
          </w:p>
        </w:tc>
        <w:tc>
          <w:tcPr>
            <w:tcW w:w="964" w:type="dxa"/>
            <w:gridSpan w:val="2"/>
          </w:tcPr>
          <w:p w:rsidR="001C7BF9" w:rsidRPr="00C9680B" w:rsidRDefault="001C7BF9">
            <w:pPr>
              <w:pStyle w:val="Tabell"/>
              <w:keepNext/>
              <w:keepLines/>
              <w:ind w:right="199"/>
              <w:jc w:val="right"/>
            </w:pPr>
            <w:r w:rsidRPr="00C9680B">
              <w:t>144 579</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sym w:font="Symbol" w:char="F0B1"/>
            </w:r>
            <w:r w:rsidRPr="00C9680B">
              <w:t>0</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ind w:right="170"/>
              <w:jc w:val="right"/>
            </w:pPr>
            <w:r w:rsidRPr="00C9680B">
              <w:sym w:font="Symbol" w:char="F0B1"/>
            </w:r>
            <w:r w:rsidRPr="00C9680B">
              <w:t>0</w:t>
            </w:r>
          </w:p>
        </w:tc>
        <w:tc>
          <w:tcPr>
            <w:tcW w:w="142" w:type="dxa"/>
          </w:tcPr>
          <w:p w:rsidR="001C7BF9" w:rsidRPr="00C9680B" w:rsidRDefault="001C7BF9">
            <w:pPr>
              <w:pStyle w:val="Tabell"/>
              <w:keepNext/>
              <w:keepLines/>
              <w:ind w:right="170"/>
              <w:jc w:val="right"/>
            </w:pPr>
          </w:p>
        </w:tc>
        <w:tc>
          <w:tcPr>
            <w:tcW w:w="792" w:type="dxa"/>
            <w:gridSpan w:val="3"/>
          </w:tcPr>
          <w:p w:rsidR="001C7BF9" w:rsidRPr="00C9680B" w:rsidRDefault="001C7BF9">
            <w:pPr>
              <w:pStyle w:val="Tabell"/>
              <w:keepNext/>
              <w:keepLines/>
              <w:ind w:right="170"/>
              <w:jc w:val="right"/>
            </w:pPr>
            <w:r w:rsidRPr="00C9680B">
              <w:sym w:font="Symbol" w:char="F0B1"/>
            </w:r>
            <w:r w:rsidRPr="00C9680B">
              <w:t>0</w:t>
            </w:r>
          </w:p>
        </w:tc>
        <w:tc>
          <w:tcPr>
            <w:tcW w:w="141" w:type="dxa"/>
          </w:tcPr>
          <w:p w:rsidR="001C7BF9" w:rsidRPr="00C9680B" w:rsidRDefault="001C7BF9">
            <w:pPr>
              <w:pStyle w:val="Tabell"/>
              <w:keepNext/>
              <w:keepLines/>
              <w:jc w:val="left"/>
            </w:pPr>
          </w:p>
        </w:tc>
        <w:tc>
          <w:tcPr>
            <w:tcW w:w="936" w:type="dxa"/>
          </w:tcPr>
          <w:p w:rsidR="001C7BF9" w:rsidRPr="00C9680B" w:rsidRDefault="001C7BF9">
            <w:pPr>
              <w:pStyle w:val="Tabell"/>
              <w:keepNext/>
              <w:keepLines/>
              <w:ind w:right="170"/>
              <w:jc w:val="right"/>
            </w:pPr>
            <w:r w:rsidRPr="00C9680B">
              <w:sym w:font="Symbol" w:char="F0B1"/>
            </w:r>
            <w:r w:rsidRPr="00C9680B">
              <w:t>0</w:t>
            </w:r>
          </w:p>
        </w:tc>
        <w:tc>
          <w:tcPr>
            <w:tcW w:w="198" w:type="dxa"/>
          </w:tcPr>
          <w:p w:rsidR="001C7BF9" w:rsidRPr="00C9680B" w:rsidRDefault="001C7BF9">
            <w:pPr>
              <w:pStyle w:val="Tabell"/>
              <w:keepNext/>
              <w:keepLines/>
              <w:ind w:right="170"/>
              <w:jc w:val="right"/>
            </w:pPr>
          </w:p>
        </w:tc>
      </w:tr>
      <w:tr w:rsidR="00000000" w:rsidRPr="00C9680B">
        <w:tblPrEx>
          <w:tblCellMar>
            <w:top w:w="0" w:type="dxa"/>
            <w:left w:w="0" w:type="dxa"/>
            <w:bottom w:w="0" w:type="dxa"/>
            <w:right w:w="0" w:type="dxa"/>
          </w:tblCellMar>
        </w:tblPrEx>
        <w:trPr>
          <w:cantSplit/>
        </w:trPr>
        <w:tc>
          <w:tcPr>
            <w:tcW w:w="454" w:type="dxa"/>
          </w:tcPr>
          <w:p w:rsidR="001C7BF9" w:rsidRPr="00C9680B" w:rsidRDefault="001C7BF9">
            <w:pPr>
              <w:pStyle w:val="Tabell"/>
              <w:keepNext/>
              <w:keepLines/>
            </w:pPr>
            <w:r w:rsidRPr="00C9680B">
              <w:t>2002</w:t>
            </w:r>
          </w:p>
        </w:tc>
        <w:tc>
          <w:tcPr>
            <w:tcW w:w="57" w:type="dxa"/>
          </w:tcPr>
          <w:p w:rsidR="001C7BF9" w:rsidRPr="00C9680B" w:rsidRDefault="001C7BF9">
            <w:pPr>
              <w:pStyle w:val="Tabell"/>
              <w:keepNext/>
              <w:keepLines/>
              <w:rPr>
                <w:b/>
              </w:rPr>
            </w:pPr>
          </w:p>
        </w:tc>
        <w:tc>
          <w:tcPr>
            <w:tcW w:w="964" w:type="dxa"/>
            <w:gridSpan w:val="2"/>
          </w:tcPr>
          <w:p w:rsidR="001C7BF9" w:rsidRPr="00C9680B" w:rsidRDefault="001C7BF9">
            <w:pPr>
              <w:pStyle w:val="Tabell"/>
              <w:keepNext/>
              <w:keepLines/>
              <w:ind w:right="199"/>
              <w:jc w:val="right"/>
            </w:pPr>
            <w:r w:rsidRPr="00C9680B">
              <w:t>150 109</w:t>
            </w:r>
          </w:p>
        </w:tc>
        <w:tc>
          <w:tcPr>
            <w:tcW w:w="142" w:type="dxa"/>
          </w:tcPr>
          <w:p w:rsidR="001C7BF9" w:rsidRPr="00C9680B" w:rsidRDefault="001C7BF9">
            <w:pPr>
              <w:pStyle w:val="Tabell"/>
              <w:keepNext/>
              <w:keepLines/>
            </w:pPr>
          </w:p>
        </w:tc>
        <w:tc>
          <w:tcPr>
            <w:tcW w:w="851" w:type="dxa"/>
          </w:tcPr>
          <w:p w:rsidR="001C7BF9" w:rsidRPr="00C9680B" w:rsidRDefault="001C7BF9">
            <w:pPr>
              <w:pStyle w:val="Tabell"/>
              <w:keepNext/>
              <w:keepLines/>
              <w:ind w:right="170"/>
              <w:jc w:val="right"/>
            </w:pPr>
            <w:r w:rsidRPr="00C9680B">
              <w:sym w:font="Symbol" w:char="F0B1"/>
            </w:r>
            <w:r w:rsidRPr="00C9680B">
              <w:t>0</w:t>
            </w:r>
          </w:p>
        </w:tc>
        <w:tc>
          <w:tcPr>
            <w:tcW w:w="142" w:type="dxa"/>
            <w:gridSpan w:val="2"/>
          </w:tcPr>
          <w:p w:rsidR="001C7BF9" w:rsidRPr="00C9680B" w:rsidRDefault="001C7BF9">
            <w:pPr>
              <w:pStyle w:val="Tabell"/>
              <w:keepNext/>
              <w:keepLines/>
              <w:ind w:right="170"/>
              <w:jc w:val="right"/>
            </w:pPr>
          </w:p>
        </w:tc>
        <w:tc>
          <w:tcPr>
            <w:tcW w:w="851" w:type="dxa"/>
          </w:tcPr>
          <w:p w:rsidR="001C7BF9" w:rsidRPr="00C9680B" w:rsidRDefault="001C7BF9">
            <w:pPr>
              <w:pStyle w:val="Tabell"/>
              <w:keepNext/>
              <w:keepLines/>
              <w:ind w:right="170"/>
              <w:jc w:val="right"/>
            </w:pPr>
            <w:r w:rsidRPr="00C9680B">
              <w:sym w:font="Symbol" w:char="F0B1"/>
            </w:r>
            <w:r w:rsidRPr="00C9680B">
              <w:t>0</w:t>
            </w:r>
          </w:p>
        </w:tc>
        <w:tc>
          <w:tcPr>
            <w:tcW w:w="142" w:type="dxa"/>
          </w:tcPr>
          <w:p w:rsidR="001C7BF9" w:rsidRPr="00C9680B" w:rsidRDefault="001C7BF9">
            <w:pPr>
              <w:pStyle w:val="Tabell"/>
              <w:keepNext/>
              <w:keepLines/>
              <w:ind w:right="170"/>
              <w:jc w:val="right"/>
            </w:pPr>
          </w:p>
        </w:tc>
        <w:tc>
          <w:tcPr>
            <w:tcW w:w="792" w:type="dxa"/>
            <w:gridSpan w:val="3"/>
          </w:tcPr>
          <w:p w:rsidR="001C7BF9" w:rsidRPr="00C9680B" w:rsidRDefault="001C7BF9">
            <w:pPr>
              <w:pStyle w:val="Tabell"/>
              <w:keepNext/>
              <w:keepLines/>
              <w:ind w:right="170"/>
              <w:jc w:val="right"/>
            </w:pPr>
            <w:r w:rsidRPr="00C9680B">
              <w:sym w:font="Symbol" w:char="F0B1"/>
            </w:r>
            <w:r w:rsidRPr="00C9680B">
              <w:t>0</w:t>
            </w:r>
          </w:p>
        </w:tc>
        <w:tc>
          <w:tcPr>
            <w:tcW w:w="141" w:type="dxa"/>
          </w:tcPr>
          <w:p w:rsidR="001C7BF9" w:rsidRPr="00C9680B" w:rsidRDefault="001C7BF9">
            <w:pPr>
              <w:pStyle w:val="Tabell"/>
              <w:keepNext/>
              <w:keepLines/>
              <w:jc w:val="left"/>
            </w:pPr>
          </w:p>
        </w:tc>
        <w:tc>
          <w:tcPr>
            <w:tcW w:w="936" w:type="dxa"/>
          </w:tcPr>
          <w:p w:rsidR="001C7BF9" w:rsidRPr="00C9680B" w:rsidRDefault="001C7BF9">
            <w:pPr>
              <w:pStyle w:val="Tabell"/>
              <w:keepNext/>
              <w:keepLines/>
              <w:ind w:right="170"/>
              <w:jc w:val="right"/>
            </w:pPr>
            <w:r w:rsidRPr="00C9680B">
              <w:sym w:font="Symbol" w:char="F0B1"/>
            </w:r>
            <w:r w:rsidRPr="00C9680B">
              <w:t>0</w:t>
            </w:r>
          </w:p>
        </w:tc>
        <w:tc>
          <w:tcPr>
            <w:tcW w:w="198" w:type="dxa"/>
          </w:tcPr>
          <w:p w:rsidR="001C7BF9" w:rsidRPr="00C9680B" w:rsidRDefault="001C7BF9">
            <w:pPr>
              <w:pStyle w:val="Tabell"/>
              <w:keepNext/>
              <w:keepLines/>
              <w:ind w:right="170"/>
              <w:jc w:val="right"/>
            </w:pPr>
          </w:p>
        </w:tc>
      </w:tr>
      <w:tr w:rsidR="00000000" w:rsidRPr="00C9680B">
        <w:tblPrEx>
          <w:tblCellMar>
            <w:top w:w="0" w:type="dxa"/>
            <w:left w:w="0" w:type="dxa"/>
            <w:bottom w:w="0" w:type="dxa"/>
            <w:right w:w="0" w:type="dxa"/>
          </w:tblCellMar>
        </w:tblPrEx>
        <w:trPr>
          <w:cantSplit/>
          <w:trHeight w:hRule="exact" w:val="260"/>
        </w:trPr>
        <w:tc>
          <w:tcPr>
            <w:tcW w:w="454" w:type="dxa"/>
            <w:tcBorders>
              <w:bottom w:val="single" w:sz="6" w:space="0" w:color="auto"/>
            </w:tcBorders>
          </w:tcPr>
          <w:p w:rsidR="001C7BF9" w:rsidRPr="00C9680B" w:rsidRDefault="001C7BF9">
            <w:pPr>
              <w:pStyle w:val="Tabell"/>
              <w:keepNext/>
              <w:keepLines/>
              <w:spacing w:after="40"/>
            </w:pPr>
            <w:r w:rsidRPr="00C9680B">
              <w:t>2003</w:t>
            </w:r>
          </w:p>
        </w:tc>
        <w:tc>
          <w:tcPr>
            <w:tcW w:w="57" w:type="dxa"/>
            <w:tcBorders>
              <w:bottom w:val="single" w:sz="6" w:space="0" w:color="auto"/>
            </w:tcBorders>
          </w:tcPr>
          <w:p w:rsidR="001C7BF9" w:rsidRPr="00C9680B" w:rsidRDefault="001C7BF9">
            <w:pPr>
              <w:pStyle w:val="Tabell"/>
              <w:keepNext/>
              <w:keepLines/>
              <w:spacing w:after="40"/>
              <w:rPr>
                <w:b/>
              </w:rPr>
            </w:pPr>
          </w:p>
        </w:tc>
        <w:tc>
          <w:tcPr>
            <w:tcW w:w="964" w:type="dxa"/>
            <w:gridSpan w:val="2"/>
            <w:tcBorders>
              <w:bottom w:val="single" w:sz="6" w:space="0" w:color="auto"/>
            </w:tcBorders>
          </w:tcPr>
          <w:p w:rsidR="001C7BF9" w:rsidRPr="00C9680B" w:rsidRDefault="001C7BF9">
            <w:pPr>
              <w:pStyle w:val="Tabell"/>
              <w:keepNext/>
              <w:keepLines/>
              <w:spacing w:after="40"/>
              <w:ind w:right="199"/>
              <w:jc w:val="right"/>
            </w:pPr>
            <w:r w:rsidRPr="00C9680B">
              <w:t>149 462</w:t>
            </w:r>
          </w:p>
        </w:tc>
        <w:tc>
          <w:tcPr>
            <w:tcW w:w="142" w:type="dxa"/>
            <w:tcBorders>
              <w:bottom w:val="single" w:sz="6" w:space="0" w:color="auto"/>
            </w:tcBorders>
          </w:tcPr>
          <w:p w:rsidR="001C7BF9" w:rsidRPr="00C9680B" w:rsidRDefault="001C7BF9">
            <w:pPr>
              <w:pStyle w:val="Tabell"/>
              <w:keepNext/>
              <w:keepLines/>
              <w:spacing w:after="40"/>
            </w:pPr>
          </w:p>
        </w:tc>
        <w:tc>
          <w:tcPr>
            <w:tcW w:w="851" w:type="dxa"/>
            <w:tcBorders>
              <w:bottom w:val="single" w:sz="6" w:space="0" w:color="auto"/>
            </w:tcBorders>
          </w:tcPr>
          <w:p w:rsidR="001C7BF9" w:rsidRPr="00C9680B" w:rsidRDefault="001C7BF9">
            <w:pPr>
              <w:pStyle w:val="Tabell"/>
              <w:keepNext/>
              <w:keepLines/>
              <w:spacing w:after="40"/>
              <w:ind w:right="170"/>
              <w:jc w:val="right"/>
            </w:pPr>
            <w:r w:rsidRPr="00C9680B">
              <w:sym w:font="Symbol" w:char="F0B1"/>
            </w:r>
            <w:r w:rsidRPr="00C9680B">
              <w:t>0</w:t>
            </w:r>
          </w:p>
        </w:tc>
        <w:tc>
          <w:tcPr>
            <w:tcW w:w="142" w:type="dxa"/>
            <w:gridSpan w:val="2"/>
            <w:tcBorders>
              <w:bottom w:val="single" w:sz="6" w:space="0" w:color="auto"/>
            </w:tcBorders>
          </w:tcPr>
          <w:p w:rsidR="001C7BF9" w:rsidRPr="00C9680B" w:rsidRDefault="001C7BF9">
            <w:pPr>
              <w:pStyle w:val="Tabell"/>
              <w:keepNext/>
              <w:keepLines/>
              <w:spacing w:after="40"/>
              <w:ind w:right="170"/>
              <w:jc w:val="right"/>
            </w:pPr>
          </w:p>
        </w:tc>
        <w:tc>
          <w:tcPr>
            <w:tcW w:w="851" w:type="dxa"/>
            <w:tcBorders>
              <w:bottom w:val="single" w:sz="6" w:space="0" w:color="auto"/>
            </w:tcBorders>
          </w:tcPr>
          <w:p w:rsidR="001C7BF9" w:rsidRPr="00C9680B" w:rsidRDefault="001C7BF9">
            <w:pPr>
              <w:pStyle w:val="Tabell"/>
              <w:keepNext/>
              <w:keepLines/>
              <w:spacing w:after="40"/>
              <w:ind w:right="170"/>
              <w:jc w:val="right"/>
            </w:pPr>
            <w:r w:rsidRPr="00C9680B">
              <w:sym w:font="Symbol" w:char="F0B1"/>
            </w:r>
            <w:r w:rsidRPr="00C9680B">
              <w:t>0</w:t>
            </w:r>
          </w:p>
        </w:tc>
        <w:tc>
          <w:tcPr>
            <w:tcW w:w="142" w:type="dxa"/>
            <w:tcBorders>
              <w:bottom w:val="single" w:sz="6" w:space="0" w:color="auto"/>
            </w:tcBorders>
          </w:tcPr>
          <w:p w:rsidR="001C7BF9" w:rsidRPr="00C9680B" w:rsidRDefault="001C7BF9">
            <w:pPr>
              <w:pStyle w:val="Tabell"/>
              <w:keepNext/>
              <w:keepLines/>
              <w:spacing w:after="40"/>
              <w:ind w:right="170"/>
              <w:jc w:val="right"/>
            </w:pPr>
          </w:p>
        </w:tc>
        <w:tc>
          <w:tcPr>
            <w:tcW w:w="792" w:type="dxa"/>
            <w:gridSpan w:val="3"/>
            <w:tcBorders>
              <w:bottom w:val="single" w:sz="6" w:space="0" w:color="auto"/>
            </w:tcBorders>
          </w:tcPr>
          <w:p w:rsidR="001C7BF9" w:rsidRPr="00C9680B" w:rsidRDefault="001C7BF9">
            <w:pPr>
              <w:pStyle w:val="Tabell"/>
              <w:keepNext/>
              <w:keepLines/>
              <w:spacing w:after="40"/>
              <w:ind w:right="170"/>
              <w:jc w:val="right"/>
            </w:pPr>
            <w:r w:rsidRPr="00C9680B">
              <w:sym w:font="Symbol" w:char="F0B1"/>
            </w:r>
            <w:r w:rsidRPr="00C9680B">
              <w:t>0</w:t>
            </w:r>
          </w:p>
        </w:tc>
        <w:tc>
          <w:tcPr>
            <w:tcW w:w="141" w:type="dxa"/>
            <w:tcBorders>
              <w:bottom w:val="single" w:sz="6" w:space="0" w:color="auto"/>
            </w:tcBorders>
          </w:tcPr>
          <w:p w:rsidR="001C7BF9" w:rsidRPr="00C9680B" w:rsidRDefault="001C7BF9">
            <w:pPr>
              <w:pStyle w:val="Tabell"/>
              <w:keepNext/>
              <w:keepLines/>
              <w:spacing w:after="40"/>
              <w:jc w:val="left"/>
            </w:pPr>
          </w:p>
        </w:tc>
        <w:tc>
          <w:tcPr>
            <w:tcW w:w="936" w:type="dxa"/>
            <w:tcBorders>
              <w:bottom w:val="single" w:sz="6" w:space="0" w:color="auto"/>
            </w:tcBorders>
          </w:tcPr>
          <w:p w:rsidR="001C7BF9" w:rsidRPr="00C9680B" w:rsidRDefault="001C7BF9">
            <w:pPr>
              <w:pStyle w:val="Tabell"/>
              <w:keepNext/>
              <w:keepLines/>
              <w:spacing w:after="40"/>
              <w:ind w:right="170"/>
              <w:jc w:val="right"/>
            </w:pPr>
            <w:r w:rsidRPr="00C9680B">
              <w:sym w:font="Symbol" w:char="F0B1"/>
            </w:r>
            <w:r w:rsidRPr="00C9680B">
              <w:t>0</w:t>
            </w:r>
          </w:p>
        </w:tc>
        <w:tc>
          <w:tcPr>
            <w:tcW w:w="198" w:type="dxa"/>
            <w:tcBorders>
              <w:bottom w:val="single" w:sz="6" w:space="0" w:color="auto"/>
            </w:tcBorders>
          </w:tcPr>
          <w:p w:rsidR="001C7BF9" w:rsidRPr="00C9680B" w:rsidRDefault="001C7BF9">
            <w:pPr>
              <w:pStyle w:val="Tabell"/>
              <w:keepNext/>
              <w:keepLines/>
              <w:spacing w:after="40"/>
              <w:ind w:right="170"/>
              <w:jc w:val="right"/>
            </w:pPr>
          </w:p>
        </w:tc>
      </w:tr>
    </w:tbl>
    <w:p w:rsidR="001C7BF9" w:rsidRPr="00C9680B" w:rsidRDefault="001C7BF9">
      <w:pPr>
        <w:pStyle w:val="Deltagare"/>
        <w:keepNext/>
        <w:spacing w:before="62" w:line="250" w:lineRule="atLeast"/>
        <w:rPr>
          <w:noProof w:val="0"/>
        </w:rPr>
      </w:pPr>
    </w:p>
    <w:p w:rsidR="001C7BF9" w:rsidRPr="00C9680B" w:rsidRDefault="001C7BF9">
      <w:r w:rsidRPr="00C9680B">
        <w:t>Som framgår av tabellen har inget av oppositionspartierna föreslagit någon annan ram än vad regeringen föreslagit.</w:t>
      </w:r>
    </w:p>
    <w:p w:rsidR="001C7BF9" w:rsidRPr="00C9680B" w:rsidRDefault="001C7BF9">
      <w:pPr>
        <w:pStyle w:val="Rubrik4"/>
        <w:rPr>
          <w:noProof w:val="0"/>
        </w:rPr>
      </w:pPr>
      <w:bookmarkStart w:id="583" w:name="_Toc498763659"/>
      <w:bookmarkStart w:id="584" w:name="_Toc498910828"/>
      <w:r w:rsidRPr="00C9680B">
        <w:rPr>
          <w:noProof w:val="0"/>
        </w:rPr>
        <w:t>Socialförsäkringsutskottets yttrande</w:t>
      </w:r>
      <w:bookmarkEnd w:id="583"/>
      <w:bookmarkEnd w:id="584"/>
    </w:p>
    <w:p w:rsidR="001C7BF9" w:rsidRPr="00C9680B" w:rsidRDefault="001C7BF9">
      <w:r w:rsidRPr="00C9680B">
        <w:t>Socialförsäkringsutskottet konstaterar i sitt yttrande (SfU1y) att regeringens beräkningar inte har föranlett några motionsyrkanden. Utskottet har inte haft något att erinra mot dessa beräkningar.</w:t>
      </w:r>
    </w:p>
    <w:p w:rsidR="001C7BF9" w:rsidRPr="00C9680B" w:rsidRDefault="001C7BF9">
      <w:pPr>
        <w:pStyle w:val="Rubrik4"/>
        <w:rPr>
          <w:noProof w:val="0"/>
        </w:rPr>
      </w:pPr>
      <w:bookmarkStart w:id="585" w:name="_Toc498763660"/>
      <w:bookmarkStart w:id="586" w:name="_Toc498910829"/>
      <w:r w:rsidRPr="00C9680B">
        <w:rPr>
          <w:noProof w:val="0"/>
        </w:rPr>
        <w:t>Finansutskottets ställningstagande</w:t>
      </w:r>
      <w:bookmarkEnd w:id="585"/>
      <w:bookmarkEnd w:id="586"/>
    </w:p>
    <w:p w:rsidR="001C7BF9" w:rsidRPr="00C9680B" w:rsidRDefault="001C7BF9">
      <w:r w:rsidRPr="00C9680B">
        <w:t>Finansutskottet har tidigare i betänkandet (avsnitten 2.4.3 och 2.6) redovisat sin bedömning av medelsberäkningen på området för budgetåret 2001 och därvid tillstyrkt regeringens förslag.</w:t>
      </w:r>
    </w:p>
    <w:p w:rsidR="001C7BF9" w:rsidRPr="00C9680B" w:rsidRDefault="001C7BF9">
      <w:pPr>
        <w:pStyle w:val="Normaltindrag"/>
      </w:pPr>
      <w:r w:rsidRPr="00C9680B">
        <w:t>Finansutskottet tillstyrker således i likhet med socialförsäkringsutskottet propositionens förslag till ramnivå för ålderspensionssystemet vid sidan av statsbudgeten och föreslår att ramen för området fastställs till 144 579 milj</w:t>
      </w:r>
      <w:r w:rsidRPr="00C9680B">
        <w:t>o</w:t>
      </w:r>
      <w:r w:rsidRPr="00C9680B">
        <w:t>ner kronor.</w:t>
      </w:r>
    </w:p>
    <w:p w:rsidR="001C7BF9" w:rsidRPr="00C9680B" w:rsidRDefault="001C7BF9">
      <w:pPr>
        <w:pStyle w:val="Rubrik2"/>
      </w:pPr>
      <w:bookmarkStart w:id="587" w:name="_Toc498157147"/>
      <w:bookmarkStart w:id="588" w:name="_Toc498910830"/>
      <w:r w:rsidRPr="00C9680B">
        <w:t>4.2 Preliminär fördelning av utgifterna på utgiftsområden för åren 2002 och 2003</w:t>
      </w:r>
      <w:bookmarkEnd w:id="587"/>
      <w:bookmarkEnd w:id="588"/>
    </w:p>
    <w:p w:rsidR="001C7BF9" w:rsidRPr="00C9680B" w:rsidRDefault="001C7BF9">
      <w:pPr>
        <w:pStyle w:val="Utskottsfrslagikorthet-Rubrik"/>
        <w:outlineLvl w:val="0"/>
        <w:rPr>
          <w:noProof w:val="0"/>
        </w:rPr>
      </w:pPr>
      <w:r w:rsidRPr="00C9680B">
        <w:rPr>
          <w:noProof w:val="0"/>
        </w:rPr>
        <w:t>Utskottets förslag i korthet</w:t>
      </w:r>
    </w:p>
    <w:p w:rsidR="001C7BF9" w:rsidRPr="00C9680B" w:rsidRDefault="001C7BF9">
      <w:pPr>
        <w:pStyle w:val="Utskottsfrslagikorthet-Text"/>
      </w:pPr>
      <w:r w:rsidRPr="00C9680B">
        <w:t>Riksdagen godkänner regeringens förslag till preliminär fördelning av utgifterna på utgiftsområden för åren 2002 och 2003. Därmed avstyrks motsvarande förslag som framförts motionsvis. Jämför r</w:t>
      </w:r>
      <w:r w:rsidRPr="00C9680B">
        <w:t>e</w:t>
      </w:r>
      <w:r w:rsidRPr="00C9680B">
        <w:t>servationerna 12 (m), 13 kd), 14 (c) och 15 (fp).</w:t>
      </w:r>
    </w:p>
    <w:p w:rsidR="001C7BF9" w:rsidRPr="00C9680B" w:rsidRDefault="001C7BF9">
      <w:pPr>
        <w:pStyle w:val="Rubrik4"/>
        <w:spacing w:before="240"/>
        <w:rPr>
          <w:noProof w:val="0"/>
        </w:rPr>
      </w:pPr>
      <w:bookmarkStart w:id="589" w:name="_Toc498763662"/>
      <w:bookmarkStart w:id="590" w:name="_Toc498910831"/>
      <w:r w:rsidRPr="00C9680B">
        <w:rPr>
          <w:noProof w:val="0"/>
        </w:rPr>
        <w:t>Budgetpropositionen</w:t>
      </w:r>
      <w:bookmarkEnd w:id="589"/>
      <w:bookmarkEnd w:id="590"/>
    </w:p>
    <w:p w:rsidR="001C7BF9" w:rsidRPr="00C9680B" w:rsidRDefault="001C7BF9">
      <w:r w:rsidRPr="00C9680B">
        <w:t>Regeringen föreslår att riksdagen skall godkänna den preliminära fördelning av utgifterna på utgiftsområden för 2002 och 2003 som finns återgiven i propositi</w:t>
      </w:r>
      <w:r w:rsidRPr="00C9680B">
        <w:t>o</w:t>
      </w:r>
      <w:r w:rsidRPr="00C9680B">
        <w:t>nen (yrkande 10). Fördelningen framgår av efterföljande tabell.</w:t>
      </w:r>
    </w:p>
    <w:p w:rsidR="001C7BF9" w:rsidRPr="00C9680B" w:rsidRDefault="001C7BF9">
      <w:pPr>
        <w:pStyle w:val="FiU1tabellrubrik2000"/>
        <w:spacing w:before="200"/>
        <w:outlineLvl w:val="0"/>
      </w:pPr>
      <w:r w:rsidRPr="00C9680B">
        <w:t>Regeringens förslag till utgiftsramar för åren 2002 och 2003</w:t>
      </w:r>
    </w:p>
    <w:p w:rsidR="001C7BF9" w:rsidRPr="00C9680B" w:rsidRDefault="001C7BF9">
      <w:pPr>
        <w:pStyle w:val="Tabell"/>
        <w:spacing w:after="40"/>
        <w:outlineLvl w:val="0"/>
        <w:rPr>
          <w:sz w:val="14"/>
        </w:rPr>
      </w:pPr>
      <w:r w:rsidRPr="00C9680B">
        <w:rPr>
          <w:sz w:val="14"/>
        </w:rPr>
        <w:t>Belopp i miljoner kronor</w:t>
      </w:r>
    </w:p>
    <w:tbl>
      <w:tblPr>
        <w:tblW w:w="0" w:type="auto"/>
        <w:tblInd w:w="-30" w:type="dxa"/>
        <w:tblLayout w:type="fixed"/>
        <w:tblCellMar>
          <w:left w:w="30" w:type="dxa"/>
          <w:right w:w="30" w:type="dxa"/>
        </w:tblCellMar>
        <w:tblLook w:val="0000" w:firstRow="0" w:lastRow="0" w:firstColumn="0" w:lastColumn="0" w:noHBand="0" w:noVBand="0"/>
      </w:tblPr>
      <w:tblGrid>
        <w:gridCol w:w="1"/>
        <w:gridCol w:w="419"/>
        <w:gridCol w:w="3579"/>
        <w:gridCol w:w="993"/>
        <w:gridCol w:w="992"/>
      </w:tblGrid>
      <w:tr w:rsidR="00000000" w:rsidRPr="00C9680B">
        <w:tblPrEx>
          <w:tblCellMar>
            <w:top w:w="0" w:type="dxa"/>
            <w:bottom w:w="0" w:type="dxa"/>
          </w:tblCellMar>
        </w:tblPrEx>
        <w:trPr>
          <w:trHeight w:val="254"/>
        </w:trPr>
        <w:tc>
          <w:tcPr>
            <w:tcW w:w="3999" w:type="dxa"/>
            <w:hMerge w:val="restart"/>
            <w:tcBorders>
              <w:top w:val="single" w:sz="4" w:space="0" w:color="auto"/>
              <w:bottom w:val="single" w:sz="6" w:space="0" w:color="auto"/>
            </w:tcBorders>
          </w:tcPr>
          <w:p w:rsidR="001C7BF9" w:rsidRPr="00C9680B" w:rsidRDefault="001C7BF9">
            <w:pPr>
              <w:spacing w:before="60" w:line="240" w:lineRule="auto"/>
              <w:rPr>
                <w:b/>
                <w:snapToGrid w:val="0"/>
                <w:color w:val="000000"/>
                <w:sz w:val="16"/>
                <w:lang w:eastAsia="sv-SE"/>
              </w:rPr>
            </w:pPr>
            <w:r w:rsidRPr="00C9680B">
              <w:rPr>
                <w:b/>
                <w:snapToGrid w:val="0"/>
                <w:color w:val="000000"/>
                <w:sz w:val="16"/>
                <w:lang w:eastAsia="sv-SE"/>
              </w:rPr>
              <w:t>Utgiftsområde</w:t>
            </w:r>
          </w:p>
        </w:tc>
        <w:tc>
          <w:tcPr>
            <w:gridSpan w:val="2"/>
            <w:hMerge/>
            <w:tcBorders>
              <w:top w:val="single" w:sz="4" w:space="0" w:color="auto"/>
              <w:bottom w:val="single" w:sz="6" w:space="0" w:color="auto"/>
            </w:tcBorders>
          </w:tcPr>
          <w:p w:rsidR="001C7BF9" w:rsidRPr="00C9680B" w:rsidRDefault="001C7BF9">
            <w:pPr>
              <w:spacing w:before="60" w:line="240" w:lineRule="auto"/>
              <w:jc w:val="right"/>
              <w:rPr>
                <w:snapToGrid w:val="0"/>
                <w:color w:val="000000"/>
                <w:sz w:val="16"/>
                <w:lang w:eastAsia="sv-SE"/>
              </w:rPr>
            </w:pPr>
          </w:p>
        </w:tc>
        <w:tc>
          <w:tcPr>
            <w:tcW w:w="993" w:type="dxa"/>
            <w:tcBorders>
              <w:top w:val="single" w:sz="4" w:space="0" w:color="auto"/>
              <w:bottom w:val="single" w:sz="6" w:space="0" w:color="auto"/>
            </w:tcBorders>
          </w:tcPr>
          <w:p w:rsidR="001C7BF9" w:rsidRPr="00C9680B" w:rsidRDefault="001C7BF9">
            <w:pPr>
              <w:spacing w:before="60" w:line="240" w:lineRule="auto"/>
              <w:jc w:val="right"/>
              <w:rPr>
                <w:b/>
                <w:snapToGrid w:val="0"/>
                <w:color w:val="000000"/>
                <w:sz w:val="16"/>
                <w:lang w:eastAsia="sv-SE"/>
              </w:rPr>
            </w:pPr>
            <w:r w:rsidRPr="00C9680B">
              <w:rPr>
                <w:b/>
                <w:snapToGrid w:val="0"/>
                <w:color w:val="000000"/>
                <w:sz w:val="16"/>
                <w:lang w:eastAsia="sv-SE"/>
              </w:rPr>
              <w:t>2002</w:t>
            </w:r>
          </w:p>
        </w:tc>
        <w:tc>
          <w:tcPr>
            <w:tcW w:w="992" w:type="dxa"/>
            <w:tcBorders>
              <w:top w:val="single" w:sz="4" w:space="0" w:color="auto"/>
              <w:bottom w:val="single" w:sz="6" w:space="0" w:color="auto"/>
            </w:tcBorders>
          </w:tcPr>
          <w:p w:rsidR="001C7BF9" w:rsidRPr="00C9680B" w:rsidRDefault="001C7BF9">
            <w:pPr>
              <w:spacing w:before="60" w:line="240" w:lineRule="auto"/>
              <w:jc w:val="right"/>
              <w:rPr>
                <w:b/>
                <w:snapToGrid w:val="0"/>
                <w:color w:val="000000"/>
                <w:sz w:val="16"/>
                <w:lang w:eastAsia="sv-SE"/>
              </w:rPr>
            </w:pPr>
            <w:r w:rsidRPr="00C9680B">
              <w:rPr>
                <w:b/>
                <w:snapToGrid w:val="0"/>
                <w:color w:val="000000"/>
                <w:sz w:val="16"/>
                <w:lang w:eastAsia="sv-SE"/>
              </w:rPr>
              <w:t>2003</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b/>
                <w:snapToGrid w:val="0"/>
                <w:color w:val="000000"/>
                <w:sz w:val="16"/>
                <w:lang w:eastAsia="sv-SE"/>
              </w:rPr>
            </w:pPr>
          </w:p>
        </w:tc>
        <w:tc>
          <w:tcPr>
            <w:tcW w:w="3579" w:type="dxa"/>
          </w:tcPr>
          <w:p w:rsidR="001C7BF9" w:rsidRPr="00C9680B" w:rsidRDefault="001C7BF9">
            <w:pPr>
              <w:spacing w:line="240" w:lineRule="auto"/>
              <w:jc w:val="right"/>
              <w:rPr>
                <w:snapToGrid w:val="0"/>
                <w:color w:val="000000"/>
                <w:sz w:val="16"/>
                <w:lang w:eastAsia="sv-SE"/>
              </w:rPr>
            </w:pPr>
          </w:p>
        </w:tc>
        <w:tc>
          <w:tcPr>
            <w:tcW w:w="993" w:type="dxa"/>
          </w:tcPr>
          <w:p w:rsidR="001C7BF9" w:rsidRPr="00C9680B" w:rsidRDefault="001C7BF9">
            <w:pPr>
              <w:spacing w:line="240" w:lineRule="auto"/>
              <w:jc w:val="right"/>
              <w:rPr>
                <w:b/>
                <w:snapToGrid w:val="0"/>
                <w:color w:val="000000"/>
                <w:sz w:val="16"/>
                <w:lang w:eastAsia="sv-SE"/>
              </w:rPr>
            </w:pPr>
          </w:p>
        </w:tc>
        <w:tc>
          <w:tcPr>
            <w:tcW w:w="992" w:type="dxa"/>
          </w:tcPr>
          <w:p w:rsidR="001C7BF9" w:rsidRPr="00C9680B" w:rsidRDefault="001C7BF9">
            <w:pPr>
              <w:spacing w:line="240" w:lineRule="auto"/>
              <w:jc w:val="right"/>
              <w:rPr>
                <w:b/>
                <w:snapToGrid w:val="0"/>
                <w:color w:val="000000"/>
                <w:sz w:val="16"/>
                <w:lang w:eastAsia="sv-SE"/>
              </w:rPr>
            </w:pP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Rikets styrelse</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5 135</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5 021</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Samhällsekonomi och finansförvaltning</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1 372</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1 339</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3</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Skatteförvaltning och uppbörd</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6 338</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6 483</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4</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Rättsväsendet</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25 082</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25 726</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5</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Utrikesförvaltning och internationell samverkan</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2 881</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2 926</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6</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Totalförsvar</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45 508</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44 513</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7</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Internationellt bistånd</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15 570</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18 185</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8</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Invandrare och flyktingar</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4 683</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4 717</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9</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Hälsovård, sjukvård och social omsorg</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30 309</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31 896</w:t>
            </w:r>
          </w:p>
        </w:tc>
      </w:tr>
      <w:tr w:rsidR="00000000" w:rsidRPr="00C9680B">
        <w:tblPrEx>
          <w:tblCellMar>
            <w:top w:w="0" w:type="dxa"/>
            <w:bottom w:w="0" w:type="dxa"/>
          </w:tblCellMar>
        </w:tblPrEx>
        <w:trPr>
          <w:trHeight w:val="509"/>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10</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Ekonomisk trygghet vid sjukdom och handikapp</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104 402</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107 345</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11</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Ekonomisk trygghet vid ålderdom</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33 150</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50 904</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12</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Ekonomisk trygghet för familjer och barn</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48 930</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50 756</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13</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 xml:space="preserve">Arbetsmarknad </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61 429</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61 467</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14</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Arbetsliv</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8 466</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8 437</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15</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Studiestöd</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24 365</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24 727</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16</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Utbildning och universitetsforskning</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40 751</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43 202</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17</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Kultur, medier, trossamfund och fritid</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7 965</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8 092</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18</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Samhällsplanering, bostadsförsörjning och by</w:t>
            </w:r>
            <w:r w:rsidRPr="00C9680B">
              <w:rPr>
                <w:snapToGrid w:val="0"/>
                <w:color w:val="000000"/>
                <w:sz w:val="16"/>
                <w:lang w:eastAsia="sv-SE"/>
              </w:rPr>
              <w:t>g</w:t>
            </w:r>
            <w:r w:rsidRPr="00C9680B">
              <w:rPr>
                <w:snapToGrid w:val="0"/>
                <w:color w:val="000000"/>
                <w:sz w:val="16"/>
                <w:lang w:eastAsia="sv-SE"/>
              </w:rPr>
              <w:t>gande</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11 012</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10 613</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19</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Regional utjämning och utveckling</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3 352</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3 451</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20</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Allmän miljö- och naturvård</w:t>
            </w:r>
          </w:p>
          <w:p w:rsidR="001C7BF9" w:rsidRPr="00C9680B" w:rsidRDefault="001C7BF9">
            <w:pPr>
              <w:pStyle w:val="Normaltindrag"/>
            </w:pP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2 409</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2 593</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21</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Energi</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2 085</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1 304</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22</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Kommunikationer</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24 902</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25 894</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23</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Jord- och skogsbruk, fiske med anslutande n</w:t>
            </w:r>
            <w:r w:rsidRPr="00C9680B">
              <w:rPr>
                <w:snapToGrid w:val="0"/>
                <w:color w:val="000000"/>
                <w:sz w:val="16"/>
                <w:lang w:eastAsia="sv-SE"/>
              </w:rPr>
              <w:t>ä</w:t>
            </w:r>
            <w:r w:rsidRPr="00C9680B">
              <w:rPr>
                <w:snapToGrid w:val="0"/>
                <w:color w:val="000000"/>
                <w:sz w:val="16"/>
                <w:lang w:eastAsia="sv-SE"/>
              </w:rPr>
              <w:t>ringar</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13 883</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13 967</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24</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Näringsliv</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3 283</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3 254</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25</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Allmänna bidrag till kommuner</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99 338</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92 196</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26</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Statsskuldsräntor m.m.</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65 355</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58 120</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27</w:t>
            </w: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Avgiften till Europeiska gemenskapen</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23 633</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24 330</w:t>
            </w:r>
          </w:p>
        </w:tc>
      </w:tr>
      <w:tr w:rsidR="00000000" w:rsidRPr="00C9680B">
        <w:tblPrEx>
          <w:tblCellMar>
            <w:top w:w="0" w:type="dxa"/>
            <w:bottom w:w="0" w:type="dxa"/>
          </w:tblCellMar>
        </w:tblPrEx>
        <w:trPr>
          <w:trHeight w:val="254"/>
        </w:trPr>
        <w:tc>
          <w:tcPr>
            <w:tcW w:w="420" w:type="dxa"/>
            <w:gridSpan w:val="2"/>
          </w:tcPr>
          <w:p w:rsidR="001C7BF9" w:rsidRPr="00C9680B" w:rsidRDefault="001C7BF9">
            <w:pPr>
              <w:spacing w:line="240" w:lineRule="auto"/>
              <w:jc w:val="right"/>
              <w:rPr>
                <w:snapToGrid w:val="0"/>
                <w:color w:val="000000"/>
                <w:sz w:val="16"/>
                <w:lang w:eastAsia="sv-SE"/>
              </w:rPr>
            </w:pPr>
          </w:p>
        </w:tc>
        <w:tc>
          <w:tcPr>
            <w:tcW w:w="3579" w:type="dxa"/>
          </w:tcPr>
          <w:p w:rsidR="001C7BF9" w:rsidRPr="00C9680B" w:rsidRDefault="001C7BF9">
            <w:pPr>
              <w:spacing w:line="240" w:lineRule="auto"/>
              <w:rPr>
                <w:snapToGrid w:val="0"/>
                <w:color w:val="000000"/>
                <w:sz w:val="16"/>
                <w:lang w:eastAsia="sv-SE"/>
              </w:rPr>
            </w:pPr>
            <w:r w:rsidRPr="00C9680B">
              <w:rPr>
                <w:snapToGrid w:val="0"/>
                <w:color w:val="000000"/>
                <w:sz w:val="16"/>
                <w:lang w:eastAsia="sv-SE"/>
              </w:rPr>
              <w:t>Minskning av anslagsbehållningar</w:t>
            </w:r>
          </w:p>
        </w:tc>
        <w:tc>
          <w:tcPr>
            <w:tcW w:w="993"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4 500</w:t>
            </w:r>
          </w:p>
        </w:tc>
        <w:tc>
          <w:tcPr>
            <w:tcW w:w="992" w:type="dxa"/>
          </w:tcPr>
          <w:p w:rsidR="001C7BF9" w:rsidRPr="00C9680B" w:rsidRDefault="001C7BF9">
            <w:pPr>
              <w:spacing w:line="240" w:lineRule="auto"/>
              <w:jc w:val="right"/>
              <w:rPr>
                <w:snapToGrid w:val="0"/>
                <w:color w:val="000000"/>
                <w:sz w:val="16"/>
                <w:lang w:eastAsia="sv-SE"/>
              </w:rPr>
            </w:pPr>
            <w:r w:rsidRPr="00C9680B">
              <w:rPr>
                <w:snapToGrid w:val="0"/>
                <w:color w:val="000000"/>
                <w:sz w:val="16"/>
                <w:lang w:eastAsia="sv-SE"/>
              </w:rPr>
              <w:t>4 000</w:t>
            </w:r>
          </w:p>
        </w:tc>
      </w:tr>
      <w:tr w:rsidR="00000000" w:rsidRPr="00C9680B">
        <w:tblPrEx>
          <w:tblCellMar>
            <w:top w:w="0" w:type="dxa"/>
            <w:bottom w:w="0" w:type="dxa"/>
          </w:tblCellMar>
        </w:tblPrEx>
        <w:trPr>
          <w:trHeight w:val="254"/>
        </w:trPr>
        <w:tc>
          <w:tcPr>
            <w:tcW w:w="3999" w:type="dxa"/>
            <w:hMerge w:val="restart"/>
            <w:tcBorders>
              <w:bottom w:val="single" w:sz="4" w:space="0" w:color="auto"/>
            </w:tcBorders>
          </w:tcPr>
          <w:p w:rsidR="001C7BF9" w:rsidRPr="00C9680B" w:rsidRDefault="001C7BF9">
            <w:pPr>
              <w:spacing w:before="60" w:line="240" w:lineRule="auto"/>
              <w:rPr>
                <w:b/>
                <w:snapToGrid w:val="0"/>
                <w:color w:val="000000"/>
                <w:sz w:val="16"/>
                <w:lang w:eastAsia="sv-SE"/>
              </w:rPr>
            </w:pPr>
            <w:r w:rsidRPr="00C9680B">
              <w:rPr>
                <w:b/>
                <w:snapToGrid w:val="0"/>
                <w:color w:val="000000"/>
                <w:sz w:val="16"/>
                <w:lang w:eastAsia="sv-SE"/>
              </w:rPr>
              <w:t>SUMMA UTGIFTSOMRÅDEN</w:t>
            </w:r>
          </w:p>
        </w:tc>
        <w:tc>
          <w:tcPr>
            <w:gridSpan w:val="2"/>
            <w:hMerge/>
            <w:tcBorders>
              <w:bottom w:val="single" w:sz="4" w:space="0" w:color="auto"/>
            </w:tcBorders>
          </w:tcPr>
          <w:p w:rsidR="001C7BF9" w:rsidRPr="00C9680B" w:rsidRDefault="001C7BF9">
            <w:pPr>
              <w:spacing w:before="60" w:line="240" w:lineRule="auto"/>
              <w:jc w:val="right"/>
              <w:rPr>
                <w:b/>
                <w:snapToGrid w:val="0"/>
                <w:color w:val="000000"/>
                <w:sz w:val="16"/>
                <w:lang w:eastAsia="sv-SE"/>
              </w:rPr>
            </w:pPr>
          </w:p>
        </w:tc>
        <w:tc>
          <w:tcPr>
            <w:tcW w:w="993" w:type="dxa"/>
            <w:tcBorders>
              <w:bottom w:val="single" w:sz="4" w:space="0" w:color="auto"/>
            </w:tcBorders>
          </w:tcPr>
          <w:p w:rsidR="001C7BF9" w:rsidRPr="00C9680B" w:rsidRDefault="001C7BF9">
            <w:pPr>
              <w:spacing w:before="60" w:line="240" w:lineRule="auto"/>
              <w:jc w:val="right"/>
              <w:rPr>
                <w:b/>
                <w:snapToGrid w:val="0"/>
                <w:color w:val="000000"/>
                <w:sz w:val="16"/>
                <w:lang w:eastAsia="sv-SE"/>
              </w:rPr>
            </w:pPr>
            <w:r w:rsidRPr="00C9680B">
              <w:rPr>
                <w:b/>
                <w:snapToGrid w:val="0"/>
                <w:color w:val="000000"/>
                <w:sz w:val="16"/>
                <w:lang w:eastAsia="sv-SE"/>
              </w:rPr>
              <w:t>720 087</w:t>
            </w:r>
          </w:p>
        </w:tc>
        <w:tc>
          <w:tcPr>
            <w:tcW w:w="992" w:type="dxa"/>
            <w:tcBorders>
              <w:bottom w:val="single" w:sz="4" w:space="0" w:color="auto"/>
            </w:tcBorders>
          </w:tcPr>
          <w:p w:rsidR="001C7BF9" w:rsidRPr="00C9680B" w:rsidRDefault="001C7BF9">
            <w:pPr>
              <w:spacing w:before="60" w:line="240" w:lineRule="auto"/>
              <w:jc w:val="right"/>
              <w:rPr>
                <w:b/>
                <w:snapToGrid w:val="0"/>
                <w:color w:val="000000"/>
                <w:sz w:val="16"/>
                <w:lang w:eastAsia="sv-SE"/>
              </w:rPr>
            </w:pPr>
            <w:r w:rsidRPr="00C9680B">
              <w:rPr>
                <w:b/>
                <w:snapToGrid w:val="0"/>
                <w:color w:val="000000"/>
                <w:sz w:val="16"/>
                <w:lang w:eastAsia="sv-SE"/>
              </w:rPr>
              <w:t>735 458</w:t>
            </w:r>
          </w:p>
        </w:tc>
      </w:tr>
    </w:tbl>
    <w:p w:rsidR="001C7BF9" w:rsidRPr="00C9680B" w:rsidRDefault="001C7BF9">
      <w:pPr>
        <w:pStyle w:val="Rubrik4"/>
        <w:rPr>
          <w:noProof w:val="0"/>
        </w:rPr>
      </w:pPr>
      <w:bookmarkStart w:id="591" w:name="_Toc498763663"/>
      <w:bookmarkStart w:id="592" w:name="_Toc498910832"/>
      <w:r w:rsidRPr="00C9680B">
        <w:rPr>
          <w:noProof w:val="0"/>
        </w:rPr>
        <w:t>Motionerna</w:t>
      </w:r>
      <w:bookmarkEnd w:id="591"/>
      <w:bookmarkEnd w:id="592"/>
    </w:p>
    <w:p w:rsidR="001C7BF9" w:rsidRPr="00C9680B" w:rsidRDefault="001C7BF9">
      <w:r w:rsidRPr="00C9680B">
        <w:t>Förslag till alternativ fördelning på utgiftsområdena för åren 2002 och 2003 framförs i följande motioner:</w:t>
      </w:r>
    </w:p>
    <w:p w:rsidR="001C7BF9" w:rsidRPr="00C9680B" w:rsidRDefault="001C7BF9">
      <w:r w:rsidRPr="00C9680B">
        <w:rPr>
          <w:i/>
        </w:rPr>
        <w:t>– Moderata samlingspartiet</w:t>
      </w:r>
      <w:r w:rsidRPr="00C9680B">
        <w:t xml:space="preserve"> i </w:t>
      </w:r>
      <w:r w:rsidRPr="00C9680B">
        <w:rPr>
          <w:i/>
        </w:rPr>
        <w:t>motion Fi208</w:t>
      </w:r>
      <w:r w:rsidRPr="00C9680B">
        <w:t xml:space="preserve"> (yrkande 6),</w:t>
      </w:r>
    </w:p>
    <w:p w:rsidR="001C7BF9" w:rsidRPr="00C9680B" w:rsidRDefault="001C7BF9">
      <w:r w:rsidRPr="00C9680B">
        <w:rPr>
          <w:i/>
        </w:rPr>
        <w:t xml:space="preserve">– Kristdemokraterna </w:t>
      </w:r>
      <w:r w:rsidRPr="00C9680B">
        <w:t>i</w:t>
      </w:r>
      <w:r w:rsidRPr="00C9680B">
        <w:rPr>
          <w:i/>
        </w:rPr>
        <w:t xml:space="preserve"> motion Fi209 </w:t>
      </w:r>
      <w:r w:rsidRPr="00C9680B">
        <w:t>(yrkande 7),</w:t>
      </w:r>
    </w:p>
    <w:p w:rsidR="001C7BF9" w:rsidRPr="00C9680B" w:rsidRDefault="001C7BF9">
      <w:r w:rsidRPr="00C9680B">
        <w:rPr>
          <w:i/>
        </w:rPr>
        <w:t xml:space="preserve">– Centerpartiet </w:t>
      </w:r>
      <w:r w:rsidRPr="00C9680B">
        <w:t>i</w:t>
      </w:r>
      <w:r w:rsidRPr="00C9680B">
        <w:rPr>
          <w:i/>
        </w:rPr>
        <w:t xml:space="preserve"> motion Fi210 </w:t>
      </w:r>
      <w:r w:rsidRPr="00C9680B">
        <w:t>(yrkande 5) samt</w:t>
      </w:r>
    </w:p>
    <w:p w:rsidR="001C7BF9" w:rsidRPr="00C9680B" w:rsidRDefault="001C7BF9">
      <w:r w:rsidRPr="00C9680B">
        <w:rPr>
          <w:i/>
        </w:rPr>
        <w:t>– Folkpartiet liberalerna</w:t>
      </w:r>
      <w:r w:rsidRPr="00C9680B">
        <w:t xml:space="preserve"> i </w:t>
      </w:r>
      <w:r w:rsidRPr="00C9680B">
        <w:rPr>
          <w:i/>
        </w:rPr>
        <w:t>motion Fi211</w:t>
      </w:r>
      <w:r w:rsidRPr="00C9680B">
        <w:t xml:space="preserve"> (yrkande 8).</w:t>
      </w:r>
    </w:p>
    <w:p w:rsidR="001C7BF9" w:rsidRPr="00C9680B" w:rsidRDefault="001C7BF9"/>
    <w:p w:rsidR="001C7BF9" w:rsidRPr="00C9680B" w:rsidRDefault="001C7BF9">
      <w:r w:rsidRPr="00C9680B">
        <w:t xml:space="preserve">Partiernas alternativ för åren 2002 och 2003 har redovisats i tabellerna under respektive utgiftsområde i föregående avsnitt. </w:t>
      </w:r>
    </w:p>
    <w:p w:rsidR="001C7BF9" w:rsidRPr="00C9680B" w:rsidRDefault="001C7BF9">
      <w:pPr>
        <w:pStyle w:val="Rubrik4"/>
        <w:rPr>
          <w:noProof w:val="0"/>
        </w:rPr>
      </w:pPr>
      <w:bookmarkStart w:id="593" w:name="_Toc498763664"/>
      <w:bookmarkStart w:id="594" w:name="_Toc498910833"/>
      <w:r w:rsidRPr="00C9680B">
        <w:rPr>
          <w:noProof w:val="0"/>
        </w:rPr>
        <w:t>Finansutskottets ställningstagande</w:t>
      </w:r>
      <w:bookmarkEnd w:id="593"/>
      <w:bookmarkEnd w:id="594"/>
    </w:p>
    <w:p w:rsidR="001C7BF9" w:rsidRPr="00C9680B" w:rsidRDefault="001C7BF9">
      <w:r w:rsidRPr="00C9680B">
        <w:t>De i detta sammanhang aktuella alternativen avseende åren 2002 och 2003 utgår från fördelningen av utgiftsramar för år 2001. Utskottet har tidigare ställt sig bakom regeringens förslag till fördelning av utgifterna på utgiftso</w:t>
      </w:r>
      <w:r w:rsidRPr="00C9680B">
        <w:t>m</w:t>
      </w:r>
      <w:r w:rsidRPr="00C9680B">
        <w:t>råden för år 2001. Med hänsyn härtill biträder utskottet även regeringens förslag till preliminär fördelning för åren 2002 och 2003 och tillstyrker y</w:t>
      </w:r>
      <w:r w:rsidRPr="00C9680B">
        <w:t>r</w:t>
      </w:r>
      <w:r w:rsidRPr="00C9680B">
        <w:t>kande 10 i propositi</w:t>
      </w:r>
      <w:r w:rsidRPr="00C9680B">
        <w:t>o</w:t>
      </w:r>
      <w:r w:rsidRPr="00C9680B">
        <w:t>nen.</w:t>
      </w:r>
    </w:p>
    <w:p w:rsidR="001C7BF9" w:rsidRPr="00C9680B" w:rsidRDefault="001C7BF9">
      <w:pPr>
        <w:pStyle w:val="Normaltindrag"/>
      </w:pPr>
      <w:r w:rsidRPr="00C9680B">
        <w:t>Samtidigt avstyrker utskottet motionerna Fi208 (m) yrkande 6, Fi209 (kd) yrkande 7, Fi210 (c) yrkande 5 samt Fi211 (fp) yrkande 8.</w:t>
      </w:r>
    </w:p>
    <w:p w:rsidR="001C7BF9" w:rsidRPr="00C9680B" w:rsidRDefault="001C7BF9">
      <w:pPr>
        <w:pStyle w:val="Rubrik2"/>
      </w:pPr>
      <w:bookmarkStart w:id="595" w:name="_Toc466185846"/>
      <w:bookmarkStart w:id="596" w:name="_Toc466882450"/>
      <w:bookmarkStart w:id="597" w:name="_Toc498157148"/>
      <w:bookmarkStart w:id="598" w:name="_Toc498910834"/>
      <w:r w:rsidRPr="00C9680B">
        <w:t>4.3 Bemyndigande om upplåning</w:t>
      </w:r>
      <w:bookmarkEnd w:id="595"/>
      <w:bookmarkEnd w:id="596"/>
      <w:bookmarkEnd w:id="597"/>
      <w:bookmarkEnd w:id="598"/>
    </w:p>
    <w:p w:rsidR="001C7BF9" w:rsidRPr="00C9680B" w:rsidRDefault="001C7BF9">
      <w:pPr>
        <w:pStyle w:val="Utskottsfrslagikorthet-Rubrik"/>
        <w:outlineLvl w:val="0"/>
        <w:rPr>
          <w:noProof w:val="0"/>
        </w:rPr>
      </w:pPr>
      <w:r w:rsidRPr="00C9680B">
        <w:rPr>
          <w:noProof w:val="0"/>
        </w:rPr>
        <w:t>Utskottets förslag i korthet</w:t>
      </w:r>
    </w:p>
    <w:p w:rsidR="001C7BF9" w:rsidRPr="00C9680B" w:rsidRDefault="001C7BF9">
      <w:pPr>
        <w:pStyle w:val="Utskottsfrslagikorthet-Text"/>
      </w:pPr>
      <w:r w:rsidRPr="00C9680B">
        <w:t>Regeringen bemyndigas att under budgetåret 2001 ta upp lån enligt lagen (1998:1387) om statens upplåning och skuldförvaltning.</w:t>
      </w:r>
    </w:p>
    <w:p w:rsidR="001C7BF9" w:rsidRPr="00C9680B" w:rsidRDefault="001C7BF9">
      <w:pPr>
        <w:pStyle w:val="R4"/>
      </w:pPr>
      <w:r w:rsidRPr="00C9680B">
        <w:t>Budgetpropositionen</w:t>
      </w:r>
    </w:p>
    <w:p w:rsidR="001C7BF9" w:rsidRPr="00C9680B" w:rsidRDefault="001C7BF9">
      <w:r w:rsidRPr="00C9680B">
        <w:t>Statsbudgetens saldo är sedan 1997 identiskt med statens lånebehov. För att statsbudgetens saldo skall överensstämma med statens lånebehov redovisas över statsbudgeten Riksgäldskontorets nettoutlåning och en post för kassamässig korrigering. För perioden 1999–2003 påverkas lånebehovet även av en finansiell överföring från AP-fonden till staten som föranleds av pe</w:t>
      </w:r>
      <w:r w:rsidRPr="00C9680B">
        <w:t>n</w:t>
      </w:r>
      <w:r w:rsidRPr="00C9680B">
        <w:t>sionsreformen. Riksgäldskontorets nettoutlåning, den kassamässiga korrig</w:t>
      </w:r>
      <w:r w:rsidRPr="00C9680B">
        <w:t>e</w:t>
      </w:r>
      <w:r w:rsidRPr="00C9680B">
        <w:t>ringen och överföringen från AP-fonden ingår på utgiftssidan vid sidan av de utgifter som är grupperade på 27 utgiftsomr</w:t>
      </w:r>
      <w:r w:rsidRPr="00C9680B">
        <w:t>å</w:t>
      </w:r>
      <w:r w:rsidRPr="00C9680B">
        <w:t>den.</w:t>
      </w:r>
    </w:p>
    <w:p w:rsidR="001C7BF9" w:rsidRPr="00C9680B" w:rsidRDefault="001C7BF9">
      <w:pPr>
        <w:pStyle w:val="Normaltindrag"/>
      </w:pPr>
      <w:r w:rsidRPr="00C9680B">
        <w:t>Statsbudgetens saldo förbättrades från ett underskott på 6,2 miljarder kr</w:t>
      </w:r>
      <w:r w:rsidRPr="00C9680B">
        <w:t>o</w:t>
      </w:r>
      <w:r w:rsidRPr="00C9680B">
        <w:t>nor 1997 till ett överskott på 9,7 miljarder kronor 1998. Under perioden 1999–2003 beräknas det ackumulerade budgetöverskottet enligt redovisnin</w:t>
      </w:r>
      <w:r w:rsidRPr="00C9680B">
        <w:t>g</w:t>
      </w:r>
      <w:r w:rsidRPr="00C9680B">
        <w:t>en i budgetpropositionen uppgå till ca 163 miljarder kronor efter det att den s.k. beräkningstekniska överföringen till hushållen dragits av. En väsentlig del av detta överskott, ca 148 miljarder kronor, härrör från överföringen av medel från AP-fonden som görs med anledning av pensionsreformen.</w:t>
      </w:r>
    </w:p>
    <w:p w:rsidR="001C7BF9" w:rsidRPr="00C9680B" w:rsidRDefault="001C7BF9">
      <w:pPr>
        <w:pStyle w:val="R4"/>
      </w:pPr>
      <w:r w:rsidRPr="00C9680B">
        <w:t>Justering av beräkningarna till följd av ny information efter budgetp</w:t>
      </w:r>
      <w:r w:rsidRPr="00C9680B">
        <w:t>ropositionen</w:t>
      </w:r>
    </w:p>
    <w:p w:rsidR="001C7BF9" w:rsidRPr="00C9680B" w:rsidRDefault="001C7BF9">
      <w:r w:rsidRPr="00C9680B">
        <w:t>Beräkningen av överföringen från AP-fonden var emellertid preliminär i budgetpropositionen, och regeringen beslutade den 19 oktober 2000 om de slutliga formerna för överföringen. En del av överföringen utgörs av bostad</w:t>
      </w:r>
      <w:r w:rsidRPr="00C9680B">
        <w:t>s</w:t>
      </w:r>
      <w:r w:rsidRPr="00C9680B">
        <w:t xml:space="preserve">obligationer som påverkar budgetsaldot först i samband med att de förfaller till betalning. Förfallotidpunkterna för dessa obligationer är emellertid inte desamma i beräkningarna i propositionen som i den slutliga överföringen, varför beräkningarna över budgetöverskottet behöver justeras. Ändringarna innebär främst att budgetöverskottet fördelas om mellan åren så att saldot förbättras med ca 18 miljarder kronor 2001 och försämras motsvarande 2002. År 2003 förbättras saldot med ca 9 miljarder kronor så att </w:t>
      </w:r>
      <w:r w:rsidRPr="00C9680B">
        <w:t>det ackumulerade överskottet 1999–2003 uppgår till ca 172 miljarder kronor. Förbättringen motverkas dock av motsvarande försämring åren 2004 och 2005 då de sista bostadsobligationerna förfaller. Det ackumulerade budgetsaldot till 2005 påverkas därför inte av ändringarna av beräkninga</w:t>
      </w:r>
      <w:r w:rsidRPr="00C9680B">
        <w:t>r</w:t>
      </w:r>
      <w:r w:rsidRPr="00C9680B">
        <w:t xml:space="preserve">na. </w:t>
      </w:r>
    </w:p>
    <w:p w:rsidR="001C7BF9" w:rsidRPr="00C9680B" w:rsidRDefault="001C7BF9">
      <w:pPr>
        <w:pStyle w:val="Normaltindrag"/>
      </w:pPr>
      <w:r w:rsidRPr="00C9680B">
        <w:t>Budgetöverskottet på 172 miljarder kronor för perioden 1999–2003 inn</w:t>
      </w:r>
      <w:r w:rsidRPr="00C9680B">
        <w:t>e</w:t>
      </w:r>
      <w:r w:rsidRPr="00C9680B">
        <w:t>bär en amortering på statsskulden med mo</w:t>
      </w:r>
      <w:r w:rsidRPr="00C9680B">
        <w:t>t</w:t>
      </w:r>
      <w:r w:rsidRPr="00C9680B">
        <w:t xml:space="preserve">svarande belopp. </w:t>
      </w:r>
    </w:p>
    <w:p w:rsidR="001C7BF9" w:rsidRPr="00C9680B" w:rsidRDefault="001C7BF9">
      <w:pPr>
        <w:pStyle w:val="Normaltindrag"/>
      </w:pPr>
      <w:r w:rsidRPr="00C9680B">
        <w:t>Budgetåret 2001 väntas amorteringen av statsskulden uppgå till 40,5 mi</w:t>
      </w:r>
      <w:r w:rsidRPr="00C9680B">
        <w:t>l</w:t>
      </w:r>
      <w:r w:rsidRPr="00C9680B">
        <w:t>jarder kronor efter de korrigeringar av budgetpropositionens beräkningar som beskrivs ovan.</w:t>
      </w:r>
    </w:p>
    <w:p w:rsidR="001C7BF9" w:rsidRPr="00C9680B" w:rsidRDefault="001C7BF9">
      <w:pPr>
        <w:pStyle w:val="Normaltindrag"/>
      </w:pPr>
      <w:r w:rsidRPr="00C9680B">
        <w:t>Regeringen föreslår att riksdagen bemyndigar regeringen att under budge</w:t>
      </w:r>
      <w:r w:rsidRPr="00C9680B">
        <w:t>t</w:t>
      </w:r>
      <w:r w:rsidRPr="00C9680B">
        <w:t>året 2001 ta upp lån enligt lagen (1988:1387) om statens upplåning och skul</w:t>
      </w:r>
      <w:r w:rsidRPr="00C9680B">
        <w:t>d</w:t>
      </w:r>
      <w:r w:rsidRPr="00C9680B">
        <w:t>förval</w:t>
      </w:r>
      <w:r w:rsidRPr="00C9680B">
        <w:t>t</w:t>
      </w:r>
      <w:r w:rsidRPr="00C9680B">
        <w:t>ning (yrkande 5).</w:t>
      </w:r>
    </w:p>
    <w:p w:rsidR="001C7BF9" w:rsidRPr="00C9680B" w:rsidRDefault="001C7BF9">
      <w:pPr>
        <w:pStyle w:val="Rubrik4"/>
        <w:spacing w:before="240"/>
        <w:rPr>
          <w:noProof w:val="0"/>
        </w:rPr>
      </w:pPr>
      <w:bookmarkStart w:id="599" w:name="_Toc498763666"/>
      <w:bookmarkStart w:id="600" w:name="_Toc498910835"/>
      <w:r w:rsidRPr="00C9680B">
        <w:rPr>
          <w:noProof w:val="0"/>
        </w:rPr>
        <w:t>Finansutskottets ställningstagande</w:t>
      </w:r>
      <w:bookmarkEnd w:id="599"/>
      <w:bookmarkEnd w:id="600"/>
    </w:p>
    <w:p w:rsidR="001C7BF9" w:rsidRPr="00C9680B" w:rsidRDefault="001C7BF9">
      <w:r w:rsidRPr="00C9680B">
        <w:t>Finansutskottet tillstyrker att regeringen ges det i finansplanen begärda b</w:t>
      </w:r>
      <w:r w:rsidRPr="00C9680B">
        <w:t>e</w:t>
      </w:r>
      <w:r w:rsidRPr="00C9680B">
        <w:t>mynd</w:t>
      </w:r>
      <w:r w:rsidRPr="00C9680B">
        <w:t>i</w:t>
      </w:r>
      <w:r w:rsidRPr="00C9680B">
        <w:t>gandet (yrkande 5).</w:t>
      </w:r>
    </w:p>
    <w:p w:rsidR="001C7BF9" w:rsidRPr="00C9680B" w:rsidRDefault="001C7BF9"/>
    <w:p w:rsidR="001C7BF9" w:rsidRPr="00C9680B" w:rsidRDefault="001C7BF9">
      <w:pPr>
        <w:pStyle w:val="Rubrik2"/>
      </w:pPr>
      <w:bookmarkStart w:id="601" w:name="_Toc498157149"/>
      <w:bookmarkStart w:id="602" w:name="_Toc498910836"/>
      <w:r w:rsidRPr="00C9680B">
        <w:t>4.4 Utskottsinitiativ om ett eventuellt kapitaltillskott till OM Gruppen AB</w:t>
      </w:r>
      <w:bookmarkEnd w:id="601"/>
      <w:bookmarkEnd w:id="602"/>
    </w:p>
    <w:p w:rsidR="001C7BF9" w:rsidRPr="00C9680B" w:rsidRDefault="001C7BF9">
      <w:pPr>
        <w:pStyle w:val="Utskottsfrslagikorthet-Rubrik"/>
        <w:outlineLvl w:val="0"/>
        <w:rPr>
          <w:noProof w:val="0"/>
        </w:rPr>
      </w:pPr>
      <w:r w:rsidRPr="00C9680B">
        <w:rPr>
          <w:noProof w:val="0"/>
        </w:rPr>
        <w:t>Utskottets förslag i korthet</w:t>
      </w:r>
    </w:p>
    <w:p w:rsidR="001C7BF9" w:rsidRPr="00C9680B" w:rsidRDefault="001C7BF9">
      <w:pPr>
        <w:pStyle w:val="Utskottsfrslagikorthet-Text"/>
      </w:pPr>
      <w:r w:rsidRPr="00C9680B">
        <w:t>För att staten skall kunna teckna aktier vid en eventuell nyemission mot</w:t>
      </w:r>
      <w:r w:rsidRPr="00C9680B">
        <w:softHyphen/>
        <w:t>svarande den nuvarande ägarandelen i OM Gruppen AB för</w:t>
      </w:r>
      <w:r w:rsidRPr="00C9680B">
        <w:t>e</w:t>
      </w:r>
      <w:r w:rsidRPr="00C9680B">
        <w:t>slår riksdagen att låneramen för investeringar i anlägg</w:t>
      </w:r>
      <w:r w:rsidRPr="00C9680B">
        <w:softHyphen/>
        <w:t>ningstillgångar för budgetåret 2001 utvidgas med 200 000 000 kr utöver reg</w:t>
      </w:r>
      <w:r w:rsidRPr="00C9680B">
        <w:t>e</w:t>
      </w:r>
      <w:r w:rsidRPr="00C9680B">
        <w:t xml:space="preserve">ringens förslag i budgetpropositionen. </w:t>
      </w:r>
    </w:p>
    <w:p w:rsidR="001C7BF9" w:rsidRPr="00C9680B" w:rsidRDefault="001C7BF9">
      <w:pPr>
        <w:pStyle w:val="Utskottsfrslagikorthet-Text"/>
      </w:pPr>
      <w:r w:rsidRPr="00C9680B">
        <w:t xml:space="preserve">  Jämför reservation 20 (m, kd, c, och fp).</w:t>
      </w:r>
    </w:p>
    <w:p w:rsidR="001C7BF9" w:rsidRPr="00C9680B" w:rsidRDefault="001C7BF9">
      <w:r w:rsidRPr="00C9680B">
        <w:t>Riksdagen bemyndigade år 1997 regeringen att disponera medlen från fö</w:t>
      </w:r>
      <w:r w:rsidRPr="00C9680B">
        <w:t>r</w:t>
      </w:r>
      <w:r w:rsidRPr="00C9680B">
        <w:t>säljningen av VPC till förvärv av aktier i en börs eller clearingorganisation eller i samband med att ett särskilt bolag bildas eller förvärvas för detta ä</w:t>
      </w:r>
      <w:r w:rsidRPr="00C9680B">
        <w:t>n</w:t>
      </w:r>
      <w:r w:rsidRPr="00C9680B">
        <w:t xml:space="preserve">damål (prop. 1996/97:150, 1996/97:FiU20). Samtidigt anvisades ett anslag om 500 miljoner kronor ”för investeringar i företag som har en central roll inom den svenska finansiella infrastrukturen”. </w:t>
      </w:r>
    </w:p>
    <w:p w:rsidR="001C7BF9" w:rsidRPr="00C9680B" w:rsidRDefault="001C7BF9">
      <w:pPr>
        <w:pStyle w:val="Normaltindrag"/>
      </w:pPr>
      <w:r w:rsidRPr="00C9680B">
        <w:t>Staten gick in som delägare i OM Gruppen i samband med att OM och Stockholms Fondbörs AB gick samman. Syftet med samgåendet var att stärka Stockholm och därme</w:t>
      </w:r>
      <w:r w:rsidRPr="00C9680B">
        <w:t>d Norden som marknadsplats i den allt hårdare konku</w:t>
      </w:r>
      <w:r w:rsidRPr="00C9680B">
        <w:t>r</w:t>
      </w:r>
      <w:r w:rsidRPr="00C9680B">
        <w:t>rensen med utländska börser och finansmarknader. En förutsättning för sa</w:t>
      </w:r>
      <w:r w:rsidRPr="00C9680B">
        <w:t>m</w:t>
      </w:r>
      <w:r w:rsidRPr="00C9680B">
        <w:t>gåendet var emellertid att staten gick in som ägare i OM. Genom att utnyttja 451 miljoner kronor av anslaget på 500 miljoner kronor förvärvade staten därför vid samgåendet en ägarandel i OM på 7,7 %. När staten den 15 juli 1999 sålde sin hälft av VPC erhöll staten 600 miljoner kronor. Medlen från försäljningen av VPC, liksom resterande 49 miljoner kronor av anslaget på 500 miljoner kr</w:t>
      </w:r>
      <w:r w:rsidRPr="00C9680B">
        <w:t xml:space="preserve">onor, har staten utnyttjat för köp av ytterligare aktier i OM under år 1999. Statens ägarandel i företaget är numera 9,42 %. </w:t>
      </w:r>
    </w:p>
    <w:p w:rsidR="001C7BF9" w:rsidRPr="00C9680B" w:rsidRDefault="001C7BF9">
      <w:pPr>
        <w:pStyle w:val="Normaltindrag"/>
      </w:pPr>
      <w:r w:rsidRPr="00C9680B">
        <w:t>Den 29 augusti i år lade OM ett bud på London Stock Exchange (LSE). I detta bud värderades varje aktie i LSE till ca 28 pund. Den 13 oktober höjde OM sitt bud till i intervallet 33–36 pund per aktie i LSE. LSE:s ägare erbjuds i det nya budet välja mellan två alternativ. Enligt det ena alternativet sker betalning helt med OM-aktier. För varje aktie i LSE erbjuds 1,4 OM-aktier. I det a</w:t>
      </w:r>
      <w:r w:rsidRPr="00C9680B">
        <w:t xml:space="preserve">ndra alternativet, det s.k. kontantalternativet, sker betalning med både aktier och kontanter. LSE:s ägare erbjuds för varje aktie 0,5 OM-aktier och kontant 20 pund. </w:t>
      </w:r>
    </w:p>
    <w:p w:rsidR="001C7BF9" w:rsidRPr="00C9680B" w:rsidRDefault="001C7BF9">
      <w:pPr>
        <w:pStyle w:val="Normaltindrag"/>
      </w:pPr>
      <w:r w:rsidRPr="00C9680B">
        <w:t>Om en stor del av ägarna i LSE skulle välja att utnyttja kontantalternativet, innebär det att den del av köpet som måste finansieras med kontanter kan komma att bli relativt stor. För att klara finansieringsbehovet vill OM geno</w:t>
      </w:r>
      <w:r w:rsidRPr="00C9680B">
        <w:t>m</w:t>
      </w:r>
      <w:r w:rsidRPr="00C9680B">
        <w:t xml:space="preserve">föra en nyemission som riktar sig till de befintliga ägarna i OM. Vid fullt deltagande vid en eventuell nyemission skulle staten behöva teckna aktier motsvarande nuvarande ägarandelen på 9,42 %. Det maximala beloppet om alla LSE-ägare skulle välja kontantalternativet skulle kunna uppgå till ca 565 miljoner kronor. En rimlig bedömning är dock att inte alla kommer att välja kontantbudet. Därmed blir behovet av en finansiering i kontanter mindre och en eventuell nyemission av mindre omfattning. Statens andel </w:t>
      </w:r>
      <w:r w:rsidRPr="00C9680B">
        <w:t>blir därmed motsvarande mindre.</w:t>
      </w:r>
    </w:p>
    <w:p w:rsidR="001C7BF9" w:rsidRPr="00C9680B" w:rsidRDefault="001C7BF9">
      <w:pPr>
        <w:pStyle w:val="Normaltindrag"/>
      </w:pPr>
      <w:r w:rsidRPr="00C9680B">
        <w:t>För att göra det möjligt för staten att kunna teckna aktier i den eventuella nyemissionen bör ett anslag anvisas för detta ändamål. Alternativt kan staten, liksom vid finansieringen av deltagandet i OM Gruppen, avyttra aktier i sta</w:t>
      </w:r>
      <w:r w:rsidRPr="00C9680B">
        <w:t>t</w:t>
      </w:r>
      <w:r w:rsidRPr="00C9680B">
        <w:t>ligt ägda företag för att finansiera deltagandet i nyemissi</w:t>
      </w:r>
      <w:r w:rsidRPr="00C9680B">
        <w:t>o</w:t>
      </w:r>
      <w:r w:rsidRPr="00C9680B">
        <w:t xml:space="preserve">nen. </w:t>
      </w:r>
    </w:p>
    <w:p w:rsidR="001C7BF9" w:rsidRPr="00C9680B" w:rsidRDefault="001C7BF9">
      <w:pPr>
        <w:pStyle w:val="Normaltindrag"/>
      </w:pPr>
      <w:r w:rsidRPr="00C9680B">
        <w:t>Utskottet anser emellertid att frågan om den långsiktiga finansieringen kan anstå till tilläggsbudgeten för nästa år mot bakgrund av att det ännu inte är helt klart om OM:s bud kommer att antas av ägarna till LSE. Det finns inte heller underlag för att göra en säker bedömning av i vilken grad det s.k. ko</w:t>
      </w:r>
      <w:r w:rsidRPr="00C9680B">
        <w:t>n</w:t>
      </w:r>
      <w:r w:rsidRPr="00C9680B">
        <w:t>tantalternativet kommer att utnyttjas. I avvaktan på närmare beslut i denna fråga bör regeringen bemyndigas att lånefinansiera statens andel av nyemi</w:t>
      </w:r>
      <w:r w:rsidRPr="00C9680B">
        <w:t>s</w:t>
      </w:r>
      <w:r w:rsidRPr="00C9680B">
        <w:t>sionen genom att utnyttja befintliga kreditmöjligheter i Riksgäldsko</w:t>
      </w:r>
      <w:r w:rsidRPr="00C9680B">
        <w:t>n</w:t>
      </w:r>
      <w:r w:rsidRPr="00C9680B">
        <w:t xml:space="preserve">toret. </w:t>
      </w:r>
    </w:p>
    <w:p w:rsidR="001C7BF9" w:rsidRPr="00C9680B" w:rsidRDefault="001C7BF9">
      <w:pPr>
        <w:pStyle w:val="Normaltindrag"/>
      </w:pPr>
      <w:r w:rsidRPr="00C9680B">
        <w:t>Regeringen har i budgetpropositionen föreslagit att regeringen för budge</w:t>
      </w:r>
      <w:r w:rsidRPr="00C9680B">
        <w:t>t</w:t>
      </w:r>
      <w:r w:rsidRPr="00C9680B">
        <w:t>året 2001 skall få besluta om lån i Riksgäldskontoret för investeringar i a</w:t>
      </w:r>
      <w:r w:rsidRPr="00C9680B">
        <w:t>n</w:t>
      </w:r>
      <w:r w:rsidRPr="00C9680B">
        <w:t>läggningstillgångar som används i statens verksamhet intill ett belopp på 20 700 miljoner kronor. Enligt förarbetena till budgetlagen skall även finans</w:t>
      </w:r>
      <w:r w:rsidRPr="00C9680B">
        <w:t>i</w:t>
      </w:r>
      <w:r w:rsidRPr="00C9680B">
        <w:t>ella anläggningstillgångar såsom aktier kunna finansieras med interna lån i Riksgäldskontoret på särskilda villkor. Den totala låneramen avser summan av de lån som regeringen via myndigheterna högst får ha i Riksgäldskontoret under år 2001. Ramen innefattar också tidigare upptagna l</w:t>
      </w:r>
      <w:r w:rsidRPr="00C9680B">
        <w:t xml:space="preserve">ån. I beloppet finns 480 miljoner kronor avsatta för regeringens disposition. </w:t>
      </w:r>
    </w:p>
    <w:p w:rsidR="001C7BF9" w:rsidRPr="00C9680B" w:rsidRDefault="001C7BF9">
      <w:pPr>
        <w:pStyle w:val="Normaltindrag"/>
      </w:pPr>
      <w:r w:rsidRPr="00C9680B">
        <w:t>Enligt vad utskottet erfarit kan ca 360 miljoner kronor av det belopp som avsatts till regeringens disposition för 2001 kunna användas för att finansiera nyemissionen. För att försäkra sig om att staten med säkerhet skall kunna delta i nyemissionen bör det totala lånebeloppet uppgå till 565 miljoner kr</w:t>
      </w:r>
      <w:r w:rsidRPr="00C9680B">
        <w:t>o</w:t>
      </w:r>
      <w:r w:rsidRPr="00C9680B">
        <w:t xml:space="preserve">nor. Låneramen bör mot denna bakgrund utökas med 200 miljoner kronor. Det bör också noteras att en lånefinansiering på detta sätt innebär att räntor kommer att utgå på lånet som kan komma att uppgå till knappt 30 miljoner kronor per år. Detta bör beaktas vid den långsiktiga finansieringen. </w:t>
      </w:r>
    </w:p>
    <w:p w:rsidR="001C7BF9" w:rsidRPr="00C9680B" w:rsidRDefault="001C7BF9">
      <w:pPr>
        <w:pStyle w:val="Normaltindrag"/>
      </w:pPr>
      <w:r w:rsidRPr="00C9680B">
        <w:t>Mot bakgrund av det nu redovisade beslutade utskottet redan vid sitt sa</w:t>
      </w:r>
      <w:r w:rsidRPr="00C9680B">
        <w:t>m</w:t>
      </w:r>
      <w:r w:rsidRPr="00C9680B">
        <w:t>manträde den 27 oktober 2000 att föreslå riksdagen att låneramen för invest</w:t>
      </w:r>
      <w:r w:rsidRPr="00C9680B">
        <w:t>e</w:t>
      </w:r>
      <w:r w:rsidRPr="00C9680B">
        <w:t>ringar i anlägg</w:t>
      </w:r>
      <w:r w:rsidRPr="00C9680B">
        <w:softHyphen/>
        <w:t>ningstillgångar för budgetåret 2001 utvidgas med 200 000 000 kr utöver regeringens förslag i budgetpropositionen (prop. 2000/01:1 yrkande 11) för att staten skall kunna teckna aktier vid en eventuell nyemission mot</w:t>
      </w:r>
      <w:r w:rsidRPr="00C9680B">
        <w:softHyphen/>
        <w:t>svarande den nuv</w:t>
      </w:r>
      <w:r w:rsidRPr="00C9680B">
        <w:t>a</w:t>
      </w:r>
      <w:r w:rsidRPr="00C9680B">
        <w:t>rande ägarandelen i OM Gruppen AB.</w:t>
      </w:r>
    </w:p>
    <w:p w:rsidR="001C7BF9" w:rsidRPr="00C9680B" w:rsidRDefault="001C7BF9">
      <w:pPr>
        <w:pStyle w:val="Normaltindrag"/>
      </w:pPr>
      <w:r w:rsidRPr="00C9680B">
        <w:t>Utskottet beslutade vidare föreslå riksdagen att bemyndiga regeringen att för budgetåret 2001 besluta om lån i Riksgälds</w:t>
      </w:r>
      <w:r w:rsidRPr="00C9680B">
        <w:softHyphen/>
        <w:t>kontoret för investeringar i anläggnings</w:t>
      </w:r>
      <w:r w:rsidRPr="00C9680B">
        <w:softHyphen/>
        <w:t>till</w:t>
      </w:r>
      <w:r w:rsidRPr="00C9680B">
        <w:softHyphen/>
        <w:t xml:space="preserve">gångar som används i statens verksamhet intill ett belopp av 20 900 000 000 kr. </w:t>
      </w:r>
    </w:p>
    <w:p w:rsidR="001C7BF9" w:rsidRPr="00C9680B" w:rsidRDefault="001C7BF9">
      <w:pPr>
        <w:pStyle w:val="Normaltindrag"/>
      </w:pPr>
      <w:r w:rsidRPr="00C9680B">
        <w:t>Företrädarna för Moderata samlingspartiet, Kristdemokraterna, Centerpa</w:t>
      </w:r>
      <w:r w:rsidRPr="00C9680B">
        <w:t>r</w:t>
      </w:r>
      <w:r w:rsidRPr="00C9680B">
        <w:t>tiet och Folkpartiet liberalerna reserverade sig mot besl</w:t>
      </w:r>
      <w:r w:rsidRPr="00C9680B">
        <w:t>u</w:t>
      </w:r>
      <w:r w:rsidRPr="00C9680B">
        <w:t>tet.</w:t>
      </w:r>
    </w:p>
    <w:p w:rsidR="001C7BF9" w:rsidRPr="00C9680B" w:rsidRDefault="001C7BF9">
      <w:pPr>
        <w:pStyle w:val="Normaltindrag"/>
      </w:pPr>
      <w:r w:rsidRPr="00C9680B">
        <w:t>Utskottet återkommer till frågan i efterföljande avsnitt 4.5.1.</w:t>
      </w:r>
    </w:p>
    <w:p w:rsidR="001C7BF9" w:rsidRPr="00C9680B" w:rsidRDefault="001C7BF9">
      <w:pPr>
        <w:pStyle w:val="Normaltindrag"/>
      </w:pPr>
    </w:p>
    <w:p w:rsidR="001C7BF9" w:rsidRPr="00C9680B" w:rsidRDefault="001C7BF9">
      <w:pPr>
        <w:pStyle w:val="Rubrik2"/>
      </w:pPr>
      <w:bookmarkStart w:id="603" w:name="_Toc498157150"/>
      <w:bookmarkStart w:id="604" w:name="_Toc498910837"/>
      <w:r w:rsidRPr="00C9680B">
        <w:t>4.5 Finansiering av investeringar och rörelsekapital</w:t>
      </w:r>
      <w:bookmarkEnd w:id="603"/>
      <w:bookmarkEnd w:id="604"/>
    </w:p>
    <w:p w:rsidR="001C7BF9" w:rsidRPr="00C9680B" w:rsidRDefault="001C7BF9">
      <w:pPr>
        <w:pStyle w:val="Rubrik3"/>
        <w:spacing w:before="0"/>
        <w:rPr>
          <w:noProof w:val="0"/>
        </w:rPr>
      </w:pPr>
      <w:bookmarkStart w:id="605" w:name="_Toc498157151"/>
      <w:bookmarkStart w:id="606" w:name="_Toc498910838"/>
      <w:r w:rsidRPr="00C9680B">
        <w:rPr>
          <w:noProof w:val="0"/>
        </w:rPr>
        <w:t>4.5.1 Lån för myndigheternas investeringar i anläggningstillgångar för förvaltningsändamål</w:t>
      </w:r>
      <w:bookmarkEnd w:id="605"/>
      <w:bookmarkEnd w:id="606"/>
    </w:p>
    <w:p w:rsidR="001C7BF9" w:rsidRPr="00C9680B" w:rsidRDefault="001C7BF9">
      <w:pPr>
        <w:pStyle w:val="Utskottsfrslagikorthet-Rubrik"/>
        <w:outlineLvl w:val="0"/>
        <w:rPr>
          <w:noProof w:val="0"/>
        </w:rPr>
      </w:pPr>
      <w:r w:rsidRPr="00C9680B">
        <w:rPr>
          <w:noProof w:val="0"/>
        </w:rPr>
        <w:t>Utskottets förslag i korthet</w:t>
      </w:r>
    </w:p>
    <w:p w:rsidR="001C7BF9" w:rsidRPr="00C9680B" w:rsidRDefault="001C7BF9">
      <w:pPr>
        <w:pStyle w:val="Utskottsfrslagikorthet-Text"/>
      </w:pPr>
      <w:r w:rsidRPr="00C9680B">
        <w:t>Riksdagen bemyndigar regeringen att för budgetåret 2001 besluta om lån i Riksgälds</w:t>
      </w:r>
      <w:r w:rsidRPr="00C9680B">
        <w:softHyphen/>
        <w:t>kontoret för investeringar i anläggnings</w:t>
      </w:r>
      <w:r w:rsidRPr="00C9680B">
        <w:softHyphen/>
        <w:t>till</w:t>
      </w:r>
      <w:r w:rsidRPr="00C9680B">
        <w:softHyphen/>
        <w:t>gångar som används i statens verksamhet intill ett belopp av 20 900 miljoner kronor. Det innebär att ramen utökas med 200 miljoner kronor jämfört med regeringens förslag.</w:t>
      </w:r>
    </w:p>
    <w:p w:rsidR="001C7BF9" w:rsidRPr="00C9680B" w:rsidRDefault="001C7BF9">
      <w:pPr>
        <w:pStyle w:val="Utskottsfrslagikorthet-Text"/>
      </w:pPr>
      <w:r w:rsidRPr="00C9680B">
        <w:t xml:space="preserve">  Jämför reservation 21 (m, kd, c och fp). </w:t>
      </w:r>
    </w:p>
    <w:p w:rsidR="001C7BF9" w:rsidRPr="00C9680B" w:rsidRDefault="001C7BF9">
      <w:pPr>
        <w:pStyle w:val="Rubrik4"/>
        <w:rPr>
          <w:noProof w:val="0"/>
        </w:rPr>
      </w:pPr>
      <w:bookmarkStart w:id="607" w:name="_Toc498763670"/>
      <w:bookmarkStart w:id="608" w:name="_Toc498910839"/>
      <w:r w:rsidRPr="00C9680B">
        <w:rPr>
          <w:noProof w:val="0"/>
        </w:rPr>
        <w:t>Budgetpropositionen</w:t>
      </w:r>
      <w:bookmarkEnd w:id="607"/>
      <w:bookmarkEnd w:id="608"/>
    </w:p>
    <w:p w:rsidR="001C7BF9" w:rsidRPr="00C9680B" w:rsidRDefault="001C7BF9">
      <w:r w:rsidRPr="00C9680B">
        <w:t>I budgetpropositionen redovisas för varje utgiftsområde det beräknade sa</w:t>
      </w:r>
      <w:r w:rsidRPr="00C9680B">
        <w:t>m</w:t>
      </w:r>
      <w:r w:rsidRPr="00C9680B">
        <w:t>manlagda behovet av låneramar för investeringar i anläggningstillgångar för budgetåret 2001. Den totala låneramen avser summan av de lån som regerin</w:t>
      </w:r>
      <w:r w:rsidRPr="00C9680B">
        <w:t>g</w:t>
      </w:r>
      <w:r w:rsidRPr="00C9680B">
        <w:t>en via myndigheterna högst får ha i Riksgäldskontoret under 2001 och inn</w:t>
      </w:r>
      <w:r w:rsidRPr="00C9680B">
        <w:t>e</w:t>
      </w:r>
      <w:r w:rsidRPr="00C9680B">
        <w:t>fattar också tidigare tagna lån. Regeringen beräknar att det behövs en sa</w:t>
      </w:r>
      <w:r w:rsidRPr="00C9680B">
        <w:t>m</w:t>
      </w:r>
      <w:r w:rsidRPr="00C9680B">
        <w:t>mantagen låneram på 20 700 miljoner kronor för budgetåret 2001. För att möta oförutsedda behov kommer preliminärt 486 miljoner kronor inte att fördelas till myndigheterna utan disponeras av regeringen.</w:t>
      </w:r>
    </w:p>
    <w:p w:rsidR="001C7BF9" w:rsidRPr="00C9680B" w:rsidRDefault="001C7BF9">
      <w:pPr>
        <w:pStyle w:val="Normaltindrag"/>
      </w:pPr>
      <w:r w:rsidRPr="00C9680B">
        <w:t>Jämfört med a</w:t>
      </w:r>
      <w:r w:rsidRPr="00C9680B">
        <w:t>ktuella låneramar för 2000 innebär regeringens förslag till låneramar för 2001 en ökning med 1,6 miljarder kronor, exklusive reserven på 486 miljoner kronor. Myndigheternas totala skuld avseende investeringar i anläggningstillgångar uppgick till 13,1 miljarder kronor vid halvårsskiftet 2000, vilket var 1,3 miljarder mer än vid samma tidpunkt ett år tidigare. Av den totala ramen innev</w:t>
      </w:r>
      <w:r w:rsidRPr="00C9680B">
        <w:t>a</w:t>
      </w:r>
      <w:r w:rsidRPr="00C9680B">
        <w:t>rande år utnyttjades således ca 70 %.</w:t>
      </w:r>
    </w:p>
    <w:p w:rsidR="001C7BF9" w:rsidRPr="00C9680B" w:rsidRDefault="001C7BF9">
      <w:pPr>
        <w:pStyle w:val="Rubrik4"/>
        <w:rPr>
          <w:noProof w:val="0"/>
        </w:rPr>
      </w:pPr>
      <w:bookmarkStart w:id="609" w:name="_Toc498763671"/>
      <w:bookmarkStart w:id="610" w:name="_Toc498910840"/>
      <w:r w:rsidRPr="00C9680B">
        <w:rPr>
          <w:noProof w:val="0"/>
        </w:rPr>
        <w:t>Finansutskottets ställningstagande</w:t>
      </w:r>
      <w:bookmarkEnd w:id="609"/>
      <w:bookmarkEnd w:id="610"/>
    </w:p>
    <w:p w:rsidR="001C7BF9" w:rsidRPr="00C9680B" w:rsidRDefault="001C7BF9">
      <w:r w:rsidRPr="00C9680B">
        <w:t>Utskottet har inget att erinra mot regeringens förslag till investeringsramar vad avser myndigheterna för 2001. I enlighet med vad utskottet sagt ovan i avsnitt 4.4 anser utskottet att den del av ramen som regeringen disponerar för lån i Riksgäldskontoret bör utökas med 200 miljoner kronor för att möjliggöra för staten att kunna teckna aktier vid en eventuell nyemission mot</w:t>
      </w:r>
      <w:r w:rsidRPr="00C9680B">
        <w:softHyphen/>
        <w:t>svarande den nuvarande äg</w:t>
      </w:r>
      <w:r w:rsidRPr="00C9680B">
        <w:t>a</w:t>
      </w:r>
      <w:r w:rsidRPr="00C9680B">
        <w:t xml:space="preserve">randelen i OM Gruppen AB. </w:t>
      </w:r>
    </w:p>
    <w:p w:rsidR="001C7BF9" w:rsidRPr="00C9680B" w:rsidRDefault="001C7BF9">
      <w:pPr>
        <w:pStyle w:val="Normaltindrag"/>
      </w:pPr>
      <w:r w:rsidRPr="00C9680B">
        <w:t>Utskottet tillstyrker således att regeringen för budgetåret 2001 får besluta om lån i Riksgälds</w:t>
      </w:r>
      <w:r w:rsidRPr="00C9680B">
        <w:softHyphen/>
        <w:t>kontoret för investeringar i anläggnings</w:t>
      </w:r>
      <w:r w:rsidRPr="00C9680B">
        <w:softHyphen/>
        <w:t>till</w:t>
      </w:r>
      <w:r w:rsidRPr="00C9680B">
        <w:softHyphen/>
        <w:t xml:space="preserve">gångar som används i statens verksamhet intill ett belopp av 20 900 000 000 kr. </w:t>
      </w:r>
    </w:p>
    <w:p w:rsidR="001C7BF9" w:rsidRPr="00C9680B" w:rsidRDefault="001C7BF9">
      <w:pPr>
        <w:pStyle w:val="Rubrik3"/>
        <w:rPr>
          <w:noProof w:val="0"/>
        </w:rPr>
      </w:pPr>
      <w:bookmarkStart w:id="611" w:name="_Toc498157152"/>
      <w:bookmarkStart w:id="612" w:name="_Toc498910841"/>
      <w:r w:rsidRPr="00C9680B">
        <w:rPr>
          <w:noProof w:val="0"/>
        </w:rPr>
        <w:t>4.5.2 Myndigheternas räntekontokrediter</w:t>
      </w:r>
      <w:bookmarkEnd w:id="611"/>
      <w:bookmarkEnd w:id="612"/>
    </w:p>
    <w:p w:rsidR="001C7BF9" w:rsidRPr="00C9680B" w:rsidRDefault="001C7BF9">
      <w:pPr>
        <w:pStyle w:val="Utskottsfrslagikorthet-Rubrik"/>
        <w:outlineLvl w:val="0"/>
        <w:rPr>
          <w:noProof w:val="0"/>
        </w:rPr>
      </w:pPr>
      <w:r w:rsidRPr="00C9680B">
        <w:rPr>
          <w:noProof w:val="0"/>
        </w:rPr>
        <w:t>Utskottets förslag i korthet</w:t>
      </w:r>
    </w:p>
    <w:p w:rsidR="001C7BF9" w:rsidRPr="00C9680B" w:rsidRDefault="001C7BF9">
      <w:pPr>
        <w:pStyle w:val="Utskottsfrslagikorthet-Text"/>
      </w:pPr>
      <w:r w:rsidRPr="00C9680B">
        <w:t>Regeringen får för budgetåret 2001 besluta om krediter för my</w:t>
      </w:r>
      <w:r w:rsidRPr="00C9680B">
        <w:t>n</w:t>
      </w:r>
      <w:r w:rsidRPr="00C9680B">
        <w:t xml:space="preserve">digheternas räntekonton i Riksgäldskontoret intill ett belopp av 14 600 miljoner kronor. </w:t>
      </w:r>
    </w:p>
    <w:p w:rsidR="001C7BF9" w:rsidRPr="00C9680B" w:rsidRDefault="001C7BF9">
      <w:pPr>
        <w:pStyle w:val="Rubrik4"/>
        <w:rPr>
          <w:noProof w:val="0"/>
        </w:rPr>
      </w:pPr>
      <w:bookmarkStart w:id="613" w:name="_Toc498763673"/>
      <w:bookmarkStart w:id="614" w:name="_Toc498910842"/>
      <w:r w:rsidRPr="00C9680B">
        <w:rPr>
          <w:noProof w:val="0"/>
        </w:rPr>
        <w:t>Budgetpropositionen</w:t>
      </w:r>
      <w:bookmarkEnd w:id="613"/>
      <w:bookmarkEnd w:id="614"/>
    </w:p>
    <w:p w:rsidR="001C7BF9" w:rsidRPr="00C9680B" w:rsidRDefault="001C7BF9">
      <w:r w:rsidRPr="00C9680B">
        <w:t>Regeringen kan besluta att rörelsekapital i statens verksamhet skall finansi</w:t>
      </w:r>
      <w:r w:rsidRPr="00C9680B">
        <w:t>e</w:t>
      </w:r>
      <w:r w:rsidRPr="00C9680B">
        <w:t>ras med krediter i Riksgäldskontoret inom en kreditram som riksdagen fas</w:t>
      </w:r>
      <w:r w:rsidRPr="00C9680B">
        <w:t>t</w:t>
      </w:r>
      <w:r w:rsidRPr="00C9680B">
        <w:t>ställer. Detta regleras i lagen (1996:1059) om statsbudgeten (21 §). Myndi</w:t>
      </w:r>
      <w:r w:rsidRPr="00C9680B">
        <w:t>g</w:t>
      </w:r>
      <w:r w:rsidRPr="00C9680B">
        <w:t>heterna placerar överskottslikviditet och finansierar tillfälliga likviditetsu</w:t>
      </w:r>
      <w:r w:rsidRPr="00C9680B">
        <w:t>n</w:t>
      </w:r>
      <w:r w:rsidRPr="00C9680B">
        <w:t>derskott i Riksgäldskontoret. Myndigheterna har för detta ändamål ett ränt</w:t>
      </w:r>
      <w:r w:rsidRPr="00C9680B">
        <w:t>e</w:t>
      </w:r>
      <w:r w:rsidRPr="00C9680B">
        <w:t>konto med kredit. Ramen för räntekontokrediten varierar men ligger normalt inom intervallet 5–10 % av respektive myndighets omslutning.</w:t>
      </w:r>
    </w:p>
    <w:p w:rsidR="001C7BF9" w:rsidRPr="00C9680B" w:rsidRDefault="001C7BF9">
      <w:pPr>
        <w:pStyle w:val="Normaltindrag"/>
      </w:pPr>
      <w:r w:rsidRPr="00C9680B">
        <w:t>I finansplanen (avsnitt 8.1) föreslår regeringen att summan av kreditrama</w:t>
      </w:r>
      <w:r w:rsidRPr="00C9680B">
        <w:t>r</w:t>
      </w:r>
      <w:r w:rsidRPr="00C9680B">
        <w:t>na för myndigheternas räntekonton får uppgå till högst 14,6 miljarder kronor för budgetåret 2001 (yrkande 12).</w:t>
      </w:r>
    </w:p>
    <w:p w:rsidR="001C7BF9" w:rsidRPr="00C9680B" w:rsidRDefault="001C7BF9">
      <w:pPr>
        <w:pStyle w:val="Rubrik4"/>
        <w:rPr>
          <w:noProof w:val="0"/>
        </w:rPr>
      </w:pPr>
      <w:bookmarkStart w:id="615" w:name="_Toc498763674"/>
      <w:bookmarkStart w:id="616" w:name="_Toc498910843"/>
      <w:r w:rsidRPr="00C9680B">
        <w:rPr>
          <w:noProof w:val="0"/>
        </w:rPr>
        <w:t>Finansutskottets ställningstagande</w:t>
      </w:r>
      <w:bookmarkEnd w:id="615"/>
      <w:bookmarkEnd w:id="616"/>
    </w:p>
    <w:p w:rsidR="001C7BF9" w:rsidRPr="00C9680B" w:rsidRDefault="001C7BF9">
      <w:r w:rsidRPr="00C9680B">
        <w:t>Utskottet tillstyrker regeringens förslag i finansplanen om myndigheternas ränt</w:t>
      </w:r>
      <w:r w:rsidRPr="00C9680B">
        <w:t>e</w:t>
      </w:r>
      <w:r w:rsidRPr="00C9680B">
        <w:t>kontokrediter i Riksgäldskontoret (yrkande 12).</w:t>
      </w:r>
    </w:p>
    <w:p w:rsidR="001C7BF9" w:rsidRPr="00C9680B" w:rsidRDefault="001C7BF9">
      <w:pPr>
        <w:pStyle w:val="Rubrik3"/>
        <w:rPr>
          <w:noProof w:val="0"/>
        </w:rPr>
      </w:pPr>
      <w:bookmarkStart w:id="617" w:name="_Toc498157153"/>
      <w:bookmarkStart w:id="618" w:name="_Toc498910844"/>
      <w:r w:rsidRPr="00C9680B">
        <w:rPr>
          <w:noProof w:val="0"/>
        </w:rPr>
        <w:t>4.5.3 Sjunde AP-fondstyrelsens lån och räntekontokredit i Riksgäldskontoret</w:t>
      </w:r>
      <w:bookmarkEnd w:id="617"/>
      <w:bookmarkEnd w:id="618"/>
    </w:p>
    <w:p w:rsidR="001C7BF9" w:rsidRPr="00C9680B" w:rsidRDefault="001C7BF9">
      <w:pPr>
        <w:pStyle w:val="Utskottsfrslagikorthet-Rubrik"/>
        <w:outlineLvl w:val="0"/>
        <w:rPr>
          <w:noProof w:val="0"/>
        </w:rPr>
      </w:pPr>
      <w:r w:rsidRPr="00C9680B">
        <w:rPr>
          <w:noProof w:val="0"/>
        </w:rPr>
        <w:t>Utskottets förslag i korthet</w:t>
      </w:r>
    </w:p>
    <w:p w:rsidR="001C7BF9" w:rsidRPr="00C9680B" w:rsidRDefault="001C7BF9">
      <w:pPr>
        <w:pStyle w:val="Utskottsfrslagikorthet-Text"/>
      </w:pPr>
      <w:r w:rsidRPr="00C9680B">
        <w:t>För Sjunde AP-fondens verksamhet får regeringen för budgetåret 2001 besluta om lån i Riksgäldskontoret för investeringar för högst 22 miljoner kronor och för kredit på räntekonto på högst 90 milj</w:t>
      </w:r>
      <w:r w:rsidRPr="00C9680B">
        <w:t>o</w:t>
      </w:r>
      <w:r w:rsidRPr="00C9680B">
        <w:t>ner kronor.</w:t>
      </w:r>
    </w:p>
    <w:p w:rsidR="001C7BF9" w:rsidRPr="00C9680B" w:rsidRDefault="001C7BF9">
      <w:pPr>
        <w:pStyle w:val="Rubrik4"/>
        <w:rPr>
          <w:noProof w:val="0"/>
        </w:rPr>
      </w:pPr>
      <w:bookmarkStart w:id="619" w:name="_Toc498763676"/>
      <w:bookmarkStart w:id="620" w:name="_Toc498910845"/>
      <w:r w:rsidRPr="00C9680B">
        <w:rPr>
          <w:noProof w:val="0"/>
        </w:rPr>
        <w:t>Budgetpropositionen</w:t>
      </w:r>
      <w:bookmarkEnd w:id="619"/>
      <w:bookmarkEnd w:id="620"/>
    </w:p>
    <w:p w:rsidR="001C7BF9" w:rsidRPr="00C9680B" w:rsidRDefault="001C7BF9">
      <w:r w:rsidRPr="00C9680B">
        <w:t>Inom ramen för det reformerade systemet för inkomstgrundad ålderspension har en fondstyrelse med namnet Sjunde AP-fonden inrättats. Sjunde AP-fonden skall initialt förvalta två värdepappersfonder, Premiesparfonden och Premievalsfonden. Premiesparfonden skall förvalta premiepensionsmedel för dem som inte gör ett aktivt val av fondförvaltare. Premievalsfonden skall vara en av de fonder som kan väljas aktivt.</w:t>
      </w:r>
    </w:p>
    <w:p w:rsidR="001C7BF9" w:rsidRPr="00C9680B" w:rsidRDefault="001C7BF9">
      <w:pPr>
        <w:pStyle w:val="Normaltindrag"/>
      </w:pPr>
      <w:r w:rsidRPr="00C9680B">
        <w:t>Kostnaderna för Sjunde AP-fondens förvaltning av de båda fonderna skall tas ur de förvaltade medlen i respektive fond. Enligt riksdagens beslut (prop. 1999/2000:1, bet. 1999/2000:FiU1, rskr. 1999/2000:150) skall Sjunde AP-fondens verksamhet innan det första fondvalet sker finansieras med krediter i Riksgäldskontoret. De fondförvaltningsavgifter som skall finansiera ver</w:t>
      </w:r>
      <w:r w:rsidRPr="00C9680B">
        <w:t>k</w:t>
      </w:r>
      <w:r w:rsidRPr="00C9680B">
        <w:t xml:space="preserve">samheten är beroende av storleken på de förvaltade medlen, och då fondvalet ännu inte gjorts råder stor osäkerhet kring Sjunde AP-fondens intäkter under 2001. </w:t>
      </w:r>
    </w:p>
    <w:p w:rsidR="001C7BF9" w:rsidRPr="00C9680B" w:rsidRDefault="001C7BF9">
      <w:pPr>
        <w:pStyle w:val="Normaltindrag"/>
      </w:pPr>
      <w:r w:rsidRPr="00C9680B">
        <w:t>Regeringen bedömer mot denna bakgrund att Sjunde AP-fonden kommer att behöva tillgång till ett kreditutrymme även 2001 (yrkande 13). Återbeta</w:t>
      </w:r>
      <w:r w:rsidRPr="00C9680B">
        <w:t>l</w:t>
      </w:r>
      <w:r w:rsidRPr="00C9680B">
        <w:t>ningen av krediten kommer att fastställas av regeringen när storleken på det förvaltade kapitalet bättre kan överblickas. Förvaltningskostnaderna beräknas uppgå till 35–40 miljoner kronor per år.</w:t>
      </w:r>
    </w:p>
    <w:p w:rsidR="001C7BF9" w:rsidRPr="00C9680B" w:rsidRDefault="001C7BF9">
      <w:pPr>
        <w:pStyle w:val="Rubrik4"/>
        <w:rPr>
          <w:noProof w:val="0"/>
        </w:rPr>
      </w:pPr>
      <w:bookmarkStart w:id="621" w:name="_Toc498763677"/>
      <w:bookmarkStart w:id="622" w:name="_Toc498910846"/>
      <w:r w:rsidRPr="00C9680B">
        <w:rPr>
          <w:noProof w:val="0"/>
        </w:rPr>
        <w:t>Finansutskottets ställningstagande</w:t>
      </w:r>
      <w:bookmarkEnd w:id="621"/>
      <w:bookmarkEnd w:id="622"/>
    </w:p>
    <w:p w:rsidR="001C7BF9" w:rsidRPr="00C9680B" w:rsidRDefault="001C7BF9">
      <w:r w:rsidRPr="00C9680B">
        <w:t>Utskottet tillstyrker regeringens förslag (yrkande 13).</w:t>
      </w:r>
    </w:p>
    <w:p w:rsidR="001C7BF9" w:rsidRPr="00C9680B" w:rsidRDefault="001C7BF9">
      <w:pPr>
        <w:pStyle w:val="Rubrik2"/>
      </w:pPr>
      <w:bookmarkStart w:id="623" w:name="_Toc498157154"/>
      <w:bookmarkStart w:id="624" w:name="_Toc498910847"/>
      <w:r w:rsidRPr="00C9680B">
        <w:t>4.6 Bemyndigande för ramanslag</w:t>
      </w:r>
      <w:bookmarkEnd w:id="623"/>
      <w:bookmarkEnd w:id="624"/>
    </w:p>
    <w:p w:rsidR="001C7BF9" w:rsidRPr="00C9680B" w:rsidRDefault="001C7BF9">
      <w:pPr>
        <w:pStyle w:val="Utskottsfrslagikorthet-Rubrik"/>
        <w:outlineLvl w:val="0"/>
        <w:rPr>
          <w:noProof w:val="0"/>
        </w:rPr>
      </w:pPr>
      <w:r w:rsidRPr="00C9680B">
        <w:rPr>
          <w:noProof w:val="0"/>
        </w:rPr>
        <w:t>Utskottets förslag i korthet</w:t>
      </w:r>
    </w:p>
    <w:p w:rsidR="001C7BF9" w:rsidRPr="00C9680B" w:rsidRDefault="001C7BF9">
      <w:pPr>
        <w:pStyle w:val="Utskottsfrslagikorthet-Text"/>
      </w:pPr>
      <w:r w:rsidRPr="00C9680B">
        <w:t>Regeringen får ett bemyndigande att under budgetåret 2001 besluta att ett ramanslag som inte avser förvaltningsändamål får överskr</w:t>
      </w:r>
      <w:r w:rsidRPr="00C9680B">
        <w:t>i</w:t>
      </w:r>
      <w:r w:rsidRPr="00C9680B">
        <w:t>das om vissa villkor är uppfyllda.</w:t>
      </w:r>
    </w:p>
    <w:p w:rsidR="001C7BF9" w:rsidRPr="00C9680B" w:rsidRDefault="001C7BF9">
      <w:pPr>
        <w:pStyle w:val="Rubrik4"/>
        <w:rPr>
          <w:noProof w:val="0"/>
        </w:rPr>
      </w:pPr>
      <w:bookmarkStart w:id="625" w:name="_Toc498763679"/>
      <w:bookmarkStart w:id="626" w:name="_Toc498910848"/>
      <w:r w:rsidRPr="00C9680B">
        <w:rPr>
          <w:noProof w:val="0"/>
        </w:rPr>
        <w:t>Budgetpropositionen</w:t>
      </w:r>
      <w:bookmarkEnd w:id="625"/>
      <w:bookmarkEnd w:id="626"/>
    </w:p>
    <w:p w:rsidR="001C7BF9" w:rsidRPr="00C9680B" w:rsidRDefault="001C7BF9">
      <w:r w:rsidRPr="00C9680B">
        <w:t>Enligt 6 § andra stycket lagen (1996:1059) om statsbudgeten får regeringen med riksdagens bemyndigande besluta att ett ramanslag får överskridas, om detta är nödvändigt för att i en verksamhet täcka särskilda utgifter som inte var kända då anslaget anvisades eller för att ett av riksdagen beslutat ändamål med anslaget skall kunna up</w:t>
      </w:r>
      <w:r w:rsidRPr="00C9680B">
        <w:t>p</w:t>
      </w:r>
      <w:r w:rsidRPr="00C9680B">
        <w:t>fyllas.</w:t>
      </w:r>
    </w:p>
    <w:p w:rsidR="001C7BF9" w:rsidRPr="00C9680B" w:rsidRDefault="001C7BF9">
      <w:pPr>
        <w:pStyle w:val="Normaltindrag"/>
      </w:pPr>
      <w:r w:rsidRPr="00C9680B">
        <w:t>Regeringen begär i finansplanen (avsnitt 8.4) att den bemyndigas att under budgetåret 2000 få besluta att ett ramanslag som inte avser förvaltningsänd</w:t>
      </w:r>
      <w:r w:rsidRPr="00C9680B">
        <w:t>a</w:t>
      </w:r>
      <w:r w:rsidRPr="00C9680B">
        <w:t>mål får överskridas om:</w:t>
      </w:r>
    </w:p>
    <w:p w:rsidR="001C7BF9" w:rsidRPr="00C9680B" w:rsidRDefault="001C7BF9">
      <w:pPr>
        <w:pStyle w:val="Normaltindrag"/>
      </w:pPr>
      <w:r w:rsidRPr="00C9680B">
        <w:t>1. ett riksdagsbeslut om anslag på tilläggsbudget inte hinner invä</w:t>
      </w:r>
      <w:r w:rsidRPr="00C9680B">
        <w:t>n</w:t>
      </w:r>
      <w:r w:rsidRPr="00C9680B">
        <w:t xml:space="preserve">tas, </w:t>
      </w:r>
    </w:p>
    <w:p w:rsidR="001C7BF9" w:rsidRPr="00C9680B" w:rsidRDefault="001C7BF9">
      <w:pPr>
        <w:pStyle w:val="Normaltindrag"/>
      </w:pPr>
      <w:r w:rsidRPr="00C9680B">
        <w:t>2. överskridandet ryms inom det fastställda utgiftstaket för staten.</w:t>
      </w:r>
    </w:p>
    <w:p w:rsidR="001C7BF9" w:rsidRPr="00C9680B" w:rsidRDefault="001C7BF9"/>
    <w:p w:rsidR="001C7BF9" w:rsidRPr="00C9680B" w:rsidRDefault="001C7BF9">
      <w:r w:rsidRPr="00C9680B">
        <w:t>Enligt regeringens bedömning kan oundvikliga utgiftsökningar i förhållande till anvisade medel för de flesta ramanslag rymmas inom den högsta tillåtna anslagskrediten på 10 %. Något särskilt bemyndigande som ger regeringen befogenhet att besluta om överskridande av ramanslag som anvisats för fö</w:t>
      </w:r>
      <w:r w:rsidRPr="00C9680B">
        <w:t>r</w:t>
      </w:r>
      <w:r w:rsidRPr="00C9680B">
        <w:t>valtningsändamål anser regeringen inte behöver inhämtas. Vid behov kommer ytterligare medel att begäras på tilläggsbudget.</w:t>
      </w:r>
    </w:p>
    <w:p w:rsidR="001C7BF9" w:rsidRPr="00C9680B" w:rsidRDefault="001C7BF9">
      <w:pPr>
        <w:pStyle w:val="Normaltindrag"/>
      </w:pPr>
      <w:r w:rsidRPr="00C9680B">
        <w:t xml:space="preserve"> När det gäller ramanslag som anvisats för regelstyrd verksamhet, icke p</w:t>
      </w:r>
      <w:r w:rsidRPr="00C9680B">
        <w:t>å</w:t>
      </w:r>
      <w:r w:rsidRPr="00C9680B">
        <w:t>verkbara EU-relaterade utgifter, infriande av garantier samt oförutsedda u</w:t>
      </w:r>
      <w:r w:rsidRPr="00C9680B">
        <w:t>t</w:t>
      </w:r>
      <w:r w:rsidRPr="00C9680B">
        <w:t>gifter kan så stora förändringar inträffa att utgifterna inte ryms inom den högsta tillåtna anslagskrediten. Regeringen avser i sådana fall att i första hand återkomma till riksdagen med förslag om anslag på tilläggsbudget. Förän</w:t>
      </w:r>
      <w:r w:rsidRPr="00C9680B">
        <w:t>d</w:t>
      </w:r>
      <w:r w:rsidRPr="00C9680B">
        <w:t>ringarna kan dock inträffa snabbt och betalningarna kan behöva göras utan dröjsmål. Om anslag på tilläggsbudget inte hinner anvisas bör regeringen bemyndigas att besluta om överskridande när de förutsättnin</w:t>
      </w:r>
      <w:r w:rsidRPr="00C9680B">
        <w:t>gar som anges i 6 § andra stycket är uppfyllda. Överskridandet får inte vara större än att det ryms inom det fastställda utgiftst</w:t>
      </w:r>
      <w:r w:rsidRPr="00C9680B">
        <w:t>a</w:t>
      </w:r>
      <w:r w:rsidRPr="00C9680B">
        <w:t xml:space="preserve">ket för staten. </w:t>
      </w:r>
    </w:p>
    <w:p w:rsidR="001C7BF9" w:rsidRPr="00C9680B" w:rsidRDefault="001C7BF9">
      <w:pPr>
        <w:pStyle w:val="Normaltindrag"/>
      </w:pPr>
      <w:r w:rsidRPr="00C9680B">
        <w:t>Regeringen understryker att bemyndigandet begärs för ett budgetår i sä</w:t>
      </w:r>
      <w:r w:rsidRPr="00C9680B">
        <w:t>n</w:t>
      </w:r>
      <w:r w:rsidRPr="00C9680B">
        <w:t>der och att avsikten även fortsättningsvis är att på tilläggsbudget föreslå fö</w:t>
      </w:r>
      <w:r w:rsidRPr="00C9680B">
        <w:t>r</w:t>
      </w:r>
      <w:r w:rsidRPr="00C9680B">
        <w:t>ändringar av berörda anslag som ersätter det medgivna överskridandet. I Årsredovisning för staten 1999 (skr. 1999/2000:150, s. 69–70) lämnades en redovisning för vilka anslag som regeringen medgivit överskridande under 1999. Innevarande år har regeringen ännu inte medgivit något överskridande. Ett eventuellt utnyttjande av bemyndigandet senare i år kommer att redovisas i Årsredovisning för staten 2000.</w:t>
      </w:r>
    </w:p>
    <w:p w:rsidR="001C7BF9" w:rsidRPr="00C9680B" w:rsidRDefault="001C7BF9">
      <w:pPr>
        <w:pStyle w:val="Rubrik4"/>
        <w:rPr>
          <w:noProof w:val="0"/>
        </w:rPr>
      </w:pPr>
      <w:bookmarkStart w:id="627" w:name="_Toc498763680"/>
      <w:bookmarkStart w:id="628" w:name="_Toc498910849"/>
      <w:r w:rsidRPr="00C9680B">
        <w:rPr>
          <w:noProof w:val="0"/>
        </w:rPr>
        <w:t>Finansutskottets ställning</w:t>
      </w:r>
      <w:r w:rsidRPr="00C9680B">
        <w:rPr>
          <w:noProof w:val="0"/>
        </w:rPr>
        <w:t>stagande</w:t>
      </w:r>
      <w:bookmarkEnd w:id="627"/>
      <w:bookmarkEnd w:id="628"/>
    </w:p>
    <w:p w:rsidR="001C7BF9" w:rsidRPr="00C9680B" w:rsidRDefault="001C7BF9">
      <w:r w:rsidRPr="00C9680B">
        <w:t>Utskottet noterar att det av propositionen framgår att regeringen under år 2000 inte medgivit något överskridande. Utskottet utgår från att ett eventuellt utnyttjande av bemyndigandet senare i år endast sker i begränsad omfattning och att regeringen även fortsättningsvis för riksdagen redovisar hur bemynd</w:t>
      </w:r>
      <w:r w:rsidRPr="00C9680B">
        <w:t>i</w:t>
      </w:r>
      <w:r w:rsidRPr="00C9680B">
        <w:t>gandet u</w:t>
      </w:r>
      <w:r w:rsidRPr="00C9680B">
        <w:t>t</w:t>
      </w:r>
      <w:r w:rsidRPr="00C9680B">
        <w:t>nyttjats samt hur detta har finansierats.</w:t>
      </w:r>
    </w:p>
    <w:p w:rsidR="001C7BF9" w:rsidRPr="00C9680B" w:rsidRDefault="001C7BF9">
      <w:pPr>
        <w:pStyle w:val="Normaltindrag"/>
      </w:pPr>
      <w:r w:rsidRPr="00C9680B">
        <w:t>Med detta tillstyrker utskottet regeringens förslag i finansplanen till b</w:t>
      </w:r>
      <w:r w:rsidRPr="00C9680B">
        <w:t>e</w:t>
      </w:r>
      <w:r w:rsidRPr="00C9680B">
        <w:t>mynd</w:t>
      </w:r>
      <w:r w:rsidRPr="00C9680B">
        <w:t>i</w:t>
      </w:r>
      <w:r w:rsidRPr="00C9680B">
        <w:t>gande för ramanslag (yrkande14).</w:t>
      </w:r>
    </w:p>
    <w:p w:rsidR="001C7BF9" w:rsidRPr="00C9680B" w:rsidRDefault="001C7BF9">
      <w:pPr>
        <w:pStyle w:val="Rubrik2"/>
      </w:pPr>
      <w:bookmarkStart w:id="629" w:name="_Toc498157155"/>
      <w:bookmarkStart w:id="630" w:name="_Toc498910850"/>
      <w:r w:rsidRPr="00C9680B">
        <w:t>4.7 Bemyndigande om ekonomiska förpliktelser</w:t>
      </w:r>
      <w:bookmarkEnd w:id="629"/>
      <w:bookmarkEnd w:id="630"/>
    </w:p>
    <w:p w:rsidR="001C7BF9" w:rsidRPr="00C9680B" w:rsidRDefault="001C7BF9">
      <w:pPr>
        <w:pStyle w:val="Rubrik4"/>
        <w:spacing w:before="0"/>
        <w:rPr>
          <w:noProof w:val="0"/>
        </w:rPr>
      </w:pPr>
      <w:bookmarkStart w:id="631" w:name="_Toc498763682"/>
      <w:bookmarkStart w:id="632" w:name="_Toc498910851"/>
      <w:r w:rsidRPr="00C9680B">
        <w:rPr>
          <w:noProof w:val="0"/>
        </w:rPr>
        <w:t>Propositionen</w:t>
      </w:r>
      <w:bookmarkEnd w:id="631"/>
      <w:bookmarkEnd w:id="632"/>
    </w:p>
    <w:p w:rsidR="001C7BF9" w:rsidRPr="00C9680B" w:rsidRDefault="001C7BF9">
      <w:r w:rsidRPr="00C9680B">
        <w:t>Enligt budgetlagen får regeringen, för det ändamål och med högst det belopp som riksdagen bestämmer, beställa varor eller tjänster samt besluta om b</w:t>
      </w:r>
      <w:r w:rsidRPr="00C9680B">
        <w:t>i</w:t>
      </w:r>
      <w:r w:rsidRPr="00C9680B">
        <w:t>drag, ersättning, lån eller liknande som medför utgifter även efter det år stat</w:t>
      </w:r>
      <w:r w:rsidRPr="00C9680B">
        <w:t>s</w:t>
      </w:r>
      <w:r w:rsidRPr="00C9680B">
        <w:t>budgeten avser.</w:t>
      </w:r>
    </w:p>
    <w:p w:rsidR="001C7BF9" w:rsidRPr="00C9680B" w:rsidRDefault="001C7BF9">
      <w:pPr>
        <w:pStyle w:val="Normaltindrag"/>
      </w:pPr>
      <w:r w:rsidRPr="00C9680B">
        <w:t xml:space="preserve">Regeringen redovisar översiktligt vilka ekonomiska förpliktelser som är utestående sedan tidigare och vilka ytterligare bemyndiganden som begärs för 2001. De utestående förpliktelserna sedan tidigare för 2001 uppgår till 183,5 miljarder kronor och de som regeringen nu begär bemyndigande för uppgår till 197,5 miljarder kronor. </w:t>
      </w:r>
    </w:p>
    <w:p w:rsidR="001C7BF9" w:rsidRPr="00C9680B" w:rsidRDefault="001C7BF9">
      <w:pPr>
        <w:pStyle w:val="Rubrik4"/>
        <w:rPr>
          <w:noProof w:val="0"/>
        </w:rPr>
      </w:pPr>
      <w:bookmarkStart w:id="633" w:name="_Toc498763683"/>
      <w:bookmarkStart w:id="634" w:name="_Toc498910852"/>
      <w:r w:rsidRPr="00C9680B">
        <w:rPr>
          <w:noProof w:val="0"/>
        </w:rPr>
        <w:t>Finansutskottets bedömning</w:t>
      </w:r>
      <w:bookmarkEnd w:id="633"/>
      <w:bookmarkEnd w:id="634"/>
    </w:p>
    <w:p w:rsidR="001C7BF9" w:rsidRPr="00C9680B" w:rsidRDefault="001C7BF9">
      <w:r w:rsidRPr="00C9680B">
        <w:t>Finansutskottet anser det värdefullt med en samlad redovisning av bestäl</w:t>
      </w:r>
      <w:r w:rsidRPr="00C9680B">
        <w:t>l</w:t>
      </w:r>
      <w:r w:rsidRPr="00C9680B">
        <w:t>ning</w:t>
      </w:r>
      <w:r w:rsidRPr="00C9680B">
        <w:t>s</w:t>
      </w:r>
      <w:r w:rsidRPr="00C9680B">
        <w:t xml:space="preserve">bemyndigandena avseende 2001. </w:t>
      </w:r>
    </w:p>
    <w:p w:rsidR="001C7BF9" w:rsidRPr="00C9680B" w:rsidRDefault="001C7BF9">
      <w:pPr>
        <w:pStyle w:val="Rubrik2"/>
      </w:pPr>
      <w:bookmarkStart w:id="635" w:name="_Toc498157156"/>
      <w:bookmarkStart w:id="636" w:name="_Toc498910853"/>
      <w:r w:rsidRPr="00C9680B">
        <w:t>4.8 Garantier</w:t>
      </w:r>
      <w:bookmarkEnd w:id="635"/>
      <w:bookmarkEnd w:id="636"/>
    </w:p>
    <w:p w:rsidR="001C7BF9" w:rsidRPr="00C9680B" w:rsidRDefault="001C7BF9">
      <w:pPr>
        <w:pStyle w:val="Rubrik4"/>
        <w:spacing w:before="0"/>
        <w:rPr>
          <w:noProof w:val="0"/>
        </w:rPr>
      </w:pPr>
      <w:bookmarkStart w:id="637" w:name="_Toc498763685"/>
      <w:bookmarkStart w:id="638" w:name="_Toc498910854"/>
      <w:r w:rsidRPr="00C9680B">
        <w:rPr>
          <w:noProof w:val="0"/>
        </w:rPr>
        <w:t>Propositionen</w:t>
      </w:r>
      <w:bookmarkEnd w:id="637"/>
      <w:bookmarkEnd w:id="638"/>
    </w:p>
    <w:p w:rsidR="001C7BF9" w:rsidRPr="00C9680B" w:rsidRDefault="001C7BF9">
      <w:r w:rsidRPr="00C9680B">
        <w:t>Staten har utestående ekonomiska förpliktelser i form av garantier, t.ex. kr</w:t>
      </w:r>
      <w:r w:rsidRPr="00C9680B">
        <w:t>e</w:t>
      </w:r>
      <w:r w:rsidRPr="00C9680B">
        <w:t>ditgarantier, borgen, grundfondsförbindelser, kapitaltäckningsgarantier och pensionsgarantier. Den 1 januari 1998 infördes ett nytt sätt att hantera gara</w:t>
      </w:r>
      <w:r w:rsidRPr="00C9680B">
        <w:t>n</w:t>
      </w:r>
      <w:r w:rsidRPr="00C9680B">
        <w:t>tier i staten. Det nya förfarandet innebär att risken i varje garantiengagemang beräknas och utifrån detta får garantitagaren betala en avgift som skall täcka kostnaderna för garantin. Om avgiften inte motsvarar de beräknade kostn</w:t>
      </w:r>
      <w:r w:rsidRPr="00C9680B">
        <w:t>a</w:t>
      </w:r>
      <w:r w:rsidRPr="00C9680B">
        <w:t>derna är det fråga om en statlig subvention som skall belasta anslag. Avgi</w:t>
      </w:r>
      <w:r w:rsidRPr="00C9680B">
        <w:t>f</w:t>
      </w:r>
      <w:r w:rsidRPr="00C9680B">
        <w:t>terna och eventuella anslagsmedel reserveras i en s</w:t>
      </w:r>
      <w:r w:rsidRPr="00C9680B">
        <w:t>.k. garantireserv i Rik</w:t>
      </w:r>
      <w:r w:rsidRPr="00C9680B">
        <w:t>s</w:t>
      </w:r>
      <w:r w:rsidRPr="00C9680B">
        <w:t xml:space="preserve">gäldskontoret (RGK), som skall täcka kostnader både för infriade garantier och administration. </w:t>
      </w:r>
    </w:p>
    <w:p w:rsidR="001C7BF9" w:rsidRPr="00C9680B" w:rsidRDefault="001C7BF9">
      <w:pPr>
        <w:pStyle w:val="Normaltindrag"/>
      </w:pPr>
      <w:r w:rsidRPr="00C9680B">
        <w:t>I samband med att den nya garantihanteringen infördes beslutade riksd</w:t>
      </w:r>
      <w:r w:rsidRPr="00C9680B">
        <w:t>a</w:t>
      </w:r>
      <w:r w:rsidRPr="00C9680B">
        <w:t>gen också att de garantier som utfärdades innan det nya systemet infördes skulle invärderas och infogas i den nya hanteringen. Merparten av de äldre garantierna administreras av RGK som för närvarande arbetar med att invä</w:t>
      </w:r>
      <w:r w:rsidRPr="00C9680B">
        <w:t>r</w:t>
      </w:r>
      <w:r w:rsidRPr="00C9680B">
        <w:t>dera dessa. Arbetet skall vara avslutat senast den 31 december 2001. Rik</w:t>
      </w:r>
      <w:r w:rsidRPr="00C9680B">
        <w:t>s</w:t>
      </w:r>
      <w:r w:rsidRPr="00C9680B">
        <w:t>gäldskontoret kommer under hösten 2001 att redovisa beräknade kostnader för garantierna till respektive departement så att detta kan ligga till grund för förslag till anslag för 2002. En del av de äldre garantierna a</w:t>
      </w:r>
      <w:r w:rsidRPr="00C9680B">
        <w:t>dministreras av Bostadskreditnämnden (BKN). De beräknade framtida kostnaderna för dessa garantier redovisades den 1 juli 2000 och uppgår till 3 450 miljoner kronor fr.o.m. år 2000. För att täcka dessa kostnader gör regeringen bedömningen att 600 miljoner kronor per år behöver anvisas perioden 2000–2003 och i g</w:t>
      </w:r>
      <w:r w:rsidRPr="00C9680B">
        <w:t>e</w:t>
      </w:r>
      <w:r w:rsidRPr="00C9680B">
        <w:t>nomsnitt ca 100 miljoner kronor per år under de efterföljande 10 åren. Reg</w:t>
      </w:r>
      <w:r w:rsidRPr="00C9680B">
        <w:t>e</w:t>
      </w:r>
      <w:r w:rsidRPr="00C9680B">
        <w:t>ringen avser att återkomma till riksdagen om det framöver skulle visa sig att garantireserven inte är i långsiktig balans.</w:t>
      </w:r>
    </w:p>
    <w:p w:rsidR="001C7BF9" w:rsidRPr="00C9680B" w:rsidRDefault="001C7BF9">
      <w:pPr>
        <w:pStyle w:val="Rubrik4"/>
        <w:rPr>
          <w:noProof w:val="0"/>
        </w:rPr>
      </w:pPr>
      <w:bookmarkStart w:id="639" w:name="_Toc498763686"/>
      <w:bookmarkStart w:id="640" w:name="_Toc498910855"/>
      <w:r w:rsidRPr="00C9680B">
        <w:rPr>
          <w:noProof w:val="0"/>
        </w:rPr>
        <w:t>Fi</w:t>
      </w:r>
      <w:r w:rsidRPr="00C9680B">
        <w:rPr>
          <w:noProof w:val="0"/>
        </w:rPr>
        <w:t>nansutskottets bedömning</w:t>
      </w:r>
      <w:bookmarkEnd w:id="639"/>
      <w:bookmarkEnd w:id="640"/>
    </w:p>
    <w:p w:rsidR="001C7BF9" w:rsidRPr="00C9680B" w:rsidRDefault="001C7BF9">
      <w:r w:rsidRPr="00C9680B">
        <w:t>Finansutskottet har tidigare efterfrågat information om hur invärderingen av de äldre garantierna fortskrider och välkomnar nu denna redovisning. Beträ</w:t>
      </w:r>
      <w:r w:rsidRPr="00C9680B">
        <w:t>f</w:t>
      </w:r>
      <w:r w:rsidRPr="00C9680B">
        <w:t>fande de äldre garantier som administreras av RGK anger regeringen i skr</w:t>
      </w:r>
      <w:r w:rsidRPr="00C9680B">
        <w:t>i</w:t>
      </w:r>
      <w:r w:rsidRPr="00C9680B">
        <w:t>velse 1999/2000:150 Årsredovisning för staten 1999 att preliminära berä</w:t>
      </w:r>
      <w:r w:rsidRPr="00C9680B">
        <w:t>k</w:t>
      </w:r>
      <w:r w:rsidRPr="00C9680B">
        <w:t>ningar visar att kostnaderna kan komma att uppgå till 1–2 miljarder kronor per år de kommande 15 åren. Finansutskottet är angeläget att så snart som möjligt få information om i vilken utsträckning dessa kostnader förväntas belasta statsbu</w:t>
      </w:r>
      <w:r w:rsidRPr="00C9680B">
        <w:t>d</w:t>
      </w:r>
      <w:r w:rsidRPr="00C9680B">
        <w:t>geten.</w:t>
      </w:r>
    </w:p>
    <w:p w:rsidR="001C7BF9" w:rsidRPr="00C9680B" w:rsidRDefault="001C7BF9">
      <w:pPr>
        <w:pStyle w:val="Normaltindrag"/>
      </w:pPr>
      <w:r w:rsidRPr="00C9680B">
        <w:t>Finansutskottet har i övrigt inte något att erinra mot redovisningen i prop</w:t>
      </w:r>
      <w:r w:rsidRPr="00C9680B">
        <w:t>o</w:t>
      </w:r>
      <w:r w:rsidRPr="00C9680B">
        <w:t>s</w:t>
      </w:r>
      <w:r w:rsidRPr="00C9680B">
        <w:t>i</w:t>
      </w:r>
      <w:r w:rsidRPr="00C9680B">
        <w:t>tionen.</w:t>
      </w:r>
    </w:p>
    <w:p w:rsidR="001C7BF9" w:rsidRPr="00C9680B" w:rsidRDefault="001C7BF9">
      <w:pPr>
        <w:sectPr w:rsidR="00000000" w:rsidRPr="00C9680B">
          <w:footnotePr>
            <w:numRestart w:val="eachSect"/>
          </w:footnotePr>
          <w:pgSz w:w="11906" w:h="16838" w:code="9"/>
          <w:pgMar w:top="907" w:right="4649" w:bottom="4508" w:left="1304" w:header="340" w:footer="227" w:gutter="0"/>
          <w:cols w:space="720"/>
          <w:titlePg/>
        </w:sectPr>
      </w:pPr>
    </w:p>
    <w:p w:rsidR="001C7BF9" w:rsidRPr="00C9680B" w:rsidRDefault="001C7BF9">
      <w:pPr>
        <w:pStyle w:val="Rubrik1"/>
        <w:rPr>
          <w:noProof w:val="0"/>
        </w:rPr>
      </w:pPr>
      <w:bookmarkStart w:id="641" w:name="_Toc498242621"/>
      <w:bookmarkStart w:id="642" w:name="_Toc498910856"/>
      <w:r w:rsidRPr="00C9680B">
        <w:rPr>
          <w:noProof w:val="0"/>
        </w:rPr>
        <w:t>5 Ekonomisk styrning och statlig redovisning</w:t>
      </w:r>
      <w:bookmarkEnd w:id="641"/>
      <w:bookmarkEnd w:id="642"/>
    </w:p>
    <w:p w:rsidR="001C7BF9" w:rsidRPr="00C9680B" w:rsidRDefault="001C7BF9">
      <w:pPr>
        <w:pStyle w:val="Rubrik2"/>
        <w:spacing w:before="0"/>
      </w:pPr>
      <w:bookmarkStart w:id="643" w:name="_Toc498242622"/>
      <w:bookmarkStart w:id="644" w:name="_Toc498910857"/>
      <w:r w:rsidRPr="00C9680B">
        <w:t>5.1 Årsredovisning för staten</w:t>
      </w:r>
      <w:bookmarkEnd w:id="643"/>
      <w:bookmarkEnd w:id="644"/>
      <w:r w:rsidRPr="00C9680B">
        <w:t xml:space="preserve"> </w:t>
      </w:r>
    </w:p>
    <w:p w:rsidR="001C7BF9" w:rsidRPr="00C9680B" w:rsidRDefault="001C7BF9">
      <w:pPr>
        <w:pStyle w:val="Utskottsfrslagikorthet-Rubrik"/>
        <w:outlineLvl w:val="0"/>
        <w:rPr>
          <w:noProof w:val="0"/>
        </w:rPr>
      </w:pPr>
      <w:r w:rsidRPr="00C9680B">
        <w:rPr>
          <w:noProof w:val="0"/>
        </w:rPr>
        <w:t>Utskottets förslag i korthet</w:t>
      </w:r>
    </w:p>
    <w:p w:rsidR="001C7BF9" w:rsidRPr="00C9680B" w:rsidRDefault="001C7BF9">
      <w:pPr>
        <w:pStyle w:val="Utskottsfrslagikorthet-Text"/>
      </w:pPr>
      <w:r w:rsidRPr="00C9680B">
        <w:t>Riksdagen beslutar att regeringens skrivelse 1999/2000:150 Årsr</w:t>
      </w:r>
      <w:r w:rsidRPr="00C9680B">
        <w:t>e</w:t>
      </w:r>
      <w:r w:rsidRPr="00C9680B">
        <w:t>dovi</w:t>
      </w:r>
      <w:r w:rsidRPr="00C9680B">
        <w:t>s</w:t>
      </w:r>
      <w:r w:rsidRPr="00C9680B">
        <w:t>ning för staten 1999 läggs till handlingarna.</w:t>
      </w:r>
    </w:p>
    <w:p w:rsidR="001C7BF9" w:rsidRPr="00C9680B" w:rsidRDefault="001C7BF9">
      <w:pPr>
        <w:pStyle w:val="R4"/>
        <w:outlineLvl w:val="0"/>
        <w:rPr>
          <w:i w:val="0"/>
        </w:rPr>
      </w:pPr>
      <w:r w:rsidRPr="00C9680B">
        <w:t>Regeringens skrivelse 1999/2000:150</w:t>
      </w:r>
    </w:p>
    <w:p w:rsidR="001C7BF9" w:rsidRPr="00C9680B" w:rsidRDefault="001C7BF9">
      <w:r w:rsidRPr="00C9680B">
        <w:t>Enligt lagen (1996:1059) om statsbudgeten skall regeringen så snart som möjligt, dock senast nio månader efter budgetårets utgång, se till att en årsr</w:t>
      </w:r>
      <w:r w:rsidRPr="00C9680B">
        <w:t>e</w:t>
      </w:r>
      <w:r w:rsidRPr="00C9680B">
        <w:t>dovisning för staten lämnas till riksdagen. Enligt lagen skall årsredovisningen innehålla resultaträkning, balansräkning och finansieringsanalys samt det slutliga utfallet på statsbudgetens inkomsttitlar och anslag. Lagen stadgar också att regeringen är redovisningsskyldig inför riksdagen för statens medel och övriga tillgångar som står till regeringens disposition. Redovisningssky</w:t>
      </w:r>
      <w:r w:rsidRPr="00C9680B">
        <w:t>l</w:t>
      </w:r>
      <w:r w:rsidRPr="00C9680B">
        <w:t>digheten omfattar även den verksamhet som bedrivs av staten samt statens skulder och övriga ekonomiska förpliktelser.</w:t>
      </w:r>
    </w:p>
    <w:p w:rsidR="001C7BF9" w:rsidRPr="00C9680B" w:rsidRDefault="001C7BF9">
      <w:pPr>
        <w:pStyle w:val="Normaltindrag"/>
      </w:pPr>
      <w:r w:rsidRPr="00C9680B">
        <w:t>I regeri</w:t>
      </w:r>
      <w:r w:rsidRPr="00C9680B">
        <w:t>ngens skrivelse 1999/2000:150 lämnar regeringen en redogörelse för det ekonomiska utfallet i staten för 1999. Skrivelsen omfattar resultaträ</w:t>
      </w:r>
      <w:r w:rsidRPr="00C9680B">
        <w:t>k</w:t>
      </w:r>
      <w:r w:rsidRPr="00C9680B">
        <w:t>ning, balansräkning och finansieringsanalys samt det slutliga utfallet på stat</w:t>
      </w:r>
      <w:r w:rsidRPr="00C9680B">
        <w:t>s</w:t>
      </w:r>
      <w:r w:rsidRPr="00C9680B">
        <w:t>budgetens inkomsttitlar och anslag under året. Vidare lämnas en redogörelse för avgiftsbelagd verksamhet och statliga garantier. Vissa generella iakttage</w:t>
      </w:r>
      <w:r w:rsidRPr="00C9680B">
        <w:t>l</w:t>
      </w:r>
      <w:r w:rsidRPr="00C9680B">
        <w:t xml:space="preserve">ser som Riksrevisionsverket har gjort under året redovisas och kommenteras i skrivelsen. Myndigheter som har fått revisionsberättelse med </w:t>
      </w:r>
      <w:r w:rsidRPr="00C9680B">
        <w:t>invändning omnämns och skälen för invändningarna anges.</w:t>
      </w:r>
    </w:p>
    <w:p w:rsidR="001C7BF9" w:rsidRPr="00C9680B" w:rsidRDefault="001C7BF9">
      <w:pPr>
        <w:pStyle w:val="Normaltindrag"/>
      </w:pPr>
      <w:r w:rsidRPr="00C9680B">
        <w:t>Det är nu tredje gången som återrapporteringen till riksdagen sker i en s</w:t>
      </w:r>
      <w:r w:rsidRPr="00C9680B">
        <w:t>e</w:t>
      </w:r>
      <w:r w:rsidRPr="00C9680B">
        <w:t>parat skrivelse. Motsvarande redogörelse har tidigare lämnats i budgetprop</w:t>
      </w:r>
      <w:r w:rsidRPr="00C9680B">
        <w:t>o</w:t>
      </w:r>
      <w:r w:rsidRPr="00C9680B">
        <w:t>sitionen.</w:t>
      </w:r>
    </w:p>
    <w:p w:rsidR="001C7BF9" w:rsidRPr="00C9680B" w:rsidRDefault="001C7BF9">
      <w:pPr>
        <w:pStyle w:val="Rubrik4"/>
        <w:rPr>
          <w:noProof w:val="0"/>
        </w:rPr>
      </w:pPr>
      <w:bookmarkStart w:id="645" w:name="_Toc498763689"/>
      <w:bookmarkStart w:id="646" w:name="_Toc498910858"/>
      <w:r w:rsidRPr="00C9680B">
        <w:rPr>
          <w:noProof w:val="0"/>
        </w:rPr>
        <w:t>Utrikesutskottets yttrande</w:t>
      </w:r>
      <w:bookmarkEnd w:id="645"/>
      <w:bookmarkEnd w:id="646"/>
    </w:p>
    <w:p w:rsidR="001C7BF9" w:rsidRPr="00C9680B" w:rsidRDefault="001C7BF9">
      <w:r w:rsidRPr="00C9680B">
        <w:t>Utrikesutskottet har tidigare (yttrande 1999/2000:UU6y) noterat avvikelser mellan årsredovisningen för staten och budgetpropositionen. Inför grans</w:t>
      </w:r>
      <w:r w:rsidRPr="00C9680B">
        <w:t>k</w:t>
      </w:r>
      <w:r w:rsidRPr="00C9680B">
        <w:t>ningen av årsredovisningen för 1999 har utskottet erfarit från Ekonomisty</w:t>
      </w:r>
      <w:r w:rsidRPr="00C9680B">
        <w:t>r</w:t>
      </w:r>
      <w:r w:rsidRPr="00C9680B">
        <w:t>ningsverket att samma slags fel fortfarande finns i redovisningen och att arbete för att rätta till felen pågår. Mot denna bakgrund har utskottet inte företagit någon mer genomgripa</w:t>
      </w:r>
      <w:r w:rsidRPr="00C9680B">
        <w:t>n</w:t>
      </w:r>
      <w:r w:rsidRPr="00C9680B">
        <w:t>de granskning av siffermaterialet.</w:t>
      </w:r>
    </w:p>
    <w:p w:rsidR="001C7BF9" w:rsidRPr="00C9680B" w:rsidRDefault="001C7BF9">
      <w:pPr>
        <w:pStyle w:val="Normaltindrag"/>
      </w:pPr>
      <w:r w:rsidRPr="00C9680B">
        <w:t>Utskottet noterar också att det framgår av skrivelsen att resultatredovi</w:t>
      </w:r>
      <w:r w:rsidRPr="00C9680B">
        <w:t>s</w:t>
      </w:r>
      <w:r w:rsidRPr="00C9680B">
        <w:t>ningen från Svenska institutet inte uppfyller återrapporteringskraven enligt regleringsbrevet. Regeringen konstaterar i budgetpropositionen för 2001 att Svenska institutet genomför en genomgripande rekonstruktion av sin ekon</w:t>
      </w:r>
      <w:r w:rsidRPr="00C9680B">
        <w:t>o</w:t>
      </w:r>
      <w:r w:rsidRPr="00C9680B">
        <w:t>miadministration. Regeringen bedömer på grundval av utvärdering och efter en löpande dialog med myndi</w:t>
      </w:r>
      <w:r w:rsidRPr="00C9680B">
        <w:t>g</w:t>
      </w:r>
      <w:r w:rsidRPr="00C9680B">
        <w:t>heten att målen för verksamheten uppfyllts väl.</w:t>
      </w:r>
    </w:p>
    <w:p w:rsidR="001C7BF9" w:rsidRPr="00C9680B" w:rsidRDefault="001C7BF9">
      <w:pPr>
        <w:pStyle w:val="Normaltindrag"/>
      </w:pPr>
      <w:r w:rsidRPr="00C9680B">
        <w:t>Utskottet anser att de vidtagna åtgärderna förefaller lämpliga och änd</w:t>
      </w:r>
      <w:r w:rsidRPr="00C9680B">
        <w:t>a</w:t>
      </w:r>
      <w:r w:rsidRPr="00C9680B">
        <w:t>målsenliga och utgår från att regeringen återrapporterar i frågan när åtgärde</w:t>
      </w:r>
      <w:r w:rsidRPr="00C9680B">
        <w:t>r</w:t>
      </w:r>
      <w:r w:rsidRPr="00C9680B">
        <w:t>na är genomförda.</w:t>
      </w:r>
    </w:p>
    <w:p w:rsidR="001C7BF9" w:rsidRPr="00C9680B" w:rsidRDefault="001C7BF9">
      <w:pPr>
        <w:pStyle w:val="R4"/>
        <w:outlineLvl w:val="0"/>
      </w:pPr>
      <w:r w:rsidRPr="00C9680B">
        <w:t>Finansutskottets ställningstagande</w:t>
      </w:r>
    </w:p>
    <w:p w:rsidR="001C7BF9" w:rsidRPr="00C9680B" w:rsidRDefault="001C7BF9">
      <w:pPr>
        <w:spacing w:before="60"/>
      </w:pPr>
      <w:r w:rsidRPr="00C9680B">
        <w:t>Utskottet anser att regeringens skrivelse till riksdagen om det ekonomiska utfallet i staten har förbättrats sedan föregående år. Regeringen har i allt v</w:t>
      </w:r>
      <w:r w:rsidRPr="00C9680B">
        <w:t>ä</w:t>
      </w:r>
      <w:r w:rsidRPr="00C9680B">
        <w:t>sentligt beaktat synpunkterna som utskottet lämnade i samband med behan</w:t>
      </w:r>
      <w:r w:rsidRPr="00C9680B">
        <w:t>d</w:t>
      </w:r>
      <w:r w:rsidRPr="00C9680B">
        <w:t>lingen av förra årets motsvarande skrivelse. När det gäller redovisningens avgränsning, omfattning och struktur förutsätter utskottet att utvecklingsa</w:t>
      </w:r>
      <w:r w:rsidRPr="00C9680B">
        <w:t>r</w:t>
      </w:r>
      <w:r w:rsidRPr="00C9680B">
        <w:t>betet fortsätter, närmast inom ramen för det s.k. VESTA-projektet.</w:t>
      </w:r>
    </w:p>
    <w:p w:rsidR="001C7BF9" w:rsidRPr="00C9680B" w:rsidRDefault="001C7BF9">
      <w:pPr>
        <w:pStyle w:val="Normaltindrag"/>
      </w:pPr>
      <w:r w:rsidRPr="00C9680B">
        <w:t>Utskottet välkomnar att redovisningen av de statliga garantierna nu är fy</w:t>
      </w:r>
      <w:r w:rsidRPr="00C9680B">
        <w:t>l</w:t>
      </w:r>
      <w:r w:rsidRPr="00C9680B">
        <w:t>ligare än tidigare år. Redovisningen av de långsiktigt förväntade kostnaderna för garantiverksamheten framgår tydligare och uppdelningen mellan insät</w:t>
      </w:r>
      <w:r w:rsidRPr="00C9680B">
        <w:t>t</w:t>
      </w:r>
      <w:r w:rsidRPr="00C9680B">
        <w:t>ningsgarantier och andra garantier har förbättrats. Redogörelsen pekar prel</w:t>
      </w:r>
      <w:r w:rsidRPr="00C9680B">
        <w:t>i</w:t>
      </w:r>
      <w:r w:rsidRPr="00C9680B">
        <w:t>minärt på att kostnaderna för garantiverksamheten kan komma att uppgå till betydande belopp ett stort antal år framåt i tiden. Utskottet är angeläget om att allteftersom arbetet med att lyfta in de äldre garantierna i den nya hanteringen fortskrider få information om de beräknade stat</w:t>
      </w:r>
      <w:r w:rsidRPr="00C9680B">
        <w:t>sfinansiella konsekvenserna av garantiverksamheten.</w:t>
      </w:r>
    </w:p>
    <w:p w:rsidR="001C7BF9" w:rsidRPr="00C9680B" w:rsidRDefault="001C7BF9">
      <w:pPr>
        <w:pStyle w:val="Normaltindrag"/>
      </w:pPr>
      <w:r w:rsidRPr="00C9680B">
        <w:t>Regeringen redovisar att man har för avsikt att från och med 2001 lämna årsredovisningen för staten till riksdagen samtidigt som den ekonomiska vårpropositionen dvs. senast den 15 april, vilket innebär en tidigareläggning med ca en och en halv månad. Utskottet har tidigare efterfrågat en tidigar</w:t>
      </w:r>
      <w:r w:rsidRPr="00C9680B">
        <w:t>e</w:t>
      </w:r>
      <w:r w:rsidRPr="00C9680B">
        <w:t>läggning av skrivelsen för att den på ett bättre sätt skall kunna utgöra unde</w:t>
      </w:r>
      <w:r w:rsidRPr="00C9680B">
        <w:t>r</w:t>
      </w:r>
      <w:r w:rsidRPr="00C9680B">
        <w:t>lag för riksdagens arbete och välkomnar att regeringen tillmötesgår detta önskemål.</w:t>
      </w:r>
    </w:p>
    <w:p w:rsidR="001C7BF9" w:rsidRPr="00C9680B" w:rsidRDefault="001C7BF9">
      <w:pPr>
        <w:pStyle w:val="Normaltindrag"/>
      </w:pPr>
      <w:r w:rsidRPr="00C9680B">
        <w:t>Vad gäller redovisningen av Riksrevisionsverkets iakttagelser med anle</w:t>
      </w:r>
      <w:r w:rsidRPr="00C9680B">
        <w:t>d</w:t>
      </w:r>
      <w:r w:rsidRPr="00C9680B">
        <w:t xml:space="preserve">ning av effektivitetsrevisionen kan utskottet också konstatera att materialet nu blivit fylligare. </w:t>
      </w:r>
    </w:p>
    <w:p w:rsidR="001C7BF9" w:rsidRPr="00C9680B" w:rsidRDefault="001C7BF9">
      <w:pPr>
        <w:pStyle w:val="Normaltindrag"/>
      </w:pPr>
      <w:r w:rsidRPr="00C9680B">
        <w:t>Utskottet konstaterar att utrikesutskottet inte har något att erinra mot de å</w:t>
      </w:r>
      <w:r w:rsidRPr="00C9680B">
        <w:t>t</w:t>
      </w:r>
      <w:r w:rsidRPr="00C9680B">
        <w:t>gärder regeringen och berörda myndigheter vidtagit vad beträffar de frågor utr</w:t>
      </w:r>
      <w:r w:rsidRPr="00C9680B">
        <w:t>i</w:t>
      </w:r>
      <w:r w:rsidRPr="00C9680B">
        <w:t>kesutskottet tar upp i sitt yttrande.</w:t>
      </w:r>
    </w:p>
    <w:p w:rsidR="001C7BF9" w:rsidRPr="00C9680B" w:rsidRDefault="001C7BF9">
      <w:pPr>
        <w:pStyle w:val="Normaltindrag"/>
      </w:pPr>
      <w:r w:rsidRPr="00C9680B">
        <w:t>Utskottet uppskattar också den komplettering som regeringen gjort genom att lägga till ett kapitel om sambanden mellan resultaträkningen och statsbu</w:t>
      </w:r>
      <w:r w:rsidRPr="00C9680B">
        <w:t>d</w:t>
      </w:r>
      <w:r w:rsidRPr="00C9680B">
        <w:t>geten. Riksdagens revisorer framförde i sitt yttrande angående årsredovi</w:t>
      </w:r>
      <w:r w:rsidRPr="00C9680B">
        <w:t>s</w:t>
      </w:r>
      <w:r w:rsidRPr="00C9680B">
        <w:t>ningen för staten 1998 kritik mot att de stora skillnaderna mellan resultaträ</w:t>
      </w:r>
      <w:r w:rsidRPr="00C9680B">
        <w:t>k</w:t>
      </w:r>
      <w:r w:rsidRPr="00C9680B">
        <w:t>ningen och statsbudgeten gjorde informationen svårtolkad i vissa avseenden. Inom ramen för det s.k. VESTA-projektet pågår arbete med att långsiktigt lösa dessa problem. Utskottet anser att den förbättrade redovisningen av sa</w:t>
      </w:r>
      <w:r w:rsidRPr="00C9680B">
        <w:t>m</w:t>
      </w:r>
      <w:r w:rsidRPr="00C9680B">
        <w:t>banden mellan redovisningsbegreppen är ett steg i rätt riktning.</w:t>
      </w:r>
    </w:p>
    <w:p w:rsidR="001C7BF9" w:rsidRPr="00C9680B" w:rsidRDefault="001C7BF9">
      <w:pPr>
        <w:pStyle w:val="Normaltindrag"/>
      </w:pPr>
      <w:r w:rsidRPr="00C9680B">
        <w:t xml:space="preserve">Beträffande redovisningen av avgifter till och bidrag från EU finns i </w:t>
      </w:r>
      <w:r w:rsidRPr="00C9680B">
        <w:t>årsr</w:t>
      </w:r>
      <w:r w:rsidRPr="00C9680B">
        <w:t>e</w:t>
      </w:r>
      <w:r w:rsidRPr="00C9680B">
        <w:t>dovisningen för staten en bilaga som bl.a. innehåller en sammanfattning av de kassamässiga flödena mellan EU och statsbudgeten under perioden 1996–1999. Regeringen framhåller att det redovisade materialet inte ger en helhetsbild av EU-medlemskapets effekter på statsbudgeten. Redovisningen har sedan föregående år kompletterats med information över vilka anslag som huvu</w:t>
      </w:r>
      <w:r w:rsidRPr="00C9680B">
        <w:t>d</w:t>
      </w:r>
      <w:r w:rsidRPr="00C9680B">
        <w:t>sakligen är finansierade från EG:s strukturfonder och jordbruksfond. Utsko</w:t>
      </w:r>
      <w:r w:rsidRPr="00C9680B">
        <w:t>t</w:t>
      </w:r>
      <w:r w:rsidRPr="00C9680B">
        <w:t>tet välkomnar denna komplettering.</w:t>
      </w:r>
    </w:p>
    <w:p w:rsidR="001C7BF9" w:rsidRPr="00C9680B" w:rsidRDefault="001C7BF9">
      <w:pPr>
        <w:pStyle w:val="Normaltindrag"/>
      </w:pPr>
      <w:r w:rsidRPr="00C9680B">
        <w:t>Med det anförda föreslår u</w:t>
      </w:r>
      <w:r w:rsidRPr="00C9680B">
        <w:t>tskottet att regeringens skrivelse 1999/2000:150 Årsredovisning för staten läggs till handlingarna.</w:t>
      </w:r>
    </w:p>
    <w:p w:rsidR="001C7BF9" w:rsidRPr="00C9680B" w:rsidRDefault="001C7BF9">
      <w:pPr>
        <w:pStyle w:val="Rubrik2"/>
      </w:pPr>
      <w:bookmarkStart w:id="647" w:name="_Toc498242623"/>
      <w:bookmarkStart w:id="648" w:name="_Toc498910859"/>
      <w:r w:rsidRPr="00C9680B">
        <w:t>5.2 Indelningen i politikområden och utvecklingen av den ekonomiska styrningen</w:t>
      </w:r>
      <w:bookmarkEnd w:id="647"/>
      <w:bookmarkEnd w:id="648"/>
    </w:p>
    <w:p w:rsidR="001C7BF9" w:rsidRPr="00C9680B" w:rsidRDefault="001C7BF9">
      <w:pPr>
        <w:pStyle w:val="Utskottsfrslagikorthet-Rubrik"/>
        <w:outlineLvl w:val="0"/>
        <w:rPr>
          <w:noProof w:val="0"/>
        </w:rPr>
      </w:pPr>
      <w:r w:rsidRPr="00C9680B">
        <w:rPr>
          <w:noProof w:val="0"/>
        </w:rPr>
        <w:t>Utskottets bedömning i korthet</w:t>
      </w:r>
    </w:p>
    <w:p w:rsidR="001C7BF9" w:rsidRPr="00C9680B" w:rsidRDefault="001C7BF9">
      <w:pPr>
        <w:pStyle w:val="Utskottsfrslagikorthet-Text"/>
      </w:pPr>
      <w:r w:rsidRPr="00C9680B">
        <w:t>Indelningen i politikområden kan ge förutsättningar för väl form</w:t>
      </w:r>
      <w:r w:rsidRPr="00C9680B">
        <w:t>u</w:t>
      </w:r>
      <w:r w:rsidRPr="00C9680B">
        <w:t>lerade mål inom ramen för resultatstyrningen. Utskottet förutsätter att regeringen under det fortsatta utvecklingsarbetet beaktar vad i</w:t>
      </w:r>
      <w:r w:rsidRPr="00C9680B">
        <w:t>n</w:t>
      </w:r>
      <w:r w:rsidRPr="00C9680B">
        <w:t>delningen i politikområden får för konsekvenser för riksdagen.</w:t>
      </w:r>
    </w:p>
    <w:p w:rsidR="001C7BF9" w:rsidRPr="00C9680B" w:rsidRDefault="001C7BF9">
      <w:pPr>
        <w:pStyle w:val="R4"/>
        <w:outlineLvl w:val="0"/>
      </w:pPr>
      <w:r w:rsidRPr="00C9680B">
        <w:t>Propositionen</w:t>
      </w:r>
    </w:p>
    <w:p w:rsidR="001C7BF9" w:rsidRPr="00C9680B" w:rsidRDefault="001C7BF9">
      <w:r w:rsidRPr="00C9680B">
        <w:t>Regeringen har i budgetpropositionen indelat statsbudgeten i 47 politik</w:t>
      </w:r>
      <w:r w:rsidRPr="00C9680B">
        <w:softHyphen/>
        <w:t>områden. Den redogör för politikområdena i avsnitt 7.5 (s. 177–195</w:t>
      </w:r>
      <w:r w:rsidRPr="00C9680B">
        <w:rPr>
          <w:sz w:val="21"/>
        </w:rPr>
        <w:t>)</w:t>
      </w:r>
      <w:r w:rsidRPr="00C9680B">
        <w:t>. I kap</w:t>
      </w:r>
      <w:r w:rsidRPr="00C9680B">
        <w:t>i</w:t>
      </w:r>
      <w:r w:rsidRPr="00C9680B">
        <w:t>tel 10 beskrivs politikområdenas betydelse för det utvecklingsarbete som rege</w:t>
      </w:r>
      <w:r w:rsidRPr="00C9680B">
        <w:softHyphen/>
        <w:t>ringen bedriver.</w:t>
      </w:r>
    </w:p>
    <w:p w:rsidR="001C7BF9" w:rsidRPr="00C9680B" w:rsidRDefault="001C7BF9">
      <w:pPr>
        <w:pStyle w:val="Normaltindrag"/>
      </w:pPr>
      <w:r w:rsidRPr="00C9680B">
        <w:t>Indelningen av statlig verksamhet i politikområden är ett led i utvecklingen av den ekonomiska styrningen. Den ekono</w:t>
      </w:r>
      <w:r w:rsidRPr="00C9680B">
        <w:softHyphen/>
        <w:t>miska styrningens uppgift är att skapa förutsättningar för en god kontroll av statens finanser, resursallokering i enlighet med politiska prioriteringar samt hög produktivitet och effektivitet i användandet av statens resurser.</w:t>
      </w:r>
    </w:p>
    <w:p w:rsidR="001C7BF9" w:rsidRPr="00C9680B" w:rsidRDefault="001C7BF9">
      <w:pPr>
        <w:pStyle w:val="Normaltindrag"/>
      </w:pPr>
      <w:r w:rsidRPr="00C9680B">
        <w:t>Politikområdesindelningen syftar till att möjliggöra en bättre koppling mellan mål, kostnader och resultat. Arbetet med att dela in utgiftsområden i politik</w:t>
      </w:r>
      <w:r w:rsidRPr="00C9680B">
        <w:softHyphen/>
        <w:t xml:space="preserve">områden har utgått från en sammanvägning av följande kriterier (prop. 2000/01:1, s. 177): </w:t>
      </w:r>
    </w:p>
    <w:p w:rsidR="001C7BF9" w:rsidRPr="00C9680B" w:rsidRDefault="001C7BF9">
      <w:pPr>
        <w:numPr>
          <w:ilvl w:val="0"/>
          <w:numId w:val="1241"/>
        </w:numPr>
      </w:pPr>
      <w:r w:rsidRPr="00C9680B">
        <w:t>politisk relevans,</w:t>
      </w:r>
    </w:p>
    <w:p w:rsidR="001C7BF9" w:rsidRPr="00C9680B" w:rsidRDefault="001C7BF9">
      <w:pPr>
        <w:numPr>
          <w:ilvl w:val="0"/>
          <w:numId w:val="1241"/>
        </w:numPr>
      </w:pPr>
      <w:r w:rsidRPr="00C9680B">
        <w:t xml:space="preserve">statsfinansiellt lämpliga avgränsningar med hänsyn till beloppens storlek och möjligheten att göra meningsfulla prioriteringar inom ramarna, </w:t>
      </w:r>
    </w:p>
    <w:p w:rsidR="001C7BF9" w:rsidRPr="00C9680B" w:rsidRDefault="001C7BF9">
      <w:pPr>
        <w:numPr>
          <w:ilvl w:val="0"/>
          <w:numId w:val="1241"/>
        </w:numPr>
      </w:pPr>
      <w:r w:rsidRPr="00C9680B">
        <w:t xml:space="preserve">organisatorisk tillhörighet, </w:t>
      </w:r>
    </w:p>
    <w:p w:rsidR="001C7BF9" w:rsidRPr="00C9680B" w:rsidRDefault="001C7BF9">
      <w:pPr>
        <w:numPr>
          <w:ilvl w:val="0"/>
          <w:numId w:val="1241"/>
        </w:numPr>
      </w:pPr>
      <w:r w:rsidRPr="00C9680B">
        <w:t xml:space="preserve">uppföljningsbarhet och </w:t>
      </w:r>
    </w:p>
    <w:p w:rsidR="001C7BF9" w:rsidRPr="00C9680B" w:rsidRDefault="001C7BF9">
      <w:pPr>
        <w:numPr>
          <w:ilvl w:val="0"/>
          <w:numId w:val="1241"/>
        </w:numPr>
      </w:pPr>
      <w:r w:rsidRPr="00C9680B">
        <w:t>a</w:t>
      </w:r>
      <w:r w:rsidRPr="00C9680B">
        <w:t>d</w:t>
      </w:r>
      <w:r w:rsidRPr="00C9680B">
        <w:t xml:space="preserve">ministrativ enkelhet. </w:t>
      </w:r>
    </w:p>
    <w:p w:rsidR="001C7BF9" w:rsidRPr="00C9680B" w:rsidRDefault="001C7BF9">
      <w:r w:rsidRPr="00C9680B">
        <w:t>Vissa politikområden omfattar verksamheter som i sin helhet ryms inom ett utgiftsområde. Ett politikområde kan även omfatta en begränsad del av en ver</w:t>
      </w:r>
      <w:r w:rsidRPr="00C9680B">
        <w:t>k</w:t>
      </w:r>
      <w:r w:rsidRPr="00C9680B">
        <w:t>samhet som bedrivs inom ett utgiftsområde. Det finns även politikom</w:t>
      </w:r>
      <w:r w:rsidRPr="00C9680B">
        <w:softHyphen/>
        <w:t xml:space="preserve">råden som berör flera utgiftsområden. </w:t>
      </w:r>
    </w:p>
    <w:p w:rsidR="001C7BF9" w:rsidRPr="00C9680B" w:rsidRDefault="001C7BF9">
      <w:pPr>
        <w:pStyle w:val="Normaltindrag"/>
      </w:pPr>
      <w:r w:rsidRPr="00C9680B">
        <w:t>En myndighets hemvist inom ett politikområde bestäms av verksamhetens h</w:t>
      </w:r>
      <w:r w:rsidRPr="00C9680B">
        <w:t>u</w:t>
      </w:r>
      <w:r w:rsidRPr="00C9680B">
        <w:t>vudsakliga inriktning. Denna utgångspunkt har legat till grund för fördel</w:t>
      </w:r>
      <w:r w:rsidRPr="00C9680B">
        <w:softHyphen/>
        <w:t>ningen av anslag mellan politikområden. Myndigheternas förvaltningskostna</w:t>
      </w:r>
      <w:r w:rsidRPr="00C9680B">
        <w:softHyphen/>
        <w:t>der har inte fördelats på berörda politikområden. Det innebär att redovisade utgifter per politikområde inte ger en fullständig bild av politikområdenas verkliga omfat</w:t>
      </w:r>
      <w:r w:rsidRPr="00C9680B">
        <w:t>t</w:t>
      </w:r>
      <w:r w:rsidRPr="00C9680B">
        <w:t xml:space="preserve">ning. </w:t>
      </w:r>
    </w:p>
    <w:p w:rsidR="001C7BF9" w:rsidRPr="00C9680B" w:rsidRDefault="001C7BF9">
      <w:pPr>
        <w:pStyle w:val="Normaltindrag"/>
      </w:pPr>
      <w:r w:rsidRPr="00C9680B">
        <w:t>För varje politikområde fastställs ett eller flera mål.</w:t>
      </w:r>
    </w:p>
    <w:p w:rsidR="001C7BF9" w:rsidRPr="00C9680B" w:rsidRDefault="001C7BF9">
      <w:pPr>
        <w:pStyle w:val="Normaltindrag"/>
      </w:pPr>
      <w:r w:rsidRPr="00C9680B">
        <w:t>Politikområdena har utarbetats inom ramen för den s.k. målöversynen (e</w:t>
      </w:r>
      <w:r w:rsidRPr="00C9680B">
        <w:t>l</w:t>
      </w:r>
      <w:r w:rsidRPr="00C9680B">
        <w:t>ler tvåårsöversynen) vid Finansdepartementet. I budgetpropositionen (volym 1, kap. 7) lämnar regeringen en översiktlig redovisning av samtliga politiko</w:t>
      </w:r>
      <w:r w:rsidRPr="00C9680B">
        <w:t>m</w:t>
      </w:r>
      <w:r w:rsidRPr="00C9680B">
        <w:t>råden, deras omfattning, mål och inriktning samt information om hur stat</w:t>
      </w:r>
      <w:r w:rsidRPr="00C9680B">
        <w:t>s</w:t>
      </w:r>
      <w:r w:rsidRPr="00C9680B">
        <w:t>budgeten fördelas på politikomr</w:t>
      </w:r>
      <w:r w:rsidRPr="00C9680B">
        <w:t>å</w:t>
      </w:r>
      <w:r w:rsidRPr="00C9680B">
        <w:t xml:space="preserve">den. </w:t>
      </w:r>
    </w:p>
    <w:p w:rsidR="001C7BF9" w:rsidRPr="00C9680B" w:rsidRDefault="001C7BF9">
      <w:pPr>
        <w:pStyle w:val="Normaltindrag"/>
      </w:pPr>
      <w:r w:rsidRPr="00C9680B">
        <w:t>Presentationen av politikområdena utgör ett första steg mot en ny bu</w:t>
      </w:r>
      <w:r w:rsidRPr="00C9680B">
        <w:t>d</w:t>
      </w:r>
      <w:r w:rsidRPr="00C9680B">
        <w:t>getstruktur som är verksamhetsindelad och där redovisningsprincipen blir kostnadsmässig. I ett andra steg kommer verksamhet</w:t>
      </w:r>
      <w:r w:rsidRPr="00C9680B">
        <w:t>s</w:t>
      </w:r>
      <w:r w:rsidRPr="00C9680B">
        <w:t>strukturen under politik</w:t>
      </w:r>
      <w:r w:rsidRPr="00C9680B">
        <w:softHyphen/>
        <w:t>områdesnivån och mål för denna att arbetas fram. Framöver kommer arbetet i Regeringskansliet att inriktas mot att för varje politikområde ta fram uppföl</w:t>
      </w:r>
      <w:r w:rsidRPr="00C9680B">
        <w:t>j</w:t>
      </w:r>
      <w:r w:rsidRPr="00C9680B">
        <w:t>nings- och utvärderingsstr</w:t>
      </w:r>
      <w:r w:rsidRPr="00C9680B">
        <w:t>a</w:t>
      </w:r>
      <w:r w:rsidRPr="00C9680B">
        <w:t>tegier (prop. 2000/01:1, s. 245).</w:t>
      </w:r>
    </w:p>
    <w:p w:rsidR="001C7BF9" w:rsidRPr="00C9680B" w:rsidRDefault="001C7BF9">
      <w:pPr>
        <w:pStyle w:val="R4"/>
        <w:outlineLvl w:val="0"/>
      </w:pPr>
      <w:r w:rsidRPr="00C9680B">
        <w:t>Yttrandena</w:t>
      </w:r>
    </w:p>
    <w:p w:rsidR="001C7BF9" w:rsidRPr="00C9680B" w:rsidRDefault="001C7BF9">
      <w:r w:rsidRPr="00C9680B">
        <w:rPr>
          <w:i/>
        </w:rPr>
        <w:t>Justitieutskottet</w:t>
      </w:r>
      <w:r w:rsidRPr="00C9680B">
        <w:t xml:space="preserve"> anger i sitt yttrande (JuU1y) att det kan se många fördelar med indelningen i politikområden. Det finns emellertid också en del fråg</w:t>
      </w:r>
      <w:r w:rsidRPr="00C9680B">
        <w:t>e</w:t>
      </w:r>
      <w:r w:rsidRPr="00C9680B">
        <w:t>tecken. Justitieutskottet vill särskilt peka på de problem som uppstår när beredningsansvaret för ett politikområde enligt riksdagsordningen är delat på flera utskott. Som exempel nämns att justitieutskottet beretts tillfälle att yttra sig till skatteutskottet över målen för utgiftsområde 3 såvitt avser utsökning</w:t>
      </w:r>
      <w:r w:rsidRPr="00C9680B">
        <w:t>s</w:t>
      </w:r>
      <w:r w:rsidRPr="00C9680B">
        <w:t>väsendet. Justitieutskottet, som också uppmärksammar att regeri</w:t>
      </w:r>
      <w:r w:rsidRPr="00C9680B">
        <w:t>ngens syn på förhållandet mellan mål för utgiftsområden och mål för politikområden inte har klargjorts i propositionen, utesluter inte att vissa förändringar i den nya ordningen bör aktualis</w:t>
      </w:r>
      <w:r w:rsidRPr="00C9680B">
        <w:t>e</w:t>
      </w:r>
      <w:r w:rsidRPr="00C9680B">
        <w:t>ras.</w:t>
      </w:r>
    </w:p>
    <w:p w:rsidR="001C7BF9" w:rsidRPr="00C9680B" w:rsidRDefault="001C7BF9">
      <w:pPr>
        <w:spacing w:before="120"/>
      </w:pPr>
      <w:r w:rsidRPr="00C9680B">
        <w:rPr>
          <w:i/>
        </w:rPr>
        <w:t>Försvarsutskottet</w:t>
      </w:r>
      <w:r w:rsidRPr="00C9680B">
        <w:t xml:space="preserve"> noterar i sitt yttrande (FöU1y) att Kustbevakningen, som finns under utgiftsområde 6 Totalförsvar, bedriver sin verksamhet inom sex olika politikområden. Målen och inriktningen inom sex olika politikområden inom vilka Kustbevakningen bedriver sin verksamhet skall således fastställas inom ett utgiftsområde och där avvägas mot andra ändamål. Enligt försvarsu</w:t>
      </w:r>
      <w:r w:rsidRPr="00C9680B">
        <w:t>t</w:t>
      </w:r>
      <w:r w:rsidRPr="00C9680B">
        <w:t>skottet är det rimligt att hålla samman beredning och beslut om såväl amb</w:t>
      </w:r>
      <w:r w:rsidRPr="00C9680B">
        <w:t>i</w:t>
      </w:r>
      <w:r w:rsidRPr="00C9680B">
        <w:t>tionsnivå för en viss verksamhet som finansiering av denna i ett utskott.</w:t>
      </w:r>
    </w:p>
    <w:p w:rsidR="001C7BF9" w:rsidRPr="00C9680B" w:rsidRDefault="001C7BF9">
      <w:pPr>
        <w:pStyle w:val="Normaltindrag"/>
      </w:pPr>
      <w:r w:rsidRPr="00C9680B">
        <w:t>Förs</w:t>
      </w:r>
      <w:r w:rsidRPr="00C9680B">
        <w:t>varsutskottet anser att det är önskvärt att riksdagen gör en samlad u</w:t>
      </w:r>
      <w:r w:rsidRPr="00C9680B">
        <w:t>t</w:t>
      </w:r>
      <w:r w:rsidRPr="00C9680B">
        <w:t>värdering och bedömning av om det är lämpligt att ambitionsnivån för en verksamhet – t.ex. Kustbevakningen – bestäms inom ett eller flera politiko</w:t>
      </w:r>
      <w:r w:rsidRPr="00C9680B">
        <w:t>m</w:t>
      </w:r>
      <w:r w:rsidRPr="00C9680B">
        <w:t>råden som ligger utanför det utgiftsområde – i detta fall utgiftsområdet Tota</w:t>
      </w:r>
      <w:r w:rsidRPr="00C9680B">
        <w:t>l</w:t>
      </w:r>
      <w:r w:rsidRPr="00C9680B">
        <w:t>försvar – som skall finansiera verksamheten.</w:t>
      </w:r>
    </w:p>
    <w:p w:rsidR="001C7BF9" w:rsidRPr="00C9680B" w:rsidRDefault="001C7BF9">
      <w:pPr>
        <w:pStyle w:val="Normaltindrag"/>
      </w:pPr>
      <w:r w:rsidRPr="00C9680B">
        <w:rPr>
          <w:i/>
        </w:rPr>
        <w:t>Socialförsäkringsutskottet</w:t>
      </w:r>
      <w:r w:rsidRPr="00C9680B">
        <w:t xml:space="preserve"> påpekar i sitt yttrande (SfU1y) att regeringen har föreslagit att målet för politikområdet Ekonomisk familjepolitik skall vara att minska skillnaderna i de ekonomiska villkoren mellan familjer med och utan barn. Anslag 21:1 Bostadsbidrag ingår i politikområdet men hör till utgiftsområde 18 som bereds av bostadsutskottet. Målet för bostadsbidragen är att ge ekonomiskt svaga hushåll möjlighet att hålla sig med goda och til</w:t>
      </w:r>
      <w:r w:rsidRPr="00C9680B">
        <w:t>l</w:t>
      </w:r>
      <w:r w:rsidRPr="00C9680B">
        <w:t>räckligt rymliga bostäder. Socialförsäkringsutskottet aviserar i yttrandet att det kom</w:t>
      </w:r>
      <w:r w:rsidRPr="00C9680B">
        <w:t>mer att ta ställning till det föreslagna målet för politikområdet i ett senare betänkande men vill redan nu peka på skillnaden i framför allt må</w:t>
      </w:r>
      <w:r w:rsidRPr="00C9680B">
        <w:t>l</w:t>
      </w:r>
      <w:r w:rsidRPr="00C9680B">
        <w:t>grupp vad gäller målet för politikområdet respektive för bostadsb</w:t>
      </w:r>
      <w:r w:rsidRPr="00C9680B">
        <w:t>i</w:t>
      </w:r>
      <w:r w:rsidRPr="00C9680B">
        <w:t>dragen.</w:t>
      </w:r>
    </w:p>
    <w:p w:rsidR="001C7BF9" w:rsidRPr="00C9680B" w:rsidRDefault="001C7BF9">
      <w:pPr>
        <w:spacing w:before="120"/>
      </w:pPr>
      <w:r w:rsidRPr="00C9680B">
        <w:rPr>
          <w:i/>
        </w:rPr>
        <w:t>Arbetsmarknadsutskottet</w:t>
      </w:r>
      <w:r w:rsidRPr="00C9680B">
        <w:t xml:space="preserve"> anför i en bilaga till protokoll 2000/2001:5 att det inte har någon invändning i sak mot indelningen i politikområden, men vill göra några kommentarer. Den första kommentaren gäller en erfarenhet som arbetsmarknadsutskottet haft av utgiftsområdesindelningen. De tidigare u</w:t>
      </w:r>
      <w:r w:rsidRPr="00C9680B">
        <w:t>t</w:t>
      </w:r>
      <w:r w:rsidRPr="00C9680B">
        <w:t>giftsområdena på arbetsmarknadsutskottets beredningsområde var starkt konjunkturkänsliga. Utgiftsområdena har av arbetsmarknadsutskottet beskr</w:t>
      </w:r>
      <w:r w:rsidRPr="00C9680B">
        <w:t>i</w:t>
      </w:r>
      <w:r w:rsidRPr="00C9680B">
        <w:t>vits som kommunicerande kärl. En ökning av de aktiva insatserna under utgiftsområde 14 minskade</w:t>
      </w:r>
      <w:r w:rsidRPr="00C9680B">
        <w:t xml:space="preserve"> utgifterna för arbetslöshetsersättning på utgift</w:t>
      </w:r>
      <w:r w:rsidRPr="00C9680B">
        <w:t>s</w:t>
      </w:r>
      <w:r w:rsidRPr="00C9680B">
        <w:t>område 13. Omvänt ökade belastningen på utgiftsområde 13 om, vid oförän</w:t>
      </w:r>
      <w:r w:rsidRPr="00C9680B">
        <w:t>d</w:t>
      </w:r>
      <w:r w:rsidRPr="00C9680B">
        <w:t>rad arbetslöshet, de aktiva insatserna minskade t.ex. därför att arbetsmar</w:t>
      </w:r>
      <w:r w:rsidRPr="00C9680B">
        <w:t>k</w:t>
      </w:r>
      <w:r w:rsidRPr="00C9680B">
        <w:t>nadsmyndigheterna inte lyckades nå upp till de prognostiserade volymerna. Den nya indelningen i utgiftsområdena 13 Arbetsmarknad och 14 Arbetsliv respektive polikområdena Arbetsmarknadspolitik och Arbetslivspolitik fra</w:t>
      </w:r>
      <w:r w:rsidRPr="00C9680B">
        <w:t>m</w:t>
      </w:r>
      <w:r w:rsidRPr="00C9680B">
        <w:t>står enligt arbetsmarknadsutskottet som mer logisk och naturlig. De insatser som hänförs till po</w:t>
      </w:r>
      <w:r w:rsidRPr="00C9680B">
        <w:t>litikområdet Arbetsmarknadspolitik är till stor del starkt konjunkturberoende och en integrerad del av den ekonomiska politiken. Transfereringsutgifterna hänförs till ett anslag 22:2 Bidrag till arbetslöshetse</w:t>
      </w:r>
      <w:r w:rsidRPr="00C9680B">
        <w:t>r</w:t>
      </w:r>
      <w:r w:rsidRPr="00C9680B">
        <w:t>sättning och aktivitetsstöd, i stället för som tidigare två anslag fördelade på två olika utgiftsområden. De anslag som blir kvar inom Arbetsliv är delvis av annan art. Till arbetslivspolitiken hänförs en rad frågor utan koppling till budgeten, t.ex. större delen av arbet</w:t>
      </w:r>
      <w:r w:rsidRPr="00C9680B">
        <w:t>s</w:t>
      </w:r>
      <w:r w:rsidRPr="00C9680B">
        <w:t xml:space="preserve">rättslagstiftningen. </w:t>
      </w:r>
    </w:p>
    <w:p w:rsidR="001C7BF9" w:rsidRPr="00C9680B" w:rsidRDefault="001C7BF9">
      <w:pPr>
        <w:pStyle w:val="Normaltindrag"/>
      </w:pPr>
      <w:r w:rsidRPr="00C9680B">
        <w:t>Arbetsm</w:t>
      </w:r>
      <w:r w:rsidRPr="00C9680B">
        <w:t>arknadsutskottet utgår från att den föreslagna indelningen gör det lättare att formulera adekvata mål. Det nuvarande målet för utgiftsområde 14 Arbetsmarknad och arbetsliv är mycket vittomfattande. Att arbetslivsfrågorna skiljs ut och bildar ett eget politikområde kan innebära en markering av fr</w:t>
      </w:r>
      <w:r w:rsidRPr="00C9680B">
        <w:t>å</w:t>
      </w:r>
      <w:r w:rsidRPr="00C9680B">
        <w:t>gornas politiska tyngd, vilket utskottet ser som positivt. Även om utskottet ser fördelar med den nya indelningen vill det framhålla att arbetsmarknads- och arbetslivsfrågorna har ett starkt samband med varandra äve</w:t>
      </w:r>
      <w:r w:rsidRPr="00C9680B">
        <w:t>n om de hänförs till olika polit</w:t>
      </w:r>
      <w:r w:rsidRPr="00C9680B">
        <w:t>i</w:t>
      </w:r>
      <w:r w:rsidRPr="00C9680B">
        <w:t>kområden.</w:t>
      </w:r>
    </w:p>
    <w:p w:rsidR="001C7BF9" w:rsidRPr="00C9680B" w:rsidRDefault="001C7BF9">
      <w:pPr>
        <w:pStyle w:val="Normaltindrag"/>
      </w:pPr>
      <w:r w:rsidRPr="00C9680B">
        <w:t>Arbetsmarknadsutskottet kommenterar också politikområdena Effektiv statsförvaltning, Forskningspolitik respektive Jämställdhetspolitik. Bland annat noterar utskottet att regeringen under utgiftsområde 14 beskriver insa</w:t>
      </w:r>
      <w:r w:rsidRPr="00C9680B">
        <w:t>t</w:t>
      </w:r>
      <w:r w:rsidRPr="00C9680B">
        <w:t>ser som ligger utanför utskottets beredningsområde. Vidare påpekas att poli</w:t>
      </w:r>
      <w:r w:rsidRPr="00C9680B">
        <w:softHyphen/>
        <w:t>tik</w:t>
      </w:r>
      <w:r w:rsidRPr="00C9680B">
        <w:softHyphen/>
        <w:t>området Jämställdhetspolitik till stor del rör frågor som inte är budgetrel</w:t>
      </w:r>
      <w:r w:rsidRPr="00C9680B">
        <w:t>a</w:t>
      </w:r>
      <w:r w:rsidRPr="00C9680B">
        <w:t>terade. Kopplingen är svag mellan de totala insatserna på politikområdet och de anslag som är hänförl</w:t>
      </w:r>
      <w:r w:rsidRPr="00C9680B">
        <w:t>i</w:t>
      </w:r>
      <w:r w:rsidRPr="00C9680B">
        <w:t xml:space="preserve">ga dit. </w:t>
      </w:r>
    </w:p>
    <w:p w:rsidR="001C7BF9" w:rsidRPr="00C9680B" w:rsidRDefault="001C7BF9">
      <w:pPr>
        <w:pStyle w:val="Normaltindrag"/>
      </w:pPr>
      <w:r w:rsidRPr="00C9680B">
        <w:t>Det föreslagna målet är betydligt vidare än arbetsmarknadsutskottets b</w:t>
      </w:r>
      <w:r w:rsidRPr="00C9680B">
        <w:t>e</w:t>
      </w:r>
      <w:r w:rsidRPr="00C9680B">
        <w:t>redningsområde, som enbart handlar om jämställdhet mellan kvinnor och män i arbetslivet. Förutom att det kan vara betänkligt att ett politikområde hänförs till ett utskott som inte har motsvarande beredningsansvar enligt riksdagsor</w:t>
      </w:r>
      <w:r w:rsidRPr="00C9680B">
        <w:t>d</w:t>
      </w:r>
      <w:r w:rsidRPr="00C9680B">
        <w:t>ningen kan det uppkomma praktiska problem t.ex. vid remitteringen av pr</w:t>
      </w:r>
      <w:r w:rsidRPr="00C9680B">
        <w:t>o</w:t>
      </w:r>
      <w:r w:rsidRPr="00C9680B">
        <w:t>positioner och motioner. Redan i dag föranleder jämställdhetsfrågornas sek</w:t>
      </w:r>
      <w:r w:rsidRPr="00C9680B">
        <w:softHyphen/>
        <w:t>tors</w:t>
      </w:r>
      <w:r w:rsidRPr="00C9680B">
        <w:softHyphen/>
        <w:t xml:space="preserve">övergripande karaktär vissa svårigheter i det hänseendet. Frågan kan ställas hur ett motionsyrkande som tar sikte på en del av </w:t>
      </w:r>
      <w:r w:rsidRPr="00C9680B">
        <w:t>målet som har tydlig koppling till ett annat utskotts beredningsområde skall hanteras. Arbetsmar</w:t>
      </w:r>
      <w:r w:rsidRPr="00C9680B">
        <w:t>k</w:t>
      </w:r>
      <w:r w:rsidRPr="00C9680B">
        <w:t>nadsutskottet anser att jämställdhetsaspekterna bör genomsyra varje politik</w:t>
      </w:r>
      <w:r w:rsidRPr="00C9680B">
        <w:softHyphen/>
        <w:t>område. Att insatserna samordnas inom Regeringskansliet får inte för riksd</w:t>
      </w:r>
      <w:r w:rsidRPr="00C9680B">
        <w:t>a</w:t>
      </w:r>
      <w:r w:rsidRPr="00C9680B">
        <w:t>gens del innebära att det politiska beredningsansvaret läggs på ett enda u</w:t>
      </w:r>
      <w:r w:rsidRPr="00C9680B">
        <w:t>t</w:t>
      </w:r>
      <w:r w:rsidRPr="00C9680B">
        <w:t>skott.</w:t>
      </w:r>
    </w:p>
    <w:p w:rsidR="001C7BF9" w:rsidRPr="00C9680B" w:rsidRDefault="001C7BF9">
      <w:pPr>
        <w:spacing w:before="120"/>
      </w:pPr>
      <w:r w:rsidRPr="00C9680B">
        <w:t xml:space="preserve">Även </w:t>
      </w:r>
      <w:r w:rsidRPr="00C9680B">
        <w:rPr>
          <w:i/>
        </w:rPr>
        <w:t>bostadsutskottet</w:t>
      </w:r>
      <w:r w:rsidRPr="00C9680B">
        <w:t xml:space="preserve"> kommenterar i sitt yttrande (BoU1y) politikområdesi</w:t>
      </w:r>
      <w:r w:rsidRPr="00C9680B">
        <w:t>n</w:t>
      </w:r>
      <w:r w:rsidRPr="00C9680B">
        <w:t xml:space="preserve">delningen. Anslagen inom utgiftsområde 18 anses falla inom fyra olika </w:t>
      </w:r>
      <w:r w:rsidRPr="00C9680B">
        <w:br/>
        <w:t>politk</w:t>
      </w:r>
      <w:r w:rsidRPr="00C9680B">
        <w:softHyphen/>
        <w:t>områden: Bostadspolitik, Regional samhällsorganisation, Ekonomisk familjepolitik samt Miljöpolitik. De två förstnämnda faller helt inom utgift</w:t>
      </w:r>
      <w:r w:rsidRPr="00C9680B">
        <w:t>s</w:t>
      </w:r>
      <w:r w:rsidRPr="00C9680B">
        <w:t xml:space="preserve">område 18 medan de övriga endast till en mindre del innefattar anslag inom detta utgiftsområde. Bostadsutskottet kan ha förståelse för de motiv som regeringen för fram för denna indelning av budgeten. Samtidigt finns skäl </w:t>
      </w:r>
      <w:r w:rsidRPr="00C9680B">
        <w:t>att peka på de problem som kan uppkomma när indelningen i statsbudgeten avviker från indelningen i utgiftsområden och utskottens ansvarsområden. En strävan under senare år har varit att utskottens arbete i större utsträckning skall inriktas på uppföljning av måluppfyllelsen inom olika områden. En sådan uppföljning riskerar givetvis att försvåras om utskottens budgetarbete och förslag till riksdagsbeslut sker enligt en indelningsgrund – utgiftsområden – och regeringens redovisning av politikens inriktning oc</w:t>
      </w:r>
      <w:r w:rsidRPr="00C9680B">
        <w:t>h mål enligt en a</w:t>
      </w:r>
      <w:r w:rsidRPr="00C9680B">
        <w:t>n</w:t>
      </w:r>
      <w:r w:rsidRPr="00C9680B">
        <w:t>nan – polit</w:t>
      </w:r>
      <w:r w:rsidRPr="00C9680B">
        <w:t>i</w:t>
      </w:r>
      <w:r w:rsidRPr="00C9680B">
        <w:t xml:space="preserve">kområden. </w:t>
      </w:r>
    </w:p>
    <w:p w:rsidR="001C7BF9" w:rsidRPr="00C9680B" w:rsidRDefault="001C7BF9">
      <w:pPr>
        <w:pStyle w:val="Normaltindrag"/>
      </w:pPr>
      <w:r w:rsidRPr="00C9680B">
        <w:t>Bostadsutskottet erinrar vidare om att riksdagen vid olika tillfällen har fastställt de bostadspolitiska målen. Dessa mål har även inkluderats i de mål för utgiftsområde 18 som regeringen redovisat i tidigare budgetpropositioner. I årets budgetproposition redovisas emellertid mål för politikområden. Vad gäller bostadsutskottets beredningsområde kan konstateras att vissa av dessa mål inte har någon motsvarighet i tidigare målformuleringar. Endast i ett avseende unders</w:t>
      </w:r>
      <w:r w:rsidRPr="00C9680B">
        <w:t xml:space="preserve">tälls de nya målen riksdagen för beslut. Detta gäller målet för Ekonomisk familjepolitik som bl.a. anses omfatta anslaget för bostadsbidrag. I övrigt omfattar detta mål anslag under utgiftsområde 12. Samtidigt gäller att anslaget för bostadsbidrag faller under målet för utgiftsområde 18 och därmed målet för bostadspolitik som det kommit till uttryck i tidigare propositioner och i riksdagens beslut i frågan. Vad gäller bostadsbidragen har för övrigt riksdagen i ett tillkännagivande våren 1996 framhållit att </w:t>
      </w:r>
      <w:r w:rsidRPr="00C9680B">
        <w:t>bidragens primära uppgift även fortsättningsvis bör vara att svara upp mot bostadspolitiska mål, dvs. ge möjlighet för resurssvaga hushåll att efterfråga goda och tillräckligt rymliga bostäder (bet. 1995/96:BoU11, rskr. 229).</w:t>
      </w:r>
    </w:p>
    <w:p w:rsidR="001C7BF9" w:rsidRPr="00C9680B" w:rsidRDefault="001C7BF9">
      <w:pPr>
        <w:pStyle w:val="Normaltindrag"/>
      </w:pPr>
      <w:r w:rsidRPr="00C9680B">
        <w:t>Den fråga som inställer sig mot den redovisade bakgrunden är vilka mål som bör tas som utgångspunkt för riksdagens budgetarbete och uppföljning</w:t>
      </w:r>
      <w:r w:rsidRPr="00C9680B">
        <w:t>s</w:t>
      </w:r>
      <w:r w:rsidRPr="00C9680B">
        <w:t>verksamhet. Vidare kan ifrågasättas, menar bostadsutskottet, om det är läm</w:t>
      </w:r>
      <w:r w:rsidRPr="00C9680B">
        <w:t>p</w:t>
      </w:r>
      <w:r w:rsidRPr="00C9680B">
        <w:t>ligt att ett utskott bereder regeringens förslag till övergripande mål för ett politikområde som innefattar anslag som bereds av ett annat utskott och som dessutom redan faller under mål fastlagda efter den indelning som riksdag</w:t>
      </w:r>
      <w:r w:rsidRPr="00C9680B">
        <w:t>s</w:t>
      </w:r>
      <w:r w:rsidRPr="00C9680B">
        <w:t xml:space="preserve">ordningen lägger fast.    </w:t>
      </w:r>
    </w:p>
    <w:p w:rsidR="001C7BF9" w:rsidRPr="00C9680B" w:rsidRDefault="001C7BF9">
      <w:pPr>
        <w:pStyle w:val="Normaltindrag"/>
      </w:pPr>
      <w:r w:rsidRPr="00C9680B">
        <w:t>Till bostadsutskottets yttrande har i denna del avvikande meningar fogats av företrädare för Moderata samlingspartiet, Kristdemokraterna, Centern respekt</w:t>
      </w:r>
      <w:r w:rsidRPr="00C9680B">
        <w:t>i</w:t>
      </w:r>
      <w:r w:rsidRPr="00C9680B">
        <w:t>ve Folkpartiet liberalerna.</w:t>
      </w:r>
    </w:p>
    <w:p w:rsidR="001C7BF9" w:rsidRPr="00C9680B" w:rsidRDefault="001C7BF9">
      <w:pPr>
        <w:pStyle w:val="R4"/>
        <w:outlineLvl w:val="0"/>
      </w:pPr>
      <w:r w:rsidRPr="00C9680B">
        <w:t>Finansutskottets ställningstagande</w:t>
      </w:r>
    </w:p>
    <w:p w:rsidR="001C7BF9" w:rsidRPr="00C9680B" w:rsidRDefault="001C7BF9">
      <w:r w:rsidRPr="00C9680B">
        <w:t>Politikområdena är resultatet av ett särskilt projekt inom Finansdepartementet benämnt målöversynen (eller tvåårsöversynen). Syftet med översynen har varit att skapa förutsättningar för bättre mål inom ramen för resultatstyrnin</w:t>
      </w:r>
      <w:r w:rsidRPr="00C9680B">
        <w:t>g</w:t>
      </w:r>
      <w:r w:rsidRPr="00C9680B">
        <w:t>en. Upphovet till projektet är bl.a. de krav som riksdagen har ställt på bättre målformuleringar. Från regeringens sida har man bedömt att förutsättningarna för att nå detta ökar med en verksamhetsindelad statsbudget, och det är i det ljuset som inde</w:t>
      </w:r>
      <w:r w:rsidRPr="00C9680B">
        <w:t>l</w:t>
      </w:r>
      <w:r w:rsidRPr="00C9680B">
        <w:t>ningen i politikområden bör ses.</w:t>
      </w:r>
    </w:p>
    <w:p w:rsidR="001C7BF9" w:rsidRPr="00C9680B" w:rsidRDefault="001C7BF9">
      <w:pPr>
        <w:pStyle w:val="Normaltindrag"/>
      </w:pPr>
      <w:r w:rsidRPr="00C9680B">
        <w:t>Enligt finansutskottets mening är det mycket viktigt att målen är välfo</w:t>
      </w:r>
      <w:r w:rsidRPr="00C9680B">
        <w:t>r</w:t>
      </w:r>
      <w:r w:rsidRPr="00C9680B">
        <w:t>mulerade för att resultatstyrningen skall vara meningsfull och effektiv. U</w:t>
      </w:r>
      <w:r w:rsidRPr="00C9680B">
        <w:t>t</w:t>
      </w:r>
      <w:r w:rsidRPr="00C9680B">
        <w:t>skottet välkomnar därför de insatser som görs av regeringen på detta område. Regeringen avser nu att gå vidare med indelningen på lägre nivåer, dvs. ver</w:t>
      </w:r>
      <w:r w:rsidRPr="00C9680B">
        <w:t>k</w:t>
      </w:r>
      <w:r w:rsidRPr="00C9680B">
        <w:t>samhetsområden, verksamhetsgrenar och anslag. Det kommer att innebära att mer konkreta mål kommer att formuleras. Enligt utskottets mening är det i det sammanhanget viktigt att göra målen uppföljningsbara. Enligt utskottets bedömning kommer politikområdesindelningen att behöva revid</w:t>
      </w:r>
      <w:r w:rsidRPr="00C9680B">
        <w:t>eras i sa</w:t>
      </w:r>
      <w:r w:rsidRPr="00C9680B">
        <w:t>m</w:t>
      </w:r>
      <w:r w:rsidRPr="00C9680B">
        <w:t>band med att man gör indelningen på de lägre nivåe</w:t>
      </w:r>
      <w:r w:rsidRPr="00C9680B">
        <w:t>r</w:t>
      </w:r>
      <w:r w:rsidRPr="00C9680B">
        <w:t>na.</w:t>
      </w:r>
    </w:p>
    <w:p w:rsidR="001C7BF9" w:rsidRPr="00C9680B" w:rsidRDefault="001C7BF9">
      <w:pPr>
        <w:pStyle w:val="Normaltindrag"/>
      </w:pPr>
      <w:r w:rsidRPr="00C9680B">
        <w:t>Utskottet ser presentationen av politikområdena i budgetpropositionen som ett led i det utvecklingsarbete av den ekonomiska styrningen som pågår inom Regeringskansliet. För att riksdagen skall kunna ta till vara de potentiella fördelarna med politikområdena är det emellertid viktigt att politikområdesi</w:t>
      </w:r>
      <w:r w:rsidRPr="00C9680B">
        <w:t>n</w:t>
      </w:r>
      <w:r w:rsidRPr="00C9680B">
        <w:t>delningen anpassas till riksdagens arbetsformer. Finansutskottet betonade i sitt betänkande om utvecklingen av den ekonomiska styrningen (bet. 1999/2000:FiU13) att regeringen måste beakta konsekvenserna för riksdagen i sitt utvecklingsarbete. Detta gäller även politikområdena. Utskottet utgår från att regeringen beaktar de synpunkter som framkommit i yttrandena i detta ärende.</w:t>
      </w:r>
    </w:p>
    <w:p w:rsidR="001C7BF9" w:rsidRPr="00C9680B" w:rsidRDefault="001C7BF9">
      <w:r w:rsidRPr="00C9680B">
        <w:t>Utgiftsområden och politikområden har båda som syfte att göra en politiskt rel</w:t>
      </w:r>
      <w:r w:rsidRPr="00C9680B">
        <w:t>e</w:t>
      </w:r>
      <w:r w:rsidRPr="00C9680B">
        <w:t>vant indelning av statsbudgeten. I princip är utgiftsområdena den över</w:t>
      </w:r>
      <w:r w:rsidRPr="00C9680B">
        <w:softHyphen/>
        <w:t>gripande indelningsprincipen. Politikområdesindelningen skär emellertid genom såväl u</w:t>
      </w:r>
      <w:r w:rsidRPr="00C9680B">
        <w:t>t</w:t>
      </w:r>
      <w:r w:rsidRPr="00C9680B">
        <w:t>giftsområdesindelningen som utskottsindelningen. Detta för</w:t>
      </w:r>
      <w:r w:rsidRPr="00C9680B">
        <w:softHyphen/>
        <w:t>hållande väcker en rad olika frågor. Det har nämligen varit en styrka med indelningen i utgiftsområden att de</w:t>
      </w:r>
      <w:r w:rsidRPr="00C9680B">
        <w:t>s</w:t>
      </w:r>
      <w:r w:rsidRPr="00C9680B">
        <w:t>sa inte har delats mellan flera utskott.</w:t>
      </w:r>
    </w:p>
    <w:p w:rsidR="001C7BF9" w:rsidRPr="00C9680B" w:rsidRDefault="001C7BF9">
      <w:pPr>
        <w:pStyle w:val="Normaltindrag"/>
      </w:pPr>
      <w:r w:rsidRPr="00C9680B">
        <w:t>En konsekvens av politikområdesindelningen är att i vissa fall bereds inte mål och resurser av samma utskott. Som exempel kan nämnas att justiti</w:t>
      </w:r>
      <w:r w:rsidRPr="00C9680B">
        <w:t>eu</w:t>
      </w:r>
      <w:r w:rsidRPr="00C9680B">
        <w:t>t</w:t>
      </w:r>
      <w:r w:rsidRPr="00C9680B">
        <w:t xml:space="preserve">skottet ansvarar för beredningen av anslaget för Kronofogdemyndigheten på politikområdet </w:t>
      </w:r>
      <w:r w:rsidRPr="00C9680B">
        <w:rPr>
          <w:i/>
        </w:rPr>
        <w:t>Skatt, tull och exekution</w:t>
      </w:r>
      <w:r w:rsidRPr="00C9680B">
        <w:t xml:space="preserve"> där målen för politikområdet bereds av skatteutskottet. Givet att det skall finnas ett samband mellan målformul</w:t>
      </w:r>
      <w:r w:rsidRPr="00C9680B">
        <w:t>e</w:t>
      </w:r>
      <w:r w:rsidRPr="00C9680B">
        <w:t xml:space="preserve">ring och resurstilldelning är detta förhållande otillfredsställande. </w:t>
      </w:r>
    </w:p>
    <w:p w:rsidR="001C7BF9" w:rsidRPr="00C9680B" w:rsidRDefault="001C7BF9">
      <w:pPr>
        <w:pStyle w:val="Normaltindrag"/>
      </w:pPr>
      <w:r w:rsidRPr="00C9680B">
        <w:t>I några fall kan det faktum att indelningen i politikområden skär mellan u</w:t>
      </w:r>
      <w:r w:rsidRPr="00C9680B">
        <w:t>t</w:t>
      </w:r>
      <w:r w:rsidRPr="00C9680B">
        <w:t>skottens beredningsområden få till följd att det kan uppstå osäkerhet om vi</w:t>
      </w:r>
      <w:r w:rsidRPr="00C9680B">
        <w:t>l</w:t>
      </w:r>
      <w:r w:rsidRPr="00C9680B">
        <w:t xml:space="preserve">ket av utskotten som har huvudansvaret för uppföljningen av riksdagens beslut. I det tidigare nämnda exemplet om Kronofogdemyndigheten kan fråga uppkomma om det är skatteutskottets uppgift, trots att anslaget ligger hos justitieutskottet. </w:t>
      </w:r>
    </w:p>
    <w:p w:rsidR="001C7BF9" w:rsidRPr="00C9680B" w:rsidRDefault="001C7BF9">
      <w:pPr>
        <w:pStyle w:val="Normaltindrag"/>
      </w:pPr>
      <w:r w:rsidRPr="00C9680B">
        <w:t xml:space="preserve">Vidare konstaterar finansutskottet att politikområdena varierar kraftigt i storlek. Politikområdet </w:t>
      </w:r>
      <w:r w:rsidRPr="00C9680B">
        <w:rPr>
          <w:i/>
        </w:rPr>
        <w:t>Minoritetspolitik</w:t>
      </w:r>
      <w:r w:rsidRPr="00C9680B">
        <w:t xml:space="preserve"> är minst (8 mkr) och </w:t>
      </w:r>
      <w:r w:rsidRPr="00C9680B">
        <w:rPr>
          <w:i/>
        </w:rPr>
        <w:t>Ersättning för arbetsoförmåga</w:t>
      </w:r>
      <w:r w:rsidRPr="00C9680B">
        <w:t xml:space="preserve"> är störst (102 mdkr). Frågan är om det är jämförbara storheter utifrån vilka det går att föra en rimlig prioriteringsdiskussion. Som finansu</w:t>
      </w:r>
      <w:r w:rsidRPr="00C9680B">
        <w:t>t</w:t>
      </w:r>
      <w:r w:rsidRPr="00C9680B">
        <w:t>skottet ser det finns det anledning att minska skillnaden mellan de minsta och de största politikområd</w:t>
      </w:r>
      <w:r w:rsidRPr="00C9680B">
        <w:t>e</w:t>
      </w:r>
      <w:r w:rsidRPr="00C9680B">
        <w:t>na.</w:t>
      </w:r>
    </w:p>
    <w:p w:rsidR="001C7BF9" w:rsidRPr="00C9680B" w:rsidRDefault="001C7BF9">
      <w:pPr>
        <w:pStyle w:val="Normaltindrag"/>
      </w:pPr>
      <w:r w:rsidRPr="00C9680B">
        <w:t>Även antalet anslag varierar mellan politikområdena. Det minsta antalet anslag på ett utgiftsområde är 1. Även i detta avseende anser utskottet att det finns möjlighet till förändringar.</w:t>
      </w:r>
    </w:p>
    <w:p w:rsidR="001C7BF9" w:rsidRPr="00C9680B" w:rsidRDefault="001C7BF9">
      <w:pPr>
        <w:pStyle w:val="Normaltindrag"/>
      </w:pPr>
      <w:r w:rsidRPr="00C9680B">
        <w:t>Det är utskottets uppfattning att på sikt bör politik- och utgiftsområdena bringas i större överensstämmelse med varandra. Det kan antingen ske genom att utgiftsområdena helt ersätts av politikområden som kommer att ligga till grund för t.ex. det s.k. rambeslutet i riksdagen på hösten. Det kräver i så fall att antalet politikområden blir väsentligt färre. I annat fall får politikområdena inordnas under utgiftsområdena på ett sådant sätt att de inte skär över flera utgiftsområden. Det kräver sannolikt vissa</w:t>
      </w:r>
      <w:r w:rsidRPr="00C9680B">
        <w:t xml:space="preserve"> förändringar av anslagens hemtil</w:t>
      </w:r>
      <w:r w:rsidRPr="00C9680B">
        <w:t>l</w:t>
      </w:r>
      <w:r w:rsidRPr="00C9680B">
        <w:t>hörighet i u</w:t>
      </w:r>
      <w:r w:rsidRPr="00C9680B">
        <w:t>t</w:t>
      </w:r>
      <w:r w:rsidRPr="00C9680B">
        <w:t>giftsområden och i utskottsorganisationen.</w:t>
      </w:r>
    </w:p>
    <w:p w:rsidR="001C7BF9" w:rsidRPr="00C9680B" w:rsidRDefault="001C7BF9">
      <w:pPr>
        <w:pStyle w:val="Normaltindrag"/>
      </w:pPr>
      <w:r w:rsidRPr="00C9680B">
        <w:t>En närliggande fråga är vilken stabilitet över tiden som politikområdena kan förväntas få. Utgiftsområdena har hittills visat sig vara beständiga, för att inte tala om utskottsindelningen. För att kunna utgöra ett underlag för utvä</w:t>
      </w:r>
      <w:r w:rsidRPr="00C9680B">
        <w:t>r</w:t>
      </w:r>
      <w:r w:rsidRPr="00C9680B">
        <w:t>dering inför bedömningar av resursbehov bör ett politikområde överleva en treårsperiod eftersom målen fastställs år 1, verksamheten genomförs år 2 och den utvärderas och redovisas för riksdagen år 3. För att man skall kunna bedöma utvecklingen är det också önskvärt att längre tidsserier skapas. Efte</w:t>
      </w:r>
      <w:r w:rsidRPr="00C9680B">
        <w:t>r</w:t>
      </w:r>
      <w:r w:rsidRPr="00C9680B">
        <w:t>som politik</w:t>
      </w:r>
      <w:r w:rsidRPr="00C9680B">
        <w:softHyphen/>
        <w:t>områdesindelningen följer departementsindelningen i så hög grad finns det emellertid en risk för att politikområdesindelningen kontinuerligt kommer att behöva anpassas till ändringar i departementsi</w:t>
      </w:r>
      <w:r w:rsidRPr="00C9680B">
        <w:t xml:space="preserve">ndelningen och ansvarsfördelningen mellan olika statsråd. </w:t>
      </w:r>
    </w:p>
    <w:p w:rsidR="001C7BF9" w:rsidRPr="00C9680B" w:rsidRDefault="001C7BF9">
      <w:pPr>
        <w:pStyle w:val="Normaltindrag"/>
      </w:pPr>
      <w:r w:rsidRPr="00C9680B">
        <w:t>Sammanfattningsvis anser utskottet att indelningen i politikområden kan ge förutsättningar för bättre formulerade mål inom ramen för resultatstyrnin</w:t>
      </w:r>
      <w:r w:rsidRPr="00C9680B">
        <w:t>g</w:t>
      </w:r>
      <w:r w:rsidRPr="00C9680B">
        <w:t>en. Det är nödvändigt att regeringen i det fortsatta utvecklingsarbetet beaktar konsekvenserna för riksdagen av inde</w:t>
      </w:r>
      <w:r w:rsidRPr="00C9680B">
        <w:t>l</w:t>
      </w:r>
      <w:r w:rsidRPr="00C9680B">
        <w:t xml:space="preserve">ningen i politikområden. </w:t>
      </w:r>
    </w:p>
    <w:p w:rsidR="001C7BF9" w:rsidRPr="00C9680B" w:rsidRDefault="001C7BF9">
      <w:pPr>
        <w:pStyle w:val="Rubrik1"/>
        <w:rPr>
          <w:noProof w:val="0"/>
        </w:rPr>
        <w:sectPr w:rsidR="00000000" w:rsidRPr="00C9680B">
          <w:headerReference w:type="even" r:id="rId74"/>
          <w:headerReference w:type="default" r:id="rId75"/>
          <w:footerReference w:type="even" r:id="rId76"/>
          <w:footerReference w:type="default" r:id="rId77"/>
          <w:headerReference w:type="first" r:id="rId78"/>
          <w:footerReference w:type="first" r:id="rId79"/>
          <w:footnotePr>
            <w:numRestart w:val="eachSect"/>
          </w:footnotePr>
          <w:pgSz w:w="11906" w:h="16838" w:code="9"/>
          <w:pgMar w:top="907" w:right="4649" w:bottom="4508" w:left="1304" w:header="340" w:footer="227" w:gutter="0"/>
          <w:cols w:space="720"/>
          <w:titlePg/>
        </w:sectPr>
      </w:pPr>
    </w:p>
    <w:p w:rsidR="001C7BF9" w:rsidRPr="00C9680B" w:rsidRDefault="001C7BF9">
      <w:pPr>
        <w:pStyle w:val="Rubrik1"/>
        <w:rPr>
          <w:noProof w:val="0"/>
        </w:rPr>
      </w:pPr>
      <w:bookmarkStart w:id="649" w:name="_Toc498242624"/>
      <w:bookmarkStart w:id="650" w:name="_Toc498910860"/>
      <w:r w:rsidRPr="00C9680B">
        <w:rPr>
          <w:noProof w:val="0"/>
        </w:rPr>
        <w:t>6 Övriga frågor</w:t>
      </w:r>
      <w:bookmarkEnd w:id="649"/>
      <w:bookmarkEnd w:id="650"/>
    </w:p>
    <w:p w:rsidR="001C7BF9" w:rsidRPr="00C9680B" w:rsidRDefault="001C7BF9">
      <w:pPr>
        <w:pStyle w:val="Rubrik2"/>
        <w:spacing w:before="0"/>
      </w:pPr>
      <w:bookmarkStart w:id="651" w:name="_Toc498242625"/>
      <w:bookmarkStart w:id="652" w:name="_Toc498910861"/>
      <w:r w:rsidRPr="00C9680B">
        <w:t>6.1 Försäljning av statliga tillgångar</w:t>
      </w:r>
      <w:bookmarkEnd w:id="651"/>
      <w:bookmarkEnd w:id="652"/>
    </w:p>
    <w:p w:rsidR="001C7BF9" w:rsidRPr="00C9680B" w:rsidRDefault="001C7BF9">
      <w:pPr>
        <w:pStyle w:val="Utskottsfrslagikorthet-Rubrik"/>
        <w:rPr>
          <w:noProof w:val="0"/>
        </w:rPr>
      </w:pPr>
      <w:r w:rsidRPr="00C9680B">
        <w:rPr>
          <w:noProof w:val="0"/>
        </w:rPr>
        <w:t>Utskottets förslag i korthet</w:t>
      </w:r>
    </w:p>
    <w:p w:rsidR="001C7BF9" w:rsidRPr="00C9680B" w:rsidRDefault="001C7BF9">
      <w:pPr>
        <w:pStyle w:val="Utskottsfrslagikorthet-Text"/>
      </w:pPr>
      <w:r w:rsidRPr="00C9680B">
        <w:t>Riksdagen avslår motionsförslagen om privatisering av Vasakronan AB och SBAB.</w:t>
      </w:r>
    </w:p>
    <w:p w:rsidR="001C7BF9" w:rsidRPr="00C9680B" w:rsidRDefault="001C7BF9">
      <w:pPr>
        <w:pStyle w:val="Utskottsfrslagikorthet-Text"/>
      </w:pPr>
      <w:r w:rsidRPr="00C9680B">
        <w:t xml:space="preserve">  Jämför reservation 22 (m, kd, fp)</w:t>
      </w:r>
    </w:p>
    <w:p w:rsidR="001C7BF9" w:rsidRPr="00C9680B" w:rsidRDefault="001C7BF9">
      <w:pPr>
        <w:pStyle w:val="R4"/>
        <w:spacing w:before="125"/>
        <w:outlineLvl w:val="0"/>
      </w:pPr>
      <w:r w:rsidRPr="00C9680B">
        <w:t>Motionerna</w:t>
      </w:r>
    </w:p>
    <w:p w:rsidR="001C7BF9" w:rsidRPr="00C9680B" w:rsidRDefault="001C7BF9">
      <w:r w:rsidRPr="00C9680B">
        <w:t xml:space="preserve">I </w:t>
      </w:r>
      <w:r w:rsidRPr="00C9680B">
        <w:rPr>
          <w:i/>
        </w:rPr>
        <w:t>motionerna Fi505</w:t>
      </w:r>
      <w:r w:rsidRPr="00C9680B">
        <w:t xml:space="preserve"> och </w:t>
      </w:r>
      <w:r w:rsidRPr="00C9680B">
        <w:rPr>
          <w:i/>
        </w:rPr>
        <w:t>Fi909</w:t>
      </w:r>
      <w:r w:rsidRPr="00C9680B">
        <w:t xml:space="preserve"> av Lars Tobisson (m) framhålls att staten inte bör ägna sig åt verksamhet som andra kan sköta lika bra eller bättre. Vasakr</w:t>
      </w:r>
      <w:r w:rsidRPr="00C9680B">
        <w:t>o</w:t>
      </w:r>
      <w:r w:rsidRPr="00C9680B">
        <w:t>nan AB och SBAB föreslås därför skyndsamt privatiseras. Enligt motionären är Vasakronan AB sedan länge moget att privatiseras och SBAB förmår trots den statliga garantigivningen inte att hävda sig i konkurrensen. Genom en utförsäljning av statliga bolag skulle inkomsterna exempelvis kunna användas för en amort</w:t>
      </w:r>
      <w:r w:rsidRPr="00C9680B">
        <w:t>e</w:t>
      </w:r>
      <w:r w:rsidRPr="00C9680B">
        <w:t>ring av statsskulden.</w:t>
      </w:r>
    </w:p>
    <w:p w:rsidR="001C7BF9" w:rsidRPr="00C9680B" w:rsidRDefault="001C7BF9">
      <w:pPr>
        <w:pStyle w:val="Rubrik4"/>
        <w:rPr>
          <w:noProof w:val="0"/>
        </w:rPr>
      </w:pPr>
      <w:bookmarkStart w:id="653" w:name="_Toc498763693"/>
      <w:bookmarkStart w:id="654" w:name="_Toc498910862"/>
      <w:r w:rsidRPr="00C9680B">
        <w:rPr>
          <w:noProof w:val="0"/>
        </w:rPr>
        <w:t>Finansutskottets ställnings</w:t>
      </w:r>
      <w:r w:rsidRPr="00C9680B">
        <w:rPr>
          <w:noProof w:val="0"/>
        </w:rPr>
        <w:t>tagande</w:t>
      </w:r>
      <w:bookmarkEnd w:id="653"/>
      <w:bookmarkEnd w:id="654"/>
    </w:p>
    <w:p w:rsidR="001C7BF9" w:rsidRPr="00C9680B" w:rsidRDefault="001C7BF9">
      <w:r w:rsidRPr="00C9680B">
        <w:t>Utskottet kan konstatera att riksdagen 1996 lade fast riktlinjer (Aktiv förval</w:t>
      </w:r>
      <w:r w:rsidRPr="00C9680B">
        <w:t>t</w:t>
      </w:r>
      <w:r w:rsidRPr="00C9680B">
        <w:t>ning av statens företagsägande, prop. 1995/96:141, bet. 1995/96:NU26, rskr. 1995/96:302) för hur staten skall förvalta sitt ägande. Förvaltningen skall bl.a. kännetecknas av att kommersiella och fullt konkurrensutsatta företag förvaltas med krav på effektivitet, avkastning och strukturanpassning. Statens ägarroll skall vidare vara professionell, effektiv och aktiv.</w:t>
      </w:r>
    </w:p>
    <w:p w:rsidR="001C7BF9" w:rsidRPr="00C9680B" w:rsidRDefault="001C7BF9">
      <w:pPr>
        <w:pStyle w:val="Normaltindrag"/>
      </w:pPr>
      <w:r w:rsidRPr="00C9680B">
        <w:t>Utskottet ser mot denna bakgrund inte anledning att förorda en utförsäl</w:t>
      </w:r>
      <w:r w:rsidRPr="00C9680B">
        <w:t>j</w:t>
      </w:r>
      <w:r w:rsidRPr="00C9680B">
        <w:t>ning av SBAB och Vasakronan varför motionerna Fi505 (m) och Fi909 (m) avstyrks.</w:t>
      </w:r>
    </w:p>
    <w:p w:rsidR="001C7BF9" w:rsidRPr="00C9680B" w:rsidRDefault="001C7BF9">
      <w:pPr>
        <w:pStyle w:val="Rubrik2"/>
      </w:pPr>
      <w:bookmarkStart w:id="655" w:name="_Toc498242626"/>
      <w:bookmarkStart w:id="656" w:name="_Toc498910863"/>
      <w:r w:rsidRPr="00C9680B">
        <w:t>6.2 Barnbilaga i statsbudgeten</w:t>
      </w:r>
      <w:bookmarkEnd w:id="655"/>
      <w:bookmarkEnd w:id="656"/>
    </w:p>
    <w:p w:rsidR="001C7BF9" w:rsidRPr="00C9680B" w:rsidRDefault="001C7BF9">
      <w:pPr>
        <w:pStyle w:val="Utskottsfrslagikorthet-Rubrik"/>
        <w:rPr>
          <w:noProof w:val="0"/>
        </w:rPr>
      </w:pPr>
      <w:r w:rsidRPr="00C9680B">
        <w:rPr>
          <w:noProof w:val="0"/>
        </w:rPr>
        <w:t>Utskottets förslag i korthet</w:t>
      </w:r>
    </w:p>
    <w:p w:rsidR="001C7BF9" w:rsidRPr="00C9680B" w:rsidRDefault="001C7BF9">
      <w:pPr>
        <w:pStyle w:val="Utskottsfrslagikorthet-Text"/>
      </w:pPr>
      <w:r w:rsidRPr="00C9680B">
        <w:t>Riksdagen avslår motionsförslaget om barnbilaga till statsbudg</w:t>
      </w:r>
      <w:r w:rsidRPr="00C9680B">
        <w:t>e</w:t>
      </w:r>
      <w:r w:rsidRPr="00C9680B">
        <w:t>ten.</w:t>
      </w:r>
    </w:p>
    <w:p w:rsidR="001C7BF9" w:rsidRPr="00C9680B" w:rsidRDefault="001C7BF9">
      <w:pPr>
        <w:pStyle w:val="Utskottsfrslagikorthet-Text"/>
      </w:pPr>
      <w:r w:rsidRPr="00C9680B">
        <w:t xml:space="preserve">  Jämför reservation 23 (kd, c)</w:t>
      </w:r>
    </w:p>
    <w:p w:rsidR="001C7BF9" w:rsidRPr="00C9680B" w:rsidRDefault="001C7BF9">
      <w:pPr>
        <w:pStyle w:val="Utskottsfrslagikorthet-Text"/>
      </w:pPr>
    </w:p>
    <w:p w:rsidR="001C7BF9" w:rsidRPr="00C9680B" w:rsidRDefault="001C7BF9">
      <w:pPr>
        <w:pStyle w:val="R4"/>
        <w:spacing w:before="125"/>
        <w:outlineLvl w:val="0"/>
      </w:pPr>
      <w:r w:rsidRPr="00C9680B">
        <w:t>Motionerna</w:t>
      </w:r>
    </w:p>
    <w:p w:rsidR="001C7BF9" w:rsidRPr="00C9680B" w:rsidRDefault="001C7BF9">
      <w:r w:rsidRPr="00C9680B">
        <w:t xml:space="preserve">I </w:t>
      </w:r>
      <w:r w:rsidRPr="00C9680B">
        <w:rPr>
          <w:i/>
        </w:rPr>
        <w:t>motion Fi903</w:t>
      </w:r>
      <w:r w:rsidRPr="00C9680B">
        <w:t xml:space="preserve"> av Ewa Larsson m.fl. (mp, m, v, kd, c, fp) föreslås att stat</w:t>
      </w:r>
      <w:r w:rsidRPr="00C9680B">
        <w:t>s</w:t>
      </w:r>
      <w:r w:rsidRPr="00C9680B">
        <w:t>budgeten kompletteras med en barnbilaga där departementen markerar vilka utgifter som är riktade mot barn och ungdomar och där regeringens samlade ambitioner tydligt framgår. På det viset blir det enligt motionärerna lättare att följa förändringar av resurser rikt</w:t>
      </w:r>
      <w:r w:rsidRPr="00C9680B">
        <w:t>a</w:t>
      </w:r>
      <w:r w:rsidRPr="00C9680B">
        <w:t xml:space="preserve">de mot barn över en längre tidsperiod. </w:t>
      </w:r>
    </w:p>
    <w:p w:rsidR="001C7BF9" w:rsidRPr="00C9680B" w:rsidRDefault="001C7BF9">
      <w:pPr>
        <w:pStyle w:val="R4"/>
        <w:outlineLvl w:val="0"/>
      </w:pPr>
      <w:r w:rsidRPr="00C9680B">
        <w:t>Regeringens skrivelse</w:t>
      </w:r>
    </w:p>
    <w:p w:rsidR="001C7BF9" w:rsidRPr="00C9680B" w:rsidRDefault="001C7BF9">
      <w:r w:rsidRPr="00C9680B">
        <w:t>Finansutskottet vill erinra om att regeringen har presenterat en utförlig red</w:t>
      </w:r>
      <w:r w:rsidRPr="00C9680B">
        <w:t>o</w:t>
      </w:r>
      <w:r w:rsidRPr="00C9680B">
        <w:t xml:space="preserve">görelse för barnpolitiken i Sverige med utgångspunkt i FN:s konvention om barnets rättigheter i en skrivelse  Barn – här och nu (skr. 1999/2000:137). Skrivelsen har remitterats till socialutskottet. </w:t>
      </w:r>
    </w:p>
    <w:p w:rsidR="001C7BF9" w:rsidRPr="00C9680B" w:rsidRDefault="001C7BF9">
      <w:pPr>
        <w:pStyle w:val="Normaltindrag"/>
      </w:pPr>
      <w:r w:rsidRPr="00C9680B">
        <w:t>Enligt skrivelsen ligger tyngdpunkten i regeringens barnpolitik under de kommande åren i förbättringar för barnfamiljerna, ökade resurser till skola, vård och omsorg, uppmärksamhet och stöd för utsatta barn, ökade möjligheter för barns och ungdomars inflytande samt uppföljning av regeringens strategi för arbet</w:t>
      </w:r>
      <w:r w:rsidRPr="00C9680B">
        <w:t>et med FN:s barnkonvention. Denna politik skall stärka barnens position i dag och i framtiden. Den ekonomiska politiken är här ett viktigt instrument, och därför bör inför alla större ekonomiska beslut hänsyn tas till hur barnen berörs.</w:t>
      </w:r>
    </w:p>
    <w:p w:rsidR="001C7BF9" w:rsidRPr="00C9680B" w:rsidRDefault="001C7BF9">
      <w:pPr>
        <w:pStyle w:val="Normaltindrag"/>
      </w:pPr>
      <w:r w:rsidRPr="00C9680B">
        <w:t>Regeringen anser att den politiska utmaningen för det nya århundradet är att sk</w:t>
      </w:r>
      <w:r w:rsidRPr="00C9680B">
        <w:t>a</w:t>
      </w:r>
      <w:r w:rsidRPr="00C9680B">
        <w:t>pa ett samhälle</w:t>
      </w:r>
    </w:p>
    <w:p w:rsidR="001C7BF9" w:rsidRPr="00C9680B" w:rsidRDefault="001C7BF9">
      <w:pPr>
        <w:pStyle w:val="MP"/>
        <w:numPr>
          <w:ilvl w:val="0"/>
          <w:numId w:val="1338"/>
        </w:numPr>
      </w:pPr>
      <w:r w:rsidRPr="00C9680B">
        <w:t>som ger varje barn möjlighet att förverkliga sina drömmar och livsmål, utveckla sina talanger och skapa sig en framtid efter sin egen lust och förmåga,</w:t>
      </w:r>
    </w:p>
    <w:p w:rsidR="001C7BF9" w:rsidRPr="00C9680B" w:rsidRDefault="001C7BF9">
      <w:pPr>
        <w:pStyle w:val="MP"/>
        <w:ind w:left="340" w:hanging="340"/>
      </w:pPr>
      <w:r w:rsidRPr="00C9680B">
        <w:t>som garanterar en bra välfärd med väl fungerande trygghetssystem, en bra skola och möjlighet till meningsfulla och utvecklande fritids- och kulturuppl</w:t>
      </w:r>
      <w:r w:rsidRPr="00C9680B">
        <w:t>e</w:t>
      </w:r>
      <w:r w:rsidRPr="00C9680B">
        <w:t xml:space="preserve">velser för alla barn och ungdomar, </w:t>
      </w:r>
    </w:p>
    <w:p w:rsidR="001C7BF9" w:rsidRPr="00C9680B" w:rsidRDefault="001C7BF9">
      <w:pPr>
        <w:pStyle w:val="MP"/>
        <w:ind w:left="340" w:hanging="340"/>
      </w:pPr>
      <w:r w:rsidRPr="00C9680B">
        <w:t>som ger sådana villkor för föräldraskap att unga människor inte behöver tveka om att sätta barn till världen och dela på ansvaret både för vården av dem och för deras försörjning,</w:t>
      </w:r>
    </w:p>
    <w:p w:rsidR="001C7BF9" w:rsidRPr="00C9680B" w:rsidRDefault="001C7BF9">
      <w:pPr>
        <w:pStyle w:val="MP"/>
        <w:ind w:left="340" w:hanging="340"/>
      </w:pPr>
      <w:r w:rsidRPr="00C9680B">
        <w:t>som tar på sig ansvaret att skydda barn mot övergrepp och misshandel och som kan skapa ett samhällsklimat som främjar ömsesidig respekt mellan barn och vuxna,</w:t>
      </w:r>
    </w:p>
    <w:p w:rsidR="001C7BF9" w:rsidRPr="00C9680B" w:rsidRDefault="001C7BF9">
      <w:pPr>
        <w:pStyle w:val="MP"/>
        <w:ind w:left="340" w:hanging="340"/>
      </w:pPr>
      <w:r w:rsidRPr="00C9680B">
        <w:t>som ger barn och ungdomar rimliga möjligheter att påverka beslut som rör dem direkt eller som medborgare.</w:t>
      </w:r>
    </w:p>
    <w:p w:rsidR="001C7BF9" w:rsidRPr="00C9680B" w:rsidRDefault="001C7BF9">
      <w:pPr>
        <w:spacing w:before="120"/>
      </w:pPr>
      <w:r w:rsidRPr="00C9680B">
        <w:t>Enligt skrivelsens bedömningar krävs det många åtgärder till förbättringar på det barn- och familjepolitiska området. Åtgärderna behöver vara inriktade på en generell familjepolitik som ger goda villkor för föräldraskap, en politik mot diskriminering och segregering samt en rättvis fördelning av resurser till verksamheter för barn och ungdomar. Det anses också viktigt att flickor och pojkar får lika mycket utrymme och stöd i förhållande till sina behov och förutsättningar. Sverige skall vara ett land där b</w:t>
      </w:r>
      <w:r w:rsidRPr="00C9680B">
        <w:t>arns och ungdomars situation är en förebild för andra länder.</w:t>
      </w:r>
    </w:p>
    <w:p w:rsidR="001C7BF9" w:rsidRPr="00C9680B" w:rsidRDefault="001C7BF9">
      <w:pPr>
        <w:pStyle w:val="Normaltindrag"/>
      </w:pPr>
      <w:r w:rsidRPr="00C9680B">
        <w:t>Regeringen aviserar i skrivelsen att under Sveriges ordförandeskap i m</w:t>
      </w:r>
      <w:r w:rsidRPr="00C9680B">
        <w:t>i</w:t>
      </w:r>
      <w:r w:rsidRPr="00C9680B">
        <w:t>nisterrådet inom EU våren 2001 kommer man att verka för att barnrättsfr</w:t>
      </w:r>
      <w:r w:rsidRPr="00C9680B">
        <w:t>å</w:t>
      </w:r>
      <w:r w:rsidRPr="00C9680B">
        <w:t>gorna skall genomsyra samarbetet mellan medlemsstaterna. Som ordförande kommer Sverige bl.a. att samordna den omfattande barnrättsresolutionen i FN:s kommission för mänskliga rättigh</w:t>
      </w:r>
      <w:r w:rsidRPr="00C9680B">
        <w:t>e</w:t>
      </w:r>
      <w:r w:rsidRPr="00C9680B">
        <w:t>ter.</w:t>
      </w:r>
    </w:p>
    <w:p w:rsidR="001C7BF9" w:rsidRPr="00C9680B" w:rsidRDefault="001C7BF9">
      <w:pPr>
        <w:pStyle w:val="Normaltindrag"/>
      </w:pPr>
      <w:r w:rsidRPr="00C9680B">
        <w:t>Regeringen redovisar i övrigt att en samordningsfunktion av barnfrågorna nu finns i Regeringskansliet, med placering i Socialdepartementet. Den har i uppgift att delta i gemensam beredning och granskning av regeringens beslut och att i övrigt driva på</w:t>
      </w:r>
      <w:r w:rsidRPr="00C9680B">
        <w:t xml:space="preserve"> och utveckla arbetet med barnfrågorna inom Reg</w:t>
      </w:r>
      <w:r w:rsidRPr="00C9680B">
        <w:t>e</w:t>
      </w:r>
      <w:r w:rsidRPr="00C9680B">
        <w:t>ringskansliet. Syftet och den långsiktiga målsättningen med samordning</w:t>
      </w:r>
      <w:r w:rsidRPr="00C9680B">
        <w:t>s</w:t>
      </w:r>
      <w:r w:rsidRPr="00C9680B">
        <w:t>funktionen är att i alla beslut som rör barn skall barnkonventionens fyra grundläggande principer bea</w:t>
      </w:r>
      <w:r w:rsidRPr="00C9680B">
        <w:t>k</w:t>
      </w:r>
      <w:r w:rsidRPr="00C9680B">
        <w:t xml:space="preserve">tas. </w:t>
      </w:r>
    </w:p>
    <w:p w:rsidR="001C7BF9" w:rsidRPr="00C9680B" w:rsidRDefault="001C7BF9">
      <w:pPr>
        <w:pStyle w:val="Normaltindrag"/>
      </w:pPr>
      <w:r w:rsidRPr="00C9680B">
        <w:t>I skrivelsen understryks dessutom att det finns anledning för regeringen att med regelbundna mellanrum beskriva barnens situation och den bedrivna politiken för att ge underlag för en bred diskussion om barnfrågorna. Dessa frågor presenteras i skrivelsen huvudsakligen ur ett nationell</w:t>
      </w:r>
      <w:r w:rsidRPr="00C9680B">
        <w:t xml:space="preserve">t perspektiv, samtidigt som Utrikesdepartementet arbetar med en översyn av barnfrågorna i Sveriges internationella utvecklingssamarbete. Regeringen avser att redovisa det samlade arbetet kring översynen i en skrivelse till riksdagen redan år 2001. </w:t>
      </w:r>
    </w:p>
    <w:p w:rsidR="001C7BF9" w:rsidRPr="00C9680B" w:rsidRDefault="001C7BF9">
      <w:pPr>
        <w:pStyle w:val="R4"/>
        <w:outlineLvl w:val="0"/>
      </w:pPr>
      <w:r w:rsidRPr="00C9680B">
        <w:t>Finansutskottets ställningstagande</w:t>
      </w:r>
    </w:p>
    <w:p w:rsidR="001C7BF9" w:rsidRPr="00C9680B" w:rsidRDefault="001C7BF9">
      <w:r w:rsidRPr="00C9680B">
        <w:t>Finansutskottet har tidigare behandlat frågan om barnbilagan till budgetpr</w:t>
      </w:r>
      <w:r w:rsidRPr="00C9680B">
        <w:t>o</w:t>
      </w:r>
      <w:r w:rsidRPr="00C9680B">
        <w:t>positionen (bet. 1997/98:FiU26). Frågan har också behandlats av konstit</w:t>
      </w:r>
      <w:r w:rsidRPr="00C9680B">
        <w:t>u</w:t>
      </w:r>
      <w:r w:rsidRPr="00C9680B">
        <w:t xml:space="preserve">tionsutskottet (bet. 1997/98:KU27) och socialutskottet (bet. 1996/97:SoU8, 1997/98:SoU13, 1998/99:SoU6, 1999/2000:SoU12). Enligt vad utskotten erfarit är det en allmän strävan inom Regeringskansliet att undvika särskilda bilagor till budgetpropositionen. Sådana sammanställningar, översikter etc. bör i stället redovisas i form av skrivelser, vilket fackdepartementen också gör i viss utsträckning. </w:t>
      </w:r>
    </w:p>
    <w:p w:rsidR="001C7BF9" w:rsidRPr="00C9680B" w:rsidRDefault="001C7BF9">
      <w:pPr>
        <w:pStyle w:val="Normaltindrag"/>
      </w:pPr>
      <w:r w:rsidRPr="00C9680B">
        <w:t>Finansutskottet vill peka på att i budg</w:t>
      </w:r>
      <w:r w:rsidRPr="00C9680B">
        <w:t>etpropositionen föreslår regeringen många viktiga insatser för att förbättra barnens och barnfamiljernas situation. Den solidaritet som bör prägla politiken får enligt regeringen inte bara up</w:t>
      </w:r>
      <w:r w:rsidRPr="00C9680B">
        <w:t>p</w:t>
      </w:r>
      <w:r w:rsidRPr="00C9680B">
        <w:t>fattas som ett förhållningssätt till samtida människor. Solidaritet handlar också om att ta ansvar för barnen och kommande generationer. Den ekon</w:t>
      </w:r>
      <w:r w:rsidRPr="00C9680B">
        <w:t>o</w:t>
      </w:r>
      <w:r w:rsidRPr="00C9680B">
        <w:t>miska politiken bör därför inriktas på att varken överlämna en ekonomisk skuld eller miljöskuld till kommande generationer. Därigenom kan välfärd</w:t>
      </w:r>
      <w:r w:rsidRPr="00C9680B">
        <w:t>s</w:t>
      </w:r>
      <w:r w:rsidRPr="00C9680B">
        <w:t>samhället stå starkt när kon</w:t>
      </w:r>
      <w:r w:rsidRPr="00C9680B">
        <w:t>junkturen viker, och de resurser som frigörs g</w:t>
      </w:r>
      <w:r w:rsidRPr="00C9680B">
        <w:t>e</w:t>
      </w:r>
      <w:r w:rsidRPr="00C9680B">
        <w:t>nom sänkta ränteutgifter kan i framtiden användas till att ytterligare stärka barnens och ungdomarnas situation genom att exempelvis förbättra barno</w:t>
      </w:r>
      <w:r w:rsidRPr="00C9680B">
        <w:t>m</w:t>
      </w:r>
      <w:r w:rsidRPr="00C9680B">
        <w:t>sorgen, skolan och utbildningsväsendet. Skatterna skall i framtiden i större utsträckning gynna miljövänlig teknik och verksamhet på bekostnad av milj</w:t>
      </w:r>
      <w:r w:rsidRPr="00C9680B">
        <w:t>ö</w:t>
      </w:r>
      <w:r w:rsidRPr="00C9680B">
        <w:t xml:space="preserve">störande verksamhet. Till gagn för barnen och kommande generationer skall omställningen till ekologisk hållbarhet fortsätta. För Sveriges del kan också satsningarna </w:t>
      </w:r>
      <w:r w:rsidRPr="00C9680B">
        <w:t>på bistånd och det internationella solidaritetsarbetet öka i takt med att den svenska ekonomin stärks. Barnens situation utgör en viktig del i den svenska biståndspolitiken. Sverige skall aktivt bidra till att förbättra hä</w:t>
      </w:r>
      <w:r w:rsidRPr="00C9680B">
        <w:t>l</w:t>
      </w:r>
      <w:r w:rsidRPr="00C9680B">
        <w:t>so- och sjukvården i tredje världen. I det arbetet beaktas kvinnors och barns hälsa speciellt. Engagemanget för barnens skola och utbildning i den fattiga delen av världen stärks genom propositionens förslag till ökningar i bistånd</w:t>
      </w:r>
      <w:r w:rsidRPr="00C9680B">
        <w:t>s</w:t>
      </w:r>
      <w:r w:rsidRPr="00C9680B">
        <w:t>ansl</w:t>
      </w:r>
      <w:r w:rsidRPr="00C9680B">
        <w:t>a</w:t>
      </w:r>
      <w:r w:rsidRPr="00C9680B">
        <w:t xml:space="preserve">gen. </w:t>
      </w:r>
    </w:p>
    <w:p w:rsidR="001C7BF9" w:rsidRPr="00C9680B" w:rsidRDefault="001C7BF9">
      <w:pPr>
        <w:pStyle w:val="Normaltindrag"/>
      </w:pPr>
      <w:r w:rsidRPr="00C9680B">
        <w:t xml:space="preserve">Med hänvisning till det arbete som pågår inom </w:t>
      </w:r>
      <w:r w:rsidRPr="00C9680B">
        <w:t>Regeringskansliet kring r</w:t>
      </w:r>
      <w:r w:rsidRPr="00C9680B">
        <w:t>e</w:t>
      </w:r>
      <w:r w:rsidRPr="00C9680B">
        <w:t>dovisningen av barnfrågorna samt strategierna för uppföljning och utvärd</w:t>
      </w:r>
      <w:r w:rsidRPr="00C9680B">
        <w:t>e</w:t>
      </w:r>
      <w:r w:rsidRPr="00C9680B">
        <w:t>ring av barnpolitiken avstyrker finansutskottet motion Fi903 (mp, m, v, kd, c, fp).</w:t>
      </w:r>
    </w:p>
    <w:p w:rsidR="001C7BF9" w:rsidRPr="00C9680B" w:rsidRDefault="001C7BF9">
      <w:pPr>
        <w:pStyle w:val="Rubrik2"/>
      </w:pPr>
      <w:bookmarkStart w:id="657" w:name="_Toc498242627"/>
      <w:bookmarkStart w:id="658" w:name="_Toc498910864"/>
      <w:r w:rsidRPr="00C9680B">
        <w:t>6.3 Ansvar för spel och lotterier</w:t>
      </w:r>
      <w:bookmarkEnd w:id="657"/>
      <w:bookmarkEnd w:id="658"/>
    </w:p>
    <w:p w:rsidR="001C7BF9" w:rsidRPr="00C9680B" w:rsidRDefault="001C7BF9">
      <w:pPr>
        <w:pStyle w:val="Utskottsfrslagikorthet-Rubrik"/>
        <w:rPr>
          <w:noProof w:val="0"/>
        </w:rPr>
      </w:pPr>
      <w:bookmarkStart w:id="659" w:name="_Toc498763696"/>
      <w:r w:rsidRPr="00C9680B">
        <w:rPr>
          <w:noProof w:val="0"/>
        </w:rPr>
        <w:t>Utskottets förslag i korthet</w:t>
      </w:r>
    </w:p>
    <w:p w:rsidR="001C7BF9" w:rsidRPr="00C9680B" w:rsidRDefault="001C7BF9">
      <w:pPr>
        <w:pStyle w:val="Utskottsfrslagikorthet-Text"/>
      </w:pPr>
      <w:r w:rsidRPr="00C9680B">
        <w:t>Riksdagen avslår motionsförslaget om ändrat departementsansvar för Lotteriinspektionen och AB Svenska Spel.</w:t>
      </w:r>
    </w:p>
    <w:p w:rsidR="001C7BF9" w:rsidRPr="00C9680B" w:rsidRDefault="001C7BF9">
      <w:pPr>
        <w:pStyle w:val="Rubrik4"/>
        <w:rPr>
          <w:noProof w:val="0"/>
        </w:rPr>
      </w:pPr>
      <w:bookmarkStart w:id="660" w:name="_Toc498910865"/>
      <w:r w:rsidRPr="00C9680B">
        <w:rPr>
          <w:noProof w:val="0"/>
        </w:rPr>
        <w:t>Motionen</w:t>
      </w:r>
      <w:bookmarkEnd w:id="659"/>
      <w:bookmarkEnd w:id="660"/>
    </w:p>
    <w:p w:rsidR="001C7BF9" w:rsidRPr="00C9680B" w:rsidRDefault="001C7BF9">
      <w:r w:rsidRPr="00C9680B">
        <w:t xml:space="preserve">I </w:t>
      </w:r>
      <w:r w:rsidRPr="00C9680B">
        <w:rPr>
          <w:i/>
        </w:rPr>
        <w:t>motion Fi902</w:t>
      </w:r>
      <w:r w:rsidRPr="00C9680B">
        <w:t xml:space="preserve"> av Caroline Hagström (kd) framhålls att AB Svenska Spel i dag har en dominerande ställning på den svenska spelmarknaden. Ko</w:t>
      </w:r>
      <w:r w:rsidRPr="00C9680B">
        <w:t>n</w:t>
      </w:r>
      <w:r w:rsidRPr="00C9680B">
        <w:t>trollmyndigheten – Lotteriinspektionen – sorterar liksom Svenska Spel under Finansdepartementet, vilket gett en osund näringsmiljö där de privata spela</w:t>
      </w:r>
      <w:r w:rsidRPr="00C9680B">
        <w:t>k</w:t>
      </w:r>
      <w:r w:rsidRPr="00C9680B">
        <w:t>törerna kommit på undantag. För att säkerställa att det inte skall kunna uppstå misstanke om att det finns olämpliga kopplingar mellan den kontrollerande myndigheten och Svenska Spel bör man enligt motionären skilja på verk</w:t>
      </w:r>
      <w:r w:rsidRPr="00C9680B">
        <w:t>sa</w:t>
      </w:r>
      <w:r w:rsidRPr="00C9680B">
        <w:t>m</w:t>
      </w:r>
      <w:r w:rsidRPr="00C9680B">
        <w:t>heterna avseende under vilket departement de sorterar. I motionen föreslås att Svenska Spel fortsättningsvis bör sortera under Näringsdepartementet medan Lotteriinspektionen alltfort kan sortera under Finan</w:t>
      </w:r>
      <w:r w:rsidRPr="00C9680B">
        <w:t>s</w:t>
      </w:r>
      <w:r w:rsidRPr="00C9680B">
        <w:t>departementet.</w:t>
      </w:r>
    </w:p>
    <w:p w:rsidR="001C7BF9" w:rsidRPr="00C9680B" w:rsidRDefault="001C7BF9">
      <w:pPr>
        <w:pStyle w:val="Rubrik4"/>
        <w:rPr>
          <w:noProof w:val="0"/>
        </w:rPr>
      </w:pPr>
      <w:bookmarkStart w:id="661" w:name="_Toc498763697"/>
      <w:bookmarkStart w:id="662" w:name="_Toc498910866"/>
      <w:r w:rsidRPr="00C9680B">
        <w:rPr>
          <w:noProof w:val="0"/>
        </w:rPr>
        <w:t>Finansutskottets ställningstagande</w:t>
      </w:r>
      <w:bookmarkEnd w:id="661"/>
      <w:bookmarkEnd w:id="662"/>
    </w:p>
    <w:p w:rsidR="001C7BF9" w:rsidRPr="00C9680B" w:rsidRDefault="001C7BF9">
      <w:r w:rsidRPr="00C9680B">
        <w:t>Frågan om vilka departement Lotteriinspektionen och Svenska Spel skall tillhöra ankommer inte på riksdagen att bestämma. Regeringen fördelar äre</w:t>
      </w:r>
      <w:r w:rsidRPr="00C9680B">
        <w:t>n</w:t>
      </w:r>
      <w:r w:rsidRPr="00C9680B">
        <w:t>dena mellan departementen (RF 7 kap. 1 §). Motion Fi902 (kd) yrkande 2 bör därför avslås av riksdagen.</w:t>
      </w:r>
    </w:p>
    <w:p w:rsidR="001C7BF9" w:rsidRPr="00C9680B" w:rsidRDefault="001C7BF9">
      <w:pPr>
        <w:pStyle w:val="RubrikInnehll"/>
        <w:rPr>
          <w:noProof w:val="0"/>
        </w:rPr>
        <w:sectPr w:rsidR="00000000" w:rsidRPr="00C9680B">
          <w:footnotePr>
            <w:numRestart w:val="eachSect"/>
          </w:footnotePr>
          <w:pgSz w:w="11906" w:h="16838" w:code="9"/>
          <w:pgMar w:top="907" w:right="4649" w:bottom="4508" w:left="1304" w:header="340" w:footer="227" w:gutter="0"/>
          <w:cols w:space="720"/>
          <w:titlePg/>
        </w:sectPr>
      </w:pPr>
      <w:bookmarkStart w:id="663" w:name="_Toc498242628"/>
    </w:p>
    <w:p w:rsidR="001C7BF9" w:rsidRPr="00C9680B" w:rsidRDefault="001C7BF9">
      <w:pPr>
        <w:pStyle w:val="Rubrik1"/>
        <w:rPr>
          <w:noProof w:val="0"/>
        </w:rPr>
      </w:pPr>
      <w:bookmarkStart w:id="664" w:name="_Toc498910867"/>
      <w:bookmarkEnd w:id="663"/>
      <w:r w:rsidRPr="00C9680B">
        <w:rPr>
          <w:noProof w:val="0"/>
        </w:rPr>
        <w:t>Reservationer</w:t>
      </w:r>
      <w:bookmarkEnd w:id="664"/>
    </w:p>
    <w:p w:rsidR="001C7BF9" w:rsidRPr="00C9680B" w:rsidRDefault="001C7BF9">
      <w:r w:rsidRPr="00C9680B">
        <w:t>Utskottets förslag till riksdagsbeslut och ställningstaganden har föranlett följande reservationer. I rubriken anges inom parentes vilken punkt i utsko</w:t>
      </w:r>
      <w:r w:rsidRPr="00C9680B">
        <w:t>t</w:t>
      </w:r>
      <w:r w:rsidRPr="00C9680B">
        <w:t>tets förslag till riksdagsbeslut som behandlas i avsnittet.</w:t>
      </w:r>
    </w:p>
    <w:p w:rsidR="001C7BF9" w:rsidRPr="00C9680B" w:rsidRDefault="001C7BF9">
      <w:pPr>
        <w:pStyle w:val="Normaltindrag"/>
      </w:pPr>
    </w:p>
    <w:p w:rsidR="001C7BF9" w:rsidRPr="00C9680B" w:rsidRDefault="001C7BF9">
      <w:pPr>
        <w:pStyle w:val="Reservationspunkt"/>
        <w:spacing w:before="0"/>
        <w:rPr>
          <w:noProof w:val="0"/>
        </w:rPr>
      </w:pPr>
      <w:bookmarkStart w:id="665" w:name="Nästa_Reservation"/>
      <w:bookmarkStart w:id="666" w:name="_Toc498910868"/>
      <w:bookmarkEnd w:id="665"/>
      <w:r w:rsidRPr="00C9680B">
        <w:rPr>
          <w:noProof w:val="0"/>
        </w:rPr>
        <w:t>1.</w:t>
      </w:r>
      <w:r w:rsidRPr="00C9680B">
        <w:rPr>
          <w:noProof w:val="0"/>
        </w:rPr>
        <w:tab/>
        <w:t>Allmänna riktlinjer för den ekonomiska politiken (punkt 1) (m, kd, fp, c)</w:t>
      </w:r>
      <w:bookmarkEnd w:id="666"/>
    </w:p>
    <w:p w:rsidR="001C7BF9" w:rsidRPr="00C9680B" w:rsidRDefault="001C7BF9">
      <w:pPr>
        <w:pStyle w:val="Reservanter"/>
      </w:pPr>
      <w:r w:rsidRPr="00C9680B">
        <w:t>av Mats Odell (kd), Gunnar Hökmark (m), Lennart Hedquist (m), Per Landgren (kd), Anna Åkerhielm (m), Lena Ek (c), Gunnar Axén (m) och Bo Könberg (fp).</w:t>
      </w:r>
    </w:p>
    <w:p w:rsidR="001C7BF9" w:rsidRPr="00C9680B" w:rsidRDefault="001C7BF9">
      <w:pPr>
        <w:pStyle w:val="R4"/>
        <w:outlineLvl w:val="0"/>
      </w:pPr>
      <w:r w:rsidRPr="00C9680B">
        <w:t>Förslag till riksdagsbeslut</w:t>
      </w:r>
    </w:p>
    <w:p w:rsidR="001C7BF9" w:rsidRPr="00C9680B" w:rsidRDefault="001C7BF9">
      <w:r w:rsidRPr="00C9680B">
        <w:t>Vi anser att förslaget till riksdagsbeslut under punkt 1 borde ha följande l</w:t>
      </w:r>
      <w:r w:rsidRPr="00C9680B">
        <w:t>y</w:t>
      </w:r>
      <w:r w:rsidRPr="00C9680B">
        <w:t>delse:</w:t>
      </w:r>
    </w:p>
    <w:p w:rsidR="001C7BF9" w:rsidRPr="00C9680B" w:rsidRDefault="001C7BF9">
      <w:pPr>
        <w:pStyle w:val="Reservantfrslag"/>
      </w:pPr>
      <w:r w:rsidRPr="00C9680B">
        <w:t>1.  Riksdagen godkänner vad som framförs i reservation 1 och tillkännager detta för regeringen som sin mening. Riksdagen bifaller därmed delvis moti</w:t>
      </w:r>
      <w:r w:rsidRPr="00C9680B">
        <w:t>o</w:t>
      </w:r>
      <w:r w:rsidRPr="00C9680B">
        <w:t>nerna 2000/01:Fi204, 2000/01:Fi208 yrkandena 1, 9–11, 13–18, 21, 22 och 24–26, 2000/01:Fi209 yrkandena 1 och 10, 2000/01:Fi210 yrkandena 1 och 6 och 2000/01:Fi211 yrkande 1.</w:t>
      </w:r>
    </w:p>
    <w:p w:rsidR="001C7BF9" w:rsidRPr="00C9680B" w:rsidRDefault="001C7BF9">
      <w:pPr>
        <w:pStyle w:val="R4"/>
      </w:pPr>
      <w:r w:rsidRPr="00C9680B">
        <w:t>Ställningstagande</w:t>
      </w:r>
    </w:p>
    <w:p w:rsidR="001C7BF9" w:rsidRPr="00C9680B" w:rsidRDefault="001C7BF9">
      <w:pPr>
        <w:pStyle w:val="Rubrik1b"/>
        <w:spacing w:before="250"/>
        <w:outlineLvl w:val="0"/>
      </w:pPr>
      <w:bookmarkStart w:id="667" w:name="_Toc498910869"/>
      <w:r w:rsidRPr="00C9680B">
        <w:t>En ny ekonomisk politik</w:t>
      </w:r>
      <w:bookmarkEnd w:id="667"/>
    </w:p>
    <w:p w:rsidR="001C7BF9" w:rsidRPr="00C9680B" w:rsidRDefault="001C7BF9">
      <w:pPr>
        <w:pStyle w:val="Rubrik2"/>
        <w:spacing w:before="125"/>
      </w:pPr>
      <w:bookmarkStart w:id="668" w:name="_Toc498910870"/>
      <w:r w:rsidRPr="00C9680B">
        <w:t>Våra utgångspunkter</w:t>
      </w:r>
      <w:bookmarkEnd w:id="668"/>
    </w:p>
    <w:p w:rsidR="001C7BF9" w:rsidRPr="00C9680B" w:rsidRDefault="001C7BF9">
      <w:r w:rsidRPr="00C9680B">
        <w:t xml:space="preserve">Med en ny ekonomisk politik har Sverige alla förutsättningar att stå starkt i en öppen och globaliserad ekonomi. Invånarna i alla delar av vårt land skall känna trygghet, ha möjlighet till en god livskvalitet samt en mångfald av möjligheter att bidra till sin egen och till samhällets utveckling genom ett stort mått av frihet och goda möjligheter till arbete. </w:t>
      </w:r>
    </w:p>
    <w:p w:rsidR="001C7BF9" w:rsidRPr="00C9680B" w:rsidRDefault="001C7BF9">
      <w:pPr>
        <w:pStyle w:val="Normaltindrag"/>
      </w:pPr>
      <w:r w:rsidRPr="00C9680B">
        <w:t>I vårt land skall var och en känna att hon eller han behövs och kan utveckla sin förmåga, utvecklas som människa och kan förena arbete och familj. Den enskildes kunskaper och kompetens utvecklas på en arbetsmarknad som uppmuntrar mångfald, rörlighet och utbildning. En satsning på skolan och den högre utbildningen är en investering i Sveriges framtida välfärd och den bästa fördelningspolitiken som det offentliga kan bidra med.</w:t>
      </w:r>
    </w:p>
    <w:p w:rsidR="001C7BF9" w:rsidRPr="00C9680B" w:rsidRDefault="001C7BF9">
      <w:pPr>
        <w:pStyle w:val="Normaltindrag"/>
      </w:pPr>
      <w:r w:rsidRPr="00C9680B">
        <w:t>Stabiliteten i de offentliga finanserna och i den svenska samhällsekonomin skall stärkas genom en lägre utgiftskvot och en politik som pressar ner det svenska skattetrycket i nivå med jämförbara OECD-länder. Genom en politik som leder till högre tillväxt och som minskar konjunkturkänsligheten växer Sveriges förutsättningar att åter bli ett ledande välfärdsland. Genom en lån</w:t>
      </w:r>
      <w:r w:rsidRPr="00C9680B">
        <w:t>g</w:t>
      </w:r>
      <w:r w:rsidRPr="00C9680B">
        <w:t>siktigt uthållig tillväxt stärks våra möjligheter att möta de utmaningar som den demografiska u</w:t>
      </w:r>
      <w:r w:rsidRPr="00C9680B">
        <w:t>t</w:t>
      </w:r>
      <w:r w:rsidRPr="00C9680B">
        <w:t>vecklingen och fortgående strukturomvandlingar innebär.</w:t>
      </w:r>
    </w:p>
    <w:p w:rsidR="001C7BF9" w:rsidRPr="00C9680B" w:rsidRDefault="001C7BF9">
      <w:pPr>
        <w:pStyle w:val="Normaltindrag"/>
      </w:pPr>
      <w:r w:rsidRPr="00C9680B">
        <w:t>Det är genom enskilda människors företagsamhet och arbetsvilja som grunden läggs för arbete och välstånd. Sverige blir ett mer dynamiskt och kraftfullt samhälle om både kvinnors och mäns arbetsvilja, kompetens och företagsamhet tas till vara. Förutsättningarna för företagande skall vara lika goda inom de delar av arbetsmarknaden som domineras av kvinnor som</w:t>
      </w:r>
      <w:r w:rsidRPr="00C9680B">
        <w:t xml:space="preserve"> de som i dag domineras av män.</w:t>
      </w:r>
    </w:p>
    <w:p w:rsidR="001C7BF9" w:rsidRPr="00C9680B" w:rsidRDefault="001C7BF9">
      <w:pPr>
        <w:pStyle w:val="Normaltindrag"/>
      </w:pPr>
      <w:r w:rsidRPr="00C9680B">
        <w:t>Kunskapssamhället ställer nya krav på den ekonomiska politiken. Föret</w:t>
      </w:r>
      <w:r w:rsidRPr="00C9680B">
        <w:t>a</w:t>
      </w:r>
      <w:r w:rsidRPr="00C9680B">
        <w:t>gande och nytänkande inom centrala kunskapsbranscher skall välkomnas, inte motarbetas. Sjukvård och utbildning skall liksom omsorg utgå från enskilda människors behov och utformas inom ramen för mångfald och konkurrens. På det viset kan Sverige bli ledande i att utveckla några av kunskapssamhällets viktigaste verksamheter som sjukvård, medicinsk utveckling och utbildning samtidigt som vi kan få en allt bättre sjukvård och skola.</w:t>
      </w:r>
    </w:p>
    <w:p w:rsidR="001C7BF9" w:rsidRPr="00C9680B" w:rsidRDefault="001C7BF9">
      <w:pPr>
        <w:pStyle w:val="Normaltindrag"/>
      </w:pPr>
      <w:r w:rsidRPr="00C9680B">
        <w:t>Sverige har i dag en god ekonomisk tillväxt. Det gör att vi har stora mö</w:t>
      </w:r>
      <w:r w:rsidRPr="00C9680B">
        <w:t>j</w:t>
      </w:r>
      <w:r w:rsidRPr="00C9680B">
        <w:t>ligheter att nu genomföra de reformer som kan rusta Sverige långsiktigt. Dagens ekonomiska utveckling är inte självklar. Vi drar i dag nytta av en internationell högkonjunktur och av den reform- och låginflationspolitik som grundlades i början av 1990-talet. Vi skördar frukterna av 1990-talets avregl</w:t>
      </w:r>
      <w:r w:rsidRPr="00C9680B">
        <w:t>e</w:t>
      </w:r>
      <w:r w:rsidRPr="00C9680B">
        <w:t>ringar, av skattereformen, av valfrihetsreformerna och av den finansiella stabilitet som uppnåtts genom saneringspolitiken, en oberoende riksbank och EU-medlemskapet.</w:t>
      </w:r>
    </w:p>
    <w:p w:rsidR="001C7BF9" w:rsidRPr="00C9680B" w:rsidRDefault="001C7BF9">
      <w:pPr>
        <w:pStyle w:val="Normaltindrag"/>
      </w:pPr>
      <w:r w:rsidRPr="00C9680B">
        <w:t>Det är centralt för möjligheterna att säkr</w:t>
      </w:r>
      <w:r w:rsidRPr="00C9680B">
        <w:t>a en fortsatt god välståndsutvec</w:t>
      </w:r>
      <w:r w:rsidRPr="00C9680B">
        <w:t>k</w:t>
      </w:r>
      <w:r w:rsidRPr="00C9680B">
        <w:t>ling att dagens starka ekonomiska utveckling inte skymmer sikten för behovet av en fortsatt framåtsyftande reformpolitik. Det stillastående som präglar vänsterkoalitionens politik hotar Sveriges välfärd samtidigt som motviljan mot reformer förhindrar att en ny tids möjligheter tas till vara.</w:t>
      </w:r>
    </w:p>
    <w:p w:rsidR="001C7BF9" w:rsidRPr="00C9680B" w:rsidRDefault="001C7BF9">
      <w:pPr>
        <w:pStyle w:val="Normaltindrag"/>
      </w:pPr>
      <w:r w:rsidRPr="00C9680B">
        <w:t>Uppgången för den svenska ekonomin innebär ett utmärkt tillfälle att ta itu med Sveriges strukturproblem, bristerna i välfärden och den tunga och orät</w:t>
      </w:r>
      <w:r w:rsidRPr="00C9680B">
        <w:t>t</w:t>
      </w:r>
      <w:r w:rsidRPr="00C9680B">
        <w:t>visa skattebördan. Detta innebär att den privata andelen av ekonomin måste växa, vilket ökar människors frihet och deras möjlighet att ta ett ökat eget ansvar för sina liv. Den offentliga utgiftskvoten måste minska och skatteb</w:t>
      </w:r>
      <w:r w:rsidRPr="00C9680B">
        <w:t>a</w:t>
      </w:r>
      <w:r w:rsidRPr="00C9680B">
        <w:t>serna stärkas genom en offensiv politik.</w:t>
      </w:r>
    </w:p>
    <w:p w:rsidR="001C7BF9" w:rsidRPr="00C9680B" w:rsidRDefault="001C7BF9">
      <w:pPr>
        <w:pStyle w:val="Normaltindrag"/>
      </w:pPr>
      <w:r w:rsidRPr="00C9680B">
        <w:t>Att utnyttja den handlingsfrihet som den ekonomiska uppgången skapar är också nödvändigt för att förebygga att Sverige hamnar i en ny underskottssp</w:t>
      </w:r>
      <w:r w:rsidRPr="00C9680B">
        <w:t>i</w:t>
      </w:r>
      <w:r w:rsidRPr="00C9680B">
        <w:t>ral i nästa konjunkturnedgång. Konjunkturkänsligheten i de offentliga fina</w:t>
      </w:r>
      <w:r w:rsidRPr="00C9680B">
        <w:t>n</w:t>
      </w:r>
      <w:r w:rsidRPr="00C9680B">
        <w:t>serna är ett hot både mot enskilda människors trygghet och mot den långsikt</w:t>
      </w:r>
      <w:r w:rsidRPr="00C9680B">
        <w:t>i</w:t>
      </w:r>
      <w:r w:rsidRPr="00C9680B">
        <w:t>ga välståndsutvecklingen.</w:t>
      </w:r>
    </w:p>
    <w:p w:rsidR="001C7BF9" w:rsidRPr="00C9680B" w:rsidRDefault="001C7BF9">
      <w:pPr>
        <w:pStyle w:val="Normaltindrag"/>
      </w:pPr>
      <w:r w:rsidRPr="00C9680B">
        <w:t>Trots den goda konjunkturen är arbetslösheten fortfarande ett faktum för hundratusentals människor. Inte minst utanför storstadsområdena är arbet</w:t>
      </w:r>
      <w:r w:rsidRPr="00C9680B">
        <w:t>s</w:t>
      </w:r>
      <w:r w:rsidRPr="00C9680B">
        <w:t>lösheten hög. För att komma tillbaka till den sysselsättningsnivå som gällde i slutet av 1980-talet krävs att drygt 400 000 nya arbetstillfällen skapas. Det är av en avgörande betydelse för att bryta den tudelning av det svenska samhä</w:t>
      </w:r>
      <w:r w:rsidRPr="00C9680B">
        <w:t>l</w:t>
      </w:r>
      <w:r w:rsidRPr="00C9680B">
        <w:t>let som vi i dag ser i form av skillnaderna mellan storstadsområden och landsbygdens Sverige, liksom i den segregation som skapar till synes oöve</w:t>
      </w:r>
      <w:r w:rsidRPr="00C9680B">
        <w:t>r</w:t>
      </w:r>
      <w:r w:rsidRPr="00C9680B">
        <w:t>stigliga klyftor mellan människor.</w:t>
      </w:r>
    </w:p>
    <w:p w:rsidR="001C7BF9" w:rsidRPr="00C9680B" w:rsidRDefault="001C7BF9">
      <w:pPr>
        <w:pStyle w:val="Normaltindrag"/>
      </w:pPr>
      <w:r w:rsidRPr="00C9680B">
        <w:t>En tydlig skillnad mellan Sverige för tio år sedan och i dag är att globalis</w:t>
      </w:r>
      <w:r w:rsidRPr="00C9680B">
        <w:t>e</w:t>
      </w:r>
      <w:r w:rsidRPr="00C9680B">
        <w:t>ringen nu slagit igenom med full kraft. Även om geografins betydelse min</w:t>
      </w:r>
      <w:r w:rsidRPr="00C9680B">
        <w:t>s</w:t>
      </w:r>
      <w:r w:rsidRPr="00C9680B">
        <w:t>kar i det framväxande kunskapssamhället medför Sveriges perifera läge att vi behöver anstränga oss lite extra om vi vill vara med i centrum. Vi bör därför sikta på att vara bättre än jämförbara länder i OECD för att bibehålla och helst öka vår attraktionskraft.</w:t>
      </w:r>
    </w:p>
    <w:p w:rsidR="001C7BF9" w:rsidRPr="00C9680B" w:rsidRDefault="001C7BF9">
      <w:pPr>
        <w:pStyle w:val="Normaltindrag"/>
      </w:pPr>
      <w:r w:rsidRPr="00C9680B">
        <w:t>Om den utflyttning som i dag sker från glesbygd till storstad inom landet, och från hela Sverige till utlandet, skall kunna brytas krävs ett bättre n</w:t>
      </w:r>
      <w:r w:rsidRPr="00C9680B">
        <w:t>ä</w:t>
      </w:r>
      <w:r w:rsidRPr="00C9680B">
        <w:t xml:space="preserve">ringsklimat i hela landet. Om många fler människor över hela landet skall kunna få arbete krävs en politik som gör det lättare att anställa och driva företag, ger tillgång till riskkapital samt bidrar med en god infrastruktur i vid mening. För god hälsa och livskvalitet krävs också en miljö i balans. </w:t>
      </w:r>
    </w:p>
    <w:p w:rsidR="001C7BF9" w:rsidRPr="00C9680B" w:rsidRDefault="001C7BF9">
      <w:pPr>
        <w:pStyle w:val="Normaltindrag"/>
      </w:pPr>
      <w:r w:rsidRPr="00C9680B">
        <w:t>I dagens kunskapssamhälle är välståndet, i väsentligt högre grad än i i</w:t>
      </w:r>
      <w:r w:rsidRPr="00C9680B">
        <w:t>n</w:t>
      </w:r>
      <w:r w:rsidRPr="00C9680B">
        <w:t>dustrisamhället, beroende av enskilda människors insatser. Insikten om att vars och ens kunskap, kreativitet och arbetsförmåga avgör Sveriges konku</w:t>
      </w:r>
      <w:r w:rsidRPr="00C9680B">
        <w:t>r</w:t>
      </w:r>
      <w:r w:rsidRPr="00C9680B">
        <w:t>renskraft och långsiktiga välståndsutveckling måste ligga till grund för den förda politiken. Klimatet för enskilda människor är i dag minst lika avgörande som företagsklimatet för Sveriges förmåga att attrahera investerare.</w:t>
      </w:r>
    </w:p>
    <w:p w:rsidR="001C7BF9" w:rsidRPr="00C9680B" w:rsidRDefault="001C7BF9">
      <w:pPr>
        <w:pStyle w:val="Normaltindrag"/>
      </w:pPr>
      <w:r w:rsidRPr="00C9680B">
        <w:t>Även välfärdspolitiken är i stort behov av reformer. Bristen på valfrihet inom skolan, sjukvården, äldreomsorgen och barnomsorgen leder ti</w:t>
      </w:r>
      <w:r w:rsidRPr="00C9680B">
        <w:t>ll köer, lägre kvalitet och till att många människor känner att de inte får valuta för sina skattepengar. Utrymme måste därför skapas inom de kollektivt finansi</w:t>
      </w:r>
      <w:r w:rsidRPr="00C9680B">
        <w:t>e</w:t>
      </w:r>
      <w:r w:rsidRPr="00C9680B">
        <w:t>rade välfärdssystemen för andra alternativ än de offentliga i betydligt större omfattning än vad som är fallet i dag. Återinförd etableringsfrihet i barno</w:t>
      </w:r>
      <w:r w:rsidRPr="00C9680B">
        <w:t>m</w:t>
      </w:r>
      <w:r w:rsidRPr="00C9680B">
        <w:t>sorgen, fortsatt frihet för alternativa former av vård och allas rätt att välja skola är tre väsentliga steg i denna riktning och innebär väsentliga förbät</w:t>
      </w:r>
      <w:r w:rsidRPr="00C9680B">
        <w:t>t</w:t>
      </w:r>
      <w:r w:rsidRPr="00C9680B">
        <w:t>ringar av kvinnornas arbetsmarknad.</w:t>
      </w:r>
    </w:p>
    <w:p w:rsidR="001C7BF9" w:rsidRPr="00C9680B" w:rsidRDefault="001C7BF9">
      <w:pPr>
        <w:pStyle w:val="Normaltindrag"/>
      </w:pPr>
      <w:r w:rsidRPr="00C9680B">
        <w:t>En f</w:t>
      </w:r>
      <w:r w:rsidRPr="00C9680B">
        <w:t>örutsättning för valfrihet är också att familjernas ekonomiska utrymme ökar. Vi vill ge föräldrarna möjlighet att själva välja hur deras barn skall få växa upp, inklusive de ekonomiska möjligheterna att tillbringa mer tid med barnen. Vårt gemensamma förslag om barnomsorgskonto, etableringsfrihet och avdragsrätt för barntillsynskostnader samt reducerad skatt på hushål</w:t>
      </w:r>
      <w:r w:rsidRPr="00C9680B">
        <w:t>l</w:t>
      </w:r>
      <w:r w:rsidRPr="00C9680B">
        <w:t>s</w:t>
      </w:r>
      <w:r w:rsidRPr="00C9680B">
        <w:softHyphen/>
        <w:t>tjänster underlättar ytterligare för både kvinnor och män att förena familjeliv och yrkesliv.</w:t>
      </w:r>
    </w:p>
    <w:p w:rsidR="001C7BF9" w:rsidRPr="00C9680B" w:rsidRDefault="001C7BF9">
      <w:pPr>
        <w:pStyle w:val="Normaltindrag"/>
      </w:pPr>
      <w:r w:rsidRPr="00C9680B">
        <w:t>Ingen annanstans i världen beskattas människor</w:t>
      </w:r>
      <w:r w:rsidRPr="00C9680B">
        <w:t xml:space="preserve"> med låga inkomster så högt som i vårt land. Det gör det praktiskt taget omöjligt att bygga upp någon buffert. Även en kortvarig påfrestning på familjeekonomin riskerar därmed att leda till socialbidragsberoende, ett beroende som bl.a. de höga marginale</w:t>
      </w:r>
      <w:r w:rsidRPr="00C9680B">
        <w:t>f</w:t>
      </w:r>
      <w:r w:rsidRPr="00C9680B">
        <w:t>fekterna i systemet gör det svårt att bryta sig ur. Det är enligt vår åsikt särskilt angeläget att den orimligt tunga skatte- och marginaleffektsbördan reduceras för dem med låga inkomster. Det finns knappast någon del av välfärden som är viktigare än den en</w:t>
      </w:r>
      <w:r w:rsidRPr="00C9680B">
        <w:t>skilde medborgarens möjlighet att kunna förändra sin situation och kunna försörja sig själv.</w:t>
      </w:r>
    </w:p>
    <w:p w:rsidR="001C7BF9" w:rsidRPr="00C9680B" w:rsidRDefault="001C7BF9">
      <w:pPr>
        <w:pStyle w:val="Normaltindrag"/>
      </w:pPr>
      <w:r w:rsidRPr="00C9680B">
        <w:t>Det är för oss uppenbart att regeringen och dess samarbetspartier för en politik som mer syftar till att försvara en gammal samhällsmodell än till att lägga grunden för ett Sverige med förmåga att anpassa sig till samtidens och framtidens krav. Priset för denna passivitet betalas kortsiktigt av alla dem som ofrivilligt ställs utanför arbetsmarknaden på grund av stela regleringar, av dem som tvingas stå kvar i vårdkö</w:t>
      </w:r>
      <w:r w:rsidRPr="00C9680B">
        <w:t>erna och av dem som trots hårt arbete tvingas söka socia</w:t>
      </w:r>
      <w:r w:rsidRPr="00C9680B">
        <w:t>l</w:t>
      </w:r>
      <w:r w:rsidRPr="00C9680B">
        <w:t xml:space="preserve">bidrag. </w:t>
      </w:r>
    </w:p>
    <w:p w:rsidR="001C7BF9" w:rsidRPr="00C9680B" w:rsidRDefault="001C7BF9">
      <w:pPr>
        <w:pStyle w:val="Rubrik2"/>
      </w:pPr>
      <w:bookmarkStart w:id="669" w:name="_Toc498910871"/>
      <w:r w:rsidRPr="00C9680B">
        <w:t>Grunden för en ny reformpolitik</w:t>
      </w:r>
      <w:bookmarkEnd w:id="669"/>
    </w:p>
    <w:p w:rsidR="001C7BF9" w:rsidRPr="00C9680B" w:rsidRDefault="001C7BF9">
      <w:r w:rsidRPr="00C9680B">
        <w:t>Enligt vår mening behöver Sverige därför nu en politik som utgår ifrån den enskilda människans värdighet och rätt att bli respekterad för vad hon är, vad hon kan och vad hon vill. Det är en politik som bygger på en ökad tro på individens förmåga och ett ökat individuellt ansvar kombinerat med en stark solidaritet med de mest utsatta.</w:t>
      </w:r>
    </w:p>
    <w:p w:rsidR="001C7BF9" w:rsidRPr="00C9680B" w:rsidRDefault="001C7BF9">
      <w:pPr>
        <w:pStyle w:val="Normaltindrag"/>
      </w:pPr>
      <w:r w:rsidRPr="00C9680B">
        <w:t xml:space="preserve">Enligt vår mening måste det skapas förutsättningar för ekonomisk tillväxt genom att främja människors initiativförmåga och skaparglädje. Målet för den ekonomiska tillväxten är att ge fler möjlighet till ett bättre liv, ökad välfärd och livskvalitet. För att vi i Sverige på bästa sätt skall klara av att ta oss an den nya tiden och dess möjligheter måste välfärden förnyas i grunden – med inriktningen att skapa trygghet för alla – och med lika möjligheter för alla. Sverige behöver därför en reformpolitik som </w:t>
      </w:r>
      <w:r w:rsidRPr="00C9680B">
        <w:t>ger människorna makten över den egna vardagen.</w:t>
      </w:r>
    </w:p>
    <w:p w:rsidR="001C7BF9" w:rsidRPr="00C9680B" w:rsidRDefault="001C7BF9">
      <w:pPr>
        <w:pStyle w:val="Normaltindrag"/>
      </w:pPr>
      <w:r w:rsidRPr="00C9680B">
        <w:t>Utvecklingen under 1990-talet har visat att politiska förändringar kan ge resultat. Den starka svenska ekonomi vi nu kan glädjas åt är en direkt följd av det förra decenniets övergång till låginflationspolitik, avregleringar och bu</w:t>
      </w:r>
      <w:r w:rsidRPr="00C9680B">
        <w:t>d</w:t>
      </w:r>
      <w:r w:rsidRPr="00C9680B">
        <w:t>getsanering. Dessa politiska förändringar har sedan förstärkts av en god inte</w:t>
      </w:r>
      <w:r w:rsidRPr="00C9680B">
        <w:t>r</w:t>
      </w:r>
      <w:r w:rsidRPr="00C9680B">
        <w:t>nationell konjun</w:t>
      </w:r>
      <w:r w:rsidRPr="00C9680B">
        <w:t>k</w:t>
      </w:r>
      <w:r w:rsidRPr="00C9680B">
        <w:t>tur.</w:t>
      </w:r>
    </w:p>
    <w:p w:rsidR="001C7BF9" w:rsidRPr="00C9680B" w:rsidRDefault="001C7BF9">
      <w:pPr>
        <w:pStyle w:val="Normaltindrag"/>
      </w:pPr>
      <w:r w:rsidRPr="00C9680B">
        <w:t>Politiken måste nu föras med inriktning på de problem som vi redan i dag ser och som vi i allt större utsträckning kommer att möta. Det är genom d</w:t>
      </w:r>
      <w:r w:rsidRPr="00C9680B">
        <w:t>a</w:t>
      </w:r>
      <w:r w:rsidRPr="00C9680B">
        <w:t>gens reformpolitik som morgondagens förutsättningar för ekonomisk tillväxt och nya jobb skapas. Enligt vår mening behövs det strukturella reformer inom ett antal områden för att svensk ekonomi och välfärd skall ha förutsättningar att fungera bättre också i kommande lågkonjunktur. Det handlar framför allt om ett bättre företagsklimat, reformer för en bättre konkurrenssituation, n</w:t>
      </w:r>
      <w:r w:rsidRPr="00C9680B">
        <w:t>a</w:t>
      </w:r>
      <w:r w:rsidRPr="00C9680B">
        <w:t>tionellt och internationellt, och för en bättre fungerande arbetsmarknad.</w:t>
      </w:r>
    </w:p>
    <w:p w:rsidR="001C7BF9" w:rsidRPr="00C9680B" w:rsidRDefault="001C7BF9">
      <w:pPr>
        <w:pStyle w:val="Normaltindrag"/>
        <w:rPr>
          <w:snapToGrid w:val="0"/>
          <w:lang w:eastAsia="sv-SE"/>
        </w:rPr>
      </w:pPr>
      <w:r w:rsidRPr="00C9680B">
        <w:rPr>
          <w:snapToGrid w:val="0"/>
          <w:lang w:eastAsia="sv-SE"/>
        </w:rPr>
        <w:t>Den ekonomiska politiken måste utgå från att såväl kvin</w:t>
      </w:r>
      <w:r w:rsidRPr="00C9680B">
        <w:rPr>
          <w:snapToGrid w:val="0"/>
          <w:lang w:eastAsia="sv-SE"/>
        </w:rPr>
        <w:t>nor som män skall ha goda möjligheter att forma sina egna liv fria från könsroller och fördomar. Dagens samhälle uppfyller inte de kraven. Genom reformer även på det ek</w:t>
      </w:r>
      <w:r w:rsidRPr="00C9680B">
        <w:rPr>
          <w:snapToGrid w:val="0"/>
          <w:lang w:eastAsia="sv-SE"/>
        </w:rPr>
        <w:t>o</w:t>
      </w:r>
      <w:r w:rsidRPr="00C9680B">
        <w:rPr>
          <w:snapToGrid w:val="0"/>
          <w:lang w:eastAsia="sv-SE"/>
        </w:rPr>
        <w:t xml:space="preserve">nomisk-politiska området kan vi nå närmare målet om ett jämställt samhälle, där individens önskemål, inte könstillhörigheten, är styrande. Skattesystemet, den offentliga verksamhetens utformning, arbetsmarknadslagstiftningen etc. är exempel på områden där vi föreslår reformer som på ett positivt sätt bidrar till en sådan utveckling. </w:t>
      </w:r>
    </w:p>
    <w:p w:rsidR="001C7BF9" w:rsidRPr="00C9680B" w:rsidRDefault="001C7BF9">
      <w:pPr>
        <w:pStyle w:val="Normaltindrag"/>
        <w:rPr>
          <w:snapToGrid w:val="0"/>
          <w:lang w:eastAsia="sv-SE"/>
        </w:rPr>
      </w:pPr>
      <w:r w:rsidRPr="00C9680B">
        <w:rPr>
          <w:snapToGrid w:val="0"/>
          <w:lang w:eastAsia="sv-SE"/>
        </w:rPr>
        <w:t>Vår syn</w:t>
      </w:r>
      <w:r w:rsidRPr="00C9680B">
        <w:rPr>
          <w:snapToGrid w:val="0"/>
          <w:lang w:eastAsia="sv-SE"/>
        </w:rPr>
        <w:t xml:space="preserve"> på jämställdhet innebär att vi vill förändra de villkor som leder till att kvinnor och män i hög utsträckning har olika möjligheter till makt och pengar. Att kunna mäta detta statistiskt är en källa till information, inte ett mål. Det är orsakerna till den bristande jämställdheten som måste åtgärdas.</w:t>
      </w:r>
    </w:p>
    <w:p w:rsidR="001C7BF9" w:rsidRPr="00C9680B" w:rsidRDefault="001C7BF9">
      <w:pPr>
        <w:pStyle w:val="Normaltindrag"/>
        <w:rPr>
          <w:snapToGrid w:val="0"/>
          <w:lang w:eastAsia="sv-SE"/>
        </w:rPr>
      </w:pPr>
      <w:r w:rsidRPr="00C9680B">
        <w:rPr>
          <w:snapToGrid w:val="0"/>
          <w:lang w:eastAsia="sv-SE"/>
        </w:rPr>
        <w:t>En god ekonomisk utveckling förutsätter att såväl kvinnor som män ges bättre möjligheter till jobb och företagande. Den könsuppdelade arbetsmar</w:t>
      </w:r>
      <w:r w:rsidRPr="00C9680B">
        <w:rPr>
          <w:snapToGrid w:val="0"/>
          <w:lang w:eastAsia="sv-SE"/>
        </w:rPr>
        <w:t>k</w:t>
      </w:r>
      <w:r w:rsidRPr="00C9680B">
        <w:rPr>
          <w:snapToGrid w:val="0"/>
          <w:lang w:eastAsia="sv-SE"/>
        </w:rPr>
        <w:t>naden, de låga lönerna och det bristande inflytandet i de kvinnodominerade sektorerna, och svårigheterna att kombinera ett aktivt yrkesliv med ansvaret för barn är för oss prioriterade områden att förbättra. Att med kraft öka mö</w:t>
      </w:r>
      <w:r w:rsidRPr="00C9680B">
        <w:rPr>
          <w:snapToGrid w:val="0"/>
          <w:lang w:eastAsia="sv-SE"/>
        </w:rPr>
        <w:t>j</w:t>
      </w:r>
      <w:r w:rsidRPr="00C9680B">
        <w:rPr>
          <w:snapToGrid w:val="0"/>
          <w:lang w:eastAsia="sv-SE"/>
        </w:rPr>
        <w:t xml:space="preserve">ligheterna för kvinnors företagande utgör en viktig del i insatserna för att öka tillväxten. </w:t>
      </w:r>
    </w:p>
    <w:p w:rsidR="001C7BF9" w:rsidRPr="00C9680B" w:rsidRDefault="001C7BF9">
      <w:pPr>
        <w:pStyle w:val="Normaltindrag"/>
        <w:rPr>
          <w:snapToGrid w:val="0"/>
          <w:lang w:eastAsia="sv-SE"/>
        </w:rPr>
      </w:pPr>
      <w:r w:rsidRPr="00C9680B">
        <w:rPr>
          <w:snapToGrid w:val="0"/>
          <w:lang w:eastAsia="sv-SE"/>
        </w:rPr>
        <w:t xml:space="preserve">I en politik som syftar till att bättre ta till vara både kvinnors och mäns förmåga ingår att öppna den offentliga tjänstesektorn för nya arbetsformer, att förenkla ett stort antal regler </w:t>
      </w:r>
      <w:r w:rsidRPr="00C9680B">
        <w:rPr>
          <w:snapToGrid w:val="0"/>
          <w:lang w:eastAsia="sv-SE"/>
        </w:rPr>
        <w:t>som i dag styr arbete och företagande, att främja tillgången till riskkapital samt att sänka skattetrycket på arbete. Genom en sådan sammanhållen politik förbättras möjligheterna att på ett rimligt sätt kunna förena yrkes- och familjeliv. Under respektive avsnitt redogör vi därför för olika förslag som bidrar till att undanröja orsakerna till den bristande jämställdh</w:t>
      </w:r>
      <w:r w:rsidRPr="00C9680B">
        <w:rPr>
          <w:snapToGrid w:val="0"/>
          <w:lang w:eastAsia="sv-SE"/>
        </w:rPr>
        <w:t>e</w:t>
      </w:r>
      <w:r w:rsidRPr="00C9680B">
        <w:rPr>
          <w:snapToGrid w:val="0"/>
          <w:lang w:eastAsia="sv-SE"/>
        </w:rPr>
        <w:t>ten.</w:t>
      </w:r>
    </w:p>
    <w:p w:rsidR="001C7BF9" w:rsidRPr="00C9680B" w:rsidRDefault="001C7BF9">
      <w:pPr>
        <w:pStyle w:val="Normaltindrag"/>
        <w:rPr>
          <w:snapToGrid w:val="0"/>
          <w:lang w:eastAsia="sv-SE"/>
        </w:rPr>
      </w:pPr>
      <w:r w:rsidRPr="00C9680B">
        <w:rPr>
          <w:snapToGrid w:val="0"/>
          <w:lang w:eastAsia="sv-SE"/>
        </w:rPr>
        <w:t>I ett Sverige som tar till vara alla måste utanförskap och segregation b</w:t>
      </w:r>
      <w:r w:rsidRPr="00C9680B">
        <w:rPr>
          <w:snapToGrid w:val="0"/>
          <w:lang w:eastAsia="sv-SE"/>
        </w:rPr>
        <w:t>e</w:t>
      </w:r>
      <w:r w:rsidRPr="00C9680B">
        <w:rPr>
          <w:snapToGrid w:val="0"/>
          <w:lang w:eastAsia="sv-SE"/>
        </w:rPr>
        <w:t>kämpas. Jobb och egen inkomst är då centralt. De hinder som finns för att komma in på arbetsmarknaden måste rivas.</w:t>
      </w:r>
    </w:p>
    <w:p w:rsidR="001C7BF9" w:rsidRPr="00C9680B" w:rsidRDefault="001C7BF9">
      <w:pPr>
        <w:pStyle w:val="Normaltindrag"/>
      </w:pPr>
      <w:r w:rsidRPr="00C9680B">
        <w:t>Vår politiska utgångspunkt är optimistisk. Vi vet vad människor och för</w:t>
      </w:r>
      <w:r w:rsidRPr="00C9680B">
        <w:t>e</w:t>
      </w:r>
      <w:r w:rsidRPr="00C9680B">
        <w:t>tag kan åstadkomma om de ges förutsättningar och handlingsutrymme. Vi tror på människors förmåga att ta ansvar och växa. Vi lever i en tid med mycket stora möjligheter. Detta måste vi utnyttja.</w:t>
      </w:r>
    </w:p>
    <w:p w:rsidR="001C7BF9" w:rsidRPr="00C9680B" w:rsidRDefault="001C7BF9">
      <w:pPr>
        <w:pStyle w:val="Rubrik2"/>
      </w:pPr>
      <w:bookmarkStart w:id="670" w:name="_Toc498910872"/>
      <w:r w:rsidRPr="00C9680B">
        <w:t>Förutsättningar för tillväxt och välfärd</w:t>
      </w:r>
      <w:bookmarkEnd w:id="670"/>
    </w:p>
    <w:p w:rsidR="001C7BF9" w:rsidRPr="00C9680B" w:rsidRDefault="001C7BF9">
      <w:r w:rsidRPr="00C9680B">
        <w:t xml:space="preserve">Uppgiften för den ekonomiska politiken är att skapa förutsättningar för en långsiktigt uthållig tillväxt. Det ställer krav på en politik som kan möta både upp- och nedgång i konjunkturen. Sverige måste återta en tätposition bland industriländerna om vi skall kunna bli ett land där det finns bra jobb med goda löner. </w:t>
      </w:r>
    </w:p>
    <w:p w:rsidR="001C7BF9" w:rsidRPr="00C9680B" w:rsidRDefault="001C7BF9">
      <w:pPr>
        <w:pStyle w:val="Normaltindrag"/>
      </w:pPr>
      <w:r w:rsidRPr="00C9680B">
        <w:t>Då måste vi ha en lång period av snabbare tillväxt än omvärlden. Altern</w:t>
      </w:r>
      <w:r w:rsidRPr="00C9680B">
        <w:t>a</w:t>
      </w:r>
      <w:r w:rsidRPr="00C9680B">
        <w:t>tivet är att vi fortsätter att långsiktigt halka efter omvärlden när konjunktu</w:t>
      </w:r>
      <w:r w:rsidRPr="00C9680B">
        <w:t>r</w:t>
      </w:r>
      <w:r w:rsidRPr="00C9680B">
        <w:t>uppgången är över. För att skapa förutsättningar för detta krävs att den ek</w:t>
      </w:r>
      <w:r w:rsidRPr="00C9680B">
        <w:t>o</w:t>
      </w:r>
      <w:r w:rsidRPr="00C9680B">
        <w:t>nomiska politiken syftar till en socialt, ekonomiskt och ekologiskt hållbar tillväxt inom ramen för marknadsekonomin, men också att den ger goda tillväxtförutsättningar i hela landet. Som EU-kommissionen vid flera tillfällen påpekat riskerar stora regionala skillnader att verka destabiliserande. Grunden för en hållbar utveckling ligger i stabila spelregl</w:t>
      </w:r>
      <w:r w:rsidRPr="00C9680B">
        <w:t>er för hur ekonomin skall fungera, väl förankrade etiska värderingar och väl fungerande institutioner, goda villkor i olika delar av landet samt skydd för ägande- och avtalsrätten. Kostn</w:t>
      </w:r>
      <w:r w:rsidRPr="00C9680B">
        <w:t>a</w:t>
      </w:r>
      <w:r w:rsidRPr="00C9680B">
        <w:t>der får inte övervältras på kommande generationer.</w:t>
      </w:r>
    </w:p>
    <w:p w:rsidR="001C7BF9" w:rsidRPr="00C9680B" w:rsidRDefault="001C7BF9">
      <w:pPr>
        <w:pStyle w:val="Normaltindrag"/>
      </w:pPr>
      <w:r w:rsidRPr="00C9680B">
        <w:t>Det är viktigt att värna det sociala kapital som finns i relationer mellan människor i och utanför företagen. Detta kapital består av nätverket mellan människor och är avgörande för att skapa framgångsrika regioner, både i Sverige och utomlands. Det bundna sociala kapitalet</w:t>
      </w:r>
      <w:r w:rsidRPr="00C9680B">
        <w:t xml:space="preserve"> måste släppas loss g</w:t>
      </w:r>
      <w:r w:rsidRPr="00C9680B">
        <w:t>e</w:t>
      </w:r>
      <w:r w:rsidRPr="00C9680B">
        <w:t>nom att vi öppnar upp våra offentliga myndigheter och förvaltningar. Med en sådan utveckling kan det privata och det offentligas roller bli tydligare samt</w:t>
      </w:r>
      <w:r w:rsidRPr="00C9680B">
        <w:t>i</w:t>
      </w:r>
      <w:r w:rsidRPr="00C9680B">
        <w:t>digt som samarbetet mellan privat och offentligt kan bli bättre.</w:t>
      </w:r>
    </w:p>
    <w:p w:rsidR="001C7BF9" w:rsidRPr="00C9680B" w:rsidRDefault="001C7BF9">
      <w:pPr>
        <w:pStyle w:val="Normaltindrag"/>
      </w:pPr>
      <w:r w:rsidRPr="00C9680B">
        <w:t>Sverige har uppnått sitt välstånd som en öppen ekonomi genom att aktivt delta i det internationella utbytet av varor och tjänster. Ingen skulle acceptera de välfärdsförluster det skulle innebära att gå tillbaka och försöka minska vår internationella inriktning, och därm</w:t>
      </w:r>
      <w:r w:rsidRPr="00C9680B">
        <w:t>ed också vårt beroende av omvärlden. Graden av internationalisering av de nationella ekonomierna har ökat under hela efterkrigstiden, men det förefaller som om takten varit särskilt hög under de senaste 10 till 15 åren, det som brukar kallas ”globaliseringen”.</w:t>
      </w:r>
    </w:p>
    <w:p w:rsidR="001C7BF9" w:rsidRPr="00C9680B" w:rsidRDefault="001C7BF9">
      <w:pPr>
        <w:pStyle w:val="Normaltindrag"/>
      </w:pPr>
      <w:r w:rsidRPr="00C9680B">
        <w:t>Viktiga inslag i bilden är den tekniska utvecklingen, särskilt inom info</w:t>
      </w:r>
      <w:r w:rsidRPr="00C9680B">
        <w:t>r</w:t>
      </w:r>
      <w:r w:rsidRPr="00C9680B">
        <w:t>mations- och kommunikationstekniken som revolutionerat många branscher. Vidare har avregleringar inom det finansiella området skapat helt nya föru</w:t>
      </w:r>
      <w:r w:rsidRPr="00C9680B">
        <w:t>t</w:t>
      </w:r>
      <w:r w:rsidRPr="00C9680B">
        <w:t>sättningar. Förutsättningar för den goda tillväxt vi nu ser skapades således i hög grad genom de avregleringar som skedde inom det finansiella området i slutet av 1980-talet och inom ett flertal områden i början av 1990-talet. E</w:t>
      </w:r>
      <w:r w:rsidRPr="00C9680B">
        <w:t>f</w:t>
      </w:r>
      <w:r w:rsidRPr="00C9680B">
        <w:t>fekten av dessa får nu ett allt större genomslag i ekonomin.</w:t>
      </w:r>
    </w:p>
    <w:p w:rsidR="001C7BF9" w:rsidRPr="00C9680B" w:rsidRDefault="001C7BF9">
      <w:pPr>
        <w:pStyle w:val="Normaltindrag"/>
      </w:pPr>
      <w:r w:rsidRPr="00C9680B">
        <w:t>Genom avregleringar, den nya tekniken och en allmän inriktning på låg i</w:t>
      </w:r>
      <w:r w:rsidRPr="00C9680B">
        <w:t>n</w:t>
      </w:r>
      <w:r w:rsidRPr="00C9680B">
        <w:t>flation och lägre skatter har marknaderna knutits samman i större utsträckning än tidigare. Affärsmässiga och politiska beslut får snabbare återverkningar på företag och människor. Reaktionerna från marknaderna på t.ex. politiska beslut som försvårar företagande och investeringar blir snabbare och tydligare än förut. Globaliseringen sätter gränser men ger också nya möjligheter. Gl</w:t>
      </w:r>
      <w:r w:rsidRPr="00C9680B">
        <w:t>o</w:t>
      </w:r>
      <w:r w:rsidRPr="00C9680B">
        <w:t>baliseringen och ett växande tjänstesamhälle ger bl.a. möjligheter till succe</w:t>
      </w:r>
      <w:r w:rsidRPr="00C9680B">
        <w:t>s</w:t>
      </w:r>
      <w:r w:rsidRPr="00C9680B">
        <w:t xml:space="preserve">siva miljöförbättringar och ett växande välstånd </w:t>
      </w:r>
      <w:r w:rsidRPr="00C9680B">
        <w:t>för jordens fattiga.</w:t>
      </w:r>
    </w:p>
    <w:p w:rsidR="001C7BF9" w:rsidRPr="00C9680B" w:rsidRDefault="001C7BF9">
      <w:pPr>
        <w:pStyle w:val="Normaltindrag"/>
      </w:pPr>
      <w:r w:rsidRPr="00C9680B">
        <w:t>Hur de nya förutsättningarna påverkar politikens förutsättningar kan b</w:t>
      </w:r>
      <w:r w:rsidRPr="00C9680B">
        <w:t>e</w:t>
      </w:r>
      <w:r w:rsidRPr="00C9680B">
        <w:t>skrivas på följande sätt:</w:t>
      </w:r>
    </w:p>
    <w:p w:rsidR="001C7BF9" w:rsidRPr="00C9680B" w:rsidRDefault="001C7BF9">
      <w:pPr>
        <w:pStyle w:val="Normaltindrag"/>
      </w:pPr>
    </w:p>
    <w:p w:rsidR="001C7BF9" w:rsidRPr="00C9680B" w:rsidRDefault="001C7BF9">
      <w:pPr>
        <w:pStyle w:val="CitatIndrag"/>
      </w:pPr>
      <w:r w:rsidRPr="00C9680B">
        <w:t>En politik utformad för den nya ekonomin måste omfatta såväl sat</w:t>
      </w:r>
      <w:r w:rsidRPr="00C9680B">
        <w:t>s</w:t>
      </w:r>
      <w:r w:rsidRPr="00C9680B">
        <w:t>ningar på utbildning som åtgärder för att förbättra den miljö inom vilken kunskapen ska kommersialiseras och spridas. Sverige ligger sedan flera år i den absoluta tätpositionen när det gäller satsningar på FoU och til</w:t>
      </w:r>
      <w:r w:rsidRPr="00C9680B">
        <w:t>l</w:t>
      </w:r>
      <w:r w:rsidRPr="00C9680B">
        <w:t>gång på kunskapskapital. Dessutom finns ett uttalat mål att prioritera u</w:t>
      </w:r>
      <w:r w:rsidRPr="00C9680B">
        <w:t>t</w:t>
      </w:r>
      <w:r w:rsidRPr="00C9680B">
        <w:t>bildningsväsendet i syfte att höja landets samlade kunskaps</w:t>
      </w:r>
      <w:r w:rsidRPr="00C9680B">
        <w:softHyphen/>
        <w:t>nivå. Probl</w:t>
      </w:r>
      <w:r w:rsidRPr="00C9680B">
        <w:t>e</w:t>
      </w:r>
      <w:r w:rsidRPr="00C9680B">
        <w:t>met är dock att dessa satsningar hittills inte avspeglats i en växande hö</w:t>
      </w:r>
      <w:r w:rsidRPr="00C9680B">
        <w:t>g</w:t>
      </w:r>
      <w:r w:rsidRPr="00C9680B">
        <w:t>teknologisektor jämfört med andra länder. ... Detta tyder på att instituti</w:t>
      </w:r>
      <w:r w:rsidRPr="00C9680B">
        <w:t>o</w:t>
      </w:r>
      <w:r w:rsidRPr="00C9680B">
        <w:t>nerna – spelreglerna – inte är utformade på ett sätt som tar vara på det kunskapskapital som finns i den svenska ekonomin. (Pontus Braune</w:t>
      </w:r>
      <w:r w:rsidRPr="00C9680B">
        <w:t>r</w:t>
      </w:r>
      <w:r w:rsidRPr="00C9680B">
        <w:t>hjelm &amp; Per Thulin i Ekonomisk Debatt 2000: 6, sid. 527, temanummer om ”Den nya ekonomin”)</w:t>
      </w:r>
    </w:p>
    <w:p w:rsidR="001C7BF9" w:rsidRPr="00C9680B" w:rsidRDefault="001C7BF9">
      <w:pPr>
        <w:pStyle w:val="CitatIndrag"/>
      </w:pPr>
    </w:p>
    <w:p w:rsidR="001C7BF9" w:rsidRPr="00C9680B" w:rsidRDefault="001C7BF9">
      <w:r w:rsidRPr="00C9680B">
        <w:t>Det finns brister i politiken som inte ger de förutsättningar som skulle beh</w:t>
      </w:r>
      <w:r w:rsidRPr="00C9680B">
        <w:t>ö</w:t>
      </w:r>
      <w:r w:rsidRPr="00C9680B">
        <w:t>vas för att utnyttja Sveriges potential. Detta är särskilt tydligt vad gäller ska</w:t>
      </w:r>
      <w:r w:rsidRPr="00C9680B">
        <w:t>t</w:t>
      </w:r>
      <w:r w:rsidRPr="00C9680B">
        <w:t>ter, utbildning och forskning samt regelsystem m.m. Skattesystem och skatt</w:t>
      </w:r>
      <w:r w:rsidRPr="00C9680B">
        <w:t>e</w:t>
      </w:r>
      <w:r w:rsidRPr="00C9680B">
        <w:t>satser måste anpassas till nivåer som är internationellt konkurrenskraftiga. Endast genom att ta hänsyn till vad som sker i vår omvärld kan den skattef</w:t>
      </w:r>
      <w:r w:rsidRPr="00C9680B">
        <w:t>i</w:t>
      </w:r>
      <w:r w:rsidRPr="00C9680B">
        <w:t>nansierade välfärden bevaras. Det är viktigt att vara medveten om problemet och påbörja ett skattereformarbete omedelbart.</w:t>
      </w:r>
    </w:p>
    <w:p w:rsidR="001C7BF9" w:rsidRPr="00C9680B" w:rsidRDefault="001C7BF9">
      <w:pPr>
        <w:pStyle w:val="Normaltindrag"/>
      </w:pPr>
      <w:r w:rsidRPr="00C9680B">
        <w:t>Internationaliseringen påverkar i första hand företagande, investeringar och lo</w:t>
      </w:r>
      <w:r w:rsidRPr="00C9680B">
        <w:t>kalisering av produktion. Men i allt högre grad kommer människor med ett kunnande som kan nyttiggöras i andra länder att överväga arbete i något annat land. Skattefrågor kommer att bli allt viktigare i sådana avgöranden. En skattenivå som driver människor ut ur landet undergräver basen för föret</w:t>
      </w:r>
      <w:r w:rsidRPr="00C9680B">
        <w:t>a</w:t>
      </w:r>
      <w:r w:rsidRPr="00C9680B">
        <w:t>gande, jobb och offentlig verksamhet.</w:t>
      </w:r>
    </w:p>
    <w:p w:rsidR="001C7BF9" w:rsidRPr="00C9680B" w:rsidRDefault="001C7BF9">
      <w:pPr>
        <w:pStyle w:val="Normaltindrag"/>
      </w:pPr>
      <w:r w:rsidRPr="00C9680B">
        <w:t>Reglerna på arbetsmarknaden formades under 1970-talet och är inte anpa</w:t>
      </w:r>
      <w:r w:rsidRPr="00C9680B">
        <w:t>s</w:t>
      </w:r>
      <w:r w:rsidRPr="00C9680B">
        <w:t>sade till dagens samhälle. Detta framgår inte minst vid de kollisioner som sker mellan reglerna och verkligheten i de nya företagen. Om reformeringar inte sker kommer legitimiteten även för motiverade regler att undergrävas, och de kommer helt enkelt inte att tillämpas. Sådana tendenser finns på sina håll i de nya IT-företagen. Men dagens regler har också den effekten att de riskerar att motverka den rörlighet och den kompetensutveckling som för den enskilde kommer att vara avgörande på en ny tids arbetsma</w:t>
      </w:r>
      <w:r w:rsidRPr="00C9680B">
        <w:t>rknad. Bristerna i arbetsmarknadens funktionssätt har bidragit till ett antal problem: dåligt fu</w:t>
      </w:r>
      <w:r w:rsidRPr="00C9680B">
        <w:t>n</w:t>
      </w:r>
      <w:r w:rsidRPr="00C9680B">
        <w:t>gerande lönebildning, höga barriärer för nytillträde till arbetsmarknaden som medför risk för bestående utanförskap och arbetsrättsliga regleringar som skapar problem, inte minst för småföretagen.</w:t>
      </w:r>
    </w:p>
    <w:p w:rsidR="001C7BF9" w:rsidRPr="00C9680B" w:rsidRDefault="001C7BF9">
      <w:pPr>
        <w:pStyle w:val="Normaltindrag"/>
      </w:pPr>
      <w:r w:rsidRPr="00C9680B">
        <w:t>Bristerna i arbetsmarknadens funktionssätt ger dessutom tydliga effekter inom följande tre områden: Sverige har en starkt könssegregerad arbetsmar</w:t>
      </w:r>
      <w:r w:rsidRPr="00C9680B">
        <w:t>k</w:t>
      </w:r>
      <w:r w:rsidRPr="00C9680B">
        <w:t>nad. Invandrare har stora problem att få tillgång till arbetsmarknaden på rät</w:t>
      </w:r>
      <w:r w:rsidRPr="00C9680B">
        <w:t>t</w:t>
      </w:r>
      <w:r w:rsidRPr="00C9680B">
        <w:t>visa och likvärdiga villkor. Handikappade utestängs i stor utsträckning från arbet</w:t>
      </w:r>
      <w:r w:rsidRPr="00C9680B">
        <w:t>s</w:t>
      </w:r>
      <w:r w:rsidRPr="00C9680B">
        <w:t>marknaden.</w:t>
      </w:r>
    </w:p>
    <w:p w:rsidR="001C7BF9" w:rsidRPr="00C9680B" w:rsidRDefault="001C7BF9">
      <w:pPr>
        <w:pStyle w:val="Normaltindrag"/>
      </w:pPr>
      <w:r w:rsidRPr="00C9680B">
        <w:t>För att i hela landet ta till vara hela den tillväxtpotential som finns i inte</w:t>
      </w:r>
      <w:r w:rsidRPr="00C9680B">
        <w:t>r</w:t>
      </w:r>
      <w:r w:rsidRPr="00C9680B">
        <w:t>nationalisering och i ny ekonomi, framför allt i mötet med traditionella bra</w:t>
      </w:r>
      <w:r w:rsidRPr="00C9680B">
        <w:t>n</w:t>
      </w:r>
      <w:r w:rsidRPr="00C9680B">
        <w:t>scher, är det nödvändigt att politiken utformas för att underlätta företagande efter de olika regionernas egna förutsättningar och behov.</w:t>
      </w:r>
    </w:p>
    <w:p w:rsidR="001C7BF9" w:rsidRPr="00C9680B" w:rsidRDefault="001C7BF9">
      <w:pPr>
        <w:pStyle w:val="Rubrik2"/>
      </w:pPr>
      <w:bookmarkStart w:id="671" w:name="_Toc498910873"/>
      <w:r w:rsidRPr="00C9680B">
        <w:t>Stabila offentliga finanser</w:t>
      </w:r>
      <w:bookmarkEnd w:id="671"/>
    </w:p>
    <w:p w:rsidR="001C7BF9" w:rsidRPr="00C9680B" w:rsidRDefault="001C7BF9">
      <w:pPr>
        <w:pStyle w:val="Rubrik2b"/>
        <w:spacing w:before="110"/>
        <w:outlineLvl w:val="0"/>
      </w:pPr>
      <w:bookmarkStart w:id="672" w:name="_Toc498910874"/>
      <w:r w:rsidRPr="00C9680B">
        <w:t>Minska konjunkturkänsligheten</w:t>
      </w:r>
      <w:bookmarkEnd w:id="672"/>
    </w:p>
    <w:p w:rsidR="001C7BF9" w:rsidRPr="00C9680B" w:rsidRDefault="001C7BF9">
      <w:r w:rsidRPr="00C9680B">
        <w:t>De svenska statsfinanserna är mycket konjunkturkänsliga. Orsakerna är vår stora offentliga sektor, höga skattekvot och omfattande transfereringssystem. I lågkonjunkturer tenderar utgifterna att skena och i högkonjunkturer i</w:t>
      </w:r>
      <w:r w:rsidRPr="00C9680B">
        <w:t>n</w:t>
      </w:r>
      <w:r w:rsidRPr="00C9680B">
        <w:t>komsterna. Under lågkonjunkturen medför detta stora påfrestningar på sa</w:t>
      </w:r>
      <w:r w:rsidRPr="00C9680B">
        <w:t>m</w:t>
      </w:r>
      <w:r w:rsidRPr="00C9680B">
        <w:t>hällsekonomin och på de sociala skyddssystemen. I högkonjunkturen riskerar man att beslut fattas som ökar de offentliga utgifterna som andel av BNP vilket ytterligare ökar sårbarheten i lågkonjunkturen.</w:t>
      </w:r>
    </w:p>
    <w:p w:rsidR="001C7BF9" w:rsidRPr="00C9680B" w:rsidRDefault="001C7BF9">
      <w:pPr>
        <w:pStyle w:val="Normaltindrag"/>
      </w:pPr>
      <w:r w:rsidRPr="00C9680B">
        <w:t>De offentliga finanserna förbättras nu snabbt. Detta är inte förvånande mot bakgrund av det starka konjunkturberoendet. Men det är påfallande att denna förbättring i stort sett varit oförväntad. Oväntat starka budgetförbättringar i konj</w:t>
      </w:r>
      <w:r w:rsidRPr="00C9680B">
        <w:t>unkturuppgångar är dock inte unika. Detta inträffade under slutet av 1980-talet då budgeten också under en period blev bättre än prognoserna antog.</w:t>
      </w:r>
    </w:p>
    <w:p w:rsidR="001C7BF9" w:rsidRPr="00C9680B" w:rsidRDefault="001C7BF9">
      <w:pPr>
        <w:pStyle w:val="Normaltindrag"/>
      </w:pPr>
      <w:r w:rsidRPr="00C9680B">
        <w:t xml:space="preserve">Att budgeten vid konjunkturuppgångar ofta blir bättre än väntat beror bl.a. på svårigheter att förutsäga vändpunkter i konjunkturen. Detsamma gäller vid avmattningar. Den risk som framför allt finns är att en ordentlig förbättring i de offentliga finanserna lockar till offentlig utgiftsexpansion, en ökning av utgifterna som inte är hållbar på längre sikt, t.ex. </w:t>
      </w:r>
      <w:r w:rsidRPr="00C9680B">
        <w:t>inte över en hel konjunktu</w:t>
      </w:r>
      <w:r w:rsidRPr="00C9680B">
        <w:t>r</w:t>
      </w:r>
      <w:r w:rsidRPr="00C9680B">
        <w:t>cykel.</w:t>
      </w:r>
    </w:p>
    <w:p w:rsidR="001C7BF9" w:rsidRPr="00C9680B" w:rsidRDefault="001C7BF9">
      <w:pPr>
        <w:pStyle w:val="Normaltindrag"/>
      </w:pPr>
      <w:r w:rsidRPr="00C9680B">
        <w:t>Regeringen riskerar nu, som i slutet av 1980-talet, att driva en alltför e</w:t>
      </w:r>
      <w:r w:rsidRPr="00C9680B">
        <w:t>x</w:t>
      </w:r>
      <w:r w:rsidRPr="00C9680B">
        <w:t xml:space="preserve">pansiv finanspolitik genom att acceptera permanenta utgiftsökningar, bl.a. inom sjukförsäkringen. Utgiftstaket hålls genom att konjunkturberoende utgifter minskas, både med automatik och genom direkta beslut. Detta är dock inte en långsiktig lösning. </w:t>
      </w:r>
    </w:p>
    <w:p w:rsidR="001C7BF9" w:rsidRPr="00C9680B" w:rsidRDefault="001C7BF9">
      <w:pPr>
        <w:pStyle w:val="Normaltindrag"/>
      </w:pPr>
      <w:r w:rsidRPr="00C9680B">
        <w:t>Konjunkturkänsligheten måste brytas. Det sker bäst genom att minska de offentliga utgifterna som andel av BNP. För att minska riskerna för utgiftsö</w:t>
      </w:r>
      <w:r w:rsidRPr="00C9680B">
        <w:t>k</w:t>
      </w:r>
      <w:r w:rsidRPr="00C9680B">
        <w:t>ningar bör också statsskulden hållas tillbaka. Transfereringssystemen måste göras mer robusta för att värna dem som är i störst beroende av dem. Samt</w:t>
      </w:r>
      <w:r w:rsidRPr="00C9680B">
        <w:t>i</w:t>
      </w:r>
      <w:r w:rsidRPr="00C9680B">
        <w:t>digt måste förutsättningarna för rörlighet ökas. Det nya ålderspensionssy</w:t>
      </w:r>
      <w:r w:rsidRPr="00C9680B">
        <w:softHyphen/>
        <w:t>stemet kan härvid tjäna som en förebild. Sverige behöver en socialförsä</w:t>
      </w:r>
      <w:r w:rsidRPr="00C9680B">
        <w:t>k</w:t>
      </w:r>
      <w:r w:rsidRPr="00C9680B">
        <w:t>ringsreform som präglas av en motsvarande förnyelse.</w:t>
      </w:r>
    </w:p>
    <w:p w:rsidR="001C7BF9" w:rsidRPr="00C9680B" w:rsidRDefault="001C7BF9">
      <w:pPr>
        <w:pStyle w:val="Normaltindrag"/>
      </w:pPr>
      <w:r w:rsidRPr="00C9680B">
        <w:t>För att minska konjunkturkänsligheten måste också parallellt med utgift</w:t>
      </w:r>
      <w:r w:rsidRPr="00C9680B">
        <w:t>s</w:t>
      </w:r>
      <w:r w:rsidRPr="00C9680B">
        <w:t>minskningarna skattekvoten bringas ner. Det är nu när konjunkturen är god som vi har möjlighet att genomföra förändringar som påverkar förutsättnin</w:t>
      </w:r>
      <w:r w:rsidRPr="00C9680B">
        <w:t>g</w:t>
      </w:r>
      <w:r w:rsidRPr="00C9680B">
        <w:t>arna att stå bättre rustade vid nästa lågkonjunkt</w:t>
      </w:r>
      <w:bookmarkStart w:id="673" w:name="_Toc484356931"/>
      <w:r w:rsidRPr="00C9680B">
        <w:t>ur.</w:t>
      </w:r>
    </w:p>
    <w:p w:rsidR="001C7BF9" w:rsidRPr="00C9680B" w:rsidRDefault="001C7BF9">
      <w:pPr>
        <w:pStyle w:val="Rubrik2b"/>
        <w:outlineLvl w:val="0"/>
      </w:pPr>
      <w:bookmarkStart w:id="674" w:name="_Toc498910875"/>
      <w:r w:rsidRPr="00C9680B">
        <w:t>Skatter och offentliga utgifter måste minska</w:t>
      </w:r>
      <w:bookmarkEnd w:id="673"/>
      <w:bookmarkEnd w:id="674"/>
    </w:p>
    <w:p w:rsidR="001C7BF9" w:rsidRPr="00C9680B" w:rsidRDefault="001C7BF9">
      <w:pPr>
        <w:pStyle w:val="Rubrik4"/>
        <w:spacing w:before="125"/>
        <w:rPr>
          <w:noProof w:val="0"/>
        </w:rPr>
      </w:pPr>
      <w:bookmarkStart w:id="675" w:name="_Toc498910876"/>
      <w:r w:rsidRPr="00C9680B">
        <w:rPr>
          <w:noProof w:val="0"/>
        </w:rPr>
        <w:t>Höga skatter och stora offentliga utgifter...</w:t>
      </w:r>
      <w:bookmarkEnd w:id="675"/>
      <w:r w:rsidRPr="00C9680B">
        <w:rPr>
          <w:noProof w:val="0"/>
        </w:rPr>
        <w:t xml:space="preserve"> </w:t>
      </w:r>
    </w:p>
    <w:p w:rsidR="001C7BF9" w:rsidRPr="00C9680B" w:rsidRDefault="001C7BF9">
      <w:r w:rsidRPr="00C9680B">
        <w:t>Att Sverige har den industrialiserade världens högsta skatter och högsta o</w:t>
      </w:r>
      <w:r w:rsidRPr="00C9680B">
        <w:t>f</w:t>
      </w:r>
      <w:r w:rsidRPr="00C9680B">
        <w:t>fentliga utgifter skapar ett antal problem. För det första ger detta inte indiv</w:t>
      </w:r>
      <w:r w:rsidRPr="00C9680B">
        <w:t>i</w:t>
      </w:r>
      <w:r w:rsidRPr="00C9680B">
        <w:t xml:space="preserve">den den mångfald och valfrihet som han eller hon har rätt att kräva. För det andra gäller att även om många uttalar stöd för den nuvarande välfärdsstaten är stödet i praktiken, när det gäller att betala skatt, betydligt lägre. </w:t>
      </w:r>
    </w:p>
    <w:p w:rsidR="001C7BF9" w:rsidRPr="00C9680B" w:rsidRDefault="001C7BF9">
      <w:pPr>
        <w:pStyle w:val="Rubrik4"/>
        <w:rPr>
          <w:noProof w:val="0"/>
        </w:rPr>
      </w:pPr>
      <w:bookmarkStart w:id="676" w:name="_Toc498910877"/>
      <w:r w:rsidRPr="00C9680B">
        <w:rPr>
          <w:noProof w:val="0"/>
        </w:rPr>
        <w:t>...men medelmåttig offentlig service...</w:t>
      </w:r>
      <w:bookmarkEnd w:id="676"/>
    </w:p>
    <w:p w:rsidR="001C7BF9" w:rsidRPr="00C9680B" w:rsidRDefault="001C7BF9">
      <w:r w:rsidRPr="00C9680B">
        <w:t>För det tredje ger inte svensk skatt och svensk offentlig sektor tjänster av den kvalitet som det höga skattetrycket borde motivera. Eftersom Sverige har de högsta skatterna räcker det inte med att svensk offentlig sektor ger tjänster som ungefär motsvarar t.ex. genomsnittet inom EU. Det skulle krävas att Sverige låg i topp på praktiskt taget alla områden för att vi skulle kunna sägas få valuta för skattepengarna. Medelmåttighet i den offentliga produktionen av tjänster, inkomstöverföringar, förvaltning oc</w:t>
      </w:r>
      <w:r w:rsidRPr="00C9680B">
        <w:t>h rättsväsende kan inte motivera världens högsta skattetryck.</w:t>
      </w:r>
    </w:p>
    <w:p w:rsidR="001C7BF9" w:rsidRPr="00C9680B" w:rsidRDefault="001C7BF9">
      <w:pPr>
        <w:pStyle w:val="Rubrik4"/>
        <w:rPr>
          <w:noProof w:val="0"/>
        </w:rPr>
      </w:pPr>
      <w:bookmarkStart w:id="677" w:name="_Toc498910878"/>
      <w:r w:rsidRPr="00C9680B">
        <w:rPr>
          <w:noProof w:val="0"/>
        </w:rPr>
        <w:t>låg tillväxt...</w:t>
      </w:r>
      <w:bookmarkEnd w:id="677"/>
    </w:p>
    <w:p w:rsidR="001C7BF9" w:rsidRPr="00C9680B" w:rsidRDefault="001C7BF9">
      <w:r w:rsidRPr="00C9680B">
        <w:t>För det fjärde finns det över längre tidsperioder ett negativt samband mellan hög offentlig utgiftskvot och tillväxt: ju högre utgiftskvot, desto lägre tillväxt. Höga offentliga utgifter måste med nödvändighet följas av ett högt skatt</w:t>
      </w:r>
      <w:r w:rsidRPr="00C9680B">
        <w:t>e</w:t>
      </w:r>
      <w:r w:rsidRPr="00C9680B">
        <w:t>tryck, med omfattande snedvridningar och ineffektiv resursallokering som följd, se diagram 1.</w:t>
      </w:r>
    </w:p>
    <w:p w:rsidR="001C7BF9" w:rsidRPr="00C9680B" w:rsidRDefault="001C7BF9">
      <w:pPr>
        <w:pStyle w:val="FiU1tabellrubrik2000"/>
        <w:outlineLvl w:val="0"/>
      </w:pPr>
      <w:r w:rsidRPr="00C9680B">
        <w:t>Diagram. Samband skattekvot och tillväxt</w:t>
      </w:r>
    </w:p>
    <w:p w:rsidR="001C7BF9" w:rsidRPr="00C9680B" w:rsidRDefault="00C9680B">
      <w:r w:rsidRPr="00C9680B">
        <w:rPr>
          <w:noProof/>
        </w:rPr>
        <w:drawing>
          <wp:inline distT="0" distB="0" distL="0" distR="0">
            <wp:extent cx="3777615" cy="271589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777615" cy="2715895"/>
                    </a:xfrm>
                    <a:prstGeom prst="rect">
                      <a:avLst/>
                    </a:prstGeom>
                    <a:noFill/>
                    <a:ln>
                      <a:noFill/>
                    </a:ln>
                  </pic:spPr>
                </pic:pic>
              </a:graphicData>
            </a:graphic>
          </wp:inline>
        </w:drawing>
      </w:r>
    </w:p>
    <w:p w:rsidR="001C7BF9" w:rsidRPr="00C9680B" w:rsidRDefault="001C7BF9">
      <w:pPr>
        <w:pStyle w:val="Fotnotstext"/>
        <w:outlineLvl w:val="0"/>
      </w:pPr>
      <w:r w:rsidRPr="00C9680B">
        <w:t>Källa: OECD</w:t>
      </w:r>
    </w:p>
    <w:p w:rsidR="001C7BF9" w:rsidRPr="00C9680B" w:rsidRDefault="001C7BF9">
      <w:pPr>
        <w:pStyle w:val="Rubrik4"/>
        <w:rPr>
          <w:noProof w:val="0"/>
        </w:rPr>
      </w:pPr>
      <w:bookmarkStart w:id="678" w:name="_Toc498910879"/>
      <w:r w:rsidRPr="00C9680B">
        <w:rPr>
          <w:noProof w:val="0"/>
        </w:rPr>
        <w:t>...och svårigheter att bibehålla ett högre skattetryck än i omvärlden</w:t>
      </w:r>
      <w:bookmarkEnd w:id="678"/>
    </w:p>
    <w:p w:rsidR="001C7BF9" w:rsidRPr="00C9680B" w:rsidRDefault="001C7BF9">
      <w:r w:rsidRPr="00C9680B">
        <w:t>För det femte innebär en högskattepolitik som den svenska ett växande pr</w:t>
      </w:r>
      <w:r w:rsidRPr="00C9680B">
        <w:t>o</w:t>
      </w:r>
      <w:r w:rsidRPr="00C9680B">
        <w:t>blem i takt med att rörligheten för kapital, varor och människor ökar. Då går det inte att upprätthålla höga skattesatser. I stället måste de inhemska skatt</w:t>
      </w:r>
      <w:r w:rsidRPr="00C9680B">
        <w:t>e</w:t>
      </w:r>
      <w:r w:rsidRPr="00C9680B">
        <w:t>baserna stärkas.</w:t>
      </w:r>
    </w:p>
    <w:p w:rsidR="001C7BF9" w:rsidRPr="00C9680B" w:rsidRDefault="001C7BF9">
      <w:pPr>
        <w:pStyle w:val="Normaltindrag"/>
      </w:pPr>
      <w:r w:rsidRPr="00C9680B">
        <w:t>Sverige behöver som ett led i en långsiktig tillväxtpolitik en strategi för att varaktigt få ner det svenska skatte- och utgiftstrycket till de nivåer som gäller i våra viktigaste konkurrentländer. Regeringen saknar en sådan strategi. God tillväxt medverkar i sig till att utgiftsandelen sjunker. Men därutöver krävs återhållsamhet med u</w:t>
      </w:r>
      <w:r w:rsidRPr="00C9680B">
        <w:t>tgifter så att takten i sänkningen av utgiftskvoten ner under 50 % av BNP mot nivåer i jämförbara OECD-länder går snabbare. Vår budgetpolitik präglas av tydliga prioriteringar för tillväxt och trygghet samt</w:t>
      </w:r>
      <w:r w:rsidRPr="00C9680B">
        <w:t>i</w:t>
      </w:r>
      <w:r w:rsidRPr="00C9680B">
        <w:t>digt som utrymme skapas för sänkta skatte- och utgiftskvoter.</w:t>
      </w:r>
    </w:p>
    <w:p w:rsidR="001C7BF9" w:rsidRPr="00C9680B" w:rsidRDefault="001C7BF9">
      <w:pPr>
        <w:pStyle w:val="Rubrik2b"/>
        <w:outlineLvl w:val="0"/>
      </w:pPr>
      <w:bookmarkStart w:id="679" w:name="_Toc498910880"/>
      <w:r w:rsidRPr="00C9680B">
        <w:t>Det politiska utgiftstrycket</w:t>
      </w:r>
      <w:bookmarkEnd w:id="679"/>
    </w:p>
    <w:p w:rsidR="001C7BF9" w:rsidRPr="00C9680B" w:rsidRDefault="001C7BF9">
      <w:r w:rsidRPr="00C9680B">
        <w:t>Erfarenheten visar att vid en ordentlig och relativt långvarig förbättring av de offentliga finanserna som leder till ett stabilt överskott, skapar detta ett starkt tryck mot främst ökade offentliga utgifter. Den politiska processen visar sig ha mycket svårt att acceptera långvariga offentliga överskott. Inte ens förs</w:t>
      </w:r>
      <w:r w:rsidRPr="00C9680B">
        <w:t>ö</w:t>
      </w:r>
      <w:r w:rsidRPr="00C9680B">
        <w:t>ken på 1960- och 1970-talen att placera överskott i AP-fonderna kunde i längden hålla tillbaka den socialdemokratiska utgiftsdriften.</w:t>
      </w:r>
    </w:p>
    <w:p w:rsidR="001C7BF9" w:rsidRPr="00C9680B" w:rsidRDefault="001C7BF9">
      <w:pPr>
        <w:pStyle w:val="Normaltindrag"/>
      </w:pPr>
      <w:r w:rsidRPr="00C9680B">
        <w:t>Dessa problem visar sig nu på nytt. Inom främst socialdemokratin och vänstern finns starka krafter för en snabbare utgiftsexpansion än hittills vilket redan manifesterats i budgetpropositi</w:t>
      </w:r>
      <w:r w:rsidRPr="00C9680B">
        <w:t>o</w:t>
      </w:r>
      <w:r w:rsidRPr="00C9680B">
        <w:t>nen.</w:t>
      </w:r>
    </w:p>
    <w:p w:rsidR="001C7BF9" w:rsidRPr="00C9680B" w:rsidRDefault="001C7BF9">
      <w:pPr>
        <w:pStyle w:val="Normaltindrag"/>
      </w:pPr>
      <w:r w:rsidRPr="00C9680B">
        <w:t>Den nuvarande regeringsmajoritetens budgetförslag medför en utveckling där en god konjunktur driver på en kontinuerlig utgiftsökning så att de offen</w:t>
      </w:r>
      <w:r w:rsidRPr="00C9680B">
        <w:t>t</w:t>
      </w:r>
      <w:r w:rsidRPr="00C9680B">
        <w:t>liga utgifterna får en omfattning som inte är långsiktigt hållbar. Då blir det nödvändigt med utgiftsbegränsningar vid sämsta tänkbara tillfälle, i en nedå</w:t>
      </w:r>
      <w:r w:rsidRPr="00C9680B">
        <w:t>t</w:t>
      </w:r>
      <w:r w:rsidRPr="00C9680B">
        <w:t>gående konjunktur. Hittills har den nya budgetprocessen med utgiftstak hållit tillbaka utgiftsökningarna. Tydliga tendenser finns dock – det tredje året i budgetperioden låter regeringen utgifterna under taket öka snabbare, och detta vid en tidpunkt när konjunkturen troligen har börjat mattas av.</w:t>
      </w:r>
    </w:p>
    <w:p w:rsidR="001C7BF9" w:rsidRPr="00C9680B" w:rsidRDefault="001C7BF9">
      <w:pPr>
        <w:pStyle w:val="Normaltindrag"/>
      </w:pPr>
      <w:r w:rsidRPr="00C9680B">
        <w:t>Förbättringen i statsfinanserna i samband med överhettnin</w:t>
      </w:r>
      <w:r w:rsidRPr="00C9680B">
        <w:t>gen i slutet av 1980-talet upphörde när överhettningen började dämpas. Försämringen bröts 1993 av den borgerliga regeringens saneringsåtgärder. Med regeringens pol</w:t>
      </w:r>
      <w:r w:rsidRPr="00C9680B">
        <w:t>i</w:t>
      </w:r>
      <w:r w:rsidRPr="00C9680B">
        <w:t>tik är det risk för att den förbättring av statsfinanserna som åstadkoms under 1990-talet har skett i stort sett förgäves. För att långsiktigt kunna bevara r</w:t>
      </w:r>
      <w:r w:rsidRPr="00C9680B">
        <w:t>e</w:t>
      </w:r>
      <w:r w:rsidRPr="00C9680B">
        <w:t>sultaten därav måste utgiftsutvecklingen hållas i schack, inte tillåtas ta fart som under 1980-talet.</w:t>
      </w:r>
    </w:p>
    <w:p w:rsidR="001C7BF9" w:rsidRPr="00C9680B" w:rsidRDefault="001C7BF9">
      <w:pPr>
        <w:pStyle w:val="Normaltindrag"/>
      </w:pPr>
      <w:r w:rsidRPr="00C9680B">
        <w:t>Denna risk är så mycket större som förbättringarna i statsbudgeten sedan 1995 i hög grad</w:t>
      </w:r>
      <w:r w:rsidRPr="00C9680B">
        <w:t xml:space="preserve"> tycks ha åstadkommits genom engångsåtgärder. Enligt Ek</w:t>
      </w:r>
      <w:r w:rsidRPr="00C9680B">
        <w:t>o</w:t>
      </w:r>
      <w:r w:rsidRPr="00C9680B">
        <w:t>nomistyrningsverket (ESV) är engångseffekter det dominerande inslaget i förbättringarna av statsbudgetens saldo sedan 1995. Det är naturligtvis inte fel att genomföra detta slag av budgetförstärkande åtgärder, risken är att de sk</w:t>
      </w:r>
      <w:r w:rsidRPr="00C9680B">
        <w:t>a</w:t>
      </w:r>
      <w:r w:rsidRPr="00C9680B">
        <w:t>par en alltför optimistisk bild av budgetläget. När effekten av engångsingrepp slutat verka krävs mera långsiktiga åtgärder för att åstadkomma en stabil budgetbalans.</w:t>
      </w:r>
    </w:p>
    <w:p w:rsidR="001C7BF9" w:rsidRPr="00C9680B" w:rsidRDefault="001C7BF9">
      <w:pPr>
        <w:pStyle w:val="Normaltindrag"/>
      </w:pPr>
      <w:r w:rsidRPr="00C9680B">
        <w:t>I stället ackumuleras krav från olika delar av vänsterblock</w:t>
      </w:r>
      <w:r w:rsidRPr="00C9680B">
        <w:t>et. Det har b</w:t>
      </w:r>
      <w:r w:rsidRPr="00C9680B">
        <w:t>e</w:t>
      </w:r>
      <w:r w:rsidRPr="00C9680B">
        <w:t>räknats att enbart LO:s krav från den senaste kongressen skulle orsaka kos</w:t>
      </w:r>
      <w:r w:rsidRPr="00C9680B">
        <w:t>t</w:t>
      </w:r>
      <w:r w:rsidRPr="00C9680B">
        <w:t>nader om 33–45 miljarder kronor. Vänsterns och Miljöpartiets krav på lagstadgade arbetstidsförkortningar skulle orsaka samhällsekonomin ytterlig</w:t>
      </w:r>
      <w:r w:rsidRPr="00C9680B">
        <w:t>a</w:t>
      </w:r>
      <w:r w:rsidRPr="00C9680B">
        <w:t>re stora kostnader. Det är uppenbart att vänsterkoalitionen domineras av en utgiftsbenägenhet i stället för en önskan att genomföra reformer som stärker Sveriges konkurren</w:t>
      </w:r>
      <w:r w:rsidRPr="00C9680B">
        <w:t>s</w:t>
      </w:r>
      <w:r w:rsidRPr="00C9680B">
        <w:t>kraft och minskar vår konjunkturkänslighet.</w:t>
      </w:r>
    </w:p>
    <w:p w:rsidR="001C7BF9" w:rsidRPr="00C9680B" w:rsidRDefault="001C7BF9">
      <w:pPr>
        <w:pStyle w:val="Rubrik2b"/>
        <w:outlineLvl w:val="0"/>
      </w:pPr>
      <w:r w:rsidRPr="00C9680B">
        <w:br w:type="page"/>
      </w:r>
      <w:bookmarkStart w:id="680" w:name="_Toc498910881"/>
      <w:r w:rsidRPr="00C9680B">
        <w:t>Möt den demografiska utmaningen</w:t>
      </w:r>
      <w:bookmarkEnd w:id="680"/>
    </w:p>
    <w:p w:rsidR="001C7BF9" w:rsidRPr="00C9680B" w:rsidRDefault="001C7BF9">
      <w:r w:rsidRPr="00C9680B">
        <w:t>Under lång tid framöver kommer förändringar i befolkningsutvecklingen att spela stor roll för de offentliga finanserna. Den senaste långtidsutredningen och senare gjorda befolkningsprognoser pekar på följderna för det offentliga av den demografiska utvecklingen. Bland annat kommer antalet pensionärer att öka. Från i dagsläget 1 pensionär per 3,3 personer i förvärvsaktiv ålder kommer kvoten att förändras till 1 pensionär per 1,8 förvärvsarbetande år 2035, en mycket kraftig för</w:t>
      </w:r>
      <w:r w:rsidRPr="00C9680B">
        <w:t>sämring av försörjningskvoten. De regionala ob</w:t>
      </w:r>
      <w:r w:rsidRPr="00C9680B">
        <w:t>a</w:t>
      </w:r>
      <w:r w:rsidRPr="00C9680B">
        <w:t>lanserna riskerar också att förstärkas.</w:t>
      </w:r>
    </w:p>
    <w:p w:rsidR="001C7BF9" w:rsidRPr="00C9680B" w:rsidRDefault="001C7BF9">
      <w:pPr>
        <w:pStyle w:val="Normaltindrag"/>
      </w:pPr>
      <w:r w:rsidRPr="00C9680B">
        <w:t>Den snabba förändringen i försörjningskvoten beror på minskande föde</w:t>
      </w:r>
      <w:r w:rsidRPr="00C9680B">
        <w:t>l</w:t>
      </w:r>
      <w:r w:rsidRPr="00C9680B">
        <w:t>setal och en växande livslängd. Den ökande livslängden är i sig glädjande. Det är inget problem att alltfler kan leva och njuta av livet. Det ställer dä</w:t>
      </w:r>
      <w:r w:rsidRPr="00C9680B">
        <w:t>r</w:t>
      </w:r>
      <w:r w:rsidRPr="00C9680B">
        <w:t>emot krav på en politik som ger äldre större möjligheter att verka i vårt sa</w:t>
      </w:r>
      <w:r w:rsidRPr="00C9680B">
        <w:t>m</w:t>
      </w:r>
      <w:r w:rsidRPr="00C9680B">
        <w:t>hälle genom en ökad flexibilitet både på arbetsmarknaden och i socialförsä</w:t>
      </w:r>
      <w:r w:rsidRPr="00C9680B">
        <w:t>k</w:t>
      </w:r>
      <w:r w:rsidRPr="00C9680B">
        <w:t>ringssystemen samtidigt som de lägre födelsetalen och ett växande behov av arbetskraft måste mötas bl.a. genom en politik som gör det lättare för de y</w:t>
      </w:r>
      <w:r w:rsidRPr="00C9680B">
        <w:t>r</w:t>
      </w:r>
      <w:r w:rsidRPr="00C9680B">
        <w:t>kesver</w:t>
      </w:r>
      <w:r w:rsidRPr="00C9680B">
        <w:t>k</w:t>
      </w:r>
      <w:r w:rsidRPr="00C9680B">
        <w:t>samma generationerna att förena arbete med famil</w:t>
      </w:r>
      <w:r w:rsidRPr="00C9680B">
        <w:t>j.</w:t>
      </w:r>
    </w:p>
    <w:p w:rsidR="001C7BF9" w:rsidRPr="00C9680B" w:rsidRDefault="001C7BF9">
      <w:pPr>
        <w:pStyle w:val="Normaltindrag"/>
      </w:pPr>
      <w:r w:rsidRPr="00C9680B">
        <w:t>Befolkningsutvecklingen kommer att innebära påfrestningar på de offen</w:t>
      </w:r>
      <w:r w:rsidRPr="00C9680B">
        <w:t>t</w:t>
      </w:r>
      <w:r w:rsidRPr="00C9680B">
        <w:t xml:space="preserve">liga finanserna, både genom att huvuddelen av pensionsutgifterna måste, som hittills, finansieras med skatter och genom att trycket på t.ex. sjukvård och äldreomsorg kommer att öka med antalet äldre. </w:t>
      </w:r>
    </w:p>
    <w:p w:rsidR="001C7BF9" w:rsidRPr="00C9680B" w:rsidRDefault="001C7BF9">
      <w:pPr>
        <w:pStyle w:val="Normaltindrag"/>
      </w:pPr>
      <w:r w:rsidRPr="00C9680B">
        <w:t>Långtidsutredningen och Konjunkturinstitutet har pekat på att under de närmaste åren, ungefär fram till 2010, kommer det dock att vara en lättnad i det ekonomiska trycket från befolkningsutvecklingen. Detta ger oss en mö</w:t>
      </w:r>
      <w:r w:rsidRPr="00C9680B">
        <w:t>j</w:t>
      </w:r>
      <w:r w:rsidRPr="00C9680B">
        <w:t>lighet att ändra de offentliga systemen så att de blir mera långsiktigt hållbara. Ett sådant reformeringsarbete måste börja nu. Pensionsreformen är ett viktigt steg i rätt riktning.</w:t>
      </w:r>
    </w:p>
    <w:p w:rsidR="001C7BF9" w:rsidRPr="00C9680B" w:rsidRDefault="001C7BF9">
      <w:pPr>
        <w:pStyle w:val="Normaltindrag"/>
      </w:pPr>
      <w:r w:rsidRPr="00C9680B">
        <w:t>Regeringens budgetproposition visar att det underliggande saldot kommer att bli negativt framöver trots den goda konjunktur som antagits. Det är främst pensionssystemet som uppvisar överskott inom det offentliga. Med kravet på balans i kommuner och landsting och med ett alltmer autonomt pensionssy</w:t>
      </w:r>
      <w:r w:rsidRPr="00C9680B">
        <w:t>s</w:t>
      </w:r>
      <w:r w:rsidRPr="00C9680B">
        <w:t>tem som i dag svarar för överskottet i de offentliga finanserna måste statsbu</w:t>
      </w:r>
      <w:r w:rsidRPr="00C9680B">
        <w:t>d</w:t>
      </w:r>
      <w:r w:rsidRPr="00C9680B">
        <w:t>geten svara för den erforderliga budgetbalansen. Detta visar behovet av str</w:t>
      </w:r>
      <w:r w:rsidRPr="00C9680B">
        <w:t>a</w:t>
      </w:r>
      <w:r w:rsidRPr="00C9680B">
        <w:t>mare o</w:t>
      </w:r>
      <w:r w:rsidRPr="00C9680B">
        <w:t>f</w:t>
      </w:r>
      <w:r w:rsidRPr="00C9680B">
        <w:t>fentliga finanser än regeringen och dess stödpartier står för.</w:t>
      </w:r>
    </w:p>
    <w:p w:rsidR="001C7BF9" w:rsidRPr="00C9680B" w:rsidRDefault="001C7BF9">
      <w:pPr>
        <w:pStyle w:val="Rubrik2b"/>
        <w:outlineLvl w:val="0"/>
      </w:pPr>
      <w:bookmarkStart w:id="681" w:name="_Toc498910882"/>
      <w:r w:rsidRPr="00C9680B">
        <w:t>Skattepolitik för trygghet och tillväxt</w:t>
      </w:r>
      <w:bookmarkEnd w:id="681"/>
    </w:p>
    <w:p w:rsidR="001C7BF9" w:rsidRPr="00C9680B" w:rsidRDefault="001C7BF9">
      <w:r w:rsidRPr="00C9680B">
        <w:t>Sverige har både höga skatter och höga offentliga utgifter vilket har dämpat både ekonomisk tillväxt och välfärd under de senaste tre decennierna. Samt</w:t>
      </w:r>
      <w:r w:rsidRPr="00C9680B">
        <w:t>i</w:t>
      </w:r>
      <w:r w:rsidRPr="00C9680B">
        <w:t>digt ökar kritiken mot kvaliteten i den offentliga välfärden.</w:t>
      </w:r>
    </w:p>
    <w:p w:rsidR="001C7BF9" w:rsidRPr="00C9680B" w:rsidRDefault="001C7BF9">
      <w:pPr>
        <w:pStyle w:val="Normaltindrag"/>
      </w:pPr>
      <w:r w:rsidRPr="00C9680B">
        <w:t>Skatter är dock inte bara en fråga om vad vi som individer får för skatt</w:t>
      </w:r>
      <w:r w:rsidRPr="00C9680B">
        <w:t>e</w:t>
      </w:r>
      <w:r w:rsidRPr="00C9680B">
        <w:t>pengarna. Nivån på skatterna spelar en viktig roll för individens frihet i både stora och små beslut, för att kunna nå en lämplig decentralisering av viktiga beslut, för en god tillväxt och rimligt användande av knappa resurser. Ska</w:t>
      </w:r>
      <w:r w:rsidRPr="00C9680B">
        <w:t>t</w:t>
      </w:r>
      <w:r w:rsidRPr="00C9680B">
        <w:t>terna måste upplevas som rättvisa och bördan fördelas efter bärkraft. De måste utformas så att de ger möjlighet att påverka den egna livssituationen, att de stimulerar arbete, sparande, företagande och allmän förkovran.</w:t>
      </w:r>
    </w:p>
    <w:p w:rsidR="001C7BF9" w:rsidRPr="00C9680B" w:rsidRDefault="001C7BF9">
      <w:pPr>
        <w:pStyle w:val="Normaltindrag"/>
      </w:pPr>
      <w:r w:rsidRPr="00C9680B">
        <w:t>En konsekvens av det svenska skattesystemet är den höga sk</w:t>
      </w:r>
      <w:r w:rsidRPr="00C9680B">
        <w:t>att som tas ut av låginkomsttagare. De sammanlagda effekterna av ökande skatt och min</w:t>
      </w:r>
      <w:r w:rsidRPr="00C9680B">
        <w:t>s</w:t>
      </w:r>
      <w:r w:rsidRPr="00C9680B">
        <w:t>kande bidrag i låga inkomstlägen innebär ofta marginaleffekter på 70–80 %. Människor som bara får behålla 20–30 % av en inkomstökning känner sällan att det lönar sig att arbeta mer. Höga skatter och marginaleffekter hämmar inte bara individer att ta ett arbete eller arbeta mer, det hämmar hela sa</w:t>
      </w:r>
      <w:r w:rsidRPr="00C9680B">
        <w:t>m</w:t>
      </w:r>
      <w:r w:rsidRPr="00C9680B">
        <w:t>hällsekon</w:t>
      </w:r>
      <w:r w:rsidRPr="00C9680B">
        <w:t>o</w:t>
      </w:r>
      <w:r w:rsidRPr="00C9680B">
        <w:t xml:space="preserve">min. </w:t>
      </w:r>
    </w:p>
    <w:p w:rsidR="001C7BF9" w:rsidRPr="00C9680B" w:rsidRDefault="001C7BF9">
      <w:pPr>
        <w:pStyle w:val="Normaltindrag"/>
      </w:pPr>
      <w:r w:rsidRPr="00C9680B">
        <w:t>Våra partier anser att behovet av att frigöra fler människor från bidragsb</w:t>
      </w:r>
      <w:r w:rsidRPr="00C9680B">
        <w:t>e</w:t>
      </w:r>
      <w:r w:rsidRPr="00C9680B">
        <w:t>roende till arbete är stort. Behovet är stort, dels för den enskilde individen som får en ökad självkänsla i att vara behövd och en större trygghet i att själv kunna råda över sin privatekonomi, dels för samhällsekonomin som kan for</w:t>
      </w:r>
      <w:r w:rsidRPr="00C9680B">
        <w:t>t</w:t>
      </w:r>
      <w:r w:rsidRPr="00C9680B">
        <w:t>sätta att växa tack vare det ökade utbudet av arbetskraft. För att ge människor incitament att gå från bidrag till arbete anser vi att det är särskilt angeläget att den orimligt tunga skatte- och marginaleffektsbördan reduceras för dem med låga i</w:t>
      </w:r>
      <w:r w:rsidRPr="00C9680B">
        <w:t>n</w:t>
      </w:r>
      <w:r w:rsidRPr="00C9680B">
        <w:t>komster.</w:t>
      </w:r>
    </w:p>
    <w:p w:rsidR="001C7BF9" w:rsidRPr="00C9680B" w:rsidRDefault="001C7BF9">
      <w:pPr>
        <w:pStyle w:val="Normaltindrag"/>
      </w:pPr>
      <w:r w:rsidRPr="00C9680B">
        <w:t>Sverige är inriktat på</w:t>
      </w:r>
      <w:r w:rsidRPr="00C9680B">
        <w:t xml:space="preserve"> internationellt samarbete. Vad som händer i omvär</w:t>
      </w:r>
      <w:r w:rsidRPr="00C9680B">
        <w:t>l</w:t>
      </w:r>
      <w:r w:rsidRPr="00C9680B">
        <w:t>den är mycket viktigt för den svenska ekonomiska utvecklingen. Vad som händer på det internationella planet, och inte minst i samverkan mellan EU-länderna, spelar stor roll för den svenska utvecklingen. Den ökade graden av internationell rörlighet för kapital, varor, människor och tjänster som blivit en följd av bl.a. ökad avreglering på det finansiella området och den tekniska utvecklingen inom IT-området har sannolikt ökat den internationella konku</w:t>
      </w:r>
      <w:r w:rsidRPr="00C9680B">
        <w:t>r</w:t>
      </w:r>
      <w:r w:rsidRPr="00C9680B">
        <w:t>rensen</w:t>
      </w:r>
      <w:r w:rsidRPr="00C9680B">
        <w:t>.</w:t>
      </w:r>
    </w:p>
    <w:p w:rsidR="001C7BF9" w:rsidRPr="00C9680B" w:rsidRDefault="001C7BF9">
      <w:pPr>
        <w:pStyle w:val="Normaltindrag"/>
      </w:pPr>
      <w:r w:rsidRPr="00C9680B">
        <w:t>Detta innebär också utmaningar för skattepolitiken. Om vi vill vara med i det internationella utbytet, och det finns en överväldigande majoritet för detta, då måste också vår ekonomi vara konkurrenskraftig. Detta gäller också vårt skattesystem och vår skattenivå.</w:t>
      </w:r>
    </w:p>
    <w:p w:rsidR="001C7BF9" w:rsidRPr="00C9680B" w:rsidRDefault="001C7BF9">
      <w:pPr>
        <w:pStyle w:val="Normaltindrag"/>
      </w:pPr>
      <w:r w:rsidRPr="00C9680B">
        <w:t>Det är uppenbart att detta gäller det rörliga finansiella kapitalet. Men även företagens produktionsverksamhet tycks bli mera rörlig. Vill vi behålla ver</w:t>
      </w:r>
      <w:r w:rsidRPr="00C9680B">
        <w:t>k</w:t>
      </w:r>
      <w:r w:rsidRPr="00C9680B">
        <w:t>samhet som har god lönebetalningsförmåga och ger bra jobb måste villkoren för företagande, forskning, sparande och arbete i Sverige vara konkurren</w:t>
      </w:r>
      <w:r w:rsidRPr="00C9680B">
        <w:t>s</w:t>
      </w:r>
      <w:r w:rsidRPr="00C9680B">
        <w:t>kraftiga.</w:t>
      </w:r>
    </w:p>
    <w:p w:rsidR="001C7BF9" w:rsidRPr="00C9680B" w:rsidRDefault="001C7BF9">
      <w:pPr>
        <w:pStyle w:val="Normaltindrag"/>
      </w:pPr>
      <w:r w:rsidRPr="00C9680B">
        <w:t>Inte minst unga människor med attraktiv utbildning blir alltmer rörliga, människor som skulle kunna bygga upp en expansiv verksamhet i Sverige. För att förhindra en utveckling där alltfler flyttar, eller överväger att flytta, från Sverige måste skattepolitiken förändras. Som framgår av diagrammet har Sverige de högsta effektiva skatterna på arbete. Ska</w:t>
      </w:r>
      <w:r w:rsidRPr="00C9680B">
        <w:t>ttetrycket i Sverige måste sänkas, i ett första steg ner mot jämförbara OECD-länders nivå. Samtidigt måste vi ta hänsyn till att många jämförbara länder inom EU är i färd med att sänka skatterna ytterligare. Ett viktigt led i en skattestrategi är att de mest skadliga skatterna måste sänkas först.</w:t>
      </w:r>
    </w:p>
    <w:p w:rsidR="001C7BF9" w:rsidRPr="00C9680B" w:rsidRDefault="001C7BF9">
      <w:pPr>
        <w:pStyle w:val="FiU1tabellrubrik2000"/>
        <w:outlineLvl w:val="0"/>
      </w:pPr>
      <w:r w:rsidRPr="00C9680B">
        <w:br w:type="page"/>
        <w:t>Diagram. Effektiv skatt på arbete 1999</w:t>
      </w:r>
    </w:p>
    <w:p w:rsidR="001C7BF9" w:rsidRPr="00C9680B" w:rsidRDefault="00C9680B">
      <w:r w:rsidRPr="00C9680B">
        <w:rPr>
          <w:noProof/>
        </w:rPr>
        <w:drawing>
          <wp:inline distT="0" distB="0" distL="0" distR="0">
            <wp:extent cx="4288790" cy="242189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1">
                      <a:extLst>
                        <a:ext uri="{28A0092B-C50C-407E-A947-70E740481C1C}">
                          <a14:useLocalDpi xmlns:a14="http://schemas.microsoft.com/office/drawing/2010/main" val="0"/>
                        </a:ext>
                      </a:extLst>
                    </a:blip>
                    <a:srcRect l="3506" t="1253" r="20259" b="16283"/>
                    <a:stretch>
                      <a:fillRect/>
                    </a:stretch>
                  </pic:blipFill>
                  <pic:spPr bwMode="auto">
                    <a:xfrm>
                      <a:off x="0" y="0"/>
                      <a:ext cx="4288790" cy="2421890"/>
                    </a:xfrm>
                    <a:prstGeom prst="rect">
                      <a:avLst/>
                    </a:prstGeom>
                    <a:noFill/>
                    <a:ln>
                      <a:noFill/>
                    </a:ln>
                  </pic:spPr>
                </pic:pic>
              </a:graphicData>
            </a:graphic>
          </wp:inline>
        </w:drawing>
      </w:r>
    </w:p>
    <w:p w:rsidR="001C7BF9" w:rsidRPr="00C9680B" w:rsidRDefault="001C7BF9">
      <w:pPr>
        <w:pStyle w:val="Fotnotstext"/>
        <w:outlineLvl w:val="0"/>
      </w:pPr>
      <w:r w:rsidRPr="00C9680B">
        <w:t>Källa: EU-kommissionen och OECD</w:t>
      </w:r>
    </w:p>
    <w:p w:rsidR="001C7BF9" w:rsidRPr="00C9680B" w:rsidRDefault="001C7BF9">
      <w:pPr>
        <w:pStyle w:val="Rubrik4"/>
        <w:rPr>
          <w:noProof w:val="0"/>
        </w:rPr>
      </w:pPr>
      <w:bookmarkStart w:id="682" w:name="_Toc498910883"/>
      <w:r w:rsidRPr="00C9680B">
        <w:rPr>
          <w:noProof w:val="0"/>
        </w:rPr>
        <w:t>Lägre inkomstskatt</w:t>
      </w:r>
      <w:bookmarkEnd w:id="682"/>
    </w:p>
    <w:p w:rsidR="001C7BF9" w:rsidRPr="00C9680B" w:rsidRDefault="001C7BF9">
      <w:r w:rsidRPr="00C9680B">
        <w:t>Skatterna på arbete måste sänkas. Med sänkt skatt på arbete stärks tillväx</w:t>
      </w:r>
      <w:r w:rsidRPr="00C9680B">
        <w:t>t</w:t>
      </w:r>
      <w:r w:rsidRPr="00C9680B">
        <w:t>kraften i ekonomin så att sysselsättningen kan öka i Sverige och den fortf</w:t>
      </w:r>
      <w:r w:rsidRPr="00C9680B">
        <w:t>a</w:t>
      </w:r>
      <w:r w:rsidRPr="00C9680B">
        <w:t>rande alltför höga totala arbetslösheten pressas tillbaka utan att detta leder till överhettning. Hög skatt på arbete leder till en sämre fungerande arbetsmar</w:t>
      </w:r>
      <w:r w:rsidRPr="00C9680B">
        <w:t>k</w:t>
      </w:r>
      <w:r w:rsidRPr="00C9680B">
        <w:t xml:space="preserve">nad: mindre arbete, färre arbetstillfällen och större risker för flaskhalsar i expansionstider. Med sänkt skatt på arbete kan fler leva på egen lön så att behovet av bidrag och offentliga subventioner minskar. Ett skattesystem som främjar kunskaps- och kompetensuppbyggnad ger </w:t>
      </w:r>
      <w:r w:rsidRPr="00C9680B">
        <w:t>en bättre fungerande a</w:t>
      </w:r>
      <w:r w:rsidRPr="00C9680B">
        <w:t>r</w:t>
      </w:r>
      <w:r w:rsidRPr="00C9680B">
        <w:t>betsmarknad.</w:t>
      </w:r>
    </w:p>
    <w:p w:rsidR="001C7BF9" w:rsidRPr="00C9680B" w:rsidRDefault="001C7BF9">
      <w:pPr>
        <w:pStyle w:val="Normaltindrag"/>
      </w:pPr>
      <w:r w:rsidRPr="00C9680B">
        <w:t>Ett gemensamt drag i de skatteförslag våra partier lägger fram är sänkta marginaleffekter och betydande lättnader genom höjda grundavdrag och/eller skattereduktioner. Detta betyder mest för dem med de lägre inkomsterna. Därigenom ökar möjligheterna för fler att kunna leva på sin lön och komma ut ur b</w:t>
      </w:r>
      <w:r w:rsidRPr="00C9680B">
        <w:t>i</w:t>
      </w:r>
      <w:r w:rsidRPr="00C9680B">
        <w:t>dragsberoende.</w:t>
      </w:r>
    </w:p>
    <w:p w:rsidR="001C7BF9" w:rsidRPr="00C9680B" w:rsidRDefault="001C7BF9">
      <w:pPr>
        <w:pStyle w:val="Normaltindrag"/>
      </w:pPr>
      <w:r w:rsidRPr="00C9680B">
        <w:t xml:space="preserve">Att höga marginaleffekter har negativa effekter på arbetsmarknadens funktionssätt var en viktig utgångspunkt för den förra skattereformen. Det måste vara en strävan att inledningsvis återvända till dess inriktning: 30, respektive 50 % i marginalskatt. Det förutsätter att inkomstskatten sänks för </w:t>
      </w:r>
      <w:r w:rsidRPr="00C9680B">
        <w:rPr>
          <w:i/>
        </w:rPr>
        <w:t>alla</w:t>
      </w:r>
      <w:r w:rsidRPr="00C9680B">
        <w:t xml:space="preserve"> inkomsttagare så att nettoinkomsterna ökar och marginaleffekterna sju</w:t>
      </w:r>
      <w:r w:rsidRPr="00C9680B">
        <w:t>n</w:t>
      </w:r>
      <w:r w:rsidRPr="00C9680B">
        <w:t>ker. I en fortsatt process av sänkta skatter ned mot de skattetrycksnivåer som präglar jämförbara OECD-länder måste inriktningen både</w:t>
      </w:r>
      <w:r w:rsidRPr="00C9680B">
        <w:rPr>
          <w:b/>
        </w:rPr>
        <w:t xml:space="preserve"> </w:t>
      </w:r>
      <w:r w:rsidRPr="00C9680B">
        <w:t>vara att slå vakt om låginkomsttagares förutsättningar att försörja sig på sitt arbete och på att värna Sveriges konkurrenskraft om företagande och ku</w:t>
      </w:r>
      <w:r w:rsidRPr="00C9680B">
        <w:t>n</w:t>
      </w:r>
      <w:r w:rsidRPr="00C9680B">
        <w:t xml:space="preserve">skap. </w:t>
      </w:r>
    </w:p>
    <w:p w:rsidR="001C7BF9" w:rsidRPr="00C9680B" w:rsidRDefault="001C7BF9">
      <w:pPr>
        <w:pStyle w:val="Normaltindrag"/>
      </w:pPr>
      <w:r w:rsidRPr="00C9680B">
        <w:t>Arbete måste löna sig bättre och individerna skall kunna leva på sin lön. Sänkningar av inkomstskatten måste göras med hänsyn till den rådande ko</w:t>
      </w:r>
      <w:r w:rsidRPr="00C9680B">
        <w:t>n</w:t>
      </w:r>
      <w:r w:rsidRPr="00C9680B">
        <w:t>junkturen. Strukturellt riktiga sänkningar ökar arbetskraftsutbudet och mo</w:t>
      </w:r>
      <w:r w:rsidRPr="00C9680B">
        <w:t>t</w:t>
      </w:r>
      <w:r w:rsidRPr="00C9680B">
        <w:t>verkar risken för överhettning.</w:t>
      </w:r>
    </w:p>
    <w:p w:rsidR="001C7BF9" w:rsidRPr="00C9680B" w:rsidRDefault="001C7BF9">
      <w:pPr>
        <w:pStyle w:val="Rubrik4"/>
        <w:rPr>
          <w:noProof w:val="0"/>
        </w:rPr>
      </w:pPr>
      <w:bookmarkStart w:id="683" w:name="_Toc498910884"/>
      <w:r w:rsidRPr="00C9680B">
        <w:rPr>
          <w:noProof w:val="0"/>
        </w:rPr>
        <w:t>Enklare och rimligare beskattning av fåmansbolag</w:t>
      </w:r>
      <w:bookmarkEnd w:id="683"/>
    </w:p>
    <w:p w:rsidR="001C7BF9" w:rsidRPr="00C9680B" w:rsidRDefault="001C7BF9">
      <w:r w:rsidRPr="00C9680B">
        <w:t>Dagens skatteregler är särskilt ogynnsamma för växande mindre företag. De små fåmansbolagens situation måste underlättas genom en bättre skattesitu</w:t>
      </w:r>
      <w:r w:rsidRPr="00C9680B">
        <w:t>a</w:t>
      </w:r>
      <w:r w:rsidRPr="00C9680B">
        <w:t>tion. Den utredning som skulle se över de s.k. 3:12-reglerna har kommit i gång alldeles för sent och måste snarast blir klar. Ytterligare förseningar kan inte accepteras. De nuvarande diskriminerande reglerna måste ändras så att avkastning utöver en rimlig arbetsinkomst beskattas som kapitalinkomst.</w:t>
      </w:r>
    </w:p>
    <w:p w:rsidR="001C7BF9" w:rsidRPr="00C9680B" w:rsidRDefault="001C7BF9">
      <w:pPr>
        <w:pStyle w:val="Rubrik4"/>
        <w:rPr>
          <w:noProof w:val="0"/>
        </w:rPr>
      </w:pPr>
      <w:bookmarkStart w:id="684" w:name="_Toc498910885"/>
      <w:r w:rsidRPr="00C9680B">
        <w:rPr>
          <w:noProof w:val="0"/>
        </w:rPr>
        <w:t>Lägre skatt på företagande</w:t>
      </w:r>
      <w:bookmarkEnd w:id="684"/>
    </w:p>
    <w:p w:rsidR="001C7BF9" w:rsidRPr="00C9680B" w:rsidRDefault="001C7BF9">
      <w:r w:rsidRPr="00C9680B">
        <w:t>Det krävs ett antal andra åtgärder för att minska skattebelastningen på föret</w:t>
      </w:r>
      <w:r w:rsidRPr="00C9680B">
        <w:t>a</w:t>
      </w:r>
      <w:r w:rsidRPr="00C9680B">
        <w:t>gandet. En sådan åtgärd kan vara en sänkning av arbetsgivaravgifterna. En annan sådan åtgärd kan vara avskaffande av dubbelbeskattningen. Först b</w:t>
      </w:r>
      <w:r w:rsidRPr="00C9680B">
        <w:t>e</w:t>
      </w:r>
      <w:r w:rsidRPr="00C9680B">
        <w:t>skattas ett företags vinst genom bolagsskatt, därefter beskattas utdelning och eventuella realisationsvinster hos mottagaren. Samma resultat beskattas två gånger. Det säger sig självt att detta inte stimulerar företagande. Skattebelas</w:t>
      </w:r>
      <w:r w:rsidRPr="00C9680B">
        <w:t>t</w:t>
      </w:r>
      <w:r w:rsidRPr="00C9680B">
        <w:t>ningen på att växa med eget kapital är högre än att växa med lånat kapital. Det naturliga för en företagare, särskilt en småföreta</w:t>
      </w:r>
      <w:r w:rsidRPr="00C9680B">
        <w:t>gare, är däremot att i första hand expandera med eget kapital. Detta motverkas av dubbelbeskat</w:t>
      </w:r>
      <w:r w:rsidRPr="00C9680B">
        <w:t>t</w:t>
      </w:r>
      <w:r w:rsidRPr="00C9680B">
        <w:t>ningen. Dubbelbeskattningens utformning gynnar dessutom utländskt ägande på bekostnad av svenskt. Dubbelbeskattningen på utdelning bör därför a</w:t>
      </w:r>
      <w:r w:rsidRPr="00C9680B">
        <w:t>v</w:t>
      </w:r>
      <w:r w:rsidRPr="00C9680B">
        <w:t>skaffas.</w:t>
      </w:r>
    </w:p>
    <w:p w:rsidR="001C7BF9" w:rsidRPr="00C9680B" w:rsidRDefault="001C7BF9">
      <w:pPr>
        <w:pStyle w:val="Rubrik4"/>
        <w:rPr>
          <w:noProof w:val="0"/>
        </w:rPr>
      </w:pPr>
      <w:bookmarkStart w:id="685" w:name="_Toc498910886"/>
      <w:r w:rsidRPr="00C9680B">
        <w:rPr>
          <w:noProof w:val="0"/>
        </w:rPr>
        <w:t>Fastighetsskatten</w:t>
      </w:r>
      <w:bookmarkEnd w:id="685"/>
    </w:p>
    <w:p w:rsidR="001C7BF9" w:rsidRPr="00C9680B" w:rsidRDefault="001C7BF9">
      <w:r w:rsidRPr="00C9680B">
        <w:t>Fastighetsskatten medför att boendet blir dyrare och leder till att färre bost</w:t>
      </w:r>
      <w:r w:rsidRPr="00C9680B">
        <w:t>ä</w:t>
      </w:r>
      <w:r w:rsidRPr="00C9680B">
        <w:t>der byggs. Konstruktionen av fastighetsskatten är orimlig, och den bör därför på sikt avskaffas. Under den närmaste treårsperioden skall fastighetsskatten sänkas för alla typer av bostäder genom att inte bara sänka skattesatsen utan också fortsatt frysta taxeringsvärden.</w:t>
      </w:r>
    </w:p>
    <w:p w:rsidR="001C7BF9" w:rsidRPr="00C9680B" w:rsidRDefault="001C7BF9">
      <w:pPr>
        <w:pStyle w:val="Rubrik4"/>
        <w:rPr>
          <w:noProof w:val="0"/>
        </w:rPr>
      </w:pPr>
      <w:bookmarkStart w:id="686" w:name="_Toc498910887"/>
      <w:r w:rsidRPr="00C9680B">
        <w:rPr>
          <w:noProof w:val="0"/>
        </w:rPr>
        <w:t>Successivt avskaffad förmögenhetsskatt</w:t>
      </w:r>
      <w:bookmarkEnd w:id="686"/>
    </w:p>
    <w:p w:rsidR="001C7BF9" w:rsidRPr="00C9680B" w:rsidRDefault="001C7BF9">
      <w:r w:rsidRPr="00C9680B">
        <w:t>Förmögenhetsskatten bör avskaffas successivt. Den har negativ effekt på företagande och tillväxt och har inte ens de effekter på fördelningen som regeringen använt som argument. Vissa miljardärer får skattebefrielse för sina aktieinnehav medan vanliga familjer som kanske bott länge i och amorterat ner lånen på sina hus kan drabbas av förmögenhetsskatt fullt ut. Med reg</w:t>
      </w:r>
      <w:r w:rsidRPr="00C9680B">
        <w:t>e</w:t>
      </w:r>
      <w:r w:rsidRPr="00C9680B">
        <w:t>ringens höjda taxeringsvärden kommer flera att drabbas av förmögenhet</w:t>
      </w:r>
      <w:r w:rsidRPr="00C9680B">
        <w:t>s</w:t>
      </w:r>
      <w:r w:rsidRPr="00C9680B">
        <w:t>skatten.</w:t>
      </w:r>
    </w:p>
    <w:p w:rsidR="001C7BF9" w:rsidRPr="00C9680B" w:rsidRDefault="001C7BF9">
      <w:pPr>
        <w:pStyle w:val="Normaltindrag"/>
      </w:pPr>
      <w:r w:rsidRPr="00C9680B">
        <w:t>Enligt vår mening bör förmögenhetsskatten successivt avskaffas. Samb</w:t>
      </w:r>
      <w:r w:rsidRPr="00C9680B">
        <w:t>e</w:t>
      </w:r>
      <w:r w:rsidRPr="00C9680B">
        <w:t>skattningen ger orimliga effekter från jämställdhetssynpunkt och skall därför om</w:t>
      </w:r>
      <w:r w:rsidRPr="00C9680B">
        <w:t>e</w:t>
      </w:r>
      <w:r w:rsidRPr="00C9680B">
        <w:t>delbart slopas.</w:t>
      </w:r>
    </w:p>
    <w:p w:rsidR="001C7BF9" w:rsidRPr="00C9680B" w:rsidRDefault="001C7BF9">
      <w:pPr>
        <w:pStyle w:val="Rubrik4"/>
        <w:rPr>
          <w:noProof w:val="0"/>
        </w:rPr>
      </w:pPr>
      <w:bookmarkStart w:id="687" w:name="_Toc498910888"/>
      <w:r w:rsidRPr="00C9680B">
        <w:rPr>
          <w:noProof w:val="0"/>
        </w:rPr>
        <w:t>Lägre skatt på vinstandelar och översyn av optionsbeskattningen</w:t>
      </w:r>
      <w:bookmarkEnd w:id="687"/>
    </w:p>
    <w:p w:rsidR="001C7BF9" w:rsidRPr="00C9680B" w:rsidRDefault="001C7BF9">
      <w:r w:rsidRPr="00C9680B">
        <w:t>I syfte att bl.a. stimulera till en bättre fungerande lönebildning bör den sä</w:t>
      </w:r>
      <w:r w:rsidRPr="00C9680B">
        <w:t>r</w:t>
      </w:r>
      <w:r w:rsidRPr="00C9680B">
        <w:t>skilda löneskatten avskaffas på vinstandelar som en arbetsgivare lämnar till en vinstandelsstiftelse eller motsvarande. På så sätt stärks incitamenten för att arbeta effektivare för företagets målsättningar, genom att alla kan vara med och dela på den vinst som uppstår. Risken för en inflationsdrivande löneu</w:t>
      </w:r>
      <w:r w:rsidRPr="00C9680B">
        <w:t>t</w:t>
      </w:r>
      <w:r w:rsidRPr="00C9680B">
        <w:t>veckling i expanderande branscher minskar. Ett stabilare samband mellan ökad arbetsprodukt</w:t>
      </w:r>
      <w:r w:rsidRPr="00C9680B">
        <w:t>i</w:t>
      </w:r>
      <w:r w:rsidRPr="00C9680B">
        <w:t>vitet och löneökningar uppnås.</w:t>
      </w:r>
    </w:p>
    <w:p w:rsidR="001C7BF9" w:rsidRPr="00C9680B" w:rsidRDefault="001C7BF9">
      <w:pPr>
        <w:pStyle w:val="Normaltindrag"/>
      </w:pPr>
      <w:r w:rsidRPr="00C9680B">
        <w:t>För att underlätta för företag i kunskapsintensiva branscher att behålla sin pe</w:t>
      </w:r>
      <w:r w:rsidRPr="00C9680B">
        <w:t>rsonal utges ofta olika typer av optioner. Även om den senaste tidens akti</w:t>
      </w:r>
      <w:r w:rsidRPr="00C9680B">
        <w:t>e</w:t>
      </w:r>
      <w:r w:rsidRPr="00C9680B">
        <w:t xml:space="preserve">kursutveckling dämpat utgivandet av optioner är detta ett instrument som kommer att finnas och växa. Detta kommer till att börja med främst att gälla i kunskapsintensiva branscher men efterhand inom alltfler områden vartefter medarbetarnas kunnande blir en allt viktigare faktor för företagets överlevnad. Beskattningen av optioner varierar beroende bl.a. på när de löses in. Skatten kan bli mycket hög. </w:t>
      </w:r>
    </w:p>
    <w:p w:rsidR="001C7BF9" w:rsidRPr="00C9680B" w:rsidRDefault="001C7BF9">
      <w:pPr>
        <w:pStyle w:val="Normaltindrag"/>
      </w:pPr>
      <w:r w:rsidRPr="00C9680B">
        <w:t xml:space="preserve">Viktiga företags verksamhet kan </w:t>
      </w:r>
      <w:r w:rsidRPr="00C9680B">
        <w:t>därför komma att förläggas till andra lä</w:t>
      </w:r>
      <w:r w:rsidRPr="00C9680B">
        <w:t>n</w:t>
      </w:r>
      <w:r w:rsidRPr="00C9680B">
        <w:t>der där beskattningen upplevs som rimligare. Den senaste tidens aktieutvec</w:t>
      </w:r>
      <w:r w:rsidRPr="00C9680B">
        <w:t>k</w:t>
      </w:r>
      <w:r w:rsidRPr="00C9680B">
        <w:t>ling har visat att optioner är osäkrare än lön. Därför kan speciella regler vara m</w:t>
      </w:r>
      <w:r w:rsidRPr="00C9680B">
        <w:t>o</w:t>
      </w:r>
      <w:r w:rsidRPr="00C9680B">
        <w:t>tiverade.</w:t>
      </w:r>
    </w:p>
    <w:p w:rsidR="001C7BF9" w:rsidRPr="00C9680B" w:rsidRDefault="001C7BF9">
      <w:pPr>
        <w:pStyle w:val="Normaltindrag"/>
      </w:pPr>
      <w:r w:rsidRPr="00C9680B">
        <w:t>Den svenska beskattningen av optioner bör ses över. Inriktning av övers</w:t>
      </w:r>
      <w:r w:rsidRPr="00C9680B">
        <w:t>y</w:t>
      </w:r>
      <w:r w:rsidRPr="00C9680B">
        <w:t>nen skall vara att den svenska beskattningen av optioner skall vara internati</w:t>
      </w:r>
      <w:r w:rsidRPr="00C9680B">
        <w:t>o</w:t>
      </w:r>
      <w:r w:rsidRPr="00C9680B">
        <w:t>nellt konkurrenskraftig.</w:t>
      </w:r>
    </w:p>
    <w:p w:rsidR="001C7BF9" w:rsidRPr="00C9680B" w:rsidRDefault="001C7BF9">
      <w:pPr>
        <w:pStyle w:val="Rubrik4"/>
        <w:rPr>
          <w:noProof w:val="0"/>
        </w:rPr>
      </w:pPr>
      <w:bookmarkStart w:id="688" w:name="_Toc498910889"/>
      <w:r w:rsidRPr="00C9680B">
        <w:rPr>
          <w:noProof w:val="0"/>
        </w:rPr>
        <w:t>Lättare hinna med vardagen</w:t>
      </w:r>
      <w:bookmarkEnd w:id="688"/>
    </w:p>
    <w:p w:rsidR="001C7BF9" w:rsidRPr="00C9680B" w:rsidRDefault="001C7BF9">
      <w:r w:rsidRPr="00C9680B">
        <w:t xml:space="preserve">Det höga svenska skattetrycket drabbar särskilt de verksamheter där det finns ”gråa” eller ”svarta” alternativ. Tjänster riktade mot hushållen utgör ett sådant exempel. Många sådana arbetsuppgifter utförs i dag i form av ”gör-det-själv” eller svart. Att köpa sådana tjänster med full skattebörda är förbehållet de rika, eller de som kan få någon annan att betala. </w:t>
      </w:r>
    </w:p>
    <w:p w:rsidR="001C7BF9" w:rsidRPr="00C9680B" w:rsidRDefault="001C7BF9">
      <w:pPr>
        <w:pStyle w:val="Normaltindrag"/>
      </w:pPr>
      <w:r w:rsidRPr="00C9680B">
        <w:t>Flera undersökningar visar att många är stressade i dagens arbetsliv. Ändå har svensken en av industrivärldens kortaste årsarbetstider. En del av förkl</w:t>
      </w:r>
      <w:r w:rsidRPr="00C9680B">
        <w:t>a</w:t>
      </w:r>
      <w:r w:rsidRPr="00C9680B">
        <w:t>ringen är att skattetrycket gör det omöjligt att köpa tjänster som skulle kunna lätta bördan, t.ex. för småbarnsföräldrar. Stressen i arbetslivet skulle minska och det skulle bli lättare för både kvinnor och män att kombinera arbetsliv och ansvar för barnen.</w:t>
      </w:r>
    </w:p>
    <w:p w:rsidR="001C7BF9" w:rsidRPr="00C9680B" w:rsidRDefault="001C7BF9">
      <w:pPr>
        <w:pStyle w:val="Normaltindrag"/>
      </w:pPr>
      <w:r w:rsidRPr="00C9680B">
        <w:t>Vi har tidigare presenterat förslag som ändrar på detta. För tjänster utförda i hemmet skall en skattelättnad utgå som halverar det vita priset. Skatteredu</w:t>
      </w:r>
      <w:r w:rsidRPr="00C9680B">
        <w:t>k</w:t>
      </w:r>
      <w:r w:rsidRPr="00C9680B">
        <w:t>tionen på 50 % för hushållstjänster utförda i det egna hemmet utgår ända upp till 25 000 kr per år och hushåll. Förslaget kan liknas vid ett väsentligt utvi</w:t>
      </w:r>
      <w:r w:rsidRPr="00C9680B">
        <w:t>d</w:t>
      </w:r>
      <w:r w:rsidRPr="00C9680B">
        <w:t>gat s.k. ROT-avdrag. Förslaget leder till att svarta jobb blir vita, till att valfr</w:t>
      </w:r>
      <w:r w:rsidRPr="00C9680B">
        <w:t>i</w:t>
      </w:r>
      <w:r w:rsidRPr="00C9680B">
        <w:t xml:space="preserve">heten för hushållen och jämställdheten ökar. </w:t>
      </w:r>
    </w:p>
    <w:p w:rsidR="001C7BF9" w:rsidRPr="00C9680B" w:rsidRDefault="001C7BF9">
      <w:pPr>
        <w:pStyle w:val="Rubrik4"/>
        <w:rPr>
          <w:noProof w:val="0"/>
        </w:rPr>
      </w:pPr>
      <w:bookmarkStart w:id="689" w:name="_Toc498910890"/>
      <w:r w:rsidRPr="00C9680B">
        <w:rPr>
          <w:noProof w:val="0"/>
        </w:rPr>
        <w:t>Den svarta ekonomin</w:t>
      </w:r>
      <w:bookmarkEnd w:id="689"/>
    </w:p>
    <w:p w:rsidR="001C7BF9" w:rsidRPr="00C9680B" w:rsidRDefault="001C7BF9">
      <w:r w:rsidRPr="00C9680B">
        <w:t>Ett allvarligt problem är den svarta ekonomins utbredning och omfattning. Den kan uppgå till så mycket som 4 % av BNP eller i dagsläget motsvarande över 80 miljarder kronor.</w:t>
      </w:r>
    </w:p>
    <w:p w:rsidR="001C7BF9" w:rsidRPr="00C9680B" w:rsidRDefault="001C7BF9">
      <w:pPr>
        <w:pStyle w:val="Normaltindrag"/>
      </w:pPr>
      <w:r w:rsidRPr="00C9680B">
        <w:t>Effekterna av den svarta ekonomin beräknas innebära ett årligt skattebor</w:t>
      </w:r>
      <w:r w:rsidRPr="00C9680B">
        <w:t>t</w:t>
      </w:r>
      <w:r w:rsidRPr="00C9680B">
        <w:t>fall på mellan 20 och 40 miljarder kronor. En undersökning utförd av Rik</w:t>
      </w:r>
      <w:r w:rsidRPr="00C9680B">
        <w:t>s</w:t>
      </w:r>
      <w:r w:rsidRPr="00C9680B">
        <w:t>skatteverket visar att uppemot 800 000 personer någon gång under ett givet år jo</w:t>
      </w:r>
      <w:r w:rsidRPr="00C9680B">
        <w:t>b</w:t>
      </w:r>
      <w:r w:rsidRPr="00C9680B">
        <w:t>bade svart.</w:t>
      </w:r>
    </w:p>
    <w:p w:rsidR="001C7BF9" w:rsidRPr="00C9680B" w:rsidRDefault="001C7BF9">
      <w:pPr>
        <w:pStyle w:val="Normaltindrag"/>
      </w:pPr>
      <w:r w:rsidRPr="00C9680B">
        <w:t>Det finns enligt vår uppfattning två huvudförklaringar: För det första har det moraliska medvetandet och viljan att handla rätt urholkats. För det andra medför dagens skatteuttag och skattestruktur starka incitament att inte följa de  regler som finns, dels därför att skatteuttaget upplevs som orimligt högt, dels därför att reglerna är orimlig</w:t>
      </w:r>
      <w:r w:rsidRPr="00C9680B">
        <w:t>t krångliga.</w:t>
      </w:r>
    </w:p>
    <w:p w:rsidR="001C7BF9" w:rsidRPr="00C9680B" w:rsidRDefault="001C7BF9">
      <w:pPr>
        <w:pStyle w:val="Normaltindrag"/>
      </w:pPr>
      <w:r w:rsidRPr="00C9680B">
        <w:t>Den svarta sektorn innebär betydande problem för seriösa företag som r</w:t>
      </w:r>
      <w:r w:rsidRPr="00C9680B">
        <w:t>e</w:t>
      </w:r>
      <w:r w:rsidRPr="00C9680B">
        <w:t>dan finns och verkar på den vita marknaden. Vart femte företag drabbas av konkurrens från den svarta sektorn, i en del branscher betydligt fler. Det leder till att seriösa företagare inte har en chans att konkurrera om andra företag fuskar med olika regler. I några branscher har detta blivit en ond cirkel, för</w:t>
      </w:r>
      <w:r w:rsidRPr="00C9680B">
        <w:t>e</w:t>
      </w:r>
      <w:r w:rsidRPr="00C9680B">
        <w:t>tag upplever att de ”tvingas” fuska för att överleva på marknaden.</w:t>
      </w:r>
    </w:p>
    <w:p w:rsidR="001C7BF9" w:rsidRPr="00C9680B" w:rsidRDefault="001C7BF9">
      <w:pPr>
        <w:pStyle w:val="Normaltindrag"/>
      </w:pPr>
      <w:r w:rsidRPr="00C9680B">
        <w:t>Dagens skatte- och regeltryck riskerar att leda till en än mer urholkad skattemoral. Detta är ett mycket allvarligt problem. Ett fun</w:t>
      </w:r>
      <w:r w:rsidRPr="00C9680B">
        <w:t>gerande rättssa</w:t>
      </w:r>
      <w:r w:rsidRPr="00C9680B">
        <w:t>m</w:t>
      </w:r>
      <w:r w:rsidRPr="00C9680B">
        <w:t>hälle bygger på att lagstiftningen är förankrad i människors rättsuppfattning så att man av egen kraft och vilja lyder lagarna.</w:t>
      </w:r>
    </w:p>
    <w:p w:rsidR="001C7BF9" w:rsidRPr="00C9680B" w:rsidRDefault="001C7BF9">
      <w:pPr>
        <w:pStyle w:val="Normaltindrag"/>
      </w:pPr>
      <w:r w:rsidRPr="00C9680B">
        <w:t>Det är därför enligt vår mening en viktig politisk uppgift att snabbt minska skadliga skattekilar och allmänt förbättra incitamenten att köpa och sälja varor och tjänster vitt och lagligt. De förslag vi här redovisar tar viktiga steg i denna riktning. Det är också av största vikt att företrädare för såväl näringsliv som offentlig sektor deltar i opinionsbildningen o</w:t>
      </w:r>
      <w:r w:rsidRPr="00C9680B">
        <w:t>ch i praktisk handling visar vikten av att de regler som beslutas verkligen efterföljs.</w:t>
      </w:r>
    </w:p>
    <w:p w:rsidR="001C7BF9" w:rsidRPr="00C9680B" w:rsidRDefault="001C7BF9">
      <w:pPr>
        <w:pStyle w:val="Rubrik2b"/>
        <w:outlineLvl w:val="0"/>
      </w:pPr>
      <w:bookmarkStart w:id="690" w:name="_Toc498910891"/>
      <w:r w:rsidRPr="00C9680B">
        <w:t>Staten skall inte vara företagare</w:t>
      </w:r>
      <w:bookmarkEnd w:id="690"/>
    </w:p>
    <w:p w:rsidR="001C7BF9" w:rsidRPr="00C9680B" w:rsidRDefault="001C7BF9">
      <w:r w:rsidRPr="00C9680B">
        <w:t>Staten skall svara för de lagar och förordningar som reglerar relationerna mellan företag verksamma i Sverige och mellan företag och det offentliga. Staten skall inte själv, annat än i speciella undantagsfall, vara ägare. Ett e</w:t>
      </w:r>
      <w:r w:rsidRPr="00C9680B">
        <w:t>n</w:t>
      </w:r>
      <w:r w:rsidRPr="00C9680B">
        <w:t xml:space="preserve">skilt företagande är en förutsättning för rättvis konkurrens och en kommersiell utveckling av starka och självständiga företag. </w:t>
      </w:r>
    </w:p>
    <w:p w:rsidR="001C7BF9" w:rsidRPr="00C9680B" w:rsidRDefault="001C7BF9">
      <w:pPr>
        <w:pStyle w:val="Normaltindrag"/>
      </w:pPr>
      <w:r w:rsidRPr="00C9680B">
        <w:t>Med staten som ägare blandas företagets intressen med politiska överv</w:t>
      </w:r>
      <w:r w:rsidRPr="00C9680B">
        <w:t>ä</w:t>
      </w:r>
      <w:r w:rsidRPr="00C9680B">
        <w:t>ganden. Den dåliga utvecklingen av Teliaaktien sedan börsintroduktionen och försäljningen av en del av aktierna belyser detta. En betydande del av förkl</w:t>
      </w:r>
      <w:r w:rsidRPr="00C9680B">
        <w:t>a</w:t>
      </w:r>
      <w:r w:rsidRPr="00C9680B">
        <w:t xml:space="preserve">ringen till osäkerheten om aktiens utveckling kan tillskrivas det faktum att staten alltjämt är majoritetsägare och inte angivit någon tidsplan eller strategi för att avveckla detta ägande. </w:t>
      </w:r>
    </w:p>
    <w:p w:rsidR="001C7BF9" w:rsidRPr="00C9680B" w:rsidRDefault="001C7BF9">
      <w:pPr>
        <w:pStyle w:val="Normaltindrag"/>
      </w:pPr>
      <w:r w:rsidRPr="00C9680B">
        <w:t>Staten ska bestämma spelreglerna, inte själv vara en spelare på planen. De företag som nu är statliga skulle fungera bättre med ett mer spritt privat äga</w:t>
      </w:r>
      <w:r w:rsidRPr="00C9680B">
        <w:t>n</w:t>
      </w:r>
      <w:r w:rsidRPr="00C9680B">
        <w:t>de. Det kapital som finns uppbundet i en rad statliga företag skulle göra större nytta på annat håll.</w:t>
      </w:r>
    </w:p>
    <w:p w:rsidR="001C7BF9" w:rsidRPr="00C9680B" w:rsidRDefault="001C7BF9">
      <w:pPr>
        <w:pStyle w:val="Normaltindrag"/>
      </w:pPr>
      <w:r w:rsidRPr="00C9680B">
        <w:t>Då inkomster av utförsäljningar är av engångskaraktär bör de användas för att betala av på statsskulden som i dag uppgår till ca 1 250 miljarder kronor. De utförsäljningar och den avbetalning av statsskulden vi föreslår gör att statens räntekostnader, en av de största utgiftsposterna i statsbudgeten, kan minskas kraftigt. Företag som under de kommande åren kan komma i fråga för privat</w:t>
      </w:r>
      <w:r w:rsidRPr="00C9680B">
        <w:t>i</w:t>
      </w:r>
      <w:r w:rsidRPr="00C9680B">
        <w:t>sering eller försäljning av det statliga innehavet är t ex:</w:t>
      </w:r>
    </w:p>
    <w:p w:rsidR="001C7BF9" w:rsidRPr="00C9680B" w:rsidRDefault="001C7BF9">
      <w:r w:rsidRPr="00C9680B">
        <w:t>Hela Telia AB,</w:t>
      </w:r>
    </w:p>
    <w:p w:rsidR="001C7BF9" w:rsidRPr="00C9680B" w:rsidRDefault="001C7BF9">
      <w:r w:rsidRPr="00C9680B">
        <w:t>Nordic Baltic Holding (MeritaNordbanken),</w:t>
      </w:r>
    </w:p>
    <w:p w:rsidR="001C7BF9" w:rsidRPr="00C9680B" w:rsidRDefault="001C7BF9">
      <w:r w:rsidRPr="00C9680B">
        <w:t>OM Gruppen AB,</w:t>
      </w:r>
    </w:p>
    <w:p w:rsidR="001C7BF9" w:rsidRPr="00C9680B" w:rsidRDefault="001C7BF9">
      <w:r w:rsidRPr="00C9680B">
        <w:t>Civitas Holding AB (Vasakronan),</w:t>
      </w:r>
    </w:p>
    <w:p w:rsidR="001C7BF9" w:rsidRPr="00C9680B" w:rsidRDefault="001C7BF9">
      <w:r w:rsidRPr="00C9680B">
        <w:t>Assi Domän AB,</w:t>
      </w:r>
    </w:p>
    <w:p w:rsidR="001C7BF9" w:rsidRPr="00C9680B" w:rsidRDefault="001C7BF9">
      <w:r w:rsidRPr="00C9680B">
        <w:t>SAS Sverige AB,</w:t>
      </w:r>
    </w:p>
    <w:p w:rsidR="001C7BF9" w:rsidRPr="00C9680B" w:rsidRDefault="001C7BF9">
      <w:r w:rsidRPr="00C9680B">
        <w:t>LKAB,</w:t>
      </w:r>
    </w:p>
    <w:p w:rsidR="001C7BF9" w:rsidRPr="00C9680B" w:rsidRDefault="001C7BF9">
      <w:r w:rsidRPr="00C9680B">
        <w:t>Apoteket AB m.fl.</w:t>
      </w:r>
    </w:p>
    <w:p w:rsidR="001C7BF9" w:rsidRPr="00C9680B" w:rsidRDefault="001C7BF9">
      <w:r w:rsidRPr="00C9680B">
        <w:t>Den exakta tidpunkten för olika försäljningar och privatiseringar skall för samtliga företag avv</w:t>
      </w:r>
      <w:r w:rsidRPr="00C9680B">
        <w:t>ä</w:t>
      </w:r>
      <w:r w:rsidRPr="00C9680B">
        <w:t>gas mot konjunktur och marknad.</w:t>
      </w:r>
    </w:p>
    <w:p w:rsidR="001C7BF9" w:rsidRPr="00C9680B" w:rsidRDefault="001C7BF9">
      <w:pPr>
        <w:pStyle w:val="Rubrik2"/>
      </w:pPr>
      <w:bookmarkStart w:id="691" w:name="_Toc498910892"/>
      <w:r w:rsidRPr="00C9680B">
        <w:t>En bred reformpolitik för det moderna Sverige</w:t>
      </w:r>
      <w:bookmarkEnd w:id="691"/>
    </w:p>
    <w:p w:rsidR="001C7BF9" w:rsidRPr="00C9680B" w:rsidRDefault="001C7BF9">
      <w:pPr>
        <w:pStyle w:val="Rubrik2b"/>
        <w:spacing w:before="125"/>
        <w:outlineLvl w:val="0"/>
      </w:pPr>
      <w:bookmarkStart w:id="692" w:name="_Toc498910893"/>
      <w:r w:rsidRPr="00C9680B">
        <w:t>En arbetsmarknad öppen för alla</w:t>
      </w:r>
      <w:bookmarkEnd w:id="692"/>
    </w:p>
    <w:p w:rsidR="001C7BF9" w:rsidRPr="00C9680B" w:rsidRDefault="001C7BF9">
      <w:pPr>
        <w:rPr>
          <w:snapToGrid w:val="0"/>
          <w:lang w:eastAsia="sv-SE"/>
        </w:rPr>
      </w:pPr>
      <w:r w:rsidRPr="00C9680B">
        <w:rPr>
          <w:rFonts w:ascii="Tms Rmn" w:hAnsi="Tms Rmn"/>
          <w:snapToGrid w:val="0"/>
          <w:color w:val="000000"/>
          <w:lang w:eastAsia="sv-SE"/>
        </w:rPr>
        <w:t>Den svenska arbetsmarknaden fungerar inte som den borde. I vad som måste betecknas som en högkonjunktur står fortfarande ungefär en halv miljon människor utanför ordinarie arbetsmarknad.  Arbetslösheten kostar fortfara</w:t>
      </w:r>
      <w:r w:rsidRPr="00C9680B">
        <w:rPr>
          <w:rFonts w:ascii="Tms Rmn" w:hAnsi="Tms Rmn"/>
          <w:snapToGrid w:val="0"/>
          <w:color w:val="000000"/>
          <w:lang w:eastAsia="sv-SE"/>
        </w:rPr>
        <w:t>n</w:t>
      </w:r>
      <w:r w:rsidRPr="00C9680B">
        <w:rPr>
          <w:rFonts w:ascii="Tms Rmn" w:hAnsi="Tms Rmn"/>
          <w:snapToGrid w:val="0"/>
          <w:color w:val="000000"/>
          <w:lang w:eastAsia="sv-SE"/>
        </w:rPr>
        <w:t>de de offentliga kassorna inte mindre än 60 miljarder kronor. Det kan beskr</w:t>
      </w:r>
      <w:r w:rsidRPr="00C9680B">
        <w:rPr>
          <w:rFonts w:ascii="Tms Rmn" w:hAnsi="Tms Rmn"/>
          <w:snapToGrid w:val="0"/>
          <w:color w:val="000000"/>
          <w:lang w:eastAsia="sv-SE"/>
        </w:rPr>
        <w:t>i</w:t>
      </w:r>
      <w:r w:rsidRPr="00C9680B">
        <w:rPr>
          <w:rFonts w:ascii="Tms Rmn" w:hAnsi="Tms Rmn"/>
          <w:snapToGrid w:val="0"/>
          <w:color w:val="000000"/>
          <w:lang w:eastAsia="sv-SE"/>
        </w:rPr>
        <w:t>vas som att vi har den gamla tidens arbetsmarknad i den nya tiden.</w:t>
      </w:r>
    </w:p>
    <w:p w:rsidR="001C7BF9" w:rsidRPr="00C9680B" w:rsidRDefault="001C7BF9">
      <w:pPr>
        <w:pStyle w:val="Normaltindrag"/>
      </w:pPr>
      <w:r w:rsidRPr="00C9680B">
        <w:t>Bristerna i arbetsmarknadens funktionssätt har bidragit till ett antal pr</w:t>
      </w:r>
      <w:r w:rsidRPr="00C9680B">
        <w:t>o</w:t>
      </w:r>
      <w:r w:rsidRPr="00C9680B">
        <w:t>blem: dåligt fungerande lönebildning, höga barriärer för nytillträde till a</w:t>
      </w:r>
      <w:r w:rsidRPr="00C9680B">
        <w:t>r</w:t>
      </w:r>
      <w:r w:rsidRPr="00C9680B">
        <w:t>betsmarknaden som medför risk för bestående utanförskap och arbetsrättsliga regl</w:t>
      </w:r>
      <w:r w:rsidRPr="00C9680B">
        <w:t>e</w:t>
      </w:r>
      <w:r w:rsidRPr="00C9680B">
        <w:t>ringar som skapar problem, inte minst för småföretagen.</w:t>
      </w:r>
    </w:p>
    <w:p w:rsidR="001C7BF9" w:rsidRPr="00C9680B" w:rsidRDefault="001C7BF9">
      <w:pPr>
        <w:pStyle w:val="Normaltindrag"/>
      </w:pPr>
      <w:r w:rsidRPr="00C9680B">
        <w:t>Den politik vi vill föra syftar till att avveckla arbetslösheten som samhäll</w:t>
      </w:r>
      <w:r w:rsidRPr="00C9680B">
        <w:t>s</w:t>
      </w:r>
      <w:r w:rsidRPr="00C9680B">
        <w:t>problem. Rörlighet mellan olika jobb skall kunna vara stor. Som löntagare skall man kunna välja mellan olika arbetsgivare även om man arbetar med sjukvård, omsorg och undervisning. Yrken som traditionellt är kvinnodomin</w:t>
      </w:r>
      <w:r w:rsidRPr="00C9680B">
        <w:t>e</w:t>
      </w:r>
      <w:r w:rsidRPr="00C9680B">
        <w:t>rade skall också kunna erbjuda möjligheter till bra löneutveckling och föret</w:t>
      </w:r>
      <w:r w:rsidRPr="00C9680B">
        <w:t>a</w:t>
      </w:r>
      <w:r w:rsidRPr="00C9680B">
        <w:t>gande.</w:t>
      </w:r>
    </w:p>
    <w:p w:rsidR="001C7BF9" w:rsidRPr="00C9680B" w:rsidRDefault="001C7BF9">
      <w:pPr>
        <w:pStyle w:val="Normaltindrag"/>
      </w:pPr>
      <w:r w:rsidRPr="00C9680B">
        <w:t>En viktig del i en fungerande arbetsmarknad är att det måste bli lättare att förena familj och arbete. Genom vårt förslag om barnomsorgskonto i komb</w:t>
      </w:r>
      <w:r w:rsidRPr="00C9680B">
        <w:t>i</w:t>
      </w:r>
      <w:r w:rsidRPr="00C9680B">
        <w:t>nation med etableringsfrihet och avdragsrätt för styrkta barnomsorgskostn</w:t>
      </w:r>
      <w:r w:rsidRPr="00C9680B">
        <w:t>a</w:t>
      </w:r>
      <w:r w:rsidRPr="00C9680B">
        <w:t>der kan föräldrar finna den barnomsorg som passar just deras vardag. Det är mycket viktigt från ett jämställdhetsperspektiv att det går att finna den form av barnomsorg som passar den enskilda situationen bäst. Om inte barnomso</w:t>
      </w:r>
      <w:r w:rsidRPr="00C9680B">
        <w:t>r</w:t>
      </w:r>
      <w:r w:rsidRPr="00C9680B">
        <w:t xml:space="preserve">gen fungerar väl är det inte praktiskt möjligt att uppnå ett jämställt arbetsliv. </w:t>
      </w:r>
    </w:p>
    <w:p w:rsidR="001C7BF9" w:rsidRPr="00C9680B" w:rsidRDefault="001C7BF9">
      <w:pPr>
        <w:pStyle w:val="Normaltindrag"/>
      </w:pPr>
      <w:r w:rsidRPr="00C9680B">
        <w:t>Arbetsmarknadslagstiftningen måste medge flexibilitet för anställda och för arbetsgivare. Det kan gälla frågor om arbetstidens</w:t>
      </w:r>
      <w:r w:rsidRPr="00C9680B">
        <w:t xml:space="preserve"> längd och arbetets förläggning. En ökad individualisering av arbetstiden är både önskvärd och nödvändig. Detta utesluter en lagstadgad förkortning av arbetstiden. I stället för tvångsavkortad arbetstid skulle många människor välja att öka sin arbet</w:t>
      </w:r>
      <w:r w:rsidRPr="00C9680B">
        <w:t>s</w:t>
      </w:r>
      <w:r w:rsidRPr="00C9680B">
        <w:t xml:space="preserve">tid för att få en bättre ekonomi. Andra skulle välja den kortare arbetstiden för att få mer tid för familj eller fritid. Mer makt för den enskilde över arbetstid och arbetsliv är en viktig kvinnofråga eftersom kvinnor i dag bär ett större ansvar för att arbets- </w:t>
      </w:r>
      <w:r w:rsidRPr="00C9680B">
        <w:t>och familjeliv skall fungera.</w:t>
      </w:r>
    </w:p>
    <w:p w:rsidR="001C7BF9" w:rsidRPr="00C9680B" w:rsidRDefault="001C7BF9">
      <w:pPr>
        <w:pStyle w:val="Normaltindrag"/>
      </w:pPr>
      <w:r w:rsidRPr="00C9680B">
        <w:t>Arbetsmarknadspolitiken skall stimulera till arbete. Även skattepolitiken måste utformas så att arbete premieras. För att råda bot på lokal arbetslöshet måste de regioner inom vilka man naturligen söker arbete bli större, bl.a. genom bättre villkor och möjligheter att arbetspendla. Arbetsförmedlingen måste bli effektivare. Privata bemanningsföretag har visat att det går att få också grupper som bedömts som svårplacerade i arbete. Det bör övervägas om inte dessa företag skall få</w:t>
      </w:r>
      <w:r w:rsidRPr="00C9680B">
        <w:t xml:space="preserve"> spela en större roll vad gäller arbetsfö</w:t>
      </w:r>
      <w:r w:rsidRPr="00C9680B">
        <w:t>r</w:t>
      </w:r>
      <w:r w:rsidRPr="00C9680B">
        <w:t>medling.</w:t>
      </w:r>
    </w:p>
    <w:p w:rsidR="001C7BF9" w:rsidRPr="00C9680B" w:rsidRDefault="001C7BF9">
      <w:pPr>
        <w:pStyle w:val="Normaltindrag"/>
      </w:pPr>
      <w:r w:rsidRPr="00C9680B">
        <w:t>Arbetslöshetsförsäkringen bör moderniseras. En allmän obligatorisk a</w:t>
      </w:r>
      <w:r w:rsidRPr="00C9680B">
        <w:t>r</w:t>
      </w:r>
      <w:r w:rsidRPr="00C9680B">
        <w:t>betslöshetsförsäkring som till större del än i dag finansieras med egenavgifter bör införas. Därigenom får den enskilde ett verkligt val när det gäller den fackliga tillhörigheten och hur man vill ordna arbetslöshetsförsäkringen. Försäkringen skall också motverka att löneavtal som leder till ökad arbetslö</w:t>
      </w:r>
      <w:r w:rsidRPr="00C9680B">
        <w:t>s</w:t>
      </w:r>
      <w:r w:rsidRPr="00C9680B">
        <w:t>het träffas.</w:t>
      </w:r>
    </w:p>
    <w:p w:rsidR="001C7BF9" w:rsidRPr="00C9680B" w:rsidRDefault="001C7BF9">
      <w:pPr>
        <w:pStyle w:val="Rubrik2b"/>
        <w:outlineLvl w:val="0"/>
      </w:pPr>
      <w:bookmarkStart w:id="693" w:name="_Toc498910894"/>
      <w:r w:rsidRPr="00C9680B">
        <w:t>Lättare att starta och driva företag</w:t>
      </w:r>
      <w:bookmarkEnd w:id="693"/>
    </w:p>
    <w:p w:rsidR="001C7BF9" w:rsidRPr="00C9680B" w:rsidRDefault="001C7BF9">
      <w:r w:rsidRPr="00C9680B">
        <w:t>Företagandet omgärdas i dag av många regler och lagar. Förutom sund ko</w:t>
      </w:r>
      <w:r w:rsidRPr="00C9680B">
        <w:t>n</w:t>
      </w:r>
      <w:r w:rsidRPr="00C9680B">
        <w:t>kurrens och ett skattesystem som stimulerar till arbete och företagande är enkla regler av väsentlig vikt för ett gott företagsklimat. Regelverket har vuxit i omfång under de senaste åren. Detta är ett tydligt tecken på att regeringen inte förstår företagens villkor. För främst småföretagen är regelverken en tung administrativ börda. Reglerna kan också förhindra expansion och bildandet av nya företag. Den s.k. Simplexgruppen inom Regeringskansliet har hittills inte presenterat några betydelsefulla resultat</w:t>
      </w:r>
      <w:r w:rsidRPr="00C9680B">
        <w:t>. Arbetet har i stället kantats av a</w:t>
      </w:r>
      <w:r w:rsidRPr="00C9680B">
        <w:t>v</w:t>
      </w:r>
      <w:r w:rsidRPr="00C9680B">
        <w:t>hopp från personer som tröttnat på det interna motstå</w:t>
      </w:r>
      <w:r w:rsidRPr="00C9680B">
        <w:t>n</w:t>
      </w:r>
      <w:r w:rsidRPr="00C9680B">
        <w:t>det.</w:t>
      </w:r>
    </w:p>
    <w:p w:rsidR="001C7BF9" w:rsidRPr="00C9680B" w:rsidRDefault="001C7BF9">
      <w:pPr>
        <w:pStyle w:val="Normaltindrag"/>
      </w:pPr>
      <w:r w:rsidRPr="00C9680B">
        <w:t>Ett antal krångelregler som hindrar tillväxt och nya jobb bör därför tas bort. Mål för avregleringen skall vara att alla regler som berör företagare skall ha granskats i syfte att förenkla och minska regelmassan under den komma</w:t>
      </w:r>
      <w:r w:rsidRPr="00C9680B">
        <w:t>n</w:t>
      </w:r>
      <w:r w:rsidRPr="00C9680B">
        <w:t>de treårsperioden. Ett program för avreglering bör innehålla följande punkter:</w:t>
      </w:r>
    </w:p>
    <w:p w:rsidR="001C7BF9" w:rsidRPr="00C9680B" w:rsidRDefault="001C7BF9">
      <w:pPr>
        <w:numPr>
          <w:ilvl w:val="0"/>
          <w:numId w:val="1278"/>
        </w:numPr>
      </w:pPr>
      <w:r w:rsidRPr="00C9680B">
        <w:t>Genomför Småföretagsdelegationens förslag. Alla förslag i Småföretag</w:t>
      </w:r>
      <w:r w:rsidRPr="00C9680B">
        <w:t>s</w:t>
      </w:r>
      <w:r w:rsidRPr="00C9680B">
        <w:t xml:space="preserve">delegationens betänkande </w:t>
      </w:r>
      <w:r w:rsidRPr="00C9680B">
        <w:rPr>
          <w:i/>
        </w:rPr>
        <w:t>Förslagskatalog (SOU 1998:94)</w:t>
      </w:r>
      <w:r w:rsidRPr="00C9680B">
        <w:t xml:space="preserve"> bör överv</w:t>
      </w:r>
      <w:r w:rsidRPr="00C9680B">
        <w:t>ä</w:t>
      </w:r>
      <w:r w:rsidRPr="00C9680B">
        <w:t>gas, och allt det som ännu inte är genomfört bör i allt väsentligt geno</w:t>
      </w:r>
      <w:r w:rsidRPr="00C9680B">
        <w:t>m</w:t>
      </w:r>
      <w:r w:rsidRPr="00C9680B">
        <w:t>föras snarast. Regeringen hävdade i budgetpropositionen i september 1999 att ”... åtgärder nu vidtagits för att undanröja majoriteten av de hi</w:t>
      </w:r>
      <w:r w:rsidRPr="00C9680B">
        <w:t>n</w:t>
      </w:r>
      <w:r w:rsidRPr="00C9680B">
        <w:t>der för företagande som delegationen kartlagt”. Sanningen är dock att fortfarande, två år efter utredningens slutbetänkande, är 53 av utrednin</w:t>
      </w:r>
      <w:r w:rsidRPr="00C9680B">
        <w:t>g</w:t>
      </w:r>
      <w:r w:rsidRPr="00C9680B">
        <w:t xml:space="preserve">ens 81 förslag, dvs två tredjedelar, </w:t>
      </w:r>
      <w:r w:rsidRPr="00C9680B">
        <w:rPr>
          <w:i/>
        </w:rPr>
        <w:t>inte</w:t>
      </w:r>
      <w:r w:rsidRPr="00C9680B">
        <w:t xml:space="preserve"> genomförda.</w:t>
      </w:r>
    </w:p>
    <w:p w:rsidR="001C7BF9" w:rsidRPr="00C9680B" w:rsidRDefault="001C7BF9">
      <w:pPr>
        <w:numPr>
          <w:ilvl w:val="0"/>
          <w:numId w:val="1279"/>
        </w:numPr>
      </w:pPr>
      <w:r w:rsidRPr="00C9680B">
        <w:t>Arbetet med regelförenklingar måst</w:t>
      </w:r>
      <w:r w:rsidRPr="00C9680B">
        <w:t>e ges en högre politisk prioritet än hittills.</w:t>
      </w:r>
    </w:p>
    <w:p w:rsidR="001C7BF9" w:rsidRPr="00C9680B" w:rsidRDefault="001C7BF9">
      <w:pPr>
        <w:numPr>
          <w:ilvl w:val="0"/>
          <w:numId w:val="1280"/>
        </w:numPr>
      </w:pPr>
      <w:r w:rsidRPr="00C9680B">
        <w:t>Obligatorisk konsekvensanalys bör inte bara genomföras i princip utan i verkligheten. Den förordning som nu finns om att myndigheter, utre</w:t>
      </w:r>
      <w:r w:rsidRPr="00C9680B">
        <w:t>d</w:t>
      </w:r>
      <w:r w:rsidRPr="00C9680B">
        <w:t>ningar och Regeringskansliet skall göra konsekvensanalyser av nya eller ändrade regler med betydelse för småföretagen är i sig positiv men har inte efterlevts särskilt väl visar regeringens egen granskning.</w:t>
      </w:r>
    </w:p>
    <w:p w:rsidR="001C7BF9" w:rsidRPr="00C9680B" w:rsidRDefault="001C7BF9">
      <w:pPr>
        <w:numPr>
          <w:ilvl w:val="0"/>
          <w:numId w:val="1281"/>
        </w:numPr>
      </w:pPr>
      <w:r w:rsidRPr="00C9680B">
        <w:t>En s.k. solnedgångsparagraf bör införas, dvs. regler skall automatiskt ompr</w:t>
      </w:r>
      <w:r w:rsidRPr="00C9680B">
        <w:t>ö</w:t>
      </w:r>
      <w:r w:rsidRPr="00C9680B">
        <w:t>vas efter fem år. Om de skall bestå behövs ett aktivt beslut.</w:t>
      </w:r>
    </w:p>
    <w:p w:rsidR="001C7BF9" w:rsidRPr="00C9680B" w:rsidRDefault="001C7BF9">
      <w:pPr>
        <w:numPr>
          <w:ilvl w:val="0"/>
          <w:numId w:val="1282"/>
        </w:numPr>
      </w:pPr>
      <w:r w:rsidRPr="00C9680B">
        <w:t>En regel som fortfarande gör det onödigt svårt för framför allt småför</w:t>
      </w:r>
      <w:r w:rsidRPr="00C9680B">
        <w:t>e</w:t>
      </w:r>
      <w:r w:rsidRPr="00C9680B">
        <w:t>tag är att den månatliga skattedeklarationen måste vara bokförd på ska</w:t>
      </w:r>
      <w:r w:rsidRPr="00C9680B">
        <w:t>t</w:t>
      </w:r>
      <w:r w:rsidRPr="00C9680B">
        <w:t>temyndighetens skattekonto senast på förfallodagen, annars tas en förs</w:t>
      </w:r>
      <w:r w:rsidRPr="00C9680B">
        <w:t>e</w:t>
      </w:r>
      <w:r w:rsidRPr="00C9680B">
        <w:t>ningsavgift ut på 1 000 kr och företagaren debiteras dessutom en kos</w:t>
      </w:r>
      <w:r w:rsidRPr="00C9680B">
        <w:t>t</w:t>
      </w:r>
      <w:r w:rsidRPr="00C9680B">
        <w:t>nadsränta. Det innebär att företagaren varje månad måste räkna och pl</w:t>
      </w:r>
      <w:r w:rsidRPr="00C9680B">
        <w:t>a</w:t>
      </w:r>
      <w:r w:rsidRPr="00C9680B">
        <w:t>nera bankdagar för att vara säker på att betalningen kommer in i rätt tid. Inte minst vid helger kan det innebära stora problem för företag med d</w:t>
      </w:r>
      <w:r w:rsidRPr="00C9680B">
        <w:t>å</w:t>
      </w:r>
      <w:r w:rsidRPr="00C9680B">
        <w:t>lig likviditet. Att bankerna inte arbetar snabbare bör inte drabba företag</w:t>
      </w:r>
      <w:r w:rsidRPr="00C9680B">
        <w:t>a</w:t>
      </w:r>
      <w:r w:rsidRPr="00C9680B">
        <w:t xml:space="preserve">ren. Som </w:t>
      </w:r>
      <w:r w:rsidRPr="00C9680B">
        <w:t>ett led i att förbättra företagarklimatet bör det därför räcka om betalningen av företagets skatter görs senast på förfallodagen.</w:t>
      </w:r>
    </w:p>
    <w:p w:rsidR="001C7BF9" w:rsidRPr="00C9680B" w:rsidRDefault="001C7BF9">
      <w:pPr>
        <w:numPr>
          <w:ilvl w:val="0"/>
          <w:numId w:val="1283"/>
        </w:numPr>
      </w:pPr>
      <w:r w:rsidRPr="00C9680B">
        <w:t>Småföretagsdelegationens enklare modell för registrering av företag, där bara en myndighet behöver kontaktas, bör genomföras. Det är i dag för svårt att få F-skattsedel. Alla som vill starta företag och inte är belagda med näringsfö</w:t>
      </w:r>
      <w:r w:rsidRPr="00C9680B">
        <w:t>r</w:t>
      </w:r>
      <w:r w:rsidRPr="00C9680B">
        <w:t>bud skall ha rätt att få F-skattsedel.</w:t>
      </w:r>
    </w:p>
    <w:p w:rsidR="001C7BF9" w:rsidRPr="00C9680B" w:rsidRDefault="001C7BF9">
      <w:pPr>
        <w:numPr>
          <w:ilvl w:val="0"/>
          <w:numId w:val="1284"/>
        </w:numPr>
      </w:pPr>
      <w:r w:rsidRPr="00C9680B">
        <w:t>Det måste även bli enklare att driva befintliga företag. För många av landets cirka halva miljon egenföretagare är det svårt  att deklarera på egen hand, reglerna är för komplicerade. Målet bör vara att en egenför</w:t>
      </w:r>
      <w:r w:rsidRPr="00C9680B">
        <w:t>e</w:t>
      </w:r>
      <w:r w:rsidRPr="00C9680B">
        <w:t>tagare skall kunna ha en förenklad självdeklaration precis som löntag</w:t>
      </w:r>
      <w:r w:rsidRPr="00C9680B">
        <w:t>a</w:t>
      </w:r>
      <w:r w:rsidRPr="00C9680B">
        <w:t>ren.</w:t>
      </w:r>
    </w:p>
    <w:p w:rsidR="001C7BF9" w:rsidRPr="00C9680B" w:rsidRDefault="001C7BF9">
      <w:pPr>
        <w:numPr>
          <w:ilvl w:val="0"/>
          <w:numId w:val="1285"/>
        </w:numPr>
      </w:pPr>
      <w:r w:rsidRPr="00C9680B">
        <w:t>Uppgiftslämnandet måste också bli enklare. En del av uppgiftslämnandet till försäkringskassan kan exempelvis slopas. SCB bör bli noggrannare i urvalet av företag i sina undersökningar så att företagen inte störs on</w:t>
      </w:r>
      <w:r w:rsidRPr="00C9680B">
        <w:t>ö</w:t>
      </w:r>
      <w:r w:rsidRPr="00C9680B">
        <w:t>digt mycket.</w:t>
      </w:r>
    </w:p>
    <w:p w:rsidR="001C7BF9" w:rsidRPr="00C9680B" w:rsidRDefault="001C7BF9">
      <w:pPr>
        <w:numPr>
          <w:ilvl w:val="0"/>
          <w:numId w:val="1286"/>
        </w:numPr>
      </w:pPr>
      <w:r w:rsidRPr="00C9680B">
        <w:t>Den obligatoriska platsanmälan till arbetsförmedlingen bör också slopas.</w:t>
      </w:r>
    </w:p>
    <w:p w:rsidR="001C7BF9" w:rsidRPr="00C9680B" w:rsidRDefault="001C7BF9">
      <w:pPr>
        <w:numPr>
          <w:ilvl w:val="0"/>
          <w:numId w:val="1287"/>
        </w:numPr>
      </w:pPr>
      <w:r w:rsidRPr="00C9680B">
        <w:t>Tullprocedurerna bör vidare göras så enkla att företagen klarar dem utan konsulthjälp.</w:t>
      </w:r>
    </w:p>
    <w:p w:rsidR="001C7BF9" w:rsidRPr="00C9680B" w:rsidRDefault="001C7BF9">
      <w:pPr>
        <w:numPr>
          <w:ilvl w:val="0"/>
          <w:numId w:val="1288"/>
        </w:numPr>
      </w:pPr>
      <w:r w:rsidRPr="00C9680B">
        <w:t>Ett enklare patent för uppfinningar bör även införas så att företagen lättare kan skydda de nya produkter de utvecklar.</w:t>
      </w:r>
    </w:p>
    <w:p w:rsidR="001C7BF9" w:rsidRPr="00C9680B" w:rsidRDefault="001C7BF9">
      <w:pPr>
        <w:numPr>
          <w:ilvl w:val="0"/>
          <w:numId w:val="1289"/>
        </w:numPr>
      </w:pPr>
      <w:r w:rsidRPr="00C9680B">
        <w:rPr>
          <w:snapToGrid w:val="0"/>
          <w:color w:val="000000"/>
          <w:lang w:eastAsia="sv-SE"/>
        </w:rPr>
        <w:br w:type="page"/>
        <w:t>När de nya lagarna miljöbalken och arbetsmiljölagen börjat tillämpas har betydande negativa konsekvenser uppstått för främst mindre företagare. Det som nu uppfattas som allvarliga hot mot rättssäkerheten måste up</w:t>
      </w:r>
      <w:r w:rsidRPr="00C9680B">
        <w:rPr>
          <w:snapToGrid w:val="0"/>
          <w:color w:val="000000"/>
          <w:lang w:eastAsia="sv-SE"/>
        </w:rPr>
        <w:t>p</w:t>
      </w:r>
      <w:r w:rsidRPr="00C9680B">
        <w:rPr>
          <w:snapToGrid w:val="0"/>
          <w:color w:val="000000"/>
          <w:lang w:eastAsia="sv-SE"/>
        </w:rPr>
        <w:t>märksa</w:t>
      </w:r>
      <w:r w:rsidRPr="00C9680B">
        <w:rPr>
          <w:snapToGrid w:val="0"/>
          <w:color w:val="000000"/>
          <w:lang w:eastAsia="sv-SE"/>
        </w:rPr>
        <w:t>m</w:t>
      </w:r>
      <w:r w:rsidRPr="00C9680B">
        <w:rPr>
          <w:snapToGrid w:val="0"/>
          <w:color w:val="000000"/>
          <w:lang w:eastAsia="sv-SE"/>
        </w:rPr>
        <w:t>mas och åtgärdas.</w:t>
      </w:r>
    </w:p>
    <w:p w:rsidR="001C7BF9" w:rsidRPr="00C9680B" w:rsidRDefault="001C7BF9">
      <w:r w:rsidRPr="00C9680B">
        <w:t>Lägre trösklar för företagande skulle också göra det enklare för många kvi</w:t>
      </w:r>
      <w:r w:rsidRPr="00C9680B">
        <w:t>n</w:t>
      </w:r>
      <w:r w:rsidRPr="00C9680B">
        <w:t xml:space="preserve">nor och invandrare inom tjänstesektorna att förverkliga sina idéer om hur verksamheter kan förändras. Dessa lättnader är generella men skulle särskilt gynna sådant företagande. </w:t>
      </w:r>
    </w:p>
    <w:p w:rsidR="001C7BF9" w:rsidRPr="00C9680B" w:rsidRDefault="001C7BF9">
      <w:pPr>
        <w:pStyle w:val="Normaltindrag"/>
      </w:pPr>
      <w:r w:rsidRPr="00C9680B">
        <w:t>Här återstår ännu mycket att göra i Sverige vad gäller sänkta skatter, enkl</w:t>
      </w:r>
      <w:r w:rsidRPr="00C9680B">
        <w:t>a</w:t>
      </w:r>
      <w:r w:rsidRPr="00C9680B">
        <w:t>re regler och tillgång till riskkapital.</w:t>
      </w:r>
    </w:p>
    <w:p w:rsidR="001C7BF9" w:rsidRPr="00C9680B" w:rsidRDefault="001C7BF9">
      <w:pPr>
        <w:pStyle w:val="Rubrik2b"/>
        <w:outlineLvl w:val="0"/>
      </w:pPr>
      <w:bookmarkStart w:id="694" w:name="_Toc498910895"/>
      <w:r w:rsidRPr="00C9680B">
        <w:t>Valfrihet för barnfamiljer gör livet lättare</w:t>
      </w:r>
      <w:bookmarkEnd w:id="694"/>
    </w:p>
    <w:p w:rsidR="001C7BF9" w:rsidRPr="00C9680B" w:rsidRDefault="001C7BF9">
      <w:r w:rsidRPr="00C9680B">
        <w:t>I ett levande och vitalt samhälle måste alla, såväl kvinnor som män, få mö</w:t>
      </w:r>
      <w:r w:rsidRPr="00C9680B">
        <w:t>j</w:t>
      </w:r>
      <w:r w:rsidRPr="00C9680B">
        <w:t>lighet att växa som människor. Grundläggande är att barnens behov av o</w:t>
      </w:r>
      <w:r w:rsidRPr="00C9680B">
        <w:t>m</w:t>
      </w:r>
      <w:r w:rsidRPr="00C9680B">
        <w:t>sorg och trygghet tillgodoses. För föräldrar måste det i sin tur vara möjligt att förena yrkesambitioner och ansvar för familjen. Det ställer krav på en fami</w:t>
      </w:r>
      <w:r w:rsidRPr="00C9680B">
        <w:t>l</w:t>
      </w:r>
      <w:r w:rsidRPr="00C9680B">
        <w:t>jepolitik som anpassar sig till de enskilda människornas önskemål och till familjernas olika behov. Inom barnomsorgen måste därför finnas utrymme för många olika alternativ.</w:t>
      </w:r>
    </w:p>
    <w:p w:rsidR="001C7BF9" w:rsidRPr="00C9680B" w:rsidRDefault="001C7BF9">
      <w:pPr>
        <w:pStyle w:val="Normaltindrag"/>
      </w:pPr>
      <w:r w:rsidRPr="00C9680B">
        <w:t>Våra partier har format en gemensam familjepolitik som tar sin utgång</w:t>
      </w:r>
      <w:r w:rsidRPr="00C9680B">
        <w:t>s</w:t>
      </w:r>
      <w:r w:rsidRPr="00C9680B">
        <w:t>punkt i barnens och familjens behov. Där regeringens maxtaxa styr och ställer och tvingar föräldrarna att välja en viss form av barnomsorg vill vi i stället ge självbestämmande till föräldrarna. De har bäst möjlighet att avgöra hur tid och resurser skall fördelas. Vårt förslag omfattar alla barn. Det ger större valfrihet och är rättvisare än regeringens maxtaxeförslag. Familjen skall fritt ku</w:t>
      </w:r>
      <w:r w:rsidRPr="00C9680B">
        <w:t>n</w:t>
      </w:r>
      <w:r w:rsidRPr="00C9680B">
        <w:t>na välja mellan att anlita barnomsorg i kommunal eller annan regi.</w:t>
      </w:r>
    </w:p>
    <w:p w:rsidR="001C7BF9" w:rsidRPr="00C9680B" w:rsidRDefault="001C7BF9">
      <w:pPr>
        <w:pStyle w:val="Normaltindrag"/>
      </w:pPr>
      <w:r w:rsidRPr="00C9680B">
        <w:t>Vårt gemensamma förslag stärker småbarnsföräldra</w:t>
      </w:r>
      <w:r w:rsidRPr="00C9680B">
        <w:t>rnas – kvinnors såväl som mäns – ställning på arbetsmarknaden genom att ge större möjlighet till flexibilitet. Det blir lättare att dela på a</w:t>
      </w:r>
      <w:r w:rsidRPr="00C9680B">
        <w:t>n</w:t>
      </w:r>
      <w:r w:rsidRPr="00C9680B">
        <w:t>svaret för barnen.</w:t>
      </w:r>
    </w:p>
    <w:p w:rsidR="001C7BF9" w:rsidRPr="00C9680B" w:rsidRDefault="001C7BF9">
      <w:pPr>
        <w:pStyle w:val="Normaltindrag"/>
      </w:pPr>
      <w:r w:rsidRPr="00C9680B">
        <w:t>Vi anser att en ökad kvalitet och valfrihet i barnomsorgen uppnås bäst om ekonomiskt stöd går direkt till föräldrarna i stället för till kommunen. Vår politik för barnomsorgen innehåller tre fö</w:t>
      </w:r>
      <w:r w:rsidRPr="00C9680B">
        <w:t>r</w:t>
      </w:r>
      <w:r w:rsidRPr="00C9680B">
        <w:t>slag:</w:t>
      </w:r>
    </w:p>
    <w:p w:rsidR="001C7BF9" w:rsidRPr="00C9680B" w:rsidRDefault="001C7BF9">
      <w:pPr>
        <w:numPr>
          <w:ilvl w:val="0"/>
          <w:numId w:val="1290"/>
        </w:numPr>
      </w:pPr>
      <w:r w:rsidRPr="00C9680B">
        <w:t>Barnomsorgskonto. Omfattar alla barn och ger föräldrarna möjlighet att välja barnomsorg, minska sin arbetstid eller stanna hemma under en del av barns uppväxt.</w:t>
      </w:r>
    </w:p>
    <w:p w:rsidR="001C7BF9" w:rsidRPr="00C9680B" w:rsidRDefault="001C7BF9">
      <w:pPr>
        <w:numPr>
          <w:ilvl w:val="0"/>
          <w:numId w:val="1290"/>
        </w:numPr>
      </w:pPr>
      <w:r w:rsidRPr="00C9680B">
        <w:t>Avdragsrätt för styrkta barnomsorgskostnader. Föräldrarna skall ha rätt att fritt välja barnomsorg. Styrkta barnomsorgskostnader skall vara a</w:t>
      </w:r>
      <w:r w:rsidRPr="00C9680B">
        <w:t>v</w:t>
      </w:r>
      <w:r w:rsidRPr="00C9680B">
        <w:t>drag</w:t>
      </w:r>
      <w:r w:rsidRPr="00C9680B">
        <w:t>s</w:t>
      </w:r>
      <w:r w:rsidRPr="00C9680B">
        <w:t>gilla i den kommunala beskattningen.</w:t>
      </w:r>
    </w:p>
    <w:p w:rsidR="001C7BF9" w:rsidRPr="00C9680B" w:rsidRDefault="001C7BF9">
      <w:pPr>
        <w:numPr>
          <w:ilvl w:val="0"/>
          <w:numId w:val="1290"/>
        </w:numPr>
      </w:pPr>
      <w:r w:rsidRPr="00C9680B">
        <w:t>Etableringsfrihet för ny barnomsorg. Garanterar mångfald och ger valfr</w:t>
      </w:r>
      <w:r w:rsidRPr="00C9680B">
        <w:t>i</w:t>
      </w:r>
      <w:r w:rsidRPr="00C9680B">
        <w:t>heten ett reellt innehåll.</w:t>
      </w:r>
    </w:p>
    <w:p w:rsidR="001C7BF9" w:rsidRPr="00C9680B" w:rsidRDefault="001C7BF9">
      <w:r w:rsidRPr="00C9680B">
        <w:t>Med våra förslag kommer föräldrarnas önskemål att spela huvudrollen. Exakt vilka nya alternativ, tjänster och verksamheter som kommer att växa fram går inte att säga i förväg med tanke på den dynamik förslagen leder till. Men att de kommer är givet, liksom att de underlättar för föräldrarna att räcka till för barnen och att få livet att gå ihop.</w:t>
      </w:r>
    </w:p>
    <w:p w:rsidR="001C7BF9" w:rsidRPr="00C9680B" w:rsidRDefault="001C7BF9">
      <w:pPr>
        <w:pStyle w:val="Rubrik2b"/>
        <w:outlineLvl w:val="0"/>
      </w:pPr>
      <w:bookmarkStart w:id="695" w:name="_Toc498910896"/>
      <w:r w:rsidRPr="00C9680B">
        <w:t>Konkurrens och mångfald för en bättre välfärd</w:t>
      </w:r>
      <w:bookmarkEnd w:id="695"/>
    </w:p>
    <w:p w:rsidR="001C7BF9" w:rsidRPr="00C9680B" w:rsidRDefault="001C7BF9">
      <w:pPr>
        <w:pStyle w:val="Rubrik4"/>
        <w:spacing w:before="125"/>
        <w:rPr>
          <w:noProof w:val="0"/>
        </w:rPr>
      </w:pPr>
      <w:bookmarkStart w:id="696" w:name="_Toc498910897"/>
      <w:r w:rsidRPr="00C9680B">
        <w:rPr>
          <w:noProof w:val="0"/>
        </w:rPr>
        <w:t>Människor skall få välja själva</w:t>
      </w:r>
      <w:bookmarkEnd w:id="696"/>
    </w:p>
    <w:p w:rsidR="001C7BF9" w:rsidRPr="00C9680B" w:rsidRDefault="001C7BF9">
      <w:r w:rsidRPr="00C9680B">
        <w:t>Konkurrens på lika villkor är det bästa verktyget för att tillgodose kons</w:t>
      </w:r>
      <w:r w:rsidRPr="00C9680B">
        <w:t>u</w:t>
      </w:r>
      <w:r w:rsidRPr="00C9680B">
        <w:t>menternas efterfrågan och hushålla med begränsade resurser.</w:t>
      </w:r>
    </w:p>
    <w:p w:rsidR="001C7BF9" w:rsidRPr="00C9680B" w:rsidRDefault="001C7BF9">
      <w:pPr>
        <w:pStyle w:val="Normaltindrag"/>
      </w:pPr>
      <w:r w:rsidRPr="00C9680B">
        <w:t>Det är ingen tillfällighet att det är marknadsekonomier med hög grad av konkurrens som uppvisar den bästa ekonomin och högsta välfärden medan planekonomier övertygande visat sin oförmåga att tillgodose invånarnas berättig</w:t>
      </w:r>
      <w:r w:rsidRPr="00C9680B">
        <w:t>a</w:t>
      </w:r>
      <w:r w:rsidRPr="00C9680B">
        <w:t>de krav och önskemål.</w:t>
      </w:r>
    </w:p>
    <w:p w:rsidR="001C7BF9" w:rsidRPr="00C9680B" w:rsidRDefault="001C7BF9">
      <w:pPr>
        <w:pStyle w:val="Normaltindrag"/>
      </w:pPr>
      <w:r w:rsidRPr="00C9680B">
        <w:t>Inte minst på tjänsteområdet sker förändringar. Det som varit mest mär</w:t>
      </w:r>
      <w:r w:rsidRPr="00C9680B">
        <w:t>k</w:t>
      </w:r>
      <w:r w:rsidRPr="00C9680B">
        <w:t>bart för den enskilde konsumenten under senare år är följderna av avregl</w:t>
      </w:r>
      <w:r w:rsidRPr="00C9680B">
        <w:t>e</w:t>
      </w:r>
      <w:r w:rsidRPr="00C9680B">
        <w:t>ringarna på finans-, el- och telemarknaderna, åtgärder som lockat fram en mångfald av nya tjänster och pressat priserna. Dessa förändringar mötte då starkt socialdemokratiskt motstånd men förefaller nu vara allmänt accepter</w:t>
      </w:r>
      <w:r w:rsidRPr="00C9680B">
        <w:t>a</w:t>
      </w:r>
      <w:r w:rsidRPr="00C9680B">
        <w:t>de. Konkurrenssituationen på tjänsteområdet är ofta annorlunda än för varor men är för den skull inte en gång för alla given. Att åstadkomma en väl fu</w:t>
      </w:r>
      <w:r w:rsidRPr="00C9680B">
        <w:t>n</w:t>
      </w:r>
      <w:r w:rsidRPr="00C9680B">
        <w:t>gerande konkurrens på tjänsteområdet är dock sannolikt mera ber</w:t>
      </w:r>
      <w:r w:rsidRPr="00C9680B">
        <w:t>oende av politiska beslut än vad som gäller för varor.</w:t>
      </w:r>
    </w:p>
    <w:p w:rsidR="001C7BF9" w:rsidRPr="00C9680B" w:rsidRDefault="001C7BF9">
      <w:pPr>
        <w:pStyle w:val="Normaltindrag"/>
      </w:pPr>
      <w:r w:rsidRPr="00C9680B">
        <w:t>Det som åstadkommits på t.ex. tele- och elsidan visar vad en kombination av goda politiska beslut och teknisk utveckling kan leda till.</w:t>
      </w:r>
    </w:p>
    <w:p w:rsidR="001C7BF9" w:rsidRPr="00C9680B" w:rsidRDefault="001C7BF9">
      <w:pPr>
        <w:pStyle w:val="Normaltindrag"/>
      </w:pPr>
      <w:r w:rsidRPr="00C9680B">
        <w:t>I framtiden kommer det sannolikt att råda stor efterfrågan på tjänster där det offentliga i dag i hög grad har en monopolställning: utbildning, vård, omsorg m.m. Den offentliga verksamheten svarar för närmare 30 % av sy</w:t>
      </w:r>
      <w:r w:rsidRPr="00C9680B">
        <w:t>s</w:t>
      </w:r>
      <w:r w:rsidRPr="00C9680B">
        <w:t>selsättningen och 20–25 % av BNP. Häri ingår renodlad myndighetsverksa</w:t>
      </w:r>
      <w:r w:rsidRPr="00C9680B">
        <w:t>m</w:t>
      </w:r>
      <w:r w:rsidRPr="00C9680B">
        <w:t>het som är svår att tänka sig i annan regi än den offentliga. Men betydande delar av den verksamhet som finansieras med skatter produceras också i o</w:t>
      </w:r>
      <w:r w:rsidRPr="00C9680B">
        <w:t>f</w:t>
      </w:r>
      <w:r w:rsidRPr="00C9680B">
        <w:t>fentliga monopol, vilket inte alls är nödvändigt. Våra partier eftersträvar en mångfald i produktionen som är mycket väl förenlig med strävanden att tjänsterna skall vara tillgängliga för alla till rimlig kostnad. Privata monopol är självfallet inte heller eftersträvansvärda.</w:t>
      </w:r>
    </w:p>
    <w:p w:rsidR="001C7BF9" w:rsidRPr="00C9680B" w:rsidRDefault="001C7BF9">
      <w:pPr>
        <w:pStyle w:val="Normaltindrag"/>
      </w:pPr>
      <w:r w:rsidRPr="00C9680B">
        <w:t>Den socialdemo</w:t>
      </w:r>
      <w:r w:rsidRPr="00C9680B">
        <w:t>kratiska oviljan att tillåta andra producenter leder till att medborgarna får en sämre välfärd än vad som annars skulle kunna vara fallet. Erfarenheten visar att när andra än t.ex. kommunen får möjlighet att produc</w:t>
      </w:r>
      <w:r w:rsidRPr="00C9680B">
        <w:t>e</w:t>
      </w:r>
      <w:r w:rsidRPr="00C9680B">
        <w:t>ra välfärdstjänster ökar mångfalden och tillfredsställelsen. Välfärd innebär inte att standardiserade tjänster skall tillhandahållas utan att den enskildes behov och efterfrågan skall tillgodoses.</w:t>
      </w:r>
    </w:p>
    <w:p w:rsidR="001C7BF9" w:rsidRPr="00C9680B" w:rsidRDefault="001C7BF9">
      <w:pPr>
        <w:pStyle w:val="Normaltindrag"/>
      </w:pPr>
      <w:r w:rsidRPr="00C9680B">
        <w:t>Förutom att konsumenterna får bättre tjänster när det finns flera prod</w:t>
      </w:r>
      <w:r w:rsidRPr="00C9680B">
        <w:t>u</w:t>
      </w:r>
      <w:r w:rsidRPr="00C9680B">
        <w:t>center är detta också gynnsamt för de anställda. En bredare arbetsmarknad skulle förbättra kvinnors situation. Många kvinnor arbetar i offentliga mon</w:t>
      </w:r>
      <w:r w:rsidRPr="00C9680B">
        <w:t>o</w:t>
      </w:r>
      <w:r w:rsidRPr="00C9680B">
        <w:t>polverksamheter. De har i praktiken inga möjligheter att välja mellan olika arbetsgivare. Det skulle ge större möjlighet till en bättre löneutveckling och större arbetstillfredsställelse. Olika undersökningar har visat på en större arbetstillfredsställelse när den anställde fått flera arbetsgivare att välja eme</w:t>
      </w:r>
      <w:r w:rsidRPr="00C9680B">
        <w:t>l</w:t>
      </w:r>
      <w:r w:rsidRPr="00C9680B">
        <w:t>lan. En större arbetstillfredsställelse bland de</w:t>
      </w:r>
      <w:r w:rsidRPr="00C9680B">
        <w:t xml:space="preserve"> anställda kommer även patienter och elever till godo.</w:t>
      </w:r>
    </w:p>
    <w:p w:rsidR="001C7BF9" w:rsidRPr="00C9680B" w:rsidRDefault="001C7BF9">
      <w:pPr>
        <w:pStyle w:val="Normaltindrag"/>
      </w:pPr>
      <w:r w:rsidRPr="00C9680B">
        <w:t>Den största förbättring som skulle kunna ske på konkurrensområdet är s</w:t>
      </w:r>
      <w:r w:rsidRPr="00C9680B">
        <w:t>å</w:t>
      </w:r>
      <w:r w:rsidRPr="00C9680B">
        <w:t>ledes att det blir ett ökat utrymme för flera producenter än det offentliga och att de offentliga monopolen avvecklas.</w:t>
      </w:r>
    </w:p>
    <w:p w:rsidR="001C7BF9" w:rsidRPr="00C9680B" w:rsidRDefault="001C7BF9">
      <w:pPr>
        <w:pStyle w:val="Normaltindrag"/>
      </w:pPr>
      <w:r w:rsidRPr="00C9680B">
        <w:t>En näraliggande fråga är förekomsten av offentliga bolag. En fungerande konkurrens är konkurrens på lika villkor. Men ett privat företag, kanske oftast ett småföretag, kan inte på likvärdiga villkor konkurrera med ett kommunalt bolag. Det finns exempel på kommunala bolag som använt sin gynnade stäl</w:t>
      </w:r>
      <w:r w:rsidRPr="00C9680B">
        <w:t>l</w:t>
      </w:r>
      <w:r w:rsidRPr="00C9680B">
        <w:t>ning till att slå ut normalt fungerande privata företag.</w:t>
      </w:r>
    </w:p>
    <w:p w:rsidR="001C7BF9" w:rsidRPr="00C9680B" w:rsidRDefault="001C7BF9">
      <w:pPr>
        <w:pStyle w:val="Rubrik4"/>
        <w:rPr>
          <w:noProof w:val="0"/>
        </w:rPr>
      </w:pPr>
      <w:bookmarkStart w:id="697" w:name="_Toc498910898"/>
      <w:r w:rsidRPr="00C9680B">
        <w:rPr>
          <w:noProof w:val="0"/>
        </w:rPr>
        <w:t>Offentlig upphandling</w:t>
      </w:r>
      <w:bookmarkEnd w:id="697"/>
    </w:p>
    <w:p w:rsidR="001C7BF9" w:rsidRPr="00C9680B" w:rsidRDefault="001C7BF9">
      <w:r w:rsidRPr="00C9680B">
        <w:t>Den sammanlagda offentliga upphandlingsvolymen uppgår till ca 400 milja</w:t>
      </w:r>
      <w:r w:rsidRPr="00C9680B">
        <w:t>r</w:t>
      </w:r>
      <w:r w:rsidRPr="00C9680B">
        <w:t>der kronor per år. Det motsvarar ca 20 % av värdet av BNP. Vi anser därför att det är av stort samhällsekonomiskt intresse att den offentliga upphandlin</w:t>
      </w:r>
      <w:r w:rsidRPr="00C9680B">
        <w:t>g</w:t>
      </w:r>
      <w:r w:rsidRPr="00C9680B">
        <w:t>en fungerar väl. En effektiv upphandling kan verksamt bidra till besparingar i de offentliga utgifterna. Lagen om offentlig upphandling har bidragit till en nettobesparing på 3,3 miljarder kronor per år. Besparingen har kunnat ske med bibehållen kvalitet.</w:t>
      </w:r>
    </w:p>
    <w:p w:rsidR="001C7BF9" w:rsidRPr="00C9680B" w:rsidRDefault="001C7BF9">
      <w:pPr>
        <w:pStyle w:val="Normaltindrag"/>
      </w:pPr>
      <w:r w:rsidRPr="00C9680B">
        <w:t>Det finns emellertid en stor och ännu inte utnyttjad besparingspotential som enligt Nämnden för offent</w:t>
      </w:r>
      <w:r w:rsidRPr="00C9680B">
        <w:t>lig upphandling uppgår till ytterligare 15–20 miljarder kronor per år. Siffrorna belyser den samhällsekonomiska betydelsen av en effektiv offentlig upphandling liksom också vikten av att en ökande andel av den offentliga sektorns verksamhet utsätts för ko</w:t>
      </w:r>
      <w:r w:rsidRPr="00C9680B">
        <w:t>n</w:t>
      </w:r>
      <w:r w:rsidRPr="00C9680B">
        <w:t>kurrens.</w:t>
      </w:r>
    </w:p>
    <w:p w:rsidR="001C7BF9" w:rsidRPr="00C9680B" w:rsidRDefault="001C7BF9">
      <w:pPr>
        <w:pStyle w:val="Normaltindrag"/>
      </w:pPr>
      <w:r w:rsidRPr="00C9680B">
        <w:t xml:space="preserve">Vi ser med tillfredsställelse på att ett antal frågor rörande upphandling är under övervägande av Upphandlingskommittén. Idéerna om affärsmässighet, konkurrens och icke-diskriminering som ligger till grund för lagstiftningen bör förverkligas. Det </w:t>
      </w:r>
      <w:r w:rsidRPr="00C9680B">
        <w:t>är ytterst angeläget att åstadkomma en skärpt lagstif</w:t>
      </w:r>
      <w:r w:rsidRPr="00C9680B">
        <w:t>t</w:t>
      </w:r>
      <w:r w:rsidRPr="00C9680B">
        <w:t>ning med effektiva sanktionsmöjligheter, vidgade möjligheter att överklaga felaktiga beslut, talerätt för sammanslutningar av företagare samt en myndi</w:t>
      </w:r>
      <w:r w:rsidRPr="00C9680B">
        <w:t>g</w:t>
      </w:r>
      <w:r w:rsidRPr="00C9680B">
        <w:t>het för tillsyn över lagens efterlevnad som har erforderliga resurser, initiati</w:t>
      </w:r>
      <w:r w:rsidRPr="00C9680B">
        <w:t>v</w:t>
      </w:r>
      <w:r w:rsidRPr="00C9680B">
        <w:t>rätt och befogenheter.</w:t>
      </w:r>
    </w:p>
    <w:p w:rsidR="001C7BF9" w:rsidRPr="00C9680B" w:rsidRDefault="001C7BF9">
      <w:pPr>
        <w:pStyle w:val="Normaltindrag"/>
      </w:pPr>
      <w:r w:rsidRPr="00C9680B">
        <w:t>Det är också viktigt att översynen leder fram till regelförenklingar i up</w:t>
      </w:r>
      <w:r w:rsidRPr="00C9680B">
        <w:t>p</w:t>
      </w:r>
      <w:r w:rsidRPr="00C9680B">
        <w:t>handlingar under tröskelvärdena och att man klargör hur man i upphandlingar kan underlätta för små och medelstora företag att delta. Det är även av vikt att Upphandlingskommitténs översyn klargör under vilka förutsättningar mi</w:t>
      </w:r>
      <w:r w:rsidRPr="00C9680B">
        <w:t>l</w:t>
      </w:r>
      <w:r w:rsidRPr="00C9680B">
        <w:t>jökrav får ställas vid upphandling. Vi anser att det bör vara möjligt att ställa krav på att produkter som köps in uppfyller kriterier för miljömärkning.Vi anser vidare att det är angeläget att kraftansträngningar görs för att åsta</w:t>
      </w:r>
      <w:r w:rsidRPr="00C9680B">
        <w:t>d</w:t>
      </w:r>
      <w:r w:rsidRPr="00C9680B">
        <w:t>komma en bättre fungerande offentlig upphandling äve</w:t>
      </w:r>
      <w:r w:rsidRPr="00C9680B">
        <w:t>n i andra EU-länder. Kommittén bör också lägga fram förslag som säkerställer att besparingsp</w:t>
      </w:r>
      <w:r w:rsidRPr="00C9680B">
        <w:t>o</w:t>
      </w:r>
      <w:r w:rsidRPr="00C9680B">
        <w:t>tentialen utnyttjas genom en mer omfattande offentlig upphandling i stat, kommuner och land</w:t>
      </w:r>
      <w:r w:rsidRPr="00C9680B">
        <w:t>s</w:t>
      </w:r>
      <w:r w:rsidRPr="00C9680B">
        <w:t>ting.</w:t>
      </w:r>
    </w:p>
    <w:p w:rsidR="001C7BF9" w:rsidRPr="00C9680B" w:rsidRDefault="001C7BF9">
      <w:pPr>
        <w:pStyle w:val="Rubrik4"/>
        <w:rPr>
          <w:noProof w:val="0"/>
        </w:rPr>
      </w:pPr>
      <w:bookmarkStart w:id="698" w:name="_Toc498910899"/>
      <w:r w:rsidRPr="00C9680B">
        <w:rPr>
          <w:noProof w:val="0"/>
        </w:rPr>
        <w:t>Konkurrensen svag i Sverige – men bättre med EU-medlemskapet</w:t>
      </w:r>
      <w:bookmarkEnd w:id="698"/>
    </w:p>
    <w:p w:rsidR="001C7BF9" w:rsidRPr="00C9680B" w:rsidRDefault="001C7BF9">
      <w:r w:rsidRPr="00C9680B">
        <w:t xml:space="preserve">Den dåligt fungerande eller helt obefintliga konkurrensen inom de offentliga tjänsternas område är det största konkurrensproblemet i Sverige. Men även för övriga varor och tjänster är konkurrensen för svag. Prisnivån i Sverige ligger fortfarande drygt 15 % över motsvarande nivå bland OECD-länderna. Det har dock skett en relativ förbättring under 1990-talet vilket hänger ihop med de ovan redovisade avregleringsåtgärderna samt troligen också med EU-medlemskapet. </w:t>
      </w:r>
    </w:p>
    <w:p w:rsidR="001C7BF9" w:rsidRPr="00C9680B" w:rsidRDefault="001C7BF9">
      <w:pPr>
        <w:pStyle w:val="Normaltindrag"/>
      </w:pPr>
      <w:r w:rsidRPr="00C9680B">
        <w:t>Konkurrensverket säger i sin rapport om EU-medlemskapet:</w:t>
      </w:r>
    </w:p>
    <w:p w:rsidR="001C7BF9" w:rsidRPr="00C9680B" w:rsidRDefault="001C7BF9">
      <w:pPr>
        <w:pStyle w:val="Normaltindrag"/>
      </w:pPr>
    </w:p>
    <w:p w:rsidR="001C7BF9" w:rsidRPr="00C9680B" w:rsidRDefault="001C7BF9">
      <w:pPr>
        <w:pStyle w:val="CitatIndrag"/>
      </w:pPr>
      <w:r w:rsidRPr="00C9680B">
        <w:t>Efter fem år av medlemskap i unionen kan konstateras att viktiga e</w:t>
      </w:r>
      <w:r w:rsidRPr="00C9680B">
        <w:t>f</w:t>
      </w:r>
      <w:r w:rsidRPr="00C9680B">
        <w:t>fekter som är positiva för konsumenterna har inträffat. En av grundta</w:t>
      </w:r>
      <w:r w:rsidRPr="00C9680B">
        <w:t>n</w:t>
      </w:r>
      <w:r w:rsidRPr="00C9680B">
        <w:t>karna med den inre marknaden är att få till stånd en ökad konkurrens och därmed ökad ekonomisk integration och tillväxt till gagn för både företag och konsumenter. Utvärderingar av den inre marknaden visar på positiva effekter för konkurrens och näringslivets förnyelse. Företagens ”hemmamarknader” har blivit större och såväl den faktiska som den p</w:t>
      </w:r>
      <w:r w:rsidRPr="00C9680B">
        <w:t>o</w:t>
      </w:r>
      <w:r w:rsidRPr="00C9680B">
        <w:t>tentiella konkurrensen har ökat på många marknader. I ett konsumen</w:t>
      </w:r>
      <w:r w:rsidRPr="00C9680B">
        <w:t>t</w:t>
      </w:r>
      <w:r w:rsidRPr="00C9680B">
        <w:t>perspektiv handlar den i</w:t>
      </w:r>
      <w:r w:rsidRPr="00C9680B">
        <w:t>nre marknaden om ökat utbud, större valfrihet och lägre priser. Även om priserna relativt andra länder ligger högt i Sv</w:t>
      </w:r>
      <w:r w:rsidRPr="00C9680B">
        <w:t>e</w:t>
      </w:r>
      <w:r w:rsidRPr="00C9680B">
        <w:t>rige har de pressats tillbaka under senare år.</w:t>
      </w:r>
    </w:p>
    <w:p w:rsidR="001C7BF9" w:rsidRPr="00C9680B" w:rsidRDefault="001C7BF9"/>
    <w:p w:rsidR="001C7BF9" w:rsidRPr="00C9680B" w:rsidRDefault="001C7BF9">
      <w:r w:rsidRPr="00C9680B">
        <w:t>Som framgår av tabell 1 har det skett ett närmande mot övriga länder sedan EU-medlemskapet.</w:t>
      </w:r>
    </w:p>
    <w:p w:rsidR="001C7BF9" w:rsidRPr="00C9680B" w:rsidRDefault="001C7BF9">
      <w:pPr>
        <w:pStyle w:val="FiU1tabellrubrik2000"/>
        <w:spacing w:after="20"/>
        <w:outlineLvl w:val="0"/>
      </w:pPr>
      <w:r w:rsidRPr="00C9680B">
        <w:t>Tabell 1. Prisnivån i Sverige och OECD 1995–1999</w:t>
      </w:r>
    </w:p>
    <w:p w:rsidR="001C7BF9" w:rsidRPr="00C9680B" w:rsidRDefault="001C7BF9">
      <w:pPr>
        <w:pStyle w:val="Tabell"/>
        <w:spacing w:after="40" w:line="190" w:lineRule="exact"/>
        <w:outlineLvl w:val="0"/>
        <w:rPr>
          <w:sz w:val="14"/>
        </w:rPr>
      </w:pPr>
      <w:r w:rsidRPr="00C9680B">
        <w:rPr>
          <w:sz w:val="14"/>
        </w:rPr>
        <w:t>Index OECD = 100</w:t>
      </w:r>
    </w:p>
    <w:tbl>
      <w:tblPr>
        <w:tblW w:w="0" w:type="auto"/>
        <w:tblInd w:w="-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04"/>
        <w:gridCol w:w="1004"/>
        <w:gridCol w:w="1004"/>
        <w:gridCol w:w="1004"/>
        <w:gridCol w:w="1004"/>
        <w:gridCol w:w="1004"/>
      </w:tblGrid>
      <w:tr w:rsidR="00000000" w:rsidRPr="00C9680B">
        <w:tblPrEx>
          <w:tblCellMar>
            <w:top w:w="0" w:type="dxa"/>
            <w:bottom w:w="0" w:type="dxa"/>
          </w:tblCellMar>
        </w:tblPrEx>
        <w:tc>
          <w:tcPr>
            <w:tcW w:w="1004" w:type="dxa"/>
            <w:tcBorders>
              <w:bottom w:val="nil"/>
            </w:tcBorders>
          </w:tcPr>
          <w:p w:rsidR="001C7BF9" w:rsidRPr="00C9680B" w:rsidRDefault="001C7BF9">
            <w:pPr>
              <w:pStyle w:val="Fotnotstext"/>
              <w:spacing w:before="62" w:line="250" w:lineRule="atLeast"/>
            </w:pPr>
          </w:p>
        </w:tc>
        <w:tc>
          <w:tcPr>
            <w:tcW w:w="1004" w:type="dxa"/>
            <w:tcBorders>
              <w:bottom w:val="nil"/>
            </w:tcBorders>
          </w:tcPr>
          <w:p w:rsidR="001C7BF9" w:rsidRPr="00C9680B" w:rsidRDefault="001C7BF9">
            <w:pPr>
              <w:rPr>
                <w:b/>
                <w:sz w:val="17"/>
              </w:rPr>
            </w:pPr>
            <w:r w:rsidRPr="00C9680B">
              <w:rPr>
                <w:b/>
                <w:sz w:val="17"/>
              </w:rPr>
              <w:t xml:space="preserve"> 1995</w:t>
            </w:r>
          </w:p>
        </w:tc>
        <w:tc>
          <w:tcPr>
            <w:tcW w:w="1004" w:type="dxa"/>
            <w:tcBorders>
              <w:bottom w:val="nil"/>
            </w:tcBorders>
          </w:tcPr>
          <w:p w:rsidR="001C7BF9" w:rsidRPr="00C9680B" w:rsidRDefault="001C7BF9">
            <w:pPr>
              <w:rPr>
                <w:b/>
                <w:sz w:val="17"/>
              </w:rPr>
            </w:pPr>
            <w:r w:rsidRPr="00C9680B">
              <w:rPr>
                <w:b/>
                <w:sz w:val="17"/>
              </w:rPr>
              <w:t xml:space="preserve"> 1996</w:t>
            </w:r>
          </w:p>
        </w:tc>
        <w:tc>
          <w:tcPr>
            <w:tcW w:w="1004" w:type="dxa"/>
            <w:tcBorders>
              <w:bottom w:val="nil"/>
            </w:tcBorders>
          </w:tcPr>
          <w:p w:rsidR="001C7BF9" w:rsidRPr="00C9680B" w:rsidRDefault="001C7BF9">
            <w:pPr>
              <w:rPr>
                <w:b/>
                <w:sz w:val="17"/>
              </w:rPr>
            </w:pPr>
            <w:r w:rsidRPr="00C9680B">
              <w:rPr>
                <w:b/>
                <w:sz w:val="17"/>
              </w:rPr>
              <w:t xml:space="preserve"> 1997</w:t>
            </w:r>
          </w:p>
        </w:tc>
        <w:tc>
          <w:tcPr>
            <w:tcW w:w="1004" w:type="dxa"/>
            <w:tcBorders>
              <w:bottom w:val="nil"/>
            </w:tcBorders>
          </w:tcPr>
          <w:p w:rsidR="001C7BF9" w:rsidRPr="00C9680B" w:rsidRDefault="001C7BF9">
            <w:pPr>
              <w:rPr>
                <w:b/>
                <w:sz w:val="17"/>
              </w:rPr>
            </w:pPr>
            <w:r w:rsidRPr="00C9680B">
              <w:rPr>
                <w:b/>
                <w:sz w:val="17"/>
              </w:rPr>
              <w:t xml:space="preserve"> 1998</w:t>
            </w:r>
          </w:p>
        </w:tc>
        <w:tc>
          <w:tcPr>
            <w:tcW w:w="1004" w:type="dxa"/>
            <w:tcBorders>
              <w:bottom w:val="nil"/>
            </w:tcBorders>
          </w:tcPr>
          <w:p w:rsidR="001C7BF9" w:rsidRPr="00C9680B" w:rsidRDefault="001C7BF9">
            <w:pPr>
              <w:rPr>
                <w:b/>
                <w:sz w:val="17"/>
              </w:rPr>
            </w:pPr>
            <w:r w:rsidRPr="00C9680B">
              <w:rPr>
                <w:b/>
                <w:sz w:val="17"/>
              </w:rPr>
              <w:t xml:space="preserve"> 1999</w:t>
            </w:r>
          </w:p>
        </w:tc>
      </w:tr>
      <w:tr w:rsidR="00000000" w:rsidRPr="00C9680B">
        <w:tblPrEx>
          <w:tblCellMar>
            <w:top w:w="0" w:type="dxa"/>
            <w:bottom w:w="0" w:type="dxa"/>
          </w:tblCellMar>
        </w:tblPrEx>
        <w:tc>
          <w:tcPr>
            <w:tcW w:w="1004" w:type="dxa"/>
            <w:tcBorders>
              <w:top w:val="single" w:sz="4" w:space="0" w:color="auto"/>
              <w:bottom w:val="single" w:sz="4" w:space="0" w:color="auto"/>
            </w:tcBorders>
          </w:tcPr>
          <w:p w:rsidR="001C7BF9" w:rsidRPr="00C9680B" w:rsidRDefault="001C7BF9">
            <w:pPr>
              <w:rPr>
                <w:sz w:val="17"/>
              </w:rPr>
            </w:pPr>
            <w:r w:rsidRPr="00C9680B">
              <w:rPr>
                <w:sz w:val="17"/>
              </w:rPr>
              <w:t>Sverige</w:t>
            </w:r>
          </w:p>
        </w:tc>
        <w:tc>
          <w:tcPr>
            <w:tcW w:w="1004" w:type="dxa"/>
            <w:tcBorders>
              <w:top w:val="single" w:sz="4" w:space="0" w:color="auto"/>
              <w:bottom w:val="single" w:sz="4" w:space="0" w:color="auto"/>
            </w:tcBorders>
          </w:tcPr>
          <w:p w:rsidR="001C7BF9" w:rsidRPr="00C9680B" w:rsidRDefault="001C7BF9">
            <w:pPr>
              <w:rPr>
                <w:sz w:val="17"/>
              </w:rPr>
            </w:pPr>
            <w:r w:rsidRPr="00C9680B">
              <w:rPr>
                <w:sz w:val="17"/>
              </w:rPr>
              <w:t xml:space="preserve"> 125</w:t>
            </w:r>
          </w:p>
        </w:tc>
        <w:tc>
          <w:tcPr>
            <w:tcW w:w="1004" w:type="dxa"/>
            <w:tcBorders>
              <w:top w:val="single" w:sz="4" w:space="0" w:color="auto"/>
              <w:bottom w:val="single" w:sz="4" w:space="0" w:color="auto"/>
            </w:tcBorders>
          </w:tcPr>
          <w:p w:rsidR="001C7BF9" w:rsidRPr="00C9680B" w:rsidRDefault="001C7BF9">
            <w:pPr>
              <w:rPr>
                <w:sz w:val="17"/>
              </w:rPr>
            </w:pPr>
            <w:r w:rsidRPr="00C9680B">
              <w:rPr>
                <w:sz w:val="17"/>
              </w:rPr>
              <w:t xml:space="preserve"> 131</w:t>
            </w:r>
          </w:p>
        </w:tc>
        <w:tc>
          <w:tcPr>
            <w:tcW w:w="1004" w:type="dxa"/>
            <w:tcBorders>
              <w:top w:val="single" w:sz="4" w:space="0" w:color="auto"/>
              <w:bottom w:val="single" w:sz="4" w:space="0" w:color="auto"/>
            </w:tcBorders>
          </w:tcPr>
          <w:p w:rsidR="001C7BF9" w:rsidRPr="00C9680B" w:rsidRDefault="001C7BF9">
            <w:pPr>
              <w:rPr>
                <w:sz w:val="17"/>
              </w:rPr>
            </w:pPr>
            <w:r w:rsidRPr="00C9680B">
              <w:rPr>
                <w:sz w:val="17"/>
              </w:rPr>
              <w:t xml:space="preserve"> 125</w:t>
            </w:r>
          </w:p>
        </w:tc>
        <w:tc>
          <w:tcPr>
            <w:tcW w:w="1004" w:type="dxa"/>
            <w:tcBorders>
              <w:top w:val="single" w:sz="4" w:space="0" w:color="auto"/>
              <w:bottom w:val="single" w:sz="4" w:space="0" w:color="auto"/>
            </w:tcBorders>
          </w:tcPr>
          <w:p w:rsidR="001C7BF9" w:rsidRPr="00C9680B" w:rsidRDefault="001C7BF9">
            <w:pPr>
              <w:rPr>
                <w:sz w:val="17"/>
              </w:rPr>
            </w:pPr>
            <w:r w:rsidRPr="00C9680B">
              <w:rPr>
                <w:sz w:val="17"/>
              </w:rPr>
              <w:t xml:space="preserve"> 123</w:t>
            </w:r>
          </w:p>
        </w:tc>
        <w:tc>
          <w:tcPr>
            <w:tcW w:w="1004" w:type="dxa"/>
            <w:tcBorders>
              <w:top w:val="single" w:sz="4" w:space="0" w:color="auto"/>
              <w:bottom w:val="single" w:sz="4" w:space="0" w:color="auto"/>
            </w:tcBorders>
          </w:tcPr>
          <w:p w:rsidR="001C7BF9" w:rsidRPr="00C9680B" w:rsidRDefault="001C7BF9">
            <w:pPr>
              <w:rPr>
                <w:sz w:val="17"/>
              </w:rPr>
            </w:pPr>
            <w:r w:rsidRPr="00C9680B">
              <w:rPr>
                <w:sz w:val="17"/>
              </w:rPr>
              <w:t xml:space="preserve"> 117</w:t>
            </w:r>
          </w:p>
        </w:tc>
      </w:tr>
    </w:tbl>
    <w:p w:rsidR="001C7BF9" w:rsidRPr="00C9680B" w:rsidRDefault="001C7BF9">
      <w:pPr>
        <w:pStyle w:val="Fotnotstext"/>
      </w:pPr>
    </w:p>
    <w:p w:rsidR="001C7BF9" w:rsidRPr="00C9680B" w:rsidRDefault="001C7BF9">
      <w:pPr>
        <w:pStyle w:val="Fotnotstext"/>
        <w:outlineLvl w:val="0"/>
      </w:pPr>
      <w:r w:rsidRPr="00C9680B">
        <w:t>Källor: Konkurrensverket och OECD</w:t>
      </w:r>
    </w:p>
    <w:p w:rsidR="001C7BF9" w:rsidRPr="00C9680B" w:rsidRDefault="001C7BF9">
      <w:pPr>
        <w:pStyle w:val="Fotnotstextindrag"/>
        <w:spacing w:line="200" w:lineRule="exact"/>
        <w:rPr>
          <w:sz w:val="20"/>
        </w:rPr>
      </w:pPr>
    </w:p>
    <w:p w:rsidR="001C7BF9" w:rsidRPr="00C9680B" w:rsidRDefault="001C7BF9">
      <w:r w:rsidRPr="00C9680B">
        <w:t>Konkurrensverkets undersökningar visar att det finns en rad konkurrenshi</w:t>
      </w:r>
      <w:r w:rsidRPr="00C9680B">
        <w:t>n</w:t>
      </w:r>
      <w:r w:rsidRPr="00C9680B">
        <w:t>der. I verkets stora rapport i början av året föreslogs en rad åtgärder som spände över förändringar i konkurrenslagstiftningen, regelreformering till renare spelregler mellan privata och offentliga aktörer.</w:t>
      </w:r>
    </w:p>
    <w:p w:rsidR="001C7BF9" w:rsidRPr="00C9680B" w:rsidRDefault="001C7BF9">
      <w:pPr>
        <w:pStyle w:val="Rubrik4"/>
        <w:rPr>
          <w:noProof w:val="0"/>
        </w:rPr>
      </w:pPr>
      <w:bookmarkStart w:id="699" w:name="_Toc498910900"/>
      <w:r w:rsidRPr="00C9680B">
        <w:rPr>
          <w:noProof w:val="0"/>
        </w:rPr>
        <w:t>Åtgärder för bättre konkurrens</w:t>
      </w:r>
      <w:bookmarkEnd w:id="699"/>
    </w:p>
    <w:p w:rsidR="001C7BF9" w:rsidRPr="00C9680B" w:rsidRDefault="001C7BF9">
      <w:r w:rsidRPr="00C9680B">
        <w:t>En bättre konkurrenspolitik i kombination med avregleringar och ökad up</w:t>
      </w:r>
      <w:r w:rsidRPr="00C9680B">
        <w:t>p</w:t>
      </w:r>
      <w:r w:rsidRPr="00C9680B">
        <w:t>handling inom offentlig sektor kan på sikt leda till avsevärda kostnadsmins</w:t>
      </w:r>
      <w:r w:rsidRPr="00C9680B">
        <w:t>k</w:t>
      </w:r>
      <w:r w:rsidRPr="00C9680B">
        <w:t>ningar för de offentliga budgetarna.</w:t>
      </w:r>
    </w:p>
    <w:p w:rsidR="001C7BF9" w:rsidRPr="00C9680B" w:rsidRDefault="001C7BF9">
      <w:pPr>
        <w:numPr>
          <w:ilvl w:val="0"/>
          <w:numId w:val="1291"/>
        </w:numPr>
      </w:pPr>
      <w:r w:rsidRPr="00C9680B">
        <w:t>Kommunallagen bör ändras så att det blir lättare att få prövat i domstol om kommunal näring</w:t>
      </w:r>
      <w:r w:rsidRPr="00C9680B">
        <w:t>s</w:t>
      </w:r>
      <w:r w:rsidRPr="00C9680B">
        <w:t>verksamhet strider mot lagen.</w:t>
      </w:r>
    </w:p>
    <w:p w:rsidR="001C7BF9" w:rsidRPr="00C9680B" w:rsidRDefault="001C7BF9">
      <w:pPr>
        <w:numPr>
          <w:ilvl w:val="0"/>
          <w:numId w:val="1292"/>
        </w:numPr>
      </w:pPr>
      <w:r w:rsidRPr="00C9680B">
        <w:t>Kommunallagen bör ses över i syfte att göra det lättare för företag att överklaga kommunala beslut om stöd i olika former till företag. Besluten bör också kunna prövas i domstol.</w:t>
      </w:r>
    </w:p>
    <w:p w:rsidR="001C7BF9" w:rsidRPr="00C9680B" w:rsidRDefault="001C7BF9">
      <w:pPr>
        <w:numPr>
          <w:ilvl w:val="0"/>
          <w:numId w:val="1293"/>
        </w:numPr>
      </w:pPr>
      <w:r w:rsidRPr="00C9680B">
        <w:t>Kvarvarande konkurrenshämmande regleringar i den privata sektorn bör identifieras och avvecklas. Småföretagsdelegationens lista över åtgärder bör snarast genomföras fullt ut.</w:t>
      </w:r>
    </w:p>
    <w:p w:rsidR="001C7BF9" w:rsidRPr="00C9680B" w:rsidRDefault="001C7BF9">
      <w:pPr>
        <w:numPr>
          <w:ilvl w:val="0"/>
          <w:numId w:val="1294"/>
        </w:numPr>
      </w:pPr>
      <w:r w:rsidRPr="00C9680B">
        <w:t>Konkurrensverket bör få ökade resurser och en mer fristående och fra</w:t>
      </w:r>
      <w:r w:rsidRPr="00C9680B">
        <w:t>m</w:t>
      </w:r>
      <w:r w:rsidRPr="00C9680B">
        <w:t>trädande roll än i dag. Nya regeringsförslag bör granskas, inte bara ut</w:t>
      </w:r>
      <w:r w:rsidRPr="00C9680B">
        <w:t>i</w:t>
      </w:r>
      <w:r w:rsidRPr="00C9680B">
        <w:t>från ett småföretagsperspektiv, utan också ut</w:t>
      </w:r>
      <w:r w:rsidRPr="00C9680B">
        <w:t>i</w:t>
      </w:r>
      <w:r w:rsidRPr="00C9680B">
        <w:t>från ett konkurrensper</w:t>
      </w:r>
      <w:r w:rsidRPr="00C9680B">
        <w:softHyphen/>
        <w:t>spektiv.</w:t>
      </w:r>
    </w:p>
    <w:p w:rsidR="001C7BF9" w:rsidRPr="00C9680B" w:rsidRDefault="001C7BF9">
      <w:pPr>
        <w:numPr>
          <w:ilvl w:val="0"/>
          <w:numId w:val="1295"/>
        </w:numPr>
      </w:pPr>
      <w:r w:rsidRPr="00C9680B">
        <w:t>Konsumentombudsmannen bör i samarbete med Konkurrensverket få förstärkta uppgifter i syfte att uppmärksamma sektorer eller branscher med bristande konkurrens och sedan komma med förslag till hur konku</w:t>
      </w:r>
      <w:r w:rsidRPr="00C9680B">
        <w:t>r</w:t>
      </w:r>
      <w:r w:rsidRPr="00C9680B">
        <w:t>rensen kan förbättras.</w:t>
      </w:r>
    </w:p>
    <w:p w:rsidR="001C7BF9" w:rsidRPr="00C9680B" w:rsidRDefault="001C7BF9">
      <w:pPr>
        <w:numPr>
          <w:ilvl w:val="0"/>
          <w:numId w:val="1296"/>
        </w:numPr>
      </w:pPr>
      <w:r w:rsidRPr="00C9680B">
        <w:t>De offentliga resurserna bör i större utsträckning än i dag följa individe</w:t>
      </w:r>
      <w:r w:rsidRPr="00C9680B">
        <w:t>r</w:t>
      </w:r>
      <w:r w:rsidRPr="00C9680B">
        <w:t>nas fria val. Stora upphandlingar bör delas i fler order så att även mindre företag har en chans att vara med i budgivningen. När fler företag kan vara med och tävla ökar  konkurrenstrycket och priserna kan pre</w:t>
      </w:r>
      <w:r w:rsidRPr="00C9680B">
        <w:t>s</w:t>
      </w:r>
      <w:r w:rsidRPr="00C9680B">
        <w:t>sas.</w:t>
      </w:r>
    </w:p>
    <w:p w:rsidR="001C7BF9" w:rsidRPr="00C9680B" w:rsidRDefault="001C7BF9">
      <w:pPr>
        <w:pStyle w:val="Rubrik2b"/>
        <w:outlineLvl w:val="0"/>
        <w:rPr>
          <w:snapToGrid w:val="0"/>
          <w:lang w:eastAsia="sv-SE"/>
        </w:rPr>
      </w:pPr>
      <w:bookmarkStart w:id="700" w:name="_Toc498910901"/>
      <w:r w:rsidRPr="00C9680B">
        <w:rPr>
          <w:snapToGrid w:val="0"/>
          <w:lang w:eastAsia="sv-SE"/>
        </w:rPr>
        <w:t>Infrastruktur för tillväxt</w:t>
      </w:r>
      <w:bookmarkEnd w:id="700"/>
    </w:p>
    <w:p w:rsidR="001C7BF9" w:rsidRPr="00C9680B" w:rsidRDefault="001C7BF9">
      <w:pPr>
        <w:rPr>
          <w:snapToGrid w:val="0"/>
          <w:lang w:eastAsia="sv-SE"/>
        </w:rPr>
      </w:pPr>
      <w:r w:rsidRPr="00C9680B">
        <w:rPr>
          <w:rFonts w:ascii="Tms Rmn" w:hAnsi="Tms Rmn"/>
          <w:snapToGrid w:val="0"/>
          <w:color w:val="000000"/>
          <w:lang w:eastAsia="sv-SE"/>
        </w:rPr>
        <w:t>För ett företagande som kan ge goda inkomster och bra jobb och för ett väl fungerande samhälle med tillväxt och livskraft i olika delar av landet behövs det som i vid mening är en god infrastruktur.</w:t>
      </w:r>
    </w:p>
    <w:p w:rsidR="001C7BF9" w:rsidRPr="00C9680B" w:rsidRDefault="001C7BF9">
      <w:pPr>
        <w:pStyle w:val="Rubrik4"/>
        <w:rPr>
          <w:noProof w:val="0"/>
          <w:snapToGrid w:val="0"/>
          <w:lang w:eastAsia="sv-SE"/>
        </w:rPr>
      </w:pPr>
      <w:bookmarkStart w:id="701" w:name="_Toc498910902"/>
      <w:r w:rsidRPr="00C9680B">
        <w:rPr>
          <w:noProof w:val="0"/>
          <w:snapToGrid w:val="0"/>
          <w:lang w:eastAsia="sv-SE"/>
        </w:rPr>
        <w:t>Utbildning och forskning</w:t>
      </w:r>
      <w:bookmarkEnd w:id="701"/>
    </w:p>
    <w:p w:rsidR="001C7BF9" w:rsidRPr="00C9680B" w:rsidRDefault="001C7BF9">
      <w:pPr>
        <w:rPr>
          <w:snapToGrid w:val="0"/>
          <w:lang w:eastAsia="sv-SE"/>
        </w:rPr>
      </w:pPr>
      <w:r w:rsidRPr="00C9680B">
        <w:rPr>
          <w:rFonts w:ascii="Tms Rmn" w:hAnsi="Tms Rmn"/>
          <w:snapToGrid w:val="0"/>
          <w:color w:val="000000"/>
          <w:lang w:eastAsia="sv-SE"/>
        </w:rPr>
        <w:t>En viktig sådan del av ett vidare infrastrukturbegrepp är utbildning och fors</w:t>
      </w:r>
      <w:r w:rsidRPr="00C9680B">
        <w:rPr>
          <w:rFonts w:ascii="Tms Rmn" w:hAnsi="Tms Rmn"/>
          <w:snapToGrid w:val="0"/>
          <w:color w:val="000000"/>
          <w:lang w:eastAsia="sv-SE"/>
        </w:rPr>
        <w:t>k</w:t>
      </w:r>
      <w:r w:rsidRPr="00C9680B">
        <w:rPr>
          <w:rFonts w:ascii="Tms Rmn" w:hAnsi="Tms Rmn"/>
          <w:snapToGrid w:val="0"/>
          <w:color w:val="000000"/>
          <w:lang w:eastAsia="sv-SE"/>
        </w:rPr>
        <w:t>ning. Skolans uppgift är i första hand att ge eleverna grundläggande kunsk</w:t>
      </w:r>
      <w:r w:rsidRPr="00C9680B">
        <w:rPr>
          <w:rFonts w:ascii="Tms Rmn" w:hAnsi="Tms Rmn"/>
          <w:snapToGrid w:val="0"/>
          <w:color w:val="000000"/>
          <w:lang w:eastAsia="sv-SE"/>
        </w:rPr>
        <w:t>a</w:t>
      </w:r>
      <w:r w:rsidRPr="00C9680B">
        <w:rPr>
          <w:rFonts w:ascii="Tms Rmn" w:hAnsi="Tms Rmn"/>
          <w:snapToGrid w:val="0"/>
          <w:color w:val="000000"/>
          <w:lang w:eastAsia="sv-SE"/>
        </w:rPr>
        <w:t>per i basämnen som svenska, engelska och matematik. Men den svenska skolan fungerar inte tillfredsställande. Ungefär var femte elev lämnar skolan utan grundläggande kunskaper i läsning, skrivning och räkning. Detta är en katastrof för den enskilde och mycket bekymmersamt för företagen som är beroende av kvalificerad och välutbildad arbet</w:t>
      </w:r>
      <w:r w:rsidRPr="00C9680B">
        <w:rPr>
          <w:rFonts w:ascii="Tms Rmn" w:hAnsi="Tms Rmn"/>
          <w:snapToGrid w:val="0"/>
          <w:color w:val="000000"/>
          <w:lang w:eastAsia="sv-SE"/>
        </w:rPr>
        <w:t>s</w:t>
      </w:r>
      <w:r w:rsidRPr="00C9680B">
        <w:rPr>
          <w:rFonts w:ascii="Tms Rmn" w:hAnsi="Tms Rmn"/>
          <w:snapToGrid w:val="0"/>
          <w:color w:val="000000"/>
          <w:lang w:eastAsia="sv-SE"/>
        </w:rPr>
        <w:t>kraft.</w:t>
      </w:r>
    </w:p>
    <w:p w:rsidR="001C7BF9" w:rsidRPr="00C9680B" w:rsidRDefault="001C7BF9">
      <w:pPr>
        <w:pStyle w:val="Normaltindrag"/>
        <w:rPr>
          <w:snapToGrid w:val="0"/>
          <w:lang w:eastAsia="sv-SE"/>
        </w:rPr>
      </w:pPr>
      <w:r w:rsidRPr="00C9680B">
        <w:rPr>
          <w:snapToGrid w:val="0"/>
          <w:lang w:eastAsia="sv-SE"/>
        </w:rPr>
        <w:t>Utbildningen på högre nivåer brottas också med problem. Så många som fyra av tio fullfölj</w:t>
      </w:r>
      <w:r w:rsidRPr="00C9680B">
        <w:rPr>
          <w:snapToGrid w:val="0"/>
          <w:lang w:eastAsia="sv-SE"/>
        </w:rPr>
        <w:t>er inte gymnasiet med godkända betyg i de viktigaste ä</w:t>
      </w:r>
      <w:r w:rsidRPr="00C9680B">
        <w:rPr>
          <w:snapToGrid w:val="0"/>
          <w:lang w:eastAsia="sv-SE"/>
        </w:rPr>
        <w:t>m</w:t>
      </w:r>
      <w:r w:rsidRPr="00C9680B">
        <w:rPr>
          <w:snapToGrid w:val="0"/>
          <w:lang w:eastAsia="sv-SE"/>
        </w:rPr>
        <w:t>nena. Flera olika åtgärder är viktiga för att få skolan att fungera bättre. Det behövs mer av uppföljning och utvärdering av att skolan fyller sin uppgift. Vi anser att det behövs en kvalitetssatsning på skolan som bl.a. innebär att resu</w:t>
      </w:r>
      <w:r w:rsidRPr="00C9680B">
        <w:rPr>
          <w:snapToGrid w:val="0"/>
          <w:lang w:eastAsia="sv-SE"/>
        </w:rPr>
        <w:t>r</w:t>
      </w:r>
      <w:r w:rsidRPr="00C9680B">
        <w:rPr>
          <w:snapToGrid w:val="0"/>
          <w:lang w:eastAsia="sv-SE"/>
        </w:rPr>
        <w:t>ser i högre grad koncentreras till skolområdet.</w:t>
      </w:r>
    </w:p>
    <w:p w:rsidR="001C7BF9" w:rsidRPr="00C9680B" w:rsidRDefault="001C7BF9">
      <w:pPr>
        <w:pStyle w:val="Normaltindrag"/>
        <w:rPr>
          <w:snapToGrid w:val="0"/>
          <w:lang w:eastAsia="sv-SE"/>
        </w:rPr>
      </w:pPr>
      <w:r w:rsidRPr="00C9680B">
        <w:rPr>
          <w:snapToGrid w:val="0"/>
          <w:lang w:eastAsia="sv-SE"/>
        </w:rPr>
        <w:t>Sverige har en ungefär genomsnittlig andel av befolkningen med högre u</w:t>
      </w:r>
      <w:r w:rsidRPr="00C9680B">
        <w:rPr>
          <w:snapToGrid w:val="0"/>
          <w:lang w:eastAsia="sv-SE"/>
        </w:rPr>
        <w:t>t</w:t>
      </w:r>
      <w:r w:rsidRPr="00C9680B">
        <w:rPr>
          <w:snapToGrid w:val="0"/>
          <w:lang w:eastAsia="sv-SE"/>
        </w:rPr>
        <w:t>bildning jämfört med OECD-länderna. Ett speciellt svenskt fenomen är att man i de yngre årsklasserna, 25–34 år, har en betydligt lägre andel med längre högskoleutbildning än i jämförbara länder. Den är också lägre för de yngre årskullarna än för t. ex. 45–64-åringar. I de allra flesta länder är det tvärtom.</w:t>
      </w:r>
    </w:p>
    <w:p w:rsidR="001C7BF9" w:rsidRPr="00C9680B" w:rsidRDefault="001C7BF9">
      <w:pPr>
        <w:pStyle w:val="Normaltindrag"/>
        <w:rPr>
          <w:snapToGrid w:val="0"/>
          <w:lang w:eastAsia="sv-SE"/>
        </w:rPr>
      </w:pPr>
      <w:r w:rsidRPr="00C9680B">
        <w:rPr>
          <w:snapToGrid w:val="0"/>
          <w:lang w:eastAsia="sv-SE"/>
        </w:rPr>
        <w:t>Svenska ungdomar börjar och slutar sin utbildning allt senare. Detta inn</w:t>
      </w:r>
      <w:r w:rsidRPr="00C9680B">
        <w:rPr>
          <w:snapToGrid w:val="0"/>
          <w:lang w:eastAsia="sv-SE"/>
        </w:rPr>
        <w:t>e</w:t>
      </w:r>
      <w:r w:rsidRPr="00C9680B">
        <w:rPr>
          <w:snapToGrid w:val="0"/>
          <w:lang w:eastAsia="sv-SE"/>
        </w:rPr>
        <w:t>bär att genomsnittsåldern vid högskoleexamen är hög i Sverige, vilket medför samhällsekonomiska kostnader. För att ge såväl samhällsekonomin som e</w:t>
      </w:r>
      <w:r w:rsidRPr="00C9680B">
        <w:rPr>
          <w:snapToGrid w:val="0"/>
          <w:lang w:eastAsia="sv-SE"/>
        </w:rPr>
        <w:t>n</w:t>
      </w:r>
      <w:r w:rsidRPr="00C9680B">
        <w:rPr>
          <w:snapToGrid w:val="0"/>
          <w:lang w:eastAsia="sv-SE"/>
        </w:rPr>
        <w:t>skilda människor möjlighet att växa vill vi skapa ett utbildningssystem där det är naturligt att fler går vidare till högre studier. Det förutsätter reformer av högskoleväsendet och ett bättre studiemedelssystem. Då kan också rekryt</w:t>
      </w:r>
      <w:r w:rsidRPr="00C9680B">
        <w:rPr>
          <w:snapToGrid w:val="0"/>
          <w:lang w:eastAsia="sv-SE"/>
        </w:rPr>
        <w:t>e</w:t>
      </w:r>
      <w:r w:rsidRPr="00C9680B">
        <w:rPr>
          <w:snapToGrid w:val="0"/>
          <w:lang w:eastAsia="sv-SE"/>
        </w:rPr>
        <w:t>ringen till högre studier breddas. Om utbildningssystemet förbättras så kan kunskapssamhället bli verklighet och därmed också en sv</w:t>
      </w:r>
      <w:r w:rsidRPr="00C9680B">
        <w:rPr>
          <w:snapToGrid w:val="0"/>
          <w:lang w:eastAsia="sv-SE"/>
        </w:rPr>
        <w:t>ensk konkurrensfö</w:t>
      </w:r>
      <w:r w:rsidRPr="00C9680B">
        <w:rPr>
          <w:snapToGrid w:val="0"/>
          <w:lang w:eastAsia="sv-SE"/>
        </w:rPr>
        <w:t>r</w:t>
      </w:r>
      <w:r w:rsidRPr="00C9680B">
        <w:rPr>
          <w:snapToGrid w:val="0"/>
          <w:lang w:eastAsia="sv-SE"/>
        </w:rPr>
        <w:t>del.</w:t>
      </w:r>
    </w:p>
    <w:p w:rsidR="001C7BF9" w:rsidRPr="00C9680B" w:rsidRDefault="001C7BF9">
      <w:pPr>
        <w:pStyle w:val="Normaltindrag"/>
        <w:rPr>
          <w:snapToGrid w:val="0"/>
          <w:lang w:eastAsia="sv-SE"/>
        </w:rPr>
      </w:pPr>
      <w:r w:rsidRPr="00C9680B">
        <w:rPr>
          <w:snapToGrid w:val="0"/>
          <w:lang w:eastAsia="sv-SE"/>
        </w:rPr>
        <w:t>Sverige lägger ned stora resurser på forskning. Kostnaderna för forsknin</w:t>
      </w:r>
      <w:r w:rsidRPr="00C9680B">
        <w:rPr>
          <w:snapToGrid w:val="0"/>
          <w:lang w:eastAsia="sv-SE"/>
        </w:rPr>
        <w:t>g</w:t>
      </w:r>
      <w:r w:rsidRPr="00C9680B">
        <w:rPr>
          <w:snapToGrid w:val="0"/>
          <w:lang w:eastAsia="sv-SE"/>
        </w:rPr>
        <w:t>en motsvarar närmare 3,5 % av BNP. I den meningen satsar Sverige betyda</w:t>
      </w:r>
      <w:r w:rsidRPr="00C9680B">
        <w:rPr>
          <w:snapToGrid w:val="0"/>
          <w:lang w:eastAsia="sv-SE"/>
        </w:rPr>
        <w:t>n</w:t>
      </w:r>
      <w:r w:rsidRPr="00C9680B">
        <w:rPr>
          <w:snapToGrid w:val="0"/>
          <w:lang w:eastAsia="sv-SE"/>
        </w:rPr>
        <w:t>de belopp på forskning. Däremot tycks det som om Sverige får ut förvånande lite av dessa satsningar. När man ser till omfattningen av forskningsintensiv pr</w:t>
      </w:r>
      <w:r w:rsidRPr="00C9680B">
        <w:rPr>
          <w:snapToGrid w:val="0"/>
          <w:lang w:eastAsia="sv-SE"/>
        </w:rPr>
        <w:t>o</w:t>
      </w:r>
      <w:r w:rsidRPr="00C9680B">
        <w:rPr>
          <w:snapToGrid w:val="0"/>
          <w:lang w:eastAsia="sv-SE"/>
        </w:rPr>
        <w:t>duktion och export är denna inte särskilt omfattande.</w:t>
      </w:r>
    </w:p>
    <w:p w:rsidR="001C7BF9" w:rsidRPr="00C9680B" w:rsidRDefault="001C7BF9">
      <w:pPr>
        <w:pStyle w:val="Normaltindrag"/>
        <w:rPr>
          <w:snapToGrid w:val="0"/>
          <w:lang w:eastAsia="sv-SE"/>
        </w:rPr>
      </w:pPr>
      <w:r w:rsidRPr="00C9680B">
        <w:rPr>
          <w:snapToGrid w:val="0"/>
          <w:lang w:eastAsia="sv-SE"/>
        </w:rPr>
        <w:t>Att Sverige har en hög forskningsnivå beror på att näringslivets satsningar är större än i andra länder. Samtidigt är en stor del av den forskning som sker i näringslivet koncentrerad till ett fåtal stora företag. I och med att d</w:t>
      </w:r>
      <w:r w:rsidRPr="00C9680B">
        <w:rPr>
          <w:snapToGrid w:val="0"/>
          <w:lang w:eastAsia="sv-SE"/>
        </w:rPr>
        <w:t>essa f</w:t>
      </w:r>
      <w:r w:rsidRPr="00C9680B">
        <w:rPr>
          <w:snapToGrid w:val="0"/>
          <w:lang w:eastAsia="sv-SE"/>
        </w:rPr>
        <w:t>ö</w:t>
      </w:r>
      <w:r w:rsidRPr="00C9680B">
        <w:rPr>
          <w:snapToGrid w:val="0"/>
          <w:lang w:eastAsia="sv-SE"/>
        </w:rPr>
        <w:t>retag får alltmer av utländskt ägande och söker sig ut på de större marknade</w:t>
      </w:r>
      <w:r w:rsidRPr="00C9680B">
        <w:rPr>
          <w:snapToGrid w:val="0"/>
          <w:lang w:eastAsia="sv-SE"/>
        </w:rPr>
        <w:t>r</w:t>
      </w:r>
      <w:r w:rsidRPr="00C9680B">
        <w:rPr>
          <w:snapToGrid w:val="0"/>
          <w:lang w:eastAsia="sv-SE"/>
        </w:rPr>
        <w:t>na blir risken mera påtaglig att också tyngdpunkten i forskningsverksamheten kommer att förskjutas bort från Sverige.</w:t>
      </w:r>
    </w:p>
    <w:p w:rsidR="001C7BF9" w:rsidRPr="00C9680B" w:rsidRDefault="001C7BF9">
      <w:pPr>
        <w:pStyle w:val="Normaltindrag"/>
        <w:rPr>
          <w:snapToGrid w:val="0"/>
          <w:lang w:eastAsia="sv-SE"/>
        </w:rPr>
      </w:pPr>
      <w:r w:rsidRPr="00C9680B">
        <w:rPr>
          <w:snapToGrid w:val="0"/>
          <w:lang w:eastAsia="sv-SE"/>
        </w:rPr>
        <w:t>Det är därför väsentligt att förutsättningarna för stora och forskningsinte</w:t>
      </w:r>
      <w:r w:rsidRPr="00C9680B">
        <w:rPr>
          <w:snapToGrid w:val="0"/>
          <w:lang w:eastAsia="sv-SE"/>
        </w:rPr>
        <w:t>n</w:t>
      </w:r>
      <w:r w:rsidRPr="00C9680B">
        <w:rPr>
          <w:snapToGrid w:val="0"/>
          <w:lang w:eastAsia="sv-SE"/>
        </w:rPr>
        <w:t>siva företag är sådana att deras forskningsverksamheter kan växa och utvec</w:t>
      </w:r>
      <w:r w:rsidRPr="00C9680B">
        <w:rPr>
          <w:snapToGrid w:val="0"/>
          <w:lang w:eastAsia="sv-SE"/>
        </w:rPr>
        <w:t>k</w:t>
      </w:r>
      <w:r w:rsidRPr="00C9680B">
        <w:rPr>
          <w:snapToGrid w:val="0"/>
          <w:lang w:eastAsia="sv-SE"/>
        </w:rPr>
        <w:t>las i Sverige. Det måste vidare vara en viktig uppgift att stärka den offentli</w:t>
      </w:r>
      <w:r w:rsidRPr="00C9680B">
        <w:rPr>
          <w:snapToGrid w:val="0"/>
          <w:lang w:eastAsia="sv-SE"/>
        </w:rPr>
        <w:t>g</w:t>
      </w:r>
      <w:r w:rsidRPr="00C9680B">
        <w:rPr>
          <w:snapToGrid w:val="0"/>
          <w:lang w:eastAsia="sv-SE"/>
        </w:rPr>
        <w:t>finansierade forskningen. Den företagsanknutna forskningen och den hö</w:t>
      </w:r>
      <w:r w:rsidRPr="00C9680B">
        <w:rPr>
          <w:snapToGrid w:val="0"/>
          <w:lang w:eastAsia="sv-SE"/>
        </w:rPr>
        <w:t>g</w:t>
      </w:r>
      <w:r w:rsidRPr="00C9680B">
        <w:rPr>
          <w:snapToGrid w:val="0"/>
          <w:lang w:eastAsia="sv-SE"/>
        </w:rPr>
        <w:t>skoleanknutna bidrar båda till ett klimat som stärker Sverige som kunskap</w:t>
      </w:r>
      <w:r w:rsidRPr="00C9680B">
        <w:rPr>
          <w:snapToGrid w:val="0"/>
          <w:lang w:eastAsia="sv-SE"/>
        </w:rPr>
        <w:t>s</w:t>
      </w:r>
      <w:r w:rsidRPr="00C9680B">
        <w:rPr>
          <w:snapToGrid w:val="0"/>
          <w:lang w:eastAsia="sv-SE"/>
        </w:rPr>
        <w:t>samhälle. Tillgången till god utbildning och forskning är grundläggande för tillväxt och livskraft i hela landet.</w:t>
      </w:r>
    </w:p>
    <w:p w:rsidR="001C7BF9" w:rsidRPr="00C9680B" w:rsidRDefault="001C7BF9">
      <w:pPr>
        <w:pStyle w:val="Normaltindrag"/>
        <w:rPr>
          <w:snapToGrid w:val="0"/>
          <w:lang w:eastAsia="sv-SE"/>
        </w:rPr>
      </w:pPr>
      <w:r w:rsidRPr="00C9680B">
        <w:rPr>
          <w:snapToGrid w:val="0"/>
          <w:lang w:eastAsia="sv-SE"/>
        </w:rPr>
        <w:t>En annan möjlighet att få ut mera på utbildningens område är att låta ind</w:t>
      </w:r>
      <w:r w:rsidRPr="00C9680B">
        <w:rPr>
          <w:snapToGrid w:val="0"/>
          <w:lang w:eastAsia="sv-SE"/>
        </w:rPr>
        <w:t>i</w:t>
      </w:r>
      <w:r w:rsidRPr="00C9680B">
        <w:rPr>
          <w:snapToGrid w:val="0"/>
          <w:lang w:eastAsia="sv-SE"/>
        </w:rPr>
        <w:t>viderna själva bygga upp individuella kompetenskonton. Möjligheter att bygga upp sådana konton ger individen större möjligheter att byta inriktning på arbetsmarknaden. Avdragsrätten för att sätta av för dessa ändamål bör öka.</w:t>
      </w:r>
    </w:p>
    <w:p w:rsidR="001C7BF9" w:rsidRPr="00C9680B" w:rsidRDefault="001C7BF9">
      <w:pPr>
        <w:pStyle w:val="Rubrik4"/>
        <w:rPr>
          <w:noProof w:val="0"/>
          <w:snapToGrid w:val="0"/>
          <w:lang w:eastAsia="sv-SE"/>
        </w:rPr>
      </w:pPr>
      <w:bookmarkStart w:id="702" w:name="_Toc498910903"/>
      <w:r w:rsidRPr="00C9680B">
        <w:rPr>
          <w:noProof w:val="0"/>
          <w:snapToGrid w:val="0"/>
          <w:lang w:eastAsia="sv-SE"/>
        </w:rPr>
        <w:t>Kommunikationer</w:t>
      </w:r>
      <w:bookmarkEnd w:id="702"/>
    </w:p>
    <w:p w:rsidR="001C7BF9" w:rsidRPr="00C9680B" w:rsidRDefault="001C7BF9">
      <w:pPr>
        <w:rPr>
          <w:snapToGrid w:val="0"/>
          <w:lang w:eastAsia="sv-SE"/>
        </w:rPr>
      </w:pPr>
      <w:r w:rsidRPr="00C9680B">
        <w:rPr>
          <w:rFonts w:ascii="Tms Rmn" w:hAnsi="Tms Rmn"/>
          <w:snapToGrid w:val="0"/>
          <w:color w:val="000000"/>
          <w:lang w:eastAsia="sv-SE"/>
        </w:rPr>
        <w:t>En god infrastruktur innebär bra kommunikationer, inte bara i form av tran</w:t>
      </w:r>
      <w:r w:rsidRPr="00C9680B">
        <w:rPr>
          <w:rFonts w:ascii="Tms Rmn" w:hAnsi="Tms Rmn"/>
          <w:snapToGrid w:val="0"/>
          <w:color w:val="000000"/>
          <w:lang w:eastAsia="sv-SE"/>
        </w:rPr>
        <w:t>s</w:t>
      </w:r>
      <w:r w:rsidRPr="00C9680B">
        <w:rPr>
          <w:rFonts w:ascii="Tms Rmn" w:hAnsi="Tms Rmn"/>
          <w:snapToGrid w:val="0"/>
          <w:color w:val="000000"/>
          <w:lang w:eastAsia="sv-SE"/>
        </w:rPr>
        <w:t>porter utan också t.ex. i form av tillräcklig kapacitet för snabb datatrafik i hela landet. Förnyelsen av företagande liksom av utbildning, vård och omsorg är i hög grad beroende av snabb informationsöve</w:t>
      </w:r>
      <w:r w:rsidRPr="00C9680B">
        <w:rPr>
          <w:rFonts w:ascii="Tms Rmn" w:hAnsi="Tms Rmn"/>
          <w:snapToGrid w:val="0"/>
          <w:color w:val="000000"/>
          <w:lang w:eastAsia="sv-SE"/>
        </w:rPr>
        <w:t>r</w:t>
      </w:r>
      <w:r w:rsidRPr="00C9680B">
        <w:rPr>
          <w:rFonts w:ascii="Tms Rmn" w:hAnsi="Tms Rmn"/>
          <w:snapToGrid w:val="0"/>
          <w:color w:val="000000"/>
          <w:lang w:eastAsia="sv-SE"/>
        </w:rPr>
        <w:t>föring.</w:t>
      </w:r>
    </w:p>
    <w:p w:rsidR="001C7BF9" w:rsidRPr="00C9680B" w:rsidRDefault="001C7BF9">
      <w:pPr>
        <w:pStyle w:val="Normaltindrag"/>
        <w:rPr>
          <w:snapToGrid w:val="0"/>
          <w:lang w:eastAsia="sv-SE"/>
        </w:rPr>
      </w:pPr>
      <w:r w:rsidRPr="00C9680B">
        <w:rPr>
          <w:snapToGrid w:val="0"/>
          <w:lang w:eastAsia="sv-SE"/>
        </w:rPr>
        <w:t>Mycket ofta är vägtrafik det enda realistiska fysiska kommunikation</w:t>
      </w:r>
      <w:r w:rsidRPr="00C9680B">
        <w:rPr>
          <w:snapToGrid w:val="0"/>
          <w:lang w:eastAsia="sv-SE"/>
        </w:rPr>
        <w:t>s</w:t>
      </w:r>
      <w:r w:rsidRPr="00C9680B">
        <w:rPr>
          <w:snapToGrid w:val="0"/>
          <w:lang w:eastAsia="sv-SE"/>
        </w:rPr>
        <w:t>medlet för människor och gods. Samtidigt förfaller det svenska vägnätet med stora kostnader som följd för människor och företag. Vi accepterar i motsats till vänsterkoalitionen inte en sådan utveckling. Mer resurser måste skjutas till för att garantera vägnätets standard. Våra partier är överens om att efterslä</w:t>
      </w:r>
      <w:r w:rsidRPr="00C9680B">
        <w:rPr>
          <w:snapToGrid w:val="0"/>
          <w:lang w:eastAsia="sv-SE"/>
        </w:rPr>
        <w:t>p</w:t>
      </w:r>
      <w:r w:rsidRPr="00C9680B">
        <w:rPr>
          <w:snapToGrid w:val="0"/>
          <w:lang w:eastAsia="sv-SE"/>
        </w:rPr>
        <w:t>nin</w:t>
      </w:r>
      <w:r w:rsidRPr="00C9680B">
        <w:rPr>
          <w:snapToGrid w:val="0"/>
          <w:lang w:eastAsia="sv-SE"/>
        </w:rPr>
        <w:t>g</w:t>
      </w:r>
      <w:r w:rsidRPr="00C9680B">
        <w:rPr>
          <w:snapToGrid w:val="0"/>
          <w:lang w:eastAsia="sv-SE"/>
        </w:rPr>
        <w:t xml:space="preserve">en i vägunderhållet successivt måste arbetas bort. </w:t>
      </w:r>
    </w:p>
    <w:p w:rsidR="001C7BF9" w:rsidRPr="00C9680B" w:rsidRDefault="001C7BF9">
      <w:pPr>
        <w:pStyle w:val="Normaltindrag"/>
        <w:rPr>
          <w:snapToGrid w:val="0"/>
          <w:lang w:eastAsia="sv-SE"/>
        </w:rPr>
      </w:pPr>
      <w:r w:rsidRPr="00C9680B">
        <w:rPr>
          <w:snapToGrid w:val="0"/>
          <w:lang w:eastAsia="sv-SE"/>
        </w:rPr>
        <w:t>Vägnätet måste också byggas ut. Säkerhet och tillförlitlighet måste prior</w:t>
      </w:r>
      <w:r w:rsidRPr="00C9680B">
        <w:rPr>
          <w:snapToGrid w:val="0"/>
          <w:lang w:eastAsia="sv-SE"/>
        </w:rPr>
        <w:t>i</w:t>
      </w:r>
      <w:r w:rsidRPr="00C9680B">
        <w:rPr>
          <w:snapToGrid w:val="0"/>
          <w:lang w:eastAsia="sv-SE"/>
        </w:rPr>
        <w:t>teras. Det gäller såväl de stora genomfartslederna och kringfarter runt våra städer som de regionala och lokala vägnäten. Människor är beroende av bilen, men också långsiktigt beroende av en god miljö. Forskning och utveckling av ny teknik och nya drivmedel är därför av yttersta vikt.</w:t>
      </w:r>
    </w:p>
    <w:p w:rsidR="001C7BF9" w:rsidRPr="00C9680B" w:rsidRDefault="001C7BF9">
      <w:pPr>
        <w:pStyle w:val="Rubrik4"/>
        <w:rPr>
          <w:noProof w:val="0"/>
          <w:snapToGrid w:val="0"/>
          <w:lang w:eastAsia="sv-SE"/>
        </w:rPr>
      </w:pPr>
      <w:bookmarkStart w:id="703" w:name="_Toc498910904"/>
      <w:r w:rsidRPr="00C9680B">
        <w:rPr>
          <w:noProof w:val="0"/>
          <w:snapToGrid w:val="0"/>
          <w:lang w:eastAsia="sv-SE"/>
        </w:rPr>
        <w:t>En förnyad bostadspolitik</w:t>
      </w:r>
      <w:bookmarkEnd w:id="703"/>
    </w:p>
    <w:p w:rsidR="001C7BF9" w:rsidRPr="00C9680B" w:rsidRDefault="001C7BF9">
      <w:pPr>
        <w:rPr>
          <w:snapToGrid w:val="0"/>
          <w:lang w:eastAsia="sv-SE"/>
        </w:rPr>
      </w:pPr>
      <w:r w:rsidRPr="00C9680B">
        <w:rPr>
          <w:rFonts w:ascii="Tms Rmn" w:hAnsi="Tms Rmn"/>
          <w:snapToGrid w:val="0"/>
          <w:color w:val="000000"/>
          <w:lang w:eastAsia="sv-SE"/>
        </w:rPr>
        <w:t>En förutsättning för en väl balanserad tillväxt är en fungerande bostadsmar</w:t>
      </w:r>
      <w:r w:rsidRPr="00C9680B">
        <w:rPr>
          <w:rFonts w:ascii="Tms Rmn" w:hAnsi="Tms Rmn"/>
          <w:snapToGrid w:val="0"/>
          <w:color w:val="000000"/>
          <w:lang w:eastAsia="sv-SE"/>
        </w:rPr>
        <w:t>k</w:t>
      </w:r>
      <w:r w:rsidRPr="00C9680B">
        <w:rPr>
          <w:rFonts w:ascii="Tms Rmn" w:hAnsi="Tms Rmn"/>
          <w:snapToGrid w:val="0"/>
          <w:color w:val="000000"/>
          <w:lang w:eastAsia="sv-SE"/>
        </w:rPr>
        <w:t>nad. Situationen på bostadsområdet är sådan på många håll att bostadsmar</w:t>
      </w:r>
      <w:r w:rsidRPr="00C9680B">
        <w:rPr>
          <w:rFonts w:ascii="Tms Rmn" w:hAnsi="Tms Rmn"/>
          <w:snapToGrid w:val="0"/>
          <w:color w:val="000000"/>
          <w:lang w:eastAsia="sv-SE"/>
        </w:rPr>
        <w:t>k</w:t>
      </w:r>
      <w:r w:rsidRPr="00C9680B">
        <w:rPr>
          <w:rFonts w:ascii="Tms Rmn" w:hAnsi="Tms Rmn"/>
          <w:snapToGrid w:val="0"/>
          <w:color w:val="000000"/>
          <w:lang w:eastAsia="sv-SE"/>
        </w:rPr>
        <w:t>naden i dag inte kan betraktas som en väl fungerande infrastruktur. I sto</w:t>
      </w:r>
      <w:r w:rsidRPr="00C9680B">
        <w:rPr>
          <w:rFonts w:ascii="Tms Rmn" w:hAnsi="Tms Rmn"/>
          <w:snapToGrid w:val="0"/>
          <w:color w:val="000000"/>
          <w:lang w:eastAsia="sv-SE"/>
        </w:rPr>
        <w:t>r</w:t>
      </w:r>
      <w:r w:rsidRPr="00C9680B">
        <w:rPr>
          <w:rFonts w:ascii="Tms Rmn" w:hAnsi="Tms Rmn"/>
          <w:snapToGrid w:val="0"/>
          <w:color w:val="000000"/>
          <w:lang w:eastAsia="sv-SE"/>
        </w:rPr>
        <w:t>stadsområdena blir bostadsbristen alltmer akut. Bristen på bostäder riskerar därmed att bli ett allvarligt tillväxthinder. Trots detta är nyproduktionen av flerfamiljshus mycket låg. Hyresrätter byggs i princip inte alls. Parallellt med denna utveckling avfolkas landsbygden med efterlämnade bostadsöverskott som följd. Offentliga medel används för att riva bostäd</w:t>
      </w:r>
      <w:r w:rsidRPr="00C9680B">
        <w:rPr>
          <w:rFonts w:ascii="Tms Rmn" w:hAnsi="Tms Rmn"/>
          <w:snapToGrid w:val="0"/>
          <w:color w:val="000000"/>
          <w:lang w:eastAsia="sv-SE"/>
        </w:rPr>
        <w:t>er för att hålla uppe hyresnivåerna i det kvarvarande beståndet.</w:t>
      </w:r>
    </w:p>
    <w:p w:rsidR="001C7BF9" w:rsidRPr="00C9680B" w:rsidRDefault="001C7BF9">
      <w:pPr>
        <w:pStyle w:val="Normaltindrag"/>
        <w:rPr>
          <w:snapToGrid w:val="0"/>
          <w:lang w:eastAsia="sv-SE"/>
        </w:rPr>
      </w:pPr>
      <w:r w:rsidRPr="00C9680B">
        <w:rPr>
          <w:snapToGrid w:val="0"/>
          <w:lang w:eastAsia="sv-SE"/>
        </w:rPr>
        <w:t>En rad åtgärder behöver vidtas för att råda bot på de problem som finns på dagens bostadsmarknad. För att stimulera nybyggande bör t.ex. planprocessen snabbas upp och göras enklare.</w:t>
      </w:r>
    </w:p>
    <w:p w:rsidR="001C7BF9" w:rsidRPr="00C9680B" w:rsidRDefault="001C7BF9">
      <w:pPr>
        <w:pStyle w:val="Normaltindrag"/>
        <w:rPr>
          <w:snapToGrid w:val="0"/>
          <w:lang w:eastAsia="sv-SE"/>
        </w:rPr>
      </w:pPr>
      <w:r w:rsidRPr="00C9680B">
        <w:rPr>
          <w:snapToGrid w:val="0"/>
          <w:lang w:eastAsia="sv-SE"/>
        </w:rPr>
        <w:t>Den svarta marknaden för reparation, om- och tillbyggnader av bostäder skulle minska kraftigt genom det förslag till skattereduktion på denna typ av tjänster som vi föreslagit. Den totala beskattningen av boende måste ned. Sänkt fastighetsskatt är ett viktigt steg.</w:t>
      </w:r>
      <w:r w:rsidRPr="00C9680B">
        <w:rPr>
          <w:rFonts w:ascii="Tms Rmn" w:hAnsi="Tms Rmn"/>
          <w:snapToGrid w:val="0"/>
          <w:color w:val="000000"/>
          <w:lang w:eastAsia="sv-SE"/>
        </w:rPr>
        <w:t xml:space="preserve"> Byggkostnaderna är höga i Sverige jämfört med andra länder. En anledning är bristande konkurrens i byggmat</w:t>
      </w:r>
      <w:r w:rsidRPr="00C9680B">
        <w:rPr>
          <w:rFonts w:ascii="Tms Rmn" w:hAnsi="Tms Rmn"/>
          <w:snapToGrid w:val="0"/>
          <w:color w:val="000000"/>
          <w:lang w:eastAsia="sv-SE"/>
        </w:rPr>
        <w:t>e</w:t>
      </w:r>
      <w:r w:rsidRPr="00C9680B">
        <w:rPr>
          <w:rFonts w:ascii="Tms Rmn" w:hAnsi="Tms Rmn"/>
          <w:snapToGrid w:val="0"/>
          <w:color w:val="000000"/>
          <w:lang w:eastAsia="sv-SE"/>
        </w:rPr>
        <w:t>rielsektorn. Bristen på byggarbetare i tillväxtområdena bidrar också till ett högt kostnadsläge.</w:t>
      </w:r>
    </w:p>
    <w:p w:rsidR="001C7BF9" w:rsidRPr="00C9680B" w:rsidRDefault="001C7BF9">
      <w:pPr>
        <w:pStyle w:val="Normaltindrag"/>
        <w:rPr>
          <w:snapToGrid w:val="0"/>
          <w:lang w:eastAsia="sv-SE"/>
        </w:rPr>
      </w:pPr>
      <w:r w:rsidRPr="00C9680B">
        <w:rPr>
          <w:snapToGrid w:val="0"/>
          <w:lang w:eastAsia="sv-SE"/>
        </w:rPr>
        <w:t>Ett annorlunda hyressättningssystem måste till vid nyproduktion om hyre</w:t>
      </w:r>
      <w:r w:rsidRPr="00C9680B">
        <w:rPr>
          <w:snapToGrid w:val="0"/>
          <w:lang w:eastAsia="sv-SE"/>
        </w:rPr>
        <w:t>s</w:t>
      </w:r>
      <w:r w:rsidRPr="00C9680B">
        <w:rPr>
          <w:snapToGrid w:val="0"/>
          <w:lang w:eastAsia="sv-SE"/>
        </w:rPr>
        <w:t>rätter över huvud taget skall produceras. Kanske måste även hyrorna i det befintliga beståndet bättre anpassas till hushållens värderingar genom att låta lägesfaktorn få ett större genomslag. Förutom att nyproduktionen skulle öka kan svarthandeln med hyreskontrakt motverkas.</w:t>
      </w:r>
    </w:p>
    <w:p w:rsidR="001C7BF9" w:rsidRPr="00C9680B" w:rsidRDefault="001C7BF9">
      <w:pPr>
        <w:pStyle w:val="Normaltindrag"/>
        <w:rPr>
          <w:snapToGrid w:val="0"/>
          <w:lang w:eastAsia="sv-SE"/>
        </w:rPr>
      </w:pPr>
      <w:r w:rsidRPr="00C9680B">
        <w:rPr>
          <w:snapToGrid w:val="0"/>
          <w:lang w:eastAsia="sv-SE"/>
        </w:rPr>
        <w:t>I syfte att öka mångfalden på bostadsmarknaden bör s.k. ägarlägenheter möjliggöras som boendeform. Riksdagen har gett regeringen i uppdrag att åte</w:t>
      </w:r>
      <w:r w:rsidRPr="00C9680B">
        <w:rPr>
          <w:snapToGrid w:val="0"/>
          <w:lang w:eastAsia="sv-SE"/>
        </w:rPr>
        <w:t>r</w:t>
      </w:r>
      <w:r w:rsidRPr="00C9680B">
        <w:rPr>
          <w:snapToGrid w:val="0"/>
          <w:lang w:eastAsia="sv-SE"/>
        </w:rPr>
        <w:t>komma med förslag, vilket hittills inte har skett.</w:t>
      </w:r>
    </w:p>
    <w:p w:rsidR="001C7BF9" w:rsidRPr="00C9680B" w:rsidRDefault="001C7BF9">
      <w:pPr>
        <w:pStyle w:val="Normaltindrag"/>
        <w:rPr>
          <w:snapToGrid w:val="0"/>
          <w:lang w:eastAsia="sv-SE"/>
        </w:rPr>
      </w:pPr>
      <w:r w:rsidRPr="00C9680B">
        <w:rPr>
          <w:snapToGrid w:val="0"/>
          <w:lang w:eastAsia="sv-SE"/>
        </w:rPr>
        <w:t>Ytterligare en möjlighet att förbättra bostads- och byggsituationen i fra</w:t>
      </w:r>
      <w:r w:rsidRPr="00C9680B">
        <w:rPr>
          <w:snapToGrid w:val="0"/>
          <w:lang w:eastAsia="sv-SE"/>
        </w:rPr>
        <w:t>m</w:t>
      </w:r>
      <w:r w:rsidRPr="00C9680B">
        <w:rPr>
          <w:snapToGrid w:val="0"/>
          <w:lang w:eastAsia="sv-SE"/>
        </w:rPr>
        <w:t>för allt storstäderna är att tillåta s.k. tredimensionell fastighetsbildning. Det innebär enklare möjligheter att juridiskt avgränsa en och samma fastighet för olika användningsområden. Olika byggherrar skulle enklare kunna samverka om byggprojekt.</w:t>
      </w:r>
    </w:p>
    <w:p w:rsidR="001C7BF9" w:rsidRPr="00C9680B" w:rsidRDefault="001C7BF9">
      <w:pPr>
        <w:pStyle w:val="Rubrik4"/>
        <w:rPr>
          <w:noProof w:val="0"/>
        </w:rPr>
      </w:pPr>
      <w:bookmarkStart w:id="704" w:name="_Toc498910905"/>
      <w:r w:rsidRPr="00C9680B">
        <w:rPr>
          <w:noProof w:val="0"/>
        </w:rPr>
        <w:t>Mångfald förnyar välfärden</w:t>
      </w:r>
      <w:bookmarkEnd w:id="704"/>
    </w:p>
    <w:p w:rsidR="001C7BF9" w:rsidRPr="00C9680B" w:rsidRDefault="001C7BF9">
      <w:r w:rsidRPr="00C9680B">
        <w:t>För många av de tjänster som i Sverige ligger inom den offentliga sektorn – främst inom kommuner och landsting – ökar behov och efterfrågan i industr</w:t>
      </w:r>
      <w:r w:rsidRPr="00C9680B">
        <w:t>i</w:t>
      </w:r>
      <w:r w:rsidRPr="00C9680B">
        <w:t>världen. Andelen sysselsatta har ökat och dessa områdens bidrag till BNP har också vuxit. Det finns flera förklaringar till detta. En är att efterfrågan på välfärdstjänster ökar när människors inkomster ökar. En annan är att ålder</w:t>
      </w:r>
      <w:r w:rsidRPr="00C9680B">
        <w:t>s</w:t>
      </w:r>
      <w:r w:rsidRPr="00C9680B">
        <w:t>strukturen påverkar intresset för fler välfärdstjänster.</w:t>
      </w:r>
    </w:p>
    <w:p w:rsidR="001C7BF9" w:rsidRPr="00C9680B" w:rsidRDefault="001C7BF9">
      <w:pPr>
        <w:pStyle w:val="Normaltindrag"/>
      </w:pPr>
      <w:r w:rsidRPr="00C9680B">
        <w:t>Det finns en bred enighet om att vården, omsorgen och skolan skall fina</w:t>
      </w:r>
      <w:r w:rsidRPr="00C9680B">
        <w:t>n</w:t>
      </w:r>
      <w:r w:rsidRPr="00C9680B">
        <w:t>sieras kollektivt. Det är viktigt att de resurser som avsätts för dessa ändamål används så bra som möjligt, dvs. att användarna får ut så mycket nytta som möjligt för varje använd krona. Därför är förnyelsen inom den offentliga sektorn viktig. Det är dock ingen självklarhet att detta innebär att verksamh</w:t>
      </w:r>
      <w:r w:rsidRPr="00C9680B">
        <w:t>e</w:t>
      </w:r>
      <w:r w:rsidRPr="00C9680B">
        <w:t>ten skall bedrivas av kommunerna själva.</w:t>
      </w:r>
    </w:p>
    <w:p w:rsidR="001C7BF9" w:rsidRPr="00C9680B" w:rsidRDefault="001C7BF9">
      <w:pPr>
        <w:pStyle w:val="Normaltindrag"/>
      </w:pPr>
      <w:r w:rsidRPr="00C9680B">
        <w:t>Erfarenheten visar att när möjligheten öppnas för andra än kommunen att producera välfärdstjänster ökar mångfalden och välfärden ökar. Välfärd handlar inte om att e</w:t>
      </w:r>
      <w:r w:rsidRPr="00C9680B">
        <w:t>n viss typ av standardiserade tjänster skall tillhandahållas utan om att den enskildes efterfrågan skall tillgodoses på bästa sätt. Av sa</w:t>
      </w:r>
      <w:r w:rsidRPr="00C9680B">
        <w:t>m</w:t>
      </w:r>
      <w:r w:rsidRPr="00C9680B">
        <w:t xml:space="preserve">ma skäl som att försörjningen av välfärdstjänster inte kan rationaliseras på samma sätt som industriproduktion bör de inte heller produceras i en enda enhetlig form. Valet mellan olika producenter av välfärdstjänster, det må vara enskilda, företag, kooperativ eller det offentliga, bör därför även med en kollektiv finansiering så långt möjligt överlämnas till den enskilde </w:t>
      </w:r>
      <w:r w:rsidRPr="00C9680B">
        <w:t>individen.</w:t>
      </w:r>
    </w:p>
    <w:p w:rsidR="001C7BF9" w:rsidRPr="00C9680B" w:rsidRDefault="001C7BF9">
      <w:pPr>
        <w:pStyle w:val="Normaltindrag"/>
      </w:pPr>
      <w:r w:rsidRPr="00C9680B">
        <w:t>Ett tydligt exempel är skolområdet där det offentliga ekonomiska stödet kan följa eleven, t.ex. från en kommunal skola till en friskola eller mellan olika kommunala skolor. Denna princip bör kunna användas på flera områden även om den politiska processen att avgöra vem som skall vara kvalificerad att få del av den, t.ex. inom äldre- eller handikappomsorg, kan vara svårare än inom skolområdet. Detta är dock inget skäl mot sådana möjligheter. Det är rimligare att den politiska dagordningen dominera</w:t>
      </w:r>
      <w:r w:rsidRPr="00C9680B">
        <w:t>s av frågor om vem som skall ha rätt till t.ex. hemtjänst än exakt hur denna tjänst skall produceras.</w:t>
      </w:r>
    </w:p>
    <w:p w:rsidR="001C7BF9" w:rsidRPr="00C9680B" w:rsidRDefault="001C7BF9">
      <w:pPr>
        <w:pStyle w:val="Normaltindrag"/>
      </w:pPr>
      <w:r w:rsidRPr="00C9680B">
        <w:t xml:space="preserve">Utvecklingen på tele- och IT-sidan visar att det är när avregleringar tar fart som helt nya utvecklingar kan ske, utvecklingar som ingen kunnat förutse. Distansutbildning och distansdiagnostik och -behandling är några exempel. Användningsområdena kommer att förändras i takt med den dynamik som utvecklas genom ny teknik, ökad konkurrens, nya tjänsteformer och nya aktörer. Det ligger i sakens natur att det i </w:t>
      </w:r>
      <w:r w:rsidRPr="00C9680B">
        <w:t>dag inte går att förutse vilka nya tjänster till medborgarnas glädje som en större frihet och mångfald skulle leda till.</w:t>
      </w:r>
    </w:p>
    <w:p w:rsidR="001C7BF9" w:rsidRPr="00C9680B" w:rsidRDefault="001C7BF9">
      <w:pPr>
        <w:pStyle w:val="Normaltindrag"/>
      </w:pPr>
      <w:r w:rsidRPr="00C9680B">
        <w:t>Ett led i den socialdemokratiska politiken är emellertid att hindra mångfald och att hindra andra än kommuner och landsting att tillhandahålla tjänster på dessa områden. Detta har senast visat sig genom förslaget att förbjuda försäl</w:t>
      </w:r>
      <w:r w:rsidRPr="00C9680B">
        <w:t>j</w:t>
      </w:r>
      <w:r w:rsidRPr="00C9680B">
        <w:t>ning av sjukhus som regeringen lagt fram trots Lagrådets allvarliga kritik. Inte ens Landstingsförbundets socialdemokratiska ledning uttrycker någon glädje över regeringens politik i detta avseende utan uttalar skepsis mot förslaget.</w:t>
      </w:r>
    </w:p>
    <w:p w:rsidR="001C7BF9" w:rsidRPr="00C9680B" w:rsidRDefault="001C7BF9">
      <w:pPr>
        <w:pStyle w:val="Normaltindrag"/>
      </w:pPr>
      <w:r w:rsidRPr="00C9680B">
        <w:t>Regeringens förbudsförslag är inte sakligt grundat. Det finns inga indik</w:t>
      </w:r>
      <w:r w:rsidRPr="00C9680B">
        <w:t>a</w:t>
      </w:r>
      <w:r w:rsidRPr="00C9680B">
        <w:t>tioner på att regeringens farhågor skulle ha fog för sig. Genomgångar av internationella erfarenheter visar att om konkurrens råder finns det inte några större skillnader i kvalitet och effektivitet mellan vinstdrivande företag, non-profit-företag och offentliga producenter. Det finns dock en viss tendens till högre effektivitet hos vinstdrivande företag. Den erfarenhet som finns av detta i Sverige är att den ersättning som Stockholms läns landsting betalar till det privatägda Sankt Görans sjukhus är ca 10</w:t>
      </w:r>
      <w:r w:rsidRPr="00C9680B">
        <w:t> % lägre per utförd prestation än den som landstinget betalar till de landstingsägda sjukh</w:t>
      </w:r>
      <w:r w:rsidRPr="00C9680B">
        <w:t>u</w:t>
      </w:r>
      <w:r w:rsidRPr="00C9680B">
        <w:t>sen.</w:t>
      </w:r>
    </w:p>
    <w:p w:rsidR="001C7BF9" w:rsidRPr="00C9680B" w:rsidRDefault="001C7BF9">
      <w:pPr>
        <w:pStyle w:val="Normaltindrag"/>
      </w:pPr>
      <w:r w:rsidRPr="00C9680B">
        <w:t>Att, som regeringen med stöd av Vänsterpartiet och Miljöpartiet föreslår, lagstifta mot försäljning av offentligt ägda sjukhus leder till minskad mån</w:t>
      </w:r>
      <w:r w:rsidRPr="00C9680B">
        <w:t>g</w:t>
      </w:r>
      <w:r w:rsidRPr="00C9680B">
        <w:t>fald. Det motverkar också ett ökat kvinnligt företagande inom sektorer där kvinnor har en stark ställning på arbetsmarknaden och hög ko</w:t>
      </w:r>
      <w:r w:rsidRPr="00C9680B">
        <w:t>m</w:t>
      </w:r>
      <w:r w:rsidRPr="00C9680B">
        <w:t>petens.</w:t>
      </w:r>
    </w:p>
    <w:p w:rsidR="001C7BF9" w:rsidRPr="00C9680B" w:rsidRDefault="001C7BF9">
      <w:pPr>
        <w:pStyle w:val="Normaltindrag"/>
      </w:pPr>
      <w:r w:rsidRPr="00C9680B">
        <w:t>I stället för att slå vakt om det offentliga ägandet</w:t>
      </w:r>
      <w:r w:rsidRPr="00C9680B">
        <w:rPr>
          <w:i/>
        </w:rPr>
        <w:t xml:space="preserve"> </w:t>
      </w:r>
      <w:r w:rsidRPr="00C9680B">
        <w:t>borde verksamhetens i</w:t>
      </w:r>
      <w:r w:rsidRPr="00C9680B">
        <w:t>n</w:t>
      </w:r>
      <w:r w:rsidRPr="00C9680B">
        <w:t>nehåll och möjligheterna för den enskilde vara det primära intresset. Det bör inte sättas upp hinder för vissa verksamhetsformer, bolag kan vara en lämplig form i vissa sammanhang, kooperativ eller andra former kan var mera lämpl</w:t>
      </w:r>
      <w:r w:rsidRPr="00C9680B">
        <w:t>i</w:t>
      </w:r>
      <w:r w:rsidRPr="00C9680B">
        <w:t>ga i andra sammanhang. Ändamålsenligheten bör vara avgörande.</w:t>
      </w:r>
    </w:p>
    <w:p w:rsidR="001C7BF9" w:rsidRPr="00C9680B" w:rsidRDefault="001C7BF9">
      <w:pPr>
        <w:pStyle w:val="Normaltindrag"/>
      </w:pPr>
      <w:r w:rsidRPr="00C9680B">
        <w:t>En viktig fråga är utvärderingen av olika offentligt finansierade vä</w:t>
      </w:r>
      <w:r w:rsidRPr="00C9680B">
        <w:t>l</w:t>
      </w:r>
      <w:r w:rsidRPr="00C9680B">
        <w:t>färdstjänster. Så långt möjligt bör brukarna ha möjlighet att välja producent. Men många gånger måste politikerna ta ställning, t.ex. när det gäller att fo</w:t>
      </w:r>
      <w:r w:rsidRPr="00C9680B">
        <w:t>r</w:t>
      </w:r>
      <w:r w:rsidRPr="00C9680B">
        <w:t>mulera krav och uppföljningsmetoder vid entreprenadupphandling. De pr</w:t>
      </w:r>
      <w:r w:rsidRPr="00C9680B">
        <w:t>o</w:t>
      </w:r>
      <w:r w:rsidRPr="00C9680B">
        <w:t>blem med t.ex. privata vårdhem som förekommit har oftast haft att göra med att kommunen i fråga inte gjort förutsättningarna klara för sig och den man anlitat. Kommunerna bör utveckla sin förmåga att i förväg ställa krav och i efterhand kunna utvärdera de tjänster som olika produce</w:t>
      </w:r>
      <w:r w:rsidRPr="00C9680B">
        <w:t>n</w:t>
      </w:r>
      <w:r w:rsidRPr="00C9680B">
        <w:t>te</w:t>
      </w:r>
      <w:r w:rsidRPr="00C9680B">
        <w:t>r erbjuder.</w:t>
      </w:r>
    </w:p>
    <w:p w:rsidR="001C7BF9" w:rsidRPr="00C9680B" w:rsidRDefault="001C7BF9">
      <w:pPr>
        <w:pStyle w:val="Rubrik4"/>
        <w:rPr>
          <w:noProof w:val="0"/>
        </w:rPr>
      </w:pPr>
      <w:bookmarkStart w:id="705" w:name="_Toc498910906"/>
      <w:r w:rsidRPr="00C9680B">
        <w:rPr>
          <w:noProof w:val="0"/>
        </w:rPr>
        <w:t>En öppnare arbetsmarknad för kvinnor</w:t>
      </w:r>
      <w:bookmarkEnd w:id="705"/>
    </w:p>
    <w:p w:rsidR="001C7BF9" w:rsidRPr="00C9680B" w:rsidRDefault="001C7BF9">
      <w:r w:rsidRPr="00C9680B">
        <w:t>De erfarenheter som finns på de områden där flera producenter tillåtits och där tidigare offentliga verksamheter gått över i annan ägo visar i många fall på en betydligt större tillfredsställelse och arbetsglädje hos de anställda. Det som är viktigt att se till i en sådan process är att finansieringen sker i en sådan form att alla med samma utgångsläge har lika möjligheter att få del av utbil</w:t>
      </w:r>
      <w:r w:rsidRPr="00C9680B">
        <w:t>d</w:t>
      </w:r>
      <w:r w:rsidRPr="00C9680B">
        <w:t>ning, vård och omsorg.</w:t>
      </w:r>
    </w:p>
    <w:p w:rsidR="001C7BF9" w:rsidRPr="00C9680B" w:rsidRDefault="001C7BF9">
      <w:pPr>
        <w:pStyle w:val="Normaltindrag"/>
      </w:pPr>
      <w:r w:rsidRPr="00C9680B">
        <w:t>Undersökningar bland personer som tidigare arbetat i offentlig sektor och sedan bytt till den privata sektorn visar att en klar majoritet upplever att mö</w:t>
      </w:r>
      <w:r w:rsidRPr="00C9680B">
        <w:t>j</w:t>
      </w:r>
      <w:r w:rsidRPr="00C9680B">
        <w:t>ligheterna till vidareutbildning och kompetensutveckling förbättrats. En tydlig majoritet är nöjda eller mycket nöjda med den nya situationen. Detsamma gäller personer i tidigare offentliga verksamheter som privatiserats. En mån</w:t>
      </w:r>
      <w:r w:rsidRPr="00C9680B">
        <w:t>g</w:t>
      </w:r>
      <w:r w:rsidRPr="00C9680B">
        <w:t>fald arbetsgivare och konkurrens om personalen är det bästa sättet att åsta</w:t>
      </w:r>
      <w:r w:rsidRPr="00C9680B">
        <w:t>d</w:t>
      </w:r>
      <w:r w:rsidRPr="00C9680B">
        <w:t>komma bättre löner för de många kvinnor i yrken med lång utbildning som i dag är underbetalda, det ger fler karriärvägar och möjligheter att arbeta i bättre arbetsorganisationer.</w:t>
      </w:r>
    </w:p>
    <w:p w:rsidR="001C7BF9" w:rsidRPr="00C9680B" w:rsidRDefault="001C7BF9">
      <w:pPr>
        <w:pStyle w:val="Normaltindrag"/>
      </w:pPr>
      <w:r w:rsidRPr="00C9680B">
        <w:t>Motståndet mot öppenhet dra</w:t>
      </w:r>
      <w:r w:rsidRPr="00C9680B">
        <w:t>bbar främst kvinnor därigenom att huvudd</w:t>
      </w:r>
      <w:r w:rsidRPr="00C9680B">
        <w:t>e</w:t>
      </w:r>
      <w:r w:rsidRPr="00C9680B">
        <w:t>len anställda inom dessa områden är kvinnor. Genom monopoliseringen i offentlig regi nekas de möjlighet att pröva nya idéer, nya metoder och andra, mindre byråkratiska organisationsformer. Det är betydande välfärdsförluster som uppstår härigenom, dels genom att de som behöver tjänster får färre valmöjligheter och ett utbud av tjänster som på ett sämre sätt passar den e</w:t>
      </w:r>
      <w:r w:rsidRPr="00C9680B">
        <w:t>n</w:t>
      </w:r>
      <w:r w:rsidRPr="00C9680B">
        <w:t>skildes behov, dels genom att de anställda inte får pröva möjligheten att ta ett större ansvar. Det</w:t>
      </w:r>
      <w:r w:rsidRPr="00C9680B">
        <w:t xml:space="preserve"> har visat sig att långtidssjukskrivningarna ökar kraftigt för främst kvinnor i den offentliga sektorn.</w:t>
      </w:r>
    </w:p>
    <w:p w:rsidR="001C7BF9" w:rsidRPr="00C9680B" w:rsidRDefault="001C7BF9">
      <w:pPr>
        <w:pStyle w:val="Normaltindrag"/>
      </w:pPr>
      <w:r w:rsidRPr="00C9680B">
        <w:t>Det är också så att så länge det är mest kvinnor som tar huvudansvaret för omsorgen av barn och gamla är det kvinnors möjlighet till förvärvsarbete som drabbas då dessa tjänster ej fungerar tillfredsställande. Valfrihet i vä</w:t>
      </w:r>
      <w:r w:rsidRPr="00C9680B">
        <w:t>l</w:t>
      </w:r>
      <w:r w:rsidRPr="00C9680B">
        <w:t>färdstjänsterna är därför en viktig förutsättning för ett aktivt förvärvsdelt</w:t>
      </w:r>
      <w:r w:rsidRPr="00C9680B">
        <w:t>a</w:t>
      </w:r>
      <w:r w:rsidRPr="00C9680B">
        <w:t>gande för många kvinnor.</w:t>
      </w:r>
    </w:p>
    <w:p w:rsidR="001C7BF9" w:rsidRPr="00C9680B" w:rsidRDefault="001C7BF9">
      <w:pPr>
        <w:pStyle w:val="Rubrik2b"/>
        <w:outlineLvl w:val="0"/>
        <w:rPr>
          <w:rFonts w:ascii="Tms Rmn" w:hAnsi="Tms Rmn"/>
          <w:snapToGrid w:val="0"/>
          <w:color w:val="000000"/>
        </w:rPr>
      </w:pPr>
      <w:bookmarkStart w:id="706" w:name="_Toc498910907"/>
      <w:r w:rsidRPr="00C9680B">
        <w:t>Starka och självständiga kommuner</w:t>
      </w:r>
      <w:bookmarkEnd w:id="706"/>
      <w:r w:rsidRPr="00C9680B">
        <w:rPr>
          <w:rFonts w:ascii="Tms Rmn" w:hAnsi="Tms Rmn"/>
          <w:snapToGrid w:val="0"/>
          <w:color w:val="000000"/>
        </w:rPr>
        <w:t xml:space="preserve"> </w:t>
      </w:r>
    </w:p>
    <w:p w:rsidR="001C7BF9" w:rsidRPr="00C9680B" w:rsidRDefault="001C7BF9">
      <w:pPr>
        <w:rPr>
          <w:snapToGrid w:val="0"/>
        </w:rPr>
      </w:pPr>
      <w:r w:rsidRPr="00C9680B">
        <w:rPr>
          <w:rFonts w:ascii="Tms Rmn" w:hAnsi="Tms Rmn"/>
          <w:snapToGrid w:val="0"/>
          <w:color w:val="000000"/>
        </w:rPr>
        <w:t>Med tanke på den roll som kommuner och landsting för närvarande har när det gäller vård, skola och omsorg framstår – som redovisas ovan – vikten av mångfald och förnyelse i dessa verksamheter som väsentlig.</w:t>
      </w:r>
    </w:p>
    <w:p w:rsidR="001C7BF9" w:rsidRPr="00C9680B" w:rsidRDefault="001C7BF9">
      <w:pPr>
        <w:pStyle w:val="Normaltindrag"/>
        <w:rPr>
          <w:snapToGrid w:val="0"/>
        </w:rPr>
      </w:pPr>
      <w:r w:rsidRPr="00C9680B">
        <w:rPr>
          <w:snapToGrid w:val="0"/>
        </w:rPr>
        <w:t>Kommunerna har tagit sin del i saneringen av de offentliga finanserna. Framför allt minskade skatteintäkter på grund av minskad skattekraft hos medborgarna, men även minskade statsbidrag, har beskurit kommunernas ekonomiska resurser för att bedriva sina viktiga verksamheter inom vård, omsorg och skola.</w:t>
      </w:r>
    </w:p>
    <w:p w:rsidR="001C7BF9" w:rsidRPr="00C9680B" w:rsidRDefault="001C7BF9">
      <w:pPr>
        <w:pStyle w:val="Normaltindrag"/>
        <w:rPr>
          <w:snapToGrid w:val="0"/>
        </w:rPr>
      </w:pPr>
      <w:r w:rsidRPr="00C9680B">
        <w:rPr>
          <w:snapToGrid w:val="0"/>
        </w:rPr>
        <w:t>De minskade ekonomiska ramarna har lett till stark press på produktiv</w:t>
      </w:r>
      <w:r w:rsidRPr="00C9680B">
        <w:rPr>
          <w:snapToGrid w:val="0"/>
        </w:rPr>
        <w:t>i</w:t>
      </w:r>
      <w:r w:rsidRPr="00C9680B">
        <w:rPr>
          <w:snapToGrid w:val="0"/>
        </w:rPr>
        <w:t>tetsökningar inom den kommunala verksamheten. Strukturförändringar har varit nödvändiga. Dessa har underlättats av att statsbidragssystemet 1993 i grunden omarbetades genom att specialdestinerade statsbidrag med detal</w:t>
      </w:r>
      <w:r w:rsidRPr="00C9680B">
        <w:rPr>
          <w:snapToGrid w:val="0"/>
        </w:rPr>
        <w:t>j</w:t>
      </w:r>
      <w:r w:rsidRPr="00C9680B">
        <w:rPr>
          <w:snapToGrid w:val="0"/>
        </w:rPr>
        <w:t>reglering ersattes av statsbidrag utan detaljregleringar om hur de skall anvä</w:t>
      </w:r>
      <w:r w:rsidRPr="00C9680B">
        <w:rPr>
          <w:snapToGrid w:val="0"/>
        </w:rPr>
        <w:t>n</w:t>
      </w:r>
      <w:r w:rsidRPr="00C9680B">
        <w:rPr>
          <w:snapToGrid w:val="0"/>
        </w:rPr>
        <w:t xml:space="preserve">das. Syftet med att ge statsbidragen i en ”påse” till kommunerna var att öka kommunpolitikernas möjligheter att ta till vara de lokala förutsättningarna och använda resurserna effektivare. Resursanvändningen skulle </w:t>
      </w:r>
      <w:r w:rsidRPr="00C9680B">
        <w:rPr>
          <w:snapToGrid w:val="0"/>
        </w:rPr>
        <w:t>bli mer e</w:t>
      </w:r>
      <w:r w:rsidRPr="00C9680B">
        <w:rPr>
          <w:snapToGrid w:val="0"/>
        </w:rPr>
        <w:t>f</w:t>
      </w:r>
      <w:r w:rsidRPr="00C9680B">
        <w:rPr>
          <w:snapToGrid w:val="0"/>
        </w:rPr>
        <w:t>fektiv när regler och förordningar som bestämde de öronmärkta bidragen försvann. Vi vill understryka att systemet med statsbidrag utan detaljreglering har varit framgångsrikt då det verksamt har bidragit till att effektivisera kommunernas verksamhet. Det är också ur demokratisk synvinkel betydels</w:t>
      </w:r>
      <w:r w:rsidRPr="00C9680B">
        <w:rPr>
          <w:snapToGrid w:val="0"/>
        </w:rPr>
        <w:t>e</w:t>
      </w:r>
      <w:r w:rsidRPr="00C9680B">
        <w:rPr>
          <w:snapToGrid w:val="0"/>
        </w:rPr>
        <w:t>fullt genom att lokala politiska prioriteringar och val av verksamhetsinrik</w:t>
      </w:r>
      <w:r w:rsidRPr="00C9680B">
        <w:rPr>
          <w:snapToGrid w:val="0"/>
        </w:rPr>
        <w:t>t</w:t>
      </w:r>
      <w:r w:rsidRPr="00C9680B">
        <w:rPr>
          <w:snapToGrid w:val="0"/>
        </w:rPr>
        <w:t>ning blir tydliga för den enskilde kommuninvånaren.</w:t>
      </w:r>
    </w:p>
    <w:p w:rsidR="001C7BF9" w:rsidRPr="00C9680B" w:rsidRDefault="001C7BF9">
      <w:pPr>
        <w:pStyle w:val="Normaltindrag"/>
      </w:pPr>
      <w:r w:rsidRPr="00C9680B">
        <w:rPr>
          <w:snapToGrid w:val="0"/>
        </w:rPr>
        <w:t>Nu växer åter den svenska ekonomin, skattekraften ökar på nytt. Denna u</w:t>
      </w:r>
      <w:r w:rsidRPr="00C9680B">
        <w:rPr>
          <w:snapToGrid w:val="0"/>
        </w:rPr>
        <w:t>t</w:t>
      </w:r>
      <w:r w:rsidRPr="00C9680B">
        <w:rPr>
          <w:snapToGrid w:val="0"/>
        </w:rPr>
        <w:t>veckling är för den kommunala ekonomin viktigare än att statsbidragen ökar eftersom skattekraftsutvecklingen tillför kommunerna mera pengar än statsb</w:t>
      </w:r>
      <w:r w:rsidRPr="00C9680B">
        <w:rPr>
          <w:snapToGrid w:val="0"/>
        </w:rPr>
        <w:t>i</w:t>
      </w:r>
      <w:r w:rsidRPr="00C9680B">
        <w:rPr>
          <w:snapToGrid w:val="0"/>
        </w:rPr>
        <w:t xml:space="preserve">dragsökningarna. </w:t>
      </w:r>
      <w:r w:rsidRPr="00C9680B">
        <w:t>För närvarande uppgår den samlade kommunsektorns i</w:t>
      </w:r>
      <w:r w:rsidRPr="00C9680B">
        <w:t>n</w:t>
      </w:r>
      <w:r w:rsidRPr="00C9680B">
        <w:t>komster till ca 470 miljarder kronor (exkl. kommunala bolag). Av detta är drygt 70 % kommunalskatteinkomster, ca 18 % statsbidrag och drygt 10 % övriga inkomster. Grunden för den kommunala ekonomin är således ska</w:t>
      </w:r>
      <w:r w:rsidRPr="00C9680B">
        <w:t>t</w:t>
      </w:r>
      <w:r w:rsidRPr="00C9680B">
        <w:t>teintäkterna och deras tillväxt. Det bästa sättet att stärka kommunernas ek</w:t>
      </w:r>
      <w:r w:rsidRPr="00C9680B">
        <w:t>o</w:t>
      </w:r>
      <w:r w:rsidRPr="00C9680B">
        <w:t>nomi</w:t>
      </w:r>
      <w:r w:rsidRPr="00C9680B">
        <w:t xml:space="preserve"> och skapa utrymme för god service och lägre skatter är därför att ha en god tillväxt som ger fler skattebetalare.</w:t>
      </w:r>
    </w:p>
    <w:p w:rsidR="001C7BF9" w:rsidRPr="00C9680B" w:rsidRDefault="001C7BF9">
      <w:pPr>
        <w:pStyle w:val="Normaltindrag"/>
      </w:pPr>
      <w:r w:rsidRPr="00C9680B">
        <w:t>Trots att statsbidragen inte utgör den huvudsakliga finansieringen av kommunernas verksamheter har deras storlek och utformning betydelse för den kommunala ekonomin. Det är därför oroväckande att regeringen på o</w:t>
      </w:r>
      <w:r w:rsidRPr="00C9680B">
        <w:t>m</w:t>
      </w:r>
      <w:r w:rsidRPr="00C9680B">
        <w:t>råde efter område kringgår kommunernas egna prioriteringar med olika typer av riktade statsbidrag. Bara de statliga och kommunala resurser som går åt för att administrera dessa bidrag är ett resursslöseri. En alltmer framväxande centralism urholkar det kommunala självstyret och riskerar minska de enski</w:t>
      </w:r>
      <w:r w:rsidRPr="00C9680B">
        <w:t>l</w:t>
      </w:r>
      <w:r w:rsidRPr="00C9680B">
        <w:t>da människornas intresse för att engagera sig i den lokala politiken.</w:t>
      </w:r>
    </w:p>
    <w:p w:rsidR="001C7BF9" w:rsidRPr="00C9680B" w:rsidRDefault="001C7BF9">
      <w:pPr>
        <w:pStyle w:val="Normaltindrag"/>
      </w:pPr>
      <w:r w:rsidRPr="00C9680B">
        <w:t>Floran av riktade bidrag är omfattande. Det handlar om bidrag till komm</w:t>
      </w:r>
      <w:r w:rsidRPr="00C9680B">
        <w:t>u</w:t>
      </w:r>
      <w:r w:rsidRPr="00C9680B">
        <w:t>ner i ekonomiska svårigheter eller med storstadsproblem, bidrag till komm</w:t>
      </w:r>
      <w:r w:rsidRPr="00C9680B">
        <w:t>u</w:t>
      </w:r>
      <w:r w:rsidRPr="00C9680B">
        <w:t>nala bostadsbolag med dålig ekonomi, åldersrelaterade bidrag till skolan vården och omsorgen, kvalitetssäkringsbidrag till förskolan m.m. Det tydl</w:t>
      </w:r>
      <w:r w:rsidRPr="00C9680B">
        <w:t>i</w:t>
      </w:r>
      <w:r w:rsidRPr="00C9680B">
        <w:t>gaste och mest omdiskuterade exemplet är ändå regeringens förslag om ma</w:t>
      </w:r>
      <w:r w:rsidRPr="00C9680B">
        <w:t>x</w:t>
      </w:r>
      <w:r w:rsidRPr="00C9680B">
        <w:t>taxa i barnomsorgen. Maxtaxan inskränker enskilda familjers valfrihet genom att göra en barnomsorgsform så gynnad att andra alternativ kvävs. Barno</w:t>
      </w:r>
      <w:r w:rsidRPr="00C9680B">
        <w:t>m</w:t>
      </w:r>
      <w:r w:rsidRPr="00C9680B">
        <w:t>sorgen blir i det närmaste socialiserad.</w:t>
      </w:r>
    </w:p>
    <w:p w:rsidR="001C7BF9" w:rsidRPr="00C9680B" w:rsidRDefault="001C7BF9">
      <w:pPr>
        <w:pStyle w:val="Normaltindrag"/>
      </w:pPr>
      <w:r w:rsidRPr="00C9680B">
        <w:t>Maxtaxan minskar inte bara en</w:t>
      </w:r>
      <w:r w:rsidRPr="00C9680B">
        <w:t>skilda familjers valfrihet utan också ko</w:t>
      </w:r>
      <w:r w:rsidRPr="00C9680B">
        <w:t>m</w:t>
      </w:r>
      <w:r w:rsidRPr="00C9680B">
        <w:t>munernas möjlighet att göra egna prioriteringar. Med regeringens förslag till maxtaxa följer nämligen att efterfrågan på kommunalt finansierad barno</w:t>
      </w:r>
      <w:r w:rsidRPr="00C9680B">
        <w:t>m</w:t>
      </w:r>
      <w:r w:rsidRPr="00C9680B">
        <w:t>sorg kommer att öka kraftigt. Även om regeringens 500-miljonerssatsning på kvalitet i förskolan räknas med kvarstår en merkostnad för kommunerna som Kommunförbundet beräknat till mellan 1,5 och 2,0 miljarder kronor, en me</w:t>
      </w:r>
      <w:r w:rsidRPr="00C9680B">
        <w:t>r</w:t>
      </w:r>
      <w:r w:rsidRPr="00C9680B">
        <w:t>kostnad på grund av maxtaxan som inte regeringen kompenserar kommune</w:t>
      </w:r>
      <w:r w:rsidRPr="00C9680B">
        <w:t>r</w:t>
      </w:r>
      <w:r w:rsidRPr="00C9680B">
        <w:t>na för och som därmed kommer at</w:t>
      </w:r>
      <w:r w:rsidRPr="00C9680B">
        <w:t>t belasta redan ansträngda kommunala budgetar.</w:t>
      </w:r>
    </w:p>
    <w:p w:rsidR="001C7BF9" w:rsidRPr="00C9680B" w:rsidRDefault="001C7BF9">
      <w:pPr>
        <w:pStyle w:val="Normaltindrag"/>
      </w:pPr>
      <w:r w:rsidRPr="00C9680B">
        <w:t>Det är mycket viktigt att kommunerna ges den frihet som krävs för att kunna fortsätta ett förändringsarbete som innebär att medborgarna kan få mer för varje skattekrona. Denna frihet hotas genom olika typer av riktade statsb</w:t>
      </w:r>
      <w:r w:rsidRPr="00C9680B">
        <w:t>i</w:t>
      </w:r>
      <w:r w:rsidRPr="00C9680B">
        <w:t>drag samt andra former av pekpinnar och pålagor från regeringen. Statsbidr</w:t>
      </w:r>
      <w:r w:rsidRPr="00C9680B">
        <w:t>a</w:t>
      </w:r>
      <w:r w:rsidRPr="00C9680B">
        <w:t>gen bör utformas så att de ger rimliga möjligheter för kommuner med olika föru</w:t>
      </w:r>
      <w:r w:rsidRPr="00C9680B">
        <w:t>t</w:t>
      </w:r>
      <w:r w:rsidRPr="00C9680B">
        <w:t>sättningar att bedriva en verksamhet med god standard.</w:t>
      </w:r>
    </w:p>
    <w:p w:rsidR="001C7BF9" w:rsidRPr="00C9680B" w:rsidRDefault="001C7BF9">
      <w:pPr>
        <w:pStyle w:val="Normaltindrag"/>
      </w:pPr>
      <w:r w:rsidRPr="00C9680B">
        <w:t>Våra partier har en annan syn på de kommunala verksamheterna och den kommunala självstyrelsen. Vi vill föra en politik för självständiga och starka kommuner. Genom avregleringar och konkurrensutsättning i förening med tydlig prioritering av kärnuppgifterna finns goda möjligheter att uppnå detta.</w:t>
      </w:r>
    </w:p>
    <w:p w:rsidR="001C7BF9" w:rsidRPr="00C9680B" w:rsidRDefault="001C7BF9">
      <w:r w:rsidRPr="00C9680B">
        <w:t>Vi föreslår att riksdagen tillkännager för regeringen som sin mening vad vi i reservation 1 framfört om inriktningen av den allmänna ekonomiska polit</w:t>
      </w:r>
      <w:r w:rsidRPr="00C9680B">
        <w:t>i</w:t>
      </w:r>
      <w:r w:rsidRPr="00C9680B">
        <w:t>ken. Riksdagen bifaller därmed delvis motionerna Fi204 (kd), Fi208 (m) yrkandena 1, 9–11, 13–18, 21, 22 och 24–26, Fi209 (kd) yrkandena 1 och 10, Fi210 (c) yrkandena 1 och 6 och Fi211 (fp) yrkande 1.</w:t>
      </w:r>
    </w:p>
    <w:p w:rsidR="001C7BF9" w:rsidRPr="00C9680B" w:rsidRDefault="001C7BF9">
      <w:pPr>
        <w:pStyle w:val="Reservationspunkt"/>
        <w:outlineLvl w:val="0"/>
        <w:rPr>
          <w:noProof w:val="0"/>
        </w:rPr>
      </w:pPr>
      <w:bookmarkStart w:id="707" w:name="_Toc498910908"/>
      <w:r w:rsidRPr="00C9680B">
        <w:rPr>
          <w:noProof w:val="0"/>
        </w:rPr>
        <w:t>2.</w:t>
      </w:r>
      <w:r w:rsidRPr="00C9680B">
        <w:rPr>
          <w:noProof w:val="0"/>
        </w:rPr>
        <w:tab/>
        <w:t>Formerna för ställningstagande till euro (punkt 2) (m)</w:t>
      </w:r>
      <w:bookmarkEnd w:id="707"/>
    </w:p>
    <w:p w:rsidR="001C7BF9" w:rsidRPr="00C9680B" w:rsidRDefault="001C7BF9">
      <w:pPr>
        <w:pStyle w:val="Reservanter"/>
      </w:pPr>
      <w:r w:rsidRPr="00C9680B">
        <w:t>av Gunnar Hökmark, Lennart Hedquist, Anna Åkerhielm och Gunnar Axén (alla m).</w:t>
      </w:r>
    </w:p>
    <w:p w:rsidR="001C7BF9" w:rsidRPr="00C9680B" w:rsidRDefault="001C7BF9">
      <w:pPr>
        <w:pStyle w:val="R4"/>
      </w:pPr>
      <w:r w:rsidRPr="00C9680B">
        <w:t>Förslag till riksdagsbeslut</w:t>
      </w:r>
    </w:p>
    <w:p w:rsidR="001C7BF9" w:rsidRPr="00C9680B" w:rsidRDefault="001C7BF9">
      <w:r w:rsidRPr="00C9680B">
        <w:t>Vi anser att förslaget till riksdagsbeslut under punkt 2 borde ha följande l</w:t>
      </w:r>
      <w:r w:rsidRPr="00C9680B">
        <w:t>y</w:t>
      </w:r>
      <w:r w:rsidRPr="00C9680B">
        <w:t>delse:</w:t>
      </w:r>
    </w:p>
    <w:p w:rsidR="001C7BF9" w:rsidRPr="00C9680B" w:rsidRDefault="001C7BF9">
      <w:pPr>
        <w:pStyle w:val="Reservantfrslag"/>
      </w:pPr>
      <w:r w:rsidRPr="00C9680B">
        <w:t>2.  Riksdagen tillkännager för regeringen som sin mening vad som framförs i reservation 2. Riksdagen bifaller därmed motionerna 2000/01:Fi208 yrkande 23 och 2000/01:U513 yrkande 4 och avslår motionerna 2000/01:K398 yrka</w:t>
      </w:r>
      <w:r w:rsidRPr="00C9680B">
        <w:t>n</w:t>
      </w:r>
      <w:r w:rsidRPr="00C9680B">
        <w:t>de 11, 2000/01:Fi207, 2000/01:Fi209 yrkande 9, 2000/01:Fi212, 2000/01:</w:t>
      </w:r>
      <w:r w:rsidRPr="00C9680B">
        <w:br/>
        <w:t>Fi214, 2000/01:Fi218, 2000/01:Fi220 och 2000/01:U510 yrkandena 15 och 16.</w:t>
      </w:r>
    </w:p>
    <w:p w:rsidR="001C7BF9" w:rsidRPr="00C9680B" w:rsidRDefault="001C7BF9">
      <w:pPr>
        <w:pStyle w:val="R4"/>
      </w:pPr>
      <w:r w:rsidRPr="00C9680B">
        <w:t>Ställningstagande</w:t>
      </w:r>
    </w:p>
    <w:p w:rsidR="001C7BF9" w:rsidRPr="00C9680B" w:rsidRDefault="001C7BF9">
      <w:r w:rsidRPr="00C9680B">
        <w:t>Vi anser att Sverige så snart som möjligt bör ansluta sig till de tolv EU-länder som nu genomför den gemensamma valutan – euron. Regeringen bör prese</w:t>
      </w:r>
      <w:r w:rsidRPr="00C9680B">
        <w:t>n</w:t>
      </w:r>
      <w:r w:rsidRPr="00C9680B">
        <w:t>tera en tidtabell över processen för ett beslut om euron. Så snart ett  beslut är fattat bör Sverige ansluta sig till ERM2. Vi anser också att en informationsi</w:t>
      </w:r>
      <w:r w:rsidRPr="00C9680B">
        <w:t>n</w:t>
      </w:r>
      <w:r w:rsidRPr="00C9680B">
        <w:t>sats behöver göras för att öka intresset och kunskapen hos svenska folket för EMU.</w:t>
      </w:r>
    </w:p>
    <w:p w:rsidR="001C7BF9" w:rsidRPr="00C9680B" w:rsidRDefault="001C7BF9">
      <w:r w:rsidRPr="00C9680B">
        <w:t>Vi föreslår att riksdagen tillkännager för regeringen som sin mening vad vi framfört om att Sverige bör gå med i EMU. Riksdagen bifaller därmed m</w:t>
      </w:r>
      <w:r w:rsidRPr="00C9680B">
        <w:t>o</w:t>
      </w:r>
      <w:r w:rsidRPr="00C9680B">
        <w:t>tionerna Fi208 (m) yrkande 23 och U513 (m) yrkande 4 och avslår motione</w:t>
      </w:r>
      <w:r w:rsidRPr="00C9680B">
        <w:t>r</w:t>
      </w:r>
      <w:r w:rsidRPr="00C9680B">
        <w:t>na K398 (fp) yrkande 11, Fi207 (fp), Fi209 (kd) yrkande 9, Fi212 (mp), Fi214 (s), Fi218 (v), Fi220 (c) och U510 (c) yrkandena 15 och 16.</w:t>
      </w:r>
    </w:p>
    <w:p w:rsidR="001C7BF9" w:rsidRPr="00C9680B" w:rsidRDefault="001C7BF9">
      <w:pPr>
        <w:pStyle w:val="Reservationspunkt"/>
        <w:outlineLvl w:val="0"/>
        <w:rPr>
          <w:noProof w:val="0"/>
        </w:rPr>
      </w:pPr>
      <w:bookmarkStart w:id="708" w:name="_Toc498910909"/>
      <w:r w:rsidRPr="00C9680B">
        <w:rPr>
          <w:noProof w:val="0"/>
        </w:rPr>
        <w:t>3.</w:t>
      </w:r>
      <w:r w:rsidRPr="00C9680B">
        <w:rPr>
          <w:noProof w:val="0"/>
        </w:rPr>
        <w:tab/>
        <w:t>Formerna för ställningstagande till euro (punkt 2) (v)</w:t>
      </w:r>
      <w:bookmarkEnd w:id="708"/>
    </w:p>
    <w:p w:rsidR="001C7BF9" w:rsidRPr="00C9680B" w:rsidRDefault="001C7BF9">
      <w:pPr>
        <w:pStyle w:val="Reservanter"/>
      </w:pPr>
      <w:r w:rsidRPr="00C9680B">
        <w:t>av Siv Holma och Lars Bäckström (båda v).</w:t>
      </w:r>
    </w:p>
    <w:p w:rsidR="001C7BF9" w:rsidRPr="00C9680B" w:rsidRDefault="001C7BF9">
      <w:pPr>
        <w:pStyle w:val="R4"/>
      </w:pPr>
      <w:r w:rsidRPr="00C9680B">
        <w:t>Förslag till riksdagsbeslut</w:t>
      </w:r>
    </w:p>
    <w:p w:rsidR="001C7BF9" w:rsidRPr="00C9680B" w:rsidRDefault="001C7BF9">
      <w:r w:rsidRPr="00C9680B">
        <w:t>Vi anser att förslaget till riksdagsbeslut under punkt 2 borde ha följande l</w:t>
      </w:r>
      <w:r w:rsidRPr="00C9680B">
        <w:t>y</w:t>
      </w:r>
      <w:r w:rsidRPr="00C9680B">
        <w:t>delse:</w:t>
      </w:r>
    </w:p>
    <w:p w:rsidR="001C7BF9" w:rsidRPr="00C9680B" w:rsidRDefault="001C7BF9">
      <w:pPr>
        <w:pStyle w:val="Reservantfrslag"/>
      </w:pPr>
      <w:r w:rsidRPr="00C9680B">
        <w:t>2.  Riksdagen tillkännager för regeringen som sin mening vad som framförs i reservation 3. Riksdagen bifaller därmed helt motion 2000/01:Fi218, bifaller delvis motion 2000/01:Fi214 och avslår motionerna 2000/01:K398 yrkande 11, 2000/01:Fi207, 2000/01:Fi208 yrkande 23, 2000/01:Fi209 yrkande 9, 2000/01:Fi212, 2000/01:Fi220, 2000/01:U513 yrkande 4 och 2000/01:U510 y</w:t>
      </w:r>
      <w:r w:rsidRPr="00C9680B">
        <w:t>r</w:t>
      </w:r>
      <w:r w:rsidRPr="00C9680B">
        <w:t>kandena 15 och 16.</w:t>
      </w:r>
    </w:p>
    <w:p w:rsidR="001C7BF9" w:rsidRPr="00C9680B" w:rsidRDefault="001C7BF9">
      <w:pPr>
        <w:pStyle w:val="R4"/>
      </w:pPr>
      <w:r w:rsidRPr="00C9680B">
        <w:t>Ställningstagande</w:t>
      </w:r>
    </w:p>
    <w:p w:rsidR="001C7BF9" w:rsidRPr="00C9680B" w:rsidRDefault="001C7BF9">
      <w:r w:rsidRPr="00C9680B">
        <w:t>Det finns i dag en riksdagmajoritet om att beslut rörande ett svenskt deltaga</w:t>
      </w:r>
      <w:r w:rsidRPr="00C9680B">
        <w:t>n</w:t>
      </w:r>
      <w:r w:rsidRPr="00C9680B">
        <w:t>de i EMU skall föregås av en folkomröstning. Att välja om Sverige skall gå med i EMU eller ej är ett beslut av större dignitet än valet att gå med i EU. Vi anser att EMU-frågan handlar om centrala frågor om välfärdssamhället och demokratins framtid. Därför är det viktigt att olika värderingar och synsätt på ett likvärdigt sätt får genomslag i informationen.</w:t>
      </w:r>
    </w:p>
    <w:p w:rsidR="001C7BF9" w:rsidRPr="00C9680B" w:rsidRDefault="001C7BF9">
      <w:pPr>
        <w:pStyle w:val="Normaltindrag"/>
      </w:pPr>
      <w:r w:rsidRPr="00C9680B">
        <w:t>I folkomröstningen 1994 om EU var detta inte fallet. Den offentliga info</w:t>
      </w:r>
      <w:r w:rsidRPr="00C9680B">
        <w:t>r</w:t>
      </w:r>
      <w:r w:rsidRPr="00C9680B">
        <w:t>mation som gavs och de offentliga utredningar som gjordes i anslutning till folkomröstningen tillhörde definitivt inte kategorin neutral information. I EU-folkomröstningen hade också ja-sidan ca 20 gånger så stora resurser som nej-sidan, enligt forskarup</w:t>
      </w:r>
      <w:r w:rsidRPr="00C9680B">
        <w:t>p</w:t>
      </w:r>
      <w:r w:rsidRPr="00C9680B">
        <w:t>gifter.</w:t>
      </w:r>
    </w:p>
    <w:p w:rsidR="001C7BF9" w:rsidRPr="00C9680B" w:rsidRDefault="001C7BF9">
      <w:pPr>
        <w:pStyle w:val="Normaltindrag"/>
      </w:pPr>
      <w:r w:rsidRPr="00C9680B">
        <w:t>Vi anser därför att riksdagen bör tillsätta en parlamentarisk kommitté med uppgift att förbereda folkomröstningen för att väljarna i en folkomröstning om EMU skall få en allsidig bild av de olika alternativen. Kommittén bör bl.a. hantera och förber</w:t>
      </w:r>
      <w:r w:rsidRPr="00C9680B">
        <w:t>eda myndigheternas information samt garantera dess sa</w:t>
      </w:r>
      <w:r w:rsidRPr="00C9680B">
        <w:t>k</w:t>
      </w:r>
      <w:r w:rsidRPr="00C9680B">
        <w:t>lighet. Vidare bör den övervaka att bidragsgivare redovisar de bidrag som betalats ut till olika kampanjorganisationer samt fördela medlen på ett rättvist sätt mellan ja- och nej-sidan.</w:t>
      </w:r>
    </w:p>
    <w:p w:rsidR="001C7BF9" w:rsidRPr="00C9680B" w:rsidRDefault="001C7BF9">
      <w:pPr>
        <w:pStyle w:val="Normaltindrag"/>
      </w:pPr>
      <w:r w:rsidRPr="00C9680B">
        <w:t>I fjol undertecknade EU ett avtal med svenska myndigheter om att Sverige skall delta i EU:s eurokampanjer. Vi anser att upplägget av kampanjerna är påtagligt ensidiga. Därför bör det svenska deltagandet i kampanjerna avbr</w:t>
      </w:r>
      <w:r w:rsidRPr="00C9680B">
        <w:t>y</w:t>
      </w:r>
      <w:r w:rsidRPr="00C9680B">
        <w:t>tas.</w:t>
      </w:r>
    </w:p>
    <w:p w:rsidR="001C7BF9" w:rsidRPr="00C9680B" w:rsidRDefault="001C7BF9">
      <w:r w:rsidRPr="00C9680B">
        <w:t>Vi föreslår att riksdagen tillkännager för regeringen som sin mening vad vi framfört. Riksdagen bifaller därmed helt motion Fi218 (v), bifaller delvis motion Fi214 (s) och avslår motionerna K398 (fp) yrkande 11, Fi207 (fp), Fi208 (m) yrkande 23, Fi209 (kd) yrkande 9, Fi212 (mp), Fi220 (c), U513 (m) yrkande 4 och U510 (c) y</w:t>
      </w:r>
      <w:r w:rsidRPr="00C9680B">
        <w:t>r</w:t>
      </w:r>
      <w:r w:rsidRPr="00C9680B">
        <w:t>kandena 15 och 16.</w:t>
      </w:r>
    </w:p>
    <w:p w:rsidR="001C7BF9" w:rsidRPr="00C9680B" w:rsidRDefault="001C7BF9">
      <w:pPr>
        <w:pStyle w:val="Reservationspunkt"/>
        <w:outlineLvl w:val="0"/>
        <w:rPr>
          <w:noProof w:val="0"/>
        </w:rPr>
      </w:pPr>
      <w:bookmarkStart w:id="709" w:name="_Toc498910910"/>
      <w:r w:rsidRPr="00C9680B">
        <w:rPr>
          <w:noProof w:val="0"/>
        </w:rPr>
        <w:t>4.</w:t>
      </w:r>
      <w:r w:rsidRPr="00C9680B">
        <w:rPr>
          <w:noProof w:val="0"/>
        </w:rPr>
        <w:tab/>
        <w:t>Formerna för ställningstagande till euro (punkt 2) (kd)</w:t>
      </w:r>
      <w:bookmarkEnd w:id="709"/>
    </w:p>
    <w:p w:rsidR="001C7BF9" w:rsidRPr="00C9680B" w:rsidRDefault="001C7BF9">
      <w:pPr>
        <w:pStyle w:val="Reservanter"/>
      </w:pPr>
      <w:r w:rsidRPr="00C9680B">
        <w:t>av Mats Odell och Per Landgren (båda kd).</w:t>
      </w:r>
    </w:p>
    <w:p w:rsidR="001C7BF9" w:rsidRPr="00C9680B" w:rsidRDefault="001C7BF9">
      <w:pPr>
        <w:pStyle w:val="R4"/>
      </w:pPr>
      <w:r w:rsidRPr="00C9680B">
        <w:t>Förslag till riksdagsbeslut</w:t>
      </w:r>
    </w:p>
    <w:p w:rsidR="001C7BF9" w:rsidRPr="00C9680B" w:rsidRDefault="001C7BF9">
      <w:r w:rsidRPr="00C9680B">
        <w:t>Vi anser att förslaget till riksdagsbeslut under punkt 2 borde ha följande l</w:t>
      </w:r>
      <w:r w:rsidRPr="00C9680B">
        <w:t>y</w:t>
      </w:r>
      <w:r w:rsidRPr="00C9680B">
        <w:t>delse:</w:t>
      </w:r>
    </w:p>
    <w:p w:rsidR="001C7BF9" w:rsidRPr="00C9680B" w:rsidRDefault="001C7BF9">
      <w:r w:rsidRPr="00C9680B">
        <w:t>2.  Riksdagen tillkännager för regeringen som sin mening vad som framförs i reservation 4. Riksdagen bifaller därmed motion 2000/01:Fi209 yrkande 9 och avslår motionerna 2000/01:K398 yrkande 11, 2000/01:Fi207, 2000/01:</w:t>
      </w:r>
      <w:r w:rsidRPr="00C9680B">
        <w:br/>
        <w:t>Fi208 yrkande 23, 2000/01:Fi212, 2000/01:Fi214, 2000/01:Fi218, 2000/01:</w:t>
      </w:r>
      <w:r w:rsidRPr="00C9680B">
        <w:br/>
        <w:t>Fi220, 2000/01:U510 yrkandena 15 och 16 och 2000/01:U513 y</w:t>
      </w:r>
      <w:r w:rsidRPr="00C9680B">
        <w:t>r</w:t>
      </w:r>
      <w:r w:rsidRPr="00C9680B">
        <w:t>kande 4.</w:t>
      </w:r>
    </w:p>
    <w:p w:rsidR="001C7BF9" w:rsidRPr="00C9680B" w:rsidRDefault="001C7BF9">
      <w:pPr>
        <w:pStyle w:val="R4"/>
      </w:pPr>
      <w:r w:rsidRPr="00C9680B">
        <w:t>Ställningstagande</w:t>
      </w:r>
    </w:p>
    <w:p w:rsidR="001C7BF9" w:rsidRPr="00C9680B" w:rsidRDefault="001C7BF9">
      <w:r w:rsidRPr="00C9680B">
        <w:t>Vi anser att Sverige fullt ut bör delta i den europeiska valutaunionen, EMU. Vidare anser vi att en folkomröstning i frågan bör genomföras, och den bör föregås av överläggningar mellan ledarna för samtliga riksdagspartier. Av tidsskäl går det inte att genomföra en folkomröstning i år, och det svenska ordförandeskapet i EU omöjliggör en folkomröstning våren 2001. Vi tycker därför att mycket talar för att en folkomröstning bör vänta till efter valet 2002. I folkomröstningen bör också endast finnas två altern</w:t>
      </w:r>
      <w:r w:rsidRPr="00C9680B">
        <w:t>ativ – ja till deltagande i EMU och nej till deltagande i EMU. Efter det att svenska folket i en omrös</w:t>
      </w:r>
      <w:r w:rsidRPr="00C9680B">
        <w:t>t</w:t>
      </w:r>
      <w:r w:rsidRPr="00C9680B">
        <w:t>ning sagt ja till ett medlemskap i EMU bör en förhandling snarast tas upp om anslutning till ERM2. Detta för att korta tiden mellan ansökan och fullt delt</w:t>
      </w:r>
      <w:r w:rsidRPr="00C9680B">
        <w:t>a</w:t>
      </w:r>
      <w:r w:rsidRPr="00C9680B">
        <w:t>gande i EMU.</w:t>
      </w:r>
    </w:p>
    <w:p w:rsidR="001C7BF9" w:rsidRPr="00C9680B" w:rsidRDefault="001C7BF9">
      <w:r w:rsidRPr="00C9680B">
        <w:t>Vi föreslår att riksdagen tillkännager för regeringen som sin mening vad vi framfört om att Sverige bör gå med i EMU. Riksdagen bifaller därmed m</w:t>
      </w:r>
      <w:r w:rsidRPr="00C9680B">
        <w:t>o</w:t>
      </w:r>
      <w:r w:rsidRPr="00C9680B">
        <w:t>tion Fi209 (kd) yrkande 9 och avslår motionerna K398 (fp) yrkande 11, Fi207 (fp), Fi208 (m) yrkande 23, Fi212 (mp), Fi214 (s), Fi218 (v), Fi220 (c), U510 (c) yrkandena 15 och 16 och U513 (m) yrkande 4.</w:t>
      </w:r>
    </w:p>
    <w:p w:rsidR="001C7BF9" w:rsidRPr="00C9680B" w:rsidRDefault="001C7BF9">
      <w:pPr>
        <w:pStyle w:val="Reservationspunkt"/>
        <w:outlineLvl w:val="0"/>
        <w:rPr>
          <w:noProof w:val="0"/>
        </w:rPr>
      </w:pPr>
      <w:bookmarkStart w:id="710" w:name="_Toc498910911"/>
      <w:r w:rsidRPr="00C9680B">
        <w:rPr>
          <w:noProof w:val="0"/>
        </w:rPr>
        <w:t>5.</w:t>
      </w:r>
      <w:r w:rsidRPr="00C9680B">
        <w:rPr>
          <w:noProof w:val="0"/>
        </w:rPr>
        <w:tab/>
        <w:t>Formerna för ställningstagande till euro (punkt 2) (c)</w:t>
      </w:r>
      <w:bookmarkEnd w:id="710"/>
    </w:p>
    <w:p w:rsidR="001C7BF9" w:rsidRPr="00C9680B" w:rsidRDefault="001C7BF9">
      <w:pPr>
        <w:pStyle w:val="Reservanter"/>
      </w:pPr>
      <w:r w:rsidRPr="00C9680B">
        <w:t>av Lena Ek (c).</w:t>
      </w:r>
    </w:p>
    <w:p w:rsidR="001C7BF9" w:rsidRPr="00C9680B" w:rsidRDefault="001C7BF9">
      <w:pPr>
        <w:pStyle w:val="R4"/>
      </w:pPr>
      <w:r w:rsidRPr="00C9680B">
        <w:t>Förslag till riksdagsbeslut</w:t>
      </w:r>
    </w:p>
    <w:p w:rsidR="001C7BF9" w:rsidRPr="00C9680B" w:rsidRDefault="001C7BF9">
      <w:r w:rsidRPr="00C9680B">
        <w:t>Jag anser att förslaget till riksdagsbeslut under punkt 2 borde ha följande lydelse:</w:t>
      </w:r>
    </w:p>
    <w:p w:rsidR="001C7BF9" w:rsidRPr="00C9680B" w:rsidRDefault="001C7BF9">
      <w:r w:rsidRPr="00C9680B">
        <w:t>2. Riksdagen tillkännager för regeringen som sin mening vad som framförs i reservation 5. Riksdagen bifaller därmed motionerna 2000/01:Fi220 och 2000/01:U510 yrkandena 15 och 16 och avslår motionerna 2000/01:K398 yrkande 11, 2000/01:Fi207, 2000/01:Fi208 yrkande 23, 2000/01:Fi209 y</w:t>
      </w:r>
      <w:r w:rsidRPr="00C9680B">
        <w:t>r</w:t>
      </w:r>
      <w:r w:rsidRPr="00C9680B">
        <w:t xml:space="preserve">kande 9, 2000/01:Fi212, 2000/01:Fi214, 2000/01:Fi218 och 2000/01:U513 yrkande 4. </w:t>
      </w:r>
    </w:p>
    <w:p w:rsidR="001C7BF9" w:rsidRPr="00C9680B" w:rsidRDefault="001C7BF9">
      <w:pPr>
        <w:pStyle w:val="R4"/>
      </w:pPr>
      <w:r w:rsidRPr="00C9680B">
        <w:t>Ställningstagande</w:t>
      </w:r>
    </w:p>
    <w:p w:rsidR="001C7BF9" w:rsidRPr="00C9680B" w:rsidRDefault="001C7BF9">
      <w:r w:rsidRPr="00C9680B">
        <w:t>Jag anser att Sverige inte bör delta i EMU:s tredje etapp, eftersom nackdela</w:t>
      </w:r>
      <w:r w:rsidRPr="00C9680B">
        <w:t>r</w:t>
      </w:r>
      <w:r w:rsidRPr="00C9680B">
        <w:t xml:space="preserve">na med ett svenskt inträde överväger de fördelar som finns. Centerpartiet kommer dock noga att följa valutaunionens utveckling och återkommande pröva argumenten för och emot ett medlemskap i EMU. </w:t>
      </w:r>
    </w:p>
    <w:p w:rsidR="001C7BF9" w:rsidRPr="00C9680B" w:rsidRDefault="001C7BF9">
      <w:pPr>
        <w:pStyle w:val="Normaltindrag"/>
      </w:pPr>
      <w:r w:rsidRPr="00C9680B">
        <w:t>Om en riksdagsmajoritet avser att aktualisera ett medlemskap i EMU är det min uppfattning att frågan skall avgöras av medborgarna i en folkomröstning. En folkomröstning brådskar dock inte och om det blir fråga om en omröstning bör den utlysas i god tid och innehålla två tydliga alternativ. Dessutom bör de två alt</w:t>
      </w:r>
      <w:r w:rsidRPr="00C9680B">
        <w:t>ernativen av staten tillförsäkras likvärdiga ekonomiska resu</w:t>
      </w:r>
      <w:r w:rsidRPr="00C9680B">
        <w:t>r</w:t>
      </w:r>
      <w:r w:rsidRPr="00C9680B">
        <w:t>ser.</w:t>
      </w:r>
    </w:p>
    <w:p w:rsidR="001C7BF9" w:rsidRPr="00C9680B" w:rsidRDefault="001C7BF9">
      <w:r w:rsidRPr="00C9680B">
        <w:t xml:space="preserve">Jag föreslår att riksdagen tillkännager för regeringen som sin mening vad som här framförs. Riksdagen bifaller därmed motionerna Fi220 (c) och U510 (c) yrkandena 15 och 16 och avslår motionerna K398 (fp) yrkande 11, Fi207 (fp), Fi208 (m) yrkande 23, Fi209 (kd) yrkande 9, Fi212 (mp), Fi214 (s), Fi218 (v) och U513 (m) yrkande 4. </w:t>
      </w:r>
    </w:p>
    <w:p w:rsidR="001C7BF9" w:rsidRPr="00C9680B" w:rsidRDefault="001C7BF9">
      <w:pPr>
        <w:pStyle w:val="Reservationspunkt"/>
        <w:outlineLvl w:val="0"/>
        <w:rPr>
          <w:noProof w:val="0"/>
        </w:rPr>
      </w:pPr>
      <w:bookmarkStart w:id="711" w:name="_Toc498910912"/>
      <w:r w:rsidRPr="00C9680B">
        <w:rPr>
          <w:noProof w:val="0"/>
        </w:rPr>
        <w:t>6.</w:t>
      </w:r>
      <w:r w:rsidRPr="00C9680B">
        <w:rPr>
          <w:noProof w:val="0"/>
        </w:rPr>
        <w:tab/>
        <w:t>Formerna för ställningstagande till euro (punkt 2) (fp)</w:t>
      </w:r>
      <w:bookmarkEnd w:id="711"/>
    </w:p>
    <w:p w:rsidR="001C7BF9" w:rsidRPr="00C9680B" w:rsidRDefault="001C7BF9">
      <w:pPr>
        <w:pStyle w:val="Reservanter"/>
      </w:pPr>
      <w:r w:rsidRPr="00C9680B">
        <w:t>av Bo Könberg (fp).</w:t>
      </w:r>
    </w:p>
    <w:p w:rsidR="001C7BF9" w:rsidRPr="00C9680B" w:rsidRDefault="001C7BF9">
      <w:pPr>
        <w:pStyle w:val="R4"/>
      </w:pPr>
      <w:r w:rsidRPr="00C9680B">
        <w:t>Förslag till riksdagsbeslut</w:t>
      </w:r>
    </w:p>
    <w:p w:rsidR="001C7BF9" w:rsidRPr="00C9680B" w:rsidRDefault="001C7BF9">
      <w:r w:rsidRPr="00C9680B">
        <w:t>Jag anser att förslaget till riksdagsbeslut under punkt 2 borde ha följande lydelse:</w:t>
      </w:r>
    </w:p>
    <w:p w:rsidR="001C7BF9" w:rsidRPr="00C9680B" w:rsidRDefault="001C7BF9">
      <w:pPr>
        <w:pStyle w:val="Reservantfrslag"/>
      </w:pPr>
      <w:r w:rsidRPr="00C9680B">
        <w:t>2. Riksdagen tillkännager för regeringen som sin mening vad som framförs i reservation 6. Riksdagen bifaller därmed motionerna 2000/01:K398 yrkande 11 och 2000/01:Fi207 och avslår motionerna 2000/01:Fi208 yrkande 23, 2000/01:Fi209 yrkande 9, 2000/01:Fi212, 2000/01:Fi214, 2000/01:Fi218, 2000/01:Fi220, 2000/01:U510 yrkandena 15 och 16 och 2000/01:U513 y</w:t>
      </w:r>
      <w:r w:rsidRPr="00C9680B">
        <w:t>r</w:t>
      </w:r>
      <w:r w:rsidRPr="00C9680B">
        <w:t>kande 4.</w:t>
      </w:r>
    </w:p>
    <w:p w:rsidR="001C7BF9" w:rsidRPr="00C9680B" w:rsidRDefault="001C7BF9">
      <w:pPr>
        <w:pStyle w:val="Rubrik4"/>
        <w:rPr>
          <w:noProof w:val="0"/>
        </w:rPr>
      </w:pPr>
      <w:bookmarkStart w:id="712" w:name="_Toc498910913"/>
      <w:r w:rsidRPr="00C9680B">
        <w:rPr>
          <w:noProof w:val="0"/>
        </w:rPr>
        <w:t>Ställningstagande</w:t>
      </w:r>
      <w:bookmarkEnd w:id="712"/>
    </w:p>
    <w:p w:rsidR="001C7BF9" w:rsidRPr="00C9680B" w:rsidRDefault="001C7BF9">
      <w:r w:rsidRPr="00C9680B">
        <w:t>Jag anser att det ur tillväxt-, stabilitets- och fördelningssynpunkt är viktigt att Sverige snarast blir fullvärdig medlem i EMU. Ett medlemskap ger oss större inflytande i Europasamarbetet, är bra för jobb och företagande i Sverige och ökar möjligheterna för en god ekonomisk utveckling för såväl enskilda mä</w:t>
      </w:r>
      <w:r w:rsidRPr="00C9680B">
        <w:t>n</w:t>
      </w:r>
      <w:r w:rsidRPr="00C9680B">
        <w:t>niskor som nationen i dess helhet.</w:t>
      </w:r>
    </w:p>
    <w:p w:rsidR="001C7BF9" w:rsidRPr="00C9680B" w:rsidRDefault="001C7BF9">
      <w:pPr>
        <w:pStyle w:val="Normaltindrag"/>
      </w:pPr>
      <w:r w:rsidRPr="00C9680B">
        <w:t>Jag anser vidare att Sverige bör fastställa en tidtabell för inträdet i EMU:s tredje fas. Tidt</w:t>
      </w:r>
      <w:r w:rsidRPr="00C9680B">
        <w:t>a</w:t>
      </w:r>
      <w:r w:rsidRPr="00C9680B">
        <w:t>bellen bör utformas enligt följande fem steg:</w:t>
      </w:r>
    </w:p>
    <w:p w:rsidR="001C7BF9" w:rsidRPr="00C9680B" w:rsidRDefault="001C7BF9">
      <w:pPr>
        <w:numPr>
          <w:ilvl w:val="0"/>
          <w:numId w:val="1269"/>
        </w:numPr>
      </w:pPr>
      <w:r w:rsidRPr="00C9680B">
        <w:t>Regeringen avger en skriftlig avsiktsförklaring till riksdagen där dess EMU-politik och tidt</w:t>
      </w:r>
      <w:r w:rsidRPr="00C9680B">
        <w:t>a</w:t>
      </w:r>
      <w:r w:rsidRPr="00C9680B">
        <w:t>bell redovisas.</w:t>
      </w:r>
    </w:p>
    <w:p w:rsidR="001C7BF9" w:rsidRPr="00C9680B" w:rsidRDefault="001C7BF9">
      <w:pPr>
        <w:numPr>
          <w:ilvl w:val="0"/>
          <w:numId w:val="1269"/>
        </w:numPr>
      </w:pPr>
      <w:r w:rsidRPr="00C9680B">
        <w:t>En nationell övergångsplan för såväl den offentliga förvaltningen som företag och banker sätts upp och genomförs så snabbt som mö</w:t>
      </w:r>
      <w:r w:rsidRPr="00C9680B">
        <w:t>j</w:t>
      </w:r>
      <w:r w:rsidRPr="00C9680B">
        <w:t>ligt.</w:t>
      </w:r>
    </w:p>
    <w:p w:rsidR="001C7BF9" w:rsidRPr="00C9680B" w:rsidRDefault="001C7BF9">
      <w:pPr>
        <w:numPr>
          <w:ilvl w:val="0"/>
          <w:numId w:val="1269"/>
        </w:numPr>
      </w:pPr>
      <w:r w:rsidRPr="00C9680B">
        <w:t>En folkomröstning genomförs. Datum bör snarast fastställas och siktet bör vara inställt på en omröstning hösten 2001, annars riskerar Sverige att stå utanför EMU även under nästa mandatperiod.</w:t>
      </w:r>
    </w:p>
    <w:p w:rsidR="001C7BF9" w:rsidRPr="00C9680B" w:rsidRDefault="001C7BF9">
      <w:pPr>
        <w:numPr>
          <w:ilvl w:val="0"/>
          <w:numId w:val="1269"/>
        </w:numPr>
      </w:pPr>
      <w:r w:rsidRPr="00C9680B">
        <w:t>Efter ett ja i omröstningen tas förhandlingar upp med euroländerna om ett svenskt inträde i ERM2.</w:t>
      </w:r>
    </w:p>
    <w:p w:rsidR="001C7BF9" w:rsidRPr="00C9680B" w:rsidRDefault="001C7BF9">
      <w:pPr>
        <w:numPr>
          <w:ilvl w:val="0"/>
          <w:numId w:val="1269"/>
        </w:numPr>
      </w:pPr>
      <w:r w:rsidRPr="00C9680B">
        <w:t>Siktet bör vara inställt på att Sverige går med i EMU inom 18 månader efter ett ja i omrös</w:t>
      </w:r>
      <w:r w:rsidRPr="00C9680B">
        <w:t>t</w:t>
      </w:r>
      <w:r w:rsidRPr="00C9680B">
        <w:t xml:space="preserve">ningen 2001, dvs. under första halvåret 2003. </w:t>
      </w:r>
    </w:p>
    <w:p w:rsidR="001C7BF9" w:rsidRPr="00C9680B" w:rsidRDefault="001C7BF9">
      <w:r w:rsidRPr="00C9680B">
        <w:t>Jag föreslår att riksdagen tillkännager för regeringen som sin mening vad som här framförs. Riksdagen bifaller därmed motionerna K398 (fp) yrkande 11 och Fi207 (fp) och avslår motionerna Fi208 (m) yrkande 23, Fi209 (kd) y</w:t>
      </w:r>
      <w:r w:rsidRPr="00C9680B">
        <w:t>r</w:t>
      </w:r>
      <w:r w:rsidRPr="00C9680B">
        <w:t>kande 9, Fi212 (mp), Fi214 (s), Fi218 (v), Fi220 (c), U510 (c) yrkandena 15 och 16 och U513 (m) yrkande 4.</w:t>
      </w:r>
    </w:p>
    <w:p w:rsidR="001C7BF9" w:rsidRPr="00C9680B" w:rsidRDefault="001C7BF9">
      <w:pPr>
        <w:pStyle w:val="Reservationspunkt"/>
        <w:outlineLvl w:val="0"/>
        <w:rPr>
          <w:noProof w:val="0"/>
        </w:rPr>
      </w:pPr>
      <w:bookmarkStart w:id="713" w:name="_Toc498910914"/>
      <w:r w:rsidRPr="00C9680B">
        <w:rPr>
          <w:noProof w:val="0"/>
        </w:rPr>
        <w:t>7.</w:t>
      </w:r>
      <w:r w:rsidRPr="00C9680B">
        <w:rPr>
          <w:noProof w:val="0"/>
        </w:rPr>
        <w:tab/>
        <w:t>Formerna för ställningstagande till euro (punkt 2) (mp)</w:t>
      </w:r>
      <w:bookmarkEnd w:id="713"/>
    </w:p>
    <w:p w:rsidR="001C7BF9" w:rsidRPr="00C9680B" w:rsidRDefault="001C7BF9">
      <w:pPr>
        <w:pStyle w:val="Reservanter"/>
      </w:pPr>
      <w:r w:rsidRPr="00C9680B">
        <w:t>av Yvonne Ruwaida (mp).</w:t>
      </w:r>
    </w:p>
    <w:p w:rsidR="001C7BF9" w:rsidRPr="00C9680B" w:rsidRDefault="001C7BF9">
      <w:pPr>
        <w:pStyle w:val="R4"/>
      </w:pPr>
      <w:r w:rsidRPr="00C9680B">
        <w:t>Förslag till riksdagsbeslut</w:t>
      </w:r>
    </w:p>
    <w:p w:rsidR="001C7BF9" w:rsidRPr="00C9680B" w:rsidRDefault="001C7BF9">
      <w:r w:rsidRPr="00C9680B">
        <w:t>Jag anser att förslaget till riksdagsbeslut under punkt 2 borde ha följande lydelse:</w:t>
      </w:r>
    </w:p>
    <w:p w:rsidR="001C7BF9" w:rsidRPr="00C9680B" w:rsidRDefault="001C7BF9">
      <w:pPr>
        <w:pStyle w:val="Reservantfrslag"/>
      </w:pPr>
      <w:r w:rsidRPr="00C9680B">
        <w:t>2.  Riksdagen tillkännager för regeringen som sin mening vad som framförs i reservation 7. Riksdagen bifaller därmed helt motion 2000/01:Fi212, bifaller delvis motionerna 2000/01:Fi214 och 2000/01:Fi218 och avslår motionerna 2000/01:K398 yrkande 11, 2000/01:Fi207, 2000/01:Fi208 yrkande 23, 2000/01:Fi209 yrkande 9, 2000/01:Fi220, 2000/01:U510 yrkandena 15 och 16 och 2000/01:U513 y</w:t>
      </w:r>
      <w:r w:rsidRPr="00C9680B">
        <w:t>r</w:t>
      </w:r>
      <w:r w:rsidRPr="00C9680B">
        <w:t>kande 4.</w:t>
      </w:r>
    </w:p>
    <w:p w:rsidR="001C7BF9" w:rsidRPr="00C9680B" w:rsidRDefault="001C7BF9">
      <w:pPr>
        <w:pStyle w:val="R4"/>
      </w:pPr>
      <w:r w:rsidRPr="00C9680B">
        <w:t>Ställningstagande</w:t>
      </w:r>
    </w:p>
    <w:p w:rsidR="001C7BF9" w:rsidRPr="00C9680B" w:rsidRDefault="001C7BF9">
      <w:r w:rsidRPr="00C9680B">
        <w:t>Eftersom jag har en decentralistisk syn på politiken och ekonomin motsätter jag mig ett svenskt medlemskap i EMU. De demokrati</w:t>
      </w:r>
      <w:r w:rsidRPr="00C9680B">
        <w:t>s</w:t>
      </w:r>
      <w:r w:rsidRPr="00C9680B">
        <w:t>ka bristerna i EMU-projektet är allvarliga och de ekonomiska riskerna med ett alltför omfattande valutaområde är stora. Dessutom strider EMU mot den gröna tanken om en ekologiskt hållbar utveckling. Vidare kommer EMU att påverka EU i en centralistisk riktning, mot en gemensam och överstatlig finans-, skatte-, a</w:t>
      </w:r>
      <w:r w:rsidRPr="00C9680B">
        <w:t>r</w:t>
      </w:r>
      <w:r w:rsidRPr="00C9680B">
        <w:t>betsmarknads- och socialpolitik.</w:t>
      </w:r>
    </w:p>
    <w:p w:rsidR="001C7BF9" w:rsidRPr="00C9680B" w:rsidRDefault="001C7BF9">
      <w:pPr>
        <w:pStyle w:val="Normaltindrag"/>
        <w:rPr>
          <w:snapToGrid w:val="0"/>
          <w:lang w:eastAsia="sv-SE"/>
        </w:rPr>
      </w:pPr>
      <w:r w:rsidRPr="00C9680B">
        <w:rPr>
          <w:snapToGrid w:val="0"/>
          <w:lang w:eastAsia="sv-SE"/>
        </w:rPr>
        <w:t>Att välja om vi skall gå med i EMU eller inte är ett beslut av samma di</w:t>
      </w:r>
      <w:r w:rsidRPr="00C9680B">
        <w:rPr>
          <w:snapToGrid w:val="0"/>
          <w:lang w:eastAsia="sv-SE"/>
        </w:rPr>
        <w:t>g</w:t>
      </w:r>
      <w:r w:rsidRPr="00C9680B">
        <w:rPr>
          <w:snapToGrid w:val="0"/>
          <w:lang w:eastAsia="sv-SE"/>
        </w:rPr>
        <w:t>nitet som valet att gå med i EU. Därför tycker jag att det är självklart att rik</w:t>
      </w:r>
      <w:r w:rsidRPr="00C9680B">
        <w:rPr>
          <w:snapToGrid w:val="0"/>
          <w:lang w:eastAsia="sv-SE"/>
        </w:rPr>
        <w:t>s</w:t>
      </w:r>
      <w:r w:rsidRPr="00C9680B">
        <w:rPr>
          <w:snapToGrid w:val="0"/>
          <w:lang w:eastAsia="sv-SE"/>
        </w:rPr>
        <w:t>dagen beslutar om att valet skall göras i en folkomröstning. Jag kan i anslu</w:t>
      </w:r>
      <w:r w:rsidRPr="00C9680B">
        <w:rPr>
          <w:snapToGrid w:val="0"/>
          <w:lang w:eastAsia="sv-SE"/>
        </w:rPr>
        <w:t>t</w:t>
      </w:r>
      <w:r w:rsidRPr="00C9680B">
        <w:rPr>
          <w:snapToGrid w:val="0"/>
          <w:lang w:eastAsia="sv-SE"/>
        </w:rPr>
        <w:t>ning till detta konstatera att det i dag finns en majoritet av riksdagspartier som är positiva till en fol</w:t>
      </w:r>
      <w:r w:rsidRPr="00C9680B">
        <w:rPr>
          <w:snapToGrid w:val="0"/>
          <w:lang w:eastAsia="sv-SE"/>
        </w:rPr>
        <w:t>k</w:t>
      </w:r>
      <w:r w:rsidRPr="00C9680B">
        <w:rPr>
          <w:snapToGrid w:val="0"/>
          <w:lang w:eastAsia="sv-SE"/>
        </w:rPr>
        <w:t>omröstning</w:t>
      </w:r>
      <w:r w:rsidRPr="00C9680B">
        <w:rPr>
          <w:rFonts w:ascii="Tms Rmn" w:hAnsi="Tms Rmn"/>
          <w:snapToGrid w:val="0"/>
          <w:sz w:val="18"/>
          <w:lang w:eastAsia="sv-SE"/>
        </w:rPr>
        <w:t>.</w:t>
      </w:r>
    </w:p>
    <w:p w:rsidR="001C7BF9" w:rsidRPr="00C9680B" w:rsidRDefault="001C7BF9">
      <w:pPr>
        <w:pStyle w:val="Normaltindrag"/>
      </w:pPr>
      <w:r w:rsidRPr="00C9680B">
        <w:rPr>
          <w:snapToGrid w:val="0"/>
          <w:lang w:eastAsia="sv-SE"/>
        </w:rPr>
        <w:t>Jag anser vidare att den bästa tidpunkten för en folkomröstning om EMU är att den hålls i samband med nästa riksdagsval, dvs. den tredje söndagen i september 2002. Genom att hålla folkomröstningen på en allmän valdag tydliggörs kop</w:t>
      </w:r>
      <w:r w:rsidRPr="00C9680B">
        <w:rPr>
          <w:snapToGrid w:val="0"/>
          <w:lang w:eastAsia="sv-SE"/>
        </w:rPr>
        <w:t>p</w:t>
      </w:r>
      <w:r w:rsidRPr="00C9680B">
        <w:rPr>
          <w:snapToGrid w:val="0"/>
          <w:lang w:eastAsia="sv-SE"/>
        </w:rPr>
        <w:t>lingen mellan nationell politik och EU-politik</w:t>
      </w:r>
      <w:r w:rsidRPr="00C9680B">
        <w:rPr>
          <w:rFonts w:ascii="Tms Rmn" w:hAnsi="Tms Rmn"/>
          <w:snapToGrid w:val="0"/>
          <w:sz w:val="18"/>
          <w:lang w:eastAsia="sv-SE"/>
        </w:rPr>
        <w:t>.</w:t>
      </w:r>
    </w:p>
    <w:p w:rsidR="001C7BF9" w:rsidRPr="00C9680B" w:rsidRDefault="001C7BF9">
      <w:pPr>
        <w:pStyle w:val="Normaltindrag"/>
      </w:pPr>
      <w:r w:rsidRPr="00C9680B">
        <w:t>Vidare anser jag att det i anslutning till folkomröstningen är mycket viktigt att olika värderingar och synsätt på ett likvärdigt sätt får genomslag i info</w:t>
      </w:r>
      <w:r w:rsidRPr="00C9680B">
        <w:t>r</w:t>
      </w:r>
      <w:r w:rsidRPr="00C9680B">
        <w:t>mationen. För att väljarna skall få en allsidig bild av de olika alternativen bör riksdagen tillsätta en parlamentarisk kommitté med uppgift att förbereda folkomröstningen. Kommittén bör bl.a. hantera och förbereda myndigheternas information samt garantera dess saklighet. Vidare bör den övervaka att b</w:t>
      </w:r>
      <w:r w:rsidRPr="00C9680B">
        <w:t>i</w:t>
      </w:r>
      <w:r w:rsidRPr="00C9680B">
        <w:t>dragsgivare redovisar de bidrag som betalats ut till olika kampanjorganisati</w:t>
      </w:r>
      <w:r w:rsidRPr="00C9680B">
        <w:t>o</w:t>
      </w:r>
      <w:r w:rsidRPr="00C9680B">
        <w:t>ner samt fördela medlen på ett rättvist sätt mellan ja- och nej-sidan.</w:t>
      </w:r>
    </w:p>
    <w:p w:rsidR="001C7BF9" w:rsidRPr="00C9680B" w:rsidRDefault="001C7BF9">
      <w:r w:rsidRPr="00C9680B">
        <w:t>Jag föreslår att riksdagen tillkännager för regeringen som s</w:t>
      </w:r>
      <w:r w:rsidRPr="00C9680B">
        <w:t>in mening vad som här framförts. Riksdagen bifaller därmed motion Fi212 (mp), bifaller delvis motionerna Fi214 (s) och Fi218 (v) och avslår motionerna K398 (fp) yrkande 11, Fi207 (fp), Fi208 (m) yrkande 23, Fi209 (kd) yrkande 9, Fi220 (c), U510 (c) yrkandena 15 och 16 och U513 (m) yrkande 4.</w:t>
      </w:r>
    </w:p>
    <w:p w:rsidR="001C7BF9" w:rsidRPr="00C9680B" w:rsidRDefault="001C7BF9">
      <w:pPr>
        <w:pStyle w:val="Reservationspunkt"/>
        <w:outlineLvl w:val="0"/>
        <w:rPr>
          <w:noProof w:val="0"/>
        </w:rPr>
      </w:pPr>
      <w:bookmarkStart w:id="714" w:name="_Toc498910915"/>
      <w:r w:rsidRPr="00C9680B">
        <w:rPr>
          <w:noProof w:val="0"/>
        </w:rPr>
        <w:t>8.</w:t>
      </w:r>
      <w:r w:rsidRPr="00C9680B">
        <w:rPr>
          <w:noProof w:val="0"/>
        </w:rPr>
        <w:tab/>
        <w:t>Analyser av effekterna av att införa euro (punkt 3) (v)</w:t>
      </w:r>
      <w:bookmarkEnd w:id="714"/>
    </w:p>
    <w:p w:rsidR="001C7BF9" w:rsidRPr="00C9680B" w:rsidRDefault="001C7BF9">
      <w:pPr>
        <w:pStyle w:val="Reservanter"/>
      </w:pPr>
      <w:r w:rsidRPr="00C9680B">
        <w:t>av Siv Holma och Lars Bäckström (båda v).</w:t>
      </w:r>
    </w:p>
    <w:p w:rsidR="001C7BF9" w:rsidRPr="00C9680B" w:rsidRDefault="001C7BF9">
      <w:pPr>
        <w:pStyle w:val="R4"/>
      </w:pPr>
      <w:r w:rsidRPr="00C9680B">
        <w:t>Förslag till riksdagsbeslut</w:t>
      </w:r>
    </w:p>
    <w:p w:rsidR="001C7BF9" w:rsidRPr="00C9680B" w:rsidRDefault="001C7BF9">
      <w:r w:rsidRPr="00C9680B">
        <w:t>Vi anser att förslaget till riksdagsbeslut under punkt 3 borde ha följande l</w:t>
      </w:r>
      <w:r w:rsidRPr="00C9680B">
        <w:t>y</w:t>
      </w:r>
      <w:r w:rsidRPr="00C9680B">
        <w:t>delse:</w:t>
      </w:r>
    </w:p>
    <w:p w:rsidR="001C7BF9" w:rsidRPr="00C9680B" w:rsidRDefault="001C7BF9">
      <w:r w:rsidRPr="00C9680B">
        <w:t>3.  Riksdagen tillkännager för regeringen som sin mening vad som framförs i reservation 8. Riksdagen bifaller därmed motionerna 2000/01:Fi201 och 2000/01:Fi206.</w:t>
      </w:r>
    </w:p>
    <w:p w:rsidR="001C7BF9" w:rsidRPr="00C9680B" w:rsidRDefault="001C7BF9">
      <w:pPr>
        <w:pStyle w:val="R4"/>
      </w:pPr>
      <w:r w:rsidRPr="00C9680B">
        <w:t>Ställningstagande</w:t>
      </w:r>
    </w:p>
    <w:p w:rsidR="001C7BF9" w:rsidRPr="00C9680B" w:rsidRDefault="001C7BF9">
      <w:r w:rsidRPr="00C9680B">
        <w:t>EMU-frågan är en av vår tids viktigaste frågor. Ett eventuellt medlemskap kommer att ha stor påverkan på det svenska samhället. EMU påverkar a</w:t>
      </w:r>
      <w:r w:rsidRPr="00C9680B">
        <w:t>r</w:t>
      </w:r>
      <w:r w:rsidRPr="00C9680B">
        <w:t>betsmarknaden, skatterna, välfärden och demokratin på ett mer genomgripa</w:t>
      </w:r>
      <w:r w:rsidRPr="00C9680B">
        <w:t>n</w:t>
      </w:r>
      <w:r w:rsidRPr="00C9680B">
        <w:t>de sätt än EU-medlemskapet. Framför allt har EMU stor inverkan på de o</w:t>
      </w:r>
      <w:r w:rsidRPr="00C9680B">
        <w:t>m</w:t>
      </w:r>
      <w:r w:rsidRPr="00C9680B">
        <w:t>råden i ekonomin och i samhället som påverkar kvinnornas livsvillkor och ställning.</w:t>
      </w:r>
    </w:p>
    <w:p w:rsidR="001C7BF9" w:rsidRPr="00C9680B" w:rsidRDefault="001C7BF9">
      <w:pPr>
        <w:pStyle w:val="Normaltindrag"/>
      </w:pPr>
      <w:r w:rsidRPr="00C9680B">
        <w:t>Svensk politik var fram till 1990-talet inriktad på full sysselsättning och en väl utbyggd offentlig sektor, vilket bl.a. var en förutsättning för kvinnornas deltagande på arbetsmarknaden. I EU och EMU är däremot full sysselsättning inte ett prioriterat mål för den ekonomiska politi</w:t>
      </w:r>
      <w:r w:rsidRPr="00C9680B">
        <w:t>ken, och den offentliga se</w:t>
      </w:r>
      <w:r w:rsidRPr="00C9680B">
        <w:t>k</w:t>
      </w:r>
      <w:r w:rsidRPr="00C9680B">
        <w:t>torn är utsatt för en stor press. De nedskärningar av offentlig verksamhet som vi hittills sett till följd av anpassningen till de s.k. konvergenskraven för medlemskap i EMU har drabbat kvinnorna hårdast genom t.ex. ökad arbet</w:t>
      </w:r>
      <w:r w:rsidRPr="00C9680B">
        <w:t>s</w:t>
      </w:r>
      <w:r w:rsidRPr="00C9680B">
        <w:t>belastning för de kvinnor som jobbar inom offentlig sektor, krympande a</w:t>
      </w:r>
      <w:r w:rsidRPr="00C9680B">
        <w:t>r</w:t>
      </w:r>
      <w:r w:rsidRPr="00C9680B">
        <w:t>betsmarknad och därigenom sämre förutsättningar för ekonomiskt oberoende och en i förlängningen ökad risk för krav på att omsorgen om gamla och sjuka återigen skall skötas inom familjen.</w:t>
      </w:r>
      <w:r w:rsidRPr="00C9680B">
        <w:t xml:space="preserve"> EMU ökar även pressen på socialförsä</w:t>
      </w:r>
      <w:r w:rsidRPr="00C9680B">
        <w:t>k</w:t>
      </w:r>
      <w:r w:rsidRPr="00C9680B">
        <w:t>ringssystemen, vilket även det framför allt slår mot kvinnorna. Andra effekter av ett eventuellt EMU-medlemskap är att kraven på flexibilitet på arbet</w:t>
      </w:r>
      <w:r w:rsidRPr="00C9680B">
        <w:t>s</w:t>
      </w:r>
      <w:r w:rsidRPr="00C9680B">
        <w:t>marknaden ökar, att de nominella lönerna måste vara mer flexibla, att anstäl</w:t>
      </w:r>
      <w:r w:rsidRPr="00C9680B">
        <w:t>l</w:t>
      </w:r>
      <w:r w:rsidRPr="00C9680B">
        <w:t>ningstryggheten måste minska och att den geografiska rörligheten måste öka. Detta är alla områden som kraftigt påverkar kvinnornas ställning i samhället och på arbetsmar</w:t>
      </w:r>
      <w:r w:rsidRPr="00C9680B">
        <w:t>k</w:t>
      </w:r>
      <w:r w:rsidRPr="00C9680B">
        <w:t>naden.</w:t>
      </w:r>
    </w:p>
    <w:p w:rsidR="001C7BF9" w:rsidRPr="00C9680B" w:rsidRDefault="001C7BF9">
      <w:pPr>
        <w:pStyle w:val="Normaltindrag"/>
      </w:pPr>
      <w:r w:rsidRPr="00C9680B">
        <w:t>Vi konstaterar att de offentliga utredningar som gjorts hittills, frä</w:t>
      </w:r>
      <w:r w:rsidRPr="00C9680B">
        <w:t>mst den s.k. EMU-utredningen (SOU 1996:58), till största delen är gjorda utifrån nationalekonomiska och statsvetenskapliga utgångspunkter medan jämställ</w:t>
      </w:r>
      <w:r w:rsidRPr="00C9680B">
        <w:t>d</w:t>
      </w:r>
      <w:r w:rsidRPr="00C9680B">
        <w:t>hets- och könsperspektiv helt saknas. Detta är förvånande inte minst med tanke på regeringens uttalade ambitioner om att könsperspektivet skall löpa som en röd tråd genom politiken och verksa</w:t>
      </w:r>
      <w:r w:rsidRPr="00C9680B">
        <w:t>m</w:t>
      </w:r>
      <w:r w:rsidRPr="00C9680B">
        <w:t xml:space="preserve">heterna. </w:t>
      </w:r>
    </w:p>
    <w:p w:rsidR="001C7BF9" w:rsidRPr="00C9680B" w:rsidRDefault="001C7BF9">
      <w:pPr>
        <w:pStyle w:val="Normaltindrag"/>
      </w:pPr>
      <w:r w:rsidRPr="00C9680B">
        <w:t>Ett svenskt medlemskap i EMU kommer att innebära ökade krav på fö</w:t>
      </w:r>
      <w:r w:rsidRPr="00C9680B">
        <w:t>r</w:t>
      </w:r>
      <w:r w:rsidRPr="00C9680B">
        <w:t>ändringar i offentlig verksamhet, i socialförsäkringssystemen och på arbet</w:t>
      </w:r>
      <w:r w:rsidRPr="00C9680B">
        <w:t>s</w:t>
      </w:r>
      <w:r w:rsidRPr="00C9680B">
        <w:t>marknaden. Detta är områden som alla är centrala i arbetet för att nå ett jä</w:t>
      </w:r>
      <w:r w:rsidRPr="00C9680B">
        <w:t>m</w:t>
      </w:r>
      <w:r w:rsidRPr="00C9680B">
        <w:t>ställt samhälle och som sammantagna utgör grunden i vår välfärd. Vi anser därför att riksdag och regering måste ta sitt ansvar och tillsätta en utredning som analyserar och kartlägger konsekvenserna av ett svenskt EMU-medlemskap ur ett könsperspektiv. Detta är inte minst angeläget med tanke på att de nationella jämställdhetsmålen föreskriver samma möjlighet</w:t>
      </w:r>
      <w:r w:rsidRPr="00C9680B">
        <w:t>er för kvi</w:t>
      </w:r>
      <w:r w:rsidRPr="00C9680B">
        <w:t>n</w:t>
      </w:r>
      <w:r w:rsidRPr="00C9680B">
        <w:t>nor och män till ekonomiskt oberoende samt lika villkor och förutsättningar för kvinnor och män i fråga om företagande, arbete, arbetsvillkor och utvec</w:t>
      </w:r>
      <w:r w:rsidRPr="00C9680B">
        <w:t>k</w:t>
      </w:r>
      <w:r w:rsidRPr="00C9680B">
        <w:t>lingsmöjligheter i arbetet.</w:t>
      </w:r>
    </w:p>
    <w:p w:rsidR="001C7BF9" w:rsidRPr="00C9680B" w:rsidRDefault="001C7BF9">
      <w:pPr>
        <w:pStyle w:val="Normaltindrag"/>
      </w:pPr>
      <w:r w:rsidRPr="00C9680B">
        <w:t>Vi anser vidare att det finns starka skäl för att även utreda vilka konse</w:t>
      </w:r>
      <w:r w:rsidRPr="00C9680B">
        <w:softHyphen/>
        <w:t>kvenser ett eventuellt medlemskap i EMU får för både näringslivet och den offentliga sektorn i Norrland. I utredningen bör dessutom analyseras hur och i vilken utsträckning negativa effekter för Norrland kan motve</w:t>
      </w:r>
      <w:r w:rsidRPr="00C9680B">
        <w:t>r</w:t>
      </w:r>
      <w:r w:rsidRPr="00C9680B">
        <w:t>kas.</w:t>
      </w:r>
    </w:p>
    <w:p w:rsidR="001C7BF9" w:rsidRPr="00C9680B" w:rsidRDefault="001C7BF9">
      <w:pPr>
        <w:pStyle w:val="Normaltindrag"/>
      </w:pPr>
      <w:r w:rsidRPr="00C9680B">
        <w:t>Vi föreslår att riksdagen tillkännager för regeringen som sin mening vad som här framförts. Riksdagen bifaller därmed motionerna 2000/01:Fi201 (v) och 2000/01:Fi206 (v).</w:t>
      </w:r>
    </w:p>
    <w:p w:rsidR="001C7BF9" w:rsidRPr="00C9680B" w:rsidRDefault="001C7BF9">
      <w:pPr>
        <w:pStyle w:val="Reservationspunkt"/>
        <w:rPr>
          <w:noProof w:val="0"/>
        </w:rPr>
      </w:pPr>
      <w:r w:rsidRPr="00C9680B">
        <w:rPr>
          <w:noProof w:val="0"/>
        </w:rPr>
        <w:br w:type="page"/>
      </w:r>
      <w:bookmarkStart w:id="715" w:name="_Toc498910916"/>
      <w:r w:rsidRPr="00C9680B">
        <w:rPr>
          <w:noProof w:val="0"/>
        </w:rPr>
        <w:t>9.</w:t>
      </w:r>
      <w:r w:rsidRPr="00C9680B">
        <w:rPr>
          <w:noProof w:val="0"/>
        </w:rPr>
        <w:tab/>
        <w:t>Mål för budgetpolitiken (punkt 4) (m)</w:t>
      </w:r>
      <w:bookmarkEnd w:id="715"/>
    </w:p>
    <w:p w:rsidR="001C7BF9" w:rsidRPr="00C9680B" w:rsidRDefault="001C7BF9">
      <w:pPr>
        <w:pStyle w:val="Reservanter"/>
      </w:pPr>
      <w:r w:rsidRPr="00C9680B">
        <w:t>av Gunnar Hökmark, Lennart Hedquist, Anna Åkerhielm och Gunnar Axén (alla m).</w:t>
      </w:r>
    </w:p>
    <w:p w:rsidR="001C7BF9" w:rsidRPr="00C9680B" w:rsidRDefault="001C7BF9">
      <w:pPr>
        <w:pStyle w:val="Reservationer-underrubrik"/>
        <w:rPr>
          <w:noProof w:val="0"/>
        </w:rPr>
      </w:pPr>
      <w:bookmarkStart w:id="716" w:name="_Toc498910917"/>
      <w:r w:rsidRPr="00C9680B">
        <w:rPr>
          <w:noProof w:val="0"/>
        </w:rPr>
        <w:t>Förslag till riksdagsbeslut</w:t>
      </w:r>
      <w:bookmarkEnd w:id="716"/>
    </w:p>
    <w:p w:rsidR="001C7BF9" w:rsidRPr="00C9680B" w:rsidRDefault="001C7BF9">
      <w:r w:rsidRPr="00C9680B">
        <w:t>Vi anser att förslaget till riksdagsbeslut under punkt 4 borde ha följande l</w:t>
      </w:r>
      <w:r w:rsidRPr="00C9680B">
        <w:t>y</w:t>
      </w:r>
      <w:r w:rsidRPr="00C9680B">
        <w:t>delse:</w:t>
      </w:r>
    </w:p>
    <w:p w:rsidR="001C7BF9" w:rsidRPr="00C9680B" w:rsidRDefault="001C7BF9">
      <w:r w:rsidRPr="00C9680B">
        <w:t>4.  Riksdagen fastställer dels ett långsiktigt mål om balans i de offentliga finanserna över en konjunkturcykel, dels ett mål om att de offentliga utgifte</w:t>
      </w:r>
      <w:r w:rsidRPr="00C9680B">
        <w:t>r</w:t>
      </w:r>
      <w:r w:rsidRPr="00C9680B">
        <w:t>na skall understiga 50 % av BNP. Därmed bifaller riksdagen motion 2000/01:Fi208 yrkandena 4 och 8 och avslår proposition 2000/01:1 punkt 4 samt motionerna 2000/01:Fi209 yrkande 4 och 2000/01:Fi211 yrkande 4.</w:t>
      </w:r>
    </w:p>
    <w:p w:rsidR="001C7BF9" w:rsidRPr="00C9680B" w:rsidRDefault="001C7BF9">
      <w:pPr>
        <w:pStyle w:val="Reservationer-underrubrik"/>
        <w:rPr>
          <w:noProof w:val="0"/>
        </w:rPr>
      </w:pPr>
      <w:bookmarkStart w:id="717" w:name="_Toc498910918"/>
      <w:r w:rsidRPr="00C9680B">
        <w:rPr>
          <w:noProof w:val="0"/>
        </w:rPr>
        <w:t>Ställningstagande</w:t>
      </w:r>
      <w:bookmarkEnd w:id="717"/>
    </w:p>
    <w:p w:rsidR="001C7BF9" w:rsidRPr="00C9680B" w:rsidRDefault="001C7BF9">
      <w:r w:rsidRPr="00C9680B">
        <w:t>I likhet med Moderata samlingspartiet anser vi att budgetarbetet bör inriktas på att uppnå balans i de offentliga finanserna sett över en konjunkturcykel. I nuvarande konjunkturläge innebär detta att man under några år bör ha öve</w:t>
      </w:r>
      <w:r w:rsidRPr="00C9680B">
        <w:t>r</w:t>
      </w:r>
      <w:r w:rsidRPr="00C9680B">
        <w:t>skott i budgeten för att därefter kunna tillåta sig underskott i nästa lågko</w:t>
      </w:r>
      <w:r w:rsidRPr="00C9680B">
        <w:t>n</w:t>
      </w:r>
      <w:r w:rsidRPr="00C9680B">
        <w:t>junktur.</w:t>
      </w:r>
    </w:p>
    <w:p w:rsidR="001C7BF9" w:rsidRPr="00C9680B" w:rsidRDefault="001C7BF9">
      <w:pPr>
        <w:pStyle w:val="Normaltindrag"/>
      </w:pPr>
      <w:r w:rsidRPr="00C9680B">
        <w:t>Riksdagen har som långsiktigt mål för budgetpolitiken lagt fast ett krav på överskott i de offentliga finanserna på i genomsnitt 2 % av BNP över en konjunkturcykel. Enligt vår mening kan ett sådant mål fungera som en broms och därigenom ge sämre förutsättningar för en hög och stabil tillväxt. Målet är därigenom kontraproduktivt, eftersom stark tillväxt leder till att statssku</w:t>
      </w:r>
      <w:r w:rsidRPr="00C9680B">
        <w:t>l</w:t>
      </w:r>
      <w:r w:rsidRPr="00C9680B">
        <w:t>den minskar snabbare i förhållande till BNP.</w:t>
      </w:r>
    </w:p>
    <w:p w:rsidR="001C7BF9" w:rsidRPr="00C9680B" w:rsidRDefault="001C7BF9">
      <w:pPr>
        <w:pStyle w:val="Normaltindrag"/>
      </w:pPr>
      <w:r w:rsidRPr="00C9680B">
        <w:t xml:space="preserve">Regeringen bidrar till en fortsatt hög konjunkturkänslighet genom att den i stället för att genomföra viktiga strukturreformer för företagande, enskilt sparande och arbete väljer att överbeskatta medborgarna. </w:t>
      </w:r>
    </w:p>
    <w:p w:rsidR="001C7BF9" w:rsidRPr="00C9680B" w:rsidRDefault="001C7BF9">
      <w:pPr>
        <w:pStyle w:val="Normaltindrag"/>
      </w:pPr>
      <w:r w:rsidRPr="00C9680B">
        <w:t>Därigenom motverkar regeringens överskottsmål den tillväxt och utvec</w:t>
      </w:r>
      <w:r w:rsidRPr="00C9680B">
        <w:t>k</w:t>
      </w:r>
      <w:r w:rsidRPr="00C9680B">
        <w:t>ling som behövs både för att säkra en ökad stabilitet i de offentliga finanserna och för att trygga framtida pensioner. Genom att regeringen försummar r</w:t>
      </w:r>
      <w:r w:rsidRPr="00C9680B">
        <w:t>e</w:t>
      </w:r>
      <w:r w:rsidRPr="00C9680B">
        <w:t>former för framtida tillväxt för att i dag upprätthålla denna överbeskattning ökar man risken för att pensionssystemet i framtiden kommer att gå med större underskott.</w:t>
      </w:r>
    </w:p>
    <w:p w:rsidR="001C7BF9" w:rsidRPr="00C9680B" w:rsidRDefault="001C7BF9">
      <w:pPr>
        <w:pStyle w:val="Normaltindrag"/>
      </w:pPr>
      <w:r w:rsidRPr="00C9680B">
        <w:t>Detta blir desto mer allvarligt som regeringens överskottsmål vid ett fra</w:t>
      </w:r>
      <w:r w:rsidRPr="00C9680B">
        <w:t>m</w:t>
      </w:r>
      <w:r w:rsidRPr="00C9680B">
        <w:t>tida underskott i pensionssystemet kommer att tvinga fram stora överskott i de statliga finanserna. De kan då bara åstadkommas genom ytterligare skatt</w:t>
      </w:r>
      <w:r w:rsidRPr="00C9680B">
        <w:t>e</w:t>
      </w:r>
      <w:r w:rsidRPr="00C9680B">
        <w:t>höjningar och oplanerade utgiftsminsknin</w:t>
      </w:r>
      <w:r w:rsidRPr="00C9680B">
        <w:t>g</w:t>
      </w:r>
      <w:r w:rsidRPr="00C9680B">
        <w:t>ar.</w:t>
      </w:r>
    </w:p>
    <w:p w:rsidR="001C7BF9" w:rsidRPr="00C9680B" w:rsidRDefault="001C7BF9">
      <w:pPr>
        <w:pStyle w:val="Normaltindrag"/>
      </w:pPr>
      <w:r w:rsidRPr="00C9680B">
        <w:t>De offentliga finanserna är starkt konjunkturkänsliga. För att minska denna konjunkturkänslighet bör den offentliga sektorns inkomster och utgifter b</w:t>
      </w:r>
      <w:r w:rsidRPr="00C9680B">
        <w:t>e</w:t>
      </w:r>
      <w:r w:rsidRPr="00C9680B">
        <w:t xml:space="preserve">gränsas. Sverige har i dag enligt OECD unikt konjunkturkänsliga finanser. Detta är i sig ett hot mot de offentliga finansernas stabilitet. </w:t>
      </w:r>
    </w:p>
    <w:p w:rsidR="001C7BF9" w:rsidRPr="00C9680B" w:rsidRDefault="001C7BF9">
      <w:pPr>
        <w:pStyle w:val="Normaltindrag"/>
      </w:pPr>
      <w:r w:rsidRPr="00C9680B">
        <w:t>Genom den borgerliga regeringens insatser har den offentliga utgiftsand</w:t>
      </w:r>
      <w:r w:rsidRPr="00C9680B">
        <w:t>e</w:t>
      </w:r>
      <w:r w:rsidRPr="00C9680B">
        <w:t xml:space="preserve">len pressats ner fr.o.m. 1993. Nu är det uppenbart att regeringen tänker sig acceptera en nivå på de offentliga finansernas andel av BNP som motsvarar den nivå Sverige hade 1990. Det var den höga utgiftsandelen som just 1990 ledde Sverige in i den ekonomiska kris som vändes i en uppgång först 1993. </w:t>
      </w:r>
    </w:p>
    <w:p w:rsidR="001C7BF9" w:rsidRPr="00C9680B" w:rsidRDefault="001C7BF9">
      <w:pPr>
        <w:pStyle w:val="Normaltindrag"/>
      </w:pPr>
      <w:r w:rsidRPr="00C9680B">
        <w:t>Det är anmärkningsvärt att regeringen, trots dessa erfarenheter, inte tar konjunkturkänsligheten på större allvar. Tillsammans med det faktum att regeringen med sina stödpartier nu luckrar upp den utgiftsdiscip</w:t>
      </w:r>
      <w:r w:rsidRPr="00C9680B">
        <w:t>lin som prä</w:t>
      </w:r>
      <w:r w:rsidRPr="00C9680B">
        <w:t>g</w:t>
      </w:r>
      <w:r w:rsidRPr="00C9680B">
        <w:t>lades under 1990-talet är detta alarmerande. Den socialdemokratiska reg</w:t>
      </w:r>
      <w:r w:rsidRPr="00C9680B">
        <w:t>e</w:t>
      </w:r>
      <w:r w:rsidRPr="00C9680B">
        <w:t>ringen gör nu tillsammans med Vänsterpartiet och Miljöpartiet om samma misstag från 1980-talets politik. I stället för reformer väljer man ökade o</w:t>
      </w:r>
      <w:r w:rsidRPr="00C9680B">
        <w:t>f</w:t>
      </w:r>
      <w:r w:rsidRPr="00C9680B">
        <w:t xml:space="preserve">fentliga utgifter och bibehåller en unikt hög utgiftskvot. </w:t>
      </w:r>
    </w:p>
    <w:p w:rsidR="001C7BF9" w:rsidRPr="00C9680B" w:rsidRDefault="001C7BF9">
      <w:pPr>
        <w:pStyle w:val="Normaltindrag"/>
      </w:pPr>
      <w:r w:rsidRPr="00C9680B">
        <w:t>Vi är av den bestämda uppfattningen att Sverige både för att minska de o</w:t>
      </w:r>
      <w:r w:rsidRPr="00C9680B">
        <w:t>f</w:t>
      </w:r>
      <w:r w:rsidRPr="00C9680B">
        <w:t>fentliga finansernas konjunkturkänslighet och för att stärka Sveriges konku</w:t>
      </w:r>
      <w:r w:rsidRPr="00C9680B">
        <w:t>r</w:t>
      </w:r>
      <w:r w:rsidRPr="00C9680B">
        <w:t>renskraft om företagande och kunskap i en global ekonomi nu måste pressa ner de offentliga utgifternas andel av BNP. I vår motion Fi208 (m) redovisar vi en politik som ger detta resultat. För att påskynda denna utveckling bör riksdagen fastställa som mål att de offentliga utgifterna på medellång sikt skall understiga 50 % av BNP.</w:t>
      </w:r>
    </w:p>
    <w:p w:rsidR="001C7BF9" w:rsidRPr="00C9680B" w:rsidRDefault="001C7BF9">
      <w:pPr>
        <w:pStyle w:val="Normaltindrag"/>
      </w:pPr>
      <w:r w:rsidRPr="00C9680B">
        <w:t>Vi tillstyrker alltså motion Fi208 (m) yrkandena 4 och 8 och avstyrker propositionens och övriga motion</w:t>
      </w:r>
      <w:r w:rsidRPr="00C9680B">
        <w:t>ers förslag på denna punkt.</w:t>
      </w:r>
    </w:p>
    <w:p w:rsidR="001C7BF9" w:rsidRPr="00C9680B" w:rsidRDefault="001C7BF9">
      <w:pPr>
        <w:pStyle w:val="Reservationspunkt"/>
        <w:rPr>
          <w:noProof w:val="0"/>
        </w:rPr>
      </w:pPr>
      <w:bookmarkStart w:id="718" w:name="_Toc498910919"/>
      <w:r w:rsidRPr="00C9680B">
        <w:rPr>
          <w:noProof w:val="0"/>
        </w:rPr>
        <w:t>10.</w:t>
      </w:r>
      <w:r w:rsidRPr="00C9680B">
        <w:rPr>
          <w:noProof w:val="0"/>
        </w:rPr>
        <w:tab/>
        <w:t>Mål för budgetpolitiken (punkt 4) (kd)</w:t>
      </w:r>
      <w:bookmarkEnd w:id="718"/>
    </w:p>
    <w:p w:rsidR="001C7BF9" w:rsidRPr="00C9680B" w:rsidRDefault="001C7BF9">
      <w:pPr>
        <w:pStyle w:val="Reservanter"/>
      </w:pPr>
      <w:r w:rsidRPr="00C9680B">
        <w:t>av Mats Odell och Per Landgren (båda kd).</w:t>
      </w:r>
    </w:p>
    <w:p w:rsidR="001C7BF9" w:rsidRPr="00C9680B" w:rsidRDefault="001C7BF9">
      <w:pPr>
        <w:pStyle w:val="Reservationer-underrubrik"/>
        <w:rPr>
          <w:noProof w:val="0"/>
        </w:rPr>
      </w:pPr>
      <w:bookmarkStart w:id="719" w:name="_Toc498910920"/>
      <w:r w:rsidRPr="00C9680B">
        <w:rPr>
          <w:noProof w:val="0"/>
        </w:rPr>
        <w:t>Förslag till riksdagsbeslut</w:t>
      </w:r>
      <w:bookmarkEnd w:id="719"/>
    </w:p>
    <w:p w:rsidR="001C7BF9" w:rsidRPr="00C9680B" w:rsidRDefault="001C7BF9">
      <w:r w:rsidRPr="00C9680B">
        <w:t>Vi anser att förslaget till riksdagsbeslut under punkt 4 borde ha följande l</w:t>
      </w:r>
      <w:r w:rsidRPr="00C9680B">
        <w:t>y</w:t>
      </w:r>
      <w:r w:rsidRPr="00C9680B">
        <w:t>delse:</w:t>
      </w:r>
    </w:p>
    <w:p w:rsidR="001C7BF9" w:rsidRPr="00C9680B" w:rsidRDefault="001C7BF9">
      <w:pPr>
        <w:pStyle w:val="Reservantfrslag"/>
      </w:pPr>
      <w:r w:rsidRPr="00C9680B">
        <w:t>4.  Riksdagen dels fastställer regeringens förslag till överskottsmål för 2001, dels begär att regeringen lägger fram förslag till kompletterande mål om balans i statens finansiella sparande. Därmed bifaller riksdagen motion 2000/01:Fi209 yrkande 4 och proposition 2000/01:1 punkt 4 samt avslår motionerna 2000/01:Fi208 yrkandena 4 och 8 samt 2000/01:Fi211 yrkande 4.</w:t>
      </w:r>
    </w:p>
    <w:p w:rsidR="001C7BF9" w:rsidRPr="00C9680B" w:rsidRDefault="001C7BF9">
      <w:pPr>
        <w:pStyle w:val="Reservationer-underrubrik"/>
        <w:rPr>
          <w:noProof w:val="0"/>
        </w:rPr>
      </w:pPr>
      <w:bookmarkStart w:id="720" w:name="_Toc498910921"/>
      <w:r w:rsidRPr="00C9680B">
        <w:rPr>
          <w:noProof w:val="0"/>
        </w:rPr>
        <w:t>Ställningstagande</w:t>
      </w:r>
      <w:bookmarkEnd w:id="720"/>
    </w:p>
    <w:p w:rsidR="001C7BF9" w:rsidRPr="00C9680B" w:rsidRDefault="001C7BF9">
      <w:r w:rsidRPr="00C9680B">
        <w:t>Som vi påpekar i vår motion Fi209 motsvarar visserligen sparandet i den offentliga sektorn 2 % av BNP, men under åren framöver ligger mer än hela detta sparande i ålderspensionssystemet. Efter 2001 kommer det inte att fi</w:t>
      </w:r>
      <w:r w:rsidRPr="00C9680B">
        <w:t>n</w:t>
      </w:r>
      <w:r w:rsidRPr="00C9680B">
        <w:t>nas någon buffert för statsfinanserna. Statens finansiella sparande kommer då att vara negativt och väntas uppvisa ett underskott som 2002 är på 20 milja</w:t>
      </w:r>
      <w:r w:rsidRPr="00C9680B">
        <w:t>r</w:t>
      </w:r>
      <w:r w:rsidRPr="00C9680B">
        <w:t>der kronor och 2003 på 27 miljarder kronor. Skall amorteringarna på statsskulden kunna klaras i det läget måste i princip extraordinära åtgärder tillgripas, som försäljning av statliga företag eller engångsvisa överföringar från AP-fonden till statskassan.</w:t>
      </w:r>
    </w:p>
    <w:p w:rsidR="001C7BF9" w:rsidRPr="00C9680B" w:rsidRDefault="001C7BF9">
      <w:pPr>
        <w:pStyle w:val="Normaltindrag"/>
      </w:pPr>
      <w:r w:rsidRPr="00C9680B">
        <w:t>Med tanke på den belastning som AP-fonden kommer att utsättas för när den stora kullen av fyrtiotali</w:t>
      </w:r>
      <w:r w:rsidRPr="00C9680B">
        <w:t>ster går i pension om cirka tio år är det bra att fondens tillgångar nu byggs upp. Ett fortsatt underskott i statens finansiella sparande oroar oss dock eftersom det inte ger statsfinanserna den stadga som krävs.</w:t>
      </w:r>
    </w:p>
    <w:p w:rsidR="001C7BF9" w:rsidRPr="00C9680B" w:rsidRDefault="001C7BF9">
      <w:r w:rsidRPr="00C9680B">
        <w:rPr>
          <w:color w:val="000000"/>
        </w:rPr>
        <w:t>Vi anser därför att regeringens förslag till överskottsmål för de offentliga finanserna bör kompletteras med ett mål för statens finansiella sparande. I vår motion redovisar vi mer ingående motiven för detta förslag. Som vi föreslår i det sammanhanget bör regeringen återkomma till riksdagen med ett</w:t>
      </w:r>
      <w:r w:rsidRPr="00C9680B">
        <w:rPr>
          <w:color w:val="000000"/>
        </w:rPr>
        <w:t xml:space="preserve"> förslag om att det skall råda balans i statens finansiella sparande över en konjunktu</w:t>
      </w:r>
      <w:r w:rsidRPr="00C9680B">
        <w:rPr>
          <w:color w:val="000000"/>
        </w:rPr>
        <w:t>r</w:t>
      </w:r>
      <w:r w:rsidRPr="00C9680B">
        <w:rPr>
          <w:color w:val="000000"/>
        </w:rPr>
        <w:t>cykel. Det innebär att vi tillstyrker motion Fi209 (kd) yrkande 4 samt prop</w:t>
      </w:r>
      <w:r w:rsidRPr="00C9680B">
        <w:rPr>
          <w:color w:val="000000"/>
        </w:rPr>
        <w:t>o</w:t>
      </w:r>
      <w:r w:rsidRPr="00C9680B">
        <w:rPr>
          <w:color w:val="000000"/>
        </w:rPr>
        <w:t>sitionen i denna del och avstyrker övriga motion</w:t>
      </w:r>
      <w:r w:rsidRPr="00C9680B">
        <w:rPr>
          <w:color w:val="000000"/>
        </w:rPr>
        <w:t>s</w:t>
      </w:r>
      <w:r w:rsidRPr="00C9680B">
        <w:rPr>
          <w:color w:val="000000"/>
        </w:rPr>
        <w:t>förslag på denna punkt.</w:t>
      </w:r>
    </w:p>
    <w:p w:rsidR="001C7BF9" w:rsidRPr="00C9680B" w:rsidRDefault="001C7BF9">
      <w:pPr>
        <w:pStyle w:val="Reservationspunkt"/>
        <w:rPr>
          <w:noProof w:val="0"/>
        </w:rPr>
      </w:pPr>
      <w:bookmarkStart w:id="721" w:name="_Toc498910922"/>
      <w:r w:rsidRPr="00C9680B">
        <w:rPr>
          <w:noProof w:val="0"/>
        </w:rPr>
        <w:t>11.</w:t>
      </w:r>
      <w:r w:rsidRPr="00C9680B">
        <w:rPr>
          <w:noProof w:val="0"/>
        </w:rPr>
        <w:tab/>
        <w:t>Mål för budgetpolitiken (punkt 4) (fp)</w:t>
      </w:r>
      <w:bookmarkEnd w:id="721"/>
    </w:p>
    <w:p w:rsidR="001C7BF9" w:rsidRPr="00C9680B" w:rsidRDefault="001C7BF9">
      <w:pPr>
        <w:pStyle w:val="Reservanter"/>
      </w:pPr>
      <w:r w:rsidRPr="00C9680B">
        <w:t>av Bo Könberg (fp).</w:t>
      </w:r>
    </w:p>
    <w:p w:rsidR="001C7BF9" w:rsidRPr="00C9680B" w:rsidRDefault="001C7BF9">
      <w:pPr>
        <w:pStyle w:val="Reservationer-underrubrik"/>
        <w:rPr>
          <w:noProof w:val="0"/>
        </w:rPr>
      </w:pPr>
      <w:bookmarkStart w:id="722" w:name="_Toc498910923"/>
      <w:r w:rsidRPr="00C9680B">
        <w:rPr>
          <w:noProof w:val="0"/>
        </w:rPr>
        <w:t>Förslag till riksdagsbeslut</w:t>
      </w:r>
      <w:bookmarkEnd w:id="722"/>
    </w:p>
    <w:p w:rsidR="001C7BF9" w:rsidRPr="00C9680B" w:rsidRDefault="001C7BF9">
      <w:r w:rsidRPr="00C9680B">
        <w:t>Jag anser att förslaget till riksdagsbeslut under punkt 4 borde ha följande lydelse:</w:t>
      </w:r>
    </w:p>
    <w:p w:rsidR="001C7BF9" w:rsidRPr="00C9680B" w:rsidRDefault="001C7BF9">
      <w:pPr>
        <w:pStyle w:val="Reservantfrslag"/>
      </w:pPr>
      <w:r w:rsidRPr="00C9680B">
        <w:t>4.  Riksdagen fastställer målet för det finansiella sparandet i den offentliga sektorn för 2001 till 3,0 % av BNP. Därmed bifaller riksdagen motion 2000/01:Fi211 yrkande 4 samt avslår proposition 2000/01:1 punkt 4 liksom motione</w:t>
      </w:r>
      <w:r w:rsidRPr="00C9680B">
        <w:t>r</w:t>
      </w:r>
      <w:r w:rsidRPr="00C9680B">
        <w:t>na 2000/01:Fi208 yrkandena 4 och 8 och 2000/01:Fi209 yrkande 4.</w:t>
      </w:r>
    </w:p>
    <w:p w:rsidR="001C7BF9" w:rsidRPr="00C9680B" w:rsidRDefault="001C7BF9">
      <w:pPr>
        <w:pStyle w:val="Reservationer-underrubrik"/>
        <w:rPr>
          <w:noProof w:val="0"/>
        </w:rPr>
      </w:pPr>
      <w:bookmarkStart w:id="723" w:name="_Toc498910924"/>
      <w:r w:rsidRPr="00C9680B">
        <w:rPr>
          <w:noProof w:val="0"/>
        </w:rPr>
        <w:t>Ställningstagande</w:t>
      </w:r>
      <w:bookmarkEnd w:id="723"/>
    </w:p>
    <w:p w:rsidR="001C7BF9" w:rsidRPr="00C9680B" w:rsidRDefault="001C7BF9">
      <w:r w:rsidRPr="00C9680B">
        <w:t>Jag tillstyrker Folkpartiet liberalernas förslag att målet för det finansiella sparandet i den offentliga sektorn bör sättas högre än de 2,5 % av BNP som föreslås i budgetpropositionen. Folkpartiet har tidigare ställt sig bakom det långsiktiga målet om ett överskott i de offentliga finanserna på i genomsnitt 2 % av BNP sett över en konjunkturcykel. Skall genomsnittet kunna ligga på denna nivå är det enligt min mening tämligen självklart att överskottsmålet bör vara högre i en högkonjunktur för att kunna vä</w:t>
      </w:r>
      <w:r w:rsidRPr="00C9680B">
        <w:t xml:space="preserve">ga upp en lägre nivå i en lågkonjunktur. Man måste i detta sammanhang också ta hänsyn till såväl statsfinansernas höga konjunkturkänslighet som till behovet av finanspolitisk stramhet. Jag anser därför att den nivå som föreslås för överskottsmålet är för låg och föreslår i likhet med Folkpartiet att målet sätts till 3 % detta år. </w:t>
      </w:r>
    </w:p>
    <w:p w:rsidR="001C7BF9" w:rsidRPr="00C9680B" w:rsidRDefault="001C7BF9">
      <w:pPr>
        <w:pStyle w:val="Normaltindrag"/>
      </w:pPr>
      <w:r w:rsidRPr="00C9680B">
        <w:t xml:space="preserve">Det innebär att jag tillstyrker motion Fi211 (fp) yrkande 4. Regeringens förslag i denna del liksom övriga motionsyrkanden bör avslås. </w:t>
      </w:r>
    </w:p>
    <w:p w:rsidR="001C7BF9" w:rsidRPr="00C9680B" w:rsidRDefault="001C7BF9">
      <w:pPr>
        <w:pStyle w:val="Reservationspunkt"/>
        <w:rPr>
          <w:noProof w:val="0"/>
        </w:rPr>
      </w:pPr>
      <w:bookmarkStart w:id="724" w:name="_Toc498910925"/>
      <w:r w:rsidRPr="00C9680B">
        <w:rPr>
          <w:noProof w:val="0"/>
        </w:rPr>
        <w:t>12. Budgetförslagen för år 2001 (punkt 5) (m)</w:t>
      </w:r>
      <w:bookmarkEnd w:id="724"/>
    </w:p>
    <w:p w:rsidR="001C7BF9" w:rsidRPr="00C9680B" w:rsidRDefault="001C7BF9">
      <w:pPr>
        <w:pStyle w:val="Reservanter"/>
      </w:pPr>
      <w:r w:rsidRPr="00C9680B">
        <w:t>av Gunnar Hökmark, Lennart Hedquist, Anna Åkerhielm och Gunnar Axén (alla m).</w:t>
      </w:r>
    </w:p>
    <w:p w:rsidR="001C7BF9" w:rsidRPr="00C9680B" w:rsidRDefault="001C7BF9">
      <w:pPr>
        <w:pStyle w:val="Reservationer-underrubrik"/>
        <w:rPr>
          <w:noProof w:val="0"/>
        </w:rPr>
      </w:pPr>
      <w:bookmarkStart w:id="725" w:name="_Toc498910926"/>
      <w:r w:rsidRPr="00C9680B">
        <w:rPr>
          <w:noProof w:val="0"/>
        </w:rPr>
        <w:t>Förslag till riksdagsbeslut</w:t>
      </w:r>
      <w:bookmarkEnd w:id="725"/>
    </w:p>
    <w:p w:rsidR="001C7BF9" w:rsidRPr="00C9680B" w:rsidRDefault="001C7BF9">
      <w:r w:rsidRPr="00C9680B">
        <w:t>Vi anser att förslaget till riksdagsbeslut under punkt 5 borde ha följande l</w:t>
      </w:r>
      <w:r w:rsidRPr="00C9680B">
        <w:t>y</w:t>
      </w:r>
      <w:r w:rsidRPr="00C9680B">
        <w:t xml:space="preserve">delse: </w:t>
      </w:r>
    </w:p>
    <w:p w:rsidR="001C7BF9" w:rsidRPr="00C9680B" w:rsidRDefault="001C7BF9">
      <w:pPr>
        <w:pStyle w:val="R4"/>
      </w:pPr>
      <w:r w:rsidRPr="00C9680B">
        <w:t>5. Budgetförslagen för år 2001</w:t>
      </w:r>
    </w:p>
    <w:p w:rsidR="001C7BF9" w:rsidRPr="00C9680B" w:rsidRDefault="001C7BF9">
      <w:pPr>
        <w:pStyle w:val="Frslagstext"/>
        <w:numPr>
          <w:ilvl w:val="0"/>
          <w:numId w:val="1334"/>
        </w:numPr>
        <w:spacing w:before="125"/>
        <w:rPr>
          <w:i/>
        </w:rPr>
      </w:pPr>
      <w:r w:rsidRPr="00C9680B">
        <w:rPr>
          <w:i/>
        </w:rPr>
        <w:t xml:space="preserve">Utgiftstak för staten åren 2001–2003 (avsnitt 2.5.1) </w:t>
      </w:r>
    </w:p>
    <w:p w:rsidR="001C7BF9" w:rsidRPr="00C9680B" w:rsidRDefault="001C7BF9">
      <w:pPr>
        <w:pStyle w:val="Frslagstext"/>
        <w:ind w:left="0"/>
      </w:pPr>
      <w:r w:rsidRPr="00C9680B">
        <w:t>Riksdagen fastställer utgiftstaket för staten inklusive ålderspensionssystemet vid sidan av statsbudgeten till 805 miljarder kronor för år 2001, 820 miljarder kronor för år 2002 och 842 miljarder kronor för år 2003. Därmed bifaller riksdagen motion 2000/01:Fi208 yrkande 3 med viss ändring och avslår pr</w:t>
      </w:r>
      <w:r w:rsidRPr="00C9680B">
        <w:t>o</w:t>
      </w:r>
      <w:r w:rsidRPr="00C9680B">
        <w:t xml:space="preserve">position 2000/01:1 punkt 2. </w:t>
      </w:r>
    </w:p>
    <w:p w:rsidR="001C7BF9" w:rsidRPr="00C9680B" w:rsidRDefault="001C7BF9">
      <w:pPr>
        <w:pStyle w:val="Frslagstext"/>
        <w:numPr>
          <w:ilvl w:val="0"/>
          <w:numId w:val="1334"/>
        </w:numPr>
        <w:spacing w:before="125"/>
        <w:ind w:left="284" w:hanging="284"/>
        <w:rPr>
          <w:i/>
        </w:rPr>
      </w:pPr>
      <w:r w:rsidRPr="00C9680B">
        <w:rPr>
          <w:i/>
        </w:rPr>
        <w:t>Utgiftstak för den offentliga sektorn åren 2001–2003 (avsnitt 2.5.2)</w:t>
      </w:r>
    </w:p>
    <w:p w:rsidR="001C7BF9" w:rsidRPr="00C9680B" w:rsidRDefault="001C7BF9">
      <w:pPr>
        <w:pStyle w:val="Frslagstext"/>
        <w:ind w:left="0"/>
      </w:pPr>
      <w:r w:rsidRPr="00C9680B">
        <w:t>Riksdagen godkänner den i motion 2000/01:Fi208 redovisade reviderade beräkningen av de offentliga utgifterna för åren 2001–2003. Därmed bifaller riksdagen motion 2000/01:Fi208 yrkande 2 och avslår proposition 2000/01:1 punkt 3.</w:t>
      </w:r>
    </w:p>
    <w:p w:rsidR="001C7BF9" w:rsidRPr="00C9680B" w:rsidRDefault="001C7BF9">
      <w:pPr>
        <w:pStyle w:val="Frslagstext"/>
        <w:numPr>
          <w:ilvl w:val="0"/>
          <w:numId w:val="1334"/>
        </w:numPr>
        <w:spacing w:before="125"/>
        <w:rPr>
          <w:i/>
        </w:rPr>
      </w:pPr>
      <w:r w:rsidRPr="00C9680B">
        <w:rPr>
          <w:i/>
        </w:rPr>
        <w:t xml:space="preserve">Fördelning av statens utgifter på utgiftsområden för budgetåret 2001 (avsnitt 2.6) </w:t>
      </w:r>
    </w:p>
    <w:p w:rsidR="001C7BF9" w:rsidRPr="00C9680B" w:rsidRDefault="001C7BF9">
      <w:pPr>
        <w:pStyle w:val="Frslagstext"/>
        <w:ind w:left="0"/>
      </w:pPr>
      <w:r w:rsidRPr="00C9680B">
        <w:t>Riksdagen beslutar om fördelning av utgifterna för budgetåret 2001 på u</w:t>
      </w:r>
      <w:r w:rsidRPr="00C9680B">
        <w:t>t</w:t>
      </w:r>
      <w:r w:rsidRPr="00C9680B">
        <w:t xml:space="preserve">giftsområden enligt det med reservation 12 (m) betecknade förslaget i den </w:t>
      </w:r>
      <w:r w:rsidRPr="00C9680B">
        <w:rPr>
          <w:i/>
        </w:rPr>
        <w:t>sammanställning över statsbudgetens utgifter och inkomster</w:t>
      </w:r>
      <w:r w:rsidRPr="00C9680B">
        <w:t xml:space="preserve"> som följer efter utskottets förslag till beslut. Därmed bifaller riksdagen motion 2000/01:Fi208 yrkande 5 med viss ändring och avslår proposition 2000/01:1 punkt 8. </w:t>
      </w:r>
    </w:p>
    <w:p w:rsidR="001C7BF9" w:rsidRPr="00C9680B" w:rsidRDefault="001C7BF9">
      <w:pPr>
        <w:pStyle w:val="Frslagstext"/>
        <w:numPr>
          <w:ilvl w:val="0"/>
          <w:numId w:val="1334"/>
        </w:numPr>
        <w:spacing w:before="125"/>
        <w:ind w:left="284" w:hanging="284"/>
        <w:rPr>
          <w:i/>
        </w:rPr>
      </w:pPr>
      <w:r w:rsidRPr="00C9680B">
        <w:rPr>
          <w:i/>
        </w:rPr>
        <w:t>Förändringar av anslagsbehållningar för budgetåret 2001 (avsnitt 2.8)</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4"/>
        </w:numPr>
        <w:spacing w:before="125"/>
        <w:ind w:left="284" w:hanging="284"/>
        <w:rPr>
          <w:i/>
        </w:rPr>
      </w:pPr>
      <w:r w:rsidRPr="00C9680B">
        <w:rPr>
          <w:i/>
        </w:rPr>
        <w:t>Myndigheternas in- och utlåning i Riksgäldskontoret (avsnitt 2.9)</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4"/>
        </w:numPr>
        <w:spacing w:before="125"/>
        <w:rPr>
          <w:i/>
        </w:rPr>
      </w:pPr>
      <w:r w:rsidRPr="00C9680B">
        <w:rPr>
          <w:i/>
        </w:rPr>
        <w:t xml:space="preserve">Inkomstskatten för år 2001 (avsnitt 3.3.1)  </w:t>
      </w:r>
    </w:p>
    <w:p w:rsidR="001C7BF9" w:rsidRPr="00C9680B" w:rsidRDefault="001C7BF9">
      <w:pPr>
        <w:pStyle w:val="Frslagstext"/>
        <w:ind w:left="0"/>
      </w:pPr>
      <w:r w:rsidRPr="00C9680B">
        <w:t>Riksdagen godkänner vad som framförs i reservation 12 om inkomstskatten för år 2001. Riksdagen bifaller därmed motionerna 2000/01:Sk313 yrkandena 2 i denna del, 3, 4–6, alla i denna del, och 12–20, 2000/01:Sk319 och 2000/01:N385 yrkande 8 och avslår proposition 2000/01:1 punkterna 24, 25 och 27–31, alla i denna del.</w:t>
      </w:r>
    </w:p>
    <w:p w:rsidR="001C7BF9" w:rsidRPr="00C9680B" w:rsidRDefault="001C7BF9">
      <w:pPr>
        <w:pStyle w:val="Frslagstext"/>
        <w:numPr>
          <w:ilvl w:val="0"/>
          <w:numId w:val="1334"/>
        </w:numPr>
        <w:spacing w:before="125"/>
        <w:rPr>
          <w:i/>
        </w:rPr>
      </w:pPr>
      <w:r w:rsidRPr="00C9680B">
        <w:rPr>
          <w:i/>
        </w:rPr>
        <w:t xml:space="preserve">Utökade reseavdrag (avsnitt 3.3.2) </w:t>
      </w:r>
    </w:p>
    <w:p w:rsidR="001C7BF9" w:rsidRPr="00C9680B" w:rsidRDefault="001C7BF9">
      <w:pPr>
        <w:pStyle w:val="Frslagstext"/>
        <w:ind w:left="0"/>
      </w:pPr>
      <w:r w:rsidRPr="00C9680B">
        <w:t>Riksdagen godkänner vad som framförs i reservation 12 om utökade resea</w:t>
      </w:r>
      <w:r w:rsidRPr="00C9680B">
        <w:t>v</w:t>
      </w:r>
      <w:r w:rsidRPr="00C9680B">
        <w:t>drag och bifaller därmed motionerna 2000/01:Sk313 yrkandena 21 och 22 och 2000/01:N385 yrkande 7 samt avslår proposition 2000/01:1 punkt 24 i denna del.</w:t>
      </w:r>
    </w:p>
    <w:p w:rsidR="001C7BF9" w:rsidRPr="00C9680B" w:rsidRDefault="001C7BF9">
      <w:pPr>
        <w:pStyle w:val="Frslagstext"/>
        <w:numPr>
          <w:ilvl w:val="0"/>
          <w:numId w:val="1334"/>
        </w:numPr>
        <w:spacing w:before="125"/>
        <w:rPr>
          <w:i/>
        </w:rPr>
      </w:pPr>
      <w:r w:rsidRPr="00C9680B">
        <w:rPr>
          <w:i/>
        </w:rPr>
        <w:t>Kapitalvinstbeskattning av bostäder (avsnitt 3.3.7)</w:t>
      </w:r>
    </w:p>
    <w:p w:rsidR="001C7BF9" w:rsidRPr="00C9680B" w:rsidRDefault="001C7BF9">
      <w:pPr>
        <w:pStyle w:val="Frslagstext"/>
        <w:ind w:left="0"/>
      </w:pPr>
      <w:r w:rsidRPr="00C9680B">
        <w:t>Riksdagen godkänner vad som framförs i reservation 12 om att den skatt</w:t>
      </w:r>
      <w:r w:rsidRPr="00C9680B">
        <w:t>e</w:t>
      </w:r>
      <w:r w:rsidRPr="00C9680B">
        <w:t>pliktiga delen av kapitalvinsten vid försäljning av privatbostäder inte skall höjas. Därmed bifaller riksdagen motion 2000/01:Sk313 yrkande 2 i denna del och avslår proposition 2000/01:1 punkt 24 i denna del.</w:t>
      </w:r>
    </w:p>
    <w:p w:rsidR="001C7BF9" w:rsidRPr="00C9680B" w:rsidRDefault="001C7BF9">
      <w:pPr>
        <w:pStyle w:val="Frslagstext"/>
        <w:keepNext/>
        <w:numPr>
          <w:ilvl w:val="0"/>
          <w:numId w:val="1334"/>
        </w:numPr>
        <w:spacing w:before="125"/>
        <w:rPr>
          <w:i/>
        </w:rPr>
      </w:pPr>
      <w:r w:rsidRPr="00C9680B">
        <w:rPr>
          <w:i/>
        </w:rPr>
        <w:t>Beskattning av sjömän (avsnitt 3.3.9)</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4"/>
        </w:numPr>
        <w:spacing w:before="125"/>
        <w:rPr>
          <w:i/>
        </w:rPr>
      </w:pPr>
      <w:r w:rsidRPr="00C9680B">
        <w:rPr>
          <w:i/>
        </w:rPr>
        <w:t xml:space="preserve">Förändrade avgiftsnivåer för socialavgifterna (avsnitt 3.5) </w:t>
      </w:r>
    </w:p>
    <w:p w:rsidR="001C7BF9" w:rsidRPr="00C9680B" w:rsidRDefault="001C7BF9">
      <w:pPr>
        <w:pStyle w:val="Frslagstext"/>
        <w:ind w:left="0"/>
      </w:pPr>
      <w:r w:rsidRPr="00C9680B">
        <w:t>Riksdagen godkänner vad som framförs i reservation 12 om ändrade avgift</w:t>
      </w:r>
      <w:r w:rsidRPr="00C9680B">
        <w:t>s</w:t>
      </w:r>
      <w:r w:rsidRPr="00C9680B">
        <w:t>nivåer för socialavgifterna. Därmed bifaller riksdagen motion 2000/01:Sk313 yrkandena 4–6, alla i denna del, och 25 samt avslår proposition 2000/01:1 punkt 26 i denna del.</w:t>
      </w:r>
    </w:p>
    <w:p w:rsidR="001C7BF9" w:rsidRPr="00C9680B" w:rsidRDefault="001C7BF9">
      <w:pPr>
        <w:pStyle w:val="Frslagstext"/>
        <w:numPr>
          <w:ilvl w:val="0"/>
          <w:numId w:val="1334"/>
        </w:numPr>
        <w:spacing w:before="125"/>
        <w:rPr>
          <w:i/>
        </w:rPr>
      </w:pPr>
      <w:r w:rsidRPr="00C9680B">
        <w:rPr>
          <w:i/>
        </w:rPr>
        <w:t>Fastighetsskatt på bostäder (avsnitt 3.6.1)</w:t>
      </w:r>
    </w:p>
    <w:p w:rsidR="001C7BF9" w:rsidRPr="00C9680B" w:rsidRDefault="001C7BF9">
      <w:pPr>
        <w:pStyle w:val="Frslagstext"/>
        <w:ind w:left="0"/>
      </w:pPr>
      <w:r w:rsidRPr="00C9680B">
        <w:t>Riksdagen godkänner vad som framförs i reservation 12 om sänkt fastighet</w:t>
      </w:r>
      <w:r w:rsidRPr="00C9680B">
        <w:t>s</w:t>
      </w:r>
      <w:r w:rsidRPr="00C9680B">
        <w:t>skatt på bostäder. Därmed bifaller riksdagen motionerna 2000/01:Sk308, 2000/01:Sk313 yrkandena 1 och 32–35, 2000/01:Sk621 yrkandena 1, 2 och 4, 2000/01:N385 yrkande 9 och 2000/01:Bo414 yrkandena 11, 12 och 14 och avslår proposition 2000/01:1 punkt 23 i denna del.</w:t>
      </w:r>
    </w:p>
    <w:p w:rsidR="001C7BF9" w:rsidRPr="00C9680B" w:rsidRDefault="001C7BF9">
      <w:pPr>
        <w:pStyle w:val="Frslagstext"/>
        <w:numPr>
          <w:ilvl w:val="0"/>
          <w:numId w:val="1334"/>
        </w:numPr>
        <w:spacing w:before="125"/>
        <w:rPr>
          <w:i/>
        </w:rPr>
      </w:pPr>
      <w:r w:rsidRPr="00C9680B">
        <w:rPr>
          <w:i/>
        </w:rPr>
        <w:t>Värdering av bostadshyreshus vid 2001 års förmögenhetstaxering (a</w:t>
      </w:r>
      <w:r w:rsidRPr="00C9680B">
        <w:rPr>
          <w:i/>
        </w:rPr>
        <w:t>v</w:t>
      </w:r>
      <w:r w:rsidRPr="00C9680B">
        <w:rPr>
          <w:i/>
        </w:rPr>
        <w:t xml:space="preserve">snitt 3.6.3) </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4"/>
        </w:numPr>
        <w:spacing w:before="125"/>
        <w:rPr>
          <w:i/>
        </w:rPr>
      </w:pPr>
      <w:r w:rsidRPr="00C9680B">
        <w:rPr>
          <w:i/>
        </w:rPr>
        <w:t>Mervärdesskatt på resor (avsnitt 3.7.1)</w:t>
      </w:r>
    </w:p>
    <w:p w:rsidR="001C7BF9" w:rsidRPr="00C9680B" w:rsidRDefault="001C7BF9">
      <w:pPr>
        <w:pStyle w:val="Frslagstext"/>
        <w:ind w:left="0"/>
      </w:pPr>
      <w:r w:rsidRPr="00C9680B">
        <w:t>Riksdagen godkänner vad som framförs i reservation 12 om mervärdesskatt på resor. Därmed bifaller riksdagen motion 2000/01:Sk313 yrkande 11 och avslår proposition 2000/01:1 punkt 40 i de</w:t>
      </w:r>
      <w:r w:rsidRPr="00C9680B">
        <w:t>n</w:t>
      </w:r>
      <w:r w:rsidRPr="00C9680B">
        <w:t>na del.</w:t>
      </w:r>
    </w:p>
    <w:p w:rsidR="001C7BF9" w:rsidRPr="00C9680B" w:rsidRDefault="001C7BF9">
      <w:pPr>
        <w:pStyle w:val="Frslagstext"/>
        <w:numPr>
          <w:ilvl w:val="0"/>
          <w:numId w:val="1334"/>
        </w:numPr>
        <w:spacing w:before="125"/>
        <w:rPr>
          <w:i/>
        </w:rPr>
      </w:pPr>
      <w:r w:rsidRPr="00C9680B">
        <w:rPr>
          <w:i/>
        </w:rPr>
        <w:t xml:space="preserve">Skatt på alkohol och tobak (avsnitt 3.7.3) </w:t>
      </w:r>
    </w:p>
    <w:p w:rsidR="001C7BF9" w:rsidRPr="00C9680B" w:rsidRDefault="001C7BF9">
      <w:pPr>
        <w:pStyle w:val="Frslagstext"/>
        <w:ind w:left="0"/>
      </w:pPr>
      <w:r w:rsidRPr="00C9680B">
        <w:t>Riksdagen godkänner vad som framförs i reservation 12 om en höjning av gränsen för privat införsel av vin, starkvin och starköl den 1 januari 2001. Därmed bifaller riksdagen motionerna 2000/01:Sk313 yrkandena 9 och 10 och 2000/01:Sk1028 yrkandena 13–15 samt avslår proposition 2000/01:1 punkterna 37 och 38, båda i de</w:t>
      </w:r>
      <w:r w:rsidRPr="00C9680B">
        <w:t>n</w:t>
      </w:r>
      <w:r w:rsidRPr="00C9680B">
        <w:t>na del.</w:t>
      </w:r>
    </w:p>
    <w:p w:rsidR="001C7BF9" w:rsidRPr="00C9680B" w:rsidRDefault="001C7BF9">
      <w:pPr>
        <w:pStyle w:val="Frslagstext"/>
        <w:numPr>
          <w:ilvl w:val="0"/>
          <w:numId w:val="1334"/>
        </w:numPr>
        <w:spacing w:before="125"/>
        <w:ind w:left="284" w:hanging="284"/>
        <w:rPr>
          <w:i/>
        </w:rPr>
      </w:pPr>
      <w:r w:rsidRPr="00C9680B">
        <w:rPr>
          <w:i/>
        </w:rPr>
        <w:t xml:space="preserve">Förskjutning av skatteuttaget från energiskatt till koldioxidskatt </w:t>
      </w:r>
      <w:r w:rsidRPr="00C9680B">
        <w:rPr>
          <w:i/>
        </w:rPr>
        <w:br/>
        <w:t>(avsnitt 3.7.4)</w:t>
      </w:r>
    </w:p>
    <w:p w:rsidR="001C7BF9" w:rsidRPr="00C9680B" w:rsidRDefault="001C7BF9">
      <w:pPr>
        <w:pStyle w:val="Frslagstext"/>
        <w:ind w:left="0"/>
      </w:pPr>
      <w:r w:rsidRPr="00C9680B">
        <w:t>Riksdagen godkänner vad som framförs i reservation 12 om en förskjutning av skatteuttaget från energiskatt till koldioxidskatt, vilket innebär att den föreslagna sänkningen av energiskatt godtas men att höjningen av koldioxid</w:t>
      </w:r>
      <w:r w:rsidRPr="00C9680B">
        <w:t>s</w:t>
      </w:r>
      <w:r w:rsidRPr="00C9680B">
        <w:t>katt avslås. Därmed bifaller riksdagen motionerna 2000/01:Sk313 yrkandena 8 i denna del och 26 samt 2000/01:Sk1028 yrkande 3 i denna del och avslår pro</w:t>
      </w:r>
      <w:r w:rsidRPr="00C9680B">
        <w:softHyphen/>
        <w:t>position 2000/01:1 punkt 34 i denna del.</w:t>
      </w:r>
    </w:p>
    <w:p w:rsidR="001C7BF9" w:rsidRPr="00C9680B" w:rsidRDefault="001C7BF9">
      <w:pPr>
        <w:pStyle w:val="Frslagstext"/>
        <w:numPr>
          <w:ilvl w:val="0"/>
          <w:numId w:val="1334"/>
        </w:numPr>
        <w:spacing w:before="125"/>
        <w:rPr>
          <w:i/>
        </w:rPr>
      </w:pPr>
      <w:r w:rsidRPr="00C9680B">
        <w:rPr>
          <w:i/>
        </w:rPr>
        <w:t xml:space="preserve">Höjd koldioxidskatt (avsnitt 3.7.5) </w:t>
      </w:r>
    </w:p>
    <w:p w:rsidR="001C7BF9" w:rsidRPr="00C9680B" w:rsidRDefault="001C7BF9">
      <w:pPr>
        <w:pStyle w:val="Frslagstext"/>
        <w:ind w:left="0"/>
      </w:pPr>
      <w:r w:rsidRPr="00C9680B">
        <w:t>Riksdagen godkänner vad som framförs i reservation 12 om avslag på försl</w:t>
      </w:r>
      <w:r w:rsidRPr="00C9680B">
        <w:t>a</w:t>
      </w:r>
      <w:r w:rsidRPr="00C9680B">
        <w:t>get om höjd koldioxidskatt. Därmed bifaller riksdagen motionerna 2000/01:Sk313 yrkandena 8 och 23, båda i denna del, och 2000/01:Sk1028 yrkandena 3 och 4, båda i denna del, samt avslår proposition 2000/01:1 punkt 34 i denna del.</w:t>
      </w:r>
    </w:p>
    <w:p w:rsidR="001C7BF9" w:rsidRPr="00C9680B" w:rsidRDefault="001C7BF9">
      <w:pPr>
        <w:pStyle w:val="Frslagstext"/>
        <w:keepNext/>
        <w:numPr>
          <w:ilvl w:val="0"/>
          <w:numId w:val="1334"/>
        </w:numPr>
        <w:spacing w:before="125"/>
        <w:rPr>
          <w:i/>
        </w:rPr>
      </w:pPr>
      <w:r w:rsidRPr="00C9680B">
        <w:rPr>
          <w:i/>
        </w:rPr>
        <w:t xml:space="preserve">Höjd energiskatt på el (avsnitt 3.7.6) </w:t>
      </w:r>
    </w:p>
    <w:p w:rsidR="001C7BF9" w:rsidRPr="00C9680B" w:rsidRDefault="001C7BF9">
      <w:pPr>
        <w:pStyle w:val="Frslagstext"/>
        <w:ind w:left="0"/>
      </w:pPr>
      <w:r w:rsidRPr="00C9680B">
        <w:t>Riksdagen godkänner vad som framförs i reservation 12 om avslag på försl</w:t>
      </w:r>
      <w:r w:rsidRPr="00C9680B">
        <w:t>a</w:t>
      </w:r>
      <w:r w:rsidRPr="00C9680B">
        <w:t xml:space="preserve">get om höjd energiskatt på el. Därmed bifaller riksdagen motionerna 2000/01:Sk313 yrkandena 8 och 23, båda i denna del, och 2000/01:Sk1028 yrkandena 3 och 4, båda i denna del, samt avslår proposition 2000/01:1 punkt 34 i denna del. </w:t>
      </w:r>
    </w:p>
    <w:p w:rsidR="001C7BF9" w:rsidRPr="00C9680B" w:rsidRDefault="001C7BF9">
      <w:pPr>
        <w:pStyle w:val="Frslagstext"/>
        <w:numPr>
          <w:ilvl w:val="0"/>
          <w:numId w:val="1334"/>
        </w:numPr>
        <w:spacing w:before="125"/>
        <w:rPr>
          <w:i/>
        </w:rPr>
      </w:pPr>
      <w:r w:rsidRPr="00C9680B">
        <w:rPr>
          <w:i/>
        </w:rPr>
        <w:t xml:space="preserve">Beskattning av drivmedel (avsnitt 3.7.8) </w:t>
      </w:r>
    </w:p>
    <w:p w:rsidR="001C7BF9" w:rsidRPr="00C9680B" w:rsidRDefault="001C7BF9">
      <w:pPr>
        <w:pStyle w:val="Frslagstext"/>
        <w:ind w:left="0"/>
      </w:pPr>
      <w:r w:rsidRPr="00C9680B">
        <w:t xml:space="preserve">Riksdagen godkänner vad som framförs i reservation 12 om en sänkning av energiskatten på bensin och dieselolja. Därmed bifaller riksdagen motionerna </w:t>
      </w:r>
    </w:p>
    <w:p w:rsidR="001C7BF9" w:rsidRPr="00C9680B" w:rsidRDefault="001C7BF9">
      <w:pPr>
        <w:pStyle w:val="Frslagstext"/>
        <w:ind w:left="0"/>
      </w:pPr>
      <w:r w:rsidRPr="00C9680B">
        <w:t>2000/01:Sk301, 2000/01:Sk302, 2000/01:Sk304, 2000/01:Sk305, 2000/01:</w:t>
      </w:r>
      <w:r w:rsidRPr="00C9680B">
        <w:br/>
        <w:t>Sk307, 2000/01:Sk311 yrkande 1, 2000/01:Sk312 yrkandena 1 och 2, 2000/01:Sk313 yrkande 24, 2000/01:Sk315,  2000/01:Sk320 yrkandena 1 och 2, 2000/01:Sk620 yrkande 4, 2000/01:Sk1025 yrkande 1, 2000/01:Sk1028 yrkandena 11 och 12, 2000/01:Sk1029 yrkande 2 och 2000/01:N385 yrkande 6 samt bifaller delvis motion 2000/01:Sk317 och avslår proposition 2000/01:1 punkt 34 i denna del.</w:t>
      </w:r>
    </w:p>
    <w:p w:rsidR="001C7BF9" w:rsidRPr="00C9680B" w:rsidRDefault="001C7BF9">
      <w:pPr>
        <w:pStyle w:val="Frslagstext"/>
        <w:numPr>
          <w:ilvl w:val="0"/>
          <w:numId w:val="1334"/>
        </w:numPr>
        <w:spacing w:before="125"/>
        <w:rPr>
          <w:i/>
        </w:rPr>
      </w:pPr>
      <w:r w:rsidRPr="00C9680B">
        <w:rPr>
          <w:i/>
        </w:rPr>
        <w:t>Indexering av energi- och koldioxidskatt (avsnitt 3.7.9)</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4"/>
        </w:numPr>
        <w:spacing w:before="125"/>
        <w:rPr>
          <w:i/>
        </w:rPr>
      </w:pPr>
      <w:r w:rsidRPr="00C9680B">
        <w:rPr>
          <w:i/>
        </w:rPr>
        <w:t>Kalk- och cementindustrin (avsnitt 3.7.10)</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4"/>
        </w:numPr>
        <w:spacing w:before="125"/>
        <w:rPr>
          <w:i/>
        </w:rPr>
      </w:pPr>
      <w:r w:rsidRPr="00C9680B">
        <w:rPr>
          <w:i/>
        </w:rPr>
        <w:t xml:space="preserve">Fordonsskatt och försäljningsskatt (avsnitt 3.7.13) </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4"/>
        </w:numPr>
        <w:spacing w:before="125"/>
        <w:rPr>
          <w:i/>
        </w:rPr>
      </w:pPr>
      <w:r w:rsidRPr="00C9680B">
        <w:rPr>
          <w:i/>
        </w:rPr>
        <w:t xml:space="preserve">Beräkningen av statsbudgetens inkomster för budgetåret 2001 (avsnitt 3.8) </w:t>
      </w:r>
    </w:p>
    <w:p w:rsidR="001C7BF9" w:rsidRPr="00C9680B" w:rsidRDefault="001C7BF9">
      <w:pPr>
        <w:pStyle w:val="Frslagstext"/>
        <w:ind w:left="0"/>
      </w:pPr>
      <w:r w:rsidRPr="00C9680B">
        <w:t>Riksdagen godkänner beräkningen av statsbudgetens inkomster för budgetåret 2001 enligt det med reservation 12 (m) betecknade förslaget i den samma</w:t>
      </w:r>
      <w:r w:rsidRPr="00C9680B">
        <w:t>n</w:t>
      </w:r>
      <w:r w:rsidRPr="00C9680B">
        <w:t>ställning över statsbudgetens utgifter och inkomster som följer efter utskottets förslag till riksdagsbeslut. Därmed bifaller riksdagen motion 2000/01:Fi208 yrkande 7 och avslår propos</w:t>
      </w:r>
      <w:r w:rsidRPr="00C9680B">
        <w:t>i</w:t>
      </w:r>
      <w:r w:rsidRPr="00C9680B">
        <w:t xml:space="preserve">tion 2000/01:1 punkt 7. </w:t>
      </w:r>
    </w:p>
    <w:p w:rsidR="001C7BF9" w:rsidRPr="00C9680B" w:rsidRDefault="001C7BF9">
      <w:pPr>
        <w:pStyle w:val="Frslagstext"/>
        <w:numPr>
          <w:ilvl w:val="0"/>
          <w:numId w:val="1334"/>
        </w:numPr>
        <w:spacing w:before="125"/>
        <w:ind w:left="284" w:hanging="284"/>
        <w:rPr>
          <w:i/>
        </w:rPr>
      </w:pPr>
      <w:r w:rsidRPr="00C9680B">
        <w:rPr>
          <w:i/>
        </w:rPr>
        <w:t>Motionsyrkanden om budgetförslagen för år 2001</w:t>
      </w:r>
    </w:p>
    <w:p w:rsidR="001C7BF9" w:rsidRPr="00C9680B" w:rsidRDefault="001C7BF9">
      <w:pPr>
        <w:pStyle w:val="Frslagstext"/>
        <w:ind w:left="0"/>
      </w:pPr>
      <w:r w:rsidRPr="00C9680B">
        <w:t>Riksdagen tillkännager för regeringen som sin mening vad som framförts i här aktuella moderata motioner om skattepolitikens inriktning, pensionssp</w:t>
      </w:r>
      <w:r w:rsidRPr="00C9680B">
        <w:t>a</w:t>
      </w:r>
      <w:r w:rsidRPr="00C9680B">
        <w:t>rande, yrkesfiskaravdrag, hushållsnära tjänster, skatt på royalty, inkomst av kapital, företagsbeskattning, förmögenhetsbeskattning, mervärdesskatt på böcker, tidningar och kultur, skatt på kärnkraftsel och jordbrukets beskat</w:t>
      </w:r>
      <w:r w:rsidRPr="00C9680B">
        <w:t>t</w:t>
      </w:r>
      <w:r w:rsidRPr="00C9680B">
        <w:t xml:space="preserve">ning.  </w:t>
      </w:r>
    </w:p>
    <w:p w:rsidR="001C7BF9" w:rsidRPr="00C9680B" w:rsidRDefault="001C7BF9">
      <w:pPr>
        <w:pStyle w:val="Normaltindrag"/>
      </w:pPr>
      <w:r w:rsidRPr="00C9680B">
        <w:t>Riksdagen bifaller därmed motionerna 2000/01:Fi208 yrkandena 12, 19, 20 och 27, 2000/01:Sk306, 2000/01:Sk313 yrkandena 7, 27–31 och 36–45, 2000/01:Sk314, 2000/01:Sk320 yrkande 3, 2000/01:Sk621 yrkande 6, 2000/01:Sk1028 yrkandena 5, 6, 9 och 10, 2000/01:MJ244 yrkande 5, 2000/01</w:t>
      </w:r>
      <w:r w:rsidRPr="00C9680B">
        <w:t xml:space="preserve">:MJ256 yrkande 4 och 2000/01:N385 yrkandena 10 och 11 samt avslår övriga motioner upptagna i den </w:t>
      </w:r>
      <w:r w:rsidRPr="00C9680B">
        <w:rPr>
          <w:i/>
        </w:rPr>
        <w:t>förteckning över av utskottet i punkt 5 avstyrkta motionsyrkanden</w:t>
      </w:r>
      <w:r w:rsidRPr="00C9680B">
        <w:t xml:space="preserve"> som följer efter utskottets förslag till riksdagsb</w:t>
      </w:r>
      <w:r w:rsidRPr="00C9680B">
        <w:t>e</w:t>
      </w:r>
      <w:r w:rsidRPr="00C9680B">
        <w:t xml:space="preserve">slut. </w:t>
      </w:r>
    </w:p>
    <w:p w:rsidR="001C7BF9" w:rsidRPr="00C9680B" w:rsidRDefault="001C7BF9">
      <w:pPr>
        <w:pStyle w:val="Reservationer-underrubrik"/>
        <w:outlineLvl w:val="0"/>
        <w:rPr>
          <w:noProof w:val="0"/>
        </w:rPr>
      </w:pPr>
      <w:bookmarkStart w:id="726" w:name="_Toc498910927"/>
      <w:r w:rsidRPr="00C9680B">
        <w:rPr>
          <w:noProof w:val="0"/>
        </w:rPr>
        <w:t>Ställningstagande</w:t>
      </w:r>
      <w:bookmarkEnd w:id="726"/>
    </w:p>
    <w:p w:rsidR="001C7BF9" w:rsidRPr="00C9680B" w:rsidRDefault="001C7BF9">
      <w:r w:rsidRPr="00C9680B">
        <w:t>Trots att det ekonomiska läget är det allra bästa för att genomföra strukturella reformer väljer regeringen att göra i stort sett ingenting. Att det just nu går bra för Sverige är en följd av 1990-talets omfattande reformpolitik och rådande internationella högkonjunktur. Fortfarande återstår omfattande insatser för att stärka vår långsiktiga tillväxtpotential och för att mot bakgrund av globalis</w:t>
      </w:r>
      <w:r w:rsidRPr="00C9680B">
        <w:t>e</w:t>
      </w:r>
      <w:r w:rsidRPr="00C9680B">
        <w:t>ringens utmaningar, kunskapssamhällets möjligheter och den demografiska utvecklingen åtgärda avgörande strukt</w:t>
      </w:r>
      <w:r w:rsidRPr="00C9680B">
        <w:t>u</w:t>
      </w:r>
      <w:r w:rsidRPr="00C9680B">
        <w:t>rella problem i den svenska ekonomin.</w:t>
      </w:r>
    </w:p>
    <w:p w:rsidR="001C7BF9" w:rsidRPr="00C9680B" w:rsidRDefault="001C7BF9">
      <w:pPr>
        <w:pStyle w:val="Normaltindrag"/>
      </w:pPr>
      <w:r w:rsidRPr="00C9680B">
        <w:t xml:space="preserve">Med regeringens politik kommer utgiftskvoten – den starka tillväxten till trots – inte att ha sjunkit till mer än omkring 53 % 2003. Det är olyckligt eftersom de offentliga finansernas konjunkturkänslighet därmed kvarstår och vi står lika dåligt rustade inför nästa lågkonjunktur som tidigare. </w:t>
      </w:r>
    </w:p>
    <w:p w:rsidR="001C7BF9" w:rsidRPr="00C9680B" w:rsidRDefault="001C7BF9">
      <w:pPr>
        <w:pStyle w:val="Normaltindrag"/>
      </w:pPr>
      <w:r w:rsidRPr="00C9680B">
        <w:t>Mycket tyder dessutom på att den offentliga utgiftskvoten med vikande konjunktur och vänsterblockets utgiftspolitik kommer att stiga till högre niv</w:t>
      </w:r>
      <w:r w:rsidRPr="00C9680B">
        <w:t>å</w:t>
      </w:r>
      <w:r w:rsidRPr="00C9680B">
        <w:t>er. Regeringen verkar inte ha lärt sig av de misstag som gjordes under 1980-talet i detta avseende. Det är i sig ett hot mot den svenska välfärdsutvecklin</w:t>
      </w:r>
      <w:r w:rsidRPr="00C9680B">
        <w:t>g</w:t>
      </w:r>
      <w:r w:rsidRPr="00C9680B">
        <w:t>en.</w:t>
      </w:r>
    </w:p>
    <w:p w:rsidR="001C7BF9" w:rsidRPr="00C9680B" w:rsidRDefault="001C7BF9">
      <w:pPr>
        <w:pStyle w:val="Normaltindrag"/>
      </w:pPr>
      <w:r w:rsidRPr="00C9680B">
        <w:t>Att begränsa inkomstskattesänkningarna till en kompensation för egena</w:t>
      </w:r>
      <w:r w:rsidRPr="00C9680B">
        <w:t>v</w:t>
      </w:r>
      <w:r w:rsidRPr="00C9680B">
        <w:t xml:space="preserve">gifter och till en marginell ökning av grundavdraget är knappast en politik som tar hänsyn till medborgarnas krav på social trygghet och behovet av en tillväxtbefrämjande ekonomisk politik. </w:t>
      </w:r>
    </w:p>
    <w:p w:rsidR="001C7BF9" w:rsidRPr="00C9680B" w:rsidRDefault="001C7BF9">
      <w:pPr>
        <w:pStyle w:val="Normaltindrag"/>
      </w:pPr>
      <w:r w:rsidRPr="00C9680B">
        <w:t>Svenska låginkomsttagare kommer med regeringens politik även i framt</w:t>
      </w:r>
      <w:r w:rsidRPr="00C9680B">
        <w:t>i</w:t>
      </w:r>
      <w:r w:rsidRPr="00C9680B">
        <w:t xml:space="preserve">den att vara världens högst beskattade. Det inverkar inte bara på den sociala tryggheten och oberoendet utan också på möjligheterna till nya jobb. </w:t>
      </w:r>
    </w:p>
    <w:p w:rsidR="001C7BF9" w:rsidRPr="00C9680B" w:rsidRDefault="001C7BF9">
      <w:pPr>
        <w:pStyle w:val="Normaltindrag"/>
      </w:pPr>
      <w:r w:rsidRPr="00C9680B">
        <w:t xml:space="preserve">Vänsterblocket väljer i stället för att satsa på enskilda människor och ökad egen makt över vardagen ensidigt att ge prioritet åt den offentliga sektorns verksamheter och växande utgifter. Det drabbar enskilda människors behov av att kunna värna sin välfärd och kontrollera sin vardag. </w:t>
      </w:r>
    </w:p>
    <w:p w:rsidR="001C7BF9" w:rsidRPr="00C9680B" w:rsidRDefault="001C7BF9">
      <w:pPr>
        <w:pStyle w:val="Normaltindrag"/>
      </w:pPr>
      <w:r w:rsidRPr="00C9680B">
        <w:t>Det är en gammaldags systembevarande politik som brister i respekt för enskilda människors förmåga och möjligheter. De som allra mest drabbas av högskattepolitiken är de som drivs in i bidragsberoende och fattigdomsfällor genom vänsterblockets socialt okänsliga pol</w:t>
      </w:r>
      <w:r w:rsidRPr="00C9680B">
        <w:t>i</w:t>
      </w:r>
      <w:r w:rsidRPr="00C9680B">
        <w:t>tik.</w:t>
      </w:r>
    </w:p>
    <w:p w:rsidR="001C7BF9" w:rsidRPr="00C9680B" w:rsidRDefault="001C7BF9">
      <w:pPr>
        <w:pStyle w:val="Normaltindrag"/>
      </w:pPr>
      <w:r w:rsidRPr="00C9680B">
        <w:t>Regeringens politik för ökade offentliga utgifter på bekostnad av de e</w:t>
      </w:r>
      <w:r w:rsidRPr="00C9680B">
        <w:t>n</w:t>
      </w:r>
      <w:r w:rsidRPr="00C9680B">
        <w:t>skilda hushållens ekonomi leder bort från den reformvänliga politik som i stor utsträckning satte sin prägel på 1990-talet. Denna inriktning kommer också till uttryck i de skattehöjningar som föreslås på diesel, el och koldioxid, hö</w:t>
      </w:r>
      <w:r w:rsidRPr="00C9680B">
        <w:t>j</w:t>
      </w:r>
      <w:r w:rsidRPr="00C9680B">
        <w:t>ningar som tydligt visar under vilket inflytande regeringen står till de båda samarbetspartierna, Vänsterpartiet och Miljöpart</w:t>
      </w:r>
      <w:r w:rsidRPr="00C9680B">
        <w:t>i</w:t>
      </w:r>
      <w:r w:rsidRPr="00C9680B">
        <w:t xml:space="preserve">et de gröna. </w:t>
      </w:r>
    </w:p>
    <w:p w:rsidR="001C7BF9" w:rsidRPr="00C9680B" w:rsidRDefault="001C7BF9">
      <w:pPr>
        <w:pStyle w:val="Normaltindrag"/>
      </w:pPr>
      <w:r w:rsidRPr="00C9680B">
        <w:t>Svenska löntagare kommer även i fortsättningen att vara högst beskattade i den fria världen, och de skattesänkningar som faktiskt genomfö</w:t>
      </w:r>
      <w:r w:rsidRPr="00C9680B">
        <w:t>rs kommer till stor del att ätas upp av höjda skatter på andra områden.</w:t>
      </w:r>
    </w:p>
    <w:p w:rsidR="001C7BF9" w:rsidRPr="00C9680B" w:rsidRDefault="001C7BF9">
      <w:pPr>
        <w:pStyle w:val="Normaltindrag"/>
      </w:pPr>
      <w:r w:rsidRPr="00C9680B">
        <w:t>Enligt vår mening visar detta att regeringen saknar förmåga att komma till rätta med de problem vi står inför. De offentliga finansernas konjunkturkän</w:t>
      </w:r>
      <w:r w:rsidRPr="00C9680B">
        <w:t>s</w:t>
      </w:r>
      <w:r w:rsidRPr="00C9680B">
        <w:t>lighet har befästs, och de senaste årens kraftiga skatteskärpningar har urholkat den långsiktiga tillväxtkraften i ekonomin. Dessutom har budgetsaneringen nu avstannat, och trots stora extraordinära tillskott till statsbudgeten från företagsförsäljningar och överföringar från Allmänna pensionsfonden är vi om något år tillb</w:t>
      </w:r>
      <w:r w:rsidRPr="00C9680B">
        <w:t>a</w:t>
      </w:r>
      <w:r w:rsidRPr="00C9680B">
        <w:t>ka i ett läge med återkommande underskott på budgeten.</w:t>
      </w:r>
    </w:p>
    <w:p w:rsidR="001C7BF9" w:rsidRPr="00C9680B" w:rsidRDefault="001C7BF9">
      <w:pPr>
        <w:pStyle w:val="Normaltindrag"/>
      </w:pPr>
      <w:r w:rsidRPr="00C9680B">
        <w:t>Vi ser det som särskilt allvarligt att regeringen i sin budgetpolitik så grundläggande försummar de människor i vårt samhälle som ä</w:t>
      </w:r>
      <w:r w:rsidRPr="00C9680B">
        <w:t>r i allra störst behov av offentligt stöd. Änkorna har ännu inte, trots löften från vänste</w:t>
      </w:r>
      <w:r w:rsidRPr="00C9680B">
        <w:t>r</w:t>
      </w:r>
      <w:r w:rsidRPr="00C9680B">
        <w:t>blockets partier, fått en återställd trygghet. Handikappade försummas trots att de mer än andra är i behov av offentligt stöd. De sämst ställda pensionärerna försummas till förmån för regeringens skilda utgiftsprogram för att stärka stat och kommun.</w:t>
      </w:r>
    </w:p>
    <w:p w:rsidR="001C7BF9" w:rsidRPr="00C9680B" w:rsidRDefault="001C7BF9">
      <w:pPr>
        <w:pStyle w:val="Normaltindrag"/>
      </w:pPr>
      <w:r w:rsidRPr="00C9680B">
        <w:t>Regeringen har heller inte förmått föra en politik som ger skola och sju</w:t>
      </w:r>
      <w:r w:rsidRPr="00C9680B">
        <w:t>k</w:t>
      </w:r>
      <w:r w:rsidRPr="00C9680B">
        <w:t>vård den kvalitet och tillgänglighet som det svenska skattetrycket borde mot</w:t>
      </w:r>
      <w:r w:rsidRPr="00C9680B">
        <w:t>i</w:t>
      </w:r>
      <w:r w:rsidRPr="00C9680B">
        <w:t xml:space="preserve">vera. Som visats i en aktuell ESO-rapport lämnar alltför många barn, i en växande omfattning, både grundskola och gymnasium utan godkända betyg i centrala ämnen. Köerna inom sjukvården gör sjuka människor maktlösa och tvingar till fortsatt sjukdom och sjukskrivning. </w:t>
      </w:r>
    </w:p>
    <w:p w:rsidR="001C7BF9" w:rsidRPr="00C9680B" w:rsidRDefault="001C7BF9">
      <w:pPr>
        <w:pStyle w:val="Normaltindrag"/>
      </w:pPr>
      <w:r w:rsidRPr="00C9680B">
        <w:t xml:space="preserve">Regeringens budgetpolitik syftar mer till att slå vakt om den offentliga sektorns strukturer. Med höga skatter och höga offentliga utgifter hålls de stora offentliga </w:t>
      </w:r>
      <w:r w:rsidRPr="00C9680B">
        <w:t>systemen intakta utan att man ser till innehållet och männ</w:t>
      </w:r>
      <w:r w:rsidRPr="00C9680B">
        <w:t>i</w:t>
      </w:r>
      <w:r w:rsidRPr="00C9680B">
        <w:t>skornas krav och önskemål. Det är en nycentralism som gör människor mer beroende i stället för mer oberoende.</w:t>
      </w:r>
    </w:p>
    <w:p w:rsidR="001C7BF9" w:rsidRPr="00C9680B" w:rsidRDefault="001C7BF9">
      <w:pPr>
        <w:pStyle w:val="Normaltindrag"/>
      </w:pPr>
      <w:r w:rsidRPr="00C9680B">
        <w:t>Förutom att detta tillsammans med skattepolitiken avslöjar en social okänslighet och oförmåga att bortom den offentliga maktens strukturer se människorna visar det också på en gammaldags inställning till hur överheten skall styra människors liv och vardag. Det är en politik som inte passar in i den nya tiden där den enskilda människan betyde</w:t>
      </w:r>
      <w:r w:rsidRPr="00C9680B">
        <w:t>r alltmer och har möjlighet att ställa allt större krav. En ny tid kan inte mötas med en vänsterpolitik insp</w:t>
      </w:r>
      <w:r w:rsidRPr="00C9680B">
        <w:t>i</w:t>
      </w:r>
      <w:r w:rsidRPr="00C9680B">
        <w:t>rerad av 1960-talets utgiftspolitik.</w:t>
      </w:r>
    </w:p>
    <w:p w:rsidR="001C7BF9" w:rsidRPr="00C9680B" w:rsidRDefault="001C7BF9">
      <w:pPr>
        <w:pStyle w:val="Normaltindrag"/>
      </w:pPr>
      <w:r w:rsidRPr="00C9680B">
        <w:t>Det krävs en radikal politik som ger förnyelse och svarar mot dagens krav – en politik som bygger på respekten för enskilda människors kunskap och förmåga och den dynamik som frigörs i ett öppet samhällsklimat. Reformer som öppnar för enskilda människors val och deras kontroll över vardagen och som underlättar för vardagen ger Sverige större möjligheter i framtide</w:t>
      </w:r>
      <w:r w:rsidRPr="00C9680B">
        <w:t>n.</w:t>
      </w:r>
    </w:p>
    <w:p w:rsidR="001C7BF9" w:rsidRPr="00C9680B" w:rsidRDefault="001C7BF9">
      <w:pPr>
        <w:pStyle w:val="Normaltindrag"/>
      </w:pPr>
      <w:r w:rsidRPr="00C9680B">
        <w:t>En sådan ekonomisk politik, med en tydlig utbudsinriktning och med åte</w:t>
      </w:r>
      <w:r w:rsidRPr="00C9680B">
        <w:t>r</w:t>
      </w:r>
      <w:r w:rsidRPr="00C9680B">
        <w:t>hållsamhet med offentliga utgifter, kan förena en varaktig hög tillväxt med låg inflation och sund löneutveckling. Arbetsmarknaden behöver modernis</w:t>
      </w:r>
      <w:r w:rsidRPr="00C9680B">
        <w:t>e</w:t>
      </w:r>
      <w:r w:rsidRPr="00C9680B">
        <w:t>ras, avregleringar genomföras, skatter sänkas och de offentliga utgifterna min</w:t>
      </w:r>
      <w:r w:rsidRPr="00C9680B">
        <w:t>s</w:t>
      </w:r>
      <w:r w:rsidRPr="00C9680B">
        <w:t xml:space="preserve">kas. </w:t>
      </w:r>
    </w:p>
    <w:p w:rsidR="001C7BF9" w:rsidRPr="00C9680B" w:rsidRDefault="001C7BF9">
      <w:pPr>
        <w:pStyle w:val="Normaltindrag"/>
      </w:pPr>
      <w:r w:rsidRPr="00C9680B">
        <w:t>Moderata samlingspartiet redovisar en politik med en sådan inriktning. Vårt parti föreslår i motion Fi208 ett antal strukturella reformer som främjar tillkomsten av nya arbeten och som gör det möjligt för folk att leva på sin egen lön.</w:t>
      </w:r>
    </w:p>
    <w:p w:rsidR="001C7BF9" w:rsidRPr="00C9680B" w:rsidRDefault="001C7BF9">
      <w:pPr>
        <w:pStyle w:val="Normaltindrag"/>
        <w:rPr>
          <w:snapToGrid w:val="0"/>
          <w:lang w:eastAsia="sv-SE"/>
        </w:rPr>
      </w:pPr>
      <w:r w:rsidRPr="00C9680B">
        <w:t xml:space="preserve">Enligt vår mening bör budgetpolitiken utformas på det sätt som Moderata samlingspartiet föreslår. </w:t>
      </w:r>
      <w:r w:rsidRPr="00C9680B">
        <w:rPr>
          <w:snapToGrid w:val="0"/>
          <w:lang w:eastAsia="sv-SE"/>
        </w:rPr>
        <w:t>Medborgarna måste få valfrihet och rätt att själva bestämma om sin trygghet. Lägre skatter och lägre utgifter i stat och kommun betyder större frihet för enskilda och familjer att själva välja. Det ger dem större möjlighet att prioritera och forma sin framtid, vilket i sig är en utvec</w:t>
      </w:r>
      <w:r w:rsidRPr="00C9680B">
        <w:rPr>
          <w:snapToGrid w:val="0"/>
          <w:lang w:eastAsia="sv-SE"/>
        </w:rPr>
        <w:t>k</w:t>
      </w:r>
      <w:r w:rsidRPr="00C9680B">
        <w:rPr>
          <w:snapToGrid w:val="0"/>
          <w:lang w:eastAsia="sv-SE"/>
        </w:rPr>
        <w:t>ling värd att sträva efter.</w:t>
      </w:r>
    </w:p>
    <w:p w:rsidR="001C7BF9" w:rsidRPr="00C9680B" w:rsidRDefault="001C7BF9">
      <w:pPr>
        <w:pStyle w:val="Normaltindrag"/>
        <w:rPr>
          <w:snapToGrid w:val="0"/>
          <w:lang w:eastAsia="sv-SE"/>
        </w:rPr>
      </w:pPr>
      <w:r w:rsidRPr="00C9680B">
        <w:rPr>
          <w:snapToGrid w:val="0"/>
          <w:lang w:eastAsia="sv-SE"/>
        </w:rPr>
        <w:t>Såsom närmare utvecklas i den moderata motionen anser vi att budgetp</w:t>
      </w:r>
      <w:r w:rsidRPr="00C9680B">
        <w:rPr>
          <w:snapToGrid w:val="0"/>
          <w:lang w:eastAsia="sv-SE"/>
        </w:rPr>
        <w:t>o</w:t>
      </w:r>
      <w:r w:rsidRPr="00C9680B">
        <w:rPr>
          <w:snapToGrid w:val="0"/>
          <w:lang w:eastAsia="sv-SE"/>
        </w:rPr>
        <w:t>litiken bör ges en sådan inriktning att man på medellång sikt når jämvikt mellan privat och offentlig sektor. De offentliga utgifterna bör därför tas ned till nivåer under 50 % av BNP, vilket banar väg för att skattetrycket skall kunna sä</w:t>
      </w:r>
      <w:r w:rsidRPr="00C9680B">
        <w:rPr>
          <w:snapToGrid w:val="0"/>
          <w:lang w:eastAsia="sv-SE"/>
        </w:rPr>
        <w:t>n</w:t>
      </w:r>
      <w:r w:rsidRPr="00C9680B">
        <w:rPr>
          <w:snapToGrid w:val="0"/>
          <w:lang w:eastAsia="sv-SE"/>
        </w:rPr>
        <w:t xml:space="preserve">kas till genomsnittlig europeisk nivå. </w:t>
      </w:r>
    </w:p>
    <w:p w:rsidR="001C7BF9" w:rsidRPr="00C9680B" w:rsidRDefault="001C7BF9">
      <w:pPr>
        <w:pStyle w:val="Normaltindrag"/>
        <w:rPr>
          <w:snapToGrid w:val="0"/>
          <w:lang w:eastAsia="sv-SE"/>
        </w:rPr>
      </w:pPr>
      <w:r w:rsidRPr="00C9680B">
        <w:rPr>
          <w:snapToGrid w:val="0"/>
          <w:lang w:eastAsia="sv-SE"/>
        </w:rPr>
        <w:t>Eftersom de offentliga finanserna är starkt konjunkturkänsliga är det vi</w:t>
      </w:r>
      <w:r w:rsidRPr="00C9680B">
        <w:rPr>
          <w:snapToGrid w:val="0"/>
          <w:lang w:eastAsia="sv-SE"/>
        </w:rPr>
        <w:t>k</w:t>
      </w:r>
      <w:r w:rsidRPr="00C9680B">
        <w:rPr>
          <w:snapToGrid w:val="0"/>
          <w:lang w:eastAsia="sv-SE"/>
        </w:rPr>
        <w:t>tigt att minska den offentliga sektorns storlek för att därigenom begränsa risken för framtida obala</w:t>
      </w:r>
      <w:r w:rsidRPr="00C9680B">
        <w:rPr>
          <w:snapToGrid w:val="0"/>
          <w:lang w:eastAsia="sv-SE"/>
        </w:rPr>
        <w:t>n</w:t>
      </w:r>
      <w:r w:rsidRPr="00C9680B">
        <w:rPr>
          <w:snapToGrid w:val="0"/>
          <w:lang w:eastAsia="sv-SE"/>
        </w:rPr>
        <w:t>ser.</w:t>
      </w:r>
    </w:p>
    <w:p w:rsidR="001C7BF9" w:rsidRPr="00C9680B" w:rsidRDefault="001C7BF9">
      <w:pPr>
        <w:pStyle w:val="Normaltindrag"/>
        <w:rPr>
          <w:snapToGrid w:val="0"/>
          <w:lang w:eastAsia="sv-SE"/>
        </w:rPr>
      </w:pPr>
      <w:r w:rsidRPr="00C9680B">
        <w:rPr>
          <w:snapToGrid w:val="0"/>
          <w:lang w:eastAsia="sv-SE"/>
        </w:rPr>
        <w:t>Ett första steg i denna riktning bör enligt vår mening tas på det sätt som f</w:t>
      </w:r>
      <w:r w:rsidRPr="00C9680B">
        <w:rPr>
          <w:snapToGrid w:val="0"/>
          <w:lang w:eastAsia="sv-SE"/>
        </w:rPr>
        <w:t>ö</w:t>
      </w:r>
      <w:r w:rsidRPr="00C9680B">
        <w:rPr>
          <w:snapToGrid w:val="0"/>
          <w:lang w:eastAsia="sv-SE"/>
        </w:rPr>
        <w:t>reslås i den partimotion där vårt parti redovisar ett budgetalternativ som leder till att skuldkvoten kommer att understiga 40 % av BNP vid utgången av 2003.</w:t>
      </w:r>
    </w:p>
    <w:p w:rsidR="001C7BF9" w:rsidRPr="00C9680B" w:rsidRDefault="001C7BF9">
      <w:pPr>
        <w:pStyle w:val="Normaltindrag"/>
        <w:rPr>
          <w:snapToGrid w:val="0"/>
          <w:lang w:eastAsia="sv-SE"/>
        </w:rPr>
      </w:pPr>
      <w:r w:rsidRPr="00C9680B">
        <w:rPr>
          <w:snapToGrid w:val="0"/>
          <w:lang w:eastAsia="sv-SE"/>
        </w:rPr>
        <w:t>Som närmare utvecklas i vår motion föreslår vi utgiftsminskningar som för 2001 uppgår till netto 38,4 miljarder kronor och för 2002 och 2003 till 56,1 respektive 71,1 miljarder kr</w:t>
      </w:r>
      <w:r w:rsidRPr="00C9680B">
        <w:rPr>
          <w:snapToGrid w:val="0"/>
          <w:lang w:eastAsia="sv-SE"/>
        </w:rPr>
        <w:t>o</w:t>
      </w:r>
      <w:r w:rsidRPr="00C9680B">
        <w:rPr>
          <w:snapToGrid w:val="0"/>
          <w:lang w:eastAsia="sv-SE"/>
        </w:rPr>
        <w:t>nor.</w:t>
      </w:r>
    </w:p>
    <w:p w:rsidR="001C7BF9" w:rsidRPr="00C9680B" w:rsidRDefault="001C7BF9">
      <w:pPr>
        <w:pStyle w:val="Normaltindrag"/>
        <w:rPr>
          <w:snapToGrid w:val="0"/>
          <w:lang w:eastAsia="sv-SE"/>
        </w:rPr>
      </w:pPr>
      <w:r w:rsidRPr="00C9680B">
        <w:rPr>
          <w:snapToGrid w:val="0"/>
          <w:lang w:eastAsia="sv-SE"/>
        </w:rPr>
        <w:t>Tillsammans med det utrymme som finns uppfört i budgetpropositionen som en beräkningsteknisk överföring till hushållen ger besparingarna i det moderata budgetalternativet utrymme för sänkta skatter med 48,4 miljarder kronor år 2001, 79,3 miljarder kronor 2002 och 106,1 miljarder kronor 2003.</w:t>
      </w:r>
    </w:p>
    <w:p w:rsidR="001C7BF9" w:rsidRPr="00C9680B" w:rsidRDefault="001C7BF9">
      <w:pPr>
        <w:pStyle w:val="Normaltindrag"/>
        <w:rPr>
          <w:snapToGrid w:val="0"/>
          <w:lang w:eastAsia="sv-SE"/>
        </w:rPr>
      </w:pPr>
      <w:r w:rsidRPr="00C9680B">
        <w:rPr>
          <w:snapToGrid w:val="0"/>
          <w:lang w:eastAsia="sv-SE"/>
        </w:rPr>
        <w:t>Vi moderater föreslår omfattande skattesänkningar avsedda att främja til</w:t>
      </w:r>
      <w:r w:rsidRPr="00C9680B">
        <w:rPr>
          <w:snapToGrid w:val="0"/>
          <w:lang w:eastAsia="sv-SE"/>
        </w:rPr>
        <w:t>l</w:t>
      </w:r>
      <w:r w:rsidRPr="00C9680B">
        <w:rPr>
          <w:snapToGrid w:val="0"/>
          <w:lang w:eastAsia="sv-SE"/>
        </w:rPr>
        <w:t>växten och skapa förutsättningar för nya arbeten. Våra förslag kan ses som en långtgående växling från subventioner och bidrag till skattesänkningar som särskilt inriktas på de breda grupperna av låg- och medeli</w:t>
      </w:r>
      <w:r w:rsidRPr="00C9680B">
        <w:rPr>
          <w:snapToGrid w:val="0"/>
          <w:lang w:eastAsia="sv-SE"/>
        </w:rPr>
        <w:t>n</w:t>
      </w:r>
      <w:r w:rsidRPr="00C9680B">
        <w:rPr>
          <w:snapToGrid w:val="0"/>
          <w:lang w:eastAsia="sv-SE"/>
        </w:rPr>
        <w:t>komsttagare.</w:t>
      </w:r>
    </w:p>
    <w:p w:rsidR="001C7BF9" w:rsidRPr="00C9680B" w:rsidRDefault="001C7BF9">
      <w:pPr>
        <w:pStyle w:val="Normaltindrag"/>
        <w:rPr>
          <w:snapToGrid w:val="0"/>
          <w:lang w:eastAsia="sv-SE"/>
        </w:rPr>
      </w:pPr>
      <w:r w:rsidRPr="00C9680B">
        <w:rPr>
          <w:snapToGrid w:val="0"/>
          <w:lang w:eastAsia="sv-SE"/>
        </w:rPr>
        <w:t>Det är framför allt vanliga familjer med låga och medelstora inkomster som har behov av skattesänkningar, och enligt vår mening är det därför n</w:t>
      </w:r>
      <w:r w:rsidRPr="00C9680B">
        <w:rPr>
          <w:snapToGrid w:val="0"/>
          <w:lang w:eastAsia="sv-SE"/>
        </w:rPr>
        <w:t>a</w:t>
      </w:r>
      <w:r w:rsidRPr="00C9680B">
        <w:rPr>
          <w:snapToGrid w:val="0"/>
          <w:lang w:eastAsia="sv-SE"/>
        </w:rPr>
        <w:t>turligt att man – såsom Moderata samlingspartiet förordar – i första hand sänker skatten på arbetsinkomster för dessa grupper, bland vilka barnfami</w:t>
      </w:r>
      <w:r w:rsidRPr="00C9680B">
        <w:rPr>
          <w:snapToGrid w:val="0"/>
          <w:lang w:eastAsia="sv-SE"/>
        </w:rPr>
        <w:t>l</w:t>
      </w:r>
      <w:r w:rsidRPr="00C9680B">
        <w:rPr>
          <w:snapToGrid w:val="0"/>
          <w:lang w:eastAsia="sv-SE"/>
        </w:rPr>
        <w:t>jerna är särskilt utsatta. Men även andra skatter bör enligt vår mening sänkas betydligt under åren framöver, inte minst fastighetsskatten och skatten på bensin och diesel.</w:t>
      </w:r>
    </w:p>
    <w:p w:rsidR="001C7BF9" w:rsidRPr="00C9680B" w:rsidRDefault="001C7BF9">
      <w:pPr>
        <w:pStyle w:val="Normaltindrag"/>
        <w:rPr>
          <w:snapToGrid w:val="0"/>
          <w:lang w:eastAsia="sv-SE"/>
        </w:rPr>
      </w:pPr>
      <w:r w:rsidRPr="00C9680B">
        <w:rPr>
          <w:snapToGrid w:val="0"/>
          <w:lang w:eastAsia="sv-SE"/>
        </w:rPr>
        <w:t>I det moderata budgetalternativet fördelas skattesänkningarna så att 26,6 miljarder kronor används för att minska skatten på företagande och kapitalbildning, medan hela 79,5 miljarder kronor</w:t>
      </w:r>
      <w:r w:rsidRPr="00C9680B">
        <w:rPr>
          <w:snapToGrid w:val="0"/>
          <w:lang w:eastAsia="sv-SE"/>
        </w:rPr>
        <w:t xml:space="preserve">, eller cirka tre fjärdedelar, avser lägre skatt på arbete, familj och boende. </w:t>
      </w:r>
    </w:p>
    <w:p w:rsidR="001C7BF9" w:rsidRPr="00C9680B" w:rsidRDefault="001C7BF9">
      <w:pPr>
        <w:pStyle w:val="Normaltindrag"/>
        <w:rPr>
          <w:snapToGrid w:val="0"/>
          <w:lang w:eastAsia="sv-SE"/>
        </w:rPr>
      </w:pPr>
      <w:r w:rsidRPr="00C9680B">
        <w:rPr>
          <w:snapToGrid w:val="0"/>
          <w:lang w:eastAsia="sv-SE"/>
        </w:rPr>
        <w:t>Tyngdpunkten i våra skattesänkningar ligger på låg- och medelinkomstt</w:t>
      </w:r>
      <w:r w:rsidRPr="00C9680B">
        <w:rPr>
          <w:snapToGrid w:val="0"/>
          <w:lang w:eastAsia="sv-SE"/>
        </w:rPr>
        <w:t>a</w:t>
      </w:r>
      <w:r w:rsidRPr="00C9680B">
        <w:rPr>
          <w:snapToGrid w:val="0"/>
          <w:lang w:eastAsia="sv-SE"/>
        </w:rPr>
        <w:t>gare samtidigt som vi gör Sverige mer konkurrenskraftigt om företagande och kunskap. Skattesänkningar utformade på detta sätt skapar enligt vår mening större trygghet för enskilda och familjer samtidigt som Sveriges långsiktiga tillväxtförutsättningar stärks.</w:t>
      </w:r>
    </w:p>
    <w:p w:rsidR="001C7BF9" w:rsidRPr="00C9680B" w:rsidRDefault="001C7BF9">
      <w:pPr>
        <w:pStyle w:val="Normaltindrag"/>
        <w:rPr>
          <w:snapToGrid w:val="0"/>
          <w:lang w:eastAsia="sv-SE"/>
        </w:rPr>
      </w:pPr>
      <w:r w:rsidRPr="00C9680B">
        <w:rPr>
          <w:snapToGrid w:val="0"/>
          <w:lang w:eastAsia="sv-SE"/>
        </w:rPr>
        <w:t>De skattesänkningar som Moderata samlingspartiet föreslår framgår av efterföljande tabell där angivna värden avser förslagens nettoeffekt på den konsoliderade offentliga sektorn jämfört med regeringens förslag. Vi föreslår alltså att de moderata skatt</w:t>
      </w:r>
      <w:r w:rsidRPr="00C9680B">
        <w:rPr>
          <w:snapToGrid w:val="0"/>
          <w:lang w:eastAsia="sv-SE"/>
        </w:rPr>
        <w:t>esänkningsförslagen genomförs och får ligga till grund för beräkningen av statsbudgetens inkomster under år 2001 och åren närmast därefter.</w:t>
      </w:r>
    </w:p>
    <w:p w:rsidR="001C7BF9" w:rsidRPr="00C9680B" w:rsidRDefault="001C7BF9">
      <w:pPr>
        <w:pStyle w:val="FiU1tabellrubrik2000"/>
        <w:outlineLvl w:val="0"/>
      </w:pPr>
      <w:r w:rsidRPr="00C9680B">
        <w:t>Tabell. Moderata samlingspartiets förslag till skattesänkningar 2001–2003</w:t>
      </w:r>
    </w:p>
    <w:p w:rsidR="001C7BF9" w:rsidRPr="00C9680B" w:rsidRDefault="001C7BF9">
      <w:pPr>
        <w:pStyle w:val="Tabell"/>
        <w:keepNext/>
        <w:keepLines/>
        <w:spacing w:before="60"/>
        <w:outlineLvl w:val="0"/>
        <w:rPr>
          <w:sz w:val="14"/>
        </w:rPr>
      </w:pPr>
      <w:r w:rsidRPr="00C9680B">
        <w:rPr>
          <w:sz w:val="14"/>
        </w:rPr>
        <w:t>Finansiell effekt för konsoliderad offentlig sektor. Netto i förhållande till regeringens förslag</w:t>
      </w:r>
    </w:p>
    <w:p w:rsidR="001C7BF9" w:rsidRPr="00C9680B" w:rsidRDefault="001C7BF9">
      <w:pPr>
        <w:pStyle w:val="Tabell"/>
        <w:keepNext/>
        <w:keepLines/>
        <w:spacing w:after="40"/>
        <w:rPr>
          <w:sz w:val="14"/>
        </w:rPr>
      </w:pPr>
      <w:r w:rsidRPr="00C9680B">
        <w:rPr>
          <w:sz w:val="14"/>
        </w:rPr>
        <w:t>Belopp i miljarder kronor</w:t>
      </w:r>
    </w:p>
    <w:p w:rsidR="001C7BF9" w:rsidRPr="00C9680B" w:rsidRDefault="00C9680B">
      <w:pPr>
        <w:keepLines/>
        <w:spacing w:line="240" w:lineRule="auto"/>
      </w:pPr>
      <w:r w:rsidRPr="00C9680B">
        <w:rPr>
          <w:noProof/>
        </w:rPr>
        <w:drawing>
          <wp:inline distT="0" distB="0" distL="0" distR="0">
            <wp:extent cx="3777615" cy="199771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777615" cy="1997710"/>
                    </a:xfrm>
                    <a:prstGeom prst="rect">
                      <a:avLst/>
                    </a:prstGeom>
                    <a:noFill/>
                    <a:ln>
                      <a:noFill/>
                    </a:ln>
                  </pic:spPr>
                </pic:pic>
              </a:graphicData>
            </a:graphic>
          </wp:inline>
        </w:drawing>
      </w:r>
    </w:p>
    <w:p w:rsidR="001C7BF9" w:rsidRPr="00C9680B" w:rsidRDefault="001C7BF9">
      <w:pPr>
        <w:pStyle w:val="Normaltindrag"/>
        <w:spacing w:line="140" w:lineRule="atLeast"/>
        <w:rPr>
          <w:sz w:val="14"/>
        </w:rPr>
      </w:pPr>
    </w:p>
    <w:p w:rsidR="001C7BF9" w:rsidRPr="00C9680B" w:rsidRDefault="001C7BF9">
      <w:pPr>
        <w:rPr>
          <w:snapToGrid w:val="0"/>
          <w:lang w:eastAsia="sv-SE"/>
        </w:rPr>
      </w:pPr>
      <w:r w:rsidRPr="00C9680B">
        <w:rPr>
          <w:snapToGrid w:val="0"/>
          <w:lang w:eastAsia="sv-SE"/>
        </w:rPr>
        <w:t>Såsom framgår av tabellen ligger tyngdpunkten i våra åtgärder på tre förslag som har det gemensamt att de är inriktade på att sänka den kommunala i</w:t>
      </w:r>
      <w:r w:rsidRPr="00C9680B">
        <w:rPr>
          <w:snapToGrid w:val="0"/>
          <w:lang w:eastAsia="sv-SE"/>
        </w:rPr>
        <w:t>n</w:t>
      </w:r>
      <w:r w:rsidRPr="00C9680B">
        <w:rPr>
          <w:snapToGrid w:val="0"/>
          <w:lang w:eastAsia="sv-SE"/>
        </w:rPr>
        <w:t>komstskatten, dvs. den skatt som omfattar praktiskt taget samtliga inkomstt</w:t>
      </w:r>
      <w:r w:rsidRPr="00C9680B">
        <w:rPr>
          <w:snapToGrid w:val="0"/>
          <w:lang w:eastAsia="sv-SE"/>
        </w:rPr>
        <w:t>a</w:t>
      </w:r>
      <w:r w:rsidRPr="00C9680B">
        <w:rPr>
          <w:snapToGrid w:val="0"/>
          <w:lang w:eastAsia="sv-SE"/>
        </w:rPr>
        <w:t>gare.</w:t>
      </w:r>
    </w:p>
    <w:p w:rsidR="001C7BF9" w:rsidRPr="00C9680B" w:rsidRDefault="001C7BF9">
      <w:pPr>
        <w:pStyle w:val="Normaltindrag"/>
        <w:rPr>
          <w:snapToGrid w:val="0"/>
          <w:lang w:eastAsia="sv-SE"/>
        </w:rPr>
      </w:pPr>
      <w:r w:rsidRPr="00C9680B">
        <w:rPr>
          <w:snapToGrid w:val="0"/>
          <w:lang w:eastAsia="sv-SE"/>
        </w:rPr>
        <w:t>Det viktigaste inslaget är en kraftig höjning av grundavdraget, en höjning som går långt utöver vad regeringen föreslår och som 2001 innebär att gru</w:t>
      </w:r>
      <w:r w:rsidRPr="00C9680B">
        <w:rPr>
          <w:snapToGrid w:val="0"/>
          <w:lang w:eastAsia="sv-SE"/>
        </w:rPr>
        <w:t>n</w:t>
      </w:r>
      <w:r w:rsidRPr="00C9680B">
        <w:rPr>
          <w:snapToGrid w:val="0"/>
          <w:lang w:eastAsia="sv-SE"/>
        </w:rPr>
        <w:t>d</w:t>
      </w:r>
      <w:r w:rsidRPr="00C9680B">
        <w:rPr>
          <w:snapToGrid w:val="0"/>
          <w:lang w:eastAsia="sv-SE"/>
        </w:rPr>
        <w:softHyphen/>
        <w:t>avdraget som mest kommer att uppgå till 34 000 kr vid en inkomst på 130 000 kr.</w:t>
      </w:r>
    </w:p>
    <w:p w:rsidR="001C7BF9" w:rsidRPr="00C9680B" w:rsidRDefault="001C7BF9">
      <w:pPr>
        <w:pStyle w:val="Normaltindrag"/>
        <w:rPr>
          <w:snapToGrid w:val="0"/>
          <w:lang w:eastAsia="sv-SE"/>
        </w:rPr>
      </w:pPr>
      <w:r w:rsidRPr="00C9680B">
        <w:rPr>
          <w:snapToGrid w:val="0"/>
          <w:lang w:eastAsia="sv-SE"/>
        </w:rPr>
        <w:t>Vi föreslår emellertid också att ett förvärvsavdrag skall få göras vid den kommunala beskattningen på inkomster understigande 8,05 förhöjda basb</w:t>
      </w:r>
      <w:r w:rsidRPr="00C9680B">
        <w:rPr>
          <w:snapToGrid w:val="0"/>
          <w:lang w:eastAsia="sv-SE"/>
        </w:rPr>
        <w:t>e</w:t>
      </w:r>
      <w:r w:rsidRPr="00C9680B">
        <w:rPr>
          <w:snapToGrid w:val="0"/>
          <w:lang w:eastAsia="sv-SE"/>
        </w:rPr>
        <w:t>lopp. Avdraget, som är en kompensation för egenavgifterna till pensionsfö</w:t>
      </w:r>
      <w:r w:rsidRPr="00C9680B">
        <w:rPr>
          <w:snapToGrid w:val="0"/>
          <w:lang w:eastAsia="sv-SE"/>
        </w:rPr>
        <w:t>r</w:t>
      </w:r>
      <w:r w:rsidRPr="00C9680B">
        <w:rPr>
          <w:snapToGrid w:val="0"/>
          <w:lang w:eastAsia="sv-SE"/>
        </w:rPr>
        <w:t>säkringen, omfattar alla typer av pensionsgrundande inkomster, således även sjukpenning- och a-kasseersättning. Under de närmaste tre åren uppgår fö</w:t>
      </w:r>
      <w:r w:rsidRPr="00C9680B">
        <w:rPr>
          <w:snapToGrid w:val="0"/>
          <w:lang w:eastAsia="sv-SE"/>
        </w:rPr>
        <w:t>r</w:t>
      </w:r>
      <w:r w:rsidRPr="00C9680B">
        <w:rPr>
          <w:snapToGrid w:val="0"/>
          <w:lang w:eastAsia="sv-SE"/>
        </w:rPr>
        <w:t>värvsavdraget i ett första steg till 8 % av inkomsten men höjs 2003 till 10 %. I och med att inkomstunderlaget är maximerat och avdraget görs mot en pr</w:t>
      </w:r>
      <w:r w:rsidRPr="00C9680B">
        <w:rPr>
          <w:snapToGrid w:val="0"/>
          <w:lang w:eastAsia="sv-SE"/>
        </w:rPr>
        <w:t>o</w:t>
      </w:r>
      <w:r w:rsidRPr="00C9680B">
        <w:rPr>
          <w:snapToGrid w:val="0"/>
          <w:lang w:eastAsia="sv-SE"/>
        </w:rPr>
        <w:t>portionell skatt står avdragets värde i direkt proportion till den kommunalskatt som en inkomsttagare betalar, men bara för den del av i</w:t>
      </w:r>
      <w:r w:rsidRPr="00C9680B">
        <w:rPr>
          <w:snapToGrid w:val="0"/>
          <w:lang w:eastAsia="sv-SE"/>
        </w:rPr>
        <w:t>nkomsten som unde</w:t>
      </w:r>
      <w:r w:rsidRPr="00C9680B">
        <w:rPr>
          <w:snapToGrid w:val="0"/>
          <w:lang w:eastAsia="sv-SE"/>
        </w:rPr>
        <w:t>r</w:t>
      </w:r>
      <w:r w:rsidRPr="00C9680B">
        <w:rPr>
          <w:snapToGrid w:val="0"/>
          <w:lang w:eastAsia="sv-SE"/>
        </w:rPr>
        <w:t>stiger drygt 300 000 kr. Störst utbyte ger avdraget för dem som bor i högskatteko</w:t>
      </w:r>
      <w:r w:rsidRPr="00C9680B">
        <w:rPr>
          <w:snapToGrid w:val="0"/>
          <w:lang w:eastAsia="sv-SE"/>
        </w:rPr>
        <w:t>m</w:t>
      </w:r>
      <w:r w:rsidRPr="00C9680B">
        <w:rPr>
          <w:snapToGrid w:val="0"/>
          <w:lang w:eastAsia="sv-SE"/>
        </w:rPr>
        <w:t>muner.</w:t>
      </w:r>
    </w:p>
    <w:p w:rsidR="001C7BF9" w:rsidRPr="00C9680B" w:rsidRDefault="001C7BF9">
      <w:pPr>
        <w:pStyle w:val="Normaltindrag"/>
        <w:rPr>
          <w:snapToGrid w:val="0"/>
          <w:lang w:eastAsia="sv-SE"/>
        </w:rPr>
      </w:pPr>
      <w:r w:rsidRPr="00C9680B">
        <w:rPr>
          <w:snapToGrid w:val="0"/>
          <w:lang w:eastAsia="sv-SE"/>
        </w:rPr>
        <w:t>Vi vill dessutom införa ett grundavdrag på 12 000 kr per barn vid den kommunala beskattningen fr.o.m. år 2001. Avdraget skall fungera som ett komplement till dagens barnbidrag. För familjer vars inkomst inte är tillräc</w:t>
      </w:r>
      <w:r w:rsidRPr="00C9680B">
        <w:rPr>
          <w:snapToGrid w:val="0"/>
          <w:lang w:eastAsia="sv-SE"/>
        </w:rPr>
        <w:t>k</w:t>
      </w:r>
      <w:r w:rsidRPr="00C9680B">
        <w:rPr>
          <w:snapToGrid w:val="0"/>
          <w:lang w:eastAsia="sv-SE"/>
        </w:rPr>
        <w:t>ligt stor för att man skall kunna tillgodogöra sig avdraget fullt ut skall ett bidrag utgå.</w:t>
      </w:r>
    </w:p>
    <w:p w:rsidR="001C7BF9" w:rsidRPr="00C9680B" w:rsidRDefault="001C7BF9">
      <w:pPr>
        <w:pStyle w:val="Normaltindrag"/>
      </w:pPr>
      <w:r w:rsidRPr="00C9680B">
        <w:rPr>
          <w:snapToGrid w:val="0"/>
          <w:lang w:eastAsia="sv-SE"/>
        </w:rPr>
        <w:t>I övrigt föreslår Moderata samlingspartiet bl.a. att uttaget av statlig i</w:t>
      </w:r>
      <w:r w:rsidRPr="00C9680B">
        <w:rPr>
          <w:snapToGrid w:val="0"/>
          <w:lang w:eastAsia="sv-SE"/>
        </w:rPr>
        <w:t>n</w:t>
      </w:r>
      <w:r w:rsidRPr="00C9680B">
        <w:rPr>
          <w:snapToGrid w:val="0"/>
          <w:lang w:eastAsia="sv-SE"/>
        </w:rPr>
        <w:t>komstskatt successivt begränsas till 15 % 2003, att en permanent skatter</w:t>
      </w:r>
      <w:r w:rsidRPr="00C9680B">
        <w:rPr>
          <w:snapToGrid w:val="0"/>
          <w:lang w:eastAsia="sv-SE"/>
        </w:rPr>
        <w:t>e</w:t>
      </w:r>
      <w:r w:rsidRPr="00C9680B">
        <w:rPr>
          <w:snapToGrid w:val="0"/>
          <w:lang w:eastAsia="sv-SE"/>
        </w:rPr>
        <w:t>duktion införs för hushållstjänster och ROT samt att f</w:t>
      </w:r>
      <w:r w:rsidRPr="00C9680B">
        <w:t>astighetsskatten på villor sänks till 1,0 % av taxeringsvärdet fr.o.m. 2001 och därefter med ytte</w:t>
      </w:r>
      <w:r w:rsidRPr="00C9680B">
        <w:t>r</w:t>
      </w:r>
      <w:r w:rsidRPr="00C9680B">
        <w:t>ligare 0,1 procentenhet såväl 2002 som 2003. Någon uppräkning av tax</w:t>
      </w:r>
      <w:r w:rsidRPr="00C9680B">
        <w:t>e</w:t>
      </w:r>
      <w:r w:rsidRPr="00C9680B">
        <w:t>ringsvärdet för bostäder skall inte göras, och vid beräkningen av fastighet</w:t>
      </w:r>
      <w:r w:rsidRPr="00C9680B">
        <w:t>s</w:t>
      </w:r>
      <w:r w:rsidRPr="00C9680B">
        <w:t>skatt skall markvärdet dessutom tas upp med endast ett halvt belopp för att lindra de orimliga regionala skillnaderna.</w:t>
      </w:r>
    </w:p>
    <w:p w:rsidR="001C7BF9" w:rsidRPr="00C9680B" w:rsidRDefault="001C7BF9">
      <w:pPr>
        <w:pStyle w:val="Normaltindrag"/>
      </w:pPr>
      <w:r w:rsidRPr="00C9680B">
        <w:t>När vi utformat våra b</w:t>
      </w:r>
      <w:r w:rsidRPr="00C9680B">
        <w:t>esparingsförslag har vi särskilt eftersträvat att u</w:t>
      </w:r>
      <w:r w:rsidRPr="00C9680B">
        <w:t>n</w:t>
      </w:r>
      <w:r w:rsidRPr="00C9680B">
        <w:t>danta de grupper som har svårt att tillgodogöra sig skattesänkningarna. Tvär</w:t>
      </w:r>
      <w:r w:rsidRPr="00C9680B">
        <w:t>t</w:t>
      </w:r>
      <w:r w:rsidRPr="00C9680B">
        <w:t>om föreslår vi betydande förbättringar i förhållande till regeringens förslag för exempelvis handikappade och pensionärer. Till detta kommer det nyss näm</w:t>
      </w:r>
      <w:r w:rsidRPr="00C9680B">
        <w:t>n</w:t>
      </w:r>
      <w:r w:rsidRPr="00C9680B">
        <w:t>da bidraget som skall utgå till de barnfamiljer som inte kan tillgodogöra sig det särskilda grundavdraget för barn.</w:t>
      </w:r>
    </w:p>
    <w:p w:rsidR="001C7BF9" w:rsidRPr="00C9680B" w:rsidRDefault="001C7BF9">
      <w:pPr>
        <w:pStyle w:val="Normaltindrag"/>
      </w:pPr>
      <w:r w:rsidRPr="00C9680B">
        <w:t>Vi moderater föreslår inte heller några besparingar som berör sjukvård, äldreomsorg eller undervisningen i grunds</w:t>
      </w:r>
      <w:r w:rsidRPr="00C9680B">
        <w:t>kola och gymnas</w:t>
      </w:r>
      <w:r w:rsidRPr="00C9680B">
        <w:t>i</w:t>
      </w:r>
      <w:r w:rsidRPr="00C9680B">
        <w:t>um.</w:t>
      </w:r>
    </w:p>
    <w:p w:rsidR="001C7BF9" w:rsidRPr="00C9680B" w:rsidRDefault="001C7BF9">
      <w:pPr>
        <w:pStyle w:val="Normaltindrag"/>
      </w:pPr>
      <w:r w:rsidRPr="00C9680B">
        <w:t>I stället innebär besparingarna att man skall återgå till den 75-procentiga ersättningsnivå som användes fram t.o.m. 1997 inom socialförsäkringssy</w:t>
      </w:r>
      <w:r w:rsidRPr="00C9680B">
        <w:softHyphen/>
        <w:t>stemen och arbetslöshetsförsäkringen samt införa ytterligare en karensdag i sjukförsäkringen. Dessa besparingar skall ses mot det faktum att den enskilde kompenseras genom lägre skatter på ersättningarna. Arbetslöshetsförsäkrin</w:t>
      </w:r>
      <w:r w:rsidRPr="00C9680B">
        <w:t>g</w:t>
      </w:r>
      <w:r w:rsidRPr="00C9680B">
        <w:t>en bör dessutom omvandlas till en omställningsförsäkring med ökad egenf</w:t>
      </w:r>
      <w:r w:rsidRPr="00C9680B">
        <w:t>i</w:t>
      </w:r>
      <w:r w:rsidRPr="00C9680B">
        <w:t>nansiering för medlemma</w:t>
      </w:r>
      <w:r w:rsidRPr="00C9680B">
        <w:t>r</w:t>
      </w:r>
      <w:r w:rsidRPr="00C9680B">
        <w:t>na.</w:t>
      </w:r>
    </w:p>
    <w:p w:rsidR="001C7BF9" w:rsidRPr="00C9680B" w:rsidRDefault="001C7BF9">
      <w:pPr>
        <w:pStyle w:val="Normaltindrag"/>
      </w:pPr>
      <w:r w:rsidRPr="00C9680B">
        <w:t>Utgiftsminskningar bör också åstadkommas genom minskat företagsstöd, minskade bidrag till organisationer och politiska partier, en snabbare avvec</w:t>
      </w:r>
      <w:r w:rsidRPr="00C9680B">
        <w:t>k</w:t>
      </w:r>
      <w:r w:rsidRPr="00C9680B">
        <w:t>ling av bostadssubventionerna, slopat presstöd samt slopat stöd till lokala investeringsprogram, effektivare rehabilitering och besparingar inom den statliga administrati</w:t>
      </w:r>
      <w:r w:rsidRPr="00C9680B">
        <w:t>o</w:t>
      </w:r>
      <w:r w:rsidRPr="00C9680B">
        <w:t>nen.</w:t>
      </w:r>
    </w:p>
    <w:p w:rsidR="001C7BF9" w:rsidRPr="00C9680B" w:rsidRDefault="001C7BF9">
      <w:pPr>
        <w:pStyle w:val="Normaltindrag"/>
      </w:pPr>
      <w:r w:rsidRPr="00C9680B">
        <w:t>Såsom framgår av den moderata motionen anser vi att sådana grundlä</w:t>
      </w:r>
      <w:r w:rsidRPr="00C9680B">
        <w:t>g</w:t>
      </w:r>
      <w:r w:rsidRPr="00C9680B">
        <w:t>gande samhällsfunktioner som t.ex. rättsväsendet bör tillföras ökade resurser i förhållande till vad regeringen föreslagit. Vi vill också satsa mer på vägi</w:t>
      </w:r>
      <w:r w:rsidRPr="00C9680B">
        <w:t>n</w:t>
      </w:r>
      <w:r w:rsidRPr="00C9680B">
        <w:t>vesteringar, assistansersättning åt handikappade, miljö, försvar och fr.o.m. 2002 ett barnomsorgskonto som tillsammans med avdrag för styrkta barno</w:t>
      </w:r>
      <w:r w:rsidRPr="00C9680B">
        <w:t>m</w:t>
      </w:r>
      <w:r w:rsidRPr="00C9680B">
        <w:t>sorgskostnader utgör vårt alternativ till regeringens maxtaxa.</w:t>
      </w:r>
    </w:p>
    <w:p w:rsidR="001C7BF9" w:rsidRPr="00C9680B" w:rsidRDefault="001C7BF9">
      <w:pPr>
        <w:pStyle w:val="Normaltindrag"/>
      </w:pPr>
      <w:r w:rsidRPr="00C9680B">
        <w:t>Regeringen försöker genom utfästelser om ytterligare statsbidrag åsta</w:t>
      </w:r>
      <w:r w:rsidRPr="00C9680B">
        <w:t>d</w:t>
      </w:r>
      <w:r w:rsidRPr="00C9680B">
        <w:t>komma en nödvändig förnyelse av kommunsektorn. Enligt vår mening är detta inte en framkomlig väg, vilket också bekräftas av erfarenheterna från tidigare tillskott. Statens viktigaste uppgift i detta sammanhang bör i stället vara att främja sysselsättningen och på så sätt bredda kommunernas skatteu</w:t>
      </w:r>
      <w:r w:rsidRPr="00C9680B">
        <w:t>n</w:t>
      </w:r>
      <w:r w:rsidRPr="00C9680B">
        <w:t xml:space="preserve">derlag. </w:t>
      </w:r>
    </w:p>
    <w:p w:rsidR="001C7BF9" w:rsidRPr="00C9680B" w:rsidRDefault="001C7BF9">
      <w:pPr>
        <w:pStyle w:val="Normaltindrag"/>
      </w:pPr>
      <w:r w:rsidRPr="00C9680B">
        <w:t>Skatteintäkterna ökar nu snabbt för kommunerna, och vi anser därför att det generella statsbidraget till kommuner och landsting kan minskas något under åren framöver.</w:t>
      </w:r>
    </w:p>
    <w:p w:rsidR="001C7BF9" w:rsidRPr="00C9680B" w:rsidRDefault="001C7BF9">
      <w:pPr>
        <w:pStyle w:val="Normaltindrag"/>
      </w:pPr>
      <w:r w:rsidRPr="00C9680B">
        <w:t>Staten bör också genomföra omfattande avregleringar och konkurrensu</w:t>
      </w:r>
      <w:r w:rsidRPr="00C9680B">
        <w:t>t</w:t>
      </w:r>
      <w:r w:rsidRPr="00C9680B">
        <w:t>sätta kommunala verksamheter, som även i övrigt bör effektiviseras och r</w:t>
      </w:r>
      <w:r w:rsidRPr="00C9680B">
        <w:t>a</w:t>
      </w:r>
      <w:r w:rsidRPr="00C9680B">
        <w:t>tionaliseras för att medborgarna skall få valuta för sina skattepengar. Vi m</w:t>
      </w:r>
      <w:r w:rsidRPr="00C9680B">
        <w:t>o</w:t>
      </w:r>
      <w:r w:rsidRPr="00C9680B">
        <w:t>derater föreslår en omfattande avreglering och konkurrensutsättning av ko</w:t>
      </w:r>
      <w:r w:rsidRPr="00C9680B">
        <w:t>m</w:t>
      </w:r>
      <w:r w:rsidRPr="00C9680B">
        <w:t>munal verksamhet. Vi anser också att en översyn av vilka uppgifter en ko</w:t>
      </w:r>
      <w:r w:rsidRPr="00C9680B">
        <w:t>m</w:t>
      </w:r>
      <w:r w:rsidRPr="00C9680B">
        <w:t>mun skall få ägna sig åt bör göras.</w:t>
      </w:r>
    </w:p>
    <w:p w:rsidR="001C7BF9" w:rsidRPr="00C9680B" w:rsidRDefault="001C7BF9">
      <w:pPr>
        <w:pStyle w:val="Normaltindrag"/>
      </w:pPr>
      <w:r w:rsidRPr="00C9680B">
        <w:t>De utgiftsminskningar som följer av våra besparingsförslag och den ko</w:t>
      </w:r>
      <w:r w:rsidRPr="00C9680B">
        <w:t>m</w:t>
      </w:r>
      <w:r w:rsidRPr="00C9680B">
        <w:t>pensation vi tillför kommunsektorn för våra skatteförslag innebär samma</w:t>
      </w:r>
      <w:r w:rsidRPr="00C9680B">
        <w:t>n</w:t>
      </w:r>
      <w:r w:rsidRPr="00C9680B">
        <w:t>tagna att utgiftstaket för staten under de kommande tre budgetåren bör b</w:t>
      </w:r>
      <w:r w:rsidRPr="00C9680B">
        <w:t>e</w:t>
      </w:r>
      <w:r w:rsidRPr="00C9680B">
        <w:t>stämmas till 805 miljarder kronor 2001, 820 miljarder kronor 2002 och 842 miljarder kronor 2003. Att våra förslag till utgiftstak för staten överstiger regeringens 2001 och 2002 sammanhänger med de ökade kommunbidrag som krävs för att neutralisera våra skatteförslag. Ser man till utgiftstaket för hela den offentliga sektorn bortfaller dessa neutraliseringseffekter</w:t>
      </w:r>
      <w:r w:rsidRPr="00C9680B">
        <w:t>, och då får vi väsentligt lägre utgifter än vad regeringen räknar med i sitt budgetförslag. Vårt utgiftstak för den offentliga sektorn understiger regeringens med 35, 112 respektive 134 milja</w:t>
      </w:r>
      <w:r w:rsidRPr="00C9680B">
        <w:t>r</w:t>
      </w:r>
      <w:r w:rsidRPr="00C9680B">
        <w:t>der kronor 2001–2003.</w:t>
      </w:r>
    </w:p>
    <w:p w:rsidR="001C7BF9" w:rsidRPr="00C9680B" w:rsidRDefault="001C7BF9">
      <w:pPr>
        <w:pStyle w:val="Normaltindrag"/>
      </w:pPr>
      <w:r w:rsidRPr="00C9680B">
        <w:t>Vid beräkningen av utgiftstaket har vi inte inkluderat någon budgetering</w:t>
      </w:r>
      <w:r w:rsidRPr="00C9680B">
        <w:t>s</w:t>
      </w:r>
      <w:r w:rsidRPr="00C9680B">
        <w:t>marginal eftersom den påverkar budgetdisciplinen negativt. Om de föreslagna taken för statens utgifter under de närmaste tre åren behöver överskridas, får regeringen återkomma till riksdagen med en förklaring och ett förslag till de besparingar som krävs för att det ursprungligen fastställda taket skall kunna upprätthållas.</w:t>
      </w:r>
    </w:p>
    <w:p w:rsidR="001C7BF9" w:rsidRPr="00C9680B" w:rsidRDefault="001C7BF9">
      <w:pPr>
        <w:pStyle w:val="FiU1tabellrubrik2000"/>
        <w:outlineLvl w:val="0"/>
      </w:pPr>
      <w:r w:rsidRPr="00C9680B">
        <w:t xml:space="preserve">Tabell. Finansiellt sparande i den konsoliderade offentliga sektorn med Moderata </w:t>
      </w:r>
    </w:p>
    <w:p w:rsidR="001C7BF9" w:rsidRPr="00C9680B" w:rsidRDefault="001C7BF9">
      <w:pPr>
        <w:pStyle w:val="FiU1tabellrubrik2000"/>
        <w:spacing w:before="0" w:line="180" w:lineRule="exact"/>
      </w:pPr>
      <w:r w:rsidRPr="00C9680B">
        <w:t>samlingspartiets budgetalternativ</w:t>
      </w:r>
    </w:p>
    <w:p w:rsidR="001C7BF9" w:rsidRPr="00C9680B" w:rsidRDefault="001C7BF9">
      <w:pPr>
        <w:pStyle w:val="Tabell"/>
        <w:keepNext/>
        <w:keepLines/>
        <w:spacing w:line="190" w:lineRule="exact"/>
        <w:rPr>
          <w:sz w:val="14"/>
        </w:rPr>
      </w:pPr>
      <w:r w:rsidRPr="00C9680B">
        <w:rPr>
          <w:sz w:val="14"/>
        </w:rPr>
        <w:t>Offentliga sektorns finansiella sparande</w:t>
      </w:r>
    </w:p>
    <w:p w:rsidR="001C7BF9" w:rsidRPr="00C9680B" w:rsidRDefault="001C7BF9">
      <w:pPr>
        <w:pStyle w:val="Tabell"/>
        <w:keepNext/>
        <w:keepLines/>
        <w:spacing w:after="40" w:line="190" w:lineRule="exact"/>
        <w:rPr>
          <w:sz w:val="14"/>
        </w:rPr>
      </w:pPr>
      <w:r w:rsidRPr="00C9680B">
        <w:rPr>
          <w:sz w:val="14"/>
        </w:rPr>
        <w:t>Belopp i miljarder kronor</w:t>
      </w:r>
    </w:p>
    <w:tbl>
      <w:tblPr>
        <w:tblW w:w="0" w:type="auto"/>
        <w:tblLayout w:type="fixed"/>
        <w:tblCellMar>
          <w:left w:w="0" w:type="dxa"/>
          <w:right w:w="0" w:type="dxa"/>
        </w:tblCellMar>
        <w:tblLook w:val="0000" w:firstRow="0" w:lastRow="0" w:firstColumn="0" w:lastColumn="0" w:noHBand="0" w:noVBand="0"/>
      </w:tblPr>
      <w:tblGrid>
        <w:gridCol w:w="4536"/>
        <w:gridCol w:w="567"/>
        <w:gridCol w:w="567"/>
        <w:gridCol w:w="567"/>
      </w:tblGrid>
      <w:tr w:rsidR="00000000" w:rsidRPr="00C9680B">
        <w:tblPrEx>
          <w:tblCellMar>
            <w:top w:w="0" w:type="dxa"/>
            <w:left w:w="0" w:type="dxa"/>
            <w:bottom w:w="0" w:type="dxa"/>
            <w:right w:w="0" w:type="dxa"/>
          </w:tblCellMar>
        </w:tblPrEx>
        <w:trPr>
          <w:trHeight w:hRule="exact" w:val="220"/>
        </w:trPr>
        <w:tc>
          <w:tcPr>
            <w:tcW w:w="4536" w:type="dxa"/>
            <w:tcBorders>
              <w:top w:val="single" w:sz="6" w:space="0" w:color="auto"/>
              <w:bottom w:val="single" w:sz="6" w:space="0" w:color="auto"/>
            </w:tcBorders>
          </w:tcPr>
          <w:p w:rsidR="001C7BF9" w:rsidRPr="00C9680B" w:rsidRDefault="001C7BF9">
            <w:pPr>
              <w:pStyle w:val="Tabell"/>
              <w:keepNext/>
              <w:keepLines/>
              <w:rPr>
                <w:b/>
              </w:rPr>
            </w:pPr>
          </w:p>
        </w:tc>
        <w:tc>
          <w:tcPr>
            <w:tcW w:w="567" w:type="dxa"/>
            <w:tcBorders>
              <w:top w:val="single" w:sz="6" w:space="0" w:color="auto"/>
              <w:bottom w:val="single" w:sz="6" w:space="0" w:color="auto"/>
            </w:tcBorders>
          </w:tcPr>
          <w:p w:rsidR="001C7BF9" w:rsidRPr="00C9680B" w:rsidRDefault="001C7BF9">
            <w:pPr>
              <w:pStyle w:val="Tabell"/>
              <w:keepNext/>
              <w:keepLines/>
              <w:ind w:right="57"/>
              <w:jc w:val="right"/>
              <w:rPr>
                <w:b/>
              </w:rPr>
            </w:pPr>
            <w:r w:rsidRPr="00C9680B">
              <w:rPr>
                <w:b/>
              </w:rPr>
              <w:t>2001</w:t>
            </w:r>
          </w:p>
        </w:tc>
        <w:tc>
          <w:tcPr>
            <w:tcW w:w="567" w:type="dxa"/>
            <w:tcBorders>
              <w:top w:val="single" w:sz="6" w:space="0" w:color="auto"/>
              <w:bottom w:val="single" w:sz="6" w:space="0" w:color="auto"/>
            </w:tcBorders>
          </w:tcPr>
          <w:p w:rsidR="001C7BF9" w:rsidRPr="00C9680B" w:rsidRDefault="001C7BF9">
            <w:pPr>
              <w:pStyle w:val="Tabell"/>
              <w:keepNext/>
              <w:keepLines/>
              <w:ind w:right="57"/>
              <w:jc w:val="right"/>
              <w:rPr>
                <w:b/>
              </w:rPr>
            </w:pPr>
            <w:r w:rsidRPr="00C9680B">
              <w:rPr>
                <w:b/>
              </w:rPr>
              <w:t>2002</w:t>
            </w:r>
          </w:p>
        </w:tc>
        <w:tc>
          <w:tcPr>
            <w:tcW w:w="567" w:type="dxa"/>
            <w:tcBorders>
              <w:top w:val="single" w:sz="6" w:space="0" w:color="auto"/>
              <w:bottom w:val="single" w:sz="6" w:space="0" w:color="auto"/>
            </w:tcBorders>
          </w:tcPr>
          <w:p w:rsidR="001C7BF9" w:rsidRPr="00C9680B" w:rsidRDefault="001C7BF9">
            <w:pPr>
              <w:pStyle w:val="Tabell"/>
              <w:keepNext/>
              <w:keepLines/>
              <w:ind w:right="57"/>
              <w:jc w:val="right"/>
              <w:rPr>
                <w:b/>
              </w:rPr>
            </w:pPr>
            <w:r w:rsidRPr="00C9680B">
              <w:rPr>
                <w:b/>
              </w:rPr>
              <w:t>2003</w:t>
            </w:r>
          </w:p>
        </w:tc>
      </w:tr>
      <w:tr w:rsidR="00000000" w:rsidRPr="00C9680B">
        <w:tblPrEx>
          <w:tblCellMar>
            <w:top w:w="0" w:type="dxa"/>
            <w:left w:w="0" w:type="dxa"/>
            <w:bottom w:w="0" w:type="dxa"/>
            <w:right w:w="0" w:type="dxa"/>
          </w:tblCellMar>
        </w:tblPrEx>
        <w:trPr>
          <w:trHeight w:hRule="exact" w:val="60"/>
        </w:trPr>
        <w:tc>
          <w:tcPr>
            <w:tcW w:w="4536" w:type="dxa"/>
          </w:tcPr>
          <w:p w:rsidR="001C7BF9" w:rsidRPr="00C9680B" w:rsidRDefault="001C7BF9">
            <w:pPr>
              <w:pStyle w:val="Tabell"/>
              <w:keepNext/>
              <w:keepLines/>
            </w:pPr>
          </w:p>
        </w:tc>
        <w:tc>
          <w:tcPr>
            <w:tcW w:w="567" w:type="dxa"/>
          </w:tcPr>
          <w:p w:rsidR="001C7BF9" w:rsidRPr="00C9680B" w:rsidRDefault="001C7BF9">
            <w:pPr>
              <w:pStyle w:val="Tabell"/>
              <w:keepNext/>
              <w:keepLines/>
            </w:pPr>
          </w:p>
        </w:tc>
        <w:tc>
          <w:tcPr>
            <w:tcW w:w="567" w:type="dxa"/>
          </w:tcPr>
          <w:p w:rsidR="001C7BF9" w:rsidRPr="00C9680B" w:rsidRDefault="001C7BF9">
            <w:pPr>
              <w:pStyle w:val="Tabell"/>
              <w:keepNext/>
              <w:keepLines/>
            </w:pPr>
          </w:p>
        </w:tc>
        <w:tc>
          <w:tcPr>
            <w:tcW w:w="567" w:type="dxa"/>
          </w:tcPr>
          <w:p w:rsidR="001C7BF9" w:rsidRPr="00C9680B" w:rsidRDefault="001C7BF9">
            <w:pPr>
              <w:pStyle w:val="Tabell"/>
              <w:keepNext/>
              <w:keepLines/>
            </w:pP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pPr>
            <w:r w:rsidRPr="00C9680B">
              <w:t>Finansiellt sparande enligt budgetpropositionen</w:t>
            </w:r>
          </w:p>
        </w:tc>
        <w:tc>
          <w:tcPr>
            <w:tcW w:w="567" w:type="dxa"/>
          </w:tcPr>
          <w:p w:rsidR="001C7BF9" w:rsidRPr="00C9680B" w:rsidRDefault="001C7BF9">
            <w:pPr>
              <w:pStyle w:val="Tabell"/>
              <w:keepNext/>
              <w:keepLines/>
              <w:spacing w:line="200" w:lineRule="exact"/>
              <w:ind w:right="57"/>
              <w:jc w:val="right"/>
            </w:pPr>
            <w:r w:rsidRPr="00C9680B">
              <w:t>75,7</w:t>
            </w:r>
          </w:p>
        </w:tc>
        <w:tc>
          <w:tcPr>
            <w:tcW w:w="567" w:type="dxa"/>
          </w:tcPr>
          <w:p w:rsidR="001C7BF9" w:rsidRPr="00C9680B" w:rsidRDefault="001C7BF9">
            <w:pPr>
              <w:pStyle w:val="Tabell"/>
              <w:keepNext/>
              <w:keepLines/>
              <w:spacing w:line="200" w:lineRule="exact"/>
              <w:ind w:right="57"/>
              <w:jc w:val="right"/>
            </w:pPr>
            <w:r w:rsidRPr="00C9680B">
              <w:t>45,4</w:t>
            </w:r>
          </w:p>
        </w:tc>
        <w:tc>
          <w:tcPr>
            <w:tcW w:w="567" w:type="dxa"/>
          </w:tcPr>
          <w:p w:rsidR="001C7BF9" w:rsidRPr="00C9680B" w:rsidRDefault="001C7BF9">
            <w:pPr>
              <w:pStyle w:val="Tabell"/>
              <w:keepNext/>
              <w:keepLines/>
              <w:spacing w:line="200" w:lineRule="exact"/>
              <w:ind w:right="57"/>
              <w:jc w:val="right"/>
            </w:pPr>
            <w:r w:rsidRPr="00C9680B">
              <w:t>47,3</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pPr>
            <w:r w:rsidRPr="00C9680B">
              <w:t>Moderata besparingar</w:t>
            </w:r>
          </w:p>
        </w:tc>
        <w:tc>
          <w:tcPr>
            <w:tcW w:w="567" w:type="dxa"/>
          </w:tcPr>
          <w:p w:rsidR="001C7BF9" w:rsidRPr="00C9680B" w:rsidRDefault="001C7BF9">
            <w:pPr>
              <w:pStyle w:val="Tabell"/>
              <w:keepNext/>
              <w:keepLines/>
              <w:spacing w:line="200" w:lineRule="exact"/>
              <w:ind w:right="57"/>
              <w:jc w:val="right"/>
            </w:pPr>
            <w:r w:rsidRPr="00C9680B">
              <w:t>+36,3</w:t>
            </w:r>
          </w:p>
        </w:tc>
        <w:tc>
          <w:tcPr>
            <w:tcW w:w="567" w:type="dxa"/>
          </w:tcPr>
          <w:p w:rsidR="001C7BF9" w:rsidRPr="00C9680B" w:rsidRDefault="001C7BF9">
            <w:pPr>
              <w:pStyle w:val="Tabell"/>
              <w:keepNext/>
              <w:keepLines/>
              <w:spacing w:line="200" w:lineRule="exact"/>
              <w:ind w:right="57"/>
              <w:jc w:val="right"/>
            </w:pPr>
            <w:r w:rsidRPr="00C9680B">
              <w:t>+51,0</w:t>
            </w:r>
          </w:p>
        </w:tc>
        <w:tc>
          <w:tcPr>
            <w:tcW w:w="567" w:type="dxa"/>
          </w:tcPr>
          <w:p w:rsidR="001C7BF9" w:rsidRPr="00C9680B" w:rsidRDefault="001C7BF9">
            <w:pPr>
              <w:pStyle w:val="Tabell"/>
              <w:keepNext/>
              <w:keepLines/>
              <w:spacing w:line="200" w:lineRule="exact"/>
              <w:ind w:right="57"/>
              <w:jc w:val="right"/>
            </w:pPr>
            <w:r w:rsidRPr="00C9680B">
              <w:t>+63,7</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pPr>
            <w:r w:rsidRPr="00C9680B">
              <w:t>Moderata skattesänkningar</w:t>
            </w:r>
          </w:p>
        </w:tc>
        <w:tc>
          <w:tcPr>
            <w:tcW w:w="567" w:type="dxa"/>
          </w:tcPr>
          <w:p w:rsidR="001C7BF9" w:rsidRPr="00C9680B" w:rsidRDefault="001C7BF9">
            <w:pPr>
              <w:pStyle w:val="Tabell"/>
              <w:keepNext/>
              <w:keepLines/>
              <w:spacing w:line="200" w:lineRule="exact"/>
              <w:ind w:right="57"/>
              <w:jc w:val="right"/>
            </w:pPr>
            <w:r w:rsidRPr="00C9680B">
              <w:t>-48,4</w:t>
            </w:r>
          </w:p>
        </w:tc>
        <w:tc>
          <w:tcPr>
            <w:tcW w:w="567" w:type="dxa"/>
          </w:tcPr>
          <w:p w:rsidR="001C7BF9" w:rsidRPr="00C9680B" w:rsidRDefault="001C7BF9">
            <w:pPr>
              <w:pStyle w:val="Tabell"/>
              <w:keepNext/>
              <w:keepLines/>
              <w:spacing w:line="200" w:lineRule="exact"/>
              <w:ind w:right="57"/>
              <w:jc w:val="right"/>
            </w:pPr>
            <w:r w:rsidRPr="00C9680B">
              <w:t>-79,3</w:t>
            </w:r>
          </w:p>
        </w:tc>
        <w:tc>
          <w:tcPr>
            <w:tcW w:w="567" w:type="dxa"/>
          </w:tcPr>
          <w:p w:rsidR="001C7BF9" w:rsidRPr="00C9680B" w:rsidRDefault="001C7BF9">
            <w:pPr>
              <w:pStyle w:val="Tabell"/>
              <w:keepNext/>
              <w:keepLines/>
              <w:spacing w:line="200" w:lineRule="exact"/>
              <w:ind w:right="57"/>
              <w:jc w:val="right"/>
            </w:pPr>
            <w:r w:rsidRPr="00C9680B">
              <w:t>-106,1</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spacing w:line="200" w:lineRule="exact"/>
            </w:pPr>
            <w:r w:rsidRPr="00C9680B">
              <w:t>Ränteeffekt av större privatiseringar än regeringens</w:t>
            </w:r>
          </w:p>
        </w:tc>
        <w:tc>
          <w:tcPr>
            <w:tcW w:w="567" w:type="dxa"/>
          </w:tcPr>
          <w:p w:rsidR="001C7BF9" w:rsidRPr="00C9680B" w:rsidRDefault="001C7BF9">
            <w:pPr>
              <w:pStyle w:val="Tabell"/>
              <w:keepNext/>
              <w:keepLines/>
              <w:spacing w:line="200" w:lineRule="exact"/>
              <w:ind w:right="57"/>
              <w:jc w:val="right"/>
            </w:pPr>
            <w:r w:rsidRPr="00C9680B">
              <w:t>+2,1</w:t>
            </w:r>
          </w:p>
        </w:tc>
        <w:tc>
          <w:tcPr>
            <w:tcW w:w="567" w:type="dxa"/>
          </w:tcPr>
          <w:p w:rsidR="001C7BF9" w:rsidRPr="00C9680B" w:rsidRDefault="001C7BF9">
            <w:pPr>
              <w:pStyle w:val="Tabell"/>
              <w:keepNext/>
              <w:keepLines/>
              <w:spacing w:line="200" w:lineRule="exact"/>
              <w:ind w:right="57"/>
              <w:jc w:val="right"/>
            </w:pPr>
            <w:r w:rsidRPr="00C9680B">
              <w:t>+5,1</w:t>
            </w:r>
          </w:p>
        </w:tc>
        <w:tc>
          <w:tcPr>
            <w:tcW w:w="567" w:type="dxa"/>
          </w:tcPr>
          <w:p w:rsidR="001C7BF9" w:rsidRPr="00C9680B" w:rsidRDefault="001C7BF9">
            <w:pPr>
              <w:pStyle w:val="Tabell"/>
              <w:keepNext/>
              <w:keepLines/>
              <w:spacing w:line="200" w:lineRule="exact"/>
              <w:ind w:right="57"/>
              <w:jc w:val="right"/>
            </w:pPr>
            <w:r w:rsidRPr="00C9680B">
              <w:t>+7,4</w:t>
            </w:r>
          </w:p>
        </w:tc>
      </w:tr>
      <w:tr w:rsidR="00000000" w:rsidRPr="00C9680B">
        <w:tblPrEx>
          <w:tblCellMar>
            <w:top w:w="0" w:type="dxa"/>
            <w:left w:w="0" w:type="dxa"/>
            <w:bottom w:w="0" w:type="dxa"/>
            <w:right w:w="0" w:type="dxa"/>
          </w:tblCellMar>
        </w:tblPrEx>
        <w:tc>
          <w:tcPr>
            <w:tcW w:w="4536" w:type="dxa"/>
          </w:tcPr>
          <w:p w:rsidR="001C7BF9" w:rsidRPr="00C9680B" w:rsidRDefault="001C7BF9">
            <w:pPr>
              <w:pStyle w:val="Tabell"/>
              <w:keepNext/>
              <w:keepLines/>
            </w:pPr>
            <w:r w:rsidRPr="00C9680B">
              <w:t>Utnyttjande av reserv avsatt i BP som beräkningsteknisk överf</w:t>
            </w:r>
            <w:r w:rsidRPr="00C9680B">
              <w:t>ö</w:t>
            </w:r>
            <w:r w:rsidRPr="00C9680B">
              <w:t>ring till hushållen 2002 och 2003</w:t>
            </w:r>
          </w:p>
        </w:tc>
        <w:tc>
          <w:tcPr>
            <w:tcW w:w="567" w:type="dxa"/>
          </w:tcPr>
          <w:p w:rsidR="001C7BF9" w:rsidRPr="00C9680B" w:rsidRDefault="001C7BF9">
            <w:pPr>
              <w:pStyle w:val="Tabell"/>
              <w:keepNext/>
              <w:keepLines/>
              <w:ind w:right="57"/>
              <w:jc w:val="right"/>
            </w:pPr>
          </w:p>
          <w:p w:rsidR="001C7BF9" w:rsidRPr="00C9680B" w:rsidRDefault="001C7BF9">
            <w:pPr>
              <w:pStyle w:val="Tabell"/>
              <w:keepNext/>
              <w:keepLines/>
              <w:ind w:right="57"/>
              <w:jc w:val="right"/>
            </w:pPr>
            <w:r w:rsidRPr="00C9680B">
              <w:t>–</w:t>
            </w:r>
          </w:p>
        </w:tc>
        <w:tc>
          <w:tcPr>
            <w:tcW w:w="567" w:type="dxa"/>
          </w:tcPr>
          <w:p w:rsidR="001C7BF9" w:rsidRPr="00C9680B" w:rsidRDefault="001C7BF9">
            <w:pPr>
              <w:pStyle w:val="Tabell"/>
              <w:keepNext/>
              <w:keepLines/>
              <w:ind w:right="57"/>
              <w:jc w:val="right"/>
            </w:pPr>
          </w:p>
          <w:p w:rsidR="001C7BF9" w:rsidRPr="00C9680B" w:rsidRDefault="001C7BF9">
            <w:pPr>
              <w:pStyle w:val="Tabell"/>
              <w:keepNext/>
              <w:keepLines/>
              <w:ind w:right="57"/>
              <w:jc w:val="right"/>
            </w:pPr>
            <w:r w:rsidRPr="00C9680B">
              <w:t>+29,5</w:t>
            </w:r>
          </w:p>
        </w:tc>
        <w:tc>
          <w:tcPr>
            <w:tcW w:w="567" w:type="dxa"/>
          </w:tcPr>
          <w:p w:rsidR="001C7BF9" w:rsidRPr="00C9680B" w:rsidRDefault="001C7BF9">
            <w:pPr>
              <w:pStyle w:val="Tabell"/>
              <w:keepNext/>
              <w:keepLines/>
              <w:ind w:right="57"/>
              <w:jc w:val="right"/>
            </w:pPr>
          </w:p>
          <w:p w:rsidR="001C7BF9" w:rsidRPr="00C9680B" w:rsidRDefault="001C7BF9">
            <w:pPr>
              <w:pStyle w:val="Tabell"/>
              <w:keepNext/>
              <w:keepLines/>
              <w:ind w:right="57"/>
              <w:jc w:val="right"/>
            </w:pPr>
            <w:r w:rsidRPr="00C9680B">
              <w:t>+36,8</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rPr>
                <w:b/>
              </w:rPr>
            </w:pPr>
            <w:r w:rsidRPr="00C9680B">
              <w:rPr>
                <w:b/>
              </w:rPr>
              <w:t>Finansiellt sparande med moderaternas budgetalternativ</w:t>
            </w:r>
          </w:p>
        </w:tc>
        <w:tc>
          <w:tcPr>
            <w:tcW w:w="567" w:type="dxa"/>
          </w:tcPr>
          <w:p w:rsidR="001C7BF9" w:rsidRPr="00C9680B" w:rsidRDefault="001C7BF9">
            <w:pPr>
              <w:pStyle w:val="Tabell"/>
              <w:keepNext/>
              <w:keepLines/>
              <w:ind w:right="57"/>
              <w:jc w:val="right"/>
              <w:rPr>
                <w:b/>
              </w:rPr>
            </w:pPr>
            <w:r w:rsidRPr="00C9680B">
              <w:rPr>
                <w:b/>
              </w:rPr>
              <w:t>65,7</w:t>
            </w:r>
          </w:p>
        </w:tc>
        <w:tc>
          <w:tcPr>
            <w:tcW w:w="567" w:type="dxa"/>
          </w:tcPr>
          <w:p w:rsidR="001C7BF9" w:rsidRPr="00C9680B" w:rsidRDefault="001C7BF9">
            <w:pPr>
              <w:pStyle w:val="Tabell"/>
              <w:keepNext/>
              <w:keepLines/>
              <w:ind w:right="57"/>
              <w:jc w:val="right"/>
              <w:rPr>
                <w:b/>
              </w:rPr>
            </w:pPr>
            <w:r w:rsidRPr="00C9680B">
              <w:rPr>
                <w:b/>
              </w:rPr>
              <w:t>51,7</w:t>
            </w:r>
          </w:p>
        </w:tc>
        <w:tc>
          <w:tcPr>
            <w:tcW w:w="567" w:type="dxa"/>
          </w:tcPr>
          <w:p w:rsidR="001C7BF9" w:rsidRPr="00C9680B" w:rsidRDefault="001C7BF9">
            <w:pPr>
              <w:pStyle w:val="Tabell"/>
              <w:keepNext/>
              <w:keepLines/>
              <w:ind w:right="57"/>
              <w:jc w:val="right"/>
              <w:rPr>
                <w:b/>
              </w:rPr>
            </w:pPr>
            <w:r w:rsidRPr="00C9680B">
              <w:rPr>
                <w:b/>
              </w:rPr>
              <w:t>49,1</w:t>
            </w:r>
          </w:p>
        </w:tc>
      </w:tr>
      <w:tr w:rsidR="00000000" w:rsidRPr="00C9680B">
        <w:tblPrEx>
          <w:tblCellMar>
            <w:top w:w="0" w:type="dxa"/>
            <w:left w:w="0" w:type="dxa"/>
            <w:bottom w:w="0" w:type="dxa"/>
            <w:right w:w="0" w:type="dxa"/>
          </w:tblCellMar>
        </w:tblPrEx>
        <w:trPr>
          <w:trHeight w:hRule="exact" w:val="220"/>
        </w:trPr>
        <w:tc>
          <w:tcPr>
            <w:tcW w:w="4536" w:type="dxa"/>
          </w:tcPr>
          <w:p w:rsidR="001C7BF9" w:rsidRPr="00C9680B" w:rsidRDefault="001C7BF9">
            <w:pPr>
              <w:pStyle w:val="Tabell"/>
              <w:keepNext/>
              <w:keepLines/>
            </w:pPr>
            <w:r w:rsidRPr="00C9680B">
              <w:t>– i förhållande till regeringens budgetmål</w:t>
            </w:r>
          </w:p>
        </w:tc>
        <w:tc>
          <w:tcPr>
            <w:tcW w:w="567" w:type="dxa"/>
          </w:tcPr>
          <w:p w:rsidR="001C7BF9" w:rsidRPr="00C9680B" w:rsidRDefault="001C7BF9">
            <w:pPr>
              <w:pStyle w:val="Tabell"/>
              <w:keepNext/>
              <w:keepLines/>
              <w:ind w:right="57"/>
              <w:jc w:val="right"/>
            </w:pPr>
            <w:r w:rsidRPr="00C9680B">
              <w:t>+11,1</w:t>
            </w:r>
          </w:p>
        </w:tc>
        <w:tc>
          <w:tcPr>
            <w:tcW w:w="567" w:type="dxa"/>
          </w:tcPr>
          <w:p w:rsidR="001C7BF9" w:rsidRPr="00C9680B" w:rsidRDefault="001C7BF9">
            <w:pPr>
              <w:pStyle w:val="Tabell"/>
              <w:keepNext/>
              <w:keepLines/>
              <w:ind w:right="57"/>
              <w:jc w:val="right"/>
            </w:pPr>
            <w:r w:rsidRPr="00C9680B">
              <w:t>+6,3</w:t>
            </w:r>
          </w:p>
        </w:tc>
        <w:tc>
          <w:tcPr>
            <w:tcW w:w="567" w:type="dxa"/>
          </w:tcPr>
          <w:p w:rsidR="001C7BF9" w:rsidRPr="00C9680B" w:rsidRDefault="001C7BF9">
            <w:pPr>
              <w:pStyle w:val="Tabell"/>
              <w:keepNext/>
              <w:keepLines/>
              <w:ind w:right="57"/>
              <w:jc w:val="right"/>
            </w:pPr>
            <w:r w:rsidRPr="00C9680B">
              <w:t>+1,8</w:t>
            </w:r>
          </w:p>
        </w:tc>
      </w:tr>
      <w:tr w:rsidR="00000000" w:rsidRPr="00C9680B">
        <w:tblPrEx>
          <w:tblCellMar>
            <w:top w:w="0" w:type="dxa"/>
            <w:left w:w="0" w:type="dxa"/>
            <w:bottom w:w="0" w:type="dxa"/>
            <w:right w:w="0" w:type="dxa"/>
          </w:tblCellMar>
        </w:tblPrEx>
        <w:trPr>
          <w:trHeight w:hRule="exact" w:val="60"/>
        </w:trPr>
        <w:tc>
          <w:tcPr>
            <w:tcW w:w="4536" w:type="dxa"/>
            <w:tcBorders>
              <w:bottom w:val="single" w:sz="6" w:space="0" w:color="auto"/>
            </w:tcBorders>
          </w:tcPr>
          <w:p w:rsidR="001C7BF9" w:rsidRPr="00C9680B" w:rsidRDefault="001C7BF9">
            <w:pPr>
              <w:pStyle w:val="Tabell"/>
              <w:keepNext/>
              <w:keepLines/>
            </w:pPr>
          </w:p>
        </w:tc>
        <w:tc>
          <w:tcPr>
            <w:tcW w:w="567" w:type="dxa"/>
            <w:tcBorders>
              <w:bottom w:val="single" w:sz="6" w:space="0" w:color="auto"/>
            </w:tcBorders>
          </w:tcPr>
          <w:p w:rsidR="001C7BF9" w:rsidRPr="00C9680B" w:rsidRDefault="001C7BF9">
            <w:pPr>
              <w:pStyle w:val="Tabell"/>
              <w:keepNext/>
              <w:keepLines/>
              <w:ind w:right="57"/>
              <w:jc w:val="right"/>
            </w:pPr>
          </w:p>
        </w:tc>
        <w:tc>
          <w:tcPr>
            <w:tcW w:w="567" w:type="dxa"/>
            <w:tcBorders>
              <w:bottom w:val="single" w:sz="6" w:space="0" w:color="auto"/>
            </w:tcBorders>
          </w:tcPr>
          <w:p w:rsidR="001C7BF9" w:rsidRPr="00C9680B" w:rsidRDefault="001C7BF9">
            <w:pPr>
              <w:pStyle w:val="Tabell"/>
              <w:keepNext/>
              <w:keepLines/>
              <w:ind w:right="57"/>
              <w:jc w:val="right"/>
            </w:pPr>
          </w:p>
        </w:tc>
        <w:tc>
          <w:tcPr>
            <w:tcW w:w="567" w:type="dxa"/>
            <w:tcBorders>
              <w:bottom w:val="single" w:sz="6" w:space="0" w:color="auto"/>
            </w:tcBorders>
          </w:tcPr>
          <w:p w:rsidR="001C7BF9" w:rsidRPr="00C9680B" w:rsidRDefault="001C7BF9">
            <w:pPr>
              <w:pStyle w:val="Tabell"/>
              <w:keepNext/>
              <w:keepLines/>
              <w:ind w:right="57"/>
              <w:jc w:val="right"/>
            </w:pPr>
          </w:p>
        </w:tc>
      </w:tr>
    </w:tbl>
    <w:p w:rsidR="001C7BF9" w:rsidRPr="00C9680B" w:rsidRDefault="001C7BF9">
      <w:pPr>
        <w:pStyle w:val="Normaltindrag"/>
        <w:spacing w:line="80" w:lineRule="exact"/>
        <w:rPr>
          <w:sz w:val="8"/>
        </w:rPr>
      </w:pPr>
    </w:p>
    <w:p w:rsidR="001C7BF9" w:rsidRPr="00C9680B" w:rsidRDefault="001C7BF9">
      <w:pPr>
        <w:spacing w:before="125"/>
      </w:pPr>
      <w:r w:rsidRPr="00C9680B">
        <w:t xml:space="preserve">Den finansiella effekten av Moderata samlingspartiets budgetalternativ kan sammanfattas på det sätt som framgår av ovanstående tabell. Den visar att med vårt budgetalternativ kommer sparandet att ligga på en nivå som med god marginal överstiger även de av regeringen använda budgetmålen de kommande tre åren. Budgetarbetet bör ha en sådan inriktning att man uppnår balans i de offentliga finanserna sett över en konjunkturcykel. I nuvarande konjunkturläge innebär detta att man under några år bör ha överskott i </w:t>
      </w:r>
      <w:r w:rsidRPr="00C9680B">
        <w:t>bu</w:t>
      </w:r>
      <w:r w:rsidRPr="00C9680B">
        <w:t>d</w:t>
      </w:r>
      <w:r w:rsidRPr="00C9680B">
        <w:t>geten för att därefter kunna tillåta sig underskott i nästa lågkonjunktur. Det moderata alternativet är utformat i enlighet med detta synsätt.</w:t>
      </w:r>
    </w:p>
    <w:p w:rsidR="001C7BF9" w:rsidRPr="00C9680B" w:rsidRDefault="001C7BF9">
      <w:pPr>
        <w:pStyle w:val="FiU1tabellrubrik2000"/>
        <w:keepLines/>
        <w:spacing w:before="0" w:line="180" w:lineRule="exact"/>
        <w:outlineLvl w:val="0"/>
      </w:pPr>
      <w:r w:rsidRPr="00C9680B">
        <w:rPr>
          <w:b w:val="0"/>
          <w:sz w:val="19"/>
        </w:rPr>
        <w:br w:type="page"/>
      </w:r>
      <w:r w:rsidRPr="00C9680B">
        <w:t>Tabell. Moderata samlingspartiets förslag till utgiftstak och u</w:t>
      </w:r>
      <w:r w:rsidRPr="00C9680B">
        <w:t>t</w:t>
      </w:r>
      <w:r w:rsidRPr="00C9680B">
        <w:softHyphen/>
        <w:t>giftsramar för 2001</w:t>
      </w:r>
    </w:p>
    <w:p w:rsidR="001C7BF9" w:rsidRPr="00C9680B" w:rsidRDefault="001C7BF9">
      <w:pPr>
        <w:pStyle w:val="Tabell"/>
        <w:keepLines/>
        <w:spacing w:line="190" w:lineRule="exact"/>
        <w:outlineLvl w:val="0"/>
        <w:rPr>
          <w:sz w:val="14"/>
        </w:rPr>
      </w:pPr>
      <w:r w:rsidRPr="00C9680B">
        <w:rPr>
          <w:sz w:val="14"/>
        </w:rPr>
        <w:t>Belopp i miljoner kronor</w:t>
      </w:r>
    </w:p>
    <w:p w:rsidR="001C7BF9" w:rsidRPr="00C9680B" w:rsidRDefault="001C7BF9">
      <w:pPr>
        <w:pStyle w:val="Tabell"/>
        <w:keepLines/>
        <w:spacing w:after="40" w:line="190" w:lineRule="exact"/>
      </w:pPr>
      <w:r w:rsidRPr="00C9680B">
        <w:rPr>
          <w:sz w:val="14"/>
        </w:rPr>
        <w:t>Förändringar i förhållande till regeringens förslag</w:t>
      </w:r>
    </w:p>
    <w:p w:rsidR="001C7BF9" w:rsidRPr="00C9680B" w:rsidRDefault="00C9680B">
      <w:pPr>
        <w:keepLines/>
        <w:spacing w:line="240" w:lineRule="auto"/>
        <w:ind w:left="-57"/>
      </w:pPr>
      <w:r w:rsidRPr="00C9680B">
        <w:rPr>
          <w:noProof/>
        </w:rPr>
        <w:drawing>
          <wp:inline distT="0" distB="0" distL="0" distR="0">
            <wp:extent cx="3782695" cy="544830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782695" cy="5448300"/>
                    </a:xfrm>
                    <a:prstGeom prst="rect">
                      <a:avLst/>
                    </a:prstGeom>
                    <a:noFill/>
                    <a:ln>
                      <a:noFill/>
                    </a:ln>
                  </pic:spPr>
                </pic:pic>
              </a:graphicData>
            </a:graphic>
          </wp:inline>
        </w:drawing>
      </w:r>
    </w:p>
    <w:p w:rsidR="001C7BF9" w:rsidRPr="00C9680B" w:rsidRDefault="001C7BF9"/>
    <w:p w:rsidR="001C7BF9" w:rsidRPr="00C9680B" w:rsidRDefault="001C7BF9">
      <w:r w:rsidRPr="00C9680B">
        <w:t>Sammanfattningsvis anser vi således att Moderata samlingspartiets budgetfö</w:t>
      </w:r>
      <w:r w:rsidRPr="00C9680B">
        <w:t>r</w:t>
      </w:r>
      <w:r w:rsidRPr="00C9680B">
        <w:t>slag för 2001 bör ligga till grund för budgetpolitiken. Det innebär att vi til</w:t>
      </w:r>
      <w:r w:rsidRPr="00C9680B">
        <w:t>l</w:t>
      </w:r>
      <w:r w:rsidRPr="00C9680B">
        <w:t>styrker de i motion Fi208 (m) föreslagna nivåerna för utgiftstaket under 2001–2003 (yrkande 3, med viss ändring) liksom partiets förslag till berä</w:t>
      </w:r>
      <w:r w:rsidRPr="00C9680B">
        <w:t>k</w:t>
      </w:r>
      <w:r w:rsidRPr="00C9680B">
        <w:t>ning av de offentliga utgifterna för 2000–2002 (yrkande 2) och beräkning av statsbudgetens inkomster och förändrade skatte- och avgiftsregler (yrkande 7) som återfinns i sammanställningen i anslutning till utskottets förslag till rik</w:t>
      </w:r>
      <w:r w:rsidRPr="00C9680B">
        <w:t>s</w:t>
      </w:r>
      <w:r w:rsidRPr="00C9680B">
        <w:t>dagsbeslut som reservation 12 (m). Vidare tillstyrk</w:t>
      </w:r>
      <w:r w:rsidRPr="00C9680B">
        <w:t>er vi Moderata samling</w:t>
      </w:r>
      <w:r w:rsidRPr="00C9680B">
        <w:t>s</w:t>
      </w:r>
      <w:r w:rsidRPr="00C9680B">
        <w:t>partiets förslag till fördelning av utgifter på utgiftsområden (yrkande 5 med viss ändring) som återfinns dels i ovanstående tabell, dels i reservation 12 (m) i sammanställningen i anslutning till utskottets förslag till riksdagsbeslut. Slutligen stöder vi även Moderata samlingspartiets övriga förslag i detta sammanhang.</w:t>
      </w:r>
    </w:p>
    <w:p w:rsidR="001C7BF9" w:rsidRPr="00C9680B" w:rsidRDefault="001C7BF9">
      <w:pPr>
        <w:outlineLvl w:val="0"/>
      </w:pPr>
      <w:r w:rsidRPr="00C9680B">
        <w:t xml:space="preserve">Vi tillstyrker alltså motionerna </w:t>
      </w:r>
    </w:p>
    <w:p w:rsidR="001C7BF9" w:rsidRPr="00C9680B" w:rsidRDefault="001C7BF9">
      <w:r w:rsidRPr="00C9680B">
        <w:t>–Fi208 (m) yrkandena 2, 3 med viss ändring, 5 med viss ändring, 7, 12, 19, 20 och 27,</w:t>
      </w:r>
    </w:p>
    <w:p w:rsidR="001C7BF9" w:rsidRPr="00C9680B" w:rsidRDefault="001C7BF9">
      <w:pPr>
        <w:spacing w:before="0"/>
      </w:pPr>
      <w:r w:rsidRPr="00C9680B">
        <w:t>–Sk301 (m),</w:t>
      </w:r>
    </w:p>
    <w:p w:rsidR="001C7BF9" w:rsidRPr="00C9680B" w:rsidRDefault="001C7BF9">
      <w:pPr>
        <w:spacing w:before="0"/>
      </w:pPr>
      <w:r w:rsidRPr="00C9680B">
        <w:t>–Sk302 (m),</w:t>
      </w:r>
    </w:p>
    <w:p w:rsidR="001C7BF9" w:rsidRPr="00C9680B" w:rsidRDefault="001C7BF9">
      <w:pPr>
        <w:spacing w:before="0"/>
      </w:pPr>
      <w:r w:rsidRPr="00C9680B">
        <w:t>–Sk304 (m),</w:t>
      </w:r>
    </w:p>
    <w:p w:rsidR="001C7BF9" w:rsidRPr="00C9680B" w:rsidRDefault="001C7BF9">
      <w:pPr>
        <w:spacing w:before="0"/>
      </w:pPr>
      <w:r w:rsidRPr="00C9680B">
        <w:t>–Sk305 (m),</w:t>
      </w:r>
    </w:p>
    <w:p w:rsidR="001C7BF9" w:rsidRPr="00C9680B" w:rsidRDefault="001C7BF9">
      <w:pPr>
        <w:pStyle w:val="Frslagstext"/>
        <w:ind w:left="0"/>
      </w:pPr>
      <w:r w:rsidRPr="00C9680B">
        <w:t>–Sk306 (m),</w:t>
      </w:r>
    </w:p>
    <w:p w:rsidR="001C7BF9" w:rsidRPr="00C9680B" w:rsidRDefault="001C7BF9">
      <w:pPr>
        <w:pStyle w:val="Deltagare"/>
        <w:keepLines w:val="0"/>
        <w:spacing w:before="0" w:line="250" w:lineRule="atLeast"/>
        <w:rPr>
          <w:noProof w:val="0"/>
        </w:rPr>
      </w:pPr>
      <w:r w:rsidRPr="00C9680B">
        <w:rPr>
          <w:noProof w:val="0"/>
        </w:rPr>
        <w:t>–Sk307 (m),</w:t>
      </w:r>
    </w:p>
    <w:p w:rsidR="001C7BF9" w:rsidRPr="00C9680B" w:rsidRDefault="001C7BF9">
      <w:pPr>
        <w:spacing w:before="0"/>
      </w:pPr>
      <w:r w:rsidRPr="00C9680B">
        <w:t>–Sk308 (m),</w:t>
      </w:r>
    </w:p>
    <w:p w:rsidR="001C7BF9" w:rsidRPr="00C9680B" w:rsidRDefault="001C7BF9">
      <w:pPr>
        <w:spacing w:before="0"/>
      </w:pPr>
      <w:r w:rsidRPr="00C9680B">
        <w:t>–Sk311 (m) yrkande 1,</w:t>
      </w:r>
    </w:p>
    <w:p w:rsidR="001C7BF9" w:rsidRPr="00C9680B" w:rsidRDefault="001C7BF9">
      <w:pPr>
        <w:spacing w:before="0"/>
      </w:pPr>
      <w:r w:rsidRPr="00C9680B">
        <w:t>–Sk312 (m) yrkandena 1 och 2,</w:t>
      </w:r>
    </w:p>
    <w:p w:rsidR="001C7BF9" w:rsidRPr="00C9680B" w:rsidRDefault="001C7BF9">
      <w:pPr>
        <w:spacing w:before="0"/>
      </w:pPr>
      <w:r w:rsidRPr="00C9680B">
        <w:t>–Sk313 (m) yrkandena 1–3 samt 4–6 alla i denna del, 7–10 och 12–45,</w:t>
      </w:r>
    </w:p>
    <w:p w:rsidR="001C7BF9" w:rsidRPr="00C9680B" w:rsidRDefault="001C7BF9">
      <w:pPr>
        <w:pStyle w:val="Frslagstext"/>
        <w:ind w:left="0"/>
      </w:pPr>
      <w:r w:rsidRPr="00C9680B">
        <w:t>–Sk314 (m),</w:t>
      </w:r>
    </w:p>
    <w:p w:rsidR="001C7BF9" w:rsidRPr="00C9680B" w:rsidRDefault="001C7BF9">
      <w:pPr>
        <w:pStyle w:val="Frslagstext"/>
        <w:ind w:left="0"/>
      </w:pPr>
      <w:r w:rsidRPr="00C9680B">
        <w:t>–Sk315 (m),</w:t>
      </w:r>
    </w:p>
    <w:p w:rsidR="001C7BF9" w:rsidRPr="00C9680B" w:rsidRDefault="001C7BF9">
      <w:pPr>
        <w:pStyle w:val="Frslagstext"/>
        <w:ind w:left="0"/>
      </w:pPr>
      <w:r w:rsidRPr="00C9680B">
        <w:t>–Sk317 (m), delvis,</w:t>
      </w:r>
    </w:p>
    <w:p w:rsidR="001C7BF9" w:rsidRPr="00C9680B" w:rsidRDefault="001C7BF9">
      <w:pPr>
        <w:pStyle w:val="Frslagstext"/>
        <w:ind w:left="0"/>
      </w:pPr>
      <w:r w:rsidRPr="00C9680B">
        <w:t>–Sk319 (m),</w:t>
      </w:r>
    </w:p>
    <w:p w:rsidR="001C7BF9" w:rsidRPr="00C9680B" w:rsidRDefault="001C7BF9">
      <w:pPr>
        <w:pStyle w:val="Frslagstext"/>
        <w:ind w:left="0"/>
      </w:pPr>
      <w:r w:rsidRPr="00C9680B">
        <w:t>–Sk320 (m) yrkandena 1–3,</w:t>
      </w:r>
    </w:p>
    <w:p w:rsidR="001C7BF9" w:rsidRPr="00C9680B" w:rsidRDefault="001C7BF9">
      <w:pPr>
        <w:pStyle w:val="Frslagstext"/>
        <w:ind w:left="0"/>
      </w:pPr>
      <w:r w:rsidRPr="00C9680B">
        <w:t>–Sk620 (m) yrkande 4,</w:t>
      </w:r>
    </w:p>
    <w:p w:rsidR="001C7BF9" w:rsidRPr="00C9680B" w:rsidRDefault="001C7BF9">
      <w:pPr>
        <w:pStyle w:val="Frslagstext"/>
        <w:ind w:left="0"/>
      </w:pPr>
      <w:r w:rsidRPr="00C9680B">
        <w:t>–Sk621 (m) yrkandena 1, 2, 4 och 6,</w:t>
      </w:r>
    </w:p>
    <w:p w:rsidR="001C7BF9" w:rsidRPr="00C9680B" w:rsidRDefault="001C7BF9">
      <w:pPr>
        <w:pStyle w:val="Frslagstext"/>
        <w:ind w:left="0"/>
      </w:pPr>
      <w:r w:rsidRPr="00C9680B">
        <w:t>–Sk1025 (m) yrkande 1,</w:t>
      </w:r>
    </w:p>
    <w:p w:rsidR="001C7BF9" w:rsidRPr="00C9680B" w:rsidRDefault="001C7BF9">
      <w:pPr>
        <w:pStyle w:val="Frslagstext"/>
        <w:ind w:left="0"/>
      </w:pPr>
      <w:r w:rsidRPr="00C9680B">
        <w:t>–Sk1028 (m) yrkandena 3–6 samt 9–15,</w:t>
      </w:r>
    </w:p>
    <w:p w:rsidR="001C7BF9" w:rsidRPr="00C9680B" w:rsidRDefault="001C7BF9">
      <w:pPr>
        <w:pStyle w:val="Frslagstext"/>
        <w:ind w:left="0"/>
      </w:pPr>
      <w:r w:rsidRPr="00C9680B">
        <w:t>–Sk1029 (m) yrkande 2,</w:t>
      </w:r>
    </w:p>
    <w:p w:rsidR="001C7BF9" w:rsidRPr="00C9680B" w:rsidRDefault="001C7BF9">
      <w:pPr>
        <w:pStyle w:val="Frslagstext"/>
        <w:ind w:left="0"/>
      </w:pPr>
      <w:r w:rsidRPr="00C9680B">
        <w:t xml:space="preserve">–MJ244 (m) yrkande 5, </w:t>
      </w:r>
    </w:p>
    <w:p w:rsidR="001C7BF9" w:rsidRPr="00C9680B" w:rsidRDefault="001C7BF9">
      <w:pPr>
        <w:pStyle w:val="Frslagstext"/>
        <w:ind w:left="0"/>
      </w:pPr>
      <w:r w:rsidRPr="00C9680B">
        <w:t xml:space="preserve">–MJ256 (m) yrkande 4, </w:t>
      </w:r>
    </w:p>
    <w:p w:rsidR="001C7BF9" w:rsidRPr="00C9680B" w:rsidRDefault="001C7BF9">
      <w:pPr>
        <w:pStyle w:val="Frslagstext"/>
        <w:ind w:left="0"/>
      </w:pPr>
      <w:r w:rsidRPr="00C9680B">
        <w:t>–N385 (m) yrkandena 6–11,</w:t>
      </w:r>
    </w:p>
    <w:p w:rsidR="001C7BF9" w:rsidRPr="00C9680B" w:rsidRDefault="001C7BF9">
      <w:pPr>
        <w:pStyle w:val="Frslagstext"/>
        <w:ind w:left="0"/>
      </w:pPr>
      <w:r w:rsidRPr="00C9680B">
        <w:t xml:space="preserve">–Bo414 (m) yrkandena 11, 12 och 14. </w:t>
      </w:r>
    </w:p>
    <w:p w:rsidR="001C7BF9" w:rsidRPr="00C9680B" w:rsidRDefault="001C7BF9">
      <w:pPr>
        <w:spacing w:before="125"/>
      </w:pPr>
      <w:r w:rsidRPr="00C9680B">
        <w:t>Vi avstyrker regeringens förslag i berörda delar liksom de övriga motionsy</w:t>
      </w:r>
      <w:r w:rsidRPr="00C9680B">
        <w:t>r</w:t>
      </w:r>
      <w:r w:rsidRPr="00C9680B">
        <w:t>kanden som är aktuella i detta sammanhang.</w:t>
      </w:r>
    </w:p>
    <w:p w:rsidR="001C7BF9" w:rsidRPr="00C9680B" w:rsidRDefault="001C7BF9">
      <w:pPr>
        <w:pStyle w:val="Reservationspunkt"/>
        <w:ind w:left="0" w:firstLine="0"/>
        <w:rPr>
          <w:noProof w:val="0"/>
        </w:rPr>
      </w:pPr>
      <w:bookmarkStart w:id="727" w:name="_Toc466882507"/>
      <w:r w:rsidRPr="00C9680B">
        <w:rPr>
          <w:noProof w:val="0"/>
        </w:rPr>
        <w:br w:type="page"/>
      </w:r>
      <w:bookmarkStart w:id="728" w:name="_Toc498910928"/>
      <w:bookmarkEnd w:id="727"/>
      <w:r w:rsidRPr="00C9680B">
        <w:rPr>
          <w:noProof w:val="0"/>
        </w:rPr>
        <w:t>13. Budgetförslagen för år 2001 (punkt 5) (kd)</w:t>
      </w:r>
      <w:bookmarkEnd w:id="728"/>
    </w:p>
    <w:p w:rsidR="001C7BF9" w:rsidRPr="00C9680B" w:rsidRDefault="001C7BF9">
      <w:pPr>
        <w:pStyle w:val="Reservanter"/>
      </w:pPr>
      <w:r w:rsidRPr="00C9680B">
        <w:t xml:space="preserve">av Mats Odell och Per Landgren (båda kd).  </w:t>
      </w:r>
    </w:p>
    <w:p w:rsidR="001C7BF9" w:rsidRPr="00C9680B" w:rsidRDefault="001C7BF9">
      <w:pPr>
        <w:pStyle w:val="Rubrik4"/>
        <w:rPr>
          <w:noProof w:val="0"/>
        </w:rPr>
      </w:pPr>
      <w:bookmarkStart w:id="729" w:name="_Toc498910929"/>
      <w:r w:rsidRPr="00C9680B">
        <w:rPr>
          <w:noProof w:val="0"/>
        </w:rPr>
        <w:t>Förslag till riksdagsbeslut</w:t>
      </w:r>
      <w:bookmarkEnd w:id="729"/>
    </w:p>
    <w:p w:rsidR="001C7BF9" w:rsidRPr="00C9680B" w:rsidRDefault="001C7BF9">
      <w:r w:rsidRPr="00C9680B">
        <w:t>Vi anser att förslaget till riksdagsbeslut under punkt 5 borde ha följande l</w:t>
      </w:r>
      <w:r w:rsidRPr="00C9680B">
        <w:t>y</w:t>
      </w:r>
      <w:r w:rsidRPr="00C9680B">
        <w:t xml:space="preserve">delse: </w:t>
      </w:r>
    </w:p>
    <w:p w:rsidR="001C7BF9" w:rsidRPr="00C9680B" w:rsidRDefault="001C7BF9">
      <w:pPr>
        <w:pStyle w:val="Rubrik4"/>
        <w:rPr>
          <w:noProof w:val="0"/>
        </w:rPr>
      </w:pPr>
      <w:bookmarkStart w:id="730" w:name="_Toc498910930"/>
      <w:r w:rsidRPr="00C9680B">
        <w:rPr>
          <w:noProof w:val="0"/>
        </w:rPr>
        <w:t>5. Budgetförslagen för år 2001</w:t>
      </w:r>
      <w:bookmarkEnd w:id="730"/>
    </w:p>
    <w:p w:rsidR="001C7BF9" w:rsidRPr="00C9680B" w:rsidRDefault="001C7BF9">
      <w:pPr>
        <w:pStyle w:val="Frslagstext"/>
        <w:numPr>
          <w:ilvl w:val="0"/>
          <w:numId w:val="1335"/>
        </w:numPr>
        <w:spacing w:before="125"/>
        <w:rPr>
          <w:i/>
        </w:rPr>
      </w:pPr>
      <w:r w:rsidRPr="00C9680B">
        <w:rPr>
          <w:i/>
        </w:rPr>
        <w:t xml:space="preserve">Utgiftstak för staten åren 2001–2003 (avsnitt 2.5.1) </w:t>
      </w:r>
    </w:p>
    <w:p w:rsidR="001C7BF9" w:rsidRPr="00C9680B" w:rsidRDefault="001C7BF9">
      <w:pPr>
        <w:pStyle w:val="Frslagstext"/>
        <w:ind w:left="0"/>
      </w:pPr>
      <w:r w:rsidRPr="00C9680B">
        <w:t xml:space="preserve">Riksdagen fastställer utgiftstaket för staten inklusive ålderspensionssystemet vid sidan av statsbudgeten till 781 miljarder kronor för år 2001, 802 miljarder kronor för år 2002 och 823 miljarder kronor för år 2003. Därmed bifaller riksdagen motion 2000/01:Fi209 yrkandena  2 och 8  och avslår proposition 2000/01:1 punkt 2. </w:t>
      </w:r>
    </w:p>
    <w:p w:rsidR="001C7BF9" w:rsidRPr="00C9680B" w:rsidRDefault="001C7BF9">
      <w:pPr>
        <w:pStyle w:val="Frslagstext"/>
        <w:numPr>
          <w:ilvl w:val="0"/>
          <w:numId w:val="1335"/>
        </w:numPr>
        <w:spacing w:before="125"/>
        <w:rPr>
          <w:i/>
        </w:rPr>
      </w:pPr>
      <w:r w:rsidRPr="00C9680B">
        <w:rPr>
          <w:i/>
        </w:rPr>
        <w:t>Utgiftstak för den offentliga sektorn åren 2001–2003 (avsnitt 2.5.2)</w:t>
      </w:r>
    </w:p>
    <w:p w:rsidR="001C7BF9" w:rsidRPr="00C9680B" w:rsidRDefault="001C7BF9">
      <w:pPr>
        <w:pStyle w:val="Frslagstext"/>
        <w:ind w:left="0"/>
      </w:pPr>
      <w:r w:rsidRPr="00C9680B">
        <w:t>Riksdagen godkänner den i motion 2000/01:Fi209 redovisade reviderade beräkningen av de offentliga utgifterna för åren 2001–2003. Därmed bifaller riksdagen motion 2000/01:Fi209 yrkande 3 och avslår proposition 2000/01:1 punkt 3.</w:t>
      </w:r>
    </w:p>
    <w:p w:rsidR="001C7BF9" w:rsidRPr="00C9680B" w:rsidRDefault="001C7BF9">
      <w:pPr>
        <w:pStyle w:val="Frslagstext"/>
        <w:numPr>
          <w:ilvl w:val="0"/>
          <w:numId w:val="1335"/>
        </w:numPr>
        <w:spacing w:before="125"/>
        <w:rPr>
          <w:i/>
        </w:rPr>
      </w:pPr>
      <w:r w:rsidRPr="00C9680B">
        <w:rPr>
          <w:i/>
        </w:rPr>
        <w:t xml:space="preserve">Fördelning av statens utgifter på utgiftsområden för budgetåret 2001 (avsnitt 2.6) </w:t>
      </w:r>
    </w:p>
    <w:p w:rsidR="001C7BF9" w:rsidRPr="00C9680B" w:rsidRDefault="001C7BF9">
      <w:pPr>
        <w:pStyle w:val="Frslagstext"/>
        <w:ind w:left="0"/>
        <w:rPr>
          <w:i/>
        </w:rPr>
      </w:pPr>
      <w:r w:rsidRPr="00C9680B">
        <w:t>Riksdagen beslutar om fördelning av utgifterna för budgetåret 2001 på u</w:t>
      </w:r>
      <w:r w:rsidRPr="00C9680B">
        <w:t>t</w:t>
      </w:r>
      <w:r w:rsidRPr="00C9680B">
        <w:t xml:space="preserve">giftsområden enligt det med reservation 13 (kd) betecknade förslaget i den </w:t>
      </w:r>
      <w:r w:rsidRPr="00C9680B">
        <w:rPr>
          <w:i/>
        </w:rPr>
        <w:t>sammanställning över statsbudgetens utgifter och inkomster</w:t>
      </w:r>
      <w:r w:rsidRPr="00C9680B">
        <w:t xml:space="preserve"> som följer efter utskottets förslag till riksdagsbeslut. Därmed bifaller riksdagen motion 2000/01:Fi209 yrkande 6 och avslår proposition 2000/01:1 punkt 8.</w:t>
      </w:r>
      <w:r w:rsidRPr="00C9680B">
        <w:rPr>
          <w:i/>
        </w:rPr>
        <w:t xml:space="preserve"> </w:t>
      </w:r>
    </w:p>
    <w:p w:rsidR="001C7BF9" w:rsidRPr="00C9680B" w:rsidRDefault="001C7BF9">
      <w:pPr>
        <w:pStyle w:val="Frslagstext"/>
        <w:numPr>
          <w:ilvl w:val="0"/>
          <w:numId w:val="1335"/>
        </w:numPr>
        <w:spacing w:before="125"/>
        <w:rPr>
          <w:i/>
        </w:rPr>
      </w:pPr>
      <w:r w:rsidRPr="00C9680B">
        <w:rPr>
          <w:i/>
        </w:rPr>
        <w:t xml:space="preserve">Förändringar av anslagsbehållningar för budgetåret 2001 (avsnitt 2.8) </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5"/>
        </w:numPr>
        <w:spacing w:before="125"/>
        <w:rPr>
          <w:i/>
        </w:rPr>
      </w:pPr>
      <w:r w:rsidRPr="00C9680B">
        <w:rPr>
          <w:i/>
        </w:rPr>
        <w:t>Myndigheternas in- och utlåning i Riksgäldskontoret (avsnitt 2.9)</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5"/>
        </w:numPr>
        <w:spacing w:before="125"/>
        <w:rPr>
          <w:i/>
        </w:rPr>
      </w:pPr>
      <w:r w:rsidRPr="00C9680B">
        <w:rPr>
          <w:i/>
        </w:rPr>
        <w:t xml:space="preserve">Inkomstskatten för år 2001 (avsnitt 3.3.1)  </w:t>
      </w:r>
    </w:p>
    <w:p w:rsidR="001C7BF9" w:rsidRPr="00C9680B" w:rsidRDefault="001C7BF9">
      <w:pPr>
        <w:pStyle w:val="Frslagstext"/>
        <w:ind w:left="0"/>
      </w:pPr>
      <w:r w:rsidRPr="00C9680B">
        <w:t xml:space="preserve">Riksdagen godkänner vad som framförs i reservation 13 om inkomstskatten för år 2001. Riksdagen bifaller därmed motion 2000/01:Sk323 yrkandena 8–12, 14, 15, 54 och 55 samt avslår proposition 2000/01:1 punkterna 24, 25 och 27–31, alla i denna del.  </w:t>
      </w:r>
    </w:p>
    <w:p w:rsidR="001C7BF9" w:rsidRPr="00C9680B" w:rsidRDefault="001C7BF9">
      <w:pPr>
        <w:pStyle w:val="Frslagstext"/>
        <w:numPr>
          <w:ilvl w:val="0"/>
          <w:numId w:val="1335"/>
        </w:numPr>
        <w:spacing w:before="125"/>
        <w:rPr>
          <w:i/>
        </w:rPr>
      </w:pPr>
      <w:r w:rsidRPr="00C9680B">
        <w:rPr>
          <w:i/>
        </w:rPr>
        <w:t xml:space="preserve">Utökade reseavdrag (avsnitt 3.3.2) </w:t>
      </w:r>
    </w:p>
    <w:p w:rsidR="001C7BF9" w:rsidRPr="00C9680B" w:rsidRDefault="001C7BF9">
      <w:pPr>
        <w:pStyle w:val="Frslagstext"/>
        <w:ind w:left="0"/>
      </w:pPr>
      <w:r w:rsidRPr="00C9680B">
        <w:t>Riksdagen godkänner vad som framförs i reservation 13 om utökade resea</w:t>
      </w:r>
      <w:r w:rsidRPr="00C9680B">
        <w:t>v</w:t>
      </w:r>
      <w:r w:rsidRPr="00C9680B">
        <w:t>drag och bifaller därmed motion 2000/01:Sk323 yrkande 13 och avslår prop</w:t>
      </w:r>
      <w:r w:rsidRPr="00C9680B">
        <w:t>o</w:t>
      </w:r>
      <w:r w:rsidRPr="00C9680B">
        <w:t xml:space="preserve">sition 2000/01:1 punkt 24 i denna del. </w:t>
      </w:r>
    </w:p>
    <w:p w:rsidR="001C7BF9" w:rsidRPr="00C9680B" w:rsidRDefault="001C7BF9">
      <w:pPr>
        <w:pStyle w:val="Frslagstext"/>
        <w:numPr>
          <w:ilvl w:val="0"/>
          <w:numId w:val="1335"/>
        </w:numPr>
        <w:spacing w:before="125"/>
      </w:pPr>
      <w:r w:rsidRPr="00C9680B">
        <w:rPr>
          <w:i/>
        </w:rPr>
        <w:t>Kapitalvinstbeskattning av bostäder (avsnitt 3.3.7)</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5"/>
        </w:numPr>
        <w:spacing w:before="125"/>
        <w:rPr>
          <w:i/>
        </w:rPr>
      </w:pPr>
      <w:r w:rsidRPr="00C9680B">
        <w:rPr>
          <w:i/>
        </w:rPr>
        <w:t>Beskattning av sjömän (avsnitt 3.3.9)</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5"/>
        </w:numPr>
        <w:spacing w:before="125"/>
        <w:rPr>
          <w:i/>
        </w:rPr>
      </w:pPr>
      <w:r w:rsidRPr="00C9680B">
        <w:rPr>
          <w:i/>
        </w:rPr>
        <w:t>Förändrade avgiftsnivåer för socialavgifterna (avsnitt 3.5)</w:t>
      </w:r>
    </w:p>
    <w:p w:rsidR="001C7BF9" w:rsidRPr="00C9680B" w:rsidRDefault="001C7BF9">
      <w:pPr>
        <w:pStyle w:val="Frslagstext"/>
        <w:ind w:left="0"/>
      </w:pPr>
      <w:r w:rsidRPr="00C9680B">
        <w:t>Riksdagen godkänner vad som framförs i reservation 13 om förändrade a</w:t>
      </w:r>
      <w:r w:rsidRPr="00C9680B">
        <w:t>v</w:t>
      </w:r>
      <w:r w:rsidRPr="00C9680B">
        <w:t xml:space="preserve">giftsnivåer för socialavgifterna. Därmed bifaller riksdagen motionerna 2000/01:Sk323 yrkandena 22–24 och 2000/01:N324 yrkande 6 samt avslår proposition 2000/01:1 punkt 26 i denna del. </w:t>
      </w:r>
    </w:p>
    <w:p w:rsidR="001C7BF9" w:rsidRPr="00C9680B" w:rsidRDefault="001C7BF9">
      <w:pPr>
        <w:pStyle w:val="Frslagstext"/>
        <w:numPr>
          <w:ilvl w:val="0"/>
          <w:numId w:val="1335"/>
        </w:numPr>
        <w:spacing w:before="125"/>
        <w:rPr>
          <w:i/>
        </w:rPr>
      </w:pPr>
      <w:r w:rsidRPr="00C9680B">
        <w:rPr>
          <w:i/>
        </w:rPr>
        <w:t>Fastighetsskatt på bostäder (avsnitt 3.6.1)</w:t>
      </w:r>
    </w:p>
    <w:p w:rsidR="001C7BF9" w:rsidRPr="00C9680B" w:rsidRDefault="001C7BF9">
      <w:pPr>
        <w:pStyle w:val="Frslagstext"/>
        <w:ind w:left="0"/>
      </w:pPr>
      <w:r w:rsidRPr="00C9680B">
        <w:t>Riksdagen godkänner vad som framförs i reservation 13 om sänkt fastighet</w:t>
      </w:r>
      <w:r w:rsidRPr="00C9680B">
        <w:t>s</w:t>
      </w:r>
      <w:r w:rsidRPr="00C9680B">
        <w:t>skatt på bostäder. Därmed bifaller riksdagen motionerna 2000/01:Sk322 yrkande 3 och 2000/01:Sk323 yrkandena 16–21 och 53 samt avslår propos</w:t>
      </w:r>
      <w:r w:rsidRPr="00C9680B">
        <w:t>i</w:t>
      </w:r>
      <w:r w:rsidRPr="00C9680B">
        <w:t xml:space="preserve">tion 2000/01:1 punkt 23 i denna del. </w:t>
      </w:r>
    </w:p>
    <w:p w:rsidR="001C7BF9" w:rsidRPr="00C9680B" w:rsidRDefault="001C7BF9">
      <w:pPr>
        <w:pStyle w:val="Frslagstext"/>
        <w:numPr>
          <w:ilvl w:val="0"/>
          <w:numId w:val="1335"/>
        </w:numPr>
        <w:spacing w:before="125"/>
        <w:rPr>
          <w:i/>
        </w:rPr>
      </w:pPr>
      <w:r w:rsidRPr="00C9680B">
        <w:rPr>
          <w:i/>
        </w:rPr>
        <w:t>Värdering av bostadshyreshus vid 2001 års förmögenhetstaxering (a</w:t>
      </w:r>
      <w:r w:rsidRPr="00C9680B">
        <w:rPr>
          <w:i/>
        </w:rPr>
        <w:t>v</w:t>
      </w:r>
      <w:r w:rsidRPr="00C9680B">
        <w:rPr>
          <w:i/>
        </w:rPr>
        <w:t xml:space="preserve">snitt 3.6.3) </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5"/>
        </w:numPr>
        <w:spacing w:before="125"/>
        <w:rPr>
          <w:i/>
        </w:rPr>
      </w:pPr>
      <w:r w:rsidRPr="00C9680B">
        <w:rPr>
          <w:i/>
        </w:rPr>
        <w:t>Mervärdesskatt på resor (avsnitt 3.7.1)</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5"/>
        </w:numPr>
        <w:spacing w:before="125"/>
        <w:rPr>
          <w:i/>
        </w:rPr>
      </w:pPr>
      <w:r w:rsidRPr="00C9680B">
        <w:rPr>
          <w:i/>
        </w:rPr>
        <w:t xml:space="preserve">Skatt på alkohol och tobak (avsnitt 3.7.3) </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5"/>
        </w:numPr>
        <w:spacing w:before="125"/>
        <w:rPr>
          <w:i/>
        </w:rPr>
      </w:pPr>
      <w:r w:rsidRPr="00C9680B">
        <w:rPr>
          <w:i/>
        </w:rPr>
        <w:t>Förskjutning av skatteuttaget från energiskatt till koldioxidskatt (avsnitt 3.7.4)</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5"/>
        </w:numPr>
        <w:spacing w:before="125"/>
        <w:rPr>
          <w:i/>
        </w:rPr>
      </w:pPr>
      <w:r w:rsidRPr="00C9680B">
        <w:rPr>
          <w:i/>
        </w:rPr>
        <w:t xml:space="preserve">Höjd koldioxidskatt (avsnitt 3.7.5) </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5"/>
        </w:numPr>
        <w:spacing w:before="125"/>
        <w:rPr>
          <w:i/>
        </w:rPr>
      </w:pPr>
      <w:r w:rsidRPr="00C9680B">
        <w:rPr>
          <w:i/>
        </w:rPr>
        <w:t xml:space="preserve">Höjd energiskatt på el (avsnitt 3.7.6) </w:t>
      </w:r>
    </w:p>
    <w:p w:rsidR="001C7BF9" w:rsidRPr="00C9680B" w:rsidRDefault="001C7BF9">
      <w:pPr>
        <w:pStyle w:val="Frslagstext"/>
        <w:ind w:left="0"/>
      </w:pPr>
      <w:r w:rsidRPr="00C9680B">
        <w:t>Riksdagen godkänner vad som framförs i reservation 13 om höjd energiskatt på el. Därmed bifaller riksdagen motion 2000/01:Sk323 yrkande 49 och a</w:t>
      </w:r>
      <w:r w:rsidRPr="00C9680B">
        <w:t>v</w:t>
      </w:r>
      <w:r w:rsidRPr="00C9680B">
        <w:t xml:space="preserve">slår proposition 2000/01:1 punkt 34 i denna del. </w:t>
      </w:r>
    </w:p>
    <w:p w:rsidR="001C7BF9" w:rsidRPr="00C9680B" w:rsidRDefault="001C7BF9">
      <w:pPr>
        <w:pStyle w:val="Frslagstext"/>
        <w:numPr>
          <w:ilvl w:val="0"/>
          <w:numId w:val="1335"/>
        </w:numPr>
        <w:spacing w:before="125"/>
        <w:rPr>
          <w:i/>
        </w:rPr>
      </w:pPr>
      <w:r w:rsidRPr="00C9680B">
        <w:rPr>
          <w:i/>
        </w:rPr>
        <w:t xml:space="preserve">Beskattning av drivmedel (avsnitt 3.7.8) </w:t>
      </w:r>
    </w:p>
    <w:p w:rsidR="001C7BF9" w:rsidRPr="00C9680B" w:rsidRDefault="001C7BF9">
      <w:pPr>
        <w:pStyle w:val="Frslagstext"/>
        <w:ind w:left="0"/>
      </w:pPr>
      <w:r w:rsidRPr="00C9680B">
        <w:t xml:space="preserve">Riksdagen godkänner vad som framförs i reservation 13 om en höjning av energiskatten på dieselolja. Därmed bifaller riksdagen motionerna 2000/01:Sk323 yrkandena 31–33 och 2000/01:T212 yrkande 8 samt avslår proposition 2000/01:1 punkt 34 i denna del. </w:t>
      </w:r>
    </w:p>
    <w:p w:rsidR="001C7BF9" w:rsidRPr="00C9680B" w:rsidRDefault="001C7BF9">
      <w:pPr>
        <w:pStyle w:val="Frslagstext"/>
        <w:numPr>
          <w:ilvl w:val="0"/>
          <w:numId w:val="1335"/>
        </w:numPr>
        <w:spacing w:before="125"/>
        <w:rPr>
          <w:i/>
        </w:rPr>
      </w:pPr>
      <w:r w:rsidRPr="00C9680B">
        <w:rPr>
          <w:i/>
        </w:rPr>
        <w:t>Indexering av energi- och koldioxidskatt (avsnitt 3.7.9)</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5"/>
        </w:numPr>
        <w:spacing w:before="125"/>
        <w:rPr>
          <w:i/>
        </w:rPr>
      </w:pPr>
      <w:r w:rsidRPr="00C9680B">
        <w:rPr>
          <w:i/>
        </w:rPr>
        <w:t>Kalk- och cementindustrin (avsnitt 3.7.10)</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5"/>
        </w:numPr>
        <w:spacing w:before="125"/>
        <w:rPr>
          <w:i/>
        </w:rPr>
      </w:pPr>
      <w:r w:rsidRPr="00C9680B">
        <w:rPr>
          <w:i/>
        </w:rPr>
        <w:br w:type="page"/>
        <w:t xml:space="preserve">Fordonsskatt och försäljningsskatt (avsnitt 3.7.13) </w:t>
      </w:r>
    </w:p>
    <w:p w:rsidR="001C7BF9" w:rsidRPr="00C9680B" w:rsidRDefault="001C7BF9">
      <w:pPr>
        <w:pStyle w:val="Frslagstext"/>
        <w:ind w:left="0"/>
      </w:pPr>
      <w:r w:rsidRPr="00C9680B">
        <w:t xml:space="preserve">Riksdagen godkänner vad som framförs i reservation 13 om fordonsskatten och försäljningsskatten. Därmed bifaller riksdagen motion 2000/01:Sk323 yrkande 51 och avslår proposition 2000/01:1 punkterna 35 och 36, båda i denna del. </w:t>
      </w:r>
    </w:p>
    <w:p w:rsidR="001C7BF9" w:rsidRPr="00C9680B" w:rsidRDefault="001C7BF9">
      <w:pPr>
        <w:pStyle w:val="Frslagstext"/>
        <w:numPr>
          <w:ilvl w:val="0"/>
          <w:numId w:val="1335"/>
        </w:numPr>
        <w:spacing w:before="125"/>
        <w:rPr>
          <w:i/>
        </w:rPr>
      </w:pPr>
      <w:r w:rsidRPr="00C9680B">
        <w:rPr>
          <w:i/>
        </w:rPr>
        <w:t xml:space="preserve">Beräkningen av statsbudgetens inkomster för budgetåret 2001 (avsnitt 3.8) </w:t>
      </w:r>
    </w:p>
    <w:p w:rsidR="001C7BF9" w:rsidRPr="00C9680B" w:rsidRDefault="001C7BF9">
      <w:pPr>
        <w:pStyle w:val="Frslagstext"/>
        <w:ind w:left="0"/>
      </w:pPr>
      <w:r w:rsidRPr="00C9680B">
        <w:t xml:space="preserve">Riksdagen godkänner beräkningen av statsbudgetens inkomster för budgetåret 2001 enligt det med reservation 13 (kd) betecknade förslaget i den </w:t>
      </w:r>
      <w:r w:rsidRPr="00C9680B">
        <w:rPr>
          <w:i/>
        </w:rPr>
        <w:t>samma</w:t>
      </w:r>
      <w:r w:rsidRPr="00C9680B">
        <w:rPr>
          <w:i/>
        </w:rPr>
        <w:t>n</w:t>
      </w:r>
      <w:r w:rsidRPr="00C9680B">
        <w:rPr>
          <w:i/>
        </w:rPr>
        <w:t>ställning över statsbudgetens utgifter och inkomster</w:t>
      </w:r>
      <w:r w:rsidRPr="00C9680B">
        <w:t xml:space="preserve"> som följer efter utskottets förslag till riksdagsbeslut. Därmed bifaller riksdagen motionerna 2000/01:Fi209 yrkande 5 och 2000/01:Sk323 yrkande 1 samt avslår propos</w:t>
      </w:r>
      <w:r w:rsidRPr="00C9680B">
        <w:t>i</w:t>
      </w:r>
      <w:r w:rsidRPr="00C9680B">
        <w:t xml:space="preserve">tion 2000/01:1 punkt 7. </w:t>
      </w:r>
    </w:p>
    <w:p w:rsidR="001C7BF9" w:rsidRPr="00C9680B" w:rsidRDefault="001C7BF9">
      <w:pPr>
        <w:pStyle w:val="Frslagstext"/>
        <w:numPr>
          <w:ilvl w:val="0"/>
          <w:numId w:val="1335"/>
        </w:numPr>
        <w:spacing w:before="125"/>
        <w:rPr>
          <w:i/>
        </w:rPr>
      </w:pPr>
      <w:r w:rsidRPr="00C9680B">
        <w:rPr>
          <w:i/>
        </w:rPr>
        <w:t>Motionsyrkanden om budgetförslagen för år 2001</w:t>
      </w:r>
    </w:p>
    <w:p w:rsidR="001C7BF9" w:rsidRPr="00C9680B" w:rsidRDefault="001C7BF9">
      <w:pPr>
        <w:pStyle w:val="Frslagstext"/>
        <w:ind w:left="0"/>
      </w:pPr>
      <w:r w:rsidRPr="00C9680B">
        <w:t xml:space="preserve">Riksdagen tillkännager för regeringen som sin mening vad som framförs i reservation 13 om skattepolitikens inriktning, pensionssparande, beskattning av yrkesfiskare, hushållsnära tjänster, skatt på royalty, inkomst av kapital, företagsbeskattning, löneskatt på vinstandelar, förmögenhetsbeskattning och jordbrukets beskattning.  </w:t>
      </w:r>
    </w:p>
    <w:p w:rsidR="001C7BF9" w:rsidRPr="00C9680B" w:rsidRDefault="001C7BF9">
      <w:pPr>
        <w:pStyle w:val="Normaltindrag"/>
      </w:pPr>
      <w:r w:rsidRPr="00C9680B">
        <w:t>Riksdagen bifaller därmed motionerna 2000/01:Fi209 yrkande 12, 2000/01:Sk322 yrkande 5, 2000/01:Sk323 yrkandena 2–7, 25–29, 34–43, 46, 47 och 52 samt 2000/01:MJ243 yrkande 16 samt avslår övriga motionsyrka</w:t>
      </w:r>
      <w:r w:rsidRPr="00C9680B">
        <w:t>n</w:t>
      </w:r>
      <w:r w:rsidRPr="00C9680B">
        <w:t xml:space="preserve">den som finns upptagna i den </w:t>
      </w:r>
      <w:r w:rsidRPr="00C9680B">
        <w:rPr>
          <w:i/>
        </w:rPr>
        <w:t>förteckning över av utskottet i punkt 5 avstyrkta motionsyrkanden</w:t>
      </w:r>
      <w:r w:rsidRPr="00C9680B">
        <w:t xml:space="preserve"> som följer efter utsko</w:t>
      </w:r>
      <w:r w:rsidRPr="00C9680B">
        <w:t>t</w:t>
      </w:r>
      <w:r w:rsidRPr="00C9680B">
        <w:t xml:space="preserve">tets förslag till riksdagsbeslut.   </w:t>
      </w:r>
    </w:p>
    <w:p w:rsidR="001C7BF9" w:rsidRPr="00C9680B" w:rsidRDefault="001C7BF9">
      <w:pPr>
        <w:pStyle w:val="Rubrik4"/>
        <w:rPr>
          <w:noProof w:val="0"/>
        </w:rPr>
      </w:pPr>
      <w:bookmarkStart w:id="731" w:name="_Toc498910931"/>
      <w:r w:rsidRPr="00C9680B">
        <w:rPr>
          <w:noProof w:val="0"/>
        </w:rPr>
        <w:t>Ställningstagande</w:t>
      </w:r>
      <w:bookmarkEnd w:id="731"/>
      <w:r w:rsidRPr="00C9680B">
        <w:rPr>
          <w:noProof w:val="0"/>
        </w:rPr>
        <w:t xml:space="preserve"> </w:t>
      </w:r>
    </w:p>
    <w:p w:rsidR="001C7BF9" w:rsidRPr="00C9680B" w:rsidRDefault="001C7BF9">
      <w:pPr>
        <w:pStyle w:val="R2"/>
        <w:spacing w:before="125"/>
        <w:outlineLvl w:val="0"/>
      </w:pPr>
      <w:r w:rsidRPr="00C9680B">
        <w:t>Budgetpolitikens allmänna inriktning</w:t>
      </w:r>
    </w:p>
    <w:p w:rsidR="001C7BF9" w:rsidRPr="00C9680B" w:rsidRDefault="001C7BF9">
      <w:r w:rsidRPr="00C9680B">
        <w:t>Vårt budgetalternativ tar sikte på att långsiktigt förbättra Sveriges tillväxtfö</w:t>
      </w:r>
      <w:r w:rsidRPr="00C9680B">
        <w:t>r</w:t>
      </w:r>
      <w:r w:rsidRPr="00C9680B">
        <w:t>utsättningar genom strukturella reformer och strategiska skattesänkningar på arbete, sparande och företagande. Stabila och goda villkor för fler och växa</w:t>
      </w:r>
      <w:r w:rsidRPr="00C9680B">
        <w:t>n</w:t>
      </w:r>
      <w:r w:rsidRPr="00C9680B">
        <w:t>de företag kan då öka sysselsättningen, minska arbetslösheten och trygga välfärden. Vi förespråkar en balanserad finanspolitik i kombination med strukturella åtgärder som förbättrar ekonomins funktionssätt och avlägsnar de mekanismer som i mer än 25 år underminerat den svenska ekonomins u</w:t>
      </w:r>
      <w:r w:rsidRPr="00C9680B">
        <w:t>t</w:t>
      </w:r>
      <w:r w:rsidRPr="00C9680B">
        <w:t xml:space="preserve">vecklingskraft och bäddat för dagens höga arbetslöshet och brister </w:t>
      </w:r>
      <w:r w:rsidRPr="00C9680B">
        <w:t>i välfärden. Vi anser att det som anförts i Kristdemokraternas motion Fi209 om ett antal särskilt prioriterade områden bör styra inriktningen av budgetpolit</w:t>
      </w:r>
      <w:r w:rsidRPr="00C9680B">
        <w:t>i</w:t>
      </w:r>
      <w:r w:rsidRPr="00C9680B">
        <w:t>ken.</w:t>
      </w:r>
    </w:p>
    <w:p w:rsidR="001C7BF9" w:rsidRPr="00C9680B" w:rsidRDefault="001C7BF9">
      <w:pPr>
        <w:pStyle w:val="Normaltindrag"/>
      </w:pPr>
      <w:r w:rsidRPr="00C9680B">
        <w:t>Skatterna i vanliga inkomstlägen bör sänkas kraftigt för att göra det möjligt för flera att leva på sin lön och för att underlätta lönebildningen. Barnfami</w:t>
      </w:r>
      <w:r w:rsidRPr="00C9680B">
        <w:t>l</w:t>
      </w:r>
      <w:r w:rsidRPr="00C9680B">
        <w:t>jernas och pensionärernas ekonomiska situation bör förbättras. Inom ko</w:t>
      </w:r>
      <w:r w:rsidRPr="00C9680B">
        <w:t>m</w:t>
      </w:r>
      <w:r w:rsidRPr="00C9680B">
        <w:t>munsektorn bör vidare vården, omsorgen och skolan ges bättre förutsättnin</w:t>
      </w:r>
      <w:r w:rsidRPr="00C9680B">
        <w:t>g</w:t>
      </w:r>
      <w:r w:rsidRPr="00C9680B">
        <w:t>ar. Samtidigt är det viktigt att slå fast att rättssamhället måste återupprättas. De svenska väg- och järnvägsnäten behöver rustas upp. Den bristfälliga och direkt felaktiga politik som på dessa områden förs av den socialdemokratiska regeringen måste enligt vår uppfattning snarast rättas till.</w:t>
      </w:r>
    </w:p>
    <w:p w:rsidR="001C7BF9" w:rsidRPr="00C9680B" w:rsidRDefault="001C7BF9">
      <w:pPr>
        <w:pStyle w:val="Normaltindrag"/>
      </w:pPr>
      <w:r w:rsidRPr="00C9680B">
        <w:t>Den statliga budgetpolitiken måste inriktas på att få till stånd ett bä</w:t>
      </w:r>
      <w:r w:rsidRPr="00C9680B">
        <w:t>ttre f</w:t>
      </w:r>
      <w:r w:rsidRPr="00C9680B">
        <w:t>i</w:t>
      </w:r>
      <w:r w:rsidRPr="00C9680B">
        <w:t>nansiellt sparande och en snabbare avbetalning av statsskulden. Detta bör åstadkommas genom en något stramare finanspolitik och genom en snabbare försäljning av statliga företag. Vi föreslår att nuvarande mål för budgetpolit</w:t>
      </w:r>
      <w:r w:rsidRPr="00C9680B">
        <w:t>i</w:t>
      </w:r>
      <w:r w:rsidRPr="00C9680B">
        <w:t>ken kompletteras med ett mål om att statens finansiella sparande skall vara i balans över en konjunkturcykel. I kombination med våra förslag till struktu</w:t>
      </w:r>
      <w:r w:rsidRPr="00C9680B">
        <w:t>r</w:t>
      </w:r>
      <w:r w:rsidRPr="00C9680B">
        <w:t>reformer och strategiska skattesänkningar kommer därmed vårt budgetalte</w:t>
      </w:r>
      <w:r w:rsidRPr="00C9680B">
        <w:t>r</w:t>
      </w:r>
      <w:r w:rsidRPr="00C9680B">
        <w:t>nativ att innebära mindre konjunkturkänsliga statsfina</w:t>
      </w:r>
      <w:r w:rsidRPr="00C9680B">
        <w:t>nser och bättre långsi</w:t>
      </w:r>
      <w:r w:rsidRPr="00C9680B">
        <w:t>k</w:t>
      </w:r>
      <w:r w:rsidRPr="00C9680B">
        <w:t xml:space="preserve">tiga tillväxtförutsättningar. </w:t>
      </w:r>
    </w:p>
    <w:p w:rsidR="001C7BF9" w:rsidRPr="00C9680B" w:rsidRDefault="001C7BF9">
      <w:pPr>
        <w:pStyle w:val="Normaltindrag"/>
      </w:pPr>
      <w:r w:rsidRPr="00C9680B">
        <w:t>Därefter övergår vi till de sju områden  som vi anser skall vara särskilt pr</w:t>
      </w:r>
      <w:r w:rsidRPr="00C9680B">
        <w:t>i</w:t>
      </w:r>
      <w:r w:rsidRPr="00C9680B">
        <w:t>oriterade.</w:t>
      </w:r>
    </w:p>
    <w:p w:rsidR="001C7BF9" w:rsidRPr="00C9680B" w:rsidRDefault="001C7BF9">
      <w:pPr>
        <w:pStyle w:val="R2"/>
        <w:outlineLvl w:val="0"/>
      </w:pPr>
      <w:r w:rsidRPr="00C9680B">
        <w:t>Tillväxtpolitik</w:t>
      </w:r>
    </w:p>
    <w:p w:rsidR="001C7BF9" w:rsidRPr="00C9680B" w:rsidRDefault="001C7BF9">
      <w:r w:rsidRPr="00C9680B">
        <w:t>Den tillväxtpolitik som vi förespråkar karakteriseras av en balanserad finan</w:t>
      </w:r>
      <w:r w:rsidRPr="00C9680B">
        <w:t>s</w:t>
      </w:r>
      <w:r w:rsidRPr="00C9680B">
        <w:t>politik i kombination med strukturella åtgärder som förbättrar ekonomins funktionssätt. Bland de viktigaste av dessa åtgärder med strukturella effekter märks en kraftig sänkning av skatten i vanliga inkomstlägen. Detta bidrar i första hand till att fler kan klara sig på sin egen lön, men det medför också den strukturellt viktiga effekten att kommande lönebildning underlättas. Från 2001 föreslår vi även en statlig skattereduktion för inkomst av lönearbete.</w:t>
      </w:r>
    </w:p>
    <w:p w:rsidR="001C7BF9" w:rsidRPr="00C9680B" w:rsidRDefault="001C7BF9">
      <w:pPr>
        <w:pStyle w:val="Normaltindrag"/>
      </w:pPr>
      <w:r w:rsidRPr="00C9680B">
        <w:t xml:space="preserve">Vidare bör tjänstesektorn ges helt nya möjligheter </w:t>
      </w:r>
      <w:r w:rsidRPr="00C9680B">
        <w:t>att växa genom en 50-procentig skattereduktion för de privata hushållens köp av tjänster i det egna hemmet. Därutöver bör bl.a. arbetsgivaravgifterna sänkas med 10 procente</w:t>
      </w:r>
      <w:r w:rsidRPr="00C9680B">
        <w:t>n</w:t>
      </w:r>
      <w:r w:rsidRPr="00C9680B">
        <w:t xml:space="preserve">heter på lönesummor upp till 900 000 kr per år från år 2002. </w:t>
      </w:r>
    </w:p>
    <w:p w:rsidR="001C7BF9" w:rsidRPr="00C9680B" w:rsidRDefault="001C7BF9">
      <w:pPr>
        <w:pStyle w:val="R2"/>
        <w:outlineLvl w:val="0"/>
      </w:pPr>
      <w:r w:rsidRPr="00C9680B">
        <w:t>Skattepolitik</w:t>
      </w:r>
    </w:p>
    <w:p w:rsidR="001C7BF9" w:rsidRPr="00C9680B" w:rsidRDefault="001C7BF9">
      <w:r w:rsidRPr="00C9680B">
        <w:t>Vi ser det som en viktig uppgift att skapa en skattestruktur som gör att fler kan klara sig på sin egen lön och inte tvingas vara beroende av bidrag för att få hushållsekonomin att gå ihop. Därför föreslår vi en rad åtgärder som gör att inkomsttagare får förbättrade möjligheter att påverka och ta kontroll över sin egen ekonomiska situation.</w:t>
      </w:r>
    </w:p>
    <w:p w:rsidR="001C7BF9" w:rsidRPr="00C9680B" w:rsidRDefault="001C7BF9">
      <w:pPr>
        <w:pStyle w:val="Normaltindrag"/>
      </w:pPr>
      <w:r w:rsidRPr="00C9680B">
        <w:t>Den beloppsmässigt mest betydande åtgärden som bör genomföras är ett kraftigt höjt grundavdrag i den kommunala beskattningen. Grundavdraget vid beräkningen av den statliga och kommunala inkomstskatten bör nästa år höjas till 20 000 kr. Detta innebär att inkomstskatten sänks för alla med sammanlagt 17 miljarder kronor. Effekten blir en skattesänkning med ca 250 kr per m</w:t>
      </w:r>
      <w:r w:rsidRPr="00C9680B">
        <w:t>å</w:t>
      </w:r>
      <w:r w:rsidRPr="00C9680B">
        <w:t xml:space="preserve">nad, eller drygt 3 000 kr per år. </w:t>
      </w:r>
    </w:p>
    <w:p w:rsidR="001C7BF9" w:rsidRPr="00C9680B" w:rsidRDefault="001C7BF9">
      <w:pPr>
        <w:pStyle w:val="Normaltindrag"/>
      </w:pPr>
      <w:r w:rsidRPr="00C9680B">
        <w:t>Vi föreslår också en fördubblad skattereduktion för låginkomsttagare på totalt 2 460 kr per år på pensionsgru</w:t>
      </w:r>
      <w:r w:rsidRPr="00C9680B">
        <w:t>n</w:t>
      </w:r>
      <w:r w:rsidRPr="00C9680B">
        <w:t xml:space="preserve">dande inkomst. </w:t>
      </w:r>
    </w:p>
    <w:p w:rsidR="001C7BF9" w:rsidRPr="00C9680B" w:rsidRDefault="001C7BF9">
      <w:pPr>
        <w:pStyle w:val="Normaltindrag"/>
      </w:pPr>
      <w:r w:rsidRPr="00C9680B">
        <w:t>Vi föreslår även, i stället för regeringens förslag om kompensation för pe</w:t>
      </w:r>
      <w:r w:rsidRPr="00C9680B">
        <w:t>n</w:t>
      </w:r>
      <w:r w:rsidRPr="00C9680B">
        <w:t>sionsavgiften, ett generellt statligt förvärvsavdrag på 6,15 %. Därigenom ges hushållen ökat ekonomiskt utrymme samtidigt som marginaleffekterna min</w:t>
      </w:r>
      <w:r w:rsidRPr="00C9680B">
        <w:t>s</w:t>
      </w:r>
      <w:r w:rsidRPr="00C9680B">
        <w:t>kas avsevärt.</w:t>
      </w:r>
    </w:p>
    <w:p w:rsidR="001C7BF9" w:rsidRPr="00C9680B" w:rsidRDefault="001C7BF9">
      <w:pPr>
        <w:pStyle w:val="Normaltindrag"/>
      </w:pPr>
      <w:r w:rsidRPr="00C9680B">
        <w:t>Fastighetsskatten har genom sin utformning orimliga effekter, inte minst för människor med låga inkomster. Uppräkningen av taxeringsvärdena inn</w:t>
      </w:r>
      <w:r w:rsidRPr="00C9680B">
        <w:t>e</w:t>
      </w:r>
      <w:r w:rsidRPr="00C9680B">
        <w:t>bär dessutom för många en höjning av förmögenhetsskatten. Vi föreslår dä</w:t>
      </w:r>
      <w:r w:rsidRPr="00C9680B">
        <w:t>r</w:t>
      </w:r>
      <w:r w:rsidRPr="00C9680B">
        <w:t>för en varaktig frysning av taxeringsvärdena samt att fastighetsskatten på hyreshus och egna hem sänks till 1,2 % från 2001.</w:t>
      </w:r>
    </w:p>
    <w:p w:rsidR="001C7BF9" w:rsidRPr="00C9680B" w:rsidRDefault="001C7BF9">
      <w:pPr>
        <w:pStyle w:val="Normaltindrag"/>
      </w:pPr>
      <w:r w:rsidRPr="00C9680B">
        <w:t>Andra åtgärder som bör vidtas är att förbättra de skattemässiga villkoren för hushållen att spara dels genom en höjd avdragsrätt för pensionssparande, dels genom en avdragsrätt för sparande på individuella utbildningsko</w:t>
      </w:r>
      <w:r w:rsidRPr="00C9680B">
        <w:t>n</w:t>
      </w:r>
      <w:r w:rsidRPr="00C9680B">
        <w:t>ton.</w:t>
      </w:r>
    </w:p>
    <w:p w:rsidR="001C7BF9" w:rsidRPr="00C9680B" w:rsidRDefault="001C7BF9">
      <w:pPr>
        <w:pStyle w:val="Normaltindrag"/>
      </w:pPr>
      <w:r w:rsidRPr="00C9680B">
        <w:t>Gränsen för reseavdraget för resor till och från jobbet bör också sänkas från dagens 7 000 till 5 000 kr.</w:t>
      </w:r>
    </w:p>
    <w:p w:rsidR="001C7BF9" w:rsidRPr="00C9680B" w:rsidRDefault="001C7BF9">
      <w:pPr>
        <w:pStyle w:val="R2"/>
        <w:outlineLvl w:val="0"/>
      </w:pPr>
      <w:r w:rsidRPr="00C9680B">
        <w:t>En reformerad familjepolitik</w:t>
      </w:r>
    </w:p>
    <w:p w:rsidR="001C7BF9" w:rsidRPr="00C9680B" w:rsidRDefault="001C7BF9">
      <w:r w:rsidRPr="00C9680B">
        <w:t xml:space="preserve">En reformerad familjepolitik bör enligt vår mening handla både om synen på familjens ställning och uppgifter i samhället, och om utformningen av det offentliga familjestödet. Det gäller att hitta sådana modeller för valfrihet och mångfald som skapar de bästa förutsättningarna för föräldrarna och barnen. Genom att styra alla resurser till ett fåtal barnomsorgsformer har staten i praktiken tagit över beslut som familjerna själva borde fatta. </w:t>
      </w:r>
    </w:p>
    <w:p w:rsidR="001C7BF9" w:rsidRPr="00C9680B" w:rsidRDefault="001C7BF9">
      <w:pPr>
        <w:pStyle w:val="Normaltindrag"/>
      </w:pPr>
      <w:r w:rsidRPr="00C9680B">
        <w:t>Det familjepolitiska system som byggts upp genom åren har flera brister från såväl valfrihets- som fördelningspolitisk synvinkel. Fördelningspolitiskt därför att barnomsorgssubventionerna i stor utsträckning tillfaller redan r</w:t>
      </w:r>
      <w:r w:rsidRPr="00C9680B">
        <w:t>e</w:t>
      </w:r>
      <w:r w:rsidRPr="00C9680B">
        <w:t>sursstarka hushåll. Vi avvisar regeringens planer på en maxtaxa inom den kommunala barnomsorgen och presenterar i en särskild motion tillsammans med Moderaterna, Centerpartiet och Folkpartiet ett gemensamt alternativ.</w:t>
      </w:r>
    </w:p>
    <w:p w:rsidR="001C7BF9" w:rsidRPr="00C9680B" w:rsidRDefault="001C7BF9">
      <w:pPr>
        <w:pStyle w:val="Normaltindrag"/>
      </w:pPr>
      <w:r w:rsidRPr="00C9680B">
        <w:t>Vi föreslår förändringar på familjeområdet, som bl.a. innebär att ett bar</w:t>
      </w:r>
      <w:r w:rsidRPr="00C9680B">
        <w:t>n</w:t>
      </w:r>
      <w:r w:rsidRPr="00C9680B">
        <w:t>omsorgskonto på totalt 40 000 kr per barn som fyllt ett år införs den 1 januari 2002. Styrka barnomsorgskostnader upp till 50 000 kr per år görs avdragsgilla och garantinivån i föräldraförsäkringen höjs från dagens 60 kr till 150 kr per dag. Barnbidraget höjs till 925 kr per barn och månad, förbättringar geno</w:t>
      </w:r>
      <w:r w:rsidRPr="00C9680B">
        <w:t>m</w:t>
      </w:r>
      <w:r w:rsidRPr="00C9680B">
        <w:t>förs i bostadsbidraget för att gynna de sämst ställda barnfamiljerna. Vi vill också införa en statlig skattereduktion för alla barn upptill 16 år. Reduktionen föreslås uppgå till 50 kr per barn och må</w:t>
      </w:r>
      <w:r w:rsidRPr="00C9680B">
        <w:t>nad år 2001 för att därefter höjas till 100 kr och 150 kr år 2002 respektive 2003.</w:t>
      </w:r>
    </w:p>
    <w:p w:rsidR="001C7BF9" w:rsidRPr="00C9680B" w:rsidRDefault="001C7BF9">
      <w:pPr>
        <w:pStyle w:val="R2"/>
        <w:outlineLvl w:val="0"/>
      </w:pPr>
      <w:r w:rsidRPr="00C9680B">
        <w:t>Bättre pensioner</w:t>
      </w:r>
    </w:p>
    <w:p w:rsidR="001C7BF9" w:rsidRPr="00C9680B" w:rsidRDefault="001C7BF9">
      <w:r w:rsidRPr="00C9680B">
        <w:t>Vi vill kraftigt understryka att det behövs bättre politik för pensionärerna. Regeringens okänsliga budgetsanering har drabbat många pensionärer hårt genom nedskärningarna och bristerna inom äldrevården samt de växande vårdköerna. Kristdemokraternas budgetalternativ innehåller bl.a. reformer som innebär en satsning på rättvisa och bättre ekonomisk situation för pe</w:t>
      </w:r>
      <w:r w:rsidRPr="00C9680B">
        <w:t>n</w:t>
      </w:r>
      <w:r w:rsidRPr="00C9680B">
        <w:t xml:space="preserve">sionärer. Vi vill således höja pensionstillskottet med 200 kr/månad under 2001 och 2002. Detta gynnar alla som har låg eller ingen ATP. </w:t>
      </w:r>
    </w:p>
    <w:p w:rsidR="001C7BF9" w:rsidRPr="00C9680B" w:rsidRDefault="001C7BF9">
      <w:pPr>
        <w:pStyle w:val="Normaltindrag"/>
      </w:pPr>
      <w:r w:rsidRPr="00C9680B">
        <w:t>År 2003 träder det nya pensionssystemet i kraft vad gäller den nya garant</w:t>
      </w:r>
      <w:r w:rsidRPr="00C9680B">
        <w:t>i</w:t>
      </w:r>
      <w:r w:rsidRPr="00C9680B">
        <w:t>pensionen, som är högre än dagens folkpension och pensionstillskott. Från och med 2003 kommer i stället det höjda grundavdrag som vi tidigare föro</w:t>
      </w:r>
      <w:r w:rsidRPr="00C9680B">
        <w:t>r</w:t>
      </w:r>
      <w:r w:rsidRPr="00C9680B">
        <w:t>dat att, till följd av pensionsreformen, omfatta hela pensionärskollektivet, vilket gör att även de pensionärer som har lägst pension kommer att få sänkt skatt. Ungefär 1,3 miljoner pensionärer kommer därmed att få sänkt skatt till följd av denna förändring under 2001.</w:t>
      </w:r>
    </w:p>
    <w:p w:rsidR="001C7BF9" w:rsidRPr="00C9680B" w:rsidRDefault="001C7BF9">
      <w:pPr>
        <w:pStyle w:val="Normaltindrag"/>
      </w:pPr>
      <w:r w:rsidRPr="00C9680B">
        <w:t>Vi menar vidare att hela inkomstprövningen av änkepensionen bör slopas och att inkomstprövning</w:t>
      </w:r>
      <w:r w:rsidRPr="00C9680B">
        <w:t>en av bostadstillägget för pensionärer inte skall inn</w:t>
      </w:r>
      <w:r w:rsidRPr="00C9680B">
        <w:t>e</w:t>
      </w:r>
      <w:r w:rsidRPr="00C9680B">
        <w:t>hålla fritidsfastigheter. Omställningspensionen för efterlevande skall återstä</w:t>
      </w:r>
      <w:r w:rsidRPr="00C9680B">
        <w:t>l</w:t>
      </w:r>
      <w:r w:rsidRPr="00C9680B">
        <w:t xml:space="preserve">las från 6 till 12 månader. </w:t>
      </w:r>
    </w:p>
    <w:p w:rsidR="001C7BF9" w:rsidRPr="00C9680B" w:rsidRDefault="001C7BF9">
      <w:pPr>
        <w:pStyle w:val="R2"/>
        <w:outlineLvl w:val="0"/>
      </w:pPr>
      <w:r w:rsidRPr="00C9680B">
        <w:t>Vården, omsorgen och skolan</w:t>
      </w:r>
    </w:p>
    <w:p w:rsidR="001C7BF9" w:rsidRPr="00C9680B" w:rsidRDefault="001C7BF9">
      <w:r w:rsidRPr="00C9680B">
        <w:t>För att uppnå värdiga villkor inom vård och omsorg behövs ett resurstillskott till kommunsektorn. De medel som står till kommunsektorns förfogande de närmaste åren räcker inte för att klara varken vårdens direkta behov eller för att möjliggöra för kommunerna att införa någon form av enhetstaxa för äldr</w:t>
      </w:r>
      <w:r w:rsidRPr="00C9680B">
        <w:t>e</w:t>
      </w:r>
      <w:r w:rsidRPr="00C9680B">
        <w:t>omsorgen. Kristdemokraternas förslag innebär att kommuner och landsting kommer att få 3 miljarder kronor i ytterligare resurser jämfört med regerin</w:t>
      </w:r>
      <w:r w:rsidRPr="00C9680B">
        <w:t>g</w:t>
      </w:r>
      <w:r w:rsidRPr="00C9680B">
        <w:t>ens förslag.</w:t>
      </w:r>
    </w:p>
    <w:p w:rsidR="001C7BF9" w:rsidRPr="00C9680B" w:rsidRDefault="001C7BF9">
      <w:pPr>
        <w:pStyle w:val="Normaltindrag"/>
      </w:pPr>
      <w:r w:rsidRPr="00C9680B">
        <w:t>Vi anser att regeringens skolsatsning bör utformas som en höjning av det generella statsbidraget så att kommunerna själva kan bestämma över penga</w:t>
      </w:r>
      <w:r w:rsidRPr="00C9680B">
        <w:t>r</w:t>
      </w:r>
      <w:r w:rsidRPr="00C9680B">
        <w:t>nas användning och att satsningen bör tidigareläggas så att kommunerna redan 2001 får ett rejält resurstillskott.</w:t>
      </w:r>
    </w:p>
    <w:p w:rsidR="001C7BF9" w:rsidRPr="00C9680B" w:rsidRDefault="001C7BF9">
      <w:pPr>
        <w:pStyle w:val="Normaltindrag"/>
      </w:pPr>
      <w:r w:rsidRPr="00C9680B">
        <w:t>Vi anser även att tandvårdsförsäkringen behöver förbättras och att en helt ny rehabiliteringsförsäkring bör införas. Ett särskilt stimulansbidrag inom äldreomsorgen bör inrättas från 2002 för att i första hand förbättra för anh</w:t>
      </w:r>
      <w:r w:rsidRPr="00C9680B">
        <w:t>ö</w:t>
      </w:r>
      <w:r w:rsidRPr="00C9680B">
        <w:t>rigvårdare.</w:t>
      </w:r>
    </w:p>
    <w:p w:rsidR="001C7BF9" w:rsidRPr="00C9680B" w:rsidRDefault="001C7BF9">
      <w:pPr>
        <w:pStyle w:val="Normaltindrag"/>
      </w:pPr>
      <w:r w:rsidRPr="00C9680B">
        <w:t>Utrymme kan även enligt vår mening skapas genom strukturförändringar inom kommunsektorn. Det kan t.ex. gälla utveckling av den offentliga up</w:t>
      </w:r>
      <w:r w:rsidRPr="00C9680B">
        <w:t>p</w:t>
      </w:r>
      <w:r w:rsidRPr="00C9680B">
        <w:t xml:space="preserve">handlingen. Inom vården är vi också öppna för en större mångfald med en offentlig och solidarisk finansiering som grund. </w:t>
      </w:r>
    </w:p>
    <w:p w:rsidR="001C7BF9" w:rsidRPr="00C9680B" w:rsidRDefault="001C7BF9">
      <w:pPr>
        <w:pStyle w:val="R2"/>
        <w:outlineLvl w:val="0"/>
      </w:pPr>
      <w:r w:rsidRPr="00C9680B">
        <w:t>Ett återupprättat rättsväsende</w:t>
      </w:r>
    </w:p>
    <w:p w:rsidR="001C7BF9" w:rsidRPr="00C9680B" w:rsidRDefault="001C7BF9">
      <w:r w:rsidRPr="00C9680B">
        <w:t>En förstärkning av rättsväsendet</w:t>
      </w:r>
      <w:r w:rsidRPr="00C9680B">
        <w:rPr>
          <w:i/>
        </w:rPr>
        <w:t xml:space="preserve"> </w:t>
      </w:r>
      <w:r w:rsidRPr="00C9680B">
        <w:t>är enligt vår uppfattning en prioriterad up</w:t>
      </w:r>
      <w:r w:rsidRPr="00C9680B">
        <w:t>p</w:t>
      </w:r>
      <w:r w:rsidRPr="00C9680B">
        <w:t>gift. Rättsväsendet bör tillföras ytterligare 3,5 miljarder kronor under den kommande treårsperioden. Det bör ske genom att polisväsendet förstärks både vad gäller närpolisverkamheten, polisutbildningen och den internationella insatsstyrkan. Domstolsväsendet och åklagarväsendet tilldelas ytterligare medel. Kriminalvården får också utökade resurser med målsättningen att återanpassa de intagna till ett liv utan brottslighet. Även den brottsföreby</w:t>
      </w:r>
      <w:r w:rsidRPr="00C9680B">
        <w:t>g</w:t>
      </w:r>
      <w:r w:rsidRPr="00C9680B">
        <w:t>gande verksamheten</w:t>
      </w:r>
      <w:r w:rsidRPr="00C9680B">
        <w:t xml:space="preserve"> och stödet till brottsoffer bör förstärkas.</w:t>
      </w:r>
    </w:p>
    <w:p w:rsidR="001C7BF9" w:rsidRPr="00C9680B" w:rsidRDefault="001C7BF9">
      <w:pPr>
        <w:pStyle w:val="R2"/>
        <w:outlineLvl w:val="0"/>
      </w:pPr>
      <w:r w:rsidRPr="00C9680B">
        <w:t>Upprustad infrastruktur</w:t>
      </w:r>
    </w:p>
    <w:p w:rsidR="001C7BF9" w:rsidRPr="00C9680B" w:rsidRDefault="001C7BF9">
      <w:r w:rsidRPr="00C9680B">
        <w:t>Vi föreslår en stor satsning på de snabbt förfallande väg- och järnvägsnäten och avsätter nästan 10 miljarder kronor under de kommande tre åren. De faktiska investeringarna kan dock bli avsevärt större än de anslagna beloppen eftersom en stor del är avsedda för s.k. PPP-projekt (Public Private Partner-</w:t>
      </w:r>
      <w:r w:rsidRPr="00C9680B">
        <w:br/>
      </w:r>
      <w:r w:rsidRPr="00C9680B">
        <w:t>s</w:t>
      </w:r>
      <w:r w:rsidRPr="00C9680B">
        <w:t>hip).</w:t>
      </w:r>
    </w:p>
    <w:p w:rsidR="001C7BF9" w:rsidRPr="00C9680B" w:rsidRDefault="001C7BF9">
      <w:pPr>
        <w:pStyle w:val="Normaltindrag"/>
      </w:pPr>
      <w:r w:rsidRPr="00C9680B">
        <w:t>Vi föreslår också en ökad satsning på banhållning och förordar ett tillfälligt stöd till sjöfarten i avvaktan på det utlovade nya nettostödet från 2002.</w:t>
      </w:r>
    </w:p>
    <w:p w:rsidR="001C7BF9" w:rsidRPr="00C9680B" w:rsidRDefault="001C7BF9">
      <w:pPr>
        <w:pStyle w:val="R2"/>
        <w:outlineLvl w:val="0"/>
      </w:pPr>
      <w:r w:rsidRPr="00C9680B">
        <w:t>Finansiering av förslagen</w:t>
      </w:r>
    </w:p>
    <w:p w:rsidR="001C7BF9" w:rsidRPr="00C9680B" w:rsidRDefault="001C7BF9">
      <w:r w:rsidRPr="00C9680B">
        <w:rPr>
          <w:snapToGrid w:val="0"/>
          <w:lang w:eastAsia="sv-SE"/>
        </w:rPr>
        <w:t>De nya åtagandena samt skattesänkningarna avses bli finansierade genom utgiftsminskningar på brutto 24, 37 respektive 45 miljarder kronor åren 2001–2003, samt att nästan hela de beräkningstekniska överföringsbeloppen tas i anspråk år 2002 och 2003. Därtill avvisas ett antal av regeringens förslag till skattesänkningar. Exempel på utgiftsminskningar är att ytterligare en karen</w:t>
      </w:r>
      <w:r w:rsidRPr="00C9680B">
        <w:rPr>
          <w:snapToGrid w:val="0"/>
          <w:lang w:eastAsia="sv-SE"/>
        </w:rPr>
        <w:t>s</w:t>
      </w:r>
      <w:r w:rsidRPr="00C9680B">
        <w:rPr>
          <w:snapToGrid w:val="0"/>
          <w:lang w:eastAsia="sv-SE"/>
        </w:rPr>
        <w:t>dag införs i sjukförsäkringen, att den sjukpenninggrundande inkomsten b</w:t>
      </w:r>
      <w:r w:rsidRPr="00C9680B">
        <w:rPr>
          <w:snapToGrid w:val="0"/>
          <w:lang w:eastAsia="sv-SE"/>
        </w:rPr>
        <w:t>e</w:t>
      </w:r>
      <w:r w:rsidRPr="00C9680B">
        <w:rPr>
          <w:snapToGrid w:val="0"/>
          <w:lang w:eastAsia="sv-SE"/>
        </w:rPr>
        <w:t>räknas på ett nytt sätt och genom att medlemmarnas egenfinansiering av arbetslöshetsförsäkringen höjs till 33 %. En utbyggd rehabiliteringssatsning förutsätts också bidra till finansieringen, liksom minskade lokala invest</w:t>
      </w:r>
      <w:r w:rsidRPr="00C9680B">
        <w:rPr>
          <w:snapToGrid w:val="0"/>
          <w:lang w:eastAsia="sv-SE"/>
        </w:rPr>
        <w:t>e</w:t>
      </w:r>
      <w:r w:rsidRPr="00C9680B">
        <w:rPr>
          <w:snapToGrid w:val="0"/>
          <w:lang w:eastAsia="sv-SE"/>
        </w:rPr>
        <w:t>ringsbidrag, avskaffande av vissa statliga IT-satsningar, avskaffande av svenskt företagsstöd inom Östersjömiljarden, minskat presstöd och minskade anslag till Regeringskansliet. Vi räknar också med att den av oss för</w:t>
      </w:r>
      <w:r w:rsidRPr="00C9680B">
        <w:rPr>
          <w:snapToGrid w:val="0"/>
          <w:lang w:eastAsia="sv-SE"/>
        </w:rPr>
        <w:t>ordade försäljningen av statliga företag skall leda till minskade utgifter för statsskuldsräntor.</w:t>
      </w:r>
    </w:p>
    <w:p w:rsidR="001C7BF9" w:rsidRPr="00C9680B" w:rsidRDefault="001C7BF9">
      <w:pPr>
        <w:pStyle w:val="Normaltindrag"/>
      </w:pPr>
      <w:r w:rsidRPr="00C9680B">
        <w:t>I följande tabell visas Kristdemokraternas förslag till fördelning på utgift</w:t>
      </w:r>
      <w:r w:rsidRPr="00C9680B">
        <w:t>s</w:t>
      </w:r>
      <w:r w:rsidRPr="00C9680B">
        <w:t xml:space="preserve">områden för 2001. </w:t>
      </w:r>
    </w:p>
    <w:p w:rsidR="001C7BF9" w:rsidRPr="00C9680B" w:rsidRDefault="001C7BF9">
      <w:pPr>
        <w:pStyle w:val="FiU1tabellrubrik2000"/>
        <w:keepNext/>
        <w:keepLines/>
        <w:outlineLvl w:val="0"/>
      </w:pPr>
      <w:r w:rsidRPr="00C9680B">
        <w:rPr>
          <w:snapToGrid w:val="0"/>
          <w:lang w:eastAsia="sv-SE"/>
        </w:rPr>
        <w:t>Tabell. Kristdemokraternas förslag till utgiftsramar m.m. för 2001</w:t>
      </w:r>
    </w:p>
    <w:p w:rsidR="001C7BF9" w:rsidRPr="00C9680B" w:rsidRDefault="001C7BF9">
      <w:pPr>
        <w:pStyle w:val="Tabelltext"/>
        <w:keepNext/>
        <w:keepLines/>
        <w:outlineLvl w:val="0"/>
        <w:rPr>
          <w:sz w:val="14"/>
        </w:rPr>
      </w:pPr>
      <w:r w:rsidRPr="00C9680B">
        <w:rPr>
          <w:snapToGrid w:val="0"/>
          <w:color w:val="000000"/>
          <w:sz w:val="14"/>
          <w:lang w:eastAsia="sv-SE"/>
        </w:rPr>
        <w:t>Belopp i miljoner kronor</w:t>
      </w:r>
    </w:p>
    <w:p w:rsidR="001C7BF9" w:rsidRPr="00C9680B" w:rsidRDefault="001C7BF9">
      <w:pPr>
        <w:pStyle w:val="Tabelltext"/>
        <w:keepNext/>
        <w:keepLines/>
        <w:spacing w:after="40" w:line="190" w:lineRule="exact"/>
        <w:rPr>
          <w:snapToGrid w:val="0"/>
          <w:color w:val="000000"/>
          <w:sz w:val="14"/>
          <w:lang w:eastAsia="sv-SE"/>
        </w:rPr>
      </w:pPr>
      <w:r w:rsidRPr="00C9680B">
        <w:rPr>
          <w:snapToGrid w:val="0"/>
          <w:color w:val="000000"/>
          <w:sz w:val="14"/>
          <w:lang w:eastAsia="sv-SE"/>
        </w:rPr>
        <w:t>Förändring i förhållande till regeringens förslag</w:t>
      </w:r>
    </w:p>
    <w:p w:rsidR="001C7BF9" w:rsidRPr="00C9680B" w:rsidRDefault="00C9680B">
      <w:pPr>
        <w:pStyle w:val="Tabelltext"/>
        <w:keepNext/>
        <w:keepLines/>
        <w:spacing w:after="40" w:line="240" w:lineRule="auto"/>
        <w:rPr>
          <w:snapToGrid w:val="0"/>
          <w:color w:val="000000"/>
          <w:sz w:val="14"/>
          <w:lang w:eastAsia="sv-SE"/>
        </w:rPr>
      </w:pPr>
      <w:r w:rsidRPr="00C9680B">
        <w:rPr>
          <w:noProof/>
          <w:snapToGrid w:val="0"/>
          <w:color w:val="000000"/>
          <w:sz w:val="14"/>
          <w:lang w:eastAsia="sv-SE"/>
        </w:rPr>
        <w:drawing>
          <wp:inline distT="0" distB="0" distL="0" distR="0">
            <wp:extent cx="3782695" cy="5562600"/>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4">
                      <a:extLst>
                        <a:ext uri="{28A0092B-C50C-407E-A947-70E740481C1C}">
                          <a14:useLocalDpi xmlns:a14="http://schemas.microsoft.com/office/drawing/2010/main" val="0"/>
                        </a:ext>
                      </a:extLst>
                    </a:blip>
                    <a:srcRect t="1869"/>
                    <a:stretch>
                      <a:fillRect/>
                    </a:stretch>
                  </pic:blipFill>
                  <pic:spPr bwMode="auto">
                    <a:xfrm>
                      <a:off x="0" y="0"/>
                      <a:ext cx="3782695" cy="5562600"/>
                    </a:xfrm>
                    <a:prstGeom prst="rect">
                      <a:avLst/>
                    </a:prstGeom>
                    <a:noFill/>
                    <a:ln>
                      <a:noFill/>
                    </a:ln>
                  </pic:spPr>
                </pic:pic>
              </a:graphicData>
            </a:graphic>
          </wp:inline>
        </w:drawing>
      </w:r>
    </w:p>
    <w:p w:rsidR="001C7BF9" w:rsidRPr="00C9680B" w:rsidRDefault="001C7BF9">
      <w:r w:rsidRPr="00C9680B">
        <w:t xml:space="preserve">Sammanfattningsvis anser vi alltså att Kristdemokraternas budgetförslag för 2001 bör ligga till grund för budgetpolitiken. Det innebär att vi tillstyrker motionerna Fi209 (kd) yrkandena 2, 3, 5, 6, 8 och 12, Sk322 (kd) yrkandena 3 och 5, Sk323 (kd) yrkandena 1–29, 31–43, 46, 47, 49 och 51–55, T212 (kd) yrkande 8, MJ243 (kd) yrkande 16 och N324 (kd) yrkande 6. </w:t>
      </w:r>
    </w:p>
    <w:p w:rsidR="001C7BF9" w:rsidRPr="00C9680B" w:rsidRDefault="001C7BF9">
      <w:r w:rsidRPr="00C9680B">
        <w:t>Vi avstyrker regeringens förslag i berörda delar liksom de övriga motionsy</w:t>
      </w:r>
      <w:r w:rsidRPr="00C9680B">
        <w:t>r</w:t>
      </w:r>
      <w:r w:rsidRPr="00C9680B">
        <w:t>kanden som är aktuella i detta sammanhang.</w:t>
      </w:r>
    </w:p>
    <w:p w:rsidR="001C7BF9" w:rsidRPr="00C9680B" w:rsidRDefault="001C7BF9">
      <w:pPr>
        <w:pStyle w:val="Reservationspunkt"/>
        <w:rPr>
          <w:noProof w:val="0"/>
        </w:rPr>
      </w:pPr>
      <w:bookmarkStart w:id="732" w:name="_Toc498910932"/>
      <w:r w:rsidRPr="00C9680B">
        <w:rPr>
          <w:noProof w:val="0"/>
        </w:rPr>
        <w:t xml:space="preserve">14. </w:t>
      </w:r>
      <w:r w:rsidRPr="00C9680B">
        <w:rPr>
          <w:noProof w:val="0"/>
        </w:rPr>
        <w:tab/>
        <w:t>Budgetförslagen för år 2001 (punkt 5) (c)</w:t>
      </w:r>
      <w:bookmarkEnd w:id="732"/>
    </w:p>
    <w:p w:rsidR="001C7BF9" w:rsidRPr="00C9680B" w:rsidRDefault="001C7BF9">
      <w:pPr>
        <w:pStyle w:val="Reservanter"/>
      </w:pPr>
      <w:r w:rsidRPr="00C9680B">
        <w:t xml:space="preserve">av Lena Ek (c). </w:t>
      </w:r>
    </w:p>
    <w:p w:rsidR="001C7BF9" w:rsidRPr="00C9680B" w:rsidRDefault="001C7BF9">
      <w:pPr>
        <w:pStyle w:val="R4"/>
      </w:pPr>
      <w:bookmarkStart w:id="733" w:name="_Toc498910933"/>
      <w:r w:rsidRPr="00C9680B">
        <w:t>Förslag till riksdagsbeslut</w:t>
      </w:r>
      <w:bookmarkEnd w:id="733"/>
    </w:p>
    <w:p w:rsidR="001C7BF9" w:rsidRPr="00C9680B" w:rsidRDefault="001C7BF9">
      <w:r w:rsidRPr="00C9680B">
        <w:t xml:space="preserve">Jag anser att förslaget till riksdagsbeslut under punkt 5 borde ha följande lydelse: </w:t>
      </w:r>
    </w:p>
    <w:p w:rsidR="001C7BF9" w:rsidRPr="00C9680B" w:rsidRDefault="001C7BF9">
      <w:pPr>
        <w:pStyle w:val="R4"/>
      </w:pPr>
      <w:r w:rsidRPr="00C9680B">
        <w:t>5. Budgetförslagen för år 2001</w:t>
      </w:r>
    </w:p>
    <w:p w:rsidR="001C7BF9" w:rsidRPr="00C9680B" w:rsidRDefault="001C7BF9">
      <w:pPr>
        <w:pStyle w:val="Frslagstext"/>
        <w:numPr>
          <w:ilvl w:val="0"/>
          <w:numId w:val="1336"/>
        </w:numPr>
        <w:spacing w:before="125"/>
        <w:rPr>
          <w:i/>
        </w:rPr>
      </w:pPr>
      <w:r w:rsidRPr="00C9680B">
        <w:rPr>
          <w:i/>
        </w:rPr>
        <w:t xml:space="preserve">Utgiftstak för staten åren 2001–2003 (avsnitt 2.5.1) </w:t>
      </w:r>
    </w:p>
    <w:p w:rsidR="001C7BF9" w:rsidRPr="00C9680B" w:rsidRDefault="001C7BF9">
      <w:pPr>
        <w:pStyle w:val="Frslagstext"/>
        <w:ind w:left="0"/>
      </w:pPr>
      <w:r w:rsidRPr="00C9680B">
        <w:t xml:space="preserve">Riksdagen fastställer utgiftstaket för staten inklusive ålderspensionssystemet vid sidan av statsbudgeten till 781 miljarder kronor för år 2001, 799 miljarder kronor för år 2002 och 815 miljarder kronor för år 2003. Därmed bifaller riksdagen motion 2000/01:Fi210 yrkande 2 och avslår proposition 2000/01:1 punkt 2. </w:t>
      </w:r>
    </w:p>
    <w:p w:rsidR="001C7BF9" w:rsidRPr="00C9680B" w:rsidRDefault="001C7BF9">
      <w:pPr>
        <w:pStyle w:val="Frslagstext"/>
        <w:numPr>
          <w:ilvl w:val="0"/>
          <w:numId w:val="1336"/>
        </w:numPr>
        <w:spacing w:before="125"/>
        <w:rPr>
          <w:i/>
        </w:rPr>
      </w:pPr>
      <w:r w:rsidRPr="00C9680B">
        <w:rPr>
          <w:i/>
        </w:rPr>
        <w:t>Utgiftstak för den offentliga sektorn åren 2001–2003 (avsnitt 2.5.2)</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6"/>
        </w:numPr>
        <w:spacing w:before="125"/>
        <w:rPr>
          <w:i/>
        </w:rPr>
      </w:pPr>
      <w:r w:rsidRPr="00C9680B">
        <w:rPr>
          <w:i/>
        </w:rPr>
        <w:t xml:space="preserve">Fördelning av statens utgifter på utgiftsområden för budgetåret 2001 (avsnitt 2.6) </w:t>
      </w:r>
    </w:p>
    <w:p w:rsidR="001C7BF9" w:rsidRPr="00C9680B" w:rsidRDefault="001C7BF9">
      <w:pPr>
        <w:pStyle w:val="Frslagstext"/>
        <w:ind w:left="0"/>
      </w:pPr>
      <w:r w:rsidRPr="00C9680B">
        <w:t>Riksdagen beslutar om fördelning av utgifterna för budgetåret 2001 på u</w:t>
      </w:r>
      <w:r w:rsidRPr="00C9680B">
        <w:t>t</w:t>
      </w:r>
      <w:r w:rsidRPr="00C9680B">
        <w:t xml:space="preserve">giftsområden enligt det med reservation 14 (c) betecknade förslaget i den </w:t>
      </w:r>
      <w:r w:rsidRPr="00C9680B">
        <w:rPr>
          <w:i/>
        </w:rPr>
        <w:t>sammanställning över statsbudgetens utgifter och inkomster</w:t>
      </w:r>
      <w:r w:rsidRPr="00C9680B">
        <w:t xml:space="preserve"> som följer efter utskottets förslag till beslut. Därmed bifaller riksdagen  motion 2000/01:Fi210 yrkande 4 med viss ändring och avslår proposition 2000/01:1 punkt 8. </w:t>
      </w:r>
    </w:p>
    <w:p w:rsidR="001C7BF9" w:rsidRPr="00C9680B" w:rsidRDefault="001C7BF9">
      <w:pPr>
        <w:pStyle w:val="Frslagstext"/>
        <w:numPr>
          <w:ilvl w:val="0"/>
          <w:numId w:val="1336"/>
        </w:numPr>
        <w:spacing w:before="125"/>
        <w:rPr>
          <w:i/>
        </w:rPr>
      </w:pPr>
      <w:r w:rsidRPr="00C9680B">
        <w:rPr>
          <w:i/>
        </w:rPr>
        <w:t xml:space="preserve">Förändringar av anslagsbehållningar för budgetåret 2001 (avsnitt 2.8) </w:t>
      </w:r>
    </w:p>
    <w:p w:rsidR="001C7BF9" w:rsidRPr="00C9680B" w:rsidRDefault="001C7BF9">
      <w:pPr>
        <w:pStyle w:val="Frslagstext"/>
        <w:ind w:left="0"/>
      </w:pPr>
      <w:r w:rsidRPr="00C9680B">
        <w:t>Riksdagen godkänner den i reservation 14 redovisade beräkningen av förän</w:t>
      </w:r>
      <w:r w:rsidRPr="00C9680B">
        <w:t>d</w:t>
      </w:r>
      <w:r w:rsidRPr="00C9680B">
        <w:t>ringar av anslagsbehållningar för budgetåret 2001. Därmed avslås proposition 2000/01:1 punkt 9.</w:t>
      </w:r>
    </w:p>
    <w:p w:rsidR="001C7BF9" w:rsidRPr="00C9680B" w:rsidRDefault="001C7BF9">
      <w:pPr>
        <w:pStyle w:val="Frslagstext"/>
        <w:numPr>
          <w:ilvl w:val="0"/>
          <w:numId w:val="1336"/>
        </w:numPr>
        <w:spacing w:before="125"/>
        <w:rPr>
          <w:i/>
        </w:rPr>
      </w:pPr>
      <w:r w:rsidRPr="00C9680B">
        <w:rPr>
          <w:i/>
        </w:rPr>
        <w:t>Myndigheternas in- och utlåning i Riksgäldskontoret (avsnitt 2.9)</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6"/>
        </w:numPr>
        <w:spacing w:before="125"/>
        <w:rPr>
          <w:i/>
        </w:rPr>
      </w:pPr>
      <w:r w:rsidRPr="00C9680B">
        <w:rPr>
          <w:i/>
        </w:rPr>
        <w:t xml:space="preserve">Inkomstskatten för år 2001 (avsnitt 3.3.1)  </w:t>
      </w:r>
    </w:p>
    <w:p w:rsidR="001C7BF9" w:rsidRPr="00C9680B" w:rsidRDefault="001C7BF9">
      <w:pPr>
        <w:pStyle w:val="Frslagstext"/>
        <w:ind w:left="0"/>
      </w:pPr>
      <w:r w:rsidRPr="00C9680B">
        <w:t xml:space="preserve">Riksdagen godkänner vad som framförts i reservation 14 om inkomstskatten för år 2001. Därmed bifaller riksdagen motion 2000/01:Sk321 yrkandena 2–6 och avslår proposition 2000/01:1 punkterna 24, 25 och 27–31, alla i denna del.  </w:t>
      </w:r>
    </w:p>
    <w:p w:rsidR="001C7BF9" w:rsidRPr="00C9680B" w:rsidRDefault="001C7BF9">
      <w:pPr>
        <w:pStyle w:val="Frslagstext"/>
        <w:numPr>
          <w:ilvl w:val="0"/>
          <w:numId w:val="1336"/>
        </w:numPr>
        <w:spacing w:before="125"/>
        <w:rPr>
          <w:i/>
        </w:rPr>
      </w:pPr>
      <w:r w:rsidRPr="00C9680B">
        <w:rPr>
          <w:i/>
        </w:rPr>
        <w:t xml:space="preserve">Utökade reseavdrag (avsnitt 3.3.2) </w:t>
      </w:r>
    </w:p>
    <w:p w:rsidR="001C7BF9" w:rsidRPr="00C9680B" w:rsidRDefault="001C7BF9">
      <w:pPr>
        <w:pStyle w:val="Frslagstext"/>
        <w:ind w:left="0"/>
      </w:pPr>
      <w:r w:rsidRPr="00C9680B">
        <w:t>Riksdagen godkänner vad som framförs i reservation 14 om utökade resea</w:t>
      </w:r>
      <w:r w:rsidRPr="00C9680B">
        <w:t>v</w:t>
      </w:r>
      <w:r w:rsidRPr="00C9680B">
        <w:t>drag. Därmed bifaller riksdagen motion 2000/01:Sk321 yrkandena 7 och 8 samt avslår pr</w:t>
      </w:r>
      <w:r w:rsidRPr="00C9680B">
        <w:t>o</w:t>
      </w:r>
      <w:r w:rsidRPr="00C9680B">
        <w:t xml:space="preserve">position 2000/01:1 punkt 24 i denna del. </w:t>
      </w:r>
    </w:p>
    <w:p w:rsidR="001C7BF9" w:rsidRPr="00C9680B" w:rsidRDefault="001C7BF9">
      <w:pPr>
        <w:pStyle w:val="Frslagstext"/>
        <w:keepNext/>
        <w:numPr>
          <w:ilvl w:val="0"/>
          <w:numId w:val="1336"/>
        </w:numPr>
        <w:spacing w:before="125"/>
      </w:pPr>
      <w:r w:rsidRPr="00C9680B">
        <w:rPr>
          <w:i/>
        </w:rPr>
        <w:t>Kapitalvinstbeskattning av bostäder (avsnitt 3.3.7)</w:t>
      </w:r>
    </w:p>
    <w:p w:rsidR="001C7BF9" w:rsidRPr="00C9680B" w:rsidRDefault="001C7BF9">
      <w:pPr>
        <w:pStyle w:val="Frslagstext"/>
        <w:ind w:left="0"/>
      </w:pPr>
      <w:r w:rsidRPr="00C9680B">
        <w:t>Riksdagen avslår regeringens förslag om höjning av reavinstbeskattningen. Därmed avslås proposition 2000/01:1 punkt 24 i denna del.</w:t>
      </w:r>
    </w:p>
    <w:p w:rsidR="001C7BF9" w:rsidRPr="00C9680B" w:rsidRDefault="001C7BF9">
      <w:pPr>
        <w:pStyle w:val="Frslagstext"/>
        <w:numPr>
          <w:ilvl w:val="0"/>
          <w:numId w:val="1336"/>
        </w:numPr>
        <w:spacing w:before="125"/>
        <w:rPr>
          <w:i/>
        </w:rPr>
      </w:pPr>
      <w:r w:rsidRPr="00C9680B">
        <w:rPr>
          <w:i/>
        </w:rPr>
        <w:t>Beskattning av sjömän (avsnitt 3.3.9)</w:t>
      </w:r>
    </w:p>
    <w:p w:rsidR="001C7BF9" w:rsidRPr="00C9680B" w:rsidRDefault="001C7BF9">
      <w:pPr>
        <w:pStyle w:val="Frslagstext"/>
        <w:ind w:left="0"/>
      </w:pPr>
      <w:r w:rsidRPr="00C9680B">
        <w:t xml:space="preserve">Riksdagen godkänner vad som framförs i reservation 14 om beskattning av sjömän. Därmed bifaller riksdagen motion 2000/01:Sk321 yrkande 24 och avslår proposition 2000/01:1 punkt 39 i denna del. </w:t>
      </w:r>
    </w:p>
    <w:p w:rsidR="001C7BF9" w:rsidRPr="00C9680B" w:rsidRDefault="001C7BF9">
      <w:pPr>
        <w:pStyle w:val="Frslagstext"/>
        <w:numPr>
          <w:ilvl w:val="0"/>
          <w:numId w:val="1336"/>
        </w:numPr>
        <w:spacing w:before="125"/>
        <w:rPr>
          <w:i/>
        </w:rPr>
      </w:pPr>
      <w:r w:rsidRPr="00C9680B">
        <w:rPr>
          <w:i/>
        </w:rPr>
        <w:t>Förändrade avgiftsnivåer för socialavgifterna (avsnitt 3.5)</w:t>
      </w:r>
    </w:p>
    <w:p w:rsidR="001C7BF9" w:rsidRPr="00C9680B" w:rsidRDefault="001C7BF9">
      <w:pPr>
        <w:pStyle w:val="Frslagstext"/>
        <w:ind w:left="0"/>
      </w:pPr>
      <w:r w:rsidRPr="00C9680B">
        <w:t>Riksdagen godkänner vad som framförs i reservation 14 om förändrade a</w:t>
      </w:r>
      <w:r w:rsidRPr="00C9680B">
        <w:t>v</w:t>
      </w:r>
      <w:r w:rsidRPr="00C9680B">
        <w:t xml:space="preserve">giftsnivåer för socialavgifterna. Därmed bifaller riksdagen motion 2000/01:Sk321 yrkandena 18 och 25 och avslår proposition 2000/01:1 punkt 26 i denna del. </w:t>
      </w:r>
    </w:p>
    <w:p w:rsidR="001C7BF9" w:rsidRPr="00C9680B" w:rsidRDefault="001C7BF9">
      <w:pPr>
        <w:pStyle w:val="Frslagstext"/>
        <w:numPr>
          <w:ilvl w:val="0"/>
          <w:numId w:val="1336"/>
        </w:numPr>
        <w:spacing w:before="125"/>
        <w:rPr>
          <w:i/>
        </w:rPr>
      </w:pPr>
      <w:r w:rsidRPr="00C9680B">
        <w:rPr>
          <w:i/>
        </w:rPr>
        <w:t>Fastighetsskatt på bostäder (avsnitt 3.6.1)</w:t>
      </w:r>
    </w:p>
    <w:p w:rsidR="001C7BF9" w:rsidRPr="00C9680B" w:rsidRDefault="001C7BF9">
      <w:pPr>
        <w:pStyle w:val="Frslagstext"/>
        <w:ind w:left="0"/>
      </w:pPr>
      <w:r w:rsidRPr="00C9680B">
        <w:t>Riksdagen godkänner vad som framförs i reservation 14 om sänkt fastighet</w:t>
      </w:r>
      <w:r w:rsidRPr="00C9680B">
        <w:t>s</w:t>
      </w:r>
      <w:r w:rsidRPr="00C9680B">
        <w:t>skatt på bostäder. Därmed bifaller riksdagen motion 2000/01:Sk321 yrkand</w:t>
      </w:r>
      <w:r w:rsidRPr="00C9680B">
        <w:t>e</w:t>
      </w:r>
      <w:r w:rsidRPr="00C9680B">
        <w:t xml:space="preserve">na 11, 12, 15 och 16 samt avslår proposition 2000/01:1 punkt 23 i denna del. </w:t>
      </w:r>
    </w:p>
    <w:p w:rsidR="001C7BF9" w:rsidRPr="00C9680B" w:rsidRDefault="001C7BF9">
      <w:pPr>
        <w:pStyle w:val="Frslagstext"/>
        <w:numPr>
          <w:ilvl w:val="0"/>
          <w:numId w:val="1336"/>
        </w:numPr>
        <w:spacing w:before="125"/>
        <w:rPr>
          <w:i/>
        </w:rPr>
      </w:pPr>
      <w:r w:rsidRPr="00C9680B">
        <w:rPr>
          <w:i/>
        </w:rPr>
        <w:t>Värdering av bostadshyreshus vid 2001 års förmögenhetstaxering (a</w:t>
      </w:r>
      <w:r w:rsidRPr="00C9680B">
        <w:rPr>
          <w:i/>
        </w:rPr>
        <w:t>v</w:t>
      </w:r>
      <w:r w:rsidRPr="00C9680B">
        <w:rPr>
          <w:i/>
        </w:rPr>
        <w:t xml:space="preserve">snitt 3.6.3) </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6"/>
        </w:numPr>
        <w:spacing w:before="125"/>
        <w:rPr>
          <w:i/>
        </w:rPr>
      </w:pPr>
      <w:r w:rsidRPr="00C9680B">
        <w:rPr>
          <w:i/>
        </w:rPr>
        <w:t>Mervärdesskatt på resor (avsnitt 3.7.1)</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6"/>
        </w:numPr>
        <w:spacing w:before="125"/>
        <w:rPr>
          <w:i/>
        </w:rPr>
      </w:pPr>
      <w:r w:rsidRPr="00C9680B">
        <w:rPr>
          <w:i/>
        </w:rPr>
        <w:t xml:space="preserve">Skatt på alkohol och tobak (avsnitt 3.7.3) </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6"/>
        </w:numPr>
        <w:spacing w:before="125"/>
        <w:rPr>
          <w:i/>
        </w:rPr>
      </w:pPr>
      <w:r w:rsidRPr="00C9680B">
        <w:rPr>
          <w:i/>
        </w:rPr>
        <w:t>Förskjutning av skatteuttaget från energiskatt till koldioxidskatt (avsnitt 3.7.4)</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6"/>
        </w:numPr>
        <w:spacing w:before="125"/>
        <w:rPr>
          <w:i/>
        </w:rPr>
      </w:pPr>
      <w:r w:rsidRPr="00C9680B">
        <w:rPr>
          <w:i/>
        </w:rPr>
        <w:t xml:space="preserve">Höjd koldioxidskatt (avsnitt 3.7.5) </w:t>
      </w:r>
    </w:p>
    <w:p w:rsidR="001C7BF9" w:rsidRPr="00C9680B" w:rsidRDefault="001C7BF9">
      <w:pPr>
        <w:pStyle w:val="Frslagstext"/>
        <w:ind w:left="0"/>
      </w:pPr>
      <w:r w:rsidRPr="00C9680B">
        <w:t>Riksdagen godkänner vad som framförs i reservation 14 om en höjning av koldioxid</w:t>
      </w:r>
      <w:r w:rsidRPr="00C9680B">
        <w:softHyphen/>
        <w:t>skatten. Därmed bifaller riksdagen motion 2000/01:Sk321 yrkand</w:t>
      </w:r>
      <w:r w:rsidRPr="00C9680B">
        <w:t>e</w:t>
      </w:r>
      <w:r w:rsidRPr="00C9680B">
        <w:t xml:space="preserve">na 27 och 28 och avslår proposition 2000/01:1 punkt 34 i denna del. </w:t>
      </w:r>
    </w:p>
    <w:p w:rsidR="001C7BF9" w:rsidRPr="00C9680B" w:rsidRDefault="001C7BF9">
      <w:pPr>
        <w:pStyle w:val="Frslagstext"/>
        <w:numPr>
          <w:ilvl w:val="0"/>
          <w:numId w:val="1336"/>
        </w:numPr>
        <w:spacing w:before="125"/>
        <w:rPr>
          <w:i/>
        </w:rPr>
      </w:pPr>
      <w:r w:rsidRPr="00C9680B">
        <w:rPr>
          <w:i/>
        </w:rPr>
        <w:t xml:space="preserve">Höjd energiskatt på el (avsnitt 3.7.6) </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6"/>
        </w:numPr>
        <w:spacing w:before="125"/>
        <w:rPr>
          <w:i/>
        </w:rPr>
      </w:pPr>
      <w:r w:rsidRPr="00C9680B">
        <w:rPr>
          <w:i/>
        </w:rPr>
        <w:t xml:space="preserve">Beskattning av drivmedel (avsnitt 3.7.8) </w:t>
      </w:r>
    </w:p>
    <w:p w:rsidR="001C7BF9" w:rsidRPr="00C9680B" w:rsidRDefault="001C7BF9">
      <w:pPr>
        <w:pStyle w:val="Frslagstext"/>
        <w:ind w:left="0"/>
      </w:pPr>
      <w:r w:rsidRPr="00C9680B">
        <w:t xml:space="preserve">Riksdagen godkänner vad som framförs i reservation 14 om en höjning av energiskatten på dieselolja. Därmed bifaller riksdagen motion 2000/01:Sk321 yrkande 22 och avslår proposition 2000/01:1 punkt 34 i denna del. </w:t>
      </w:r>
    </w:p>
    <w:p w:rsidR="001C7BF9" w:rsidRPr="00C9680B" w:rsidRDefault="001C7BF9">
      <w:pPr>
        <w:pStyle w:val="Frslagstext"/>
        <w:numPr>
          <w:ilvl w:val="0"/>
          <w:numId w:val="1336"/>
        </w:numPr>
        <w:spacing w:before="125"/>
        <w:rPr>
          <w:i/>
        </w:rPr>
      </w:pPr>
      <w:r w:rsidRPr="00C9680B">
        <w:rPr>
          <w:i/>
        </w:rPr>
        <w:t>Indexering av energi- och koldioxidskatt (avsnitt 3.7.9)</w:t>
      </w:r>
    </w:p>
    <w:p w:rsidR="001C7BF9" w:rsidRPr="00C9680B" w:rsidRDefault="001C7BF9">
      <w:pPr>
        <w:pStyle w:val="Frslagstext"/>
        <w:ind w:left="0"/>
      </w:pPr>
      <w:r w:rsidRPr="00C9680B">
        <w:t xml:space="preserve">= utskottet </w:t>
      </w:r>
    </w:p>
    <w:p w:rsidR="001C7BF9" w:rsidRPr="00C9680B" w:rsidRDefault="001C7BF9">
      <w:pPr>
        <w:pStyle w:val="Frslagstext"/>
        <w:keepNext/>
        <w:numPr>
          <w:ilvl w:val="0"/>
          <w:numId w:val="1336"/>
        </w:numPr>
        <w:spacing w:before="125"/>
        <w:rPr>
          <w:i/>
        </w:rPr>
      </w:pPr>
      <w:r w:rsidRPr="00C9680B">
        <w:rPr>
          <w:i/>
        </w:rPr>
        <w:t>Kalk- och cementindustrin (avsnitt 3.7.10)</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6"/>
        </w:numPr>
        <w:spacing w:before="125"/>
        <w:rPr>
          <w:i/>
        </w:rPr>
      </w:pPr>
      <w:r w:rsidRPr="00C9680B">
        <w:rPr>
          <w:i/>
        </w:rPr>
        <w:t xml:space="preserve">Fordonsskatt och försäljningsskatt (avsnitt 3.7.13) </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6"/>
        </w:numPr>
        <w:spacing w:before="125"/>
        <w:rPr>
          <w:i/>
        </w:rPr>
      </w:pPr>
      <w:r w:rsidRPr="00C9680B">
        <w:rPr>
          <w:i/>
        </w:rPr>
        <w:t xml:space="preserve">Beräkningen av statsbudgetens inkomster för budgetåret 2001 (avsnitt 3.8) </w:t>
      </w:r>
    </w:p>
    <w:p w:rsidR="001C7BF9" w:rsidRPr="00C9680B" w:rsidRDefault="001C7BF9">
      <w:pPr>
        <w:pStyle w:val="Frslagstext"/>
        <w:ind w:left="0"/>
      </w:pPr>
      <w:r w:rsidRPr="00C9680B">
        <w:t xml:space="preserve">Riksdagen godkänner beräkningen av statsbudgetens inkomster för budgetåret 2001 enligt det med reservation 14 (c) betecknade förslaget i </w:t>
      </w:r>
      <w:r w:rsidRPr="00C9680B">
        <w:rPr>
          <w:i/>
        </w:rPr>
        <w:t>den samma</w:t>
      </w:r>
      <w:r w:rsidRPr="00C9680B">
        <w:rPr>
          <w:i/>
        </w:rPr>
        <w:t>n</w:t>
      </w:r>
      <w:r w:rsidRPr="00C9680B">
        <w:rPr>
          <w:i/>
        </w:rPr>
        <w:t xml:space="preserve">ställning över statsbudgetens utgifter och inkomster </w:t>
      </w:r>
      <w:r w:rsidRPr="00C9680B">
        <w:t>som följer efter utskottets förslag till riksdagsbeslut. Därmed bifaller riksdagen motion 2000/01:Fi210 yrkande 3 och avslår pr</w:t>
      </w:r>
      <w:r w:rsidRPr="00C9680B">
        <w:t>o</w:t>
      </w:r>
      <w:r w:rsidRPr="00C9680B">
        <w:t xml:space="preserve">position 2000/01:1 punkt 7. </w:t>
      </w:r>
    </w:p>
    <w:p w:rsidR="001C7BF9" w:rsidRPr="00C9680B" w:rsidRDefault="001C7BF9">
      <w:pPr>
        <w:pStyle w:val="Frslagstext"/>
        <w:numPr>
          <w:ilvl w:val="0"/>
          <w:numId w:val="1336"/>
        </w:numPr>
        <w:spacing w:before="125"/>
        <w:rPr>
          <w:i/>
        </w:rPr>
      </w:pPr>
      <w:r w:rsidRPr="00C9680B">
        <w:rPr>
          <w:i/>
        </w:rPr>
        <w:t>Motionsyrkanden om budgetförslagen för år 2001</w:t>
      </w:r>
    </w:p>
    <w:p w:rsidR="001C7BF9" w:rsidRPr="00C9680B" w:rsidRDefault="001C7BF9">
      <w:pPr>
        <w:pStyle w:val="Frslagstext"/>
        <w:ind w:left="0"/>
      </w:pPr>
      <w:r w:rsidRPr="00C9680B">
        <w:t>Riksdagen tillkännager för regeringen som sin mening vad som framförs i reservation 14 om skattepolitikens inriktning, yrkesfiskare, hushållsnära tjänster, förmögenhetsbeskattning, jordbrukets beskattning och mi</w:t>
      </w:r>
      <w:r w:rsidRPr="00C9680B">
        <w:t>l</w:t>
      </w:r>
      <w:r w:rsidRPr="00C9680B">
        <w:t>jöskatter.</w:t>
      </w:r>
    </w:p>
    <w:p w:rsidR="001C7BF9" w:rsidRPr="00C9680B" w:rsidRDefault="001C7BF9">
      <w:pPr>
        <w:pStyle w:val="Normaltindrag"/>
      </w:pPr>
      <w:r w:rsidRPr="00C9680B">
        <w:t xml:space="preserve">Riksdagen bifaller därmed motionerna 2000/01:Sk321 yrkandena 1, 17, 21 och 23 samt 2000/01:MJ418 yrkande 9 och avslår övriga motionsyrkanden som finns upptagna i den </w:t>
      </w:r>
      <w:r w:rsidRPr="00C9680B">
        <w:rPr>
          <w:i/>
        </w:rPr>
        <w:t xml:space="preserve">förteckning över av utskottet i punkt 5 avstyrkta motionsyrkanden </w:t>
      </w:r>
      <w:r w:rsidRPr="00C9680B">
        <w:t>som följer efter utskottets förslag till rik</w:t>
      </w:r>
      <w:r w:rsidRPr="00C9680B">
        <w:t>s</w:t>
      </w:r>
      <w:r w:rsidRPr="00C9680B">
        <w:t xml:space="preserve">dagsbeslut. </w:t>
      </w:r>
    </w:p>
    <w:p w:rsidR="001C7BF9" w:rsidRPr="00C9680B" w:rsidRDefault="001C7BF9">
      <w:pPr>
        <w:pStyle w:val="Rubrik4"/>
        <w:rPr>
          <w:noProof w:val="0"/>
        </w:rPr>
      </w:pPr>
      <w:bookmarkStart w:id="734" w:name="_Toc498910934"/>
      <w:r w:rsidRPr="00C9680B">
        <w:rPr>
          <w:noProof w:val="0"/>
        </w:rPr>
        <w:t>Ställningstagande</w:t>
      </w:r>
      <w:bookmarkEnd w:id="734"/>
    </w:p>
    <w:p w:rsidR="001C7BF9" w:rsidRPr="00C9680B" w:rsidRDefault="001C7BF9">
      <w:r w:rsidRPr="00C9680B">
        <w:t>En hållbar och stark ekonomisk tillväxt måste kombineras med decentralis</w:t>
      </w:r>
      <w:r w:rsidRPr="00C9680B">
        <w:t>e</w:t>
      </w:r>
      <w:r w:rsidRPr="00C9680B">
        <w:t>ring, miljöansvar och social grundtrygghet. Företagande och kreativitet skall ha goda möjligheter att blomstra. Hindren för företagande skall rivas genom sänkt skatt, enklare regler och ökad flexibilitet. Det behövs regional balans med företagande och sysselsättning i hela landet. Socialt ansvar och geme</w:t>
      </w:r>
      <w:r w:rsidRPr="00C9680B">
        <w:t>n</w:t>
      </w:r>
      <w:r w:rsidRPr="00C9680B">
        <w:t>skap skall prägla samhället och ge trygghet åt alla. Jämställdheten och jä</w:t>
      </w:r>
      <w:r w:rsidRPr="00C9680B">
        <w:t>m</w:t>
      </w:r>
      <w:r w:rsidRPr="00C9680B">
        <w:t>likheten bör ökas inom alla områden i samhället. Decentralisering, trygghet och miljöhänsyn är ledord.</w:t>
      </w:r>
    </w:p>
    <w:p w:rsidR="001C7BF9" w:rsidRPr="00C9680B" w:rsidRDefault="001C7BF9">
      <w:pPr>
        <w:pStyle w:val="Normaltindrag"/>
      </w:pPr>
      <w:r w:rsidRPr="00C9680B">
        <w:t>Detta innebär reformer på e</w:t>
      </w:r>
      <w:r w:rsidRPr="00C9680B">
        <w:t>tt antal olika områden. Inledningsvis redovisas här skattepolitiken. Därefter behandlas övriga områden.</w:t>
      </w:r>
    </w:p>
    <w:p w:rsidR="001C7BF9" w:rsidRPr="00C9680B" w:rsidRDefault="001C7BF9">
      <w:pPr>
        <w:pStyle w:val="Normaltindrag"/>
        <w:rPr>
          <w:snapToGrid w:val="0"/>
        </w:rPr>
      </w:pPr>
      <w:r w:rsidRPr="00C9680B">
        <w:rPr>
          <w:snapToGrid w:val="0"/>
        </w:rPr>
        <w:t>Sverige har både höga skatter och höga offentliga utgifter, vilket har dä</w:t>
      </w:r>
      <w:r w:rsidRPr="00C9680B">
        <w:rPr>
          <w:snapToGrid w:val="0"/>
        </w:rPr>
        <w:t>m</w:t>
      </w:r>
      <w:r w:rsidRPr="00C9680B">
        <w:rPr>
          <w:snapToGrid w:val="0"/>
        </w:rPr>
        <w:t>pat både ekonomisk tillväxt och välfärd under de senaste tre decennierna. Det är nu när konjunkturen är god man kan åstadkomma förändringar av denna situation. Centerpartiets inriktning är att långsiktigt sänka skattetrycket och utgifternas andel av BNP till samma nivåer som i jämförbara OECD-länder. Med hjälp av den goda konjunkturen kan vi sänka skattetryck och utgiftskvot och ändå låta statens utgifter vara realt oförändrade.</w:t>
      </w:r>
    </w:p>
    <w:p w:rsidR="001C7BF9" w:rsidRPr="00C9680B" w:rsidRDefault="001C7BF9">
      <w:pPr>
        <w:pStyle w:val="Normaltindrag"/>
      </w:pPr>
      <w:r w:rsidRPr="00C9680B">
        <w:t>De skatteförslag som vi presenterar har det gemensamma syftet att stärka männi</w:t>
      </w:r>
      <w:r w:rsidRPr="00C9680B">
        <w:t>skors makt över sin vardag. Att kunna överblicka och påverka, att ha så stor kontroll som möjligt över sin egen tillvaro är en förutsättning för välb</w:t>
      </w:r>
      <w:r w:rsidRPr="00C9680B">
        <w:t>e</w:t>
      </w:r>
      <w:r w:rsidRPr="00C9680B">
        <w:t>finnande, kreativitet och livskvalitet. Skatteförslagen är utformade så att de skall stimulera arbete och kunskap samt stärka människors ställning på a</w:t>
      </w:r>
      <w:r w:rsidRPr="00C9680B">
        <w:t>r</w:t>
      </w:r>
      <w:r w:rsidRPr="00C9680B">
        <w:t>betsmarknaden. Vi prioriterar sänkt inkomstskatt för låg- och medelinkoms</w:t>
      </w:r>
      <w:r w:rsidRPr="00C9680B">
        <w:t>t</w:t>
      </w:r>
      <w:r w:rsidRPr="00C9680B">
        <w:t>tagare samt sänkt skatt på företagande och boende. Totalt sänker Centerpartiet skatterna med drygt 10 miljarder kronor mer än regeringen</w:t>
      </w:r>
      <w:r w:rsidRPr="00C9680B">
        <w:t xml:space="preserve"> år 2001. Detta finans</w:t>
      </w:r>
      <w:r w:rsidRPr="00C9680B">
        <w:t>i</w:t>
      </w:r>
      <w:r w:rsidRPr="00C9680B">
        <w:t>eras genom att vi gör motsvarande besparingar i statens utgifter.</w:t>
      </w:r>
    </w:p>
    <w:p w:rsidR="001C7BF9" w:rsidRPr="00C9680B" w:rsidRDefault="001C7BF9">
      <w:pPr>
        <w:pStyle w:val="Normaltindrag"/>
        <w:rPr>
          <w:snapToGrid w:val="0"/>
        </w:rPr>
      </w:pPr>
      <w:r w:rsidRPr="00C9680B">
        <w:rPr>
          <w:snapToGrid w:val="0"/>
        </w:rPr>
        <w:t>Centerpartiet föreslår att en inkomstskattereform genomförs stegvis under perioden 2001 till 2003. Vi anser att skattesystemet skall gynna arbete och kunskap och stärka människors ställning på arbetsmarknaden. Som en del i det bör inkomstskatterna för låg- och medelinkomsttagare sänkas. Ambiti</w:t>
      </w:r>
      <w:r w:rsidRPr="00C9680B">
        <w:rPr>
          <w:snapToGrid w:val="0"/>
        </w:rPr>
        <w:t>o</w:t>
      </w:r>
      <w:r w:rsidRPr="00C9680B">
        <w:rPr>
          <w:snapToGrid w:val="0"/>
        </w:rPr>
        <w:t>nen med Centerpartiets förslag till inkomstskattereform är att göra skatte</w:t>
      </w:r>
      <w:r w:rsidRPr="00C9680B">
        <w:rPr>
          <w:snapToGrid w:val="0"/>
        </w:rPr>
        <w:softHyphen/>
      </w:r>
      <w:r w:rsidRPr="00C9680B">
        <w:rPr>
          <w:snapToGrid w:val="0"/>
        </w:rPr>
        <w:br/>
        <w:t>syst</w:t>
      </w:r>
      <w:r w:rsidRPr="00C9680B">
        <w:rPr>
          <w:snapToGrid w:val="0"/>
        </w:rPr>
        <w:softHyphen/>
        <w:t>emet enkelt och överskådligt samt att sänka skatten och minska margi-</w:t>
      </w:r>
      <w:r w:rsidRPr="00C9680B">
        <w:rPr>
          <w:snapToGrid w:val="0"/>
        </w:rPr>
        <w:softHyphen/>
      </w:r>
      <w:r w:rsidRPr="00C9680B">
        <w:rPr>
          <w:snapToGrid w:val="0"/>
        </w:rPr>
        <w:br/>
        <w:t>n</w:t>
      </w:r>
      <w:r w:rsidRPr="00C9680B">
        <w:rPr>
          <w:snapToGrid w:val="0"/>
        </w:rPr>
        <w:t>a</w:t>
      </w:r>
      <w:r w:rsidRPr="00C9680B">
        <w:rPr>
          <w:snapToGrid w:val="0"/>
        </w:rPr>
        <w:t>l</w:t>
      </w:r>
      <w:r w:rsidRPr="00C9680B">
        <w:rPr>
          <w:snapToGrid w:val="0"/>
        </w:rPr>
        <w:softHyphen/>
        <w:t xml:space="preserve">effekterna för framför allt låg- och medelinkomsttagare. </w:t>
      </w:r>
    </w:p>
    <w:p w:rsidR="001C7BF9" w:rsidRPr="00C9680B" w:rsidRDefault="001C7BF9">
      <w:pPr>
        <w:numPr>
          <w:ilvl w:val="0"/>
          <w:numId w:val="1327"/>
        </w:numPr>
      </w:pPr>
      <w:r w:rsidRPr="00C9680B">
        <w:rPr>
          <w:snapToGrid w:val="0"/>
        </w:rPr>
        <w:t>Grundavdraget höjs till 15 000 kr år 2001 och till 20 000 kr år 2002 och LO-</w:t>
      </w:r>
      <w:r w:rsidRPr="00C9680B">
        <w:t>puckeln tas bort för att minska negativa marginaleffe</w:t>
      </w:r>
      <w:r w:rsidRPr="00C9680B">
        <w:t>k</w:t>
      </w:r>
      <w:r w:rsidRPr="00C9680B">
        <w:t>ter.</w:t>
      </w:r>
    </w:p>
    <w:p w:rsidR="001C7BF9" w:rsidRPr="00C9680B" w:rsidRDefault="001C7BF9">
      <w:pPr>
        <w:pStyle w:val="PunktlistaBomb"/>
        <w:numPr>
          <w:ilvl w:val="0"/>
          <w:numId w:val="1328"/>
        </w:numPr>
        <w:spacing w:before="62"/>
        <w:rPr>
          <w:snapToGrid w:val="0"/>
        </w:rPr>
      </w:pPr>
      <w:r w:rsidRPr="00C9680B">
        <w:rPr>
          <w:snapToGrid w:val="0"/>
        </w:rPr>
        <w:t>Riktad skattereduktion på 5 400 kr till låginkomsttagare föreslås för år 2001. Skattereduktionen ges enbart på arbetsinkomster för att stimulera till arbete och företagande. Den riktade skattereduktionen höjs till 9 600 kr för åren 2002 och 2003.</w:t>
      </w:r>
    </w:p>
    <w:p w:rsidR="001C7BF9" w:rsidRPr="00C9680B" w:rsidRDefault="001C7BF9">
      <w:pPr>
        <w:pStyle w:val="PunktlistaBomb"/>
        <w:numPr>
          <w:ilvl w:val="0"/>
          <w:numId w:val="1329"/>
        </w:numPr>
        <w:spacing w:before="62"/>
        <w:rPr>
          <w:snapToGrid w:val="0"/>
        </w:rPr>
      </w:pPr>
      <w:r w:rsidRPr="00C9680B">
        <w:rPr>
          <w:snapToGrid w:val="0"/>
        </w:rPr>
        <w:t>Grundavdraget ersätts med en rak skattereduktion på 10 000 kr fr.o.m. år 2003. Denna skattereduktion skall komma alla till del, oavsett om i</w:t>
      </w:r>
      <w:r w:rsidRPr="00C9680B">
        <w:rPr>
          <w:snapToGrid w:val="0"/>
        </w:rPr>
        <w:t>n</w:t>
      </w:r>
      <w:r w:rsidRPr="00C9680B">
        <w:rPr>
          <w:snapToGrid w:val="0"/>
        </w:rPr>
        <w:t>komsten kommer från lön, företagsinkomst, a-kassa, sjukpenning eller pe</w:t>
      </w:r>
      <w:r w:rsidRPr="00C9680B">
        <w:rPr>
          <w:snapToGrid w:val="0"/>
        </w:rPr>
        <w:t>n</w:t>
      </w:r>
      <w:r w:rsidRPr="00C9680B">
        <w:rPr>
          <w:snapToGrid w:val="0"/>
        </w:rPr>
        <w:t>sion.</w:t>
      </w:r>
    </w:p>
    <w:p w:rsidR="001C7BF9" w:rsidRPr="00C9680B" w:rsidRDefault="001C7BF9">
      <w:pPr>
        <w:rPr>
          <w:snapToGrid w:val="0"/>
        </w:rPr>
      </w:pPr>
      <w:r w:rsidRPr="00C9680B">
        <w:rPr>
          <w:snapToGrid w:val="0"/>
        </w:rPr>
        <w:t>För att stärka barnfamiljernas ekonomi och föräldrars möjlighet att kombinera sitt föräldraskap med ett förvärvsarbete föreslår Centerpartiet att en avdrag</w:t>
      </w:r>
      <w:r w:rsidRPr="00C9680B">
        <w:rPr>
          <w:snapToGrid w:val="0"/>
        </w:rPr>
        <w:t>s</w:t>
      </w:r>
      <w:r w:rsidRPr="00C9680B">
        <w:rPr>
          <w:snapToGrid w:val="0"/>
        </w:rPr>
        <w:t xml:space="preserve">rätt för styrkta barnomsorgskostnader införs. Avdragsrätten bör uppgå till 50 000 kr per barn och år och införas från år 2002. </w:t>
      </w:r>
    </w:p>
    <w:p w:rsidR="001C7BF9" w:rsidRPr="00C9680B" w:rsidRDefault="001C7BF9">
      <w:pPr>
        <w:pStyle w:val="Normaltindrag"/>
        <w:rPr>
          <w:snapToGrid w:val="0"/>
        </w:rPr>
      </w:pPr>
      <w:r w:rsidRPr="00C9680B">
        <w:rPr>
          <w:snapToGrid w:val="0"/>
        </w:rPr>
        <w:t>Centerpartiet föreslår att reseavdraget höjs från dagens 15 kr till 20 kr per mil samt att även resor till och från barnomsorg skall inkluderas i reseavdr</w:t>
      </w:r>
      <w:r w:rsidRPr="00C9680B">
        <w:rPr>
          <w:snapToGrid w:val="0"/>
        </w:rPr>
        <w:t>a</w:t>
      </w:r>
      <w:r w:rsidRPr="00C9680B">
        <w:rPr>
          <w:snapToGrid w:val="0"/>
        </w:rPr>
        <w:t xml:space="preserve">get. </w:t>
      </w:r>
    </w:p>
    <w:p w:rsidR="001C7BF9" w:rsidRPr="00C9680B" w:rsidRDefault="001C7BF9">
      <w:pPr>
        <w:pStyle w:val="Normaltindrag"/>
        <w:rPr>
          <w:snapToGrid w:val="0"/>
        </w:rPr>
      </w:pPr>
      <w:r w:rsidRPr="00C9680B">
        <w:rPr>
          <w:snapToGrid w:val="0"/>
        </w:rPr>
        <w:t>Vi föreslår att skatten på människors boende sänks genom att frysningen av taxeringsvärdena för småhus och bostadshyreshus förlängs samt att skatt</w:t>
      </w:r>
      <w:r w:rsidRPr="00C9680B">
        <w:rPr>
          <w:snapToGrid w:val="0"/>
        </w:rPr>
        <w:t>e</w:t>
      </w:r>
      <w:r w:rsidRPr="00C9680B">
        <w:rPr>
          <w:snapToGrid w:val="0"/>
        </w:rPr>
        <w:t>satserna sänks till 1,2 % för småhus och till 1,1 % för bostadsh</w:t>
      </w:r>
      <w:r w:rsidRPr="00C9680B">
        <w:rPr>
          <w:snapToGrid w:val="0"/>
        </w:rPr>
        <w:t>y</w:t>
      </w:r>
      <w:r w:rsidRPr="00C9680B">
        <w:rPr>
          <w:snapToGrid w:val="0"/>
        </w:rPr>
        <w:t>reshus.</w:t>
      </w:r>
    </w:p>
    <w:p w:rsidR="001C7BF9" w:rsidRPr="00C9680B" w:rsidRDefault="001C7BF9">
      <w:pPr>
        <w:pStyle w:val="Normaltindrag"/>
        <w:rPr>
          <w:snapToGrid w:val="0"/>
        </w:rPr>
      </w:pPr>
      <w:r w:rsidRPr="00C9680B">
        <w:rPr>
          <w:snapToGrid w:val="0"/>
        </w:rPr>
        <w:t>För att stimulera framför allt små företag att utvecklas och anställa nya medarbetare föreslår Centerpartiet att nuvarande nedsättning av arbetsgiva</w:t>
      </w:r>
      <w:r w:rsidRPr="00C9680B">
        <w:rPr>
          <w:snapToGrid w:val="0"/>
        </w:rPr>
        <w:t>r</w:t>
      </w:r>
      <w:r w:rsidRPr="00C9680B">
        <w:rPr>
          <w:snapToGrid w:val="0"/>
        </w:rPr>
        <w:t xml:space="preserve">avgifterna utökas till 10 procentenheter på lönesummor upp till 852 000 kr. Nedsättningen skall gälla även egenföretagare upp till en lönesumma på 180 000 kr. </w:t>
      </w:r>
    </w:p>
    <w:p w:rsidR="001C7BF9" w:rsidRPr="00C9680B" w:rsidRDefault="001C7BF9">
      <w:pPr>
        <w:pStyle w:val="Normaltindrag"/>
        <w:rPr>
          <w:snapToGrid w:val="0"/>
        </w:rPr>
      </w:pPr>
      <w:r w:rsidRPr="00C9680B">
        <w:rPr>
          <w:snapToGrid w:val="0"/>
        </w:rPr>
        <w:t>Centerpartiet föreslår att en skattereduktion på 50 % av arbetskostnaden för ROT-arbeten och hushållstjänster införs. Den maximala skattereduktionen per hushåll för</w:t>
      </w:r>
      <w:r w:rsidRPr="00C9680B">
        <w:rPr>
          <w:snapToGrid w:val="0"/>
        </w:rPr>
        <w:t>e</w:t>
      </w:r>
      <w:r w:rsidRPr="00C9680B">
        <w:rPr>
          <w:snapToGrid w:val="0"/>
        </w:rPr>
        <w:t>slås vara 25 000 kr.</w:t>
      </w:r>
    </w:p>
    <w:p w:rsidR="001C7BF9" w:rsidRPr="00C9680B" w:rsidRDefault="001C7BF9">
      <w:pPr>
        <w:pStyle w:val="Normaltindrag"/>
        <w:rPr>
          <w:snapToGrid w:val="0"/>
        </w:rPr>
      </w:pPr>
      <w:r w:rsidRPr="00C9680B">
        <w:rPr>
          <w:snapToGrid w:val="0"/>
        </w:rPr>
        <w:t>I det följande presenteras de områden, utöver skattepolitiken, som vi anser bör prioriteras under de kommande tre åren.</w:t>
      </w:r>
    </w:p>
    <w:p w:rsidR="001C7BF9" w:rsidRPr="00C9680B" w:rsidRDefault="001C7BF9">
      <w:pPr>
        <w:pStyle w:val="Normaltindrag"/>
        <w:rPr>
          <w:snapToGrid w:val="0"/>
        </w:rPr>
      </w:pPr>
      <w:r w:rsidRPr="00C9680B">
        <w:t xml:space="preserve">Vår utgångspunkt för </w:t>
      </w:r>
      <w:r w:rsidRPr="00C9680B">
        <w:rPr>
          <w:i/>
        </w:rPr>
        <w:t>skolpolitiken</w:t>
      </w:r>
      <w:r w:rsidRPr="00C9680B">
        <w:t xml:space="preserve"> är att alla elever kan och vill lära. För att ge alla elever chansen krävs att skolan får mer resurser.</w:t>
      </w:r>
      <w:r w:rsidRPr="00C9680B">
        <w:rPr>
          <w:snapToGrid w:val="0"/>
        </w:rPr>
        <w:t xml:space="preserve"> Centerpartiet vill satsa ytterligare 1 000 miljoner kronor på skolan under år 2001, 2 000 milj</w:t>
      </w:r>
      <w:r w:rsidRPr="00C9680B">
        <w:rPr>
          <w:snapToGrid w:val="0"/>
        </w:rPr>
        <w:t>o</w:t>
      </w:r>
      <w:r w:rsidRPr="00C9680B">
        <w:rPr>
          <w:snapToGrid w:val="0"/>
        </w:rPr>
        <w:t>ner kronor under år 2002 och 3 000 miljoner kronor under år 2003. Pengarna skall gå direkt till kommunerna. Detta är en tydlig skillnad mot regeringens skolsatsning som centraliserar resurserna till Skolverket. Med Centerpartiets politik kan kommunerna genomföra kvalitetsarbete och utvecklingsarbet</w:t>
      </w:r>
      <w:r w:rsidRPr="00C9680B">
        <w:rPr>
          <w:snapToGrid w:val="0"/>
        </w:rPr>
        <w:t>e i skolorna och bland annat anställa fler medarbetare i skolan.</w:t>
      </w:r>
    </w:p>
    <w:p w:rsidR="001C7BF9" w:rsidRPr="00C9680B" w:rsidRDefault="001C7BF9">
      <w:pPr>
        <w:pStyle w:val="Normaltindrag"/>
      </w:pPr>
      <w:r w:rsidRPr="00C9680B">
        <w:t xml:space="preserve">En bra </w:t>
      </w:r>
      <w:r w:rsidRPr="00C9680B">
        <w:rPr>
          <w:i/>
        </w:rPr>
        <w:t>högre utbildning</w:t>
      </w:r>
      <w:r w:rsidRPr="00C9680B">
        <w:t xml:space="preserve"> är viktig för näringslivet och vår gemensamma välfärd och betyder mycket för enskilda människors trygghet. Den enskilda studenten måste därför stå i centrum för utbildningspolitiken. För att fler skall söka sig till högre utbildning måste studiemedelssystemet förändras. Cente</w:t>
      </w:r>
      <w:r w:rsidRPr="00C9680B">
        <w:t>r</w:t>
      </w:r>
      <w:r w:rsidRPr="00C9680B">
        <w:t>partiet vill att studiemedlet skall bestå av hälften bidrag och hälften lån och att frib</w:t>
      </w:r>
      <w:r w:rsidRPr="00C9680B">
        <w:t>e</w:t>
      </w:r>
      <w:r w:rsidRPr="00C9680B">
        <w:t>loppet skall höjas till två basbelopp.</w:t>
      </w:r>
    </w:p>
    <w:p w:rsidR="001C7BF9" w:rsidRPr="00C9680B" w:rsidRDefault="001C7BF9">
      <w:pPr>
        <w:pStyle w:val="Normaltindrag"/>
      </w:pPr>
      <w:r w:rsidRPr="00C9680B">
        <w:t xml:space="preserve">För att även i framtiden med säkerhet kunna garantera tillväxt och välfärd är det av stor </w:t>
      </w:r>
      <w:r w:rsidRPr="00C9680B">
        <w:t xml:space="preserve">vikt att vi skapar </w:t>
      </w:r>
      <w:r w:rsidRPr="00C9680B">
        <w:rPr>
          <w:i/>
        </w:rPr>
        <w:t>ett företagsklimat med positiva attityder</w:t>
      </w:r>
      <w:r w:rsidRPr="00C9680B">
        <w:t xml:space="preserve"> ge</w:t>
      </w:r>
      <w:r w:rsidRPr="00C9680B">
        <w:t>n</w:t>
      </w:r>
      <w:r w:rsidRPr="00C9680B">
        <w:t>t</w:t>
      </w:r>
      <w:r w:rsidRPr="00C9680B">
        <w:softHyphen/>
        <w:t>emot företagande, företagen och entreprenörskap. Vi måste tillåta och acce</w:t>
      </w:r>
      <w:r w:rsidRPr="00C9680B">
        <w:t>p</w:t>
      </w:r>
      <w:r w:rsidRPr="00C9680B">
        <w:t>tera att riskvilliga företagare tjänar pengar när affärsidéerna omsätts i ett eget företag. Ekonomiska resurser för att utveckla befintliga företag och tillföra riskkapital måste tillföras inom de områden där tillgången inte är tillräcklig. Tryggheten för företagaren måste förbättras– detta gäller såväl utformning av regelverk som trygghet vid sjukdom och arbetslöshet.</w:t>
      </w:r>
      <w:r w:rsidRPr="00C9680B">
        <w:t xml:space="preserve"> Ett system med indiv</w:t>
      </w:r>
      <w:r w:rsidRPr="00C9680B">
        <w:t>i</w:t>
      </w:r>
      <w:r w:rsidRPr="00C9680B">
        <w:t>duella kompetenskonton bör införas. Skatter och avgifter på arbete måste sänkas och en skatteväxling genomföras med sänkt skatt på arbetskraft och höjda skatter på miljöskadlig verksa</w:t>
      </w:r>
      <w:r w:rsidRPr="00C9680B">
        <w:t>m</w:t>
      </w:r>
      <w:r w:rsidRPr="00C9680B">
        <w:t>het.</w:t>
      </w:r>
    </w:p>
    <w:p w:rsidR="001C7BF9" w:rsidRPr="00C9680B" w:rsidRDefault="001C7BF9">
      <w:pPr>
        <w:pStyle w:val="Normaltindrag"/>
      </w:pPr>
      <w:r w:rsidRPr="00C9680B">
        <w:rPr>
          <w:i/>
        </w:rPr>
        <w:t>Arbetslösheten</w:t>
      </w:r>
      <w:r w:rsidRPr="00C9680B">
        <w:t xml:space="preserve"> måste sänkas ytterligare. Centerpartiet accepterar inte att Sverige, i en brinnande högkonjunktur, har 7 % av befolkningen, motsvara</w:t>
      </w:r>
      <w:r w:rsidRPr="00C9680B">
        <w:t>n</w:t>
      </w:r>
      <w:r w:rsidRPr="00C9680B">
        <w:t>de 300 000 personer, i åldrarna 20–64 år i arbetslöshet. Människor måste få arbete i stället för att låsas in i åtgärder. Därför är en mer lokalt anpassad och flexibel arbetsmarknadspolitik nödvändig. Centerpartiet föreslår en förnyad och d</w:t>
      </w:r>
      <w:r w:rsidRPr="00C9680B">
        <w:t>e</w:t>
      </w:r>
      <w:r w:rsidRPr="00C9680B">
        <w:t>centraliserad arbetsmarknadspolitik som bygger på tre spår.</w:t>
      </w:r>
    </w:p>
    <w:p w:rsidR="001C7BF9" w:rsidRPr="00C9680B" w:rsidRDefault="001C7BF9">
      <w:pPr>
        <w:pStyle w:val="PunktlistaBomb"/>
        <w:numPr>
          <w:ilvl w:val="0"/>
          <w:numId w:val="1330"/>
        </w:numPr>
        <w:spacing w:before="62"/>
      </w:pPr>
      <w:r w:rsidRPr="00C9680B">
        <w:t>En utbildningsgaranti som syftar till att ge alla, både arbetslösa och fö</w:t>
      </w:r>
      <w:r w:rsidRPr="00C9680B">
        <w:t>r</w:t>
      </w:r>
      <w:r w:rsidRPr="00C9680B">
        <w:t>värvsarbetande, möjlighet att komplettera en tidigare kort utbildning upp till motsvarande gymnasi</w:t>
      </w:r>
      <w:r w:rsidRPr="00C9680B">
        <w:t>e</w:t>
      </w:r>
      <w:r w:rsidRPr="00C9680B">
        <w:t>nivå.</w:t>
      </w:r>
    </w:p>
    <w:p w:rsidR="001C7BF9" w:rsidRPr="00C9680B" w:rsidRDefault="001C7BF9">
      <w:pPr>
        <w:pStyle w:val="PunktlistaBomb"/>
        <w:numPr>
          <w:ilvl w:val="0"/>
          <w:numId w:val="1331"/>
        </w:numPr>
        <w:spacing w:before="62"/>
      </w:pPr>
      <w:r w:rsidRPr="00C9680B">
        <w:t>Utfasning av volyminriktade åtgärder som syftar till att pressa ner den öppna arbetslösheten och lägga större vikt vid meningsfulla yrkesinrikt</w:t>
      </w:r>
      <w:r w:rsidRPr="00C9680B">
        <w:t>a</w:t>
      </w:r>
      <w:r w:rsidRPr="00C9680B">
        <w:t>de utbil</w:t>
      </w:r>
      <w:r w:rsidRPr="00C9680B">
        <w:t>d</w:t>
      </w:r>
      <w:r w:rsidRPr="00C9680B">
        <w:t>ningar.</w:t>
      </w:r>
    </w:p>
    <w:p w:rsidR="001C7BF9" w:rsidRPr="00C9680B" w:rsidRDefault="001C7BF9">
      <w:pPr>
        <w:pStyle w:val="PunktlistaBomb"/>
        <w:numPr>
          <w:ilvl w:val="0"/>
          <w:numId w:val="1332"/>
        </w:numPr>
        <w:spacing w:before="62"/>
      </w:pPr>
      <w:r w:rsidRPr="00C9680B">
        <w:t>Inrättande av övergångsarbetsmarknader för människor som har svårt att komma in på den reguljära arbetsmarknaden. På dessa arbetsmarknader skall arbetskraften vara billigare genom en återföring av arbetsgivara</w:t>
      </w:r>
      <w:r w:rsidRPr="00C9680B">
        <w:t>v</w:t>
      </w:r>
      <w:r w:rsidRPr="00C9680B">
        <w:t>gifter.</w:t>
      </w:r>
    </w:p>
    <w:p w:rsidR="001C7BF9" w:rsidRPr="00C9680B" w:rsidRDefault="001C7BF9">
      <w:pPr>
        <w:pStyle w:val="PunktlistaBomb"/>
        <w:numPr>
          <w:ilvl w:val="0"/>
          <w:numId w:val="0"/>
        </w:numPr>
      </w:pPr>
      <w:r w:rsidRPr="00C9680B">
        <w:rPr>
          <w:i/>
        </w:rPr>
        <w:t xml:space="preserve">Regionalpolitiken </w:t>
      </w:r>
      <w:r w:rsidRPr="00C9680B">
        <w:t>måste omformas från att bygga på stöd och bidrag till ett mer tillväxtorienterat underifrånperspektiv. Målet är att ge utrymme för mä</w:t>
      </w:r>
      <w:r w:rsidRPr="00C9680B">
        <w:t>n</w:t>
      </w:r>
      <w:r w:rsidRPr="00C9680B">
        <w:t>niskors livskvalitet och att vi tar till vara livskraften i hela landet. För att nå detta krävs en god infrastruktur och en garanterad grundläggande service så att hela Sverige kan leva och utvecklas på likvärdiga villkor. Centerpartiet föreslår en digital allemansrätt, satsningar på underhåll av vägnätet och fria forskningsresurser till de regionala högskolorna samt ett syst</w:t>
      </w:r>
      <w:r w:rsidRPr="00C9680B">
        <w:t>em för avskri</w:t>
      </w:r>
      <w:r w:rsidRPr="00C9680B">
        <w:t>v</w:t>
      </w:r>
      <w:r w:rsidRPr="00C9680B">
        <w:t>ningar av studieskulder.</w:t>
      </w:r>
    </w:p>
    <w:p w:rsidR="001C7BF9" w:rsidRPr="00C9680B" w:rsidRDefault="001C7BF9">
      <w:pPr>
        <w:pStyle w:val="Normaltindrag"/>
        <w:rPr>
          <w:snapToGrid w:val="0"/>
        </w:rPr>
      </w:pPr>
      <w:r w:rsidRPr="00C9680B">
        <w:rPr>
          <w:snapToGrid w:val="0"/>
        </w:rPr>
        <w:t xml:space="preserve">Centerpartiet vill ge alla möjlighet att ta del av den nya tekniken genom en </w:t>
      </w:r>
      <w:r w:rsidRPr="00C9680B">
        <w:rPr>
          <w:i/>
          <w:snapToGrid w:val="0"/>
        </w:rPr>
        <w:t>digital allemansrätt</w:t>
      </w:r>
      <w:r w:rsidRPr="00C9680B">
        <w:rPr>
          <w:snapToGrid w:val="0"/>
        </w:rPr>
        <w:t>. Regeringens passivitet leder till en icke önskvärd u</w:t>
      </w:r>
      <w:r w:rsidRPr="00C9680B">
        <w:rPr>
          <w:snapToGrid w:val="0"/>
        </w:rPr>
        <w:t>t</w:t>
      </w:r>
      <w:r w:rsidRPr="00C9680B">
        <w:rPr>
          <w:snapToGrid w:val="0"/>
        </w:rPr>
        <w:t>veckling med lokala och regionala monopolställningar på tjänstesidan.</w:t>
      </w:r>
    </w:p>
    <w:p w:rsidR="001C7BF9" w:rsidRPr="00C9680B" w:rsidRDefault="001C7BF9">
      <w:pPr>
        <w:pStyle w:val="Normaltindrag"/>
        <w:rPr>
          <w:snapToGrid w:val="0"/>
        </w:rPr>
      </w:pPr>
      <w:r w:rsidRPr="00C9680B">
        <w:rPr>
          <w:snapToGrid w:val="0"/>
        </w:rPr>
        <w:t>Den digitala allemansrätten innebär att staten tar ansvar för utbyggnad av ett bredbandsnät som alla får tillgång till. Staten bör inrikta sig på de områden där det finns en tydlig risk för monopol och där utbyggnaden inte sker på marknadsmässiga villkor. Utbyggnaden av detta bör ske i ett statligt bolag som uppbär avgifter från de operatörer som tillhandahåller sj</w:t>
      </w:r>
      <w:r w:rsidRPr="00C9680B">
        <w:rPr>
          <w:snapToGrid w:val="0"/>
        </w:rPr>
        <w:t>älva tran</w:t>
      </w:r>
      <w:r w:rsidRPr="00C9680B">
        <w:rPr>
          <w:snapToGrid w:val="0"/>
        </w:rPr>
        <w:t>s</w:t>
      </w:r>
      <w:r w:rsidRPr="00C9680B">
        <w:rPr>
          <w:snapToGrid w:val="0"/>
        </w:rPr>
        <w:t>porttjänsten. Detta beräknas kosta 60 miljarder kronor.</w:t>
      </w:r>
    </w:p>
    <w:p w:rsidR="001C7BF9" w:rsidRPr="00C9680B" w:rsidRDefault="001C7BF9">
      <w:pPr>
        <w:pStyle w:val="Normaltindrag"/>
      </w:pPr>
      <w:r w:rsidRPr="00C9680B">
        <w:t xml:space="preserve">Centerpartiet har medverkat till en omfördelning av resurser från försvaret till </w:t>
      </w:r>
      <w:r w:rsidRPr="00C9680B">
        <w:rPr>
          <w:i/>
        </w:rPr>
        <w:t>hälso- och sjukvården</w:t>
      </w:r>
      <w:r w:rsidRPr="00C9680B">
        <w:t>. Centerpartiets medverkan i försvarsuppgörelsen 1998 hade som utgångspunkt att de miljarder som kunde besparas inom fö</w:t>
      </w:r>
      <w:r w:rsidRPr="00C9680B">
        <w:t>r</w:t>
      </w:r>
      <w:r w:rsidRPr="00C9680B">
        <w:t>svarets budget skulle omfördelas till vården och omsorgen. Vården och o</w:t>
      </w:r>
      <w:r w:rsidRPr="00C9680B">
        <w:t>m</w:t>
      </w:r>
      <w:r w:rsidRPr="00C9680B">
        <w:t>sorgen kommer därmed att tillföras ytterligare 8 miljarder kronor under 2002–2004. De områden som skall prioriteras är primärvården, äldreomsorgen, psykiatrin samt mån</w:t>
      </w:r>
      <w:r w:rsidRPr="00C9680B">
        <w:t>g</w:t>
      </w:r>
      <w:r w:rsidRPr="00C9680B">
        <w:t>fald och tillgänglighet inom respektive område.</w:t>
      </w:r>
    </w:p>
    <w:p w:rsidR="001C7BF9" w:rsidRPr="00C9680B" w:rsidRDefault="001C7BF9">
      <w:pPr>
        <w:pStyle w:val="Normaltindrag"/>
      </w:pPr>
      <w:r w:rsidRPr="00C9680B">
        <w:t xml:space="preserve">Centerpartiet vill förnya </w:t>
      </w:r>
      <w:r w:rsidRPr="00C9680B">
        <w:rPr>
          <w:i/>
        </w:rPr>
        <w:t>familjepolitiken</w:t>
      </w:r>
      <w:r w:rsidRPr="00C9680B">
        <w:t xml:space="preserve"> och göra det familjepolitiska st</w:t>
      </w:r>
      <w:r w:rsidRPr="00C9680B">
        <w:t>ö</w:t>
      </w:r>
      <w:r w:rsidRPr="00C9680B">
        <w:t>det bättre anpassat efter olika familjers livsvillkor, förhållanden och önsk</w:t>
      </w:r>
      <w:r w:rsidRPr="00C9680B">
        <w:t>e</w:t>
      </w:r>
      <w:r w:rsidRPr="00C9680B">
        <w:t>mål. Vi vill uppmuntra föräldraskapet och ge familjerna större möjligheter att styra över sin ekonomi. Familjernas beroende av bidrag måste minska, och i stället skall skatten sänkas på låga inkomster tillsammans med ett reformerat familjepolitiskt stöd. Ett barnomsorgskonto och rätt till avdrag för barno</w:t>
      </w:r>
      <w:r w:rsidRPr="00C9680B">
        <w:t>m</w:t>
      </w:r>
      <w:r w:rsidRPr="00C9680B">
        <w:t xml:space="preserve">sorgskostnader och för resor till och från barnomsorg är andra förbättringar. </w:t>
      </w:r>
      <w:r w:rsidRPr="00C9680B">
        <w:t>Vi föreslår en höjning av den lägsta nivån i föräldrapenningen från 60 kr per dag till 200 kr per dag.</w:t>
      </w:r>
    </w:p>
    <w:p w:rsidR="001C7BF9" w:rsidRPr="00C9680B" w:rsidRDefault="001C7BF9">
      <w:pPr>
        <w:pStyle w:val="Normaltindrag"/>
        <w:rPr>
          <w:snapToGrid w:val="0"/>
        </w:rPr>
      </w:pPr>
      <w:r w:rsidRPr="00C9680B">
        <w:rPr>
          <w:snapToGrid w:val="0"/>
        </w:rPr>
        <w:t xml:space="preserve">För att öka </w:t>
      </w:r>
      <w:r w:rsidRPr="00C9680B">
        <w:rPr>
          <w:i/>
          <w:snapToGrid w:val="0"/>
        </w:rPr>
        <w:t>rättsväsendets förmåga och effektivitet</w:t>
      </w:r>
      <w:r w:rsidRPr="00C9680B">
        <w:rPr>
          <w:snapToGrid w:val="0"/>
        </w:rPr>
        <w:t xml:space="preserve"> när det gäller att för</w:t>
      </w:r>
      <w:r w:rsidRPr="00C9680B">
        <w:rPr>
          <w:snapToGrid w:val="0"/>
        </w:rPr>
        <w:t>e</w:t>
      </w:r>
      <w:r w:rsidRPr="00C9680B">
        <w:rPr>
          <w:snapToGrid w:val="0"/>
        </w:rPr>
        <w:t>bygga och bekämpa brott krävs resursförstärkningar inom framför allt polisen och kriminalvården. Polisen har den centrala rollen i arbetet för att motverka brott och våld i samhället, och en viktig förutsättning för detta arbete är att det finns tillgång till polis under dygnets alla timmar i varje kommun och varje stadsdel i de stora städerna.</w:t>
      </w:r>
    </w:p>
    <w:p w:rsidR="001C7BF9" w:rsidRPr="00C9680B" w:rsidRDefault="001C7BF9">
      <w:pPr>
        <w:pStyle w:val="Normaltindrag"/>
        <w:rPr>
          <w:snapToGrid w:val="0"/>
        </w:rPr>
      </w:pPr>
      <w:r w:rsidRPr="00C9680B">
        <w:rPr>
          <w:snapToGrid w:val="0"/>
        </w:rPr>
        <w:t xml:space="preserve">Centerpartiet anser att Sverige skall öka sitt engagemang för </w:t>
      </w:r>
      <w:r w:rsidRPr="00C9680B">
        <w:rPr>
          <w:i/>
          <w:snapToGrid w:val="0"/>
        </w:rPr>
        <w:t>internationell rättvisa</w:t>
      </w:r>
      <w:r w:rsidRPr="00C9680B">
        <w:rPr>
          <w:snapToGrid w:val="0"/>
        </w:rPr>
        <w:t xml:space="preserve"> och anser därför att biståndsmålet på en procent av BNI skall återup</w:t>
      </w:r>
      <w:r w:rsidRPr="00C9680B">
        <w:rPr>
          <w:snapToGrid w:val="0"/>
        </w:rPr>
        <w:t>p</w:t>
      </w:r>
      <w:r w:rsidRPr="00C9680B">
        <w:rPr>
          <w:snapToGrid w:val="0"/>
        </w:rPr>
        <w:t xml:space="preserve">rättas i en snabbare och jämnare takt än vad som nu sker. </w:t>
      </w:r>
    </w:p>
    <w:p w:rsidR="001C7BF9" w:rsidRPr="00C9680B" w:rsidRDefault="001C7BF9">
      <w:pPr>
        <w:pStyle w:val="Normaltindrag"/>
        <w:rPr>
          <w:snapToGrid w:val="0"/>
        </w:rPr>
      </w:pPr>
      <w:r w:rsidRPr="00C9680B">
        <w:rPr>
          <w:snapToGrid w:val="0"/>
        </w:rPr>
        <w:t xml:space="preserve">Sverige har goda förutsättningar att vara ett föredöme på </w:t>
      </w:r>
      <w:r w:rsidRPr="00C9680B">
        <w:rPr>
          <w:i/>
          <w:snapToGrid w:val="0"/>
        </w:rPr>
        <w:t>miljöområdet</w:t>
      </w:r>
      <w:r w:rsidRPr="00C9680B">
        <w:rPr>
          <w:snapToGrid w:val="0"/>
        </w:rPr>
        <w:t>, och landet måste ta vara på denna chans att leda den globala utvecklingen. Många av dagens miljöproblem är globala och ställer nya krav på internati</w:t>
      </w:r>
      <w:r w:rsidRPr="00C9680B">
        <w:rPr>
          <w:snapToGrid w:val="0"/>
        </w:rPr>
        <w:t>o</w:t>
      </w:r>
      <w:r w:rsidRPr="00C9680B">
        <w:rPr>
          <w:snapToGrid w:val="0"/>
        </w:rPr>
        <w:t>nellt samarbete, inom Norden, inom EU och med andra länder i världen. Centerpartiet vill nyttja den flexibla integrationen i EU till att bilda en nordisk miljöunion, och partiet vill införa gemensamma miniminivåer för miljöskatter i EU och vill också att EU:s ekonomi miljöprövas.</w:t>
      </w:r>
    </w:p>
    <w:p w:rsidR="001C7BF9" w:rsidRPr="00C9680B" w:rsidRDefault="001C7BF9">
      <w:pPr>
        <w:pStyle w:val="Normaltindrag"/>
      </w:pPr>
      <w:r w:rsidRPr="00C9680B">
        <w:t xml:space="preserve">Vissa </w:t>
      </w:r>
      <w:r w:rsidRPr="00C9680B">
        <w:rPr>
          <w:i/>
        </w:rPr>
        <w:t>statliga företag bör säljas</w:t>
      </w:r>
      <w:r w:rsidRPr="00C9680B">
        <w:t xml:space="preserve"> och inkomsterna bör användas till att amortera statsskulden. En försäljningsnivå som överstiger regeringens med 50 miljarder kronor är fullt möjlig. Den bör i första hand bestå av försäljning av resterande aktieinnehav i Assi-Domän och Merita Nordbanken samt av kluster av Luftfartsverket som kombineras med skyldighet att upprätthålla regional flygtrafik, Apoteksbolaget samt statens återstående aktieandel i T</w:t>
      </w:r>
      <w:r w:rsidRPr="00C9680B">
        <w:t>e</w:t>
      </w:r>
      <w:r w:rsidRPr="00C9680B">
        <w:t>lia.</w:t>
      </w:r>
    </w:p>
    <w:p w:rsidR="001C7BF9" w:rsidRPr="00C9680B" w:rsidRDefault="001C7BF9">
      <w:pPr>
        <w:pStyle w:val="Normaltindrag"/>
      </w:pPr>
      <w:r w:rsidRPr="00C9680B">
        <w:t>Jag föreslår att riksdagen ställer sig bakom Centerpartiets förslag</w:t>
      </w:r>
      <w:r w:rsidRPr="00C9680B">
        <w:t xml:space="preserve"> till nivå på utgiftstaket för staten under de tre närmast efterföljande åren. Taken bör fastställas till 781 miljarder kronor år 2001, 799 miljarder kronor år 2002 och 815 miljarder kronor år 2003. Dessa utgiftstak är 8, 15 respektive 29 miljarder kronor lägre än de tak regeringen föreslår för de tre kommande åren.</w:t>
      </w:r>
    </w:p>
    <w:p w:rsidR="001C7BF9" w:rsidRPr="00C9680B" w:rsidRDefault="001C7BF9">
      <w:r w:rsidRPr="00C9680B">
        <w:t>I följande tabell visas Centerpartiets förslag till fördelning på utgiftsområden. Detta bör enligt min mening ligga till grund för riksdagens beslut om förde</w:t>
      </w:r>
      <w:r w:rsidRPr="00C9680B">
        <w:t>l</w:t>
      </w:r>
      <w:r w:rsidRPr="00C9680B">
        <w:t>ningen år 2001.</w:t>
      </w:r>
    </w:p>
    <w:p w:rsidR="001C7BF9" w:rsidRPr="00C9680B" w:rsidRDefault="001C7BF9">
      <w:pPr>
        <w:pStyle w:val="FiU1tabellrubrik2000"/>
        <w:keepNext/>
        <w:keepLines/>
        <w:outlineLvl w:val="0"/>
      </w:pPr>
      <w:r w:rsidRPr="00C9680B">
        <w:t>Tabell. Centerpartiets förslag till utgiftsramar m.m. för budgetåret  2001</w:t>
      </w:r>
    </w:p>
    <w:p w:rsidR="001C7BF9" w:rsidRPr="00C9680B" w:rsidRDefault="001C7BF9">
      <w:pPr>
        <w:pStyle w:val="Tabell"/>
        <w:keepNext/>
        <w:keepLines/>
        <w:spacing w:line="190" w:lineRule="exact"/>
        <w:rPr>
          <w:sz w:val="14"/>
        </w:rPr>
      </w:pPr>
      <w:r w:rsidRPr="00C9680B">
        <w:rPr>
          <w:sz w:val="14"/>
        </w:rPr>
        <w:t>Belopp i miljoner kronor</w:t>
      </w:r>
    </w:p>
    <w:p w:rsidR="001C7BF9" w:rsidRPr="00C9680B" w:rsidRDefault="001C7BF9">
      <w:pPr>
        <w:pStyle w:val="Tabell"/>
        <w:keepNext/>
        <w:keepLines/>
        <w:rPr>
          <w:sz w:val="14"/>
        </w:rPr>
      </w:pPr>
      <w:r w:rsidRPr="00C9680B">
        <w:rPr>
          <w:sz w:val="14"/>
        </w:rPr>
        <w:t>Förändring i förhållande till regeringens förslag</w:t>
      </w:r>
    </w:p>
    <w:p w:rsidR="001C7BF9" w:rsidRPr="00C9680B" w:rsidRDefault="00C9680B">
      <w:pPr>
        <w:pStyle w:val="Tabell"/>
        <w:keepNext/>
        <w:keepLines/>
        <w:spacing w:line="240" w:lineRule="auto"/>
      </w:pPr>
      <w:r w:rsidRPr="00C9680B">
        <w:rPr>
          <w:noProof/>
        </w:rPr>
        <w:drawing>
          <wp:inline distT="0" distB="0" distL="0" distR="0">
            <wp:extent cx="3793490" cy="554609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5">
                      <a:extLst>
                        <a:ext uri="{28A0092B-C50C-407E-A947-70E740481C1C}">
                          <a14:useLocalDpi xmlns:a14="http://schemas.microsoft.com/office/drawing/2010/main" val="0"/>
                        </a:ext>
                      </a:extLst>
                    </a:blip>
                    <a:srcRect t="2489"/>
                    <a:stretch>
                      <a:fillRect/>
                    </a:stretch>
                  </pic:blipFill>
                  <pic:spPr bwMode="auto">
                    <a:xfrm>
                      <a:off x="0" y="0"/>
                      <a:ext cx="3793490" cy="5546090"/>
                    </a:xfrm>
                    <a:prstGeom prst="rect">
                      <a:avLst/>
                    </a:prstGeom>
                    <a:noFill/>
                    <a:ln>
                      <a:noFill/>
                    </a:ln>
                  </pic:spPr>
                </pic:pic>
              </a:graphicData>
            </a:graphic>
          </wp:inline>
        </w:drawing>
      </w:r>
    </w:p>
    <w:p w:rsidR="001C7BF9" w:rsidRPr="00C9680B" w:rsidRDefault="001C7BF9">
      <w:r w:rsidRPr="00C9680B">
        <w:t>Jag ställer mig således bakom de förslag som framförs i Centerpartiets part</w:t>
      </w:r>
      <w:r w:rsidRPr="00C9680B">
        <w:t>i</w:t>
      </w:r>
      <w:r w:rsidRPr="00C9680B">
        <w:t>motioner Fi210 yrkandena 2 och 4, båda med viss ändring, och yrkande 3 samt Sk321 yrkandena 1–8, 11–12, 15–18, 21–25 och 27–31 samt motion 2000/01:MJ418 (c) yrkande 9 och föreslår att riksdagen bifaller nämnda motionsyrka</w:t>
      </w:r>
      <w:r w:rsidRPr="00C9680B">
        <w:t>n</w:t>
      </w:r>
      <w:r w:rsidRPr="00C9680B">
        <w:t xml:space="preserve">den. </w:t>
      </w:r>
    </w:p>
    <w:p w:rsidR="001C7BF9" w:rsidRPr="00C9680B" w:rsidRDefault="001C7BF9">
      <w:pPr>
        <w:pStyle w:val="Normaltindrag"/>
      </w:pPr>
      <w:r w:rsidRPr="00C9680B">
        <w:t xml:space="preserve">Vidare anser jag att riksdagen bör avslå regeringens förslag i berörda delar samt övriga motionsyrkanden som är aktuella i detta sammanhang. </w:t>
      </w:r>
    </w:p>
    <w:p w:rsidR="001C7BF9" w:rsidRPr="00C9680B" w:rsidRDefault="001C7BF9">
      <w:pPr>
        <w:pStyle w:val="Reservationspunkt"/>
        <w:rPr>
          <w:noProof w:val="0"/>
        </w:rPr>
      </w:pPr>
      <w:bookmarkStart w:id="735" w:name="_Toc498910935"/>
      <w:r w:rsidRPr="00C9680B">
        <w:rPr>
          <w:noProof w:val="0"/>
        </w:rPr>
        <w:t>15. Budgetförslagen för år 2001 (punkt 5) (fp)</w:t>
      </w:r>
      <w:bookmarkEnd w:id="735"/>
    </w:p>
    <w:p w:rsidR="001C7BF9" w:rsidRPr="00C9680B" w:rsidRDefault="001C7BF9">
      <w:pPr>
        <w:pStyle w:val="Reservanter"/>
      </w:pPr>
      <w:r w:rsidRPr="00C9680B">
        <w:t xml:space="preserve">av Bo Könberg (fp). </w:t>
      </w:r>
    </w:p>
    <w:p w:rsidR="001C7BF9" w:rsidRPr="00C9680B" w:rsidRDefault="001C7BF9">
      <w:pPr>
        <w:pStyle w:val="Rubrik4"/>
        <w:rPr>
          <w:noProof w:val="0"/>
        </w:rPr>
      </w:pPr>
      <w:bookmarkStart w:id="736" w:name="_Toc498910936"/>
      <w:r w:rsidRPr="00C9680B">
        <w:rPr>
          <w:noProof w:val="0"/>
        </w:rPr>
        <w:t>Förslag till riksdagsbeslut</w:t>
      </w:r>
      <w:bookmarkEnd w:id="736"/>
    </w:p>
    <w:p w:rsidR="001C7BF9" w:rsidRPr="00C9680B" w:rsidRDefault="001C7BF9">
      <w:r w:rsidRPr="00C9680B">
        <w:t xml:space="preserve">Jag anser att förslaget till riksdagsbeslut under punkt 5 borde ha följande lydelse: </w:t>
      </w:r>
    </w:p>
    <w:p w:rsidR="001C7BF9" w:rsidRPr="00C9680B" w:rsidRDefault="001C7BF9">
      <w:pPr>
        <w:pStyle w:val="Normaltindrag"/>
      </w:pPr>
    </w:p>
    <w:p w:rsidR="001C7BF9" w:rsidRPr="00C9680B" w:rsidRDefault="001C7BF9">
      <w:pPr>
        <w:pStyle w:val="Frslagspunkt"/>
        <w:spacing w:before="0"/>
        <w:rPr>
          <w:b w:val="0"/>
          <w:i/>
          <w:noProof w:val="0"/>
        </w:rPr>
      </w:pPr>
      <w:r w:rsidRPr="00C9680B">
        <w:rPr>
          <w:b w:val="0"/>
          <w:i/>
          <w:noProof w:val="0"/>
        </w:rPr>
        <w:t>5.</w:t>
      </w:r>
      <w:r w:rsidRPr="00C9680B">
        <w:rPr>
          <w:b w:val="0"/>
          <w:i/>
          <w:noProof w:val="0"/>
        </w:rPr>
        <w:tab/>
        <w:t>Budgetförslagen för år 2001</w:t>
      </w:r>
    </w:p>
    <w:p w:rsidR="001C7BF9" w:rsidRPr="00C9680B" w:rsidRDefault="001C7BF9">
      <w:pPr>
        <w:pStyle w:val="Frslagstext"/>
        <w:numPr>
          <w:ilvl w:val="0"/>
          <w:numId w:val="1337"/>
        </w:numPr>
        <w:spacing w:before="125"/>
        <w:rPr>
          <w:i/>
        </w:rPr>
      </w:pPr>
      <w:r w:rsidRPr="00C9680B">
        <w:rPr>
          <w:i/>
        </w:rPr>
        <w:t xml:space="preserve">Utgiftstak för staten åren 2001–2003 (avsnitt 2.5.1) </w:t>
      </w:r>
    </w:p>
    <w:p w:rsidR="001C7BF9" w:rsidRPr="00C9680B" w:rsidRDefault="001C7BF9">
      <w:pPr>
        <w:pStyle w:val="Frslagstext"/>
        <w:ind w:left="0"/>
      </w:pPr>
      <w:r w:rsidRPr="00C9680B">
        <w:t xml:space="preserve">Riksdagen fastställer utgiftstaket för staten inklusive ålderspensionssystemet vid sidan av statsbudgeten till 772 miljarder kronor för år 2001, 794 miljarder kronor för år 2002 och 817 miljarder kronor för år 2003. Därmed bifaller riksdagen motion 2000/01:Fi211 yrkande  2  och avslår proposition 2000/01:1 punkt 2. </w:t>
      </w:r>
    </w:p>
    <w:p w:rsidR="001C7BF9" w:rsidRPr="00C9680B" w:rsidRDefault="001C7BF9">
      <w:pPr>
        <w:pStyle w:val="Frslagstext"/>
        <w:numPr>
          <w:ilvl w:val="0"/>
          <w:numId w:val="1337"/>
        </w:numPr>
        <w:spacing w:before="125"/>
        <w:rPr>
          <w:i/>
        </w:rPr>
      </w:pPr>
      <w:r w:rsidRPr="00C9680B">
        <w:rPr>
          <w:i/>
        </w:rPr>
        <w:t>Utgiftstak för den offentliga sektorn åren 2001–2003 (avsnitt 2.5.2)</w:t>
      </w:r>
    </w:p>
    <w:p w:rsidR="001C7BF9" w:rsidRPr="00C9680B" w:rsidRDefault="001C7BF9">
      <w:pPr>
        <w:pStyle w:val="Frslagstext"/>
        <w:ind w:left="0"/>
      </w:pPr>
      <w:r w:rsidRPr="00C9680B">
        <w:t>Riksdagen godkänner den i motion 2000/01:Fi211 redovisade reviderade beräkningen av de offentliga utgifterna för åren 2001–2003. Därmed bifaller riksdagen motion 2000/01:Fi211 yrkande 3 och avslår proposition 2000/01:1 punkt 3.</w:t>
      </w:r>
    </w:p>
    <w:p w:rsidR="001C7BF9" w:rsidRPr="00C9680B" w:rsidRDefault="001C7BF9">
      <w:pPr>
        <w:pStyle w:val="Frslagstext"/>
        <w:numPr>
          <w:ilvl w:val="0"/>
          <w:numId w:val="1337"/>
        </w:numPr>
        <w:spacing w:before="125"/>
        <w:rPr>
          <w:i/>
        </w:rPr>
      </w:pPr>
      <w:r w:rsidRPr="00C9680B">
        <w:rPr>
          <w:i/>
        </w:rPr>
        <w:t xml:space="preserve">Fördelning av statens utgifter på utgiftsområden för budgetåret 2001 (avsnitt 2.6) </w:t>
      </w:r>
    </w:p>
    <w:p w:rsidR="001C7BF9" w:rsidRPr="00C9680B" w:rsidRDefault="001C7BF9">
      <w:pPr>
        <w:pStyle w:val="Frslagstext"/>
        <w:ind w:left="0"/>
        <w:rPr>
          <w:i/>
        </w:rPr>
      </w:pPr>
      <w:r w:rsidRPr="00C9680B">
        <w:t>Riksdagen beslutar om fördelning av utgifterna för budgetåret 2001 på u</w:t>
      </w:r>
      <w:r w:rsidRPr="00C9680B">
        <w:t>t</w:t>
      </w:r>
      <w:r w:rsidRPr="00C9680B">
        <w:t>giftsområden enligt det med reservation 15 (fp) betecknade förslaget i den</w:t>
      </w:r>
      <w:r w:rsidRPr="00C9680B">
        <w:rPr>
          <w:i/>
        </w:rPr>
        <w:t xml:space="preserve"> sammanställning över statsbudgetens utgifter och inkomster</w:t>
      </w:r>
      <w:r w:rsidRPr="00C9680B">
        <w:t xml:space="preserve"> som följer efter utskottets förslag till beslut. Därmed bifaller riksdagen motion 2000/01:Fi211 yrkande 6 och avslår proposition 2000/01:1 punkt 8.</w:t>
      </w:r>
      <w:r w:rsidRPr="00C9680B">
        <w:rPr>
          <w:i/>
        </w:rPr>
        <w:t xml:space="preserve"> </w:t>
      </w:r>
    </w:p>
    <w:p w:rsidR="001C7BF9" w:rsidRPr="00C9680B" w:rsidRDefault="001C7BF9">
      <w:pPr>
        <w:pStyle w:val="Frslagstext"/>
        <w:numPr>
          <w:ilvl w:val="0"/>
          <w:numId w:val="1337"/>
        </w:numPr>
        <w:spacing w:before="125"/>
        <w:rPr>
          <w:i/>
        </w:rPr>
      </w:pPr>
      <w:r w:rsidRPr="00C9680B">
        <w:rPr>
          <w:i/>
        </w:rPr>
        <w:t xml:space="preserve">Förändringar av anslagsbehållningar för budgetåret 2001 (avsnitt 2.8) </w:t>
      </w:r>
    </w:p>
    <w:p w:rsidR="001C7BF9" w:rsidRPr="00C9680B" w:rsidRDefault="001C7BF9">
      <w:pPr>
        <w:pStyle w:val="Frslagstext"/>
        <w:ind w:left="0"/>
      </w:pPr>
      <w:r w:rsidRPr="00C9680B">
        <w:t>Riksdagen godkänner den i reservation 15 redovisade beräkningen av förän</w:t>
      </w:r>
      <w:r w:rsidRPr="00C9680B">
        <w:t>d</w:t>
      </w:r>
      <w:r w:rsidRPr="00C9680B">
        <w:t>ringar av anslagsbehållningar för budgetåret 2001.</w:t>
      </w:r>
      <w:r w:rsidRPr="00C9680B">
        <w:rPr>
          <w:i/>
        </w:rPr>
        <w:t xml:space="preserve"> </w:t>
      </w:r>
      <w:r w:rsidRPr="00C9680B">
        <w:t xml:space="preserve">Därmed bifaller riksdagen motion 2000/01:Fi211 yrkande 7 och avslår proposition 2000/01:1 punkt 9. </w:t>
      </w:r>
    </w:p>
    <w:p w:rsidR="001C7BF9" w:rsidRPr="00C9680B" w:rsidRDefault="001C7BF9">
      <w:pPr>
        <w:pStyle w:val="Frslagstext"/>
        <w:numPr>
          <w:ilvl w:val="0"/>
          <w:numId w:val="1337"/>
        </w:numPr>
        <w:spacing w:before="125"/>
        <w:rPr>
          <w:i/>
        </w:rPr>
      </w:pPr>
      <w:r w:rsidRPr="00C9680B">
        <w:rPr>
          <w:i/>
        </w:rPr>
        <w:t>Myndigheternas in- och utlåning i Riksgäldskontoret (avsnitt 2.9)</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7"/>
        </w:numPr>
        <w:spacing w:before="125"/>
        <w:rPr>
          <w:i/>
        </w:rPr>
      </w:pPr>
      <w:r w:rsidRPr="00C9680B">
        <w:rPr>
          <w:i/>
        </w:rPr>
        <w:t xml:space="preserve">Inkomstskatten för år 2001 (avsnitt 3.3.1)  </w:t>
      </w:r>
    </w:p>
    <w:p w:rsidR="001C7BF9" w:rsidRPr="00C9680B" w:rsidRDefault="001C7BF9">
      <w:pPr>
        <w:pStyle w:val="Frslagstext"/>
        <w:ind w:left="0"/>
      </w:pPr>
      <w:r w:rsidRPr="00C9680B">
        <w:t>Riksdagen godkänner vad som framförs i motionerna 2000/01:Sk324 och 2000/01:Sf308 om inkomstskatten för år 2001. Därmed bifaller riksdagen motionerna 2000/01:Sk324 yrkandena 2–5 och 2000/01:Sf308 yrkande 1 samt avslår proposition 2000/01:1 punkte</w:t>
      </w:r>
      <w:r w:rsidRPr="00C9680B">
        <w:t>r</w:t>
      </w:r>
      <w:r w:rsidRPr="00C9680B">
        <w:t xml:space="preserve">na 24, 25 och 27–31, alla i denna del.  </w:t>
      </w:r>
    </w:p>
    <w:p w:rsidR="001C7BF9" w:rsidRPr="00C9680B" w:rsidRDefault="001C7BF9">
      <w:pPr>
        <w:pStyle w:val="Frslagstext"/>
        <w:keepNext/>
        <w:numPr>
          <w:ilvl w:val="0"/>
          <w:numId w:val="1337"/>
        </w:numPr>
        <w:spacing w:before="125"/>
        <w:rPr>
          <w:i/>
        </w:rPr>
      </w:pPr>
      <w:r w:rsidRPr="00C9680B">
        <w:rPr>
          <w:i/>
        </w:rPr>
        <w:t xml:space="preserve">Utökade reseavdrag (avsnitt 3.3.2) </w:t>
      </w:r>
    </w:p>
    <w:p w:rsidR="001C7BF9" w:rsidRPr="00C9680B" w:rsidRDefault="001C7BF9">
      <w:pPr>
        <w:pStyle w:val="Frslagstext"/>
        <w:ind w:left="0"/>
      </w:pPr>
      <w:r w:rsidRPr="00C9680B">
        <w:t>Riksdagen godkänner vad som framförs i motion 2000/01:Sk324 om utökade reseavdrag. Därmed bifaller riksdagen motion 2000/01:Sk324 yrkande 6 och avslår propos</w:t>
      </w:r>
      <w:r w:rsidRPr="00C9680B">
        <w:t>i</w:t>
      </w:r>
      <w:r w:rsidRPr="00C9680B">
        <w:t xml:space="preserve">tion 2000/01:1 punkt 24 i denna del. </w:t>
      </w:r>
    </w:p>
    <w:p w:rsidR="001C7BF9" w:rsidRPr="00C9680B" w:rsidRDefault="001C7BF9">
      <w:pPr>
        <w:pStyle w:val="Frslagstext"/>
        <w:numPr>
          <w:ilvl w:val="0"/>
          <w:numId w:val="1337"/>
        </w:numPr>
        <w:spacing w:before="125"/>
      </w:pPr>
      <w:r w:rsidRPr="00C9680B">
        <w:rPr>
          <w:i/>
        </w:rPr>
        <w:t>Kapitalvinstbeskattning av bostäder (avsnitt 3.3.7)</w:t>
      </w:r>
    </w:p>
    <w:p w:rsidR="001C7BF9" w:rsidRPr="00C9680B" w:rsidRDefault="001C7BF9">
      <w:pPr>
        <w:pStyle w:val="Frslagstext"/>
        <w:ind w:left="0"/>
      </w:pPr>
      <w:r w:rsidRPr="00C9680B">
        <w:t xml:space="preserve">Riksdagen avslår regeringens förslag om en höjning av den skattepliktiga delen av kapitalvinsten vid försäljning av privatbostäder. Därmed avslås proposition 2000/01:1 punkt 24 i denna del. </w:t>
      </w:r>
    </w:p>
    <w:p w:rsidR="001C7BF9" w:rsidRPr="00C9680B" w:rsidRDefault="001C7BF9">
      <w:pPr>
        <w:pStyle w:val="Frslagstext"/>
        <w:numPr>
          <w:ilvl w:val="0"/>
          <w:numId w:val="1337"/>
        </w:numPr>
        <w:spacing w:before="125"/>
        <w:rPr>
          <w:i/>
        </w:rPr>
      </w:pPr>
      <w:r w:rsidRPr="00C9680B">
        <w:rPr>
          <w:i/>
        </w:rPr>
        <w:t>Beskattning av sjömän (avsnitt 3.3.9)</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7"/>
        </w:numPr>
        <w:spacing w:before="125"/>
        <w:rPr>
          <w:i/>
        </w:rPr>
      </w:pPr>
      <w:r w:rsidRPr="00C9680B">
        <w:rPr>
          <w:i/>
        </w:rPr>
        <w:t>Förändrade avgiftsnivåer för socialavgifterna (avsnitt 3.5)</w:t>
      </w:r>
    </w:p>
    <w:p w:rsidR="001C7BF9" w:rsidRPr="00C9680B" w:rsidRDefault="001C7BF9">
      <w:pPr>
        <w:pStyle w:val="Frslagstext"/>
        <w:ind w:left="0"/>
      </w:pPr>
      <w:r w:rsidRPr="00C9680B">
        <w:t xml:space="preserve">Riksdagen avslår proposition 2000/01:1 punkt 26 i denna del med hänvisning till vad som framförs i reservation 15.  </w:t>
      </w:r>
    </w:p>
    <w:p w:rsidR="001C7BF9" w:rsidRPr="00C9680B" w:rsidRDefault="001C7BF9">
      <w:pPr>
        <w:pStyle w:val="Frslagstext"/>
        <w:numPr>
          <w:ilvl w:val="0"/>
          <w:numId w:val="1337"/>
        </w:numPr>
        <w:spacing w:before="125"/>
        <w:rPr>
          <w:i/>
        </w:rPr>
      </w:pPr>
      <w:r w:rsidRPr="00C9680B">
        <w:rPr>
          <w:i/>
        </w:rPr>
        <w:t>Fastighetsskatt på bostäder (avsnitt 3.6.1)</w:t>
      </w:r>
    </w:p>
    <w:p w:rsidR="001C7BF9" w:rsidRPr="00C9680B" w:rsidRDefault="001C7BF9">
      <w:pPr>
        <w:pStyle w:val="Frslagstext"/>
        <w:ind w:left="0"/>
      </w:pPr>
      <w:r w:rsidRPr="00C9680B">
        <w:t>Riksdagen godkänner vad som framförs om sänkt fastighetsskatt på bostäder i reservation 15. Därmed bifaller riksdagen motionerna 2000/01:Sk316, 2000/01:Sk324 yrkande 13 och 2000/01:Bo235 yrkande 12 och avslår prop</w:t>
      </w:r>
      <w:r w:rsidRPr="00C9680B">
        <w:t>o</w:t>
      </w:r>
      <w:r w:rsidRPr="00C9680B">
        <w:t xml:space="preserve">sition 2000/01:1 punkt 23 i denna del. </w:t>
      </w:r>
    </w:p>
    <w:p w:rsidR="001C7BF9" w:rsidRPr="00C9680B" w:rsidRDefault="001C7BF9">
      <w:pPr>
        <w:pStyle w:val="Frslagstext"/>
        <w:numPr>
          <w:ilvl w:val="0"/>
          <w:numId w:val="1337"/>
        </w:numPr>
        <w:spacing w:before="125"/>
        <w:rPr>
          <w:i/>
        </w:rPr>
      </w:pPr>
      <w:r w:rsidRPr="00C9680B">
        <w:rPr>
          <w:i/>
        </w:rPr>
        <w:t>Värdering av bostadshyreshus vid 2001 års förmögenhetstaxering (a</w:t>
      </w:r>
      <w:r w:rsidRPr="00C9680B">
        <w:rPr>
          <w:i/>
        </w:rPr>
        <w:t>v</w:t>
      </w:r>
      <w:r w:rsidRPr="00C9680B">
        <w:rPr>
          <w:i/>
        </w:rPr>
        <w:t xml:space="preserve">snitt 3.6.3) </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7"/>
        </w:numPr>
        <w:spacing w:before="125"/>
        <w:rPr>
          <w:i/>
        </w:rPr>
      </w:pPr>
      <w:r w:rsidRPr="00C9680B">
        <w:rPr>
          <w:i/>
        </w:rPr>
        <w:t>Mervärdesskatt på resor (avsnitt 3.7.1)</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7"/>
        </w:numPr>
        <w:spacing w:before="125"/>
        <w:rPr>
          <w:i/>
        </w:rPr>
      </w:pPr>
      <w:r w:rsidRPr="00C9680B">
        <w:rPr>
          <w:i/>
        </w:rPr>
        <w:t xml:space="preserve">Skatt på alkohol och tobak (avsnitt 3.7.3) </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7"/>
        </w:numPr>
        <w:spacing w:before="125"/>
        <w:rPr>
          <w:i/>
        </w:rPr>
      </w:pPr>
      <w:r w:rsidRPr="00C9680B">
        <w:rPr>
          <w:i/>
        </w:rPr>
        <w:t>Förskjutning av skatteuttaget från energiskatt till koldioxidskatt (avsnitt 3.7.4)</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7"/>
        </w:numPr>
        <w:spacing w:before="125"/>
        <w:rPr>
          <w:i/>
        </w:rPr>
      </w:pPr>
      <w:r w:rsidRPr="00C9680B">
        <w:rPr>
          <w:i/>
        </w:rPr>
        <w:t xml:space="preserve">Höjd koldioxidskatt (avsnitt 3.7.5) </w:t>
      </w:r>
    </w:p>
    <w:p w:rsidR="001C7BF9" w:rsidRPr="00C9680B" w:rsidRDefault="001C7BF9">
      <w:pPr>
        <w:pStyle w:val="Frslagstext"/>
        <w:ind w:left="0"/>
      </w:pPr>
      <w:r w:rsidRPr="00C9680B">
        <w:t xml:space="preserve">Riksdagen avslår regeringens förslag om en höjning av koldioxidskatten. Därmed avslås proposition 2000/01:1 punkt 34 i denna del. </w:t>
      </w:r>
    </w:p>
    <w:p w:rsidR="001C7BF9" w:rsidRPr="00C9680B" w:rsidRDefault="001C7BF9">
      <w:pPr>
        <w:pStyle w:val="Frslagstext"/>
        <w:numPr>
          <w:ilvl w:val="0"/>
          <w:numId w:val="1337"/>
        </w:numPr>
        <w:spacing w:before="125"/>
        <w:rPr>
          <w:i/>
        </w:rPr>
      </w:pPr>
      <w:r w:rsidRPr="00C9680B">
        <w:rPr>
          <w:i/>
        </w:rPr>
        <w:t xml:space="preserve">Höjd energiskatt på el (avsnitt 3.7.6) </w:t>
      </w:r>
    </w:p>
    <w:p w:rsidR="001C7BF9" w:rsidRPr="00C9680B" w:rsidRDefault="001C7BF9">
      <w:pPr>
        <w:pStyle w:val="Frslagstext"/>
        <w:ind w:left="0"/>
      </w:pPr>
      <w:r w:rsidRPr="00C9680B">
        <w:t>Riksdagen avslår regeringens förslag om höjd energiskatt på el. Därmed av</w:t>
      </w:r>
      <w:r w:rsidRPr="00C9680B">
        <w:softHyphen/>
        <w:t>slås proposition 2000/01:1 punkt 34 i denna del.</w:t>
      </w:r>
    </w:p>
    <w:p w:rsidR="001C7BF9" w:rsidRPr="00C9680B" w:rsidRDefault="001C7BF9">
      <w:pPr>
        <w:pStyle w:val="Frslagstext"/>
        <w:numPr>
          <w:ilvl w:val="0"/>
          <w:numId w:val="1337"/>
        </w:numPr>
        <w:spacing w:before="125"/>
        <w:rPr>
          <w:i/>
        </w:rPr>
      </w:pPr>
      <w:r w:rsidRPr="00C9680B">
        <w:rPr>
          <w:i/>
        </w:rPr>
        <w:t xml:space="preserve">Beskattning av drivmedel (avsnitt 3.7.8) </w:t>
      </w:r>
    </w:p>
    <w:p w:rsidR="001C7BF9" w:rsidRPr="00C9680B" w:rsidRDefault="001C7BF9">
      <w:pPr>
        <w:pStyle w:val="Frslagstext"/>
        <w:ind w:left="0"/>
      </w:pPr>
      <w:r w:rsidRPr="00C9680B">
        <w:t>Riksdagen avslår regeringens förslag om en höjning av energiskatten på di</w:t>
      </w:r>
      <w:r w:rsidRPr="00C9680B">
        <w:t>e</w:t>
      </w:r>
      <w:r w:rsidRPr="00C9680B">
        <w:t>selolja. Därmed avslås proposition 2000/01:1 punkt 34 i denna del.</w:t>
      </w:r>
    </w:p>
    <w:p w:rsidR="001C7BF9" w:rsidRPr="00C9680B" w:rsidRDefault="001C7BF9">
      <w:pPr>
        <w:pStyle w:val="Frslagstext"/>
        <w:numPr>
          <w:ilvl w:val="0"/>
          <w:numId w:val="1337"/>
        </w:numPr>
        <w:spacing w:before="125"/>
        <w:rPr>
          <w:i/>
        </w:rPr>
      </w:pPr>
      <w:r w:rsidRPr="00C9680B">
        <w:rPr>
          <w:i/>
        </w:rPr>
        <w:t>Indexering av energi- och koldioxidskatt (avsnitt 3.7.9)</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7"/>
        </w:numPr>
        <w:spacing w:before="125"/>
        <w:rPr>
          <w:i/>
        </w:rPr>
      </w:pPr>
      <w:r w:rsidRPr="00C9680B">
        <w:rPr>
          <w:i/>
        </w:rPr>
        <w:t>Kalk- och cementindustrin (avsnitt 3.7.10)</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7"/>
        </w:numPr>
        <w:spacing w:before="125"/>
        <w:rPr>
          <w:i/>
        </w:rPr>
      </w:pPr>
      <w:r w:rsidRPr="00C9680B">
        <w:rPr>
          <w:i/>
        </w:rPr>
        <w:t xml:space="preserve">Fordonsskatt och försäljningsskatt (avsnitt 3.7.13) </w:t>
      </w:r>
    </w:p>
    <w:p w:rsidR="001C7BF9" w:rsidRPr="00C9680B" w:rsidRDefault="001C7BF9">
      <w:pPr>
        <w:pStyle w:val="Frslagstext"/>
        <w:ind w:left="0"/>
      </w:pPr>
      <w:r w:rsidRPr="00C9680B">
        <w:t xml:space="preserve">= utskottet </w:t>
      </w:r>
    </w:p>
    <w:p w:rsidR="001C7BF9" w:rsidRPr="00C9680B" w:rsidRDefault="001C7BF9">
      <w:pPr>
        <w:pStyle w:val="Frslagstext"/>
        <w:numPr>
          <w:ilvl w:val="0"/>
          <w:numId w:val="1337"/>
        </w:numPr>
        <w:spacing w:before="125"/>
        <w:rPr>
          <w:i/>
        </w:rPr>
      </w:pPr>
      <w:r w:rsidRPr="00C9680B">
        <w:rPr>
          <w:i/>
        </w:rPr>
        <w:t xml:space="preserve">Beräkningen av statsbudgetens inkomster för budgetåret 2001 (avsnitt 3.8) </w:t>
      </w:r>
    </w:p>
    <w:p w:rsidR="001C7BF9" w:rsidRPr="00C9680B" w:rsidRDefault="001C7BF9">
      <w:pPr>
        <w:pStyle w:val="Frslagstext"/>
        <w:ind w:left="0"/>
      </w:pPr>
      <w:r w:rsidRPr="00C9680B">
        <w:t xml:space="preserve">Riksdagen godkänner beräkningen av statsbudgetens inkomster för budgetåret 2001 enligt det med reservation 15 (fp) betecknade förslaget i den </w:t>
      </w:r>
      <w:r w:rsidRPr="00C9680B">
        <w:rPr>
          <w:i/>
        </w:rPr>
        <w:t>samma</w:t>
      </w:r>
      <w:r w:rsidRPr="00C9680B">
        <w:rPr>
          <w:i/>
        </w:rPr>
        <w:t>n</w:t>
      </w:r>
      <w:r w:rsidRPr="00C9680B">
        <w:rPr>
          <w:i/>
        </w:rPr>
        <w:t xml:space="preserve">ställning över statsbudgetens utgifter och inkomster </w:t>
      </w:r>
      <w:r w:rsidRPr="00C9680B">
        <w:t>som följer efter utskottets förslag till riksdagsbeslut.</w:t>
      </w:r>
      <w:r w:rsidRPr="00C9680B">
        <w:rPr>
          <w:i/>
        </w:rPr>
        <w:t xml:space="preserve"> </w:t>
      </w:r>
      <w:r w:rsidRPr="00C9680B">
        <w:t xml:space="preserve">Därmed bifaller riksdagen motion 2000/01:Fi211 yrkande 5 och avslår proposition 2000/01:1 punkt 7. </w:t>
      </w:r>
    </w:p>
    <w:p w:rsidR="001C7BF9" w:rsidRPr="00C9680B" w:rsidRDefault="001C7BF9">
      <w:pPr>
        <w:pStyle w:val="Frslagstext"/>
        <w:numPr>
          <w:ilvl w:val="0"/>
          <w:numId w:val="1337"/>
        </w:numPr>
        <w:spacing w:before="125"/>
        <w:rPr>
          <w:i/>
        </w:rPr>
      </w:pPr>
      <w:r w:rsidRPr="00C9680B">
        <w:rPr>
          <w:i/>
        </w:rPr>
        <w:t>Motionsyrkanden om budgetförslagen för år 2001</w:t>
      </w:r>
    </w:p>
    <w:p w:rsidR="001C7BF9" w:rsidRPr="00C9680B" w:rsidRDefault="001C7BF9">
      <w:pPr>
        <w:pStyle w:val="Frslagstext"/>
        <w:ind w:left="0"/>
      </w:pPr>
      <w:r w:rsidRPr="00C9680B">
        <w:t>Riksdagen tillkännager för regeringen som sin mening vad som framförs i reservation 15 om skattepolitikens inriktning, pensionssparande, hushållsnära tjänster, företagsbeskattning, löneskatt på vinstandelar, förmögenhetsbeskat</w:t>
      </w:r>
      <w:r w:rsidRPr="00C9680B">
        <w:t>t</w:t>
      </w:r>
      <w:r w:rsidRPr="00C9680B">
        <w:t xml:space="preserve">ning samt mervärdesskatt på böcker, tidningar och kultur. </w:t>
      </w:r>
    </w:p>
    <w:p w:rsidR="001C7BF9" w:rsidRPr="00C9680B" w:rsidRDefault="001C7BF9">
      <w:pPr>
        <w:pStyle w:val="Normaltindrag"/>
      </w:pPr>
      <w:r w:rsidRPr="00C9680B">
        <w:t>Riksdagen bifaller därmed motionerna 2000/01:Fi211 yrkandena 26 och 27, 2000/01:Sk324 yrkandena 1, 7, 8, 10, 14, 18 och 22, 2000/01:Sf308 y</w:t>
      </w:r>
      <w:r w:rsidRPr="00C9680B">
        <w:t>r</w:t>
      </w:r>
      <w:r w:rsidRPr="00C9680B">
        <w:t xml:space="preserve">kande 10, 2000/01:Ub227 yrkande 7 samt avslår övriga motionsyrkanden som finns upptagna i den </w:t>
      </w:r>
      <w:r w:rsidRPr="00C9680B">
        <w:rPr>
          <w:i/>
        </w:rPr>
        <w:t>förteckning över av utskottet i punkt 5 avstyrkta motio</w:t>
      </w:r>
      <w:r w:rsidRPr="00C9680B">
        <w:rPr>
          <w:i/>
        </w:rPr>
        <w:t>n</w:t>
      </w:r>
      <w:r w:rsidRPr="00C9680B">
        <w:rPr>
          <w:i/>
        </w:rPr>
        <w:t xml:space="preserve">syrkanden </w:t>
      </w:r>
      <w:r w:rsidRPr="00C9680B">
        <w:t>som följer efter u</w:t>
      </w:r>
      <w:r w:rsidRPr="00C9680B">
        <w:t>t</w:t>
      </w:r>
      <w:r w:rsidRPr="00C9680B">
        <w:t>skottets förslag till riksdagsbeslut.</w:t>
      </w:r>
    </w:p>
    <w:p w:rsidR="001C7BF9" w:rsidRPr="00C9680B" w:rsidRDefault="001C7BF9">
      <w:pPr>
        <w:pStyle w:val="Rubrik4"/>
        <w:rPr>
          <w:noProof w:val="0"/>
        </w:rPr>
      </w:pPr>
      <w:bookmarkStart w:id="737" w:name="_Toc498910937"/>
      <w:r w:rsidRPr="00C9680B">
        <w:rPr>
          <w:noProof w:val="0"/>
        </w:rPr>
        <w:t>Ställningstagande</w:t>
      </w:r>
      <w:bookmarkEnd w:id="737"/>
    </w:p>
    <w:p w:rsidR="001C7BF9" w:rsidRPr="00C9680B" w:rsidRDefault="001C7BF9">
      <w:r w:rsidRPr="00C9680B">
        <w:t>Sverige måste rustas för en långsiktig och uthållig tillväxt. För det första bör en inkomstskattereform genomföras vars huvudingredienser är sänkta marg</w:t>
      </w:r>
      <w:r w:rsidRPr="00C9680B">
        <w:t>i</w:t>
      </w:r>
      <w:r w:rsidRPr="00C9680B">
        <w:t>nalskatter genom slopad värnskatt, höjd brytpunkt, grundavdrag utan avtrap</w:t>
      </w:r>
      <w:r w:rsidRPr="00C9680B">
        <w:t>p</w:t>
      </w:r>
      <w:r w:rsidRPr="00C9680B">
        <w:t>ning samt en generell skatteminskning i form av exempelvis skattereduktion. Dessa förändringar skall, enligt min mening, genomföras inom en treårsper</w:t>
      </w:r>
      <w:r w:rsidRPr="00C9680B">
        <w:t>i</w:t>
      </w:r>
      <w:r w:rsidRPr="00C9680B">
        <w:t>od för att därefter gå vidare med ytterligare sänkningar av inkomstskatten. För det andra skall en stor socialförsäkringsreform genomföras med pensionsr</w:t>
      </w:r>
      <w:r w:rsidRPr="00C9680B">
        <w:t>e</w:t>
      </w:r>
      <w:r w:rsidRPr="00C9680B">
        <w:t xml:space="preserve">formen som förebild, där såväl sjukförsäkring som arbetslöshetsförsäkring ingår. Dessa skall göras obligatoriska, försäkringsmässiga </w:t>
      </w:r>
      <w:r w:rsidRPr="00C9680B">
        <w:t>och betalas med försäkringsavgifter.</w:t>
      </w:r>
    </w:p>
    <w:p w:rsidR="001C7BF9" w:rsidRPr="00C9680B" w:rsidRDefault="001C7BF9">
      <w:pPr>
        <w:pStyle w:val="Normaltindrag"/>
      </w:pPr>
      <w:r w:rsidRPr="00C9680B">
        <w:t>Det finns en stor risk för att den eufori som konjunkturuppgången medför leder till att långsiktiga frågor glöms bort och att beslut fattas om utgifter som binder ekonomin vid en utgiftsnivå som inte är hållbar när lågkonjunkturen kommer. Det kortsiktiga problem som, enligt min mening, tycks mest aktuellt är risken för överhettning samtidigt som den totala arbetslösheten fortfarande är för hög. En sådan situation innebär att efterfrågan ökar så snabbt att pr</w:t>
      </w:r>
      <w:r w:rsidRPr="00C9680B">
        <w:t>o</w:t>
      </w:r>
      <w:r w:rsidRPr="00C9680B">
        <w:t>duktionsresurserna inte kan möta efterfrågan, vilket i sin tur leder till löne- och prisökningar. För att hålla inflationsmålet måste då Riksbanken höja räntorna så att efterfrågan dämpas. Detta kan leda till en ny avmattning och på nytt ökande arbetslöshet. Jag anser att Folkpartiet liberalernas politik syftar till att undvika en sådan situ</w:t>
      </w:r>
      <w:r w:rsidRPr="00C9680B">
        <w:t>a</w:t>
      </w:r>
      <w:r w:rsidRPr="00C9680B">
        <w:t>tion.</w:t>
      </w:r>
    </w:p>
    <w:p w:rsidR="001C7BF9" w:rsidRPr="00C9680B" w:rsidRDefault="001C7BF9">
      <w:pPr>
        <w:pStyle w:val="Normaltindrag"/>
      </w:pPr>
      <w:r w:rsidRPr="00C9680B">
        <w:t>Det är slående att de inslag i den reformpolitik som förts under 1990-talet  och som nu ger effekt är några av dem som Folkpartiet liberalerna var djupt inblanda</w:t>
      </w:r>
      <w:r w:rsidRPr="00C9680B">
        <w:t>t i: skattereformen, budgetreformen, budgetsaneringen, EU-medlem</w:t>
      </w:r>
      <w:r w:rsidRPr="00C9680B">
        <w:softHyphen/>
        <w:t>skapet, en fristående riksbank, reformeringen av socialförsäkringarna, inte minst det nya pensionssystemet. Den rimliga slutsatsen är, enligt min mening, att reformeringen av den svenska ekonomin måste fortsätta. Det svenska skattetrycket är fortfarande rekordhögt. Det lönar sig för dåligt att arbeta. Företagsklimatet är inte tillräckligt gott, och arbetsmarknaden fungerar inte bra.</w:t>
      </w:r>
    </w:p>
    <w:p w:rsidR="001C7BF9" w:rsidRPr="00C9680B" w:rsidRDefault="001C7BF9">
      <w:pPr>
        <w:pStyle w:val="Rubrik2b"/>
        <w:outlineLvl w:val="0"/>
      </w:pPr>
      <w:bookmarkStart w:id="738" w:name="_Toc498910938"/>
      <w:r w:rsidRPr="00C9680B">
        <w:t>Skattepolitiken</w:t>
      </w:r>
      <w:bookmarkEnd w:id="738"/>
    </w:p>
    <w:p w:rsidR="001C7BF9" w:rsidRPr="00C9680B" w:rsidRDefault="001C7BF9">
      <w:r w:rsidRPr="00C9680B">
        <w:t>Dagens svenska skatter förhindrar en långsiktigt hållbar tillväxt. Skattepolit</w:t>
      </w:r>
      <w:r w:rsidRPr="00C9680B">
        <w:t>i</w:t>
      </w:r>
      <w:r w:rsidRPr="00C9680B">
        <w:t>ken måste därför läggas om och inriktas på att skapa förutsättningar för ett växande och dynamiskt näringsliv. Sverige behöver inte högre skatter utan fler skattebetalare. Genom en omläggning av skattepolitiken för att skapa förutsättningar för ett växande och dynamiskt näringsliv kan skattebaserna växa. Genom en nationellt långsiktig strategi för skattepolitiken skapas goda och stabila förutsättningar för ekonomisk tillväxt, minskat bidragsberoende och möjligheter för flera att leva på sin lön.</w:t>
      </w:r>
    </w:p>
    <w:p w:rsidR="001C7BF9" w:rsidRPr="00C9680B" w:rsidRDefault="001C7BF9">
      <w:pPr>
        <w:pStyle w:val="Normaltindrag"/>
      </w:pPr>
      <w:r w:rsidRPr="00C9680B">
        <w:t xml:space="preserve">Jag anser </w:t>
      </w:r>
      <w:r w:rsidRPr="00C9680B">
        <w:t>mot denna bakgrund att riksdagen bör godkänna Folkpartiet lib</w:t>
      </w:r>
      <w:r w:rsidRPr="00C9680B">
        <w:t>e</w:t>
      </w:r>
      <w:r w:rsidRPr="00C9680B">
        <w:t>ralernas förslag till inriktning av skattepolitiken som innehåller en skatter</w:t>
      </w:r>
      <w:r w:rsidRPr="00C9680B">
        <w:t>e</w:t>
      </w:r>
      <w:r w:rsidRPr="00C9680B">
        <w:t>form som kan genomföras över en treårsperiod med skattesänkningar på sammanlagt ca 56 miljarder kronor. Reformen skall finansieras genom besp</w:t>
      </w:r>
      <w:r w:rsidRPr="00C9680B">
        <w:t>a</w:t>
      </w:r>
      <w:r w:rsidRPr="00C9680B">
        <w:t>ringar, tillväxt och genom ett nej till regeringens kompensationstänkande. Reformen innebär att de grundläggande principerna i 1990–1991 års skatter</w:t>
      </w:r>
      <w:r w:rsidRPr="00C9680B">
        <w:t>e</w:t>
      </w:r>
      <w:r w:rsidRPr="00C9680B">
        <w:t>form återupprättas. Detta innebär att de allra flesta enbart skall betala ko</w:t>
      </w:r>
      <w:r w:rsidRPr="00C9680B">
        <w:t>m</w:t>
      </w:r>
      <w:r w:rsidRPr="00C9680B">
        <w:t>muna</w:t>
      </w:r>
      <w:r w:rsidRPr="00C9680B">
        <w:t>lskatt och att marginalskatten skall begränsas till 50 %, ”hälften kvar”. Detta uppnås genom avskaffad värnskatt, höjd brytpunkt för den statliga inkomstskatten samt borttagande av den s.k. LO-puckeln, dvs. att det förhöjda grundavdraget inte avtrappas. I reformen ingår också en skattereduktion, lika för alla. Av beloppet på ca 56 miljarder kronor avsätts ungefär 4 miljarder kronor till barnstöd i form av sänkt skatt för bar</w:t>
      </w:r>
      <w:r w:rsidRPr="00C9680B">
        <w:t>n</w:t>
      </w:r>
      <w:r w:rsidRPr="00C9680B">
        <w:t>familjer.</w:t>
      </w:r>
    </w:p>
    <w:p w:rsidR="001C7BF9" w:rsidRPr="00C9680B" w:rsidRDefault="001C7BF9">
      <w:pPr>
        <w:pStyle w:val="Normaltindrag"/>
      </w:pPr>
      <w:r w:rsidRPr="00C9680B">
        <w:t>För år 2001 bör riksdagen avvisa regeringens förslag om ”kompensation för</w:t>
      </w:r>
      <w:r w:rsidRPr="00C9680B">
        <w:t xml:space="preserve"> egenavgifter”. Riksdagen bör i stället ansluta sig till Folkpartiet liberale</w:t>
      </w:r>
      <w:r w:rsidRPr="00C9680B">
        <w:t>r</w:t>
      </w:r>
      <w:r w:rsidRPr="00C9680B">
        <w:t>nas förslag som för år 2001 innebär en skattereduktion för alla om bortåt 3 000 kr, avskaffande av värnskatten samt ett första steg mot att höja bry</w:t>
      </w:r>
      <w:r w:rsidRPr="00C9680B">
        <w:t>t</w:t>
      </w:r>
      <w:r w:rsidRPr="00C9680B">
        <w:t>punkten. Värnskatten bör slopas, då den är ett brott mot skattereformen. Målet är i stället att återgå till skattereformens princip 30/50. De inkomster som den höga marginalskatten inbringar står inte i rimlig proportion till de skador den åsamkar samhällsekonomin och medborgarnas för</w:t>
      </w:r>
      <w:r w:rsidRPr="00C9680B">
        <w:t>troende för de besked de får från politikerna. För år 2001 innebär förslaget en inkomstskattesänkning om ca 33 miljarder kronor, netto, räknat för hela den offentliga sektorn. Folkpa</w:t>
      </w:r>
      <w:r w:rsidRPr="00C9680B">
        <w:t>r</w:t>
      </w:r>
      <w:r w:rsidRPr="00C9680B">
        <w:t>tiet liberalerna avvisar regeringens val av inkomstskattemetoder och anser att de tekniska skillnader i avräkning med kommunsektorn som därigenom up</w:t>
      </w:r>
      <w:r w:rsidRPr="00C9680B">
        <w:t>p</w:t>
      </w:r>
      <w:r w:rsidRPr="00C9680B">
        <w:t>står dels på grund av skattereduktion, dels på grund av den bibehållna a</w:t>
      </w:r>
      <w:r w:rsidRPr="00C9680B">
        <w:t>v</w:t>
      </w:r>
      <w:r w:rsidRPr="00C9680B">
        <w:t>dragsrätten för pensionspremier i stället för via statsbidrag skall avräknas mot inkomsttitel.</w:t>
      </w:r>
    </w:p>
    <w:p w:rsidR="001C7BF9" w:rsidRPr="00C9680B" w:rsidRDefault="001C7BF9">
      <w:pPr>
        <w:pStyle w:val="Normaltindrag"/>
      </w:pPr>
      <w:r w:rsidRPr="00C9680B">
        <w:t>Därutöver är</w:t>
      </w:r>
      <w:r w:rsidRPr="00C9680B">
        <w:t xml:space="preserve"> följande förslag som Folkpartiet liberalerna föreslår angelä</w:t>
      </w:r>
      <w:r w:rsidRPr="00C9680B">
        <w:t>g</w:t>
      </w:r>
      <w:r w:rsidRPr="00C9680B">
        <w:t>na.</w:t>
      </w:r>
    </w:p>
    <w:p w:rsidR="001C7BF9" w:rsidRPr="00C9680B" w:rsidRDefault="001C7BF9">
      <w:pPr>
        <w:pStyle w:val="MP"/>
        <w:numPr>
          <w:ilvl w:val="0"/>
          <w:numId w:val="1325"/>
        </w:numPr>
      </w:pPr>
      <w:r w:rsidRPr="00C9680B">
        <w:t>Sänkta arbetsgivaravgifter. Skattereglernas utformning är av central betydelse för klimatet för att nya företag skall skapas och mindre företag växa. Det måste bli billigare att anställa. Eftersom den största potentialen för nyföretagande och jobb finns inom den privata tjänstesektorn skall hela sänkningen riktas mot denna del av ekonomin. Arbetsgivaravgiften sänks med ca 5 miljarder kronor år 2002 och med ca 12 miljarder kronor år 2003.</w:t>
      </w:r>
    </w:p>
    <w:p w:rsidR="001C7BF9" w:rsidRPr="00C9680B" w:rsidRDefault="001C7BF9">
      <w:pPr>
        <w:pStyle w:val="MP"/>
        <w:numPr>
          <w:ilvl w:val="0"/>
          <w:numId w:val="1325"/>
        </w:numPr>
      </w:pPr>
      <w:r w:rsidRPr="00C9680B">
        <w:t>En skattereduktion för hushållstjänster införs för privatpersoners beta</w:t>
      </w:r>
      <w:r w:rsidRPr="00C9680B">
        <w:t>l</w:t>
      </w:r>
      <w:r w:rsidRPr="00C9680B">
        <w:t>ning av arbetskostnaden för hushållstjänster som utförs i hemmet. Skatt</w:t>
      </w:r>
      <w:r w:rsidRPr="00C9680B">
        <w:t>e</w:t>
      </w:r>
      <w:r w:rsidRPr="00C9680B">
        <w:t>reduktionen uppgår till sammantaget 6 miljarder kronor under den ko</w:t>
      </w:r>
      <w:r w:rsidRPr="00C9680B">
        <w:t>m</w:t>
      </w:r>
      <w:r w:rsidRPr="00C9680B">
        <w:t>mande treårsper</w:t>
      </w:r>
      <w:r w:rsidRPr="00C9680B">
        <w:t>i</w:t>
      </w:r>
      <w:r w:rsidRPr="00C9680B">
        <w:t>oden.</w:t>
      </w:r>
    </w:p>
    <w:p w:rsidR="001C7BF9" w:rsidRPr="00C9680B" w:rsidRDefault="001C7BF9">
      <w:pPr>
        <w:pStyle w:val="MP"/>
        <w:numPr>
          <w:ilvl w:val="0"/>
          <w:numId w:val="1325"/>
        </w:numPr>
      </w:pPr>
      <w:r w:rsidRPr="00C9680B">
        <w:t>Skattereglerna för fåmansbolag, särskilt de sk. 3:12-reglerna, skall än</w:t>
      </w:r>
      <w:r w:rsidRPr="00C9680B">
        <w:t>d</w:t>
      </w:r>
      <w:r w:rsidRPr="00C9680B">
        <w:t>ras. Den som vill starta eget företag eller vidareutbilda sig skall få mö</w:t>
      </w:r>
      <w:r w:rsidRPr="00C9680B">
        <w:t>j</w:t>
      </w:r>
      <w:r w:rsidRPr="00C9680B">
        <w:t>lighet att ta ut ett pensionsår i förväg. Enklare avdragsregler bör införas för f</w:t>
      </w:r>
      <w:r w:rsidRPr="00C9680B">
        <w:t>ö</w:t>
      </w:r>
      <w:r w:rsidRPr="00C9680B">
        <w:t xml:space="preserve">retagare med hemmet som arbetsplats. </w:t>
      </w:r>
    </w:p>
    <w:p w:rsidR="001C7BF9" w:rsidRPr="00C9680B" w:rsidRDefault="001C7BF9">
      <w:pPr>
        <w:pStyle w:val="MP"/>
        <w:numPr>
          <w:ilvl w:val="0"/>
          <w:numId w:val="1324"/>
        </w:numPr>
      </w:pPr>
      <w:r w:rsidRPr="00C9680B">
        <w:t>Alldeles för lite har skett för att förenkla reglerna för företagarna. Rik</w:t>
      </w:r>
      <w:r w:rsidRPr="00C9680B">
        <w:t>s</w:t>
      </w:r>
      <w:r w:rsidRPr="00C9680B">
        <w:t>dagen bör göra det lättare att registrera företag, förenkla deklarations- och bokföringsregister, införa F-skattsedel åt alla och förbättra skatt</w:t>
      </w:r>
      <w:r w:rsidRPr="00C9680B">
        <w:t>e</w:t>
      </w:r>
      <w:r w:rsidRPr="00C9680B">
        <w:t>kontot så att de flesta småför</w:t>
      </w:r>
      <w:r w:rsidRPr="00C9680B">
        <w:t>e</w:t>
      </w:r>
      <w:r w:rsidRPr="00C9680B">
        <w:t>tagare kan klara detta på egen hand.</w:t>
      </w:r>
    </w:p>
    <w:p w:rsidR="001C7BF9" w:rsidRPr="00C9680B" w:rsidRDefault="001C7BF9">
      <w:pPr>
        <w:pStyle w:val="MP"/>
        <w:numPr>
          <w:ilvl w:val="0"/>
          <w:numId w:val="1326"/>
        </w:numPr>
      </w:pPr>
      <w:r w:rsidRPr="00C9680B">
        <w:t>Särskild löneskatt på vinstandelar slopas. Det är positivt med de system med andel i vinst för de anställda som många företag tillämpar. Det ökar arbetsglädjen och motivationen på arbetsplatserna och kan dessutom b</w:t>
      </w:r>
      <w:r w:rsidRPr="00C9680B">
        <w:t>i</w:t>
      </w:r>
      <w:r w:rsidRPr="00C9680B">
        <w:t>dra till att öka förståelsen för företagandets villkor och möjligheter. Sä</w:t>
      </w:r>
      <w:r w:rsidRPr="00C9680B">
        <w:t>r</w:t>
      </w:r>
      <w:r w:rsidRPr="00C9680B">
        <w:t>skild löneskatt bör därför inte utgå på vinstandelar som erbjuds anställda i ett företag. I samband härmed bör beskattningen av personaloptioner ses över med inriktning mot att nå en internationellt konkurrenkraftig skatt</w:t>
      </w:r>
      <w:r w:rsidRPr="00C9680B">
        <w:t>e</w:t>
      </w:r>
      <w:r w:rsidRPr="00C9680B">
        <w:t>nivå.</w:t>
      </w:r>
    </w:p>
    <w:p w:rsidR="001C7BF9" w:rsidRPr="00C9680B" w:rsidRDefault="001C7BF9">
      <w:pPr>
        <w:pStyle w:val="MP"/>
        <w:numPr>
          <w:ilvl w:val="0"/>
          <w:numId w:val="1326"/>
        </w:numPr>
      </w:pPr>
      <w:r w:rsidRPr="00C9680B">
        <w:t>Fastighetsskatten i dess nuvarande form bör på sikt avskaffas. I avvva</w:t>
      </w:r>
      <w:r w:rsidRPr="00C9680B">
        <w:t>k</w:t>
      </w:r>
      <w:r w:rsidRPr="00C9680B">
        <w:t>tan på underlag för ställningstagande till denna typ av beskattning bör taxeringsvärdena enligt Folkpartiets mening frysas. Givet en sådan fry</w:t>
      </w:r>
      <w:r w:rsidRPr="00C9680B">
        <w:t>s</w:t>
      </w:r>
      <w:r w:rsidRPr="00C9680B">
        <w:t>ning av taxeringsvärdena kan skattesatserna sättas till 1,2 % för småhus och 0,7 % för hyreshus.</w:t>
      </w:r>
    </w:p>
    <w:p w:rsidR="001C7BF9" w:rsidRPr="00C9680B" w:rsidRDefault="001C7BF9">
      <w:pPr>
        <w:pStyle w:val="MP"/>
        <w:numPr>
          <w:ilvl w:val="0"/>
          <w:numId w:val="1326"/>
        </w:numPr>
      </w:pPr>
      <w:r w:rsidRPr="00C9680B">
        <w:t>Förmögenhetsskatten bör slopas. I ett allra första steg bör sambeskat</w:t>
      </w:r>
      <w:r w:rsidRPr="00C9680B">
        <w:t>t</w:t>
      </w:r>
      <w:r w:rsidRPr="00C9680B">
        <w:t xml:space="preserve">ning av makar slopas. </w:t>
      </w:r>
    </w:p>
    <w:p w:rsidR="001C7BF9" w:rsidRPr="00C9680B" w:rsidRDefault="001C7BF9">
      <w:pPr>
        <w:pStyle w:val="MP"/>
        <w:numPr>
          <w:ilvl w:val="0"/>
          <w:numId w:val="1326"/>
        </w:numPr>
      </w:pPr>
      <w:r w:rsidRPr="00C9680B">
        <w:t>Avdragsrätten för pensionssparande bör höjas till ett och ett halvt basb</w:t>
      </w:r>
      <w:r w:rsidRPr="00C9680B">
        <w:t>e</w:t>
      </w:r>
      <w:r w:rsidRPr="00C9680B">
        <w:t xml:space="preserve">lopp.  </w:t>
      </w:r>
    </w:p>
    <w:p w:rsidR="001C7BF9" w:rsidRPr="00C9680B" w:rsidRDefault="001C7BF9">
      <w:pPr>
        <w:pStyle w:val="MP"/>
        <w:numPr>
          <w:ilvl w:val="0"/>
          <w:numId w:val="1326"/>
        </w:numPr>
      </w:pPr>
      <w:r w:rsidRPr="00C9680B">
        <w:t>Dubbelskatten på aktier måste slopas. Den enskilt viktigaste åtgärden för att öka tillgången till riskvilligt kapital är att slopa dubbelskatten på akt</w:t>
      </w:r>
      <w:r w:rsidRPr="00C9680B">
        <w:t>i</w:t>
      </w:r>
      <w:r w:rsidRPr="00C9680B">
        <w:t>er. Dubbe</w:t>
      </w:r>
      <w:r w:rsidRPr="00C9680B">
        <w:t>l</w:t>
      </w:r>
      <w:r w:rsidRPr="00C9680B">
        <w:t xml:space="preserve">skatten hindrar dessutom småföretag att växa med eget kapital. </w:t>
      </w:r>
    </w:p>
    <w:p w:rsidR="001C7BF9" w:rsidRPr="00C9680B" w:rsidRDefault="001C7BF9">
      <w:pPr>
        <w:rPr>
          <w:snapToGrid w:val="0"/>
          <w:color w:val="000000"/>
          <w:lang w:eastAsia="sv-SE"/>
        </w:rPr>
      </w:pPr>
      <w:r w:rsidRPr="00C9680B">
        <w:t xml:space="preserve">Genom en s.k. grön skatteväxling, dvs. </w:t>
      </w:r>
      <w:r w:rsidRPr="00C9680B">
        <w:rPr>
          <w:snapToGrid w:val="0"/>
          <w:color w:val="000000"/>
          <w:lang w:eastAsia="sv-SE"/>
        </w:rPr>
        <w:t>att växla skatt på arbete mot skatt på miljöförstöring förenas miljömålen med målen för den ekonomiska politiken. För att uppfylla kriterierna för begreppet skatteväxling är det viktigt att det sker motsvarande sänkningar av skatten på andra områden. Annars är det inte grön skatteväxling, utan snarare en form av svartväxling. Hittills har skatten på energi höjts kraftigt utan någon motsvarande skattesänkning på arbete. Det är därför mest angeläget att sänka skatten på arbete.</w:t>
      </w:r>
    </w:p>
    <w:p w:rsidR="001C7BF9" w:rsidRPr="00C9680B" w:rsidRDefault="001C7BF9">
      <w:pPr>
        <w:pStyle w:val="R4"/>
        <w:outlineLvl w:val="0"/>
      </w:pPr>
      <w:r w:rsidRPr="00C9680B">
        <w:t>Utgiftsramarna</w:t>
      </w:r>
    </w:p>
    <w:p w:rsidR="001C7BF9" w:rsidRPr="00C9680B" w:rsidRDefault="001C7BF9">
      <w:r w:rsidRPr="00C9680B">
        <w:t>Folkpartiet liberalerna anser att god vård, värdig äldreomsorg, utbildning med kvalitet och bättre ekonomiska villkor för barnfamiljerna är viktiga priorit</w:t>
      </w:r>
      <w:r w:rsidRPr="00C9680B">
        <w:t>e</w:t>
      </w:r>
      <w:r w:rsidRPr="00C9680B">
        <w:t>ringar. Bland annat bör patientinflytandet öka och vårdköerna minska. En vårdgaranti bör därför införas. Kommunerna måste koncentrera sina satsnin</w:t>
      </w:r>
      <w:r w:rsidRPr="00C9680B">
        <w:t>g</w:t>
      </w:r>
      <w:r w:rsidRPr="00C9680B">
        <w:t>ar på de allra viktigaste områdena. Hit hör omsorg och boende för äldre. De ekonomiska villkoren för pensionärer förbättras bl.a. genom att skatteredu</w:t>
      </w:r>
      <w:r w:rsidRPr="00C9680B">
        <w:t>k</w:t>
      </w:r>
      <w:r w:rsidRPr="00C9680B">
        <w:t>tionen gäller för alla, högkostnadsskyddet för vård och läkemedel förbättras samt bostadstillägget för pensionärer med låg pension utökas. En ny tryg</w:t>
      </w:r>
      <w:r w:rsidRPr="00C9680B">
        <w:t>g</w:t>
      </w:r>
      <w:r w:rsidRPr="00C9680B">
        <w:t>hetsförsäkring bör byggas upp. Dagens socialförsäkringar utform</w:t>
      </w:r>
      <w:r w:rsidRPr="00C9680B">
        <w:t>as som tre riktiga försäkringar – en allmän pensionsförsäkring, en allmän sjukförsäkring och en allmän arbetslöshetsförsäkring. Alla tre försäkringarna bör bli oblig</w:t>
      </w:r>
      <w:r w:rsidRPr="00C9680B">
        <w:t>a</w:t>
      </w:r>
      <w:r w:rsidRPr="00C9680B">
        <w:t>toriska och fristående från statens budget. Avgifter och förmåner blir därmed tydligare. Vad avser sjukförsäkringen bör den utformas så att arbetsgivarna uppmuntras till aktiva åtgärder för rehabilitering av långtidssj</w:t>
      </w:r>
      <w:r w:rsidRPr="00C9680B">
        <w:t>u</w:t>
      </w:r>
      <w:r w:rsidRPr="00C9680B">
        <w:t>ka.</w:t>
      </w:r>
    </w:p>
    <w:p w:rsidR="001C7BF9" w:rsidRPr="00C9680B" w:rsidRDefault="001C7BF9">
      <w:pPr>
        <w:pStyle w:val="Normaltindrag"/>
      </w:pPr>
      <w:r w:rsidRPr="00C9680B">
        <w:t>Vidare behöver familjepolitiken reformeras. Ett obeskattat barnkonto bör införas, med flexibel användning under förskoleåre</w:t>
      </w:r>
      <w:r w:rsidRPr="00C9680B">
        <w:t>n. Minskade marginale</w:t>
      </w:r>
      <w:r w:rsidRPr="00C9680B">
        <w:t>f</w:t>
      </w:r>
      <w:r w:rsidRPr="00C9680B">
        <w:t>fekter uppnås genom en stegvis växling av bostadsbidrag mot barnbidrag och sänkt skatt. Däremot bör den statligt beslutade maxtaxan avskaffas. Barno</w:t>
      </w:r>
      <w:r w:rsidRPr="00C9680B">
        <w:t>m</w:t>
      </w:r>
      <w:r w:rsidRPr="00C9680B">
        <w:t>sorgstaxor skall i stället beslutas lokalt. För att uppnå full valfrihet mellan kommunala och privata dagis bör en barnomsorgspeng införas i kommunerna samtidigt som etableringsfrihet garanteras.</w:t>
      </w:r>
    </w:p>
    <w:p w:rsidR="001C7BF9" w:rsidRPr="00C9680B" w:rsidRDefault="001C7BF9">
      <w:pPr>
        <w:pStyle w:val="Normaltindrag"/>
      </w:pPr>
      <w:r w:rsidRPr="00C9680B">
        <w:t>Utbildningsväsendet bör vidare stärkas. Det är oacceptabelt med en grun</w:t>
      </w:r>
      <w:r w:rsidRPr="00C9680B">
        <w:t>d</w:t>
      </w:r>
      <w:r w:rsidRPr="00C9680B">
        <w:t>skola som elever kan lämna utan att vara godkända i viktiga ämnen. Likaså är det alarmerande att så många elever hoppar av gymnasiet i förtid eller lämnar det utan fullständiga betyg. Lärarna som är skolans viktigaste resurs har blivit en bristvara och många platser på lärarutbildningarna står tomma. För att återskapa respekten för läraryrket bör bl.a. fler karriärmöjligheter skapas, lärarlegitimation införas och lönerna höjas. Lärarförsörjningen inom den högre utbildningen måste också tryggas. Därför vill</w:t>
      </w:r>
      <w:r w:rsidRPr="00C9680B">
        <w:t xml:space="preserve"> Folkpartiet inrätta fler doktorandtjänster, och mer pengar bör därför avsättas till doktorandtjänster och forskning. Möjligheterna att utbilda sig senare i livet måste också förbät</w:t>
      </w:r>
      <w:r w:rsidRPr="00C9680B">
        <w:t>t</w:t>
      </w:r>
      <w:r w:rsidRPr="00C9680B">
        <w:t>ras. Alla vuxenstuderande bör därför omfattas av det allmänna studiestöd</w:t>
      </w:r>
      <w:r w:rsidRPr="00C9680B">
        <w:t>s</w:t>
      </w:r>
      <w:r w:rsidRPr="00C9680B">
        <w:t>systemet, där möjlighet till högre bidragsdel finns vid gymnasiestudier och grundläggande studier. Det särskilda vuxenstudiestödet vid vissa lärarutbil</w:t>
      </w:r>
      <w:r w:rsidRPr="00C9680B">
        <w:t>d</w:t>
      </w:r>
      <w:r w:rsidRPr="00C9680B">
        <w:t>ningar och vid vissa andra utbildningar bör ersättas med studiemedel. Ett livslångt lärande är viktigt oc</w:t>
      </w:r>
      <w:r w:rsidRPr="00C9680B">
        <w:t>h för att möjliggöra detta bör ett nytt system med individuella utbildningskonton införas. Jag anser att riksdagen bör til</w:t>
      </w:r>
      <w:r w:rsidRPr="00C9680B">
        <w:t>l</w:t>
      </w:r>
      <w:r w:rsidRPr="00C9680B">
        <w:t>styrka Folkpartiet liberalernas föreslag att det nuvarande avdragsgilla pe</w:t>
      </w:r>
      <w:r w:rsidRPr="00C9680B">
        <w:t>n</w:t>
      </w:r>
      <w:r w:rsidRPr="00C9680B">
        <w:t>sionssparandet skall kunna utgöra ett ”pensions- och utvecklingssparande”, där individer får göra skattefria avsättningar, som senare kan användas för att bekosta studier. Det bör vidare bli möjligt för människor mellan 30 och 55 år att upp till en viss gräns låna av det allmänna pensionssystemet för att fina</w:t>
      </w:r>
      <w:r w:rsidRPr="00C9680B">
        <w:t>n</w:t>
      </w:r>
      <w:r w:rsidRPr="00C9680B">
        <w:t>sie</w:t>
      </w:r>
      <w:r w:rsidRPr="00C9680B">
        <w:t>ra utbildning. Förslagsvis kan man få ta ut 60 % av sin årslön. I gengäld reduceras individens ålderspension med motsvarande belopp. Den som tagit ut ett pensionsår i förväg kan återvinna denna pensionsrätt genom sparande, exempelvis i en pensionsförsäkring, annat privat sparande eller genom att gå i pension senare. Skattemyndigheterna bör tillföras ytterligare resurser för att minska skattefusk. Med skattemyndigheternas ökade möjligheter att jaga dem som vill slippa undan räknar vi med att skatteinkomste</w:t>
      </w:r>
      <w:r w:rsidRPr="00C9680B">
        <w:t>r</w:t>
      </w:r>
      <w:r w:rsidRPr="00C9680B">
        <w:t>n</w:t>
      </w:r>
      <w:r w:rsidRPr="00C9680B">
        <w:t>a ökar.</w:t>
      </w:r>
    </w:p>
    <w:p w:rsidR="001C7BF9" w:rsidRPr="00C9680B" w:rsidRDefault="001C7BF9">
      <w:pPr>
        <w:pStyle w:val="Normaltindrag"/>
      </w:pPr>
      <w:r w:rsidRPr="00C9680B">
        <w:t>Biståndet bör också höjas med drygt 1 700 miljoner kronor utöver reg</w:t>
      </w:r>
      <w:r w:rsidRPr="00C9680B">
        <w:t>e</w:t>
      </w:r>
      <w:r w:rsidRPr="00C9680B">
        <w:t>ringens förslag år 2001. Den totala biståndsramen uppgår därmed till 0,81 % av BNI. Med Folkpartiets förslag kommer biståndet även att höjas successivt åren därefter. För åren 2002 och 2003 anslås drygt 2 400 respektive drygt 1 700 miljoner kronor utöver regeringens förslag. Den totala biståndsramen kommer därmed att uppgå till 0,85 respektive 0,88 procent av BNI för åren 2002 och 2003. Folkpartiet anser vidare att biståndet bör inriktas på åtgärder som stärker demokratin. Man bör öka volym och kvantitet p</w:t>
      </w:r>
      <w:r w:rsidRPr="00C9680B">
        <w:t>å biståndsinsatser men samtidigt bör kvalitets</w:t>
      </w:r>
      <w:r w:rsidRPr="00C9680B">
        <w:softHyphen/>
        <w:t>aspekterna få än större tyngd. Beslutat bistånd</w:t>
      </w:r>
      <w:r w:rsidRPr="00C9680B">
        <w:rPr>
          <w:snapToGrid w:val="0"/>
          <w:lang w:eastAsia="sv-SE"/>
        </w:rPr>
        <w:t xml:space="preserve"> skall </w:t>
      </w:r>
      <w:r w:rsidRPr="00C9680B">
        <w:t>kunna genomföras och betalas i den takt som gagnar verksamheten bäst och inte bli föremål för drastiska begrän</w:t>
      </w:r>
      <w:r w:rsidRPr="00C9680B">
        <w:t>s</w:t>
      </w:r>
      <w:r w:rsidRPr="00C9680B">
        <w:t xml:space="preserve">ningsbelopp. </w:t>
      </w:r>
    </w:p>
    <w:p w:rsidR="001C7BF9" w:rsidRPr="00C9680B" w:rsidRDefault="001C7BF9">
      <w:pPr>
        <w:pStyle w:val="Normaltindrag"/>
      </w:pPr>
      <w:r w:rsidRPr="00C9680B">
        <w:t>De lokala investeringsprogrammen bör avskaffas och räntebidragen min</w:t>
      </w:r>
      <w:r w:rsidRPr="00C9680B">
        <w:t>s</w:t>
      </w:r>
      <w:r w:rsidRPr="00C9680B">
        <w:t>kas liksom regeringens kommunakut för bl.a. kommunala bostadsbolag. Bygg- och bostadssektorn behöver i stället mer marknadsmässiga villkor. Vidare bör riksdagen besluta att minska antalet personer i konjunkturberoe</w:t>
      </w:r>
      <w:r w:rsidRPr="00C9680B">
        <w:t>n</w:t>
      </w:r>
      <w:r w:rsidRPr="00C9680B">
        <w:t>de arbetsmarknadspolitiska åtgärder. Köp av arbetsmarknadspolitisk utbil</w:t>
      </w:r>
      <w:r w:rsidRPr="00C9680B">
        <w:t>d</w:t>
      </w:r>
      <w:r w:rsidRPr="00C9680B">
        <w:t xml:space="preserve">ning kan minskas i motsvarande mån. Däremot bör ökade medel beräknas för särskilda insatser för arbetshandikappade samt Samhall.  </w:t>
      </w:r>
    </w:p>
    <w:p w:rsidR="001C7BF9" w:rsidRPr="00C9680B" w:rsidRDefault="001C7BF9">
      <w:pPr>
        <w:pStyle w:val="Normaltindrag"/>
      </w:pPr>
      <w:r w:rsidRPr="00C9680B">
        <w:t>Utförsäljningar av statliga bolag bör vidare genomföras i större utsträc</w:t>
      </w:r>
      <w:r w:rsidRPr="00C9680B">
        <w:t>k</w:t>
      </w:r>
      <w:r w:rsidRPr="00C9680B">
        <w:t>ning än regeringen föreslår. Statens utgifter för räntor kan därigenom min</w:t>
      </w:r>
      <w:r w:rsidRPr="00C9680B">
        <w:t>s</w:t>
      </w:r>
      <w:r w:rsidRPr="00C9680B">
        <w:t xml:space="preserve">ka. </w:t>
      </w:r>
    </w:p>
    <w:p w:rsidR="001C7BF9" w:rsidRPr="00C9680B" w:rsidRDefault="001C7BF9">
      <w:pPr>
        <w:pStyle w:val="Normaltindrag"/>
      </w:pPr>
      <w:r w:rsidRPr="00C9680B">
        <w:t>Sammantaget innebär det att jag förordar att riksdagen bör godkänna Fol</w:t>
      </w:r>
      <w:r w:rsidRPr="00C9680B">
        <w:t>k</w:t>
      </w:r>
      <w:r w:rsidRPr="00C9680B">
        <w:t>partiets förslag till fördelning av utgifterna på u</w:t>
      </w:r>
      <w:r w:rsidRPr="00C9680B">
        <w:t>t</w:t>
      </w:r>
      <w:r w:rsidRPr="00C9680B">
        <w:t xml:space="preserve">giftsområdet. </w:t>
      </w:r>
    </w:p>
    <w:p w:rsidR="001C7BF9" w:rsidRPr="00C9680B" w:rsidRDefault="001C7BF9">
      <w:pPr>
        <w:pStyle w:val="FiU1tabellrubrik2000"/>
        <w:keepNext/>
        <w:keepLines/>
        <w:outlineLvl w:val="0"/>
      </w:pPr>
      <w:r w:rsidRPr="00C9680B">
        <w:t>Tabell. Folkpartiets förslag till utgiftsramar m.m. för budgetåret 2001</w:t>
      </w:r>
    </w:p>
    <w:p w:rsidR="001C7BF9" w:rsidRPr="00C9680B" w:rsidRDefault="001C7BF9">
      <w:pPr>
        <w:pStyle w:val="Normaltindrag"/>
        <w:keepNext/>
        <w:keepLines/>
        <w:spacing w:line="190" w:lineRule="atLeast"/>
        <w:outlineLvl w:val="0"/>
        <w:rPr>
          <w:sz w:val="14"/>
        </w:rPr>
      </w:pPr>
      <w:r w:rsidRPr="00C9680B">
        <w:rPr>
          <w:sz w:val="14"/>
        </w:rPr>
        <w:t>Belopp i miljoner kronor</w:t>
      </w:r>
    </w:p>
    <w:p w:rsidR="001C7BF9" w:rsidRPr="00C9680B" w:rsidRDefault="001C7BF9">
      <w:pPr>
        <w:pStyle w:val="Normaltindrag"/>
        <w:keepNext/>
        <w:keepLines/>
        <w:spacing w:line="190" w:lineRule="atLeast"/>
        <w:rPr>
          <w:sz w:val="14"/>
        </w:rPr>
      </w:pPr>
      <w:r w:rsidRPr="00C9680B">
        <w:rPr>
          <w:sz w:val="14"/>
        </w:rPr>
        <w:t>Förändring i förhållande till regeringens förslag</w:t>
      </w:r>
    </w:p>
    <w:p w:rsidR="001C7BF9" w:rsidRPr="00C9680B" w:rsidRDefault="00C9680B">
      <w:pPr>
        <w:pStyle w:val="Normaltindrag"/>
        <w:keepNext/>
        <w:keepLines/>
        <w:spacing w:line="190" w:lineRule="atLeast"/>
        <w:rPr>
          <w:sz w:val="14"/>
        </w:rPr>
      </w:pPr>
      <w:r w:rsidRPr="00C9680B">
        <w:rPr>
          <w:noProof/>
          <w:sz w:val="14"/>
        </w:rPr>
        <w:drawing>
          <wp:inline distT="0" distB="0" distL="0" distR="0">
            <wp:extent cx="3782695" cy="549719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6">
                      <a:extLst>
                        <a:ext uri="{28A0092B-C50C-407E-A947-70E740481C1C}">
                          <a14:useLocalDpi xmlns:a14="http://schemas.microsoft.com/office/drawing/2010/main" val="0"/>
                        </a:ext>
                      </a:extLst>
                    </a:blip>
                    <a:srcRect t="1866" b="3111"/>
                    <a:stretch>
                      <a:fillRect/>
                    </a:stretch>
                  </pic:blipFill>
                  <pic:spPr bwMode="auto">
                    <a:xfrm>
                      <a:off x="0" y="0"/>
                      <a:ext cx="3782695" cy="5497195"/>
                    </a:xfrm>
                    <a:prstGeom prst="rect">
                      <a:avLst/>
                    </a:prstGeom>
                    <a:noFill/>
                    <a:ln>
                      <a:noFill/>
                    </a:ln>
                  </pic:spPr>
                </pic:pic>
              </a:graphicData>
            </a:graphic>
          </wp:inline>
        </w:drawing>
      </w:r>
    </w:p>
    <w:p w:rsidR="001C7BF9" w:rsidRPr="00C9680B" w:rsidRDefault="00C9680B">
      <w:pPr>
        <w:pStyle w:val="Normaltindrag"/>
        <w:keepNext/>
        <w:keepLines/>
        <w:spacing w:line="190" w:lineRule="atLeast"/>
        <w:rPr>
          <w:sz w:val="14"/>
        </w:rPr>
      </w:pPr>
      <w:r w:rsidRPr="00C9680B">
        <w:rPr>
          <w:noProof/>
          <w:sz w:val="14"/>
        </w:rPr>
        <mc:AlternateContent>
          <mc:Choice Requires="wps">
            <w:drawing>
              <wp:anchor distT="0" distB="0" distL="114300" distR="114300" simplePos="0" relativeHeight="251658240" behindDoc="0" locked="0" layoutInCell="0" allowOverlap="1">
                <wp:simplePos x="0" y="0"/>
                <wp:positionH relativeFrom="column">
                  <wp:posOffset>177800</wp:posOffset>
                </wp:positionH>
                <wp:positionV relativeFrom="paragraph">
                  <wp:posOffset>5715</wp:posOffset>
                </wp:positionV>
                <wp:extent cx="3749040" cy="0"/>
                <wp:effectExtent l="0" t="0" r="0" b="0"/>
                <wp:wrapNone/>
                <wp:docPr id="87904549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D54AD"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5pt" to="309.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65tsAEAAEgDAAAOAAAAZHJzL2Uyb0RvYy54bWysU8Fu2zAMvQ/YPwi6L06ydluNOD2k6y7d&#10;FqDtBzCSbAuTRYFUYufvJ6lJVmy3Yj4Ikkg+vfdIr26nwYmDIbboG7mYzaUwXqG2vmvk89P9hy9S&#10;cASvwaE3jTwalrfr9+9WY6jNEnt02pBIIJ7rMTSyjzHUVcWqNwPwDIPxKdgiDRDTkbpKE4wJfXDV&#10;cj7/VI1IOhAqw5xu716Ccl3w29ao+LNt2UThGpm4xbJSWXd5rdYrqDuC0Ft1ogFvYDGA9enRC9Qd&#10;RBB7sv9ADVYRMrZxpnCosG2tMkVDUrOY/6XmsYdgipZkDoeLTfz/YNWPw8ZvKVNXk38MD6h+sfC4&#10;6cF3phB4OobUuEW2qhoD15eSfOCwJbEbv6NOObCPWFyYWhoyZNInpmL28WK2maJQ6fLj56ub+VXq&#10;iTrHKqjPhYE4fjM4iLxppLM++wA1HB44ZiJQn1Pytcd761zppfNibOTN9fK6FDA6q3MwpzF1u40j&#10;cYA8DeUrqlLkdRrh3usC1hvQX0/7CNa97NPjzp/MyPrzsHG9Q33c0tmk1K7C8jRaeR5en0v1nx9g&#10;/RsAAP//AwBQSwMEFAAGAAgAAAAhAByeNiraAAAABAEAAA8AAABkcnMvZG93bnJldi54bWxMj8FO&#10;wzAQRO9I/IO1SFyq1mlAVQhxKgTkxoVCxXUbL0lEvE5jtw18PdsTHEczmnlTrCfXqyONofNsYLlI&#10;QBHX3nbcGHh/q+YZqBCRLfaeycA3BViXlxcF5taf+JWOm9goKeGQo4E2xiHXOtQtOQwLPxCL9+lH&#10;h1Hk2Gg74knKXa/TJFlphx3LQosDPbZUf20OzkCotrSvfmb1LPm4aTyl+6eXZzTm+mp6uAcVaYp/&#10;YTjjCzqUwrTzB7ZB9QbSTK5EA3egxF0ts1tQu7PUZaH/w5e/AAAA//8DAFBLAQItABQABgAIAAAA&#10;IQC2gziS/gAAAOEBAAATAAAAAAAAAAAAAAAAAAAAAABbQ29udGVudF9UeXBlc10ueG1sUEsBAi0A&#10;FAAGAAgAAAAhADj9If/WAAAAlAEAAAsAAAAAAAAAAAAAAAAALwEAAF9yZWxzLy5yZWxzUEsBAi0A&#10;FAAGAAgAAAAhAMXPrm2wAQAASAMAAA4AAAAAAAAAAAAAAAAALgIAAGRycy9lMm9Eb2MueG1sUEsB&#10;Ai0AFAAGAAgAAAAhAByeNiraAAAABAEAAA8AAAAAAAAAAAAAAAAACgQAAGRycy9kb3ducmV2Lnht&#10;bFBLBQYAAAAABAAEAPMAAAARBQAAAAA=&#10;" o:allowincell="f"/>
            </w:pict>
          </mc:Fallback>
        </mc:AlternateContent>
      </w:r>
    </w:p>
    <w:p w:rsidR="001C7BF9" w:rsidRPr="00C9680B" w:rsidRDefault="001C7BF9">
      <w:pPr>
        <w:pStyle w:val="Normaltindrag"/>
        <w:keepNext/>
        <w:keepLines/>
        <w:ind w:firstLine="0"/>
      </w:pPr>
      <w:r w:rsidRPr="00C9680B">
        <w:t>Sammanfattningsvis anser jag således att riksdagen bör bifalla motionerna Fi211 (fp) yrkandena 2, 3, 5–7, 26 och 27, Sk316 (fp), Sk324 (fp) yrkandena 1–8, 10, 13, 14, 18 och 22, Sf308 (fp) yrkandena 1 och 10, Ub227 (fp) yrka</w:t>
      </w:r>
      <w:r w:rsidRPr="00C9680B">
        <w:t>n</w:t>
      </w:r>
      <w:r w:rsidRPr="00C9680B">
        <w:t xml:space="preserve">de 7 samt Bo235 (fp) yrkande 12. </w:t>
      </w:r>
    </w:p>
    <w:p w:rsidR="001C7BF9" w:rsidRPr="00C9680B" w:rsidRDefault="001C7BF9">
      <w:r w:rsidRPr="00C9680B">
        <w:t xml:space="preserve">Jag avstyrker regeringens förslag i berörda delar liksom de övriga motioner som är aktuella i detta sammanhang. </w:t>
      </w:r>
    </w:p>
    <w:p w:rsidR="001C7BF9" w:rsidRPr="00C9680B" w:rsidRDefault="001C7BF9">
      <w:pPr>
        <w:pStyle w:val="Reservationspunkt"/>
        <w:rPr>
          <w:noProof w:val="0"/>
        </w:rPr>
      </w:pPr>
      <w:bookmarkStart w:id="739" w:name="_Toc498910939"/>
      <w:r w:rsidRPr="00C9680B">
        <w:rPr>
          <w:noProof w:val="0"/>
        </w:rPr>
        <w:t>16.</w:t>
      </w:r>
      <w:r w:rsidRPr="00C9680B">
        <w:rPr>
          <w:noProof w:val="0"/>
        </w:rPr>
        <w:tab/>
        <w:t>Preliminär fördelning av utgifterna på utgiftsområden för åren 2002 och 2003 (punkt 7) (m)</w:t>
      </w:r>
      <w:bookmarkEnd w:id="739"/>
    </w:p>
    <w:p w:rsidR="001C7BF9" w:rsidRPr="00C9680B" w:rsidRDefault="001C7BF9">
      <w:pPr>
        <w:pStyle w:val="Reservanter"/>
      </w:pPr>
      <w:r w:rsidRPr="00C9680B">
        <w:t>av Gunnar Hökmark, Lennart Hedquist, Anna Åkerhielm och Gunnar Axén (alla m).</w:t>
      </w:r>
    </w:p>
    <w:p w:rsidR="001C7BF9" w:rsidRPr="00C9680B" w:rsidRDefault="001C7BF9">
      <w:pPr>
        <w:pStyle w:val="Reservationer-underrubrik"/>
        <w:rPr>
          <w:noProof w:val="0"/>
        </w:rPr>
      </w:pPr>
      <w:bookmarkStart w:id="740" w:name="_Toc498910940"/>
      <w:r w:rsidRPr="00C9680B">
        <w:rPr>
          <w:noProof w:val="0"/>
        </w:rPr>
        <w:t>Förslag till riksdagsbeslut</w:t>
      </w:r>
      <w:bookmarkEnd w:id="740"/>
    </w:p>
    <w:p w:rsidR="001C7BF9" w:rsidRPr="00C9680B" w:rsidRDefault="001C7BF9">
      <w:r w:rsidRPr="00C9680B">
        <w:t>Vi anser att förslaget till riksdagsbeslut under punkt 7 borde ha följande l</w:t>
      </w:r>
      <w:r w:rsidRPr="00C9680B">
        <w:t>y</w:t>
      </w:r>
      <w:r w:rsidRPr="00C9680B">
        <w:t>delse:</w:t>
      </w:r>
    </w:p>
    <w:p w:rsidR="001C7BF9" w:rsidRPr="00C9680B" w:rsidRDefault="001C7BF9">
      <w:pPr>
        <w:pStyle w:val="Reservantfrslag"/>
      </w:pPr>
      <w:r w:rsidRPr="00C9680B">
        <w:t>7.  Riksdagen godkänner den i reservation 16 föreslagna preliminära förde</w:t>
      </w:r>
      <w:r w:rsidRPr="00C9680B">
        <w:t>l</w:t>
      </w:r>
      <w:r w:rsidRPr="00C9680B">
        <w:t>ningen av utgifterna på utgiftsområden för budgetåren 2002 och 2003 som riktlinje för regeringens budgetarbete. Därmed bifaller riksdagen delvis m</w:t>
      </w:r>
      <w:r w:rsidRPr="00C9680B">
        <w:t>o</w:t>
      </w:r>
      <w:r w:rsidRPr="00C9680B">
        <w:t>tion 2000/01:Fi208 yrkande 6 och avslår proposition 2000/01:1 punkt 10 samt motionerna 2000/01:Fi209 yrkande 7, 2000/01:Fi210 yrkande 5 och 2000/01:</w:t>
      </w:r>
      <w:r w:rsidRPr="00C9680B">
        <w:br/>
        <w:t>Fi211 y</w:t>
      </w:r>
      <w:r w:rsidRPr="00C9680B">
        <w:t>r</w:t>
      </w:r>
      <w:r w:rsidRPr="00C9680B">
        <w:t xml:space="preserve">kande 8. </w:t>
      </w:r>
    </w:p>
    <w:p w:rsidR="001C7BF9" w:rsidRPr="00C9680B" w:rsidRDefault="001C7BF9">
      <w:pPr>
        <w:pStyle w:val="Reservationer-underrubrik"/>
        <w:rPr>
          <w:noProof w:val="0"/>
        </w:rPr>
      </w:pPr>
      <w:bookmarkStart w:id="741" w:name="_Toc498910941"/>
      <w:r w:rsidRPr="00C9680B">
        <w:rPr>
          <w:noProof w:val="0"/>
        </w:rPr>
        <w:t>Ställningstagande</w:t>
      </w:r>
      <w:bookmarkEnd w:id="741"/>
    </w:p>
    <w:p w:rsidR="001C7BF9" w:rsidRPr="00C9680B" w:rsidRDefault="001C7BF9">
      <w:r w:rsidRPr="00C9680B">
        <w:t xml:space="preserve">Vi biträder Moderata samlingspartiets förslag till preliminär fördelning av utgifterna på utgiftsområden för åren 2002 och 2003. </w:t>
      </w:r>
    </w:p>
    <w:p w:rsidR="001C7BF9" w:rsidRPr="00C9680B" w:rsidRDefault="001C7BF9">
      <w:pPr>
        <w:pStyle w:val="Normaltindrag"/>
      </w:pPr>
      <w:r w:rsidRPr="00C9680B">
        <w:t>Med vårt budgetförslag vill vi uppnå de politiska mål som finns redovisade i vår motion Fi208 (m). Den offentliga sektorns utgifter och inkomster måste begränsas för att de offentliga finanserna skall bli mindre konjunkturkänsliga. Därför inriktar vi våra åtgärder på utgiftsminskningar och skattesänkningar. Utgiftstaket för den offentliga sektorn bör minskas med netto 122 miljarder kronor 2002 och med 134 miljarder kronor 2003 jämfört med regeringens förslag. Till detta kommer våra omfattande skattesänknin</w:t>
      </w:r>
      <w:r w:rsidRPr="00C9680B">
        <w:t>gar på i första hand arbete och företagande som netto för 2002 uppgår till 79 miljarder kronor och för 2002 till 106 miljarder kronor för den konsoliderade offentliga se</w:t>
      </w:r>
      <w:r w:rsidRPr="00C9680B">
        <w:t>k</w:t>
      </w:r>
      <w:r w:rsidRPr="00C9680B">
        <w:t>torn.</w:t>
      </w:r>
    </w:p>
    <w:p w:rsidR="001C7BF9" w:rsidRPr="00C9680B" w:rsidRDefault="001C7BF9">
      <w:pPr>
        <w:pStyle w:val="Normaltindrag"/>
      </w:pPr>
      <w:r w:rsidRPr="00C9680B">
        <w:t>Vi anser således att riksdagen bör bifalla vårt förslag i motion Fi208 (m) yrkande 6 och hänvisar till de närmare preciseringar som görs där. Dock bör utgiftsområde 25 Allmänna bidrag till kommuner föras upp med 101 369 miljoner kronor för 2002 och med 103 945 miljoner kronor för 2003. Reg</w:t>
      </w:r>
      <w:r w:rsidRPr="00C9680B">
        <w:t>e</w:t>
      </w:r>
      <w:r w:rsidRPr="00C9680B">
        <w:t>ringens förslag i denna del liksom övriga motionsyrkanden bör avslås.</w:t>
      </w:r>
    </w:p>
    <w:p w:rsidR="001C7BF9" w:rsidRPr="00C9680B" w:rsidRDefault="001C7BF9">
      <w:pPr>
        <w:pStyle w:val="Reservationspunkt"/>
        <w:rPr>
          <w:noProof w:val="0"/>
        </w:rPr>
      </w:pPr>
      <w:bookmarkStart w:id="742" w:name="_Toc498910942"/>
      <w:r w:rsidRPr="00C9680B">
        <w:rPr>
          <w:noProof w:val="0"/>
        </w:rPr>
        <w:t>17.</w:t>
      </w:r>
      <w:r w:rsidRPr="00C9680B">
        <w:rPr>
          <w:noProof w:val="0"/>
        </w:rPr>
        <w:tab/>
        <w:t>Preliminär fördelning av utgifterna på utgiftsområden för åren 2002 och 2003 (punkt 7) (kd)</w:t>
      </w:r>
      <w:bookmarkEnd w:id="742"/>
    </w:p>
    <w:p w:rsidR="001C7BF9" w:rsidRPr="00C9680B" w:rsidRDefault="001C7BF9">
      <w:pPr>
        <w:pStyle w:val="Reservanter"/>
      </w:pPr>
      <w:r w:rsidRPr="00C9680B">
        <w:t>av Mats Odell och Per Landgren (båda kd).</w:t>
      </w:r>
    </w:p>
    <w:p w:rsidR="001C7BF9" w:rsidRPr="00C9680B" w:rsidRDefault="001C7BF9">
      <w:pPr>
        <w:pStyle w:val="R4"/>
      </w:pPr>
      <w:r w:rsidRPr="00C9680B">
        <w:t>Förslag till riksdagsbeslut</w:t>
      </w:r>
    </w:p>
    <w:p w:rsidR="001C7BF9" w:rsidRPr="00C9680B" w:rsidRDefault="001C7BF9">
      <w:r w:rsidRPr="00C9680B">
        <w:t>Vi anser att förslaget till riksdagsbeslut under punkt 7 borde ha följande l</w:t>
      </w:r>
      <w:r w:rsidRPr="00C9680B">
        <w:t>y</w:t>
      </w:r>
      <w:r w:rsidRPr="00C9680B">
        <w:t xml:space="preserve">delse: </w:t>
      </w:r>
    </w:p>
    <w:p w:rsidR="001C7BF9" w:rsidRPr="00C9680B" w:rsidRDefault="001C7BF9">
      <w:pPr>
        <w:pStyle w:val="Reservantfrslag"/>
      </w:pPr>
      <w:r w:rsidRPr="00C9680B">
        <w:t>7. Riksdagen godkänner den i motion 2000/01:Fi209 föreslagna preliminära fördelningen av utgifterna på utgiftsområden för budgetåren 2002 och 2003 som riktlinje för regeringens budgetarbete. Därmed bifaller riksdagen motion 2000/01:Fi209 yrkande 7 och avslår proposition 2000/01:1 punkt 10 samt motionerna 2000/01:Fi208 y</w:t>
      </w:r>
      <w:r w:rsidRPr="00C9680B">
        <w:t>r</w:t>
      </w:r>
      <w:r w:rsidRPr="00C9680B">
        <w:t>kande 6, 2000/01:Fi210 yrkande 5 och 2000/01:</w:t>
      </w:r>
      <w:r w:rsidRPr="00C9680B">
        <w:br/>
        <w:t xml:space="preserve">Fi211 yrkande 8. </w:t>
      </w:r>
    </w:p>
    <w:p w:rsidR="001C7BF9" w:rsidRPr="00C9680B" w:rsidRDefault="001C7BF9">
      <w:pPr>
        <w:pStyle w:val="R4"/>
      </w:pPr>
      <w:r w:rsidRPr="00C9680B">
        <w:t>Ställningstagande</w:t>
      </w:r>
    </w:p>
    <w:p w:rsidR="001C7BF9" w:rsidRPr="00C9680B" w:rsidRDefault="001C7BF9">
      <w:r w:rsidRPr="00C9680B">
        <w:t>Vi anser att den preliminära fördelningen av utgifterna på utgiftsområden för åren 2002 och 2003 skall göras i enlighet med Kristdemokraternas motion Fi209. Det innebär att anslagen på statsbudgeten bör vara ca 18 miljarder kronor lägre än regeringens förslag för 2002 och drygt 21 miljarder kronor lägre 2002. Genom den kristdemokratiska politiken, som vi anser att riksd</w:t>
      </w:r>
      <w:r w:rsidRPr="00C9680B">
        <w:t>a</w:t>
      </w:r>
      <w:r w:rsidRPr="00C9680B">
        <w:t>gen bör ställa sig bakom, kan betydande utgiftsminskningar åstadkommas genom bl.a. minskade kostnader för arbetslösheten och förändringar i försä</w:t>
      </w:r>
      <w:r w:rsidRPr="00C9680B">
        <w:t>k</w:t>
      </w:r>
      <w:r w:rsidRPr="00C9680B">
        <w:t xml:space="preserve">ringssystemen. De beloppsmässigt mest betydande besparingarna kan enligt de framlagda förslagen göras på utgiftsområdena 13 Arbetsmarknad och 10 Ekonomisk trygghet vid sjukdom och handikapp. </w:t>
      </w:r>
    </w:p>
    <w:p w:rsidR="001C7BF9" w:rsidRPr="00C9680B" w:rsidRDefault="001C7BF9">
      <w:pPr>
        <w:pStyle w:val="Normaltindrag"/>
      </w:pPr>
      <w:r w:rsidRPr="00C9680B">
        <w:t xml:space="preserve">Satsningar kan samtidigt göras de kommande åren inom flera områden. Garantinivån i föräldraförsäkringen höjs, vägnätet rustas upp. Pensionerna och u-landsbiståndet höjs och </w:t>
      </w:r>
      <w:r w:rsidRPr="00C9680B">
        <w:t>rättsväsendet tilldelas mer resurser. Den kris</w:t>
      </w:r>
      <w:r w:rsidRPr="00C9680B">
        <w:t>t</w:t>
      </w:r>
      <w:r w:rsidRPr="00C9680B">
        <w:t>demokratiska politiken innebär också ökade resurser till kommunsektorn för att inte minst trygga kommuninvånarnas framtida behov av vård och o</w:t>
      </w:r>
      <w:r w:rsidRPr="00C9680B">
        <w:t>m</w:t>
      </w:r>
      <w:r w:rsidRPr="00C9680B">
        <w:t>sorg.</w:t>
      </w:r>
    </w:p>
    <w:p w:rsidR="001C7BF9" w:rsidRPr="00C9680B" w:rsidRDefault="001C7BF9">
      <w:pPr>
        <w:pStyle w:val="Normaltindrag"/>
      </w:pPr>
      <w:r w:rsidRPr="00C9680B">
        <w:t xml:space="preserve">Med det anförda föreslår vi att motion Fi209 (kd) yrkande 7 bör bifallas av riksdagen. Vi hänvisar samtidigt till de närmare preciseringar som görs i motionen. Propositionens förslag och övriga motioners förslag i motsvarande delar bör avslås. </w:t>
      </w:r>
    </w:p>
    <w:p w:rsidR="001C7BF9" w:rsidRPr="00C9680B" w:rsidRDefault="001C7BF9">
      <w:pPr>
        <w:pStyle w:val="Reservationspunkt"/>
        <w:rPr>
          <w:noProof w:val="0"/>
        </w:rPr>
      </w:pPr>
      <w:bookmarkStart w:id="743" w:name="_Toc498910943"/>
      <w:r w:rsidRPr="00C9680B">
        <w:rPr>
          <w:noProof w:val="0"/>
        </w:rPr>
        <w:t>18.</w:t>
      </w:r>
      <w:r w:rsidRPr="00C9680B">
        <w:rPr>
          <w:noProof w:val="0"/>
        </w:rPr>
        <w:tab/>
        <w:t>Preliminär fördelning av utgifterna på utgiftsområden för åren 2002 och 2003 (punkt 7) (c)</w:t>
      </w:r>
      <w:bookmarkEnd w:id="743"/>
      <w:r w:rsidRPr="00C9680B">
        <w:rPr>
          <w:noProof w:val="0"/>
        </w:rPr>
        <w:t xml:space="preserve"> </w:t>
      </w:r>
    </w:p>
    <w:p w:rsidR="001C7BF9" w:rsidRPr="00C9680B" w:rsidRDefault="001C7BF9">
      <w:pPr>
        <w:pStyle w:val="Reservanter"/>
      </w:pPr>
      <w:r w:rsidRPr="00C9680B">
        <w:t>av Lena Ek (c).</w:t>
      </w:r>
    </w:p>
    <w:p w:rsidR="001C7BF9" w:rsidRPr="00C9680B" w:rsidRDefault="001C7BF9">
      <w:pPr>
        <w:pStyle w:val="R4"/>
      </w:pPr>
      <w:r w:rsidRPr="00C9680B">
        <w:t>Förslag till riksdagsbeslut</w:t>
      </w:r>
    </w:p>
    <w:p w:rsidR="001C7BF9" w:rsidRPr="00C9680B" w:rsidRDefault="001C7BF9">
      <w:r w:rsidRPr="00C9680B">
        <w:t>Jag anser att förslaget till riksdagsbeslut under punkt 7 borde ha följande lydelse:</w:t>
      </w:r>
    </w:p>
    <w:p w:rsidR="001C7BF9" w:rsidRPr="00C9680B" w:rsidRDefault="001C7BF9">
      <w:pPr>
        <w:pStyle w:val="Reservantfrslag"/>
      </w:pPr>
      <w:r w:rsidRPr="00C9680B">
        <w:t>7. Riksdagen godkänner den i motion 2000/01:Fi210 föreslagna preliminära fördelningen av utgifterna på utgiftsområden för budgetåren 2002 och 2003 som riktlinje för regeringens budgetarbete. Därmed bifaller riksdagen motion 2000/01:Fi210 yrkande 5 och avslår proposition 2000/01:1 punkt 10 samt motionerna 2000/01:Fi208 y</w:t>
      </w:r>
      <w:r w:rsidRPr="00C9680B">
        <w:t>r</w:t>
      </w:r>
      <w:r w:rsidRPr="00C9680B">
        <w:t>kande 6, 2000/01:Fi209 yrkande 7 och 2000/01:</w:t>
      </w:r>
      <w:r w:rsidRPr="00C9680B">
        <w:br/>
        <w:t>Fi211 y</w:t>
      </w:r>
      <w:r w:rsidRPr="00C9680B">
        <w:t>r</w:t>
      </w:r>
      <w:r w:rsidRPr="00C9680B">
        <w:t xml:space="preserve">kande 8. </w:t>
      </w:r>
    </w:p>
    <w:p w:rsidR="001C7BF9" w:rsidRPr="00C9680B" w:rsidRDefault="001C7BF9">
      <w:pPr>
        <w:pStyle w:val="R4"/>
      </w:pPr>
      <w:r w:rsidRPr="00C9680B">
        <w:t>Ställningstagande</w:t>
      </w:r>
    </w:p>
    <w:p w:rsidR="001C7BF9" w:rsidRPr="00C9680B" w:rsidRDefault="001C7BF9">
      <w:r w:rsidRPr="00C9680B">
        <w:t>Jag anser att utgifterna preliminärt bör fördelas på utgiftsområden 2002 och 2003 på det sätt som föreslås i Centerpartiets partimotion Fi210. Regeringens förslag angående anslagen på statsbudgeten inklusive ålderspensionssystemet vid sidan av statsbudgeten bör minskas med med ca 15 respektive 27 milja</w:t>
      </w:r>
      <w:r w:rsidRPr="00C9680B">
        <w:t>r</w:t>
      </w:r>
      <w:r w:rsidRPr="00C9680B">
        <w:t>der kronor åren 2002 och 2003. Genom Centerpartiets politik kommer utgi</w:t>
      </w:r>
      <w:r w:rsidRPr="00C9680B">
        <w:t>f</w:t>
      </w:r>
      <w:r w:rsidRPr="00C9680B">
        <w:t>terna för arbetslösheten att sjunka. Vi förordar en grön skatteväxling med sänkt skatt på arbete för ökad sysselsättning och tillväxt och en höjning av miljö- och energiskatter. Vidare är ett prioriterat område kraftiga satsningar på en förbättrad infrastruktur.</w:t>
      </w:r>
    </w:p>
    <w:p w:rsidR="001C7BF9" w:rsidRPr="00C9680B" w:rsidRDefault="001C7BF9">
      <w:pPr>
        <w:pStyle w:val="Normaltindrag"/>
      </w:pPr>
      <w:r w:rsidRPr="00C9680B">
        <w:t>Jag föreslår alltså att riksdagen bifaller motion Fi210 (c) yrkande 5 och a</w:t>
      </w:r>
      <w:r w:rsidRPr="00C9680B">
        <w:t>v</w:t>
      </w:r>
      <w:r w:rsidRPr="00C9680B">
        <w:t>slår regeringens förslag i denna del (punkt 10) samt motionerna Fi208 (m) yrkande 6, Fi209 (kd) yrkande 7 och Fi211 (fp) yrkande 8.</w:t>
      </w:r>
    </w:p>
    <w:p w:rsidR="001C7BF9" w:rsidRPr="00C9680B" w:rsidRDefault="001C7BF9">
      <w:pPr>
        <w:pStyle w:val="Reservationspunkt"/>
        <w:rPr>
          <w:noProof w:val="0"/>
        </w:rPr>
      </w:pPr>
      <w:bookmarkStart w:id="744" w:name="_Toc498910944"/>
      <w:r w:rsidRPr="00C9680B">
        <w:rPr>
          <w:noProof w:val="0"/>
        </w:rPr>
        <w:t>19.</w:t>
      </w:r>
      <w:r w:rsidRPr="00C9680B">
        <w:rPr>
          <w:noProof w:val="0"/>
        </w:rPr>
        <w:tab/>
        <w:t>Preliminär fördelning av utgifterna på utgiftsområden för åren 2002 och 2003 (punkt 7) (fp)</w:t>
      </w:r>
      <w:bookmarkEnd w:id="744"/>
      <w:r w:rsidRPr="00C9680B">
        <w:rPr>
          <w:noProof w:val="0"/>
        </w:rPr>
        <w:t xml:space="preserve"> </w:t>
      </w:r>
    </w:p>
    <w:p w:rsidR="001C7BF9" w:rsidRPr="00C9680B" w:rsidRDefault="001C7BF9">
      <w:pPr>
        <w:pStyle w:val="Reservanter"/>
      </w:pPr>
      <w:r w:rsidRPr="00C9680B">
        <w:t>av Bo Könberg (fp).</w:t>
      </w:r>
    </w:p>
    <w:p w:rsidR="001C7BF9" w:rsidRPr="00C9680B" w:rsidRDefault="001C7BF9">
      <w:pPr>
        <w:pStyle w:val="R4"/>
        <w:outlineLvl w:val="0"/>
      </w:pPr>
      <w:r w:rsidRPr="00C9680B">
        <w:t>Förslag till riksdagsbeslut</w:t>
      </w:r>
    </w:p>
    <w:p w:rsidR="001C7BF9" w:rsidRPr="00C9680B" w:rsidRDefault="001C7BF9">
      <w:r w:rsidRPr="00C9680B">
        <w:t>Jag anser att förslaget till riksdagsbeslut under punkt 7 borde ha följande lydelse:</w:t>
      </w:r>
    </w:p>
    <w:p w:rsidR="001C7BF9" w:rsidRPr="00C9680B" w:rsidRDefault="001C7BF9">
      <w:pPr>
        <w:pStyle w:val="Reservantfrslag"/>
      </w:pPr>
      <w:r w:rsidRPr="00C9680B">
        <w:t>7. Riksdagen godkänner att den i motion Fi211 redovisade preliminära fö</w:t>
      </w:r>
      <w:r w:rsidRPr="00C9680B">
        <w:t>r</w:t>
      </w:r>
      <w:r w:rsidRPr="00C9680B">
        <w:t>delningen av utgifterna på utgiftsområden för budgetåret 2002 och 2003 utgör riktlinje för regeringens budgetarbete. Därmed bifaller riksdagen motion 2000/01:Fi211 yrkande 8 och avslår proposition 2000/01:1 punkt 10 samt motionerna 2000/01:Fi208 yrkande 6, 2000/01:Fi209 yrkande 7 och 2000/01:Fi210 y</w:t>
      </w:r>
      <w:r w:rsidRPr="00C9680B">
        <w:t>r</w:t>
      </w:r>
      <w:r w:rsidRPr="00C9680B">
        <w:t>kande 5.</w:t>
      </w:r>
    </w:p>
    <w:p w:rsidR="001C7BF9" w:rsidRPr="00C9680B" w:rsidRDefault="001C7BF9">
      <w:pPr>
        <w:pStyle w:val="R4"/>
        <w:outlineLvl w:val="0"/>
      </w:pPr>
      <w:r w:rsidRPr="00C9680B">
        <w:t>Ställningstagande</w:t>
      </w:r>
    </w:p>
    <w:p w:rsidR="001C7BF9" w:rsidRPr="00C9680B" w:rsidRDefault="001C7BF9">
      <w:r w:rsidRPr="00C9680B">
        <w:t>Jag anser att utgifterna preliminärt bör fördelas på utgiftsområden för åren 2002 och 2003 på det sätt som föreslås i Folkpartiets partimotion Fi211. R</w:t>
      </w:r>
      <w:r w:rsidRPr="00C9680B">
        <w:t>e</w:t>
      </w:r>
      <w:r w:rsidRPr="00C9680B">
        <w:t>geringens förslag angående anslagen på statsbudgeten inklusive ålderspe</w:t>
      </w:r>
      <w:r w:rsidRPr="00C9680B">
        <w:t>n</w:t>
      </w:r>
      <w:r w:rsidRPr="00C9680B">
        <w:t>sionssystemet vid sidan av statsbudgeten bör minskas med ca 20 respektive 27 miljarder kronor åren 2002 och 2003. Viktiga delar av besparingarna är införande av en trafikförsäkring, en minskad omfattning av arbetsmarknad</w:t>
      </w:r>
      <w:r w:rsidRPr="00C9680B">
        <w:t>s</w:t>
      </w:r>
      <w:r w:rsidRPr="00C9680B">
        <w:t>politiska åtgärder och slopade lokala investeringsprogram. Prioriterade omr</w:t>
      </w:r>
      <w:r w:rsidRPr="00C9680B">
        <w:t>å</w:t>
      </w:r>
      <w:r w:rsidRPr="00C9680B">
        <w:t>den under åren 2002 och 2003 är framför allt vård och omsorg, bistånd och investeringar i infrastruktur.</w:t>
      </w:r>
    </w:p>
    <w:p w:rsidR="001C7BF9" w:rsidRPr="00C9680B" w:rsidRDefault="001C7BF9">
      <w:pPr>
        <w:pStyle w:val="Normaltindrag"/>
      </w:pPr>
      <w:r w:rsidRPr="00C9680B">
        <w:t>Med det anförda tillstyrker jag försl</w:t>
      </w:r>
      <w:r w:rsidRPr="00C9680B">
        <w:t>agen i motion Fi211 (fp) yrkande 8 och hänvisar till de närmare preciseringar som görs i motionen. Regeringens förslag i denna del avstyrks (punkt 10) liksom motionerna Fi208 (m) yrka</w:t>
      </w:r>
      <w:r w:rsidRPr="00C9680B">
        <w:t>n</w:t>
      </w:r>
      <w:r w:rsidRPr="00C9680B">
        <w:t xml:space="preserve">de 6, Fi209 (kd) yrkande 7 och Fi210 (c) yrkande 5. </w:t>
      </w:r>
    </w:p>
    <w:p w:rsidR="001C7BF9" w:rsidRPr="00C9680B" w:rsidRDefault="001C7BF9">
      <w:pPr>
        <w:pStyle w:val="Reservationspunkt"/>
        <w:rPr>
          <w:noProof w:val="0"/>
        </w:rPr>
      </w:pPr>
      <w:r w:rsidRPr="00C9680B">
        <w:rPr>
          <w:noProof w:val="0"/>
        </w:rPr>
        <w:br w:type="page"/>
      </w:r>
      <w:bookmarkStart w:id="745" w:name="_Toc498910945"/>
      <w:r w:rsidRPr="00C9680B">
        <w:rPr>
          <w:noProof w:val="0"/>
        </w:rPr>
        <w:t>20.</w:t>
      </w:r>
      <w:r w:rsidRPr="00C9680B">
        <w:rPr>
          <w:noProof w:val="0"/>
        </w:rPr>
        <w:tab/>
        <w:t>Utskottsinitiativ om ett eventuellt kapitaltillskott till OM Gruppen AB (punkt 9) (m, kd, c, fp)</w:t>
      </w:r>
      <w:bookmarkEnd w:id="745"/>
    </w:p>
    <w:p w:rsidR="001C7BF9" w:rsidRPr="00C9680B" w:rsidRDefault="001C7BF9">
      <w:pPr>
        <w:pStyle w:val="Reservanter"/>
      </w:pPr>
      <w:r w:rsidRPr="00C9680B">
        <w:t>av Mats Odell (kd), Gunnar Hökmark (m), Lennart Hedquist (m), Per Landgren (kd), Anna Åkerhielm (m), Lena Ek (c), Gunnar Axén (m) och Bo Könberg (fp).</w:t>
      </w:r>
    </w:p>
    <w:p w:rsidR="001C7BF9" w:rsidRPr="00C9680B" w:rsidRDefault="001C7BF9">
      <w:pPr>
        <w:pStyle w:val="R4"/>
      </w:pPr>
      <w:r w:rsidRPr="00C9680B">
        <w:t>Förslag till riksdagsbeslut</w:t>
      </w:r>
    </w:p>
    <w:p w:rsidR="001C7BF9" w:rsidRPr="00C9680B" w:rsidRDefault="001C7BF9">
      <w:r w:rsidRPr="00C9680B">
        <w:t>Vi anser att utskottets förslag till riksdagsbeslut under punkt 9 borde ha u</w:t>
      </w:r>
      <w:r w:rsidRPr="00C9680B">
        <w:t>t</w:t>
      </w:r>
      <w:r w:rsidRPr="00C9680B">
        <w:t>gått.</w:t>
      </w:r>
    </w:p>
    <w:p w:rsidR="001C7BF9" w:rsidRPr="00C9680B" w:rsidRDefault="001C7BF9">
      <w:pPr>
        <w:pStyle w:val="R4"/>
      </w:pPr>
      <w:r w:rsidRPr="00C9680B">
        <w:t>Ställningstagande</w:t>
      </w:r>
    </w:p>
    <w:p w:rsidR="001C7BF9" w:rsidRPr="00C9680B" w:rsidRDefault="001C7BF9">
      <w:r w:rsidRPr="00C9680B">
        <w:t>Vi anser att utskottets text under avsnitt 4.4 borde ha utgått i sin helhet.</w:t>
      </w:r>
    </w:p>
    <w:p w:rsidR="001C7BF9" w:rsidRPr="00C9680B" w:rsidRDefault="001C7BF9">
      <w:pPr>
        <w:pStyle w:val="Reservationspunkt"/>
        <w:rPr>
          <w:noProof w:val="0"/>
        </w:rPr>
      </w:pPr>
      <w:bookmarkStart w:id="746" w:name="_Toc498910946"/>
      <w:r w:rsidRPr="00C9680B">
        <w:rPr>
          <w:noProof w:val="0"/>
        </w:rPr>
        <w:t>21.</w:t>
      </w:r>
      <w:r w:rsidRPr="00C9680B">
        <w:rPr>
          <w:noProof w:val="0"/>
        </w:rPr>
        <w:tab/>
        <w:t>Lån till myndigheternas investeringar i anläggningstillgångar för förvaltningsändamål (punkt 10) (m, kd, c, fp)</w:t>
      </w:r>
      <w:bookmarkEnd w:id="746"/>
    </w:p>
    <w:p w:rsidR="001C7BF9" w:rsidRPr="00C9680B" w:rsidRDefault="001C7BF9">
      <w:pPr>
        <w:pStyle w:val="Reservanter"/>
      </w:pPr>
      <w:r w:rsidRPr="00C9680B">
        <w:t>av Mats Odell (kd), Gunnar Hökmark (m), Lennart Hedquist (m), Per Landgren (kd), Anna Åkerhielm (m), Lena Ek (c), Gunnar Axén (m) och Bo Könberg (fp).</w:t>
      </w:r>
    </w:p>
    <w:p w:rsidR="001C7BF9" w:rsidRPr="00C9680B" w:rsidRDefault="001C7BF9">
      <w:pPr>
        <w:pStyle w:val="Reservanter"/>
        <w:spacing w:before="120"/>
        <w:rPr>
          <w:i/>
        </w:rPr>
      </w:pPr>
      <w:r w:rsidRPr="00C9680B">
        <w:rPr>
          <w:i/>
        </w:rPr>
        <w:t>Under förutsättning av bifall till reservation 20 (punkt 9)</w:t>
      </w:r>
    </w:p>
    <w:p w:rsidR="001C7BF9" w:rsidRPr="00C9680B" w:rsidRDefault="001C7BF9">
      <w:pPr>
        <w:pStyle w:val="R4"/>
      </w:pPr>
      <w:r w:rsidRPr="00C9680B">
        <w:t>Förslag till riksdagsbeslut</w:t>
      </w:r>
    </w:p>
    <w:p w:rsidR="001C7BF9" w:rsidRPr="00C9680B" w:rsidRDefault="001C7BF9">
      <w:r w:rsidRPr="00C9680B">
        <w:t>Vi anser att förslaget till riksdagsbeslut under punkt 10 borde ha följande lydelse:</w:t>
      </w:r>
    </w:p>
    <w:p w:rsidR="001C7BF9" w:rsidRPr="00C9680B" w:rsidRDefault="001C7BF9">
      <w:pPr>
        <w:pStyle w:val="Reservantfrslag"/>
      </w:pPr>
      <w:r w:rsidRPr="00C9680B">
        <w:t xml:space="preserve">10. Riksdagen bemyndigar regeringen att för budgetåret 2001 besluta om lån i Riksgäldskontoret för investeringar i anläggningstillgångar som används i statens verksamhet intill ett belopp av 20 700 000 000 kr. Därmed bifaller riksdagen helt proposition 2000/01:1 punkt 11.        </w:t>
      </w:r>
    </w:p>
    <w:p w:rsidR="001C7BF9" w:rsidRPr="00C9680B" w:rsidRDefault="001C7BF9">
      <w:pPr>
        <w:pStyle w:val="R4"/>
      </w:pPr>
      <w:r w:rsidRPr="00C9680B">
        <w:t>Ställningstagande</w:t>
      </w:r>
    </w:p>
    <w:p w:rsidR="001C7BF9" w:rsidRPr="00C9680B" w:rsidRDefault="001C7BF9">
      <w:r w:rsidRPr="00C9680B">
        <w:t>Vi tillstyrker att regeringen i enlighet med budgetpropositionens förslag för budgetåret 2001 får besluta om lån i Riksgälds</w:t>
      </w:r>
      <w:r w:rsidRPr="00C9680B">
        <w:softHyphen/>
        <w:t>kontoret för investeringar i anläggnings</w:t>
      </w:r>
      <w:r w:rsidRPr="00C9680B">
        <w:softHyphen/>
        <w:t>till</w:t>
      </w:r>
      <w:r w:rsidRPr="00C9680B">
        <w:softHyphen/>
        <w:t>gångar som används i statens verksamhet intill ett belopp av 20 700 000 000 kr.</w:t>
      </w:r>
    </w:p>
    <w:p w:rsidR="001C7BF9" w:rsidRPr="00C9680B" w:rsidRDefault="001C7BF9">
      <w:pPr>
        <w:pStyle w:val="Reservationspunkt"/>
        <w:rPr>
          <w:noProof w:val="0"/>
        </w:rPr>
      </w:pPr>
      <w:bookmarkStart w:id="747" w:name="_Toc498910947"/>
      <w:r w:rsidRPr="00C9680B">
        <w:rPr>
          <w:noProof w:val="0"/>
        </w:rPr>
        <w:t>22. Försäljning av statliga tillgångar (punkt 15) (m, kd, fp)</w:t>
      </w:r>
      <w:bookmarkEnd w:id="747"/>
    </w:p>
    <w:p w:rsidR="001C7BF9" w:rsidRPr="00C9680B" w:rsidRDefault="001C7BF9">
      <w:pPr>
        <w:pStyle w:val="Reservanter"/>
      </w:pPr>
      <w:r w:rsidRPr="00C9680B">
        <w:t xml:space="preserve">av Mats Odell (kd), Gunnar Hökmark (m), Lennart Hedquist (m), Per Landgren (kd), Anna Åkerhielm (m), Gunnar Axén (m) och Bo Könberg (fp). </w:t>
      </w:r>
    </w:p>
    <w:p w:rsidR="001C7BF9" w:rsidRPr="00C9680B" w:rsidRDefault="001C7BF9">
      <w:pPr>
        <w:pStyle w:val="R4"/>
      </w:pPr>
      <w:r w:rsidRPr="00C9680B">
        <w:t>Förslag till riksdagsbeslut</w:t>
      </w:r>
    </w:p>
    <w:p w:rsidR="001C7BF9" w:rsidRPr="00C9680B" w:rsidRDefault="001C7BF9">
      <w:r w:rsidRPr="00C9680B">
        <w:t>Vi anser att förslaget till riksdagsbeslut under punkt 15 borde ha följande lydelse:</w:t>
      </w:r>
    </w:p>
    <w:p w:rsidR="001C7BF9" w:rsidRPr="00C9680B" w:rsidRDefault="001C7BF9">
      <w:r w:rsidRPr="00C9680B">
        <w:t>15. Riksdagen godkänner vad  som framförs i reservation 22 och begär att regeringen skyndsamt privatiserar Vasakronan och SBAB. Därmed bifaller rik</w:t>
      </w:r>
      <w:r w:rsidRPr="00C9680B">
        <w:t>s</w:t>
      </w:r>
      <w:r w:rsidRPr="00C9680B">
        <w:t xml:space="preserve">dagen motionerna 2000/01:Fi505 och 2000/01:Fi909. </w:t>
      </w:r>
    </w:p>
    <w:p w:rsidR="001C7BF9" w:rsidRPr="00C9680B" w:rsidRDefault="001C7BF9">
      <w:pPr>
        <w:pStyle w:val="R4"/>
      </w:pPr>
      <w:r w:rsidRPr="00C9680B">
        <w:t>Ställningstagande</w:t>
      </w:r>
    </w:p>
    <w:p w:rsidR="001C7BF9" w:rsidRPr="00C9680B" w:rsidRDefault="001C7BF9">
      <w:r w:rsidRPr="00C9680B">
        <w:t>Vi anser att statens främsta näringspolitiska uppgift är att ange ramar och regelsystem för näringslivets verksamhet och bidra till att skapa förutsät</w:t>
      </w:r>
      <w:r w:rsidRPr="00C9680B">
        <w:t>t</w:t>
      </w:r>
      <w:r w:rsidRPr="00C9680B">
        <w:t>ningar för långsiktig tillväxt. Om staten samtidigt uppträder som ägare och som utformare av de regler som gäller för näringslivets verksamhet finns betydande risker för bl.a. konkurrenssnedvridning och icke optimala invest</w:t>
      </w:r>
      <w:r w:rsidRPr="00C9680B">
        <w:t>e</w:t>
      </w:r>
      <w:r w:rsidRPr="00C9680B">
        <w:t>ringsbeslut. Staten bör därför i stället ägna sig åt verksamhet som ingen annan kan sköta lika bra eller bättre.</w:t>
      </w:r>
    </w:p>
    <w:p w:rsidR="001C7BF9" w:rsidRPr="00C9680B" w:rsidRDefault="001C7BF9">
      <w:pPr>
        <w:pStyle w:val="Normaltindrag"/>
      </w:pPr>
      <w:r w:rsidRPr="00C9680B">
        <w:t>Enligt vår mening måste grundprincipen vara den att konkurrensutsatt verksamhet skall bedrivas i privat regi. En privatisering av statliga företag skapar en tydligare ägarrol</w:t>
      </w:r>
      <w:r w:rsidRPr="00C9680B">
        <w:t>l, mer kommersiellt kompetenta företag och en ökad aktiespridning. Vi anser därmed att Vasakronan AB och SBAB skyn</w:t>
      </w:r>
      <w:r w:rsidRPr="00C9680B">
        <w:t>d</w:t>
      </w:r>
      <w:r w:rsidRPr="00C9680B">
        <w:t>samt bör privatiseras. Genom en utförsäljning av statliga bolag skulle des</w:t>
      </w:r>
      <w:r w:rsidRPr="00C9680B">
        <w:t>s</w:t>
      </w:r>
      <w:r w:rsidRPr="00C9680B">
        <w:t>utom inkomsterna exempelvis kunna användas för en amortering av statsskulden.</w:t>
      </w:r>
    </w:p>
    <w:p w:rsidR="001C7BF9" w:rsidRPr="00C9680B" w:rsidRDefault="001C7BF9">
      <w:pPr>
        <w:pStyle w:val="Normaltindrag"/>
      </w:pPr>
      <w:r w:rsidRPr="00C9680B">
        <w:t>Vi föreslår alltså att riksdagen bifaller motionerna Fi505 (m) och Fi909 (m).</w:t>
      </w:r>
    </w:p>
    <w:p w:rsidR="001C7BF9" w:rsidRPr="00C9680B" w:rsidRDefault="001C7BF9">
      <w:pPr>
        <w:pStyle w:val="Reservationspunkt"/>
        <w:rPr>
          <w:noProof w:val="0"/>
        </w:rPr>
      </w:pPr>
      <w:bookmarkStart w:id="748" w:name="_Toc498910948"/>
      <w:r w:rsidRPr="00C9680B">
        <w:rPr>
          <w:noProof w:val="0"/>
        </w:rPr>
        <w:t>23. Barnbilaga i statsbudgeten (punkt 16) (kd, c)</w:t>
      </w:r>
      <w:bookmarkEnd w:id="748"/>
    </w:p>
    <w:p w:rsidR="001C7BF9" w:rsidRPr="00C9680B" w:rsidRDefault="001C7BF9">
      <w:pPr>
        <w:pStyle w:val="Reservanter"/>
      </w:pPr>
      <w:r w:rsidRPr="00C9680B">
        <w:t xml:space="preserve">av Mats Odell (kd), Per Landgren (kd) och Lena Ek (c). </w:t>
      </w:r>
    </w:p>
    <w:p w:rsidR="001C7BF9" w:rsidRPr="00C9680B" w:rsidRDefault="001C7BF9">
      <w:pPr>
        <w:pStyle w:val="R4"/>
      </w:pPr>
      <w:r w:rsidRPr="00C9680B">
        <w:t>Förslag till riksdagsbeslut</w:t>
      </w:r>
    </w:p>
    <w:p w:rsidR="001C7BF9" w:rsidRPr="00C9680B" w:rsidRDefault="001C7BF9">
      <w:r w:rsidRPr="00C9680B">
        <w:t>Vi anser att förslaget till riksdagsbeslut under punkt 16 borde ha följande lydelse:</w:t>
      </w:r>
    </w:p>
    <w:p w:rsidR="001C7BF9" w:rsidRPr="00C9680B" w:rsidRDefault="001C7BF9">
      <w:pPr>
        <w:pStyle w:val="Reservantfrslag"/>
      </w:pPr>
      <w:r w:rsidRPr="00C9680B">
        <w:t>16.  Riksdagen tillkännager för regeringen som sin mening vad som framförs i reservation 23. Riksdagen bifaller därmed motion 2000/01:Fi903.</w:t>
      </w:r>
    </w:p>
    <w:p w:rsidR="001C7BF9" w:rsidRPr="00C9680B" w:rsidRDefault="001C7BF9">
      <w:pPr>
        <w:pStyle w:val="R4"/>
      </w:pPr>
      <w:r w:rsidRPr="00C9680B">
        <w:t>Ställningstagande</w:t>
      </w:r>
    </w:p>
    <w:p w:rsidR="001C7BF9" w:rsidRPr="00C9680B" w:rsidRDefault="001C7BF9">
      <w:r w:rsidRPr="00C9680B">
        <w:t>Enligt vår mening innehåller statsbudgeten för år 2001 inte något samlat grepp kring ekonomiska prioriteringar till barn och unga. Frågan om barnb</w:t>
      </w:r>
      <w:r w:rsidRPr="00C9680B">
        <w:t>i</w:t>
      </w:r>
      <w:r w:rsidRPr="00C9680B">
        <w:t>lagan i statsbudgeten väcktes redan 1992 i riksdagen. Regeringens barnskr</w:t>
      </w:r>
      <w:r w:rsidRPr="00C9680B">
        <w:t>i</w:t>
      </w:r>
      <w:r w:rsidRPr="00C9680B">
        <w:t>velse innebär i sig ett stort steg framåt för barnperspektivet, men vi vill ta ett steg till. Vi vill att regeringen ånyo beaktar konsekvenserna av tidigare utfä</w:t>
      </w:r>
      <w:r w:rsidRPr="00C9680B">
        <w:t>s</w:t>
      </w:r>
      <w:r w:rsidRPr="00C9680B">
        <w:t>telser och tar ett större samlat grepp kring den ekonomiska politiken vad gäller barn.</w:t>
      </w:r>
    </w:p>
    <w:p w:rsidR="001C7BF9" w:rsidRPr="00C9680B" w:rsidRDefault="001C7BF9">
      <w:pPr>
        <w:pStyle w:val="Normaltindrag"/>
      </w:pPr>
      <w:r w:rsidRPr="00C9680B">
        <w:t>Vi anser därmed att statsbudgeten skall kompletteras med en barnbilaga där departementen markerar vilka utgifter som är riktade mot barn och un</w:t>
      </w:r>
      <w:r w:rsidRPr="00C9680B">
        <w:t>g</w:t>
      </w:r>
      <w:r w:rsidRPr="00C9680B">
        <w:t>domar och där regeringens samlade ambitioner tydligt framgår. På det viset blir det lättare att följa förändringar av resurser riktade mot barn över en längre tidsp</w:t>
      </w:r>
      <w:r w:rsidRPr="00C9680B">
        <w:t>e</w:t>
      </w:r>
      <w:r w:rsidRPr="00C9680B">
        <w:t>riod.</w:t>
      </w:r>
    </w:p>
    <w:p w:rsidR="001C7BF9" w:rsidRPr="00C9680B" w:rsidRDefault="001C7BF9">
      <w:pPr>
        <w:pStyle w:val="Normaltindrag"/>
      </w:pPr>
      <w:r w:rsidRPr="00C9680B">
        <w:t>Vi föreslår att riksdagen tillkännager för regeringen som sin mening vad vi har framfört om barnbilagan i statsbudgeten. Detta innebär att riksdagen bifaller motion Fi903 (mp, m, v, kd, c, fp).</w:t>
      </w:r>
    </w:p>
    <w:p w:rsidR="001C7BF9" w:rsidRPr="00C9680B" w:rsidRDefault="001C7BF9">
      <w:pPr>
        <w:pStyle w:val="Normaltindrag"/>
      </w:pPr>
    </w:p>
    <w:p w:rsidR="001C7BF9" w:rsidRPr="00C9680B" w:rsidRDefault="001C7BF9">
      <w:pPr>
        <w:pStyle w:val="Rubrik1"/>
        <w:rPr>
          <w:noProof w:val="0"/>
        </w:rPr>
      </w:pPr>
      <w:r w:rsidRPr="00C9680B">
        <w:rPr>
          <w:noProof w:val="0"/>
        </w:rPr>
        <w:br w:type="page"/>
      </w:r>
      <w:bookmarkStart w:id="749" w:name="_Toc498910949"/>
      <w:r w:rsidRPr="00C9680B">
        <w:rPr>
          <w:noProof w:val="0"/>
        </w:rPr>
        <w:t>Särskilda yttranden</w:t>
      </w:r>
      <w:bookmarkEnd w:id="749"/>
    </w:p>
    <w:p w:rsidR="001C7BF9" w:rsidRPr="00C9680B" w:rsidRDefault="001C7BF9">
      <w:pPr>
        <w:pStyle w:val="Reservationspunkt"/>
        <w:spacing w:before="0"/>
        <w:rPr>
          <w:noProof w:val="0"/>
        </w:rPr>
      </w:pPr>
      <w:bookmarkStart w:id="750" w:name="_Toc498910950"/>
      <w:r w:rsidRPr="00C9680B">
        <w:rPr>
          <w:noProof w:val="0"/>
        </w:rPr>
        <w:t>1. Allmänna riktlinjer för den ekonomiska politiken (punkt 1)</w:t>
      </w:r>
      <w:bookmarkEnd w:id="750"/>
      <w:r w:rsidRPr="00C9680B">
        <w:rPr>
          <w:noProof w:val="0"/>
        </w:rPr>
        <w:t xml:space="preserve"> </w:t>
      </w:r>
    </w:p>
    <w:p w:rsidR="001C7BF9" w:rsidRPr="00C9680B" w:rsidRDefault="001C7BF9">
      <w:pPr>
        <w:pStyle w:val="Reservationspunkt"/>
        <w:spacing w:before="0"/>
        <w:rPr>
          <w:noProof w:val="0"/>
        </w:rPr>
      </w:pPr>
      <w:bookmarkStart w:id="751" w:name="_Toc498910951"/>
      <w:r w:rsidRPr="00C9680B">
        <w:rPr>
          <w:noProof w:val="0"/>
        </w:rPr>
        <w:t>(m, kd, fp)</w:t>
      </w:r>
      <w:bookmarkEnd w:id="751"/>
    </w:p>
    <w:p w:rsidR="001C7BF9" w:rsidRPr="00C9680B" w:rsidRDefault="001C7BF9">
      <w:r w:rsidRPr="00C9680B">
        <w:t>Mats Odell (kd), Gunnar Hökmark (m), Lennart Hedquist (m), Per Landgren (kd), Anna Åkerhielm (m), Gunnar Axén (m) och Bo Könberg (fp) a</w:t>
      </w:r>
      <w:r w:rsidRPr="00C9680B">
        <w:t>n</w:t>
      </w:r>
      <w:r w:rsidRPr="00C9680B">
        <w:t xml:space="preserve">för: </w:t>
      </w:r>
    </w:p>
    <w:p w:rsidR="001C7BF9" w:rsidRPr="00C9680B" w:rsidRDefault="001C7BF9">
      <w:pPr>
        <w:pStyle w:val="R4"/>
      </w:pPr>
      <w:r w:rsidRPr="00C9680B">
        <w:t>M, kd och fp om EMU</w:t>
      </w:r>
    </w:p>
    <w:p w:rsidR="001C7BF9" w:rsidRPr="00C9680B" w:rsidRDefault="001C7BF9">
      <w:r w:rsidRPr="00C9680B">
        <w:t>Den ekonomiska politiken i en öppen ekonomi som den svenska påverkas i hög grad av vilken ekonomisk politik som bedrivs i vår omvärld. Även om Sverige inte är med i det gemensamma valutasamarbetets tredje steg med euron som valuta bestäms de yttre förutsättningarna starkt av den politik som euroländerna driver.</w:t>
      </w:r>
    </w:p>
    <w:p w:rsidR="001C7BF9" w:rsidRPr="00C9680B" w:rsidRDefault="001C7BF9">
      <w:pPr>
        <w:pStyle w:val="Normaltindrag"/>
      </w:pPr>
      <w:r w:rsidRPr="00C9680B">
        <w:t>Den inriktning på låg inflation, strävan efter budgetbalans och en successiv utveckling av den inre marknaden som utgör en viktig kärna i de ekonomisk-politiska prioriteringarna i Europa påverkar oss i hög grad även om det själ</w:t>
      </w:r>
      <w:r w:rsidRPr="00C9680B">
        <w:t>v</w:t>
      </w:r>
      <w:r w:rsidRPr="00C9680B">
        <w:t>fallet finns starkt vägande inhemska skäl att eftersträva att nå dessa mål.</w:t>
      </w:r>
    </w:p>
    <w:p w:rsidR="001C7BF9" w:rsidRPr="00C9680B" w:rsidRDefault="001C7BF9">
      <w:pPr>
        <w:pStyle w:val="Normaltindrag"/>
      </w:pPr>
      <w:r w:rsidRPr="00C9680B">
        <w:t>Utformningen av den praktiska politiken i Sverige bestäms inom ramen för tillväxt- och stabilitetspakten som bl.a. sätter ramar för tillåtna offentliga underskott, statsskuld och inflationstakt. Ett intensivt samarbete håller på att växa fram på den ekonomiska politikens område mellan euroländerna. Detta har regeringen ställt oss utanför genom sitt beslut att skjuta ett svenskt delt</w:t>
      </w:r>
      <w:r w:rsidRPr="00C9680B">
        <w:t>a</w:t>
      </w:r>
      <w:r w:rsidRPr="00C9680B">
        <w:t>gande i EMU:s tredje steg in i en oviss framtid. Detta innebär också att det inte är självklart att svenska företag obehindrat kan delta i den integration</w:t>
      </w:r>
      <w:r w:rsidRPr="00C9680B">
        <w:t>s</w:t>
      </w:r>
      <w:r w:rsidRPr="00C9680B">
        <w:t>process som nu pågår och som märks mycket tydligt i de europeiska föret</w:t>
      </w:r>
      <w:r w:rsidRPr="00C9680B">
        <w:t>a</w:t>
      </w:r>
      <w:r w:rsidRPr="00C9680B">
        <w:t>gen. Det finns en betydande risk att svenska företag väljer att lokalisera sig inom euroområdet för att fullt ut kunna delta i den omstrukturering och vital</w:t>
      </w:r>
      <w:r w:rsidRPr="00C9680B">
        <w:t>i</w:t>
      </w:r>
      <w:r w:rsidRPr="00C9680B">
        <w:t>sering som pågår med varierande styrka i olika branscher inom euroområdet.</w:t>
      </w:r>
    </w:p>
    <w:p w:rsidR="001C7BF9" w:rsidRPr="00C9680B" w:rsidRDefault="001C7BF9">
      <w:pPr>
        <w:pStyle w:val="Normaltindrag"/>
        <w:rPr>
          <w:snapToGrid w:val="0"/>
        </w:rPr>
      </w:pPr>
      <w:r w:rsidRPr="00C9680B">
        <w:t>Eurosedlar och euromynt blir lagliga betalningsmedel</w:t>
      </w:r>
      <w:r w:rsidRPr="00C9680B">
        <w:t xml:space="preserve"> i euroländerna den 1 januari 2002. Då blir det konkret och påtagligt för alla att euron finns och att den har kommit för att stanna. Euroländernas valutasamarbete stärker deras sammanhållning och skapar goda förutsättningar för tillväxt, företagande och sysselsättning i hela Europa men främst i euroländerna. </w:t>
      </w:r>
      <w:r w:rsidRPr="00C9680B">
        <w:rPr>
          <w:snapToGrid w:val="0"/>
        </w:rPr>
        <w:t>Det svenska utanfö</w:t>
      </w:r>
      <w:r w:rsidRPr="00C9680B">
        <w:rPr>
          <w:snapToGrid w:val="0"/>
        </w:rPr>
        <w:t>r</w:t>
      </w:r>
      <w:r w:rsidRPr="00C9680B">
        <w:rPr>
          <w:snapToGrid w:val="0"/>
        </w:rPr>
        <w:t>skapet och särbehandlingen blir därmed mycket konkret och synligt.</w:t>
      </w:r>
    </w:p>
    <w:p w:rsidR="001C7BF9" w:rsidRPr="00C9680B" w:rsidRDefault="001C7BF9">
      <w:pPr>
        <w:pStyle w:val="Normaltindrag"/>
      </w:pPr>
      <w:r w:rsidRPr="00C9680B">
        <w:rPr>
          <w:snapToGrid w:val="0"/>
        </w:rPr>
        <w:t>Det gäller inte minst eftersom vi i dag ser att införandet av euron får tydl</w:t>
      </w:r>
      <w:r w:rsidRPr="00C9680B">
        <w:rPr>
          <w:snapToGrid w:val="0"/>
        </w:rPr>
        <w:t>i</w:t>
      </w:r>
      <w:r w:rsidRPr="00C9680B">
        <w:rPr>
          <w:snapToGrid w:val="0"/>
        </w:rPr>
        <w:t>ga effekter på dynamiken i det europeiska ekonomiska samarbetet mellan företag och över gränserna mellan olika nationella marknader. Det är en pr</w:t>
      </w:r>
      <w:r w:rsidRPr="00C9680B">
        <w:rPr>
          <w:snapToGrid w:val="0"/>
        </w:rPr>
        <w:t>o</w:t>
      </w:r>
      <w:r w:rsidRPr="00C9680B">
        <w:rPr>
          <w:snapToGrid w:val="0"/>
        </w:rPr>
        <w:t>cess som bidrar till den ekonomiska dynamiken och stärker europeisk konku</w:t>
      </w:r>
      <w:r w:rsidRPr="00C9680B">
        <w:rPr>
          <w:snapToGrid w:val="0"/>
        </w:rPr>
        <w:t>r</w:t>
      </w:r>
      <w:r w:rsidRPr="00C9680B">
        <w:rPr>
          <w:snapToGrid w:val="0"/>
        </w:rPr>
        <w:t>renskraft i den globala ekonomin.</w:t>
      </w:r>
    </w:p>
    <w:p w:rsidR="001C7BF9" w:rsidRPr="00C9680B" w:rsidRDefault="001C7BF9">
      <w:pPr>
        <w:pStyle w:val="Normaltindrag"/>
        <w:rPr>
          <w:snapToGrid w:val="0"/>
        </w:rPr>
      </w:pPr>
      <w:r w:rsidRPr="00C9680B">
        <w:t>Utanförskapet kommer att vara som tydligast under det svenska ordföra</w:t>
      </w:r>
      <w:r w:rsidRPr="00C9680B">
        <w:t>n</w:t>
      </w:r>
      <w:r w:rsidRPr="00C9680B">
        <w:t xml:space="preserve">deskapet under det första halvåret 2001. </w:t>
      </w:r>
      <w:r w:rsidRPr="00C9680B">
        <w:rPr>
          <w:snapToGrid w:val="0"/>
        </w:rPr>
        <w:t>I takt med att Eurorådet får en allt starkare roll i EU-samarbetet riskerar Sverige att bli mer och mer marginalis</w:t>
      </w:r>
      <w:r w:rsidRPr="00C9680B">
        <w:rPr>
          <w:snapToGrid w:val="0"/>
        </w:rPr>
        <w:t>e</w:t>
      </w:r>
      <w:r w:rsidRPr="00C9680B">
        <w:rPr>
          <w:snapToGrid w:val="0"/>
        </w:rPr>
        <w:t>rat utanför EMU. Flera euroländer, särskilt det nuvarande ordförandelandet Frankrike, vill formalisera Eurorådet till ett forum där bindande beslut tas.</w:t>
      </w:r>
    </w:p>
    <w:p w:rsidR="001C7BF9" w:rsidRPr="00C9680B" w:rsidRDefault="001C7BF9">
      <w:pPr>
        <w:pStyle w:val="Normaltindrag"/>
      </w:pPr>
      <w:r w:rsidRPr="00C9680B">
        <w:rPr>
          <w:snapToGrid w:val="0"/>
        </w:rPr>
        <w:t>Alltfler frågor, i huvudsak de som rör finanspolitiken, kan komma att ha</w:t>
      </w:r>
      <w:r w:rsidRPr="00C9680B">
        <w:rPr>
          <w:snapToGrid w:val="0"/>
        </w:rPr>
        <w:t>n</w:t>
      </w:r>
      <w:r w:rsidRPr="00C9680B">
        <w:rPr>
          <w:snapToGrid w:val="0"/>
        </w:rPr>
        <w:t>teras där. De länder som inte deltar lämnas därigenom utanför viktiga disku</w:t>
      </w:r>
      <w:r w:rsidRPr="00C9680B">
        <w:rPr>
          <w:snapToGrid w:val="0"/>
        </w:rPr>
        <w:t>s</w:t>
      </w:r>
      <w:r w:rsidRPr="00C9680B">
        <w:rPr>
          <w:snapToGrid w:val="0"/>
        </w:rPr>
        <w:t>sioner. Under Sveriges ordförandeskap får den svenske finansministern inte ens komma in i rummet. Mötena kommer att ledas av Belgiens finansmini</w:t>
      </w:r>
      <w:r w:rsidRPr="00C9680B">
        <w:rPr>
          <w:snapToGrid w:val="0"/>
        </w:rPr>
        <w:t>s</w:t>
      </w:r>
      <w:r w:rsidRPr="00C9680B">
        <w:rPr>
          <w:snapToGrid w:val="0"/>
        </w:rPr>
        <w:t xml:space="preserve">ter. Vår roll i EU blir en biroll. </w:t>
      </w:r>
      <w:r w:rsidRPr="00C9680B">
        <w:t>Vid dessa möten behandlas viktiga frågor om Europas ekonomi och ekonomiska politik. Många gånger fattas också de facto-beslut. Sverige är inte med vid dessa tillfällen. Hade Sverige varit med kunde vi ha haft insyn och kunnat påverka.</w:t>
      </w:r>
    </w:p>
    <w:p w:rsidR="001C7BF9" w:rsidRPr="00C9680B" w:rsidRDefault="001C7BF9">
      <w:pPr>
        <w:pStyle w:val="Normaltindrag"/>
      </w:pPr>
      <w:r w:rsidRPr="00C9680B">
        <w:t>Den avgörande frågan</w:t>
      </w:r>
      <w:r w:rsidRPr="00C9680B">
        <w:t xml:space="preserve"> är vad vårt utanförskap kommer att betyda för jobb och företagande i Sverige. Svenska och andra företag förbereder sig för att agera på europeisk nivå. Ett antal fusioner och andra omstruktureringar är tydliga tecken på att företagen förbereder sig för att kunna uppträda i mindre utsträckning som nationella och i högre grad som internationella företag. De tänker alltmera europeiskt, allt mindre nationellt. I den processen missgynnas Sverige eftersom vi står utanför euroområdet.</w:t>
      </w:r>
    </w:p>
    <w:p w:rsidR="001C7BF9" w:rsidRPr="00C9680B" w:rsidRDefault="001C7BF9">
      <w:pPr>
        <w:pStyle w:val="Normaltindrag"/>
      </w:pPr>
      <w:r w:rsidRPr="00C9680B">
        <w:t>Sverige skulle behöva ett an</w:t>
      </w:r>
      <w:r w:rsidRPr="00C9680B">
        <w:t>tal tydliga plusfaktorer om vi skulle kunna stå starka utanför EMU. Det har vi inte. Skatter, arbetsmarknadsregleringar och problem i utbildningssystemet missgynnar oss. Företagsutflyttningen pågår kontinuerligt, den väntar inte medan Sveriges regering funderar. Att hejda och vända den strömmen är ett starkt argument för att så snart som möjligt gå in i eurosamarbetet. Vi behöver inte vänta en hel konjunkturcykel för att se r</w:t>
      </w:r>
      <w:r w:rsidRPr="00C9680B">
        <w:t>e</w:t>
      </w:r>
      <w:r w:rsidRPr="00C9680B">
        <w:t>sultatet.</w:t>
      </w:r>
    </w:p>
    <w:p w:rsidR="001C7BF9" w:rsidRPr="00C9680B" w:rsidRDefault="001C7BF9">
      <w:pPr>
        <w:pStyle w:val="Normaltindrag"/>
      </w:pPr>
      <w:r w:rsidRPr="00C9680B">
        <w:t>En vänta-och-se-linje befäster en osäkerhet inte bara om Sveriges långsi</w:t>
      </w:r>
      <w:r w:rsidRPr="00C9680B">
        <w:t>k</w:t>
      </w:r>
      <w:r w:rsidRPr="00C9680B">
        <w:t>tiga penningpolitiska regim utan också om Sveriges långsiktiga ambitioner beträffande den ekonomiska och politiska integrationen med övriga Europa. Båda dessa osäkerheter leder bl.a. till att investeringsbeslut fördröjs och att investeringar förläggs på annat håll. Sverige skulle också fortsätta att ha ett svagare inflytande i E</w:t>
      </w:r>
      <w:r w:rsidRPr="00C9680B">
        <w:t>u</w:t>
      </w:r>
      <w:r w:rsidRPr="00C9680B">
        <w:t>rorådet, ECB och andra viktiga EU-institutioner.</w:t>
      </w:r>
    </w:p>
    <w:p w:rsidR="001C7BF9" w:rsidRPr="00C9680B" w:rsidRDefault="001C7BF9">
      <w:pPr>
        <w:pStyle w:val="Normaltindrag"/>
      </w:pPr>
      <w:r w:rsidRPr="00C9680B">
        <w:t>Med euron blir det lättare för företag som är lokaliserade på svensk botten att expandera i Euroland och att stärka sin konkurrensk</w:t>
      </w:r>
      <w:r w:rsidRPr="00C9680B">
        <w:t>raft i övriga EU, bl.a. genom att enkelt kunna använda sig av billigare leverantörer av insatsvaror. Många företag kommer att tvingas se över sin marknadsstrategi. Företag som i dag funderar på att flytta från Sverige får med svenskt EMU-medlemskap ett argument mindre.</w:t>
      </w:r>
    </w:p>
    <w:p w:rsidR="001C7BF9" w:rsidRPr="00C9680B" w:rsidRDefault="001C7BF9">
      <w:pPr>
        <w:pStyle w:val="Normaltindrag"/>
      </w:pPr>
      <w:r w:rsidRPr="00C9680B">
        <w:t>Genom euron försvinner också transaktions- och växlingskostnaderna. F</w:t>
      </w:r>
      <w:r w:rsidRPr="00C9680B">
        <w:t>ö</w:t>
      </w:r>
      <w:r w:rsidRPr="00C9680B">
        <w:t>retag behöver inte försäkra sig mot förändringar i valutornas värde mellan exempelvis Tyskland och Frankrike. Priskonkurrensen får en stabil grund utan risker för att stigande eller sjunkande kronkurs förändrar konkurrens- och marknadsvillkor. EMU innebär en långsiktig stabilitet och förutsägbarhet för medborgare och företag. Den gemensamma marknaden är fri från valut</w:t>
      </w:r>
      <w:r w:rsidRPr="00C9680B">
        <w:t>a</w:t>
      </w:r>
      <w:r w:rsidRPr="00C9680B">
        <w:t>hinder. Detta är en rad fördelar som tillsammans ger bättre ekonomi och välfärd.</w:t>
      </w:r>
    </w:p>
    <w:p w:rsidR="001C7BF9" w:rsidRPr="00C9680B" w:rsidRDefault="001C7BF9">
      <w:pPr>
        <w:pStyle w:val="Normaltindrag"/>
      </w:pPr>
      <w:r w:rsidRPr="00C9680B">
        <w:t>Priserna kommer att pressas i Sverige genom att de flesta m</w:t>
      </w:r>
      <w:r w:rsidRPr="00C9680B">
        <w:t>arknader med euron integreras över gränserna. Det leder till att konsumenter och inköpare kan tillgodogöra sig minskade transaktionskostnader, minskad växelkursrisk och en intensivare konkurrens från utländska företag om de svenska kons</w:t>
      </w:r>
      <w:r w:rsidRPr="00C9680B">
        <w:t>u</w:t>
      </w:r>
      <w:r w:rsidRPr="00C9680B">
        <w:t>menternas och inköpschefernas gunst. Prisjämförelser blir enkla att göra från den 1 januari 2002 när de gemensamma sedlarna och mynten införs i Eur</w:t>
      </w:r>
      <w:r w:rsidRPr="00C9680B">
        <w:t>o</w:t>
      </w:r>
      <w:r w:rsidRPr="00C9680B">
        <w:t>land.</w:t>
      </w:r>
    </w:p>
    <w:p w:rsidR="001C7BF9" w:rsidRPr="00C9680B" w:rsidRDefault="001C7BF9">
      <w:pPr>
        <w:pStyle w:val="Normaltindrag"/>
      </w:pPr>
      <w:r w:rsidRPr="00C9680B">
        <w:t>Sedan eurons införande för snart två år sedan har den amerikanska dollarn blivit mera värd jämfört med euron och andra va</w:t>
      </w:r>
      <w:r w:rsidRPr="00C9680B">
        <w:t>lutor, t.ex. den svenska kr</w:t>
      </w:r>
      <w:r w:rsidRPr="00C9680B">
        <w:t>o</w:t>
      </w:r>
      <w:r w:rsidRPr="00C9680B">
        <w:t>nan. I grunden beror detta på en bättre ekonomisk utveckling i USA. Den amerikanska ekonomin har slagit alla historiska rekord vad gäller en uthålligt hög tillväxt med måttlig inflation. Det är alltså främst dollarn som är stark och inte euron som är svag. De fluktuationer som funnits mellan den svenska kronan och euron till följd av valutakursförändringarna understryker behovet av en gemensam valuta för en ökad stabilitet.</w:t>
      </w:r>
    </w:p>
    <w:p w:rsidR="001C7BF9" w:rsidRPr="00C9680B" w:rsidRDefault="001C7BF9">
      <w:pPr>
        <w:pStyle w:val="Normaltindrag"/>
      </w:pPr>
      <w:r w:rsidRPr="00C9680B">
        <w:t>För att nå samma framgång som USA:s ekonomi behöver euro</w:t>
      </w:r>
      <w:r w:rsidRPr="00C9680B">
        <w:t>länderna l</w:t>
      </w:r>
      <w:r w:rsidRPr="00C9680B">
        <w:t>i</w:t>
      </w:r>
      <w:r w:rsidRPr="00C9680B">
        <w:t>beralisera sina ekonomier. Det innebär bl a mindre regleringar, lägre och färre skadliga skatter och att hinder tas bort som blockerar en omfattande nyför</w:t>
      </w:r>
      <w:r w:rsidRPr="00C9680B">
        <w:t>e</w:t>
      </w:r>
      <w:r w:rsidRPr="00C9680B">
        <w:t>tagsamhet. Sådana reformer är också på gång inom EU samtidigt som euron bidrar till en vitalisering av den europeiska ekonomin utifrån de möjligheter som därmed frigörs. Sveriges plats bör vara att i EU-arbetet driva på liberal</w:t>
      </w:r>
      <w:r w:rsidRPr="00C9680B">
        <w:t>i</w:t>
      </w:r>
      <w:r w:rsidRPr="00C9680B">
        <w:t>seringar av de europeiska ekonomierna, inom och utom euroområdet.</w:t>
      </w:r>
    </w:p>
    <w:p w:rsidR="001C7BF9" w:rsidRPr="00C9680B" w:rsidRDefault="001C7BF9">
      <w:pPr>
        <w:pStyle w:val="Reservationspunkt"/>
        <w:rPr>
          <w:noProof w:val="0"/>
        </w:rPr>
      </w:pPr>
      <w:bookmarkStart w:id="752" w:name="_Toc498910952"/>
      <w:r w:rsidRPr="00C9680B">
        <w:rPr>
          <w:noProof w:val="0"/>
        </w:rPr>
        <w:t xml:space="preserve">2. Allmänna riktlinjer för den ekonomiska politiken </w:t>
      </w:r>
      <w:r w:rsidRPr="00C9680B">
        <w:rPr>
          <w:noProof w:val="0"/>
        </w:rPr>
        <w:t xml:space="preserve">  (punkt 1) (c)</w:t>
      </w:r>
      <w:bookmarkEnd w:id="752"/>
    </w:p>
    <w:p w:rsidR="001C7BF9" w:rsidRPr="00C9680B" w:rsidRDefault="001C7BF9">
      <w:pPr>
        <w:pStyle w:val="Normaltindrag"/>
        <w:ind w:firstLine="0"/>
      </w:pPr>
      <w:r w:rsidRPr="00C9680B">
        <w:t xml:space="preserve">Lena Ek (c) anför: </w:t>
      </w:r>
    </w:p>
    <w:p w:rsidR="001C7BF9" w:rsidRPr="00C9680B" w:rsidRDefault="001C7BF9">
      <w:r w:rsidRPr="00C9680B">
        <w:t>Jag har tillsammans med företrädarna för Moderata samlingspartiet, Kristd</w:t>
      </w:r>
      <w:r w:rsidRPr="00C9680B">
        <w:t>e</w:t>
      </w:r>
      <w:r w:rsidRPr="00C9680B">
        <w:t>mokraterna och Folkpartiet liberalerna reserverat mig mot finansutskottets ställningstagande under punkt 1 Allmänna riktlinjer för den ekonomiska politiken. I detta yttrande redovisas min och Centerpartiets syn på bl.a. EMU:s, regionalpolitikens och miljöpolitikens roll i den svenska ekonomiska polit</w:t>
      </w:r>
      <w:r w:rsidRPr="00C9680B">
        <w:t>i</w:t>
      </w:r>
      <w:r w:rsidRPr="00C9680B">
        <w:t>ken.</w:t>
      </w:r>
    </w:p>
    <w:p w:rsidR="001C7BF9" w:rsidRPr="00C9680B" w:rsidRDefault="001C7BF9">
      <w:pPr>
        <w:pStyle w:val="R4"/>
        <w:outlineLvl w:val="0"/>
      </w:pPr>
      <w:r w:rsidRPr="00C9680B">
        <w:t>Nej till EMU</w:t>
      </w:r>
    </w:p>
    <w:p w:rsidR="001C7BF9" w:rsidRPr="00C9680B" w:rsidRDefault="001C7BF9">
      <w:r w:rsidRPr="00C9680B">
        <w:t>Det är min uppfattning att det för stabiliteten och tillväxten i EU och övriga Europa är viktigt att valutaunionen blir en framgång. EMU kommer i hög grad att påverka Sverige och den svenska ekonomin oavsett om vi deltar eller inte. Sverige bör emellertid inte delta i EMU:s s.k. tredje etapp eftersom nackdelarna med ett svenskt deltagande överväger fördelarna. EMU är eme</w:t>
      </w:r>
      <w:r w:rsidRPr="00C9680B">
        <w:t>l</w:t>
      </w:r>
      <w:r w:rsidRPr="00C9680B">
        <w:t>lertid inte i första hand ett ekonomiskt utan ett politiskt projekt, därtill ett av EU:s mest tydliga överstatliga projekt, vilket kommer att innebära minskat ekonomiskt inflytande och minskad ekonomisk flexibilitet för medlemsstate</w:t>
      </w:r>
      <w:r w:rsidRPr="00C9680B">
        <w:t>r</w:t>
      </w:r>
      <w:r w:rsidRPr="00C9680B">
        <w:t>na.</w:t>
      </w:r>
    </w:p>
    <w:p w:rsidR="001C7BF9" w:rsidRPr="00C9680B" w:rsidRDefault="001C7BF9">
      <w:pPr>
        <w:pStyle w:val="Normaltindrag"/>
      </w:pPr>
      <w:r w:rsidRPr="00C9680B">
        <w:rPr>
          <w:snapToGrid w:val="0"/>
          <w:lang w:eastAsia="sv-SE"/>
        </w:rPr>
        <w:t>Sverige bör i stället utifrån en trovärdig ekonomisk politik stå starkt uta</w:t>
      </w:r>
      <w:r w:rsidRPr="00C9680B">
        <w:rPr>
          <w:snapToGrid w:val="0"/>
          <w:lang w:eastAsia="sv-SE"/>
        </w:rPr>
        <w:t>n</w:t>
      </w:r>
      <w:r w:rsidRPr="00C9680B">
        <w:rPr>
          <w:snapToGrid w:val="0"/>
          <w:lang w:eastAsia="sv-SE"/>
        </w:rPr>
        <w:t>för EMU. Med sunda statsfinanser, en fortsatt rörlig men stabil växelkurs, en penningpolitik som styrs av ett inflationsmål, en fortsatt reformering av  arbetsmarknaden och ett gynnsamt företagsklimat skapas, enligt min mening, goda förutsättningar för ekonomisk tillväxt, hållbar utveckling och en möjli</w:t>
      </w:r>
      <w:r w:rsidRPr="00C9680B">
        <w:rPr>
          <w:snapToGrid w:val="0"/>
          <w:lang w:eastAsia="sv-SE"/>
        </w:rPr>
        <w:t>g</w:t>
      </w:r>
      <w:r w:rsidRPr="00C9680B">
        <w:rPr>
          <w:snapToGrid w:val="0"/>
          <w:lang w:eastAsia="sv-SE"/>
        </w:rPr>
        <w:t>het för Sverige att stå utanför EMU.</w:t>
      </w:r>
    </w:p>
    <w:p w:rsidR="001C7BF9" w:rsidRPr="00C9680B" w:rsidRDefault="001C7BF9">
      <w:pPr>
        <w:pStyle w:val="R4"/>
        <w:outlineLvl w:val="0"/>
      </w:pPr>
      <w:r w:rsidRPr="00C9680B">
        <w:t>Politik för livskraft i hela landet</w:t>
      </w:r>
    </w:p>
    <w:p w:rsidR="001C7BF9" w:rsidRPr="00C9680B" w:rsidRDefault="001C7BF9">
      <w:r w:rsidRPr="00C9680B">
        <w:t>Budgetpropositionen visar med all önskvärd tydlighet att de regionala obala</w:t>
      </w:r>
      <w:r w:rsidRPr="00C9680B">
        <w:t>n</w:t>
      </w:r>
      <w:r w:rsidRPr="00C9680B">
        <w:t>serna med regeringens ekonomiska politik kommer att öka, klyftorna mellan låg- och höginkomsttagare att växa och skillnaderna mellan de som bor i storstadsregionerna och de som bor på mindre orter och på landsbygden att stiga. Enligt min mening måste den ekonomiska politiken utformas så att den skapar rättvisa och lika möjligheter för människor i hela landet. En viktig del i detta är att förändra skattepolitiken, vilket framgår av den gemensamma fy</w:t>
      </w:r>
      <w:r w:rsidRPr="00C9680B">
        <w:t>r</w:t>
      </w:r>
      <w:r w:rsidRPr="00C9680B">
        <w:t>partireservationen angående den ekonomiska politikens inri</w:t>
      </w:r>
      <w:r w:rsidRPr="00C9680B">
        <w:t>ktning. Jag anser att också regionalpolitiken måste förändras och reformeras så att förutsät</w:t>
      </w:r>
      <w:r w:rsidRPr="00C9680B">
        <w:t>t</w:t>
      </w:r>
      <w:r w:rsidRPr="00C9680B">
        <w:t>ningarna för tillväxt och företagande i hela landet förbättras. Därmed avlastas också de storstadsregioner där den höga tillväxten nu riskerar att leda till ekonomisk överhettning. För att öka livskraften i hela landet bör bl.a. en digital allemansrätt införas. Den pågående utbyggnaden av bredband innebär att stora delar av samhället lämnas utanför, vilket hotar att accelerera tude</w:t>
      </w:r>
      <w:r w:rsidRPr="00C9680B">
        <w:t>l</w:t>
      </w:r>
      <w:r w:rsidRPr="00C9680B">
        <w:t>ningen av Sverige. Vidare måste st</w:t>
      </w:r>
      <w:r w:rsidRPr="00C9680B">
        <w:t>ora satsningar på underhåll av vägnätet genomföras samt forskningsresurserna till de regionala högskolorna öka. För att öka incitamenten för färdigutbildade att bosätta sig och bli verksamma i de mindre svenska orterna bör ett system för avskrivning av studieskulder inf</w:t>
      </w:r>
      <w:r w:rsidRPr="00C9680B">
        <w:t>ö</w:t>
      </w:r>
      <w:r w:rsidRPr="00C9680B">
        <w:t>ras.</w:t>
      </w:r>
    </w:p>
    <w:p w:rsidR="001C7BF9" w:rsidRPr="00C9680B" w:rsidRDefault="001C7BF9">
      <w:pPr>
        <w:pStyle w:val="R4"/>
        <w:outlineLvl w:val="0"/>
      </w:pPr>
      <w:r w:rsidRPr="00C9680B">
        <w:t xml:space="preserve">Sverige måste bli ett föredöme på miljöområdet </w:t>
      </w:r>
    </w:p>
    <w:p w:rsidR="001C7BF9" w:rsidRPr="00C9680B" w:rsidRDefault="001C7BF9">
      <w:r w:rsidRPr="00C9680B">
        <w:t>Regeringens insatser inom miljöområdet är mycket begränsade och sporadi</w:t>
      </w:r>
      <w:r w:rsidRPr="00C9680B">
        <w:t>s</w:t>
      </w:r>
      <w:r w:rsidRPr="00C9680B">
        <w:t>ka. Jag anser att Sverige har goda förutsättningar att vara ett föredöme på miljöområdet. Sverige måste ta vara på den chans som finns att leda utvec</w:t>
      </w:r>
      <w:r w:rsidRPr="00C9680B">
        <w:t>k</w:t>
      </w:r>
      <w:r w:rsidRPr="00C9680B">
        <w:t>lingen. Sverige måste gå före och tänka långsiktigt. Många av dagens mi</w:t>
      </w:r>
      <w:r w:rsidRPr="00C9680B">
        <w:t>l</w:t>
      </w:r>
      <w:r w:rsidRPr="00C9680B">
        <w:t>jöproblem är globala och det ställer stora och nya krav på internationellt samarbete, inom Norden, inom EU och med andra länder i världen. Enligt min uppfattning bör Sverige utnyttja den flexibla integrationen i EU för att bilda en nordisk miljöunion. Sverige bör också arbeta för att geme</w:t>
      </w:r>
      <w:r w:rsidRPr="00C9680B">
        <w:t>nsamma miniminivåer för miljöskatterna införs EU och att EU:s ek</w:t>
      </w:r>
      <w:r w:rsidRPr="00C9680B">
        <w:t>o</w:t>
      </w:r>
      <w:r w:rsidRPr="00C9680B">
        <w:t>nomi miljöprövas.</w:t>
      </w:r>
    </w:p>
    <w:p w:rsidR="001C7BF9" w:rsidRPr="00C9680B" w:rsidRDefault="001C7BF9">
      <w:pPr>
        <w:pStyle w:val="Reservationspunkt"/>
        <w:rPr>
          <w:noProof w:val="0"/>
        </w:rPr>
      </w:pPr>
      <w:bookmarkStart w:id="753" w:name="_Toc498910953"/>
      <w:r w:rsidRPr="00C9680B">
        <w:rPr>
          <w:noProof w:val="0"/>
        </w:rPr>
        <w:t>3. Utskottsinitiativ om ett eventuellt kapitaltillskott till OM Gruppen AB (punkt 9) (m, kd, c, fp)</w:t>
      </w:r>
      <w:bookmarkEnd w:id="753"/>
    </w:p>
    <w:p w:rsidR="001C7BF9" w:rsidRPr="00C9680B" w:rsidRDefault="001C7BF9">
      <w:pPr>
        <w:pStyle w:val="Reservanter"/>
      </w:pPr>
      <w:r w:rsidRPr="00C9680B">
        <w:t>Mats Odell (kd), Gunnar Hökmark (m), Lennart Hedquist (m), Per Lan</w:t>
      </w:r>
      <w:r w:rsidRPr="00C9680B">
        <w:t>d</w:t>
      </w:r>
      <w:r w:rsidRPr="00C9680B">
        <w:t xml:space="preserve">gren (kd), Anna Åkerhielm (m), Lena Ek (c), Gunnar Axén (m) och Bo Könberg (fp) anför: </w:t>
      </w:r>
    </w:p>
    <w:p w:rsidR="001C7BF9" w:rsidRPr="00C9680B" w:rsidRDefault="001C7BF9">
      <w:r w:rsidRPr="00C9680B">
        <w:t>Enligt vår mening har frågan om hur staten skall finansiera ett deltagande i en eventuell nyemission i OM Gruppen AB hanterats på ett felaktigt sätt. Genom att förslaget om en utökad låneram i Riksgäldskontoret förts fram som ett utskottsinitiativ från företrädarna för Socialdemokraterna, Vänsterpartiet och Miljöpartiet har riksdagen förvägrats möjligheten att via motioner och rese</w:t>
      </w:r>
      <w:r w:rsidRPr="00C9680B">
        <w:t>r</w:t>
      </w:r>
      <w:r w:rsidRPr="00C9680B">
        <w:t>vationer ställa motförslag. Initiativtagarna och företrädare för regeringen har inte heller, vid utskottsbehandlingen, på ett fullgott sätt kunnat redogöra för varför det inte har varit möjligt att i sedvanlig ordning presentera en propos</w:t>
      </w:r>
      <w:r w:rsidRPr="00C9680B">
        <w:t>i</w:t>
      </w:r>
      <w:r w:rsidRPr="00C9680B">
        <w:t>tion för riksdagen. När vi studerar tidsschemat i händelserna kring OM:s bud på London Stock Exchange (LSE) förefaller det som om det funnits tillräc</w:t>
      </w:r>
      <w:r w:rsidRPr="00C9680B">
        <w:t>k</w:t>
      </w:r>
      <w:r w:rsidRPr="00C9680B">
        <w:t>ligt med tid för att skriva en proposition. Det som nu händer är att utskottet i stället tar beslut i frågan utan beslutsu</w:t>
      </w:r>
      <w:r w:rsidRPr="00C9680B">
        <w:t>nderlag över h</w:t>
      </w:r>
      <w:r w:rsidRPr="00C9680B">
        <w:t>u</w:t>
      </w:r>
      <w:r w:rsidRPr="00C9680B">
        <w:t>vud taget.</w:t>
      </w:r>
    </w:p>
    <w:p w:rsidR="001C7BF9" w:rsidRPr="00C9680B" w:rsidRDefault="001C7BF9">
      <w:pPr>
        <w:pStyle w:val="Normaltindrag"/>
      </w:pPr>
      <w:r w:rsidRPr="00C9680B">
        <w:t>Vår principiella ståndpunkt är dessutom att staten bör avveckla sitt ägande i OM Gruppen. Staten bör endast i undantagsfall äga och driva företag. I en fungerande marknadsekonomi är det statens roll att svara för de lagar och förordningar som reglerar relationerna mellan företag. Staten skall inte både vara domare och spelare på marknaden. Det är en mycket viktig konkurre</w:t>
      </w:r>
      <w:r w:rsidRPr="00C9680B">
        <w:t>n</w:t>
      </w:r>
      <w:r w:rsidRPr="00C9680B">
        <w:t>s</w:t>
      </w:r>
      <w:r w:rsidRPr="00C9680B">
        <w:softHyphen/>
        <w:t>princip. Det kapital som staten har uppbundet i börsbolag och i en del andra statliga företag skulle i allmänhet också göra större nytta på annat håll. St</w:t>
      </w:r>
      <w:r w:rsidRPr="00C9680B">
        <w:t>a</w:t>
      </w:r>
      <w:r w:rsidRPr="00C9680B">
        <w:t>tens ägande i ett dynamiskt och snabbfotat företag som OM Gruppen AB bevisar, enligt vår mening, denna tes. Budet på LSE förefaller vara en början på  OM Gruppens planer att utveckla sin affärsidé och expandera internati</w:t>
      </w:r>
      <w:r w:rsidRPr="00C9680B">
        <w:t>o</w:t>
      </w:r>
      <w:r w:rsidRPr="00C9680B">
        <w:t>nellt. Marknaden för börser och andra marknadsplatser är en marknad som är stadd i stor omvandling. Runt om i världen förekommer uppk</w:t>
      </w:r>
      <w:r w:rsidRPr="00C9680B">
        <w:t>öp, planer på samarbete och joint ventures. För att OM skall kunna delta i den här typen av framtidsinriktade strukturaffärer krävs ägare som snabbt kan ta beslut och där besluten inte kan misstänkas ha politiska motiv. Att döma av både den sven</w:t>
      </w:r>
      <w:r w:rsidRPr="00C9680B">
        <w:t>s</w:t>
      </w:r>
      <w:r w:rsidRPr="00C9680B">
        <w:t>ka och brittiska medierapporteringen kring OM:s bud på LSE har också svenska statens ägande i OM Gruppen varit föremål för en mycket kritisk diskussion i finanssektorn i London. Det är vår uppfattning att om staten inte varit ägare i OM hade förutsättningarna för at</w:t>
      </w:r>
      <w:r w:rsidRPr="00C9680B">
        <w:t>t budet på LSE skulle gå igenom varit större. En viktig fråga i sammanhanget, som vi under utskottsbehan</w:t>
      </w:r>
      <w:r w:rsidRPr="00C9680B">
        <w:t>d</w:t>
      </w:r>
      <w:r w:rsidRPr="00C9680B">
        <w:t>lingen också ställt till majoriteten och företrädarna för regeringen, är om staten tycker att det är rimligt att skatteinkomster används för finansiera up</w:t>
      </w:r>
      <w:r w:rsidRPr="00C9680B">
        <w:t>p</w:t>
      </w:r>
      <w:r w:rsidRPr="00C9680B">
        <w:t>köp av  fler börser utomlands, av t.ex. den japanska eller tyska aktiebö</w:t>
      </w:r>
      <w:r w:rsidRPr="00C9680B">
        <w:t>r</w:t>
      </w:r>
      <w:r w:rsidRPr="00C9680B">
        <w:t>sen?</w:t>
      </w:r>
    </w:p>
    <w:p w:rsidR="001C7BF9" w:rsidRPr="00C9680B" w:rsidRDefault="001C7BF9">
      <w:pPr>
        <w:pStyle w:val="Normaltindrag"/>
      </w:pPr>
      <w:r w:rsidRPr="00C9680B">
        <w:t>Enligt vår mening skulle, med tanke på omständigheterna, ett rimligt u</w:t>
      </w:r>
      <w:r w:rsidRPr="00C9680B">
        <w:t>t</w:t>
      </w:r>
      <w:r w:rsidRPr="00C9680B">
        <w:t>skottsbeslut vara att riksdagen beslutar ge regeringen fullmakt att avveckla det statliga ägandet i OM Gruppen AB. I samband med en eventuell nyemi</w:t>
      </w:r>
      <w:r w:rsidRPr="00C9680B">
        <w:t>s</w:t>
      </w:r>
      <w:r w:rsidRPr="00C9680B">
        <w:t>sion i OM Gruppen för att finansiera budet på LSE bör staten därför pröva tillvägagångssättet att sälja de teckningsrätter som staten får i samband med emi</w:t>
      </w:r>
      <w:r w:rsidRPr="00C9680B">
        <w:t>s</w:t>
      </w:r>
      <w:r w:rsidRPr="00C9680B">
        <w:t xml:space="preserve">sionen.  </w:t>
      </w:r>
    </w:p>
    <w:p w:rsidR="001C7BF9" w:rsidRPr="00C9680B" w:rsidRDefault="001C7BF9">
      <w:pPr>
        <w:pStyle w:val="Normaltindrag"/>
        <w:ind w:firstLine="0"/>
      </w:pPr>
    </w:p>
    <w:p w:rsidR="001C7BF9" w:rsidRPr="00C9680B" w:rsidRDefault="001C7BF9"/>
    <w:p w:rsidR="001C7BF9" w:rsidRPr="00C9680B" w:rsidRDefault="001C7BF9">
      <w:pPr>
        <w:pStyle w:val="Normaltindrag"/>
        <w:sectPr w:rsidR="00000000" w:rsidRPr="00C9680B">
          <w:headerReference w:type="even" r:id="rId87"/>
          <w:headerReference w:type="default" r:id="rId88"/>
          <w:footerReference w:type="even" r:id="rId89"/>
          <w:footerReference w:type="default" r:id="rId90"/>
          <w:headerReference w:type="first" r:id="rId91"/>
          <w:footerReference w:type="first" r:id="rId92"/>
          <w:footnotePr>
            <w:numRestart w:val="eachSect"/>
          </w:footnotePr>
          <w:pgSz w:w="11906" w:h="16838" w:code="9"/>
          <w:pgMar w:top="907" w:right="4649" w:bottom="4508" w:left="1304" w:header="340" w:footer="227" w:gutter="0"/>
          <w:cols w:space="720"/>
          <w:titlePg/>
        </w:sectPr>
      </w:pPr>
    </w:p>
    <w:p w:rsidR="001C7BF9" w:rsidRPr="00C9680B" w:rsidRDefault="001C7BF9">
      <w:pPr>
        <w:pStyle w:val="Bilaga"/>
      </w:pPr>
      <w:bookmarkStart w:id="754" w:name="_Toc498069864"/>
      <w:r w:rsidRPr="00C9680B">
        <w:t>BILAGA 1</w:t>
      </w:r>
    </w:p>
    <w:p w:rsidR="001C7BF9" w:rsidRPr="00C9680B" w:rsidRDefault="001C7BF9">
      <w:pPr>
        <w:pStyle w:val="Rubrik1"/>
        <w:rPr>
          <w:noProof w:val="0"/>
        </w:rPr>
      </w:pPr>
      <w:bookmarkStart w:id="755" w:name="_Toc498910954"/>
      <w:r w:rsidRPr="00C9680B">
        <w:rPr>
          <w:noProof w:val="0"/>
        </w:rPr>
        <w:t>Förteckning över behandlade förslag</w:t>
      </w:r>
      <w:bookmarkEnd w:id="754"/>
      <w:bookmarkEnd w:id="755"/>
    </w:p>
    <w:p w:rsidR="001C7BF9" w:rsidRPr="00C9680B" w:rsidRDefault="001C7BF9">
      <w:pPr>
        <w:pStyle w:val="Rubrik2"/>
        <w:spacing w:before="0"/>
      </w:pPr>
      <w:bookmarkStart w:id="756" w:name="_Toc498069865"/>
      <w:bookmarkStart w:id="757" w:name="_Toc498910955"/>
      <w:r w:rsidRPr="00C9680B">
        <w:t>Budgetpropositionen</w:t>
      </w:r>
      <w:bookmarkEnd w:id="756"/>
      <w:r w:rsidRPr="00C9680B">
        <w:t xml:space="preserve"> 2001</w:t>
      </w:r>
      <w:bookmarkEnd w:id="757"/>
    </w:p>
    <w:p w:rsidR="001C7BF9" w:rsidRPr="00C9680B" w:rsidRDefault="001C7BF9">
      <w:r w:rsidRPr="00C9680B">
        <w:t>I proposition 2000/01:1 Budgetpropositionen för 2001 föreslår regeringen i förslag till statsbudget, finan</w:t>
      </w:r>
      <w:r w:rsidRPr="00C9680B">
        <w:t>s</w:t>
      </w:r>
      <w:r w:rsidRPr="00C9680B">
        <w:t>plan m.m.</w:t>
      </w:r>
    </w:p>
    <w:p w:rsidR="001C7BF9" w:rsidRPr="00C9680B" w:rsidRDefault="001C7BF9">
      <w:pPr>
        <w:rPr>
          <w:i/>
        </w:rPr>
      </w:pPr>
      <w:r w:rsidRPr="00C9680B">
        <w:rPr>
          <w:i/>
        </w:rPr>
        <w:t>när det gäller den ekonomiska politiken och förslag till statsbudget för bu</w:t>
      </w:r>
      <w:r w:rsidRPr="00C9680B">
        <w:rPr>
          <w:i/>
        </w:rPr>
        <w:t>d</w:t>
      </w:r>
      <w:r w:rsidRPr="00C9680B">
        <w:rPr>
          <w:i/>
        </w:rPr>
        <w:t>getåret 2001</w:t>
      </w:r>
    </w:p>
    <w:p w:rsidR="001C7BF9" w:rsidRPr="00C9680B" w:rsidRDefault="001C7BF9">
      <w:pPr>
        <w:pStyle w:val="Normaltindrag"/>
      </w:pPr>
      <w:r w:rsidRPr="00C9680B">
        <w:t>1. att riksdagen godkänner de allmänna riktlinjer för den ekonomiska pol</w:t>
      </w:r>
      <w:r w:rsidRPr="00C9680B">
        <w:t>i</w:t>
      </w:r>
      <w:r w:rsidRPr="00C9680B">
        <w:t xml:space="preserve">tiken som regeringen förordar (kapitel 1), </w:t>
      </w:r>
    </w:p>
    <w:p w:rsidR="001C7BF9" w:rsidRPr="00C9680B" w:rsidRDefault="001C7BF9">
      <w:pPr>
        <w:pStyle w:val="Normaltindrag"/>
      </w:pPr>
      <w:r w:rsidRPr="00C9680B">
        <w:t>2. att riksdagen fastställer utgiftstaket för staten inklusive ålderspension</w:t>
      </w:r>
      <w:r w:rsidRPr="00C9680B">
        <w:t>s</w:t>
      </w:r>
      <w:r w:rsidRPr="00C9680B">
        <w:t>systemet vid sidan av statsbudgeten till 789 miljarder kronor 2001, 814 mi</w:t>
      </w:r>
      <w:r w:rsidRPr="00C9680B">
        <w:t>l</w:t>
      </w:r>
      <w:r w:rsidRPr="00C9680B">
        <w:t xml:space="preserve">jarder kronor 2002 och 844 miljarder kronor 2003 (avsnitt 4.1.1), </w:t>
      </w:r>
    </w:p>
    <w:p w:rsidR="001C7BF9" w:rsidRPr="00C9680B" w:rsidRDefault="001C7BF9">
      <w:pPr>
        <w:pStyle w:val="Normaltindrag"/>
      </w:pPr>
      <w:r w:rsidRPr="00C9680B">
        <w:t>3. att riksdagen godkänner beräkningen av de offentliga utgifterna för åren 2001-2003 (a</w:t>
      </w:r>
      <w:r w:rsidRPr="00C9680B">
        <w:t>v</w:t>
      </w:r>
      <w:r w:rsidRPr="00C9680B">
        <w:t xml:space="preserve">snitt 4.1.2), </w:t>
      </w:r>
    </w:p>
    <w:p w:rsidR="001C7BF9" w:rsidRPr="00C9680B" w:rsidRDefault="001C7BF9">
      <w:pPr>
        <w:pStyle w:val="Normaltindrag"/>
      </w:pPr>
      <w:r w:rsidRPr="00C9680B">
        <w:t>4. att riksdagen fastställer målet för det finansiella sparandet i den offentl</w:t>
      </w:r>
      <w:r w:rsidRPr="00C9680B">
        <w:t>i</w:t>
      </w:r>
      <w:r w:rsidRPr="00C9680B">
        <w:t>ga sektorn för 2001 till 2,5 procent av bruttonationalprodukten (a</w:t>
      </w:r>
      <w:r w:rsidRPr="00C9680B">
        <w:t>v</w:t>
      </w:r>
      <w:r w:rsidRPr="00C9680B">
        <w:t xml:space="preserve">snitt 4.1.3), </w:t>
      </w:r>
    </w:p>
    <w:p w:rsidR="001C7BF9" w:rsidRPr="00C9680B" w:rsidRDefault="001C7BF9">
      <w:pPr>
        <w:pStyle w:val="Normaltindrag"/>
      </w:pPr>
      <w:r w:rsidRPr="00C9680B">
        <w:t>5. att riksdagen bemyndigar regeringen att under budgetåret 2001 ta upp lån enligt lagen (1988:1387) om statens upplåning och skuldförvaltning (a</w:t>
      </w:r>
      <w:r w:rsidRPr="00C9680B">
        <w:t>v</w:t>
      </w:r>
      <w:r w:rsidRPr="00C9680B">
        <w:t xml:space="preserve">snitt 4.4.3), </w:t>
      </w:r>
    </w:p>
    <w:p w:rsidR="001C7BF9" w:rsidRPr="00C9680B" w:rsidRDefault="001C7BF9">
      <w:pPr>
        <w:pStyle w:val="Normaltindrag"/>
      </w:pPr>
      <w:r w:rsidRPr="00C9680B">
        <w:t>6. att riksdagen godkänner beräkningen av myndigheters m.fl. in- och utl</w:t>
      </w:r>
      <w:r w:rsidRPr="00C9680B">
        <w:t>å</w:t>
      </w:r>
      <w:r w:rsidRPr="00C9680B">
        <w:t>ning i Riksgäldskontoret för budgetåret 2001 samt beräkningen av överfö</w:t>
      </w:r>
      <w:r w:rsidRPr="00C9680B">
        <w:t>r</w:t>
      </w:r>
      <w:r w:rsidRPr="00C9680B">
        <w:t xml:space="preserve">ingen av medel från AP-fonden för budgetåret 2001 (avsnitt 4.4.3, tabell 4.17), </w:t>
      </w:r>
    </w:p>
    <w:p w:rsidR="001C7BF9" w:rsidRPr="00C9680B" w:rsidRDefault="001C7BF9">
      <w:pPr>
        <w:pStyle w:val="Normaltindrag"/>
      </w:pPr>
      <w:r w:rsidRPr="00C9680B">
        <w:t>7. att riksdagen godkänner beräkningen av statsbudgetens inkomster för budge</w:t>
      </w:r>
      <w:r w:rsidRPr="00C9680B">
        <w:t>t</w:t>
      </w:r>
      <w:r w:rsidRPr="00C9680B">
        <w:t xml:space="preserve">året 2001 (avsnitt 5.4 samt bilaga 1), </w:t>
      </w:r>
    </w:p>
    <w:p w:rsidR="001C7BF9" w:rsidRPr="00C9680B" w:rsidRDefault="001C7BF9">
      <w:pPr>
        <w:pStyle w:val="Normaltindrag"/>
      </w:pPr>
      <w:r w:rsidRPr="00C9680B">
        <w:t xml:space="preserve">8. att riksdagen beslutar om fördelning av utgifterna för budgetåret 2001 på utgiftsområden i enlighet med vad regeringen föreslår (avsnitt 7.1, tabell 7.2), </w:t>
      </w:r>
    </w:p>
    <w:p w:rsidR="001C7BF9" w:rsidRPr="00C9680B" w:rsidRDefault="001C7BF9">
      <w:pPr>
        <w:pStyle w:val="Normaltindrag"/>
      </w:pPr>
      <w:r w:rsidRPr="00C9680B">
        <w:t>9. att riksdagen godkänner beräkningen av förändringar av anslagsbehål</w:t>
      </w:r>
      <w:r w:rsidRPr="00C9680B">
        <w:t>l</w:t>
      </w:r>
      <w:r w:rsidRPr="00C9680B">
        <w:t>ningar för budgetåret 2001 (a</w:t>
      </w:r>
      <w:r w:rsidRPr="00C9680B">
        <w:t>v</w:t>
      </w:r>
      <w:r w:rsidRPr="00C9680B">
        <w:t xml:space="preserve">snitt 7.1, tabell 7.2), </w:t>
      </w:r>
    </w:p>
    <w:p w:rsidR="001C7BF9" w:rsidRPr="00C9680B" w:rsidRDefault="001C7BF9">
      <w:pPr>
        <w:pStyle w:val="Normaltindrag"/>
      </w:pPr>
      <w:r w:rsidRPr="00C9680B">
        <w:t>10. att riksdagen godkänner den preliminära fördelningen av utgifterna på utgiftsområden för budgetåren 2002 och 2003 som riktlinje för regeringens budg</w:t>
      </w:r>
      <w:r w:rsidRPr="00C9680B">
        <w:t>e</w:t>
      </w:r>
      <w:r w:rsidRPr="00C9680B">
        <w:t xml:space="preserve">tarbete (avsnitt 7.1, tabell 7.2), </w:t>
      </w:r>
    </w:p>
    <w:p w:rsidR="001C7BF9" w:rsidRPr="00C9680B" w:rsidRDefault="001C7BF9">
      <w:pPr>
        <w:pStyle w:val="Normaltindrag"/>
      </w:pPr>
      <w:r w:rsidRPr="00C9680B">
        <w:t xml:space="preserve">11. att riksdagen bemyndigar regeringen att för budgetåret 2001 besluta om lån i Riksgäldskontoret för investeringar i anläggningstillgångar som används i statens verksamhet intill ett belopp av 20 700 000 000 kr (avsnitt 8.1), </w:t>
      </w:r>
    </w:p>
    <w:p w:rsidR="001C7BF9" w:rsidRPr="00C9680B" w:rsidRDefault="001C7BF9">
      <w:pPr>
        <w:pStyle w:val="Normaltindrag"/>
      </w:pPr>
      <w:r w:rsidRPr="00C9680B">
        <w:t xml:space="preserve">12. att riksdagen bemyndigar regeringen att för budgetåret 2001 besluta om krediter för myndigheters räntekonton i Riksgäldskontoret intill ett belopp av 14 600 000 000 kr (avsnitt 8.1), </w:t>
      </w:r>
    </w:p>
    <w:p w:rsidR="001C7BF9" w:rsidRPr="00C9680B" w:rsidRDefault="001C7BF9">
      <w:pPr>
        <w:pStyle w:val="Normaltindrag"/>
      </w:pPr>
      <w:r w:rsidRPr="00C9680B">
        <w:t>13. att riksdagen bemyndigar regeringen att för budgetåret 2001 vad avser sjunde AP-fondstyrelsens verksamhet dels besluta om lån i Riksgäldskontoret för investeringar i anläggningstillgångar som används i verksamheten intill ett belopp av 22 000 000 kr, dels besluta om kredit på räntekonto i Riksgäld</w:t>
      </w:r>
      <w:r w:rsidRPr="00C9680B">
        <w:t>s</w:t>
      </w:r>
      <w:r w:rsidRPr="00C9680B">
        <w:t xml:space="preserve">kontoret intill ett belopp av 90 000 000 kr (avsnitt 8.1), </w:t>
      </w:r>
    </w:p>
    <w:p w:rsidR="001C7BF9" w:rsidRPr="00C9680B" w:rsidRDefault="001C7BF9">
      <w:pPr>
        <w:pStyle w:val="Normaltindrag"/>
      </w:pPr>
      <w:r w:rsidRPr="00C9680B">
        <w:t>14. att riksdagen bemyndigar regeringen att under budgetåret 2001, med de begränsningar som följer av 6 § andra stycket lagen (1996:1059) om stat</w:t>
      </w:r>
      <w:r w:rsidRPr="00C9680B">
        <w:t>s</w:t>
      </w:r>
      <w:r w:rsidRPr="00C9680B">
        <w:t>budgeten, besluta att ett ramanslag, med undantag för anslag anvisade för förvaltningsändamål, får överskridas om ett riksdagsbeslut om anslag på tilläggsbudget inte hinner inväntas samt om överskridandet ryms inom utgif</w:t>
      </w:r>
      <w:r w:rsidRPr="00C9680B">
        <w:t>t</w:t>
      </w:r>
      <w:r w:rsidRPr="00C9680B">
        <w:t xml:space="preserve">staket för staten (avsnitt 8.4), </w:t>
      </w:r>
    </w:p>
    <w:p w:rsidR="001C7BF9" w:rsidRPr="00C9680B" w:rsidRDefault="001C7BF9">
      <w:pPr>
        <w:rPr>
          <w:i/>
        </w:rPr>
      </w:pPr>
      <w:r w:rsidRPr="00C9680B">
        <w:rPr>
          <w:i/>
        </w:rPr>
        <w:t>när det gäller skattefrågor</w:t>
      </w:r>
    </w:p>
    <w:p w:rsidR="001C7BF9" w:rsidRPr="00C9680B" w:rsidRDefault="001C7BF9">
      <w:pPr>
        <w:pStyle w:val="Normaltindrag"/>
      </w:pPr>
      <w:r w:rsidRPr="00C9680B">
        <w:t xml:space="preserve">23. att riksdagen antar regeringens förslag till lag om ändring i lagen (1984:1052) om statlig fastighetsskatt, </w:t>
      </w:r>
    </w:p>
    <w:p w:rsidR="001C7BF9" w:rsidRPr="00C9680B" w:rsidRDefault="001C7BF9">
      <w:pPr>
        <w:pStyle w:val="Normaltindrag"/>
      </w:pPr>
      <w:r w:rsidRPr="00C9680B">
        <w:t>24. att riksdagen antar regeringens förslag till lag om ändring i inkoms</w:t>
      </w:r>
      <w:r w:rsidRPr="00C9680B">
        <w:t>t</w:t>
      </w:r>
      <w:r w:rsidRPr="00C9680B">
        <w:t>skatt</w:t>
      </w:r>
      <w:r w:rsidRPr="00C9680B">
        <w:t>e</w:t>
      </w:r>
      <w:r w:rsidRPr="00C9680B">
        <w:t xml:space="preserve">lagen (1999:1229), </w:t>
      </w:r>
    </w:p>
    <w:p w:rsidR="001C7BF9" w:rsidRPr="00C9680B" w:rsidRDefault="001C7BF9">
      <w:pPr>
        <w:pStyle w:val="Normaltindrag"/>
      </w:pPr>
      <w:r w:rsidRPr="00C9680B">
        <w:t>25. att riksdagen antar regeringens förslag till lag om ändring i skattebeta</w:t>
      </w:r>
      <w:r w:rsidRPr="00C9680B">
        <w:t>l</w:t>
      </w:r>
      <w:r w:rsidRPr="00C9680B">
        <w:t>ningsl</w:t>
      </w:r>
      <w:r w:rsidRPr="00C9680B">
        <w:t>a</w:t>
      </w:r>
      <w:r w:rsidRPr="00C9680B">
        <w:t xml:space="preserve">gen (1997:483), </w:t>
      </w:r>
    </w:p>
    <w:p w:rsidR="001C7BF9" w:rsidRPr="00C9680B" w:rsidRDefault="001C7BF9">
      <w:pPr>
        <w:pStyle w:val="Normaltindrag"/>
      </w:pPr>
      <w:r w:rsidRPr="00C9680B">
        <w:t xml:space="preserve">26. att riksdagen antar regeringens förslag till lag om ändring i lagen (1994:1920) om allmän löneavgift, </w:t>
      </w:r>
    </w:p>
    <w:p w:rsidR="001C7BF9" w:rsidRPr="00C9680B" w:rsidRDefault="001C7BF9">
      <w:pPr>
        <w:pStyle w:val="Normaltindrag"/>
      </w:pPr>
      <w:r w:rsidRPr="00C9680B">
        <w:t>27. att riksdagen antar regeringens förslag till lag om skattereduktion på fö</w:t>
      </w:r>
      <w:r w:rsidRPr="00C9680B">
        <w:t>r</w:t>
      </w:r>
      <w:r w:rsidRPr="00C9680B">
        <w:t xml:space="preserve">värvsinkomster vid 2002 års taxering, </w:t>
      </w:r>
    </w:p>
    <w:p w:rsidR="001C7BF9" w:rsidRPr="00C9680B" w:rsidRDefault="001C7BF9">
      <w:pPr>
        <w:pStyle w:val="Normaltindrag"/>
      </w:pPr>
      <w:r w:rsidRPr="00C9680B">
        <w:t>28. att riksdagen antar regeringens förslag till lag om ändring i lagen (1994:1744) om allmän pensionsa</w:t>
      </w:r>
      <w:r w:rsidRPr="00C9680B">
        <w:t>v</w:t>
      </w:r>
      <w:r w:rsidRPr="00C9680B">
        <w:t xml:space="preserve">gift, </w:t>
      </w:r>
    </w:p>
    <w:p w:rsidR="001C7BF9" w:rsidRPr="00C9680B" w:rsidRDefault="001C7BF9">
      <w:pPr>
        <w:pStyle w:val="Normaltindrag"/>
      </w:pPr>
      <w:r w:rsidRPr="00C9680B">
        <w:t xml:space="preserve">29. att riksdagen antar regeringens förslag till lag om ändring i lagen (1999:802) om ändring i lagen (1998:674) om inkomstgrundad ålderspension, </w:t>
      </w:r>
    </w:p>
    <w:p w:rsidR="001C7BF9" w:rsidRPr="00C9680B" w:rsidRDefault="001C7BF9">
      <w:pPr>
        <w:pStyle w:val="Normaltindrag"/>
      </w:pPr>
      <w:r w:rsidRPr="00C9680B">
        <w:t>30. att riksdagen antar regeringens förslag till lag om ändring i lagen (1998:676) om statlig ålderspe</w:t>
      </w:r>
      <w:r w:rsidRPr="00C9680B">
        <w:t>n</w:t>
      </w:r>
      <w:r w:rsidRPr="00C9680B">
        <w:t xml:space="preserve">sionsavgift, </w:t>
      </w:r>
    </w:p>
    <w:p w:rsidR="001C7BF9" w:rsidRPr="00C9680B" w:rsidRDefault="001C7BF9">
      <w:pPr>
        <w:pStyle w:val="Normaltindrag"/>
      </w:pPr>
      <w:r w:rsidRPr="00C9680B">
        <w:t>31. att riksdagen antar regeringens förslag till lag om ändring i lagen (1999:265) om särskilt grundavdrag och deklarationsskyldighet för fysiska personer i vissa fall vid 2000-2003 års taxeringar, 32. att riksdagen antar regerin</w:t>
      </w:r>
      <w:r w:rsidRPr="00C9680B">
        <w:t>g</w:t>
      </w:r>
      <w:r w:rsidRPr="00C9680B">
        <w:t xml:space="preserve">ens förslag till </w:t>
      </w:r>
    </w:p>
    <w:p w:rsidR="001C7BF9" w:rsidRPr="00C9680B" w:rsidRDefault="001C7BF9">
      <w:pPr>
        <w:pStyle w:val="Normaltindrag"/>
      </w:pPr>
      <w:r w:rsidRPr="00C9680B">
        <w:t xml:space="preserve">lag om ändring i lagen (1997:323) om statlig förmögenhetsskatt, </w:t>
      </w:r>
    </w:p>
    <w:p w:rsidR="001C7BF9" w:rsidRPr="00C9680B" w:rsidRDefault="001C7BF9">
      <w:pPr>
        <w:pStyle w:val="Normaltindrag"/>
      </w:pPr>
      <w:r w:rsidRPr="00C9680B">
        <w:t>33. att riksdagen antar regeringens förslag till lag om underlag för förm</w:t>
      </w:r>
      <w:r w:rsidRPr="00C9680B">
        <w:t>ö</w:t>
      </w:r>
      <w:r w:rsidRPr="00C9680B">
        <w:t>genhet</w:t>
      </w:r>
      <w:r w:rsidRPr="00C9680B">
        <w:t>s</w:t>
      </w:r>
      <w:r w:rsidRPr="00C9680B">
        <w:t xml:space="preserve">skatt i vissa fall vid 2001 års taxering, </w:t>
      </w:r>
    </w:p>
    <w:p w:rsidR="001C7BF9" w:rsidRPr="00C9680B" w:rsidRDefault="001C7BF9">
      <w:pPr>
        <w:pStyle w:val="Normaltindrag"/>
      </w:pPr>
      <w:r w:rsidRPr="00C9680B">
        <w:t xml:space="preserve">34. att riksdagen antar regeringens förslag till lag om ändring i lagen (1994:1776) om skatt på energi, </w:t>
      </w:r>
    </w:p>
    <w:p w:rsidR="001C7BF9" w:rsidRPr="00C9680B" w:rsidRDefault="001C7BF9">
      <w:pPr>
        <w:pStyle w:val="Normaltindrag"/>
      </w:pPr>
      <w:r w:rsidRPr="00C9680B">
        <w:t>35. att riksdagen antar regeringens förslag till lag om ändring i fordon</w:t>
      </w:r>
      <w:r w:rsidRPr="00C9680B">
        <w:t>s</w:t>
      </w:r>
      <w:r w:rsidRPr="00C9680B">
        <w:t>skatt</w:t>
      </w:r>
      <w:r w:rsidRPr="00C9680B">
        <w:t>e</w:t>
      </w:r>
      <w:r w:rsidRPr="00C9680B">
        <w:t xml:space="preserve">lagen (1988:327), </w:t>
      </w:r>
    </w:p>
    <w:p w:rsidR="001C7BF9" w:rsidRPr="00C9680B" w:rsidRDefault="001C7BF9">
      <w:pPr>
        <w:pStyle w:val="Normaltindrag"/>
      </w:pPr>
      <w:r w:rsidRPr="00C9680B">
        <w:t>36. att riksdagen antar regeringens förslag till lag om upphävande av lagen (1978:69) om försäljningsskatt på motorfo</w:t>
      </w:r>
      <w:r w:rsidRPr="00C9680B">
        <w:t>r</w:t>
      </w:r>
      <w:r w:rsidRPr="00C9680B">
        <w:t xml:space="preserve">don, </w:t>
      </w:r>
    </w:p>
    <w:p w:rsidR="001C7BF9" w:rsidRPr="00C9680B" w:rsidRDefault="001C7BF9">
      <w:pPr>
        <w:pStyle w:val="Normaltindrag"/>
      </w:pPr>
      <w:r w:rsidRPr="00C9680B">
        <w:t>37. att riksdagen antar regeringens förslag till lag om ändring i lagen (1994:1565) om beskattning av viss privatinfö</w:t>
      </w:r>
      <w:r w:rsidRPr="00C9680B">
        <w:t>r</w:t>
      </w:r>
      <w:r w:rsidRPr="00C9680B">
        <w:t xml:space="preserve">sel, </w:t>
      </w:r>
    </w:p>
    <w:p w:rsidR="001C7BF9" w:rsidRPr="00C9680B" w:rsidRDefault="001C7BF9">
      <w:pPr>
        <w:pStyle w:val="Normaltindrag"/>
      </w:pPr>
      <w:r w:rsidRPr="00C9680B">
        <w:t xml:space="preserve">38. att riksdagen antar regeringens förslag till lag om ändring i lagen (1994:1551) om frihet från skatt vid import, m.m., </w:t>
      </w:r>
    </w:p>
    <w:p w:rsidR="001C7BF9" w:rsidRPr="00C9680B" w:rsidRDefault="001C7BF9">
      <w:pPr>
        <w:pStyle w:val="Normaltindrag"/>
      </w:pPr>
      <w:r w:rsidRPr="00C9680B">
        <w:t xml:space="preserve">39. att riksdagen antar regeringens förslag till lag om ändring i lagen (1996:1512) om dubbelbeskattningsavtal mellan de nordiska länderna, </w:t>
      </w:r>
    </w:p>
    <w:p w:rsidR="001C7BF9" w:rsidRPr="00C9680B" w:rsidRDefault="001C7BF9">
      <w:pPr>
        <w:pStyle w:val="Normaltindrag"/>
      </w:pPr>
      <w:r w:rsidRPr="00C9680B">
        <w:t>40. att riksdagen antar regeringens förslag om sänkt mervärdesskatt för personbefordran. (Förslaget till lag om ändring i mervärdesskattelagen (1994:200) är överlämnat till skatteutskottet för lagteknisk samor</w:t>
      </w:r>
      <w:r w:rsidRPr="00C9680B">
        <w:t>d</w:t>
      </w:r>
      <w:r w:rsidRPr="00C9680B">
        <w:t>ning.).</w:t>
      </w:r>
    </w:p>
    <w:p w:rsidR="001C7BF9" w:rsidRPr="00C9680B" w:rsidRDefault="001C7BF9">
      <w:pPr>
        <w:pStyle w:val="Rubrik2"/>
      </w:pPr>
      <w:bookmarkStart w:id="758" w:name="_Toc498910956"/>
      <w:r w:rsidRPr="00C9680B">
        <w:t>Regeringens skrivelse 150 Årsredovisning för staten</w:t>
      </w:r>
      <w:bookmarkEnd w:id="758"/>
      <w:r w:rsidRPr="00C9680B">
        <w:t xml:space="preserve"> </w:t>
      </w:r>
    </w:p>
    <w:p w:rsidR="001C7BF9" w:rsidRPr="00C9680B" w:rsidRDefault="001C7BF9">
      <w:r w:rsidRPr="00C9680B">
        <w:t>I regeringens skrivelse 1999/2000:150 lämnar regeringen en redogörelse för det ekonomiska utfallet i staten budgetåret 1999.</w:t>
      </w:r>
    </w:p>
    <w:p w:rsidR="001C7BF9" w:rsidRPr="00C9680B" w:rsidRDefault="001C7BF9">
      <w:pPr>
        <w:pStyle w:val="Rubrik2"/>
      </w:pPr>
      <w:bookmarkStart w:id="759" w:name="_Toc498069867"/>
      <w:bookmarkStart w:id="760" w:name="_Toc498910957"/>
      <w:r w:rsidRPr="00C9680B">
        <w:t>Motioner från allmänna motionstiden</w:t>
      </w:r>
      <w:bookmarkEnd w:id="759"/>
      <w:bookmarkEnd w:id="760"/>
    </w:p>
    <w:p w:rsidR="001C7BF9" w:rsidRPr="00C9680B" w:rsidRDefault="001C7BF9">
      <w:r w:rsidRPr="00C9680B">
        <w:t xml:space="preserve">2000/01:Fi201 av Gudrun Schyman m.fl. (v) vari föreslås att riksdagen fattar följande beslut: Riksdagen begär att regeringen tillsätter en utredning med uppgift att ur ett könsperspektiv analysera konsekvenserna av ett svenskt EMU-medlemskap. </w:t>
      </w:r>
    </w:p>
    <w:p w:rsidR="001C7BF9" w:rsidRPr="00C9680B" w:rsidRDefault="001C7BF9">
      <w:pPr>
        <w:pStyle w:val="MP"/>
        <w:numPr>
          <w:ilvl w:val="0"/>
          <w:numId w:val="0"/>
        </w:numPr>
      </w:pPr>
      <w:r w:rsidRPr="00C9680B">
        <w:t>2000/01:Fi204 av Tuve Skånberg och Fanny Rizell (kd) vari föreslås att rik</w:t>
      </w:r>
      <w:r w:rsidRPr="00C9680B">
        <w:t>s</w:t>
      </w:r>
      <w:r w:rsidRPr="00C9680B">
        <w:t xml:space="preserve">dagen fattar följande beslut: Riksdagen tillkännager för regeringen som sin mening vad i motionen anförs om åtgärder för att stärka den ekonomiska etiken. </w:t>
      </w:r>
    </w:p>
    <w:p w:rsidR="001C7BF9" w:rsidRPr="00C9680B" w:rsidRDefault="001C7BF9">
      <w:r w:rsidRPr="00C9680B">
        <w:t>2000/01:Fi206 av Camilla Sköld Jansson m.fl. (v) vari föreslås att riksdagen fattar följande beslut:</w:t>
      </w:r>
    </w:p>
    <w:p w:rsidR="001C7BF9" w:rsidRPr="00C9680B" w:rsidRDefault="001C7BF9">
      <w:pPr>
        <w:pStyle w:val="Normaltindrag"/>
      </w:pPr>
      <w:r w:rsidRPr="00C9680B">
        <w:t>1. Riksdagen begär att regeringen tillsätter en utredning med uppgift att närmare analysera ett svenskt EMU-medlemskaps konse</w:t>
      </w:r>
      <w:r w:rsidRPr="00C9680B">
        <w:t>k</w:t>
      </w:r>
      <w:r w:rsidRPr="00C9680B">
        <w:t xml:space="preserve">venser för Norrland. </w:t>
      </w:r>
    </w:p>
    <w:p w:rsidR="001C7BF9" w:rsidRPr="00C9680B" w:rsidRDefault="001C7BF9">
      <w:pPr>
        <w:pStyle w:val="Normaltindrag"/>
      </w:pPr>
      <w:r w:rsidRPr="00C9680B">
        <w:t>2. Riksdagen tillkännager för regeringen som sin mening vad i motionen anförs om att regeringen redovisar på vilket sätt och i vilken utsträckning negativa konse</w:t>
      </w:r>
      <w:r w:rsidRPr="00C9680B">
        <w:t>k</w:t>
      </w:r>
      <w:r w:rsidRPr="00C9680B">
        <w:t xml:space="preserve">venser kan motverkas. </w:t>
      </w:r>
    </w:p>
    <w:p w:rsidR="001C7BF9" w:rsidRPr="00C9680B" w:rsidRDefault="001C7BF9">
      <w:r w:rsidRPr="00C9680B">
        <w:t>2000/01:Fi207 av Karin Pilsäter m.fl. (fp) vari föreslås att riksdagen fattar följande beslut:</w:t>
      </w:r>
    </w:p>
    <w:p w:rsidR="001C7BF9" w:rsidRPr="00C9680B" w:rsidRDefault="001C7BF9">
      <w:pPr>
        <w:pStyle w:val="Normaltindrag"/>
      </w:pPr>
      <w:r w:rsidRPr="00C9680B">
        <w:t xml:space="preserve">1. Riksdagen tillkännager för regeringen som sin mening vad i motionen anförs om att Sverige avser att gå med i EMU. </w:t>
      </w:r>
    </w:p>
    <w:p w:rsidR="001C7BF9" w:rsidRPr="00C9680B" w:rsidRDefault="001C7BF9">
      <w:pPr>
        <w:pStyle w:val="Normaltindrag"/>
      </w:pPr>
      <w:r w:rsidRPr="00C9680B">
        <w:t>2. Riksdagen tillkännager för regeringen som sin mening vad i motionen anförs om en nationell öve</w:t>
      </w:r>
      <w:r w:rsidRPr="00C9680B">
        <w:t>r</w:t>
      </w:r>
      <w:r w:rsidRPr="00C9680B">
        <w:t xml:space="preserve">gångsplan. </w:t>
      </w:r>
    </w:p>
    <w:p w:rsidR="001C7BF9" w:rsidRPr="00C9680B" w:rsidRDefault="001C7BF9">
      <w:pPr>
        <w:pStyle w:val="Normaltindrag"/>
      </w:pPr>
      <w:r w:rsidRPr="00C9680B">
        <w:t xml:space="preserve">3. Riksdagen tillkännager för regeringen som sin mening vad i motionen anförs om en folkomröstning om EMU. </w:t>
      </w:r>
    </w:p>
    <w:p w:rsidR="001C7BF9" w:rsidRPr="00C9680B" w:rsidRDefault="001C7BF9">
      <w:r w:rsidRPr="00C9680B">
        <w:t>2000/01:Fi208 av Bo Lundgren m.fl. (m) vari föreslås att riksdagen fattar följande beslut:</w:t>
      </w:r>
    </w:p>
    <w:p w:rsidR="001C7BF9" w:rsidRPr="00C9680B" w:rsidRDefault="001C7BF9">
      <w:pPr>
        <w:pStyle w:val="Normaltindrag"/>
      </w:pPr>
      <w:r w:rsidRPr="00C9680B">
        <w:t>1. Riksdagen beslutar godkänna de allmänna riktlinjer för den ekonomiska politiken i enlighet med vad som i motionen anförs (a</w:t>
      </w:r>
      <w:r w:rsidRPr="00C9680B">
        <w:t>v</w:t>
      </w:r>
      <w:r w:rsidRPr="00C9680B">
        <w:t xml:space="preserve">snitt 6). </w:t>
      </w:r>
    </w:p>
    <w:p w:rsidR="001C7BF9" w:rsidRPr="00C9680B" w:rsidRDefault="001C7BF9">
      <w:pPr>
        <w:pStyle w:val="Normaltindrag"/>
      </w:pPr>
      <w:r w:rsidRPr="00C9680B">
        <w:t>2. Riksdagen godkänner beräkningen av de offentliga utgifterna för den o</w:t>
      </w:r>
      <w:r w:rsidRPr="00C9680B">
        <w:t>f</w:t>
      </w:r>
      <w:r w:rsidRPr="00C9680B">
        <w:t xml:space="preserve">fentliga sektorn till 1 072 miljarder kronor år 2001, 1 036 miljarder kronor 2002 och 1 066 miljarder kronor 2003 i enlighet med vad som i motionen anförs (9.9 ). </w:t>
      </w:r>
    </w:p>
    <w:p w:rsidR="001C7BF9" w:rsidRPr="00C9680B" w:rsidRDefault="001C7BF9">
      <w:pPr>
        <w:pStyle w:val="Normaltindrag"/>
      </w:pPr>
      <w:r w:rsidRPr="00C9680B">
        <w:t>3. Riksdagen godkänner utgiftstaket för staten inklusive ålderspension</w:t>
      </w:r>
      <w:r w:rsidRPr="00C9680B">
        <w:t>s</w:t>
      </w:r>
      <w:r w:rsidRPr="00C9680B">
        <w:t xml:space="preserve">systemet vid sidan av statsbudgeten till 790 miljarder kronor år 2001, 805 miljarder kronor 2002 och 827 miljarder kronor 2003 i enlighet med vad som i motionen anförs (avsnitt 9.12). </w:t>
      </w:r>
    </w:p>
    <w:p w:rsidR="001C7BF9" w:rsidRPr="00C9680B" w:rsidRDefault="001C7BF9">
      <w:pPr>
        <w:pStyle w:val="Normaltindrag"/>
      </w:pPr>
      <w:r w:rsidRPr="00C9680B">
        <w:t xml:space="preserve">4. Riksdagen beslutar fastställa ett långsiktigt mål om balans i de offentliga finanserna över en konjunkturcykel i enlighet med vad som i motionen anförs (9.7). </w:t>
      </w:r>
    </w:p>
    <w:p w:rsidR="001C7BF9" w:rsidRPr="00C9680B" w:rsidRDefault="001C7BF9">
      <w:pPr>
        <w:pStyle w:val="Normaltindrag"/>
      </w:pPr>
      <w:r w:rsidRPr="00C9680B">
        <w:t>5. Riksdagen beslutar om fördelning av utgifterna för budgetåret 2001 i enli</w:t>
      </w:r>
      <w:r w:rsidRPr="00C9680B">
        <w:t>g</w:t>
      </w:r>
      <w:r w:rsidRPr="00C9680B">
        <w:t xml:space="preserve">het med vad som i motionen anförs (9.13). </w:t>
      </w:r>
    </w:p>
    <w:p w:rsidR="001C7BF9" w:rsidRPr="00C9680B" w:rsidRDefault="001C7BF9">
      <w:pPr>
        <w:pStyle w:val="Normaltindrag"/>
      </w:pPr>
      <w:r w:rsidRPr="00C9680B">
        <w:t>6. Riksdagen godkänner den preliminära fördelningen av utgifterna på u</w:t>
      </w:r>
      <w:r w:rsidRPr="00C9680B">
        <w:t>t</w:t>
      </w:r>
      <w:r w:rsidRPr="00C9680B">
        <w:t>giftsområden för åren 2002 och 2003 i enlighet med vad som i motionen anförs som rik</w:t>
      </w:r>
      <w:r w:rsidRPr="00C9680B">
        <w:t>t</w:t>
      </w:r>
      <w:r w:rsidRPr="00C9680B">
        <w:t xml:space="preserve">linje för budgetarbetet (9.13). </w:t>
      </w:r>
    </w:p>
    <w:p w:rsidR="001C7BF9" w:rsidRPr="00C9680B" w:rsidRDefault="001C7BF9">
      <w:pPr>
        <w:pStyle w:val="Normaltindrag"/>
      </w:pPr>
      <w:r w:rsidRPr="00C9680B">
        <w:t>7. Riksdagen godkänner beräkningen av statsbudgetens inkomster för bu</w:t>
      </w:r>
      <w:r w:rsidRPr="00C9680B">
        <w:t>d</w:t>
      </w:r>
      <w:r w:rsidRPr="00C9680B">
        <w:t xml:space="preserve">getåret 2001 i enlighet med vad som i motionen anförs (9.11). </w:t>
      </w:r>
    </w:p>
    <w:p w:rsidR="001C7BF9" w:rsidRPr="00C9680B" w:rsidRDefault="001C7BF9">
      <w:pPr>
        <w:pStyle w:val="Normaltindrag"/>
      </w:pPr>
      <w:r w:rsidRPr="00C9680B">
        <w:t>8. Riksdagen beslutar fastställa ett mål om en lägre offentlig utgiftskvot i enli</w:t>
      </w:r>
      <w:r w:rsidRPr="00C9680B">
        <w:t>g</w:t>
      </w:r>
      <w:r w:rsidRPr="00C9680B">
        <w:t xml:space="preserve">het med vad som i motionen anförs (6.2). </w:t>
      </w:r>
    </w:p>
    <w:p w:rsidR="001C7BF9" w:rsidRPr="00C9680B" w:rsidRDefault="001C7BF9">
      <w:pPr>
        <w:pStyle w:val="Normaltindrag"/>
      </w:pPr>
      <w:r w:rsidRPr="00C9680B">
        <w:t xml:space="preserve">9. Riksdagen tillkännager för regeringen som sin mening vad i motionen anförs om en arbetsmarknad för den nya tidens jobb (7.3.1). </w:t>
      </w:r>
    </w:p>
    <w:p w:rsidR="001C7BF9" w:rsidRPr="00C9680B" w:rsidRDefault="001C7BF9">
      <w:pPr>
        <w:pStyle w:val="Normaltindrag"/>
      </w:pPr>
      <w:r w:rsidRPr="00C9680B">
        <w:t>10. Riksdagen tillkännager för regeringen som sin mening vad i motionen a</w:t>
      </w:r>
      <w:r w:rsidRPr="00C9680B">
        <w:t>n</w:t>
      </w:r>
      <w:r w:rsidRPr="00C9680B">
        <w:t xml:space="preserve">förs om förmånsrelatering av socialavgifterna (7.2). </w:t>
      </w:r>
    </w:p>
    <w:p w:rsidR="001C7BF9" w:rsidRPr="00C9680B" w:rsidRDefault="001C7BF9">
      <w:pPr>
        <w:pStyle w:val="Normaltindrag"/>
      </w:pPr>
      <w:r w:rsidRPr="00C9680B">
        <w:t>11. Riksdagen tillkännager för regeringen som sin mening vad i motionen a</w:t>
      </w:r>
      <w:r w:rsidRPr="00C9680B">
        <w:t>n</w:t>
      </w:r>
      <w:r w:rsidRPr="00C9680B">
        <w:t xml:space="preserve">förs om en politik som gör det lättare att förena arbete med familj (7.3.2). </w:t>
      </w:r>
    </w:p>
    <w:p w:rsidR="001C7BF9" w:rsidRPr="00C9680B" w:rsidRDefault="001C7BF9">
      <w:pPr>
        <w:pStyle w:val="Normaltindrag"/>
      </w:pPr>
      <w:r w:rsidRPr="00C9680B">
        <w:t>12. Riksdagen tillkännager för regeringen som sin mening vad i motionen anförs om sänkt skatt för hu</w:t>
      </w:r>
      <w:r w:rsidRPr="00C9680B">
        <w:t>s</w:t>
      </w:r>
      <w:r w:rsidRPr="00C9680B">
        <w:t xml:space="preserve">hållsnära tjänster (7.3.3). </w:t>
      </w:r>
    </w:p>
    <w:p w:rsidR="001C7BF9" w:rsidRPr="00C9680B" w:rsidRDefault="001C7BF9">
      <w:pPr>
        <w:pStyle w:val="Normaltindrag"/>
      </w:pPr>
      <w:r w:rsidRPr="00C9680B">
        <w:t>13. Riksdagen tillkännager för regeringen som sin mening vad i motionen anförs om forskning och ku</w:t>
      </w:r>
      <w:r w:rsidRPr="00C9680B">
        <w:t>n</w:t>
      </w:r>
      <w:r w:rsidRPr="00C9680B">
        <w:t xml:space="preserve">skapsutveckling (7.4). </w:t>
      </w:r>
    </w:p>
    <w:p w:rsidR="001C7BF9" w:rsidRPr="00C9680B" w:rsidRDefault="001C7BF9">
      <w:pPr>
        <w:pStyle w:val="Normaltindrag"/>
      </w:pPr>
      <w:r w:rsidRPr="00C9680B">
        <w:t>14. Riksdagen tillkännager för regeringen som sin mening vad i motionen anförs om avregleringar och nya möjligheter till företagande i välfärdsver</w:t>
      </w:r>
      <w:r w:rsidRPr="00C9680B">
        <w:t>k</w:t>
      </w:r>
      <w:r w:rsidRPr="00C9680B">
        <w:t>samh</w:t>
      </w:r>
      <w:r w:rsidRPr="00C9680B">
        <w:t>e</w:t>
      </w:r>
      <w:r w:rsidRPr="00C9680B">
        <w:t xml:space="preserve">terna (7.5). </w:t>
      </w:r>
    </w:p>
    <w:p w:rsidR="001C7BF9" w:rsidRPr="00C9680B" w:rsidRDefault="001C7BF9">
      <w:pPr>
        <w:pStyle w:val="Normaltindrag"/>
      </w:pPr>
      <w:r w:rsidRPr="00C9680B">
        <w:t>15. Riksdagen tillkännager för regeringen som sin mening vad i motionen a</w:t>
      </w:r>
      <w:r w:rsidRPr="00C9680B">
        <w:t>n</w:t>
      </w:r>
      <w:r w:rsidRPr="00C9680B">
        <w:t xml:space="preserve">förs om rätt att välja sjukvård (7.6.1). </w:t>
      </w:r>
    </w:p>
    <w:p w:rsidR="001C7BF9" w:rsidRPr="00C9680B" w:rsidRDefault="001C7BF9">
      <w:pPr>
        <w:pStyle w:val="Normaltindrag"/>
      </w:pPr>
      <w:r w:rsidRPr="00C9680B">
        <w:t>16. Riksdagen tillkännager för regeringen som sin mening vad i motionen a</w:t>
      </w:r>
      <w:r w:rsidRPr="00C9680B">
        <w:t>n</w:t>
      </w:r>
      <w:r w:rsidRPr="00C9680B">
        <w:t xml:space="preserve">förs om rätten att välja skola (7.6.2). </w:t>
      </w:r>
    </w:p>
    <w:p w:rsidR="001C7BF9" w:rsidRPr="00C9680B" w:rsidRDefault="001C7BF9">
      <w:pPr>
        <w:pStyle w:val="Normaltindrag"/>
      </w:pPr>
      <w:r w:rsidRPr="00C9680B">
        <w:t>17. Riksdagen tillkännager för regeringen som sin mening vad i motionen anförs om äldrepeng för valfr</w:t>
      </w:r>
      <w:r w:rsidRPr="00C9680B">
        <w:t>i</w:t>
      </w:r>
      <w:r w:rsidRPr="00C9680B">
        <w:t xml:space="preserve">het (7.6.3). </w:t>
      </w:r>
    </w:p>
    <w:p w:rsidR="001C7BF9" w:rsidRPr="00C9680B" w:rsidRDefault="001C7BF9">
      <w:pPr>
        <w:pStyle w:val="Normaltindrag"/>
      </w:pPr>
      <w:r w:rsidRPr="00C9680B">
        <w:t>18. Riksdagen tillkännager för regeringen som sin mening vad i motionen anförs om privatisering av sta</w:t>
      </w:r>
      <w:r w:rsidRPr="00C9680B">
        <w:t>t</w:t>
      </w:r>
      <w:r w:rsidRPr="00C9680B">
        <w:t xml:space="preserve">liga företag (7.7). </w:t>
      </w:r>
    </w:p>
    <w:p w:rsidR="001C7BF9" w:rsidRPr="00C9680B" w:rsidRDefault="001C7BF9">
      <w:pPr>
        <w:pStyle w:val="Normaltindrag"/>
      </w:pPr>
      <w:r w:rsidRPr="00C9680B">
        <w:t>19. Riksdagen tillkännager för regeringen som sin mening vad i motionen anförs om en inkomstskatter</w:t>
      </w:r>
      <w:r w:rsidRPr="00C9680B">
        <w:t>e</w:t>
      </w:r>
      <w:r w:rsidRPr="00C9680B">
        <w:t xml:space="preserve">form för en ny tid (7.8). </w:t>
      </w:r>
    </w:p>
    <w:p w:rsidR="001C7BF9" w:rsidRPr="00C9680B" w:rsidRDefault="001C7BF9">
      <w:pPr>
        <w:pStyle w:val="Normaltindrag"/>
      </w:pPr>
      <w:r w:rsidRPr="00C9680B">
        <w:t>20. Riksdagen tillkännager för regeringen som sin mening vad i motionen anförs om skatter för företaga</w:t>
      </w:r>
      <w:r w:rsidRPr="00C9680B">
        <w:t>n</w:t>
      </w:r>
      <w:r w:rsidRPr="00C9680B">
        <w:t xml:space="preserve">de och tillväxt (7.9). </w:t>
      </w:r>
    </w:p>
    <w:p w:rsidR="001C7BF9" w:rsidRPr="00C9680B" w:rsidRDefault="001C7BF9">
      <w:pPr>
        <w:pStyle w:val="Normaltindrag"/>
      </w:pPr>
      <w:r w:rsidRPr="00C9680B">
        <w:t>21. Riksdagen tillkännager för regeringen som sin mening vad i motionen anförs om en långsiktig satsning på vägar och kommunikati</w:t>
      </w:r>
      <w:r w:rsidRPr="00C9680B">
        <w:t>o</w:t>
      </w:r>
      <w:r w:rsidRPr="00C9680B">
        <w:t xml:space="preserve">ner (7.10). </w:t>
      </w:r>
    </w:p>
    <w:p w:rsidR="001C7BF9" w:rsidRPr="00C9680B" w:rsidRDefault="001C7BF9">
      <w:pPr>
        <w:pStyle w:val="Normaltindrag"/>
      </w:pPr>
      <w:r w:rsidRPr="00C9680B">
        <w:t>22. Riksdagen tillkännager för regeringen som sin mening vad i motionen a</w:t>
      </w:r>
      <w:r w:rsidRPr="00C9680B">
        <w:t>n</w:t>
      </w:r>
      <w:r w:rsidRPr="00C9680B">
        <w:t xml:space="preserve">förs om bostadsmarknaden (7.11). </w:t>
      </w:r>
    </w:p>
    <w:p w:rsidR="001C7BF9" w:rsidRPr="00C9680B" w:rsidRDefault="001C7BF9">
      <w:pPr>
        <w:pStyle w:val="Normaltindrag"/>
      </w:pPr>
      <w:r w:rsidRPr="00C9680B">
        <w:t>23. Riksdagen tillkännager för regeringen som sin mening vad i motionen a</w:t>
      </w:r>
      <w:r w:rsidRPr="00C9680B">
        <w:t>n</w:t>
      </w:r>
      <w:r w:rsidRPr="00C9680B">
        <w:t xml:space="preserve">förs om deltagande i det europeiska valutasamarbetet (6.11). </w:t>
      </w:r>
    </w:p>
    <w:p w:rsidR="001C7BF9" w:rsidRPr="00C9680B" w:rsidRDefault="001C7BF9">
      <w:pPr>
        <w:pStyle w:val="Normaltindrag"/>
      </w:pPr>
      <w:r w:rsidRPr="00C9680B">
        <w:t>24. Riksdagen tillkännager för regeringen som sin mening vad i motionen a</w:t>
      </w:r>
      <w:r w:rsidRPr="00C9680B">
        <w:t>n</w:t>
      </w:r>
      <w:r w:rsidRPr="00C9680B">
        <w:t xml:space="preserve">förs om den offentliga sektorns ansvar för sina kärnuppgifter (8.1). </w:t>
      </w:r>
    </w:p>
    <w:p w:rsidR="001C7BF9" w:rsidRPr="00C9680B" w:rsidRDefault="001C7BF9">
      <w:pPr>
        <w:pStyle w:val="Normaltindrag"/>
      </w:pPr>
      <w:r w:rsidRPr="00C9680B">
        <w:t>25. Riksdagen tillkännager för regeringen som sin mening vad i motionen a</w:t>
      </w:r>
      <w:r w:rsidRPr="00C9680B">
        <w:t>n</w:t>
      </w:r>
      <w:r w:rsidRPr="00C9680B">
        <w:t xml:space="preserve">förs om kommunalt självstyre (8.2). </w:t>
      </w:r>
    </w:p>
    <w:p w:rsidR="001C7BF9" w:rsidRPr="00C9680B" w:rsidRDefault="001C7BF9">
      <w:pPr>
        <w:pStyle w:val="Normaltindrag"/>
      </w:pPr>
      <w:r w:rsidRPr="00C9680B">
        <w:t>26. Riksdagen tillkännager för regeringen som sin mening vad i motionen anförs om skattebasens utvec</w:t>
      </w:r>
      <w:r w:rsidRPr="00C9680B">
        <w:t>k</w:t>
      </w:r>
      <w:r w:rsidRPr="00C9680B">
        <w:t xml:space="preserve">ling (8.3). </w:t>
      </w:r>
    </w:p>
    <w:p w:rsidR="001C7BF9" w:rsidRPr="00C9680B" w:rsidRDefault="001C7BF9">
      <w:pPr>
        <w:pStyle w:val="Normaltindrag"/>
      </w:pPr>
      <w:r w:rsidRPr="00C9680B">
        <w:t>27. Riksdagen begär att regeringen skyndsamt lägger fram förslag om st</w:t>
      </w:r>
      <w:r w:rsidRPr="00C9680B">
        <w:t>i</w:t>
      </w:r>
      <w:r w:rsidRPr="00C9680B">
        <w:t xml:space="preserve">mulans till kommunala skattesänkningar i enlighet med vad som i motionen anförs (8.4). </w:t>
      </w:r>
    </w:p>
    <w:p w:rsidR="001C7BF9" w:rsidRPr="00C9680B" w:rsidRDefault="001C7BF9">
      <w:r w:rsidRPr="00C9680B">
        <w:t>2000/01:Fi209 av Alf Svensson m.fl. (kd) vari föreslås att riksdagen fattar följande beslut:</w:t>
      </w:r>
    </w:p>
    <w:p w:rsidR="001C7BF9" w:rsidRPr="00C9680B" w:rsidRDefault="001C7BF9">
      <w:pPr>
        <w:pStyle w:val="Normaltindrag"/>
      </w:pPr>
      <w:r w:rsidRPr="00C9680B">
        <w:t>1. Riksdagen godkänner de allmänna riktlinjer för den ekonomiska polit</w:t>
      </w:r>
      <w:r w:rsidRPr="00C9680B">
        <w:t>i</w:t>
      </w:r>
      <w:r w:rsidRPr="00C9680B">
        <w:t>ken som förordas i motionen (a</w:t>
      </w:r>
      <w:r w:rsidRPr="00C9680B">
        <w:t>v</w:t>
      </w:r>
      <w:r w:rsidRPr="00C9680B">
        <w:t xml:space="preserve">snitt 6.1). </w:t>
      </w:r>
    </w:p>
    <w:p w:rsidR="001C7BF9" w:rsidRPr="00C9680B" w:rsidRDefault="001C7BF9">
      <w:pPr>
        <w:pStyle w:val="Normaltindrag"/>
      </w:pPr>
      <w:r w:rsidRPr="00C9680B">
        <w:t>2. Riksdagen fastställer utgiftstaket för staten inklusive ålderspension</w:t>
      </w:r>
      <w:r w:rsidRPr="00C9680B">
        <w:t>s</w:t>
      </w:r>
      <w:r w:rsidRPr="00C9680B">
        <w:t xml:space="preserve">systemet vid sidan av statsbudgeten för år 2001 till 781 miljarder kronor, för år 2002 till 802 miljarder kronor och för år 2003 till 823 miljarder kronor. </w:t>
      </w:r>
    </w:p>
    <w:p w:rsidR="001C7BF9" w:rsidRPr="00C9680B" w:rsidRDefault="001C7BF9">
      <w:pPr>
        <w:pStyle w:val="Normaltindrag"/>
      </w:pPr>
      <w:r w:rsidRPr="00C9680B">
        <w:t xml:space="preserve">3. Riksdagen godkänner beräkningen av de offentliga utgifterna för åren 2001–2003 (avsnitt 11.5, tabell 11.2). </w:t>
      </w:r>
    </w:p>
    <w:p w:rsidR="001C7BF9" w:rsidRPr="00C9680B" w:rsidRDefault="001C7BF9">
      <w:pPr>
        <w:pStyle w:val="Normaltindrag"/>
      </w:pPr>
      <w:r w:rsidRPr="00C9680B">
        <w:t>4. Riksdagen begär att regeringen lägger fram förslag till ett komplettera</w:t>
      </w:r>
      <w:r w:rsidRPr="00C9680B">
        <w:t>n</w:t>
      </w:r>
      <w:r w:rsidRPr="00C9680B">
        <w:t>de budgetmål om balans i statens finansiella sparande över en konjunkturc</w:t>
      </w:r>
      <w:r w:rsidRPr="00C9680B">
        <w:t>y</w:t>
      </w:r>
      <w:r w:rsidRPr="00C9680B">
        <w:t xml:space="preserve">kel. </w:t>
      </w:r>
    </w:p>
    <w:p w:rsidR="001C7BF9" w:rsidRPr="00C9680B" w:rsidRDefault="001C7BF9">
      <w:pPr>
        <w:pStyle w:val="Normaltindrag"/>
      </w:pPr>
      <w:r w:rsidRPr="00C9680B">
        <w:t>5. Riksdagen godkänner beräkningen av förändringarna i statsbudgetens inkom</w:t>
      </w:r>
      <w:r w:rsidRPr="00C9680B">
        <w:t>s</w:t>
      </w:r>
      <w:r w:rsidRPr="00C9680B">
        <w:t xml:space="preserve">ter för budgetåret 2001 (tabell 10.1). </w:t>
      </w:r>
    </w:p>
    <w:p w:rsidR="001C7BF9" w:rsidRPr="00C9680B" w:rsidRDefault="001C7BF9">
      <w:pPr>
        <w:pStyle w:val="Normaltindrag"/>
      </w:pPr>
      <w:r w:rsidRPr="00C9680B">
        <w:t xml:space="preserve">6. Riksdagen beslutar om fördelning av utgifterna för budgetåret 2001 på utgiftsområden i enlighet med vad Kristdemokraterna föreslår (avsnitt 11, tabell 11.1). </w:t>
      </w:r>
    </w:p>
    <w:p w:rsidR="001C7BF9" w:rsidRPr="00C9680B" w:rsidRDefault="001C7BF9">
      <w:pPr>
        <w:pStyle w:val="Normaltindrag"/>
      </w:pPr>
      <w:r w:rsidRPr="00C9680B">
        <w:t>7. Riksdagen godkänner den preliminära fördelningen av utgifterna på u</w:t>
      </w:r>
      <w:r w:rsidRPr="00C9680B">
        <w:t>t</w:t>
      </w:r>
      <w:r w:rsidRPr="00C9680B">
        <w:t>giftsområden för budgetåren 2002 och 2003 som riktlinje för regeringens budgeta</w:t>
      </w:r>
      <w:r w:rsidRPr="00C9680B">
        <w:t>r</w:t>
      </w:r>
      <w:r w:rsidRPr="00C9680B">
        <w:t xml:space="preserve">bete (avsnitt 11, tabell 11.1). </w:t>
      </w:r>
    </w:p>
    <w:p w:rsidR="001C7BF9" w:rsidRPr="00C9680B" w:rsidRDefault="001C7BF9">
      <w:pPr>
        <w:pStyle w:val="Normaltindrag"/>
      </w:pPr>
      <w:r w:rsidRPr="00C9680B">
        <w:t xml:space="preserve">8. Riksdagen begär att regeringen presenterar en korrekt och fullständig redovisning av samtliga inkomster och utgifter i enlighet med budgetlagen. </w:t>
      </w:r>
    </w:p>
    <w:p w:rsidR="001C7BF9" w:rsidRPr="00C9680B" w:rsidRDefault="001C7BF9">
      <w:pPr>
        <w:pStyle w:val="Normaltindrag"/>
      </w:pPr>
      <w:r w:rsidRPr="00C9680B">
        <w:t>9. Riksdagen tillkännager för regeringen som sin mening vad i motionen anförs om det europeiska valut</w:t>
      </w:r>
      <w:r w:rsidRPr="00C9680B">
        <w:t>a</w:t>
      </w:r>
      <w:r w:rsidRPr="00C9680B">
        <w:t xml:space="preserve">samarbetet. </w:t>
      </w:r>
    </w:p>
    <w:p w:rsidR="001C7BF9" w:rsidRPr="00C9680B" w:rsidRDefault="001C7BF9">
      <w:pPr>
        <w:pStyle w:val="Normaltindrag"/>
      </w:pPr>
      <w:r w:rsidRPr="00C9680B">
        <w:t>10. Riksdagen tillkännager för regeringen som sin mening de politikomr</w:t>
      </w:r>
      <w:r w:rsidRPr="00C9680B">
        <w:t>å</w:t>
      </w:r>
      <w:r w:rsidRPr="00C9680B">
        <w:t>den som bör prioriteras i budgetarbetet i enlighet med vad som anförs i m</w:t>
      </w:r>
      <w:r w:rsidRPr="00C9680B">
        <w:t>o</w:t>
      </w:r>
      <w:r w:rsidRPr="00C9680B">
        <w:t xml:space="preserve">tionen (avsnitt 7). </w:t>
      </w:r>
    </w:p>
    <w:p w:rsidR="001C7BF9" w:rsidRPr="00C9680B" w:rsidRDefault="001C7BF9">
      <w:pPr>
        <w:pStyle w:val="Normaltindrag"/>
      </w:pPr>
      <w:r w:rsidRPr="00C9680B">
        <w:t>12. Riksdagen tillkännager för regeringen som sin mening vad i motionen anförs om åtgärder för att motverka negativa marginaleffekter inom skatte-, b</w:t>
      </w:r>
      <w:r w:rsidRPr="00C9680B">
        <w:t>i</w:t>
      </w:r>
      <w:r w:rsidRPr="00C9680B">
        <w:t xml:space="preserve">drags- och socialförsäkringssystemen. </w:t>
      </w:r>
    </w:p>
    <w:p w:rsidR="001C7BF9" w:rsidRPr="00C9680B" w:rsidRDefault="001C7BF9">
      <w:r w:rsidRPr="00C9680B">
        <w:t>2000/01:Fi210 av Lennart Daléus m.fl. (c) vari föreslås att riksdagen fattar följande beslut:</w:t>
      </w:r>
    </w:p>
    <w:p w:rsidR="001C7BF9" w:rsidRPr="00C9680B" w:rsidRDefault="001C7BF9">
      <w:pPr>
        <w:pStyle w:val="Normaltindrag"/>
      </w:pPr>
      <w:r w:rsidRPr="00C9680B">
        <w:t>1. Riksdagen beslutar att godkänna riktlinjerna för den ekonomiska polit</w:t>
      </w:r>
      <w:r w:rsidRPr="00C9680B">
        <w:t>i</w:t>
      </w:r>
      <w:r w:rsidRPr="00C9680B">
        <w:t xml:space="preserve">ken i enlighet med vad i motionen anförs. </w:t>
      </w:r>
    </w:p>
    <w:p w:rsidR="001C7BF9" w:rsidRPr="00C9680B" w:rsidRDefault="001C7BF9">
      <w:pPr>
        <w:pStyle w:val="Normaltindrag"/>
      </w:pPr>
      <w:r w:rsidRPr="00C9680B">
        <w:t>2. Riksdagen beslutar att fastställa utgiftstaket för staten inklusive ålde</w:t>
      </w:r>
      <w:r w:rsidRPr="00C9680B">
        <w:t>r</w:t>
      </w:r>
      <w:r w:rsidRPr="00C9680B">
        <w:t xml:space="preserve">spensionssystemet vid sidan av statsbudgeten till 781 miljarder kronor 2001, 799 miljarder kronor 2002 och 815 miljarder kronor 2003. </w:t>
      </w:r>
    </w:p>
    <w:p w:rsidR="001C7BF9" w:rsidRPr="00C9680B" w:rsidRDefault="001C7BF9">
      <w:pPr>
        <w:pStyle w:val="Normaltindrag"/>
      </w:pPr>
      <w:r w:rsidRPr="00C9680B">
        <w:t>3. Riksdagen beslutar att godkänna beräkningen av statsbudgetens i</w:t>
      </w:r>
      <w:r w:rsidRPr="00C9680B">
        <w:t>n</w:t>
      </w:r>
      <w:r w:rsidRPr="00C9680B">
        <w:t xml:space="preserve">komster för budgetåret 2001 (tabell rubrik 7.4). </w:t>
      </w:r>
    </w:p>
    <w:p w:rsidR="001C7BF9" w:rsidRPr="00C9680B" w:rsidRDefault="001C7BF9">
      <w:pPr>
        <w:pStyle w:val="Normaltindrag"/>
      </w:pPr>
      <w:r w:rsidRPr="00C9680B">
        <w:t>4. Riksdagen beslutar om fördelning av utgifterna för budgetåret 2001 på u</w:t>
      </w:r>
      <w:r w:rsidRPr="00C9680B">
        <w:t>t</w:t>
      </w:r>
      <w:r w:rsidRPr="00C9680B">
        <w:t xml:space="preserve">giftsområden i enlighet med vad i motionen anförs (tabell rubrik 11). </w:t>
      </w:r>
    </w:p>
    <w:p w:rsidR="001C7BF9" w:rsidRPr="00C9680B" w:rsidRDefault="001C7BF9">
      <w:pPr>
        <w:pStyle w:val="Normaltindrag"/>
      </w:pPr>
      <w:r w:rsidRPr="00C9680B">
        <w:t>5. Riksdagen beslutar att godkänna den preliminära fördelningen av utgi</w:t>
      </w:r>
      <w:r w:rsidRPr="00C9680B">
        <w:t>f</w:t>
      </w:r>
      <w:r w:rsidRPr="00C9680B">
        <w:t xml:space="preserve">terna på utgiftsområden för budgetåren 2002 och 2003 som riktlinjer för regeringens arbete i enlighet med vad i motionen anförs (tabell rubrik 11). </w:t>
      </w:r>
    </w:p>
    <w:p w:rsidR="001C7BF9" w:rsidRPr="00C9680B" w:rsidRDefault="001C7BF9">
      <w:pPr>
        <w:pStyle w:val="Normaltindrag"/>
      </w:pPr>
      <w:r w:rsidRPr="00C9680B">
        <w:t xml:space="preserve">6. Riksdagen tillkännager för regeringen som sin mening vad i motionen anförs om den långsiktiga inriktningen av den ekonomiska politiken. </w:t>
      </w:r>
    </w:p>
    <w:p w:rsidR="001C7BF9" w:rsidRPr="00C9680B" w:rsidRDefault="001C7BF9">
      <w:r w:rsidRPr="00C9680B">
        <w:t>2000/01:Fi211 av Lars Leijonborg m.fl. (fp) vari föreslås att riksdagen fattar följa</w:t>
      </w:r>
      <w:r w:rsidRPr="00C9680B">
        <w:t>n</w:t>
      </w:r>
      <w:r w:rsidRPr="00C9680B">
        <w:t>de beslut:</w:t>
      </w:r>
    </w:p>
    <w:p w:rsidR="001C7BF9" w:rsidRPr="00C9680B" w:rsidRDefault="001C7BF9">
      <w:pPr>
        <w:pStyle w:val="Normaltindrag"/>
      </w:pPr>
      <w:r w:rsidRPr="00C9680B">
        <w:t>1. Riksdagen godkänner de allmänna riktlinjer för den ekonomiska polit</w:t>
      </w:r>
      <w:r w:rsidRPr="00C9680B">
        <w:t>i</w:t>
      </w:r>
      <w:r w:rsidRPr="00C9680B">
        <w:t>ken som Folkpartiet liberalerna förordar enligt vad som anförs i moti</w:t>
      </w:r>
      <w:r w:rsidRPr="00C9680B">
        <w:t>o</w:t>
      </w:r>
      <w:r w:rsidRPr="00C9680B">
        <w:t xml:space="preserve">nen. </w:t>
      </w:r>
    </w:p>
    <w:p w:rsidR="001C7BF9" w:rsidRPr="00C9680B" w:rsidRDefault="001C7BF9">
      <w:pPr>
        <w:pStyle w:val="Normaltindrag"/>
      </w:pPr>
      <w:r w:rsidRPr="00C9680B">
        <w:t>2. Riksdagen fastställer utgiftstaket för staten inklusive ålderspension</w:t>
      </w:r>
      <w:r w:rsidRPr="00C9680B">
        <w:t>s</w:t>
      </w:r>
      <w:r w:rsidRPr="00C9680B">
        <w:t>systemet vid sidan av statsbudgeten till 772 miljarder kronor för år 2001, till 794 milja</w:t>
      </w:r>
      <w:r w:rsidRPr="00C9680B">
        <w:t>r</w:t>
      </w:r>
      <w:r w:rsidRPr="00C9680B">
        <w:t xml:space="preserve">der kronor för år 2002 och till 817 miljarder kronor för år 2003. </w:t>
      </w:r>
    </w:p>
    <w:p w:rsidR="001C7BF9" w:rsidRPr="00C9680B" w:rsidRDefault="001C7BF9">
      <w:pPr>
        <w:pStyle w:val="Normaltindrag"/>
      </w:pPr>
      <w:r w:rsidRPr="00C9680B">
        <w:t xml:space="preserve">3. Riksdagen godkänner beräkningen av de offentliga utgifterna för åren 2001–2003. </w:t>
      </w:r>
    </w:p>
    <w:p w:rsidR="001C7BF9" w:rsidRPr="00C9680B" w:rsidRDefault="001C7BF9">
      <w:pPr>
        <w:pStyle w:val="Normaltindrag"/>
      </w:pPr>
      <w:r w:rsidRPr="00C9680B">
        <w:t>4. Riksdagen fastställer målet för det finansiella sparandet i den offentliga se</w:t>
      </w:r>
      <w:r w:rsidRPr="00C9680B">
        <w:t>k</w:t>
      </w:r>
      <w:r w:rsidRPr="00C9680B">
        <w:t xml:space="preserve">torn för 2001 till 3,0 % av bruttonationalprodukten. </w:t>
      </w:r>
    </w:p>
    <w:p w:rsidR="001C7BF9" w:rsidRPr="00C9680B" w:rsidRDefault="001C7BF9">
      <w:pPr>
        <w:pStyle w:val="Normaltindrag"/>
      </w:pPr>
      <w:r w:rsidRPr="00C9680B">
        <w:t>5. Riksdagen godkänner beräkningen av statsbudgetens inkomster för bu</w:t>
      </w:r>
      <w:r w:rsidRPr="00C9680B">
        <w:t>d</w:t>
      </w:r>
      <w:r w:rsidRPr="00C9680B">
        <w:t>getåret 2001 enligt vad som a</w:t>
      </w:r>
      <w:r w:rsidRPr="00C9680B">
        <w:t>n</w:t>
      </w:r>
      <w:r w:rsidRPr="00C9680B">
        <w:t xml:space="preserve">förs i motionen. </w:t>
      </w:r>
    </w:p>
    <w:p w:rsidR="001C7BF9" w:rsidRPr="00C9680B" w:rsidRDefault="001C7BF9">
      <w:pPr>
        <w:pStyle w:val="Normaltindrag"/>
      </w:pPr>
      <w:r w:rsidRPr="00C9680B">
        <w:t>6. Riksdagen beslutar om fördelning av utgifterna för budgetåret 2001 på utgift</w:t>
      </w:r>
      <w:r w:rsidRPr="00C9680B">
        <w:t>s</w:t>
      </w:r>
      <w:r w:rsidRPr="00C9680B">
        <w:t xml:space="preserve">områden enligt vad som anförs i motionen (bilaga 1). </w:t>
      </w:r>
    </w:p>
    <w:p w:rsidR="001C7BF9" w:rsidRPr="00C9680B" w:rsidRDefault="001C7BF9">
      <w:pPr>
        <w:pStyle w:val="Normaltindrag"/>
      </w:pPr>
      <w:r w:rsidRPr="00C9680B">
        <w:t>7. Riksdagen godkänner beräkningen av förändringar av anslagsbehål</w:t>
      </w:r>
      <w:r w:rsidRPr="00C9680B">
        <w:t>l</w:t>
      </w:r>
      <w:r w:rsidRPr="00C9680B">
        <w:t xml:space="preserve">ningar för budgetåret 2001 (bilaga 1). </w:t>
      </w:r>
    </w:p>
    <w:p w:rsidR="001C7BF9" w:rsidRPr="00C9680B" w:rsidRDefault="001C7BF9">
      <w:pPr>
        <w:pStyle w:val="Normaltindrag"/>
      </w:pPr>
      <w:r w:rsidRPr="00C9680B">
        <w:t>8. Riksdagen godkänner den preliminära fördelningen av utgifterna på u</w:t>
      </w:r>
      <w:r w:rsidRPr="00C9680B">
        <w:t>t</w:t>
      </w:r>
      <w:r w:rsidRPr="00C9680B">
        <w:t>giftsområden för budgetåren 2002 och 2003 som riktlinjer för regeringens budg</w:t>
      </w:r>
      <w:r w:rsidRPr="00C9680B">
        <w:t>e</w:t>
      </w:r>
      <w:r w:rsidRPr="00C9680B">
        <w:t xml:space="preserve">tarbete enligt vad som anförs i motionen (bilaga 1). </w:t>
      </w:r>
    </w:p>
    <w:p w:rsidR="001C7BF9" w:rsidRPr="00C9680B" w:rsidRDefault="001C7BF9">
      <w:pPr>
        <w:pStyle w:val="Normaltindrag"/>
      </w:pPr>
      <w:r w:rsidRPr="00C9680B">
        <w:t>26. Riksdagen beslutar om skattepolitikens inriktning i enlighet med vad som anförs i moti</w:t>
      </w:r>
      <w:r w:rsidRPr="00C9680B">
        <w:t>o</w:t>
      </w:r>
      <w:r w:rsidRPr="00C9680B">
        <w:t xml:space="preserve">nen. </w:t>
      </w:r>
    </w:p>
    <w:p w:rsidR="001C7BF9" w:rsidRPr="00C9680B" w:rsidRDefault="001C7BF9">
      <w:pPr>
        <w:pStyle w:val="Normaltindrag"/>
      </w:pPr>
      <w:r w:rsidRPr="00C9680B">
        <w:t>27. Riksdagen beslutar om de skatteförändringar som anförs i moti</w:t>
      </w:r>
      <w:r w:rsidRPr="00C9680B">
        <w:t>o</w:t>
      </w:r>
      <w:r w:rsidRPr="00C9680B">
        <w:t xml:space="preserve">nen. </w:t>
      </w:r>
    </w:p>
    <w:p w:rsidR="001C7BF9" w:rsidRPr="00C9680B" w:rsidRDefault="001C7BF9">
      <w:r w:rsidRPr="00C9680B">
        <w:t>2000/01:Fi212 av Matz Hammarström m.fl. (mp) vari föreslås att riksdagen fattar följande b</w:t>
      </w:r>
      <w:r w:rsidRPr="00C9680B">
        <w:t>e</w:t>
      </w:r>
      <w:r w:rsidRPr="00C9680B">
        <w:t>slut:</w:t>
      </w:r>
    </w:p>
    <w:p w:rsidR="001C7BF9" w:rsidRPr="00C9680B" w:rsidRDefault="001C7BF9">
      <w:pPr>
        <w:pStyle w:val="Normaltindrag"/>
      </w:pPr>
      <w:r w:rsidRPr="00C9680B">
        <w:t>1. Riksdagen beslutar att genomföra en folkomröstning om eventuellt i</w:t>
      </w:r>
      <w:r w:rsidRPr="00C9680B">
        <w:t>n</w:t>
      </w:r>
      <w:r w:rsidRPr="00C9680B">
        <w:t xml:space="preserve">träde i EMU:s tredje fas. </w:t>
      </w:r>
    </w:p>
    <w:p w:rsidR="001C7BF9" w:rsidRPr="00C9680B" w:rsidRDefault="001C7BF9">
      <w:pPr>
        <w:pStyle w:val="Normaltindrag"/>
      </w:pPr>
      <w:r w:rsidRPr="00C9680B">
        <w:t xml:space="preserve">2. Riksdagen beslutar att en folkomröstning om eventuellt inträde i EMU:s tredje fas ska genomföras på den allmänna valdagen 2002. </w:t>
      </w:r>
    </w:p>
    <w:p w:rsidR="001C7BF9" w:rsidRPr="00C9680B" w:rsidRDefault="001C7BF9">
      <w:r w:rsidRPr="00C9680B">
        <w:t>2000/01:Fi214 av Lena Sandlin-Hedman m.fl. (s) vari föreslås att riksdagen fattar följande b</w:t>
      </w:r>
      <w:r w:rsidRPr="00C9680B">
        <w:t>e</w:t>
      </w:r>
      <w:r w:rsidRPr="00C9680B">
        <w:t>slut:</w:t>
      </w:r>
    </w:p>
    <w:p w:rsidR="001C7BF9" w:rsidRPr="00C9680B" w:rsidRDefault="001C7BF9">
      <w:pPr>
        <w:pStyle w:val="Normaltindrag"/>
      </w:pPr>
      <w:r w:rsidRPr="00C9680B">
        <w:t xml:space="preserve">1. Riksdagen tillkännager för regeringen som sin mening vad i motionen anförs om fördelning av resurser inför en kommande folkomröstning om EMU. </w:t>
      </w:r>
    </w:p>
    <w:p w:rsidR="001C7BF9" w:rsidRPr="00C9680B" w:rsidRDefault="001C7BF9">
      <w:pPr>
        <w:pStyle w:val="Normaltindrag"/>
      </w:pPr>
      <w:r w:rsidRPr="00C9680B">
        <w:t xml:space="preserve">2. Riksdagen tillkännager för regeringen som sin mening vad i motionen anförs om behovet av att inrätta en kommitté med uppgift att övervaka och publicera all tillgänglig information om de ekonomiska stöd som ges. </w:t>
      </w:r>
    </w:p>
    <w:p w:rsidR="001C7BF9" w:rsidRPr="00C9680B" w:rsidRDefault="001C7BF9">
      <w:r w:rsidRPr="00C9680B">
        <w:t>2000/01:Fi218 av Gudrun Schyman m.fl. (v) vari föreslås att riksdagen fattar följande beslut:</w:t>
      </w:r>
    </w:p>
    <w:p w:rsidR="001C7BF9" w:rsidRPr="00C9680B" w:rsidRDefault="001C7BF9">
      <w:pPr>
        <w:pStyle w:val="Normaltindrag"/>
      </w:pPr>
      <w:r w:rsidRPr="00C9680B">
        <w:t>1. Riksdagen beslutar att regeringen skall tillsätta en parlamentarisk ko</w:t>
      </w:r>
      <w:r w:rsidRPr="00C9680B">
        <w:t>m</w:t>
      </w:r>
      <w:r w:rsidRPr="00C9680B">
        <w:t>mitté i syfte att handha förberedelserna inför folkomröstningen, fördela ek</w:t>
      </w:r>
      <w:r w:rsidRPr="00C9680B">
        <w:t>o</w:t>
      </w:r>
      <w:r w:rsidRPr="00C9680B">
        <w:t>nomiska medel till kampanjorganisationer samt övervaka att informationen från myndigh</w:t>
      </w:r>
      <w:r w:rsidRPr="00C9680B">
        <w:t>e</w:t>
      </w:r>
      <w:r w:rsidRPr="00C9680B">
        <w:t xml:space="preserve">ternas sida präglas av saklighet. </w:t>
      </w:r>
    </w:p>
    <w:p w:rsidR="001C7BF9" w:rsidRPr="00C9680B" w:rsidRDefault="001C7BF9">
      <w:pPr>
        <w:pStyle w:val="Normaltindrag"/>
      </w:pPr>
      <w:r w:rsidRPr="00C9680B">
        <w:t xml:space="preserve">2. Riksdagen tillkännager för regeringen som sin mening att beslutet om att delta i EU:s eurokampanjer bör avbrytas. </w:t>
      </w:r>
    </w:p>
    <w:p w:rsidR="001C7BF9" w:rsidRPr="00C9680B" w:rsidRDefault="001C7BF9">
      <w:r w:rsidRPr="00C9680B">
        <w:t>2000/01:Fi220 av Sven Bergström och Åsa Torstensson (c) vari föreslås att rik</w:t>
      </w:r>
      <w:r w:rsidRPr="00C9680B">
        <w:t>s</w:t>
      </w:r>
      <w:r w:rsidRPr="00C9680B">
        <w:t>dagen fattar följande beslut:</w:t>
      </w:r>
    </w:p>
    <w:p w:rsidR="001C7BF9" w:rsidRPr="00C9680B" w:rsidRDefault="001C7BF9">
      <w:pPr>
        <w:pStyle w:val="Normaltindrag"/>
      </w:pPr>
      <w:r w:rsidRPr="00C9680B">
        <w:t xml:space="preserve">1. Riksdagen tillkännager för regeringen som sin mening vad i motionen anförs om att en svensk EMU-anslutning inte längre är aktuell. </w:t>
      </w:r>
    </w:p>
    <w:p w:rsidR="001C7BF9" w:rsidRPr="00C9680B" w:rsidRDefault="001C7BF9">
      <w:pPr>
        <w:pStyle w:val="Normaltindrag"/>
      </w:pPr>
      <w:r w:rsidRPr="00C9680B">
        <w:t>2. Riksdagen tillkännager för regeringen som sin mening vad i motionen anförs om att en strategi för Sveriges agerande för ett alleuropeiskt samarbete bör utarb</w:t>
      </w:r>
      <w:r w:rsidRPr="00C9680B">
        <w:t>e</w:t>
      </w:r>
      <w:r w:rsidRPr="00C9680B">
        <w:t xml:space="preserve">tas. </w:t>
      </w:r>
    </w:p>
    <w:p w:rsidR="001C7BF9" w:rsidRPr="00C9680B" w:rsidRDefault="001C7BF9">
      <w:r w:rsidRPr="00C9680B">
        <w:t>2000/01:Fi505 av Lars Tobisson (m) vari föreslås att riksdagen fattar följande beslut: Riksdagen begär att regeringen skyndsamt privatis</w:t>
      </w:r>
      <w:r w:rsidRPr="00C9680B">
        <w:t>e</w:t>
      </w:r>
      <w:r w:rsidRPr="00C9680B">
        <w:t xml:space="preserve">rar Vasakronan. </w:t>
      </w:r>
    </w:p>
    <w:p w:rsidR="001C7BF9" w:rsidRPr="00C9680B" w:rsidRDefault="001C7BF9">
      <w:r w:rsidRPr="00C9680B">
        <w:t>2000/01:Fi902 av Caroline Hagström (kd) vari föreslås att riksdagen fattar följande beslut:</w:t>
      </w:r>
    </w:p>
    <w:p w:rsidR="001C7BF9" w:rsidRPr="00C9680B" w:rsidRDefault="001C7BF9">
      <w:pPr>
        <w:pStyle w:val="Normaltindrag"/>
      </w:pPr>
      <w:r w:rsidRPr="00C9680B">
        <w:t>2. Riksdagen tillkännager för regeringen som sin mening vad i motionen anförs om under vilka departement Svenska Spel respektive Lotteriinspekti</w:t>
      </w:r>
      <w:r w:rsidRPr="00C9680B">
        <w:t>o</w:t>
      </w:r>
      <w:r w:rsidRPr="00C9680B">
        <w:t>nen bör sort</w:t>
      </w:r>
      <w:r w:rsidRPr="00C9680B">
        <w:t>e</w:t>
      </w:r>
      <w:r w:rsidRPr="00C9680B">
        <w:t xml:space="preserve">ra. </w:t>
      </w:r>
    </w:p>
    <w:p w:rsidR="001C7BF9" w:rsidRPr="00C9680B" w:rsidRDefault="001C7BF9">
      <w:r w:rsidRPr="00C9680B">
        <w:t>2000/01:Fi903 av Ewa Larsson m.fl. (mp, m, v, kd, c, fp) vari föreslås att riksdagen fattar fö</w:t>
      </w:r>
      <w:r w:rsidRPr="00C9680B">
        <w:t>l</w:t>
      </w:r>
      <w:r w:rsidRPr="00C9680B">
        <w:t xml:space="preserve">jande beslut: </w:t>
      </w:r>
    </w:p>
    <w:p w:rsidR="001C7BF9" w:rsidRPr="00C9680B" w:rsidRDefault="001C7BF9">
      <w:r w:rsidRPr="00C9680B">
        <w:t>Riksdagen begär att regeringen kompletterar statsbudgeten med en barnbilaga där departementen markerar vilka utgifter som är riktade mot barn- och un</w:t>
      </w:r>
      <w:r w:rsidRPr="00C9680B">
        <w:t>g</w:t>
      </w:r>
      <w:r w:rsidRPr="00C9680B">
        <w:t xml:space="preserve">domar. </w:t>
      </w:r>
    </w:p>
    <w:p w:rsidR="001C7BF9" w:rsidRPr="00C9680B" w:rsidRDefault="001C7BF9">
      <w:r w:rsidRPr="00C9680B">
        <w:t>2000/01:Fi909 av Lars Tobisson (m) vari föreslås att riksdagen fattar följande beslut: Riksdagen begär att regeringen skyndsamt privatis</w:t>
      </w:r>
      <w:r w:rsidRPr="00C9680B">
        <w:t>e</w:t>
      </w:r>
      <w:r w:rsidRPr="00C9680B">
        <w:t xml:space="preserve">rar SBAB. </w:t>
      </w:r>
    </w:p>
    <w:p w:rsidR="001C7BF9" w:rsidRPr="00C9680B" w:rsidRDefault="001C7BF9">
      <w:r w:rsidRPr="00C9680B">
        <w:t>2000/01:Sk301 av Rolf Gunnarsson (m) vari föreslås att riksdagen fattar följande beslut: Riksdagen tillkännager för regeringen som sin mening vad i motionen anförs om en sänkning av ska</w:t>
      </w:r>
      <w:r w:rsidRPr="00C9680B">
        <w:t>t</w:t>
      </w:r>
      <w:r w:rsidRPr="00C9680B">
        <w:t xml:space="preserve">ten på bensin. </w:t>
      </w:r>
    </w:p>
    <w:p w:rsidR="001C7BF9" w:rsidRPr="00C9680B" w:rsidRDefault="001C7BF9">
      <w:r w:rsidRPr="00C9680B">
        <w:t>2000/01:Sk302 av Rolf Gunnarsson (m) vari föreslås att riksdagen fattar följande beslut: Riksdagen tillkännager för regeringen som sin mening vad i motionen anförs om den föreslagna höjningen av diese</w:t>
      </w:r>
      <w:r w:rsidRPr="00C9680B">
        <w:t>l</w:t>
      </w:r>
      <w:r w:rsidRPr="00C9680B">
        <w:t xml:space="preserve">skatten. </w:t>
      </w:r>
    </w:p>
    <w:p w:rsidR="001C7BF9" w:rsidRPr="00C9680B" w:rsidRDefault="001C7BF9">
      <w:r w:rsidRPr="00C9680B">
        <w:t>2000/01:Sk303 av Margareta Cederfelt (m) vari föreslås att riksdagen fattar följande beslut: Riksdagen beslutar att sänka bokmomsen till 6 % fr.o.m. nästa budgetår i enlighet med vad som anförs i moti</w:t>
      </w:r>
      <w:r w:rsidRPr="00C9680B">
        <w:t>o</w:t>
      </w:r>
      <w:r w:rsidRPr="00C9680B">
        <w:t xml:space="preserve">nen. </w:t>
      </w:r>
    </w:p>
    <w:p w:rsidR="001C7BF9" w:rsidRPr="00C9680B" w:rsidRDefault="001C7BF9">
      <w:r w:rsidRPr="00C9680B">
        <w:t>2000/01:Sk304 av Stefan Hagfeldt (m) vari föreslås att riksdagen fattar fö</w:t>
      </w:r>
      <w:r w:rsidRPr="00C9680B">
        <w:t>l</w:t>
      </w:r>
      <w:r w:rsidRPr="00C9680B">
        <w:t>jande beslut: Riksdagen tillkännager för regeringen som sin mening vad i motionen anförs om sänkning av bensinska</w:t>
      </w:r>
      <w:r w:rsidRPr="00C9680B">
        <w:t>t</w:t>
      </w:r>
      <w:r w:rsidRPr="00C9680B">
        <w:t xml:space="preserve">ten. </w:t>
      </w:r>
    </w:p>
    <w:p w:rsidR="001C7BF9" w:rsidRPr="00C9680B" w:rsidRDefault="001C7BF9">
      <w:r w:rsidRPr="00C9680B">
        <w:t xml:space="preserve">2000/01:Sk305 av Catharina Elmsäter-Svärd och Margareta Cederfelt (m) vari föreslås att riksdagen fattar följande beslut: Riksdagen tillkännager för regeringen som sin mening sänkt bensinskatt. </w:t>
      </w:r>
    </w:p>
    <w:p w:rsidR="001C7BF9" w:rsidRPr="00C9680B" w:rsidRDefault="001C7BF9">
      <w:r w:rsidRPr="00C9680B">
        <w:t>2000/01:Sk306 av Marietta de Pourbaix-Lundin (m) vari föreslås att riksd</w:t>
      </w:r>
      <w:r w:rsidRPr="00C9680B">
        <w:t>a</w:t>
      </w:r>
      <w:r w:rsidRPr="00C9680B">
        <w:t>gen fattar följande beslut: Riksdagen begär att regeringen lägger fram förslag om att sambeskattning av förmögenhet avskaffas omgående som ett första steg i ett totalt avskaffande av förmögenhetsbeskattningen i enlighet med vad som anförs i moti</w:t>
      </w:r>
      <w:r w:rsidRPr="00C9680B">
        <w:t>o</w:t>
      </w:r>
      <w:r w:rsidRPr="00C9680B">
        <w:t xml:space="preserve">nen. </w:t>
      </w:r>
    </w:p>
    <w:p w:rsidR="001C7BF9" w:rsidRPr="00C9680B" w:rsidRDefault="001C7BF9">
      <w:r w:rsidRPr="00C9680B">
        <w:t xml:space="preserve">2000/01:Sk307 av Elizabeth Nyström och Anita Sidén (m) vari föreslås att riksdagen fattar följande beslut: Riksdagen tillkännager för regeringen som sin mening vad i motionen anförs om sänkta skatter på bensin och diesel. </w:t>
      </w:r>
    </w:p>
    <w:p w:rsidR="001C7BF9" w:rsidRPr="00C9680B" w:rsidRDefault="001C7BF9">
      <w:r w:rsidRPr="00C9680B">
        <w:t>2000/01:Sk308 av Kent Olsson och Inger René (m) vari föreslås att riksdagen fattar följande beslut: Riksdagen tillkännager för regeringen som sin mening att fastighetsskatten skall sänkas från 1,5 % till 1,0 % på småhus och till 0,7 % på flerfamiljshus med bibehållna taxeringsvärden, och att fastighetsskatten på sikt avska</w:t>
      </w:r>
      <w:r w:rsidRPr="00C9680B">
        <w:t>f</w:t>
      </w:r>
      <w:r w:rsidRPr="00C9680B">
        <w:t xml:space="preserve">fas. </w:t>
      </w:r>
    </w:p>
    <w:p w:rsidR="001C7BF9" w:rsidRPr="00C9680B" w:rsidRDefault="001C7BF9">
      <w:r w:rsidRPr="00C9680B">
        <w:t xml:space="preserve">2000/01:Sk309 av Elizabeth Nyström och Kent Olsson (m) vari föreslås att riksdagen fattar följande beslut: Riksdagen tillkännager för regeringen som sin mening vad i motionen anförs om att avskaffa effektskatten på kärnkraft. </w:t>
      </w:r>
    </w:p>
    <w:p w:rsidR="001C7BF9" w:rsidRPr="00C9680B" w:rsidRDefault="001C7BF9">
      <w:r w:rsidRPr="00C9680B">
        <w:t>2000/01:Sk311 av Nils Fredrik Aurelius och Leif Carlson (m) vari föreslås att rik</w:t>
      </w:r>
      <w:r w:rsidRPr="00C9680B">
        <w:t>s</w:t>
      </w:r>
      <w:r w:rsidRPr="00C9680B">
        <w:t>dagen fattar följande beslut:</w:t>
      </w:r>
    </w:p>
    <w:p w:rsidR="001C7BF9" w:rsidRPr="00C9680B" w:rsidRDefault="001C7BF9">
      <w:pPr>
        <w:pStyle w:val="Normaltindrag"/>
      </w:pPr>
      <w:r w:rsidRPr="00C9680B">
        <w:t>1. Riksdagen avslår budgetpropositionens förslag om en höjning av diese</w:t>
      </w:r>
      <w:r w:rsidRPr="00C9680B">
        <w:t>l</w:t>
      </w:r>
      <w:r w:rsidRPr="00C9680B">
        <w:t xml:space="preserve">skatten. </w:t>
      </w:r>
    </w:p>
    <w:p w:rsidR="001C7BF9" w:rsidRPr="00C9680B" w:rsidRDefault="001C7BF9">
      <w:r w:rsidRPr="00C9680B">
        <w:t>2000/01:Sk312 av Berit Adolfsson och Inger René (m) vari föreslås att rik</w:t>
      </w:r>
      <w:r w:rsidRPr="00C9680B">
        <w:t>s</w:t>
      </w:r>
      <w:r w:rsidRPr="00C9680B">
        <w:t>dagen fattar följa</w:t>
      </w:r>
      <w:r w:rsidRPr="00C9680B">
        <w:t>n</w:t>
      </w:r>
      <w:r w:rsidRPr="00C9680B">
        <w:t xml:space="preserve">de beslut: </w:t>
      </w:r>
    </w:p>
    <w:p w:rsidR="001C7BF9" w:rsidRPr="00C9680B" w:rsidRDefault="001C7BF9">
      <w:pPr>
        <w:pStyle w:val="Normaltindrag"/>
      </w:pPr>
      <w:r w:rsidRPr="00C9680B">
        <w:t>1. Riksdagen avslår höjningen av dieselskatten i enlighet med vad som a</w:t>
      </w:r>
      <w:r w:rsidRPr="00C9680B">
        <w:t>n</w:t>
      </w:r>
      <w:r w:rsidRPr="00C9680B">
        <w:t xml:space="preserve">förs i motionen. </w:t>
      </w:r>
    </w:p>
    <w:p w:rsidR="001C7BF9" w:rsidRPr="00C9680B" w:rsidRDefault="001C7BF9">
      <w:pPr>
        <w:pStyle w:val="Normaltindrag"/>
      </w:pPr>
      <w:r w:rsidRPr="00C9680B">
        <w:t>2. Riksdagen begär att regeringen lägger fram förslag till en sänkning av di</w:t>
      </w:r>
      <w:r w:rsidRPr="00C9680B">
        <w:t>e</w:t>
      </w:r>
      <w:r w:rsidRPr="00C9680B">
        <w:t xml:space="preserve">selskatten med 40 öre i enlighet med vad som anförs i motionen. </w:t>
      </w:r>
    </w:p>
    <w:p w:rsidR="001C7BF9" w:rsidRPr="00C9680B" w:rsidRDefault="001C7BF9">
      <w:r w:rsidRPr="00C9680B">
        <w:t>2000/01:Sk313 av Carl Fredrik Graf m.fl. (m) vari föreslås att riksdagen fattar följande beslut:</w:t>
      </w:r>
    </w:p>
    <w:p w:rsidR="001C7BF9" w:rsidRPr="00C9680B" w:rsidRDefault="001C7BF9">
      <w:pPr>
        <w:pStyle w:val="Normaltindrag"/>
      </w:pPr>
      <w:r w:rsidRPr="00C9680B">
        <w:t>1. Riksdagen avslår förslaget till ändring i lagen (1984:1052) om statlig fastighet</w:t>
      </w:r>
      <w:r w:rsidRPr="00C9680B">
        <w:t>s</w:t>
      </w:r>
      <w:r w:rsidRPr="00C9680B">
        <w:t xml:space="preserve">skatt. </w:t>
      </w:r>
    </w:p>
    <w:p w:rsidR="001C7BF9" w:rsidRPr="00C9680B" w:rsidRDefault="001C7BF9">
      <w:pPr>
        <w:pStyle w:val="Normaltindrag"/>
      </w:pPr>
      <w:r w:rsidRPr="00C9680B">
        <w:t xml:space="preserve">2. Riksdagen avslår förslag till ändring i inkomstskattelagen (1999:1229) vad gäller 1 kap. 5 §, 12 kap. 5, 27 och 29 §§, 16 kap. 27 §, 45 kap. 33 §, 46 kap.18 §, 63 kap. 3–4 §§ samt 65 kap. 5 och 10 §§. </w:t>
      </w:r>
    </w:p>
    <w:p w:rsidR="001C7BF9" w:rsidRPr="00C9680B" w:rsidRDefault="001C7BF9">
      <w:pPr>
        <w:pStyle w:val="Normaltindrag"/>
      </w:pPr>
      <w:r w:rsidRPr="00C9680B">
        <w:t xml:space="preserve">3. Riksdagen avslår förslaget till ändring i skattebetalningslagen (1994:483). </w:t>
      </w:r>
    </w:p>
    <w:p w:rsidR="001C7BF9" w:rsidRPr="00C9680B" w:rsidRDefault="001C7BF9">
      <w:pPr>
        <w:pStyle w:val="Normaltindrag"/>
      </w:pPr>
      <w:r w:rsidRPr="00C9680B">
        <w:t>4. Riksdagen avslår förslaget till ändring i lagen (1994:1744) om allmän pe</w:t>
      </w:r>
      <w:r w:rsidRPr="00C9680B">
        <w:t>n</w:t>
      </w:r>
      <w:r w:rsidRPr="00C9680B">
        <w:t xml:space="preserve">sionsavgift. </w:t>
      </w:r>
    </w:p>
    <w:p w:rsidR="001C7BF9" w:rsidRPr="00C9680B" w:rsidRDefault="001C7BF9">
      <w:pPr>
        <w:pStyle w:val="Normaltindrag"/>
      </w:pPr>
      <w:r w:rsidRPr="00C9680B">
        <w:t>5. Riksdagen avslår förslaget till ändring i lag (1999:802) och lag (1998:674) om inkomstgrundad ålde</w:t>
      </w:r>
      <w:r w:rsidRPr="00C9680B">
        <w:t>r</w:t>
      </w:r>
      <w:r w:rsidRPr="00C9680B">
        <w:t xml:space="preserve">spension. </w:t>
      </w:r>
    </w:p>
    <w:p w:rsidR="001C7BF9" w:rsidRPr="00C9680B" w:rsidRDefault="001C7BF9">
      <w:pPr>
        <w:pStyle w:val="Normaltindrag"/>
      </w:pPr>
      <w:r w:rsidRPr="00C9680B">
        <w:t>6. Riksdagen avslår förslaget till ändring i lagen (1998:676) om statlig å</w:t>
      </w:r>
      <w:r w:rsidRPr="00C9680B">
        <w:t>l</w:t>
      </w:r>
      <w:r w:rsidRPr="00C9680B">
        <w:t>derspe</w:t>
      </w:r>
      <w:r w:rsidRPr="00C9680B">
        <w:t>n</w:t>
      </w:r>
      <w:r w:rsidRPr="00C9680B">
        <w:t xml:space="preserve">sionsavgift. </w:t>
      </w:r>
    </w:p>
    <w:p w:rsidR="001C7BF9" w:rsidRPr="00C9680B" w:rsidRDefault="001C7BF9">
      <w:pPr>
        <w:pStyle w:val="Normaltindrag"/>
      </w:pPr>
      <w:r w:rsidRPr="00C9680B">
        <w:t>7. Riksdagen avslår förslaget till ändring i lagen (1997:323) om statlig förmöge</w:t>
      </w:r>
      <w:r w:rsidRPr="00C9680B">
        <w:t>n</w:t>
      </w:r>
      <w:r w:rsidRPr="00C9680B">
        <w:t xml:space="preserve">hetsskatt. </w:t>
      </w:r>
    </w:p>
    <w:p w:rsidR="001C7BF9" w:rsidRPr="00C9680B" w:rsidRDefault="001C7BF9">
      <w:pPr>
        <w:pStyle w:val="Normaltindrag"/>
      </w:pPr>
      <w:r w:rsidRPr="00C9680B">
        <w:t xml:space="preserve">8. Riksdagen avslår regeringens förslag till ändring i lagen (1994:1776) om skatt på energi. </w:t>
      </w:r>
    </w:p>
    <w:p w:rsidR="001C7BF9" w:rsidRPr="00C9680B" w:rsidRDefault="001C7BF9">
      <w:pPr>
        <w:pStyle w:val="Normaltindrag"/>
      </w:pPr>
      <w:r w:rsidRPr="00C9680B">
        <w:t>9. Riksdagen avslår regeringens förslag till ändring i lagen (1994:1565) om beskattning av viss privatinfö</w:t>
      </w:r>
      <w:r w:rsidRPr="00C9680B">
        <w:t>r</w:t>
      </w:r>
      <w:r w:rsidRPr="00C9680B">
        <w:t xml:space="preserve">sel. </w:t>
      </w:r>
    </w:p>
    <w:p w:rsidR="001C7BF9" w:rsidRPr="00C9680B" w:rsidRDefault="001C7BF9">
      <w:pPr>
        <w:pStyle w:val="Normaltindrag"/>
      </w:pPr>
      <w:r w:rsidRPr="00C9680B">
        <w:t xml:space="preserve">10. Riksdagen avslår regeringens förslag till ändring i lagen (1994:1551) om frihet från skatt vid import m.m. </w:t>
      </w:r>
    </w:p>
    <w:p w:rsidR="001C7BF9" w:rsidRPr="00C9680B" w:rsidRDefault="001C7BF9">
      <w:pPr>
        <w:pStyle w:val="Normaltindrag"/>
      </w:pPr>
      <w:r w:rsidRPr="00C9680B">
        <w:t>11. Riksdagen avslår regeringens förslag till ändring i mervärdesskattel</w:t>
      </w:r>
      <w:r w:rsidRPr="00C9680B">
        <w:t>a</w:t>
      </w:r>
      <w:r w:rsidRPr="00C9680B">
        <w:t xml:space="preserve">gen (1994:200). </w:t>
      </w:r>
    </w:p>
    <w:p w:rsidR="001C7BF9" w:rsidRPr="00C9680B" w:rsidRDefault="001C7BF9">
      <w:pPr>
        <w:pStyle w:val="Normaltindrag"/>
      </w:pPr>
      <w:r w:rsidRPr="00C9680B">
        <w:t>12. Riksdagen beslutar införa ett förvärvsavdrag på pensionsgrundande i</w:t>
      </w:r>
      <w:r w:rsidRPr="00C9680B">
        <w:t>n</w:t>
      </w:r>
      <w:r w:rsidRPr="00C9680B">
        <w:t xml:space="preserve">komster vid den kommunala beskattningen med 8 % år 2001 och år 2002 samt 10 % år 2003. </w:t>
      </w:r>
    </w:p>
    <w:p w:rsidR="001C7BF9" w:rsidRPr="00C9680B" w:rsidRDefault="001C7BF9">
      <w:pPr>
        <w:pStyle w:val="Normaltindrag"/>
      </w:pPr>
      <w:r w:rsidRPr="00C9680B">
        <w:t>13. Riksdagen beslutar avslå förslag till lag om skattereduktion på fö</w:t>
      </w:r>
      <w:r w:rsidRPr="00C9680B">
        <w:t>r</w:t>
      </w:r>
      <w:r w:rsidRPr="00C9680B">
        <w:t>värvsi</w:t>
      </w:r>
      <w:r w:rsidRPr="00C9680B">
        <w:t>n</w:t>
      </w:r>
      <w:r w:rsidRPr="00C9680B">
        <w:t xml:space="preserve">komster vid 2002 års taxering. </w:t>
      </w:r>
    </w:p>
    <w:p w:rsidR="001C7BF9" w:rsidRPr="00C9680B" w:rsidRDefault="001C7BF9">
      <w:pPr>
        <w:pStyle w:val="Normaltindrag"/>
      </w:pPr>
      <w:r w:rsidRPr="00C9680B">
        <w:t>14. Riksdagen beslutar upphäva lag om särskild skattereduktion för lågi</w:t>
      </w:r>
      <w:r w:rsidRPr="00C9680B">
        <w:t>n</w:t>
      </w:r>
      <w:r w:rsidRPr="00C9680B">
        <w:t>koms</w:t>
      </w:r>
      <w:r w:rsidRPr="00C9680B">
        <w:t>t</w:t>
      </w:r>
      <w:r w:rsidRPr="00C9680B">
        <w:t xml:space="preserve">tagare. </w:t>
      </w:r>
    </w:p>
    <w:p w:rsidR="001C7BF9" w:rsidRPr="00C9680B" w:rsidRDefault="001C7BF9">
      <w:pPr>
        <w:pStyle w:val="Normaltindrag"/>
      </w:pPr>
      <w:r w:rsidRPr="00C9680B">
        <w:t>15. Riksdagen beslutar att grundavdraget vid den kommunala beskattnin</w:t>
      </w:r>
      <w:r w:rsidRPr="00C9680B">
        <w:t>g</w:t>
      </w:r>
      <w:r w:rsidRPr="00C9680B">
        <w:t xml:space="preserve">en skall höjas i enlighet med vad som anförs i motionen. </w:t>
      </w:r>
    </w:p>
    <w:p w:rsidR="001C7BF9" w:rsidRPr="00C9680B" w:rsidRDefault="001C7BF9">
      <w:pPr>
        <w:pStyle w:val="Normaltindrag"/>
      </w:pPr>
      <w:r w:rsidRPr="00C9680B">
        <w:t xml:space="preserve">16. Riksdagen beslutar att skattesatsen för statlig inkomstskatt skall vara 20 % år 2001, 18 % år 2002 och 15 % år 2003. </w:t>
      </w:r>
    </w:p>
    <w:p w:rsidR="001C7BF9" w:rsidRPr="00C9680B" w:rsidRDefault="001C7BF9">
      <w:pPr>
        <w:pStyle w:val="Normaltindrag"/>
      </w:pPr>
      <w:r w:rsidRPr="00C9680B">
        <w:t xml:space="preserve">17. Riksdagen beslutar att höja gränsen för statlig inkomstskatt i enlighet med vad som anförs i motionen. </w:t>
      </w:r>
    </w:p>
    <w:p w:rsidR="001C7BF9" w:rsidRPr="00C9680B" w:rsidRDefault="001C7BF9">
      <w:pPr>
        <w:pStyle w:val="Normaltindrag"/>
      </w:pPr>
      <w:r w:rsidRPr="00C9680B">
        <w:t>18. Riksdagen beslutar att egen arbetsskadelivränta som är samordnad med förtidspension inte skall p</w:t>
      </w:r>
      <w:r w:rsidRPr="00C9680B">
        <w:t>å</w:t>
      </w:r>
      <w:r w:rsidRPr="00C9680B">
        <w:t xml:space="preserve">verka grundavdragets storlek. </w:t>
      </w:r>
    </w:p>
    <w:p w:rsidR="001C7BF9" w:rsidRPr="00C9680B" w:rsidRDefault="001C7BF9">
      <w:pPr>
        <w:pStyle w:val="Normaltindrag"/>
      </w:pPr>
      <w:r w:rsidRPr="00C9680B">
        <w:t xml:space="preserve">19. Riksdagen beslutar införa ett grundavdrag med 12 000 kr per barn upp till 16 års ålder i den kommunala beskattningen. </w:t>
      </w:r>
    </w:p>
    <w:p w:rsidR="001C7BF9" w:rsidRPr="00C9680B" w:rsidRDefault="001C7BF9">
      <w:pPr>
        <w:pStyle w:val="Normaltindrag"/>
      </w:pPr>
      <w:r w:rsidRPr="00C9680B">
        <w:t xml:space="preserve">20. Riksdagen beslutar att ett avdrag för styrkta barnomsorgskostnader får göras vid den kommunala beskattningen med högst 50 000 kr per barn från den 1 januari 2002. </w:t>
      </w:r>
    </w:p>
    <w:p w:rsidR="001C7BF9" w:rsidRPr="00C9680B" w:rsidRDefault="001C7BF9">
      <w:pPr>
        <w:pStyle w:val="Normaltindrag"/>
      </w:pPr>
      <w:r w:rsidRPr="00C9680B">
        <w:t>21. Riksdagen beslutar höja reseavdrag för färd med bil till 2,00 kr per k</w:t>
      </w:r>
      <w:r w:rsidRPr="00C9680B">
        <w:t>i</w:t>
      </w:r>
      <w:r w:rsidRPr="00C9680B">
        <w:t>lom</w:t>
      </w:r>
      <w:r w:rsidRPr="00C9680B">
        <w:t>e</w:t>
      </w:r>
      <w:r w:rsidRPr="00C9680B">
        <w:t xml:space="preserve">ter. </w:t>
      </w:r>
    </w:p>
    <w:p w:rsidR="001C7BF9" w:rsidRPr="00C9680B" w:rsidRDefault="001C7BF9">
      <w:pPr>
        <w:pStyle w:val="Normaltindrag"/>
      </w:pPr>
      <w:r w:rsidRPr="00C9680B">
        <w:t xml:space="preserve">22. Riksdagen beslutar höja avdraget för resor med förmånsbil till 10 kr per mil (7 kr per mil för dieseldrivna bilar). </w:t>
      </w:r>
    </w:p>
    <w:p w:rsidR="001C7BF9" w:rsidRPr="00C9680B" w:rsidRDefault="001C7BF9">
      <w:pPr>
        <w:pStyle w:val="Normaltindrag"/>
      </w:pPr>
      <w:r w:rsidRPr="00C9680B">
        <w:t>23. Riksdagen beslutar sänka energiskatten på el och bränsle för uppvär</w:t>
      </w:r>
      <w:r w:rsidRPr="00C9680B">
        <w:t>m</w:t>
      </w:r>
      <w:r w:rsidRPr="00C9680B">
        <w:t>ning med 8 % fr.o.m. den 1 j</w:t>
      </w:r>
      <w:r w:rsidRPr="00C9680B">
        <w:t>a</w:t>
      </w:r>
      <w:r w:rsidRPr="00C9680B">
        <w:t xml:space="preserve">nuari 2001. </w:t>
      </w:r>
    </w:p>
    <w:p w:rsidR="001C7BF9" w:rsidRPr="00C9680B" w:rsidRDefault="001C7BF9">
      <w:pPr>
        <w:pStyle w:val="Normaltindrag"/>
      </w:pPr>
      <w:r w:rsidRPr="00C9680B">
        <w:t>24. Riksdagen beslutar sänka skatten på bensin och diesel med 70 öre per l</w:t>
      </w:r>
      <w:r w:rsidRPr="00C9680B">
        <w:t>i</w:t>
      </w:r>
      <w:r w:rsidRPr="00C9680B">
        <w:t xml:space="preserve">ter inklusive moms i förhållande till regeringens samlade förslag. </w:t>
      </w:r>
    </w:p>
    <w:p w:rsidR="001C7BF9" w:rsidRPr="00C9680B" w:rsidRDefault="001C7BF9">
      <w:pPr>
        <w:pStyle w:val="Normaltindrag"/>
      </w:pPr>
      <w:r w:rsidRPr="00C9680B">
        <w:t xml:space="preserve">25. Riksdagen beslutar att den allmänna löneavgiften skall sättas till 2,79 % av löneunderlaget år 2001. </w:t>
      </w:r>
    </w:p>
    <w:p w:rsidR="001C7BF9" w:rsidRPr="00C9680B" w:rsidRDefault="001C7BF9">
      <w:pPr>
        <w:pStyle w:val="Normaltindrag"/>
      </w:pPr>
      <w:r w:rsidRPr="00C9680B">
        <w:t>26. Riksdagen beslutar ändra basmånad för den årliga omräkningen av ene</w:t>
      </w:r>
      <w:r w:rsidRPr="00C9680B">
        <w:t>r</w:t>
      </w:r>
      <w:r w:rsidRPr="00C9680B">
        <w:t xml:space="preserve">gi- och koldioxidskatterna från oktober till juni. </w:t>
      </w:r>
    </w:p>
    <w:p w:rsidR="001C7BF9" w:rsidRPr="00C9680B" w:rsidRDefault="001C7BF9">
      <w:pPr>
        <w:pStyle w:val="Normaltindrag"/>
      </w:pPr>
      <w:r w:rsidRPr="00C9680B">
        <w:t xml:space="preserve">27. Riksdagen beslutar sänka skatten på diesel för arbetsredskap i jord- och skogsbruk samt för entreprenadmaskiner till 53 öre per liter. </w:t>
      </w:r>
    </w:p>
    <w:p w:rsidR="001C7BF9" w:rsidRPr="00C9680B" w:rsidRDefault="001C7BF9">
      <w:pPr>
        <w:pStyle w:val="Normaltindrag"/>
      </w:pPr>
      <w:r w:rsidRPr="00C9680B">
        <w:t xml:space="preserve">28. Riksdagen beslutar sänka den särskilda skatten på kärnkraftsel med 0,5 öre per kWh. </w:t>
      </w:r>
    </w:p>
    <w:p w:rsidR="001C7BF9" w:rsidRPr="00C9680B" w:rsidRDefault="001C7BF9">
      <w:pPr>
        <w:pStyle w:val="Normaltindrag"/>
      </w:pPr>
      <w:r w:rsidRPr="00C9680B">
        <w:t>29. Riksdagen beslutar att övergå från effektskatt till skatt på producerad energi vid kär</w:t>
      </w:r>
      <w:r w:rsidRPr="00C9680B">
        <w:t>n</w:t>
      </w:r>
      <w:r w:rsidRPr="00C9680B">
        <w:t xml:space="preserve">kraftverk. </w:t>
      </w:r>
    </w:p>
    <w:p w:rsidR="001C7BF9" w:rsidRPr="00C9680B" w:rsidRDefault="001C7BF9">
      <w:pPr>
        <w:pStyle w:val="Normaltindrag"/>
      </w:pPr>
      <w:r w:rsidRPr="00C9680B">
        <w:t xml:space="preserve">30. Riksdagen beslutar att kväveavgiften för handelsgödsel tas bort. </w:t>
      </w:r>
    </w:p>
    <w:p w:rsidR="001C7BF9" w:rsidRPr="00C9680B" w:rsidRDefault="001C7BF9">
      <w:pPr>
        <w:pStyle w:val="Normaltindrag"/>
      </w:pPr>
      <w:r w:rsidRPr="00C9680B">
        <w:t xml:space="preserve">31. Riksdagen beslutar att avdrag för pensionsförsäkring får uppgå till högst ett basbelopp. </w:t>
      </w:r>
    </w:p>
    <w:p w:rsidR="001C7BF9" w:rsidRPr="00C9680B" w:rsidRDefault="001C7BF9">
      <w:pPr>
        <w:pStyle w:val="Normaltindrag"/>
      </w:pPr>
      <w:r w:rsidRPr="00C9680B">
        <w:t>32. Riksdagen beslutar att höjningen av taxeringsvärden inte får ligga till grund för uttag av fastighet</w:t>
      </w:r>
      <w:r w:rsidRPr="00C9680B">
        <w:t>s</w:t>
      </w:r>
      <w:r w:rsidRPr="00C9680B">
        <w:t xml:space="preserve">skatt. </w:t>
      </w:r>
    </w:p>
    <w:p w:rsidR="001C7BF9" w:rsidRPr="00C9680B" w:rsidRDefault="001C7BF9">
      <w:pPr>
        <w:pStyle w:val="Normaltindrag"/>
      </w:pPr>
      <w:r w:rsidRPr="00C9680B">
        <w:t>33. Riksdagen beslutar att endast halva markvärdet skall ingå i berä</w:t>
      </w:r>
      <w:r w:rsidRPr="00C9680B">
        <w:t>k</w:t>
      </w:r>
      <w:r w:rsidRPr="00C9680B">
        <w:t>ningsunde</w:t>
      </w:r>
      <w:r w:rsidRPr="00C9680B">
        <w:t>r</w:t>
      </w:r>
      <w:r w:rsidRPr="00C9680B">
        <w:t xml:space="preserve">laget för fastighetsskatt på bostäder fr.o.m. år 2001. </w:t>
      </w:r>
    </w:p>
    <w:p w:rsidR="001C7BF9" w:rsidRPr="00C9680B" w:rsidRDefault="001C7BF9">
      <w:pPr>
        <w:pStyle w:val="Normaltindrag"/>
      </w:pPr>
      <w:r w:rsidRPr="00C9680B">
        <w:t xml:space="preserve">34. Riksdagen beslutar att fastighetsskatten för småhus skall utgå med 1,0 % år 2001, 0,9 % år 2002 och 0,8 % år 2003. </w:t>
      </w:r>
    </w:p>
    <w:p w:rsidR="001C7BF9" w:rsidRPr="00C9680B" w:rsidRDefault="001C7BF9">
      <w:pPr>
        <w:pStyle w:val="Normaltindrag"/>
      </w:pPr>
      <w:r w:rsidRPr="00C9680B">
        <w:t xml:space="preserve">35. Riksdagen beslutar att fastighetsskatten för bostadsdelen i hyreshus skall utgå med 0,7 % fr.o.m. år 2001. </w:t>
      </w:r>
    </w:p>
    <w:p w:rsidR="001C7BF9" w:rsidRPr="00C9680B" w:rsidRDefault="001C7BF9">
      <w:pPr>
        <w:pStyle w:val="Normaltindrag"/>
      </w:pPr>
      <w:r w:rsidRPr="00C9680B">
        <w:t xml:space="preserve">36. Riksdagen beslutar att sambeskattningen vid förmögenhetsbeskattning upphör år 2001. </w:t>
      </w:r>
    </w:p>
    <w:p w:rsidR="001C7BF9" w:rsidRPr="00C9680B" w:rsidRDefault="001C7BF9">
      <w:pPr>
        <w:pStyle w:val="Normaltindrag"/>
      </w:pPr>
      <w:r w:rsidRPr="00C9680B">
        <w:t xml:space="preserve">37. Riksdagen beslutar att fribeloppet vid förmögenhetsskatt sätts till 1 500 000 kr år 2001. </w:t>
      </w:r>
    </w:p>
    <w:p w:rsidR="001C7BF9" w:rsidRPr="00C9680B" w:rsidRDefault="001C7BF9">
      <w:pPr>
        <w:pStyle w:val="Normaltindrag"/>
      </w:pPr>
      <w:r w:rsidRPr="00C9680B">
        <w:t xml:space="preserve">38. Riksdagen beslutar att förmögenhetsskatten slopas från 2002. </w:t>
      </w:r>
    </w:p>
    <w:p w:rsidR="001C7BF9" w:rsidRPr="00C9680B" w:rsidRDefault="001C7BF9">
      <w:pPr>
        <w:pStyle w:val="Normaltindrag"/>
      </w:pPr>
      <w:r w:rsidRPr="00C9680B">
        <w:t>39. Riksdagen beslutar att skatt på aktieutdelning slopas fr.o.m 2001 års utde</w:t>
      </w:r>
      <w:r w:rsidRPr="00C9680B">
        <w:t>l</w:t>
      </w:r>
      <w:r w:rsidRPr="00C9680B">
        <w:t xml:space="preserve">ningar. </w:t>
      </w:r>
    </w:p>
    <w:p w:rsidR="001C7BF9" w:rsidRPr="00C9680B" w:rsidRDefault="001C7BF9">
      <w:pPr>
        <w:pStyle w:val="Normaltindrag"/>
      </w:pPr>
      <w:r w:rsidRPr="00C9680B">
        <w:t>40. Riksdagen beslutar att beskattning av royaltyinkomster från uppfi</w:t>
      </w:r>
      <w:r w:rsidRPr="00C9680B">
        <w:t>n</w:t>
      </w:r>
      <w:r w:rsidRPr="00C9680B">
        <w:t xml:space="preserve">ningar och patent beskattas i inkomstslaget kapital från år 2001. </w:t>
      </w:r>
    </w:p>
    <w:p w:rsidR="001C7BF9" w:rsidRPr="00C9680B" w:rsidRDefault="001C7BF9">
      <w:pPr>
        <w:pStyle w:val="Normaltindrag"/>
      </w:pPr>
      <w:r w:rsidRPr="00C9680B">
        <w:t xml:space="preserve">41. Riksdagen beslutar slopa reklamskatten från år 2001. </w:t>
      </w:r>
    </w:p>
    <w:p w:rsidR="001C7BF9" w:rsidRPr="00C9680B" w:rsidRDefault="001C7BF9">
      <w:pPr>
        <w:pStyle w:val="Normaltindrag"/>
      </w:pPr>
      <w:r w:rsidRPr="00C9680B">
        <w:t xml:space="preserve">42. Riksdagen beslutar att mervärdesskatten på dagstidningar skall sättas till full skattesats. </w:t>
      </w:r>
    </w:p>
    <w:p w:rsidR="001C7BF9" w:rsidRPr="00C9680B" w:rsidRDefault="001C7BF9">
      <w:pPr>
        <w:pStyle w:val="Normaltindrag"/>
      </w:pPr>
      <w:r w:rsidRPr="00C9680B">
        <w:t>43. Riksdagen beslutar att en skattereduktion med 50 % för privatpersoners betalning av arbetskostnaden på hushållsnära tjänster införs med en begrän</w:t>
      </w:r>
      <w:r w:rsidRPr="00C9680B">
        <w:t>s</w:t>
      </w:r>
      <w:r w:rsidRPr="00C9680B">
        <w:t>ning till 25 000 kr per år och hu</w:t>
      </w:r>
      <w:r w:rsidRPr="00C9680B">
        <w:t>s</w:t>
      </w:r>
      <w:r w:rsidRPr="00C9680B">
        <w:t xml:space="preserve">håll. </w:t>
      </w:r>
    </w:p>
    <w:p w:rsidR="001C7BF9" w:rsidRPr="00C9680B" w:rsidRDefault="001C7BF9">
      <w:pPr>
        <w:pStyle w:val="Normaltindrag"/>
      </w:pPr>
      <w:r w:rsidRPr="00C9680B">
        <w:t>44. Riksdagen beslutar att även onoterade bolag omfattas av 3 § 7 i</w:t>
      </w:r>
      <w:r w:rsidRPr="00C9680B">
        <w:t>n</w:t>
      </w:r>
      <w:r w:rsidRPr="00C9680B">
        <w:t>komstska</w:t>
      </w:r>
      <w:r w:rsidRPr="00C9680B">
        <w:t>t</w:t>
      </w:r>
      <w:r w:rsidRPr="00C9680B">
        <w:t xml:space="preserve">telagen. </w:t>
      </w:r>
    </w:p>
    <w:p w:rsidR="001C7BF9" w:rsidRPr="00C9680B" w:rsidRDefault="001C7BF9">
      <w:pPr>
        <w:pStyle w:val="Normaltindrag"/>
      </w:pPr>
      <w:r w:rsidRPr="00C9680B">
        <w:t>45. Riksdagen beslutar att slopa särbehandlingen av små- och egenföret</w:t>
      </w:r>
      <w:r w:rsidRPr="00C9680B">
        <w:t>a</w:t>
      </w:r>
      <w:r w:rsidRPr="00C9680B">
        <w:t>gare och deras familjer vid b</w:t>
      </w:r>
      <w:r w:rsidRPr="00C9680B">
        <w:t>e</w:t>
      </w:r>
      <w:r w:rsidRPr="00C9680B">
        <w:t xml:space="preserve">skattning. </w:t>
      </w:r>
    </w:p>
    <w:p w:rsidR="001C7BF9" w:rsidRPr="00C9680B" w:rsidRDefault="001C7BF9">
      <w:r w:rsidRPr="00C9680B">
        <w:t>2000/01:Sk314 av Kent Olsson (m) vari föreslås att riksdagen fattar följande beslut: Riksdagen tillkännager för regeringen som sin mening att ett yrkesfi</w:t>
      </w:r>
      <w:r w:rsidRPr="00C9680B">
        <w:t>s</w:t>
      </w:r>
      <w:r w:rsidRPr="00C9680B">
        <w:t>karavdrag för svenska yrkesfiskare bör införas i paritet med det som gäller i Danmark i enlighet med vad som anförs i moti</w:t>
      </w:r>
      <w:r w:rsidRPr="00C9680B">
        <w:t>o</w:t>
      </w:r>
      <w:r w:rsidRPr="00C9680B">
        <w:t xml:space="preserve">nen. </w:t>
      </w:r>
    </w:p>
    <w:p w:rsidR="001C7BF9" w:rsidRPr="00C9680B" w:rsidRDefault="001C7BF9">
      <w:r w:rsidRPr="00C9680B">
        <w:t xml:space="preserve">2000/01:Sk315 av Roy Hansson (m) vari föreslås att riksdagen fattar följande beslut: Riksdagen tillkännager för regeringen som sin mening vad i motionen anförs om skatten på diesel. </w:t>
      </w:r>
    </w:p>
    <w:p w:rsidR="001C7BF9" w:rsidRPr="00C9680B" w:rsidRDefault="001C7BF9">
      <w:r w:rsidRPr="00C9680B">
        <w:t>2000/01:Sk316 av Kenth Skårvik (fp) vari föreslås att riksdagen fattar följa</w:t>
      </w:r>
      <w:r w:rsidRPr="00C9680B">
        <w:t>n</w:t>
      </w:r>
      <w:r w:rsidRPr="00C9680B">
        <w:t>de beslut: Riksdagen tillkännager för regeringen som sin mening vad i moti</w:t>
      </w:r>
      <w:r w:rsidRPr="00C9680B">
        <w:t>o</w:t>
      </w:r>
      <w:r w:rsidRPr="00C9680B">
        <w:t>nen anförs om att fastighetsskatten på sikt skall avskaffas samt att den om</w:t>
      </w:r>
      <w:r w:rsidRPr="00C9680B">
        <w:t>e</w:t>
      </w:r>
      <w:r w:rsidRPr="00C9680B">
        <w:t>delbart skall frysas tills regeringen har framlagt ett nytt förslag angående borttagande av fastighetsska</w:t>
      </w:r>
      <w:r w:rsidRPr="00C9680B">
        <w:t>t</w:t>
      </w:r>
      <w:r w:rsidRPr="00C9680B">
        <w:t xml:space="preserve">ten. </w:t>
      </w:r>
    </w:p>
    <w:p w:rsidR="001C7BF9" w:rsidRPr="00C9680B" w:rsidRDefault="001C7BF9">
      <w:r w:rsidRPr="00C9680B">
        <w:t>2000/01:Sk317 av Jeppe Johnsson och Anders G Högmark (m) vari föreslås att riksdagen fattar följande beslut: Riksdagen tillkännager för regeringen som sin mening vad i motionen anförs om sänkt bränsleskatt, sänkt fordonsskatt och sänkta indirekta l</w:t>
      </w:r>
      <w:r w:rsidRPr="00C9680B">
        <w:t>önekostnader.</w:t>
      </w:r>
    </w:p>
    <w:p w:rsidR="001C7BF9" w:rsidRPr="00C9680B" w:rsidRDefault="001C7BF9">
      <w:pPr>
        <w:pStyle w:val="Normaltindrag"/>
      </w:pPr>
      <w:r w:rsidRPr="00C9680B">
        <w:t>2000/01:Sk318 av Jarl Lander och Hans Stenberg (s) vari föreslås att rik</w:t>
      </w:r>
      <w:r w:rsidRPr="00C9680B">
        <w:t>s</w:t>
      </w:r>
      <w:r w:rsidRPr="00C9680B">
        <w:t xml:space="preserve">dagen fattar följande beslut: Riksdagen tillkännager för regeringen som sin mening vad i motionen anförs om att pengarna från momssänkningen bör komma operatörerna inom kollektivtrafiken till del. </w:t>
      </w:r>
    </w:p>
    <w:p w:rsidR="001C7BF9" w:rsidRPr="00C9680B" w:rsidRDefault="001C7BF9">
      <w:r w:rsidRPr="00C9680B">
        <w:t>2000/01:Sk319 av Bo Lundgren m.fl. (m) vari föreslås att riksdagen fattar följande beslut:</w:t>
      </w:r>
    </w:p>
    <w:p w:rsidR="001C7BF9" w:rsidRPr="00C9680B" w:rsidRDefault="001C7BF9">
      <w:pPr>
        <w:pStyle w:val="Normaltindrag"/>
      </w:pPr>
      <w:r w:rsidRPr="00C9680B">
        <w:t>1. Riksdagen tillkännager för regeringen som sin mening vad i motionen anförs om en inkomstskatter</w:t>
      </w:r>
      <w:r w:rsidRPr="00C9680B">
        <w:t>e</w:t>
      </w:r>
      <w:r w:rsidRPr="00C9680B">
        <w:t xml:space="preserve">form. </w:t>
      </w:r>
    </w:p>
    <w:p w:rsidR="001C7BF9" w:rsidRPr="00C9680B" w:rsidRDefault="001C7BF9">
      <w:pPr>
        <w:pStyle w:val="Normaltindrag"/>
      </w:pPr>
      <w:r w:rsidRPr="00C9680B">
        <w:t>2. Riksdagen beslutar att grundavdraget vid den kommunala inkomstb</w:t>
      </w:r>
      <w:r w:rsidRPr="00C9680B">
        <w:t>e</w:t>
      </w:r>
      <w:r w:rsidRPr="00C9680B">
        <w:t>skattnin</w:t>
      </w:r>
      <w:r w:rsidRPr="00C9680B">
        <w:t>g</w:t>
      </w:r>
      <w:r w:rsidRPr="00C9680B">
        <w:t xml:space="preserve">en höjs i enlighet med vad som anförs i motionen. </w:t>
      </w:r>
    </w:p>
    <w:p w:rsidR="001C7BF9" w:rsidRPr="00C9680B" w:rsidRDefault="001C7BF9">
      <w:pPr>
        <w:pStyle w:val="Normaltindrag"/>
      </w:pPr>
      <w:r w:rsidRPr="00C9680B">
        <w:t>3. Riksdagen beslutar att införa ett förvärvsavdrag vid den kommunala b</w:t>
      </w:r>
      <w:r w:rsidRPr="00C9680B">
        <w:t>e</w:t>
      </w:r>
      <w:r w:rsidRPr="00C9680B">
        <w:t>skat</w:t>
      </w:r>
      <w:r w:rsidRPr="00C9680B">
        <w:t>t</w:t>
      </w:r>
      <w:r w:rsidRPr="00C9680B">
        <w:t xml:space="preserve">ningen i enlighet med vad som anförs i motionen. </w:t>
      </w:r>
    </w:p>
    <w:p w:rsidR="001C7BF9" w:rsidRPr="00C9680B" w:rsidRDefault="001C7BF9">
      <w:pPr>
        <w:pStyle w:val="Normaltindrag"/>
      </w:pPr>
      <w:r w:rsidRPr="00C9680B">
        <w:t xml:space="preserve">4. Riksdagen beslutar om skiktgränsen för statlig inkomstskatt i enlighet med vad som anförs i motionen. </w:t>
      </w:r>
    </w:p>
    <w:p w:rsidR="001C7BF9" w:rsidRPr="00C9680B" w:rsidRDefault="001C7BF9">
      <w:pPr>
        <w:pStyle w:val="Normaltindrag"/>
      </w:pPr>
      <w:r w:rsidRPr="00C9680B">
        <w:t xml:space="preserve">5. Riksdagen beslutar att statlig inkomstskatt utgår med 20 % 2001, 18 % från år 2002 och 15 % från år 2003. </w:t>
      </w:r>
    </w:p>
    <w:p w:rsidR="001C7BF9" w:rsidRPr="00C9680B" w:rsidRDefault="001C7BF9">
      <w:pPr>
        <w:pStyle w:val="Normaltindrag"/>
      </w:pPr>
      <w:r w:rsidRPr="00C9680B">
        <w:t>6. Riksdagen beslutar att införa ett grundavdrag med 12 000 kr per barn upp till 16 år i den kommunala b</w:t>
      </w:r>
      <w:r w:rsidRPr="00C9680B">
        <w:t>e</w:t>
      </w:r>
      <w:r w:rsidRPr="00C9680B">
        <w:t xml:space="preserve">skattningen från år 2001. </w:t>
      </w:r>
    </w:p>
    <w:p w:rsidR="001C7BF9" w:rsidRPr="00C9680B" w:rsidRDefault="001C7BF9">
      <w:r w:rsidRPr="00C9680B">
        <w:t>2000/01:Sk320 av Olle Lindström och Anders Sjölund (m) vari föreslås att riksd</w:t>
      </w:r>
      <w:r w:rsidRPr="00C9680B">
        <w:t>a</w:t>
      </w:r>
      <w:r w:rsidRPr="00C9680B">
        <w:t>gen fattar följande beslut:</w:t>
      </w:r>
    </w:p>
    <w:p w:rsidR="001C7BF9" w:rsidRPr="00C9680B" w:rsidRDefault="001C7BF9">
      <w:pPr>
        <w:pStyle w:val="Normaltindrag"/>
      </w:pPr>
      <w:r w:rsidRPr="00C9680B">
        <w:t xml:space="preserve">1. Riksdagen avslår förslaget om höjd dieselskatt. </w:t>
      </w:r>
    </w:p>
    <w:p w:rsidR="001C7BF9" w:rsidRPr="00C9680B" w:rsidRDefault="001C7BF9">
      <w:pPr>
        <w:pStyle w:val="Normaltindrag"/>
      </w:pPr>
      <w:r w:rsidRPr="00C9680B">
        <w:t>2. Riksdagen tillkännager för regeringen som sin mening vad i motionen anförs om sänkt di</w:t>
      </w:r>
      <w:r w:rsidRPr="00C9680B">
        <w:t>e</w:t>
      </w:r>
      <w:r w:rsidRPr="00C9680B">
        <w:t xml:space="preserve">selskatt. </w:t>
      </w:r>
    </w:p>
    <w:p w:rsidR="001C7BF9" w:rsidRPr="00C9680B" w:rsidRDefault="001C7BF9">
      <w:pPr>
        <w:pStyle w:val="Normaltindrag"/>
      </w:pPr>
      <w:r w:rsidRPr="00C9680B">
        <w:t xml:space="preserve">3. Riksdagen tillkännager för regeringen som sin mening vad i motionen anförs om sänkt dieselskatt för jord- och skogsbruk med 2:39 kr per liter. </w:t>
      </w:r>
    </w:p>
    <w:p w:rsidR="001C7BF9" w:rsidRPr="00C9680B" w:rsidRDefault="001C7BF9">
      <w:r w:rsidRPr="00C9680B">
        <w:t>2000/01:Sk321 av Lennart Daléus m.fl. (c) vari föreslås att riksdagen fattar följa</w:t>
      </w:r>
      <w:r w:rsidRPr="00C9680B">
        <w:t>n</w:t>
      </w:r>
      <w:r w:rsidRPr="00C9680B">
        <w:t>de beslut:</w:t>
      </w:r>
    </w:p>
    <w:p w:rsidR="001C7BF9" w:rsidRPr="00C9680B" w:rsidRDefault="001C7BF9">
      <w:pPr>
        <w:pStyle w:val="Normaltindrag"/>
      </w:pPr>
      <w:r w:rsidRPr="00C9680B">
        <w:t>1. Riksdagen tillkännager för regeringen som sin mening vad i motionen anförs om den framtida inrik</w:t>
      </w:r>
      <w:r w:rsidRPr="00C9680B">
        <w:t>t</w:t>
      </w:r>
      <w:r w:rsidRPr="00C9680B">
        <w:t xml:space="preserve">ningen av skattepolitiken. </w:t>
      </w:r>
    </w:p>
    <w:p w:rsidR="001C7BF9" w:rsidRPr="00C9680B" w:rsidRDefault="001C7BF9">
      <w:pPr>
        <w:pStyle w:val="Normaltindrag"/>
      </w:pPr>
      <w:r w:rsidRPr="00C9680B">
        <w:t>2. Riksdagen beslutar att för år 2001 höja grundavdraget till 15 000 kr i alla i</w:t>
      </w:r>
      <w:r w:rsidRPr="00C9680B">
        <w:t>n</w:t>
      </w:r>
      <w:r w:rsidRPr="00C9680B">
        <w:t xml:space="preserve">komstskikt i enlighet med vad i motionen anförs. </w:t>
      </w:r>
    </w:p>
    <w:p w:rsidR="001C7BF9" w:rsidRPr="00C9680B" w:rsidRDefault="001C7BF9">
      <w:pPr>
        <w:pStyle w:val="Normaltindrag"/>
      </w:pPr>
      <w:r w:rsidRPr="00C9680B">
        <w:t>3. Riksdagen beslutar om en skattereduktion på 5 400 kr för låga arbetsi</w:t>
      </w:r>
      <w:r w:rsidRPr="00C9680B">
        <w:t>n</w:t>
      </w:r>
      <w:r w:rsidRPr="00C9680B">
        <w:t>komster i enlighet med vad i m</w:t>
      </w:r>
      <w:r w:rsidRPr="00C9680B">
        <w:t>o</w:t>
      </w:r>
      <w:r w:rsidRPr="00C9680B">
        <w:t xml:space="preserve">tionen anförs. </w:t>
      </w:r>
    </w:p>
    <w:p w:rsidR="001C7BF9" w:rsidRPr="00C9680B" w:rsidRDefault="001C7BF9">
      <w:pPr>
        <w:pStyle w:val="Normaltindrag"/>
      </w:pPr>
      <w:r w:rsidRPr="00C9680B">
        <w:t>4. Riksdagen beslutar att avskaffa den tillfälliga skattereduktionen och a</w:t>
      </w:r>
      <w:r w:rsidRPr="00C9680B">
        <w:t>n</w:t>
      </w:r>
      <w:r w:rsidRPr="00C9680B">
        <w:t>vända medlen till en långsiktig lösning med en riktad skattereduktion för låga arbetsinkom</w:t>
      </w:r>
      <w:r w:rsidRPr="00C9680B">
        <w:t>s</w:t>
      </w:r>
      <w:r w:rsidRPr="00C9680B">
        <w:t xml:space="preserve">ter. </w:t>
      </w:r>
    </w:p>
    <w:p w:rsidR="001C7BF9" w:rsidRPr="00C9680B" w:rsidRDefault="001C7BF9">
      <w:pPr>
        <w:pStyle w:val="Normaltindrag"/>
      </w:pPr>
      <w:r w:rsidRPr="00C9680B">
        <w:t xml:space="preserve">5. Riksdagen beslutar att avvisa regeringens skattereduktion för delar av den allmänna pensionsavgiften i enlighet med vad i motionen anförs. </w:t>
      </w:r>
    </w:p>
    <w:p w:rsidR="001C7BF9" w:rsidRPr="00C9680B" w:rsidRDefault="001C7BF9">
      <w:pPr>
        <w:pStyle w:val="Normaltindrag"/>
      </w:pPr>
      <w:r w:rsidRPr="00C9680B">
        <w:t>6. Riksdagen beslutar att införa en avdragsrätt för styrkta barnomsorg</w:t>
      </w:r>
      <w:r w:rsidRPr="00C9680B">
        <w:t>s</w:t>
      </w:r>
      <w:r w:rsidRPr="00C9680B">
        <w:t>kostnader i enlighet med vad i m</w:t>
      </w:r>
      <w:r w:rsidRPr="00C9680B">
        <w:t>o</w:t>
      </w:r>
      <w:r w:rsidRPr="00C9680B">
        <w:t xml:space="preserve">tionen anförs. </w:t>
      </w:r>
    </w:p>
    <w:p w:rsidR="001C7BF9" w:rsidRPr="00C9680B" w:rsidRDefault="001C7BF9">
      <w:pPr>
        <w:pStyle w:val="Normaltindrag"/>
      </w:pPr>
      <w:r w:rsidRPr="00C9680B">
        <w:t>7. Riksdagen beslutar att höja reseavdraget till 20 kr per mil i enlighet med vad i motionen a</w:t>
      </w:r>
      <w:r w:rsidRPr="00C9680B">
        <w:t>n</w:t>
      </w:r>
      <w:r w:rsidRPr="00C9680B">
        <w:t xml:space="preserve">förs. </w:t>
      </w:r>
    </w:p>
    <w:p w:rsidR="001C7BF9" w:rsidRPr="00C9680B" w:rsidRDefault="001C7BF9">
      <w:pPr>
        <w:pStyle w:val="Normaltindrag"/>
      </w:pPr>
      <w:r w:rsidRPr="00C9680B">
        <w:t>8. Riksdagen beslutar att inkludera resor till och från barnomsorg i resea</w:t>
      </w:r>
      <w:r w:rsidRPr="00C9680B">
        <w:t>v</w:t>
      </w:r>
      <w:r w:rsidRPr="00C9680B">
        <w:t>draget i enlighet med vad i m</w:t>
      </w:r>
      <w:r w:rsidRPr="00C9680B">
        <w:t>o</w:t>
      </w:r>
      <w:r w:rsidRPr="00C9680B">
        <w:t xml:space="preserve">tionen anförs. </w:t>
      </w:r>
    </w:p>
    <w:p w:rsidR="001C7BF9" w:rsidRPr="00C9680B" w:rsidRDefault="001C7BF9">
      <w:pPr>
        <w:pStyle w:val="Normaltindrag"/>
      </w:pPr>
      <w:r w:rsidRPr="00C9680B">
        <w:t>11. Riksdagen beslutar att förlänga nuvarande frysning av taxeringsvärd</w:t>
      </w:r>
      <w:r w:rsidRPr="00C9680B">
        <w:t>e</w:t>
      </w:r>
      <w:r w:rsidRPr="00C9680B">
        <w:t xml:space="preserve">na för småhus i enlighet med vad i motionen anförs. </w:t>
      </w:r>
    </w:p>
    <w:p w:rsidR="001C7BF9" w:rsidRPr="00C9680B" w:rsidRDefault="001C7BF9">
      <w:pPr>
        <w:pStyle w:val="Normaltindrag"/>
      </w:pPr>
      <w:r w:rsidRPr="00C9680B">
        <w:t>12. Riksdagen beslutar att sänka skattesatsen från 1,5 till 1,2 % för småhus i e</w:t>
      </w:r>
      <w:r w:rsidRPr="00C9680B">
        <w:t>n</w:t>
      </w:r>
      <w:r w:rsidRPr="00C9680B">
        <w:t xml:space="preserve">lighet med vad i motionen anförs. </w:t>
      </w:r>
    </w:p>
    <w:p w:rsidR="001C7BF9" w:rsidRPr="00C9680B" w:rsidRDefault="001C7BF9">
      <w:pPr>
        <w:pStyle w:val="Normaltindrag"/>
      </w:pPr>
      <w:r w:rsidRPr="00C9680B">
        <w:t>15. Riksdagen beslutar att förlänga frysningen av taxeringsvärdena på b</w:t>
      </w:r>
      <w:r w:rsidRPr="00C9680B">
        <w:t>o</w:t>
      </w:r>
      <w:r w:rsidRPr="00C9680B">
        <w:t>stadsh</w:t>
      </w:r>
      <w:r w:rsidRPr="00C9680B">
        <w:t>y</w:t>
      </w:r>
      <w:r w:rsidRPr="00C9680B">
        <w:t xml:space="preserve">reshus i enlighet med vad i motionen anförs. </w:t>
      </w:r>
    </w:p>
    <w:p w:rsidR="001C7BF9" w:rsidRPr="00C9680B" w:rsidRDefault="001C7BF9">
      <w:pPr>
        <w:pStyle w:val="Normaltindrag"/>
      </w:pPr>
      <w:r w:rsidRPr="00C9680B">
        <w:t>16. Riksdagen beslutar att sänka skattesatsen till 1,1 % för bostadshyreshus i enlighet med vad i moti</w:t>
      </w:r>
      <w:r w:rsidRPr="00C9680B">
        <w:t>o</w:t>
      </w:r>
      <w:r w:rsidRPr="00C9680B">
        <w:t xml:space="preserve">nen anförs. </w:t>
      </w:r>
    </w:p>
    <w:p w:rsidR="001C7BF9" w:rsidRPr="00C9680B" w:rsidRDefault="001C7BF9">
      <w:pPr>
        <w:pStyle w:val="Normaltindrag"/>
      </w:pPr>
      <w:r w:rsidRPr="00C9680B">
        <w:t>17. Riksdagen beslutar att avskaffa sambeskattningen fr.o.m. år 2001 i e</w:t>
      </w:r>
      <w:r w:rsidRPr="00C9680B">
        <w:t>n</w:t>
      </w:r>
      <w:r w:rsidRPr="00C9680B">
        <w:t>li</w:t>
      </w:r>
      <w:r w:rsidRPr="00C9680B">
        <w:t>g</w:t>
      </w:r>
      <w:r w:rsidRPr="00C9680B">
        <w:t xml:space="preserve">het med vad i motionen anförs. </w:t>
      </w:r>
    </w:p>
    <w:p w:rsidR="001C7BF9" w:rsidRPr="00C9680B" w:rsidRDefault="001C7BF9">
      <w:pPr>
        <w:pStyle w:val="Normaltindrag"/>
      </w:pPr>
      <w:r w:rsidRPr="00C9680B">
        <w:t>18. Riksdagen beslutar att reduktionen av arbetsgivaravgifter skall ske med 10 procentenh</w:t>
      </w:r>
      <w:r w:rsidRPr="00C9680B">
        <w:t>e</w:t>
      </w:r>
      <w:r w:rsidRPr="00C9680B">
        <w:t xml:space="preserve">ter. </w:t>
      </w:r>
    </w:p>
    <w:p w:rsidR="001C7BF9" w:rsidRPr="00C9680B" w:rsidRDefault="001C7BF9">
      <w:pPr>
        <w:pStyle w:val="Normaltindrag"/>
      </w:pPr>
      <w:r w:rsidRPr="00C9680B">
        <w:t>21. Riksdagen beslutar om en restitution av jordbrukets vägtrafikavgifter och handelsgödselavgifter up</w:t>
      </w:r>
      <w:r w:rsidRPr="00C9680B">
        <w:t>p</w:t>
      </w:r>
      <w:r w:rsidRPr="00C9680B">
        <w:t xml:space="preserve">gående till 1,23 miljarder kronor. </w:t>
      </w:r>
    </w:p>
    <w:p w:rsidR="001C7BF9" w:rsidRPr="00C9680B" w:rsidRDefault="001C7BF9">
      <w:pPr>
        <w:pStyle w:val="Normaltindrag"/>
      </w:pPr>
      <w:r w:rsidRPr="00C9680B">
        <w:t>22. Riksdagen avslår den av regeringen föreslagna höjningen av diese</w:t>
      </w:r>
      <w:r w:rsidRPr="00C9680B">
        <w:t>l</w:t>
      </w:r>
      <w:r w:rsidRPr="00C9680B">
        <w:t>skatten i enlighet med vad i moti</w:t>
      </w:r>
      <w:r w:rsidRPr="00C9680B">
        <w:t>o</w:t>
      </w:r>
      <w:r w:rsidRPr="00C9680B">
        <w:t xml:space="preserve">nen anförs. </w:t>
      </w:r>
    </w:p>
    <w:p w:rsidR="001C7BF9" w:rsidRPr="00C9680B" w:rsidRDefault="001C7BF9">
      <w:pPr>
        <w:pStyle w:val="Normaltindrag"/>
      </w:pPr>
      <w:r w:rsidRPr="00C9680B">
        <w:t xml:space="preserve">23. Riksdagen beslutar om sänkt skatt på hushållsnära tjänster i enlighet med vad i motionen anförs. </w:t>
      </w:r>
    </w:p>
    <w:p w:rsidR="001C7BF9" w:rsidRPr="00C9680B" w:rsidRDefault="001C7BF9">
      <w:pPr>
        <w:pStyle w:val="Normaltindrag"/>
      </w:pPr>
      <w:r w:rsidRPr="00C9680B">
        <w:t>24. Riksdagen beslutar att införa ett nettostödsystem, befriat från inkoms</w:t>
      </w:r>
      <w:r w:rsidRPr="00C9680B">
        <w:t>t</w:t>
      </w:r>
      <w:r w:rsidRPr="00C9680B">
        <w:t xml:space="preserve">skatt och sociala avgifter för svensk sjöfart i enlighet med vad i motionen anförs. </w:t>
      </w:r>
    </w:p>
    <w:p w:rsidR="001C7BF9" w:rsidRPr="00C9680B" w:rsidRDefault="001C7BF9">
      <w:pPr>
        <w:pStyle w:val="Normaltindrag"/>
      </w:pPr>
      <w:r w:rsidRPr="00C9680B">
        <w:t>25. Riksdagen beslutar att sänka arbetsgivaravgiften för offentlig sektor med 0,7 % för att kompensera ett förlängt arbetsgivarinträde i sjukförsäkrin</w:t>
      </w:r>
      <w:r w:rsidRPr="00C9680B">
        <w:t>g</w:t>
      </w:r>
      <w:r w:rsidRPr="00C9680B">
        <w:t>en i enlighet med vad i motionen a</w:t>
      </w:r>
      <w:r w:rsidRPr="00C9680B">
        <w:t>n</w:t>
      </w:r>
      <w:r w:rsidRPr="00C9680B">
        <w:t xml:space="preserve">förs. </w:t>
      </w:r>
    </w:p>
    <w:p w:rsidR="001C7BF9" w:rsidRPr="00C9680B" w:rsidRDefault="001C7BF9">
      <w:pPr>
        <w:pStyle w:val="Normaltindrag"/>
      </w:pPr>
      <w:r w:rsidRPr="00C9680B">
        <w:t>27. Riksdagen beslutar att minska industrins nedsättning av koldioxid</w:t>
      </w:r>
      <w:r w:rsidRPr="00C9680B">
        <w:t>s</w:t>
      </w:r>
      <w:r w:rsidRPr="00C9680B">
        <w:t xml:space="preserve">katten till 25 procent i enlighet med vad i motionen anförs. </w:t>
      </w:r>
    </w:p>
    <w:p w:rsidR="001C7BF9" w:rsidRPr="00C9680B" w:rsidRDefault="001C7BF9">
      <w:pPr>
        <w:pStyle w:val="Normaltindrag"/>
      </w:pPr>
      <w:r w:rsidRPr="00C9680B">
        <w:t>28. Riksdagen beslutar att avvisa den av regeringen föreslagna höjningen av ko</w:t>
      </w:r>
      <w:r w:rsidRPr="00C9680B">
        <w:t>l</w:t>
      </w:r>
      <w:r w:rsidRPr="00C9680B">
        <w:t xml:space="preserve">dioxidskatten i enlighet med vad i motionen anförs. </w:t>
      </w:r>
    </w:p>
    <w:p w:rsidR="001C7BF9" w:rsidRPr="00C9680B" w:rsidRDefault="001C7BF9">
      <w:pPr>
        <w:pStyle w:val="Normaltindrag"/>
      </w:pPr>
      <w:r w:rsidRPr="00C9680B">
        <w:t>29. Riksdagen beslutar att en kväveoxidskatt skall tas ut i enlighet med vad i m</w:t>
      </w:r>
      <w:r w:rsidRPr="00C9680B">
        <w:t>o</w:t>
      </w:r>
      <w:r w:rsidRPr="00C9680B">
        <w:t xml:space="preserve">tionen anförs. </w:t>
      </w:r>
    </w:p>
    <w:p w:rsidR="001C7BF9" w:rsidRPr="00C9680B" w:rsidRDefault="001C7BF9">
      <w:pPr>
        <w:pStyle w:val="Normaltindrag"/>
      </w:pPr>
      <w:r w:rsidRPr="00C9680B">
        <w:t>30. Riksdagen beslutar att en skatt på förbränning av avfall skall tas ut i enlighet med vad i motionen a</w:t>
      </w:r>
      <w:r w:rsidRPr="00C9680B">
        <w:t>n</w:t>
      </w:r>
      <w:r w:rsidRPr="00C9680B">
        <w:t xml:space="preserve">förs. </w:t>
      </w:r>
    </w:p>
    <w:p w:rsidR="001C7BF9" w:rsidRPr="00C9680B" w:rsidRDefault="001C7BF9">
      <w:pPr>
        <w:pStyle w:val="Normaltindrag"/>
      </w:pPr>
      <w:r w:rsidRPr="00C9680B">
        <w:t>31. Riksdagen begär att regeringen lägger fram förslag om införande av mi</w:t>
      </w:r>
      <w:r w:rsidRPr="00C9680B">
        <w:t>l</w:t>
      </w:r>
      <w:r w:rsidRPr="00C9680B">
        <w:t xml:space="preserve">jöskatt på inrikes flyg. </w:t>
      </w:r>
    </w:p>
    <w:p w:rsidR="001C7BF9" w:rsidRPr="00C9680B" w:rsidRDefault="001C7BF9">
      <w:r w:rsidRPr="00C9680B">
        <w:t>2000/01:Sk322 av Kenneth Lantz m.fl. (kd) vari föreslås att riksdagen fattar följa</w:t>
      </w:r>
      <w:r w:rsidRPr="00C9680B">
        <w:t>n</w:t>
      </w:r>
      <w:r w:rsidRPr="00C9680B">
        <w:t>de beslut:</w:t>
      </w:r>
    </w:p>
    <w:p w:rsidR="001C7BF9" w:rsidRPr="00C9680B" w:rsidRDefault="001C7BF9">
      <w:pPr>
        <w:pStyle w:val="Normaltindrag"/>
      </w:pPr>
      <w:r w:rsidRPr="00C9680B">
        <w:t>3. Riksdagen tillkännager för regeringen som sin mening vad i motionen anförs om att fastighetsskatten endast skall beräknas på en tredjedel av mar</w:t>
      </w:r>
      <w:r w:rsidRPr="00C9680B">
        <w:t>k</w:t>
      </w:r>
      <w:r w:rsidRPr="00C9680B">
        <w:t xml:space="preserve">värdet ovanför ett taxeringsvärde på 150 000 kr från och med den 1 januari 2001. </w:t>
      </w:r>
    </w:p>
    <w:p w:rsidR="001C7BF9" w:rsidRPr="00C9680B" w:rsidRDefault="001C7BF9">
      <w:pPr>
        <w:pStyle w:val="Normaltindrag"/>
      </w:pPr>
      <w:r w:rsidRPr="00C9680B">
        <w:t>5. Riksdagen tillkännager för regeringen som sin mening vad i motionen anförs om att avskaffa samb</w:t>
      </w:r>
      <w:r w:rsidRPr="00C9680B">
        <w:t>e</w:t>
      </w:r>
      <w:r w:rsidRPr="00C9680B">
        <w:t xml:space="preserve">skattningen av förmögenhet. </w:t>
      </w:r>
    </w:p>
    <w:p w:rsidR="001C7BF9" w:rsidRPr="00C9680B" w:rsidRDefault="001C7BF9">
      <w:r w:rsidRPr="00C9680B">
        <w:t>2000/01:Sk323 av Alf Svensson m.fl. (kd) vari föreslås att riksdagen fattar följande beslut:</w:t>
      </w:r>
    </w:p>
    <w:p w:rsidR="001C7BF9" w:rsidRPr="00C9680B" w:rsidRDefault="001C7BF9">
      <w:pPr>
        <w:pStyle w:val="Normaltindrag"/>
      </w:pPr>
      <w:r w:rsidRPr="00C9680B">
        <w:t xml:space="preserve">1. Riksdagen godkänner beräkningen av statsbudgetens inkomster för år 2000 (tabellerna 1.2 och 12.1). </w:t>
      </w:r>
    </w:p>
    <w:p w:rsidR="001C7BF9" w:rsidRPr="00C9680B" w:rsidRDefault="001C7BF9">
      <w:pPr>
        <w:pStyle w:val="Normaltindrag"/>
      </w:pPr>
      <w:r w:rsidRPr="00C9680B">
        <w:t xml:space="preserve">2. Riksdagen tillkännager för regeringen som sin mening vad i motionen anförs om utgångspunkter för skattepolitiken. </w:t>
      </w:r>
    </w:p>
    <w:p w:rsidR="001C7BF9" w:rsidRPr="00C9680B" w:rsidRDefault="001C7BF9">
      <w:pPr>
        <w:pStyle w:val="Normaltindrag"/>
      </w:pPr>
      <w:r w:rsidRPr="00C9680B">
        <w:t xml:space="preserve">3. Riksdagen tillkännager för regeringen som sin mening vad i motionen anförs om skatternas betydelse för samhällsutvecklingen. </w:t>
      </w:r>
    </w:p>
    <w:p w:rsidR="001C7BF9" w:rsidRPr="00C9680B" w:rsidRDefault="001C7BF9">
      <w:pPr>
        <w:pStyle w:val="Normaltindrag"/>
      </w:pPr>
      <w:r w:rsidRPr="00C9680B">
        <w:t>4. Riksdagen tillkännager för regeringen som sin mening vad i motionen anförs om förutsättningarna för ekonomiskt oberoende och ett personligt ansvarstaga</w:t>
      </w:r>
      <w:r w:rsidRPr="00C9680B">
        <w:t>n</w:t>
      </w:r>
      <w:r w:rsidRPr="00C9680B">
        <w:t xml:space="preserve">de. </w:t>
      </w:r>
    </w:p>
    <w:p w:rsidR="001C7BF9" w:rsidRPr="00C9680B" w:rsidRDefault="001C7BF9">
      <w:pPr>
        <w:pStyle w:val="Normaltindrag"/>
      </w:pPr>
      <w:r w:rsidRPr="00C9680B">
        <w:t>5. Riksdagen tillkännager för regeringen som sin mening vad i motionen anförs om skattepolitiken i ett i</w:t>
      </w:r>
      <w:r w:rsidRPr="00C9680B">
        <w:t>n</w:t>
      </w:r>
      <w:r w:rsidRPr="00C9680B">
        <w:t xml:space="preserve">ternationellt perspektiv. </w:t>
      </w:r>
    </w:p>
    <w:p w:rsidR="001C7BF9" w:rsidRPr="00C9680B" w:rsidRDefault="001C7BF9">
      <w:pPr>
        <w:pStyle w:val="Normaltindrag"/>
      </w:pPr>
      <w:r w:rsidRPr="00C9680B">
        <w:t xml:space="preserve">6. Riksdagen tillkännager för regeringen som sin mening vad i motionen anförs om skattepolitiken inom EU. </w:t>
      </w:r>
    </w:p>
    <w:p w:rsidR="001C7BF9" w:rsidRPr="00C9680B" w:rsidRDefault="001C7BF9">
      <w:pPr>
        <w:pStyle w:val="Normaltindrag"/>
      </w:pPr>
      <w:r w:rsidRPr="00C9680B">
        <w:t xml:space="preserve">7. Riksdagen tillkännager för regeringen som sin mening vad i motionen anförs om ett skattesystem som inger förtroende. </w:t>
      </w:r>
    </w:p>
    <w:p w:rsidR="001C7BF9" w:rsidRPr="00C9680B" w:rsidRDefault="001C7BF9">
      <w:pPr>
        <w:pStyle w:val="Normaltindrag"/>
      </w:pPr>
      <w:r w:rsidRPr="00C9680B">
        <w:t xml:space="preserve">8. Riksdagen beslutar om ett höjt grundavdrag från år 2001 i enlighet med vad som anförs i motionen. </w:t>
      </w:r>
    </w:p>
    <w:p w:rsidR="001C7BF9" w:rsidRPr="00C9680B" w:rsidRDefault="001C7BF9">
      <w:pPr>
        <w:pStyle w:val="Normaltindrag"/>
      </w:pPr>
      <w:r w:rsidRPr="00C9680B">
        <w:t xml:space="preserve">9. Riksdagen avslår regeringens förslag om höjt grundavdrag. </w:t>
      </w:r>
    </w:p>
    <w:p w:rsidR="001C7BF9" w:rsidRPr="00C9680B" w:rsidRDefault="001C7BF9">
      <w:pPr>
        <w:pStyle w:val="Normaltindrag"/>
      </w:pPr>
      <w:r w:rsidRPr="00C9680B">
        <w:t>10. Riksdagen beslutar om en fördubblad skattereduktion för låginkoms</w:t>
      </w:r>
      <w:r w:rsidRPr="00C9680B">
        <w:t>t</w:t>
      </w:r>
      <w:r w:rsidRPr="00C9680B">
        <w:t>tagare i enlighet med vad som a</w:t>
      </w:r>
      <w:r w:rsidRPr="00C9680B">
        <w:t>n</w:t>
      </w:r>
      <w:r w:rsidRPr="00C9680B">
        <w:t xml:space="preserve">förs i motionen. </w:t>
      </w:r>
    </w:p>
    <w:p w:rsidR="001C7BF9" w:rsidRPr="00C9680B" w:rsidRDefault="001C7BF9">
      <w:pPr>
        <w:pStyle w:val="Normaltindrag"/>
      </w:pPr>
      <w:r w:rsidRPr="00C9680B">
        <w:t>11. Riksdagen beslutar om ett generellt förvärvsavdrag i enlighet med vad som anförs i m</w:t>
      </w:r>
      <w:r w:rsidRPr="00C9680B">
        <w:t>o</w:t>
      </w:r>
      <w:r w:rsidRPr="00C9680B">
        <w:t xml:space="preserve">tionen. </w:t>
      </w:r>
    </w:p>
    <w:p w:rsidR="001C7BF9" w:rsidRPr="00C9680B" w:rsidRDefault="001C7BF9">
      <w:pPr>
        <w:pStyle w:val="Normaltindrag"/>
      </w:pPr>
      <w:r w:rsidRPr="00C9680B">
        <w:t>12. Riksdagen beslutar att avskaffa den s.k. värnskatten i enlighet med vad som anförs i m</w:t>
      </w:r>
      <w:r w:rsidRPr="00C9680B">
        <w:t>o</w:t>
      </w:r>
      <w:r w:rsidRPr="00C9680B">
        <w:t xml:space="preserve">tionen. </w:t>
      </w:r>
    </w:p>
    <w:p w:rsidR="001C7BF9" w:rsidRPr="00C9680B" w:rsidRDefault="001C7BF9">
      <w:pPr>
        <w:pStyle w:val="Normaltindrag"/>
      </w:pPr>
      <w:r w:rsidRPr="00C9680B">
        <w:t>13. Riksdagen beslutar om en sänkt gräns för reseavdrag i enlighet med vad som anförs i m</w:t>
      </w:r>
      <w:r w:rsidRPr="00C9680B">
        <w:t>o</w:t>
      </w:r>
      <w:r w:rsidRPr="00C9680B">
        <w:t xml:space="preserve">tionen. </w:t>
      </w:r>
    </w:p>
    <w:p w:rsidR="001C7BF9" w:rsidRPr="00C9680B" w:rsidRDefault="001C7BF9">
      <w:pPr>
        <w:pStyle w:val="Normaltindrag"/>
      </w:pPr>
      <w:r w:rsidRPr="00C9680B">
        <w:t>14. Riksdagen beslutar om avdragsrätt för styrkta barnomsorgskostnader i enli</w:t>
      </w:r>
      <w:r w:rsidRPr="00C9680B">
        <w:t>g</w:t>
      </w:r>
      <w:r w:rsidRPr="00C9680B">
        <w:t xml:space="preserve">het med vad som anförs i motionen. </w:t>
      </w:r>
    </w:p>
    <w:p w:rsidR="001C7BF9" w:rsidRPr="00C9680B" w:rsidRDefault="001C7BF9">
      <w:pPr>
        <w:pStyle w:val="Normaltindrag"/>
      </w:pPr>
      <w:r w:rsidRPr="00C9680B">
        <w:t xml:space="preserve">15. Riksdagen beslutar om en skattereduktion för barnfamiljer i enlighet med vad som anförs i motionen. </w:t>
      </w:r>
    </w:p>
    <w:p w:rsidR="001C7BF9" w:rsidRPr="00C9680B" w:rsidRDefault="001C7BF9">
      <w:pPr>
        <w:pStyle w:val="Normaltindrag"/>
      </w:pPr>
      <w:r w:rsidRPr="00C9680B">
        <w:t>16. Riksdagen tillkännager för regeringen som sin mening vad i motionen a</w:t>
      </w:r>
      <w:r w:rsidRPr="00C9680B">
        <w:t>n</w:t>
      </w:r>
      <w:r w:rsidRPr="00C9680B">
        <w:t xml:space="preserve">förs om skatteförslag för trygghet i boendet. </w:t>
      </w:r>
    </w:p>
    <w:p w:rsidR="001C7BF9" w:rsidRPr="00C9680B" w:rsidRDefault="001C7BF9">
      <w:pPr>
        <w:pStyle w:val="Normaltindrag"/>
      </w:pPr>
      <w:r w:rsidRPr="00C9680B">
        <w:t>17. Riksdagen tillkännager för regeringen som sin mening vad i motionen anförs om en avvecklad fastighetsskatt till förmån för en kommunal fasti</w:t>
      </w:r>
      <w:r w:rsidRPr="00C9680B">
        <w:t>g</w:t>
      </w:r>
      <w:r w:rsidRPr="00C9680B">
        <w:t xml:space="preserve">hetsavgift. </w:t>
      </w:r>
    </w:p>
    <w:p w:rsidR="001C7BF9" w:rsidRPr="00C9680B" w:rsidRDefault="001C7BF9">
      <w:pPr>
        <w:pStyle w:val="Normaltindrag"/>
      </w:pPr>
      <w:r w:rsidRPr="00C9680B">
        <w:t xml:space="preserve">18. Riksdagen beslutar att sänka fastighetsskatten till 1,2 % i enlighet med vad som anförs i motionen. </w:t>
      </w:r>
    </w:p>
    <w:p w:rsidR="001C7BF9" w:rsidRPr="00C9680B" w:rsidRDefault="001C7BF9">
      <w:pPr>
        <w:pStyle w:val="Normaltindrag"/>
      </w:pPr>
      <w:r w:rsidRPr="00C9680B">
        <w:t xml:space="preserve">19. Riksdagen beslutar att fastighetsskatten enbart skall beräknas på en tredjedel av markvärdet ovanför ett taxeringsvärde på 150 000 kr i enlighet med vad som anförs i motionen. </w:t>
      </w:r>
    </w:p>
    <w:p w:rsidR="001C7BF9" w:rsidRPr="00C9680B" w:rsidRDefault="001C7BF9">
      <w:pPr>
        <w:pStyle w:val="Normaltindrag"/>
      </w:pPr>
      <w:r w:rsidRPr="00C9680B">
        <w:t>20. Riksdagen beslutar om en fortsatt frysning av taxeringsvärdena på fa</w:t>
      </w:r>
      <w:r w:rsidRPr="00C9680B">
        <w:t>s</w:t>
      </w:r>
      <w:r w:rsidRPr="00C9680B">
        <w:t>ti</w:t>
      </w:r>
      <w:r w:rsidRPr="00C9680B">
        <w:t>g</w:t>
      </w:r>
      <w:r w:rsidRPr="00C9680B">
        <w:t xml:space="preserve">heter i enlighet med vad som anförs i motionen. </w:t>
      </w:r>
    </w:p>
    <w:p w:rsidR="001C7BF9" w:rsidRPr="00C9680B" w:rsidRDefault="001C7BF9">
      <w:pPr>
        <w:pStyle w:val="Normaltindrag"/>
      </w:pPr>
      <w:r w:rsidRPr="00C9680B">
        <w:t>21. Riksdagen avslår regeringens förslag beträffande ändrade fastighet</w:t>
      </w:r>
      <w:r w:rsidRPr="00C9680B">
        <w:t>s</w:t>
      </w:r>
      <w:r w:rsidRPr="00C9680B">
        <w:t>skatten</w:t>
      </w:r>
      <w:r w:rsidRPr="00C9680B">
        <w:t>i</w:t>
      </w:r>
      <w:r w:rsidRPr="00C9680B">
        <w:t xml:space="preserve">våer. </w:t>
      </w:r>
    </w:p>
    <w:p w:rsidR="001C7BF9" w:rsidRPr="00C9680B" w:rsidRDefault="001C7BF9">
      <w:pPr>
        <w:pStyle w:val="Normaltindrag"/>
      </w:pPr>
      <w:r w:rsidRPr="00C9680B">
        <w:t>22. Riksdagen tillkännager för regeringen som sin mening vad i motionen anförs om sänkta arbetsgiva</w:t>
      </w:r>
      <w:r w:rsidRPr="00C9680B">
        <w:t>r</w:t>
      </w:r>
      <w:r w:rsidRPr="00C9680B">
        <w:t xml:space="preserve">avgifter. </w:t>
      </w:r>
    </w:p>
    <w:p w:rsidR="001C7BF9" w:rsidRPr="00C9680B" w:rsidRDefault="001C7BF9">
      <w:pPr>
        <w:pStyle w:val="Normaltindrag"/>
      </w:pPr>
      <w:r w:rsidRPr="00C9680B">
        <w:t>23. Riksdagen beslutar om en höjd sjukförsäkringsavgift med 0,18 pr</w:t>
      </w:r>
      <w:r w:rsidRPr="00C9680B">
        <w:t>o</w:t>
      </w:r>
      <w:r w:rsidRPr="00C9680B">
        <w:t>centenh</w:t>
      </w:r>
      <w:r w:rsidRPr="00C9680B">
        <w:t>e</w:t>
      </w:r>
      <w:r w:rsidRPr="00C9680B">
        <w:t xml:space="preserve">ter i enlighet med vad som anförs i motionen. </w:t>
      </w:r>
    </w:p>
    <w:p w:rsidR="001C7BF9" w:rsidRPr="00C9680B" w:rsidRDefault="001C7BF9">
      <w:pPr>
        <w:pStyle w:val="Normaltindrag"/>
      </w:pPr>
      <w:r w:rsidRPr="00C9680B">
        <w:t>24. Riksdagen avslår regeringens förslag om att sänka uttaget av sociala</w:t>
      </w:r>
      <w:r w:rsidRPr="00C9680B">
        <w:t>v</w:t>
      </w:r>
      <w:r w:rsidRPr="00C9680B">
        <w:t xml:space="preserve">gifter och allmän löneavgift med 0,1 procentenheter. </w:t>
      </w:r>
    </w:p>
    <w:p w:rsidR="001C7BF9" w:rsidRPr="00C9680B" w:rsidRDefault="001C7BF9">
      <w:pPr>
        <w:pStyle w:val="Normaltindrag"/>
      </w:pPr>
      <w:r w:rsidRPr="00C9680B">
        <w:t xml:space="preserve">25. Riksdagen beslutar om ett permanent riskkapitalavdrag i enlighet med vad som anförs i motionen. </w:t>
      </w:r>
    </w:p>
    <w:p w:rsidR="001C7BF9" w:rsidRPr="00C9680B" w:rsidRDefault="001C7BF9">
      <w:pPr>
        <w:pStyle w:val="Normaltindrag"/>
      </w:pPr>
      <w:r w:rsidRPr="00C9680B">
        <w:t>26. Riksdagen tillkännager för regeringen som sin mening vad i motionen anförs om att lyfta av jordbr</w:t>
      </w:r>
      <w:r w:rsidRPr="00C9680B">
        <w:t>u</w:t>
      </w:r>
      <w:r w:rsidRPr="00C9680B">
        <w:t xml:space="preserve">kets hela så kallade skatteryggsäck. </w:t>
      </w:r>
    </w:p>
    <w:p w:rsidR="001C7BF9" w:rsidRPr="00C9680B" w:rsidRDefault="001C7BF9">
      <w:pPr>
        <w:pStyle w:val="Normaltindrag"/>
      </w:pPr>
      <w:r w:rsidRPr="00C9680B">
        <w:t>27. Riksdagen beslutar om en sänkning av dieselskatten till 53 öre/liter (för jor</w:t>
      </w:r>
      <w:r w:rsidRPr="00C9680B">
        <w:t>d</w:t>
      </w:r>
      <w:r w:rsidRPr="00C9680B">
        <w:t xml:space="preserve">bruket) i enlighet med vad som anförs i motionen. </w:t>
      </w:r>
    </w:p>
    <w:p w:rsidR="001C7BF9" w:rsidRPr="00C9680B" w:rsidRDefault="001C7BF9">
      <w:pPr>
        <w:pStyle w:val="Normaltindrag"/>
      </w:pPr>
      <w:r w:rsidRPr="00C9680B">
        <w:t>28. Riksdagen tillkännager för regeringen som sin mening vad i motionen anförs om att kväveskatten på handelsgödsel återförs till jordbruksn</w:t>
      </w:r>
      <w:r w:rsidRPr="00C9680B">
        <w:t>ä</w:t>
      </w:r>
      <w:r w:rsidRPr="00C9680B">
        <w:t xml:space="preserve">ringen. </w:t>
      </w:r>
    </w:p>
    <w:p w:rsidR="001C7BF9" w:rsidRPr="00C9680B" w:rsidRDefault="001C7BF9">
      <w:pPr>
        <w:pStyle w:val="Normaltindrag"/>
      </w:pPr>
      <w:r w:rsidRPr="00C9680B">
        <w:t xml:space="preserve">29. Riksdagen beslutar om sänkt elskatt även för de mindre jordbruken i enlighet med vad som anförs i motionen. </w:t>
      </w:r>
    </w:p>
    <w:p w:rsidR="001C7BF9" w:rsidRPr="00C9680B" w:rsidRDefault="001C7BF9">
      <w:pPr>
        <w:pStyle w:val="Normaltindrag"/>
      </w:pPr>
      <w:r w:rsidRPr="00C9680B">
        <w:t xml:space="preserve">31. Riksdagen avslår regeringens förslag om en skattehöjning på diesel med 10 öre/liter i enlighet med vad som anförs i motionen. </w:t>
      </w:r>
    </w:p>
    <w:p w:rsidR="001C7BF9" w:rsidRPr="00C9680B" w:rsidRDefault="001C7BF9">
      <w:pPr>
        <w:pStyle w:val="Normaltindrag"/>
      </w:pPr>
      <w:r w:rsidRPr="00C9680B">
        <w:t>32. Riksdagen beslutar att sänka skatten på diesel med 25 öre/liter i enli</w:t>
      </w:r>
      <w:r w:rsidRPr="00C9680B">
        <w:t>g</w:t>
      </w:r>
      <w:r w:rsidRPr="00C9680B">
        <w:t>het med vad som anförs i moti</w:t>
      </w:r>
      <w:r w:rsidRPr="00C9680B">
        <w:t>o</w:t>
      </w:r>
      <w:r w:rsidRPr="00C9680B">
        <w:t xml:space="preserve">nen. </w:t>
      </w:r>
    </w:p>
    <w:p w:rsidR="001C7BF9" w:rsidRPr="00C9680B" w:rsidRDefault="001C7BF9">
      <w:pPr>
        <w:pStyle w:val="Normaltindrag"/>
      </w:pPr>
      <w:r w:rsidRPr="00C9680B">
        <w:t>33. Riksdagen tillkännager för regeringen som sin mening vad i motionen anförs om åtgärdsplan för ko</w:t>
      </w:r>
      <w:r w:rsidRPr="00C9680B">
        <w:t>n</w:t>
      </w:r>
      <w:r w:rsidRPr="00C9680B">
        <w:t xml:space="preserve">kurrensneutralitet för åkerinäringen. </w:t>
      </w:r>
    </w:p>
    <w:p w:rsidR="001C7BF9" w:rsidRPr="00C9680B" w:rsidRDefault="001C7BF9">
      <w:pPr>
        <w:pStyle w:val="Normaltindrag"/>
      </w:pPr>
      <w:r w:rsidRPr="00C9680B">
        <w:t>34. Riksdagen tillkännager för regeringen som sin mening vad i motionen anförs om ett särskilt skattea</w:t>
      </w:r>
      <w:r w:rsidRPr="00C9680B">
        <w:t>v</w:t>
      </w:r>
      <w:r w:rsidRPr="00C9680B">
        <w:t xml:space="preserve">drag för yrkesfiskare. </w:t>
      </w:r>
    </w:p>
    <w:p w:rsidR="001C7BF9" w:rsidRPr="00C9680B" w:rsidRDefault="001C7BF9">
      <w:pPr>
        <w:pStyle w:val="Normaltindrag"/>
      </w:pPr>
      <w:r w:rsidRPr="00C9680B">
        <w:t>35. Riksdagen beslutar att royalty på patenterade uppfinningar skall vara skattebefriade under två år i e</w:t>
      </w:r>
      <w:r w:rsidRPr="00C9680B">
        <w:t>n</w:t>
      </w:r>
      <w:r w:rsidRPr="00C9680B">
        <w:t xml:space="preserve">lighet med vad som anförs i motionen. </w:t>
      </w:r>
    </w:p>
    <w:p w:rsidR="001C7BF9" w:rsidRPr="00C9680B" w:rsidRDefault="001C7BF9">
      <w:pPr>
        <w:pStyle w:val="Normaltindrag"/>
      </w:pPr>
      <w:r w:rsidRPr="00C9680B">
        <w:t>36. Riksdagen beslutar att upphäva möjligheten till återköp av egna aktier i enli</w:t>
      </w:r>
      <w:r w:rsidRPr="00C9680B">
        <w:t>g</w:t>
      </w:r>
      <w:r w:rsidRPr="00C9680B">
        <w:t xml:space="preserve">het med vad som anförs i motionen. </w:t>
      </w:r>
    </w:p>
    <w:p w:rsidR="001C7BF9" w:rsidRPr="00C9680B" w:rsidRDefault="001C7BF9">
      <w:pPr>
        <w:pStyle w:val="Normaltindrag"/>
      </w:pPr>
      <w:r w:rsidRPr="00C9680B">
        <w:t xml:space="preserve">37. Riksdagen beslutar att höja bolagskatten till 30 procent i enlighet med vad som anförs i motionen. </w:t>
      </w:r>
    </w:p>
    <w:p w:rsidR="001C7BF9" w:rsidRPr="00C9680B" w:rsidRDefault="001C7BF9">
      <w:pPr>
        <w:pStyle w:val="Normaltindrag"/>
      </w:pPr>
      <w:r w:rsidRPr="00C9680B">
        <w:t>38. Riksdagen beslutar att införa en femtioprocentig skattereduktion för hushål</w:t>
      </w:r>
      <w:r w:rsidRPr="00C9680B">
        <w:t>l</w:t>
      </w:r>
      <w:r w:rsidRPr="00C9680B">
        <w:t xml:space="preserve">stjänster i enlighet med vad som anförs i motionen. </w:t>
      </w:r>
    </w:p>
    <w:p w:rsidR="001C7BF9" w:rsidRPr="00C9680B" w:rsidRDefault="001C7BF9">
      <w:pPr>
        <w:pStyle w:val="Normaltindrag"/>
      </w:pPr>
      <w:r w:rsidRPr="00C9680B">
        <w:t xml:space="preserve">39. Riksdagen beslutar att avveckla dubbelbeskattningen på utdelningen på aktier i enlighet med vad som anförs i motionen. </w:t>
      </w:r>
    </w:p>
    <w:p w:rsidR="001C7BF9" w:rsidRPr="00C9680B" w:rsidRDefault="001C7BF9">
      <w:pPr>
        <w:pStyle w:val="Normaltindrag"/>
      </w:pPr>
      <w:r w:rsidRPr="00C9680B">
        <w:t>40. Riksdagen beslutar att höja fribeloppet i förmögenhetsbeskattningen för sambeskattade par till 1 800 000 kr i enlighet med vad som anförs i m</w:t>
      </w:r>
      <w:r w:rsidRPr="00C9680B">
        <w:t>o</w:t>
      </w:r>
      <w:r w:rsidRPr="00C9680B">
        <w:t xml:space="preserve">tionen. </w:t>
      </w:r>
    </w:p>
    <w:p w:rsidR="001C7BF9" w:rsidRPr="00C9680B" w:rsidRDefault="001C7BF9">
      <w:pPr>
        <w:pStyle w:val="Normaltindrag"/>
      </w:pPr>
      <w:r w:rsidRPr="00C9680B">
        <w:t>41. Riksdagen tillkännager för regeringen som sin mening vad i motionen anförs om en avveckling av fö</w:t>
      </w:r>
      <w:r w:rsidRPr="00C9680B">
        <w:t>r</w:t>
      </w:r>
      <w:r w:rsidRPr="00C9680B">
        <w:t xml:space="preserve">mögenhetsskatten. </w:t>
      </w:r>
    </w:p>
    <w:p w:rsidR="001C7BF9" w:rsidRPr="00C9680B" w:rsidRDefault="001C7BF9">
      <w:pPr>
        <w:pStyle w:val="Normaltindrag"/>
      </w:pPr>
      <w:r w:rsidRPr="00C9680B">
        <w:t>42. Riksdagen avslår regeringens förslag om förändrade fribelopp i förm</w:t>
      </w:r>
      <w:r w:rsidRPr="00C9680B">
        <w:t>ö</w:t>
      </w:r>
      <w:r w:rsidRPr="00C9680B">
        <w:t>genhetsbeskattnin</w:t>
      </w:r>
      <w:r w:rsidRPr="00C9680B">
        <w:t>g</w:t>
      </w:r>
      <w:r w:rsidRPr="00C9680B">
        <w:t xml:space="preserve">en. </w:t>
      </w:r>
    </w:p>
    <w:p w:rsidR="001C7BF9" w:rsidRPr="00C9680B" w:rsidRDefault="001C7BF9">
      <w:pPr>
        <w:pStyle w:val="Normaltindrag"/>
      </w:pPr>
      <w:r w:rsidRPr="00C9680B">
        <w:t>43. Riksdagen beslutar om höjd avdragsrätt för pensionssparande i enlighet med vad som anförs i moti</w:t>
      </w:r>
      <w:r w:rsidRPr="00C9680B">
        <w:t>o</w:t>
      </w:r>
      <w:r w:rsidRPr="00C9680B">
        <w:t xml:space="preserve">nen. </w:t>
      </w:r>
    </w:p>
    <w:p w:rsidR="001C7BF9" w:rsidRPr="00C9680B" w:rsidRDefault="001C7BF9">
      <w:pPr>
        <w:pStyle w:val="Normaltindrag"/>
      </w:pPr>
      <w:r w:rsidRPr="00C9680B">
        <w:t>46. Riksdagen beslutar att slopa den särskilda löneskatt på bidrag som en arbetsgivare lämnar till en vinstandelsstiftelse i enlighet med vad som anförs i m</w:t>
      </w:r>
      <w:r w:rsidRPr="00C9680B">
        <w:t>o</w:t>
      </w:r>
      <w:r w:rsidRPr="00C9680B">
        <w:t xml:space="preserve">tionen. </w:t>
      </w:r>
    </w:p>
    <w:p w:rsidR="001C7BF9" w:rsidRPr="00C9680B" w:rsidRDefault="001C7BF9">
      <w:pPr>
        <w:pStyle w:val="Normaltindrag"/>
      </w:pPr>
      <w:r w:rsidRPr="00C9680B">
        <w:t>47. Riksdagen tillkännager för regeringen som sin mening vad som anförs i motionen om lindring i b</w:t>
      </w:r>
      <w:r w:rsidRPr="00C9680B">
        <w:t>e</w:t>
      </w:r>
      <w:r w:rsidRPr="00C9680B">
        <w:t xml:space="preserve">skattningen av personaloptioner. </w:t>
      </w:r>
    </w:p>
    <w:p w:rsidR="001C7BF9" w:rsidRPr="00C9680B" w:rsidRDefault="001C7BF9">
      <w:pPr>
        <w:pStyle w:val="Normaltindrag"/>
      </w:pPr>
      <w:r w:rsidRPr="00C9680B">
        <w:t xml:space="preserve">49. Riksdagen beslutar att avslå regeringens förslag om höjd energiskatt på el. </w:t>
      </w:r>
    </w:p>
    <w:p w:rsidR="001C7BF9" w:rsidRPr="00C9680B" w:rsidRDefault="001C7BF9">
      <w:pPr>
        <w:pStyle w:val="Normaltindrag"/>
      </w:pPr>
      <w:r w:rsidRPr="00C9680B">
        <w:t>51. Riksdagen beslutar om en ny trafikförsäkring och sänkt fordonsskatt i enli</w:t>
      </w:r>
      <w:r w:rsidRPr="00C9680B">
        <w:t>g</w:t>
      </w:r>
      <w:r w:rsidRPr="00C9680B">
        <w:t xml:space="preserve">het med vad som anförs i motionen. </w:t>
      </w:r>
    </w:p>
    <w:p w:rsidR="001C7BF9" w:rsidRPr="00C9680B" w:rsidRDefault="001C7BF9">
      <w:pPr>
        <w:pStyle w:val="Normaltindrag"/>
      </w:pPr>
      <w:r w:rsidRPr="00C9680B">
        <w:t>52. Riksdagen tillkännager för regeringen som sin mening vad i motionen anförs om en effektivare ska</w:t>
      </w:r>
      <w:r w:rsidRPr="00C9680B">
        <w:t>t</w:t>
      </w:r>
      <w:r w:rsidRPr="00C9680B">
        <w:t xml:space="preserve">teindrivning. </w:t>
      </w:r>
    </w:p>
    <w:p w:rsidR="001C7BF9" w:rsidRPr="00C9680B" w:rsidRDefault="001C7BF9">
      <w:pPr>
        <w:pStyle w:val="Normaltindrag"/>
      </w:pPr>
      <w:r w:rsidRPr="00C9680B">
        <w:t>53. Riksdagen beslutar att avvisa regeringens planerade begränsningsregel för fastighetsska</w:t>
      </w:r>
      <w:r w:rsidRPr="00C9680B">
        <w:t>t</w:t>
      </w:r>
      <w:r w:rsidRPr="00C9680B">
        <w:t xml:space="preserve">ten. </w:t>
      </w:r>
    </w:p>
    <w:p w:rsidR="001C7BF9" w:rsidRPr="00C9680B" w:rsidRDefault="001C7BF9">
      <w:pPr>
        <w:pStyle w:val="Normaltindrag"/>
      </w:pPr>
      <w:r w:rsidRPr="00C9680B">
        <w:t>54. Riksdagen beslutar att avveckla kompensationen för den allmänna pe</w:t>
      </w:r>
      <w:r w:rsidRPr="00C9680B">
        <w:t>n</w:t>
      </w:r>
      <w:r w:rsidRPr="00C9680B">
        <w:t xml:space="preserve">sionsavgiften i enlighet med vad som anförs i motionen. </w:t>
      </w:r>
    </w:p>
    <w:p w:rsidR="001C7BF9" w:rsidRPr="00C9680B" w:rsidRDefault="001C7BF9">
      <w:pPr>
        <w:pStyle w:val="Normaltindrag"/>
      </w:pPr>
      <w:r w:rsidRPr="00C9680B">
        <w:t>55. Riksdagen beslutar att avvisa regeringens förslag om utvidgad ko</w:t>
      </w:r>
      <w:r w:rsidRPr="00C9680B">
        <w:t>m</w:t>
      </w:r>
      <w:r w:rsidRPr="00C9680B">
        <w:t xml:space="preserve">pensation för den allmänna pensionsavgiften i enlighet med vad som anförs i motionen. </w:t>
      </w:r>
    </w:p>
    <w:p w:rsidR="001C7BF9" w:rsidRPr="00C9680B" w:rsidRDefault="001C7BF9">
      <w:r w:rsidRPr="00C9680B">
        <w:t>2000/01:Sk324 av Lars Leijonborg m.fl. (fp) vari föreslås att riksdagen fattar fö</w:t>
      </w:r>
      <w:r w:rsidRPr="00C9680B">
        <w:t>l</w:t>
      </w:r>
      <w:r w:rsidRPr="00C9680B">
        <w:t>jande beslut:</w:t>
      </w:r>
    </w:p>
    <w:p w:rsidR="001C7BF9" w:rsidRPr="00C9680B" w:rsidRDefault="001C7BF9">
      <w:pPr>
        <w:pStyle w:val="Normaltindrag"/>
      </w:pPr>
      <w:r w:rsidRPr="00C9680B">
        <w:t>1. Riksdagen tillkännager för regeringen som sin mening vad i motionen anförs om inriktningen av skatt</w:t>
      </w:r>
      <w:r w:rsidRPr="00C9680B">
        <w:t>e</w:t>
      </w:r>
      <w:r w:rsidRPr="00C9680B">
        <w:t xml:space="preserve">politiken. </w:t>
      </w:r>
    </w:p>
    <w:p w:rsidR="001C7BF9" w:rsidRPr="00C9680B" w:rsidRDefault="001C7BF9">
      <w:pPr>
        <w:pStyle w:val="Normaltindrag"/>
      </w:pPr>
      <w:r w:rsidRPr="00C9680B">
        <w:t xml:space="preserve">2. Riksdagen tillkännager för regeringen som sin mening vad i motionen anförs om avskaffad värnskatt. </w:t>
      </w:r>
    </w:p>
    <w:p w:rsidR="001C7BF9" w:rsidRPr="00C9680B" w:rsidRDefault="001C7BF9">
      <w:pPr>
        <w:pStyle w:val="Normaltindrag"/>
      </w:pPr>
      <w:r w:rsidRPr="00C9680B">
        <w:t>3. Riksdagen tillkännager för regeringen som sin mening vad i motionen anförs om höjd bry</w:t>
      </w:r>
      <w:r w:rsidRPr="00C9680B">
        <w:t>t</w:t>
      </w:r>
      <w:r w:rsidRPr="00C9680B">
        <w:t xml:space="preserve">punkt. </w:t>
      </w:r>
    </w:p>
    <w:p w:rsidR="001C7BF9" w:rsidRPr="00C9680B" w:rsidRDefault="001C7BF9">
      <w:pPr>
        <w:pStyle w:val="Normaltindrag"/>
      </w:pPr>
      <w:r w:rsidRPr="00C9680B">
        <w:t>4. Riksdagen tillkännager för regeringen som sin mening vad i motionen anförs om höjt gru</w:t>
      </w:r>
      <w:r w:rsidRPr="00C9680B">
        <w:t>n</w:t>
      </w:r>
      <w:r w:rsidRPr="00C9680B">
        <w:t xml:space="preserve">davdrag. </w:t>
      </w:r>
    </w:p>
    <w:p w:rsidR="001C7BF9" w:rsidRPr="00C9680B" w:rsidRDefault="001C7BF9">
      <w:pPr>
        <w:pStyle w:val="Normaltindrag"/>
      </w:pPr>
      <w:r w:rsidRPr="00C9680B">
        <w:t>5. Riksdagen tillkännager för regeringen som sin mening vad i motionen anförs om skatter</w:t>
      </w:r>
      <w:r w:rsidRPr="00C9680B">
        <w:t>e</w:t>
      </w:r>
      <w:r w:rsidRPr="00C9680B">
        <w:t xml:space="preserve">duktion. </w:t>
      </w:r>
    </w:p>
    <w:p w:rsidR="001C7BF9" w:rsidRPr="00C9680B" w:rsidRDefault="001C7BF9">
      <w:pPr>
        <w:pStyle w:val="Normaltindrag"/>
      </w:pPr>
      <w:r w:rsidRPr="00C9680B">
        <w:t xml:space="preserve">6. Riksdagen tillkännager för regeringen som sin mening vad i motionen anförs om reseavdrag och restid till barnomsorg. </w:t>
      </w:r>
    </w:p>
    <w:p w:rsidR="001C7BF9" w:rsidRPr="00C9680B" w:rsidRDefault="001C7BF9">
      <w:pPr>
        <w:pStyle w:val="Normaltindrag"/>
      </w:pPr>
      <w:r w:rsidRPr="00C9680B">
        <w:t>7. Riksdagen tillkännager för regeringen som sin mening vad i motionen anförs om sänkt skatt på hushål</w:t>
      </w:r>
      <w:r w:rsidRPr="00C9680B">
        <w:t>l</w:t>
      </w:r>
      <w:r w:rsidRPr="00C9680B">
        <w:t xml:space="preserve">snära tjänster. </w:t>
      </w:r>
    </w:p>
    <w:p w:rsidR="001C7BF9" w:rsidRPr="00C9680B" w:rsidRDefault="001C7BF9">
      <w:pPr>
        <w:pStyle w:val="Normaltindrag"/>
      </w:pPr>
      <w:r w:rsidRPr="00C9680B">
        <w:t xml:space="preserve">8. Riksdagen tillkännager för regeringen som sin mening vad i motionen anförs om sänkta sociala avgifter på vinstandelsstiftelser. </w:t>
      </w:r>
    </w:p>
    <w:p w:rsidR="001C7BF9" w:rsidRPr="00C9680B" w:rsidRDefault="001C7BF9">
      <w:pPr>
        <w:pStyle w:val="Normaltindrag"/>
      </w:pPr>
      <w:r w:rsidRPr="00C9680B">
        <w:t>10. Riksdagen tillkännager för regeringen som sin mening vad i motionen anförs om höjt avdrag för pe</w:t>
      </w:r>
      <w:r w:rsidRPr="00C9680B">
        <w:t>n</w:t>
      </w:r>
      <w:r w:rsidRPr="00C9680B">
        <w:t xml:space="preserve">sionssparande till 1,5 basbelopp. </w:t>
      </w:r>
    </w:p>
    <w:p w:rsidR="001C7BF9" w:rsidRPr="00C9680B" w:rsidRDefault="001C7BF9">
      <w:pPr>
        <w:pStyle w:val="Normaltindrag"/>
      </w:pPr>
      <w:r w:rsidRPr="00C9680B">
        <w:t>13. Riksdagen tillkännager för regeringen som sin mening vad i motionen anförs om fasti</w:t>
      </w:r>
      <w:r w:rsidRPr="00C9680B">
        <w:t>g</w:t>
      </w:r>
      <w:r w:rsidRPr="00C9680B">
        <w:t xml:space="preserve">hetsskatten. </w:t>
      </w:r>
    </w:p>
    <w:p w:rsidR="001C7BF9" w:rsidRPr="00C9680B" w:rsidRDefault="001C7BF9">
      <w:pPr>
        <w:pStyle w:val="Normaltindrag"/>
      </w:pPr>
      <w:r w:rsidRPr="00C9680B">
        <w:t>14. Riksdagen tillkännager för regeringen som sin mening vad i motionen anförs om förm</w:t>
      </w:r>
      <w:r w:rsidRPr="00C9680B">
        <w:t>ö</w:t>
      </w:r>
      <w:r w:rsidRPr="00C9680B">
        <w:t xml:space="preserve">genhetsskatten. </w:t>
      </w:r>
    </w:p>
    <w:p w:rsidR="001C7BF9" w:rsidRPr="00C9680B" w:rsidRDefault="001C7BF9">
      <w:pPr>
        <w:pStyle w:val="Normaltindrag"/>
      </w:pPr>
      <w:r w:rsidRPr="00C9680B">
        <w:t>18. Riksdagen tillkännager för regeringen som sin mening vad i motionen anförs om beskattning av f</w:t>
      </w:r>
      <w:r w:rsidRPr="00C9680B">
        <w:t>å</w:t>
      </w:r>
      <w:r w:rsidRPr="00C9680B">
        <w:t xml:space="preserve">mansbolag. </w:t>
      </w:r>
    </w:p>
    <w:p w:rsidR="001C7BF9" w:rsidRPr="00C9680B" w:rsidRDefault="001C7BF9">
      <w:pPr>
        <w:pStyle w:val="Normaltindrag"/>
      </w:pPr>
      <w:r w:rsidRPr="00C9680B">
        <w:t>22. Riksdagen tillkännager för regeringen som sin mening vad i motionen anförs om sänkt moms på böc</w:t>
      </w:r>
      <w:r w:rsidRPr="00C9680B">
        <w:t>k</w:t>
      </w:r>
      <w:r w:rsidRPr="00C9680B">
        <w:t xml:space="preserve">er. </w:t>
      </w:r>
    </w:p>
    <w:p w:rsidR="001C7BF9" w:rsidRPr="00C9680B" w:rsidRDefault="001C7BF9">
      <w:r w:rsidRPr="00C9680B">
        <w:t>2000/01:Sk620 av Ingvar Eriksson och Olle Lindström (m) vari föreslås att riksd</w:t>
      </w:r>
      <w:r w:rsidRPr="00C9680B">
        <w:t>a</w:t>
      </w:r>
      <w:r w:rsidRPr="00C9680B">
        <w:t>gen fattar följande beslut:</w:t>
      </w:r>
    </w:p>
    <w:p w:rsidR="001C7BF9" w:rsidRPr="00C9680B" w:rsidRDefault="001C7BF9">
      <w:pPr>
        <w:pStyle w:val="Normaltindrag"/>
      </w:pPr>
      <w:r w:rsidRPr="00C9680B">
        <w:t>4. Riksdagen beslutar avslå regeringens förslag i budgetpropositionen för år 2001 om ytterligare diese</w:t>
      </w:r>
      <w:r w:rsidRPr="00C9680B">
        <w:t>l</w:t>
      </w:r>
      <w:r w:rsidRPr="00C9680B">
        <w:t xml:space="preserve">skattehöjning från januari 2001. </w:t>
      </w:r>
    </w:p>
    <w:p w:rsidR="001C7BF9" w:rsidRPr="00C9680B" w:rsidRDefault="001C7BF9">
      <w:r w:rsidRPr="00C9680B">
        <w:t>2000/01:Sk621 av Bo Lundgren m.fl. (m) vari föreslås att riksdagen fattar följande beslut:</w:t>
      </w:r>
    </w:p>
    <w:p w:rsidR="001C7BF9" w:rsidRPr="00C9680B" w:rsidRDefault="001C7BF9">
      <w:pPr>
        <w:pStyle w:val="Normaltindrag"/>
      </w:pPr>
      <w:r w:rsidRPr="00C9680B">
        <w:t xml:space="preserve">1. Riksdagen beslutar att höjningar av taxeringsvärden inte får ligga till grund för uttag av fastighetsskatt i enlighet med vad som anförs i motionen. </w:t>
      </w:r>
    </w:p>
    <w:p w:rsidR="001C7BF9" w:rsidRPr="00C9680B" w:rsidRDefault="001C7BF9">
      <w:pPr>
        <w:pStyle w:val="Normaltindrag"/>
      </w:pPr>
      <w:r w:rsidRPr="00C9680B">
        <w:t xml:space="preserve">2. Riksdagen beslutar att fastighetsskatten för år 2001 skall utgå med 1,0 % för småhus och med 0,7 % för flerbostadsfastigheter. </w:t>
      </w:r>
    </w:p>
    <w:p w:rsidR="001C7BF9" w:rsidRPr="00C9680B" w:rsidRDefault="001C7BF9">
      <w:pPr>
        <w:pStyle w:val="Normaltindrag"/>
      </w:pPr>
      <w:r w:rsidRPr="00C9680B">
        <w:t>4. Riksdagen beslutar att endast halva markvärdet skall ingå som berä</w:t>
      </w:r>
      <w:r w:rsidRPr="00C9680B">
        <w:t>k</w:t>
      </w:r>
      <w:r w:rsidRPr="00C9680B">
        <w:t>ningsunderlag för fastighetsska</w:t>
      </w:r>
      <w:r w:rsidRPr="00C9680B">
        <w:t>t</w:t>
      </w:r>
      <w:r w:rsidRPr="00C9680B">
        <w:t xml:space="preserve">ten i enlighet med vad som anförs i motionen. </w:t>
      </w:r>
    </w:p>
    <w:p w:rsidR="001C7BF9" w:rsidRPr="00C9680B" w:rsidRDefault="001C7BF9">
      <w:pPr>
        <w:pStyle w:val="Normaltindrag"/>
      </w:pPr>
      <w:r w:rsidRPr="00C9680B">
        <w:t xml:space="preserve">6. Riksdagen beslutar att sambeskattning av makes/makas förmögenhet skall upphöra och att gränsen för skatteplikt höjs till 1,5 miljoner kronor inkomståret 2001. </w:t>
      </w:r>
    </w:p>
    <w:p w:rsidR="001C7BF9" w:rsidRPr="00C9680B" w:rsidRDefault="001C7BF9">
      <w:r w:rsidRPr="00C9680B">
        <w:t>2000/01:Sk1025 av Catharina Elmsäter-Svärd m.fl. (m) vari föreslås att rik</w:t>
      </w:r>
      <w:r w:rsidRPr="00C9680B">
        <w:t>s</w:t>
      </w:r>
      <w:r w:rsidRPr="00C9680B">
        <w:t>dagen fattar följa</w:t>
      </w:r>
      <w:r w:rsidRPr="00C9680B">
        <w:t>n</w:t>
      </w:r>
      <w:r w:rsidRPr="00C9680B">
        <w:t>de beslut:</w:t>
      </w:r>
    </w:p>
    <w:p w:rsidR="001C7BF9" w:rsidRPr="00C9680B" w:rsidRDefault="001C7BF9">
      <w:pPr>
        <w:pStyle w:val="Normaltindrag"/>
      </w:pPr>
      <w:r w:rsidRPr="00C9680B">
        <w:t xml:space="preserve">1. Riksdagen tillkännager för regeringen som sin mening vad i motionen anförs om sänkt skatt på bensin och diesel. </w:t>
      </w:r>
    </w:p>
    <w:p w:rsidR="001C7BF9" w:rsidRPr="00C9680B" w:rsidRDefault="001C7BF9">
      <w:r w:rsidRPr="00C9680B">
        <w:t>2000/01:Sk1028 av Carl Fredrik Graf m.fl. (m) vari föreslås att riksdagen fattar följande beslut:</w:t>
      </w:r>
    </w:p>
    <w:p w:rsidR="001C7BF9" w:rsidRPr="00C9680B" w:rsidRDefault="001C7BF9">
      <w:pPr>
        <w:pStyle w:val="Normaltindrag"/>
      </w:pPr>
      <w:r w:rsidRPr="00C9680B">
        <w:t xml:space="preserve">3. Riksdagen beslutar avslå regeringens förslag till lag om ändring i lagen (1994:1776) om skatt på energi. </w:t>
      </w:r>
    </w:p>
    <w:p w:rsidR="001C7BF9" w:rsidRPr="00C9680B" w:rsidRDefault="001C7BF9">
      <w:pPr>
        <w:pStyle w:val="Normaltindrag"/>
      </w:pPr>
      <w:r w:rsidRPr="00C9680B">
        <w:t xml:space="preserve">4. Riksdagen beslutar sänka energiskatten med åtta procent på el och bränsle för uppvärmning fr.o.m. den 1 januari 2001. </w:t>
      </w:r>
    </w:p>
    <w:p w:rsidR="001C7BF9" w:rsidRPr="00C9680B" w:rsidRDefault="001C7BF9">
      <w:pPr>
        <w:pStyle w:val="Normaltindrag"/>
      </w:pPr>
      <w:r w:rsidRPr="00C9680B">
        <w:t xml:space="preserve">5. Riksdagen beslutar att sänka skatten på kärnkraftsel med 0,5 öre per kWh fr.o.m. den 1 januari 2001. </w:t>
      </w:r>
    </w:p>
    <w:p w:rsidR="001C7BF9" w:rsidRPr="00C9680B" w:rsidRDefault="001C7BF9">
      <w:pPr>
        <w:pStyle w:val="Normaltindrag"/>
      </w:pPr>
      <w:r w:rsidRPr="00C9680B">
        <w:t xml:space="preserve">6. Riksdagen beslutar övergå från effektskatt till skatt på producerad energi vid kärnkraftverk fr.o.m. den 1 januari 2001. </w:t>
      </w:r>
    </w:p>
    <w:p w:rsidR="001C7BF9" w:rsidRPr="00C9680B" w:rsidRDefault="001C7BF9">
      <w:pPr>
        <w:pStyle w:val="Normaltindrag"/>
      </w:pPr>
      <w:r w:rsidRPr="00C9680B">
        <w:t xml:space="preserve">9. Riksdagen beslutar att sänka skatten på diesel för arbetsredskap i jord- och skogsbruk samt för entreprenadmaskiner till 53 öre per liter fr.o.m. den 1 januari 2001. </w:t>
      </w:r>
    </w:p>
    <w:p w:rsidR="001C7BF9" w:rsidRPr="00C9680B" w:rsidRDefault="001C7BF9">
      <w:pPr>
        <w:pStyle w:val="Normaltindrag"/>
      </w:pPr>
      <w:r w:rsidRPr="00C9680B">
        <w:t xml:space="preserve">10. Riksdagen beslutar att avskaffa kväveavgiften på handelsgödsel fr.o.m. den 1 januari 2001. </w:t>
      </w:r>
    </w:p>
    <w:p w:rsidR="001C7BF9" w:rsidRPr="00C9680B" w:rsidRDefault="001C7BF9">
      <w:pPr>
        <w:pStyle w:val="Normaltindrag"/>
      </w:pPr>
      <w:r w:rsidRPr="00C9680B">
        <w:t xml:space="preserve">11. Riksdagen beslutar att sänka bensinskatten med 56 öre per liter (70 öre per liter inklusive moms) fr.o.m. den 1 januari 2001. </w:t>
      </w:r>
    </w:p>
    <w:p w:rsidR="001C7BF9" w:rsidRPr="00C9680B" w:rsidRDefault="001C7BF9">
      <w:pPr>
        <w:pStyle w:val="Normaltindrag"/>
      </w:pPr>
      <w:r w:rsidRPr="00C9680B">
        <w:t xml:space="preserve">12. Riksdagen beslutar att sänka skatten på diesel med 56 öre per liter (70 öre per liter inklusive moms), i jämförelse med regeringens förslag, fr.o.m. den 1 januari 2001. </w:t>
      </w:r>
    </w:p>
    <w:p w:rsidR="001C7BF9" w:rsidRPr="00C9680B" w:rsidRDefault="001C7BF9">
      <w:pPr>
        <w:pStyle w:val="Normaltindrag"/>
      </w:pPr>
      <w:r w:rsidRPr="00C9680B">
        <w:t xml:space="preserve">13. Riksdagen beslutar att sänka alkoholskatten fr.o.m. med den 1 januari 2001. </w:t>
      </w:r>
    </w:p>
    <w:p w:rsidR="001C7BF9" w:rsidRPr="00C9680B" w:rsidRDefault="001C7BF9">
      <w:pPr>
        <w:pStyle w:val="Normaltindrag"/>
      </w:pPr>
      <w:r w:rsidRPr="00C9680B">
        <w:t>14. Riksdagen beslutar att nya regler för privat införsel av alkohol och t</w:t>
      </w:r>
      <w:r w:rsidRPr="00C9680B">
        <w:t>o</w:t>
      </w:r>
      <w:r w:rsidRPr="00C9680B">
        <w:t xml:space="preserve">bak från andra medlemsländer i EU skall gälla fr.o.m. den 1 januari 2001. </w:t>
      </w:r>
    </w:p>
    <w:p w:rsidR="001C7BF9" w:rsidRPr="00C9680B" w:rsidRDefault="001C7BF9">
      <w:pPr>
        <w:pStyle w:val="Normaltindrag"/>
      </w:pPr>
      <w:r w:rsidRPr="00C9680B">
        <w:t>15. Riksdagen beslutar att nya regler för privat införsel av alkohol och t</w:t>
      </w:r>
      <w:r w:rsidRPr="00C9680B">
        <w:t>o</w:t>
      </w:r>
      <w:r w:rsidRPr="00C9680B">
        <w:t xml:space="preserve">bak från andra medlemsländer i EU skall gälla med stegvis införande. </w:t>
      </w:r>
    </w:p>
    <w:p w:rsidR="001C7BF9" w:rsidRPr="00C9680B" w:rsidRDefault="001C7BF9">
      <w:r w:rsidRPr="00C9680B">
        <w:t>2000/01:Sk1029 av Christel Anderberg (m) vari föreslås att riksdagen fattar följa</w:t>
      </w:r>
      <w:r w:rsidRPr="00C9680B">
        <w:t>n</w:t>
      </w:r>
      <w:r w:rsidRPr="00C9680B">
        <w:t>de beslut:</w:t>
      </w:r>
    </w:p>
    <w:p w:rsidR="001C7BF9" w:rsidRPr="00C9680B" w:rsidRDefault="001C7BF9">
      <w:pPr>
        <w:pStyle w:val="Normaltindrag"/>
      </w:pPr>
      <w:r w:rsidRPr="00C9680B">
        <w:t>2. Riksdagen tillkännager för regeringen som sin mening vad i motionen anförts om höjd di</w:t>
      </w:r>
      <w:r w:rsidRPr="00C9680B">
        <w:t>e</w:t>
      </w:r>
      <w:r w:rsidRPr="00C9680B">
        <w:t xml:space="preserve">selskatt. </w:t>
      </w:r>
    </w:p>
    <w:p w:rsidR="001C7BF9" w:rsidRPr="00C9680B" w:rsidRDefault="001C7BF9">
      <w:r w:rsidRPr="00C9680B">
        <w:t>2000/01:K398 av Lars Leijonborg m.fl. (fp) vari föreslås att riksdagen fattar följa</w:t>
      </w:r>
      <w:r w:rsidRPr="00C9680B">
        <w:t>n</w:t>
      </w:r>
      <w:r w:rsidRPr="00C9680B">
        <w:t>de beslut:</w:t>
      </w:r>
    </w:p>
    <w:p w:rsidR="001C7BF9" w:rsidRPr="00C9680B" w:rsidRDefault="001C7BF9">
      <w:pPr>
        <w:pStyle w:val="Normaltindrag"/>
      </w:pPr>
      <w:r w:rsidRPr="00C9680B">
        <w:t xml:space="preserve">11. Riksdagen tillkännager för regeringen som sin mening vad i motionen anförs om fastställandet av en tågordning för Sveriges närmande och inträde i EMU. </w:t>
      </w:r>
    </w:p>
    <w:p w:rsidR="001C7BF9" w:rsidRPr="00C9680B" w:rsidRDefault="001C7BF9">
      <w:r w:rsidRPr="00C9680B">
        <w:t>2000/01:U510 av Marianne Andersson m.fl. (c) vari föreslås att riksdagen fattar följande beslut:</w:t>
      </w:r>
    </w:p>
    <w:p w:rsidR="001C7BF9" w:rsidRPr="00C9680B" w:rsidRDefault="001C7BF9">
      <w:pPr>
        <w:pStyle w:val="Normaltindrag"/>
      </w:pPr>
      <w:r w:rsidRPr="00C9680B">
        <w:t>15. Riksdagen tillkännager för regeringen som sin mening vad i motionen a</w:t>
      </w:r>
      <w:r w:rsidRPr="00C9680B">
        <w:t>n</w:t>
      </w:r>
      <w:r w:rsidRPr="00C9680B">
        <w:t xml:space="preserve">förs om Sveriges relationer till EMU. </w:t>
      </w:r>
    </w:p>
    <w:p w:rsidR="001C7BF9" w:rsidRPr="00C9680B" w:rsidRDefault="001C7BF9">
      <w:pPr>
        <w:pStyle w:val="Normaltindrag"/>
      </w:pPr>
      <w:r w:rsidRPr="00C9680B">
        <w:t>16. Riksdagen tillkännager för regeringen som sin mening vad i motionen a</w:t>
      </w:r>
      <w:r w:rsidRPr="00C9680B">
        <w:t>n</w:t>
      </w:r>
      <w:r w:rsidRPr="00C9680B">
        <w:t xml:space="preserve">förs om folkomröstning i EMU-frågan. </w:t>
      </w:r>
    </w:p>
    <w:p w:rsidR="001C7BF9" w:rsidRPr="00C9680B" w:rsidRDefault="001C7BF9">
      <w:r w:rsidRPr="00C9680B">
        <w:t>2000/01:U513 av Bo Lundgren m.fl. (m) vari föreslås att riksdagen fattar följande beslut:</w:t>
      </w:r>
    </w:p>
    <w:p w:rsidR="001C7BF9" w:rsidRPr="00C9680B" w:rsidRDefault="001C7BF9">
      <w:pPr>
        <w:pStyle w:val="Normaltindrag"/>
      </w:pPr>
      <w:r w:rsidRPr="00C9680B">
        <w:t xml:space="preserve">4. Riksdagen tillkännager för regeringen som sin mening vad i motionen anförs om att Sverige bör söka delta i valutasamarbetet den 1 januari 2002. </w:t>
      </w:r>
    </w:p>
    <w:p w:rsidR="001C7BF9" w:rsidRPr="00C9680B" w:rsidRDefault="001C7BF9">
      <w:r w:rsidRPr="00C9680B">
        <w:t>2000/01:Sf308 av Lars Leijonborg m.fl. (fp) vari föreslås att riksdagen fattar följande beslut:</w:t>
      </w:r>
    </w:p>
    <w:p w:rsidR="001C7BF9" w:rsidRPr="00C9680B" w:rsidRDefault="001C7BF9">
      <w:pPr>
        <w:pStyle w:val="Normaltindrag"/>
      </w:pPr>
      <w:r w:rsidRPr="00C9680B">
        <w:t xml:space="preserve">1. Riksdagen tillkännager för regeringen som sin mening vad i motionen anförs om ett utökat barnstöd i form av skattereduktion. </w:t>
      </w:r>
    </w:p>
    <w:p w:rsidR="001C7BF9" w:rsidRPr="00C9680B" w:rsidRDefault="001C7BF9">
      <w:pPr>
        <w:pStyle w:val="Normaltindrag"/>
      </w:pPr>
      <w:r w:rsidRPr="00C9680B">
        <w:t>10. Riksdagen tillkännager för regeringen som sin mening vad i motionen a</w:t>
      </w:r>
      <w:r w:rsidRPr="00C9680B">
        <w:t>n</w:t>
      </w:r>
      <w:r w:rsidRPr="00C9680B">
        <w:t xml:space="preserve">förs om skattereduktion för hushållsnära tjänster. </w:t>
      </w:r>
    </w:p>
    <w:p w:rsidR="001C7BF9" w:rsidRPr="00C9680B" w:rsidRDefault="001C7BF9">
      <w:r w:rsidRPr="00C9680B">
        <w:t>2000/01:Ub227 av Lars Leijonborg m.fl. (fp) vari föreslås att riksdagen fattar fö</w:t>
      </w:r>
      <w:r w:rsidRPr="00C9680B">
        <w:t>l</w:t>
      </w:r>
      <w:r w:rsidRPr="00C9680B">
        <w:t>jande beslut:</w:t>
      </w:r>
    </w:p>
    <w:p w:rsidR="001C7BF9" w:rsidRPr="00C9680B" w:rsidRDefault="001C7BF9">
      <w:pPr>
        <w:pStyle w:val="Normaltindrag"/>
      </w:pPr>
      <w:r w:rsidRPr="00C9680B">
        <w:t xml:space="preserve">7. Riksdagen tillkännager för regeringen som sin mening vad i motionen anförs om en sänkt mervärdeskatt på böcker. </w:t>
      </w:r>
    </w:p>
    <w:p w:rsidR="001C7BF9" w:rsidRPr="00C9680B" w:rsidRDefault="001C7BF9">
      <w:r w:rsidRPr="00C9680B">
        <w:t>2000/01:T212 av Johnny Gylling m.fl. (kd) vari föreslås att riksdagen fattar fö</w:t>
      </w:r>
      <w:r w:rsidRPr="00C9680B">
        <w:t>l</w:t>
      </w:r>
      <w:r w:rsidRPr="00C9680B">
        <w:t>jande beslut:</w:t>
      </w:r>
    </w:p>
    <w:p w:rsidR="001C7BF9" w:rsidRPr="00C9680B" w:rsidRDefault="001C7BF9">
      <w:pPr>
        <w:pStyle w:val="Normaltindrag"/>
      </w:pPr>
      <w:r w:rsidRPr="00C9680B">
        <w:t xml:space="preserve">8. Riksdagen beslutar att avslå regeringens förslag om höjd dieselskatt. </w:t>
      </w:r>
    </w:p>
    <w:p w:rsidR="001C7BF9" w:rsidRPr="00C9680B" w:rsidRDefault="001C7BF9">
      <w:r w:rsidRPr="00C9680B">
        <w:t>2000/01:MJ243 av Alf Svensson m.fl. (kd) vari föreslås att riksdagen fattar följa</w:t>
      </w:r>
      <w:r w:rsidRPr="00C9680B">
        <w:t>n</w:t>
      </w:r>
      <w:r w:rsidRPr="00C9680B">
        <w:t>de beslut:</w:t>
      </w:r>
    </w:p>
    <w:p w:rsidR="001C7BF9" w:rsidRPr="00C9680B" w:rsidRDefault="001C7BF9">
      <w:pPr>
        <w:pStyle w:val="Normaltindrag"/>
      </w:pPr>
      <w:r w:rsidRPr="00C9680B">
        <w:t>16. Riksdagen tillkännager för regeringen som sin mening vad i motionen a</w:t>
      </w:r>
      <w:r w:rsidRPr="00C9680B">
        <w:t>n</w:t>
      </w:r>
      <w:r w:rsidRPr="00C9680B">
        <w:t xml:space="preserve">förts om skattevillkoren för svenska fiskare. </w:t>
      </w:r>
    </w:p>
    <w:p w:rsidR="001C7BF9" w:rsidRPr="00C9680B" w:rsidRDefault="001C7BF9">
      <w:r w:rsidRPr="00C9680B">
        <w:t>2000/01:MJ244 av Ingvar Eriksson m.fl. (m) vari föreslås att riksdagen fattar fö</w:t>
      </w:r>
      <w:r w:rsidRPr="00C9680B">
        <w:t>l</w:t>
      </w:r>
      <w:r w:rsidRPr="00C9680B">
        <w:t>jande beslut:</w:t>
      </w:r>
    </w:p>
    <w:p w:rsidR="001C7BF9" w:rsidRPr="00C9680B" w:rsidRDefault="001C7BF9">
      <w:pPr>
        <w:pStyle w:val="Normaltindrag"/>
      </w:pPr>
      <w:r w:rsidRPr="00C9680B">
        <w:t>5. Riksdagen tillkännager för regeringen som sin mening vad i motionen anförs om att sänka dieselska</w:t>
      </w:r>
      <w:r w:rsidRPr="00C9680B">
        <w:t>t</w:t>
      </w:r>
      <w:r w:rsidRPr="00C9680B">
        <w:t xml:space="preserve">ten. </w:t>
      </w:r>
    </w:p>
    <w:p w:rsidR="001C7BF9" w:rsidRPr="00C9680B" w:rsidRDefault="001C7BF9">
      <w:r w:rsidRPr="00C9680B">
        <w:t>2000/01:MJ256 av Ingvar Eriksson m.fl. (m) vari föreslås att riksdagen fattar fö</w:t>
      </w:r>
      <w:r w:rsidRPr="00C9680B">
        <w:t>l</w:t>
      </w:r>
      <w:r w:rsidRPr="00C9680B">
        <w:t>jande beslut:</w:t>
      </w:r>
    </w:p>
    <w:p w:rsidR="001C7BF9" w:rsidRPr="00C9680B" w:rsidRDefault="001C7BF9">
      <w:pPr>
        <w:pStyle w:val="Normaltindrag"/>
      </w:pPr>
      <w:r w:rsidRPr="00C9680B">
        <w:t>4. Riksdagen tillkännager för regeringen som sin mening vad i motionen anförs om sänkning av diese</w:t>
      </w:r>
      <w:r w:rsidRPr="00C9680B">
        <w:t>l</w:t>
      </w:r>
      <w:r w:rsidRPr="00C9680B">
        <w:t xml:space="preserve">skatten. </w:t>
      </w:r>
    </w:p>
    <w:p w:rsidR="001C7BF9" w:rsidRPr="00C9680B" w:rsidRDefault="001C7BF9">
      <w:r w:rsidRPr="00C9680B">
        <w:t>2000/01:MJ418 av Åsa Torstensson m.fl. (c) vari föreslås att riksdagen fattar fö</w:t>
      </w:r>
      <w:r w:rsidRPr="00C9680B">
        <w:t>l</w:t>
      </w:r>
      <w:r w:rsidRPr="00C9680B">
        <w:t>jande beslut:</w:t>
      </w:r>
    </w:p>
    <w:p w:rsidR="001C7BF9" w:rsidRPr="00C9680B" w:rsidRDefault="001C7BF9">
      <w:pPr>
        <w:pStyle w:val="Normaltindrag"/>
      </w:pPr>
      <w:r w:rsidRPr="00C9680B">
        <w:t>9. Riksdagen tillkännager för regeringen som sin mening vad i motionen anförs om yrkesfisk</w:t>
      </w:r>
      <w:r w:rsidRPr="00C9680B">
        <w:t>e</w:t>
      </w:r>
      <w:r w:rsidRPr="00C9680B">
        <w:t xml:space="preserve">avdrag. </w:t>
      </w:r>
    </w:p>
    <w:p w:rsidR="001C7BF9" w:rsidRPr="00C9680B" w:rsidRDefault="001C7BF9">
      <w:r w:rsidRPr="00C9680B">
        <w:t>2000/01:N324 av Alf Svensson m.fl. (kd) vari föreslås att riksdagen fattar följande beslut:</w:t>
      </w:r>
    </w:p>
    <w:p w:rsidR="001C7BF9" w:rsidRPr="00C9680B" w:rsidRDefault="001C7BF9">
      <w:pPr>
        <w:pStyle w:val="Normaltindrag"/>
      </w:pPr>
      <w:r w:rsidRPr="00C9680B">
        <w:t>6. Riksdagen begär att regeringen lägger fram förslag om sänkta skatter och a</w:t>
      </w:r>
      <w:r w:rsidRPr="00C9680B">
        <w:t>v</w:t>
      </w:r>
      <w:r w:rsidRPr="00C9680B">
        <w:t xml:space="preserve">gifter i enlighet med vad som anförs i motionen. </w:t>
      </w:r>
    </w:p>
    <w:p w:rsidR="001C7BF9" w:rsidRPr="00C9680B" w:rsidRDefault="001C7BF9">
      <w:r w:rsidRPr="00C9680B">
        <w:t>2000/01:N385 av Bo Lundgren m.fl. (m) vari föreslås att riksdagen fattar följande beslut:</w:t>
      </w:r>
    </w:p>
    <w:p w:rsidR="001C7BF9" w:rsidRPr="00C9680B" w:rsidRDefault="001C7BF9">
      <w:pPr>
        <w:pStyle w:val="Normaltindrag"/>
      </w:pPr>
      <w:r w:rsidRPr="00C9680B">
        <w:t>6. Riksdagen beslutar att sänka skatten på bensin och diesel med 70 öre i</w:t>
      </w:r>
      <w:r w:rsidRPr="00C9680B">
        <w:t>n</w:t>
      </w:r>
      <w:r w:rsidRPr="00C9680B">
        <w:t>klusive moms fr.o.m. den 1 j</w:t>
      </w:r>
      <w:r w:rsidRPr="00C9680B">
        <w:t>a</w:t>
      </w:r>
      <w:r w:rsidRPr="00C9680B">
        <w:t xml:space="preserve">nuari 2001. </w:t>
      </w:r>
    </w:p>
    <w:p w:rsidR="001C7BF9" w:rsidRPr="00C9680B" w:rsidRDefault="001C7BF9">
      <w:pPr>
        <w:pStyle w:val="Normaltindrag"/>
      </w:pPr>
      <w:r w:rsidRPr="00C9680B">
        <w:t xml:space="preserve">7. Riksdagen beslutar att höja reseavdragen till nivån 20 kr per mil fr.o.m. den 1 januari 2001. </w:t>
      </w:r>
    </w:p>
    <w:p w:rsidR="001C7BF9" w:rsidRPr="00C9680B" w:rsidRDefault="001C7BF9">
      <w:pPr>
        <w:pStyle w:val="Normaltindrag"/>
      </w:pPr>
      <w:r w:rsidRPr="00C9680B">
        <w:t>8. Riksdagen tillkännager för regeringen som sin mening vad i motionen anförs om höjning av grunda</w:t>
      </w:r>
      <w:r w:rsidRPr="00C9680B">
        <w:t>v</w:t>
      </w:r>
      <w:r w:rsidRPr="00C9680B">
        <w:t xml:space="preserve">draget. </w:t>
      </w:r>
    </w:p>
    <w:p w:rsidR="001C7BF9" w:rsidRPr="00C9680B" w:rsidRDefault="001C7BF9">
      <w:pPr>
        <w:pStyle w:val="Normaltindrag"/>
      </w:pPr>
      <w:r w:rsidRPr="00C9680B">
        <w:t>9. Riksdagen beslutar sänka fastighetsskatten i enlighet med vad som a</w:t>
      </w:r>
      <w:r w:rsidRPr="00C9680B">
        <w:t>n</w:t>
      </w:r>
      <w:r w:rsidRPr="00C9680B">
        <w:t>förs i m</w:t>
      </w:r>
      <w:r w:rsidRPr="00C9680B">
        <w:t>o</w:t>
      </w:r>
      <w:r w:rsidRPr="00C9680B">
        <w:t xml:space="preserve">tionen. </w:t>
      </w:r>
    </w:p>
    <w:p w:rsidR="001C7BF9" w:rsidRPr="00C9680B" w:rsidRDefault="001C7BF9">
      <w:pPr>
        <w:pStyle w:val="Normaltindrag"/>
      </w:pPr>
      <w:r w:rsidRPr="00C9680B">
        <w:t>10. Riksdagen beslutar sänka skatten på diesel som används i jord-, skog</w:t>
      </w:r>
      <w:r w:rsidRPr="00C9680B">
        <w:t>s</w:t>
      </w:r>
      <w:r w:rsidRPr="00C9680B">
        <w:t xml:space="preserve">bruk och arbetsmaskiner med 2,39 kr per liter fr.o.m. den 1 januari 2001. </w:t>
      </w:r>
    </w:p>
    <w:p w:rsidR="001C7BF9" w:rsidRPr="00C9680B" w:rsidRDefault="001C7BF9">
      <w:pPr>
        <w:pStyle w:val="Normaltindrag"/>
      </w:pPr>
      <w:r w:rsidRPr="00C9680B">
        <w:t xml:space="preserve">11. Riksdagen beslutar avskaffa skatten på handelsgödselns kväveinnehåll. </w:t>
      </w:r>
    </w:p>
    <w:p w:rsidR="001C7BF9" w:rsidRPr="00C9680B" w:rsidRDefault="001C7BF9">
      <w:r w:rsidRPr="00C9680B">
        <w:t>2000/01:Bo235 av Yvonne Ångström och Helena Bargholtz (fp) vari föreslås att riksdagen fattar följande beslut:</w:t>
      </w:r>
    </w:p>
    <w:p w:rsidR="001C7BF9" w:rsidRPr="00C9680B" w:rsidRDefault="001C7BF9">
      <w:pPr>
        <w:pStyle w:val="Normaltindrag"/>
      </w:pPr>
      <w:r w:rsidRPr="00C9680B">
        <w:t>12. Riksdagen tillkännager för regeringen som sin mening vad i motionen anförs om fasti</w:t>
      </w:r>
      <w:r w:rsidRPr="00C9680B">
        <w:t>g</w:t>
      </w:r>
      <w:r w:rsidRPr="00C9680B">
        <w:t xml:space="preserve">hetsskatten. </w:t>
      </w:r>
    </w:p>
    <w:p w:rsidR="001C7BF9" w:rsidRPr="00C9680B" w:rsidRDefault="001C7BF9">
      <w:r w:rsidRPr="00C9680B">
        <w:t>2000/01:Bo414 av Bo Lundgren m.fl. (m) vari föreslås att riksdagen fattar följande beslut:</w:t>
      </w:r>
    </w:p>
    <w:p w:rsidR="001C7BF9" w:rsidRPr="00C9680B" w:rsidRDefault="001C7BF9">
      <w:pPr>
        <w:pStyle w:val="Normaltindrag"/>
      </w:pPr>
      <w:r w:rsidRPr="00C9680B">
        <w:t>11. Riksdagen beslutar att höjningar av taxeringsvärden inte får ligga till grund för uttag av fastighet</w:t>
      </w:r>
      <w:r w:rsidRPr="00C9680B">
        <w:t>s</w:t>
      </w:r>
      <w:r w:rsidRPr="00C9680B">
        <w:t xml:space="preserve">skatt i enlighet med vad som anförs i motionen. </w:t>
      </w:r>
    </w:p>
    <w:p w:rsidR="001C7BF9" w:rsidRPr="00C9680B" w:rsidRDefault="001C7BF9">
      <w:pPr>
        <w:pStyle w:val="Normaltindrag"/>
      </w:pPr>
      <w:r w:rsidRPr="00C9680B">
        <w:t xml:space="preserve">12. Riksdagen beslutar att fastighetsskatten för år 2001 skall utgå med 1,0 % för småhus och med 0,7 % för flerbostadsfastigheter. </w:t>
      </w:r>
    </w:p>
    <w:p w:rsidR="001C7BF9" w:rsidRPr="00C9680B" w:rsidRDefault="001C7BF9">
      <w:pPr>
        <w:pStyle w:val="Normaltindrag"/>
      </w:pPr>
      <w:r w:rsidRPr="00C9680B">
        <w:t>14. Riksdagen beslutar att endast halva markvärdet skall ingå som berä</w:t>
      </w:r>
      <w:r w:rsidRPr="00C9680B">
        <w:t>k</w:t>
      </w:r>
      <w:r w:rsidRPr="00C9680B">
        <w:t>ningsunderlag för fastighetsska</w:t>
      </w:r>
      <w:r w:rsidRPr="00C9680B">
        <w:t>t</w:t>
      </w:r>
      <w:r w:rsidRPr="00C9680B">
        <w:t xml:space="preserve">ten i enlighet med vad som anförs i motionen. </w:t>
      </w:r>
    </w:p>
    <w:p w:rsidR="001C7BF9" w:rsidRPr="00C9680B" w:rsidRDefault="001C7BF9">
      <w:pPr>
        <w:pStyle w:val="Normaltindrag"/>
        <w:sectPr w:rsidR="00000000" w:rsidRPr="00C9680B">
          <w:headerReference w:type="even" r:id="rId93"/>
          <w:headerReference w:type="default" r:id="rId94"/>
          <w:footerReference w:type="even" r:id="rId95"/>
          <w:footerReference w:type="default" r:id="rId96"/>
          <w:headerReference w:type="first" r:id="rId97"/>
          <w:footerReference w:type="first" r:id="rId98"/>
          <w:footnotePr>
            <w:numRestart w:val="eachSect"/>
          </w:footnotePr>
          <w:pgSz w:w="11906" w:h="16838" w:code="9"/>
          <w:pgMar w:top="907" w:right="4649" w:bottom="4508" w:left="1304" w:header="340" w:footer="227" w:gutter="0"/>
          <w:cols w:space="720"/>
          <w:titlePg/>
        </w:sectPr>
      </w:pPr>
    </w:p>
    <w:p w:rsidR="001C7BF9" w:rsidRPr="00C9680B" w:rsidRDefault="001C7BF9">
      <w:pPr>
        <w:pStyle w:val="Bilaga"/>
        <w:outlineLvl w:val="0"/>
      </w:pPr>
      <w:r w:rsidRPr="00C9680B">
        <w:t>Bilaga 2</w:t>
      </w:r>
    </w:p>
    <w:p w:rsidR="001C7BF9" w:rsidRPr="00C9680B" w:rsidRDefault="001C7BF9">
      <w:pPr>
        <w:pStyle w:val="Rubrik1"/>
        <w:rPr>
          <w:noProof w:val="0"/>
        </w:rPr>
      </w:pPr>
      <w:bookmarkStart w:id="761" w:name="_Toc498910958"/>
      <w:r w:rsidRPr="00C9680B">
        <w:rPr>
          <w:noProof w:val="0"/>
        </w:rPr>
        <w:t>Regeringens lagförslag</w:t>
      </w:r>
      <w:bookmarkEnd w:id="761"/>
    </w:p>
    <w:p w:rsidR="001C7BF9" w:rsidRPr="00C9680B" w:rsidRDefault="001C7BF9">
      <w:pPr>
        <w:pStyle w:val="Rubrik2"/>
        <w:spacing w:before="0"/>
      </w:pPr>
      <w:bookmarkStart w:id="762" w:name="_Toc493234610"/>
      <w:bookmarkStart w:id="763" w:name="_Toc498910959"/>
      <w:r w:rsidRPr="00C9680B">
        <w:t xml:space="preserve">1  Förslag till lag om ändring i lagen (1984:1052) om </w:t>
      </w:r>
      <w:r w:rsidRPr="00C9680B">
        <w:br/>
        <w:t xml:space="preserve">    statlig fasti</w:t>
      </w:r>
      <w:r w:rsidRPr="00C9680B">
        <w:t>g</w:t>
      </w:r>
      <w:r w:rsidRPr="00C9680B">
        <w:t>hetsskatt</w:t>
      </w:r>
      <w:bookmarkEnd w:id="762"/>
      <w:bookmarkEnd w:id="763"/>
    </w:p>
    <w:p w:rsidR="001C7BF9" w:rsidRPr="00C9680B" w:rsidRDefault="001C7BF9">
      <w:pPr>
        <w:pStyle w:val="LagtextIndrag"/>
      </w:pPr>
      <w:r w:rsidRPr="00C9680B">
        <w:t>Härigenom föreskrivs att 3 § lagen (1984:1052) om statlig fastighetsskatt skall ha följande l</w:t>
      </w:r>
      <w:r w:rsidRPr="00C9680B">
        <w:t>y</w:t>
      </w:r>
      <w:r w:rsidRPr="00C9680B">
        <w:t>delse.</w:t>
      </w:r>
    </w:p>
    <w:p w:rsidR="001C7BF9" w:rsidRPr="00C9680B" w:rsidRDefault="001C7BF9">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119"/>
      </w:tblGrid>
      <w:tr w:rsidR="00000000" w:rsidRPr="00C9680B">
        <w:tblPrEx>
          <w:tblCellMar>
            <w:top w:w="0" w:type="dxa"/>
            <w:bottom w:w="0" w:type="dxa"/>
          </w:tblCellMar>
        </w:tblPrEx>
        <w:tc>
          <w:tcPr>
            <w:tcW w:w="3090" w:type="dxa"/>
          </w:tcPr>
          <w:p w:rsidR="001C7BF9" w:rsidRPr="00C9680B" w:rsidRDefault="001C7BF9">
            <w:pPr>
              <w:pStyle w:val="LagRubrik2"/>
              <w:rPr>
                <w:sz w:val="19"/>
              </w:rPr>
            </w:pPr>
            <w:r w:rsidRPr="00C9680B">
              <w:rPr>
                <w:sz w:val="19"/>
              </w:rPr>
              <w:t>Nuvarande lydelse</w:t>
            </w:r>
          </w:p>
        </w:tc>
        <w:tc>
          <w:tcPr>
            <w:tcW w:w="3119" w:type="dxa"/>
          </w:tcPr>
          <w:p w:rsidR="001C7BF9" w:rsidRPr="00C9680B" w:rsidRDefault="001C7BF9">
            <w:pPr>
              <w:pStyle w:val="LagRubrik2"/>
              <w:rPr>
                <w:sz w:val="19"/>
              </w:rPr>
            </w:pPr>
            <w:r w:rsidRPr="00C9680B">
              <w:rPr>
                <w:sz w:val="19"/>
              </w:rPr>
              <w:t>Föreslagen lydelse</w:t>
            </w:r>
          </w:p>
        </w:tc>
      </w:tr>
    </w:tbl>
    <w:p w:rsidR="001C7BF9" w:rsidRPr="00C9680B" w:rsidRDefault="001C7BF9">
      <w:pPr>
        <w:pStyle w:val="Lagtext"/>
      </w:pPr>
    </w:p>
    <w:p w:rsidR="001C7BF9" w:rsidRPr="00C9680B" w:rsidRDefault="001C7BF9">
      <w:pPr>
        <w:pStyle w:val="Lagtext"/>
        <w:jc w:val="center"/>
        <w:rPr>
          <w:b/>
        </w:rPr>
      </w:pPr>
      <w:r w:rsidRPr="00C9680B">
        <w:rPr>
          <w:b/>
        </w:rPr>
        <w:t>3 §</w:t>
      </w:r>
      <w:r w:rsidRPr="00C9680B">
        <w:rPr>
          <w:rStyle w:val="Fotnotsreferens"/>
        </w:rPr>
        <w:footnoteReference w:id="2"/>
      </w:r>
    </w:p>
    <w:p w:rsidR="001C7BF9" w:rsidRPr="00C9680B" w:rsidRDefault="001C7BF9">
      <w:pPr>
        <w:pStyle w:val="LagtextIndrag"/>
        <w:outlineLvl w:val="0"/>
      </w:pPr>
      <w:r w:rsidRPr="00C9680B">
        <w:t>Fastighetsskatten utgör för varje beskattningsår</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
            </w:pPr>
            <w:r w:rsidRPr="00C9680B">
              <w:t xml:space="preserve">    a) </w:t>
            </w:r>
            <w:r w:rsidRPr="00C9680B">
              <w:rPr>
                <w:i/>
              </w:rPr>
              <w:t>1,5</w:t>
            </w:r>
            <w:r w:rsidRPr="00C9680B">
              <w:t xml:space="preserve"> procent av: </w:t>
            </w:r>
          </w:p>
        </w:tc>
        <w:tc>
          <w:tcPr>
            <w:tcW w:w="3090" w:type="dxa"/>
          </w:tcPr>
          <w:p w:rsidR="001C7BF9" w:rsidRPr="00C9680B" w:rsidRDefault="001C7BF9">
            <w:pPr>
              <w:pStyle w:val="Lagtext"/>
            </w:pPr>
            <w:r w:rsidRPr="00C9680B">
              <w:t xml:space="preserve">    a) </w:t>
            </w:r>
            <w:r w:rsidRPr="00C9680B">
              <w:rPr>
                <w:i/>
              </w:rPr>
              <w:t>1,2</w:t>
            </w:r>
            <w:r w:rsidRPr="00C9680B">
              <w:t xml:space="preserve"> procent av: </w:t>
            </w:r>
          </w:p>
        </w:tc>
      </w:tr>
    </w:tbl>
    <w:p w:rsidR="001C7BF9" w:rsidRPr="00C9680B" w:rsidRDefault="001C7BF9">
      <w:pPr>
        <w:pStyle w:val="LagtextIndrag"/>
      </w:pPr>
      <w:r w:rsidRPr="00C9680B">
        <w:t>taxeringsvärdet avseende småh</w:t>
      </w:r>
      <w:r w:rsidRPr="00C9680B">
        <w:t>u</w:t>
      </w:r>
      <w:r w:rsidRPr="00C9680B">
        <w:t xml:space="preserve">senhet, </w:t>
      </w:r>
    </w:p>
    <w:p w:rsidR="001C7BF9" w:rsidRPr="00C9680B" w:rsidRDefault="001C7BF9">
      <w:pPr>
        <w:pStyle w:val="LagtextIndrag"/>
      </w:pPr>
      <w:r w:rsidRPr="00C9680B">
        <w:t>det omräknade bostadsbyggnadsvärdet och det omräknade tomtmarks</w:t>
      </w:r>
      <w:r w:rsidRPr="00C9680B">
        <w:softHyphen/>
        <w:t>värdet avseende småhus på lantbrukse</w:t>
      </w:r>
      <w:r w:rsidRPr="00C9680B">
        <w:t>n</w:t>
      </w:r>
      <w:r w:rsidRPr="00C9680B">
        <w:t>het,</w:t>
      </w:r>
    </w:p>
    <w:p w:rsidR="001C7BF9" w:rsidRPr="00C9680B" w:rsidRDefault="001C7BF9">
      <w:pPr>
        <w:pStyle w:val="LagtextIndrag"/>
      </w:pPr>
      <w:r w:rsidRPr="00C9680B">
        <w:t>75 procent av marknadsvärdet avseende privatbostad i utlandet,</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
            </w:pPr>
            <w:r w:rsidRPr="00C9680B">
              <w:t xml:space="preserve">    b) </w:t>
            </w:r>
            <w:r w:rsidRPr="00C9680B">
              <w:rPr>
                <w:i/>
              </w:rPr>
              <w:t>1,5</w:t>
            </w:r>
            <w:r w:rsidRPr="00C9680B">
              <w:t xml:space="preserve"> procent av: </w:t>
            </w:r>
          </w:p>
        </w:tc>
        <w:tc>
          <w:tcPr>
            <w:tcW w:w="3090" w:type="dxa"/>
          </w:tcPr>
          <w:p w:rsidR="001C7BF9" w:rsidRPr="00C9680B" w:rsidRDefault="001C7BF9">
            <w:pPr>
              <w:pStyle w:val="Lagtext"/>
            </w:pPr>
            <w:r w:rsidRPr="00C9680B">
              <w:t xml:space="preserve">    b) </w:t>
            </w:r>
            <w:r w:rsidRPr="00C9680B">
              <w:rPr>
                <w:i/>
              </w:rPr>
              <w:t>0,7</w:t>
            </w:r>
            <w:r w:rsidRPr="00C9680B">
              <w:t xml:space="preserve"> procent av: </w:t>
            </w:r>
          </w:p>
        </w:tc>
      </w:tr>
    </w:tbl>
    <w:p w:rsidR="001C7BF9" w:rsidRPr="00C9680B" w:rsidRDefault="001C7BF9">
      <w:pPr>
        <w:pStyle w:val="LagtextIndrag"/>
      </w:pPr>
      <w:r w:rsidRPr="00C9680B">
        <w:t>taxeringsvärdet avseende hyreshusenhet till den del det avser värderings</w:t>
      </w:r>
      <w:r w:rsidRPr="00C9680B">
        <w:softHyphen/>
        <w:t>enhet för bostäder, värderingsenhet för bostäder under uppförande, värde</w:t>
      </w:r>
      <w:r w:rsidRPr="00C9680B">
        <w:softHyphen/>
        <w:t>rings</w:t>
      </w:r>
      <w:r w:rsidRPr="00C9680B">
        <w:softHyphen/>
        <w:t>enhet avseende tomtmark som hör till dessa bostäder samt annan värd</w:t>
      </w:r>
      <w:r w:rsidRPr="00C9680B">
        <w:t>e</w:t>
      </w:r>
      <w:r w:rsidRPr="00C9680B">
        <w:t>ringsenhet avseende tomtmark som är obebyggd,</w:t>
      </w:r>
    </w:p>
    <w:p w:rsidR="001C7BF9" w:rsidRPr="00C9680B" w:rsidRDefault="001C7BF9">
      <w:pPr>
        <w:pStyle w:val="LagtextIndrag"/>
      </w:pPr>
      <w:r w:rsidRPr="00C9680B">
        <w:t xml:space="preserve">c) 1,0 procent av: </w:t>
      </w:r>
    </w:p>
    <w:p w:rsidR="001C7BF9" w:rsidRPr="00C9680B" w:rsidRDefault="001C7BF9">
      <w:pPr>
        <w:pStyle w:val="LagtextIndrag"/>
      </w:pPr>
      <w:r w:rsidRPr="00C9680B">
        <w:t>taxeringsvärdet avseende hyreshusenhet till den del det avser värderingse</w:t>
      </w:r>
      <w:r w:rsidRPr="00C9680B">
        <w:t>n</w:t>
      </w:r>
      <w:r w:rsidRPr="00C9680B">
        <w:t>het för lokaler, värderingsenhet för lokaler under uppförande och värdering</w:t>
      </w:r>
      <w:r w:rsidRPr="00C9680B">
        <w:t>s</w:t>
      </w:r>
      <w:r w:rsidRPr="00C9680B">
        <w:t>enhet avsee</w:t>
      </w:r>
      <w:r w:rsidRPr="00C9680B">
        <w:t>n</w:t>
      </w:r>
      <w:r w:rsidRPr="00C9680B">
        <w:t xml:space="preserve">de tomtmark som hör till dessa lokaler, </w:t>
      </w:r>
    </w:p>
    <w:p w:rsidR="001C7BF9" w:rsidRPr="00C9680B" w:rsidRDefault="001C7BF9">
      <w:pPr>
        <w:pStyle w:val="LagtextIndrag"/>
      </w:pPr>
      <w:r w:rsidRPr="00C9680B">
        <w:t xml:space="preserve">d) 0,5 procent av: </w:t>
      </w:r>
    </w:p>
    <w:p w:rsidR="001C7BF9" w:rsidRPr="00C9680B" w:rsidRDefault="001C7BF9">
      <w:pPr>
        <w:pStyle w:val="LagtextIndrag"/>
      </w:pPr>
      <w:r w:rsidRPr="00C9680B">
        <w:t>taxeringsvärdet avseende industrienhet och elprodu</w:t>
      </w:r>
      <w:r w:rsidRPr="00C9680B">
        <w:t>k</w:t>
      </w:r>
      <w:r w:rsidRPr="00C9680B">
        <w:t xml:space="preserve">tionsenhet. </w:t>
      </w:r>
    </w:p>
    <w:p w:rsidR="001C7BF9" w:rsidRPr="00C9680B" w:rsidRDefault="001C7BF9">
      <w:pPr>
        <w:pStyle w:val="LagtextIndrag"/>
      </w:pPr>
      <w:r w:rsidRPr="00C9680B">
        <w:t>Innehåller byggnaden på en fastighet, som är belägen i Sverige, bostäder och har byggnaden beräknat värdeår som utgör året före det fastighets</w:t>
      </w:r>
      <w:r w:rsidRPr="00C9680B">
        <w:softHyphen/>
        <w:t>taxeringsår som föregått inkomsttaxeringsåret, utgår dock ingen fastighets</w:t>
      </w:r>
      <w:r w:rsidRPr="00C9680B">
        <w:softHyphen/>
        <w:t>skatt på bostadsdelen för det fastighetstaxeringsåret och de fyra följande kalenderåren och halv fastighetsskatt för de därpå följande fem kalenderåren enligt vad som närmare föreskrivs i femte stycket. Detsamma gäller färdi</w:t>
      </w:r>
      <w:r w:rsidRPr="00C9680B">
        <w:t>g</w:t>
      </w:r>
      <w:r w:rsidRPr="00C9680B">
        <w:t>ställd eller ombyggd sådan byggnad, för vilken värdeår inte har åsatts vid ny fastighetstaxering, men som skulle ha åsatts ett värdeår motsvarande året före det fastighetstaxeringsår som föregått inkomst</w:t>
      </w:r>
      <w:r w:rsidRPr="00C9680B">
        <w:softHyphen/>
        <w:t>taxerin</w:t>
      </w:r>
      <w:r w:rsidRPr="00C9680B">
        <w:t>gsåret, om ny fasti</w:t>
      </w:r>
      <w:r w:rsidRPr="00C9680B">
        <w:t>g</w:t>
      </w:r>
      <w:r w:rsidRPr="00C9680B">
        <w:t>hetsta</w:t>
      </w:r>
      <w:r w:rsidRPr="00C9680B">
        <w:t>x</w:t>
      </w:r>
      <w:r w:rsidRPr="00C9680B">
        <w:t xml:space="preserve">ering då hade företagits. </w:t>
      </w:r>
    </w:p>
    <w:p w:rsidR="001C7BF9" w:rsidRPr="00C9680B" w:rsidRDefault="001C7BF9">
      <w:pPr>
        <w:pStyle w:val="LagtextIndrag"/>
      </w:pPr>
      <w:r w:rsidRPr="00C9680B">
        <w:t>För fastighet, som avses i 2 kap. 13 § inkomstskattelagen (1999:1229), skall fastighetens andel av taxeringsvärdet på annan samfällighet än sådan som avses i 6 kap. 6 § första stycket nämnda lag inräknas i underlaget för fastighetsskatten om samfälligheten utgör en särskild tax</w:t>
      </w:r>
      <w:r w:rsidRPr="00C9680B">
        <w:t>e</w:t>
      </w:r>
      <w:r w:rsidRPr="00C9680B">
        <w:t xml:space="preserve">ringsenhet. </w:t>
      </w:r>
    </w:p>
    <w:p w:rsidR="001C7BF9" w:rsidRPr="00C9680B" w:rsidRDefault="001C7BF9">
      <w:pPr>
        <w:pStyle w:val="LagtextIndrag"/>
      </w:pPr>
      <w:r w:rsidRPr="00C9680B">
        <w:t>Har byggnad, som är avsedd för användning under hela året, på grund av eldsvåda eller därmed jämförlig händelse inte kunnat utnyttjas under viss tid eller har i sådan byggnad för uthyrning avsedd lägenhet inte kunnat uthyras, får fasti</w:t>
      </w:r>
      <w:r w:rsidRPr="00C9680B">
        <w:t>g</w:t>
      </w:r>
      <w:r w:rsidRPr="00C9680B">
        <w:t>hetsskatten nedsättas med hänsyn till den omfattning, vari bygg</w:t>
      </w:r>
      <w:r w:rsidRPr="00C9680B">
        <w:softHyphen/>
        <w:t>naden inte kunnat användas eller uthyras. Har så varit fallet under endast kortare tid av beskattningsåret, skall någon nedsät</w:t>
      </w:r>
      <w:r w:rsidRPr="00C9680B">
        <w:t>t</w:t>
      </w:r>
      <w:r w:rsidRPr="00C9680B">
        <w:t xml:space="preserve">ning dock inte ske. </w:t>
      </w:r>
    </w:p>
    <w:p w:rsidR="001C7BF9" w:rsidRPr="00C9680B" w:rsidRDefault="001C7BF9">
      <w:pPr>
        <w:pStyle w:val="LagtextIndrag"/>
      </w:pPr>
      <w:r w:rsidRPr="00C9680B">
        <w:t>Om fastighetsskatt skall beräknas enligt olika grunder för skilda delar av fastigheten skall underlaget för beräkningen av fastighetsskatten för dessa delar utgöras av den del av värdet som belöper på respektive fastighetsdel. Den nedsättning av fastighetsskatten som föreskrivs i andra stycket skal</w:t>
      </w:r>
      <w:r w:rsidRPr="00C9680B">
        <w:t>l såvitt avser småhusenhet beräknas på den del av taxeringsvärdet som belöper på värderingsenhet som avser småhuset med tillhörande tomtmark, om tom</w:t>
      </w:r>
      <w:r w:rsidRPr="00C9680B">
        <w:t>t</w:t>
      </w:r>
      <w:r w:rsidRPr="00C9680B">
        <w:t>marken ingår i samma taxeringsenhet som småhuset. Detsamma gäller i til</w:t>
      </w:r>
      <w:r w:rsidRPr="00C9680B">
        <w:t>l</w:t>
      </w:r>
      <w:r w:rsidRPr="00C9680B">
        <w:t>lämpliga delar småhus med tillhörande tomtmark på lantbruksenhet. För hyreshusenhet beräknas nedsättningen på den del av taxeringsvärdet som belöper på värderingsenhet som avser bostäder med tillhörande värderings</w:t>
      </w:r>
      <w:r w:rsidRPr="00C9680B">
        <w:softHyphen/>
        <w:t>enhet tomtmark, om tomtmarken ingår i samma taxeringsenhet som hyres</w:t>
      </w:r>
      <w:r w:rsidRPr="00C9680B">
        <w:softHyphen/>
        <w:t>h</w:t>
      </w:r>
      <w:r w:rsidRPr="00C9680B">
        <w:t>u</w:t>
      </w:r>
      <w:r w:rsidRPr="00C9680B">
        <w:t xml:space="preserve">set.  </w:t>
      </w:r>
    </w:p>
    <w:p w:rsidR="001C7BF9" w:rsidRPr="00C9680B" w:rsidRDefault="001C7BF9">
      <w:pPr>
        <w:pStyle w:val="Lagtext"/>
      </w:pPr>
      <w:r w:rsidRPr="00C9680B">
        <w:rPr>
          <w:u w:val="single"/>
        </w:rPr>
        <w:t>                              </w:t>
      </w:r>
    </w:p>
    <w:p w:rsidR="001C7BF9" w:rsidRPr="00C9680B" w:rsidRDefault="001C7BF9">
      <w:pPr>
        <w:pStyle w:val="LagtextIndrag"/>
        <w:spacing w:line="240" w:lineRule="auto"/>
        <w:ind w:firstLine="0"/>
        <w:rPr>
          <w:sz w:val="12"/>
        </w:rPr>
      </w:pPr>
    </w:p>
    <w:p w:rsidR="001C7BF9" w:rsidRPr="00C9680B" w:rsidRDefault="001C7BF9">
      <w:pPr>
        <w:pStyle w:val="LagtextIndrag"/>
      </w:pPr>
      <w:r w:rsidRPr="00C9680B">
        <w:t>Denna lag träder i kraft den 1 januari 2001 och tillämpas första gången vid 2002 års taxering. Har beskattningsåret påbörjats före den 1 januari 2001 tillämpas äldre regler för den del av beskattningsåret som infaller före ikraf</w:t>
      </w:r>
      <w:r w:rsidRPr="00C9680B">
        <w:t>t</w:t>
      </w:r>
      <w:r w:rsidRPr="00C9680B">
        <w:t>trädandet.</w:t>
      </w:r>
    </w:p>
    <w:p w:rsidR="001C7BF9" w:rsidRPr="00C9680B" w:rsidRDefault="001C7BF9">
      <w:pPr>
        <w:pStyle w:val="LagtextIndrag"/>
      </w:pPr>
    </w:p>
    <w:p w:rsidR="001C7BF9" w:rsidRPr="00C9680B" w:rsidRDefault="001C7BF9">
      <w:pPr>
        <w:pStyle w:val="Rubrik2"/>
        <w:spacing w:before="0"/>
      </w:pPr>
      <w:bookmarkStart w:id="764" w:name="_Toc493234611"/>
      <w:r w:rsidRPr="00C9680B">
        <w:br w:type="page"/>
      </w:r>
      <w:bookmarkStart w:id="765" w:name="_Toc498910960"/>
      <w:r w:rsidRPr="00C9680B">
        <w:t xml:space="preserve">2  Förslag till lag om ändring i inkomstskattelagen </w:t>
      </w:r>
      <w:r w:rsidRPr="00C9680B">
        <w:br/>
        <w:t xml:space="preserve">    (1999:1229)</w:t>
      </w:r>
      <w:bookmarkEnd w:id="764"/>
      <w:bookmarkEnd w:id="765"/>
    </w:p>
    <w:p w:rsidR="001C7BF9" w:rsidRPr="00C9680B" w:rsidRDefault="001C7BF9">
      <w:pPr>
        <w:pStyle w:val="LagtextIndrag"/>
      </w:pPr>
      <w:r w:rsidRPr="00C9680B">
        <w:t>Härigenom föreskrivs att 1 kap. 5 §, 12 kap. 5, 27 och 29 §§, 16 kap. 27 §, 45 kap. 33 §, 46 kap. 18 §, 63 kap. 2–4 §§ samt 65 kap. 5 och 10 §§ inkoms</w:t>
      </w:r>
      <w:r w:rsidRPr="00C9680B">
        <w:t>t</w:t>
      </w:r>
      <w:r w:rsidRPr="00C9680B">
        <w:t>skattelagen (1999:1229) skall ha följande l</w:t>
      </w:r>
      <w:r w:rsidRPr="00C9680B">
        <w:t>y</w:t>
      </w:r>
      <w:r w:rsidRPr="00C9680B">
        <w:t>delse.</w:t>
      </w:r>
    </w:p>
    <w:p w:rsidR="001C7BF9" w:rsidRPr="00C9680B" w:rsidRDefault="001C7BF9">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
              <w:rPr>
                <w:i/>
              </w:rPr>
            </w:pPr>
            <w:r w:rsidRPr="00C9680B">
              <w:rPr>
                <w:i/>
              </w:rPr>
              <w:t>Nuvarande lydelse</w:t>
            </w:r>
          </w:p>
        </w:tc>
        <w:tc>
          <w:tcPr>
            <w:tcW w:w="3090" w:type="dxa"/>
          </w:tcPr>
          <w:p w:rsidR="001C7BF9" w:rsidRPr="00C9680B" w:rsidRDefault="001C7BF9">
            <w:pPr>
              <w:pStyle w:val="Lagtext"/>
              <w:rPr>
                <w:i/>
              </w:rPr>
            </w:pPr>
            <w:r w:rsidRPr="00C9680B">
              <w:rPr>
                <w:i/>
              </w:rPr>
              <w:t>Föreslagen lydelse</w:t>
            </w:r>
          </w:p>
        </w:tc>
      </w:tr>
    </w:tbl>
    <w:p w:rsidR="001C7BF9" w:rsidRPr="00C9680B" w:rsidRDefault="001C7BF9">
      <w:pPr>
        <w:pStyle w:val="Lagtext"/>
      </w:pPr>
    </w:p>
    <w:p w:rsidR="001C7BF9" w:rsidRPr="00C9680B" w:rsidRDefault="001C7BF9">
      <w:pPr>
        <w:pStyle w:val="Lagtext"/>
        <w:jc w:val="center"/>
        <w:rPr>
          <w:b/>
        </w:rPr>
      </w:pPr>
      <w:r w:rsidRPr="00C9680B">
        <w:rPr>
          <w:b/>
        </w:rPr>
        <w:t>1 kap.</w:t>
      </w:r>
    </w:p>
    <w:p w:rsidR="001C7BF9" w:rsidRPr="00C9680B" w:rsidRDefault="001C7BF9">
      <w:pPr>
        <w:pStyle w:val="Lagtext"/>
        <w:jc w:val="center"/>
        <w:rPr>
          <w:b/>
        </w:rPr>
      </w:pPr>
      <w:r w:rsidRPr="00C9680B">
        <w:rPr>
          <w:b/>
        </w:rPr>
        <w:t>5 §</w:t>
      </w:r>
    </w:p>
    <w:p w:rsidR="001C7BF9" w:rsidRPr="00C9680B" w:rsidRDefault="001C7BF9">
      <w:pPr>
        <w:pStyle w:val="LagtextIndrag"/>
      </w:pPr>
      <w:r w:rsidRPr="00C9680B">
        <w:t>Fysiska personers skatt på förvärvsinkomster skall beräknas på den b</w:t>
      </w:r>
      <w:r w:rsidRPr="00C9680B">
        <w:t>e</w:t>
      </w:r>
      <w:r w:rsidRPr="00C9680B">
        <w:t xml:space="preserve">skattningsbara förvärvsinkomsten. Denna skall beräknas på följande sätt. </w:t>
      </w:r>
    </w:p>
    <w:p w:rsidR="001C7BF9" w:rsidRPr="00C9680B" w:rsidRDefault="001C7BF9">
      <w:pPr>
        <w:pStyle w:val="LagtextIndrag"/>
      </w:pPr>
      <w:r w:rsidRPr="00C9680B">
        <w:t>Summan av överskott i inkomstslagen tjänst och näringsverksamhet min</w:t>
      </w:r>
      <w:r w:rsidRPr="00C9680B">
        <w:t>s</w:t>
      </w:r>
      <w:r w:rsidRPr="00C9680B">
        <w:t>kas med allmänna avdrag. Det återstående beloppet avrundas nedåt till helt hundr</w:t>
      </w:r>
      <w:r w:rsidRPr="00C9680B">
        <w:t>a</w:t>
      </w:r>
      <w:r w:rsidRPr="00C9680B">
        <w:t>tal kronor och är den taxerade förvärvsinkomsten.</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Från den taxerade förvärvs</w:t>
            </w:r>
            <w:r w:rsidRPr="00C9680B">
              <w:softHyphen/>
              <w:t xml:space="preserve">inkomsten dras </w:t>
            </w:r>
            <w:r w:rsidRPr="00C9680B">
              <w:rPr>
                <w:i/>
              </w:rPr>
              <w:t>75</w:t>
            </w:r>
            <w:r w:rsidRPr="00C9680B">
              <w:t xml:space="preserve"> procent av sådana avgifter enligt lagen (1994:1744) om allmän pensionsavgift som avser beskattningsåret, avrundat uppåt till helt hundratal kronor, samt grund</w:t>
            </w:r>
            <w:r w:rsidRPr="00C9680B">
              <w:softHyphen/>
              <w:t>avdrag eller särskilt grundavdrag och sjöinkomstavdrag. Avdragen skall göras i nu nämnd ordning. Det åter</w:t>
            </w:r>
            <w:r w:rsidRPr="00C9680B">
              <w:softHyphen/>
              <w:t>stående beloppet är den b</w:t>
            </w:r>
            <w:r w:rsidRPr="00C9680B">
              <w:t>e</w:t>
            </w:r>
            <w:r w:rsidRPr="00C9680B">
              <w:t>skattnings</w:t>
            </w:r>
            <w:r w:rsidRPr="00C9680B">
              <w:softHyphen/>
              <w:t>bara förvärvsinkom</w:t>
            </w:r>
            <w:r w:rsidRPr="00C9680B">
              <w:t>s</w:t>
            </w:r>
            <w:r w:rsidRPr="00C9680B">
              <w:t>ten.</w:t>
            </w:r>
          </w:p>
        </w:tc>
        <w:tc>
          <w:tcPr>
            <w:tcW w:w="3090" w:type="dxa"/>
          </w:tcPr>
          <w:p w:rsidR="001C7BF9" w:rsidRPr="00C9680B" w:rsidRDefault="001C7BF9">
            <w:pPr>
              <w:pStyle w:val="LagtextIndrag"/>
            </w:pPr>
            <w:r w:rsidRPr="00C9680B">
              <w:t>Från den taxerade förvärvs</w:t>
            </w:r>
            <w:r w:rsidRPr="00C9680B">
              <w:softHyphen/>
              <w:t xml:space="preserve">inkomsten dras </w:t>
            </w:r>
            <w:r w:rsidRPr="00C9680B">
              <w:rPr>
                <w:i/>
              </w:rPr>
              <w:t>50</w:t>
            </w:r>
            <w:r w:rsidRPr="00C9680B">
              <w:t xml:space="preserve"> procent av sådana avgifter enligt lagen (1994:1744) om allmän pensionsavgift som avser beskattningsåret, avrundat uppåt till helt hundratal kronor, samt grund</w:t>
            </w:r>
            <w:r w:rsidRPr="00C9680B">
              <w:softHyphen/>
              <w:t>avdrag eller särskilt grundavdrag och sjöinkomstavdrag. Avdragen skall göras i nu nämnd ordning. Det åter</w:t>
            </w:r>
            <w:r w:rsidRPr="00C9680B">
              <w:softHyphen/>
              <w:t>stående beloppet är den b</w:t>
            </w:r>
            <w:r w:rsidRPr="00C9680B">
              <w:t>e</w:t>
            </w:r>
            <w:r w:rsidRPr="00C9680B">
              <w:t>skattnings</w:t>
            </w:r>
            <w:r w:rsidRPr="00C9680B">
              <w:softHyphen/>
              <w:t>bara förvärvsinkom</w:t>
            </w:r>
            <w:r w:rsidRPr="00C9680B">
              <w:t>s</w:t>
            </w:r>
            <w:r w:rsidRPr="00C9680B">
              <w:t>ten.</w:t>
            </w:r>
          </w:p>
        </w:tc>
      </w:tr>
    </w:tbl>
    <w:p w:rsidR="001C7BF9" w:rsidRPr="00C9680B" w:rsidRDefault="001C7BF9">
      <w:pPr>
        <w:pStyle w:val="Lagtext"/>
      </w:pPr>
    </w:p>
    <w:p w:rsidR="001C7BF9" w:rsidRPr="00C9680B" w:rsidRDefault="001C7BF9">
      <w:pPr>
        <w:pStyle w:val="Lagtext"/>
        <w:jc w:val="center"/>
      </w:pPr>
      <w:r w:rsidRPr="00C9680B">
        <w:rPr>
          <w:b/>
        </w:rPr>
        <w:t>12 kap.</w:t>
      </w:r>
    </w:p>
    <w:p w:rsidR="001C7BF9" w:rsidRPr="00C9680B" w:rsidRDefault="001C7BF9">
      <w:pPr>
        <w:pStyle w:val="Lagtext"/>
        <w:jc w:val="center"/>
      </w:pPr>
      <w:r w:rsidRPr="00C9680B">
        <w:rPr>
          <w:b/>
        </w:rPr>
        <w:t>5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 xml:space="preserve">Utgifter för tjänsteresor med egen bil skall dras av med 1 krona och </w:t>
            </w:r>
            <w:r w:rsidRPr="00C9680B">
              <w:rPr>
                <w:i/>
              </w:rPr>
              <w:t>50</w:t>
            </w:r>
            <w:r w:rsidRPr="00C9680B">
              <w:t xml:space="preserve"> öre för varje kilometer.</w:t>
            </w:r>
          </w:p>
          <w:p w:rsidR="001C7BF9" w:rsidRPr="00C9680B" w:rsidRDefault="001C7BF9">
            <w:pPr>
              <w:pStyle w:val="LagtextIndrag"/>
            </w:pPr>
            <w:r w:rsidRPr="00C9680B">
              <w:t>Om en skattskyldig använder sin förmånsbil för tjänsteresor och bet</w:t>
            </w:r>
            <w:r w:rsidRPr="00C9680B">
              <w:t>a</w:t>
            </w:r>
            <w:r w:rsidRPr="00C9680B">
              <w:t>lar samtliga utgifter för driv</w:t>
            </w:r>
            <w:r w:rsidRPr="00C9680B">
              <w:softHyphen/>
              <w:t xml:space="preserve">medel som är förenade med resorna, skall utgifter för dieselolja dras av med </w:t>
            </w:r>
            <w:r w:rsidRPr="00C9680B">
              <w:rPr>
                <w:i/>
              </w:rPr>
              <w:t>50</w:t>
            </w:r>
            <w:r w:rsidRPr="00C9680B">
              <w:t xml:space="preserve"> öre för varje kilometer och utgifter för annat drivmedel med </w:t>
            </w:r>
            <w:r w:rsidRPr="00C9680B">
              <w:rPr>
                <w:i/>
              </w:rPr>
              <w:t>80</w:t>
            </w:r>
            <w:r w:rsidRPr="00C9680B">
              <w:t xml:space="preserve"> öre för varje kil</w:t>
            </w:r>
            <w:r w:rsidRPr="00C9680B">
              <w:t>o</w:t>
            </w:r>
            <w:r w:rsidRPr="00C9680B">
              <w:t>meter.</w:t>
            </w:r>
          </w:p>
        </w:tc>
        <w:tc>
          <w:tcPr>
            <w:tcW w:w="3090" w:type="dxa"/>
          </w:tcPr>
          <w:p w:rsidR="001C7BF9" w:rsidRPr="00C9680B" w:rsidRDefault="001C7BF9">
            <w:pPr>
              <w:pStyle w:val="LagtextIndrag"/>
            </w:pPr>
            <w:r w:rsidRPr="00C9680B">
              <w:t xml:space="preserve">Utgifter för tjänsteresor med egen bil skall dras av med 1 krona och </w:t>
            </w:r>
            <w:r w:rsidRPr="00C9680B">
              <w:rPr>
                <w:i/>
              </w:rPr>
              <w:t>60</w:t>
            </w:r>
            <w:r w:rsidRPr="00C9680B">
              <w:t xml:space="preserve"> öre för varje kilometer.</w:t>
            </w:r>
          </w:p>
          <w:p w:rsidR="001C7BF9" w:rsidRPr="00C9680B" w:rsidRDefault="001C7BF9">
            <w:pPr>
              <w:pStyle w:val="LagtextIndrag"/>
            </w:pPr>
            <w:r w:rsidRPr="00C9680B">
              <w:t>Om en skattskyldig använder sin förmånsbil för tjänsteresor och bet</w:t>
            </w:r>
            <w:r w:rsidRPr="00C9680B">
              <w:t>a</w:t>
            </w:r>
            <w:r w:rsidRPr="00C9680B">
              <w:t>lar samtliga utgifter för driv</w:t>
            </w:r>
            <w:r w:rsidRPr="00C9680B">
              <w:softHyphen/>
              <w:t xml:space="preserve">medel som är förenade med resorna, skall utgifter för dieselolja dras av med </w:t>
            </w:r>
            <w:r w:rsidRPr="00C9680B">
              <w:rPr>
                <w:i/>
              </w:rPr>
              <w:t>60</w:t>
            </w:r>
            <w:r w:rsidRPr="00C9680B">
              <w:t xml:space="preserve"> öre för varje kilometer och utgifter för annat drivmedel med </w:t>
            </w:r>
            <w:r w:rsidRPr="00C9680B">
              <w:rPr>
                <w:i/>
              </w:rPr>
              <w:t>90</w:t>
            </w:r>
            <w:r w:rsidRPr="00C9680B">
              <w:t xml:space="preserve"> öre för varje kil</w:t>
            </w:r>
            <w:r w:rsidRPr="00C9680B">
              <w:t>o</w:t>
            </w:r>
            <w:r w:rsidRPr="00C9680B">
              <w:t>meter.</w:t>
            </w:r>
          </w:p>
        </w:tc>
      </w:tr>
    </w:tbl>
    <w:p w:rsidR="001C7BF9" w:rsidRPr="00C9680B" w:rsidRDefault="001C7BF9">
      <w:pPr>
        <w:pStyle w:val="Lagtext"/>
      </w:pPr>
    </w:p>
    <w:p w:rsidR="001C7BF9" w:rsidRPr="00C9680B" w:rsidRDefault="001C7BF9">
      <w:pPr>
        <w:pStyle w:val="Lagtext"/>
        <w:jc w:val="center"/>
      </w:pPr>
      <w:r w:rsidRPr="00C9680B">
        <w:rPr>
          <w:b/>
        </w:rPr>
        <w:t>27 §</w:t>
      </w:r>
    </w:p>
    <w:p w:rsidR="001C7BF9" w:rsidRPr="00C9680B" w:rsidRDefault="001C7BF9">
      <w:pPr>
        <w:pStyle w:val="LagtextIndrag"/>
      </w:pPr>
      <w:r w:rsidRPr="00C9680B">
        <w:t>Utgifter för arbetsresor med egen bil skall dras av om avståndet mellan b</w:t>
      </w:r>
      <w:r w:rsidRPr="00C9680B">
        <w:t>o</w:t>
      </w:r>
      <w:r w:rsidRPr="00C9680B">
        <w:t>staden och arbetsplatsen är minst fem kilometer och det klart framgår att den skattskyldige genom att använda egen bil i stället för allmänna transportmedel regelmässigt gör en tidsvinst på sammanlagt minst två ti</w:t>
      </w:r>
      <w:r w:rsidRPr="00C9680B">
        <w:t>m</w:t>
      </w:r>
      <w:r w:rsidRPr="00C9680B">
        <w:t>mar.</w:t>
      </w:r>
    </w:p>
    <w:p w:rsidR="001C7BF9" w:rsidRPr="00C9680B" w:rsidRDefault="001C7BF9">
      <w:pPr>
        <w:pStyle w:val="LagtextIndrag"/>
      </w:pPr>
      <w:r w:rsidRPr="00C9680B">
        <w:t>Utgifter för arbetsresor med egen bil skall också dras av om bilen används i tjänsten minst 160 dagar under året. Om den används i tjänsten minst 60 dagar under året, skall utgifterna dras av för alla de dagar som bilen använts i tjänsten. Att bilen används i tjänsten beaktas dock bara om kö</w:t>
      </w:r>
      <w:r w:rsidRPr="00C9680B">
        <w:t>rsträckan är minst 300 mil per år.</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
            </w:pPr>
            <w:r w:rsidRPr="00C9680B">
              <w:t>Avdrag skall göras med 1 krona och</w:t>
            </w:r>
            <w:r w:rsidRPr="00C9680B">
              <w:rPr>
                <w:i/>
              </w:rPr>
              <w:t xml:space="preserve"> 50</w:t>
            </w:r>
            <w:r w:rsidRPr="00C9680B">
              <w:t xml:space="preserve"> öre för varje kilom</w:t>
            </w:r>
            <w:r w:rsidRPr="00C9680B">
              <w:t>e</w:t>
            </w:r>
            <w:r w:rsidRPr="00C9680B">
              <w:t>ter.</w:t>
            </w:r>
          </w:p>
        </w:tc>
        <w:tc>
          <w:tcPr>
            <w:tcW w:w="3090" w:type="dxa"/>
          </w:tcPr>
          <w:p w:rsidR="001C7BF9" w:rsidRPr="00C9680B" w:rsidRDefault="001C7BF9">
            <w:pPr>
              <w:pStyle w:val="Lagtext"/>
            </w:pPr>
            <w:r w:rsidRPr="00C9680B">
              <w:t xml:space="preserve">Avdrag skall göras med 1 krona och </w:t>
            </w:r>
            <w:r w:rsidRPr="00C9680B">
              <w:rPr>
                <w:i/>
              </w:rPr>
              <w:t>60</w:t>
            </w:r>
            <w:r w:rsidRPr="00C9680B">
              <w:t xml:space="preserve"> öre för varje kilom</w:t>
            </w:r>
            <w:r w:rsidRPr="00C9680B">
              <w:t>e</w:t>
            </w:r>
            <w:r w:rsidRPr="00C9680B">
              <w:t>ter.</w:t>
            </w:r>
          </w:p>
        </w:tc>
      </w:tr>
    </w:tbl>
    <w:p w:rsidR="001C7BF9" w:rsidRPr="00C9680B" w:rsidRDefault="001C7BF9">
      <w:pPr>
        <w:pStyle w:val="LagtextIndrag"/>
      </w:pPr>
      <w:r w:rsidRPr="00C9680B">
        <w:t>Utgifter för väg-, bro- och färjeavgifter skall också dras av.</w:t>
      </w:r>
    </w:p>
    <w:p w:rsidR="001C7BF9" w:rsidRPr="00C9680B" w:rsidRDefault="001C7BF9">
      <w:pPr>
        <w:pStyle w:val="LagtextIndrag"/>
      </w:pPr>
    </w:p>
    <w:p w:rsidR="001C7BF9" w:rsidRPr="00C9680B" w:rsidRDefault="001C7BF9">
      <w:pPr>
        <w:pStyle w:val="Lagtext"/>
        <w:jc w:val="center"/>
      </w:pPr>
      <w:r w:rsidRPr="00C9680B">
        <w:rPr>
          <w:b/>
        </w:rPr>
        <w:t>29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För skattskyldiga som gör arbets</w:t>
            </w:r>
            <w:r w:rsidRPr="00C9680B">
              <w:softHyphen/>
              <w:t>resor med sin förmånsbil skall utgift</w:t>
            </w:r>
            <w:r w:rsidRPr="00C9680B">
              <w:softHyphen/>
              <w:t>er för arbetsresor dras av enligt b</w:t>
            </w:r>
            <w:r w:rsidRPr="00C9680B">
              <w:t>e</w:t>
            </w:r>
            <w:r w:rsidRPr="00C9680B">
              <w:t xml:space="preserve">stämmelserna i 26–28 §§. I stället för vad som sägs i 27 § tredje stycket skall utgifter för dieselolja dras av med </w:t>
            </w:r>
            <w:r w:rsidRPr="00C9680B">
              <w:rPr>
                <w:i/>
              </w:rPr>
              <w:t>50</w:t>
            </w:r>
            <w:r w:rsidRPr="00C9680B">
              <w:t xml:space="preserve"> öre för varje kilometer och utgifter för annat drivmedel med </w:t>
            </w:r>
            <w:r w:rsidRPr="00C9680B">
              <w:rPr>
                <w:i/>
              </w:rPr>
              <w:t>80</w:t>
            </w:r>
            <w:r w:rsidRPr="00C9680B">
              <w:t xml:space="preserve"> öre för varje kilometer. Detta gäller också den som gör resorna med en förmånsbil som en närstående till honom eller hans sambo men inte han själv är skattsky</w:t>
            </w:r>
            <w:r w:rsidRPr="00C9680B">
              <w:t>l</w:t>
            </w:r>
            <w:r w:rsidRPr="00C9680B">
              <w:t>dig för.</w:t>
            </w:r>
          </w:p>
        </w:tc>
        <w:tc>
          <w:tcPr>
            <w:tcW w:w="3090" w:type="dxa"/>
          </w:tcPr>
          <w:p w:rsidR="001C7BF9" w:rsidRPr="00C9680B" w:rsidRDefault="001C7BF9">
            <w:pPr>
              <w:pStyle w:val="LagtextIndrag"/>
            </w:pPr>
            <w:r w:rsidRPr="00C9680B">
              <w:t>För skattskyldiga som gör arbets</w:t>
            </w:r>
            <w:r w:rsidRPr="00C9680B">
              <w:softHyphen/>
              <w:t>resor med sin förmånsbil skall utgift</w:t>
            </w:r>
            <w:r w:rsidRPr="00C9680B">
              <w:softHyphen/>
              <w:t>er för arbetsresor dras av enligt b</w:t>
            </w:r>
            <w:r w:rsidRPr="00C9680B">
              <w:t>e</w:t>
            </w:r>
            <w:r w:rsidRPr="00C9680B">
              <w:t xml:space="preserve">stämmelserna i 26–28 §§. I stället för vad som sägs i 27 § tredje stycket skall utgifter för dieselolja dras av med </w:t>
            </w:r>
            <w:r w:rsidRPr="00C9680B">
              <w:rPr>
                <w:i/>
              </w:rPr>
              <w:t>60</w:t>
            </w:r>
            <w:r w:rsidRPr="00C9680B">
              <w:t xml:space="preserve"> öre för varje kilometer och utgifter för annat drivmedel med </w:t>
            </w:r>
            <w:r w:rsidRPr="00C9680B">
              <w:rPr>
                <w:i/>
              </w:rPr>
              <w:t>90</w:t>
            </w:r>
            <w:r w:rsidRPr="00C9680B">
              <w:t xml:space="preserve"> öre för varje kilometer. Detta gäller också den som gör resorna med en förmånsbil som en närstående till honom eller hans sambo men inte han själv är skattsky</w:t>
            </w:r>
            <w:r w:rsidRPr="00C9680B">
              <w:t>l</w:t>
            </w:r>
            <w:r w:rsidRPr="00C9680B">
              <w:t>dig för.</w:t>
            </w:r>
          </w:p>
        </w:tc>
      </w:tr>
    </w:tbl>
    <w:p w:rsidR="001C7BF9" w:rsidRPr="00C9680B" w:rsidRDefault="001C7BF9">
      <w:pPr>
        <w:pStyle w:val="Lagtext"/>
      </w:pPr>
    </w:p>
    <w:p w:rsidR="001C7BF9" w:rsidRPr="00C9680B" w:rsidRDefault="001C7BF9">
      <w:pPr>
        <w:pStyle w:val="Lagtext"/>
        <w:jc w:val="center"/>
      </w:pPr>
      <w:r w:rsidRPr="00C9680B">
        <w:rPr>
          <w:b/>
        </w:rPr>
        <w:t>16 kap.</w:t>
      </w:r>
    </w:p>
    <w:p w:rsidR="001C7BF9" w:rsidRPr="00C9680B" w:rsidRDefault="001C7BF9">
      <w:pPr>
        <w:pStyle w:val="Lagtext"/>
        <w:jc w:val="center"/>
      </w:pPr>
      <w:r w:rsidRPr="00C9680B">
        <w:rPr>
          <w:b/>
        </w:rPr>
        <w:t>27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Utgifter för resor som en näring</w:t>
            </w:r>
            <w:r w:rsidRPr="00C9680B">
              <w:t>s</w:t>
            </w:r>
            <w:r w:rsidRPr="00C9680B">
              <w:t>idkare gör med egen bil i näring</w:t>
            </w:r>
            <w:r w:rsidRPr="00C9680B">
              <w:t>s</w:t>
            </w:r>
            <w:r w:rsidRPr="00C9680B">
              <w:t xml:space="preserve">verksamheten skall dras av med 1 krona och </w:t>
            </w:r>
            <w:r w:rsidRPr="00C9680B">
              <w:rPr>
                <w:i/>
              </w:rPr>
              <w:t xml:space="preserve">50 </w:t>
            </w:r>
            <w:r w:rsidRPr="00C9680B">
              <w:t>öre för varje kilometer. Detta gäller dock inte om bilen är en tillgång i närings</w:t>
            </w:r>
            <w:r w:rsidRPr="00C9680B">
              <w:softHyphen/>
              <w:t>verksamh</w:t>
            </w:r>
            <w:r w:rsidRPr="00C9680B">
              <w:t>e</w:t>
            </w:r>
            <w:r w:rsidRPr="00C9680B">
              <w:t xml:space="preserve">ten. </w:t>
            </w:r>
          </w:p>
          <w:p w:rsidR="001C7BF9" w:rsidRPr="00C9680B" w:rsidRDefault="001C7BF9">
            <w:pPr>
              <w:pStyle w:val="LagtextIndrag"/>
            </w:pPr>
            <w:r w:rsidRPr="00C9680B">
              <w:t>Om en sådan delägare i ett svenskt handelsbolag som skall uttags</w:t>
            </w:r>
            <w:r w:rsidRPr="00C9680B">
              <w:softHyphen/>
              <w:t>beskattas för bilförmån från bolaget använder bilen för resor i närings</w:t>
            </w:r>
            <w:r w:rsidRPr="00C9680B">
              <w:softHyphen/>
              <w:t>verksamheten och betalar samtliga utgifter för drivmedel som är fören</w:t>
            </w:r>
            <w:r w:rsidRPr="00C9680B">
              <w:t>a</w:t>
            </w:r>
            <w:r w:rsidRPr="00C9680B">
              <w:t xml:space="preserve">de med resorna, skall utgifter för dieselolja dras av med </w:t>
            </w:r>
            <w:r w:rsidRPr="00C9680B">
              <w:rPr>
                <w:i/>
              </w:rPr>
              <w:t xml:space="preserve">50 </w:t>
            </w:r>
            <w:r w:rsidRPr="00C9680B">
              <w:t xml:space="preserve">öre för varje kilometer och utgifter för annat drivmedel med </w:t>
            </w:r>
            <w:r w:rsidRPr="00C9680B">
              <w:rPr>
                <w:i/>
              </w:rPr>
              <w:t xml:space="preserve">80 </w:t>
            </w:r>
            <w:r w:rsidRPr="00C9680B">
              <w:t>öre för varje kil</w:t>
            </w:r>
            <w:r w:rsidRPr="00C9680B">
              <w:t>o</w:t>
            </w:r>
            <w:r w:rsidRPr="00C9680B">
              <w:t>meter.</w:t>
            </w:r>
          </w:p>
        </w:tc>
        <w:tc>
          <w:tcPr>
            <w:tcW w:w="3090" w:type="dxa"/>
          </w:tcPr>
          <w:p w:rsidR="001C7BF9" w:rsidRPr="00C9680B" w:rsidRDefault="001C7BF9">
            <w:pPr>
              <w:pStyle w:val="LagtextIndrag"/>
            </w:pPr>
            <w:r w:rsidRPr="00C9680B">
              <w:t>Utgifter för resor som en näring</w:t>
            </w:r>
            <w:r w:rsidRPr="00C9680B">
              <w:t>s</w:t>
            </w:r>
            <w:r w:rsidRPr="00C9680B">
              <w:t>idkare gör med egen bil i näring</w:t>
            </w:r>
            <w:r w:rsidRPr="00C9680B">
              <w:t>s</w:t>
            </w:r>
            <w:r w:rsidRPr="00C9680B">
              <w:t xml:space="preserve">verksamheten skall dras av med 1 krona och </w:t>
            </w:r>
            <w:r w:rsidRPr="00C9680B">
              <w:rPr>
                <w:i/>
              </w:rPr>
              <w:t>60</w:t>
            </w:r>
            <w:r w:rsidRPr="00C9680B">
              <w:t xml:space="preserve"> öre för varje kilometer. Detta gäller dock inte om bilen är en tillgång i närings</w:t>
            </w:r>
            <w:r w:rsidRPr="00C9680B">
              <w:softHyphen/>
              <w:t>verksamheten.</w:t>
            </w:r>
          </w:p>
          <w:p w:rsidR="001C7BF9" w:rsidRPr="00C9680B" w:rsidRDefault="001C7BF9">
            <w:pPr>
              <w:pStyle w:val="LagtextIndrag"/>
            </w:pPr>
            <w:r w:rsidRPr="00C9680B">
              <w:t>Om en sådan delägare i ett svenskt handelsbolag som skall uttags</w:t>
            </w:r>
            <w:r w:rsidRPr="00C9680B">
              <w:softHyphen/>
              <w:t>beskattas för bilförmån från bolaget använder bilen för resor i närings</w:t>
            </w:r>
            <w:r w:rsidRPr="00C9680B">
              <w:softHyphen/>
              <w:t>verksamheten och betalar samtliga utgifter för drivmedel som är fören</w:t>
            </w:r>
            <w:r w:rsidRPr="00C9680B">
              <w:t>a</w:t>
            </w:r>
            <w:r w:rsidRPr="00C9680B">
              <w:t xml:space="preserve">de med resorna, skall utgifter för dieselolja dras av med </w:t>
            </w:r>
            <w:r w:rsidRPr="00C9680B">
              <w:rPr>
                <w:i/>
              </w:rPr>
              <w:t xml:space="preserve">60 </w:t>
            </w:r>
            <w:r w:rsidRPr="00C9680B">
              <w:t xml:space="preserve">öre för varje kilometer och utgifter för annat drivmedel med </w:t>
            </w:r>
            <w:r w:rsidRPr="00C9680B">
              <w:rPr>
                <w:i/>
              </w:rPr>
              <w:t>90</w:t>
            </w:r>
            <w:r w:rsidRPr="00C9680B">
              <w:t xml:space="preserve"> öre för varje kil</w:t>
            </w:r>
            <w:r w:rsidRPr="00C9680B">
              <w:t>o</w:t>
            </w:r>
            <w:r w:rsidRPr="00C9680B">
              <w:t>meter.</w:t>
            </w:r>
          </w:p>
        </w:tc>
      </w:tr>
    </w:tbl>
    <w:p w:rsidR="001C7BF9" w:rsidRPr="00C9680B" w:rsidRDefault="001C7BF9">
      <w:pPr>
        <w:pStyle w:val="LagtextIndrag"/>
      </w:pPr>
    </w:p>
    <w:p w:rsidR="001C7BF9" w:rsidRPr="00C9680B" w:rsidRDefault="001C7BF9">
      <w:pPr>
        <w:pStyle w:val="Lagtext"/>
        <w:jc w:val="center"/>
      </w:pPr>
      <w:r w:rsidRPr="00C9680B">
        <w:rPr>
          <w:b/>
        </w:rPr>
        <w:t>45 kap.</w:t>
      </w:r>
    </w:p>
    <w:p w:rsidR="001C7BF9" w:rsidRPr="00C9680B" w:rsidRDefault="001C7BF9">
      <w:pPr>
        <w:pStyle w:val="Lagtext"/>
        <w:jc w:val="center"/>
      </w:pPr>
      <w:r w:rsidRPr="00C9680B">
        <w:rPr>
          <w:b/>
        </w:rPr>
        <w:t>33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 xml:space="preserve">I inkomstslaget kapital skall </w:t>
            </w:r>
            <w:r w:rsidRPr="00C9680B">
              <w:rPr>
                <w:i/>
              </w:rPr>
              <w:t xml:space="preserve">50 procent </w:t>
            </w:r>
            <w:r w:rsidRPr="00C9680B">
              <w:t>av kapitalvinsten på en pr</w:t>
            </w:r>
            <w:r w:rsidRPr="00C9680B">
              <w:t>i</w:t>
            </w:r>
            <w:r w:rsidRPr="00C9680B">
              <w:t>vatbostadsfastighet och 90 procent av kapitalvinsten på en närings</w:t>
            </w:r>
            <w:r w:rsidRPr="00C9680B">
              <w:softHyphen/>
              <w:t>fastig</w:t>
            </w:r>
            <w:r w:rsidRPr="00C9680B">
              <w:softHyphen/>
              <w:t>het tas upp.</w:t>
            </w:r>
          </w:p>
        </w:tc>
        <w:tc>
          <w:tcPr>
            <w:tcW w:w="3090" w:type="dxa"/>
          </w:tcPr>
          <w:p w:rsidR="001C7BF9" w:rsidRPr="00C9680B" w:rsidRDefault="001C7BF9">
            <w:pPr>
              <w:pStyle w:val="LagtextIndrag"/>
            </w:pPr>
            <w:r w:rsidRPr="00C9680B">
              <w:t xml:space="preserve">I inkomstslaget kapital skall </w:t>
            </w:r>
            <w:r w:rsidRPr="00C9680B">
              <w:rPr>
                <w:i/>
              </w:rPr>
              <w:t xml:space="preserve">två tredjedelar </w:t>
            </w:r>
            <w:r w:rsidRPr="00C9680B">
              <w:t>av kapitalvinsten på en privatbostadsfastighet och 90 procent av kapitalvin</w:t>
            </w:r>
            <w:r w:rsidRPr="00C9680B">
              <w:t>s</w:t>
            </w:r>
            <w:r w:rsidRPr="00C9680B">
              <w:t>ten på en närings</w:t>
            </w:r>
            <w:r w:rsidRPr="00C9680B">
              <w:softHyphen/>
              <w:t>fastig</w:t>
            </w:r>
            <w:r w:rsidRPr="00C9680B">
              <w:softHyphen/>
              <w:t>het tas upp.</w:t>
            </w:r>
          </w:p>
        </w:tc>
      </w:tr>
    </w:tbl>
    <w:p w:rsidR="001C7BF9" w:rsidRPr="00C9680B" w:rsidRDefault="001C7BF9">
      <w:pPr>
        <w:pStyle w:val="LagtextIndrag"/>
      </w:pPr>
      <w:r w:rsidRPr="00C9680B">
        <w:t>Uppkommer det en kapitalförlust, skall i det förra fallet 50 procent av fö</w:t>
      </w:r>
      <w:r w:rsidRPr="00C9680B">
        <w:t>r</w:t>
      </w:r>
      <w:r w:rsidRPr="00C9680B">
        <w:t xml:space="preserve">lusten och i det senare fallet 63 procent av förlusten dras av. </w:t>
      </w:r>
    </w:p>
    <w:p w:rsidR="001C7BF9" w:rsidRPr="00C9680B" w:rsidRDefault="001C7BF9">
      <w:pPr>
        <w:pStyle w:val="Lagtext"/>
      </w:pPr>
    </w:p>
    <w:p w:rsidR="001C7BF9" w:rsidRPr="00C9680B" w:rsidRDefault="001C7BF9">
      <w:pPr>
        <w:pStyle w:val="Lagtext"/>
        <w:jc w:val="center"/>
      </w:pPr>
      <w:r w:rsidRPr="00C9680B">
        <w:rPr>
          <w:b/>
        </w:rPr>
        <w:t>46 kap.</w:t>
      </w:r>
    </w:p>
    <w:p w:rsidR="001C7BF9" w:rsidRPr="00C9680B" w:rsidRDefault="001C7BF9">
      <w:pPr>
        <w:pStyle w:val="Lagtext"/>
        <w:jc w:val="center"/>
      </w:pPr>
      <w:r w:rsidRPr="00C9680B">
        <w:rPr>
          <w:b/>
        </w:rPr>
        <w:t>18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 xml:space="preserve">I inkomstslaget kapital skall </w:t>
            </w:r>
            <w:r w:rsidRPr="00C9680B">
              <w:rPr>
                <w:i/>
              </w:rPr>
              <w:t>50</w:t>
            </w:r>
            <w:r w:rsidRPr="00C9680B">
              <w:t xml:space="preserve"> </w:t>
            </w:r>
            <w:r w:rsidRPr="00C9680B">
              <w:rPr>
                <w:i/>
              </w:rPr>
              <w:t>procent</w:t>
            </w:r>
            <w:r w:rsidRPr="00C9680B">
              <w:t xml:space="preserve"> av kapitalvinsten på en pr</w:t>
            </w:r>
            <w:r w:rsidRPr="00C9680B">
              <w:t>i</w:t>
            </w:r>
            <w:r w:rsidRPr="00C9680B">
              <w:t>vatbostadsrätt och 90 procent av kapitalvinsten på en närings</w:t>
            </w:r>
            <w:r w:rsidRPr="00C9680B">
              <w:softHyphen/>
              <w:t>bostad</w:t>
            </w:r>
            <w:r w:rsidRPr="00C9680B">
              <w:t>s</w:t>
            </w:r>
            <w:r w:rsidRPr="00C9680B">
              <w:softHyphen/>
              <w:t>rätt tas upp.</w:t>
            </w:r>
          </w:p>
        </w:tc>
        <w:tc>
          <w:tcPr>
            <w:tcW w:w="3090" w:type="dxa"/>
          </w:tcPr>
          <w:p w:rsidR="001C7BF9" w:rsidRPr="00C9680B" w:rsidRDefault="001C7BF9">
            <w:pPr>
              <w:pStyle w:val="LagtextIndrag"/>
            </w:pPr>
            <w:r w:rsidRPr="00C9680B">
              <w:t xml:space="preserve">I inkomstslaget kapital skall </w:t>
            </w:r>
            <w:r w:rsidRPr="00C9680B">
              <w:rPr>
                <w:i/>
              </w:rPr>
              <w:t xml:space="preserve">två tredjedelar </w:t>
            </w:r>
            <w:r w:rsidRPr="00C9680B">
              <w:t>av kapitalvinsten på en privatbostadsrätt och 90 procent av kapitalvinsten på en närings</w:t>
            </w:r>
            <w:r w:rsidRPr="00C9680B">
              <w:softHyphen/>
              <w:t>bostad</w:t>
            </w:r>
            <w:r w:rsidRPr="00C9680B">
              <w:t>s</w:t>
            </w:r>
            <w:r w:rsidRPr="00C9680B">
              <w:softHyphen/>
              <w:t>rätt tas upp.</w:t>
            </w:r>
          </w:p>
        </w:tc>
      </w:tr>
    </w:tbl>
    <w:p w:rsidR="001C7BF9" w:rsidRPr="00C9680B" w:rsidRDefault="001C7BF9">
      <w:pPr>
        <w:pStyle w:val="LagtextIndrag"/>
      </w:pPr>
      <w:r w:rsidRPr="00C9680B">
        <w:t>Uppkommer det en kapitalförlust, skall i det förra fallet 50 procent av fö</w:t>
      </w:r>
      <w:r w:rsidRPr="00C9680B">
        <w:t>r</w:t>
      </w:r>
      <w:r w:rsidRPr="00C9680B">
        <w:t xml:space="preserve">lusten och i det senare fallet 63 procent av förlusten dras av. </w:t>
      </w:r>
    </w:p>
    <w:p w:rsidR="001C7BF9" w:rsidRPr="00C9680B" w:rsidRDefault="001C7BF9">
      <w:pPr>
        <w:pStyle w:val="Lagtext"/>
      </w:pPr>
    </w:p>
    <w:p w:rsidR="001C7BF9" w:rsidRPr="00C9680B" w:rsidRDefault="001C7BF9">
      <w:pPr>
        <w:pStyle w:val="Lagtext"/>
        <w:jc w:val="center"/>
      </w:pPr>
      <w:r w:rsidRPr="00C9680B">
        <w:rPr>
          <w:b/>
        </w:rPr>
        <w:t>63 kap.</w:t>
      </w:r>
    </w:p>
    <w:p w:rsidR="001C7BF9" w:rsidRPr="00C9680B" w:rsidRDefault="001C7BF9">
      <w:pPr>
        <w:pStyle w:val="Lagtext"/>
        <w:jc w:val="center"/>
      </w:pPr>
      <w:r w:rsidRPr="00C9680B">
        <w:rPr>
          <w:b/>
        </w:rPr>
        <w:t>2 §</w:t>
      </w:r>
    </w:p>
    <w:p w:rsidR="001C7BF9" w:rsidRPr="00C9680B" w:rsidRDefault="001C7BF9">
      <w:pPr>
        <w:pStyle w:val="LagtextIndrag"/>
      </w:pPr>
      <w:r w:rsidRPr="00C9680B">
        <w:t>Fysiska personer som är obegränsat skattskyldiga under någon del av b</w:t>
      </w:r>
      <w:r w:rsidRPr="00C9680B">
        <w:t>e</w:t>
      </w:r>
      <w:r w:rsidRPr="00C9680B">
        <w:t>skattningsåret och haft förvärvsinkomst har rätt till grundavdrag beräknat enligt 3–5 §§ eller särskilt grundavdrag beräknat enligt 6–10 §§. Bestämme</w:t>
      </w:r>
      <w:r w:rsidRPr="00C9680B">
        <w:t>l</w:t>
      </w:r>
      <w:r w:rsidRPr="00C9680B">
        <w:t>serna om särskilt grundavdrag tillämpas bara om de leder till ett högre a</w:t>
      </w:r>
      <w:r w:rsidRPr="00C9680B">
        <w:t>v</w:t>
      </w:r>
      <w:r w:rsidRPr="00C9680B">
        <w:t>drag.</w:t>
      </w:r>
    </w:p>
    <w:p w:rsidR="001C7BF9" w:rsidRPr="00C9680B" w:rsidRDefault="001C7BF9">
      <w:pPr>
        <w:pStyle w:val="LagtextIndrag"/>
      </w:pPr>
      <w:r w:rsidRPr="00C9680B">
        <w:t>Dödsbon har inte rätt till avdrag för senare år än det år då dödsfallet inträ</w:t>
      </w:r>
      <w:r w:rsidRPr="00C9680B">
        <w:t>f</w:t>
      </w:r>
      <w:r w:rsidRPr="00C9680B">
        <w:t>fade.</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89"/>
      </w:tblGrid>
      <w:tr w:rsidR="00000000" w:rsidRPr="00C9680B">
        <w:tblPrEx>
          <w:tblCellMar>
            <w:top w:w="0" w:type="dxa"/>
            <w:bottom w:w="0" w:type="dxa"/>
          </w:tblCellMar>
        </w:tblPrEx>
        <w:tc>
          <w:tcPr>
            <w:tcW w:w="3090" w:type="dxa"/>
          </w:tcPr>
          <w:p w:rsidR="001C7BF9" w:rsidRPr="00C9680B" w:rsidRDefault="001C7BF9">
            <w:pPr>
              <w:pStyle w:val="LagtextIndrag"/>
            </w:pPr>
            <w:r w:rsidRPr="00C9680B">
              <w:t xml:space="preserve">Avdraget skall avrundas </w:t>
            </w:r>
            <w:r w:rsidRPr="00C9680B">
              <w:rPr>
                <w:i/>
              </w:rPr>
              <w:t>nedåt</w:t>
            </w:r>
            <w:r w:rsidRPr="00C9680B">
              <w:t xml:space="preserve"> till </w:t>
            </w:r>
            <w:r w:rsidRPr="00C9680B">
              <w:rPr>
                <w:i/>
              </w:rPr>
              <w:t>helt</w:t>
            </w:r>
            <w:r w:rsidRPr="00C9680B">
              <w:t xml:space="preserve"> hundratal kronor.</w:t>
            </w:r>
          </w:p>
        </w:tc>
        <w:tc>
          <w:tcPr>
            <w:tcW w:w="3089" w:type="dxa"/>
          </w:tcPr>
          <w:p w:rsidR="001C7BF9" w:rsidRPr="00C9680B" w:rsidRDefault="001C7BF9">
            <w:pPr>
              <w:pStyle w:val="LagtextIndrag"/>
            </w:pPr>
            <w:r w:rsidRPr="00C9680B">
              <w:t xml:space="preserve">Avdraget skall avrundas till </w:t>
            </w:r>
            <w:r w:rsidRPr="00C9680B">
              <w:rPr>
                <w:i/>
              </w:rPr>
              <w:t>nä</w:t>
            </w:r>
            <w:r w:rsidRPr="00C9680B">
              <w:rPr>
                <w:i/>
              </w:rPr>
              <w:t>r</w:t>
            </w:r>
            <w:r w:rsidRPr="00C9680B">
              <w:rPr>
                <w:i/>
              </w:rPr>
              <w:t xml:space="preserve">maste </w:t>
            </w:r>
            <w:r w:rsidRPr="00C9680B">
              <w:t>hundratal kronor.</w:t>
            </w:r>
          </w:p>
        </w:tc>
      </w:tr>
    </w:tbl>
    <w:p w:rsidR="001C7BF9" w:rsidRPr="00C9680B" w:rsidRDefault="001C7BF9">
      <w:pPr>
        <w:pStyle w:val="Lagtext"/>
      </w:pPr>
    </w:p>
    <w:p w:rsidR="001C7BF9" w:rsidRPr="00C9680B" w:rsidRDefault="001C7BF9">
      <w:pPr>
        <w:pStyle w:val="LagRubrik2"/>
        <w:keepNext/>
        <w:jc w:val="center"/>
        <w:outlineLvl w:val="0"/>
        <w:rPr>
          <w:sz w:val="19"/>
        </w:rPr>
      </w:pPr>
      <w:r w:rsidRPr="00C9680B">
        <w:rPr>
          <w:sz w:val="19"/>
        </w:rPr>
        <w:t>Nuvarande lydelse</w:t>
      </w:r>
    </w:p>
    <w:p w:rsidR="001C7BF9" w:rsidRPr="00C9680B" w:rsidRDefault="001C7BF9">
      <w:pPr>
        <w:pStyle w:val="Lagtext"/>
        <w:keepNext/>
        <w:jc w:val="center"/>
      </w:pPr>
      <w:r w:rsidRPr="00C9680B">
        <w:rPr>
          <w:b/>
        </w:rPr>
        <w:t>3 §</w:t>
      </w:r>
    </w:p>
    <w:p w:rsidR="001C7BF9" w:rsidRPr="00C9680B" w:rsidRDefault="001C7BF9">
      <w:pPr>
        <w:pStyle w:val="LagtextIndrag"/>
      </w:pPr>
      <w:r w:rsidRPr="00C9680B">
        <w:t>För dem som är obegränsat skattskyldiga under hela beskattningsåret upp</w:t>
      </w:r>
      <w:r w:rsidRPr="00C9680B">
        <w:softHyphen/>
        <w:t>går grundavdraget till följande belopp.</w:t>
      </w:r>
    </w:p>
    <w:p w:rsidR="001C7BF9" w:rsidRPr="00C9680B" w:rsidRDefault="001C7BF9">
      <w:pPr>
        <w:pStyle w:val="LagtextIndrag"/>
      </w:pPr>
    </w:p>
    <w:tbl>
      <w:tblPr>
        <w:tblW w:w="0" w:type="auto"/>
        <w:tblInd w:w="-70" w:type="dxa"/>
        <w:tblLayout w:type="fixed"/>
        <w:tblCellMar>
          <w:left w:w="70" w:type="dxa"/>
          <w:right w:w="70" w:type="dxa"/>
        </w:tblCellMar>
        <w:tblLook w:val="0000" w:firstRow="0" w:lastRow="0" w:firstColumn="0" w:lastColumn="0" w:noHBand="0" w:noVBand="0"/>
      </w:tblPr>
      <w:tblGrid>
        <w:gridCol w:w="2764"/>
        <w:gridCol w:w="284"/>
        <w:gridCol w:w="3016"/>
      </w:tblGrid>
      <w:tr w:rsidR="00000000" w:rsidRPr="00C9680B">
        <w:tblPrEx>
          <w:tblCellMar>
            <w:top w:w="0" w:type="dxa"/>
            <w:bottom w:w="0" w:type="dxa"/>
          </w:tblCellMar>
        </w:tblPrEx>
        <w:tc>
          <w:tcPr>
            <w:tcW w:w="2764" w:type="dxa"/>
          </w:tcPr>
          <w:p w:rsidR="001C7BF9" w:rsidRPr="00C9680B" w:rsidRDefault="001C7BF9">
            <w:pPr>
              <w:pStyle w:val="Lagtext"/>
              <w:rPr>
                <w:i/>
                <w:u w:val="single"/>
              </w:rPr>
            </w:pPr>
            <w:r w:rsidRPr="00C9680B">
              <w:rPr>
                <w:i/>
                <w:u w:val="single"/>
              </w:rPr>
              <w:t>Taxerad förvärvsi</w:t>
            </w:r>
            <w:r w:rsidRPr="00C9680B">
              <w:rPr>
                <w:i/>
                <w:u w:val="single"/>
              </w:rPr>
              <w:t>n</w:t>
            </w:r>
            <w:r w:rsidRPr="00C9680B">
              <w:rPr>
                <w:i/>
                <w:u w:val="single"/>
              </w:rPr>
              <w:t>komst</w:t>
            </w:r>
          </w:p>
        </w:tc>
        <w:tc>
          <w:tcPr>
            <w:tcW w:w="284" w:type="dxa"/>
          </w:tcPr>
          <w:p w:rsidR="001C7BF9" w:rsidRPr="00C9680B" w:rsidRDefault="001C7BF9">
            <w:pPr>
              <w:pStyle w:val="LagtextIndrag"/>
            </w:pPr>
          </w:p>
        </w:tc>
        <w:tc>
          <w:tcPr>
            <w:tcW w:w="3016" w:type="dxa"/>
          </w:tcPr>
          <w:p w:rsidR="001C7BF9" w:rsidRPr="00C9680B" w:rsidRDefault="001C7BF9">
            <w:pPr>
              <w:pStyle w:val="Lagtext"/>
              <w:rPr>
                <w:i/>
                <w:u w:val="single"/>
              </w:rPr>
            </w:pPr>
            <w:r w:rsidRPr="00C9680B">
              <w:rPr>
                <w:i/>
                <w:u w:val="single"/>
              </w:rPr>
              <w:t>Grundavdrag</w:t>
            </w:r>
          </w:p>
          <w:p w:rsidR="001C7BF9" w:rsidRPr="00C9680B" w:rsidRDefault="001C7BF9">
            <w:pPr>
              <w:pStyle w:val="LagtextIndrag"/>
            </w:pPr>
          </w:p>
        </w:tc>
      </w:tr>
      <w:tr w:rsidR="00000000" w:rsidRPr="00C9680B">
        <w:tblPrEx>
          <w:tblCellMar>
            <w:top w:w="0" w:type="dxa"/>
            <w:bottom w:w="0" w:type="dxa"/>
          </w:tblCellMar>
        </w:tblPrEx>
        <w:tc>
          <w:tcPr>
            <w:tcW w:w="2764" w:type="dxa"/>
          </w:tcPr>
          <w:p w:rsidR="001C7BF9" w:rsidRPr="00C9680B" w:rsidRDefault="001C7BF9">
            <w:pPr>
              <w:pStyle w:val="Lagtext"/>
            </w:pPr>
            <w:r w:rsidRPr="00C9680B">
              <w:t>överstiger inte 1,86 prisba</w:t>
            </w:r>
            <w:r w:rsidRPr="00C9680B">
              <w:t>s</w:t>
            </w:r>
            <w:r w:rsidRPr="00C9680B">
              <w:softHyphen/>
              <w:t>belopp</w:t>
            </w:r>
          </w:p>
          <w:p w:rsidR="001C7BF9" w:rsidRPr="00C9680B" w:rsidRDefault="001C7BF9">
            <w:pPr>
              <w:pStyle w:val="Lagtext"/>
            </w:pPr>
          </w:p>
        </w:tc>
        <w:tc>
          <w:tcPr>
            <w:tcW w:w="284" w:type="dxa"/>
          </w:tcPr>
          <w:p w:rsidR="001C7BF9" w:rsidRPr="00C9680B" w:rsidRDefault="001C7BF9">
            <w:pPr>
              <w:pStyle w:val="Lagtext"/>
            </w:pPr>
          </w:p>
        </w:tc>
        <w:tc>
          <w:tcPr>
            <w:tcW w:w="3016" w:type="dxa"/>
          </w:tcPr>
          <w:p w:rsidR="001C7BF9" w:rsidRPr="00C9680B" w:rsidRDefault="001C7BF9">
            <w:pPr>
              <w:pStyle w:val="Lagtext"/>
            </w:pPr>
            <w:r w:rsidRPr="00C9680B">
              <w:rPr>
                <w:i/>
              </w:rPr>
              <w:t>0,24</w:t>
            </w:r>
            <w:r w:rsidRPr="00C9680B">
              <w:t xml:space="preserve"> prisbasbelopp</w:t>
            </w:r>
          </w:p>
        </w:tc>
      </w:tr>
      <w:tr w:rsidR="00000000" w:rsidRPr="00C9680B">
        <w:tblPrEx>
          <w:tblCellMar>
            <w:top w:w="0" w:type="dxa"/>
            <w:bottom w:w="0" w:type="dxa"/>
          </w:tblCellMar>
        </w:tblPrEx>
        <w:tc>
          <w:tcPr>
            <w:tcW w:w="2764" w:type="dxa"/>
          </w:tcPr>
          <w:p w:rsidR="001C7BF9" w:rsidRPr="00C9680B" w:rsidRDefault="001C7BF9">
            <w:pPr>
              <w:pStyle w:val="Lagtext"/>
            </w:pPr>
            <w:r w:rsidRPr="00C9680B">
              <w:t>överstiger 1,86 men inte 2,89 pris</w:t>
            </w:r>
            <w:r w:rsidRPr="00C9680B">
              <w:softHyphen/>
            </w:r>
            <w:r w:rsidRPr="00C9680B">
              <w:softHyphen/>
              <w:t>ba</w:t>
            </w:r>
            <w:r w:rsidRPr="00C9680B">
              <w:t>s</w:t>
            </w:r>
            <w:r w:rsidRPr="00C9680B">
              <w:t>belopp</w:t>
            </w:r>
          </w:p>
        </w:tc>
        <w:tc>
          <w:tcPr>
            <w:tcW w:w="284" w:type="dxa"/>
          </w:tcPr>
          <w:p w:rsidR="001C7BF9" w:rsidRPr="00C9680B" w:rsidRDefault="001C7BF9">
            <w:pPr>
              <w:pStyle w:val="Lagtext"/>
            </w:pPr>
          </w:p>
        </w:tc>
        <w:tc>
          <w:tcPr>
            <w:tcW w:w="3016" w:type="dxa"/>
          </w:tcPr>
          <w:p w:rsidR="001C7BF9" w:rsidRPr="00C9680B" w:rsidRDefault="001C7BF9">
            <w:pPr>
              <w:pStyle w:val="Lagtext"/>
            </w:pPr>
            <w:r w:rsidRPr="00C9680B">
              <w:rPr>
                <w:i/>
              </w:rPr>
              <w:t>0,24</w:t>
            </w:r>
            <w:r w:rsidRPr="00C9680B">
              <w:t xml:space="preserve"> prisbasbelopp ökat med 25 procent av det belopp med vilket den taxerade förvärvsi</w:t>
            </w:r>
            <w:r w:rsidRPr="00C9680B">
              <w:t>n</w:t>
            </w:r>
            <w:r w:rsidRPr="00C9680B">
              <w:t>komsten överstig</w:t>
            </w:r>
            <w:r w:rsidRPr="00C9680B">
              <w:softHyphen/>
              <w:t>er 1,86 prisbasb</w:t>
            </w:r>
            <w:r w:rsidRPr="00C9680B">
              <w:t>e</w:t>
            </w:r>
            <w:r w:rsidRPr="00C9680B">
              <w:t>lopp</w:t>
            </w:r>
          </w:p>
          <w:p w:rsidR="001C7BF9" w:rsidRPr="00C9680B" w:rsidRDefault="001C7BF9">
            <w:pPr>
              <w:pStyle w:val="Lagtext"/>
            </w:pPr>
          </w:p>
        </w:tc>
      </w:tr>
      <w:tr w:rsidR="00000000" w:rsidRPr="00C9680B">
        <w:tblPrEx>
          <w:tblCellMar>
            <w:top w:w="0" w:type="dxa"/>
            <w:bottom w:w="0" w:type="dxa"/>
          </w:tblCellMar>
        </w:tblPrEx>
        <w:tc>
          <w:tcPr>
            <w:tcW w:w="2764" w:type="dxa"/>
          </w:tcPr>
          <w:p w:rsidR="001C7BF9" w:rsidRPr="00C9680B" w:rsidRDefault="001C7BF9">
            <w:pPr>
              <w:pStyle w:val="Lagtext"/>
            </w:pPr>
            <w:bookmarkStart w:id="766" w:name="rub" w:colFirst="0" w:colLast="3"/>
            <w:r w:rsidRPr="00C9680B">
              <w:t xml:space="preserve"> överstiger 2,89 men inte 3,04 pris</w:t>
            </w:r>
            <w:r w:rsidRPr="00C9680B">
              <w:softHyphen/>
              <w:t>ba</w:t>
            </w:r>
            <w:r w:rsidRPr="00C9680B">
              <w:t>s</w:t>
            </w:r>
            <w:r w:rsidRPr="00C9680B">
              <w:t>belopp</w:t>
            </w:r>
          </w:p>
          <w:p w:rsidR="001C7BF9" w:rsidRPr="00C9680B" w:rsidRDefault="001C7BF9">
            <w:pPr>
              <w:pStyle w:val="Lagtext"/>
            </w:pPr>
          </w:p>
        </w:tc>
        <w:tc>
          <w:tcPr>
            <w:tcW w:w="284" w:type="dxa"/>
          </w:tcPr>
          <w:p w:rsidR="001C7BF9" w:rsidRPr="00C9680B" w:rsidRDefault="001C7BF9">
            <w:pPr>
              <w:pStyle w:val="Lagtext"/>
            </w:pPr>
          </w:p>
        </w:tc>
        <w:tc>
          <w:tcPr>
            <w:tcW w:w="3016" w:type="dxa"/>
          </w:tcPr>
          <w:p w:rsidR="001C7BF9" w:rsidRPr="00C9680B" w:rsidRDefault="001C7BF9">
            <w:pPr>
              <w:pStyle w:val="Lagtext"/>
            </w:pPr>
            <w:r w:rsidRPr="00C9680B">
              <w:rPr>
                <w:i/>
              </w:rPr>
              <w:t>0,4975</w:t>
            </w:r>
            <w:r w:rsidRPr="00C9680B">
              <w:t xml:space="preserve"> prisbasbelopp</w:t>
            </w:r>
          </w:p>
        </w:tc>
      </w:tr>
      <w:bookmarkEnd w:id="766"/>
      <w:tr w:rsidR="00000000" w:rsidRPr="00C9680B">
        <w:tblPrEx>
          <w:tblCellMar>
            <w:top w:w="0" w:type="dxa"/>
            <w:bottom w:w="0" w:type="dxa"/>
          </w:tblCellMar>
        </w:tblPrEx>
        <w:tc>
          <w:tcPr>
            <w:tcW w:w="2764" w:type="dxa"/>
          </w:tcPr>
          <w:p w:rsidR="001C7BF9" w:rsidRPr="00C9680B" w:rsidRDefault="001C7BF9">
            <w:pPr>
              <w:pStyle w:val="Lagtext"/>
            </w:pPr>
            <w:r w:rsidRPr="00C9680B">
              <w:t>överstiger 3,04 men inte 5,615 pri</w:t>
            </w:r>
            <w:r w:rsidRPr="00C9680B">
              <w:t>s</w:t>
            </w:r>
            <w:r w:rsidRPr="00C9680B">
              <w:softHyphen/>
              <w:t>basbelopp</w:t>
            </w:r>
          </w:p>
        </w:tc>
        <w:tc>
          <w:tcPr>
            <w:tcW w:w="284" w:type="dxa"/>
          </w:tcPr>
          <w:p w:rsidR="001C7BF9" w:rsidRPr="00C9680B" w:rsidRDefault="001C7BF9">
            <w:pPr>
              <w:pStyle w:val="Lagtext"/>
            </w:pPr>
          </w:p>
        </w:tc>
        <w:tc>
          <w:tcPr>
            <w:tcW w:w="3016" w:type="dxa"/>
          </w:tcPr>
          <w:p w:rsidR="001C7BF9" w:rsidRPr="00C9680B" w:rsidRDefault="001C7BF9">
            <w:pPr>
              <w:pStyle w:val="Lagtext"/>
            </w:pPr>
            <w:r w:rsidRPr="00C9680B">
              <w:rPr>
                <w:i/>
              </w:rPr>
              <w:t>0,4975</w:t>
            </w:r>
            <w:r w:rsidRPr="00C9680B">
              <w:t xml:space="preserve"> prisbasbelopp minskat med 10 procent av det belopp med vilket den taxerade förvärvsinkomsten över</w:t>
            </w:r>
            <w:r w:rsidRPr="00C9680B">
              <w:softHyphen/>
            </w:r>
            <w:r w:rsidRPr="00C9680B">
              <w:softHyphen/>
              <w:t>stiger 3,04 prisba</w:t>
            </w:r>
            <w:r w:rsidRPr="00C9680B">
              <w:t>s</w:t>
            </w:r>
            <w:r w:rsidRPr="00C9680B">
              <w:t>belopp</w:t>
            </w:r>
          </w:p>
          <w:p w:rsidR="001C7BF9" w:rsidRPr="00C9680B" w:rsidRDefault="001C7BF9">
            <w:pPr>
              <w:pStyle w:val="Lagtext"/>
            </w:pPr>
          </w:p>
        </w:tc>
      </w:tr>
      <w:tr w:rsidR="00000000" w:rsidRPr="00C9680B">
        <w:tblPrEx>
          <w:tblCellMar>
            <w:top w:w="0" w:type="dxa"/>
            <w:bottom w:w="0" w:type="dxa"/>
          </w:tblCellMar>
        </w:tblPrEx>
        <w:tc>
          <w:tcPr>
            <w:tcW w:w="2764" w:type="dxa"/>
          </w:tcPr>
          <w:p w:rsidR="001C7BF9" w:rsidRPr="00C9680B" w:rsidRDefault="001C7BF9">
            <w:pPr>
              <w:pStyle w:val="Lagtext"/>
            </w:pPr>
            <w:r w:rsidRPr="00C9680B">
              <w:t>överstiger 5,615 prisbas</w:t>
            </w:r>
            <w:r w:rsidRPr="00C9680B">
              <w:softHyphen/>
              <w:t>b</w:t>
            </w:r>
            <w:r w:rsidRPr="00C9680B">
              <w:t>e</w:t>
            </w:r>
            <w:r w:rsidRPr="00C9680B">
              <w:t>lopp</w:t>
            </w:r>
          </w:p>
        </w:tc>
        <w:tc>
          <w:tcPr>
            <w:tcW w:w="284" w:type="dxa"/>
          </w:tcPr>
          <w:p w:rsidR="001C7BF9" w:rsidRPr="00C9680B" w:rsidRDefault="001C7BF9">
            <w:pPr>
              <w:pStyle w:val="Lagtext"/>
            </w:pPr>
          </w:p>
        </w:tc>
        <w:tc>
          <w:tcPr>
            <w:tcW w:w="3016" w:type="dxa"/>
          </w:tcPr>
          <w:p w:rsidR="001C7BF9" w:rsidRPr="00C9680B" w:rsidRDefault="001C7BF9">
            <w:pPr>
              <w:pStyle w:val="Lagtext"/>
            </w:pPr>
            <w:r w:rsidRPr="00C9680B">
              <w:rPr>
                <w:i/>
              </w:rPr>
              <w:t>0,24</w:t>
            </w:r>
            <w:r w:rsidRPr="00C9680B">
              <w:t xml:space="preserve"> prisbasbelopp</w:t>
            </w:r>
          </w:p>
        </w:tc>
      </w:tr>
    </w:tbl>
    <w:p w:rsidR="001C7BF9" w:rsidRPr="00C9680B" w:rsidRDefault="001C7BF9">
      <w:pPr>
        <w:pStyle w:val="LagtextIndrag"/>
      </w:pPr>
    </w:p>
    <w:p w:rsidR="001C7BF9" w:rsidRPr="00C9680B" w:rsidRDefault="001C7BF9">
      <w:pPr>
        <w:pStyle w:val="Lagtext"/>
      </w:pPr>
    </w:p>
    <w:p w:rsidR="001C7BF9" w:rsidRPr="00C9680B" w:rsidRDefault="001C7BF9">
      <w:pPr>
        <w:pStyle w:val="Lagtext"/>
      </w:pPr>
    </w:p>
    <w:p w:rsidR="001C7BF9" w:rsidRPr="00C9680B" w:rsidRDefault="001C7BF9">
      <w:pPr>
        <w:pStyle w:val="Lagtext"/>
      </w:pPr>
    </w:p>
    <w:p w:rsidR="001C7BF9" w:rsidRPr="00C9680B" w:rsidRDefault="001C7BF9">
      <w:pPr>
        <w:pStyle w:val="LagRubrik2"/>
        <w:keepNext/>
        <w:jc w:val="center"/>
        <w:outlineLvl w:val="0"/>
        <w:rPr>
          <w:sz w:val="19"/>
        </w:rPr>
      </w:pPr>
      <w:r w:rsidRPr="00C9680B">
        <w:rPr>
          <w:sz w:val="19"/>
        </w:rPr>
        <w:t>Föreslagen lydelse</w:t>
      </w:r>
    </w:p>
    <w:p w:rsidR="001C7BF9" w:rsidRPr="00C9680B" w:rsidRDefault="001C7BF9">
      <w:pPr>
        <w:pStyle w:val="Lagtext"/>
        <w:keepNext/>
        <w:jc w:val="center"/>
        <w:rPr>
          <w:b/>
        </w:rPr>
      </w:pPr>
      <w:r w:rsidRPr="00C9680B">
        <w:rPr>
          <w:b/>
        </w:rPr>
        <w:t>3 §</w:t>
      </w:r>
    </w:p>
    <w:p w:rsidR="001C7BF9" w:rsidRPr="00C9680B" w:rsidRDefault="001C7BF9">
      <w:pPr>
        <w:pStyle w:val="LagtextIndrag"/>
      </w:pPr>
      <w:r w:rsidRPr="00C9680B">
        <w:t>För dem som är obegränsat skattskyldiga under hela beskattningsåret up</w:t>
      </w:r>
      <w:r w:rsidRPr="00C9680B">
        <w:t>p</w:t>
      </w:r>
      <w:r w:rsidRPr="00C9680B">
        <w:t>går grundavdraget till följande belopp.</w:t>
      </w:r>
    </w:p>
    <w:p w:rsidR="001C7BF9" w:rsidRPr="00C9680B" w:rsidRDefault="001C7BF9">
      <w:pPr>
        <w:pStyle w:val="LagtextIndrag"/>
      </w:pPr>
    </w:p>
    <w:tbl>
      <w:tblPr>
        <w:tblW w:w="0" w:type="auto"/>
        <w:tblInd w:w="-70" w:type="dxa"/>
        <w:tblLayout w:type="fixed"/>
        <w:tblCellMar>
          <w:left w:w="70" w:type="dxa"/>
          <w:right w:w="70" w:type="dxa"/>
        </w:tblCellMar>
        <w:tblLook w:val="0000" w:firstRow="0" w:lastRow="0" w:firstColumn="0" w:lastColumn="0" w:noHBand="0" w:noVBand="0"/>
      </w:tblPr>
      <w:tblGrid>
        <w:gridCol w:w="2764"/>
        <w:gridCol w:w="283"/>
        <w:gridCol w:w="3017"/>
      </w:tblGrid>
      <w:tr w:rsidR="00000000" w:rsidRPr="00C9680B">
        <w:tblPrEx>
          <w:tblCellMar>
            <w:top w:w="0" w:type="dxa"/>
            <w:bottom w:w="0" w:type="dxa"/>
          </w:tblCellMar>
        </w:tblPrEx>
        <w:tc>
          <w:tcPr>
            <w:tcW w:w="2764" w:type="dxa"/>
          </w:tcPr>
          <w:p w:rsidR="001C7BF9" w:rsidRPr="00C9680B" w:rsidRDefault="001C7BF9">
            <w:pPr>
              <w:pStyle w:val="Lagtext"/>
              <w:rPr>
                <w:i/>
                <w:u w:val="single"/>
              </w:rPr>
            </w:pPr>
            <w:r w:rsidRPr="00C9680B">
              <w:rPr>
                <w:i/>
                <w:u w:val="single"/>
              </w:rPr>
              <w:t>Taxerad förvärvsi</w:t>
            </w:r>
            <w:r w:rsidRPr="00C9680B">
              <w:rPr>
                <w:i/>
                <w:u w:val="single"/>
              </w:rPr>
              <w:t>n</w:t>
            </w:r>
            <w:r w:rsidRPr="00C9680B">
              <w:rPr>
                <w:i/>
                <w:u w:val="single"/>
              </w:rPr>
              <w:t>komst</w:t>
            </w:r>
          </w:p>
        </w:tc>
        <w:tc>
          <w:tcPr>
            <w:tcW w:w="283" w:type="dxa"/>
          </w:tcPr>
          <w:p w:rsidR="001C7BF9" w:rsidRPr="00C9680B" w:rsidRDefault="001C7BF9">
            <w:pPr>
              <w:pStyle w:val="Lagtext"/>
            </w:pPr>
          </w:p>
        </w:tc>
        <w:tc>
          <w:tcPr>
            <w:tcW w:w="3017" w:type="dxa"/>
          </w:tcPr>
          <w:p w:rsidR="001C7BF9" w:rsidRPr="00C9680B" w:rsidRDefault="001C7BF9">
            <w:pPr>
              <w:pStyle w:val="Lagtext"/>
              <w:rPr>
                <w:i/>
                <w:u w:val="single"/>
              </w:rPr>
            </w:pPr>
            <w:r w:rsidRPr="00C9680B">
              <w:rPr>
                <w:i/>
                <w:u w:val="single"/>
              </w:rPr>
              <w:t>Grundavdrag</w:t>
            </w:r>
          </w:p>
          <w:p w:rsidR="001C7BF9" w:rsidRPr="00C9680B" w:rsidRDefault="001C7BF9">
            <w:pPr>
              <w:pStyle w:val="Lagtext"/>
              <w:rPr>
                <w:i/>
              </w:rPr>
            </w:pPr>
          </w:p>
        </w:tc>
      </w:tr>
      <w:tr w:rsidR="00000000" w:rsidRPr="00C9680B">
        <w:tblPrEx>
          <w:tblCellMar>
            <w:top w:w="0" w:type="dxa"/>
            <w:bottom w:w="0" w:type="dxa"/>
          </w:tblCellMar>
        </w:tblPrEx>
        <w:tc>
          <w:tcPr>
            <w:tcW w:w="2764" w:type="dxa"/>
          </w:tcPr>
          <w:p w:rsidR="001C7BF9" w:rsidRPr="00C9680B" w:rsidRDefault="001C7BF9">
            <w:pPr>
              <w:pStyle w:val="Lagtext"/>
            </w:pPr>
            <w:r w:rsidRPr="00C9680B">
              <w:t>överstiger inte 1,86 prisba</w:t>
            </w:r>
            <w:r w:rsidRPr="00C9680B">
              <w:t>s</w:t>
            </w:r>
            <w:r w:rsidRPr="00C9680B">
              <w:softHyphen/>
              <w:t>belopp</w:t>
            </w:r>
          </w:p>
          <w:p w:rsidR="001C7BF9" w:rsidRPr="00C9680B" w:rsidRDefault="001C7BF9">
            <w:pPr>
              <w:pStyle w:val="Lagtext"/>
            </w:pPr>
          </w:p>
        </w:tc>
        <w:tc>
          <w:tcPr>
            <w:tcW w:w="283" w:type="dxa"/>
          </w:tcPr>
          <w:p w:rsidR="001C7BF9" w:rsidRPr="00C9680B" w:rsidRDefault="001C7BF9">
            <w:pPr>
              <w:pStyle w:val="Lagtext"/>
            </w:pPr>
          </w:p>
        </w:tc>
        <w:tc>
          <w:tcPr>
            <w:tcW w:w="3017" w:type="dxa"/>
          </w:tcPr>
          <w:p w:rsidR="001C7BF9" w:rsidRPr="00C9680B" w:rsidRDefault="001C7BF9">
            <w:pPr>
              <w:pStyle w:val="Lagtext"/>
            </w:pPr>
            <w:r w:rsidRPr="00C9680B">
              <w:rPr>
                <w:i/>
              </w:rPr>
              <w:t>0,27</w:t>
            </w:r>
            <w:r w:rsidRPr="00C9680B">
              <w:t xml:space="preserve"> prisbasbelopp</w:t>
            </w:r>
          </w:p>
        </w:tc>
      </w:tr>
      <w:tr w:rsidR="00000000" w:rsidRPr="00C9680B">
        <w:tblPrEx>
          <w:tblCellMar>
            <w:top w:w="0" w:type="dxa"/>
            <w:bottom w:w="0" w:type="dxa"/>
          </w:tblCellMar>
        </w:tblPrEx>
        <w:tc>
          <w:tcPr>
            <w:tcW w:w="2764" w:type="dxa"/>
          </w:tcPr>
          <w:p w:rsidR="001C7BF9" w:rsidRPr="00C9680B" w:rsidRDefault="001C7BF9">
            <w:pPr>
              <w:pStyle w:val="Lagtext"/>
            </w:pPr>
            <w:r w:rsidRPr="00C9680B">
              <w:t>överstiger 1,86 men inte 2,89 prisba</w:t>
            </w:r>
            <w:r w:rsidRPr="00C9680B">
              <w:t>s</w:t>
            </w:r>
            <w:r w:rsidRPr="00C9680B">
              <w:t>belopp</w:t>
            </w:r>
          </w:p>
        </w:tc>
        <w:tc>
          <w:tcPr>
            <w:tcW w:w="283" w:type="dxa"/>
          </w:tcPr>
          <w:p w:rsidR="001C7BF9" w:rsidRPr="00C9680B" w:rsidRDefault="001C7BF9">
            <w:pPr>
              <w:pStyle w:val="Lagtext"/>
            </w:pPr>
          </w:p>
        </w:tc>
        <w:tc>
          <w:tcPr>
            <w:tcW w:w="3017" w:type="dxa"/>
          </w:tcPr>
          <w:p w:rsidR="001C7BF9" w:rsidRPr="00C9680B" w:rsidRDefault="001C7BF9">
            <w:pPr>
              <w:pStyle w:val="Lagtext"/>
            </w:pPr>
            <w:r w:rsidRPr="00C9680B">
              <w:rPr>
                <w:i/>
              </w:rPr>
              <w:t>0,27</w:t>
            </w:r>
            <w:r w:rsidRPr="00C9680B">
              <w:t xml:space="preserve"> prisbasbelopp ökat med 25 procent av det belopp med vilket den taxerade förvärvsi</w:t>
            </w:r>
            <w:r w:rsidRPr="00C9680B">
              <w:t>n</w:t>
            </w:r>
            <w:r w:rsidRPr="00C9680B">
              <w:t>komsten överstig</w:t>
            </w:r>
            <w:r w:rsidRPr="00C9680B">
              <w:softHyphen/>
              <w:t>er 1,86 prisbasb</w:t>
            </w:r>
            <w:r w:rsidRPr="00C9680B">
              <w:t>e</w:t>
            </w:r>
            <w:r w:rsidRPr="00C9680B">
              <w:t>lopp</w:t>
            </w:r>
          </w:p>
          <w:p w:rsidR="001C7BF9" w:rsidRPr="00C9680B" w:rsidRDefault="001C7BF9">
            <w:pPr>
              <w:pStyle w:val="Lagtext"/>
            </w:pPr>
          </w:p>
        </w:tc>
      </w:tr>
      <w:tr w:rsidR="00000000" w:rsidRPr="00C9680B">
        <w:tblPrEx>
          <w:tblCellMar>
            <w:top w:w="0" w:type="dxa"/>
            <w:bottom w:w="0" w:type="dxa"/>
          </w:tblCellMar>
        </w:tblPrEx>
        <w:tc>
          <w:tcPr>
            <w:tcW w:w="2764" w:type="dxa"/>
          </w:tcPr>
          <w:p w:rsidR="001C7BF9" w:rsidRPr="00C9680B" w:rsidRDefault="001C7BF9">
            <w:pPr>
              <w:pStyle w:val="Lagtext"/>
            </w:pPr>
            <w:r w:rsidRPr="00C9680B">
              <w:t>överstiger 2,89 men inte 3,04 prisba</w:t>
            </w:r>
            <w:r w:rsidRPr="00C9680B">
              <w:t>s</w:t>
            </w:r>
            <w:r w:rsidRPr="00C9680B">
              <w:t>belopp</w:t>
            </w:r>
          </w:p>
          <w:p w:rsidR="001C7BF9" w:rsidRPr="00C9680B" w:rsidRDefault="001C7BF9">
            <w:pPr>
              <w:pStyle w:val="Lagtext"/>
            </w:pPr>
          </w:p>
        </w:tc>
        <w:tc>
          <w:tcPr>
            <w:tcW w:w="283" w:type="dxa"/>
          </w:tcPr>
          <w:p w:rsidR="001C7BF9" w:rsidRPr="00C9680B" w:rsidRDefault="001C7BF9">
            <w:pPr>
              <w:pStyle w:val="Lagtext"/>
            </w:pPr>
          </w:p>
        </w:tc>
        <w:tc>
          <w:tcPr>
            <w:tcW w:w="3017" w:type="dxa"/>
          </w:tcPr>
          <w:p w:rsidR="001C7BF9" w:rsidRPr="00C9680B" w:rsidRDefault="001C7BF9">
            <w:pPr>
              <w:pStyle w:val="Lagtext"/>
            </w:pPr>
            <w:r w:rsidRPr="00C9680B">
              <w:rPr>
                <w:i/>
              </w:rPr>
              <w:t>0,5275</w:t>
            </w:r>
            <w:r w:rsidRPr="00C9680B">
              <w:t xml:space="preserve"> prisbasbelopp</w:t>
            </w:r>
          </w:p>
        </w:tc>
      </w:tr>
      <w:tr w:rsidR="00000000" w:rsidRPr="00C9680B">
        <w:tblPrEx>
          <w:tblCellMar>
            <w:top w:w="0" w:type="dxa"/>
            <w:bottom w:w="0" w:type="dxa"/>
          </w:tblCellMar>
        </w:tblPrEx>
        <w:tc>
          <w:tcPr>
            <w:tcW w:w="2764" w:type="dxa"/>
          </w:tcPr>
          <w:p w:rsidR="001C7BF9" w:rsidRPr="00C9680B" w:rsidRDefault="001C7BF9">
            <w:pPr>
              <w:pStyle w:val="Lagtext"/>
            </w:pPr>
            <w:r w:rsidRPr="00C9680B">
              <w:t>överstiger 3,04 men inte 5,615 pri</w:t>
            </w:r>
            <w:r w:rsidRPr="00C9680B">
              <w:t>s</w:t>
            </w:r>
            <w:r w:rsidRPr="00C9680B">
              <w:t>basbelopp</w:t>
            </w:r>
          </w:p>
        </w:tc>
        <w:tc>
          <w:tcPr>
            <w:tcW w:w="283" w:type="dxa"/>
          </w:tcPr>
          <w:p w:rsidR="001C7BF9" w:rsidRPr="00C9680B" w:rsidRDefault="001C7BF9">
            <w:pPr>
              <w:pStyle w:val="Lagtext"/>
            </w:pPr>
          </w:p>
        </w:tc>
        <w:tc>
          <w:tcPr>
            <w:tcW w:w="3017" w:type="dxa"/>
          </w:tcPr>
          <w:p w:rsidR="001C7BF9" w:rsidRPr="00C9680B" w:rsidRDefault="001C7BF9">
            <w:pPr>
              <w:pStyle w:val="Lagtext"/>
            </w:pPr>
            <w:r w:rsidRPr="00C9680B">
              <w:rPr>
                <w:i/>
              </w:rPr>
              <w:t>0,5275</w:t>
            </w:r>
            <w:r w:rsidRPr="00C9680B">
              <w:t xml:space="preserve"> prisbasbelopp minskat med 10 procent av det belopp med vilket den taxerade förvärvsinkomsten överstiger 3,04 prisba</w:t>
            </w:r>
            <w:r w:rsidRPr="00C9680B">
              <w:t>s</w:t>
            </w:r>
            <w:r w:rsidRPr="00C9680B">
              <w:t>belopp</w:t>
            </w:r>
          </w:p>
          <w:p w:rsidR="001C7BF9" w:rsidRPr="00C9680B" w:rsidRDefault="001C7BF9">
            <w:pPr>
              <w:pStyle w:val="Lagtext"/>
            </w:pPr>
          </w:p>
        </w:tc>
      </w:tr>
      <w:tr w:rsidR="00000000" w:rsidRPr="00C9680B">
        <w:tblPrEx>
          <w:tblCellMar>
            <w:top w:w="0" w:type="dxa"/>
            <w:bottom w:w="0" w:type="dxa"/>
          </w:tblCellMar>
        </w:tblPrEx>
        <w:tc>
          <w:tcPr>
            <w:tcW w:w="2764" w:type="dxa"/>
          </w:tcPr>
          <w:p w:rsidR="001C7BF9" w:rsidRPr="00C9680B" w:rsidRDefault="001C7BF9">
            <w:pPr>
              <w:pStyle w:val="Lagtext"/>
            </w:pPr>
            <w:r w:rsidRPr="00C9680B">
              <w:t>överstiger 5,615 prisbasb</w:t>
            </w:r>
            <w:r w:rsidRPr="00C9680B">
              <w:t>e</w:t>
            </w:r>
            <w:r w:rsidRPr="00C9680B">
              <w:t>lopp</w:t>
            </w:r>
          </w:p>
        </w:tc>
        <w:tc>
          <w:tcPr>
            <w:tcW w:w="283" w:type="dxa"/>
          </w:tcPr>
          <w:p w:rsidR="001C7BF9" w:rsidRPr="00C9680B" w:rsidRDefault="001C7BF9">
            <w:pPr>
              <w:pStyle w:val="Lagtext"/>
            </w:pPr>
          </w:p>
        </w:tc>
        <w:tc>
          <w:tcPr>
            <w:tcW w:w="3017" w:type="dxa"/>
          </w:tcPr>
          <w:p w:rsidR="001C7BF9" w:rsidRPr="00C9680B" w:rsidRDefault="001C7BF9">
            <w:pPr>
              <w:pStyle w:val="Lagtext"/>
            </w:pPr>
            <w:r w:rsidRPr="00C9680B">
              <w:rPr>
                <w:i/>
              </w:rPr>
              <w:t>0,27</w:t>
            </w:r>
            <w:r w:rsidRPr="00C9680B">
              <w:t xml:space="preserve"> prisbasbelopp</w:t>
            </w:r>
          </w:p>
        </w:tc>
      </w:tr>
    </w:tbl>
    <w:p w:rsidR="001C7BF9" w:rsidRPr="00C9680B" w:rsidRDefault="001C7BF9">
      <w:pPr>
        <w:pStyle w:val="LagtextIndrag"/>
      </w:pPr>
    </w:p>
    <w:p w:rsidR="001C7BF9" w:rsidRPr="00C9680B" w:rsidRDefault="001C7BF9">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Rubrik2"/>
              <w:keepNext/>
              <w:rPr>
                <w:sz w:val="19"/>
              </w:rPr>
            </w:pPr>
            <w:r w:rsidRPr="00C9680B">
              <w:rPr>
                <w:sz w:val="19"/>
              </w:rPr>
              <w:t>Nuvarande lydelse</w:t>
            </w:r>
          </w:p>
        </w:tc>
        <w:tc>
          <w:tcPr>
            <w:tcW w:w="3090" w:type="dxa"/>
          </w:tcPr>
          <w:p w:rsidR="001C7BF9" w:rsidRPr="00C9680B" w:rsidRDefault="001C7BF9">
            <w:pPr>
              <w:pStyle w:val="LagRubrik2"/>
              <w:keepNext/>
              <w:rPr>
                <w:sz w:val="19"/>
              </w:rPr>
            </w:pPr>
            <w:r w:rsidRPr="00C9680B">
              <w:rPr>
                <w:sz w:val="19"/>
              </w:rPr>
              <w:t>Föreslagen lydelse</w:t>
            </w:r>
          </w:p>
        </w:tc>
      </w:tr>
    </w:tbl>
    <w:p w:rsidR="001C7BF9" w:rsidRPr="00C9680B" w:rsidRDefault="001C7BF9">
      <w:pPr>
        <w:pStyle w:val="LagtextIndrag"/>
      </w:pPr>
    </w:p>
    <w:p w:rsidR="001C7BF9" w:rsidRPr="00C9680B" w:rsidRDefault="001C7BF9">
      <w:pPr>
        <w:pStyle w:val="Lagtext"/>
        <w:jc w:val="center"/>
      </w:pPr>
      <w:r w:rsidRPr="00C9680B">
        <w:rPr>
          <w:b/>
        </w:rPr>
        <w:t>4 §</w:t>
      </w:r>
    </w:p>
    <w:tbl>
      <w:tblPr>
        <w:tblW w:w="0" w:type="auto"/>
        <w:tblInd w:w="-113" w:type="dxa"/>
        <w:tblLayout w:type="fixed"/>
        <w:tblCellMar>
          <w:left w:w="113" w:type="dxa"/>
          <w:right w:w="113" w:type="dxa"/>
        </w:tblCellMar>
        <w:tblLook w:val="0000" w:firstRow="0" w:lastRow="0" w:firstColumn="0" w:lastColumn="0" w:noHBand="0" w:noVBand="0"/>
      </w:tblPr>
      <w:tblGrid>
        <w:gridCol w:w="3089"/>
        <w:gridCol w:w="3089"/>
      </w:tblGrid>
      <w:tr w:rsidR="00000000" w:rsidRPr="00C9680B">
        <w:tblPrEx>
          <w:tblCellMar>
            <w:top w:w="0" w:type="dxa"/>
            <w:bottom w:w="0" w:type="dxa"/>
          </w:tblCellMar>
        </w:tblPrEx>
        <w:tc>
          <w:tcPr>
            <w:tcW w:w="3089" w:type="dxa"/>
          </w:tcPr>
          <w:p w:rsidR="001C7BF9" w:rsidRPr="00C9680B" w:rsidRDefault="001C7BF9">
            <w:pPr>
              <w:pStyle w:val="LagtextIndrag"/>
            </w:pPr>
            <w:r w:rsidRPr="00C9680B">
              <w:t>För dem som är obegränsat skat</w:t>
            </w:r>
            <w:r w:rsidRPr="00C9680B">
              <w:t>t</w:t>
            </w:r>
            <w:r w:rsidRPr="00C9680B">
              <w:t>skyldiga bara under en del av b</w:t>
            </w:r>
            <w:r w:rsidRPr="00C9680B">
              <w:t>e</w:t>
            </w:r>
            <w:r w:rsidRPr="00C9680B">
              <w:t xml:space="preserve">skattningsåret är grundavdraget en tolftedel av </w:t>
            </w:r>
            <w:r w:rsidRPr="00C9680B">
              <w:rPr>
                <w:i/>
              </w:rPr>
              <w:t>0,24</w:t>
            </w:r>
            <w:r w:rsidRPr="00C9680B">
              <w:t xml:space="preserve"> prisbasbelopp för varje kalendermånad eller del av kalendermånad som de är obegränsat skat</w:t>
            </w:r>
            <w:r w:rsidRPr="00C9680B">
              <w:t>t</w:t>
            </w:r>
            <w:r w:rsidRPr="00C9680B">
              <w:t>skyldiga.</w:t>
            </w:r>
          </w:p>
        </w:tc>
        <w:tc>
          <w:tcPr>
            <w:tcW w:w="3089" w:type="dxa"/>
          </w:tcPr>
          <w:p w:rsidR="001C7BF9" w:rsidRPr="00C9680B" w:rsidRDefault="001C7BF9">
            <w:pPr>
              <w:pStyle w:val="LagtextIndrag"/>
            </w:pPr>
            <w:r w:rsidRPr="00C9680B">
              <w:t>För dem som är obegränsat skat</w:t>
            </w:r>
            <w:r w:rsidRPr="00C9680B">
              <w:t>t</w:t>
            </w:r>
            <w:r w:rsidRPr="00C9680B">
              <w:t>skyldiga bara under en del av b</w:t>
            </w:r>
            <w:r w:rsidRPr="00C9680B">
              <w:t>e</w:t>
            </w:r>
            <w:r w:rsidRPr="00C9680B">
              <w:t xml:space="preserve">skattningsåret är grundavdraget en tolftedel av </w:t>
            </w:r>
            <w:r w:rsidRPr="00C9680B">
              <w:rPr>
                <w:i/>
              </w:rPr>
              <w:t>0,27</w:t>
            </w:r>
            <w:r w:rsidRPr="00C9680B">
              <w:t xml:space="preserve"> prisbasbelopp för varje kalendermånad eller del av kalendermånad som de är obegränsat skat</w:t>
            </w:r>
            <w:r w:rsidRPr="00C9680B">
              <w:t>t</w:t>
            </w:r>
            <w:r w:rsidRPr="00C9680B">
              <w:t>skyldiga.</w:t>
            </w:r>
          </w:p>
        </w:tc>
      </w:tr>
    </w:tbl>
    <w:p w:rsidR="001C7BF9" w:rsidRPr="00C9680B" w:rsidRDefault="001C7BF9">
      <w:pPr>
        <w:pStyle w:val="Lagtext"/>
      </w:pPr>
    </w:p>
    <w:p w:rsidR="001C7BF9" w:rsidRPr="00C9680B" w:rsidRDefault="001C7BF9">
      <w:pPr>
        <w:pStyle w:val="Lagtext"/>
        <w:jc w:val="center"/>
      </w:pPr>
      <w:r w:rsidRPr="00C9680B">
        <w:rPr>
          <w:b/>
        </w:rPr>
        <w:t>65 kap.</w:t>
      </w:r>
    </w:p>
    <w:p w:rsidR="001C7BF9" w:rsidRPr="00C9680B" w:rsidRDefault="001C7BF9">
      <w:pPr>
        <w:pStyle w:val="Lagtext"/>
        <w:jc w:val="center"/>
      </w:pPr>
      <w:r w:rsidRPr="00C9680B">
        <w:rPr>
          <w:b/>
        </w:rPr>
        <w:t>5 §</w:t>
      </w:r>
    </w:p>
    <w:p w:rsidR="001C7BF9" w:rsidRPr="00C9680B" w:rsidRDefault="001C7BF9">
      <w:pPr>
        <w:pStyle w:val="LagtextIndrag"/>
      </w:pPr>
      <w:r w:rsidRPr="00C9680B">
        <w:t>För fysiska personer är den statliga inkomstskatten på beskattningsbara fö</w:t>
      </w:r>
      <w:r w:rsidRPr="00C9680B">
        <w:t>r</w:t>
      </w:r>
      <w:r w:rsidRPr="00C9680B">
        <w:t>värvsinkomster</w:t>
      </w:r>
    </w:p>
    <w:p w:rsidR="001C7BF9" w:rsidRPr="00C9680B" w:rsidRDefault="001C7BF9">
      <w:pPr>
        <w:pStyle w:val="LagtextIndrag"/>
      </w:pPr>
      <w:r w:rsidRPr="00C9680B">
        <w:t>– 200 kronor,</w:t>
      </w:r>
    </w:p>
    <w:p w:rsidR="001C7BF9" w:rsidRPr="00C9680B" w:rsidRDefault="001C7BF9">
      <w:pPr>
        <w:pStyle w:val="LagtextIndrag"/>
      </w:pPr>
      <w:r w:rsidRPr="00C9680B">
        <w:t>– 20 procent av den del av den beskattningsbara förvärvsinkomsten som överst</w:t>
      </w:r>
      <w:r w:rsidRPr="00C9680B">
        <w:t>i</w:t>
      </w:r>
      <w:r w:rsidRPr="00C9680B">
        <w:t>ger en nedre skiktgräns, och</w:t>
      </w:r>
    </w:p>
    <w:p w:rsidR="001C7BF9" w:rsidRPr="00C9680B" w:rsidRDefault="001C7BF9">
      <w:pPr>
        <w:pStyle w:val="LagtextIndrag"/>
      </w:pPr>
      <w:r w:rsidRPr="00C9680B">
        <w:t>– 5 procent av den del av den beskattningsbara förvärvsinkomsten som överstiger en övre skiktgräns.</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Skiktgränserna bestäms med ut</w:t>
            </w:r>
            <w:r w:rsidRPr="00C9680B">
              <w:softHyphen/>
              <w:t xml:space="preserve">gångspunkt i en nedre skiktgräns på </w:t>
            </w:r>
            <w:r w:rsidRPr="00C9680B">
              <w:rPr>
                <w:i/>
              </w:rPr>
              <w:t>232 600</w:t>
            </w:r>
            <w:r w:rsidRPr="00C9680B">
              <w:t xml:space="preserve"> kronor vid </w:t>
            </w:r>
            <w:r w:rsidRPr="00C9680B">
              <w:rPr>
                <w:i/>
              </w:rPr>
              <w:t xml:space="preserve">2001 </w:t>
            </w:r>
            <w:r w:rsidRPr="00C9680B">
              <w:t>års taxe</w:t>
            </w:r>
            <w:r w:rsidRPr="00C9680B">
              <w:softHyphen/>
              <w:t xml:space="preserve">ring och en övre skiktgräns på </w:t>
            </w:r>
            <w:r w:rsidRPr="00C9680B">
              <w:rPr>
                <w:i/>
              </w:rPr>
              <w:t xml:space="preserve">374 000 </w:t>
            </w:r>
            <w:r w:rsidRPr="00C9680B">
              <w:t>kronor vid</w:t>
            </w:r>
            <w:r w:rsidRPr="00C9680B">
              <w:rPr>
                <w:i/>
              </w:rPr>
              <w:t xml:space="preserve"> 2001 </w:t>
            </w:r>
            <w:r w:rsidRPr="00C9680B">
              <w:t>års tax</w:t>
            </w:r>
            <w:r w:rsidRPr="00C9680B">
              <w:t>e</w:t>
            </w:r>
            <w:r w:rsidRPr="00C9680B">
              <w:t>ring.</w:t>
            </w:r>
          </w:p>
        </w:tc>
        <w:tc>
          <w:tcPr>
            <w:tcW w:w="3090" w:type="dxa"/>
          </w:tcPr>
          <w:p w:rsidR="001C7BF9" w:rsidRPr="00C9680B" w:rsidRDefault="001C7BF9">
            <w:pPr>
              <w:pStyle w:val="LagtextIndrag"/>
            </w:pPr>
            <w:r w:rsidRPr="00C9680B">
              <w:t>Skiktgränserna bestäms med ut</w:t>
            </w:r>
            <w:r w:rsidRPr="00C9680B">
              <w:softHyphen/>
              <w:t xml:space="preserve">gångspunkt i en nedre skiktgräns på </w:t>
            </w:r>
            <w:r w:rsidRPr="00C9680B">
              <w:rPr>
                <w:i/>
              </w:rPr>
              <w:t xml:space="preserve">252 000 </w:t>
            </w:r>
            <w:r w:rsidRPr="00C9680B">
              <w:t xml:space="preserve">kronor vid </w:t>
            </w:r>
            <w:r w:rsidRPr="00C9680B">
              <w:rPr>
                <w:i/>
              </w:rPr>
              <w:t xml:space="preserve">2002 </w:t>
            </w:r>
            <w:r w:rsidRPr="00C9680B">
              <w:t>års taxe</w:t>
            </w:r>
            <w:r w:rsidRPr="00C9680B">
              <w:softHyphen/>
              <w:t xml:space="preserve">ring och en övre skiktgräns på </w:t>
            </w:r>
            <w:r w:rsidRPr="00C9680B">
              <w:rPr>
                <w:i/>
              </w:rPr>
              <w:t xml:space="preserve">390 400 </w:t>
            </w:r>
            <w:r w:rsidRPr="00C9680B">
              <w:t xml:space="preserve">kronor vid </w:t>
            </w:r>
            <w:r w:rsidRPr="00C9680B">
              <w:rPr>
                <w:i/>
              </w:rPr>
              <w:t xml:space="preserve">2002 </w:t>
            </w:r>
            <w:r w:rsidRPr="00C9680B">
              <w:t>års tax</w:t>
            </w:r>
            <w:r w:rsidRPr="00C9680B">
              <w:t>e</w:t>
            </w:r>
            <w:r w:rsidRPr="00C9680B">
              <w:t>ring.</w:t>
            </w:r>
          </w:p>
        </w:tc>
      </w:tr>
    </w:tbl>
    <w:p w:rsidR="001C7BF9" w:rsidRPr="00C9680B" w:rsidRDefault="001C7BF9">
      <w:pPr>
        <w:pStyle w:val="LagtextIndrag"/>
      </w:pPr>
      <w:r w:rsidRPr="00C9680B">
        <w:t>Vid de därpå följande taxeringarna uppgår skiktgränserna till skiktgränse</w:t>
      </w:r>
      <w:r w:rsidRPr="00C9680B">
        <w:t>r</w:t>
      </w:r>
      <w:r w:rsidRPr="00C9680B">
        <w:t>na för det föregående taxeringsåret multiplicerade med det jämförelsetal, uttryckt i procent, som anger förhållandet mellan det allmänna prisläget i juni andra året före taxeringsåret och prisläget i juni tredje året före taxeringsåret plus två procentenheter. Skiktgränserna fastställs av regeringen före utgången av andra året före taxeringsåret och avru</w:t>
      </w:r>
      <w:r w:rsidRPr="00C9680B">
        <w:t>n</w:t>
      </w:r>
      <w:r w:rsidRPr="00C9680B">
        <w:t>das nedåt till helt hundratal kronor.</w:t>
      </w:r>
    </w:p>
    <w:p w:rsidR="001C7BF9" w:rsidRPr="00C9680B" w:rsidRDefault="001C7BF9">
      <w:pPr>
        <w:pStyle w:val="Lagtext"/>
      </w:pPr>
    </w:p>
    <w:p w:rsidR="001C7BF9" w:rsidRPr="00C9680B" w:rsidRDefault="001C7BF9">
      <w:pPr>
        <w:pStyle w:val="Lagtext"/>
        <w:jc w:val="center"/>
      </w:pPr>
      <w:r w:rsidRPr="00C9680B">
        <w:rPr>
          <w:b/>
        </w:rPr>
        <w:t>10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 xml:space="preserve">Skattereduktion skall göras med </w:t>
            </w:r>
            <w:r w:rsidRPr="00C9680B">
              <w:rPr>
                <w:i/>
              </w:rPr>
              <w:t xml:space="preserve">25 </w:t>
            </w:r>
            <w:r w:rsidRPr="00C9680B">
              <w:t>procent av allmän pensionsavgift enligt lagen (1994:1744) om allmän pe</w:t>
            </w:r>
            <w:r w:rsidRPr="00C9680B">
              <w:t>n</w:t>
            </w:r>
            <w:r w:rsidRPr="00C9680B">
              <w:t>sionsavgift som avser beskatt</w:t>
            </w:r>
            <w:r w:rsidRPr="00C9680B">
              <w:softHyphen/>
              <w:t>nings</w:t>
            </w:r>
            <w:r w:rsidRPr="00C9680B">
              <w:softHyphen/>
              <w:t>året. Skattereduktionen skall avrundas nedåt till helt hundratal kronor.</w:t>
            </w:r>
          </w:p>
        </w:tc>
        <w:tc>
          <w:tcPr>
            <w:tcW w:w="3090" w:type="dxa"/>
          </w:tcPr>
          <w:p w:rsidR="001C7BF9" w:rsidRPr="00C9680B" w:rsidRDefault="001C7BF9">
            <w:pPr>
              <w:pStyle w:val="LagtextIndrag"/>
            </w:pPr>
            <w:r w:rsidRPr="00C9680B">
              <w:t xml:space="preserve">Skattereduktion skall göras med </w:t>
            </w:r>
            <w:r w:rsidRPr="00C9680B">
              <w:rPr>
                <w:i/>
              </w:rPr>
              <w:t xml:space="preserve">50 </w:t>
            </w:r>
            <w:r w:rsidRPr="00C9680B">
              <w:t>procent av allmän pensionsavgift enligt lagen (1994:1744) om allmän pe</w:t>
            </w:r>
            <w:r w:rsidRPr="00C9680B">
              <w:t>n</w:t>
            </w:r>
            <w:r w:rsidRPr="00C9680B">
              <w:t>sionsavgift som avser beskatt</w:t>
            </w:r>
            <w:r w:rsidRPr="00C9680B">
              <w:softHyphen/>
              <w:t>ningsåret. Skattereduktionen skall avrundas nedåt till helt hundratal kronor.</w:t>
            </w:r>
          </w:p>
        </w:tc>
      </w:tr>
    </w:tbl>
    <w:p w:rsidR="001C7BF9" w:rsidRPr="00C9680B" w:rsidRDefault="001C7BF9">
      <w:pPr>
        <w:pStyle w:val="Lagtext"/>
      </w:pPr>
      <w:r w:rsidRPr="00C9680B">
        <w:rPr>
          <w:u w:val="single"/>
        </w:rPr>
        <w:t>                              </w:t>
      </w:r>
    </w:p>
    <w:p w:rsidR="001C7BF9" w:rsidRPr="00C9680B" w:rsidRDefault="001C7BF9">
      <w:pPr>
        <w:pStyle w:val="LagtextIndrag"/>
        <w:spacing w:line="240" w:lineRule="auto"/>
        <w:rPr>
          <w:sz w:val="12"/>
        </w:rPr>
      </w:pPr>
    </w:p>
    <w:p w:rsidR="001C7BF9" w:rsidRPr="00C9680B" w:rsidRDefault="001C7BF9">
      <w:pPr>
        <w:pStyle w:val="LagtextIndrag"/>
      </w:pPr>
      <w:r w:rsidRPr="00C9680B">
        <w:t>Denna lag träder i kraft den 1 j</w:t>
      </w:r>
      <w:r w:rsidRPr="00C9680B">
        <w:t>a</w:t>
      </w:r>
      <w:r w:rsidRPr="00C9680B">
        <w:t>nuari 2001.</w:t>
      </w:r>
    </w:p>
    <w:p w:rsidR="001C7BF9" w:rsidRPr="00C9680B" w:rsidRDefault="001C7BF9">
      <w:pPr>
        <w:pStyle w:val="Rubrik2"/>
        <w:spacing w:before="0"/>
      </w:pPr>
      <w:bookmarkStart w:id="767" w:name="_Toc493234612"/>
      <w:r w:rsidRPr="00C9680B">
        <w:br w:type="page"/>
      </w:r>
      <w:bookmarkStart w:id="768" w:name="_Toc498910961"/>
      <w:r w:rsidRPr="00C9680B">
        <w:t xml:space="preserve">3  Förslag till lag om ändring i skattebetalningslagen </w:t>
      </w:r>
      <w:r w:rsidRPr="00C9680B">
        <w:br/>
        <w:t xml:space="preserve">    (1997:483)</w:t>
      </w:r>
      <w:bookmarkEnd w:id="767"/>
      <w:bookmarkEnd w:id="768"/>
    </w:p>
    <w:p w:rsidR="001C7BF9" w:rsidRPr="00C9680B" w:rsidRDefault="001C7BF9">
      <w:pPr>
        <w:pStyle w:val="LagtextIndrag"/>
      </w:pPr>
      <w:r w:rsidRPr="00C9680B">
        <w:t>Härigenom föreskrivs att 8 kap. 3 § skattebetalningslagen (1997:483) skall ha följande lyde</w:t>
      </w:r>
      <w:r w:rsidRPr="00C9680B">
        <w:t>l</w:t>
      </w:r>
      <w:r w:rsidRPr="00C9680B">
        <w:t>se.</w:t>
      </w:r>
    </w:p>
    <w:p w:rsidR="001C7BF9" w:rsidRPr="00C9680B" w:rsidRDefault="001C7BF9">
      <w:pPr>
        <w:pStyle w:val="Lagtext"/>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Rubrik2"/>
              <w:rPr>
                <w:sz w:val="19"/>
              </w:rPr>
            </w:pPr>
            <w:r w:rsidRPr="00C9680B">
              <w:rPr>
                <w:sz w:val="19"/>
              </w:rPr>
              <w:t>Nuvarande lydelse</w:t>
            </w:r>
          </w:p>
        </w:tc>
        <w:tc>
          <w:tcPr>
            <w:tcW w:w="3090" w:type="dxa"/>
          </w:tcPr>
          <w:p w:rsidR="001C7BF9" w:rsidRPr="00C9680B" w:rsidRDefault="001C7BF9">
            <w:pPr>
              <w:pStyle w:val="LagRubrik2"/>
              <w:rPr>
                <w:sz w:val="19"/>
              </w:rPr>
            </w:pPr>
            <w:r w:rsidRPr="00C9680B">
              <w:rPr>
                <w:sz w:val="19"/>
              </w:rPr>
              <w:t>Föreslagen lydelse</w:t>
            </w:r>
          </w:p>
        </w:tc>
      </w:tr>
    </w:tbl>
    <w:p w:rsidR="001C7BF9" w:rsidRPr="00C9680B" w:rsidRDefault="001C7BF9">
      <w:pPr>
        <w:pStyle w:val="LagtextIndrag"/>
      </w:pPr>
    </w:p>
    <w:p w:rsidR="001C7BF9" w:rsidRPr="00C9680B" w:rsidRDefault="001C7BF9">
      <w:pPr>
        <w:pStyle w:val="Lagtext"/>
        <w:jc w:val="center"/>
      </w:pPr>
      <w:r w:rsidRPr="00C9680B">
        <w:rPr>
          <w:b/>
        </w:rPr>
        <w:t>8 kap.</w:t>
      </w:r>
    </w:p>
    <w:p w:rsidR="001C7BF9" w:rsidRPr="00C9680B" w:rsidRDefault="001C7BF9">
      <w:pPr>
        <w:pStyle w:val="Lagtext"/>
        <w:jc w:val="center"/>
      </w:pPr>
      <w:r w:rsidRPr="00C9680B">
        <w:rPr>
          <w:b/>
        </w:rPr>
        <w:t>3 §</w:t>
      </w:r>
      <w:r w:rsidRPr="00C9680B">
        <w:rPr>
          <w:rStyle w:val="Fotnotsreferens"/>
        </w:rPr>
        <w:footnoteReference w:id="3"/>
      </w:r>
    </w:p>
    <w:p w:rsidR="001C7BF9" w:rsidRPr="00C9680B" w:rsidRDefault="001C7BF9">
      <w:pPr>
        <w:pStyle w:val="LagtextIndrag"/>
      </w:pPr>
      <w:r w:rsidRPr="00C9680B">
        <w:t>De allmänna skattetabellerna skall ange skatteavdraget på olika inkomst</w:t>
      </w:r>
      <w:r w:rsidRPr="00C9680B">
        <w:softHyphen/>
        <w:t xml:space="preserve">belopp, beräknade för en månad eller kortare tid, och grundas på att </w:t>
      </w:r>
    </w:p>
    <w:p w:rsidR="001C7BF9" w:rsidRPr="00C9680B" w:rsidRDefault="001C7BF9">
      <w:pPr>
        <w:pStyle w:val="LagtextIndrag"/>
      </w:pPr>
      <w:r w:rsidRPr="00C9680B">
        <w:t xml:space="preserve">1. inkomsten är oförändrad under inkomståret, </w:t>
      </w:r>
    </w:p>
    <w:p w:rsidR="001C7BF9" w:rsidRPr="00C9680B" w:rsidRDefault="001C7BF9">
      <w:pPr>
        <w:pStyle w:val="LagtextIndrag"/>
      </w:pPr>
      <w:r w:rsidRPr="00C9680B">
        <w:t>2. arbetstagaren endast kommer att taxeras för den inkomst som anges i t</w:t>
      </w:r>
      <w:r w:rsidRPr="00C9680B">
        <w:t>a</w:t>
      </w:r>
      <w:r w:rsidRPr="00C9680B">
        <w:t xml:space="preserve">bellen, </w:t>
      </w:r>
    </w:p>
    <w:p w:rsidR="001C7BF9" w:rsidRPr="00C9680B" w:rsidRDefault="001C7BF9">
      <w:pPr>
        <w:pStyle w:val="LagtextIndrag"/>
      </w:pPr>
      <w:r w:rsidRPr="00C9680B">
        <w:t>3. arbetstagaren inte skall betala någon annan skatt eller avgift än komm</w:t>
      </w:r>
      <w:r w:rsidRPr="00C9680B">
        <w:t>u</w:t>
      </w:r>
      <w:r w:rsidRPr="00C9680B">
        <w:t>nal inkomstskatt, statlig inkomstskatt på förvärvsinkomster, begravningsa</w:t>
      </w:r>
      <w:r w:rsidRPr="00C9680B">
        <w:t>v</w:t>
      </w:r>
      <w:r w:rsidRPr="00C9680B">
        <w:t>gift enligt begravningslagen (1990:1144), avgift enligt lagen (1994:1744) om allmän pensionsavgift och avgift som avses i lagen (1999:291) om avgift till registrerat tro</w:t>
      </w:r>
      <w:r w:rsidRPr="00C9680B">
        <w:t>s</w:t>
      </w:r>
      <w:r w:rsidRPr="00C9680B">
        <w:t xml:space="preserve">samfund,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4. arbetstagaren vid inkomst</w:t>
            </w:r>
            <w:r w:rsidRPr="00C9680B">
              <w:softHyphen/>
              <w:t>taxe</w:t>
            </w:r>
            <w:r w:rsidRPr="00C9680B">
              <w:softHyphen/>
              <w:t>ringen inte medges något annat a</w:t>
            </w:r>
            <w:r w:rsidRPr="00C9680B">
              <w:t>v</w:t>
            </w:r>
            <w:r w:rsidRPr="00C9680B">
              <w:t xml:space="preserve">drag än avdrag för </w:t>
            </w:r>
            <w:r w:rsidRPr="00C9680B">
              <w:rPr>
                <w:i/>
              </w:rPr>
              <w:t>75</w:t>
            </w:r>
            <w:r w:rsidRPr="00C9680B">
              <w:t xml:space="preserve"> % av avgift enligt lagen om allmän pensions</w:t>
            </w:r>
            <w:r w:rsidRPr="00C9680B">
              <w:softHyphen/>
              <w:t>avgift och gru</w:t>
            </w:r>
            <w:r w:rsidRPr="00C9680B">
              <w:t>n</w:t>
            </w:r>
            <w:r w:rsidRPr="00C9680B">
              <w:t xml:space="preserve">davdrag, och att </w:t>
            </w:r>
          </w:p>
          <w:p w:rsidR="001C7BF9" w:rsidRPr="00C9680B" w:rsidRDefault="001C7BF9">
            <w:pPr>
              <w:pStyle w:val="LagtextIndrag"/>
            </w:pPr>
            <w:r w:rsidRPr="00C9680B">
              <w:t>5. arbetstagaren medges ska</w:t>
            </w:r>
            <w:r w:rsidRPr="00C9680B">
              <w:t>t</w:t>
            </w:r>
            <w:r w:rsidRPr="00C9680B">
              <w:t>te</w:t>
            </w:r>
            <w:r w:rsidRPr="00C9680B">
              <w:softHyphen/>
              <w:t>reduktion för allmän pensionsavgift enligt</w:t>
            </w:r>
            <w:r w:rsidRPr="00C9680B">
              <w:rPr>
                <w:i/>
              </w:rPr>
              <w:t xml:space="preserve"> 11 kap. 11 §.</w:t>
            </w:r>
          </w:p>
        </w:tc>
        <w:tc>
          <w:tcPr>
            <w:tcW w:w="3090" w:type="dxa"/>
          </w:tcPr>
          <w:p w:rsidR="001C7BF9" w:rsidRPr="00C9680B" w:rsidRDefault="001C7BF9">
            <w:pPr>
              <w:pStyle w:val="LagtextIndrag"/>
            </w:pPr>
            <w:r w:rsidRPr="00C9680B">
              <w:t>4. arbetstagaren vid inkomst</w:t>
            </w:r>
            <w:r w:rsidRPr="00C9680B">
              <w:softHyphen/>
              <w:t>taxe</w:t>
            </w:r>
            <w:r w:rsidRPr="00C9680B">
              <w:softHyphen/>
              <w:t>ring</w:t>
            </w:r>
            <w:r w:rsidRPr="00C9680B">
              <w:softHyphen/>
              <w:t>en inte medges något annat a</w:t>
            </w:r>
            <w:r w:rsidRPr="00C9680B">
              <w:t>v</w:t>
            </w:r>
            <w:r w:rsidRPr="00C9680B">
              <w:t xml:space="preserve">drag än avdrag för </w:t>
            </w:r>
            <w:r w:rsidRPr="00C9680B">
              <w:rPr>
                <w:i/>
              </w:rPr>
              <w:t>50</w:t>
            </w:r>
            <w:r w:rsidRPr="00C9680B">
              <w:t xml:space="preserve"> % av avgift enligt lagen om allmän pensions</w:t>
            </w:r>
            <w:r w:rsidRPr="00C9680B">
              <w:softHyphen/>
              <w:t>avgift och gru</w:t>
            </w:r>
            <w:r w:rsidRPr="00C9680B">
              <w:t>n</w:t>
            </w:r>
            <w:r w:rsidRPr="00C9680B">
              <w:t xml:space="preserve">davdrag, och att </w:t>
            </w:r>
          </w:p>
          <w:p w:rsidR="001C7BF9" w:rsidRPr="00C9680B" w:rsidRDefault="001C7BF9">
            <w:pPr>
              <w:pStyle w:val="LagtextIndrag"/>
            </w:pPr>
            <w:r w:rsidRPr="00C9680B">
              <w:t>5. arbetstagaren medges ska</w:t>
            </w:r>
            <w:r w:rsidRPr="00C9680B">
              <w:t>t</w:t>
            </w:r>
            <w:r w:rsidRPr="00C9680B">
              <w:t>te</w:t>
            </w:r>
            <w:r w:rsidRPr="00C9680B">
              <w:softHyphen/>
              <w:t>reduk</w:t>
            </w:r>
            <w:r w:rsidRPr="00C9680B">
              <w:softHyphen/>
              <w:t xml:space="preserve">tion för allmän pensionsavgift enligt </w:t>
            </w:r>
            <w:r w:rsidRPr="00C9680B">
              <w:rPr>
                <w:i/>
              </w:rPr>
              <w:t>65 kap. 10 § inkomst</w:t>
            </w:r>
            <w:r w:rsidRPr="00C9680B">
              <w:rPr>
                <w:i/>
              </w:rPr>
              <w:softHyphen/>
              <w:t>skatte</w:t>
            </w:r>
            <w:r w:rsidRPr="00C9680B">
              <w:rPr>
                <w:i/>
              </w:rPr>
              <w:softHyphen/>
              <w:t>lagen (1999:1229).</w:t>
            </w:r>
          </w:p>
        </w:tc>
      </w:tr>
    </w:tbl>
    <w:p w:rsidR="001C7BF9" w:rsidRPr="00C9680B" w:rsidRDefault="001C7BF9">
      <w:pPr>
        <w:pStyle w:val="LagtextIndrag"/>
      </w:pPr>
      <w:r w:rsidRPr="00C9680B">
        <w:t>Skattetabellerna skall ange skatteavdraget med utgångspunkt från att ko</w:t>
      </w:r>
      <w:r w:rsidRPr="00C9680B">
        <w:t>m</w:t>
      </w:r>
      <w:r w:rsidRPr="00C9680B">
        <w:t>munal inkomstskatt, begravningsavgift enligt begravningslagen och avgift som avses i lagen om avgift till registrerat trossamfund beräknas efter en sammanlagd ska</w:t>
      </w:r>
      <w:r w:rsidRPr="00C9680B">
        <w:t>t</w:t>
      </w:r>
      <w:r w:rsidRPr="00C9680B">
        <w:t xml:space="preserve">te- och avgiftssats i hela krontal. </w:t>
      </w:r>
    </w:p>
    <w:p w:rsidR="001C7BF9" w:rsidRPr="00C9680B" w:rsidRDefault="001C7BF9">
      <w:pPr>
        <w:pStyle w:val="LagtextIndrag"/>
      </w:pPr>
      <w:r w:rsidRPr="00C9680B">
        <w:t>Av tabellerna skall också framgå skatteavdraget för den som inte är skyldig att betala allmän pensionsa</w:t>
      </w:r>
      <w:r w:rsidRPr="00C9680B">
        <w:t>v</w:t>
      </w:r>
      <w:r w:rsidRPr="00C9680B">
        <w:t xml:space="preserve">gift. </w:t>
      </w:r>
    </w:p>
    <w:p w:rsidR="001C7BF9" w:rsidRPr="00C9680B" w:rsidRDefault="001C7BF9">
      <w:pPr>
        <w:pStyle w:val="Lagtext"/>
      </w:pPr>
      <w:r w:rsidRPr="00C9680B">
        <w:rPr>
          <w:u w:val="single"/>
        </w:rPr>
        <w:t>                              </w:t>
      </w:r>
    </w:p>
    <w:p w:rsidR="001C7BF9" w:rsidRPr="00C9680B" w:rsidRDefault="001C7BF9">
      <w:pPr>
        <w:pStyle w:val="LagtextIndrag"/>
        <w:spacing w:line="240" w:lineRule="auto"/>
        <w:rPr>
          <w:sz w:val="12"/>
        </w:rPr>
      </w:pPr>
    </w:p>
    <w:p w:rsidR="001C7BF9" w:rsidRPr="00C9680B" w:rsidRDefault="001C7BF9">
      <w:pPr>
        <w:pStyle w:val="LagtextIndrag"/>
      </w:pPr>
      <w:r w:rsidRPr="00C9680B">
        <w:t>Denna lag träder i kraft den 1 januari 2001 och tillämpas första gången i fråga om preliminär skatt för i</w:t>
      </w:r>
      <w:r w:rsidRPr="00C9680B">
        <w:t>n</w:t>
      </w:r>
      <w:r w:rsidRPr="00C9680B">
        <w:t>komståret 2001.</w:t>
      </w:r>
    </w:p>
    <w:p w:rsidR="001C7BF9" w:rsidRPr="00C9680B" w:rsidRDefault="001C7BF9">
      <w:pPr>
        <w:pStyle w:val="Rubrik2"/>
        <w:spacing w:before="0"/>
      </w:pPr>
      <w:bookmarkStart w:id="769" w:name="_Toc493234613"/>
    </w:p>
    <w:p w:rsidR="001C7BF9" w:rsidRPr="00C9680B" w:rsidRDefault="001C7BF9">
      <w:pPr>
        <w:pStyle w:val="Rubrik2"/>
        <w:spacing w:before="0"/>
      </w:pPr>
      <w:r w:rsidRPr="00C9680B">
        <w:br w:type="page"/>
      </w:r>
      <w:bookmarkStart w:id="770" w:name="_Toc498910962"/>
      <w:r w:rsidRPr="00C9680B">
        <w:t xml:space="preserve">4  Förslag till lag om ändring i lagen (1994:1920) om </w:t>
      </w:r>
      <w:r w:rsidRPr="00C9680B">
        <w:br/>
        <w:t xml:space="preserve">    allmän löneavgift</w:t>
      </w:r>
      <w:bookmarkEnd w:id="769"/>
      <w:bookmarkEnd w:id="770"/>
    </w:p>
    <w:p w:rsidR="001C7BF9" w:rsidRPr="00C9680B" w:rsidRDefault="001C7BF9">
      <w:pPr>
        <w:pStyle w:val="LagtextIndrag"/>
      </w:pPr>
      <w:r w:rsidRPr="00C9680B">
        <w:t>Härigenom föreskrivs att 3 § lagen (1994:1920) om allmän löneavgift skall ha följande lydelse.</w:t>
      </w:r>
    </w:p>
    <w:p w:rsidR="001C7BF9" w:rsidRPr="00C9680B" w:rsidRDefault="001C7BF9">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Rubrik2"/>
              <w:rPr>
                <w:sz w:val="19"/>
              </w:rPr>
            </w:pPr>
            <w:r w:rsidRPr="00C9680B">
              <w:rPr>
                <w:sz w:val="19"/>
              </w:rPr>
              <w:t>Nuvarande lydelse</w:t>
            </w:r>
          </w:p>
        </w:tc>
        <w:tc>
          <w:tcPr>
            <w:tcW w:w="3090" w:type="dxa"/>
          </w:tcPr>
          <w:p w:rsidR="001C7BF9" w:rsidRPr="00C9680B" w:rsidRDefault="001C7BF9">
            <w:pPr>
              <w:pStyle w:val="LagRubrik2"/>
              <w:rPr>
                <w:sz w:val="19"/>
              </w:rPr>
            </w:pPr>
            <w:r w:rsidRPr="00C9680B">
              <w:rPr>
                <w:sz w:val="19"/>
              </w:rPr>
              <w:t>Föreslagen lydelse</w:t>
            </w:r>
          </w:p>
        </w:tc>
      </w:tr>
    </w:tbl>
    <w:p w:rsidR="001C7BF9" w:rsidRPr="00C9680B" w:rsidRDefault="001C7BF9">
      <w:pPr>
        <w:pStyle w:val="LagtextIndrag"/>
      </w:pPr>
    </w:p>
    <w:p w:rsidR="001C7BF9" w:rsidRPr="00C9680B" w:rsidRDefault="001C7BF9">
      <w:pPr>
        <w:pStyle w:val="Lagtext"/>
        <w:jc w:val="center"/>
      </w:pPr>
      <w:r w:rsidRPr="00C9680B">
        <w:rPr>
          <w:b/>
        </w:rPr>
        <w:t>3 §</w:t>
      </w:r>
      <w:r w:rsidRPr="00C9680B">
        <w:rPr>
          <w:rStyle w:val="Fotnotsreferens"/>
        </w:rPr>
        <w:footnoteReference w:id="4"/>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 xml:space="preserve">Allmän löneavgift tas ut med </w:t>
            </w:r>
            <w:r w:rsidRPr="00C9680B">
              <w:rPr>
                <w:i/>
              </w:rPr>
              <w:t xml:space="preserve">3,09 </w:t>
            </w:r>
            <w:r w:rsidRPr="00C9680B">
              <w:t>procent av underlaget och tillfaller st</w:t>
            </w:r>
            <w:r w:rsidRPr="00C9680B">
              <w:t>a</w:t>
            </w:r>
            <w:r w:rsidRPr="00C9680B">
              <w:t xml:space="preserve">ten. </w:t>
            </w:r>
          </w:p>
        </w:tc>
        <w:tc>
          <w:tcPr>
            <w:tcW w:w="3090" w:type="dxa"/>
          </w:tcPr>
          <w:p w:rsidR="001C7BF9" w:rsidRPr="00C9680B" w:rsidRDefault="001C7BF9">
            <w:pPr>
              <w:pStyle w:val="LagtextIndrag"/>
            </w:pPr>
            <w:r w:rsidRPr="00C9680B">
              <w:t xml:space="preserve">Allmän löneavgift tas ut med </w:t>
            </w:r>
            <w:r w:rsidRPr="00C9680B">
              <w:rPr>
                <w:i/>
              </w:rPr>
              <w:t>2,69</w:t>
            </w:r>
            <w:r w:rsidRPr="00C9680B">
              <w:t xml:space="preserve"> procent av underlaget och tillfaller st</w:t>
            </w:r>
            <w:r w:rsidRPr="00C9680B">
              <w:t>a</w:t>
            </w:r>
            <w:r w:rsidRPr="00C9680B">
              <w:t>ten.</w:t>
            </w:r>
          </w:p>
        </w:tc>
      </w:tr>
    </w:tbl>
    <w:p w:rsidR="001C7BF9" w:rsidRPr="00C9680B" w:rsidRDefault="001C7BF9">
      <w:pPr>
        <w:pStyle w:val="Lagtext"/>
      </w:pPr>
      <w:r w:rsidRPr="00C9680B">
        <w:rPr>
          <w:u w:val="single"/>
        </w:rPr>
        <w:t>                              </w:t>
      </w:r>
    </w:p>
    <w:p w:rsidR="001C7BF9" w:rsidRPr="00C9680B" w:rsidRDefault="001C7BF9">
      <w:pPr>
        <w:pStyle w:val="LagtextIndrag"/>
        <w:spacing w:line="240" w:lineRule="auto"/>
        <w:rPr>
          <w:sz w:val="12"/>
        </w:rPr>
      </w:pPr>
    </w:p>
    <w:p w:rsidR="001C7BF9" w:rsidRPr="00C9680B" w:rsidRDefault="001C7BF9">
      <w:pPr>
        <w:pStyle w:val="LagtextIndrag"/>
      </w:pPr>
      <w:r w:rsidRPr="00C9680B">
        <w:t xml:space="preserve">1. Denna lag träder i kraft den 1 januari 2001. </w:t>
      </w:r>
    </w:p>
    <w:p w:rsidR="001C7BF9" w:rsidRPr="00C9680B" w:rsidRDefault="001C7BF9">
      <w:pPr>
        <w:pStyle w:val="LagtextIndrag"/>
      </w:pPr>
      <w:r w:rsidRPr="00C9680B">
        <w:t>2. De nya bestämmelserna tillämpas på lön eller annan ersättning enligt 1 § som betalas ut från och med den 1 jan</w:t>
      </w:r>
      <w:r w:rsidRPr="00C9680B">
        <w:t>u</w:t>
      </w:r>
      <w:r w:rsidRPr="00C9680B">
        <w:t xml:space="preserve">ari 2001. </w:t>
      </w:r>
    </w:p>
    <w:p w:rsidR="001C7BF9" w:rsidRPr="00C9680B" w:rsidRDefault="001C7BF9">
      <w:pPr>
        <w:pStyle w:val="LagtextIndrag"/>
      </w:pPr>
      <w:r w:rsidRPr="00C9680B">
        <w:t>3. De nya bestämmelserna tillämpas också på inkomst enligt 2 § som up</w:t>
      </w:r>
      <w:r w:rsidRPr="00C9680B">
        <w:t>p</w:t>
      </w:r>
      <w:r w:rsidRPr="00C9680B">
        <w:t>bärs från och med den 1 januari 2001. Omfattar beskattningsåret tid såväl före som efter utgången av år 2000 skall, om den avgiftsskyldige inte visar annat, så stor del av beskattningsårets inkomst anses hänförlig till tiden efter utgån</w:t>
      </w:r>
      <w:r w:rsidRPr="00C9680B">
        <w:t>g</w:t>
      </w:r>
      <w:r w:rsidRPr="00C9680B">
        <w:t>en av år 2000 som svarar mot förhållandet mellan den del av beskattningsåret som infaller under denna tid och hela b</w:t>
      </w:r>
      <w:r w:rsidRPr="00C9680B">
        <w:t>e</w:t>
      </w:r>
      <w:r w:rsidRPr="00C9680B">
        <w:t>skattningsåret.</w:t>
      </w:r>
    </w:p>
    <w:p w:rsidR="001C7BF9" w:rsidRPr="00C9680B" w:rsidRDefault="001C7BF9">
      <w:pPr>
        <w:pStyle w:val="Rubrik2"/>
        <w:spacing w:before="0"/>
      </w:pPr>
      <w:bookmarkStart w:id="771" w:name="_Toc493234614"/>
    </w:p>
    <w:p w:rsidR="001C7BF9" w:rsidRPr="00C9680B" w:rsidRDefault="001C7BF9">
      <w:pPr>
        <w:pStyle w:val="Rubrik2"/>
        <w:spacing w:before="0"/>
      </w:pPr>
      <w:r w:rsidRPr="00C9680B">
        <w:br w:type="page"/>
      </w:r>
      <w:bookmarkStart w:id="772" w:name="_Toc498910963"/>
      <w:r w:rsidRPr="00C9680B">
        <w:t>5  Förslag till lag om skattereduktion på förvärvs-</w:t>
      </w:r>
      <w:r w:rsidRPr="00C9680B">
        <w:softHyphen/>
      </w:r>
      <w:r w:rsidRPr="00C9680B">
        <w:br/>
        <w:t xml:space="preserve">    inkomst</w:t>
      </w:r>
      <w:r w:rsidRPr="00C9680B">
        <w:softHyphen/>
        <w:t>er vid 2002 års taxering</w:t>
      </w:r>
      <w:bookmarkEnd w:id="771"/>
      <w:bookmarkEnd w:id="772"/>
    </w:p>
    <w:p w:rsidR="001C7BF9" w:rsidRPr="00C9680B" w:rsidRDefault="001C7BF9">
      <w:pPr>
        <w:pStyle w:val="LagtextIndrag"/>
      </w:pPr>
      <w:r w:rsidRPr="00C9680B">
        <w:t>Härigenom föreskrivs följande.</w:t>
      </w:r>
    </w:p>
    <w:p w:rsidR="001C7BF9" w:rsidRPr="00C9680B" w:rsidRDefault="001C7BF9">
      <w:pPr>
        <w:pStyle w:val="LagtextIndrag"/>
      </w:pPr>
    </w:p>
    <w:p w:rsidR="001C7BF9" w:rsidRPr="00C9680B" w:rsidRDefault="001C7BF9">
      <w:pPr>
        <w:pStyle w:val="Lagtext"/>
      </w:pPr>
      <w:r w:rsidRPr="00C9680B">
        <w:rPr>
          <w:b/>
        </w:rPr>
        <w:t>1 §</w:t>
      </w:r>
      <w:r w:rsidRPr="00C9680B">
        <w:t xml:space="preserve"> Skattskyldig fysisk person, som varit obegränsat skattskyldig under hela beskattningsåret, har vid 2002 års taxering rätt till skattereduktion enligt 2 § på skattepliktiga förvärvsinkomster som utgör sådan inkomst av anställning eller sådan inkomst av annat förvärvsarbete som avses i 2 kap. lagen (1998:674) om inkoms</w:t>
      </w:r>
      <w:r w:rsidRPr="00C9680B">
        <w:t>t</w:t>
      </w:r>
      <w:r w:rsidRPr="00C9680B">
        <w:t xml:space="preserve">grundad ålderspension. </w:t>
      </w:r>
    </w:p>
    <w:p w:rsidR="001C7BF9" w:rsidRPr="00C9680B" w:rsidRDefault="001C7BF9">
      <w:pPr>
        <w:pStyle w:val="LagtextIndrag"/>
      </w:pPr>
      <w:r w:rsidRPr="00C9680B">
        <w:t>Vid beräkning av inkomst av anställning skall avdrag göras för kostnader som arbetstagaren har haft i arbetet i den utsträckning kostnaderna, minskade med erhållen kost</w:t>
      </w:r>
      <w:r w:rsidRPr="00C9680B">
        <w:t xml:space="preserve">nadsersättning, överstiger 1 000 kronor. </w:t>
      </w:r>
    </w:p>
    <w:p w:rsidR="001C7BF9" w:rsidRPr="00C9680B" w:rsidRDefault="001C7BF9">
      <w:pPr>
        <w:pStyle w:val="LagtextIndrag"/>
      </w:pPr>
      <w:r w:rsidRPr="00C9680B">
        <w:t>Vid beräkning av inkomst som avses i första stycket skall inkomst av a</w:t>
      </w:r>
      <w:r w:rsidRPr="00C9680B">
        <w:t>n</w:t>
      </w:r>
      <w:r w:rsidRPr="00C9680B">
        <w:t xml:space="preserve">ställning och inkomst av annat förvärvsarbete var för sig avrundas till närmast lägre hundratal kronor. </w:t>
      </w:r>
    </w:p>
    <w:p w:rsidR="001C7BF9" w:rsidRPr="00C9680B" w:rsidRDefault="001C7BF9">
      <w:pPr>
        <w:pStyle w:val="LagtextIndrag"/>
      </w:pPr>
    </w:p>
    <w:p w:rsidR="001C7BF9" w:rsidRPr="00C9680B" w:rsidRDefault="001C7BF9">
      <w:pPr>
        <w:pStyle w:val="Lagtext"/>
      </w:pPr>
      <w:r w:rsidRPr="00C9680B">
        <w:rPr>
          <w:b/>
        </w:rPr>
        <w:t>2 §</w:t>
      </w:r>
      <w:r w:rsidRPr="00C9680B">
        <w:t xml:space="preserve"> Skattereduktionen uppgår till 1 320 kronor när förvärvsinkomsten enligt 1 § uppgår till högst 135 000 kronor. Om inkomsten överstiger 135 000 kr</w:t>
      </w:r>
      <w:r w:rsidRPr="00C9680B">
        <w:t>o</w:t>
      </w:r>
      <w:r w:rsidRPr="00C9680B">
        <w:t>nor minskas skattereduktionen med 1,2 procent av den överskjutande i</w:t>
      </w:r>
      <w:r w:rsidRPr="00C9680B">
        <w:t>n</w:t>
      </w:r>
      <w:r w:rsidRPr="00C9680B">
        <w:t>komsten. Skattereduktionen får inte överstiga ett belopp motsvarande vare sig förvärvsinkomsten enligt 1 § multiplicerad med den kommunala skattesatsen eller den debiterade kommunala inkomstska</w:t>
      </w:r>
      <w:r w:rsidRPr="00C9680B">
        <w:t>t</w:t>
      </w:r>
      <w:r w:rsidRPr="00C9680B">
        <w:t xml:space="preserve">ten. </w:t>
      </w:r>
    </w:p>
    <w:p w:rsidR="001C7BF9" w:rsidRPr="00C9680B" w:rsidRDefault="001C7BF9">
      <w:pPr>
        <w:pStyle w:val="LagtextIndrag"/>
      </w:pPr>
    </w:p>
    <w:p w:rsidR="001C7BF9" w:rsidRPr="00C9680B" w:rsidRDefault="001C7BF9">
      <w:pPr>
        <w:pStyle w:val="Lagtext"/>
      </w:pPr>
      <w:r w:rsidRPr="00C9680B">
        <w:rPr>
          <w:b/>
        </w:rPr>
        <w:t>3 §</w:t>
      </w:r>
      <w:r w:rsidRPr="00C9680B">
        <w:t xml:space="preserve"> Skattskyldig fysisk person, som varit obegränsat skattskyldig endast under en del av beskattningsåret, har rätt till skattereduktion med en tolftedel av den skattereduktion som skulle ha tillgodoförts honom om han varit obegränsat skattskyldig under hela beskattningsåret, för varje kalendermånad eller del därav under vilken han varit obegränsat skattskyldig. I övrigt tillämpas 1 och 2 §§. </w:t>
      </w:r>
    </w:p>
    <w:p w:rsidR="001C7BF9" w:rsidRPr="00C9680B" w:rsidRDefault="001C7BF9">
      <w:pPr>
        <w:pStyle w:val="LagtextIndrag"/>
      </w:pPr>
      <w:r w:rsidRPr="00C9680B">
        <w:t>Avlider den skattskyldige under beskattningsåret skall bestämmelserna i 4 kap. 1 § inkomstskattelagen (1999:1229) om d</w:t>
      </w:r>
      <w:r w:rsidRPr="00C9680B">
        <w:t>ödsbon tillämpas på mot</w:t>
      </w:r>
      <w:r w:rsidRPr="00C9680B">
        <w:softHyphen/>
        <w:t>svarande sätt vid beräkning av skatteredu</w:t>
      </w:r>
      <w:r w:rsidRPr="00C9680B">
        <w:t>k</w:t>
      </w:r>
      <w:r w:rsidRPr="00C9680B">
        <w:t xml:space="preserve">tion. </w:t>
      </w:r>
    </w:p>
    <w:p w:rsidR="001C7BF9" w:rsidRPr="00C9680B" w:rsidRDefault="001C7BF9">
      <w:pPr>
        <w:pStyle w:val="LagtextIndrag"/>
      </w:pPr>
    </w:p>
    <w:p w:rsidR="001C7BF9" w:rsidRPr="00C9680B" w:rsidRDefault="001C7BF9">
      <w:pPr>
        <w:pStyle w:val="Lagtext"/>
      </w:pPr>
      <w:r w:rsidRPr="00C9680B">
        <w:rPr>
          <w:b/>
        </w:rPr>
        <w:t>4 §</w:t>
      </w:r>
      <w:r w:rsidRPr="00C9680B">
        <w:t xml:space="preserve"> Skattereduktion enligt denna lag räknas av mot kommunal och statlig inkomstskatt samt mot statlig fastighetsskatt enligt lagen (1984:1052) om statlig fastighet</w:t>
      </w:r>
      <w:r w:rsidRPr="00C9680B">
        <w:t>s</w:t>
      </w:r>
      <w:r w:rsidRPr="00C9680B">
        <w:t xml:space="preserve">skatt. </w:t>
      </w:r>
    </w:p>
    <w:p w:rsidR="001C7BF9" w:rsidRPr="00C9680B" w:rsidRDefault="001C7BF9">
      <w:pPr>
        <w:pStyle w:val="LagtextIndrag"/>
      </w:pPr>
      <w:r w:rsidRPr="00C9680B">
        <w:t>Skattereduktion enligt denna lag tillgodoräknas den skattskyldige före a</w:t>
      </w:r>
      <w:r w:rsidRPr="00C9680B">
        <w:t>n</w:t>
      </w:r>
      <w:r w:rsidRPr="00C9680B">
        <w:t>nan skatter</w:t>
      </w:r>
      <w:r w:rsidRPr="00C9680B">
        <w:t>e</w:t>
      </w:r>
      <w:r w:rsidRPr="00C9680B">
        <w:t xml:space="preserve">duktion. </w:t>
      </w:r>
    </w:p>
    <w:p w:rsidR="001C7BF9" w:rsidRPr="00C9680B" w:rsidRDefault="001C7BF9">
      <w:pPr>
        <w:pStyle w:val="LagtextIndrag"/>
      </w:pPr>
    </w:p>
    <w:p w:rsidR="001C7BF9" w:rsidRPr="00C9680B" w:rsidRDefault="001C7BF9">
      <w:pPr>
        <w:pStyle w:val="Lagtext"/>
      </w:pPr>
      <w:r w:rsidRPr="00C9680B">
        <w:rPr>
          <w:b/>
        </w:rPr>
        <w:t>5 §</w:t>
      </w:r>
      <w:r w:rsidRPr="00C9680B">
        <w:t xml:space="preserve"> Skattetabellerna skall, förutom vad som framgår av 8 kap. skattebeta</w:t>
      </w:r>
      <w:r w:rsidRPr="00C9680B">
        <w:t>l</w:t>
      </w:r>
      <w:r w:rsidRPr="00C9680B">
        <w:t>ningslagen (1997:483), grundas på att den skattskyldige har rätt till skatter</w:t>
      </w:r>
      <w:r w:rsidRPr="00C9680B">
        <w:t>e</w:t>
      </w:r>
      <w:r w:rsidRPr="00C9680B">
        <w:t>duktion enligt de</w:t>
      </w:r>
      <w:r w:rsidRPr="00C9680B">
        <w:t>n</w:t>
      </w:r>
      <w:r w:rsidRPr="00C9680B">
        <w:t xml:space="preserve">na lag. </w:t>
      </w:r>
    </w:p>
    <w:p w:rsidR="001C7BF9" w:rsidRPr="00C9680B" w:rsidRDefault="001C7BF9">
      <w:pPr>
        <w:pStyle w:val="LagtextIndrag"/>
      </w:pPr>
    </w:p>
    <w:p w:rsidR="001C7BF9" w:rsidRPr="00C9680B" w:rsidRDefault="001C7BF9">
      <w:pPr>
        <w:pStyle w:val="Lagtext"/>
      </w:pPr>
      <w:r w:rsidRPr="00C9680B">
        <w:rPr>
          <w:b/>
        </w:rPr>
        <w:t>6 §</w:t>
      </w:r>
      <w:r w:rsidRPr="00C9680B">
        <w:t xml:space="preserve"> Vid beräkning av F-skatt enligt 6 kap. skattebetalningslagen (1997:483) skall om möjligt hänsyn tas till skatter</w:t>
      </w:r>
      <w:r w:rsidRPr="00C9680B">
        <w:t>e</w:t>
      </w:r>
      <w:r w:rsidRPr="00C9680B">
        <w:t>duktion enligt denna lag.</w:t>
      </w:r>
    </w:p>
    <w:p w:rsidR="001C7BF9" w:rsidRPr="00C9680B" w:rsidRDefault="001C7BF9">
      <w:pPr>
        <w:pStyle w:val="Lagtext"/>
      </w:pPr>
      <w:r w:rsidRPr="00C9680B">
        <w:rPr>
          <w:u w:val="single"/>
        </w:rPr>
        <w:t>                              </w:t>
      </w:r>
    </w:p>
    <w:p w:rsidR="001C7BF9" w:rsidRPr="00C9680B" w:rsidRDefault="001C7BF9">
      <w:pPr>
        <w:pStyle w:val="LagtextIndrag"/>
        <w:spacing w:line="240" w:lineRule="auto"/>
        <w:rPr>
          <w:sz w:val="12"/>
        </w:rPr>
      </w:pPr>
    </w:p>
    <w:p w:rsidR="001C7BF9" w:rsidRPr="00C9680B" w:rsidRDefault="001C7BF9">
      <w:pPr>
        <w:pStyle w:val="LagtextIndrag"/>
      </w:pPr>
      <w:r w:rsidRPr="00C9680B">
        <w:t>Denna lag träder i kraft den 1 j</w:t>
      </w:r>
      <w:r w:rsidRPr="00C9680B">
        <w:t>a</w:t>
      </w:r>
      <w:r w:rsidRPr="00C9680B">
        <w:t>nuari 2001.</w:t>
      </w:r>
    </w:p>
    <w:p w:rsidR="001C7BF9" w:rsidRPr="00C9680B" w:rsidRDefault="001C7BF9">
      <w:pPr>
        <w:pStyle w:val="Rubrik2"/>
        <w:spacing w:before="0"/>
      </w:pPr>
      <w:bookmarkStart w:id="773" w:name="_Toc493234615"/>
    </w:p>
    <w:p w:rsidR="001C7BF9" w:rsidRPr="00C9680B" w:rsidRDefault="001C7BF9">
      <w:pPr>
        <w:pStyle w:val="Rubrik2"/>
        <w:spacing w:before="0"/>
      </w:pPr>
      <w:r w:rsidRPr="00C9680B">
        <w:br w:type="page"/>
      </w:r>
      <w:bookmarkStart w:id="774" w:name="_Toc498910964"/>
      <w:r w:rsidRPr="00C9680B">
        <w:t xml:space="preserve">6  Förslag till lag om ändring i lagen (1994:1744) om </w:t>
      </w:r>
      <w:r w:rsidRPr="00C9680B">
        <w:br/>
        <w:t xml:space="preserve">    allmän pensionsavgift</w:t>
      </w:r>
      <w:bookmarkEnd w:id="773"/>
      <w:bookmarkEnd w:id="774"/>
    </w:p>
    <w:p w:rsidR="001C7BF9" w:rsidRPr="00C9680B" w:rsidRDefault="001C7BF9">
      <w:pPr>
        <w:pStyle w:val="LagtextIndrag"/>
      </w:pPr>
      <w:r w:rsidRPr="00C9680B">
        <w:t>Härigenom föreskrivs att 4 § lagen (1994:1744)</w:t>
      </w:r>
      <w:r w:rsidRPr="00C9680B">
        <w:rPr>
          <w:rStyle w:val="Fotnotsreferens"/>
        </w:rPr>
        <w:footnoteReference w:id="5"/>
      </w:r>
      <w:r w:rsidRPr="00C9680B">
        <w:t xml:space="preserve"> om allmän pensionsavgift skall ha följande lydelse.</w:t>
      </w:r>
    </w:p>
    <w:p w:rsidR="001C7BF9" w:rsidRPr="00C9680B" w:rsidRDefault="001C7BF9">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Rubrik2"/>
              <w:rPr>
                <w:sz w:val="19"/>
              </w:rPr>
            </w:pPr>
            <w:r w:rsidRPr="00C9680B">
              <w:rPr>
                <w:sz w:val="19"/>
              </w:rPr>
              <w:t>Nuvarande lydelse</w:t>
            </w:r>
          </w:p>
        </w:tc>
        <w:tc>
          <w:tcPr>
            <w:tcW w:w="3090" w:type="dxa"/>
          </w:tcPr>
          <w:p w:rsidR="001C7BF9" w:rsidRPr="00C9680B" w:rsidRDefault="001C7BF9">
            <w:pPr>
              <w:pStyle w:val="LagRubrik2"/>
              <w:rPr>
                <w:sz w:val="19"/>
              </w:rPr>
            </w:pPr>
            <w:r w:rsidRPr="00C9680B">
              <w:rPr>
                <w:sz w:val="19"/>
              </w:rPr>
              <w:t>Föreslagen lydelse</w:t>
            </w:r>
          </w:p>
        </w:tc>
      </w:tr>
    </w:tbl>
    <w:p w:rsidR="001C7BF9" w:rsidRPr="00C9680B" w:rsidRDefault="001C7BF9">
      <w:pPr>
        <w:pStyle w:val="LagtextIndrag"/>
      </w:pPr>
    </w:p>
    <w:p w:rsidR="001C7BF9" w:rsidRPr="00C9680B" w:rsidRDefault="001C7BF9">
      <w:pPr>
        <w:pStyle w:val="Lagtext"/>
        <w:jc w:val="center"/>
      </w:pPr>
      <w:r w:rsidRPr="00C9680B">
        <w:rPr>
          <w:b/>
        </w:rPr>
        <w:t>4 §</w:t>
      </w:r>
      <w:r w:rsidRPr="00C9680B">
        <w:rPr>
          <w:rStyle w:val="Fotnotsreferens"/>
        </w:rPr>
        <w:footnoteReference w:id="6"/>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 xml:space="preserve">Avgift skall inte betalas av den som har sådana inkomster som avses i 3 §, om inkomsterna understiger </w:t>
            </w:r>
            <w:r w:rsidRPr="00C9680B">
              <w:rPr>
                <w:i/>
              </w:rPr>
              <w:t>24</w:t>
            </w:r>
            <w:r w:rsidRPr="00C9680B">
              <w:t xml:space="preserve"> procent av det för året gällande pris</w:t>
            </w:r>
            <w:r w:rsidRPr="00C9680B">
              <w:softHyphen/>
              <w:t>basbeloppet enligt lagen (1962:381) om allmän försä</w:t>
            </w:r>
            <w:r w:rsidRPr="00C9680B">
              <w:t>k</w:t>
            </w:r>
            <w:r w:rsidRPr="00C9680B">
              <w:t xml:space="preserve">ring. </w:t>
            </w:r>
          </w:p>
        </w:tc>
        <w:tc>
          <w:tcPr>
            <w:tcW w:w="3090" w:type="dxa"/>
          </w:tcPr>
          <w:p w:rsidR="001C7BF9" w:rsidRPr="00C9680B" w:rsidRDefault="001C7BF9">
            <w:pPr>
              <w:pStyle w:val="LagtextIndrag"/>
            </w:pPr>
            <w:r w:rsidRPr="00C9680B">
              <w:t xml:space="preserve">Avgift skall inte betalas av den som har sådana inkomster som avses i 3 §, om inkomsterna understiger </w:t>
            </w:r>
            <w:r w:rsidRPr="00C9680B">
              <w:rPr>
                <w:i/>
              </w:rPr>
              <w:t xml:space="preserve">27 </w:t>
            </w:r>
            <w:r w:rsidRPr="00C9680B">
              <w:t>procent av det för året gällande pris</w:t>
            </w:r>
            <w:r w:rsidRPr="00C9680B">
              <w:softHyphen/>
              <w:t>basbeloppet enligt lagen (1962:381) om allmän försä</w:t>
            </w:r>
            <w:r w:rsidRPr="00C9680B">
              <w:t>k</w:t>
            </w:r>
            <w:r w:rsidRPr="00C9680B">
              <w:t xml:space="preserve">ring. </w:t>
            </w:r>
          </w:p>
        </w:tc>
      </w:tr>
    </w:tbl>
    <w:p w:rsidR="001C7BF9" w:rsidRPr="00C9680B" w:rsidRDefault="001C7BF9">
      <w:pPr>
        <w:pStyle w:val="Lagtext"/>
      </w:pPr>
      <w:r w:rsidRPr="00C9680B">
        <w:rPr>
          <w:u w:val="single"/>
        </w:rPr>
        <w:t>                              </w:t>
      </w:r>
    </w:p>
    <w:p w:rsidR="001C7BF9" w:rsidRPr="00C9680B" w:rsidRDefault="001C7BF9">
      <w:pPr>
        <w:pStyle w:val="LagtextIndrag"/>
        <w:spacing w:line="240" w:lineRule="auto"/>
        <w:rPr>
          <w:sz w:val="12"/>
        </w:rPr>
      </w:pPr>
    </w:p>
    <w:p w:rsidR="001C7BF9" w:rsidRPr="00C9680B" w:rsidRDefault="001C7BF9">
      <w:pPr>
        <w:pStyle w:val="LagtextIndrag"/>
      </w:pPr>
      <w:r w:rsidRPr="00C9680B">
        <w:t>Denna lag träder i kraft den 1 januari 2001 och tillämpas första gången vid 2002 års taxering.</w:t>
      </w:r>
    </w:p>
    <w:p w:rsidR="001C7BF9" w:rsidRPr="00C9680B" w:rsidRDefault="001C7BF9">
      <w:pPr>
        <w:pStyle w:val="Rubrik2"/>
        <w:spacing w:before="0"/>
      </w:pPr>
      <w:bookmarkStart w:id="775" w:name="_Toc493234616"/>
      <w:r w:rsidRPr="00C9680B">
        <w:br w:type="page"/>
      </w:r>
      <w:bookmarkStart w:id="776" w:name="_Toc498910965"/>
      <w:r w:rsidRPr="00C9680B">
        <w:t xml:space="preserve">7  Förslag till lag om ändring i lagen (1999:802) om </w:t>
      </w:r>
      <w:r w:rsidRPr="00C9680B">
        <w:br/>
        <w:t xml:space="preserve">    ändring i lagen (1998:674) om inkomstgrundad </w:t>
      </w:r>
      <w:r w:rsidRPr="00C9680B">
        <w:br/>
        <w:t xml:space="preserve">    ålderspension</w:t>
      </w:r>
      <w:bookmarkEnd w:id="775"/>
      <w:bookmarkEnd w:id="776"/>
    </w:p>
    <w:p w:rsidR="001C7BF9" w:rsidRPr="00C9680B" w:rsidRDefault="001C7BF9">
      <w:pPr>
        <w:pStyle w:val="LagtextIndrag"/>
      </w:pPr>
      <w:r w:rsidRPr="00C9680B">
        <w:t>Härigenom föreskrivs att 2 kap. 2 § lagen (1998:674) om inkomstgrundad ålderspension i dess lydelse enligt lagen (1999:802) om ändring i nämnda lag skall ha följande lyde</w:t>
      </w:r>
      <w:r w:rsidRPr="00C9680B">
        <w:t>l</w:t>
      </w:r>
      <w:r w:rsidRPr="00C9680B">
        <w:t>se.</w:t>
      </w:r>
    </w:p>
    <w:p w:rsidR="001C7BF9" w:rsidRPr="00C9680B" w:rsidRDefault="001C7BF9">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Rubrik2"/>
              <w:rPr>
                <w:sz w:val="19"/>
              </w:rPr>
            </w:pPr>
            <w:r w:rsidRPr="00C9680B">
              <w:rPr>
                <w:sz w:val="19"/>
              </w:rPr>
              <w:t>Nuvarande lydelse</w:t>
            </w:r>
          </w:p>
        </w:tc>
        <w:tc>
          <w:tcPr>
            <w:tcW w:w="3090" w:type="dxa"/>
          </w:tcPr>
          <w:p w:rsidR="001C7BF9" w:rsidRPr="00C9680B" w:rsidRDefault="001C7BF9">
            <w:pPr>
              <w:pStyle w:val="LagRubrik2"/>
              <w:rPr>
                <w:sz w:val="19"/>
              </w:rPr>
            </w:pPr>
            <w:r w:rsidRPr="00C9680B">
              <w:rPr>
                <w:sz w:val="19"/>
              </w:rPr>
              <w:t>Föreslagen lydelse</w:t>
            </w:r>
          </w:p>
        </w:tc>
      </w:tr>
    </w:tbl>
    <w:p w:rsidR="001C7BF9" w:rsidRPr="00C9680B" w:rsidRDefault="001C7BF9">
      <w:pPr>
        <w:pStyle w:val="LagtextIndrag"/>
      </w:pPr>
    </w:p>
    <w:p w:rsidR="001C7BF9" w:rsidRPr="00C9680B" w:rsidRDefault="001C7BF9">
      <w:pPr>
        <w:pStyle w:val="Lagtext"/>
        <w:jc w:val="center"/>
      </w:pPr>
      <w:r w:rsidRPr="00C9680B">
        <w:rPr>
          <w:b/>
        </w:rPr>
        <w:t xml:space="preserve">2 kap. </w:t>
      </w:r>
    </w:p>
    <w:p w:rsidR="001C7BF9" w:rsidRPr="00C9680B" w:rsidRDefault="001C7BF9">
      <w:pPr>
        <w:pStyle w:val="Lagtext"/>
        <w:jc w:val="center"/>
      </w:pPr>
      <w:r w:rsidRPr="00C9680B">
        <w:rPr>
          <w:b/>
        </w:rPr>
        <w:t>2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För varje år som en person har va</w:t>
            </w:r>
            <w:r w:rsidRPr="00C9680B">
              <w:softHyphen/>
              <w:t>rit försäkrad och har haft inkomster här i landet som är pensions</w:t>
            </w:r>
            <w:r w:rsidRPr="00C9680B">
              <w:softHyphen/>
              <w:t>grun</w:t>
            </w:r>
            <w:r w:rsidRPr="00C9680B">
              <w:softHyphen/>
              <w:t>dande, skall hans eller hennes pen</w:t>
            </w:r>
            <w:r w:rsidRPr="00C9680B">
              <w:softHyphen/>
              <w:t>sionsgrundande inkomst fastställas. Detta gäller dock endast om summan av de inkomster som är pen</w:t>
            </w:r>
            <w:r w:rsidRPr="00C9680B">
              <w:softHyphen/>
              <w:t>sions</w:t>
            </w:r>
            <w:r w:rsidRPr="00C9680B">
              <w:softHyphen/>
              <w:t xml:space="preserve">grundande uppgått till minst </w:t>
            </w:r>
            <w:r w:rsidRPr="00C9680B">
              <w:rPr>
                <w:i/>
              </w:rPr>
              <w:t>24</w:t>
            </w:r>
            <w:r w:rsidRPr="00C9680B">
              <w:t xml:space="preserve"> pr</w:t>
            </w:r>
            <w:r w:rsidRPr="00C9680B">
              <w:t>o</w:t>
            </w:r>
            <w:r w:rsidRPr="00C9680B">
              <w:t>cent av det för intjänandeåret gälla</w:t>
            </w:r>
            <w:r w:rsidRPr="00C9680B">
              <w:t>n</w:t>
            </w:r>
            <w:r w:rsidRPr="00C9680B">
              <w:t>de prisbasbeloppet enligt lagen (1962:381) om allmän försäkring.</w:t>
            </w:r>
          </w:p>
        </w:tc>
        <w:tc>
          <w:tcPr>
            <w:tcW w:w="3090" w:type="dxa"/>
          </w:tcPr>
          <w:p w:rsidR="001C7BF9" w:rsidRPr="00C9680B" w:rsidRDefault="001C7BF9">
            <w:pPr>
              <w:pStyle w:val="LagtextIndrag"/>
            </w:pPr>
            <w:r w:rsidRPr="00C9680B">
              <w:t>För varje år som en person har va</w:t>
            </w:r>
            <w:r w:rsidRPr="00C9680B">
              <w:softHyphen/>
              <w:t>rit försäkrad och har haft inkomster här i landet som är pensionsgrun</w:t>
            </w:r>
            <w:r w:rsidRPr="00C9680B">
              <w:softHyphen/>
              <w:t>dande, skall hans eller hennes pen</w:t>
            </w:r>
            <w:r w:rsidRPr="00C9680B">
              <w:softHyphen/>
              <w:t>sionsgrundande inkomst fastställas. Detta gäller dock endast om summan av de inkomster som är pen</w:t>
            </w:r>
            <w:r w:rsidRPr="00C9680B">
              <w:softHyphen/>
              <w:t>sions</w:t>
            </w:r>
            <w:r w:rsidRPr="00C9680B">
              <w:softHyphen/>
              <w:t xml:space="preserve">grundande uppgått till minst </w:t>
            </w:r>
            <w:r w:rsidRPr="00C9680B">
              <w:rPr>
                <w:i/>
              </w:rPr>
              <w:t>27</w:t>
            </w:r>
            <w:r w:rsidRPr="00C9680B">
              <w:t xml:space="preserve"> pr</w:t>
            </w:r>
            <w:r w:rsidRPr="00C9680B">
              <w:t>o</w:t>
            </w:r>
            <w:r w:rsidRPr="00C9680B">
              <w:t>cent av det för intjänandeåret gälla</w:t>
            </w:r>
            <w:r w:rsidRPr="00C9680B">
              <w:t>n</w:t>
            </w:r>
            <w:r w:rsidRPr="00C9680B">
              <w:t>de prisbasbeloppet enligt lagen (1962:381) om allmän försäkring.</w:t>
            </w:r>
          </w:p>
        </w:tc>
      </w:tr>
    </w:tbl>
    <w:p w:rsidR="001C7BF9" w:rsidRPr="00C9680B" w:rsidRDefault="001C7BF9">
      <w:pPr>
        <w:pStyle w:val="LagtextIndrag"/>
      </w:pPr>
      <w:r w:rsidRPr="00C9680B">
        <w:t>Fastställande enligt första stycket skall inte göras för år före det år då den försäkrade fyllt 16 år. För det år då den försäkrade har avlidit skall pension</w:t>
      </w:r>
      <w:r w:rsidRPr="00C9680B">
        <w:t>s</w:t>
      </w:r>
      <w:r w:rsidRPr="00C9680B">
        <w:t>grundande inkomst inte fastställas i annat fall än om överföring av pension</w:t>
      </w:r>
      <w:r w:rsidRPr="00C9680B">
        <w:t>s</w:t>
      </w:r>
      <w:r w:rsidRPr="00C9680B">
        <w:t>rätt för premiepension till den avlidnes make skall göras för det året. För den som är född år 1937 eller tidigare skall pensionsgrundande inkomst inte heller fastställas för år efter det då den försäkrade har fyllt 64 år eller för tidigare år under vilket han eller hon hela året har uppburit hel ålderspension enligt denna lag eller enligt lagen om allmän fö</w:t>
      </w:r>
      <w:r w:rsidRPr="00C9680B">
        <w:t>r</w:t>
      </w:r>
      <w:r w:rsidRPr="00C9680B">
        <w:t xml:space="preserve">säkring. </w:t>
      </w:r>
    </w:p>
    <w:p w:rsidR="001C7BF9" w:rsidRPr="00C9680B" w:rsidRDefault="001C7BF9">
      <w:pPr>
        <w:pStyle w:val="Rubrik2"/>
        <w:spacing w:before="0"/>
      </w:pPr>
      <w:bookmarkStart w:id="777" w:name="_Toc493234617"/>
    </w:p>
    <w:p w:rsidR="001C7BF9" w:rsidRPr="00C9680B" w:rsidRDefault="001C7BF9">
      <w:pPr>
        <w:pStyle w:val="Rubrik2"/>
        <w:spacing w:before="0"/>
      </w:pPr>
      <w:r w:rsidRPr="00C9680B">
        <w:br w:type="page"/>
      </w:r>
      <w:bookmarkStart w:id="778" w:name="_Toc498910966"/>
      <w:r w:rsidRPr="00C9680B">
        <w:t xml:space="preserve">8  Förslag till lag om ändring i lagen (1998:676) om </w:t>
      </w:r>
      <w:r w:rsidRPr="00C9680B">
        <w:br/>
        <w:t xml:space="preserve">    statlig ålderspensionsavgift</w:t>
      </w:r>
      <w:bookmarkEnd w:id="777"/>
      <w:bookmarkEnd w:id="778"/>
      <w:r w:rsidRPr="00C9680B">
        <w:t xml:space="preserve"> </w:t>
      </w:r>
    </w:p>
    <w:p w:rsidR="001C7BF9" w:rsidRPr="00C9680B" w:rsidRDefault="001C7BF9">
      <w:pPr>
        <w:pStyle w:val="LagtextIndrag"/>
      </w:pPr>
      <w:r w:rsidRPr="00C9680B">
        <w:t>Härigenom föreskrivs att 3 § lagen (1998:676) om statlig ålderspensionsav</w:t>
      </w:r>
      <w:r w:rsidRPr="00C9680B">
        <w:softHyphen/>
        <w:t>gift skall ha följa</w:t>
      </w:r>
      <w:r w:rsidRPr="00C9680B">
        <w:t>n</w:t>
      </w:r>
      <w:r w:rsidRPr="00C9680B">
        <w:t>de lydelse.</w:t>
      </w:r>
    </w:p>
    <w:p w:rsidR="001C7BF9" w:rsidRPr="00C9680B" w:rsidRDefault="001C7BF9">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Rubrik2"/>
              <w:rPr>
                <w:sz w:val="19"/>
              </w:rPr>
            </w:pPr>
            <w:r w:rsidRPr="00C9680B">
              <w:rPr>
                <w:sz w:val="19"/>
              </w:rPr>
              <w:t>Nuvarande lydelse</w:t>
            </w:r>
          </w:p>
        </w:tc>
        <w:tc>
          <w:tcPr>
            <w:tcW w:w="3090" w:type="dxa"/>
          </w:tcPr>
          <w:p w:rsidR="001C7BF9" w:rsidRPr="00C9680B" w:rsidRDefault="001C7BF9">
            <w:pPr>
              <w:pStyle w:val="LagRubrik2"/>
              <w:rPr>
                <w:sz w:val="19"/>
              </w:rPr>
            </w:pPr>
            <w:r w:rsidRPr="00C9680B">
              <w:rPr>
                <w:sz w:val="19"/>
              </w:rPr>
              <w:t>Föreslagen lydelse</w:t>
            </w:r>
          </w:p>
        </w:tc>
      </w:tr>
    </w:tbl>
    <w:p w:rsidR="001C7BF9" w:rsidRPr="00C9680B" w:rsidRDefault="001C7BF9">
      <w:pPr>
        <w:pStyle w:val="LagtextIndrag"/>
      </w:pPr>
    </w:p>
    <w:p w:rsidR="001C7BF9" w:rsidRPr="00C9680B" w:rsidRDefault="001C7BF9">
      <w:pPr>
        <w:pStyle w:val="Lagtext"/>
        <w:jc w:val="center"/>
      </w:pPr>
      <w:r w:rsidRPr="00C9680B">
        <w:rPr>
          <w:b/>
        </w:rPr>
        <w:t>3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Avgift beräknas inte på ersättning enligt 2 § om ersät</w:t>
            </w:r>
            <w:r w:rsidRPr="00C9680B">
              <w:t>t</w:t>
            </w:r>
            <w:r w:rsidRPr="00C9680B">
              <w:t>ningen till</w:t>
            </w:r>
            <w:r w:rsidRPr="00C9680B">
              <w:softHyphen/>
              <w:t xml:space="preserve">sammans med annan inkomst av anställning och inkomst av annat förvärvsarbete understiger </w:t>
            </w:r>
            <w:r w:rsidRPr="00C9680B">
              <w:rPr>
                <w:i/>
              </w:rPr>
              <w:t xml:space="preserve">24 </w:t>
            </w:r>
            <w:r w:rsidRPr="00C9680B">
              <w:t>procent av det för året gällande pri</w:t>
            </w:r>
            <w:r w:rsidRPr="00C9680B">
              <w:t>s</w:t>
            </w:r>
            <w:r w:rsidRPr="00C9680B">
              <w:t>bas</w:t>
            </w:r>
            <w:r w:rsidRPr="00C9680B">
              <w:softHyphen/>
              <w:t>beloppet enligt 1 kap. 6 § lagen (1962:381) om allmän försä</w:t>
            </w:r>
            <w:r w:rsidRPr="00C9680B">
              <w:t>k</w:t>
            </w:r>
            <w:r w:rsidRPr="00C9680B">
              <w:t>ring.</w:t>
            </w:r>
          </w:p>
        </w:tc>
        <w:tc>
          <w:tcPr>
            <w:tcW w:w="3090" w:type="dxa"/>
          </w:tcPr>
          <w:p w:rsidR="001C7BF9" w:rsidRPr="00C9680B" w:rsidRDefault="001C7BF9">
            <w:pPr>
              <w:pStyle w:val="LagtextIndrag"/>
            </w:pPr>
            <w:r w:rsidRPr="00C9680B">
              <w:t>Avgift beräknas inte på ersättning enligt 2 § om ersät</w:t>
            </w:r>
            <w:r w:rsidRPr="00C9680B">
              <w:t>t</w:t>
            </w:r>
            <w:r w:rsidRPr="00C9680B">
              <w:t>ningen till</w:t>
            </w:r>
            <w:r w:rsidRPr="00C9680B">
              <w:softHyphen/>
              <w:t xml:space="preserve">sammans med annan inkomst av anställning och inkomst av annat förvärvsarbete understiger </w:t>
            </w:r>
            <w:r w:rsidRPr="00C9680B">
              <w:rPr>
                <w:i/>
              </w:rPr>
              <w:t>27</w:t>
            </w:r>
            <w:r w:rsidRPr="00C9680B">
              <w:t xml:space="preserve"> procent av det för året gällande pri</w:t>
            </w:r>
            <w:r w:rsidRPr="00C9680B">
              <w:t>s</w:t>
            </w:r>
            <w:r w:rsidRPr="00C9680B">
              <w:t>bas</w:t>
            </w:r>
            <w:r w:rsidRPr="00C9680B">
              <w:softHyphen/>
              <w:t>beloppet enligt 1 kap. 6 § lagen (1962:381) om allmän försä</w:t>
            </w:r>
            <w:r w:rsidRPr="00C9680B">
              <w:t>k</w:t>
            </w:r>
            <w:r w:rsidRPr="00C9680B">
              <w:t>ring.</w:t>
            </w:r>
          </w:p>
        </w:tc>
      </w:tr>
    </w:tbl>
    <w:p w:rsidR="001C7BF9" w:rsidRPr="00C9680B" w:rsidRDefault="001C7BF9">
      <w:pPr>
        <w:pStyle w:val="Lagtext"/>
      </w:pPr>
      <w:r w:rsidRPr="00C9680B">
        <w:rPr>
          <w:u w:val="single"/>
        </w:rPr>
        <w:t>                              </w:t>
      </w:r>
    </w:p>
    <w:p w:rsidR="001C7BF9" w:rsidRPr="00C9680B" w:rsidRDefault="001C7BF9">
      <w:pPr>
        <w:pStyle w:val="LagtextIndrag"/>
        <w:spacing w:line="240" w:lineRule="auto"/>
        <w:rPr>
          <w:sz w:val="12"/>
        </w:rPr>
      </w:pPr>
    </w:p>
    <w:p w:rsidR="001C7BF9" w:rsidRPr="00C9680B" w:rsidRDefault="001C7BF9">
      <w:pPr>
        <w:pStyle w:val="LagtextIndrag"/>
      </w:pPr>
      <w:r w:rsidRPr="00C9680B">
        <w:t>Denna lag träder i kraft den 1 januari 2001 och tillämpas första gången på ersät</w:t>
      </w:r>
      <w:r w:rsidRPr="00C9680B">
        <w:t>t</w:t>
      </w:r>
      <w:r w:rsidRPr="00C9680B">
        <w:t>ningar som beräknas för år 2001.</w:t>
      </w:r>
    </w:p>
    <w:p w:rsidR="001C7BF9" w:rsidRPr="00C9680B" w:rsidRDefault="001C7BF9">
      <w:pPr>
        <w:pStyle w:val="LagtextIndrag"/>
      </w:pPr>
      <w:bookmarkStart w:id="779" w:name="_Toc493234618"/>
    </w:p>
    <w:p w:rsidR="001C7BF9" w:rsidRPr="00C9680B" w:rsidRDefault="001C7BF9">
      <w:pPr>
        <w:pStyle w:val="Rubrik2"/>
        <w:spacing w:before="0"/>
      </w:pPr>
      <w:r w:rsidRPr="00C9680B">
        <w:br w:type="page"/>
      </w:r>
      <w:bookmarkStart w:id="780" w:name="_Toc498910967"/>
      <w:r w:rsidRPr="00C9680B">
        <w:t xml:space="preserve">9  Förslag till lag om ändring i lagen (1999:265) om </w:t>
      </w:r>
      <w:r w:rsidRPr="00C9680B">
        <w:br/>
        <w:t xml:space="preserve">    särskilt grundavdrag och deklarationsskyldighet för </w:t>
      </w:r>
      <w:r w:rsidRPr="00C9680B">
        <w:br/>
        <w:t xml:space="preserve">    fysiska personer i vissa fall vid 2000–2003 års </w:t>
      </w:r>
      <w:r w:rsidRPr="00C9680B">
        <w:br/>
        <w:t xml:space="preserve">    taxeringar</w:t>
      </w:r>
      <w:bookmarkEnd w:id="779"/>
      <w:bookmarkEnd w:id="780"/>
    </w:p>
    <w:p w:rsidR="001C7BF9" w:rsidRPr="00C9680B" w:rsidRDefault="001C7BF9">
      <w:pPr>
        <w:pStyle w:val="LagtextIndrag"/>
      </w:pPr>
      <w:r w:rsidRPr="00C9680B">
        <w:t>Härigenom föreskrivs att 3 § lagen (1999:265)</w:t>
      </w:r>
      <w:r w:rsidRPr="00C9680B">
        <w:rPr>
          <w:rStyle w:val="Fotnotsreferens"/>
        </w:rPr>
        <w:footnoteReference w:id="7"/>
      </w:r>
      <w:r w:rsidRPr="00C9680B">
        <w:t xml:space="preserve"> om särskilt grundavdrag och deklarationsskyldighet för fysiska personer i vissa fall vid 2000–2003 års taxeringar skall ha följande lyde</w:t>
      </w:r>
      <w:r w:rsidRPr="00C9680B">
        <w:t>l</w:t>
      </w:r>
      <w:r w:rsidRPr="00C9680B">
        <w:t>se.</w:t>
      </w:r>
    </w:p>
    <w:p w:rsidR="001C7BF9" w:rsidRPr="00C9680B" w:rsidRDefault="001C7BF9">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Rubrik2"/>
              <w:rPr>
                <w:sz w:val="19"/>
              </w:rPr>
            </w:pPr>
            <w:r w:rsidRPr="00C9680B">
              <w:rPr>
                <w:sz w:val="19"/>
              </w:rPr>
              <w:t>Nuvarande lydelse</w:t>
            </w:r>
          </w:p>
        </w:tc>
        <w:tc>
          <w:tcPr>
            <w:tcW w:w="3090" w:type="dxa"/>
          </w:tcPr>
          <w:p w:rsidR="001C7BF9" w:rsidRPr="00C9680B" w:rsidRDefault="001C7BF9">
            <w:pPr>
              <w:pStyle w:val="LagRubrik2"/>
              <w:rPr>
                <w:sz w:val="19"/>
              </w:rPr>
            </w:pPr>
            <w:r w:rsidRPr="00C9680B">
              <w:rPr>
                <w:sz w:val="19"/>
              </w:rPr>
              <w:t>Föreslagen lydelse</w:t>
            </w:r>
          </w:p>
        </w:tc>
      </w:tr>
    </w:tbl>
    <w:p w:rsidR="001C7BF9" w:rsidRPr="00C9680B" w:rsidRDefault="001C7BF9">
      <w:pPr>
        <w:pStyle w:val="LagtextIndrag"/>
      </w:pPr>
    </w:p>
    <w:p w:rsidR="001C7BF9" w:rsidRPr="00C9680B" w:rsidRDefault="001C7BF9">
      <w:pPr>
        <w:pStyle w:val="Lagtext"/>
        <w:jc w:val="center"/>
      </w:pPr>
      <w:r w:rsidRPr="00C9680B">
        <w:rPr>
          <w:b/>
        </w:rPr>
        <w:t>3 §</w:t>
      </w:r>
      <w:r w:rsidRPr="00C9680B">
        <w:rPr>
          <w:rStyle w:val="Fotnotsreferens"/>
        </w:rPr>
        <w:footnoteReference w:id="8"/>
      </w:r>
    </w:p>
    <w:p w:rsidR="001C7BF9" w:rsidRPr="00C9680B" w:rsidRDefault="001C7BF9">
      <w:pPr>
        <w:pStyle w:val="LagtextIndrag"/>
      </w:pPr>
      <w:r w:rsidRPr="00C9680B">
        <w:t>Skyldighet att lämna självdeklaration till ledning för 2001–2003 års tax</w:t>
      </w:r>
      <w:r w:rsidRPr="00C9680B">
        <w:t>e</w:t>
      </w:r>
      <w:r w:rsidRPr="00C9680B">
        <w:t>ringar gäller endast om den uppburna pensionen överstiger fö</w:t>
      </w:r>
      <w:r w:rsidRPr="00C9680B">
        <w:t>l</w:t>
      </w:r>
      <w:r w:rsidRPr="00C9680B">
        <w:t>jande belopp:</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 xml:space="preserve">a) för gift skattskyldig: </w:t>
            </w:r>
            <w:r w:rsidRPr="00C9680B">
              <w:rPr>
                <w:i/>
              </w:rPr>
              <w:t>135,4</w:t>
            </w:r>
            <w:r w:rsidRPr="00C9680B">
              <w:t xml:space="preserve"> pr</w:t>
            </w:r>
            <w:r w:rsidRPr="00C9680B">
              <w:t>o</w:t>
            </w:r>
            <w:r w:rsidRPr="00C9680B">
              <w:t>cent av prisbasbeloppet enligt 1 kap. 6 § lagen (1962:381) om allmän försä</w:t>
            </w:r>
            <w:r w:rsidRPr="00C9680B">
              <w:t>k</w:t>
            </w:r>
            <w:r w:rsidRPr="00C9680B">
              <w:t>ring och</w:t>
            </w:r>
          </w:p>
          <w:p w:rsidR="001C7BF9" w:rsidRPr="00C9680B" w:rsidRDefault="001C7BF9">
            <w:pPr>
              <w:pStyle w:val="LagtextIndrag"/>
            </w:pPr>
            <w:r w:rsidRPr="00C9680B">
              <w:t xml:space="preserve">b) för annan skattskyldig: </w:t>
            </w:r>
            <w:r w:rsidRPr="00C9680B">
              <w:rPr>
                <w:i/>
              </w:rPr>
              <w:t xml:space="preserve">152,9 </w:t>
            </w:r>
            <w:r w:rsidRPr="00C9680B">
              <w:t>procent av prisbasb</w:t>
            </w:r>
            <w:r w:rsidRPr="00C9680B">
              <w:t>e</w:t>
            </w:r>
            <w:r w:rsidRPr="00C9680B">
              <w:t xml:space="preserve">loppet. </w:t>
            </w:r>
          </w:p>
        </w:tc>
        <w:tc>
          <w:tcPr>
            <w:tcW w:w="3090" w:type="dxa"/>
          </w:tcPr>
          <w:p w:rsidR="001C7BF9" w:rsidRPr="00C9680B" w:rsidRDefault="001C7BF9">
            <w:pPr>
              <w:pStyle w:val="LagtextIndrag"/>
            </w:pPr>
            <w:r w:rsidRPr="00C9680B">
              <w:t xml:space="preserve">a) för gift skattskyldig: </w:t>
            </w:r>
            <w:r w:rsidRPr="00C9680B">
              <w:rPr>
                <w:i/>
              </w:rPr>
              <w:t xml:space="preserve">138,1 </w:t>
            </w:r>
            <w:r w:rsidRPr="00C9680B">
              <w:t>pr</w:t>
            </w:r>
            <w:r w:rsidRPr="00C9680B">
              <w:t>o</w:t>
            </w:r>
            <w:r w:rsidRPr="00C9680B">
              <w:t>cent av prisbasbeloppet enligt 1 kap. 6 § lagen (1962:381) om allmän försä</w:t>
            </w:r>
            <w:r w:rsidRPr="00C9680B">
              <w:t>k</w:t>
            </w:r>
            <w:r w:rsidRPr="00C9680B">
              <w:t>ring och</w:t>
            </w:r>
          </w:p>
          <w:p w:rsidR="001C7BF9" w:rsidRPr="00C9680B" w:rsidRDefault="001C7BF9">
            <w:pPr>
              <w:pStyle w:val="LagtextIndrag"/>
            </w:pPr>
            <w:r w:rsidRPr="00C9680B">
              <w:t xml:space="preserve">b) för annan skattskyldig: </w:t>
            </w:r>
            <w:r w:rsidRPr="00C9680B">
              <w:rPr>
                <w:i/>
              </w:rPr>
              <w:t xml:space="preserve">155,9 </w:t>
            </w:r>
            <w:r w:rsidRPr="00C9680B">
              <w:t>procent av prisbasb</w:t>
            </w:r>
            <w:r w:rsidRPr="00C9680B">
              <w:t>e</w:t>
            </w:r>
            <w:r w:rsidRPr="00C9680B">
              <w:t>loppet.</w:t>
            </w:r>
          </w:p>
        </w:tc>
      </w:tr>
    </w:tbl>
    <w:p w:rsidR="001C7BF9" w:rsidRPr="00C9680B" w:rsidRDefault="001C7BF9">
      <w:pPr>
        <w:pStyle w:val="LagtextIndrag"/>
      </w:pPr>
      <w:r w:rsidRPr="00C9680B">
        <w:t>Beloppet i första stycket b) gäller också för gift skattskyldig som under n</w:t>
      </w:r>
      <w:r w:rsidRPr="00C9680B">
        <w:t>å</w:t>
      </w:r>
      <w:r w:rsidRPr="00C9680B">
        <w:t>gon del av året har fått folkpe</w:t>
      </w:r>
      <w:r w:rsidRPr="00C9680B">
        <w:t>n</w:t>
      </w:r>
      <w:r w:rsidRPr="00C9680B">
        <w:t>sion som ogift.</w:t>
      </w:r>
    </w:p>
    <w:p w:rsidR="001C7BF9" w:rsidRPr="00C9680B" w:rsidRDefault="001C7BF9">
      <w:pPr>
        <w:pStyle w:val="LagtextIndrag"/>
      </w:pPr>
      <w:r w:rsidRPr="00C9680B">
        <w:t>Vid bedömningen av deklarationsskyldigheten enligt denna paragraf räknas bar</w:t>
      </w:r>
      <w:r w:rsidRPr="00C9680B">
        <w:t>n</w:t>
      </w:r>
      <w:r w:rsidRPr="00C9680B">
        <w:t>pension och vårdbidrag inte som folkpension.</w:t>
      </w:r>
    </w:p>
    <w:p w:rsidR="001C7BF9" w:rsidRPr="00C9680B" w:rsidRDefault="001C7BF9">
      <w:pPr>
        <w:pStyle w:val="Lagtext"/>
      </w:pPr>
      <w:r w:rsidRPr="00C9680B">
        <w:rPr>
          <w:u w:val="single"/>
        </w:rPr>
        <w:t>                              </w:t>
      </w:r>
    </w:p>
    <w:p w:rsidR="001C7BF9" w:rsidRPr="00C9680B" w:rsidRDefault="001C7BF9">
      <w:pPr>
        <w:pStyle w:val="LagtextIndrag"/>
        <w:spacing w:line="240" w:lineRule="auto"/>
        <w:rPr>
          <w:sz w:val="12"/>
        </w:rPr>
      </w:pPr>
    </w:p>
    <w:p w:rsidR="001C7BF9" w:rsidRPr="00C9680B" w:rsidRDefault="001C7BF9">
      <w:pPr>
        <w:pStyle w:val="LagtextIndrag"/>
      </w:pPr>
      <w:r w:rsidRPr="00C9680B">
        <w:t>Denna lag träder i kraft den 1 januari 2001 och tillämpas första gången vid 2002 års taxering.</w:t>
      </w:r>
    </w:p>
    <w:p w:rsidR="001C7BF9" w:rsidRPr="00C9680B" w:rsidRDefault="001C7BF9">
      <w:pPr>
        <w:pStyle w:val="Rubrik2"/>
        <w:spacing w:before="0"/>
      </w:pPr>
      <w:bookmarkStart w:id="781" w:name="_Toc493234619"/>
    </w:p>
    <w:p w:rsidR="001C7BF9" w:rsidRPr="00C9680B" w:rsidRDefault="001C7BF9">
      <w:pPr>
        <w:pStyle w:val="Rubrik2"/>
        <w:spacing w:before="0"/>
      </w:pPr>
      <w:r w:rsidRPr="00C9680B">
        <w:br w:type="page"/>
      </w:r>
      <w:bookmarkStart w:id="782" w:name="_Toc498910968"/>
      <w:r w:rsidRPr="00C9680B">
        <w:t xml:space="preserve">10  Förslag till lag om ändring i lagen (1997:323) om </w:t>
      </w:r>
      <w:r w:rsidRPr="00C9680B">
        <w:br/>
        <w:t xml:space="preserve">      statlig förmögenhetsskatt</w:t>
      </w:r>
      <w:bookmarkEnd w:id="781"/>
      <w:bookmarkEnd w:id="782"/>
    </w:p>
    <w:p w:rsidR="001C7BF9" w:rsidRPr="00C9680B" w:rsidRDefault="001C7BF9">
      <w:pPr>
        <w:pStyle w:val="LagtextIndrag"/>
      </w:pPr>
      <w:r w:rsidRPr="00C9680B">
        <w:t>Härigenom föreskrivs att 12 § lagen (1997:323) om statlig förmögenhets</w:t>
      </w:r>
      <w:r w:rsidRPr="00C9680B">
        <w:softHyphen/>
        <w:t>skatt skall ha följande lyde</w:t>
      </w:r>
      <w:r w:rsidRPr="00C9680B">
        <w:t>l</w:t>
      </w:r>
      <w:r w:rsidRPr="00C9680B">
        <w:t>se.</w:t>
      </w:r>
    </w:p>
    <w:p w:rsidR="001C7BF9" w:rsidRPr="00C9680B" w:rsidRDefault="001C7BF9">
      <w:pPr>
        <w:pStyle w:val="Lagtext"/>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Rubrik2"/>
              <w:rPr>
                <w:sz w:val="19"/>
              </w:rPr>
            </w:pPr>
            <w:r w:rsidRPr="00C9680B">
              <w:rPr>
                <w:sz w:val="19"/>
              </w:rPr>
              <w:t>Nuvarande lydelse</w:t>
            </w:r>
          </w:p>
        </w:tc>
        <w:tc>
          <w:tcPr>
            <w:tcW w:w="3090" w:type="dxa"/>
          </w:tcPr>
          <w:p w:rsidR="001C7BF9" w:rsidRPr="00C9680B" w:rsidRDefault="001C7BF9">
            <w:pPr>
              <w:pStyle w:val="LagRubrik2"/>
              <w:rPr>
                <w:sz w:val="19"/>
              </w:rPr>
            </w:pPr>
            <w:r w:rsidRPr="00C9680B">
              <w:rPr>
                <w:sz w:val="19"/>
              </w:rPr>
              <w:t>Föreslagen lydelse</w:t>
            </w:r>
          </w:p>
        </w:tc>
      </w:tr>
    </w:tbl>
    <w:p w:rsidR="001C7BF9" w:rsidRPr="00C9680B" w:rsidRDefault="001C7BF9">
      <w:pPr>
        <w:pStyle w:val="Lagtext"/>
      </w:pPr>
    </w:p>
    <w:p w:rsidR="001C7BF9" w:rsidRPr="00C9680B" w:rsidRDefault="001C7BF9">
      <w:pPr>
        <w:pStyle w:val="Lagtext"/>
        <w:jc w:val="center"/>
      </w:pPr>
      <w:r w:rsidRPr="00C9680B">
        <w:rPr>
          <w:b/>
        </w:rPr>
        <w:t>12 §</w:t>
      </w:r>
      <w:r w:rsidRPr="00C9680B">
        <w:rPr>
          <w:rStyle w:val="Fotnotsreferens"/>
        </w:rPr>
        <w:footnoteReference w:id="9"/>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Marknadsnoterad delägarrätt med undantag för andel i sådan värdepa</w:t>
            </w:r>
            <w:r w:rsidRPr="00C9680B">
              <w:t>p</w:t>
            </w:r>
            <w:r w:rsidRPr="00C9680B">
              <w:t xml:space="preserve">persfond som avses i 48 kap. </w:t>
            </w:r>
            <w:r w:rsidRPr="00C9680B">
              <w:rPr>
                <w:i/>
              </w:rPr>
              <w:t>22 § andra stycket</w:t>
            </w:r>
            <w:r w:rsidRPr="00C9680B">
              <w:t xml:space="preserve"> inkomst</w:t>
            </w:r>
            <w:r w:rsidRPr="00C9680B">
              <w:softHyphen/>
              <w:t>skattelagen (1999:1229) tas upp till 80 procent av det vid beskattnings</w:t>
            </w:r>
            <w:r w:rsidRPr="00C9680B">
              <w:softHyphen/>
              <w:t>årets utgång senast noterade värdet om inte annat följer av 13 §. Marknadsnoterad fordringsrätt, andel i sådan värd</w:t>
            </w:r>
            <w:r w:rsidRPr="00C9680B">
              <w:t>e</w:t>
            </w:r>
            <w:r w:rsidRPr="00C9680B">
              <w:t xml:space="preserve">pappersfond som avses i 48 kap. </w:t>
            </w:r>
            <w:r w:rsidRPr="00C9680B">
              <w:rPr>
                <w:i/>
              </w:rPr>
              <w:t>22 § andra stycket</w:t>
            </w:r>
            <w:r w:rsidRPr="00C9680B">
              <w:t xml:space="preserve"> samt marknadsnoterad tillgång som avses i 52 kap. nämnda lag, tas upp till det vid beskat</w:t>
            </w:r>
            <w:r w:rsidRPr="00C9680B">
              <w:t>t</w:t>
            </w:r>
            <w:r w:rsidRPr="00C9680B">
              <w:t>ningsårets utgång senast noterade värdet. Om det noterade värdet inte omfattar upplupen avkastning skall värdet ökas med sådan</w:t>
            </w:r>
            <w:r w:rsidRPr="00C9680B">
              <w:t xml:space="preserve"> a</w:t>
            </w:r>
            <w:r w:rsidRPr="00C9680B">
              <w:t>v</w:t>
            </w:r>
            <w:r w:rsidRPr="00C9680B">
              <w:t>kastning.</w:t>
            </w:r>
          </w:p>
        </w:tc>
        <w:tc>
          <w:tcPr>
            <w:tcW w:w="3090" w:type="dxa"/>
          </w:tcPr>
          <w:p w:rsidR="001C7BF9" w:rsidRPr="00C9680B" w:rsidRDefault="001C7BF9">
            <w:pPr>
              <w:pStyle w:val="LagtextIndrag"/>
            </w:pPr>
            <w:r w:rsidRPr="00C9680B">
              <w:t>Marknadsnoterad delägarrätt med undantag för andel i sådan värdepa</w:t>
            </w:r>
            <w:r w:rsidRPr="00C9680B">
              <w:t>p</w:t>
            </w:r>
            <w:r w:rsidRPr="00C9680B">
              <w:t xml:space="preserve">persfond som avses i 48 kap. </w:t>
            </w:r>
            <w:r w:rsidRPr="00C9680B">
              <w:rPr>
                <w:i/>
              </w:rPr>
              <w:t>21 §</w:t>
            </w:r>
            <w:r w:rsidRPr="00C9680B">
              <w:t xml:space="preserve"> inkomstskattelagen (1999: 1229) tas upp till 80 procent av det vid b</w:t>
            </w:r>
            <w:r w:rsidRPr="00C9680B">
              <w:t>e</w:t>
            </w:r>
            <w:r w:rsidRPr="00C9680B">
              <w:t>skattningsårets utgång senast noter</w:t>
            </w:r>
            <w:r w:rsidRPr="00C9680B">
              <w:t>a</w:t>
            </w:r>
            <w:r w:rsidRPr="00C9680B">
              <w:t>de värdet om inte annat följer av 13 §. Marknadsnoterad fordrings</w:t>
            </w:r>
            <w:r w:rsidRPr="00C9680B">
              <w:softHyphen/>
              <w:t>rätt, andel i sådan värde</w:t>
            </w:r>
            <w:r w:rsidRPr="00C9680B">
              <w:softHyphen/>
              <w:t xml:space="preserve">pappersfond som avses i 48 kap. </w:t>
            </w:r>
            <w:r w:rsidRPr="00C9680B">
              <w:rPr>
                <w:i/>
              </w:rPr>
              <w:t>21 §</w:t>
            </w:r>
            <w:r w:rsidRPr="00C9680B">
              <w:t xml:space="preserve"> samt marknad</w:t>
            </w:r>
            <w:r w:rsidRPr="00C9680B">
              <w:t>s</w:t>
            </w:r>
            <w:r w:rsidRPr="00C9680B">
              <w:t>noterad tillgång som avses i 52 kap. nämnda lag, tas upp till det vid b</w:t>
            </w:r>
            <w:r w:rsidRPr="00C9680B">
              <w:t>e</w:t>
            </w:r>
            <w:r w:rsidRPr="00C9680B">
              <w:t>skattningsårets utgång senast noter</w:t>
            </w:r>
            <w:r w:rsidRPr="00C9680B">
              <w:t>a</w:t>
            </w:r>
            <w:r w:rsidRPr="00C9680B">
              <w:t>de värdet. Om det noterade värdet inte omfattar upplupen avkastning skall värdet ökas med sådan avkas</w:t>
            </w:r>
            <w:r w:rsidRPr="00C9680B">
              <w:t>t</w:t>
            </w:r>
            <w:r w:rsidRPr="00C9680B">
              <w:t>ning.</w:t>
            </w:r>
          </w:p>
        </w:tc>
      </w:tr>
    </w:tbl>
    <w:p w:rsidR="001C7BF9" w:rsidRPr="00C9680B" w:rsidRDefault="001C7BF9">
      <w:pPr>
        <w:pStyle w:val="Lagtext"/>
      </w:pPr>
      <w:r w:rsidRPr="00C9680B">
        <w:rPr>
          <w:u w:val="single"/>
        </w:rPr>
        <w:t>                              </w:t>
      </w:r>
    </w:p>
    <w:p w:rsidR="001C7BF9" w:rsidRPr="00C9680B" w:rsidRDefault="001C7BF9">
      <w:pPr>
        <w:pStyle w:val="LagtextIndrag"/>
        <w:spacing w:line="240" w:lineRule="auto"/>
        <w:rPr>
          <w:sz w:val="12"/>
        </w:rPr>
      </w:pPr>
    </w:p>
    <w:p w:rsidR="001C7BF9" w:rsidRPr="00C9680B" w:rsidRDefault="001C7BF9">
      <w:pPr>
        <w:pStyle w:val="LagtextIndrag"/>
      </w:pPr>
      <w:r w:rsidRPr="00C9680B">
        <w:t>Denna lag träder i kraft den 1 januari 2001 och tillämpas första gången vid 2002 års taxering.</w:t>
      </w:r>
    </w:p>
    <w:p w:rsidR="001C7BF9" w:rsidRPr="00C9680B" w:rsidRDefault="001C7BF9">
      <w:pPr>
        <w:pStyle w:val="Rubrik2"/>
        <w:spacing w:before="0"/>
      </w:pPr>
      <w:bookmarkStart w:id="783" w:name="_Toc493234620"/>
    </w:p>
    <w:p w:rsidR="001C7BF9" w:rsidRPr="00C9680B" w:rsidRDefault="001C7BF9">
      <w:pPr>
        <w:pStyle w:val="Rubrik2"/>
        <w:spacing w:before="0"/>
      </w:pPr>
      <w:r w:rsidRPr="00C9680B">
        <w:br w:type="page"/>
      </w:r>
      <w:bookmarkStart w:id="784" w:name="_Toc498910969"/>
      <w:r w:rsidRPr="00C9680B">
        <w:t xml:space="preserve">11  Förslag till lag om underlag för förmögenhetsskatt </w:t>
      </w:r>
      <w:r w:rsidRPr="00C9680B">
        <w:br/>
        <w:t xml:space="preserve">      i vissa fall vid 2001 års taxering</w:t>
      </w:r>
      <w:bookmarkEnd w:id="783"/>
      <w:bookmarkEnd w:id="784"/>
    </w:p>
    <w:p w:rsidR="001C7BF9" w:rsidRPr="00C9680B" w:rsidRDefault="001C7BF9">
      <w:pPr>
        <w:pStyle w:val="LagtextIndrag"/>
      </w:pPr>
      <w:r w:rsidRPr="00C9680B">
        <w:t>Härigenom föreskrivs följande.</w:t>
      </w:r>
    </w:p>
    <w:p w:rsidR="001C7BF9" w:rsidRPr="00C9680B" w:rsidRDefault="001C7BF9">
      <w:pPr>
        <w:pStyle w:val="LagtextIndrag"/>
      </w:pPr>
    </w:p>
    <w:p w:rsidR="001C7BF9" w:rsidRPr="00C9680B" w:rsidRDefault="001C7BF9">
      <w:pPr>
        <w:pStyle w:val="LagtextIndrag"/>
      </w:pPr>
      <w:r w:rsidRPr="00C9680B">
        <w:t>Vid beräkning av skattepliktig förmögenhet vid 2001 års taxering enligt la</w:t>
      </w:r>
      <w:r w:rsidRPr="00C9680B">
        <w:softHyphen/>
        <w:t>gen (1997:323) om statlig förmögenhetsskatt gäller följande. Vid värdering av sådan del av fastighet som avses i 3 § första stycket b lagen (1984:1052) om statlig fastighetsskatt skall, i stället för taxeringsvärdet vid beskattnings</w:t>
      </w:r>
      <w:r w:rsidRPr="00C9680B">
        <w:softHyphen/>
        <w:t>årets utgång, taxeringsvärdet vid närmast föregående beskattningsårs utgång tas upp om det är lägre.</w:t>
      </w:r>
    </w:p>
    <w:p w:rsidR="001C7BF9" w:rsidRPr="00C9680B" w:rsidRDefault="001C7BF9">
      <w:pPr>
        <w:pStyle w:val="Lagtext"/>
      </w:pPr>
      <w:r w:rsidRPr="00C9680B">
        <w:rPr>
          <w:u w:val="single"/>
        </w:rPr>
        <w:t>                              </w:t>
      </w:r>
    </w:p>
    <w:p w:rsidR="001C7BF9" w:rsidRPr="00C9680B" w:rsidRDefault="001C7BF9">
      <w:pPr>
        <w:pStyle w:val="LagtextIndrag"/>
        <w:spacing w:line="240" w:lineRule="auto"/>
        <w:rPr>
          <w:sz w:val="12"/>
        </w:rPr>
      </w:pPr>
    </w:p>
    <w:p w:rsidR="001C7BF9" w:rsidRPr="00C9680B" w:rsidRDefault="001C7BF9">
      <w:pPr>
        <w:pStyle w:val="LagtextIndrag"/>
      </w:pPr>
      <w:r w:rsidRPr="00C9680B">
        <w:t>Denna lag träder i kraft den 30 december 2000.</w:t>
      </w:r>
    </w:p>
    <w:p w:rsidR="001C7BF9" w:rsidRPr="00C9680B" w:rsidRDefault="001C7BF9">
      <w:pPr>
        <w:pStyle w:val="Rubrik2"/>
        <w:spacing w:before="0"/>
      </w:pPr>
      <w:bookmarkStart w:id="785" w:name="_Toc493234621"/>
      <w:r w:rsidRPr="00C9680B">
        <w:br w:type="page"/>
      </w:r>
      <w:bookmarkStart w:id="786" w:name="_Toc498910970"/>
      <w:r w:rsidRPr="00C9680B">
        <w:t xml:space="preserve">12  Förslag till lag om ändring i lagen (1994:1776) om </w:t>
      </w:r>
      <w:r w:rsidRPr="00C9680B">
        <w:br/>
        <w:t xml:space="preserve">      skatt på energi</w:t>
      </w:r>
      <w:bookmarkEnd w:id="785"/>
      <w:bookmarkEnd w:id="786"/>
    </w:p>
    <w:p w:rsidR="001C7BF9" w:rsidRPr="00C9680B" w:rsidRDefault="001C7BF9">
      <w:pPr>
        <w:pStyle w:val="LagtextIndrag"/>
      </w:pPr>
      <w:r w:rsidRPr="00C9680B">
        <w:t>Härigenom föreskrivs i fråga om lagen (1994:1776) om skatt på ene</w:t>
      </w:r>
      <w:r w:rsidRPr="00C9680B">
        <w:t>r</w:t>
      </w:r>
      <w:r w:rsidRPr="00C9680B">
        <w:t>gi</w:t>
      </w:r>
      <w:r w:rsidRPr="00C9680B">
        <w:rPr>
          <w:i/>
        </w:rPr>
        <w:t xml:space="preserve"> </w:t>
      </w:r>
    </w:p>
    <w:p w:rsidR="001C7BF9" w:rsidRPr="00C9680B" w:rsidRDefault="001C7BF9">
      <w:pPr>
        <w:pStyle w:val="LagtextIndrag"/>
      </w:pPr>
      <w:r w:rsidRPr="00C9680B">
        <w:rPr>
          <w:i/>
        </w:rPr>
        <w:t>dels</w:t>
      </w:r>
      <w:r w:rsidRPr="00C9680B">
        <w:t xml:space="preserve"> att 2 kap. 1 och 10 §§, 7 kap. 4 §, 8 kap. 3 a §, 9 kap. 2 och 5 §§ samt 11 kap. 3 § skall ha följande lyde</w:t>
      </w:r>
      <w:r w:rsidRPr="00C9680B">
        <w:t>l</w:t>
      </w:r>
      <w:r w:rsidRPr="00C9680B">
        <w:t>se,</w:t>
      </w:r>
    </w:p>
    <w:p w:rsidR="001C7BF9" w:rsidRPr="00C9680B" w:rsidRDefault="001C7BF9">
      <w:pPr>
        <w:pStyle w:val="LagtextIndrag"/>
      </w:pPr>
      <w:r w:rsidRPr="00C9680B">
        <w:rPr>
          <w:i/>
        </w:rPr>
        <w:t>dels</w:t>
      </w:r>
      <w:r w:rsidRPr="00C9680B">
        <w:t xml:space="preserve"> att punkten 2 i övergångsbestämmelserna till lagen (1997:479) om ändring i nämnda lag skall ha följande lyde</w:t>
      </w:r>
      <w:r w:rsidRPr="00C9680B">
        <w:t>l</w:t>
      </w:r>
      <w:r w:rsidRPr="00C9680B">
        <w:t>se.</w:t>
      </w:r>
    </w:p>
    <w:p w:rsidR="001C7BF9" w:rsidRPr="00C9680B" w:rsidRDefault="001C7BF9">
      <w:pPr>
        <w:pStyle w:val="Lagtext"/>
      </w:pPr>
    </w:p>
    <w:p w:rsidR="001C7BF9" w:rsidRPr="00C9680B" w:rsidRDefault="001C7BF9">
      <w:pPr>
        <w:pStyle w:val="Lagtext"/>
        <w:rPr>
          <w:b/>
        </w:rPr>
      </w:pPr>
      <w:r w:rsidRPr="00C9680B">
        <w:rPr>
          <w:b/>
        </w:rPr>
        <w:t>2 kap.</w:t>
      </w:r>
    </w:p>
    <w:p w:rsidR="001C7BF9" w:rsidRPr="00C9680B" w:rsidRDefault="001C7BF9">
      <w:pPr>
        <w:pStyle w:val="Lagtext"/>
        <w:rPr>
          <w:b/>
        </w:rPr>
      </w:pPr>
      <w:r w:rsidRPr="00C9680B">
        <w:rPr>
          <w:b/>
        </w:rPr>
        <w:t>1 §</w:t>
      </w:r>
      <w:r w:rsidRPr="00C9680B">
        <w:rPr>
          <w:rStyle w:val="Fotnotsreferens"/>
        </w:rPr>
        <w:footnoteReference w:id="10"/>
      </w:r>
    </w:p>
    <w:p w:rsidR="001C7BF9" w:rsidRPr="00C9680B" w:rsidRDefault="001C7BF9">
      <w:pPr>
        <w:pStyle w:val="Lagtext"/>
      </w:pPr>
    </w:p>
    <w:p w:rsidR="001C7BF9" w:rsidRPr="00C9680B" w:rsidRDefault="001C7BF9">
      <w:pPr>
        <w:pStyle w:val="LagRubrik2"/>
        <w:outlineLvl w:val="0"/>
        <w:rPr>
          <w:sz w:val="19"/>
        </w:rPr>
      </w:pPr>
      <w:r w:rsidRPr="00C9680B">
        <w:rPr>
          <w:sz w:val="19"/>
        </w:rPr>
        <w:t>Nuvarande lydelse</w:t>
      </w:r>
    </w:p>
    <w:p w:rsidR="001C7BF9" w:rsidRPr="00C9680B" w:rsidRDefault="001C7BF9">
      <w:pPr>
        <w:pStyle w:val="LagtextIndrag"/>
      </w:pPr>
    </w:p>
    <w:p w:rsidR="001C7BF9" w:rsidRPr="00C9680B" w:rsidRDefault="001C7BF9">
      <w:pPr>
        <w:pStyle w:val="LagtextIndrag"/>
      </w:pPr>
      <w:r w:rsidRPr="00C9680B">
        <w:t>Energiskatt och koldioxidskatt skall, om inte annat följer av andra stycket, b</w:t>
      </w:r>
      <w:r w:rsidRPr="00C9680B">
        <w:t>e</w:t>
      </w:r>
      <w:r w:rsidRPr="00C9680B">
        <w:t>talas för följande bränslen med angivna belopp:</w:t>
      </w:r>
    </w:p>
    <w:p w:rsidR="001C7BF9" w:rsidRPr="00C9680B" w:rsidRDefault="001C7BF9">
      <w:pPr>
        <w:pStyle w:val="LagtextIndrag"/>
      </w:pPr>
      <w:r w:rsidRPr="00C9680B">
        <w:rPr>
          <w:sz w:val="24"/>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284"/>
        <w:gridCol w:w="1204"/>
        <w:gridCol w:w="1417"/>
        <w:gridCol w:w="1053"/>
        <w:gridCol w:w="1053"/>
        <w:gridCol w:w="1053"/>
      </w:tblGrid>
      <w:tr w:rsidR="00000000" w:rsidRPr="00C9680B">
        <w:tblPrEx>
          <w:tblCellMar>
            <w:top w:w="0" w:type="dxa"/>
            <w:bottom w:w="0" w:type="dxa"/>
          </w:tblCellMar>
        </w:tblPrEx>
        <w:trPr>
          <w:cantSplit/>
        </w:trPr>
        <w:tc>
          <w:tcPr>
            <w:tcW w:w="284" w:type="dxa"/>
            <w:tcBorders>
              <w:top w:val="single" w:sz="6" w:space="0" w:color="auto"/>
            </w:tcBorders>
          </w:tcPr>
          <w:p w:rsidR="001C7BF9" w:rsidRPr="00C9680B" w:rsidRDefault="001C7BF9">
            <w:pPr>
              <w:pStyle w:val="Lagtext"/>
              <w:jc w:val="left"/>
            </w:pPr>
          </w:p>
        </w:tc>
        <w:tc>
          <w:tcPr>
            <w:tcW w:w="1204" w:type="dxa"/>
            <w:tcBorders>
              <w:top w:val="single" w:sz="6" w:space="0" w:color="auto"/>
            </w:tcBorders>
          </w:tcPr>
          <w:p w:rsidR="001C7BF9" w:rsidRPr="00C9680B" w:rsidRDefault="001C7BF9">
            <w:pPr>
              <w:pStyle w:val="Lagtext"/>
              <w:jc w:val="left"/>
            </w:pPr>
            <w:r w:rsidRPr="00C9680B">
              <w:t>KN-nr</w:t>
            </w:r>
          </w:p>
        </w:tc>
        <w:tc>
          <w:tcPr>
            <w:tcW w:w="1417" w:type="dxa"/>
            <w:tcBorders>
              <w:top w:val="single" w:sz="6" w:space="0" w:color="auto"/>
            </w:tcBorders>
          </w:tcPr>
          <w:p w:rsidR="001C7BF9" w:rsidRPr="00C9680B" w:rsidRDefault="001C7BF9">
            <w:pPr>
              <w:pStyle w:val="Lagtext"/>
              <w:jc w:val="left"/>
            </w:pPr>
            <w:r w:rsidRPr="00C9680B">
              <w:t>Slag av bränsle</w:t>
            </w:r>
          </w:p>
        </w:tc>
        <w:tc>
          <w:tcPr>
            <w:tcW w:w="2106" w:type="dxa"/>
            <w:gridSpan w:val="2"/>
            <w:tcBorders>
              <w:top w:val="single" w:sz="6" w:space="0" w:color="auto"/>
            </w:tcBorders>
          </w:tcPr>
          <w:p w:rsidR="001C7BF9" w:rsidRPr="00C9680B" w:rsidRDefault="001C7BF9">
            <w:pPr>
              <w:pStyle w:val="Lagtext"/>
              <w:jc w:val="left"/>
            </w:pPr>
            <w:r w:rsidRPr="00C9680B">
              <w:t>Skatte</w:t>
            </w:r>
            <w:r w:rsidRPr="00C9680B">
              <w:softHyphen/>
              <w:t>b</w:t>
            </w:r>
            <w:r w:rsidRPr="00C9680B">
              <w:t>e</w:t>
            </w:r>
            <w:r w:rsidRPr="00C9680B">
              <w:t>lopp</w:t>
            </w:r>
          </w:p>
        </w:tc>
        <w:tc>
          <w:tcPr>
            <w:tcW w:w="1053" w:type="dxa"/>
            <w:tcBorders>
              <w:top w:val="single" w:sz="6" w:space="0" w:color="auto"/>
            </w:tcBorders>
          </w:tcPr>
          <w:p w:rsidR="001C7BF9" w:rsidRPr="00C9680B" w:rsidRDefault="001C7BF9">
            <w:pPr>
              <w:pStyle w:val="Lagtext"/>
              <w:jc w:val="left"/>
            </w:pPr>
          </w:p>
        </w:tc>
      </w:tr>
      <w:tr w:rsidR="00000000" w:rsidRPr="00C9680B">
        <w:tblPrEx>
          <w:tblCellMar>
            <w:top w:w="0" w:type="dxa"/>
            <w:bottom w:w="0" w:type="dxa"/>
          </w:tblCellMar>
        </w:tblPrEx>
        <w:tc>
          <w:tcPr>
            <w:tcW w:w="284" w:type="dxa"/>
            <w:tcBorders>
              <w:bottom w:val="single" w:sz="6" w:space="0" w:color="auto"/>
            </w:tcBorders>
          </w:tcPr>
          <w:p w:rsidR="001C7BF9" w:rsidRPr="00C9680B" w:rsidRDefault="001C7BF9">
            <w:pPr>
              <w:pStyle w:val="Lagtext"/>
              <w:jc w:val="left"/>
            </w:pPr>
          </w:p>
        </w:tc>
        <w:tc>
          <w:tcPr>
            <w:tcW w:w="1204" w:type="dxa"/>
            <w:tcBorders>
              <w:bottom w:val="single" w:sz="6" w:space="0" w:color="auto"/>
            </w:tcBorders>
          </w:tcPr>
          <w:p w:rsidR="001C7BF9" w:rsidRPr="00C9680B" w:rsidRDefault="001C7BF9">
            <w:pPr>
              <w:pStyle w:val="Lagtext"/>
              <w:jc w:val="left"/>
            </w:pPr>
          </w:p>
        </w:tc>
        <w:tc>
          <w:tcPr>
            <w:tcW w:w="1417" w:type="dxa"/>
            <w:tcBorders>
              <w:bottom w:val="single" w:sz="6" w:space="0" w:color="auto"/>
            </w:tcBorders>
          </w:tcPr>
          <w:p w:rsidR="001C7BF9" w:rsidRPr="00C9680B" w:rsidRDefault="001C7BF9">
            <w:pPr>
              <w:pStyle w:val="Lagtext"/>
              <w:jc w:val="left"/>
            </w:pPr>
          </w:p>
        </w:tc>
        <w:tc>
          <w:tcPr>
            <w:tcW w:w="1053" w:type="dxa"/>
            <w:tcBorders>
              <w:top w:val="single" w:sz="6" w:space="0" w:color="auto"/>
              <w:bottom w:val="single" w:sz="6" w:space="0" w:color="auto"/>
            </w:tcBorders>
          </w:tcPr>
          <w:p w:rsidR="001C7BF9" w:rsidRPr="00C9680B" w:rsidRDefault="001C7BF9">
            <w:pPr>
              <w:pStyle w:val="Lagtext"/>
              <w:jc w:val="left"/>
            </w:pPr>
            <w:r w:rsidRPr="00C9680B">
              <w:t>Energi</w:t>
            </w:r>
            <w:r w:rsidRPr="00C9680B">
              <w:t>s</w:t>
            </w:r>
            <w:r w:rsidRPr="00C9680B">
              <w:t>katt</w:t>
            </w:r>
          </w:p>
        </w:tc>
        <w:tc>
          <w:tcPr>
            <w:tcW w:w="1053" w:type="dxa"/>
            <w:tcBorders>
              <w:top w:val="single" w:sz="6" w:space="0" w:color="auto"/>
              <w:bottom w:val="single" w:sz="6" w:space="0" w:color="auto"/>
            </w:tcBorders>
          </w:tcPr>
          <w:p w:rsidR="001C7BF9" w:rsidRPr="00C9680B" w:rsidRDefault="001C7BF9">
            <w:pPr>
              <w:pStyle w:val="Lagtext"/>
              <w:jc w:val="left"/>
            </w:pPr>
            <w:r w:rsidRPr="00C9680B">
              <w:t>Koldio</w:t>
            </w:r>
            <w:r w:rsidRPr="00C9680B">
              <w:t>x</w:t>
            </w:r>
            <w:r w:rsidRPr="00C9680B">
              <w:t>id</w:t>
            </w:r>
            <w:r w:rsidRPr="00C9680B">
              <w:softHyphen/>
              <w:t>skatt</w:t>
            </w:r>
          </w:p>
        </w:tc>
        <w:tc>
          <w:tcPr>
            <w:tcW w:w="1053" w:type="dxa"/>
            <w:tcBorders>
              <w:top w:val="single" w:sz="6" w:space="0" w:color="auto"/>
              <w:bottom w:val="single" w:sz="6" w:space="0" w:color="auto"/>
            </w:tcBorders>
          </w:tcPr>
          <w:p w:rsidR="001C7BF9" w:rsidRPr="00C9680B" w:rsidRDefault="001C7BF9">
            <w:pPr>
              <w:pStyle w:val="Lagtext"/>
              <w:jc w:val="left"/>
            </w:pPr>
            <w:r w:rsidRPr="00C9680B">
              <w:t>Summa skatt</w:t>
            </w:r>
          </w:p>
        </w:tc>
      </w:tr>
      <w:tr w:rsidR="00000000" w:rsidRPr="00C9680B">
        <w:tblPrEx>
          <w:tblCellMar>
            <w:top w:w="0" w:type="dxa"/>
            <w:bottom w:w="0" w:type="dxa"/>
          </w:tblCellMar>
        </w:tblPrEx>
        <w:tc>
          <w:tcPr>
            <w:tcW w:w="284" w:type="dxa"/>
          </w:tcPr>
          <w:p w:rsidR="001C7BF9" w:rsidRPr="00C9680B" w:rsidRDefault="001C7BF9">
            <w:pPr>
              <w:pStyle w:val="Lagtext"/>
              <w:jc w:val="left"/>
            </w:pPr>
            <w:r w:rsidRPr="00C9680B">
              <w:rPr>
                <w:sz w:val="18"/>
              </w:rPr>
              <w:t>1.</w:t>
            </w:r>
          </w:p>
        </w:tc>
        <w:tc>
          <w:tcPr>
            <w:tcW w:w="1204" w:type="dxa"/>
          </w:tcPr>
          <w:p w:rsidR="001C7BF9" w:rsidRPr="00C9680B" w:rsidRDefault="001C7BF9">
            <w:pPr>
              <w:pStyle w:val="Lagtext"/>
              <w:jc w:val="left"/>
            </w:pPr>
            <w:r w:rsidRPr="00C9680B">
              <w:t>2710 00 26,</w:t>
            </w:r>
          </w:p>
          <w:p w:rsidR="001C7BF9" w:rsidRPr="00C9680B" w:rsidRDefault="001C7BF9">
            <w:pPr>
              <w:pStyle w:val="Lagtext"/>
              <w:jc w:val="left"/>
            </w:pPr>
            <w:r w:rsidRPr="00C9680B">
              <w:t>2710 00 27,</w:t>
            </w:r>
          </w:p>
          <w:p w:rsidR="001C7BF9" w:rsidRPr="00C9680B" w:rsidRDefault="001C7BF9">
            <w:pPr>
              <w:pStyle w:val="Lagtext"/>
              <w:jc w:val="left"/>
            </w:pPr>
            <w:r w:rsidRPr="00C9680B">
              <w:t>2710 00 29</w:t>
            </w:r>
          </w:p>
          <w:p w:rsidR="001C7BF9" w:rsidRPr="00C9680B" w:rsidRDefault="001C7BF9">
            <w:pPr>
              <w:pStyle w:val="Lagtext"/>
              <w:jc w:val="left"/>
            </w:pPr>
            <w:r w:rsidRPr="00C9680B">
              <w:t>eller</w:t>
            </w:r>
          </w:p>
          <w:p w:rsidR="001C7BF9" w:rsidRPr="00C9680B" w:rsidRDefault="001C7BF9">
            <w:pPr>
              <w:pStyle w:val="Lagtext"/>
              <w:jc w:val="left"/>
            </w:pPr>
            <w:r w:rsidRPr="00C9680B">
              <w:t>2710 00 32</w:t>
            </w:r>
          </w:p>
        </w:tc>
        <w:tc>
          <w:tcPr>
            <w:tcW w:w="1417" w:type="dxa"/>
          </w:tcPr>
          <w:p w:rsidR="001C7BF9" w:rsidRPr="00C9680B" w:rsidRDefault="001C7BF9">
            <w:pPr>
              <w:pStyle w:val="Lagtext"/>
              <w:jc w:val="left"/>
            </w:pPr>
            <w:r w:rsidRPr="00C9680B">
              <w:t>Bensin som uppfyller krav för</w:t>
            </w: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r>
      <w:tr w:rsidR="00000000" w:rsidRPr="00C9680B">
        <w:tblPrEx>
          <w:tblCellMar>
            <w:top w:w="0" w:type="dxa"/>
            <w:bottom w:w="0" w:type="dxa"/>
          </w:tblCellMar>
        </w:tblPrEx>
        <w:tc>
          <w:tcPr>
            <w:tcW w:w="284" w:type="dxa"/>
          </w:tcPr>
          <w:p w:rsidR="001C7BF9" w:rsidRPr="00C9680B" w:rsidRDefault="001C7BF9">
            <w:pPr>
              <w:pStyle w:val="Lagtext"/>
              <w:jc w:val="left"/>
            </w:pPr>
          </w:p>
        </w:tc>
        <w:tc>
          <w:tcPr>
            <w:tcW w:w="1204"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a) miljöklass 1</w:t>
            </w:r>
          </w:p>
        </w:tc>
        <w:tc>
          <w:tcPr>
            <w:tcW w:w="1053" w:type="dxa"/>
          </w:tcPr>
          <w:p w:rsidR="001C7BF9" w:rsidRPr="00C9680B" w:rsidRDefault="001C7BF9">
            <w:pPr>
              <w:pStyle w:val="Lagtext"/>
              <w:jc w:val="left"/>
            </w:pPr>
            <w:r w:rsidRPr="00C9680B">
              <w:rPr>
                <w:i/>
              </w:rPr>
              <w:t>3</w:t>
            </w:r>
            <w:r w:rsidRPr="00C9680B">
              <w:t xml:space="preserve"> kr</w:t>
            </w:r>
            <w:r w:rsidRPr="00C9680B">
              <w:rPr>
                <w:i/>
              </w:rPr>
              <w:t xml:space="preserve"> 61</w:t>
            </w:r>
            <w:r w:rsidRPr="00C9680B">
              <w:t xml:space="preserve"> öre</w:t>
            </w:r>
          </w:p>
          <w:p w:rsidR="001C7BF9" w:rsidRPr="00C9680B" w:rsidRDefault="001C7BF9">
            <w:pPr>
              <w:pStyle w:val="Lagtext"/>
              <w:jc w:val="left"/>
            </w:pPr>
            <w:r w:rsidRPr="00C9680B">
              <w:t>per liter</w:t>
            </w:r>
          </w:p>
        </w:tc>
        <w:tc>
          <w:tcPr>
            <w:tcW w:w="1053" w:type="dxa"/>
          </w:tcPr>
          <w:p w:rsidR="001C7BF9" w:rsidRPr="00C9680B" w:rsidRDefault="001C7BF9">
            <w:pPr>
              <w:pStyle w:val="Lagtext"/>
              <w:jc w:val="left"/>
            </w:pPr>
            <w:r w:rsidRPr="00C9680B">
              <w:rPr>
                <w:i/>
              </w:rPr>
              <w:t>86</w:t>
            </w:r>
            <w:r w:rsidRPr="00C9680B">
              <w:t xml:space="preserve"> öre</w:t>
            </w:r>
          </w:p>
          <w:p w:rsidR="001C7BF9" w:rsidRPr="00C9680B" w:rsidRDefault="001C7BF9">
            <w:pPr>
              <w:pStyle w:val="Lagtext"/>
              <w:jc w:val="left"/>
            </w:pPr>
            <w:r w:rsidRPr="00C9680B">
              <w:t>per liter</w:t>
            </w:r>
          </w:p>
        </w:tc>
        <w:tc>
          <w:tcPr>
            <w:tcW w:w="1053" w:type="dxa"/>
          </w:tcPr>
          <w:p w:rsidR="001C7BF9" w:rsidRPr="00C9680B" w:rsidRDefault="001C7BF9">
            <w:pPr>
              <w:pStyle w:val="Lagtext"/>
              <w:jc w:val="left"/>
            </w:pPr>
            <w:r w:rsidRPr="00C9680B">
              <w:rPr>
                <w:i/>
              </w:rPr>
              <w:t>4</w:t>
            </w:r>
            <w:r w:rsidRPr="00C9680B">
              <w:t xml:space="preserve"> kr </w:t>
            </w:r>
            <w:r w:rsidRPr="00C9680B">
              <w:rPr>
                <w:i/>
              </w:rPr>
              <w:t>47</w:t>
            </w:r>
            <w:r w:rsidRPr="00C9680B">
              <w:t xml:space="preserve"> öre per liter</w:t>
            </w:r>
          </w:p>
        </w:tc>
      </w:tr>
      <w:tr w:rsidR="00000000" w:rsidRPr="00C9680B">
        <w:tblPrEx>
          <w:tblCellMar>
            <w:top w:w="0" w:type="dxa"/>
            <w:bottom w:w="0" w:type="dxa"/>
          </w:tblCellMar>
        </w:tblPrEx>
        <w:tc>
          <w:tcPr>
            <w:tcW w:w="284" w:type="dxa"/>
          </w:tcPr>
          <w:p w:rsidR="001C7BF9" w:rsidRPr="00C9680B" w:rsidRDefault="001C7BF9">
            <w:pPr>
              <w:pStyle w:val="Lagtext"/>
              <w:jc w:val="left"/>
              <w:rPr>
                <w:sz w:val="18"/>
              </w:rPr>
            </w:pPr>
          </w:p>
        </w:tc>
        <w:tc>
          <w:tcPr>
            <w:tcW w:w="1204" w:type="dxa"/>
          </w:tcPr>
          <w:p w:rsidR="001C7BF9" w:rsidRPr="00C9680B" w:rsidRDefault="001C7BF9">
            <w:pPr>
              <w:pStyle w:val="Lagtext"/>
              <w:jc w:val="left"/>
              <w:rPr>
                <w:sz w:val="18"/>
              </w:rPr>
            </w:pPr>
          </w:p>
        </w:tc>
        <w:tc>
          <w:tcPr>
            <w:tcW w:w="1417" w:type="dxa"/>
          </w:tcPr>
          <w:p w:rsidR="001C7BF9" w:rsidRPr="00C9680B" w:rsidRDefault="001C7BF9">
            <w:pPr>
              <w:pStyle w:val="Lagtext"/>
              <w:jc w:val="left"/>
              <w:rPr>
                <w:sz w:val="18"/>
              </w:rPr>
            </w:pPr>
            <w:r w:rsidRPr="00C9680B">
              <w:rPr>
                <w:sz w:val="18"/>
              </w:rPr>
              <w:t>b) miljöklass 2</w:t>
            </w:r>
          </w:p>
        </w:tc>
        <w:tc>
          <w:tcPr>
            <w:tcW w:w="1053" w:type="dxa"/>
          </w:tcPr>
          <w:p w:rsidR="001C7BF9" w:rsidRPr="00C9680B" w:rsidRDefault="001C7BF9">
            <w:pPr>
              <w:pStyle w:val="Lagtext"/>
              <w:jc w:val="left"/>
            </w:pPr>
            <w:r w:rsidRPr="00C9680B">
              <w:rPr>
                <w:i/>
                <w:sz w:val="18"/>
              </w:rPr>
              <w:t>3</w:t>
            </w:r>
            <w:r w:rsidRPr="00C9680B">
              <w:rPr>
                <w:sz w:val="18"/>
              </w:rPr>
              <w:t xml:space="preserve"> kr </w:t>
            </w:r>
            <w:r w:rsidRPr="00C9680B">
              <w:rPr>
                <w:i/>
                <w:sz w:val="18"/>
              </w:rPr>
              <w:t>64</w:t>
            </w:r>
            <w:r w:rsidRPr="00C9680B">
              <w:rPr>
                <w:sz w:val="18"/>
              </w:rPr>
              <w:t xml:space="preserve"> öre</w:t>
            </w:r>
          </w:p>
          <w:p w:rsidR="001C7BF9" w:rsidRPr="00C9680B" w:rsidRDefault="001C7BF9">
            <w:pPr>
              <w:pStyle w:val="Lagtext"/>
              <w:jc w:val="left"/>
            </w:pPr>
            <w:r w:rsidRPr="00C9680B">
              <w:rPr>
                <w:sz w:val="18"/>
              </w:rPr>
              <w:t>per liter</w:t>
            </w:r>
          </w:p>
        </w:tc>
        <w:tc>
          <w:tcPr>
            <w:tcW w:w="1053" w:type="dxa"/>
          </w:tcPr>
          <w:p w:rsidR="001C7BF9" w:rsidRPr="00C9680B" w:rsidRDefault="001C7BF9">
            <w:pPr>
              <w:pStyle w:val="Lagtext"/>
              <w:jc w:val="left"/>
            </w:pPr>
            <w:r w:rsidRPr="00C9680B">
              <w:rPr>
                <w:i/>
                <w:sz w:val="18"/>
              </w:rPr>
              <w:t>86</w:t>
            </w:r>
            <w:r w:rsidRPr="00C9680B">
              <w:rPr>
                <w:sz w:val="18"/>
              </w:rPr>
              <w:t xml:space="preserve"> öre</w:t>
            </w:r>
          </w:p>
          <w:p w:rsidR="001C7BF9" w:rsidRPr="00C9680B" w:rsidRDefault="001C7BF9">
            <w:pPr>
              <w:pStyle w:val="Lagtext"/>
              <w:jc w:val="left"/>
            </w:pPr>
            <w:r w:rsidRPr="00C9680B">
              <w:rPr>
                <w:sz w:val="18"/>
              </w:rPr>
              <w:t>per liter</w:t>
            </w:r>
          </w:p>
        </w:tc>
        <w:tc>
          <w:tcPr>
            <w:tcW w:w="1053" w:type="dxa"/>
          </w:tcPr>
          <w:p w:rsidR="001C7BF9" w:rsidRPr="00C9680B" w:rsidRDefault="001C7BF9">
            <w:pPr>
              <w:pStyle w:val="Lagtext"/>
              <w:jc w:val="left"/>
            </w:pPr>
            <w:r w:rsidRPr="00C9680B">
              <w:rPr>
                <w:i/>
                <w:sz w:val="18"/>
              </w:rPr>
              <w:t>4</w:t>
            </w:r>
            <w:r w:rsidRPr="00C9680B">
              <w:rPr>
                <w:sz w:val="18"/>
              </w:rPr>
              <w:t xml:space="preserve"> kr </w:t>
            </w:r>
            <w:r w:rsidRPr="00C9680B">
              <w:rPr>
                <w:i/>
                <w:sz w:val="18"/>
              </w:rPr>
              <w:t>50</w:t>
            </w:r>
            <w:r w:rsidRPr="00C9680B">
              <w:rPr>
                <w:sz w:val="18"/>
              </w:rPr>
              <w:t xml:space="preserve"> öre</w:t>
            </w:r>
          </w:p>
          <w:p w:rsidR="001C7BF9" w:rsidRPr="00C9680B" w:rsidRDefault="001C7BF9">
            <w:pPr>
              <w:pStyle w:val="Lagtext"/>
              <w:jc w:val="left"/>
            </w:pPr>
            <w:r w:rsidRPr="00C9680B">
              <w:rPr>
                <w:sz w:val="18"/>
              </w:rPr>
              <w:t>per liter</w:t>
            </w:r>
          </w:p>
        </w:tc>
      </w:tr>
      <w:tr w:rsidR="00000000" w:rsidRPr="00C9680B">
        <w:tblPrEx>
          <w:tblCellMar>
            <w:top w:w="0" w:type="dxa"/>
            <w:bottom w:w="0" w:type="dxa"/>
          </w:tblCellMar>
        </w:tblPrEx>
        <w:tc>
          <w:tcPr>
            <w:tcW w:w="284" w:type="dxa"/>
          </w:tcPr>
          <w:p w:rsidR="001C7BF9" w:rsidRPr="00C9680B" w:rsidRDefault="001C7BF9">
            <w:pPr>
              <w:pStyle w:val="Lagtext"/>
              <w:jc w:val="left"/>
            </w:pPr>
            <w:r w:rsidRPr="00C9680B">
              <w:rPr>
                <w:sz w:val="18"/>
              </w:rPr>
              <w:t>2.</w:t>
            </w:r>
          </w:p>
        </w:tc>
        <w:tc>
          <w:tcPr>
            <w:tcW w:w="1204" w:type="dxa"/>
          </w:tcPr>
          <w:p w:rsidR="001C7BF9" w:rsidRPr="00C9680B" w:rsidRDefault="001C7BF9">
            <w:pPr>
              <w:pStyle w:val="Lagtext"/>
              <w:jc w:val="left"/>
            </w:pPr>
            <w:r w:rsidRPr="00C9680B">
              <w:t>2710 00 26,</w:t>
            </w:r>
          </w:p>
          <w:p w:rsidR="001C7BF9" w:rsidRPr="00C9680B" w:rsidRDefault="001C7BF9">
            <w:pPr>
              <w:pStyle w:val="Lagtext"/>
              <w:jc w:val="left"/>
            </w:pPr>
            <w:r w:rsidRPr="00C9680B">
              <w:t>2710 00 34</w:t>
            </w:r>
          </w:p>
          <w:p w:rsidR="001C7BF9" w:rsidRPr="00C9680B" w:rsidRDefault="001C7BF9">
            <w:pPr>
              <w:pStyle w:val="Lagtext"/>
              <w:jc w:val="left"/>
            </w:pPr>
            <w:r w:rsidRPr="00C9680B">
              <w:t>eller</w:t>
            </w:r>
          </w:p>
          <w:p w:rsidR="001C7BF9" w:rsidRPr="00C9680B" w:rsidRDefault="001C7BF9">
            <w:pPr>
              <w:pStyle w:val="Lagtext"/>
              <w:jc w:val="left"/>
            </w:pPr>
            <w:r w:rsidRPr="00C9680B">
              <w:t>2710 00 36</w:t>
            </w:r>
          </w:p>
        </w:tc>
        <w:tc>
          <w:tcPr>
            <w:tcW w:w="1417" w:type="dxa"/>
          </w:tcPr>
          <w:p w:rsidR="001C7BF9" w:rsidRPr="00C9680B" w:rsidRDefault="001C7BF9">
            <w:pPr>
              <w:pStyle w:val="Lagtext"/>
              <w:jc w:val="left"/>
            </w:pPr>
            <w:r w:rsidRPr="00C9680B">
              <w:t xml:space="preserve">Annan bensin </w:t>
            </w:r>
            <w:r w:rsidRPr="00C9680B">
              <w:br/>
              <w:t>än som avses under 1</w:t>
            </w:r>
          </w:p>
        </w:tc>
        <w:tc>
          <w:tcPr>
            <w:tcW w:w="1053" w:type="dxa"/>
          </w:tcPr>
          <w:p w:rsidR="001C7BF9" w:rsidRPr="00C9680B" w:rsidRDefault="001C7BF9">
            <w:pPr>
              <w:pStyle w:val="Lagtext"/>
              <w:jc w:val="left"/>
            </w:pPr>
            <w:r w:rsidRPr="00C9680B">
              <w:rPr>
                <w:i/>
              </w:rPr>
              <w:t>4</w:t>
            </w:r>
            <w:r w:rsidRPr="00C9680B">
              <w:t xml:space="preserve"> kr </w:t>
            </w:r>
            <w:r w:rsidRPr="00C9680B">
              <w:rPr>
                <w:i/>
              </w:rPr>
              <w:t>27</w:t>
            </w:r>
            <w:r w:rsidRPr="00C9680B">
              <w:t xml:space="preserve"> öre</w:t>
            </w:r>
          </w:p>
          <w:p w:rsidR="001C7BF9" w:rsidRPr="00C9680B" w:rsidRDefault="001C7BF9">
            <w:pPr>
              <w:pStyle w:val="Lagtext"/>
              <w:jc w:val="left"/>
            </w:pPr>
            <w:r w:rsidRPr="00C9680B">
              <w:t>per liter</w:t>
            </w:r>
          </w:p>
        </w:tc>
        <w:tc>
          <w:tcPr>
            <w:tcW w:w="1053" w:type="dxa"/>
          </w:tcPr>
          <w:p w:rsidR="001C7BF9" w:rsidRPr="00C9680B" w:rsidRDefault="001C7BF9">
            <w:pPr>
              <w:pStyle w:val="Lagtext"/>
              <w:jc w:val="left"/>
            </w:pPr>
            <w:r w:rsidRPr="00C9680B">
              <w:rPr>
                <w:i/>
              </w:rPr>
              <w:t>86</w:t>
            </w:r>
            <w:r w:rsidRPr="00C9680B">
              <w:t xml:space="preserve"> öre</w:t>
            </w:r>
          </w:p>
          <w:p w:rsidR="001C7BF9" w:rsidRPr="00C9680B" w:rsidRDefault="001C7BF9">
            <w:pPr>
              <w:pStyle w:val="Lagtext"/>
              <w:jc w:val="left"/>
            </w:pPr>
            <w:r w:rsidRPr="00C9680B">
              <w:t>per liter</w:t>
            </w:r>
          </w:p>
        </w:tc>
        <w:tc>
          <w:tcPr>
            <w:tcW w:w="1053" w:type="dxa"/>
          </w:tcPr>
          <w:p w:rsidR="001C7BF9" w:rsidRPr="00C9680B" w:rsidRDefault="001C7BF9">
            <w:pPr>
              <w:pStyle w:val="Lagtext"/>
              <w:jc w:val="left"/>
            </w:pPr>
            <w:r w:rsidRPr="00C9680B">
              <w:rPr>
                <w:i/>
              </w:rPr>
              <w:t>5</w:t>
            </w:r>
            <w:r w:rsidRPr="00C9680B">
              <w:t xml:space="preserve"> kr </w:t>
            </w:r>
            <w:r w:rsidRPr="00C9680B">
              <w:rPr>
                <w:i/>
              </w:rPr>
              <w:t>13</w:t>
            </w:r>
            <w:r w:rsidRPr="00C9680B">
              <w:t xml:space="preserve"> öre</w:t>
            </w:r>
          </w:p>
          <w:p w:rsidR="001C7BF9" w:rsidRPr="00C9680B" w:rsidRDefault="001C7BF9">
            <w:pPr>
              <w:pStyle w:val="Lagtext"/>
              <w:jc w:val="left"/>
            </w:pPr>
            <w:r w:rsidRPr="00C9680B">
              <w:t>per liter</w:t>
            </w:r>
          </w:p>
        </w:tc>
      </w:tr>
      <w:tr w:rsidR="00000000" w:rsidRPr="00C9680B">
        <w:tblPrEx>
          <w:tblCellMar>
            <w:top w:w="0" w:type="dxa"/>
            <w:bottom w:w="0" w:type="dxa"/>
          </w:tblCellMar>
        </w:tblPrEx>
        <w:tc>
          <w:tcPr>
            <w:tcW w:w="284" w:type="dxa"/>
          </w:tcPr>
          <w:p w:rsidR="001C7BF9" w:rsidRPr="00C9680B" w:rsidRDefault="001C7BF9">
            <w:pPr>
              <w:pStyle w:val="Lagtext"/>
              <w:jc w:val="left"/>
            </w:pPr>
            <w:r w:rsidRPr="00C9680B">
              <w:rPr>
                <w:sz w:val="18"/>
              </w:rPr>
              <w:t>3.</w:t>
            </w:r>
          </w:p>
        </w:tc>
        <w:tc>
          <w:tcPr>
            <w:tcW w:w="1204" w:type="dxa"/>
          </w:tcPr>
          <w:p w:rsidR="001C7BF9" w:rsidRPr="00C9680B" w:rsidRDefault="001C7BF9">
            <w:pPr>
              <w:pStyle w:val="Lagtext"/>
              <w:jc w:val="left"/>
            </w:pPr>
            <w:r w:rsidRPr="00C9680B">
              <w:t>2710 00 51,</w:t>
            </w:r>
          </w:p>
          <w:p w:rsidR="001C7BF9" w:rsidRPr="00C9680B" w:rsidRDefault="001C7BF9">
            <w:pPr>
              <w:pStyle w:val="Lagtext"/>
              <w:jc w:val="left"/>
            </w:pPr>
            <w:r w:rsidRPr="00C9680B">
              <w:t>2710 00 55,</w:t>
            </w:r>
          </w:p>
          <w:p w:rsidR="001C7BF9" w:rsidRPr="00C9680B" w:rsidRDefault="001C7BF9">
            <w:pPr>
              <w:pStyle w:val="Lagtext"/>
              <w:jc w:val="left"/>
            </w:pPr>
            <w:r w:rsidRPr="00C9680B">
              <w:t>2710 00 69</w:t>
            </w:r>
          </w:p>
          <w:p w:rsidR="001C7BF9" w:rsidRPr="00C9680B" w:rsidRDefault="001C7BF9">
            <w:pPr>
              <w:pStyle w:val="Lagtext"/>
              <w:jc w:val="left"/>
            </w:pPr>
            <w:r w:rsidRPr="00C9680B">
              <w:t>eller</w:t>
            </w:r>
          </w:p>
          <w:p w:rsidR="001C7BF9" w:rsidRPr="00C9680B" w:rsidRDefault="001C7BF9">
            <w:pPr>
              <w:pStyle w:val="Lagtext"/>
              <w:jc w:val="left"/>
            </w:pPr>
            <w:r w:rsidRPr="00C9680B">
              <w:t>2710 00 74–</w:t>
            </w:r>
          </w:p>
          <w:p w:rsidR="001C7BF9" w:rsidRPr="00C9680B" w:rsidRDefault="001C7BF9">
            <w:pPr>
              <w:pStyle w:val="Lagtext"/>
              <w:jc w:val="left"/>
            </w:pPr>
            <w:r w:rsidRPr="00C9680B">
              <w:t>2710 00 78</w:t>
            </w:r>
          </w:p>
        </w:tc>
        <w:tc>
          <w:tcPr>
            <w:tcW w:w="1417" w:type="dxa"/>
          </w:tcPr>
          <w:p w:rsidR="001C7BF9" w:rsidRPr="00C9680B" w:rsidRDefault="001C7BF9">
            <w:pPr>
              <w:pStyle w:val="Lagtext"/>
              <w:jc w:val="left"/>
            </w:pPr>
            <w:r w:rsidRPr="00C9680B">
              <w:t>Eldningsolja, dieselbrännolja, fotogen, m.m. som</w:t>
            </w: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r>
      <w:tr w:rsidR="00000000" w:rsidRPr="00C9680B">
        <w:tblPrEx>
          <w:tblCellMar>
            <w:top w:w="0" w:type="dxa"/>
            <w:bottom w:w="0" w:type="dxa"/>
          </w:tblCellMar>
        </w:tblPrEx>
        <w:tc>
          <w:tcPr>
            <w:tcW w:w="284" w:type="dxa"/>
          </w:tcPr>
          <w:p w:rsidR="001C7BF9" w:rsidRPr="00C9680B" w:rsidRDefault="001C7BF9">
            <w:pPr>
              <w:pStyle w:val="Lagtext"/>
              <w:jc w:val="left"/>
            </w:pPr>
          </w:p>
        </w:tc>
        <w:tc>
          <w:tcPr>
            <w:tcW w:w="1204"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a) har försetts med märkämnen eller ger mindre än 85 v</w:t>
            </w:r>
            <w:r w:rsidRPr="00C9680B">
              <w:t>o</w:t>
            </w:r>
            <w:r w:rsidRPr="00C9680B">
              <w:t>lymprocent destillat vid 350</w:t>
            </w:r>
            <w:r w:rsidRPr="00C9680B">
              <w:rPr>
                <w:vertAlign w:val="superscript"/>
              </w:rPr>
              <w:t>o</w:t>
            </w:r>
            <w:r w:rsidRPr="00C9680B">
              <w:t>C,</w:t>
            </w:r>
          </w:p>
        </w:tc>
        <w:tc>
          <w:tcPr>
            <w:tcW w:w="1053" w:type="dxa"/>
          </w:tcPr>
          <w:p w:rsidR="001C7BF9" w:rsidRPr="00C9680B" w:rsidRDefault="001C7BF9">
            <w:pPr>
              <w:pStyle w:val="Lagtext"/>
              <w:jc w:val="left"/>
            </w:pPr>
            <w:r w:rsidRPr="00C9680B">
              <w:rPr>
                <w:i/>
              </w:rPr>
              <w:t>743</w:t>
            </w:r>
            <w:r w:rsidRPr="00C9680B">
              <w:t xml:space="preserve"> kr per m</w:t>
            </w:r>
            <w:r w:rsidRPr="00C9680B">
              <w:rPr>
                <w:sz w:val="16"/>
                <w:vertAlign w:val="superscript"/>
              </w:rPr>
              <w:t>3</w:t>
            </w:r>
          </w:p>
        </w:tc>
        <w:tc>
          <w:tcPr>
            <w:tcW w:w="1053" w:type="dxa"/>
          </w:tcPr>
          <w:p w:rsidR="001C7BF9" w:rsidRPr="00C9680B" w:rsidRDefault="001C7BF9">
            <w:pPr>
              <w:pStyle w:val="Lagtext"/>
              <w:jc w:val="left"/>
            </w:pPr>
            <w:r w:rsidRPr="00C9680B">
              <w:rPr>
                <w:i/>
              </w:rPr>
              <w:t xml:space="preserve">1 058 </w:t>
            </w:r>
            <w:r w:rsidRPr="00C9680B">
              <w:t>kr per m</w:t>
            </w:r>
            <w:r w:rsidRPr="00C9680B">
              <w:rPr>
                <w:sz w:val="16"/>
                <w:vertAlign w:val="superscript"/>
              </w:rPr>
              <w:t>3</w:t>
            </w:r>
          </w:p>
        </w:tc>
        <w:tc>
          <w:tcPr>
            <w:tcW w:w="1053" w:type="dxa"/>
          </w:tcPr>
          <w:p w:rsidR="001C7BF9" w:rsidRPr="00C9680B" w:rsidRDefault="001C7BF9">
            <w:pPr>
              <w:pStyle w:val="Lagtext"/>
              <w:jc w:val="left"/>
            </w:pPr>
            <w:r w:rsidRPr="00C9680B">
              <w:rPr>
                <w:i/>
              </w:rPr>
              <w:t>1 801</w:t>
            </w:r>
            <w:r w:rsidRPr="00C9680B">
              <w:t xml:space="preserve"> kr per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jc w:val="left"/>
              <w:rPr>
                <w:sz w:val="18"/>
              </w:rPr>
            </w:pPr>
          </w:p>
        </w:tc>
        <w:tc>
          <w:tcPr>
            <w:tcW w:w="1204" w:type="dxa"/>
          </w:tcPr>
          <w:p w:rsidR="001C7BF9" w:rsidRPr="00C9680B" w:rsidRDefault="001C7BF9">
            <w:pPr>
              <w:pStyle w:val="Lagtext"/>
              <w:jc w:val="left"/>
              <w:rPr>
                <w:sz w:val="18"/>
              </w:rPr>
            </w:pPr>
          </w:p>
        </w:tc>
        <w:tc>
          <w:tcPr>
            <w:tcW w:w="1417" w:type="dxa"/>
          </w:tcPr>
          <w:p w:rsidR="001C7BF9" w:rsidRPr="00C9680B" w:rsidRDefault="001C7BF9">
            <w:pPr>
              <w:pStyle w:val="Lagtext"/>
              <w:jc w:val="left"/>
            </w:pPr>
            <w:r w:rsidRPr="00C9680B">
              <w:rPr>
                <w:sz w:val="18"/>
              </w:rPr>
              <w:t>b) inte har fö</w:t>
            </w:r>
            <w:r w:rsidRPr="00C9680B">
              <w:rPr>
                <w:sz w:val="18"/>
              </w:rPr>
              <w:t>r</w:t>
            </w:r>
            <w:r w:rsidRPr="00C9680B">
              <w:rPr>
                <w:sz w:val="18"/>
              </w:rPr>
              <w:t>setts med märk</w:t>
            </w:r>
            <w:r w:rsidRPr="00C9680B">
              <w:rPr>
                <w:sz w:val="18"/>
              </w:rPr>
              <w:softHyphen/>
              <w:t>ämnen och ger minst 85 v</w:t>
            </w:r>
            <w:r w:rsidRPr="00C9680B">
              <w:rPr>
                <w:sz w:val="18"/>
              </w:rPr>
              <w:t>o</w:t>
            </w:r>
            <w:r w:rsidRPr="00C9680B">
              <w:rPr>
                <w:sz w:val="18"/>
              </w:rPr>
              <w:t xml:space="preserve">lymprocent destillat vid </w:t>
            </w:r>
            <w:r w:rsidRPr="00C9680B">
              <w:rPr>
                <w:sz w:val="18"/>
              </w:rPr>
              <w:br/>
              <w:t>350</w:t>
            </w:r>
            <w:r w:rsidRPr="00C9680B">
              <w:rPr>
                <w:sz w:val="18"/>
                <w:vertAlign w:val="superscript"/>
              </w:rPr>
              <w:t>o </w:t>
            </w:r>
            <w:r w:rsidRPr="00C9680B">
              <w:rPr>
                <w:sz w:val="18"/>
              </w:rPr>
              <w:t>C,</w:t>
            </w:r>
          </w:p>
          <w:p w:rsidR="001C7BF9" w:rsidRPr="00C9680B" w:rsidRDefault="001C7BF9">
            <w:pPr>
              <w:pStyle w:val="Lagtext"/>
              <w:jc w:val="left"/>
            </w:pPr>
            <w:r w:rsidRPr="00C9680B">
              <w:rPr>
                <w:sz w:val="18"/>
              </w:rPr>
              <w:t>tillhörig</w:t>
            </w:r>
          </w:p>
        </w:tc>
        <w:tc>
          <w:tcPr>
            <w:tcW w:w="1053"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r>
      <w:tr w:rsidR="00000000" w:rsidRPr="00C9680B">
        <w:tblPrEx>
          <w:tblCellMar>
            <w:top w:w="0" w:type="dxa"/>
            <w:bottom w:w="0" w:type="dxa"/>
          </w:tblCellMar>
        </w:tblPrEx>
        <w:tc>
          <w:tcPr>
            <w:tcW w:w="284" w:type="dxa"/>
          </w:tcPr>
          <w:p w:rsidR="001C7BF9" w:rsidRPr="00C9680B" w:rsidRDefault="001C7BF9">
            <w:pPr>
              <w:pStyle w:val="Lagtext"/>
              <w:jc w:val="left"/>
            </w:pPr>
          </w:p>
        </w:tc>
        <w:tc>
          <w:tcPr>
            <w:tcW w:w="1204"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miljöklass 1</w:t>
            </w:r>
          </w:p>
        </w:tc>
        <w:tc>
          <w:tcPr>
            <w:tcW w:w="1053" w:type="dxa"/>
          </w:tcPr>
          <w:p w:rsidR="001C7BF9" w:rsidRPr="00C9680B" w:rsidRDefault="001C7BF9">
            <w:pPr>
              <w:pStyle w:val="Lagtext"/>
              <w:jc w:val="left"/>
            </w:pPr>
            <w:r w:rsidRPr="00C9680B">
              <w:rPr>
                <w:i/>
              </w:rPr>
              <w:t>1 864</w:t>
            </w:r>
            <w:r w:rsidRPr="00C9680B">
              <w:t xml:space="preserve"> kr per m</w:t>
            </w:r>
            <w:r w:rsidRPr="00C9680B">
              <w:rPr>
                <w:sz w:val="16"/>
                <w:vertAlign w:val="superscript"/>
              </w:rPr>
              <w:t>3</w:t>
            </w:r>
          </w:p>
        </w:tc>
        <w:tc>
          <w:tcPr>
            <w:tcW w:w="1053" w:type="dxa"/>
          </w:tcPr>
          <w:p w:rsidR="001C7BF9" w:rsidRPr="00C9680B" w:rsidRDefault="001C7BF9">
            <w:pPr>
              <w:pStyle w:val="Lagtext"/>
              <w:jc w:val="left"/>
            </w:pPr>
            <w:r w:rsidRPr="00C9680B">
              <w:rPr>
                <w:i/>
              </w:rPr>
              <w:t>1 058</w:t>
            </w:r>
            <w:r w:rsidRPr="00C9680B">
              <w:t xml:space="preserve"> kr per m</w:t>
            </w:r>
            <w:r w:rsidRPr="00C9680B">
              <w:rPr>
                <w:sz w:val="16"/>
                <w:vertAlign w:val="superscript"/>
              </w:rPr>
              <w:t>3</w:t>
            </w:r>
          </w:p>
        </w:tc>
        <w:tc>
          <w:tcPr>
            <w:tcW w:w="1053" w:type="dxa"/>
          </w:tcPr>
          <w:p w:rsidR="001C7BF9" w:rsidRPr="00C9680B" w:rsidRDefault="001C7BF9">
            <w:pPr>
              <w:pStyle w:val="Lagtext"/>
              <w:jc w:val="left"/>
            </w:pPr>
            <w:r w:rsidRPr="00C9680B">
              <w:rPr>
                <w:i/>
              </w:rPr>
              <w:t>2 922</w:t>
            </w:r>
            <w:r w:rsidRPr="00C9680B">
              <w:t xml:space="preserve"> kr per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jc w:val="left"/>
            </w:pPr>
          </w:p>
        </w:tc>
        <w:tc>
          <w:tcPr>
            <w:tcW w:w="1204"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miljöklass 2</w:t>
            </w:r>
          </w:p>
        </w:tc>
        <w:tc>
          <w:tcPr>
            <w:tcW w:w="1053" w:type="dxa"/>
          </w:tcPr>
          <w:p w:rsidR="001C7BF9" w:rsidRPr="00C9680B" w:rsidRDefault="001C7BF9">
            <w:pPr>
              <w:pStyle w:val="Lagtext"/>
              <w:jc w:val="left"/>
            </w:pPr>
            <w:r w:rsidRPr="00C9680B">
              <w:rPr>
                <w:i/>
              </w:rPr>
              <w:t>2 090</w:t>
            </w:r>
            <w:r w:rsidRPr="00C9680B">
              <w:t xml:space="preserve"> kr per m</w:t>
            </w:r>
            <w:r w:rsidRPr="00C9680B">
              <w:rPr>
                <w:sz w:val="16"/>
                <w:vertAlign w:val="superscript"/>
              </w:rPr>
              <w:t>3</w:t>
            </w:r>
          </w:p>
        </w:tc>
        <w:tc>
          <w:tcPr>
            <w:tcW w:w="1053" w:type="dxa"/>
          </w:tcPr>
          <w:p w:rsidR="001C7BF9" w:rsidRPr="00C9680B" w:rsidRDefault="001C7BF9">
            <w:pPr>
              <w:pStyle w:val="Lagtext"/>
              <w:jc w:val="left"/>
            </w:pPr>
            <w:r w:rsidRPr="00C9680B">
              <w:rPr>
                <w:i/>
              </w:rPr>
              <w:t>1 058</w:t>
            </w:r>
            <w:r w:rsidRPr="00C9680B">
              <w:t xml:space="preserve"> kr per m</w:t>
            </w:r>
            <w:r w:rsidRPr="00C9680B">
              <w:rPr>
                <w:sz w:val="16"/>
                <w:vertAlign w:val="superscript"/>
              </w:rPr>
              <w:t>3</w:t>
            </w:r>
          </w:p>
        </w:tc>
        <w:tc>
          <w:tcPr>
            <w:tcW w:w="1053" w:type="dxa"/>
          </w:tcPr>
          <w:p w:rsidR="001C7BF9" w:rsidRPr="00C9680B" w:rsidRDefault="001C7BF9">
            <w:pPr>
              <w:pStyle w:val="Lagtext"/>
              <w:jc w:val="left"/>
            </w:pPr>
            <w:r w:rsidRPr="00C9680B">
              <w:rPr>
                <w:i/>
              </w:rPr>
              <w:t>3 148</w:t>
            </w:r>
            <w:r w:rsidRPr="00C9680B">
              <w:t xml:space="preserve"> kr per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jc w:val="left"/>
            </w:pPr>
          </w:p>
        </w:tc>
        <w:tc>
          <w:tcPr>
            <w:tcW w:w="1204"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miljöklass 3 eller inte tillhör någon miljö-</w:t>
            </w:r>
          </w:p>
          <w:p w:rsidR="001C7BF9" w:rsidRPr="00C9680B" w:rsidRDefault="001C7BF9">
            <w:pPr>
              <w:pStyle w:val="Lagtext"/>
              <w:jc w:val="left"/>
            </w:pPr>
            <w:r w:rsidRPr="00C9680B">
              <w:t>k</w:t>
            </w:r>
            <w:r w:rsidRPr="00C9680B">
              <w:t>lass</w:t>
            </w:r>
          </w:p>
        </w:tc>
        <w:tc>
          <w:tcPr>
            <w:tcW w:w="1053" w:type="dxa"/>
          </w:tcPr>
          <w:p w:rsidR="001C7BF9" w:rsidRPr="00C9680B" w:rsidRDefault="001C7BF9">
            <w:pPr>
              <w:pStyle w:val="Lagtext"/>
              <w:jc w:val="left"/>
            </w:pPr>
            <w:r w:rsidRPr="00C9680B">
              <w:rPr>
                <w:i/>
              </w:rPr>
              <w:t>2 388</w:t>
            </w:r>
            <w:r w:rsidRPr="00C9680B">
              <w:t xml:space="preserve"> kr per m</w:t>
            </w:r>
            <w:r w:rsidRPr="00C9680B">
              <w:rPr>
                <w:sz w:val="16"/>
                <w:vertAlign w:val="superscript"/>
              </w:rPr>
              <w:t>3</w:t>
            </w:r>
            <w:r w:rsidRPr="00C9680B">
              <w:t xml:space="preserve"> </w:t>
            </w:r>
          </w:p>
        </w:tc>
        <w:tc>
          <w:tcPr>
            <w:tcW w:w="1053" w:type="dxa"/>
          </w:tcPr>
          <w:p w:rsidR="001C7BF9" w:rsidRPr="00C9680B" w:rsidRDefault="001C7BF9">
            <w:pPr>
              <w:pStyle w:val="Lagtext"/>
              <w:jc w:val="left"/>
            </w:pPr>
            <w:r w:rsidRPr="00C9680B">
              <w:rPr>
                <w:i/>
              </w:rPr>
              <w:t>1 058</w:t>
            </w:r>
            <w:r w:rsidRPr="00C9680B">
              <w:t xml:space="preserve"> kr per m</w:t>
            </w:r>
            <w:r w:rsidRPr="00C9680B">
              <w:rPr>
                <w:sz w:val="16"/>
                <w:vertAlign w:val="superscript"/>
              </w:rPr>
              <w:t>3</w:t>
            </w:r>
          </w:p>
        </w:tc>
        <w:tc>
          <w:tcPr>
            <w:tcW w:w="1053" w:type="dxa"/>
          </w:tcPr>
          <w:p w:rsidR="001C7BF9" w:rsidRPr="00C9680B" w:rsidRDefault="001C7BF9">
            <w:pPr>
              <w:pStyle w:val="Lagtext"/>
              <w:jc w:val="left"/>
            </w:pPr>
            <w:r w:rsidRPr="00C9680B">
              <w:rPr>
                <w:i/>
              </w:rPr>
              <w:t>3 446</w:t>
            </w:r>
            <w:r w:rsidRPr="00C9680B">
              <w:t xml:space="preserve"> kr per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jc w:val="left"/>
            </w:pPr>
            <w:r w:rsidRPr="00C9680B">
              <w:rPr>
                <w:sz w:val="18"/>
              </w:rPr>
              <w:t>4.</w:t>
            </w:r>
          </w:p>
        </w:tc>
        <w:tc>
          <w:tcPr>
            <w:tcW w:w="1204" w:type="dxa"/>
          </w:tcPr>
          <w:p w:rsidR="001C7BF9" w:rsidRPr="00C9680B" w:rsidRDefault="001C7BF9">
            <w:pPr>
              <w:pStyle w:val="Lagtext"/>
              <w:jc w:val="left"/>
            </w:pPr>
            <w:r w:rsidRPr="00C9680B">
              <w:t>ur 2711 12 11–2711 19 00</w:t>
            </w:r>
          </w:p>
        </w:tc>
        <w:tc>
          <w:tcPr>
            <w:tcW w:w="1417" w:type="dxa"/>
          </w:tcPr>
          <w:p w:rsidR="001C7BF9" w:rsidRPr="00C9680B" w:rsidRDefault="001C7BF9">
            <w:pPr>
              <w:pStyle w:val="Lagtext"/>
              <w:jc w:val="left"/>
            </w:pPr>
            <w:r w:rsidRPr="00C9680B">
              <w:t xml:space="preserve">Gasol </w:t>
            </w:r>
          </w:p>
        </w:tc>
        <w:tc>
          <w:tcPr>
            <w:tcW w:w="1053" w:type="dxa"/>
          </w:tcPr>
          <w:p w:rsidR="001C7BF9" w:rsidRPr="00C9680B" w:rsidRDefault="001C7BF9">
            <w:pPr>
              <w:pStyle w:val="Lagtext"/>
              <w:jc w:val="left"/>
            </w:pPr>
            <w:r w:rsidRPr="00C9680B">
              <w:rPr>
                <w:i/>
              </w:rPr>
              <w:t>145</w:t>
            </w:r>
            <w:r w:rsidRPr="00C9680B">
              <w:t xml:space="preserve"> kr per </w:t>
            </w:r>
          </w:p>
          <w:p w:rsidR="001C7BF9" w:rsidRPr="00C9680B" w:rsidRDefault="001C7BF9">
            <w:pPr>
              <w:pStyle w:val="Lagtext"/>
              <w:jc w:val="left"/>
            </w:pPr>
            <w:r w:rsidRPr="00C9680B">
              <w:t>1 000 kg</w:t>
            </w:r>
          </w:p>
        </w:tc>
        <w:tc>
          <w:tcPr>
            <w:tcW w:w="1053" w:type="dxa"/>
          </w:tcPr>
          <w:p w:rsidR="001C7BF9" w:rsidRPr="00C9680B" w:rsidRDefault="001C7BF9">
            <w:pPr>
              <w:pStyle w:val="Lagtext"/>
              <w:jc w:val="left"/>
            </w:pPr>
            <w:r w:rsidRPr="00C9680B">
              <w:rPr>
                <w:i/>
              </w:rPr>
              <w:t>1 112</w:t>
            </w:r>
            <w:r w:rsidRPr="00C9680B">
              <w:t xml:space="preserve"> kr per 1 000 kg</w:t>
            </w:r>
          </w:p>
        </w:tc>
        <w:tc>
          <w:tcPr>
            <w:tcW w:w="1053" w:type="dxa"/>
          </w:tcPr>
          <w:p w:rsidR="001C7BF9" w:rsidRPr="00C9680B" w:rsidRDefault="001C7BF9">
            <w:pPr>
              <w:pStyle w:val="Lagtext"/>
              <w:jc w:val="left"/>
            </w:pPr>
            <w:r w:rsidRPr="00C9680B">
              <w:rPr>
                <w:i/>
              </w:rPr>
              <w:t>1 257</w:t>
            </w:r>
            <w:r w:rsidRPr="00C9680B">
              <w:t xml:space="preserve"> kr per 1 000 kg</w:t>
            </w:r>
          </w:p>
        </w:tc>
      </w:tr>
      <w:tr w:rsidR="00000000" w:rsidRPr="00C9680B">
        <w:tblPrEx>
          <w:tblCellMar>
            <w:top w:w="0" w:type="dxa"/>
            <w:bottom w:w="0" w:type="dxa"/>
          </w:tblCellMar>
        </w:tblPrEx>
        <w:tc>
          <w:tcPr>
            <w:tcW w:w="284" w:type="dxa"/>
          </w:tcPr>
          <w:p w:rsidR="001C7BF9" w:rsidRPr="00C9680B" w:rsidRDefault="001C7BF9">
            <w:pPr>
              <w:pStyle w:val="Lagtext"/>
              <w:jc w:val="left"/>
              <w:rPr>
                <w:sz w:val="18"/>
              </w:rPr>
            </w:pPr>
          </w:p>
        </w:tc>
        <w:tc>
          <w:tcPr>
            <w:tcW w:w="1204" w:type="dxa"/>
          </w:tcPr>
          <w:p w:rsidR="001C7BF9" w:rsidRPr="00C9680B" w:rsidRDefault="001C7BF9">
            <w:pPr>
              <w:pStyle w:val="Lagtext"/>
              <w:jc w:val="left"/>
              <w:rPr>
                <w:sz w:val="18"/>
              </w:rPr>
            </w:pPr>
          </w:p>
        </w:tc>
        <w:tc>
          <w:tcPr>
            <w:tcW w:w="1417"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r>
      <w:tr w:rsidR="00000000" w:rsidRPr="00C9680B">
        <w:tblPrEx>
          <w:tblCellMar>
            <w:top w:w="0" w:type="dxa"/>
            <w:bottom w:w="0" w:type="dxa"/>
          </w:tblCellMar>
        </w:tblPrEx>
        <w:tc>
          <w:tcPr>
            <w:tcW w:w="284" w:type="dxa"/>
          </w:tcPr>
          <w:p w:rsidR="001C7BF9" w:rsidRPr="00C9680B" w:rsidRDefault="001C7BF9">
            <w:pPr>
              <w:pStyle w:val="Lagtext"/>
              <w:jc w:val="left"/>
              <w:rPr>
                <w:sz w:val="18"/>
              </w:rPr>
            </w:pPr>
          </w:p>
        </w:tc>
        <w:tc>
          <w:tcPr>
            <w:tcW w:w="1204" w:type="dxa"/>
          </w:tcPr>
          <w:p w:rsidR="001C7BF9" w:rsidRPr="00C9680B" w:rsidRDefault="001C7BF9">
            <w:pPr>
              <w:pStyle w:val="Lagtext"/>
              <w:jc w:val="left"/>
              <w:rPr>
                <w:sz w:val="18"/>
              </w:rPr>
            </w:pPr>
          </w:p>
        </w:tc>
        <w:tc>
          <w:tcPr>
            <w:tcW w:w="1417"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r>
      <w:tr w:rsidR="00000000" w:rsidRPr="00C9680B">
        <w:tblPrEx>
          <w:tblCellMar>
            <w:top w:w="0" w:type="dxa"/>
            <w:bottom w:w="0" w:type="dxa"/>
          </w:tblCellMar>
        </w:tblPrEx>
        <w:tc>
          <w:tcPr>
            <w:tcW w:w="284" w:type="dxa"/>
          </w:tcPr>
          <w:p w:rsidR="001C7BF9" w:rsidRPr="00C9680B" w:rsidRDefault="001C7BF9">
            <w:pPr>
              <w:pStyle w:val="Lagtext"/>
              <w:jc w:val="left"/>
            </w:pPr>
            <w:r w:rsidRPr="00C9680B">
              <w:rPr>
                <w:sz w:val="18"/>
              </w:rPr>
              <w:t>5.</w:t>
            </w:r>
          </w:p>
        </w:tc>
        <w:tc>
          <w:tcPr>
            <w:tcW w:w="1204" w:type="dxa"/>
          </w:tcPr>
          <w:p w:rsidR="001C7BF9" w:rsidRPr="00C9680B" w:rsidRDefault="001C7BF9">
            <w:pPr>
              <w:pStyle w:val="Lagtext"/>
              <w:jc w:val="left"/>
            </w:pPr>
            <w:r w:rsidRPr="00C9680B">
              <w:t>ur 2711 29 00</w:t>
            </w:r>
          </w:p>
        </w:tc>
        <w:tc>
          <w:tcPr>
            <w:tcW w:w="1417" w:type="dxa"/>
          </w:tcPr>
          <w:p w:rsidR="001C7BF9" w:rsidRPr="00C9680B" w:rsidRDefault="001C7BF9">
            <w:pPr>
              <w:pStyle w:val="Lagtext"/>
              <w:jc w:val="left"/>
            </w:pPr>
            <w:r w:rsidRPr="00C9680B">
              <w:t>Metan</w:t>
            </w:r>
          </w:p>
        </w:tc>
        <w:tc>
          <w:tcPr>
            <w:tcW w:w="1053" w:type="dxa"/>
          </w:tcPr>
          <w:p w:rsidR="001C7BF9" w:rsidRPr="00C9680B" w:rsidRDefault="001C7BF9">
            <w:pPr>
              <w:pStyle w:val="Lagtext"/>
              <w:jc w:val="left"/>
            </w:pPr>
            <w:r w:rsidRPr="00C9680B">
              <w:rPr>
                <w:i/>
              </w:rPr>
              <w:t>241</w:t>
            </w:r>
            <w:r w:rsidRPr="00C9680B">
              <w:t xml:space="preserve"> kr per </w:t>
            </w:r>
          </w:p>
          <w:p w:rsidR="001C7BF9" w:rsidRPr="00C9680B" w:rsidRDefault="001C7BF9">
            <w:pPr>
              <w:pStyle w:val="Lagtext"/>
              <w:jc w:val="left"/>
            </w:pPr>
            <w:r w:rsidRPr="00C9680B">
              <w:t>1 000 m</w:t>
            </w:r>
            <w:r w:rsidRPr="00C9680B">
              <w:rPr>
                <w:sz w:val="16"/>
                <w:vertAlign w:val="superscript"/>
              </w:rPr>
              <w:t>3</w:t>
            </w:r>
          </w:p>
        </w:tc>
        <w:tc>
          <w:tcPr>
            <w:tcW w:w="1053" w:type="dxa"/>
          </w:tcPr>
          <w:p w:rsidR="001C7BF9" w:rsidRPr="00C9680B" w:rsidRDefault="001C7BF9">
            <w:pPr>
              <w:pStyle w:val="Lagtext"/>
              <w:jc w:val="left"/>
            </w:pPr>
            <w:r w:rsidRPr="00C9680B">
              <w:rPr>
                <w:i/>
              </w:rPr>
              <w:t>792</w:t>
            </w:r>
            <w:r w:rsidRPr="00C9680B">
              <w:t xml:space="preserve"> kr per </w:t>
            </w:r>
          </w:p>
          <w:p w:rsidR="001C7BF9" w:rsidRPr="00C9680B" w:rsidRDefault="001C7BF9">
            <w:pPr>
              <w:pStyle w:val="Lagtext"/>
              <w:jc w:val="left"/>
            </w:pPr>
            <w:r w:rsidRPr="00C9680B">
              <w:t>1 000 m</w:t>
            </w:r>
            <w:r w:rsidRPr="00C9680B">
              <w:rPr>
                <w:sz w:val="16"/>
                <w:vertAlign w:val="superscript"/>
              </w:rPr>
              <w:t>3</w:t>
            </w:r>
          </w:p>
        </w:tc>
        <w:tc>
          <w:tcPr>
            <w:tcW w:w="1053" w:type="dxa"/>
          </w:tcPr>
          <w:p w:rsidR="001C7BF9" w:rsidRPr="00C9680B" w:rsidRDefault="001C7BF9">
            <w:pPr>
              <w:pStyle w:val="Lagtext"/>
              <w:jc w:val="left"/>
            </w:pPr>
            <w:r w:rsidRPr="00C9680B">
              <w:rPr>
                <w:i/>
              </w:rPr>
              <w:t>1 033</w:t>
            </w:r>
            <w:r w:rsidRPr="00C9680B">
              <w:t xml:space="preserve"> kr per 1 000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jc w:val="left"/>
            </w:pPr>
            <w:r w:rsidRPr="00C9680B">
              <w:rPr>
                <w:sz w:val="18"/>
              </w:rPr>
              <w:t>6.</w:t>
            </w:r>
          </w:p>
        </w:tc>
        <w:tc>
          <w:tcPr>
            <w:tcW w:w="1204" w:type="dxa"/>
          </w:tcPr>
          <w:p w:rsidR="001C7BF9" w:rsidRPr="00C9680B" w:rsidRDefault="001C7BF9">
            <w:pPr>
              <w:pStyle w:val="Lagtext"/>
              <w:jc w:val="left"/>
            </w:pPr>
            <w:r w:rsidRPr="00C9680B">
              <w:t>2711 11 00, 2711 21 00</w:t>
            </w:r>
          </w:p>
        </w:tc>
        <w:tc>
          <w:tcPr>
            <w:tcW w:w="1417" w:type="dxa"/>
          </w:tcPr>
          <w:p w:rsidR="001C7BF9" w:rsidRPr="00C9680B" w:rsidRDefault="001C7BF9">
            <w:pPr>
              <w:pStyle w:val="Lagtext"/>
              <w:jc w:val="left"/>
            </w:pPr>
            <w:r w:rsidRPr="00C9680B">
              <w:t xml:space="preserve">Naturgas </w:t>
            </w:r>
          </w:p>
        </w:tc>
        <w:tc>
          <w:tcPr>
            <w:tcW w:w="1053" w:type="dxa"/>
          </w:tcPr>
          <w:p w:rsidR="001C7BF9" w:rsidRPr="00C9680B" w:rsidRDefault="001C7BF9">
            <w:pPr>
              <w:pStyle w:val="Lagtext"/>
              <w:jc w:val="left"/>
            </w:pPr>
            <w:r w:rsidRPr="00C9680B">
              <w:rPr>
                <w:i/>
              </w:rPr>
              <w:t>241</w:t>
            </w:r>
            <w:r w:rsidRPr="00C9680B">
              <w:t xml:space="preserve"> kr per </w:t>
            </w:r>
          </w:p>
          <w:p w:rsidR="001C7BF9" w:rsidRPr="00C9680B" w:rsidRDefault="001C7BF9">
            <w:pPr>
              <w:pStyle w:val="Lagtext"/>
              <w:jc w:val="left"/>
            </w:pPr>
            <w:r w:rsidRPr="00C9680B">
              <w:t>1 000 m</w:t>
            </w:r>
            <w:r w:rsidRPr="00C9680B">
              <w:rPr>
                <w:sz w:val="16"/>
                <w:vertAlign w:val="superscript"/>
              </w:rPr>
              <w:t>3</w:t>
            </w:r>
          </w:p>
        </w:tc>
        <w:tc>
          <w:tcPr>
            <w:tcW w:w="1053" w:type="dxa"/>
          </w:tcPr>
          <w:p w:rsidR="001C7BF9" w:rsidRPr="00C9680B" w:rsidRDefault="001C7BF9">
            <w:pPr>
              <w:pStyle w:val="Lagtext"/>
              <w:jc w:val="left"/>
            </w:pPr>
            <w:r w:rsidRPr="00C9680B">
              <w:rPr>
                <w:i/>
              </w:rPr>
              <w:t>792</w:t>
            </w:r>
            <w:r w:rsidRPr="00C9680B">
              <w:t xml:space="preserve"> kr per </w:t>
            </w:r>
          </w:p>
          <w:p w:rsidR="001C7BF9" w:rsidRPr="00C9680B" w:rsidRDefault="001C7BF9">
            <w:pPr>
              <w:pStyle w:val="Lagtext"/>
              <w:jc w:val="left"/>
            </w:pPr>
            <w:r w:rsidRPr="00C9680B">
              <w:t>1 000 m</w:t>
            </w:r>
            <w:r w:rsidRPr="00C9680B">
              <w:rPr>
                <w:sz w:val="16"/>
                <w:vertAlign w:val="superscript"/>
              </w:rPr>
              <w:t>3</w:t>
            </w:r>
          </w:p>
        </w:tc>
        <w:tc>
          <w:tcPr>
            <w:tcW w:w="1053" w:type="dxa"/>
          </w:tcPr>
          <w:p w:rsidR="001C7BF9" w:rsidRPr="00C9680B" w:rsidRDefault="001C7BF9">
            <w:pPr>
              <w:pStyle w:val="Lagtext"/>
              <w:jc w:val="left"/>
            </w:pPr>
            <w:r w:rsidRPr="00C9680B">
              <w:rPr>
                <w:i/>
              </w:rPr>
              <w:t>1 033</w:t>
            </w:r>
            <w:r w:rsidRPr="00C9680B">
              <w:t xml:space="preserve"> kr per 1 000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jc w:val="left"/>
            </w:pPr>
            <w:r w:rsidRPr="00C9680B">
              <w:rPr>
                <w:sz w:val="18"/>
              </w:rPr>
              <w:t>7.</w:t>
            </w:r>
          </w:p>
        </w:tc>
        <w:tc>
          <w:tcPr>
            <w:tcW w:w="1204" w:type="dxa"/>
          </w:tcPr>
          <w:p w:rsidR="001C7BF9" w:rsidRPr="00C9680B" w:rsidRDefault="001C7BF9">
            <w:pPr>
              <w:pStyle w:val="Lagtext"/>
              <w:jc w:val="left"/>
            </w:pPr>
            <w:r w:rsidRPr="00C9680B">
              <w:t>2701, 2702 eller 2704</w:t>
            </w:r>
          </w:p>
        </w:tc>
        <w:tc>
          <w:tcPr>
            <w:tcW w:w="1417" w:type="dxa"/>
          </w:tcPr>
          <w:p w:rsidR="001C7BF9" w:rsidRPr="00C9680B" w:rsidRDefault="001C7BF9">
            <w:pPr>
              <w:pStyle w:val="Lagtext"/>
              <w:jc w:val="left"/>
            </w:pPr>
            <w:r w:rsidRPr="00C9680B">
              <w:t>Kolbränslen</w:t>
            </w:r>
          </w:p>
        </w:tc>
        <w:tc>
          <w:tcPr>
            <w:tcW w:w="1053" w:type="dxa"/>
          </w:tcPr>
          <w:p w:rsidR="001C7BF9" w:rsidRPr="00C9680B" w:rsidRDefault="001C7BF9">
            <w:pPr>
              <w:pStyle w:val="Lagtext"/>
              <w:jc w:val="left"/>
            </w:pPr>
            <w:r w:rsidRPr="00C9680B">
              <w:rPr>
                <w:i/>
              </w:rPr>
              <w:t>316</w:t>
            </w:r>
            <w:r w:rsidRPr="00C9680B">
              <w:t xml:space="preserve"> kr per</w:t>
            </w:r>
          </w:p>
          <w:p w:rsidR="001C7BF9" w:rsidRPr="00C9680B" w:rsidRDefault="001C7BF9">
            <w:pPr>
              <w:pStyle w:val="Lagtext"/>
              <w:jc w:val="left"/>
            </w:pPr>
            <w:r w:rsidRPr="00C9680B">
              <w:t>1 000 kg</w:t>
            </w:r>
          </w:p>
        </w:tc>
        <w:tc>
          <w:tcPr>
            <w:tcW w:w="1053" w:type="dxa"/>
          </w:tcPr>
          <w:p w:rsidR="001C7BF9" w:rsidRPr="00C9680B" w:rsidRDefault="001C7BF9">
            <w:pPr>
              <w:pStyle w:val="Lagtext"/>
              <w:jc w:val="left"/>
            </w:pPr>
            <w:r w:rsidRPr="00C9680B">
              <w:rPr>
                <w:i/>
              </w:rPr>
              <w:t>920</w:t>
            </w:r>
            <w:r w:rsidRPr="00C9680B">
              <w:t xml:space="preserve"> kr per</w:t>
            </w:r>
          </w:p>
          <w:p w:rsidR="001C7BF9" w:rsidRPr="00C9680B" w:rsidRDefault="001C7BF9">
            <w:pPr>
              <w:pStyle w:val="Lagtext"/>
              <w:jc w:val="left"/>
            </w:pPr>
            <w:r w:rsidRPr="00C9680B">
              <w:t>1 000 kg</w:t>
            </w:r>
          </w:p>
        </w:tc>
        <w:tc>
          <w:tcPr>
            <w:tcW w:w="1053" w:type="dxa"/>
          </w:tcPr>
          <w:p w:rsidR="001C7BF9" w:rsidRPr="00C9680B" w:rsidRDefault="001C7BF9">
            <w:pPr>
              <w:pStyle w:val="Lagtext"/>
              <w:jc w:val="left"/>
            </w:pPr>
            <w:r w:rsidRPr="00C9680B">
              <w:rPr>
                <w:i/>
              </w:rPr>
              <w:t>1 236</w:t>
            </w:r>
            <w:r w:rsidRPr="00C9680B">
              <w:t xml:space="preserve"> kr per 1 000 kg</w:t>
            </w:r>
          </w:p>
        </w:tc>
      </w:tr>
      <w:tr w:rsidR="00000000" w:rsidRPr="00C9680B">
        <w:tblPrEx>
          <w:tblCellMar>
            <w:top w:w="0" w:type="dxa"/>
            <w:bottom w:w="0" w:type="dxa"/>
          </w:tblCellMar>
        </w:tblPrEx>
        <w:tc>
          <w:tcPr>
            <w:tcW w:w="284" w:type="dxa"/>
            <w:tcBorders>
              <w:bottom w:val="single" w:sz="6" w:space="0" w:color="auto"/>
            </w:tcBorders>
          </w:tcPr>
          <w:p w:rsidR="001C7BF9" w:rsidRPr="00C9680B" w:rsidRDefault="001C7BF9">
            <w:pPr>
              <w:pStyle w:val="Lagtext"/>
              <w:jc w:val="left"/>
            </w:pPr>
            <w:r w:rsidRPr="00C9680B">
              <w:rPr>
                <w:sz w:val="18"/>
              </w:rPr>
              <w:t>8.</w:t>
            </w:r>
          </w:p>
        </w:tc>
        <w:tc>
          <w:tcPr>
            <w:tcW w:w="1204" w:type="dxa"/>
            <w:tcBorders>
              <w:bottom w:val="single" w:sz="6" w:space="0" w:color="auto"/>
            </w:tcBorders>
          </w:tcPr>
          <w:p w:rsidR="001C7BF9" w:rsidRPr="00C9680B" w:rsidRDefault="001C7BF9">
            <w:pPr>
              <w:pStyle w:val="Lagtext"/>
              <w:jc w:val="left"/>
            </w:pPr>
            <w:r w:rsidRPr="00C9680B">
              <w:t>2713 11 00–2713 12 00</w:t>
            </w:r>
          </w:p>
        </w:tc>
        <w:tc>
          <w:tcPr>
            <w:tcW w:w="1417" w:type="dxa"/>
            <w:tcBorders>
              <w:bottom w:val="single" w:sz="6" w:space="0" w:color="auto"/>
            </w:tcBorders>
          </w:tcPr>
          <w:p w:rsidR="001C7BF9" w:rsidRPr="00C9680B" w:rsidRDefault="001C7BF9">
            <w:pPr>
              <w:pStyle w:val="Lagtext"/>
              <w:jc w:val="left"/>
            </w:pPr>
            <w:r w:rsidRPr="00C9680B">
              <w:t>Petroleu</w:t>
            </w:r>
            <w:r w:rsidRPr="00C9680B">
              <w:t>m</w:t>
            </w:r>
            <w:r w:rsidRPr="00C9680B">
              <w:t>koks</w:t>
            </w:r>
          </w:p>
        </w:tc>
        <w:tc>
          <w:tcPr>
            <w:tcW w:w="1053" w:type="dxa"/>
            <w:tcBorders>
              <w:bottom w:val="single" w:sz="6" w:space="0" w:color="auto"/>
            </w:tcBorders>
          </w:tcPr>
          <w:p w:rsidR="001C7BF9" w:rsidRPr="00C9680B" w:rsidRDefault="001C7BF9">
            <w:pPr>
              <w:pStyle w:val="Lagtext"/>
              <w:jc w:val="left"/>
            </w:pPr>
            <w:r w:rsidRPr="00C9680B">
              <w:rPr>
                <w:i/>
              </w:rPr>
              <w:t>316</w:t>
            </w:r>
            <w:r w:rsidRPr="00C9680B">
              <w:t xml:space="preserve"> kr per</w:t>
            </w:r>
          </w:p>
          <w:p w:rsidR="001C7BF9" w:rsidRPr="00C9680B" w:rsidRDefault="001C7BF9">
            <w:pPr>
              <w:pStyle w:val="Lagtext"/>
              <w:jc w:val="left"/>
            </w:pPr>
            <w:r w:rsidRPr="00C9680B">
              <w:t>1 000 kg</w:t>
            </w:r>
          </w:p>
        </w:tc>
        <w:tc>
          <w:tcPr>
            <w:tcW w:w="1053" w:type="dxa"/>
            <w:tcBorders>
              <w:bottom w:val="single" w:sz="6" w:space="0" w:color="auto"/>
            </w:tcBorders>
          </w:tcPr>
          <w:p w:rsidR="001C7BF9" w:rsidRPr="00C9680B" w:rsidRDefault="001C7BF9">
            <w:pPr>
              <w:pStyle w:val="Lagtext"/>
              <w:jc w:val="left"/>
            </w:pPr>
            <w:r w:rsidRPr="00C9680B">
              <w:rPr>
                <w:i/>
              </w:rPr>
              <w:t>920</w:t>
            </w:r>
            <w:r w:rsidRPr="00C9680B">
              <w:t xml:space="preserve"> kr per</w:t>
            </w:r>
          </w:p>
          <w:p w:rsidR="001C7BF9" w:rsidRPr="00C9680B" w:rsidRDefault="001C7BF9">
            <w:pPr>
              <w:pStyle w:val="Lagtext"/>
              <w:jc w:val="left"/>
            </w:pPr>
            <w:r w:rsidRPr="00C9680B">
              <w:t>1 000 kg</w:t>
            </w:r>
          </w:p>
        </w:tc>
        <w:tc>
          <w:tcPr>
            <w:tcW w:w="1053" w:type="dxa"/>
            <w:tcBorders>
              <w:bottom w:val="single" w:sz="6" w:space="0" w:color="auto"/>
            </w:tcBorders>
          </w:tcPr>
          <w:p w:rsidR="001C7BF9" w:rsidRPr="00C9680B" w:rsidRDefault="001C7BF9">
            <w:pPr>
              <w:pStyle w:val="Lagtext"/>
              <w:jc w:val="left"/>
            </w:pPr>
            <w:r w:rsidRPr="00C9680B">
              <w:rPr>
                <w:i/>
              </w:rPr>
              <w:t>1 236</w:t>
            </w:r>
            <w:r w:rsidRPr="00C9680B">
              <w:t xml:space="preserve"> kr per 1 000 kg</w:t>
            </w:r>
          </w:p>
        </w:tc>
      </w:tr>
    </w:tbl>
    <w:p w:rsidR="001C7BF9" w:rsidRPr="00C9680B" w:rsidRDefault="001C7BF9">
      <w:pPr>
        <w:pStyle w:val="LagtextIndrag"/>
      </w:pPr>
    </w:p>
    <w:p w:rsidR="001C7BF9" w:rsidRPr="00C9680B" w:rsidRDefault="001C7BF9">
      <w:pPr>
        <w:pStyle w:val="Lagtext"/>
      </w:pPr>
    </w:p>
    <w:p w:rsidR="001C7BF9" w:rsidRPr="00C9680B" w:rsidRDefault="001C7BF9">
      <w:pPr>
        <w:pStyle w:val="LagRubrik2"/>
        <w:outlineLvl w:val="0"/>
        <w:rPr>
          <w:sz w:val="19"/>
        </w:rPr>
      </w:pPr>
      <w:r w:rsidRPr="00C9680B">
        <w:rPr>
          <w:sz w:val="19"/>
        </w:rPr>
        <w:t>Föreslagen lydelse</w:t>
      </w:r>
    </w:p>
    <w:p w:rsidR="001C7BF9" w:rsidRPr="00C9680B" w:rsidRDefault="001C7BF9">
      <w:pPr>
        <w:pStyle w:val="Lagtext"/>
      </w:pPr>
    </w:p>
    <w:p w:rsidR="001C7BF9" w:rsidRPr="00C9680B" w:rsidRDefault="001C7BF9">
      <w:pPr>
        <w:pStyle w:val="LagtextIndrag"/>
      </w:pPr>
      <w:r w:rsidRPr="00C9680B">
        <w:t>Energiskatt och koldioxidskatt skall, om inte annat följer av andra stycket, b</w:t>
      </w:r>
      <w:r w:rsidRPr="00C9680B">
        <w:t>e</w:t>
      </w:r>
      <w:r w:rsidRPr="00C9680B">
        <w:t>talas för följande bränslen med angivna belopp:</w:t>
      </w:r>
    </w:p>
    <w:p w:rsidR="001C7BF9" w:rsidRPr="00C9680B" w:rsidRDefault="001C7BF9">
      <w:pPr>
        <w:pStyle w:val="LagtextIndrag"/>
      </w:pPr>
    </w:p>
    <w:tbl>
      <w:tblPr>
        <w:tblW w:w="0" w:type="auto"/>
        <w:tblInd w:w="-142" w:type="dxa"/>
        <w:tblLayout w:type="fixed"/>
        <w:tblCellMar>
          <w:left w:w="70" w:type="dxa"/>
          <w:right w:w="70" w:type="dxa"/>
        </w:tblCellMar>
        <w:tblLook w:val="0000" w:firstRow="0" w:lastRow="0" w:firstColumn="0" w:lastColumn="0" w:noHBand="0" w:noVBand="0"/>
      </w:tblPr>
      <w:tblGrid>
        <w:gridCol w:w="284"/>
        <w:gridCol w:w="1276"/>
        <w:gridCol w:w="1417"/>
        <w:gridCol w:w="1053"/>
        <w:gridCol w:w="1053"/>
        <w:gridCol w:w="1053"/>
      </w:tblGrid>
      <w:tr w:rsidR="00000000" w:rsidRPr="00C9680B">
        <w:tblPrEx>
          <w:tblCellMar>
            <w:top w:w="0" w:type="dxa"/>
            <w:bottom w:w="0" w:type="dxa"/>
          </w:tblCellMar>
        </w:tblPrEx>
        <w:trPr>
          <w:cantSplit/>
        </w:trPr>
        <w:tc>
          <w:tcPr>
            <w:tcW w:w="284" w:type="dxa"/>
            <w:tcBorders>
              <w:top w:val="single" w:sz="6" w:space="0" w:color="auto"/>
            </w:tcBorders>
          </w:tcPr>
          <w:p w:rsidR="001C7BF9" w:rsidRPr="00C9680B" w:rsidRDefault="001C7BF9">
            <w:pPr>
              <w:pStyle w:val="Lagtext"/>
            </w:pPr>
          </w:p>
        </w:tc>
        <w:tc>
          <w:tcPr>
            <w:tcW w:w="1276" w:type="dxa"/>
            <w:tcBorders>
              <w:top w:val="single" w:sz="6" w:space="0" w:color="auto"/>
            </w:tcBorders>
          </w:tcPr>
          <w:p w:rsidR="001C7BF9" w:rsidRPr="00C9680B" w:rsidRDefault="001C7BF9">
            <w:pPr>
              <w:pStyle w:val="Lagtext"/>
              <w:jc w:val="left"/>
            </w:pPr>
            <w:r w:rsidRPr="00C9680B">
              <w:t>KN-nr</w:t>
            </w:r>
          </w:p>
        </w:tc>
        <w:tc>
          <w:tcPr>
            <w:tcW w:w="1417" w:type="dxa"/>
            <w:tcBorders>
              <w:top w:val="single" w:sz="6" w:space="0" w:color="auto"/>
            </w:tcBorders>
          </w:tcPr>
          <w:p w:rsidR="001C7BF9" w:rsidRPr="00C9680B" w:rsidRDefault="001C7BF9">
            <w:pPr>
              <w:pStyle w:val="Lagtext"/>
              <w:jc w:val="left"/>
            </w:pPr>
            <w:r w:rsidRPr="00C9680B">
              <w:t>Slag av bränsle</w:t>
            </w:r>
          </w:p>
        </w:tc>
        <w:tc>
          <w:tcPr>
            <w:tcW w:w="2106" w:type="dxa"/>
            <w:gridSpan w:val="2"/>
            <w:tcBorders>
              <w:top w:val="single" w:sz="6" w:space="0" w:color="auto"/>
            </w:tcBorders>
          </w:tcPr>
          <w:p w:rsidR="001C7BF9" w:rsidRPr="00C9680B" w:rsidRDefault="001C7BF9">
            <w:pPr>
              <w:pStyle w:val="Lagtext"/>
              <w:jc w:val="left"/>
            </w:pPr>
            <w:r w:rsidRPr="00C9680B">
              <w:t>Skatte</w:t>
            </w:r>
            <w:r w:rsidRPr="00C9680B">
              <w:softHyphen/>
              <w:t>b</w:t>
            </w:r>
            <w:r w:rsidRPr="00C9680B">
              <w:t>e</w:t>
            </w:r>
            <w:r w:rsidRPr="00C9680B">
              <w:t>lopp</w:t>
            </w:r>
          </w:p>
        </w:tc>
        <w:tc>
          <w:tcPr>
            <w:tcW w:w="1053" w:type="dxa"/>
            <w:tcBorders>
              <w:top w:val="single" w:sz="6" w:space="0" w:color="auto"/>
            </w:tcBorders>
          </w:tcPr>
          <w:p w:rsidR="001C7BF9" w:rsidRPr="00C9680B" w:rsidRDefault="001C7BF9">
            <w:pPr>
              <w:pStyle w:val="Lagtext"/>
              <w:jc w:val="left"/>
            </w:pPr>
          </w:p>
        </w:tc>
      </w:tr>
      <w:tr w:rsidR="00000000" w:rsidRPr="00C9680B">
        <w:tblPrEx>
          <w:tblCellMar>
            <w:top w:w="0" w:type="dxa"/>
            <w:bottom w:w="0" w:type="dxa"/>
          </w:tblCellMar>
        </w:tblPrEx>
        <w:tc>
          <w:tcPr>
            <w:tcW w:w="284" w:type="dxa"/>
            <w:tcBorders>
              <w:bottom w:val="single" w:sz="6" w:space="0" w:color="auto"/>
            </w:tcBorders>
          </w:tcPr>
          <w:p w:rsidR="001C7BF9" w:rsidRPr="00C9680B" w:rsidRDefault="001C7BF9">
            <w:pPr>
              <w:pStyle w:val="Lagtext"/>
            </w:pPr>
          </w:p>
        </w:tc>
        <w:tc>
          <w:tcPr>
            <w:tcW w:w="1276" w:type="dxa"/>
            <w:tcBorders>
              <w:bottom w:val="single" w:sz="6" w:space="0" w:color="auto"/>
            </w:tcBorders>
          </w:tcPr>
          <w:p w:rsidR="001C7BF9" w:rsidRPr="00C9680B" w:rsidRDefault="001C7BF9">
            <w:pPr>
              <w:pStyle w:val="Lagtext"/>
              <w:jc w:val="left"/>
            </w:pPr>
          </w:p>
        </w:tc>
        <w:tc>
          <w:tcPr>
            <w:tcW w:w="1417" w:type="dxa"/>
            <w:tcBorders>
              <w:bottom w:val="single" w:sz="6" w:space="0" w:color="auto"/>
            </w:tcBorders>
          </w:tcPr>
          <w:p w:rsidR="001C7BF9" w:rsidRPr="00C9680B" w:rsidRDefault="001C7BF9">
            <w:pPr>
              <w:pStyle w:val="Lagtext"/>
              <w:jc w:val="left"/>
            </w:pPr>
          </w:p>
        </w:tc>
        <w:tc>
          <w:tcPr>
            <w:tcW w:w="1053" w:type="dxa"/>
            <w:tcBorders>
              <w:top w:val="single" w:sz="6" w:space="0" w:color="auto"/>
              <w:bottom w:val="single" w:sz="6" w:space="0" w:color="auto"/>
            </w:tcBorders>
          </w:tcPr>
          <w:p w:rsidR="001C7BF9" w:rsidRPr="00C9680B" w:rsidRDefault="001C7BF9">
            <w:pPr>
              <w:pStyle w:val="Lagtext"/>
              <w:jc w:val="left"/>
            </w:pPr>
            <w:r w:rsidRPr="00C9680B">
              <w:t>Energi</w:t>
            </w:r>
            <w:r w:rsidRPr="00C9680B">
              <w:t>s</w:t>
            </w:r>
            <w:r w:rsidRPr="00C9680B">
              <w:t>katt</w:t>
            </w:r>
          </w:p>
        </w:tc>
        <w:tc>
          <w:tcPr>
            <w:tcW w:w="1053" w:type="dxa"/>
            <w:tcBorders>
              <w:top w:val="single" w:sz="6" w:space="0" w:color="auto"/>
              <w:bottom w:val="single" w:sz="6" w:space="0" w:color="auto"/>
            </w:tcBorders>
          </w:tcPr>
          <w:p w:rsidR="001C7BF9" w:rsidRPr="00C9680B" w:rsidRDefault="001C7BF9">
            <w:pPr>
              <w:pStyle w:val="Lagtext"/>
              <w:jc w:val="left"/>
            </w:pPr>
            <w:r w:rsidRPr="00C9680B">
              <w:t>Koldio</w:t>
            </w:r>
            <w:r w:rsidRPr="00C9680B">
              <w:t>x</w:t>
            </w:r>
            <w:r w:rsidRPr="00C9680B">
              <w:t>id</w:t>
            </w:r>
            <w:r w:rsidRPr="00C9680B">
              <w:softHyphen/>
              <w:t>skatt</w:t>
            </w:r>
          </w:p>
        </w:tc>
        <w:tc>
          <w:tcPr>
            <w:tcW w:w="1053" w:type="dxa"/>
            <w:tcBorders>
              <w:top w:val="single" w:sz="6" w:space="0" w:color="auto"/>
              <w:bottom w:val="single" w:sz="6" w:space="0" w:color="auto"/>
            </w:tcBorders>
          </w:tcPr>
          <w:p w:rsidR="001C7BF9" w:rsidRPr="00C9680B" w:rsidRDefault="001C7BF9">
            <w:pPr>
              <w:pStyle w:val="Lagtext"/>
              <w:jc w:val="left"/>
            </w:pPr>
            <w:r w:rsidRPr="00C9680B">
              <w:t>Summa skatt</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1.</w:t>
            </w:r>
          </w:p>
        </w:tc>
        <w:tc>
          <w:tcPr>
            <w:tcW w:w="1276" w:type="dxa"/>
          </w:tcPr>
          <w:p w:rsidR="001C7BF9" w:rsidRPr="00C9680B" w:rsidRDefault="001C7BF9">
            <w:pPr>
              <w:pStyle w:val="Lagtext"/>
              <w:jc w:val="left"/>
            </w:pPr>
            <w:r w:rsidRPr="00C9680B">
              <w:t>2710 00 26,</w:t>
            </w:r>
          </w:p>
          <w:p w:rsidR="001C7BF9" w:rsidRPr="00C9680B" w:rsidRDefault="001C7BF9">
            <w:pPr>
              <w:pStyle w:val="Lagtext"/>
              <w:jc w:val="left"/>
            </w:pPr>
            <w:r w:rsidRPr="00C9680B">
              <w:t>2710 00 27,</w:t>
            </w:r>
          </w:p>
          <w:p w:rsidR="001C7BF9" w:rsidRPr="00C9680B" w:rsidRDefault="001C7BF9">
            <w:pPr>
              <w:pStyle w:val="Lagtext"/>
              <w:jc w:val="left"/>
            </w:pPr>
            <w:r w:rsidRPr="00C9680B">
              <w:t>2710 00 29</w:t>
            </w:r>
          </w:p>
          <w:p w:rsidR="001C7BF9" w:rsidRPr="00C9680B" w:rsidRDefault="001C7BF9">
            <w:pPr>
              <w:pStyle w:val="Lagtext"/>
              <w:jc w:val="left"/>
            </w:pPr>
            <w:r w:rsidRPr="00C9680B">
              <w:t>eller</w:t>
            </w:r>
          </w:p>
          <w:p w:rsidR="001C7BF9" w:rsidRPr="00C9680B" w:rsidRDefault="001C7BF9">
            <w:pPr>
              <w:pStyle w:val="Lagtext"/>
              <w:jc w:val="left"/>
            </w:pPr>
            <w:r w:rsidRPr="00C9680B">
              <w:t>2710 00 32</w:t>
            </w:r>
          </w:p>
        </w:tc>
        <w:tc>
          <w:tcPr>
            <w:tcW w:w="1417" w:type="dxa"/>
          </w:tcPr>
          <w:p w:rsidR="001C7BF9" w:rsidRPr="00C9680B" w:rsidRDefault="001C7BF9">
            <w:pPr>
              <w:pStyle w:val="Lagtext"/>
              <w:jc w:val="left"/>
            </w:pPr>
            <w:r w:rsidRPr="00C9680B">
              <w:t>Bensin som uppfyller krav för</w:t>
            </w: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r>
      <w:tr w:rsidR="00000000" w:rsidRPr="00C9680B">
        <w:tblPrEx>
          <w:tblCellMar>
            <w:top w:w="0" w:type="dxa"/>
            <w:bottom w:w="0" w:type="dxa"/>
          </w:tblCellMar>
        </w:tblPrEx>
        <w:tc>
          <w:tcPr>
            <w:tcW w:w="284" w:type="dxa"/>
          </w:tcPr>
          <w:p w:rsidR="001C7BF9" w:rsidRPr="00C9680B" w:rsidRDefault="001C7BF9">
            <w:pPr>
              <w:pStyle w:val="Lagtext"/>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a) miljöklass 1</w:t>
            </w:r>
          </w:p>
        </w:tc>
        <w:tc>
          <w:tcPr>
            <w:tcW w:w="1053" w:type="dxa"/>
          </w:tcPr>
          <w:p w:rsidR="001C7BF9" w:rsidRPr="00C9680B" w:rsidRDefault="001C7BF9">
            <w:pPr>
              <w:pStyle w:val="Lagtext"/>
              <w:jc w:val="left"/>
            </w:pPr>
            <w:r w:rsidRPr="00C9680B">
              <w:rPr>
                <w:i/>
              </w:rPr>
              <w:t>3</w:t>
            </w:r>
            <w:r w:rsidRPr="00C9680B">
              <w:t xml:space="preserve"> kr </w:t>
            </w:r>
            <w:r w:rsidRPr="00C9680B">
              <w:rPr>
                <w:i/>
              </w:rPr>
              <w:t>26</w:t>
            </w:r>
            <w:r w:rsidRPr="00C9680B">
              <w:t xml:space="preserve"> öre per liter</w:t>
            </w:r>
          </w:p>
        </w:tc>
        <w:tc>
          <w:tcPr>
            <w:tcW w:w="1053" w:type="dxa"/>
          </w:tcPr>
          <w:p w:rsidR="001C7BF9" w:rsidRPr="00C9680B" w:rsidRDefault="001C7BF9">
            <w:pPr>
              <w:pStyle w:val="Lagtext"/>
              <w:jc w:val="left"/>
            </w:pPr>
            <w:r w:rsidRPr="00C9680B">
              <w:rPr>
                <w:i/>
              </w:rPr>
              <w:t xml:space="preserve">1 </w:t>
            </w:r>
            <w:r w:rsidRPr="00C9680B">
              <w:t>kr</w:t>
            </w:r>
            <w:r w:rsidRPr="00C9680B">
              <w:rPr>
                <w:i/>
              </w:rPr>
              <w:t xml:space="preserve"> 24</w:t>
            </w:r>
            <w:r w:rsidRPr="00C9680B">
              <w:t xml:space="preserve"> öre per liter</w:t>
            </w:r>
          </w:p>
        </w:tc>
        <w:tc>
          <w:tcPr>
            <w:tcW w:w="1053" w:type="dxa"/>
          </w:tcPr>
          <w:p w:rsidR="001C7BF9" w:rsidRPr="00C9680B" w:rsidRDefault="001C7BF9">
            <w:pPr>
              <w:pStyle w:val="Lagtext"/>
              <w:jc w:val="left"/>
            </w:pPr>
            <w:r w:rsidRPr="00C9680B">
              <w:rPr>
                <w:i/>
              </w:rPr>
              <w:t>4</w:t>
            </w:r>
            <w:r w:rsidRPr="00C9680B">
              <w:t xml:space="preserve"> kr </w:t>
            </w:r>
            <w:r w:rsidRPr="00C9680B">
              <w:rPr>
                <w:i/>
              </w:rPr>
              <w:t>50</w:t>
            </w:r>
            <w:r w:rsidRPr="00C9680B">
              <w:t xml:space="preserve"> öre per liter</w:t>
            </w:r>
          </w:p>
        </w:tc>
      </w:tr>
      <w:tr w:rsidR="00000000" w:rsidRPr="00C9680B">
        <w:tblPrEx>
          <w:tblCellMar>
            <w:top w:w="0" w:type="dxa"/>
            <w:bottom w:w="0" w:type="dxa"/>
          </w:tblCellMar>
        </w:tblPrEx>
        <w:tc>
          <w:tcPr>
            <w:tcW w:w="284" w:type="dxa"/>
          </w:tcPr>
          <w:p w:rsidR="001C7BF9" w:rsidRPr="00C9680B" w:rsidRDefault="001C7BF9">
            <w:pPr>
              <w:pStyle w:val="Lagtext"/>
              <w:rPr>
                <w:sz w:val="18"/>
              </w:rPr>
            </w:pPr>
          </w:p>
        </w:tc>
        <w:tc>
          <w:tcPr>
            <w:tcW w:w="1276" w:type="dxa"/>
          </w:tcPr>
          <w:p w:rsidR="001C7BF9" w:rsidRPr="00C9680B" w:rsidRDefault="001C7BF9">
            <w:pPr>
              <w:pStyle w:val="Lagtext"/>
              <w:jc w:val="left"/>
              <w:rPr>
                <w:sz w:val="18"/>
              </w:rPr>
            </w:pPr>
          </w:p>
        </w:tc>
        <w:tc>
          <w:tcPr>
            <w:tcW w:w="1417" w:type="dxa"/>
          </w:tcPr>
          <w:p w:rsidR="001C7BF9" w:rsidRPr="00C9680B" w:rsidRDefault="001C7BF9">
            <w:pPr>
              <w:pStyle w:val="Lagtext"/>
              <w:jc w:val="left"/>
            </w:pPr>
            <w:r w:rsidRPr="00C9680B">
              <w:rPr>
                <w:sz w:val="18"/>
              </w:rPr>
              <w:t>b) miljöklass 2</w:t>
            </w:r>
          </w:p>
          <w:p w:rsidR="001C7BF9" w:rsidRPr="00C9680B" w:rsidRDefault="001C7BF9">
            <w:pPr>
              <w:pStyle w:val="Lagtext"/>
              <w:jc w:val="left"/>
              <w:rPr>
                <w:sz w:val="18"/>
              </w:rPr>
            </w:pPr>
          </w:p>
        </w:tc>
        <w:tc>
          <w:tcPr>
            <w:tcW w:w="1053" w:type="dxa"/>
          </w:tcPr>
          <w:p w:rsidR="001C7BF9" w:rsidRPr="00C9680B" w:rsidRDefault="001C7BF9">
            <w:pPr>
              <w:pStyle w:val="Lagtext"/>
              <w:jc w:val="left"/>
            </w:pPr>
            <w:r w:rsidRPr="00C9680B">
              <w:rPr>
                <w:i/>
                <w:sz w:val="18"/>
              </w:rPr>
              <w:t>3</w:t>
            </w:r>
            <w:r w:rsidRPr="00C9680B">
              <w:rPr>
                <w:sz w:val="18"/>
              </w:rPr>
              <w:t xml:space="preserve"> kr </w:t>
            </w:r>
            <w:r w:rsidRPr="00C9680B">
              <w:rPr>
                <w:i/>
                <w:sz w:val="18"/>
              </w:rPr>
              <w:t>29</w:t>
            </w:r>
            <w:r w:rsidRPr="00C9680B">
              <w:rPr>
                <w:sz w:val="18"/>
              </w:rPr>
              <w:t xml:space="preserve"> öre per liter</w:t>
            </w:r>
          </w:p>
        </w:tc>
        <w:tc>
          <w:tcPr>
            <w:tcW w:w="1053" w:type="dxa"/>
          </w:tcPr>
          <w:p w:rsidR="001C7BF9" w:rsidRPr="00C9680B" w:rsidRDefault="001C7BF9">
            <w:pPr>
              <w:pStyle w:val="Lagtext"/>
              <w:jc w:val="left"/>
            </w:pPr>
            <w:r w:rsidRPr="00C9680B">
              <w:rPr>
                <w:i/>
                <w:sz w:val="18"/>
              </w:rPr>
              <w:t xml:space="preserve">1 </w:t>
            </w:r>
            <w:r w:rsidRPr="00C9680B">
              <w:rPr>
                <w:sz w:val="18"/>
              </w:rPr>
              <w:t>kr</w:t>
            </w:r>
            <w:r w:rsidRPr="00C9680B">
              <w:rPr>
                <w:i/>
                <w:sz w:val="18"/>
              </w:rPr>
              <w:t xml:space="preserve"> 24</w:t>
            </w:r>
            <w:r w:rsidRPr="00C9680B">
              <w:rPr>
                <w:sz w:val="18"/>
              </w:rPr>
              <w:t xml:space="preserve"> öre per liter</w:t>
            </w:r>
          </w:p>
        </w:tc>
        <w:tc>
          <w:tcPr>
            <w:tcW w:w="1053" w:type="dxa"/>
          </w:tcPr>
          <w:p w:rsidR="001C7BF9" w:rsidRPr="00C9680B" w:rsidRDefault="001C7BF9">
            <w:pPr>
              <w:pStyle w:val="Lagtext"/>
              <w:jc w:val="left"/>
            </w:pPr>
            <w:r w:rsidRPr="00C9680B">
              <w:rPr>
                <w:i/>
                <w:sz w:val="18"/>
              </w:rPr>
              <w:t>4</w:t>
            </w:r>
            <w:r w:rsidRPr="00C9680B">
              <w:rPr>
                <w:sz w:val="18"/>
              </w:rPr>
              <w:t xml:space="preserve"> kr </w:t>
            </w:r>
            <w:r w:rsidRPr="00C9680B">
              <w:rPr>
                <w:i/>
                <w:sz w:val="18"/>
              </w:rPr>
              <w:t>53</w:t>
            </w:r>
            <w:r w:rsidRPr="00C9680B">
              <w:rPr>
                <w:sz w:val="18"/>
              </w:rPr>
              <w:t xml:space="preserve"> öre per liter</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2.</w:t>
            </w:r>
          </w:p>
        </w:tc>
        <w:tc>
          <w:tcPr>
            <w:tcW w:w="1276" w:type="dxa"/>
          </w:tcPr>
          <w:p w:rsidR="001C7BF9" w:rsidRPr="00C9680B" w:rsidRDefault="001C7BF9">
            <w:pPr>
              <w:pStyle w:val="Lagtext"/>
              <w:jc w:val="left"/>
            </w:pPr>
            <w:r w:rsidRPr="00C9680B">
              <w:t>2710 00 26,</w:t>
            </w:r>
          </w:p>
          <w:p w:rsidR="001C7BF9" w:rsidRPr="00C9680B" w:rsidRDefault="001C7BF9">
            <w:pPr>
              <w:pStyle w:val="Lagtext"/>
              <w:jc w:val="left"/>
            </w:pPr>
            <w:r w:rsidRPr="00C9680B">
              <w:t>2710 00 34</w:t>
            </w:r>
          </w:p>
          <w:p w:rsidR="001C7BF9" w:rsidRPr="00C9680B" w:rsidRDefault="001C7BF9">
            <w:pPr>
              <w:pStyle w:val="Lagtext"/>
              <w:jc w:val="left"/>
            </w:pPr>
            <w:r w:rsidRPr="00C9680B">
              <w:t>eller</w:t>
            </w:r>
          </w:p>
          <w:p w:rsidR="001C7BF9" w:rsidRPr="00C9680B" w:rsidRDefault="001C7BF9">
            <w:pPr>
              <w:pStyle w:val="Lagtext"/>
              <w:jc w:val="left"/>
            </w:pPr>
            <w:r w:rsidRPr="00C9680B">
              <w:t>2710 00 36</w:t>
            </w:r>
          </w:p>
        </w:tc>
        <w:tc>
          <w:tcPr>
            <w:tcW w:w="1417" w:type="dxa"/>
          </w:tcPr>
          <w:p w:rsidR="001C7BF9" w:rsidRPr="00C9680B" w:rsidRDefault="001C7BF9">
            <w:pPr>
              <w:pStyle w:val="Lagtext"/>
              <w:jc w:val="left"/>
            </w:pPr>
            <w:r w:rsidRPr="00C9680B">
              <w:t>Annan bensin</w:t>
            </w:r>
          </w:p>
          <w:p w:rsidR="001C7BF9" w:rsidRPr="00C9680B" w:rsidRDefault="001C7BF9">
            <w:pPr>
              <w:pStyle w:val="Lagtext"/>
              <w:jc w:val="left"/>
            </w:pPr>
            <w:r w:rsidRPr="00C9680B">
              <w:t>än som avses</w:t>
            </w:r>
          </w:p>
          <w:p w:rsidR="001C7BF9" w:rsidRPr="00C9680B" w:rsidRDefault="001C7BF9">
            <w:pPr>
              <w:pStyle w:val="Lagtext"/>
              <w:jc w:val="left"/>
            </w:pPr>
            <w:r w:rsidRPr="00C9680B">
              <w:t>under 1</w:t>
            </w:r>
          </w:p>
          <w:p w:rsidR="001C7BF9" w:rsidRPr="00C9680B" w:rsidRDefault="001C7BF9">
            <w:pPr>
              <w:pStyle w:val="Lagtext"/>
              <w:jc w:val="left"/>
            </w:pPr>
          </w:p>
        </w:tc>
        <w:tc>
          <w:tcPr>
            <w:tcW w:w="1053" w:type="dxa"/>
          </w:tcPr>
          <w:p w:rsidR="001C7BF9" w:rsidRPr="00C9680B" w:rsidRDefault="001C7BF9">
            <w:pPr>
              <w:pStyle w:val="Lagtext"/>
              <w:jc w:val="left"/>
            </w:pPr>
            <w:r w:rsidRPr="00C9680B">
              <w:rPr>
                <w:i/>
              </w:rPr>
              <w:t>3</w:t>
            </w:r>
            <w:r w:rsidRPr="00C9680B">
              <w:t xml:space="preserve"> kr </w:t>
            </w:r>
            <w:r w:rsidRPr="00C9680B">
              <w:rPr>
                <w:i/>
              </w:rPr>
              <w:t xml:space="preserve">92 </w:t>
            </w:r>
            <w:r w:rsidRPr="00C9680B">
              <w:t>öre per liter</w:t>
            </w:r>
          </w:p>
        </w:tc>
        <w:tc>
          <w:tcPr>
            <w:tcW w:w="1053" w:type="dxa"/>
          </w:tcPr>
          <w:p w:rsidR="001C7BF9" w:rsidRPr="00C9680B" w:rsidRDefault="001C7BF9">
            <w:pPr>
              <w:pStyle w:val="Lagtext"/>
              <w:jc w:val="left"/>
            </w:pPr>
            <w:r w:rsidRPr="00C9680B">
              <w:rPr>
                <w:i/>
              </w:rPr>
              <w:t xml:space="preserve">1 </w:t>
            </w:r>
            <w:r w:rsidRPr="00C9680B">
              <w:t>kr</w:t>
            </w:r>
            <w:r w:rsidRPr="00C9680B">
              <w:rPr>
                <w:i/>
              </w:rPr>
              <w:t xml:space="preserve"> 24</w:t>
            </w:r>
            <w:r w:rsidRPr="00C9680B">
              <w:t xml:space="preserve"> öre per liter</w:t>
            </w:r>
          </w:p>
        </w:tc>
        <w:tc>
          <w:tcPr>
            <w:tcW w:w="1053" w:type="dxa"/>
          </w:tcPr>
          <w:p w:rsidR="001C7BF9" w:rsidRPr="00C9680B" w:rsidRDefault="001C7BF9">
            <w:pPr>
              <w:pStyle w:val="Lagtext"/>
              <w:jc w:val="left"/>
            </w:pPr>
            <w:r w:rsidRPr="00C9680B">
              <w:rPr>
                <w:i/>
              </w:rPr>
              <w:t>5</w:t>
            </w:r>
            <w:r w:rsidRPr="00C9680B">
              <w:t xml:space="preserve"> kr </w:t>
            </w:r>
            <w:r w:rsidRPr="00C9680B">
              <w:rPr>
                <w:i/>
              </w:rPr>
              <w:t>16</w:t>
            </w:r>
            <w:r w:rsidRPr="00C9680B">
              <w:t xml:space="preserve"> öre per liter</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3.</w:t>
            </w:r>
          </w:p>
        </w:tc>
        <w:tc>
          <w:tcPr>
            <w:tcW w:w="1276" w:type="dxa"/>
          </w:tcPr>
          <w:p w:rsidR="001C7BF9" w:rsidRPr="00C9680B" w:rsidRDefault="001C7BF9">
            <w:pPr>
              <w:pStyle w:val="Lagtext"/>
              <w:jc w:val="left"/>
            </w:pPr>
            <w:r w:rsidRPr="00C9680B">
              <w:t>2710 00 51,</w:t>
            </w:r>
          </w:p>
          <w:p w:rsidR="001C7BF9" w:rsidRPr="00C9680B" w:rsidRDefault="001C7BF9">
            <w:pPr>
              <w:pStyle w:val="Lagtext"/>
              <w:jc w:val="left"/>
            </w:pPr>
            <w:r w:rsidRPr="00C9680B">
              <w:t>2710 00 55,</w:t>
            </w:r>
          </w:p>
          <w:p w:rsidR="001C7BF9" w:rsidRPr="00C9680B" w:rsidRDefault="001C7BF9">
            <w:pPr>
              <w:pStyle w:val="Lagtext"/>
              <w:jc w:val="left"/>
            </w:pPr>
            <w:r w:rsidRPr="00C9680B">
              <w:t>2710 00 69</w:t>
            </w:r>
          </w:p>
          <w:p w:rsidR="001C7BF9" w:rsidRPr="00C9680B" w:rsidRDefault="001C7BF9">
            <w:pPr>
              <w:pStyle w:val="Lagtext"/>
              <w:jc w:val="left"/>
            </w:pPr>
            <w:r w:rsidRPr="00C9680B">
              <w:t>eller</w:t>
            </w:r>
          </w:p>
          <w:p w:rsidR="001C7BF9" w:rsidRPr="00C9680B" w:rsidRDefault="001C7BF9">
            <w:pPr>
              <w:pStyle w:val="Lagtext"/>
              <w:jc w:val="left"/>
            </w:pPr>
            <w:r w:rsidRPr="00C9680B">
              <w:t>2710 00 74–</w:t>
            </w:r>
          </w:p>
          <w:p w:rsidR="001C7BF9" w:rsidRPr="00C9680B" w:rsidRDefault="001C7BF9">
            <w:pPr>
              <w:pStyle w:val="Lagtext"/>
              <w:jc w:val="left"/>
            </w:pPr>
            <w:r w:rsidRPr="00C9680B">
              <w:t>2710 00 78</w:t>
            </w:r>
          </w:p>
        </w:tc>
        <w:tc>
          <w:tcPr>
            <w:tcW w:w="1417" w:type="dxa"/>
          </w:tcPr>
          <w:p w:rsidR="001C7BF9" w:rsidRPr="00C9680B" w:rsidRDefault="001C7BF9">
            <w:pPr>
              <w:pStyle w:val="Lagtext"/>
              <w:jc w:val="left"/>
            </w:pPr>
            <w:r w:rsidRPr="00C9680B">
              <w:t xml:space="preserve">Eldningsolja, dieselbrännolja, fotogen, m.m. som </w:t>
            </w: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r>
      <w:tr w:rsidR="00000000" w:rsidRPr="00C9680B">
        <w:tblPrEx>
          <w:tblCellMar>
            <w:top w:w="0" w:type="dxa"/>
            <w:bottom w:w="0" w:type="dxa"/>
          </w:tblCellMar>
        </w:tblPrEx>
        <w:tc>
          <w:tcPr>
            <w:tcW w:w="284" w:type="dxa"/>
          </w:tcPr>
          <w:p w:rsidR="001C7BF9" w:rsidRPr="00C9680B" w:rsidRDefault="001C7BF9">
            <w:pPr>
              <w:pStyle w:val="Lagtext"/>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a) har försetts med märkämnen eller ger mindre än 85 v</w:t>
            </w:r>
            <w:r w:rsidRPr="00C9680B">
              <w:t>o</w:t>
            </w:r>
            <w:r w:rsidRPr="00C9680B">
              <w:t>lymprocent destillat vid 350</w:t>
            </w:r>
            <w:r w:rsidRPr="00C9680B">
              <w:rPr>
                <w:vertAlign w:val="superscript"/>
              </w:rPr>
              <w:t>o</w:t>
            </w:r>
            <w:r w:rsidRPr="00C9680B">
              <w:t>C,</w:t>
            </w:r>
          </w:p>
        </w:tc>
        <w:tc>
          <w:tcPr>
            <w:tcW w:w="1053" w:type="dxa"/>
          </w:tcPr>
          <w:p w:rsidR="001C7BF9" w:rsidRPr="00C9680B" w:rsidRDefault="001C7BF9">
            <w:pPr>
              <w:pStyle w:val="Lagtext"/>
              <w:jc w:val="left"/>
            </w:pPr>
            <w:r w:rsidRPr="00C9680B">
              <w:rPr>
                <w:i/>
              </w:rPr>
              <w:t>688</w:t>
            </w:r>
            <w:r w:rsidRPr="00C9680B">
              <w:t xml:space="preserve"> kr per m</w:t>
            </w:r>
            <w:r w:rsidRPr="00C9680B">
              <w:rPr>
                <w:sz w:val="16"/>
                <w:vertAlign w:val="superscript"/>
              </w:rPr>
              <w:t>3</w:t>
            </w:r>
          </w:p>
        </w:tc>
        <w:tc>
          <w:tcPr>
            <w:tcW w:w="1053" w:type="dxa"/>
          </w:tcPr>
          <w:p w:rsidR="001C7BF9" w:rsidRPr="00C9680B" w:rsidRDefault="001C7BF9">
            <w:pPr>
              <w:pStyle w:val="Lagtext"/>
              <w:jc w:val="left"/>
            </w:pPr>
            <w:r w:rsidRPr="00C9680B">
              <w:rPr>
                <w:i/>
              </w:rPr>
              <w:t xml:space="preserve">1 527 </w:t>
            </w:r>
            <w:r w:rsidRPr="00C9680B">
              <w:t>kr per m</w:t>
            </w:r>
            <w:r w:rsidRPr="00C9680B">
              <w:rPr>
                <w:sz w:val="16"/>
                <w:vertAlign w:val="superscript"/>
              </w:rPr>
              <w:t>3</w:t>
            </w:r>
          </w:p>
        </w:tc>
        <w:tc>
          <w:tcPr>
            <w:tcW w:w="1053" w:type="dxa"/>
          </w:tcPr>
          <w:p w:rsidR="001C7BF9" w:rsidRPr="00C9680B" w:rsidRDefault="001C7BF9">
            <w:pPr>
              <w:pStyle w:val="Lagtext"/>
              <w:jc w:val="left"/>
            </w:pPr>
            <w:r w:rsidRPr="00C9680B">
              <w:rPr>
                <w:i/>
              </w:rPr>
              <w:t>2 215</w:t>
            </w:r>
            <w:r w:rsidRPr="00C9680B">
              <w:t xml:space="preserve"> kr per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rPr>
                <w:sz w:val="18"/>
              </w:rPr>
            </w:pPr>
          </w:p>
        </w:tc>
        <w:tc>
          <w:tcPr>
            <w:tcW w:w="1276" w:type="dxa"/>
          </w:tcPr>
          <w:p w:rsidR="001C7BF9" w:rsidRPr="00C9680B" w:rsidRDefault="001C7BF9">
            <w:pPr>
              <w:pStyle w:val="Lagtext"/>
              <w:jc w:val="left"/>
              <w:rPr>
                <w:sz w:val="18"/>
              </w:rPr>
            </w:pPr>
          </w:p>
        </w:tc>
        <w:tc>
          <w:tcPr>
            <w:tcW w:w="1417" w:type="dxa"/>
          </w:tcPr>
          <w:p w:rsidR="001C7BF9" w:rsidRPr="00C9680B" w:rsidRDefault="001C7BF9">
            <w:pPr>
              <w:pStyle w:val="Lagtext"/>
              <w:jc w:val="left"/>
            </w:pPr>
            <w:r w:rsidRPr="00C9680B">
              <w:rPr>
                <w:sz w:val="18"/>
              </w:rPr>
              <w:t>b) inte har fö</w:t>
            </w:r>
            <w:r w:rsidRPr="00C9680B">
              <w:rPr>
                <w:sz w:val="18"/>
              </w:rPr>
              <w:t>r</w:t>
            </w:r>
            <w:r w:rsidRPr="00C9680B">
              <w:rPr>
                <w:sz w:val="18"/>
              </w:rPr>
              <w:t>setts med märk</w:t>
            </w:r>
            <w:r w:rsidRPr="00C9680B">
              <w:rPr>
                <w:sz w:val="18"/>
              </w:rPr>
              <w:softHyphen/>
              <w:t>ämnen och ger minst 85 v</w:t>
            </w:r>
            <w:r w:rsidRPr="00C9680B">
              <w:rPr>
                <w:sz w:val="18"/>
              </w:rPr>
              <w:t>o</w:t>
            </w:r>
            <w:r w:rsidRPr="00C9680B">
              <w:rPr>
                <w:sz w:val="18"/>
              </w:rPr>
              <w:t xml:space="preserve">lymprocent destillat vid </w:t>
            </w:r>
            <w:r w:rsidRPr="00C9680B">
              <w:rPr>
                <w:sz w:val="18"/>
              </w:rPr>
              <w:br/>
              <w:t>350</w:t>
            </w:r>
            <w:r w:rsidRPr="00C9680B">
              <w:rPr>
                <w:sz w:val="18"/>
                <w:vertAlign w:val="superscript"/>
              </w:rPr>
              <w:t xml:space="preserve">o </w:t>
            </w:r>
            <w:r w:rsidRPr="00C9680B">
              <w:rPr>
                <w:sz w:val="18"/>
              </w:rPr>
              <w:t>C,</w:t>
            </w:r>
          </w:p>
          <w:p w:rsidR="001C7BF9" w:rsidRPr="00C9680B" w:rsidRDefault="001C7BF9">
            <w:pPr>
              <w:pStyle w:val="Lagtext"/>
              <w:jc w:val="left"/>
            </w:pPr>
            <w:r w:rsidRPr="00C9680B">
              <w:rPr>
                <w:sz w:val="18"/>
              </w:rPr>
              <w:t>tillhörig</w:t>
            </w:r>
          </w:p>
        </w:tc>
        <w:tc>
          <w:tcPr>
            <w:tcW w:w="1053"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r>
      <w:tr w:rsidR="00000000" w:rsidRPr="00C9680B">
        <w:tblPrEx>
          <w:tblCellMar>
            <w:top w:w="0" w:type="dxa"/>
            <w:bottom w:w="0" w:type="dxa"/>
          </w:tblCellMar>
        </w:tblPrEx>
        <w:tc>
          <w:tcPr>
            <w:tcW w:w="284" w:type="dxa"/>
          </w:tcPr>
          <w:p w:rsidR="001C7BF9" w:rsidRPr="00C9680B" w:rsidRDefault="001C7BF9">
            <w:pPr>
              <w:pStyle w:val="Lagtext"/>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miljöklass 1</w:t>
            </w:r>
          </w:p>
        </w:tc>
        <w:tc>
          <w:tcPr>
            <w:tcW w:w="1053" w:type="dxa"/>
          </w:tcPr>
          <w:p w:rsidR="001C7BF9" w:rsidRPr="00C9680B" w:rsidRDefault="001C7BF9">
            <w:pPr>
              <w:pStyle w:val="Lagtext"/>
              <w:jc w:val="left"/>
            </w:pPr>
            <w:r w:rsidRPr="00C9680B">
              <w:rPr>
                <w:i/>
              </w:rPr>
              <w:t>1 512</w:t>
            </w:r>
            <w:r w:rsidRPr="00C9680B">
              <w:t xml:space="preserve"> kr per m</w:t>
            </w:r>
            <w:r w:rsidRPr="00C9680B">
              <w:rPr>
                <w:sz w:val="16"/>
                <w:vertAlign w:val="superscript"/>
              </w:rPr>
              <w:t>3</w:t>
            </w:r>
          </w:p>
        </w:tc>
        <w:tc>
          <w:tcPr>
            <w:tcW w:w="1053" w:type="dxa"/>
          </w:tcPr>
          <w:p w:rsidR="001C7BF9" w:rsidRPr="00C9680B" w:rsidRDefault="001C7BF9">
            <w:pPr>
              <w:pStyle w:val="Lagtext"/>
              <w:jc w:val="left"/>
            </w:pPr>
            <w:r w:rsidRPr="00C9680B">
              <w:rPr>
                <w:i/>
              </w:rPr>
              <w:t>1 527</w:t>
            </w:r>
            <w:r w:rsidRPr="00C9680B">
              <w:t xml:space="preserve"> kr per m</w:t>
            </w:r>
            <w:r w:rsidRPr="00C9680B">
              <w:rPr>
                <w:sz w:val="16"/>
                <w:vertAlign w:val="superscript"/>
              </w:rPr>
              <w:t>3</w:t>
            </w:r>
          </w:p>
        </w:tc>
        <w:tc>
          <w:tcPr>
            <w:tcW w:w="1053" w:type="dxa"/>
          </w:tcPr>
          <w:p w:rsidR="001C7BF9" w:rsidRPr="00C9680B" w:rsidRDefault="001C7BF9">
            <w:pPr>
              <w:pStyle w:val="Lagtext"/>
              <w:jc w:val="left"/>
            </w:pPr>
            <w:r w:rsidRPr="00C9680B">
              <w:rPr>
                <w:i/>
              </w:rPr>
              <w:t>3 039</w:t>
            </w:r>
            <w:r w:rsidRPr="00C9680B">
              <w:t xml:space="preserve"> kr per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miljöklass 2</w:t>
            </w:r>
          </w:p>
        </w:tc>
        <w:tc>
          <w:tcPr>
            <w:tcW w:w="1053" w:type="dxa"/>
          </w:tcPr>
          <w:p w:rsidR="001C7BF9" w:rsidRPr="00C9680B" w:rsidRDefault="001C7BF9">
            <w:pPr>
              <w:pStyle w:val="Lagtext"/>
              <w:jc w:val="left"/>
            </w:pPr>
            <w:r w:rsidRPr="00C9680B">
              <w:rPr>
                <w:i/>
              </w:rPr>
              <w:t>1 739</w:t>
            </w:r>
            <w:r w:rsidRPr="00C9680B">
              <w:t xml:space="preserve"> kr per m</w:t>
            </w:r>
            <w:r w:rsidRPr="00C9680B">
              <w:rPr>
                <w:sz w:val="16"/>
                <w:vertAlign w:val="superscript"/>
              </w:rPr>
              <w:t>3</w:t>
            </w:r>
          </w:p>
        </w:tc>
        <w:tc>
          <w:tcPr>
            <w:tcW w:w="1053" w:type="dxa"/>
          </w:tcPr>
          <w:p w:rsidR="001C7BF9" w:rsidRPr="00C9680B" w:rsidRDefault="001C7BF9">
            <w:pPr>
              <w:pStyle w:val="Lagtext"/>
              <w:jc w:val="left"/>
            </w:pPr>
            <w:r w:rsidRPr="00C9680B">
              <w:rPr>
                <w:i/>
              </w:rPr>
              <w:t>1 527</w:t>
            </w:r>
            <w:r w:rsidRPr="00C9680B">
              <w:t xml:space="preserve"> kr per m</w:t>
            </w:r>
            <w:r w:rsidRPr="00C9680B">
              <w:rPr>
                <w:sz w:val="16"/>
                <w:vertAlign w:val="superscript"/>
              </w:rPr>
              <w:t>3</w:t>
            </w:r>
          </w:p>
        </w:tc>
        <w:tc>
          <w:tcPr>
            <w:tcW w:w="1053" w:type="dxa"/>
          </w:tcPr>
          <w:p w:rsidR="001C7BF9" w:rsidRPr="00C9680B" w:rsidRDefault="001C7BF9">
            <w:pPr>
              <w:pStyle w:val="Lagtext"/>
              <w:jc w:val="left"/>
            </w:pPr>
            <w:r w:rsidRPr="00C9680B">
              <w:rPr>
                <w:i/>
              </w:rPr>
              <w:t>3 266</w:t>
            </w:r>
            <w:r w:rsidRPr="00C9680B">
              <w:t xml:space="preserve"> kr per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miljöklass 3 eller inte tillhör någon miljö-</w:t>
            </w:r>
          </w:p>
          <w:p w:rsidR="001C7BF9" w:rsidRPr="00C9680B" w:rsidRDefault="001C7BF9">
            <w:pPr>
              <w:pStyle w:val="Lagtext"/>
              <w:jc w:val="left"/>
            </w:pPr>
            <w:r w:rsidRPr="00C9680B">
              <w:t>k</w:t>
            </w:r>
            <w:r w:rsidRPr="00C9680B">
              <w:t>lass</w:t>
            </w:r>
          </w:p>
        </w:tc>
        <w:tc>
          <w:tcPr>
            <w:tcW w:w="1053" w:type="dxa"/>
          </w:tcPr>
          <w:p w:rsidR="001C7BF9" w:rsidRPr="00C9680B" w:rsidRDefault="001C7BF9">
            <w:pPr>
              <w:pStyle w:val="Lagtext"/>
              <w:jc w:val="left"/>
            </w:pPr>
            <w:r w:rsidRPr="00C9680B">
              <w:rPr>
                <w:i/>
              </w:rPr>
              <w:t>2 039</w:t>
            </w:r>
            <w:r w:rsidRPr="00C9680B">
              <w:t xml:space="preserve"> kr per m</w:t>
            </w:r>
            <w:r w:rsidRPr="00C9680B">
              <w:rPr>
                <w:sz w:val="16"/>
                <w:vertAlign w:val="superscript"/>
              </w:rPr>
              <w:t>3</w:t>
            </w:r>
            <w:r w:rsidRPr="00C9680B">
              <w:t xml:space="preserve"> </w:t>
            </w:r>
          </w:p>
        </w:tc>
        <w:tc>
          <w:tcPr>
            <w:tcW w:w="1053" w:type="dxa"/>
          </w:tcPr>
          <w:p w:rsidR="001C7BF9" w:rsidRPr="00C9680B" w:rsidRDefault="001C7BF9">
            <w:pPr>
              <w:pStyle w:val="Lagtext"/>
              <w:jc w:val="left"/>
            </w:pPr>
            <w:r w:rsidRPr="00C9680B">
              <w:rPr>
                <w:i/>
              </w:rPr>
              <w:t>1 527</w:t>
            </w:r>
            <w:r w:rsidRPr="00C9680B">
              <w:t xml:space="preserve"> kr per m</w:t>
            </w:r>
            <w:r w:rsidRPr="00C9680B">
              <w:rPr>
                <w:sz w:val="16"/>
                <w:vertAlign w:val="superscript"/>
              </w:rPr>
              <w:t>3</w:t>
            </w:r>
          </w:p>
        </w:tc>
        <w:tc>
          <w:tcPr>
            <w:tcW w:w="1053" w:type="dxa"/>
          </w:tcPr>
          <w:p w:rsidR="001C7BF9" w:rsidRPr="00C9680B" w:rsidRDefault="001C7BF9">
            <w:pPr>
              <w:pStyle w:val="Lagtext"/>
              <w:jc w:val="left"/>
            </w:pPr>
            <w:r w:rsidRPr="00C9680B">
              <w:rPr>
                <w:i/>
              </w:rPr>
              <w:t>3 566</w:t>
            </w:r>
            <w:r w:rsidRPr="00C9680B">
              <w:t xml:space="preserve"> kr per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4.</w:t>
            </w:r>
          </w:p>
        </w:tc>
        <w:tc>
          <w:tcPr>
            <w:tcW w:w="1276" w:type="dxa"/>
          </w:tcPr>
          <w:p w:rsidR="001C7BF9" w:rsidRPr="00C9680B" w:rsidRDefault="001C7BF9">
            <w:pPr>
              <w:pStyle w:val="Lagtext"/>
              <w:jc w:val="left"/>
            </w:pPr>
            <w:r w:rsidRPr="00C9680B">
              <w:t>ur 2711 12 11–2711 19 00</w:t>
            </w:r>
          </w:p>
        </w:tc>
        <w:tc>
          <w:tcPr>
            <w:tcW w:w="1417" w:type="dxa"/>
          </w:tcPr>
          <w:p w:rsidR="001C7BF9" w:rsidRPr="00C9680B" w:rsidRDefault="001C7BF9">
            <w:pPr>
              <w:pStyle w:val="Lagtext"/>
              <w:jc w:val="left"/>
            </w:pPr>
            <w:r w:rsidRPr="00C9680B">
              <w:t xml:space="preserve">Gasol </w:t>
            </w:r>
          </w:p>
        </w:tc>
        <w:tc>
          <w:tcPr>
            <w:tcW w:w="1053" w:type="dxa"/>
          </w:tcPr>
          <w:p w:rsidR="001C7BF9" w:rsidRPr="00C9680B" w:rsidRDefault="001C7BF9">
            <w:pPr>
              <w:pStyle w:val="Lagtext"/>
              <w:jc w:val="left"/>
            </w:pPr>
            <w:r w:rsidRPr="00C9680B">
              <w:rPr>
                <w:i/>
              </w:rPr>
              <w:t>134</w:t>
            </w:r>
            <w:r w:rsidRPr="00C9680B">
              <w:t xml:space="preserve"> kr per 1 000 kg</w:t>
            </w:r>
          </w:p>
        </w:tc>
        <w:tc>
          <w:tcPr>
            <w:tcW w:w="1053" w:type="dxa"/>
          </w:tcPr>
          <w:p w:rsidR="001C7BF9" w:rsidRPr="00C9680B" w:rsidRDefault="001C7BF9">
            <w:pPr>
              <w:pStyle w:val="Lagtext"/>
              <w:jc w:val="left"/>
            </w:pPr>
            <w:r w:rsidRPr="00C9680B">
              <w:rPr>
                <w:i/>
              </w:rPr>
              <w:t>1 606</w:t>
            </w:r>
            <w:r w:rsidRPr="00C9680B">
              <w:t xml:space="preserve"> kr per 1 000 kg</w:t>
            </w:r>
          </w:p>
        </w:tc>
        <w:tc>
          <w:tcPr>
            <w:tcW w:w="1053" w:type="dxa"/>
          </w:tcPr>
          <w:p w:rsidR="001C7BF9" w:rsidRPr="00C9680B" w:rsidRDefault="001C7BF9">
            <w:pPr>
              <w:pStyle w:val="Lagtext"/>
              <w:jc w:val="left"/>
            </w:pPr>
            <w:r w:rsidRPr="00C9680B">
              <w:rPr>
                <w:i/>
              </w:rPr>
              <w:t>1 740</w:t>
            </w:r>
            <w:r w:rsidRPr="00C9680B">
              <w:t xml:space="preserve"> kr per 1 000 kg</w:t>
            </w:r>
          </w:p>
        </w:tc>
      </w:tr>
      <w:tr w:rsidR="00000000" w:rsidRPr="00C9680B">
        <w:tblPrEx>
          <w:tblCellMar>
            <w:top w:w="0" w:type="dxa"/>
            <w:bottom w:w="0" w:type="dxa"/>
          </w:tblCellMar>
        </w:tblPrEx>
        <w:tc>
          <w:tcPr>
            <w:tcW w:w="284" w:type="dxa"/>
          </w:tcPr>
          <w:p w:rsidR="001C7BF9" w:rsidRPr="00C9680B" w:rsidRDefault="001C7BF9">
            <w:pPr>
              <w:pStyle w:val="Lagtext"/>
              <w:rPr>
                <w:sz w:val="18"/>
              </w:rPr>
            </w:pPr>
          </w:p>
        </w:tc>
        <w:tc>
          <w:tcPr>
            <w:tcW w:w="1276" w:type="dxa"/>
          </w:tcPr>
          <w:p w:rsidR="001C7BF9" w:rsidRPr="00C9680B" w:rsidRDefault="001C7BF9">
            <w:pPr>
              <w:pStyle w:val="Lagtext"/>
              <w:jc w:val="left"/>
              <w:rPr>
                <w:sz w:val="18"/>
              </w:rPr>
            </w:pPr>
          </w:p>
        </w:tc>
        <w:tc>
          <w:tcPr>
            <w:tcW w:w="1417"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r>
      <w:tr w:rsidR="00000000" w:rsidRPr="00C9680B">
        <w:tblPrEx>
          <w:tblCellMar>
            <w:top w:w="0" w:type="dxa"/>
            <w:bottom w:w="0" w:type="dxa"/>
          </w:tblCellMar>
        </w:tblPrEx>
        <w:tc>
          <w:tcPr>
            <w:tcW w:w="284" w:type="dxa"/>
          </w:tcPr>
          <w:p w:rsidR="001C7BF9" w:rsidRPr="00C9680B" w:rsidRDefault="001C7BF9">
            <w:pPr>
              <w:pStyle w:val="Lagtext"/>
              <w:rPr>
                <w:sz w:val="18"/>
              </w:rPr>
            </w:pPr>
          </w:p>
        </w:tc>
        <w:tc>
          <w:tcPr>
            <w:tcW w:w="1276" w:type="dxa"/>
          </w:tcPr>
          <w:p w:rsidR="001C7BF9" w:rsidRPr="00C9680B" w:rsidRDefault="001C7BF9">
            <w:pPr>
              <w:pStyle w:val="Lagtext"/>
              <w:jc w:val="left"/>
              <w:rPr>
                <w:sz w:val="18"/>
              </w:rPr>
            </w:pPr>
          </w:p>
        </w:tc>
        <w:tc>
          <w:tcPr>
            <w:tcW w:w="1417"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5.</w:t>
            </w:r>
          </w:p>
        </w:tc>
        <w:tc>
          <w:tcPr>
            <w:tcW w:w="1276" w:type="dxa"/>
          </w:tcPr>
          <w:p w:rsidR="001C7BF9" w:rsidRPr="00C9680B" w:rsidRDefault="001C7BF9">
            <w:pPr>
              <w:pStyle w:val="Lagtext"/>
              <w:jc w:val="left"/>
            </w:pPr>
            <w:r w:rsidRPr="00C9680B">
              <w:t>ur 2711 29 00</w:t>
            </w:r>
          </w:p>
        </w:tc>
        <w:tc>
          <w:tcPr>
            <w:tcW w:w="1417" w:type="dxa"/>
          </w:tcPr>
          <w:p w:rsidR="001C7BF9" w:rsidRPr="00C9680B" w:rsidRDefault="001C7BF9">
            <w:pPr>
              <w:pStyle w:val="Lagtext"/>
              <w:jc w:val="left"/>
            </w:pPr>
            <w:r w:rsidRPr="00C9680B">
              <w:t>Metan</w:t>
            </w:r>
          </w:p>
        </w:tc>
        <w:tc>
          <w:tcPr>
            <w:tcW w:w="1053" w:type="dxa"/>
          </w:tcPr>
          <w:p w:rsidR="001C7BF9" w:rsidRPr="00C9680B" w:rsidRDefault="001C7BF9">
            <w:pPr>
              <w:pStyle w:val="Lagtext"/>
              <w:jc w:val="left"/>
            </w:pPr>
            <w:r w:rsidRPr="00C9680B">
              <w:rPr>
                <w:i/>
              </w:rPr>
              <w:t>223</w:t>
            </w:r>
            <w:r w:rsidRPr="00C9680B">
              <w:t xml:space="preserve"> kr per 1 000 m</w:t>
            </w:r>
            <w:r w:rsidRPr="00C9680B">
              <w:rPr>
                <w:sz w:val="16"/>
                <w:vertAlign w:val="superscript"/>
              </w:rPr>
              <w:t>3</w:t>
            </w:r>
          </w:p>
        </w:tc>
        <w:tc>
          <w:tcPr>
            <w:tcW w:w="1053" w:type="dxa"/>
          </w:tcPr>
          <w:p w:rsidR="001C7BF9" w:rsidRPr="00C9680B" w:rsidRDefault="001C7BF9">
            <w:pPr>
              <w:pStyle w:val="Lagtext"/>
              <w:jc w:val="left"/>
            </w:pPr>
            <w:r w:rsidRPr="00C9680B">
              <w:rPr>
                <w:i/>
              </w:rPr>
              <w:t>1 144</w:t>
            </w:r>
            <w:r w:rsidRPr="00C9680B">
              <w:t xml:space="preserve"> kr per 1 000 m</w:t>
            </w:r>
            <w:r w:rsidRPr="00C9680B">
              <w:rPr>
                <w:sz w:val="16"/>
                <w:vertAlign w:val="superscript"/>
              </w:rPr>
              <w:t>3</w:t>
            </w:r>
          </w:p>
        </w:tc>
        <w:tc>
          <w:tcPr>
            <w:tcW w:w="1053" w:type="dxa"/>
          </w:tcPr>
          <w:p w:rsidR="001C7BF9" w:rsidRPr="00C9680B" w:rsidRDefault="001C7BF9">
            <w:pPr>
              <w:pStyle w:val="Lagtext"/>
              <w:jc w:val="left"/>
            </w:pPr>
            <w:r w:rsidRPr="00C9680B">
              <w:rPr>
                <w:i/>
              </w:rPr>
              <w:t>1 367</w:t>
            </w:r>
            <w:r w:rsidRPr="00C9680B">
              <w:t xml:space="preserve"> kr per 1 000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6.</w:t>
            </w:r>
          </w:p>
        </w:tc>
        <w:tc>
          <w:tcPr>
            <w:tcW w:w="1276" w:type="dxa"/>
          </w:tcPr>
          <w:p w:rsidR="001C7BF9" w:rsidRPr="00C9680B" w:rsidRDefault="001C7BF9">
            <w:pPr>
              <w:pStyle w:val="Lagtext"/>
              <w:jc w:val="left"/>
            </w:pPr>
            <w:r w:rsidRPr="00C9680B">
              <w:t>2711 11 00, 2711 21 00</w:t>
            </w:r>
          </w:p>
        </w:tc>
        <w:tc>
          <w:tcPr>
            <w:tcW w:w="1417" w:type="dxa"/>
          </w:tcPr>
          <w:p w:rsidR="001C7BF9" w:rsidRPr="00C9680B" w:rsidRDefault="001C7BF9">
            <w:pPr>
              <w:pStyle w:val="Lagtext"/>
              <w:jc w:val="left"/>
            </w:pPr>
            <w:r w:rsidRPr="00C9680B">
              <w:t xml:space="preserve">Naturgas </w:t>
            </w:r>
          </w:p>
        </w:tc>
        <w:tc>
          <w:tcPr>
            <w:tcW w:w="1053" w:type="dxa"/>
          </w:tcPr>
          <w:p w:rsidR="001C7BF9" w:rsidRPr="00C9680B" w:rsidRDefault="001C7BF9">
            <w:pPr>
              <w:pStyle w:val="Lagtext"/>
              <w:jc w:val="left"/>
            </w:pPr>
            <w:r w:rsidRPr="00C9680B">
              <w:rPr>
                <w:i/>
              </w:rPr>
              <w:t>223</w:t>
            </w:r>
            <w:r w:rsidRPr="00C9680B">
              <w:t xml:space="preserve"> kr per 1 000 m</w:t>
            </w:r>
            <w:r w:rsidRPr="00C9680B">
              <w:rPr>
                <w:sz w:val="16"/>
                <w:vertAlign w:val="superscript"/>
              </w:rPr>
              <w:t>3</w:t>
            </w:r>
          </w:p>
        </w:tc>
        <w:tc>
          <w:tcPr>
            <w:tcW w:w="1053" w:type="dxa"/>
          </w:tcPr>
          <w:p w:rsidR="001C7BF9" w:rsidRPr="00C9680B" w:rsidRDefault="001C7BF9">
            <w:pPr>
              <w:pStyle w:val="Lagtext"/>
              <w:jc w:val="left"/>
            </w:pPr>
            <w:r w:rsidRPr="00C9680B">
              <w:rPr>
                <w:i/>
              </w:rPr>
              <w:t>1 144</w:t>
            </w:r>
            <w:r w:rsidRPr="00C9680B">
              <w:t xml:space="preserve"> kr per 1 000 m</w:t>
            </w:r>
            <w:r w:rsidRPr="00C9680B">
              <w:rPr>
                <w:sz w:val="16"/>
                <w:vertAlign w:val="superscript"/>
              </w:rPr>
              <w:t>3</w:t>
            </w:r>
          </w:p>
        </w:tc>
        <w:tc>
          <w:tcPr>
            <w:tcW w:w="1053" w:type="dxa"/>
          </w:tcPr>
          <w:p w:rsidR="001C7BF9" w:rsidRPr="00C9680B" w:rsidRDefault="001C7BF9">
            <w:pPr>
              <w:pStyle w:val="Lagtext"/>
              <w:jc w:val="left"/>
            </w:pPr>
            <w:r w:rsidRPr="00C9680B">
              <w:rPr>
                <w:i/>
              </w:rPr>
              <w:t>1 367</w:t>
            </w:r>
            <w:r w:rsidRPr="00C9680B">
              <w:t xml:space="preserve"> kr per 1 000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7.</w:t>
            </w:r>
          </w:p>
        </w:tc>
        <w:tc>
          <w:tcPr>
            <w:tcW w:w="1276" w:type="dxa"/>
          </w:tcPr>
          <w:p w:rsidR="001C7BF9" w:rsidRPr="00C9680B" w:rsidRDefault="001C7BF9">
            <w:pPr>
              <w:pStyle w:val="Lagtext"/>
              <w:jc w:val="left"/>
            </w:pPr>
            <w:r w:rsidRPr="00C9680B">
              <w:t>2701, 2702 eller 2704</w:t>
            </w:r>
          </w:p>
        </w:tc>
        <w:tc>
          <w:tcPr>
            <w:tcW w:w="1417" w:type="dxa"/>
          </w:tcPr>
          <w:p w:rsidR="001C7BF9" w:rsidRPr="00C9680B" w:rsidRDefault="001C7BF9">
            <w:pPr>
              <w:pStyle w:val="Lagtext"/>
              <w:jc w:val="left"/>
            </w:pPr>
            <w:r w:rsidRPr="00C9680B">
              <w:t>Kolbränslen</w:t>
            </w:r>
          </w:p>
        </w:tc>
        <w:tc>
          <w:tcPr>
            <w:tcW w:w="1053" w:type="dxa"/>
          </w:tcPr>
          <w:p w:rsidR="001C7BF9" w:rsidRPr="00C9680B" w:rsidRDefault="001C7BF9">
            <w:pPr>
              <w:pStyle w:val="Lagtext"/>
              <w:jc w:val="left"/>
            </w:pPr>
            <w:r w:rsidRPr="00C9680B">
              <w:rPr>
                <w:i/>
              </w:rPr>
              <w:t>293</w:t>
            </w:r>
            <w:r w:rsidRPr="00C9680B">
              <w:t xml:space="preserve"> kr per 1 000 kg</w:t>
            </w:r>
          </w:p>
        </w:tc>
        <w:tc>
          <w:tcPr>
            <w:tcW w:w="1053" w:type="dxa"/>
          </w:tcPr>
          <w:p w:rsidR="001C7BF9" w:rsidRPr="00C9680B" w:rsidRDefault="001C7BF9">
            <w:pPr>
              <w:pStyle w:val="Lagtext"/>
              <w:jc w:val="left"/>
            </w:pPr>
            <w:r w:rsidRPr="00C9680B">
              <w:rPr>
                <w:i/>
              </w:rPr>
              <w:t>1 329</w:t>
            </w:r>
            <w:r w:rsidRPr="00C9680B">
              <w:t xml:space="preserve"> kr per 1 000 kg</w:t>
            </w:r>
          </w:p>
        </w:tc>
        <w:tc>
          <w:tcPr>
            <w:tcW w:w="1053" w:type="dxa"/>
          </w:tcPr>
          <w:p w:rsidR="001C7BF9" w:rsidRPr="00C9680B" w:rsidRDefault="001C7BF9">
            <w:pPr>
              <w:pStyle w:val="Lagtext"/>
              <w:jc w:val="left"/>
            </w:pPr>
            <w:r w:rsidRPr="00C9680B">
              <w:rPr>
                <w:i/>
              </w:rPr>
              <w:t>1 622</w:t>
            </w:r>
            <w:r w:rsidRPr="00C9680B">
              <w:t xml:space="preserve"> kr per 1 000 kg</w:t>
            </w:r>
          </w:p>
        </w:tc>
      </w:tr>
      <w:tr w:rsidR="00000000" w:rsidRPr="00C9680B">
        <w:tblPrEx>
          <w:tblCellMar>
            <w:top w:w="0" w:type="dxa"/>
            <w:bottom w:w="0" w:type="dxa"/>
          </w:tblCellMar>
        </w:tblPrEx>
        <w:tc>
          <w:tcPr>
            <w:tcW w:w="284" w:type="dxa"/>
            <w:tcBorders>
              <w:bottom w:val="single" w:sz="6" w:space="0" w:color="auto"/>
            </w:tcBorders>
          </w:tcPr>
          <w:p w:rsidR="001C7BF9" w:rsidRPr="00C9680B" w:rsidRDefault="001C7BF9">
            <w:pPr>
              <w:pStyle w:val="Lagtext"/>
            </w:pPr>
            <w:r w:rsidRPr="00C9680B">
              <w:rPr>
                <w:sz w:val="18"/>
              </w:rPr>
              <w:t>8.</w:t>
            </w:r>
          </w:p>
        </w:tc>
        <w:tc>
          <w:tcPr>
            <w:tcW w:w="1276" w:type="dxa"/>
            <w:tcBorders>
              <w:bottom w:val="single" w:sz="6" w:space="0" w:color="auto"/>
            </w:tcBorders>
          </w:tcPr>
          <w:p w:rsidR="001C7BF9" w:rsidRPr="00C9680B" w:rsidRDefault="001C7BF9">
            <w:pPr>
              <w:pStyle w:val="Lagtext"/>
              <w:jc w:val="left"/>
            </w:pPr>
            <w:r w:rsidRPr="00C9680B">
              <w:t>2713 11 00–2713 12 00</w:t>
            </w:r>
          </w:p>
        </w:tc>
        <w:tc>
          <w:tcPr>
            <w:tcW w:w="1417" w:type="dxa"/>
            <w:tcBorders>
              <w:bottom w:val="single" w:sz="6" w:space="0" w:color="auto"/>
            </w:tcBorders>
          </w:tcPr>
          <w:p w:rsidR="001C7BF9" w:rsidRPr="00C9680B" w:rsidRDefault="001C7BF9">
            <w:pPr>
              <w:pStyle w:val="Lagtext"/>
              <w:jc w:val="left"/>
            </w:pPr>
            <w:r w:rsidRPr="00C9680B">
              <w:t>Petroleu</w:t>
            </w:r>
            <w:r w:rsidRPr="00C9680B">
              <w:t>m</w:t>
            </w:r>
            <w:r w:rsidRPr="00C9680B">
              <w:t>koks</w:t>
            </w:r>
          </w:p>
        </w:tc>
        <w:tc>
          <w:tcPr>
            <w:tcW w:w="1053" w:type="dxa"/>
            <w:tcBorders>
              <w:bottom w:val="single" w:sz="6" w:space="0" w:color="auto"/>
            </w:tcBorders>
          </w:tcPr>
          <w:p w:rsidR="001C7BF9" w:rsidRPr="00C9680B" w:rsidRDefault="001C7BF9">
            <w:pPr>
              <w:pStyle w:val="Lagtext"/>
              <w:jc w:val="left"/>
            </w:pPr>
            <w:r w:rsidRPr="00C9680B">
              <w:rPr>
                <w:i/>
              </w:rPr>
              <w:t>293</w:t>
            </w:r>
            <w:r w:rsidRPr="00C9680B">
              <w:t xml:space="preserve"> kr per 1 000 kg</w:t>
            </w:r>
          </w:p>
        </w:tc>
        <w:tc>
          <w:tcPr>
            <w:tcW w:w="1053" w:type="dxa"/>
            <w:tcBorders>
              <w:bottom w:val="single" w:sz="6" w:space="0" w:color="auto"/>
            </w:tcBorders>
          </w:tcPr>
          <w:p w:rsidR="001C7BF9" w:rsidRPr="00C9680B" w:rsidRDefault="001C7BF9">
            <w:pPr>
              <w:pStyle w:val="Lagtext"/>
              <w:jc w:val="left"/>
            </w:pPr>
            <w:r w:rsidRPr="00C9680B">
              <w:rPr>
                <w:i/>
              </w:rPr>
              <w:t>1 329</w:t>
            </w:r>
            <w:r w:rsidRPr="00C9680B">
              <w:t xml:space="preserve"> kr per 1 000 kg</w:t>
            </w:r>
          </w:p>
        </w:tc>
        <w:tc>
          <w:tcPr>
            <w:tcW w:w="1053" w:type="dxa"/>
            <w:tcBorders>
              <w:bottom w:val="single" w:sz="6" w:space="0" w:color="auto"/>
            </w:tcBorders>
          </w:tcPr>
          <w:p w:rsidR="001C7BF9" w:rsidRPr="00C9680B" w:rsidRDefault="001C7BF9">
            <w:pPr>
              <w:pStyle w:val="Lagtext"/>
              <w:jc w:val="left"/>
            </w:pPr>
            <w:r w:rsidRPr="00C9680B">
              <w:rPr>
                <w:i/>
              </w:rPr>
              <w:t>1 622</w:t>
            </w:r>
            <w:r w:rsidRPr="00C9680B">
              <w:t xml:space="preserve"> kr per 1 000 kg</w:t>
            </w:r>
          </w:p>
        </w:tc>
      </w:tr>
    </w:tbl>
    <w:p w:rsidR="001C7BF9" w:rsidRPr="00C9680B" w:rsidRDefault="001C7BF9">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Rubrik2"/>
              <w:keepNext/>
              <w:rPr>
                <w:sz w:val="19"/>
              </w:rPr>
            </w:pPr>
            <w:r w:rsidRPr="00C9680B">
              <w:rPr>
                <w:sz w:val="19"/>
              </w:rPr>
              <w:t>Nuvarande lydelse</w:t>
            </w:r>
          </w:p>
        </w:tc>
        <w:tc>
          <w:tcPr>
            <w:tcW w:w="3090" w:type="dxa"/>
          </w:tcPr>
          <w:p w:rsidR="001C7BF9" w:rsidRPr="00C9680B" w:rsidRDefault="001C7BF9">
            <w:pPr>
              <w:pStyle w:val="LagRubrik2"/>
              <w:keepNext/>
              <w:rPr>
                <w:sz w:val="19"/>
              </w:rPr>
            </w:pPr>
            <w:r w:rsidRPr="00C9680B">
              <w:rPr>
                <w:sz w:val="19"/>
              </w:rPr>
              <w:t>Föreslagen lydelse</w:t>
            </w:r>
          </w:p>
        </w:tc>
      </w:tr>
    </w:tbl>
    <w:p w:rsidR="001C7BF9" w:rsidRPr="00C9680B" w:rsidRDefault="001C7BF9">
      <w:pPr>
        <w:pStyle w:val="LagtextIndrag"/>
        <w:keepNext/>
      </w:pPr>
    </w:p>
    <w:p w:rsidR="001C7BF9" w:rsidRPr="00C9680B" w:rsidRDefault="001C7BF9">
      <w:pPr>
        <w:pStyle w:val="LagtextIndrag"/>
      </w:pPr>
      <w:r w:rsidRPr="00C9680B">
        <w:t>I fall som avses i 4 kap. 1 § första stycket 7 och andra stycket samt 12 § första stycket 4 och andra stycket tas skatt ut med ett belopp som motsvarar skillnaden mellan de skattebelopp som gäller för bränslets olika användning</w:t>
      </w:r>
      <w:r w:rsidRPr="00C9680B">
        <w:t>s</w:t>
      </w:r>
      <w:r w:rsidRPr="00C9680B">
        <w:t>sätt.</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 xml:space="preserve">För kalenderåret </w:t>
            </w:r>
            <w:r w:rsidRPr="00C9680B">
              <w:rPr>
                <w:i/>
              </w:rPr>
              <w:t>2001</w:t>
            </w:r>
            <w:r w:rsidRPr="00C9680B">
              <w:t xml:space="preserve"> och efte</w:t>
            </w:r>
            <w:r w:rsidRPr="00C9680B">
              <w:t>r</w:t>
            </w:r>
            <w:r w:rsidRPr="00C9680B">
              <w:t>följande kalenderår skall de i första stycket angivna skattebeloppen rä</w:t>
            </w:r>
            <w:r w:rsidRPr="00C9680B">
              <w:t>k</w:t>
            </w:r>
            <w:r w:rsidRPr="00C9680B">
              <w:t>nas om enligt 10 §.</w:t>
            </w:r>
          </w:p>
        </w:tc>
        <w:tc>
          <w:tcPr>
            <w:tcW w:w="3090" w:type="dxa"/>
          </w:tcPr>
          <w:p w:rsidR="001C7BF9" w:rsidRPr="00C9680B" w:rsidRDefault="001C7BF9">
            <w:pPr>
              <w:pStyle w:val="LagtextIndrag"/>
            </w:pPr>
            <w:r w:rsidRPr="00C9680B">
              <w:t xml:space="preserve">För kalenderåret </w:t>
            </w:r>
            <w:r w:rsidRPr="00C9680B">
              <w:rPr>
                <w:i/>
              </w:rPr>
              <w:t>2002</w:t>
            </w:r>
            <w:r w:rsidRPr="00C9680B">
              <w:t xml:space="preserve"> och efte</w:t>
            </w:r>
            <w:r w:rsidRPr="00C9680B">
              <w:t>r</w:t>
            </w:r>
            <w:r w:rsidRPr="00C9680B">
              <w:t>följande kalenderår skall de i första stycket angivna skattebeloppen rä</w:t>
            </w:r>
            <w:r w:rsidRPr="00C9680B">
              <w:t>k</w:t>
            </w:r>
            <w:r w:rsidRPr="00C9680B">
              <w:t>nas om enligt 10 §.</w:t>
            </w:r>
          </w:p>
        </w:tc>
      </w:tr>
    </w:tbl>
    <w:p w:rsidR="001C7BF9" w:rsidRPr="00C9680B" w:rsidRDefault="001C7BF9">
      <w:pPr>
        <w:pStyle w:val="LagtextIndrag"/>
      </w:pPr>
    </w:p>
    <w:p w:rsidR="001C7BF9" w:rsidRPr="00C9680B" w:rsidRDefault="001C7BF9">
      <w:pPr>
        <w:pStyle w:val="Lagtext"/>
        <w:jc w:val="center"/>
      </w:pPr>
      <w:r w:rsidRPr="00C9680B">
        <w:rPr>
          <w:b/>
        </w:rPr>
        <w:t>10 §</w:t>
      </w:r>
      <w:r w:rsidRPr="00C9680B">
        <w:rPr>
          <w:rStyle w:val="Fotnotsreferens"/>
        </w:rPr>
        <w:footnoteReference w:id="11"/>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 xml:space="preserve">För </w:t>
            </w:r>
            <w:r w:rsidRPr="00C9680B">
              <w:rPr>
                <w:i/>
              </w:rPr>
              <w:t>år</w:t>
            </w:r>
            <w:r w:rsidRPr="00C9680B">
              <w:t xml:space="preserve"> </w:t>
            </w:r>
            <w:r w:rsidRPr="00C9680B">
              <w:rPr>
                <w:i/>
              </w:rPr>
              <w:t>2001</w:t>
            </w:r>
            <w:r w:rsidRPr="00C9680B">
              <w:t xml:space="preserve"> och efterföljande k</w:t>
            </w:r>
            <w:r w:rsidRPr="00C9680B">
              <w:t>a</w:t>
            </w:r>
            <w:r w:rsidRPr="00C9680B">
              <w:t>lender</w:t>
            </w:r>
            <w:r w:rsidRPr="00C9680B">
              <w:softHyphen/>
              <w:t>år skall energiskatt och kol</w:t>
            </w:r>
            <w:r w:rsidRPr="00C9680B">
              <w:softHyphen/>
              <w:t>dioxid</w:t>
            </w:r>
            <w:r w:rsidRPr="00C9680B">
              <w:softHyphen/>
              <w:t>skatt betalas med belopp som efter en årlig omräkning motsvarar de i 1 § angivna skatte</w:t>
            </w:r>
            <w:r w:rsidRPr="00C9680B">
              <w:softHyphen/>
              <w:t>beloppen multi</w:t>
            </w:r>
            <w:r w:rsidRPr="00C9680B">
              <w:softHyphen/>
              <w:t>plicerade med det jämförelse</w:t>
            </w:r>
            <w:r w:rsidRPr="00C9680B">
              <w:softHyphen/>
              <w:t>tal, uttryckt i procent, som anger förhå</w:t>
            </w:r>
            <w:r w:rsidRPr="00C9680B">
              <w:t>l</w:t>
            </w:r>
            <w:r w:rsidRPr="00C9680B">
              <w:t xml:space="preserve">landet mellan det allmänna prisläget i </w:t>
            </w:r>
            <w:r w:rsidRPr="00C9680B">
              <w:rPr>
                <w:i/>
              </w:rPr>
              <w:t xml:space="preserve">oktober </w:t>
            </w:r>
            <w:r w:rsidRPr="00C9680B">
              <w:t xml:space="preserve">månad året närmast före det år beräkningen avser och prisläget i </w:t>
            </w:r>
            <w:r w:rsidRPr="00C9680B">
              <w:rPr>
                <w:i/>
              </w:rPr>
              <w:t>oktober 1999</w:t>
            </w:r>
            <w:r w:rsidRPr="00C9680B">
              <w:t xml:space="preserve">. </w:t>
            </w:r>
          </w:p>
        </w:tc>
        <w:tc>
          <w:tcPr>
            <w:tcW w:w="3090" w:type="dxa"/>
          </w:tcPr>
          <w:p w:rsidR="001C7BF9" w:rsidRPr="00C9680B" w:rsidRDefault="001C7BF9">
            <w:pPr>
              <w:pStyle w:val="LagtextIndrag"/>
            </w:pPr>
            <w:r w:rsidRPr="00C9680B">
              <w:t xml:space="preserve">För </w:t>
            </w:r>
            <w:r w:rsidRPr="00C9680B">
              <w:rPr>
                <w:i/>
              </w:rPr>
              <w:t>kalenderåret</w:t>
            </w:r>
            <w:r w:rsidRPr="00C9680B">
              <w:t xml:space="preserve"> </w:t>
            </w:r>
            <w:r w:rsidRPr="00C9680B">
              <w:rPr>
                <w:i/>
              </w:rPr>
              <w:t>2002</w:t>
            </w:r>
            <w:r w:rsidRPr="00C9680B">
              <w:t xml:space="preserve"> och efte</w:t>
            </w:r>
            <w:r w:rsidRPr="00C9680B">
              <w:t>r</w:t>
            </w:r>
            <w:r w:rsidRPr="00C9680B">
              <w:t>följande kalenderår skall energi</w:t>
            </w:r>
            <w:r w:rsidRPr="00C9680B">
              <w:softHyphen/>
              <w:t>skatt och koldioxidskatt betalas med b</w:t>
            </w:r>
            <w:r w:rsidRPr="00C9680B">
              <w:t>e</w:t>
            </w:r>
            <w:r w:rsidRPr="00C9680B">
              <w:t>lopp som efter en årlig omräkning motsvarar de i 1 § an</w:t>
            </w:r>
            <w:r w:rsidRPr="00C9680B">
              <w:softHyphen/>
              <w:t>givna skatte</w:t>
            </w:r>
            <w:r w:rsidRPr="00C9680B">
              <w:softHyphen/>
              <w:t>beloppen multi</w:t>
            </w:r>
            <w:r w:rsidRPr="00C9680B">
              <w:softHyphen/>
              <w:t>plic</w:t>
            </w:r>
            <w:r w:rsidRPr="00C9680B">
              <w:softHyphen/>
              <w:t>erade med det jämförelsetal, uttryckt i procent, som anger förhållandet mellan det al</w:t>
            </w:r>
            <w:r w:rsidRPr="00C9680B">
              <w:t>l</w:t>
            </w:r>
            <w:r w:rsidRPr="00C9680B">
              <w:t xml:space="preserve">männa prisläget i </w:t>
            </w:r>
            <w:r w:rsidRPr="00C9680B">
              <w:rPr>
                <w:i/>
              </w:rPr>
              <w:t xml:space="preserve">juni </w:t>
            </w:r>
            <w:r w:rsidRPr="00C9680B">
              <w:t xml:space="preserve">månad året närmast före det år beräkningen avser och prisläget i </w:t>
            </w:r>
            <w:r w:rsidRPr="00C9680B">
              <w:rPr>
                <w:i/>
              </w:rPr>
              <w:t>juni</w:t>
            </w:r>
            <w:r w:rsidRPr="00C9680B">
              <w:t xml:space="preserve"> </w:t>
            </w:r>
            <w:r w:rsidRPr="00C9680B">
              <w:rPr>
                <w:i/>
              </w:rPr>
              <w:t>2000</w:t>
            </w:r>
            <w:r w:rsidRPr="00C9680B">
              <w:t xml:space="preserve">. </w:t>
            </w:r>
          </w:p>
        </w:tc>
      </w:tr>
    </w:tbl>
    <w:p w:rsidR="001C7BF9" w:rsidRPr="00C9680B" w:rsidRDefault="001C7BF9">
      <w:pPr>
        <w:pStyle w:val="LagtextIndrag"/>
      </w:pPr>
      <w:r w:rsidRPr="00C9680B">
        <w:t>Regeringen fastställer före november månads utgång de omräknade skatte</w:t>
      </w:r>
      <w:r w:rsidRPr="00C9680B">
        <w:softHyphen/>
        <w:t>belopp som enligt denna lag skall tas ut för påföljande kalenderår. Beloppen avrundas till hela kronor och ören.</w:t>
      </w:r>
    </w:p>
    <w:p w:rsidR="001C7BF9" w:rsidRPr="00C9680B" w:rsidRDefault="001C7BF9">
      <w:pPr>
        <w:pStyle w:val="Lagtext"/>
      </w:pPr>
    </w:p>
    <w:p w:rsidR="001C7BF9" w:rsidRPr="00C9680B" w:rsidRDefault="001C7BF9">
      <w:pPr>
        <w:pStyle w:val="Lagtext"/>
        <w:jc w:val="center"/>
        <w:rPr>
          <w:b/>
        </w:rPr>
      </w:pPr>
      <w:r w:rsidRPr="00C9680B">
        <w:rPr>
          <w:b/>
        </w:rPr>
        <w:t>7 kap.</w:t>
      </w:r>
    </w:p>
    <w:p w:rsidR="001C7BF9" w:rsidRPr="00C9680B" w:rsidRDefault="001C7BF9">
      <w:pPr>
        <w:pStyle w:val="Lagtext"/>
        <w:jc w:val="center"/>
      </w:pPr>
      <w:r w:rsidRPr="00C9680B">
        <w:rPr>
          <w:b/>
        </w:rPr>
        <w:t>4 §</w:t>
      </w:r>
      <w:r w:rsidRPr="00C9680B">
        <w:rPr>
          <w:rStyle w:val="Fotnotsreferens"/>
        </w:rPr>
        <w:footnoteReference w:id="12"/>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 xml:space="preserve">Avdrag får, i den mån avdrag inte har gjorts enligt 1–3 §§, göras även för energiskatten samt för </w:t>
            </w:r>
            <w:r w:rsidRPr="00C9680B">
              <w:rPr>
                <w:i/>
              </w:rPr>
              <w:t>hälften</w:t>
            </w:r>
            <w:r w:rsidRPr="00C9680B">
              <w:t xml:space="preserve"> av koldioxidskatten på bränsle, dock inte bensin, råtallolja eller bränsle som avses i 2 kap. 1 § första stycket 3 b, som förbrukats för annat änd</w:t>
            </w:r>
            <w:r w:rsidRPr="00C9680B">
              <w:t>a</w:t>
            </w:r>
            <w:r w:rsidRPr="00C9680B">
              <w:t>mål än drift av motordrivna fordon vid tillverkningsprocessen i industr</w:t>
            </w:r>
            <w:r w:rsidRPr="00C9680B">
              <w:t>i</w:t>
            </w:r>
            <w:r w:rsidRPr="00C9680B">
              <w:t>ell verksamhet eller i yrkesmässig jordbruks-, skogsbruks- eller vatte</w:t>
            </w:r>
            <w:r w:rsidRPr="00C9680B">
              <w:t>n</w:t>
            </w:r>
            <w:r w:rsidRPr="00C9680B">
              <w:t>bruksver</w:t>
            </w:r>
            <w:r w:rsidRPr="00C9680B">
              <w:t>k</w:t>
            </w:r>
            <w:r w:rsidRPr="00C9680B">
              <w:t>samhet.</w:t>
            </w:r>
          </w:p>
          <w:p w:rsidR="001C7BF9" w:rsidRPr="00C9680B" w:rsidRDefault="001C7BF9">
            <w:pPr>
              <w:pStyle w:val="LagtextIndrag"/>
            </w:pPr>
            <w:r w:rsidRPr="00C9680B">
              <w:t>Bestämmelserna i första stycket tillämpas även på råtallolja, dock att avdrag får göras för energiskatt med ett belopp som motsvarar den ene</w:t>
            </w:r>
            <w:r w:rsidRPr="00C9680B">
              <w:t>r</w:t>
            </w:r>
            <w:r w:rsidRPr="00C9680B">
              <w:t xml:space="preserve">giskatt och </w:t>
            </w:r>
            <w:r w:rsidRPr="00C9680B">
              <w:rPr>
                <w:i/>
              </w:rPr>
              <w:t>hälften</w:t>
            </w:r>
            <w:r w:rsidRPr="00C9680B">
              <w:t xml:space="preserve"> av den koldio</w:t>
            </w:r>
            <w:r w:rsidRPr="00C9680B">
              <w:t>x</w:t>
            </w:r>
            <w:r w:rsidRPr="00C9680B">
              <w:t>idskatt som tas ut på bränsle som avses i 2 kap. 1 § första styc</w:t>
            </w:r>
            <w:r w:rsidRPr="00C9680B">
              <w:t>k</w:t>
            </w:r>
            <w:r w:rsidRPr="00C9680B">
              <w:t>et 3 a.</w:t>
            </w:r>
          </w:p>
        </w:tc>
        <w:tc>
          <w:tcPr>
            <w:tcW w:w="3090" w:type="dxa"/>
          </w:tcPr>
          <w:p w:rsidR="001C7BF9" w:rsidRPr="00C9680B" w:rsidRDefault="001C7BF9">
            <w:pPr>
              <w:pStyle w:val="LagtextIndrag"/>
            </w:pPr>
            <w:r w:rsidRPr="00C9680B">
              <w:t xml:space="preserve">Avdrag får, i den mån avdrag inte har gjorts enligt 1–3 §§, göras även för energiskatten samt för </w:t>
            </w:r>
            <w:r w:rsidRPr="00C9680B">
              <w:rPr>
                <w:i/>
              </w:rPr>
              <w:t xml:space="preserve">65 procent </w:t>
            </w:r>
            <w:r w:rsidRPr="00C9680B">
              <w:t>av koldioxidskatten på bränsle, dock inte bensin, råtallolja eller bränsle som avses i 2 kap. 1 § första stycket 3 b, som förbrukats för annat änd</w:t>
            </w:r>
            <w:r w:rsidRPr="00C9680B">
              <w:t>a</w:t>
            </w:r>
            <w:r w:rsidRPr="00C9680B">
              <w:t>mål än drift av motordrivna fordon vid tillverkningsprocessen i industr</w:t>
            </w:r>
            <w:r w:rsidRPr="00C9680B">
              <w:t>i</w:t>
            </w:r>
            <w:r w:rsidRPr="00C9680B">
              <w:t>ell verksamhet eller i yrkesmässig jordbruks-, skogsbruks- eller vatte</w:t>
            </w:r>
            <w:r w:rsidRPr="00C9680B">
              <w:t>n</w:t>
            </w:r>
            <w:r w:rsidRPr="00C9680B">
              <w:t>bruksver</w:t>
            </w:r>
            <w:r w:rsidRPr="00C9680B">
              <w:t>k</w:t>
            </w:r>
            <w:r w:rsidRPr="00C9680B">
              <w:t>samhet.</w:t>
            </w:r>
          </w:p>
          <w:p w:rsidR="001C7BF9" w:rsidRPr="00C9680B" w:rsidRDefault="001C7BF9">
            <w:pPr>
              <w:pStyle w:val="LagtextIndrag"/>
            </w:pPr>
            <w:r w:rsidRPr="00C9680B">
              <w:t>Bestämmelserna i första stycket tillämpas även på råtallolja, dock att avdrag får göras för energiskatt med ett belopp som motsvarar den ene</w:t>
            </w:r>
            <w:r w:rsidRPr="00C9680B">
              <w:t>r</w:t>
            </w:r>
            <w:r w:rsidRPr="00C9680B">
              <w:t xml:space="preserve">giskatt och </w:t>
            </w:r>
            <w:r w:rsidRPr="00C9680B">
              <w:rPr>
                <w:i/>
              </w:rPr>
              <w:t xml:space="preserve">65 procent </w:t>
            </w:r>
            <w:r w:rsidRPr="00C9680B">
              <w:t>av den kold</w:t>
            </w:r>
            <w:r w:rsidRPr="00C9680B">
              <w:t>i</w:t>
            </w:r>
            <w:r w:rsidRPr="00C9680B">
              <w:t>oxidskatt som tas ut på bränsle som avses i 2 kap. 1 § första stycket 3 a.</w:t>
            </w:r>
          </w:p>
        </w:tc>
      </w:tr>
    </w:tbl>
    <w:p w:rsidR="001C7BF9" w:rsidRPr="00C9680B" w:rsidRDefault="001C7BF9">
      <w:pPr>
        <w:pStyle w:val="LagtextIndrag"/>
      </w:pPr>
      <w:r w:rsidRPr="00C9680B">
        <w:t>Avdrag enligt första eller andra stycket får göras även för skatt på bränsle som sålts för förbrukning för växthusuppvärmning vid yrkesmässig växth</w:t>
      </w:r>
      <w:r w:rsidRPr="00C9680B">
        <w:t>u</w:t>
      </w:r>
      <w:r w:rsidRPr="00C9680B">
        <w:t>s-odling.</w:t>
      </w:r>
    </w:p>
    <w:p w:rsidR="001C7BF9" w:rsidRPr="00C9680B" w:rsidRDefault="001C7BF9">
      <w:pPr>
        <w:pStyle w:val="LagtextIndrag"/>
      </w:pPr>
      <w:r w:rsidRPr="00C9680B">
        <w:t>Bestämmelserna i första stycket gäller även sådan oljeprodukt som avses i 2 kap. 1 § första stycket 3 b och som förbrukats vid tillverkningsprocessen i gruvindustriell verksamhet för drift av andra motordrivna fordon än perso</w:t>
      </w:r>
      <w:r w:rsidRPr="00C9680B">
        <w:t>n</w:t>
      </w:r>
      <w:r w:rsidRPr="00C9680B">
        <w:t>bilar, lastbilar och bu</w:t>
      </w:r>
      <w:r w:rsidRPr="00C9680B">
        <w:t>s</w:t>
      </w:r>
      <w:r w:rsidRPr="00C9680B">
        <w:t>sar.</w:t>
      </w:r>
    </w:p>
    <w:p w:rsidR="001C7BF9" w:rsidRPr="00C9680B" w:rsidRDefault="001C7BF9">
      <w:pPr>
        <w:pStyle w:val="LagtextIndrag"/>
      </w:pPr>
      <w:r w:rsidRPr="00C9680B">
        <w:t>Har bränsle sålts för förbrukning till någon som meddelats ett beslut om preliminär skattesats enligt 9 kap. 9 b § får avdrag enligt tredje stycket göras enligt den lägre koldioxidskattesats eller, beträffande råtallolja, energiskatt</w:t>
      </w:r>
      <w:r w:rsidRPr="00C9680B">
        <w:t>e</w:t>
      </w:r>
      <w:r w:rsidRPr="00C9680B">
        <w:t>sats som följer av besl</w:t>
      </w:r>
      <w:r w:rsidRPr="00C9680B">
        <w:t>u</w:t>
      </w:r>
      <w:r w:rsidRPr="00C9680B">
        <w:t>tet.</w:t>
      </w:r>
    </w:p>
    <w:p w:rsidR="001C7BF9" w:rsidRPr="00C9680B" w:rsidRDefault="001C7BF9">
      <w:pPr>
        <w:pStyle w:val="LagtextIndrag"/>
      </w:pPr>
    </w:p>
    <w:p w:rsidR="001C7BF9" w:rsidRPr="00C9680B" w:rsidRDefault="001C7BF9">
      <w:pPr>
        <w:pStyle w:val="Lagtext"/>
        <w:jc w:val="center"/>
      </w:pPr>
      <w:r w:rsidRPr="00C9680B">
        <w:rPr>
          <w:b/>
        </w:rPr>
        <w:t>8 kap.</w:t>
      </w:r>
    </w:p>
    <w:p w:rsidR="001C7BF9" w:rsidRPr="00C9680B" w:rsidRDefault="001C7BF9">
      <w:pPr>
        <w:pStyle w:val="Lagtext"/>
        <w:jc w:val="center"/>
      </w:pPr>
      <w:r w:rsidRPr="00C9680B">
        <w:rPr>
          <w:b/>
        </w:rPr>
        <w:t>3 a §</w:t>
      </w:r>
      <w:r w:rsidRPr="00C9680B">
        <w:rPr>
          <w:rStyle w:val="Fotnotsreferens"/>
        </w:rPr>
        <w:footnoteReference w:id="13"/>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 xml:space="preserve">Annan än den som är registrerad som skattskyldig får köpa bränsle, dock inte bensin, råtallolja eller bränsle som avses i 2 kap. 1 § första stycket 3 b, utan energiskatt och </w:t>
            </w:r>
            <w:r w:rsidRPr="00C9680B">
              <w:rPr>
                <w:i/>
              </w:rPr>
              <w:t>hälften</w:t>
            </w:r>
            <w:r w:rsidRPr="00C9680B">
              <w:t xml:space="preserve"> </w:t>
            </w:r>
            <w:r w:rsidRPr="00C9680B">
              <w:rPr>
                <w:i/>
              </w:rPr>
              <w:t>av den koldioxidskatt</w:t>
            </w:r>
            <w:r w:rsidRPr="00C9680B">
              <w:t xml:space="preserve"> som följer av 2 kap. 1 § första stycket mot att han till leverantören lämnar en försäkran om att bränslet skall a</w:t>
            </w:r>
            <w:r w:rsidRPr="00C9680B">
              <w:t>n</w:t>
            </w:r>
            <w:r w:rsidRPr="00C9680B">
              <w:t>vändas för sådant ändamål som avses i 7 kap. 4 § tredje styc</w:t>
            </w:r>
            <w:r w:rsidRPr="00C9680B">
              <w:t>k</w:t>
            </w:r>
            <w:r w:rsidRPr="00C9680B">
              <w:t xml:space="preserve">et. </w:t>
            </w:r>
          </w:p>
          <w:p w:rsidR="001C7BF9" w:rsidRPr="00C9680B" w:rsidRDefault="001C7BF9">
            <w:pPr>
              <w:pStyle w:val="LagtextIndrag"/>
            </w:pPr>
            <w:r w:rsidRPr="00C9680B">
              <w:t>Bestämmelserna i första stycket tillämpas även på råtallolja, dock att detta bränsle får köpas med energi</w:t>
            </w:r>
            <w:r w:rsidRPr="00C9680B">
              <w:softHyphen/>
              <w:t>skatten nedsatt till ett belopp som motsv</w:t>
            </w:r>
            <w:r w:rsidRPr="00C9680B">
              <w:t>a</w:t>
            </w:r>
            <w:r w:rsidRPr="00C9680B">
              <w:t xml:space="preserve">rar </w:t>
            </w:r>
            <w:r w:rsidRPr="00C9680B">
              <w:rPr>
                <w:i/>
              </w:rPr>
              <w:t>hälften</w:t>
            </w:r>
            <w:r w:rsidRPr="00C9680B">
              <w:t xml:space="preserve"> av den koldioxid</w:t>
            </w:r>
            <w:r w:rsidRPr="00C9680B">
              <w:softHyphen/>
              <w:t>skatt som tas ut på bränsle som avses i 2 kap. 1 § första styc</w:t>
            </w:r>
            <w:r w:rsidRPr="00C9680B">
              <w:t>k</w:t>
            </w:r>
            <w:r w:rsidRPr="00C9680B">
              <w:t xml:space="preserve">et 3 a. </w:t>
            </w:r>
          </w:p>
        </w:tc>
        <w:tc>
          <w:tcPr>
            <w:tcW w:w="3090" w:type="dxa"/>
          </w:tcPr>
          <w:p w:rsidR="001C7BF9" w:rsidRPr="00C9680B" w:rsidRDefault="001C7BF9">
            <w:pPr>
              <w:pStyle w:val="LagtextIndrag"/>
            </w:pPr>
            <w:r w:rsidRPr="00C9680B">
              <w:t xml:space="preserve">Annan än den som är registrerad som skattskyldig får köpa bränsle, dock inte bensin, råtallolja eller bränsle som avses i 2 kap. 1 § första stycket 3 b, utan energiskatt och </w:t>
            </w:r>
            <w:r w:rsidRPr="00C9680B">
              <w:rPr>
                <w:i/>
              </w:rPr>
              <w:t>med koldioxidskatten nedsatt till 35 pr</w:t>
            </w:r>
            <w:r w:rsidRPr="00C9680B">
              <w:rPr>
                <w:i/>
              </w:rPr>
              <w:t>o</w:t>
            </w:r>
            <w:r w:rsidRPr="00C9680B">
              <w:rPr>
                <w:i/>
              </w:rPr>
              <w:t>cent av det belopp</w:t>
            </w:r>
            <w:r w:rsidRPr="00C9680B">
              <w:t xml:space="preserve"> som följer av 2 kap. 1 § första stycket mot att han till leverantören lämnar en försäkran om att bränslet skall användas för sådant ändamål som avses i 7 kap. 4 § tredje styc</w:t>
            </w:r>
            <w:r w:rsidRPr="00C9680B">
              <w:t>k</w:t>
            </w:r>
            <w:r w:rsidRPr="00C9680B">
              <w:t xml:space="preserve">et. </w:t>
            </w:r>
          </w:p>
          <w:p w:rsidR="001C7BF9" w:rsidRPr="00C9680B" w:rsidRDefault="001C7BF9">
            <w:pPr>
              <w:pStyle w:val="LagtextIndrag"/>
            </w:pPr>
            <w:r w:rsidRPr="00C9680B">
              <w:t>Bestämmelserna i första stycket tillämpas även på råtallolja, dock att detta bränsle får köpas med energi</w:t>
            </w:r>
            <w:r w:rsidRPr="00C9680B">
              <w:softHyphen/>
              <w:t xml:space="preserve">skatten nedsatt till ett belopp som motsvarar </w:t>
            </w:r>
            <w:r w:rsidRPr="00C9680B">
              <w:rPr>
                <w:i/>
              </w:rPr>
              <w:t>35 procent</w:t>
            </w:r>
            <w:r w:rsidRPr="00C9680B">
              <w:t xml:space="preserve"> av den kold</w:t>
            </w:r>
            <w:r w:rsidRPr="00C9680B">
              <w:t>i</w:t>
            </w:r>
            <w:r w:rsidRPr="00C9680B">
              <w:t xml:space="preserve">oxidskatt som tas ut på bränsle som avses i 2 kap. 1 § första stycket 3 a. </w:t>
            </w:r>
          </w:p>
        </w:tc>
      </w:tr>
    </w:tbl>
    <w:p w:rsidR="001C7BF9" w:rsidRPr="00C9680B" w:rsidRDefault="001C7BF9">
      <w:pPr>
        <w:pStyle w:val="LagtextIndrag"/>
      </w:pPr>
      <w:r w:rsidRPr="00C9680B">
        <w:t>Har beslut om preliminär skattesats meddelats enligt 9 kap. 9 b § får köp enligt första eller andra stycket ske till den lägre koldioxidskattesats eller, beträffande råtallolja, energiskattesats som följer av beslutet. I sådana fall skall beslutet om pr</w:t>
      </w:r>
      <w:r w:rsidRPr="00C9680B">
        <w:t>e</w:t>
      </w:r>
      <w:r w:rsidRPr="00C9680B">
        <w:t xml:space="preserve">liminär skattesats gälla som försäkran. </w:t>
      </w:r>
    </w:p>
    <w:p w:rsidR="001C7BF9" w:rsidRPr="00C9680B" w:rsidRDefault="001C7BF9">
      <w:pPr>
        <w:pStyle w:val="LagtextIndrag"/>
        <w:rPr>
          <w:b/>
          <w:sz w:val="24"/>
        </w:rPr>
      </w:pPr>
    </w:p>
    <w:p w:rsidR="001C7BF9" w:rsidRPr="00C9680B" w:rsidRDefault="001C7BF9">
      <w:pPr>
        <w:pStyle w:val="Lagtext"/>
        <w:jc w:val="center"/>
        <w:rPr>
          <w:b/>
        </w:rPr>
      </w:pPr>
      <w:r w:rsidRPr="00C9680B">
        <w:rPr>
          <w:b/>
        </w:rPr>
        <w:t>9 kap.</w:t>
      </w:r>
    </w:p>
    <w:p w:rsidR="001C7BF9" w:rsidRPr="00C9680B" w:rsidRDefault="001C7BF9">
      <w:pPr>
        <w:pStyle w:val="Lagtext"/>
        <w:jc w:val="center"/>
      </w:pPr>
      <w:r w:rsidRPr="00C9680B">
        <w:rPr>
          <w:b/>
        </w:rPr>
        <w:t>2 §</w:t>
      </w:r>
      <w:r w:rsidRPr="00C9680B">
        <w:rPr>
          <w:rStyle w:val="Fotnotsreferens"/>
        </w:rPr>
        <w:footnoteReference w:id="14"/>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Om någon som inte är skattskyldig har förbrukat bränsle, dock inte be</w:t>
            </w:r>
            <w:r w:rsidRPr="00C9680B">
              <w:t>n</w:t>
            </w:r>
            <w:r w:rsidRPr="00C9680B">
              <w:t>sin, råtallolja eller bränsle som avses i 2 kap. 1 § första stycket 3 b, för annat ändamål än drift av motordri</w:t>
            </w:r>
            <w:r w:rsidRPr="00C9680B">
              <w:t>v</w:t>
            </w:r>
            <w:r w:rsidRPr="00C9680B">
              <w:t>na fordon vid tillverknings</w:t>
            </w:r>
            <w:r w:rsidRPr="00C9680B">
              <w:softHyphen/>
              <w:t>processen i industriell verksamhet, i annan yrkesmässig jordbruksverk</w:t>
            </w:r>
            <w:r w:rsidRPr="00C9680B">
              <w:softHyphen/>
              <w:t>samhet än växthusupp</w:t>
            </w:r>
            <w:r w:rsidRPr="00C9680B">
              <w:softHyphen/>
              <w:t>värmning vid växthuso</w:t>
            </w:r>
            <w:r w:rsidRPr="00C9680B">
              <w:t>d</w:t>
            </w:r>
            <w:r w:rsidRPr="00C9680B">
              <w:t>ling eller i yrkesmässig skogsbruks- eller vatten</w:t>
            </w:r>
            <w:r w:rsidRPr="00C9680B">
              <w:softHyphen/>
              <w:t>bruks</w:t>
            </w:r>
            <w:r w:rsidRPr="00C9680B">
              <w:softHyphen/>
              <w:t>verk</w:t>
            </w:r>
            <w:r w:rsidRPr="00C9680B">
              <w:softHyphen/>
              <w:t>samhet, medger be</w:t>
            </w:r>
            <w:r w:rsidRPr="00C9680B">
              <w:softHyphen/>
              <w:t>skattnings</w:t>
            </w:r>
            <w:r w:rsidRPr="00C9680B">
              <w:softHyphen/>
              <w:t>myndig</w:t>
            </w:r>
            <w:r w:rsidRPr="00C9680B">
              <w:softHyphen/>
              <w:t>heten efter ans</w:t>
            </w:r>
            <w:r w:rsidRPr="00C9680B">
              <w:t>ö</w:t>
            </w:r>
            <w:r w:rsidRPr="00C9680B">
              <w:t>kan åter</w:t>
            </w:r>
            <w:r w:rsidRPr="00C9680B">
              <w:softHyphen/>
              <w:t xml:space="preserve">betalning av energiskatten och </w:t>
            </w:r>
            <w:r w:rsidRPr="00C9680B">
              <w:rPr>
                <w:i/>
              </w:rPr>
              <w:t>hälften</w:t>
            </w:r>
            <w:r w:rsidRPr="00C9680B">
              <w:t xml:space="preserve"> av kol</w:t>
            </w:r>
            <w:r w:rsidRPr="00C9680B">
              <w:softHyphen/>
              <w:t xml:space="preserve">dioxidskatten på bränslet. </w:t>
            </w:r>
          </w:p>
          <w:p w:rsidR="001C7BF9" w:rsidRPr="00C9680B" w:rsidRDefault="001C7BF9">
            <w:pPr>
              <w:pStyle w:val="LagtextIndrag"/>
            </w:pPr>
            <w:r w:rsidRPr="00C9680B">
              <w:t xml:space="preserve">Bestämmelserna i första stycket tillämpas även på råtallolja, </w:t>
            </w:r>
            <w:r w:rsidRPr="00C9680B">
              <w:t xml:space="preserve">dock att återbetalning medges av energiskatt till ett belopp som motsvarar den energiskatt och </w:t>
            </w:r>
            <w:r w:rsidRPr="00C9680B">
              <w:rPr>
                <w:i/>
              </w:rPr>
              <w:t>hälften</w:t>
            </w:r>
            <w:r w:rsidRPr="00C9680B">
              <w:t xml:space="preserve"> av den kold</w:t>
            </w:r>
            <w:r w:rsidRPr="00C9680B">
              <w:t>i</w:t>
            </w:r>
            <w:r w:rsidRPr="00C9680B">
              <w:t xml:space="preserve">oxidskatt som tas ut på bränsle som avses i 2 kap. 1 § första stycket 3 a. </w:t>
            </w:r>
          </w:p>
        </w:tc>
        <w:tc>
          <w:tcPr>
            <w:tcW w:w="3090" w:type="dxa"/>
          </w:tcPr>
          <w:p w:rsidR="001C7BF9" w:rsidRPr="00C9680B" w:rsidRDefault="001C7BF9">
            <w:pPr>
              <w:pStyle w:val="LagtextIndrag"/>
            </w:pPr>
            <w:r w:rsidRPr="00C9680B">
              <w:t>Om någon som inte är skattskyldig har förbrukat bränsle, dock inte be</w:t>
            </w:r>
            <w:r w:rsidRPr="00C9680B">
              <w:t>n</w:t>
            </w:r>
            <w:r w:rsidRPr="00C9680B">
              <w:t>sin, råtallolja eller bränsle som avses i 2 kap. 1 § första stycket 3 b, för annat ändamål än drift av motordri</w:t>
            </w:r>
            <w:r w:rsidRPr="00C9680B">
              <w:t>v</w:t>
            </w:r>
            <w:r w:rsidRPr="00C9680B">
              <w:t>na fordon vid tillverknings</w:t>
            </w:r>
            <w:r w:rsidRPr="00C9680B">
              <w:softHyphen/>
              <w:t>processen i industriell verksamhet, i annan yrkesmässig jordbruksverk</w:t>
            </w:r>
            <w:r w:rsidRPr="00C9680B">
              <w:softHyphen/>
              <w:t>samhet än växthusupp</w:t>
            </w:r>
            <w:r w:rsidRPr="00C9680B">
              <w:softHyphen/>
              <w:t>värmning vid växthuso</w:t>
            </w:r>
            <w:r w:rsidRPr="00C9680B">
              <w:t>d</w:t>
            </w:r>
            <w:r w:rsidRPr="00C9680B">
              <w:t>ling eller i yrkesmässig skogsbruks- eller vatten</w:t>
            </w:r>
            <w:r w:rsidRPr="00C9680B">
              <w:softHyphen/>
              <w:t>bruks</w:t>
            </w:r>
            <w:r w:rsidRPr="00C9680B">
              <w:softHyphen/>
              <w:t>verk</w:t>
            </w:r>
            <w:r w:rsidRPr="00C9680B">
              <w:softHyphen/>
              <w:t>samhet, medger be</w:t>
            </w:r>
            <w:r w:rsidRPr="00C9680B">
              <w:softHyphen/>
              <w:t>skatt</w:t>
            </w:r>
            <w:r w:rsidRPr="00C9680B">
              <w:softHyphen/>
              <w:t>nings</w:t>
            </w:r>
            <w:r w:rsidRPr="00C9680B">
              <w:softHyphen/>
              <w:t>myndig</w:t>
            </w:r>
            <w:r w:rsidRPr="00C9680B">
              <w:softHyphen/>
              <w:t>heten efter ans</w:t>
            </w:r>
            <w:r w:rsidRPr="00C9680B">
              <w:t>ö</w:t>
            </w:r>
            <w:r w:rsidRPr="00C9680B">
              <w:t>kan åter</w:t>
            </w:r>
            <w:r w:rsidRPr="00C9680B">
              <w:softHyphen/>
              <w:t xml:space="preserve">betalning av energiskatten och </w:t>
            </w:r>
            <w:r w:rsidRPr="00C9680B">
              <w:rPr>
                <w:i/>
              </w:rPr>
              <w:t>65 procent</w:t>
            </w:r>
            <w:r w:rsidRPr="00C9680B">
              <w:t xml:space="preserve"> av kol</w:t>
            </w:r>
            <w:r w:rsidRPr="00C9680B">
              <w:softHyphen/>
              <w:t>dioxidskatten på brän</w:t>
            </w:r>
            <w:r w:rsidRPr="00C9680B">
              <w:t>s</w:t>
            </w:r>
            <w:r w:rsidRPr="00C9680B">
              <w:t xml:space="preserve">let. </w:t>
            </w:r>
          </w:p>
          <w:p w:rsidR="001C7BF9" w:rsidRPr="00C9680B" w:rsidRDefault="001C7BF9">
            <w:pPr>
              <w:pStyle w:val="LagtextIndrag"/>
            </w:pPr>
            <w:r w:rsidRPr="00C9680B">
              <w:t>Bestämmelserna i första stycket tillämpas även på råtallol</w:t>
            </w:r>
            <w:r w:rsidRPr="00C9680B">
              <w:t xml:space="preserve">ja, dock att återbetalning medges av energiskatt till ett belopp som motsvarar den energiskatt och </w:t>
            </w:r>
            <w:r w:rsidRPr="00C9680B">
              <w:rPr>
                <w:i/>
              </w:rPr>
              <w:t>65 procent</w:t>
            </w:r>
            <w:r w:rsidRPr="00C9680B">
              <w:t xml:space="preserve"> av den koldioxidskatt som tas ut på bränsle som avses i 2 kap. 1 § första stycket 3 a. </w:t>
            </w:r>
          </w:p>
        </w:tc>
      </w:tr>
    </w:tbl>
    <w:p w:rsidR="001C7BF9" w:rsidRPr="00C9680B" w:rsidRDefault="001C7BF9">
      <w:pPr>
        <w:pStyle w:val="LagtextIndrag"/>
      </w:pPr>
      <w:r w:rsidRPr="00C9680B">
        <w:t>Har beslut om preliminär skattesats meddelats enligt 9 kap. 9 b § får åte</w:t>
      </w:r>
      <w:r w:rsidRPr="00C9680B">
        <w:t>r</w:t>
      </w:r>
      <w:r w:rsidRPr="00C9680B">
        <w:t>betalning enligt första eller andra stycket medges enligt den lägre koldioxid</w:t>
      </w:r>
      <w:r w:rsidRPr="00C9680B">
        <w:softHyphen/>
        <w:t>skattesats eller, beträffande råtallolja, energiskattesats som följer av beslutet.</w:t>
      </w:r>
    </w:p>
    <w:p w:rsidR="001C7BF9" w:rsidRPr="00C9680B" w:rsidRDefault="001C7BF9">
      <w:pPr>
        <w:pStyle w:val="LagtextIndrag"/>
      </w:pPr>
    </w:p>
    <w:p w:rsidR="001C7BF9" w:rsidRPr="00C9680B" w:rsidRDefault="001C7BF9">
      <w:pPr>
        <w:pStyle w:val="Lagtext"/>
        <w:jc w:val="center"/>
      </w:pPr>
      <w:r w:rsidRPr="00C9680B">
        <w:rPr>
          <w:b/>
        </w:rPr>
        <w:t>5 §</w:t>
      </w:r>
      <w:r w:rsidRPr="00C9680B">
        <w:rPr>
          <w:rStyle w:val="Fotnotsreferens"/>
        </w:rPr>
        <w:footnoteReference w:id="15"/>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Om värme har levererats för til</w:t>
            </w:r>
            <w:r w:rsidRPr="00C9680B">
              <w:t>l</w:t>
            </w:r>
            <w:r w:rsidRPr="00C9680B">
              <w:t>verkningsprocessen i industriell verksamhet eller för yrkesmässig jordbruks-, skogsbruks- eller va</w:t>
            </w:r>
            <w:r w:rsidRPr="00C9680B">
              <w:t>t</w:t>
            </w:r>
            <w:r w:rsidRPr="00C9680B">
              <w:t>ten</w:t>
            </w:r>
            <w:r w:rsidRPr="00C9680B">
              <w:softHyphen/>
              <w:t>bruksverksamhet, medger b</w:t>
            </w:r>
            <w:r w:rsidRPr="00C9680B">
              <w:t>e</w:t>
            </w:r>
            <w:r w:rsidRPr="00C9680B">
              <w:t>skatt</w:t>
            </w:r>
            <w:r w:rsidRPr="00C9680B">
              <w:softHyphen/>
              <w:t>ningsmyndigheten efter ansökan av den som framställt värmen åter</w:t>
            </w:r>
            <w:r w:rsidRPr="00C9680B">
              <w:softHyphen/>
              <w:t>beta</w:t>
            </w:r>
            <w:r w:rsidRPr="00C9680B">
              <w:t>l</w:t>
            </w:r>
            <w:r w:rsidRPr="00C9680B">
              <w:t xml:space="preserve">ning av </w:t>
            </w:r>
          </w:p>
          <w:p w:rsidR="001C7BF9" w:rsidRPr="00C9680B" w:rsidRDefault="001C7BF9">
            <w:pPr>
              <w:pStyle w:val="LagtextIndrag"/>
            </w:pPr>
            <w:r w:rsidRPr="00C9680B">
              <w:t xml:space="preserve">1. energiskatten på elektrisk kraft, och </w:t>
            </w:r>
          </w:p>
          <w:p w:rsidR="001C7BF9" w:rsidRPr="00C9680B" w:rsidRDefault="001C7BF9">
            <w:pPr>
              <w:pStyle w:val="LagtextIndrag"/>
            </w:pPr>
            <w:r w:rsidRPr="00C9680B">
              <w:t xml:space="preserve">2. energiskatten och </w:t>
            </w:r>
            <w:r w:rsidRPr="00C9680B">
              <w:rPr>
                <w:i/>
              </w:rPr>
              <w:t>hälften</w:t>
            </w:r>
            <w:r w:rsidRPr="00C9680B">
              <w:t xml:space="preserve"> av koldioxidskatten på bränsle, dock inte bensin, råtallolja eller bränsle som avses i 2 kap. 1 § första stycket 3 b, som förbrukats vid framställning av vä</w:t>
            </w:r>
            <w:r w:rsidRPr="00C9680B">
              <w:t>r</w:t>
            </w:r>
            <w:r w:rsidRPr="00C9680B">
              <w:t xml:space="preserve">men. </w:t>
            </w:r>
          </w:p>
          <w:p w:rsidR="001C7BF9" w:rsidRPr="00C9680B" w:rsidRDefault="001C7BF9">
            <w:pPr>
              <w:pStyle w:val="LagtextIndrag"/>
            </w:pPr>
            <w:r w:rsidRPr="00C9680B">
              <w:t xml:space="preserve">Bestämmelserna i första stycket 2 tillämpas även på råtallolja, dock att återbetalning av energiskatt medges till ett belopp som motsvarar den energiskatt och </w:t>
            </w:r>
            <w:r w:rsidRPr="00C9680B">
              <w:rPr>
                <w:i/>
              </w:rPr>
              <w:t>hälften</w:t>
            </w:r>
            <w:r w:rsidRPr="00C9680B">
              <w:t xml:space="preserve"> av den kold</w:t>
            </w:r>
            <w:r w:rsidRPr="00C9680B">
              <w:t>i</w:t>
            </w:r>
            <w:r w:rsidRPr="00C9680B">
              <w:t>oxidskatt som tas ut på bränsle som avses i 2 kap. 1 § första stycket 3 a.</w:t>
            </w:r>
          </w:p>
        </w:tc>
        <w:tc>
          <w:tcPr>
            <w:tcW w:w="3090" w:type="dxa"/>
          </w:tcPr>
          <w:p w:rsidR="001C7BF9" w:rsidRPr="00C9680B" w:rsidRDefault="001C7BF9">
            <w:pPr>
              <w:pStyle w:val="LagtextIndrag"/>
            </w:pPr>
            <w:r w:rsidRPr="00C9680B">
              <w:t>Om värme har levererats för til</w:t>
            </w:r>
            <w:r w:rsidRPr="00C9680B">
              <w:t>l</w:t>
            </w:r>
            <w:r w:rsidRPr="00C9680B">
              <w:t>verkningsprocessen i industriell verksamhet eller för yrkesmässig jordbruks-, skogsbruks- eller va</w:t>
            </w:r>
            <w:r w:rsidRPr="00C9680B">
              <w:t>t</w:t>
            </w:r>
            <w:r w:rsidRPr="00C9680B">
              <w:t>ten</w:t>
            </w:r>
            <w:r w:rsidRPr="00C9680B">
              <w:softHyphen/>
              <w:t>bruksverksamhet, medger b</w:t>
            </w:r>
            <w:r w:rsidRPr="00C9680B">
              <w:t>e</w:t>
            </w:r>
            <w:r w:rsidRPr="00C9680B">
              <w:t>skatt</w:t>
            </w:r>
            <w:r w:rsidRPr="00C9680B">
              <w:softHyphen/>
              <w:t>ningsmyndigheten efter ansökan av den som framställt värmen åter</w:t>
            </w:r>
            <w:r w:rsidRPr="00C9680B">
              <w:softHyphen/>
              <w:t>beta</w:t>
            </w:r>
            <w:r w:rsidRPr="00C9680B">
              <w:t>l</w:t>
            </w:r>
            <w:r w:rsidRPr="00C9680B">
              <w:t xml:space="preserve">ning av </w:t>
            </w:r>
          </w:p>
          <w:p w:rsidR="001C7BF9" w:rsidRPr="00C9680B" w:rsidRDefault="001C7BF9">
            <w:pPr>
              <w:pStyle w:val="LagtextIndrag"/>
            </w:pPr>
            <w:r w:rsidRPr="00C9680B">
              <w:t xml:space="preserve">1. energiskatten på elektrisk kraft, och </w:t>
            </w:r>
          </w:p>
          <w:p w:rsidR="001C7BF9" w:rsidRPr="00C9680B" w:rsidRDefault="001C7BF9">
            <w:pPr>
              <w:pStyle w:val="LagtextIndrag"/>
            </w:pPr>
            <w:r w:rsidRPr="00C9680B">
              <w:t xml:space="preserve">2. energiskatten och </w:t>
            </w:r>
            <w:r w:rsidRPr="00C9680B">
              <w:rPr>
                <w:i/>
              </w:rPr>
              <w:t>65 procent</w:t>
            </w:r>
            <w:r w:rsidRPr="00C9680B">
              <w:t xml:space="preserve"> av koldioxidskatten på bränsle, dock inte bensin, råtallolja eller bränsle som avses i 2 kap. 1 § första stycket 3 b, som förbrukats vid framställning av värmen. </w:t>
            </w:r>
          </w:p>
          <w:p w:rsidR="001C7BF9" w:rsidRPr="00C9680B" w:rsidRDefault="001C7BF9">
            <w:pPr>
              <w:pStyle w:val="LagtextIndrag"/>
            </w:pPr>
            <w:r w:rsidRPr="00C9680B">
              <w:t xml:space="preserve">Bestämmelserna i första stycket 2 tillämpas även på råtallolja, dock att återbetalning av energiskatt medges till ett belopp som motsvarar den energiskatt och </w:t>
            </w:r>
            <w:r w:rsidRPr="00C9680B">
              <w:rPr>
                <w:i/>
              </w:rPr>
              <w:t>65 procent</w:t>
            </w:r>
            <w:r w:rsidRPr="00C9680B">
              <w:t xml:space="preserve"> av den koldioxidskatt som tas ut på bränsle som avses i 2 kap. 1 § första stycket 3 a. </w:t>
            </w:r>
          </w:p>
        </w:tc>
      </w:tr>
    </w:tbl>
    <w:p w:rsidR="001C7BF9" w:rsidRPr="00C9680B" w:rsidRDefault="001C7BF9">
      <w:pPr>
        <w:pStyle w:val="LagtextIndrag"/>
      </w:pPr>
      <w:r w:rsidRPr="00C9680B">
        <w:t>Har beslut om preliminär skattesats meddelats enligt 9 kap. 9 b § medges återbetalning enligt den lägre koldioxidskattesats eller, beträffande råtallolja, energiskatt</w:t>
      </w:r>
      <w:r w:rsidRPr="00C9680B">
        <w:t>e</w:t>
      </w:r>
      <w:r w:rsidRPr="00C9680B">
        <w:t>sats som följer av beslutet.</w:t>
      </w:r>
    </w:p>
    <w:p w:rsidR="001C7BF9" w:rsidRPr="00C9680B" w:rsidRDefault="001C7BF9">
      <w:pPr>
        <w:pStyle w:val="LagtextIndrag"/>
      </w:pPr>
    </w:p>
    <w:p w:rsidR="001C7BF9" w:rsidRPr="00C9680B" w:rsidRDefault="001C7BF9">
      <w:pPr>
        <w:pStyle w:val="LagtextIndrag"/>
      </w:pPr>
    </w:p>
    <w:p w:rsidR="001C7BF9" w:rsidRPr="00C9680B" w:rsidRDefault="001C7BF9">
      <w:pPr>
        <w:pStyle w:val="LagtextIndrag"/>
      </w:pPr>
    </w:p>
    <w:p w:rsidR="001C7BF9" w:rsidRPr="00C9680B" w:rsidRDefault="001C7BF9">
      <w:pPr>
        <w:pStyle w:val="LagtextIndrag"/>
      </w:pPr>
    </w:p>
    <w:p w:rsidR="001C7BF9" w:rsidRPr="00C9680B" w:rsidRDefault="001C7BF9">
      <w:pPr>
        <w:pStyle w:val="Lagtext"/>
        <w:jc w:val="center"/>
      </w:pPr>
      <w:r w:rsidRPr="00C9680B">
        <w:rPr>
          <w:b/>
        </w:rPr>
        <w:t>11 kap.</w:t>
      </w:r>
    </w:p>
    <w:p w:rsidR="001C7BF9" w:rsidRPr="00C9680B" w:rsidRDefault="001C7BF9">
      <w:pPr>
        <w:pStyle w:val="Lagtext"/>
        <w:jc w:val="center"/>
      </w:pPr>
      <w:r w:rsidRPr="00C9680B">
        <w:rPr>
          <w:b/>
        </w:rPr>
        <w:t>3 §</w:t>
      </w:r>
      <w:r w:rsidRPr="00C9680B">
        <w:rPr>
          <w:rStyle w:val="Fotnotsreferens"/>
        </w:rPr>
        <w:footnoteReference w:id="16"/>
      </w:r>
    </w:p>
    <w:p w:rsidR="001C7BF9" w:rsidRPr="00C9680B" w:rsidRDefault="001C7BF9">
      <w:pPr>
        <w:pStyle w:val="LagtextIndrag"/>
      </w:pPr>
      <w:r w:rsidRPr="00C9680B">
        <w:t>Energiskatten utgör</w:t>
      </w:r>
    </w:p>
    <w:p w:rsidR="001C7BF9" w:rsidRPr="00C9680B" w:rsidRDefault="001C7BF9">
      <w:pPr>
        <w:pStyle w:val="LagtextIndrag"/>
      </w:pPr>
      <w:r w:rsidRPr="00C9680B">
        <w:t>1. 0 öre per kilowattimme för elektrisk kraft som förbrukas i industriell verksa</w:t>
      </w:r>
      <w:r w:rsidRPr="00C9680B">
        <w:t>m</w:t>
      </w:r>
      <w:r w:rsidRPr="00C9680B">
        <w:t>het i tillverkningsprocessen eller vid yrkesmässig växthusodling,</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 xml:space="preserve">2. </w:t>
            </w:r>
            <w:r w:rsidRPr="00C9680B">
              <w:rPr>
                <w:i/>
              </w:rPr>
              <w:t>10,6</w:t>
            </w:r>
            <w:r w:rsidRPr="00C9680B">
              <w:t xml:space="preserve"> öre per kilowattimme för annan elektrisk kraft än som avses under 1 och som förbr</w:t>
            </w:r>
            <w:r w:rsidRPr="00C9680B">
              <w:t>u</w:t>
            </w:r>
            <w:r w:rsidRPr="00C9680B">
              <w:t>kas i kom</w:t>
            </w:r>
            <w:r w:rsidRPr="00C9680B">
              <w:softHyphen/>
              <w:t>muner som anges i 4 §,</w:t>
            </w:r>
          </w:p>
          <w:p w:rsidR="001C7BF9" w:rsidRPr="00C9680B" w:rsidRDefault="001C7BF9">
            <w:pPr>
              <w:pStyle w:val="LagtextIndrag"/>
            </w:pPr>
            <w:r w:rsidRPr="00C9680B">
              <w:t xml:space="preserve">3. </w:t>
            </w:r>
            <w:r w:rsidRPr="00C9680B">
              <w:rPr>
                <w:i/>
              </w:rPr>
              <w:t>13,9</w:t>
            </w:r>
            <w:r w:rsidRPr="00C9680B">
              <w:t xml:space="preserve"> öre per kilowattimme för elektrisk kraft som förbrukas för el-, gas-, värme- eller vattenförsörjning i andra kommuner  än de som anges i 4 §, och</w:t>
            </w:r>
          </w:p>
          <w:p w:rsidR="001C7BF9" w:rsidRPr="00C9680B" w:rsidRDefault="001C7BF9">
            <w:pPr>
              <w:pStyle w:val="LagtextIndrag"/>
            </w:pPr>
            <w:r w:rsidRPr="00C9680B">
              <w:t xml:space="preserve">4. </w:t>
            </w:r>
            <w:r w:rsidRPr="00C9680B">
              <w:rPr>
                <w:i/>
              </w:rPr>
              <w:t>16,2</w:t>
            </w:r>
            <w:r w:rsidRPr="00C9680B">
              <w:t xml:space="preserve"> öre per kilowattimme för elektrisk kraft som förbrukas i övriga fall.</w:t>
            </w:r>
          </w:p>
        </w:tc>
        <w:tc>
          <w:tcPr>
            <w:tcW w:w="3090" w:type="dxa"/>
          </w:tcPr>
          <w:p w:rsidR="001C7BF9" w:rsidRPr="00C9680B" w:rsidRDefault="001C7BF9">
            <w:pPr>
              <w:pStyle w:val="LagtextIndrag"/>
            </w:pPr>
            <w:r w:rsidRPr="00C9680B">
              <w:t xml:space="preserve">2. </w:t>
            </w:r>
            <w:r w:rsidRPr="00C9680B">
              <w:rPr>
                <w:i/>
              </w:rPr>
              <w:t>12,5</w:t>
            </w:r>
            <w:r w:rsidRPr="00C9680B">
              <w:t xml:space="preserve"> öre per kilowattimme för annan elektrisk kraft än som avses under 1 och som förbr</w:t>
            </w:r>
            <w:r w:rsidRPr="00C9680B">
              <w:t>u</w:t>
            </w:r>
            <w:r w:rsidRPr="00C9680B">
              <w:t>kas i kom</w:t>
            </w:r>
            <w:r w:rsidRPr="00C9680B">
              <w:softHyphen/>
              <w:t>muner som anges i 4 §,</w:t>
            </w:r>
          </w:p>
          <w:p w:rsidR="001C7BF9" w:rsidRPr="00C9680B" w:rsidRDefault="001C7BF9">
            <w:pPr>
              <w:pStyle w:val="LagtextIndrag"/>
            </w:pPr>
            <w:r w:rsidRPr="00C9680B">
              <w:t xml:space="preserve">3. </w:t>
            </w:r>
            <w:r w:rsidRPr="00C9680B">
              <w:rPr>
                <w:i/>
              </w:rPr>
              <w:t>15,8</w:t>
            </w:r>
            <w:r w:rsidRPr="00C9680B">
              <w:t xml:space="preserve"> öre per kilowattimme för elektrisk kraft som förbrukas för el-, gas-, värme- eller vattenförsörjning i andra kommuner  än de som anges i 4 §, och</w:t>
            </w:r>
          </w:p>
          <w:p w:rsidR="001C7BF9" w:rsidRPr="00C9680B" w:rsidRDefault="001C7BF9">
            <w:pPr>
              <w:pStyle w:val="LagtextIndrag"/>
            </w:pPr>
            <w:r w:rsidRPr="00C9680B">
              <w:t xml:space="preserve">4. </w:t>
            </w:r>
            <w:r w:rsidRPr="00C9680B">
              <w:rPr>
                <w:i/>
              </w:rPr>
              <w:t>18,1</w:t>
            </w:r>
            <w:r w:rsidRPr="00C9680B">
              <w:t xml:space="preserve"> öre per kilowattimme för elektrisk kraft som förbrukas i övriga fall.</w:t>
            </w:r>
          </w:p>
        </w:tc>
      </w:tr>
    </w:tbl>
    <w:p w:rsidR="001C7BF9" w:rsidRPr="00C9680B" w:rsidRDefault="001C7BF9">
      <w:pPr>
        <w:pStyle w:val="LagtextIndrag"/>
      </w:pPr>
      <w:r w:rsidRPr="00C9680B">
        <w:t>För elektrisk kraft som under tiden den 1 november–den 31 mars förbrukas i elektriska pannor som ingår i en elpanneanläggning vars installerade effekt överst</w:t>
      </w:r>
      <w:r w:rsidRPr="00C9680B">
        <w:t>i</w:t>
      </w:r>
      <w:r w:rsidRPr="00C9680B">
        <w:t>ger 2 megawatt, utgör dock energiskatten</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 xml:space="preserve">1. </w:t>
            </w:r>
            <w:r w:rsidRPr="00C9680B">
              <w:rPr>
                <w:i/>
              </w:rPr>
              <w:t>12,9</w:t>
            </w:r>
            <w:r w:rsidRPr="00C9680B">
              <w:t xml:space="preserve"> öre per kilowattimme vid förbrukning i kommuner som anges i 4 § för annat ändamål än industriell verksamhet i tillverkningsprocessen eller yrkesmässig växth</w:t>
            </w:r>
            <w:r w:rsidRPr="00C9680B">
              <w:t>u</w:t>
            </w:r>
            <w:r w:rsidRPr="00C9680B">
              <w:t>sodling, och</w:t>
            </w:r>
          </w:p>
          <w:p w:rsidR="001C7BF9" w:rsidRPr="00C9680B" w:rsidRDefault="001C7BF9">
            <w:pPr>
              <w:pStyle w:val="LagtextIndrag"/>
            </w:pPr>
            <w:r w:rsidRPr="00C9680B">
              <w:t xml:space="preserve">2. </w:t>
            </w:r>
            <w:r w:rsidRPr="00C9680B">
              <w:rPr>
                <w:i/>
              </w:rPr>
              <w:t>16,2</w:t>
            </w:r>
            <w:r w:rsidRPr="00C9680B">
              <w:t xml:space="preserve"> öre per kilowattimme vid förbrukning för el-, gas-, värme- eller vattenförsörjning i andra kommuner än de som anges i 4 §.</w:t>
            </w:r>
          </w:p>
          <w:p w:rsidR="001C7BF9" w:rsidRPr="00C9680B" w:rsidRDefault="001C7BF9">
            <w:pPr>
              <w:pStyle w:val="LagtextIndrag"/>
            </w:pPr>
            <w:r w:rsidRPr="00C9680B">
              <w:t xml:space="preserve">För kalenderåret </w:t>
            </w:r>
            <w:r w:rsidRPr="00C9680B">
              <w:rPr>
                <w:i/>
              </w:rPr>
              <w:t>2001</w:t>
            </w:r>
            <w:r w:rsidRPr="00C9680B">
              <w:t xml:space="preserve"> och efte</w:t>
            </w:r>
            <w:r w:rsidRPr="00C9680B">
              <w:t>r</w:t>
            </w:r>
            <w:r w:rsidRPr="00C9680B">
              <w:t>följande kalenderår skall de i första och andra styckena angivna skatt</w:t>
            </w:r>
            <w:r w:rsidRPr="00C9680B">
              <w:t>e</w:t>
            </w:r>
            <w:r w:rsidRPr="00C9680B">
              <w:t>beloppen räknas om på det sätt som i fråga om skatt på bränslen anges i 2 kap. 10 §. Belopp som anges i tiondels ören skall dock avrundas till hela tiondels ören.</w:t>
            </w:r>
          </w:p>
        </w:tc>
        <w:tc>
          <w:tcPr>
            <w:tcW w:w="3090" w:type="dxa"/>
          </w:tcPr>
          <w:p w:rsidR="001C7BF9" w:rsidRPr="00C9680B" w:rsidRDefault="001C7BF9">
            <w:pPr>
              <w:pStyle w:val="LagtextIndrag"/>
            </w:pPr>
            <w:r w:rsidRPr="00C9680B">
              <w:t xml:space="preserve">1. </w:t>
            </w:r>
            <w:r w:rsidRPr="00C9680B">
              <w:rPr>
                <w:i/>
              </w:rPr>
              <w:t>14,8</w:t>
            </w:r>
            <w:r w:rsidRPr="00C9680B">
              <w:t xml:space="preserve"> öre per kilowattimme vid förbrukning i kommuner som anges i 4 § för annat ändamål än industriell verksamhet i tillverkningsprocessen eller yrkesmässig växth</w:t>
            </w:r>
            <w:r w:rsidRPr="00C9680B">
              <w:t>u</w:t>
            </w:r>
            <w:r w:rsidRPr="00C9680B">
              <w:t>sodling, och</w:t>
            </w:r>
          </w:p>
          <w:p w:rsidR="001C7BF9" w:rsidRPr="00C9680B" w:rsidRDefault="001C7BF9">
            <w:pPr>
              <w:pStyle w:val="LagtextIndrag"/>
            </w:pPr>
            <w:r w:rsidRPr="00C9680B">
              <w:t xml:space="preserve">2. </w:t>
            </w:r>
            <w:r w:rsidRPr="00C9680B">
              <w:rPr>
                <w:i/>
              </w:rPr>
              <w:t xml:space="preserve">18,1 </w:t>
            </w:r>
            <w:r w:rsidRPr="00C9680B">
              <w:t>öre per kilowattimme vid förbrukning för el-, gas-, värme- eller vattenförsörjning i andra kommuner än de som anges i 4 §.</w:t>
            </w:r>
          </w:p>
          <w:p w:rsidR="001C7BF9" w:rsidRPr="00C9680B" w:rsidRDefault="001C7BF9">
            <w:pPr>
              <w:pStyle w:val="LagtextIndrag"/>
            </w:pPr>
            <w:r w:rsidRPr="00C9680B">
              <w:t xml:space="preserve">För kalenderåret </w:t>
            </w:r>
            <w:r w:rsidRPr="00C9680B">
              <w:rPr>
                <w:i/>
              </w:rPr>
              <w:t>2002</w:t>
            </w:r>
            <w:r w:rsidRPr="00C9680B">
              <w:t xml:space="preserve"> och efte</w:t>
            </w:r>
            <w:r w:rsidRPr="00C9680B">
              <w:t>r</w:t>
            </w:r>
            <w:r w:rsidRPr="00C9680B">
              <w:t>följande kalenderår skall de i första och andra styckena angivna skatt</w:t>
            </w:r>
            <w:r w:rsidRPr="00C9680B">
              <w:t>e</w:t>
            </w:r>
            <w:r w:rsidRPr="00C9680B">
              <w:t>beloppen räknas om på det sätt som i fråga om skatt på bränslen anges i 2 kap. 10 §. Belopp som anges i tiondels ören skall dock avrundas till hela t</w:t>
            </w:r>
            <w:r w:rsidRPr="00C9680B">
              <w:t>i</w:t>
            </w:r>
            <w:r w:rsidRPr="00C9680B">
              <w:t>ondels ören.</w:t>
            </w:r>
          </w:p>
        </w:tc>
      </w:tr>
      <w:tr w:rsidR="00000000" w:rsidRPr="00C9680B">
        <w:tblPrEx>
          <w:tblCellMar>
            <w:top w:w="0" w:type="dxa"/>
            <w:bottom w:w="0" w:type="dxa"/>
          </w:tblCellMar>
        </w:tblPrEx>
        <w:tc>
          <w:tcPr>
            <w:tcW w:w="6180" w:type="dxa"/>
            <w:gridSpan w:val="2"/>
          </w:tcPr>
          <w:p w:rsidR="001C7BF9" w:rsidRPr="00C9680B" w:rsidRDefault="001C7BF9">
            <w:pPr>
              <w:pStyle w:val="LagtextIndrag"/>
              <w:jc w:val="center"/>
            </w:pPr>
          </w:p>
          <w:p w:rsidR="001C7BF9" w:rsidRPr="00C9680B" w:rsidRDefault="001C7BF9">
            <w:pPr>
              <w:pStyle w:val="LagtextIndrag"/>
              <w:jc w:val="center"/>
            </w:pPr>
            <w:r w:rsidRPr="00C9680B">
              <w:rPr>
                <w:b/>
              </w:rPr>
              <w:t>Övergångsbestämmelserna</w:t>
            </w:r>
          </w:p>
          <w:p w:rsidR="001C7BF9" w:rsidRPr="00C9680B" w:rsidRDefault="001C7BF9">
            <w:pPr>
              <w:pStyle w:val="LagtextIndrag"/>
              <w:jc w:val="center"/>
            </w:pPr>
            <w:r w:rsidRPr="00C9680B">
              <w:rPr>
                <w:b/>
              </w:rPr>
              <w:t>2.</w:t>
            </w:r>
            <w:r w:rsidRPr="00C9680B">
              <w:rPr>
                <w:rStyle w:val="Fotnotsreferens"/>
              </w:rPr>
              <w:footnoteReference w:id="17"/>
            </w:r>
          </w:p>
        </w:tc>
      </w:tr>
      <w:tr w:rsidR="00000000" w:rsidRPr="00C9680B">
        <w:tblPrEx>
          <w:tblCellMar>
            <w:top w:w="0" w:type="dxa"/>
            <w:bottom w:w="0" w:type="dxa"/>
          </w:tblCellMar>
        </w:tblPrEx>
        <w:tc>
          <w:tcPr>
            <w:tcW w:w="3090" w:type="dxa"/>
          </w:tcPr>
          <w:p w:rsidR="001C7BF9" w:rsidRPr="00C9680B" w:rsidRDefault="001C7BF9">
            <w:pPr>
              <w:pStyle w:val="LagtextIndrag"/>
            </w:pPr>
            <w:r w:rsidRPr="00C9680B">
              <w:t xml:space="preserve">För tid fram till den 1 januari </w:t>
            </w:r>
            <w:r w:rsidRPr="00C9680B">
              <w:rPr>
                <w:i/>
              </w:rPr>
              <w:t>2001</w:t>
            </w:r>
            <w:r w:rsidRPr="00C9680B">
              <w:t xml:space="preserve"> medger beskattningsmyndigheten efter ansökan, utöver vad som fra</w:t>
            </w:r>
            <w:r w:rsidRPr="00C9680B">
              <w:t>m</w:t>
            </w:r>
            <w:r w:rsidRPr="00C9680B">
              <w:t>går av den nya lydelsen av 9 kap.     9 §, att vid industriell fram</w:t>
            </w:r>
            <w:r w:rsidRPr="00C9680B">
              <w:softHyphen/>
              <w:t>ställning av produkter av andra mineraliska ämnen än metaller koldioxidskatten på annat bränsle än sådant som b</w:t>
            </w:r>
            <w:r w:rsidRPr="00C9680B">
              <w:t>e</w:t>
            </w:r>
            <w:r w:rsidRPr="00C9680B">
              <w:t>skattas som mineral</w:t>
            </w:r>
            <w:r w:rsidRPr="00C9680B">
              <w:softHyphen/>
              <w:t>oljeprodukt och som förbrukats för annat ändamål än drift av motor</w:t>
            </w:r>
            <w:r w:rsidRPr="00C9680B">
              <w:softHyphen/>
              <w:t>drivna fordon tas ut med sådant belopp att skatten för den som bedriver framställningen inte över</w:t>
            </w:r>
            <w:r w:rsidRPr="00C9680B">
              <w:softHyphen/>
              <w:t>stiger 1,2 procent av de fram</w:t>
            </w:r>
            <w:r w:rsidRPr="00C9680B">
              <w:softHyphen/>
              <w:t>ställda produkternas försälj</w:t>
            </w:r>
            <w:r w:rsidRPr="00C9680B">
              <w:softHyphen/>
              <w:t>nings</w:t>
            </w:r>
            <w:r w:rsidRPr="00C9680B">
              <w:softHyphen/>
              <w:t>vä</w:t>
            </w:r>
            <w:r w:rsidRPr="00C9680B">
              <w:t>r</w:t>
            </w:r>
            <w:r w:rsidRPr="00C9680B">
              <w:t>de.</w:t>
            </w:r>
          </w:p>
        </w:tc>
        <w:tc>
          <w:tcPr>
            <w:tcW w:w="3090" w:type="dxa"/>
          </w:tcPr>
          <w:p w:rsidR="001C7BF9" w:rsidRPr="00C9680B" w:rsidRDefault="001C7BF9">
            <w:pPr>
              <w:pStyle w:val="LagtextIndrag"/>
            </w:pPr>
            <w:r w:rsidRPr="00C9680B">
              <w:t>För t</w:t>
            </w:r>
            <w:r w:rsidRPr="00C9680B">
              <w:t xml:space="preserve">id fram till den 1 januari </w:t>
            </w:r>
            <w:r w:rsidRPr="00C9680B">
              <w:rPr>
                <w:i/>
              </w:rPr>
              <w:t>2003</w:t>
            </w:r>
            <w:r w:rsidRPr="00C9680B">
              <w:t xml:space="preserve"> medger beskattningsmyndigheten efter ansökan, utöver vad som fra</w:t>
            </w:r>
            <w:r w:rsidRPr="00C9680B">
              <w:t>m</w:t>
            </w:r>
            <w:r w:rsidRPr="00C9680B">
              <w:t>går av den nya lydelsen av 9 kap.     9 §, att vid industriell fram</w:t>
            </w:r>
            <w:r w:rsidRPr="00C9680B">
              <w:softHyphen/>
              <w:t>ställning av produkter av andra mineraliska ämnen än metaller koldioxidskatten på annat bränsle än sådant som b</w:t>
            </w:r>
            <w:r w:rsidRPr="00C9680B">
              <w:t>e</w:t>
            </w:r>
            <w:r w:rsidRPr="00C9680B">
              <w:t>skattas som mineral</w:t>
            </w:r>
            <w:r w:rsidRPr="00C9680B">
              <w:softHyphen/>
              <w:t>oljeprodukt och som förbrukats för annat ändamål än drift av motor</w:t>
            </w:r>
            <w:r w:rsidRPr="00C9680B">
              <w:softHyphen/>
              <w:t>drivna fordon tas ut med sådant belopp att skatten för den som bedriver framställningen inte över</w:t>
            </w:r>
            <w:r w:rsidRPr="00C9680B">
              <w:softHyphen/>
              <w:t>stiger 1,2 procent av de fram</w:t>
            </w:r>
            <w:r w:rsidRPr="00C9680B">
              <w:softHyphen/>
              <w:t>ställda produkternas</w:t>
            </w:r>
            <w:r w:rsidRPr="00C9680B">
              <w:t xml:space="preserve"> försälj</w:t>
            </w:r>
            <w:r w:rsidRPr="00C9680B">
              <w:softHyphen/>
              <w:t>nings</w:t>
            </w:r>
            <w:r w:rsidRPr="00C9680B">
              <w:softHyphen/>
              <w:t>vä</w:t>
            </w:r>
            <w:r w:rsidRPr="00C9680B">
              <w:t>r</w:t>
            </w:r>
            <w:r w:rsidRPr="00C9680B">
              <w:t>de.</w:t>
            </w:r>
          </w:p>
        </w:tc>
      </w:tr>
      <w:tr w:rsidR="00000000" w:rsidRPr="00C9680B">
        <w:tblPrEx>
          <w:tblCellMar>
            <w:top w:w="0" w:type="dxa"/>
            <w:bottom w:w="0" w:type="dxa"/>
          </w:tblCellMar>
        </w:tblPrEx>
        <w:tc>
          <w:tcPr>
            <w:tcW w:w="6180" w:type="dxa"/>
            <w:gridSpan w:val="2"/>
          </w:tcPr>
          <w:p w:rsidR="001C7BF9" w:rsidRPr="00C9680B" w:rsidRDefault="001C7BF9">
            <w:pPr>
              <w:pStyle w:val="LagtextIndrag"/>
            </w:pPr>
            <w:r w:rsidRPr="00C9680B">
              <w:t>Ansökan om nedsättning enligt första stycket skall omfatta en period om ett kalenderår och skall lämnas in till beskattningsmyndigheten senast inom ett år efter kalenderårets utgång.</w:t>
            </w:r>
          </w:p>
          <w:p w:rsidR="001C7BF9" w:rsidRPr="00C9680B" w:rsidRDefault="001C7BF9">
            <w:pPr>
              <w:pStyle w:val="LagtextIndrag"/>
            </w:pPr>
            <w:r w:rsidRPr="00C9680B">
              <w:t>Bestämmelserna i 9 kap. 9 a och b §§ lagen (1994:1776) om skatt på energi tillämpas även på sådan nedsättning som avses i första stycket.</w:t>
            </w:r>
          </w:p>
        </w:tc>
      </w:tr>
    </w:tbl>
    <w:p w:rsidR="001C7BF9" w:rsidRPr="00C9680B" w:rsidRDefault="001C7BF9">
      <w:pPr>
        <w:pStyle w:val="Lagtext"/>
      </w:pPr>
      <w:r w:rsidRPr="00C9680B">
        <w:rPr>
          <w:u w:val="single"/>
        </w:rPr>
        <w:t>                              </w:t>
      </w:r>
    </w:p>
    <w:p w:rsidR="001C7BF9" w:rsidRPr="00C9680B" w:rsidRDefault="001C7BF9">
      <w:pPr>
        <w:pStyle w:val="LagtextIndrag"/>
        <w:spacing w:line="240" w:lineRule="auto"/>
        <w:rPr>
          <w:sz w:val="12"/>
        </w:rPr>
      </w:pPr>
    </w:p>
    <w:p w:rsidR="001C7BF9" w:rsidRPr="00C9680B" w:rsidRDefault="001C7BF9">
      <w:pPr>
        <w:pStyle w:val="LagtextIndrag"/>
      </w:pPr>
      <w:r w:rsidRPr="00C9680B">
        <w:t>Denna lag träder i kraft den 1 januari 2001. Äldre föreskrifter gäller fortf</w:t>
      </w:r>
      <w:r w:rsidRPr="00C9680B">
        <w:t>a</w:t>
      </w:r>
      <w:r w:rsidRPr="00C9680B">
        <w:t>rande i fråga om förhållanden som hänför sig till tiden före  ikraf</w:t>
      </w:r>
      <w:r w:rsidRPr="00C9680B">
        <w:t>t</w:t>
      </w:r>
      <w:r w:rsidRPr="00C9680B">
        <w:t>trädandet.</w:t>
      </w:r>
    </w:p>
    <w:p w:rsidR="001C7BF9" w:rsidRPr="00C9680B" w:rsidRDefault="001C7BF9">
      <w:pPr>
        <w:pStyle w:val="Rubrik2"/>
        <w:spacing w:before="0"/>
      </w:pPr>
      <w:bookmarkStart w:id="787" w:name="_Toc493234622"/>
    </w:p>
    <w:p w:rsidR="001C7BF9" w:rsidRPr="00C9680B" w:rsidRDefault="001C7BF9">
      <w:pPr>
        <w:pStyle w:val="Rubrik2"/>
        <w:spacing w:before="0"/>
      </w:pPr>
      <w:r w:rsidRPr="00C9680B">
        <w:br w:type="page"/>
      </w:r>
      <w:bookmarkStart w:id="788" w:name="_Toc498910971"/>
      <w:r w:rsidRPr="00C9680B">
        <w:t xml:space="preserve">13  Förslag till lag om ändring i fordonsskattelagen </w:t>
      </w:r>
      <w:r w:rsidRPr="00C9680B">
        <w:br/>
        <w:t xml:space="preserve">      (1988:327)</w:t>
      </w:r>
      <w:bookmarkEnd w:id="787"/>
      <w:bookmarkEnd w:id="788"/>
    </w:p>
    <w:p w:rsidR="001C7BF9" w:rsidRPr="00C9680B" w:rsidRDefault="001C7BF9">
      <w:pPr>
        <w:pStyle w:val="LagtextIndrag"/>
      </w:pPr>
      <w:r w:rsidRPr="00C9680B">
        <w:t>Härigenom föreskrivs att punkten B i bilaga 1 till fordonsskattelagen (1988:327) skall ha fö</w:t>
      </w:r>
      <w:r w:rsidRPr="00C9680B">
        <w:t>l</w:t>
      </w:r>
      <w:r w:rsidRPr="00C9680B">
        <w:t xml:space="preserve">jande lydelse. </w:t>
      </w:r>
    </w:p>
    <w:p w:rsidR="001C7BF9" w:rsidRPr="00C9680B" w:rsidRDefault="001C7BF9">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Rubrik2"/>
              <w:rPr>
                <w:sz w:val="19"/>
              </w:rPr>
            </w:pPr>
            <w:r w:rsidRPr="00C9680B">
              <w:rPr>
                <w:sz w:val="19"/>
              </w:rPr>
              <w:t>Nuvarande lydelse</w:t>
            </w:r>
          </w:p>
        </w:tc>
        <w:tc>
          <w:tcPr>
            <w:tcW w:w="3090" w:type="dxa"/>
          </w:tcPr>
          <w:p w:rsidR="001C7BF9" w:rsidRPr="00C9680B" w:rsidRDefault="001C7BF9">
            <w:pPr>
              <w:pStyle w:val="LagRubrik2"/>
              <w:rPr>
                <w:sz w:val="19"/>
              </w:rPr>
            </w:pPr>
          </w:p>
        </w:tc>
      </w:tr>
    </w:tbl>
    <w:p w:rsidR="001C7BF9" w:rsidRPr="00C9680B" w:rsidRDefault="001C7BF9">
      <w:pPr>
        <w:pStyle w:val="Lagtext"/>
      </w:pPr>
    </w:p>
    <w:p w:rsidR="001C7BF9" w:rsidRPr="00C9680B" w:rsidRDefault="001C7BF9">
      <w:pPr>
        <w:pStyle w:val="Lagtext"/>
        <w:outlineLvl w:val="0"/>
        <w:rPr>
          <w:b/>
        </w:rPr>
      </w:pPr>
      <w:r w:rsidRPr="00C9680B">
        <w:rPr>
          <w:b/>
        </w:rPr>
        <w:t>Bilaga 1 till fordonsskattelagen (1988:327)</w:t>
      </w:r>
      <w:r w:rsidRPr="00C9680B">
        <w:rPr>
          <w:rStyle w:val="Fotnotsreferens"/>
        </w:rPr>
        <w:footnoteReference w:id="18"/>
      </w:r>
    </w:p>
    <w:p w:rsidR="001C7BF9" w:rsidRPr="00C9680B" w:rsidRDefault="001C7BF9">
      <w:pPr>
        <w:pStyle w:val="Lagtext"/>
        <w:outlineLvl w:val="0"/>
        <w:rPr>
          <w:b/>
        </w:rPr>
      </w:pPr>
      <w:r w:rsidRPr="00C9680B">
        <w:rPr>
          <w:b/>
        </w:rPr>
        <w:t>Fordonsskatt</w:t>
      </w:r>
    </w:p>
    <w:tbl>
      <w:tblPr>
        <w:tblW w:w="0" w:type="auto"/>
        <w:tblInd w:w="-70" w:type="dxa"/>
        <w:tblLayout w:type="fixed"/>
        <w:tblCellMar>
          <w:left w:w="70" w:type="dxa"/>
          <w:right w:w="70" w:type="dxa"/>
        </w:tblCellMar>
        <w:tblLook w:val="0000" w:firstRow="0" w:lastRow="0" w:firstColumn="0" w:lastColumn="0" w:noHBand="0" w:noVBand="0"/>
      </w:tblPr>
      <w:tblGrid>
        <w:gridCol w:w="2480"/>
        <w:gridCol w:w="1134"/>
        <w:gridCol w:w="851"/>
        <w:gridCol w:w="1701"/>
      </w:tblGrid>
      <w:tr w:rsidR="00000000" w:rsidRPr="00C9680B">
        <w:tblPrEx>
          <w:tblCellMar>
            <w:top w:w="0" w:type="dxa"/>
            <w:bottom w:w="0" w:type="dxa"/>
          </w:tblCellMar>
        </w:tblPrEx>
        <w:tc>
          <w:tcPr>
            <w:tcW w:w="2480" w:type="dxa"/>
            <w:tcBorders>
              <w:top w:val="single" w:sz="6" w:space="0" w:color="auto"/>
            </w:tcBorders>
          </w:tcPr>
          <w:p w:rsidR="001C7BF9" w:rsidRPr="00C9680B" w:rsidRDefault="001C7BF9">
            <w:pPr>
              <w:pStyle w:val="Lagtext"/>
            </w:pPr>
            <w:r w:rsidRPr="00C9680B">
              <w:t>Fordonsslag</w:t>
            </w:r>
          </w:p>
          <w:p w:rsidR="001C7BF9" w:rsidRPr="00C9680B" w:rsidRDefault="001C7BF9">
            <w:pPr>
              <w:pStyle w:val="Lagtext"/>
            </w:pPr>
          </w:p>
        </w:tc>
        <w:tc>
          <w:tcPr>
            <w:tcW w:w="1134" w:type="dxa"/>
            <w:tcBorders>
              <w:top w:val="single" w:sz="6" w:space="0" w:color="auto"/>
            </w:tcBorders>
          </w:tcPr>
          <w:p w:rsidR="001C7BF9" w:rsidRPr="00C9680B" w:rsidRDefault="001C7BF9">
            <w:pPr>
              <w:pStyle w:val="Lagtext"/>
            </w:pPr>
            <w:r w:rsidRPr="00C9680B">
              <w:t>Skattevikt, kilogram</w:t>
            </w:r>
          </w:p>
        </w:tc>
        <w:tc>
          <w:tcPr>
            <w:tcW w:w="2552" w:type="dxa"/>
            <w:gridSpan w:val="2"/>
            <w:tcBorders>
              <w:top w:val="single" w:sz="6" w:space="0" w:color="auto"/>
              <w:bottom w:val="single" w:sz="6" w:space="0" w:color="auto"/>
            </w:tcBorders>
          </w:tcPr>
          <w:p w:rsidR="001C7BF9" w:rsidRPr="00C9680B" w:rsidRDefault="001C7BF9">
            <w:pPr>
              <w:pStyle w:val="Lagtext"/>
            </w:pPr>
            <w:r w:rsidRPr="00C9680B">
              <w:t>Skatt, kronor</w:t>
            </w:r>
          </w:p>
        </w:tc>
      </w:tr>
      <w:tr w:rsidR="00000000" w:rsidRPr="00C9680B">
        <w:tblPrEx>
          <w:tblCellMar>
            <w:top w:w="0" w:type="dxa"/>
            <w:bottom w:w="0" w:type="dxa"/>
          </w:tblCellMar>
        </w:tblPrEx>
        <w:tc>
          <w:tcPr>
            <w:tcW w:w="2480" w:type="dxa"/>
            <w:tcBorders>
              <w:bottom w:val="single" w:sz="6" w:space="0" w:color="auto"/>
            </w:tcBorders>
          </w:tcPr>
          <w:p w:rsidR="001C7BF9" w:rsidRPr="00C9680B" w:rsidRDefault="001C7BF9">
            <w:pPr>
              <w:pStyle w:val="Lagtext"/>
            </w:pPr>
          </w:p>
        </w:tc>
        <w:tc>
          <w:tcPr>
            <w:tcW w:w="1134" w:type="dxa"/>
            <w:tcBorders>
              <w:bottom w:val="single" w:sz="6" w:space="0" w:color="auto"/>
            </w:tcBorders>
          </w:tcPr>
          <w:p w:rsidR="001C7BF9" w:rsidRPr="00C9680B" w:rsidRDefault="001C7BF9">
            <w:pPr>
              <w:pStyle w:val="Lagtext"/>
            </w:pPr>
          </w:p>
        </w:tc>
        <w:tc>
          <w:tcPr>
            <w:tcW w:w="851" w:type="dxa"/>
            <w:tcBorders>
              <w:bottom w:val="single" w:sz="6" w:space="0" w:color="auto"/>
            </w:tcBorders>
          </w:tcPr>
          <w:p w:rsidR="001C7BF9" w:rsidRPr="00C9680B" w:rsidRDefault="001C7BF9">
            <w:pPr>
              <w:pStyle w:val="Lagtext"/>
            </w:pPr>
            <w:r w:rsidRPr="00C9680B">
              <w:t>grun</w:t>
            </w:r>
            <w:r w:rsidRPr="00C9680B">
              <w:t>d</w:t>
            </w:r>
            <w:r w:rsidRPr="00C9680B">
              <w:softHyphen/>
              <w:t>belopp</w:t>
            </w:r>
          </w:p>
          <w:p w:rsidR="001C7BF9" w:rsidRPr="00C9680B" w:rsidRDefault="001C7BF9">
            <w:pPr>
              <w:pStyle w:val="Lagtext"/>
            </w:pPr>
          </w:p>
        </w:tc>
        <w:tc>
          <w:tcPr>
            <w:tcW w:w="1701" w:type="dxa"/>
            <w:tcBorders>
              <w:bottom w:val="single" w:sz="6" w:space="0" w:color="auto"/>
            </w:tcBorders>
          </w:tcPr>
          <w:p w:rsidR="001C7BF9" w:rsidRPr="00C9680B" w:rsidRDefault="001C7BF9">
            <w:pPr>
              <w:pStyle w:val="Lagtext"/>
            </w:pPr>
            <w:r w:rsidRPr="00C9680B">
              <w:t>tilläggsbelopp för varje helt hundratal kilogram över den lägsta vikten i klass</w:t>
            </w:r>
            <w:r w:rsidRPr="00C9680B">
              <w:softHyphen/>
              <w:t>en</w:t>
            </w:r>
          </w:p>
        </w:tc>
      </w:tr>
    </w:tbl>
    <w:p w:rsidR="001C7BF9" w:rsidRPr="00C9680B" w:rsidRDefault="001C7BF9">
      <w:pPr>
        <w:pStyle w:val="Lagtext"/>
      </w:pPr>
      <w:r w:rsidRPr="00C9680B">
        <w:t xml:space="preserve">- - - - - - - - - - - - - - - - - - - - - - - - - - - - - - - - - - - - - - - - - - - - - - - - - - - - - </w:t>
      </w:r>
    </w:p>
    <w:tbl>
      <w:tblPr>
        <w:tblW w:w="0" w:type="auto"/>
        <w:tblInd w:w="-70" w:type="dxa"/>
        <w:tblLayout w:type="fixed"/>
        <w:tblCellMar>
          <w:left w:w="70" w:type="dxa"/>
          <w:right w:w="70" w:type="dxa"/>
        </w:tblCellMar>
        <w:tblLook w:val="0000" w:firstRow="0" w:lastRow="0" w:firstColumn="0" w:lastColumn="0" w:noHBand="0" w:noVBand="0"/>
      </w:tblPr>
      <w:tblGrid>
        <w:gridCol w:w="496"/>
        <w:gridCol w:w="1984"/>
        <w:gridCol w:w="709"/>
        <w:gridCol w:w="425"/>
        <w:gridCol w:w="851"/>
        <w:gridCol w:w="1701"/>
      </w:tblGrid>
      <w:tr w:rsidR="00000000" w:rsidRPr="00C9680B">
        <w:tblPrEx>
          <w:tblCellMar>
            <w:top w:w="0" w:type="dxa"/>
            <w:bottom w:w="0" w:type="dxa"/>
          </w:tblCellMar>
        </w:tblPrEx>
        <w:tc>
          <w:tcPr>
            <w:tcW w:w="496" w:type="dxa"/>
          </w:tcPr>
          <w:p w:rsidR="001C7BF9" w:rsidRPr="00C9680B" w:rsidRDefault="001C7BF9">
            <w:pPr>
              <w:pStyle w:val="Lagtext"/>
              <w:rPr>
                <w:b/>
              </w:rPr>
            </w:pPr>
            <w:r w:rsidRPr="00C9680B">
              <w:rPr>
                <w:b/>
              </w:rPr>
              <w:t>B</w:t>
            </w:r>
          </w:p>
        </w:tc>
        <w:tc>
          <w:tcPr>
            <w:tcW w:w="1984" w:type="dxa"/>
          </w:tcPr>
          <w:p w:rsidR="001C7BF9" w:rsidRPr="00C9680B" w:rsidRDefault="001C7BF9">
            <w:pPr>
              <w:pStyle w:val="Lagtext"/>
              <w:rPr>
                <w:b/>
              </w:rPr>
            </w:pPr>
            <w:r w:rsidRPr="00C9680B">
              <w:rPr>
                <w:b/>
              </w:rPr>
              <w:t>Personbilar</w:t>
            </w:r>
          </w:p>
        </w:tc>
        <w:tc>
          <w:tcPr>
            <w:tcW w:w="709" w:type="dxa"/>
          </w:tcPr>
          <w:p w:rsidR="001C7BF9" w:rsidRPr="00C9680B" w:rsidRDefault="001C7BF9">
            <w:pPr>
              <w:pStyle w:val="Lagtext"/>
              <w:tabs>
                <w:tab w:val="decimal" w:pos="355"/>
              </w:tabs>
              <w:rPr>
                <w:b/>
              </w:rPr>
            </w:pPr>
          </w:p>
        </w:tc>
        <w:tc>
          <w:tcPr>
            <w:tcW w:w="425" w:type="dxa"/>
          </w:tcPr>
          <w:p w:rsidR="001C7BF9" w:rsidRPr="00C9680B" w:rsidRDefault="001C7BF9">
            <w:pPr>
              <w:pStyle w:val="Lagtext"/>
              <w:rPr>
                <w:b/>
              </w:rPr>
            </w:pPr>
          </w:p>
        </w:tc>
        <w:tc>
          <w:tcPr>
            <w:tcW w:w="851" w:type="dxa"/>
          </w:tcPr>
          <w:p w:rsidR="001C7BF9" w:rsidRPr="00C9680B" w:rsidRDefault="001C7BF9">
            <w:pPr>
              <w:pStyle w:val="Lagtext"/>
              <w:tabs>
                <w:tab w:val="decimal" w:pos="497"/>
              </w:tabs>
              <w:rPr>
                <w:b/>
              </w:rPr>
            </w:pPr>
          </w:p>
        </w:tc>
        <w:tc>
          <w:tcPr>
            <w:tcW w:w="1701" w:type="dxa"/>
          </w:tcPr>
          <w:p w:rsidR="001C7BF9" w:rsidRPr="00C9680B" w:rsidRDefault="001C7BF9">
            <w:pPr>
              <w:pStyle w:val="Lagtext"/>
              <w:tabs>
                <w:tab w:val="decimal" w:pos="780"/>
              </w:tabs>
              <w:rPr>
                <w:b/>
              </w:rPr>
            </w:pPr>
          </w:p>
        </w:tc>
      </w:tr>
      <w:tr w:rsidR="00000000" w:rsidRPr="00C9680B">
        <w:tblPrEx>
          <w:tblCellMar>
            <w:top w:w="0" w:type="dxa"/>
            <w:bottom w:w="0" w:type="dxa"/>
          </w:tblCellMar>
        </w:tblPrEx>
        <w:trPr>
          <w:cantSplit/>
        </w:trPr>
        <w:tc>
          <w:tcPr>
            <w:tcW w:w="496" w:type="dxa"/>
          </w:tcPr>
          <w:p w:rsidR="001C7BF9" w:rsidRPr="00C9680B" w:rsidRDefault="001C7BF9">
            <w:pPr>
              <w:pStyle w:val="Lagtext"/>
            </w:pPr>
            <w:r w:rsidRPr="00C9680B">
              <w:t>1</w:t>
            </w:r>
          </w:p>
        </w:tc>
        <w:tc>
          <w:tcPr>
            <w:tcW w:w="1984" w:type="dxa"/>
          </w:tcPr>
          <w:p w:rsidR="001C7BF9" w:rsidRPr="00C9680B" w:rsidRDefault="001C7BF9">
            <w:pPr>
              <w:pStyle w:val="Lagtext"/>
            </w:pPr>
            <w:r w:rsidRPr="00C9680B">
              <w:t>Personbil som inte kan drivas med dies</w:t>
            </w:r>
            <w:r w:rsidRPr="00C9680B">
              <w:t>e</w:t>
            </w:r>
            <w:r w:rsidRPr="00C9680B">
              <w:t>lolja</w:t>
            </w:r>
          </w:p>
        </w:tc>
        <w:tc>
          <w:tcPr>
            <w:tcW w:w="1134" w:type="dxa"/>
            <w:gridSpan w:val="2"/>
          </w:tcPr>
          <w:p w:rsidR="001C7BF9" w:rsidRPr="00C9680B" w:rsidRDefault="001C7BF9">
            <w:pPr>
              <w:pStyle w:val="Lagtext"/>
              <w:tabs>
                <w:tab w:val="decimal" w:pos="355"/>
              </w:tabs>
            </w:pPr>
            <w:r w:rsidRPr="00C9680B">
              <w:t>0–900</w:t>
            </w:r>
            <w:r w:rsidRPr="00C9680B">
              <w:br/>
              <w:t>901–</w:t>
            </w:r>
          </w:p>
          <w:p w:rsidR="001C7BF9" w:rsidRPr="00C9680B" w:rsidRDefault="001C7BF9">
            <w:pPr>
              <w:pStyle w:val="Lagtext"/>
            </w:pPr>
          </w:p>
        </w:tc>
        <w:tc>
          <w:tcPr>
            <w:tcW w:w="851" w:type="dxa"/>
          </w:tcPr>
          <w:p w:rsidR="001C7BF9" w:rsidRPr="00C9680B" w:rsidRDefault="001C7BF9">
            <w:pPr>
              <w:pStyle w:val="Lagtext"/>
              <w:tabs>
                <w:tab w:val="decimal" w:pos="497"/>
              </w:tabs>
            </w:pPr>
            <w:r w:rsidRPr="00C9680B">
              <w:t>585</w:t>
            </w:r>
          </w:p>
          <w:p w:rsidR="001C7BF9" w:rsidRPr="00C9680B" w:rsidRDefault="001C7BF9">
            <w:pPr>
              <w:pStyle w:val="Lagtext"/>
              <w:tabs>
                <w:tab w:val="decimal" w:pos="497"/>
              </w:tabs>
            </w:pPr>
            <w:r w:rsidRPr="00C9680B">
              <w:t>734</w:t>
            </w:r>
          </w:p>
        </w:tc>
        <w:tc>
          <w:tcPr>
            <w:tcW w:w="1701" w:type="dxa"/>
          </w:tcPr>
          <w:p w:rsidR="001C7BF9" w:rsidRPr="00C9680B" w:rsidRDefault="001C7BF9">
            <w:pPr>
              <w:pStyle w:val="Lagtext"/>
              <w:tabs>
                <w:tab w:val="decimal" w:pos="780"/>
              </w:tabs>
              <w:jc w:val="right"/>
            </w:pPr>
            <w:r w:rsidRPr="00C9680B">
              <w:t xml:space="preserve">0               </w:t>
            </w:r>
          </w:p>
          <w:p w:rsidR="001C7BF9" w:rsidRPr="00C9680B" w:rsidRDefault="001C7BF9">
            <w:pPr>
              <w:pStyle w:val="Lagtext"/>
              <w:tabs>
                <w:tab w:val="decimal" w:pos="780"/>
              </w:tabs>
              <w:jc w:val="right"/>
            </w:pPr>
            <w:r w:rsidRPr="00C9680B">
              <w:t xml:space="preserve">149            </w:t>
            </w:r>
          </w:p>
        </w:tc>
      </w:tr>
      <w:tr w:rsidR="00000000" w:rsidRPr="00C9680B">
        <w:tblPrEx>
          <w:tblCellMar>
            <w:top w:w="0" w:type="dxa"/>
            <w:bottom w:w="0" w:type="dxa"/>
          </w:tblCellMar>
        </w:tblPrEx>
        <w:tc>
          <w:tcPr>
            <w:tcW w:w="496" w:type="dxa"/>
          </w:tcPr>
          <w:p w:rsidR="001C7BF9" w:rsidRPr="00C9680B" w:rsidRDefault="001C7BF9">
            <w:pPr>
              <w:pStyle w:val="Lagtext"/>
            </w:pPr>
          </w:p>
        </w:tc>
        <w:tc>
          <w:tcPr>
            <w:tcW w:w="1984" w:type="dxa"/>
          </w:tcPr>
          <w:p w:rsidR="001C7BF9" w:rsidRPr="00C9680B" w:rsidRDefault="001C7BF9">
            <w:pPr>
              <w:pStyle w:val="Lagtext"/>
            </w:pPr>
          </w:p>
        </w:tc>
        <w:tc>
          <w:tcPr>
            <w:tcW w:w="709" w:type="dxa"/>
          </w:tcPr>
          <w:p w:rsidR="001C7BF9" w:rsidRPr="00C9680B" w:rsidRDefault="001C7BF9">
            <w:pPr>
              <w:pStyle w:val="Lagtext"/>
              <w:tabs>
                <w:tab w:val="decimal" w:pos="355"/>
              </w:tabs>
            </w:pPr>
          </w:p>
        </w:tc>
        <w:tc>
          <w:tcPr>
            <w:tcW w:w="425" w:type="dxa"/>
          </w:tcPr>
          <w:p w:rsidR="001C7BF9" w:rsidRPr="00C9680B" w:rsidRDefault="001C7BF9">
            <w:pPr>
              <w:pStyle w:val="Lagtext"/>
            </w:pPr>
          </w:p>
        </w:tc>
        <w:tc>
          <w:tcPr>
            <w:tcW w:w="851" w:type="dxa"/>
          </w:tcPr>
          <w:p w:rsidR="001C7BF9" w:rsidRPr="00C9680B" w:rsidRDefault="001C7BF9">
            <w:pPr>
              <w:pStyle w:val="Lagtext"/>
              <w:tabs>
                <w:tab w:val="decimal" w:pos="497"/>
              </w:tabs>
            </w:pPr>
          </w:p>
        </w:tc>
        <w:tc>
          <w:tcPr>
            <w:tcW w:w="1701" w:type="dxa"/>
          </w:tcPr>
          <w:p w:rsidR="001C7BF9" w:rsidRPr="00C9680B" w:rsidRDefault="001C7BF9">
            <w:pPr>
              <w:pStyle w:val="Lagtext"/>
              <w:tabs>
                <w:tab w:val="decimal" w:pos="780"/>
              </w:tabs>
            </w:pPr>
          </w:p>
        </w:tc>
      </w:tr>
      <w:tr w:rsidR="00000000" w:rsidRPr="00C9680B">
        <w:tblPrEx>
          <w:tblCellMar>
            <w:top w:w="0" w:type="dxa"/>
            <w:bottom w:w="0" w:type="dxa"/>
          </w:tblCellMar>
        </w:tblPrEx>
        <w:tc>
          <w:tcPr>
            <w:tcW w:w="496" w:type="dxa"/>
          </w:tcPr>
          <w:p w:rsidR="001C7BF9" w:rsidRPr="00C9680B" w:rsidRDefault="001C7BF9">
            <w:pPr>
              <w:pStyle w:val="Lagtext"/>
            </w:pPr>
            <w:r w:rsidRPr="00C9680B">
              <w:t>2</w:t>
            </w:r>
          </w:p>
        </w:tc>
        <w:tc>
          <w:tcPr>
            <w:tcW w:w="1984" w:type="dxa"/>
          </w:tcPr>
          <w:p w:rsidR="001C7BF9" w:rsidRPr="00C9680B" w:rsidRDefault="001C7BF9">
            <w:pPr>
              <w:pStyle w:val="Lagtext"/>
              <w:jc w:val="left"/>
            </w:pPr>
            <w:r w:rsidRPr="00C9680B">
              <w:t>Personbil som kan drivas med dies</w:t>
            </w:r>
            <w:r w:rsidRPr="00C9680B">
              <w:t>e</w:t>
            </w:r>
            <w:r w:rsidRPr="00C9680B">
              <w:t>lolja</w:t>
            </w:r>
          </w:p>
          <w:p w:rsidR="001C7BF9" w:rsidRPr="00C9680B" w:rsidRDefault="001C7BF9">
            <w:pPr>
              <w:pStyle w:val="Lagtext"/>
              <w:jc w:val="left"/>
            </w:pPr>
          </w:p>
        </w:tc>
        <w:tc>
          <w:tcPr>
            <w:tcW w:w="709" w:type="dxa"/>
          </w:tcPr>
          <w:p w:rsidR="001C7BF9" w:rsidRPr="00C9680B" w:rsidRDefault="001C7BF9">
            <w:pPr>
              <w:pStyle w:val="Lagtext"/>
              <w:tabs>
                <w:tab w:val="decimal" w:pos="355"/>
              </w:tabs>
            </w:pPr>
          </w:p>
        </w:tc>
        <w:tc>
          <w:tcPr>
            <w:tcW w:w="425" w:type="dxa"/>
          </w:tcPr>
          <w:p w:rsidR="001C7BF9" w:rsidRPr="00C9680B" w:rsidRDefault="001C7BF9">
            <w:pPr>
              <w:pStyle w:val="Lagtext"/>
            </w:pPr>
          </w:p>
        </w:tc>
        <w:tc>
          <w:tcPr>
            <w:tcW w:w="851" w:type="dxa"/>
          </w:tcPr>
          <w:p w:rsidR="001C7BF9" w:rsidRPr="00C9680B" w:rsidRDefault="001C7BF9">
            <w:pPr>
              <w:pStyle w:val="Lagtext"/>
              <w:tabs>
                <w:tab w:val="decimal" w:pos="497"/>
              </w:tabs>
            </w:pPr>
          </w:p>
        </w:tc>
        <w:tc>
          <w:tcPr>
            <w:tcW w:w="1701" w:type="dxa"/>
          </w:tcPr>
          <w:p w:rsidR="001C7BF9" w:rsidRPr="00C9680B" w:rsidRDefault="001C7BF9">
            <w:pPr>
              <w:pStyle w:val="Lagtext"/>
              <w:tabs>
                <w:tab w:val="decimal" w:pos="780"/>
              </w:tabs>
            </w:pPr>
          </w:p>
        </w:tc>
      </w:tr>
      <w:tr w:rsidR="00000000" w:rsidRPr="00C9680B">
        <w:tblPrEx>
          <w:tblCellMar>
            <w:top w:w="0" w:type="dxa"/>
            <w:bottom w:w="0" w:type="dxa"/>
          </w:tblCellMar>
        </w:tblPrEx>
        <w:trPr>
          <w:cantSplit/>
        </w:trPr>
        <w:tc>
          <w:tcPr>
            <w:tcW w:w="496" w:type="dxa"/>
          </w:tcPr>
          <w:p w:rsidR="001C7BF9" w:rsidRPr="00C9680B" w:rsidRDefault="001C7BF9">
            <w:pPr>
              <w:pStyle w:val="Lagtext"/>
            </w:pPr>
          </w:p>
        </w:tc>
        <w:tc>
          <w:tcPr>
            <w:tcW w:w="1984" w:type="dxa"/>
          </w:tcPr>
          <w:p w:rsidR="001C7BF9" w:rsidRPr="00C9680B" w:rsidRDefault="001C7BF9">
            <w:pPr>
              <w:pStyle w:val="Lagtext"/>
              <w:jc w:val="left"/>
              <w:rPr>
                <w:i/>
              </w:rPr>
            </w:pPr>
            <w:r w:rsidRPr="00C9680B">
              <w:rPr>
                <w:i/>
              </w:rPr>
              <w:t>2.1 som enligt bil</w:t>
            </w:r>
            <w:r w:rsidRPr="00C9680B">
              <w:rPr>
                <w:i/>
              </w:rPr>
              <w:softHyphen/>
              <w:t>registret har år</w:t>
            </w:r>
            <w:r w:rsidRPr="00C9680B">
              <w:rPr>
                <w:i/>
              </w:rPr>
              <w:t>s</w:t>
            </w:r>
            <w:r w:rsidRPr="00C9680B">
              <w:rPr>
                <w:i/>
              </w:rPr>
              <w:t>modell</w:t>
            </w:r>
            <w:r w:rsidRPr="00C9680B">
              <w:rPr>
                <w:i/>
              </w:rPr>
              <w:softHyphen/>
              <w:t>beteckning 1993 eller äldre</w:t>
            </w:r>
          </w:p>
          <w:p w:rsidR="001C7BF9" w:rsidRPr="00C9680B" w:rsidRDefault="001C7BF9">
            <w:pPr>
              <w:pStyle w:val="Lagtext"/>
              <w:jc w:val="left"/>
            </w:pPr>
          </w:p>
        </w:tc>
        <w:tc>
          <w:tcPr>
            <w:tcW w:w="1134" w:type="dxa"/>
            <w:gridSpan w:val="2"/>
          </w:tcPr>
          <w:p w:rsidR="001C7BF9" w:rsidRPr="00C9680B" w:rsidRDefault="001C7BF9">
            <w:pPr>
              <w:pStyle w:val="Lagtext"/>
              <w:tabs>
                <w:tab w:val="decimal" w:pos="355"/>
              </w:tabs>
              <w:rPr>
                <w:i/>
              </w:rPr>
            </w:pPr>
            <w:r w:rsidRPr="00C9680B">
              <w:rPr>
                <w:i/>
              </w:rPr>
              <w:t>0–900</w:t>
            </w:r>
          </w:p>
          <w:p w:rsidR="001C7BF9" w:rsidRPr="00C9680B" w:rsidRDefault="001C7BF9">
            <w:pPr>
              <w:pStyle w:val="Lagtext"/>
              <w:tabs>
                <w:tab w:val="decimal" w:pos="355"/>
              </w:tabs>
            </w:pPr>
            <w:r w:rsidRPr="00C9680B">
              <w:rPr>
                <w:i/>
              </w:rPr>
              <w:t>901–</w:t>
            </w:r>
          </w:p>
        </w:tc>
        <w:tc>
          <w:tcPr>
            <w:tcW w:w="851" w:type="dxa"/>
          </w:tcPr>
          <w:p w:rsidR="001C7BF9" w:rsidRPr="00C9680B" w:rsidRDefault="001C7BF9">
            <w:pPr>
              <w:pStyle w:val="Lagtext"/>
              <w:tabs>
                <w:tab w:val="decimal" w:pos="497"/>
              </w:tabs>
              <w:rPr>
                <w:i/>
              </w:rPr>
            </w:pPr>
            <w:r w:rsidRPr="00C9680B">
              <w:rPr>
                <w:i/>
              </w:rPr>
              <w:t>1 172</w:t>
            </w:r>
          </w:p>
          <w:p w:rsidR="001C7BF9" w:rsidRPr="00C9680B" w:rsidRDefault="001C7BF9">
            <w:pPr>
              <w:pStyle w:val="Lagtext"/>
              <w:tabs>
                <w:tab w:val="decimal" w:pos="497"/>
              </w:tabs>
            </w:pPr>
            <w:r w:rsidRPr="00C9680B">
              <w:rPr>
                <w:i/>
              </w:rPr>
              <w:t>1 468</w:t>
            </w:r>
          </w:p>
        </w:tc>
        <w:tc>
          <w:tcPr>
            <w:tcW w:w="1701" w:type="dxa"/>
          </w:tcPr>
          <w:p w:rsidR="001C7BF9" w:rsidRPr="00C9680B" w:rsidRDefault="001C7BF9">
            <w:pPr>
              <w:pStyle w:val="Lagtext"/>
              <w:tabs>
                <w:tab w:val="decimal" w:pos="780"/>
              </w:tabs>
              <w:jc w:val="right"/>
              <w:rPr>
                <w:i/>
              </w:rPr>
            </w:pPr>
            <w:r w:rsidRPr="00C9680B">
              <w:rPr>
                <w:i/>
              </w:rPr>
              <w:t xml:space="preserve">0               </w:t>
            </w:r>
          </w:p>
          <w:p w:rsidR="001C7BF9" w:rsidRPr="00C9680B" w:rsidRDefault="001C7BF9">
            <w:pPr>
              <w:pStyle w:val="Lagtext"/>
              <w:tabs>
                <w:tab w:val="decimal" w:pos="780"/>
              </w:tabs>
              <w:jc w:val="right"/>
            </w:pPr>
            <w:r w:rsidRPr="00C9680B">
              <w:rPr>
                <w:i/>
              </w:rPr>
              <w:t xml:space="preserve">297            </w:t>
            </w:r>
          </w:p>
        </w:tc>
      </w:tr>
      <w:tr w:rsidR="00000000" w:rsidRPr="00C9680B">
        <w:tblPrEx>
          <w:tblCellMar>
            <w:top w:w="0" w:type="dxa"/>
            <w:bottom w:w="0" w:type="dxa"/>
          </w:tblCellMar>
        </w:tblPrEx>
        <w:trPr>
          <w:cantSplit/>
        </w:trPr>
        <w:tc>
          <w:tcPr>
            <w:tcW w:w="496" w:type="dxa"/>
          </w:tcPr>
          <w:p w:rsidR="001C7BF9" w:rsidRPr="00C9680B" w:rsidRDefault="001C7BF9">
            <w:pPr>
              <w:pStyle w:val="Lagtext"/>
            </w:pPr>
          </w:p>
        </w:tc>
        <w:tc>
          <w:tcPr>
            <w:tcW w:w="1984" w:type="dxa"/>
          </w:tcPr>
          <w:p w:rsidR="001C7BF9" w:rsidRPr="00C9680B" w:rsidRDefault="001C7BF9">
            <w:pPr>
              <w:pStyle w:val="Lagtext"/>
            </w:pPr>
            <w:r w:rsidRPr="00C9680B">
              <w:rPr>
                <w:i/>
              </w:rPr>
              <w:t>2.2 annan perso</w:t>
            </w:r>
            <w:r w:rsidRPr="00C9680B">
              <w:rPr>
                <w:i/>
              </w:rPr>
              <w:t>n</w:t>
            </w:r>
            <w:r w:rsidRPr="00C9680B">
              <w:rPr>
                <w:i/>
              </w:rPr>
              <w:t>bil</w:t>
            </w:r>
          </w:p>
        </w:tc>
        <w:tc>
          <w:tcPr>
            <w:tcW w:w="1134" w:type="dxa"/>
            <w:gridSpan w:val="2"/>
          </w:tcPr>
          <w:p w:rsidR="001C7BF9" w:rsidRPr="00C9680B" w:rsidRDefault="001C7BF9">
            <w:pPr>
              <w:pStyle w:val="Lagtext"/>
              <w:tabs>
                <w:tab w:val="decimal" w:pos="355"/>
              </w:tabs>
            </w:pPr>
            <w:r w:rsidRPr="00C9680B">
              <w:t>0–900</w:t>
            </w:r>
          </w:p>
          <w:p w:rsidR="001C7BF9" w:rsidRPr="00C9680B" w:rsidRDefault="001C7BF9">
            <w:pPr>
              <w:pStyle w:val="Lagtext"/>
              <w:tabs>
                <w:tab w:val="decimal" w:pos="355"/>
              </w:tabs>
            </w:pPr>
            <w:r w:rsidRPr="00C9680B">
              <w:t>901–</w:t>
            </w:r>
          </w:p>
          <w:p w:rsidR="001C7BF9" w:rsidRPr="00C9680B" w:rsidRDefault="001C7BF9">
            <w:pPr>
              <w:pStyle w:val="Lagtext"/>
            </w:pPr>
          </w:p>
        </w:tc>
        <w:tc>
          <w:tcPr>
            <w:tcW w:w="851" w:type="dxa"/>
          </w:tcPr>
          <w:p w:rsidR="001C7BF9" w:rsidRPr="00C9680B" w:rsidRDefault="001C7BF9">
            <w:pPr>
              <w:pStyle w:val="Lagtext"/>
              <w:tabs>
                <w:tab w:val="decimal" w:pos="497"/>
              </w:tabs>
            </w:pPr>
            <w:r w:rsidRPr="00C9680B">
              <w:t>2 245</w:t>
            </w:r>
          </w:p>
          <w:p w:rsidR="001C7BF9" w:rsidRPr="00C9680B" w:rsidRDefault="001C7BF9">
            <w:pPr>
              <w:pStyle w:val="Lagtext"/>
              <w:tabs>
                <w:tab w:val="decimal" w:pos="497"/>
              </w:tabs>
            </w:pPr>
            <w:r w:rsidRPr="00C9680B">
              <w:t>2 814</w:t>
            </w:r>
          </w:p>
        </w:tc>
        <w:tc>
          <w:tcPr>
            <w:tcW w:w="1701" w:type="dxa"/>
          </w:tcPr>
          <w:p w:rsidR="001C7BF9" w:rsidRPr="00C9680B" w:rsidRDefault="001C7BF9">
            <w:pPr>
              <w:pStyle w:val="Lagtext"/>
              <w:tabs>
                <w:tab w:val="decimal" w:pos="780"/>
              </w:tabs>
              <w:jc w:val="right"/>
            </w:pPr>
            <w:r w:rsidRPr="00C9680B">
              <w:t xml:space="preserve">0               </w:t>
            </w:r>
          </w:p>
          <w:p w:rsidR="001C7BF9" w:rsidRPr="00C9680B" w:rsidRDefault="001C7BF9">
            <w:pPr>
              <w:pStyle w:val="Lagtext"/>
              <w:tabs>
                <w:tab w:val="decimal" w:pos="780"/>
              </w:tabs>
              <w:jc w:val="right"/>
            </w:pPr>
            <w:r w:rsidRPr="00C9680B">
              <w:t xml:space="preserve">569            </w:t>
            </w:r>
          </w:p>
        </w:tc>
      </w:tr>
    </w:tbl>
    <w:p w:rsidR="001C7BF9" w:rsidRPr="00C9680B" w:rsidRDefault="001C7BF9">
      <w:pPr>
        <w:pStyle w:val="Lagtext"/>
      </w:pPr>
    </w:p>
    <w:tbl>
      <w:tblPr>
        <w:tblW w:w="0" w:type="auto"/>
        <w:tblInd w:w="-70" w:type="dxa"/>
        <w:tblLayout w:type="fixed"/>
        <w:tblCellMar>
          <w:left w:w="70" w:type="dxa"/>
          <w:right w:w="70" w:type="dxa"/>
        </w:tblCellMar>
        <w:tblLook w:val="0000" w:firstRow="0" w:lastRow="0" w:firstColumn="0" w:lastColumn="0" w:noHBand="0" w:noVBand="0"/>
      </w:tblPr>
      <w:tblGrid>
        <w:gridCol w:w="496"/>
        <w:gridCol w:w="1984"/>
        <w:gridCol w:w="709"/>
        <w:gridCol w:w="425"/>
        <w:gridCol w:w="851"/>
        <w:gridCol w:w="1701"/>
      </w:tblGrid>
      <w:tr w:rsidR="00000000" w:rsidRPr="00C9680B">
        <w:tblPrEx>
          <w:tblCellMar>
            <w:top w:w="0" w:type="dxa"/>
            <w:bottom w:w="0" w:type="dxa"/>
          </w:tblCellMar>
        </w:tblPrEx>
        <w:tc>
          <w:tcPr>
            <w:tcW w:w="496" w:type="dxa"/>
          </w:tcPr>
          <w:p w:rsidR="001C7BF9" w:rsidRPr="00C9680B" w:rsidRDefault="001C7BF9">
            <w:pPr>
              <w:pStyle w:val="Lagtext"/>
            </w:pPr>
            <w:r w:rsidRPr="00C9680B">
              <w:rPr>
                <w:b/>
                <w:sz w:val="16"/>
              </w:rPr>
              <w:t>C</w:t>
            </w:r>
          </w:p>
        </w:tc>
        <w:tc>
          <w:tcPr>
            <w:tcW w:w="1984" w:type="dxa"/>
          </w:tcPr>
          <w:p w:rsidR="001C7BF9" w:rsidRPr="00C9680B" w:rsidRDefault="001C7BF9">
            <w:pPr>
              <w:pStyle w:val="Lagtext"/>
            </w:pPr>
            <w:r w:rsidRPr="00C9680B">
              <w:rPr>
                <w:b/>
              </w:rPr>
              <w:t>Bussar</w:t>
            </w:r>
          </w:p>
        </w:tc>
        <w:tc>
          <w:tcPr>
            <w:tcW w:w="709" w:type="dxa"/>
          </w:tcPr>
          <w:p w:rsidR="001C7BF9" w:rsidRPr="00C9680B" w:rsidRDefault="001C7BF9">
            <w:pPr>
              <w:pStyle w:val="Lagtext"/>
              <w:rPr>
                <w:i/>
              </w:rPr>
            </w:pPr>
          </w:p>
        </w:tc>
        <w:tc>
          <w:tcPr>
            <w:tcW w:w="425" w:type="dxa"/>
          </w:tcPr>
          <w:p w:rsidR="001C7BF9" w:rsidRPr="00C9680B" w:rsidRDefault="001C7BF9">
            <w:pPr>
              <w:pStyle w:val="Lagtext"/>
              <w:rPr>
                <w:i/>
              </w:rPr>
            </w:pPr>
          </w:p>
        </w:tc>
        <w:tc>
          <w:tcPr>
            <w:tcW w:w="851" w:type="dxa"/>
          </w:tcPr>
          <w:p w:rsidR="001C7BF9" w:rsidRPr="00C9680B" w:rsidRDefault="001C7BF9">
            <w:pPr>
              <w:pStyle w:val="Lagtext"/>
            </w:pPr>
          </w:p>
        </w:tc>
        <w:tc>
          <w:tcPr>
            <w:tcW w:w="1701" w:type="dxa"/>
          </w:tcPr>
          <w:p w:rsidR="001C7BF9" w:rsidRPr="00C9680B" w:rsidRDefault="001C7BF9">
            <w:pPr>
              <w:pStyle w:val="Lagtext"/>
            </w:pPr>
          </w:p>
        </w:tc>
      </w:tr>
    </w:tbl>
    <w:p w:rsidR="001C7BF9" w:rsidRPr="00C9680B" w:rsidRDefault="001C7BF9">
      <w:pPr>
        <w:pStyle w:val="Lagtext"/>
      </w:pPr>
      <w:r w:rsidRPr="00C9680B">
        <w:t xml:space="preserve">- - - - - - - - - - - - - - - - - - - - - - - - - - - - - - - - - - - - - - - - - - - - - - - - - - - - - </w:t>
      </w:r>
    </w:p>
    <w:p w:rsidR="001C7BF9" w:rsidRPr="00C9680B" w:rsidRDefault="001C7BF9">
      <w:pPr>
        <w:pStyle w:val="LagtextIndrag"/>
      </w:pPr>
      <w:r w:rsidRPr="00C9680B">
        <w:br w:type="page"/>
      </w:r>
    </w:p>
    <w:tbl>
      <w:tblPr>
        <w:tblW w:w="0" w:type="auto"/>
        <w:tblInd w:w="-113" w:type="dxa"/>
        <w:tblLayout w:type="fixed"/>
        <w:tblCellMar>
          <w:left w:w="113" w:type="dxa"/>
          <w:right w:w="113" w:type="dxa"/>
        </w:tblCellMar>
        <w:tblLook w:val="0000" w:firstRow="0" w:lastRow="0" w:firstColumn="0" w:lastColumn="0" w:noHBand="0" w:noVBand="0"/>
      </w:tblPr>
      <w:tblGrid>
        <w:gridCol w:w="6180"/>
      </w:tblGrid>
      <w:tr w:rsidR="00000000" w:rsidRPr="00C9680B">
        <w:tblPrEx>
          <w:tblCellMar>
            <w:top w:w="0" w:type="dxa"/>
            <w:bottom w:w="0" w:type="dxa"/>
          </w:tblCellMar>
        </w:tblPrEx>
        <w:tc>
          <w:tcPr>
            <w:tcW w:w="6180" w:type="dxa"/>
          </w:tcPr>
          <w:p w:rsidR="001C7BF9" w:rsidRPr="00C9680B" w:rsidRDefault="001C7BF9">
            <w:pPr>
              <w:pStyle w:val="LagRubrik2"/>
              <w:rPr>
                <w:sz w:val="19"/>
              </w:rPr>
            </w:pPr>
            <w:r w:rsidRPr="00C9680B">
              <w:rPr>
                <w:sz w:val="19"/>
              </w:rPr>
              <w:t>Föreslagen lydelse</w:t>
            </w:r>
          </w:p>
        </w:tc>
      </w:tr>
    </w:tbl>
    <w:p w:rsidR="001C7BF9" w:rsidRPr="00C9680B" w:rsidRDefault="001C7BF9">
      <w:pPr>
        <w:pStyle w:val="Lagtext"/>
      </w:pPr>
    </w:p>
    <w:p w:rsidR="001C7BF9" w:rsidRPr="00C9680B" w:rsidRDefault="001C7BF9">
      <w:pPr>
        <w:pStyle w:val="Lagtext"/>
        <w:outlineLvl w:val="0"/>
        <w:rPr>
          <w:b/>
        </w:rPr>
      </w:pPr>
      <w:r w:rsidRPr="00C9680B">
        <w:rPr>
          <w:b/>
        </w:rPr>
        <w:t>Bilaga 1 till fordonsskattelagen (1988:327)</w:t>
      </w:r>
    </w:p>
    <w:p w:rsidR="001C7BF9" w:rsidRPr="00C9680B" w:rsidRDefault="001C7BF9">
      <w:pPr>
        <w:pStyle w:val="Lagtext"/>
        <w:outlineLvl w:val="0"/>
        <w:rPr>
          <w:b/>
        </w:rPr>
      </w:pPr>
      <w:r w:rsidRPr="00C9680B">
        <w:rPr>
          <w:b/>
        </w:rPr>
        <w:t>Fordonsskatt</w:t>
      </w:r>
    </w:p>
    <w:tbl>
      <w:tblPr>
        <w:tblW w:w="0" w:type="auto"/>
        <w:tblInd w:w="-70" w:type="dxa"/>
        <w:tblLayout w:type="fixed"/>
        <w:tblCellMar>
          <w:left w:w="70" w:type="dxa"/>
          <w:right w:w="70" w:type="dxa"/>
        </w:tblCellMar>
        <w:tblLook w:val="0000" w:firstRow="0" w:lastRow="0" w:firstColumn="0" w:lastColumn="0" w:noHBand="0" w:noVBand="0"/>
      </w:tblPr>
      <w:tblGrid>
        <w:gridCol w:w="2480"/>
        <w:gridCol w:w="1134"/>
        <w:gridCol w:w="851"/>
        <w:gridCol w:w="1701"/>
      </w:tblGrid>
      <w:tr w:rsidR="00000000" w:rsidRPr="00C9680B">
        <w:tblPrEx>
          <w:tblCellMar>
            <w:top w:w="0" w:type="dxa"/>
            <w:bottom w:w="0" w:type="dxa"/>
          </w:tblCellMar>
        </w:tblPrEx>
        <w:tc>
          <w:tcPr>
            <w:tcW w:w="2480" w:type="dxa"/>
            <w:tcBorders>
              <w:top w:val="single" w:sz="6" w:space="0" w:color="auto"/>
            </w:tcBorders>
          </w:tcPr>
          <w:p w:rsidR="001C7BF9" w:rsidRPr="00C9680B" w:rsidRDefault="001C7BF9">
            <w:pPr>
              <w:pStyle w:val="Lagtext"/>
            </w:pPr>
            <w:r w:rsidRPr="00C9680B">
              <w:t>Fordonsslag</w:t>
            </w:r>
          </w:p>
          <w:p w:rsidR="001C7BF9" w:rsidRPr="00C9680B" w:rsidRDefault="001C7BF9">
            <w:pPr>
              <w:pStyle w:val="Lagtext"/>
            </w:pPr>
          </w:p>
        </w:tc>
        <w:tc>
          <w:tcPr>
            <w:tcW w:w="1134" w:type="dxa"/>
            <w:tcBorders>
              <w:top w:val="single" w:sz="6" w:space="0" w:color="auto"/>
            </w:tcBorders>
          </w:tcPr>
          <w:p w:rsidR="001C7BF9" w:rsidRPr="00C9680B" w:rsidRDefault="001C7BF9">
            <w:pPr>
              <w:pStyle w:val="Lagtext"/>
            </w:pPr>
            <w:r w:rsidRPr="00C9680B">
              <w:t>Skattevikt,</w:t>
            </w:r>
          </w:p>
          <w:p w:rsidR="001C7BF9" w:rsidRPr="00C9680B" w:rsidRDefault="001C7BF9">
            <w:pPr>
              <w:pStyle w:val="Lagtext"/>
            </w:pPr>
            <w:r w:rsidRPr="00C9680B">
              <w:t>kilogram</w:t>
            </w:r>
          </w:p>
        </w:tc>
        <w:tc>
          <w:tcPr>
            <w:tcW w:w="2552" w:type="dxa"/>
            <w:gridSpan w:val="2"/>
            <w:tcBorders>
              <w:top w:val="single" w:sz="6" w:space="0" w:color="auto"/>
              <w:bottom w:val="single" w:sz="6" w:space="0" w:color="auto"/>
            </w:tcBorders>
          </w:tcPr>
          <w:p w:rsidR="001C7BF9" w:rsidRPr="00C9680B" w:rsidRDefault="001C7BF9">
            <w:pPr>
              <w:pStyle w:val="Lagtext"/>
            </w:pPr>
            <w:r w:rsidRPr="00C9680B">
              <w:t>Skatt, kronor</w:t>
            </w:r>
          </w:p>
        </w:tc>
      </w:tr>
      <w:tr w:rsidR="00000000" w:rsidRPr="00C9680B">
        <w:tblPrEx>
          <w:tblCellMar>
            <w:top w:w="0" w:type="dxa"/>
            <w:bottom w:w="0" w:type="dxa"/>
          </w:tblCellMar>
        </w:tblPrEx>
        <w:tc>
          <w:tcPr>
            <w:tcW w:w="2480" w:type="dxa"/>
            <w:tcBorders>
              <w:bottom w:val="single" w:sz="6" w:space="0" w:color="auto"/>
            </w:tcBorders>
          </w:tcPr>
          <w:p w:rsidR="001C7BF9" w:rsidRPr="00C9680B" w:rsidRDefault="001C7BF9">
            <w:pPr>
              <w:pStyle w:val="Lagtext"/>
            </w:pPr>
          </w:p>
        </w:tc>
        <w:tc>
          <w:tcPr>
            <w:tcW w:w="1134" w:type="dxa"/>
            <w:tcBorders>
              <w:bottom w:val="single" w:sz="6" w:space="0" w:color="auto"/>
            </w:tcBorders>
          </w:tcPr>
          <w:p w:rsidR="001C7BF9" w:rsidRPr="00C9680B" w:rsidRDefault="001C7BF9">
            <w:pPr>
              <w:pStyle w:val="Lagtext"/>
            </w:pPr>
          </w:p>
        </w:tc>
        <w:tc>
          <w:tcPr>
            <w:tcW w:w="851" w:type="dxa"/>
            <w:tcBorders>
              <w:bottom w:val="single" w:sz="6" w:space="0" w:color="auto"/>
            </w:tcBorders>
          </w:tcPr>
          <w:p w:rsidR="001C7BF9" w:rsidRPr="00C9680B" w:rsidRDefault="001C7BF9">
            <w:pPr>
              <w:pStyle w:val="Lagtext"/>
            </w:pPr>
            <w:r w:rsidRPr="00C9680B">
              <w:t>grun</w:t>
            </w:r>
            <w:r w:rsidRPr="00C9680B">
              <w:t>d</w:t>
            </w:r>
            <w:r w:rsidRPr="00C9680B">
              <w:softHyphen/>
              <w:t>belopp</w:t>
            </w:r>
          </w:p>
          <w:p w:rsidR="001C7BF9" w:rsidRPr="00C9680B" w:rsidRDefault="001C7BF9">
            <w:pPr>
              <w:pStyle w:val="Lagtext"/>
            </w:pPr>
          </w:p>
        </w:tc>
        <w:tc>
          <w:tcPr>
            <w:tcW w:w="1701" w:type="dxa"/>
            <w:tcBorders>
              <w:bottom w:val="single" w:sz="6" w:space="0" w:color="auto"/>
            </w:tcBorders>
          </w:tcPr>
          <w:p w:rsidR="001C7BF9" w:rsidRPr="00C9680B" w:rsidRDefault="001C7BF9">
            <w:pPr>
              <w:pStyle w:val="Lagtext"/>
            </w:pPr>
            <w:r w:rsidRPr="00C9680B">
              <w:t>tilläggsbelopp för varje helt hundratal kilogram över den lägsta vikten i kla</w:t>
            </w:r>
            <w:r w:rsidRPr="00C9680B">
              <w:t>s</w:t>
            </w:r>
            <w:r w:rsidRPr="00C9680B">
              <w:t>sen</w:t>
            </w:r>
          </w:p>
        </w:tc>
      </w:tr>
    </w:tbl>
    <w:p w:rsidR="001C7BF9" w:rsidRPr="00C9680B" w:rsidRDefault="001C7BF9">
      <w:pPr>
        <w:pStyle w:val="Lagtext"/>
        <w:keepNext/>
      </w:pPr>
      <w:r w:rsidRPr="00C9680B">
        <w:t xml:space="preserve">- - - - - - - - - - - - - - - - - - - - - - - - - - - - - - - - - - - - - - - - - - - - - - - - - - - - - </w:t>
      </w:r>
    </w:p>
    <w:tbl>
      <w:tblPr>
        <w:tblW w:w="0" w:type="auto"/>
        <w:tblInd w:w="-70" w:type="dxa"/>
        <w:tblLayout w:type="fixed"/>
        <w:tblCellMar>
          <w:left w:w="70" w:type="dxa"/>
          <w:right w:w="70" w:type="dxa"/>
        </w:tblCellMar>
        <w:tblLook w:val="0000" w:firstRow="0" w:lastRow="0" w:firstColumn="0" w:lastColumn="0" w:noHBand="0" w:noVBand="0"/>
      </w:tblPr>
      <w:tblGrid>
        <w:gridCol w:w="496"/>
        <w:gridCol w:w="1984"/>
        <w:gridCol w:w="709"/>
        <w:gridCol w:w="425"/>
        <w:gridCol w:w="851"/>
        <w:gridCol w:w="1701"/>
      </w:tblGrid>
      <w:tr w:rsidR="00000000" w:rsidRPr="00C9680B">
        <w:tblPrEx>
          <w:tblCellMar>
            <w:top w:w="0" w:type="dxa"/>
            <w:bottom w:w="0" w:type="dxa"/>
          </w:tblCellMar>
        </w:tblPrEx>
        <w:tc>
          <w:tcPr>
            <w:tcW w:w="496" w:type="dxa"/>
          </w:tcPr>
          <w:p w:rsidR="001C7BF9" w:rsidRPr="00C9680B" w:rsidRDefault="001C7BF9">
            <w:pPr>
              <w:pStyle w:val="Lagtext"/>
              <w:rPr>
                <w:b/>
              </w:rPr>
            </w:pPr>
            <w:r w:rsidRPr="00C9680B">
              <w:rPr>
                <w:b/>
              </w:rPr>
              <w:t>B</w:t>
            </w:r>
          </w:p>
        </w:tc>
        <w:tc>
          <w:tcPr>
            <w:tcW w:w="1984" w:type="dxa"/>
          </w:tcPr>
          <w:p w:rsidR="001C7BF9" w:rsidRPr="00C9680B" w:rsidRDefault="001C7BF9">
            <w:pPr>
              <w:pStyle w:val="Lagtext"/>
              <w:rPr>
                <w:b/>
              </w:rPr>
            </w:pPr>
            <w:r w:rsidRPr="00C9680B">
              <w:rPr>
                <w:b/>
              </w:rPr>
              <w:t>Personbilar</w:t>
            </w:r>
          </w:p>
        </w:tc>
        <w:tc>
          <w:tcPr>
            <w:tcW w:w="709" w:type="dxa"/>
          </w:tcPr>
          <w:p w:rsidR="001C7BF9" w:rsidRPr="00C9680B" w:rsidRDefault="001C7BF9">
            <w:pPr>
              <w:pStyle w:val="Lagtext"/>
              <w:tabs>
                <w:tab w:val="decimal" w:pos="355"/>
              </w:tabs>
            </w:pPr>
          </w:p>
        </w:tc>
        <w:tc>
          <w:tcPr>
            <w:tcW w:w="425" w:type="dxa"/>
          </w:tcPr>
          <w:p w:rsidR="001C7BF9" w:rsidRPr="00C9680B" w:rsidRDefault="001C7BF9">
            <w:pPr>
              <w:pStyle w:val="Lagtext"/>
            </w:pPr>
          </w:p>
        </w:tc>
        <w:tc>
          <w:tcPr>
            <w:tcW w:w="851" w:type="dxa"/>
          </w:tcPr>
          <w:p w:rsidR="001C7BF9" w:rsidRPr="00C9680B" w:rsidRDefault="001C7BF9">
            <w:pPr>
              <w:pStyle w:val="Lagtext"/>
              <w:tabs>
                <w:tab w:val="decimal" w:pos="497"/>
              </w:tabs>
            </w:pPr>
          </w:p>
        </w:tc>
        <w:tc>
          <w:tcPr>
            <w:tcW w:w="1701" w:type="dxa"/>
          </w:tcPr>
          <w:p w:rsidR="001C7BF9" w:rsidRPr="00C9680B" w:rsidRDefault="001C7BF9">
            <w:pPr>
              <w:pStyle w:val="Lagtext"/>
              <w:tabs>
                <w:tab w:val="decimal" w:pos="780"/>
              </w:tabs>
            </w:pPr>
          </w:p>
        </w:tc>
      </w:tr>
      <w:tr w:rsidR="00000000" w:rsidRPr="00C9680B">
        <w:tblPrEx>
          <w:tblCellMar>
            <w:top w:w="0" w:type="dxa"/>
            <w:bottom w:w="0" w:type="dxa"/>
          </w:tblCellMar>
        </w:tblPrEx>
        <w:trPr>
          <w:cantSplit/>
        </w:trPr>
        <w:tc>
          <w:tcPr>
            <w:tcW w:w="496" w:type="dxa"/>
          </w:tcPr>
          <w:p w:rsidR="001C7BF9" w:rsidRPr="00C9680B" w:rsidRDefault="001C7BF9">
            <w:pPr>
              <w:pStyle w:val="Lagtext"/>
            </w:pPr>
            <w:r w:rsidRPr="00C9680B">
              <w:t>1</w:t>
            </w:r>
          </w:p>
        </w:tc>
        <w:tc>
          <w:tcPr>
            <w:tcW w:w="1984" w:type="dxa"/>
          </w:tcPr>
          <w:p w:rsidR="001C7BF9" w:rsidRPr="00C9680B" w:rsidRDefault="001C7BF9">
            <w:pPr>
              <w:pStyle w:val="Lagtext"/>
            </w:pPr>
            <w:r w:rsidRPr="00C9680B">
              <w:t>Personbil som inte kan drivas med dies</w:t>
            </w:r>
            <w:r w:rsidRPr="00C9680B">
              <w:t>e</w:t>
            </w:r>
            <w:r w:rsidRPr="00C9680B">
              <w:t>lolja</w:t>
            </w:r>
          </w:p>
        </w:tc>
        <w:tc>
          <w:tcPr>
            <w:tcW w:w="1134" w:type="dxa"/>
            <w:gridSpan w:val="2"/>
          </w:tcPr>
          <w:p w:rsidR="001C7BF9" w:rsidRPr="00C9680B" w:rsidRDefault="001C7BF9">
            <w:pPr>
              <w:pStyle w:val="Lagtext"/>
              <w:tabs>
                <w:tab w:val="decimal" w:pos="355"/>
              </w:tabs>
            </w:pPr>
            <w:r w:rsidRPr="00C9680B">
              <w:t>0–900</w:t>
            </w:r>
          </w:p>
          <w:p w:rsidR="001C7BF9" w:rsidRPr="00C9680B" w:rsidRDefault="001C7BF9">
            <w:pPr>
              <w:pStyle w:val="Lagtext"/>
              <w:tabs>
                <w:tab w:val="decimal" w:pos="355"/>
              </w:tabs>
            </w:pPr>
            <w:r w:rsidRPr="00C9680B">
              <w:t>901–</w:t>
            </w:r>
          </w:p>
        </w:tc>
        <w:tc>
          <w:tcPr>
            <w:tcW w:w="851" w:type="dxa"/>
          </w:tcPr>
          <w:p w:rsidR="001C7BF9" w:rsidRPr="00C9680B" w:rsidRDefault="001C7BF9">
            <w:pPr>
              <w:pStyle w:val="Lagtext"/>
              <w:tabs>
                <w:tab w:val="decimal" w:pos="497"/>
              </w:tabs>
            </w:pPr>
            <w:r w:rsidRPr="00C9680B">
              <w:t>585</w:t>
            </w:r>
          </w:p>
          <w:p w:rsidR="001C7BF9" w:rsidRPr="00C9680B" w:rsidRDefault="001C7BF9">
            <w:pPr>
              <w:pStyle w:val="Lagtext"/>
              <w:tabs>
                <w:tab w:val="decimal" w:pos="497"/>
              </w:tabs>
            </w:pPr>
            <w:r w:rsidRPr="00C9680B">
              <w:t>734</w:t>
            </w:r>
          </w:p>
        </w:tc>
        <w:tc>
          <w:tcPr>
            <w:tcW w:w="1701" w:type="dxa"/>
          </w:tcPr>
          <w:p w:rsidR="001C7BF9" w:rsidRPr="00C9680B" w:rsidRDefault="001C7BF9">
            <w:pPr>
              <w:pStyle w:val="Lagtext"/>
              <w:tabs>
                <w:tab w:val="decimal" w:pos="780"/>
              </w:tabs>
              <w:jc w:val="right"/>
            </w:pPr>
            <w:r w:rsidRPr="00C9680B">
              <w:t xml:space="preserve">0                </w:t>
            </w:r>
          </w:p>
          <w:p w:rsidR="001C7BF9" w:rsidRPr="00C9680B" w:rsidRDefault="001C7BF9">
            <w:pPr>
              <w:pStyle w:val="Lagtext"/>
              <w:tabs>
                <w:tab w:val="decimal" w:pos="780"/>
              </w:tabs>
              <w:jc w:val="right"/>
            </w:pPr>
            <w:r w:rsidRPr="00C9680B">
              <w:t xml:space="preserve">149            </w:t>
            </w:r>
          </w:p>
        </w:tc>
      </w:tr>
      <w:tr w:rsidR="00000000" w:rsidRPr="00C9680B">
        <w:tblPrEx>
          <w:tblCellMar>
            <w:top w:w="0" w:type="dxa"/>
            <w:bottom w:w="0" w:type="dxa"/>
          </w:tblCellMar>
        </w:tblPrEx>
        <w:tc>
          <w:tcPr>
            <w:tcW w:w="496" w:type="dxa"/>
          </w:tcPr>
          <w:p w:rsidR="001C7BF9" w:rsidRPr="00C9680B" w:rsidRDefault="001C7BF9">
            <w:pPr>
              <w:pStyle w:val="Lagtext"/>
            </w:pPr>
          </w:p>
        </w:tc>
        <w:tc>
          <w:tcPr>
            <w:tcW w:w="1984" w:type="dxa"/>
          </w:tcPr>
          <w:p w:rsidR="001C7BF9" w:rsidRPr="00C9680B" w:rsidRDefault="001C7BF9">
            <w:pPr>
              <w:pStyle w:val="Lagtext"/>
            </w:pPr>
          </w:p>
        </w:tc>
        <w:tc>
          <w:tcPr>
            <w:tcW w:w="709" w:type="dxa"/>
          </w:tcPr>
          <w:p w:rsidR="001C7BF9" w:rsidRPr="00C9680B" w:rsidRDefault="001C7BF9">
            <w:pPr>
              <w:pStyle w:val="Lagtext"/>
              <w:tabs>
                <w:tab w:val="decimal" w:pos="355"/>
              </w:tabs>
            </w:pPr>
          </w:p>
        </w:tc>
        <w:tc>
          <w:tcPr>
            <w:tcW w:w="425" w:type="dxa"/>
          </w:tcPr>
          <w:p w:rsidR="001C7BF9" w:rsidRPr="00C9680B" w:rsidRDefault="001C7BF9">
            <w:pPr>
              <w:pStyle w:val="Lagtext"/>
            </w:pPr>
          </w:p>
        </w:tc>
        <w:tc>
          <w:tcPr>
            <w:tcW w:w="851" w:type="dxa"/>
          </w:tcPr>
          <w:p w:rsidR="001C7BF9" w:rsidRPr="00C9680B" w:rsidRDefault="001C7BF9">
            <w:pPr>
              <w:pStyle w:val="Lagtext"/>
              <w:tabs>
                <w:tab w:val="decimal" w:pos="497"/>
              </w:tabs>
            </w:pPr>
          </w:p>
        </w:tc>
        <w:tc>
          <w:tcPr>
            <w:tcW w:w="1701" w:type="dxa"/>
          </w:tcPr>
          <w:p w:rsidR="001C7BF9" w:rsidRPr="00C9680B" w:rsidRDefault="001C7BF9">
            <w:pPr>
              <w:pStyle w:val="Lagtext"/>
              <w:tabs>
                <w:tab w:val="decimal" w:pos="780"/>
              </w:tabs>
            </w:pPr>
          </w:p>
        </w:tc>
      </w:tr>
      <w:tr w:rsidR="00000000" w:rsidRPr="00C9680B">
        <w:tblPrEx>
          <w:tblCellMar>
            <w:top w:w="0" w:type="dxa"/>
            <w:bottom w:w="0" w:type="dxa"/>
          </w:tblCellMar>
        </w:tblPrEx>
        <w:trPr>
          <w:cantSplit/>
        </w:trPr>
        <w:tc>
          <w:tcPr>
            <w:tcW w:w="496" w:type="dxa"/>
          </w:tcPr>
          <w:p w:rsidR="001C7BF9" w:rsidRPr="00C9680B" w:rsidRDefault="001C7BF9">
            <w:pPr>
              <w:pStyle w:val="Lagtext"/>
            </w:pPr>
            <w:r w:rsidRPr="00C9680B">
              <w:t>2</w:t>
            </w:r>
          </w:p>
        </w:tc>
        <w:tc>
          <w:tcPr>
            <w:tcW w:w="1984" w:type="dxa"/>
          </w:tcPr>
          <w:p w:rsidR="001C7BF9" w:rsidRPr="00C9680B" w:rsidRDefault="001C7BF9">
            <w:pPr>
              <w:pStyle w:val="Lagtext"/>
              <w:jc w:val="left"/>
            </w:pPr>
            <w:r w:rsidRPr="00C9680B">
              <w:t>Personbil som kan drivas med dies</w:t>
            </w:r>
            <w:r w:rsidRPr="00C9680B">
              <w:t>e</w:t>
            </w:r>
            <w:r w:rsidRPr="00C9680B">
              <w:t>lolja</w:t>
            </w:r>
          </w:p>
          <w:p w:rsidR="001C7BF9" w:rsidRPr="00C9680B" w:rsidRDefault="001C7BF9">
            <w:pPr>
              <w:pStyle w:val="Lagtext"/>
              <w:jc w:val="left"/>
            </w:pPr>
          </w:p>
        </w:tc>
        <w:tc>
          <w:tcPr>
            <w:tcW w:w="1134" w:type="dxa"/>
            <w:gridSpan w:val="2"/>
          </w:tcPr>
          <w:p w:rsidR="001C7BF9" w:rsidRPr="00C9680B" w:rsidRDefault="001C7BF9">
            <w:pPr>
              <w:pStyle w:val="Lagtext"/>
              <w:tabs>
                <w:tab w:val="decimal" w:pos="355"/>
              </w:tabs>
            </w:pPr>
            <w:r w:rsidRPr="00C9680B">
              <w:t>0–900</w:t>
            </w:r>
          </w:p>
          <w:p w:rsidR="001C7BF9" w:rsidRPr="00C9680B" w:rsidRDefault="001C7BF9">
            <w:pPr>
              <w:pStyle w:val="Lagtext"/>
              <w:tabs>
                <w:tab w:val="decimal" w:pos="355"/>
              </w:tabs>
            </w:pPr>
            <w:r w:rsidRPr="00C9680B">
              <w:t>901–</w:t>
            </w:r>
          </w:p>
          <w:p w:rsidR="001C7BF9" w:rsidRPr="00C9680B" w:rsidRDefault="001C7BF9">
            <w:pPr>
              <w:pStyle w:val="Lagtext"/>
            </w:pPr>
          </w:p>
        </w:tc>
        <w:tc>
          <w:tcPr>
            <w:tcW w:w="851" w:type="dxa"/>
          </w:tcPr>
          <w:p w:rsidR="001C7BF9" w:rsidRPr="00C9680B" w:rsidRDefault="001C7BF9">
            <w:pPr>
              <w:pStyle w:val="Lagtext"/>
              <w:tabs>
                <w:tab w:val="decimal" w:pos="497"/>
              </w:tabs>
            </w:pPr>
            <w:r w:rsidRPr="00C9680B">
              <w:t>2 245</w:t>
            </w:r>
          </w:p>
          <w:p w:rsidR="001C7BF9" w:rsidRPr="00C9680B" w:rsidRDefault="001C7BF9">
            <w:pPr>
              <w:pStyle w:val="Lagtext"/>
              <w:tabs>
                <w:tab w:val="decimal" w:pos="497"/>
              </w:tabs>
            </w:pPr>
            <w:r w:rsidRPr="00C9680B">
              <w:t>2 814</w:t>
            </w:r>
          </w:p>
        </w:tc>
        <w:tc>
          <w:tcPr>
            <w:tcW w:w="1701" w:type="dxa"/>
          </w:tcPr>
          <w:p w:rsidR="001C7BF9" w:rsidRPr="00C9680B" w:rsidRDefault="001C7BF9">
            <w:pPr>
              <w:pStyle w:val="Lagtext"/>
              <w:tabs>
                <w:tab w:val="decimal" w:pos="780"/>
              </w:tabs>
              <w:jc w:val="right"/>
            </w:pPr>
            <w:r w:rsidRPr="00C9680B">
              <w:t xml:space="preserve">0                </w:t>
            </w:r>
          </w:p>
          <w:p w:rsidR="001C7BF9" w:rsidRPr="00C9680B" w:rsidRDefault="001C7BF9">
            <w:pPr>
              <w:pStyle w:val="Lagtext"/>
              <w:tabs>
                <w:tab w:val="decimal" w:pos="780"/>
              </w:tabs>
              <w:jc w:val="right"/>
            </w:pPr>
            <w:r w:rsidRPr="00C9680B">
              <w:t xml:space="preserve">569             </w:t>
            </w:r>
          </w:p>
        </w:tc>
      </w:tr>
    </w:tbl>
    <w:p w:rsidR="001C7BF9" w:rsidRPr="00C9680B" w:rsidRDefault="001C7BF9">
      <w:pPr>
        <w:pStyle w:val="Lagtext"/>
      </w:pPr>
    </w:p>
    <w:tbl>
      <w:tblPr>
        <w:tblW w:w="0" w:type="auto"/>
        <w:tblInd w:w="-70" w:type="dxa"/>
        <w:tblLayout w:type="fixed"/>
        <w:tblCellMar>
          <w:left w:w="70" w:type="dxa"/>
          <w:right w:w="70" w:type="dxa"/>
        </w:tblCellMar>
        <w:tblLook w:val="0000" w:firstRow="0" w:lastRow="0" w:firstColumn="0" w:lastColumn="0" w:noHBand="0" w:noVBand="0"/>
      </w:tblPr>
      <w:tblGrid>
        <w:gridCol w:w="496"/>
        <w:gridCol w:w="1984"/>
        <w:gridCol w:w="709"/>
        <w:gridCol w:w="425"/>
        <w:gridCol w:w="851"/>
        <w:gridCol w:w="1701"/>
      </w:tblGrid>
      <w:tr w:rsidR="00000000" w:rsidRPr="00C9680B">
        <w:tblPrEx>
          <w:tblCellMar>
            <w:top w:w="0" w:type="dxa"/>
            <w:bottom w:w="0" w:type="dxa"/>
          </w:tblCellMar>
        </w:tblPrEx>
        <w:tc>
          <w:tcPr>
            <w:tcW w:w="496" w:type="dxa"/>
          </w:tcPr>
          <w:p w:rsidR="001C7BF9" w:rsidRPr="00C9680B" w:rsidRDefault="001C7BF9">
            <w:pPr>
              <w:pStyle w:val="Lagtext"/>
              <w:rPr>
                <w:b/>
              </w:rPr>
            </w:pPr>
            <w:r w:rsidRPr="00C9680B">
              <w:rPr>
                <w:b/>
                <w:sz w:val="16"/>
              </w:rPr>
              <w:t>C</w:t>
            </w:r>
          </w:p>
        </w:tc>
        <w:tc>
          <w:tcPr>
            <w:tcW w:w="1984" w:type="dxa"/>
          </w:tcPr>
          <w:p w:rsidR="001C7BF9" w:rsidRPr="00C9680B" w:rsidRDefault="001C7BF9">
            <w:pPr>
              <w:pStyle w:val="Lagtext"/>
              <w:rPr>
                <w:b/>
              </w:rPr>
            </w:pPr>
            <w:r w:rsidRPr="00C9680B">
              <w:rPr>
                <w:b/>
              </w:rPr>
              <w:t>Bussar</w:t>
            </w:r>
          </w:p>
        </w:tc>
        <w:tc>
          <w:tcPr>
            <w:tcW w:w="709" w:type="dxa"/>
          </w:tcPr>
          <w:p w:rsidR="001C7BF9" w:rsidRPr="00C9680B" w:rsidRDefault="001C7BF9">
            <w:pPr>
              <w:pStyle w:val="Lagtext"/>
              <w:rPr>
                <w:i/>
              </w:rPr>
            </w:pPr>
          </w:p>
        </w:tc>
        <w:tc>
          <w:tcPr>
            <w:tcW w:w="425" w:type="dxa"/>
          </w:tcPr>
          <w:p w:rsidR="001C7BF9" w:rsidRPr="00C9680B" w:rsidRDefault="001C7BF9">
            <w:pPr>
              <w:pStyle w:val="Lagtext"/>
              <w:rPr>
                <w:i/>
              </w:rPr>
            </w:pPr>
          </w:p>
        </w:tc>
        <w:tc>
          <w:tcPr>
            <w:tcW w:w="851" w:type="dxa"/>
          </w:tcPr>
          <w:p w:rsidR="001C7BF9" w:rsidRPr="00C9680B" w:rsidRDefault="001C7BF9">
            <w:pPr>
              <w:pStyle w:val="Lagtext"/>
            </w:pPr>
          </w:p>
        </w:tc>
        <w:tc>
          <w:tcPr>
            <w:tcW w:w="1701" w:type="dxa"/>
          </w:tcPr>
          <w:p w:rsidR="001C7BF9" w:rsidRPr="00C9680B" w:rsidRDefault="001C7BF9">
            <w:pPr>
              <w:pStyle w:val="Lagtext"/>
            </w:pPr>
          </w:p>
        </w:tc>
      </w:tr>
    </w:tbl>
    <w:p w:rsidR="001C7BF9" w:rsidRPr="00C9680B" w:rsidRDefault="001C7BF9">
      <w:pPr>
        <w:pStyle w:val="Lagtext"/>
      </w:pPr>
      <w:r w:rsidRPr="00C9680B">
        <w:t xml:space="preserve">- - - - - - - - - - - - - - - - - - - - - - - - - - - - - - - - - - - - - - - - - - - - - - - - - - - - - </w:t>
      </w:r>
    </w:p>
    <w:p w:rsidR="001C7BF9" w:rsidRPr="00C9680B" w:rsidRDefault="001C7BF9">
      <w:pPr>
        <w:pStyle w:val="Lagtext"/>
      </w:pPr>
      <w:r w:rsidRPr="00C9680B">
        <w:rPr>
          <w:u w:val="single"/>
        </w:rPr>
        <w:t>                              </w:t>
      </w:r>
    </w:p>
    <w:p w:rsidR="001C7BF9" w:rsidRPr="00C9680B" w:rsidRDefault="001C7BF9">
      <w:pPr>
        <w:pStyle w:val="LagtextIndrag"/>
        <w:spacing w:line="240" w:lineRule="auto"/>
        <w:rPr>
          <w:sz w:val="12"/>
        </w:rPr>
      </w:pPr>
    </w:p>
    <w:p w:rsidR="001C7BF9" w:rsidRPr="00C9680B" w:rsidRDefault="001C7BF9">
      <w:pPr>
        <w:pStyle w:val="LagtextIndrag"/>
        <w:outlineLvl w:val="0"/>
      </w:pPr>
      <w:r w:rsidRPr="00C9680B">
        <w:t>Denna lag träder i kraft den 1 j</w:t>
      </w:r>
      <w:r w:rsidRPr="00C9680B">
        <w:t>a</w:t>
      </w:r>
      <w:r w:rsidRPr="00C9680B">
        <w:t>nuari 2001.</w:t>
      </w:r>
    </w:p>
    <w:p w:rsidR="001C7BF9" w:rsidRPr="00C9680B" w:rsidRDefault="001C7BF9">
      <w:pPr>
        <w:pStyle w:val="Rubrik2"/>
        <w:spacing w:before="0"/>
      </w:pPr>
      <w:bookmarkStart w:id="789" w:name="_Toc493234623"/>
    </w:p>
    <w:p w:rsidR="001C7BF9" w:rsidRPr="00C9680B" w:rsidRDefault="001C7BF9">
      <w:pPr>
        <w:pStyle w:val="Rubrik2"/>
        <w:spacing w:before="0"/>
      </w:pPr>
      <w:r w:rsidRPr="00C9680B">
        <w:br w:type="page"/>
      </w:r>
      <w:bookmarkStart w:id="790" w:name="_Toc498910972"/>
      <w:r w:rsidRPr="00C9680B">
        <w:t xml:space="preserve">14  Förslag till lag om upphävande av lagen (1978:69) </w:t>
      </w:r>
      <w:r w:rsidRPr="00C9680B">
        <w:br/>
        <w:t xml:space="preserve">      om försäljningsskatt på motorfordon</w:t>
      </w:r>
      <w:bookmarkEnd w:id="789"/>
      <w:bookmarkEnd w:id="790"/>
    </w:p>
    <w:p w:rsidR="001C7BF9" w:rsidRPr="00C9680B" w:rsidRDefault="001C7BF9">
      <w:pPr>
        <w:pStyle w:val="LagtextIndrag"/>
      </w:pPr>
      <w:r w:rsidRPr="00C9680B">
        <w:t>Härigenom föreskrivs att lagen (1978:69) om försäljningsskatt på motor</w:t>
      </w:r>
      <w:r w:rsidRPr="00C9680B">
        <w:softHyphen/>
        <w:t>fordon skall upphöra att gälla vid utgången av år 2000. Den upphävda lagen gäller fortfarande i fråga om förhållanden som hänför sig till tiden före den 1 januari 2001. Försäljningsskatt skall dock inte tas ut om skattskyldighet inträtt efter den 19 september 2000.</w:t>
      </w:r>
    </w:p>
    <w:p w:rsidR="001C7BF9" w:rsidRPr="00C9680B" w:rsidRDefault="001C7BF9">
      <w:pPr>
        <w:pStyle w:val="LagtextIndrag"/>
      </w:pPr>
    </w:p>
    <w:p w:rsidR="001C7BF9" w:rsidRPr="00C9680B" w:rsidRDefault="001C7BF9">
      <w:pPr>
        <w:pStyle w:val="Rubrik2"/>
        <w:spacing w:before="0"/>
      </w:pPr>
      <w:bookmarkStart w:id="791" w:name="_Toc493234624"/>
      <w:r w:rsidRPr="00C9680B">
        <w:br w:type="page"/>
      </w:r>
      <w:bookmarkStart w:id="792" w:name="_Toc498910973"/>
      <w:r w:rsidRPr="00C9680B">
        <w:t xml:space="preserve">15  Förslag till lag om ändring i lagen (1994:1565) om </w:t>
      </w:r>
      <w:r w:rsidRPr="00C9680B">
        <w:br/>
        <w:t xml:space="preserve">      beskattning av viss privatinförsel</w:t>
      </w:r>
      <w:bookmarkEnd w:id="791"/>
      <w:bookmarkEnd w:id="792"/>
    </w:p>
    <w:p w:rsidR="001C7BF9" w:rsidRPr="00C9680B" w:rsidRDefault="001C7BF9">
      <w:pPr>
        <w:pStyle w:val="LagtextIndrag"/>
      </w:pPr>
      <w:r w:rsidRPr="00C9680B">
        <w:t>Härigenom föreskrivs att 2 § lagen (1994:1565) om beskattning av viss pr</w:t>
      </w:r>
      <w:r w:rsidRPr="00C9680B">
        <w:t>i</w:t>
      </w:r>
      <w:r w:rsidRPr="00C9680B">
        <w:t>vatinförsel skall ha följande l</w:t>
      </w:r>
      <w:r w:rsidRPr="00C9680B">
        <w:t>y</w:t>
      </w:r>
      <w:r w:rsidRPr="00C9680B">
        <w:t>delse.</w:t>
      </w:r>
    </w:p>
    <w:p w:rsidR="001C7BF9" w:rsidRPr="00C9680B" w:rsidRDefault="001C7BF9">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Rubrik2"/>
              <w:rPr>
                <w:sz w:val="19"/>
              </w:rPr>
            </w:pPr>
            <w:r w:rsidRPr="00C9680B">
              <w:rPr>
                <w:sz w:val="19"/>
              </w:rPr>
              <w:br w:type="page"/>
              <w:t>Nuvarande lydelse</w:t>
            </w:r>
          </w:p>
        </w:tc>
        <w:tc>
          <w:tcPr>
            <w:tcW w:w="3090" w:type="dxa"/>
          </w:tcPr>
          <w:p w:rsidR="001C7BF9" w:rsidRPr="00C9680B" w:rsidRDefault="001C7BF9">
            <w:pPr>
              <w:pStyle w:val="LagRubrik2"/>
              <w:rPr>
                <w:sz w:val="19"/>
              </w:rPr>
            </w:pPr>
            <w:r w:rsidRPr="00C9680B">
              <w:rPr>
                <w:sz w:val="19"/>
              </w:rPr>
              <w:t>Föreslagen lydelse</w:t>
            </w:r>
          </w:p>
        </w:tc>
      </w:tr>
    </w:tbl>
    <w:p w:rsidR="001C7BF9" w:rsidRPr="00C9680B" w:rsidRDefault="001C7BF9">
      <w:pPr>
        <w:pStyle w:val="LagtextIndrag"/>
      </w:pPr>
    </w:p>
    <w:p w:rsidR="001C7BF9" w:rsidRPr="00C9680B" w:rsidRDefault="001C7BF9">
      <w:pPr>
        <w:pStyle w:val="Lagtext"/>
        <w:jc w:val="center"/>
      </w:pPr>
      <w:r w:rsidRPr="00C9680B">
        <w:rPr>
          <w:b/>
        </w:rPr>
        <w:t>2 §</w:t>
      </w:r>
      <w:r w:rsidRPr="00C9680B">
        <w:rPr>
          <w:rStyle w:val="Fotnotsreferens"/>
        </w:rPr>
        <w:footnoteReference w:id="19"/>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Skatt enligt 1 § skall inte tas ut till den del införseln uppgår till högst följande kvantiteter</w:t>
            </w:r>
          </w:p>
          <w:p w:rsidR="001C7BF9" w:rsidRPr="00C9680B" w:rsidRDefault="001C7BF9">
            <w:pPr>
              <w:pStyle w:val="LagtextIndrag"/>
            </w:pPr>
            <w:r w:rsidRPr="00C9680B">
              <w:t>1. 1 liter spritdryck,</w:t>
            </w:r>
          </w:p>
          <w:p w:rsidR="001C7BF9" w:rsidRPr="00C9680B" w:rsidRDefault="001C7BF9">
            <w:pPr>
              <w:pStyle w:val="LagtextIndrag"/>
            </w:pPr>
            <w:r w:rsidRPr="00C9680B">
              <w:t xml:space="preserve">2. </w:t>
            </w:r>
            <w:r w:rsidRPr="00C9680B">
              <w:rPr>
                <w:i/>
              </w:rPr>
              <w:t>3</w:t>
            </w:r>
            <w:r w:rsidRPr="00C9680B">
              <w:t xml:space="preserve"> liter starkvin,</w:t>
            </w:r>
          </w:p>
          <w:p w:rsidR="001C7BF9" w:rsidRPr="00C9680B" w:rsidRDefault="001C7BF9">
            <w:pPr>
              <w:pStyle w:val="LagtextIndrag"/>
            </w:pPr>
            <w:r w:rsidRPr="00C9680B">
              <w:t xml:space="preserve">3. </w:t>
            </w:r>
            <w:r w:rsidRPr="00C9680B">
              <w:rPr>
                <w:i/>
              </w:rPr>
              <w:t>20</w:t>
            </w:r>
            <w:r w:rsidRPr="00C9680B">
              <w:t xml:space="preserve"> liter vin,</w:t>
            </w:r>
          </w:p>
          <w:p w:rsidR="001C7BF9" w:rsidRPr="00C9680B" w:rsidRDefault="001C7BF9">
            <w:pPr>
              <w:pStyle w:val="LagtextIndrag"/>
            </w:pPr>
            <w:r w:rsidRPr="00C9680B">
              <w:t xml:space="preserve">4. </w:t>
            </w:r>
            <w:r w:rsidRPr="00C9680B">
              <w:rPr>
                <w:i/>
              </w:rPr>
              <w:t>24</w:t>
            </w:r>
            <w:r w:rsidRPr="00C9680B">
              <w:t xml:space="preserve"> liter starköl,</w:t>
            </w:r>
          </w:p>
          <w:p w:rsidR="001C7BF9" w:rsidRPr="00C9680B" w:rsidRDefault="001C7BF9">
            <w:pPr>
              <w:pStyle w:val="LagtextIndrag"/>
            </w:pPr>
            <w:r w:rsidRPr="00C9680B">
              <w:t xml:space="preserve">5. 400 cigaretter </w:t>
            </w:r>
            <w:r w:rsidRPr="00C9680B">
              <w:rPr>
                <w:i/>
              </w:rPr>
              <w:t>eller</w:t>
            </w:r>
          </w:p>
          <w:p w:rsidR="001C7BF9" w:rsidRPr="00C9680B" w:rsidRDefault="001C7BF9">
            <w:pPr>
              <w:pStyle w:val="LagtextIndrag"/>
            </w:pPr>
            <w:r w:rsidRPr="00C9680B">
              <w:t xml:space="preserve">200 cigariller </w:t>
            </w:r>
            <w:r w:rsidRPr="00C9680B">
              <w:rPr>
                <w:i/>
              </w:rPr>
              <w:t>eller</w:t>
            </w:r>
          </w:p>
          <w:p w:rsidR="001C7BF9" w:rsidRPr="00C9680B" w:rsidRDefault="001C7BF9">
            <w:pPr>
              <w:pStyle w:val="LagtextIndrag"/>
            </w:pPr>
            <w:r w:rsidRPr="00C9680B">
              <w:t>100 cigarrer eller</w:t>
            </w:r>
          </w:p>
          <w:p w:rsidR="001C7BF9" w:rsidRPr="00C9680B" w:rsidRDefault="001C7BF9">
            <w:pPr>
              <w:pStyle w:val="LagtextIndrag"/>
            </w:pPr>
            <w:r w:rsidRPr="00C9680B">
              <w:t>550 gram rökt</w:t>
            </w:r>
            <w:r w:rsidRPr="00C9680B">
              <w:t>o</w:t>
            </w:r>
            <w:r w:rsidRPr="00C9680B">
              <w:t>bak.</w:t>
            </w:r>
          </w:p>
        </w:tc>
        <w:tc>
          <w:tcPr>
            <w:tcW w:w="3090" w:type="dxa"/>
          </w:tcPr>
          <w:p w:rsidR="001C7BF9" w:rsidRPr="00C9680B" w:rsidRDefault="001C7BF9">
            <w:pPr>
              <w:pStyle w:val="LagtextIndrag"/>
            </w:pPr>
            <w:r w:rsidRPr="00C9680B">
              <w:t>Skatt enligt 1 § skall inte tas ut till den del införseln uppgår till högst följande kvantiteter</w:t>
            </w:r>
          </w:p>
          <w:p w:rsidR="001C7BF9" w:rsidRPr="00C9680B" w:rsidRDefault="001C7BF9">
            <w:pPr>
              <w:pStyle w:val="LagtextIndrag"/>
            </w:pPr>
            <w:r w:rsidRPr="00C9680B">
              <w:t xml:space="preserve">1. 1 liter spritdryck, </w:t>
            </w:r>
          </w:p>
          <w:p w:rsidR="001C7BF9" w:rsidRPr="00C9680B" w:rsidRDefault="001C7BF9">
            <w:pPr>
              <w:pStyle w:val="LagtextIndrag"/>
            </w:pPr>
            <w:r w:rsidRPr="00C9680B">
              <w:t xml:space="preserve">2. </w:t>
            </w:r>
            <w:r w:rsidRPr="00C9680B">
              <w:rPr>
                <w:i/>
              </w:rPr>
              <w:t>6</w:t>
            </w:r>
            <w:r w:rsidRPr="00C9680B">
              <w:t xml:space="preserve"> liter starkvin,</w:t>
            </w:r>
          </w:p>
          <w:p w:rsidR="001C7BF9" w:rsidRPr="00C9680B" w:rsidRDefault="001C7BF9">
            <w:pPr>
              <w:pStyle w:val="LagtextIndrag"/>
            </w:pPr>
            <w:r w:rsidRPr="00C9680B">
              <w:t xml:space="preserve">3. </w:t>
            </w:r>
            <w:r w:rsidRPr="00C9680B">
              <w:rPr>
                <w:i/>
              </w:rPr>
              <w:t>26</w:t>
            </w:r>
            <w:r w:rsidRPr="00C9680B">
              <w:t xml:space="preserve"> liter vin,</w:t>
            </w:r>
          </w:p>
          <w:p w:rsidR="001C7BF9" w:rsidRPr="00C9680B" w:rsidRDefault="001C7BF9">
            <w:pPr>
              <w:pStyle w:val="LagtextIndrag"/>
            </w:pPr>
            <w:r w:rsidRPr="00C9680B">
              <w:t xml:space="preserve">4. </w:t>
            </w:r>
            <w:r w:rsidRPr="00C9680B">
              <w:rPr>
                <w:i/>
              </w:rPr>
              <w:t>32</w:t>
            </w:r>
            <w:r w:rsidRPr="00C9680B">
              <w:t xml:space="preserve"> liter starköl,</w:t>
            </w:r>
          </w:p>
          <w:p w:rsidR="001C7BF9" w:rsidRPr="00C9680B" w:rsidRDefault="001C7BF9">
            <w:pPr>
              <w:pStyle w:val="LagtextIndrag"/>
            </w:pPr>
            <w:r w:rsidRPr="00C9680B">
              <w:t>5. 400 cigaretter, 200 cig</w:t>
            </w:r>
            <w:r w:rsidRPr="00C9680B">
              <w:t>a</w:t>
            </w:r>
            <w:r w:rsidRPr="00C9680B">
              <w:t xml:space="preserve">riller, </w:t>
            </w:r>
            <w:r w:rsidRPr="00C9680B">
              <w:br/>
              <w:t>100 cigarrer eller 550 gram rökto-bak.</w:t>
            </w:r>
          </w:p>
        </w:tc>
      </w:tr>
    </w:tbl>
    <w:p w:rsidR="001C7BF9" w:rsidRPr="00C9680B" w:rsidRDefault="001C7BF9">
      <w:pPr>
        <w:pStyle w:val="LagtextIndrag"/>
      </w:pPr>
      <w:r w:rsidRPr="00C9680B">
        <w:t>Bestämmelser om hinder för den som inte fyllt 20 år att föra in sprit-drycker, vin och starköl i landet finns i 4 kap. 2 § alkohollagen (1994:1738). En bestämmelse om förbud för den som inte fyllt 18 år att föra in tobaksvaror i landet finns i 13 § tobakslagen (1993:581).</w:t>
      </w:r>
    </w:p>
    <w:p w:rsidR="001C7BF9" w:rsidRPr="00C9680B" w:rsidRDefault="001C7BF9">
      <w:pPr>
        <w:pStyle w:val="Lagtext"/>
      </w:pPr>
      <w:r w:rsidRPr="00C9680B">
        <w:rPr>
          <w:u w:val="single"/>
        </w:rPr>
        <w:t>                              </w:t>
      </w:r>
    </w:p>
    <w:p w:rsidR="001C7BF9" w:rsidRPr="00C9680B" w:rsidRDefault="001C7BF9">
      <w:pPr>
        <w:pStyle w:val="LagtextIndrag"/>
        <w:spacing w:line="240" w:lineRule="auto"/>
        <w:rPr>
          <w:sz w:val="12"/>
        </w:rPr>
      </w:pPr>
    </w:p>
    <w:p w:rsidR="001C7BF9" w:rsidRPr="00C9680B" w:rsidRDefault="001C7BF9">
      <w:pPr>
        <w:pStyle w:val="LagtextIndrag"/>
      </w:pPr>
      <w:r w:rsidRPr="00C9680B">
        <w:t>Denna lag träder i kraft den 1 januari 2001. Äldre föreskrifter gäller fortf</w:t>
      </w:r>
      <w:r w:rsidRPr="00C9680B">
        <w:t>a</w:t>
      </w:r>
      <w:r w:rsidRPr="00C9680B">
        <w:t>rande för varor som har förts in till Sv</w:t>
      </w:r>
      <w:r w:rsidRPr="00C9680B">
        <w:t>e</w:t>
      </w:r>
      <w:r w:rsidRPr="00C9680B">
        <w:t>rige före ikraftträdandet.</w:t>
      </w:r>
    </w:p>
    <w:p w:rsidR="001C7BF9" w:rsidRPr="00C9680B" w:rsidRDefault="001C7BF9">
      <w:pPr>
        <w:pStyle w:val="Lagtext"/>
      </w:pPr>
    </w:p>
    <w:p w:rsidR="001C7BF9" w:rsidRPr="00C9680B" w:rsidRDefault="001C7BF9">
      <w:pPr>
        <w:pStyle w:val="Rubrik2"/>
        <w:spacing w:before="0"/>
      </w:pPr>
      <w:bookmarkStart w:id="793" w:name="_Toc493234625"/>
      <w:r w:rsidRPr="00C9680B">
        <w:br w:type="page"/>
      </w:r>
      <w:bookmarkStart w:id="794" w:name="_Toc498910974"/>
      <w:r w:rsidRPr="00C9680B">
        <w:t xml:space="preserve">16  Förslag till lag om ändring i lagen (1994:1551) om </w:t>
      </w:r>
      <w:r w:rsidRPr="00C9680B">
        <w:br/>
        <w:t xml:space="preserve">      frihet från skatt vid import, m.m.</w:t>
      </w:r>
      <w:bookmarkEnd w:id="793"/>
      <w:bookmarkEnd w:id="794"/>
    </w:p>
    <w:p w:rsidR="001C7BF9" w:rsidRPr="00C9680B" w:rsidRDefault="001C7BF9">
      <w:pPr>
        <w:pStyle w:val="LagtextIndrag"/>
      </w:pPr>
      <w:r w:rsidRPr="00C9680B">
        <w:t>Härigenom föreskrivs att 3 kap. 6 § lagen (1994:1551) om frihet från skatt vid import, m.m. skall ha följande lyde</w:t>
      </w:r>
      <w:r w:rsidRPr="00C9680B">
        <w:t>l</w:t>
      </w:r>
      <w:r w:rsidRPr="00C9680B">
        <w:t>se.</w:t>
      </w:r>
    </w:p>
    <w:p w:rsidR="001C7BF9" w:rsidRPr="00C9680B" w:rsidRDefault="001C7BF9">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Rubrik2"/>
              <w:rPr>
                <w:sz w:val="19"/>
              </w:rPr>
            </w:pPr>
            <w:r w:rsidRPr="00C9680B">
              <w:rPr>
                <w:sz w:val="19"/>
              </w:rPr>
              <w:t>Nuvarande lydelse</w:t>
            </w:r>
          </w:p>
        </w:tc>
        <w:tc>
          <w:tcPr>
            <w:tcW w:w="3090" w:type="dxa"/>
          </w:tcPr>
          <w:p w:rsidR="001C7BF9" w:rsidRPr="00C9680B" w:rsidRDefault="001C7BF9">
            <w:pPr>
              <w:pStyle w:val="LagRubrik2"/>
              <w:rPr>
                <w:sz w:val="19"/>
              </w:rPr>
            </w:pPr>
            <w:r w:rsidRPr="00C9680B">
              <w:rPr>
                <w:sz w:val="19"/>
              </w:rPr>
              <w:t>Föreslagen lydelse</w:t>
            </w:r>
          </w:p>
        </w:tc>
      </w:tr>
    </w:tbl>
    <w:p w:rsidR="001C7BF9" w:rsidRPr="00C9680B" w:rsidRDefault="001C7BF9">
      <w:pPr>
        <w:pStyle w:val="LagtextIndrag"/>
      </w:pPr>
    </w:p>
    <w:p w:rsidR="001C7BF9" w:rsidRPr="00C9680B" w:rsidRDefault="001C7BF9">
      <w:pPr>
        <w:pStyle w:val="Lagtext"/>
        <w:jc w:val="center"/>
      </w:pPr>
      <w:r w:rsidRPr="00C9680B">
        <w:rPr>
          <w:b/>
        </w:rPr>
        <w:t>3 kap.</w:t>
      </w:r>
    </w:p>
    <w:p w:rsidR="001C7BF9" w:rsidRPr="00C9680B" w:rsidRDefault="001C7BF9">
      <w:pPr>
        <w:pStyle w:val="Lagtext"/>
        <w:jc w:val="center"/>
      </w:pPr>
      <w:r w:rsidRPr="00C9680B">
        <w:rPr>
          <w:b/>
        </w:rPr>
        <w:t>6 §</w:t>
      </w:r>
      <w:r w:rsidRPr="00C9680B">
        <w:rPr>
          <w:rStyle w:val="Fotnotsreferens"/>
        </w:rPr>
        <w:footnoteReference w:id="20"/>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Indrag"/>
            </w:pPr>
            <w:r w:rsidRPr="00C9680B">
              <w:t xml:space="preserve">Frihet från skatt enligt 5 § får medges för högst </w:t>
            </w:r>
            <w:r w:rsidRPr="00C9680B">
              <w:rPr>
                <w:i/>
              </w:rPr>
              <w:t>24</w:t>
            </w:r>
            <w:r w:rsidRPr="00C9680B">
              <w:t xml:space="preserve"> liter star</w:t>
            </w:r>
            <w:r w:rsidRPr="00C9680B">
              <w:t>k</w:t>
            </w:r>
            <w:r w:rsidRPr="00C9680B">
              <w:t>öl.</w:t>
            </w:r>
          </w:p>
        </w:tc>
        <w:tc>
          <w:tcPr>
            <w:tcW w:w="3090" w:type="dxa"/>
          </w:tcPr>
          <w:p w:rsidR="001C7BF9" w:rsidRPr="00C9680B" w:rsidRDefault="001C7BF9">
            <w:pPr>
              <w:pStyle w:val="LagtextIndrag"/>
            </w:pPr>
            <w:r w:rsidRPr="00C9680B">
              <w:t xml:space="preserve">Frihet från skatt enligt 5 § får medges för högst </w:t>
            </w:r>
            <w:r w:rsidRPr="00C9680B">
              <w:rPr>
                <w:i/>
              </w:rPr>
              <w:t>32</w:t>
            </w:r>
            <w:r w:rsidRPr="00C9680B">
              <w:t xml:space="preserve"> liter star</w:t>
            </w:r>
            <w:r w:rsidRPr="00C9680B">
              <w:t>k</w:t>
            </w:r>
            <w:r w:rsidRPr="00C9680B">
              <w:t>öl.</w:t>
            </w:r>
          </w:p>
        </w:tc>
      </w:tr>
    </w:tbl>
    <w:p w:rsidR="001C7BF9" w:rsidRPr="00C9680B" w:rsidRDefault="001C7BF9">
      <w:pPr>
        <w:pStyle w:val="Lagtext"/>
      </w:pPr>
      <w:r w:rsidRPr="00C9680B">
        <w:rPr>
          <w:u w:val="single"/>
        </w:rPr>
        <w:t>                              </w:t>
      </w:r>
    </w:p>
    <w:p w:rsidR="001C7BF9" w:rsidRPr="00C9680B" w:rsidRDefault="001C7BF9">
      <w:pPr>
        <w:pStyle w:val="LagtextIndrag"/>
        <w:spacing w:line="160" w:lineRule="exact"/>
        <w:rPr>
          <w:sz w:val="12"/>
        </w:rPr>
      </w:pPr>
    </w:p>
    <w:p w:rsidR="001C7BF9" w:rsidRPr="00C9680B" w:rsidRDefault="001C7BF9">
      <w:pPr>
        <w:pStyle w:val="LagtextIndrag"/>
      </w:pPr>
      <w:r w:rsidRPr="00C9680B">
        <w:t>Denna lag träder i kraft den 1 januari 2001. Äldre föreskrifter gäller fortf</w:t>
      </w:r>
      <w:r w:rsidRPr="00C9680B">
        <w:t>a</w:t>
      </w:r>
      <w:r w:rsidRPr="00C9680B">
        <w:t>rande för varor som dessförinnan anmälts eller borde ha anmälts till tullförf</w:t>
      </w:r>
      <w:r w:rsidRPr="00C9680B">
        <w:t>a</w:t>
      </w:r>
      <w:r w:rsidRPr="00C9680B">
        <w:t>randet öve</w:t>
      </w:r>
      <w:r w:rsidRPr="00C9680B">
        <w:t>r</w:t>
      </w:r>
      <w:r w:rsidRPr="00C9680B">
        <w:t>gång till fri omsättning.</w:t>
      </w:r>
    </w:p>
    <w:p w:rsidR="001C7BF9" w:rsidRPr="00C9680B" w:rsidRDefault="001C7BF9">
      <w:pPr>
        <w:pStyle w:val="LagtextIndrag"/>
      </w:pPr>
    </w:p>
    <w:p w:rsidR="001C7BF9" w:rsidRPr="00C9680B" w:rsidRDefault="001C7BF9">
      <w:pPr>
        <w:pStyle w:val="Rubrik2"/>
        <w:spacing w:before="0"/>
      </w:pPr>
      <w:bookmarkStart w:id="795" w:name="_Toc493234626"/>
      <w:r w:rsidRPr="00C9680B">
        <w:br w:type="page"/>
      </w:r>
      <w:bookmarkStart w:id="796" w:name="_Toc498910975"/>
      <w:bookmarkEnd w:id="795"/>
      <w:r w:rsidRPr="00C9680B">
        <w:t xml:space="preserve">17  Förslag till lag om ändring i lagen (1996:1512) om </w:t>
      </w:r>
      <w:r w:rsidRPr="00C9680B">
        <w:br/>
        <w:t xml:space="preserve">      dubbelbeskattningsavtal mellan de nordiska </w:t>
      </w:r>
      <w:r w:rsidRPr="00C9680B">
        <w:br/>
        <w:t xml:space="preserve">      länderna</w:t>
      </w:r>
      <w:bookmarkEnd w:id="796"/>
    </w:p>
    <w:p w:rsidR="001C7BF9" w:rsidRPr="00C9680B" w:rsidRDefault="001C7BF9">
      <w:pPr>
        <w:pStyle w:val="LagtextIndrag"/>
      </w:pPr>
      <w:r w:rsidRPr="00C9680B">
        <w:t>Härigenom föreskrivs att det i övergångsbestämmelserna till lagen (1996:1512) om dubbelbeskattningsavtal mellan de nordiska länderna skall införas en ny punkt, 4, av följande lydelse.</w:t>
      </w:r>
    </w:p>
    <w:p w:rsidR="001C7BF9" w:rsidRPr="00C9680B" w:rsidRDefault="001C7BF9">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Rubrik2"/>
              <w:rPr>
                <w:sz w:val="19"/>
              </w:rPr>
            </w:pPr>
            <w:r w:rsidRPr="00C9680B">
              <w:rPr>
                <w:sz w:val="19"/>
              </w:rPr>
              <w:t>Nuvarande lydelse</w:t>
            </w:r>
          </w:p>
        </w:tc>
        <w:tc>
          <w:tcPr>
            <w:tcW w:w="3090" w:type="dxa"/>
          </w:tcPr>
          <w:p w:rsidR="001C7BF9" w:rsidRPr="00C9680B" w:rsidRDefault="001C7BF9">
            <w:pPr>
              <w:pStyle w:val="LagRubrik2"/>
              <w:rPr>
                <w:sz w:val="19"/>
              </w:rPr>
            </w:pPr>
            <w:r w:rsidRPr="00C9680B">
              <w:rPr>
                <w:sz w:val="19"/>
              </w:rPr>
              <w:t>Föreslagen lydelse</w:t>
            </w:r>
          </w:p>
        </w:tc>
      </w:tr>
    </w:tbl>
    <w:p w:rsidR="001C7BF9" w:rsidRPr="00C9680B" w:rsidRDefault="001C7BF9">
      <w:pPr>
        <w:pStyle w:val="Lagtext"/>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Normaltindrag"/>
            </w:pPr>
          </w:p>
        </w:tc>
        <w:tc>
          <w:tcPr>
            <w:tcW w:w="3090" w:type="dxa"/>
          </w:tcPr>
          <w:p w:rsidR="001C7BF9" w:rsidRPr="00C9680B" w:rsidRDefault="001C7BF9">
            <w:pPr>
              <w:pStyle w:val="LagtextIndrag"/>
            </w:pPr>
            <w:r w:rsidRPr="00C9680B">
              <w:rPr>
                <w:i/>
              </w:rPr>
              <w:t>4. Bestämmelsen i artikel 31 punkt 3 i avtalet skall också tillämpas vid 2002 års taxering. Vid 1999–2002 års taxeringar skall artikel 26 punkt 2 i avtalet inte gälla i fall då artikel 31 punkt 3 i avtalet tillämpas.</w:t>
            </w:r>
          </w:p>
        </w:tc>
      </w:tr>
    </w:tbl>
    <w:p w:rsidR="001C7BF9" w:rsidRPr="00C9680B" w:rsidRDefault="001C7BF9">
      <w:pPr>
        <w:pStyle w:val="Lagtext"/>
      </w:pPr>
      <w:r w:rsidRPr="00C9680B">
        <w:rPr>
          <w:u w:val="single"/>
        </w:rPr>
        <w:t>                              </w:t>
      </w:r>
    </w:p>
    <w:p w:rsidR="001C7BF9" w:rsidRPr="00C9680B" w:rsidRDefault="001C7BF9">
      <w:pPr>
        <w:pStyle w:val="LagtextIndrag"/>
        <w:spacing w:line="240" w:lineRule="auto"/>
        <w:rPr>
          <w:sz w:val="12"/>
        </w:rPr>
      </w:pPr>
    </w:p>
    <w:p w:rsidR="001C7BF9" w:rsidRPr="00C9680B" w:rsidRDefault="001C7BF9">
      <w:pPr>
        <w:pStyle w:val="LagtextIndrag"/>
        <w:outlineLvl w:val="0"/>
      </w:pPr>
      <w:r w:rsidRPr="00C9680B">
        <w:t>Denna lag träder i kraft den 1 j</w:t>
      </w:r>
      <w:r w:rsidRPr="00C9680B">
        <w:t>a</w:t>
      </w:r>
      <w:r w:rsidRPr="00C9680B">
        <w:t>nuari 2001.</w:t>
      </w:r>
    </w:p>
    <w:p w:rsidR="001C7BF9" w:rsidRPr="00C9680B" w:rsidRDefault="001C7BF9"/>
    <w:p w:rsidR="001C7BF9" w:rsidRPr="00C9680B" w:rsidRDefault="001C7BF9"/>
    <w:p w:rsidR="001C7BF9" w:rsidRPr="00C9680B" w:rsidRDefault="001C7BF9"/>
    <w:p w:rsidR="001C7BF9" w:rsidRPr="00C9680B" w:rsidRDefault="001C7BF9">
      <w:pPr>
        <w:pStyle w:val="Normaltindrag"/>
        <w:sectPr w:rsidR="00000000" w:rsidRPr="00C9680B">
          <w:headerReference w:type="even" r:id="rId99"/>
          <w:headerReference w:type="default" r:id="rId100"/>
          <w:footerReference w:type="even" r:id="rId101"/>
          <w:footerReference w:type="default" r:id="rId102"/>
          <w:headerReference w:type="first" r:id="rId103"/>
          <w:footerReference w:type="first" r:id="rId104"/>
          <w:footnotePr>
            <w:numRestart w:val="eachSect"/>
          </w:footnotePr>
          <w:pgSz w:w="11906" w:h="16838" w:code="9"/>
          <w:pgMar w:top="907" w:right="4649" w:bottom="4508" w:left="1304" w:header="340" w:footer="227" w:gutter="0"/>
          <w:cols w:space="720"/>
          <w:titlePg/>
        </w:sectPr>
      </w:pPr>
    </w:p>
    <w:p w:rsidR="001C7BF9" w:rsidRPr="00C9680B" w:rsidRDefault="001C7BF9">
      <w:pPr>
        <w:pStyle w:val="Bilaga"/>
        <w:outlineLvl w:val="0"/>
      </w:pPr>
      <w:r w:rsidRPr="00C9680B">
        <w:t>Bilaga 3</w:t>
      </w:r>
    </w:p>
    <w:p w:rsidR="001C7BF9" w:rsidRPr="00C9680B" w:rsidRDefault="001C7BF9">
      <w:pPr>
        <w:pStyle w:val="Rubrik1"/>
        <w:rPr>
          <w:noProof w:val="0"/>
        </w:rPr>
      </w:pPr>
      <w:bookmarkStart w:id="797" w:name="_Toc498910976"/>
      <w:r w:rsidRPr="00C9680B">
        <w:rPr>
          <w:noProof w:val="0"/>
        </w:rPr>
        <w:t>Utskottets lagförslag</w:t>
      </w:r>
      <w:bookmarkEnd w:id="797"/>
    </w:p>
    <w:p w:rsidR="001C7BF9" w:rsidRPr="00C9680B" w:rsidRDefault="001C7BF9">
      <w:pPr>
        <w:pStyle w:val="Rubrik2"/>
        <w:spacing w:before="0"/>
      </w:pPr>
      <w:bookmarkStart w:id="798" w:name="_Toc498910977"/>
      <w:r w:rsidRPr="00C9680B">
        <w:t>3.1 Förslaget till lag om ändring i lagen (1984:1052) om statlig fastighetsskatt</w:t>
      </w:r>
      <w:bookmarkEnd w:id="798"/>
    </w:p>
    <w:p w:rsidR="001C7BF9" w:rsidRPr="00C9680B" w:rsidRDefault="001C7BF9">
      <w:r w:rsidRPr="00C9680B">
        <w:t>Utskottet föreslår att ikraftträdande- och övergångsbestämmelserna i förslag</w:t>
      </w:r>
      <w:r w:rsidRPr="00C9680B">
        <w:softHyphen/>
        <w:t>et till lag om ändring i lagen (1984:1052) om statlig fastighetsskatt erhåller följande som Utskottets förslag beteckn</w:t>
      </w:r>
      <w:r w:rsidRPr="00C9680B">
        <w:t>a</w:t>
      </w:r>
      <w:r w:rsidRPr="00C9680B">
        <w:t>de lydelse.</w:t>
      </w:r>
    </w:p>
    <w:p w:rsidR="001C7BF9" w:rsidRPr="00C9680B" w:rsidRDefault="001C7BF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
              <w:rPr>
                <w:i/>
              </w:rPr>
            </w:pPr>
            <w:r w:rsidRPr="00C9680B">
              <w:rPr>
                <w:i/>
              </w:rPr>
              <w:t>Regeringens förslag</w:t>
            </w:r>
          </w:p>
        </w:tc>
        <w:tc>
          <w:tcPr>
            <w:tcW w:w="3090" w:type="dxa"/>
          </w:tcPr>
          <w:p w:rsidR="001C7BF9" w:rsidRPr="00C9680B" w:rsidRDefault="001C7BF9">
            <w:pPr>
              <w:pStyle w:val="Lagtext"/>
              <w:rPr>
                <w:i/>
              </w:rPr>
            </w:pPr>
            <w:r w:rsidRPr="00C9680B">
              <w:rPr>
                <w:i/>
              </w:rPr>
              <w:t>Utskottets förslag</w:t>
            </w:r>
          </w:p>
        </w:tc>
      </w:tr>
    </w:tbl>
    <w:p w:rsidR="001C7BF9" w:rsidRPr="00C9680B" w:rsidRDefault="001C7BF9"/>
    <w:tbl>
      <w:tblPr>
        <w:tblW w:w="0" w:type="auto"/>
        <w:tblInd w:w="-113" w:type="dxa"/>
        <w:tblLayout w:type="fixed"/>
        <w:tblCellMar>
          <w:left w:w="113" w:type="dxa"/>
          <w:right w:w="113" w:type="dxa"/>
        </w:tblCellMar>
        <w:tblLook w:val="0000" w:firstRow="0" w:lastRow="0" w:firstColumn="0" w:lastColumn="0" w:noHBand="0" w:noVBand="0"/>
      </w:tblPr>
      <w:tblGrid>
        <w:gridCol w:w="3090"/>
        <w:gridCol w:w="3089"/>
      </w:tblGrid>
      <w:tr w:rsidR="00000000" w:rsidRPr="00C9680B">
        <w:tblPrEx>
          <w:tblCellMar>
            <w:top w:w="0" w:type="dxa"/>
            <w:bottom w:w="0" w:type="dxa"/>
          </w:tblCellMar>
        </w:tblPrEx>
        <w:tc>
          <w:tcPr>
            <w:tcW w:w="3090" w:type="dxa"/>
          </w:tcPr>
          <w:p w:rsidR="001C7BF9" w:rsidRPr="00C9680B" w:rsidRDefault="001C7BF9">
            <w:pPr>
              <w:pStyle w:val="LagtextIndrag"/>
            </w:pPr>
            <w:r w:rsidRPr="00C9680B">
              <w:t>Denna lag träder i kraft den 1 j</w:t>
            </w:r>
            <w:r w:rsidRPr="00C9680B">
              <w:t>a</w:t>
            </w:r>
            <w:r w:rsidRPr="00C9680B">
              <w:t xml:space="preserve">nuari 2001 och tillämpas första gången vid 2002 års taxering. </w:t>
            </w:r>
            <w:r w:rsidRPr="00C9680B">
              <w:rPr>
                <w:i/>
              </w:rPr>
              <w:t>Har beskattningsåret påbörjats före den 1 januari 2001 tillämpas äldre regler för den del av beskattningsåret som infaller före ikraf</w:t>
            </w:r>
            <w:r w:rsidRPr="00C9680B">
              <w:rPr>
                <w:i/>
              </w:rPr>
              <w:t>t</w:t>
            </w:r>
            <w:r w:rsidRPr="00C9680B">
              <w:rPr>
                <w:i/>
              </w:rPr>
              <w:t>trädandet.</w:t>
            </w:r>
          </w:p>
        </w:tc>
        <w:tc>
          <w:tcPr>
            <w:tcW w:w="3089" w:type="dxa"/>
          </w:tcPr>
          <w:p w:rsidR="001C7BF9" w:rsidRPr="00C9680B" w:rsidRDefault="001C7BF9">
            <w:pPr>
              <w:pStyle w:val="LagtextIndrag"/>
            </w:pPr>
            <w:r w:rsidRPr="00C9680B">
              <w:t>Denna lag träder i kraft den 1 j</w:t>
            </w:r>
            <w:r w:rsidRPr="00C9680B">
              <w:t>a</w:t>
            </w:r>
            <w:r w:rsidRPr="00C9680B">
              <w:t xml:space="preserve">nuari 2001 och tillämpas första gången vid 2002 års taxering. </w:t>
            </w:r>
            <w:r w:rsidRPr="00C9680B">
              <w:rPr>
                <w:i/>
              </w:rPr>
              <w:t>För den del av beskattnings</w:t>
            </w:r>
            <w:r w:rsidRPr="00C9680B">
              <w:rPr>
                <w:i/>
              </w:rPr>
              <w:softHyphen/>
              <w:t>året som infaller före utgången av år 2000 tillämpas de procenttal som gäller vid 2001 års taxering.</w:t>
            </w:r>
          </w:p>
        </w:tc>
      </w:tr>
    </w:tbl>
    <w:p w:rsidR="001C7BF9" w:rsidRPr="00C9680B" w:rsidRDefault="001C7BF9">
      <w:pPr>
        <w:pStyle w:val="Normaltindrag"/>
      </w:pPr>
    </w:p>
    <w:p w:rsidR="001C7BF9" w:rsidRPr="00C9680B" w:rsidRDefault="001C7BF9">
      <w:pPr>
        <w:pStyle w:val="Rubrik2"/>
      </w:pPr>
      <w:r w:rsidRPr="00C9680B">
        <w:br w:type="page"/>
      </w:r>
      <w:bookmarkStart w:id="799" w:name="_Toc498910978"/>
      <w:r w:rsidRPr="00C9680B">
        <w:t>3.2 Förslaget till lag om ändring i inkomstskattelagen (1999:1229)</w:t>
      </w:r>
      <w:bookmarkEnd w:id="799"/>
    </w:p>
    <w:p w:rsidR="001C7BF9" w:rsidRPr="00C9680B" w:rsidRDefault="001C7BF9">
      <w:r w:rsidRPr="00C9680B">
        <w:t>Utskottet föreslår att 63 kap. 2 § i förslaget till lag om ändring i inkomst</w:t>
      </w:r>
      <w:r w:rsidRPr="00C9680B">
        <w:softHyphen/>
        <w:t>skattelagen (1999:1229) erhåller följande som Utskottets förslag betecknade lydelse.</w:t>
      </w:r>
    </w:p>
    <w:p w:rsidR="001C7BF9" w:rsidRPr="00C9680B" w:rsidRDefault="001C7BF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
              <w:rPr>
                <w:i/>
              </w:rPr>
            </w:pPr>
            <w:r w:rsidRPr="00C9680B">
              <w:rPr>
                <w:i/>
              </w:rPr>
              <w:t>Regeringens förslag</w:t>
            </w:r>
          </w:p>
        </w:tc>
        <w:tc>
          <w:tcPr>
            <w:tcW w:w="3090" w:type="dxa"/>
          </w:tcPr>
          <w:p w:rsidR="001C7BF9" w:rsidRPr="00C9680B" w:rsidRDefault="001C7BF9">
            <w:pPr>
              <w:pStyle w:val="Lagtext"/>
              <w:rPr>
                <w:i/>
              </w:rPr>
            </w:pPr>
            <w:r w:rsidRPr="00C9680B">
              <w:rPr>
                <w:i/>
              </w:rPr>
              <w:t>Utskottets förslag</w:t>
            </w:r>
          </w:p>
        </w:tc>
      </w:tr>
    </w:tbl>
    <w:p w:rsidR="001C7BF9" w:rsidRPr="00C9680B" w:rsidRDefault="001C7BF9">
      <w:pPr>
        <w:pStyle w:val="Lagtext"/>
      </w:pPr>
    </w:p>
    <w:p w:rsidR="001C7BF9" w:rsidRPr="00C9680B" w:rsidRDefault="001C7BF9">
      <w:pPr>
        <w:pStyle w:val="Lagtext"/>
        <w:jc w:val="center"/>
      </w:pPr>
      <w:r w:rsidRPr="00C9680B">
        <w:rPr>
          <w:b/>
        </w:rPr>
        <w:t>63 kap.</w:t>
      </w:r>
    </w:p>
    <w:p w:rsidR="001C7BF9" w:rsidRPr="00C9680B" w:rsidRDefault="001C7BF9">
      <w:pPr>
        <w:pStyle w:val="Lagtext"/>
        <w:jc w:val="center"/>
      </w:pPr>
      <w:r w:rsidRPr="00C9680B">
        <w:rPr>
          <w:b/>
        </w:rPr>
        <w:t>2 §</w:t>
      </w:r>
    </w:p>
    <w:p w:rsidR="001C7BF9" w:rsidRPr="00C9680B" w:rsidRDefault="001C7BF9">
      <w:pPr>
        <w:pStyle w:val="LagtextIndrag"/>
      </w:pPr>
      <w:r w:rsidRPr="00C9680B">
        <w:t>Fysiska personer som är obegränsat skattskyldiga under någon del av b</w:t>
      </w:r>
      <w:r w:rsidRPr="00C9680B">
        <w:t>e</w:t>
      </w:r>
      <w:r w:rsidRPr="00C9680B">
        <w:t>skattningsåret och haft förvärvsinkomst har rätt till grundavdrag beräknat enligt 3-5 §§ eller särskilt grundavdrag beräknat enligt 6-10 §§. Bestämme</w:t>
      </w:r>
      <w:r w:rsidRPr="00C9680B">
        <w:t>l</w:t>
      </w:r>
      <w:r w:rsidRPr="00C9680B">
        <w:t>serna om särskilt grundavdrag tillämpas bara om de leder till ett högre a</w:t>
      </w:r>
      <w:r w:rsidRPr="00C9680B">
        <w:t>v</w:t>
      </w:r>
      <w:r w:rsidRPr="00C9680B">
        <w:t>drag.</w:t>
      </w:r>
    </w:p>
    <w:p w:rsidR="001C7BF9" w:rsidRPr="00C9680B" w:rsidRDefault="001C7BF9">
      <w:pPr>
        <w:pStyle w:val="LagtextIndrag"/>
      </w:pPr>
      <w:r w:rsidRPr="00C9680B">
        <w:t>Dödsbon har inte rätt till avdrag för senare år än det år då dödsfallet inträ</w:t>
      </w:r>
      <w:r w:rsidRPr="00C9680B">
        <w:t>f</w:t>
      </w:r>
      <w:r w:rsidRPr="00C9680B">
        <w:t>fade.</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89"/>
      </w:tblGrid>
      <w:tr w:rsidR="00000000" w:rsidRPr="00C9680B">
        <w:tblPrEx>
          <w:tblCellMar>
            <w:top w:w="0" w:type="dxa"/>
            <w:bottom w:w="0" w:type="dxa"/>
          </w:tblCellMar>
        </w:tblPrEx>
        <w:tc>
          <w:tcPr>
            <w:tcW w:w="3090" w:type="dxa"/>
          </w:tcPr>
          <w:p w:rsidR="001C7BF9" w:rsidRPr="00C9680B" w:rsidRDefault="001C7BF9">
            <w:pPr>
              <w:pStyle w:val="LagtextIndrag"/>
            </w:pPr>
            <w:r w:rsidRPr="00C9680B">
              <w:t xml:space="preserve">Avdraget skall avrundas till </w:t>
            </w:r>
            <w:r w:rsidRPr="00C9680B">
              <w:rPr>
                <w:i/>
              </w:rPr>
              <w:t>nä</w:t>
            </w:r>
            <w:r w:rsidRPr="00C9680B">
              <w:rPr>
                <w:i/>
              </w:rPr>
              <w:t>r</w:t>
            </w:r>
            <w:r w:rsidRPr="00C9680B">
              <w:rPr>
                <w:i/>
              </w:rPr>
              <w:t xml:space="preserve">maste </w:t>
            </w:r>
            <w:r w:rsidRPr="00C9680B">
              <w:t>hundratal kronor.</w:t>
            </w:r>
          </w:p>
        </w:tc>
        <w:tc>
          <w:tcPr>
            <w:tcW w:w="3089" w:type="dxa"/>
          </w:tcPr>
          <w:p w:rsidR="001C7BF9" w:rsidRPr="00C9680B" w:rsidRDefault="001C7BF9">
            <w:pPr>
              <w:pStyle w:val="LagtextIndrag"/>
            </w:pPr>
            <w:r w:rsidRPr="00C9680B">
              <w:t xml:space="preserve">Avdraget skall avrundas </w:t>
            </w:r>
            <w:r w:rsidRPr="00C9680B">
              <w:rPr>
                <w:i/>
              </w:rPr>
              <w:t>uppåt</w:t>
            </w:r>
            <w:r w:rsidRPr="00C9680B">
              <w:t xml:space="preserve"> till </w:t>
            </w:r>
            <w:r w:rsidRPr="00C9680B">
              <w:rPr>
                <w:i/>
              </w:rPr>
              <w:t>helt</w:t>
            </w:r>
            <w:r w:rsidRPr="00C9680B">
              <w:t xml:space="preserve"> hundratal kronor.</w:t>
            </w:r>
          </w:p>
        </w:tc>
      </w:tr>
    </w:tbl>
    <w:p w:rsidR="001C7BF9" w:rsidRPr="00C9680B" w:rsidRDefault="001C7BF9">
      <w:pPr>
        <w:pStyle w:val="Lagtext"/>
      </w:pPr>
    </w:p>
    <w:p w:rsidR="001C7BF9" w:rsidRPr="00C9680B" w:rsidRDefault="001C7BF9">
      <w:pPr>
        <w:pStyle w:val="Rubrik2"/>
      </w:pPr>
      <w:r w:rsidRPr="00C9680B">
        <w:br w:type="page"/>
      </w:r>
      <w:bookmarkStart w:id="800" w:name="_Toc498910979"/>
      <w:r w:rsidRPr="00C9680B">
        <w:t>3.5 Förslaget till lag om skattereduktion på förvärvs-inkomst</w:t>
      </w:r>
      <w:r w:rsidRPr="00C9680B">
        <w:softHyphen/>
        <w:t>er vid 2002 års taxering</w:t>
      </w:r>
      <w:bookmarkEnd w:id="800"/>
    </w:p>
    <w:p w:rsidR="001C7BF9" w:rsidRPr="00C9680B" w:rsidRDefault="001C7BF9">
      <w:r w:rsidRPr="00C9680B">
        <w:t>Utskottet föreslår att 4 § i förslaget till lag om skattereduktion på förvärvs</w:t>
      </w:r>
      <w:r w:rsidRPr="00C9680B">
        <w:softHyphen/>
        <w:t>inkomst</w:t>
      </w:r>
      <w:r w:rsidRPr="00C9680B">
        <w:softHyphen/>
        <w:t>er vid 2002 års taxering erhåller följande som Utskottets förslag b</w:t>
      </w:r>
      <w:r w:rsidRPr="00C9680B">
        <w:t>e</w:t>
      </w:r>
      <w:r w:rsidRPr="00C9680B">
        <w:t>tec</w:t>
      </w:r>
      <w:r w:rsidRPr="00C9680B">
        <w:t>k</w:t>
      </w:r>
      <w:r w:rsidRPr="00C9680B">
        <w:t>nade lydelse.</w:t>
      </w:r>
    </w:p>
    <w:p w:rsidR="001C7BF9" w:rsidRPr="00C9680B" w:rsidRDefault="001C7BF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
              <w:rPr>
                <w:i/>
              </w:rPr>
            </w:pPr>
            <w:r w:rsidRPr="00C9680B">
              <w:rPr>
                <w:i/>
              </w:rPr>
              <w:t>Regeringens förslag</w:t>
            </w:r>
          </w:p>
        </w:tc>
        <w:tc>
          <w:tcPr>
            <w:tcW w:w="3090" w:type="dxa"/>
          </w:tcPr>
          <w:p w:rsidR="001C7BF9" w:rsidRPr="00C9680B" w:rsidRDefault="001C7BF9">
            <w:pPr>
              <w:pStyle w:val="Lagtext"/>
              <w:rPr>
                <w:i/>
              </w:rPr>
            </w:pPr>
            <w:r w:rsidRPr="00C9680B">
              <w:rPr>
                <w:i/>
              </w:rPr>
              <w:t>Utskottets förslag</w:t>
            </w:r>
          </w:p>
        </w:tc>
      </w:tr>
    </w:tbl>
    <w:p w:rsidR="001C7BF9" w:rsidRPr="00C9680B" w:rsidRDefault="001C7BF9">
      <w:pPr>
        <w:pStyle w:val="LagRubrik2"/>
        <w:keepNext/>
      </w:pPr>
    </w:p>
    <w:p w:rsidR="001C7BF9" w:rsidRPr="00C9680B" w:rsidRDefault="001C7BF9">
      <w:pPr>
        <w:pStyle w:val="Lagtext"/>
        <w:jc w:val="center"/>
        <w:rPr>
          <w:b/>
        </w:rPr>
      </w:pPr>
      <w:r w:rsidRPr="00C9680B">
        <w:rPr>
          <w:b/>
        </w:rPr>
        <w:t>4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89"/>
      </w:tblGrid>
      <w:tr w:rsidR="00000000" w:rsidRPr="00C9680B">
        <w:tblPrEx>
          <w:tblCellMar>
            <w:top w:w="0" w:type="dxa"/>
            <w:bottom w:w="0" w:type="dxa"/>
          </w:tblCellMar>
        </w:tblPrEx>
        <w:trPr>
          <w:cantSplit/>
        </w:trPr>
        <w:tc>
          <w:tcPr>
            <w:tcW w:w="6179" w:type="dxa"/>
            <w:gridSpan w:val="2"/>
          </w:tcPr>
          <w:p w:rsidR="001C7BF9" w:rsidRPr="00C9680B" w:rsidRDefault="001C7BF9">
            <w:pPr>
              <w:pStyle w:val="LagtextIndrag"/>
            </w:pPr>
            <w:r w:rsidRPr="00C9680B">
              <w:t>Skattereduktion enligt denna lag räknas av mot kommunal och statlig i</w:t>
            </w:r>
            <w:r w:rsidRPr="00C9680B">
              <w:t>n</w:t>
            </w:r>
            <w:r w:rsidRPr="00C9680B">
              <w:t>komstskatt samt mot statlig fastighetsskatt enligt lagen (1984:1052) om statlig fa</w:t>
            </w:r>
            <w:r w:rsidRPr="00C9680B">
              <w:t>s</w:t>
            </w:r>
            <w:r w:rsidRPr="00C9680B">
              <w:t>tighets</w:t>
            </w:r>
            <w:r w:rsidRPr="00C9680B">
              <w:softHyphen/>
              <w:t xml:space="preserve">skatt. </w:t>
            </w:r>
            <w:r w:rsidRPr="00C9680B">
              <w:rPr>
                <w:i/>
              </w:rPr>
              <w:t xml:space="preserve">  </w:t>
            </w:r>
          </w:p>
        </w:tc>
      </w:tr>
      <w:tr w:rsidR="00000000" w:rsidRPr="00C9680B">
        <w:tblPrEx>
          <w:tblCellMar>
            <w:top w:w="0" w:type="dxa"/>
            <w:bottom w:w="0" w:type="dxa"/>
          </w:tblCellMar>
        </w:tblPrEx>
        <w:trPr>
          <w:cantSplit/>
        </w:trPr>
        <w:tc>
          <w:tcPr>
            <w:tcW w:w="6179" w:type="dxa"/>
            <w:gridSpan w:val="2"/>
          </w:tcPr>
          <w:p w:rsidR="001C7BF9" w:rsidRPr="00C9680B" w:rsidRDefault="001C7BF9">
            <w:pPr>
              <w:pStyle w:val="LagtextIndrag"/>
            </w:pPr>
            <w:r w:rsidRPr="00C9680B">
              <w:t>Skattereduktion enligt denna lag tillgodoräknas den skattskyldige före a</w:t>
            </w:r>
            <w:r w:rsidRPr="00C9680B">
              <w:t>n</w:t>
            </w:r>
            <w:r w:rsidRPr="00C9680B">
              <w:t>nan skatter</w:t>
            </w:r>
            <w:r w:rsidRPr="00C9680B">
              <w:t>e</w:t>
            </w:r>
            <w:r w:rsidRPr="00C9680B">
              <w:t>duktion.</w:t>
            </w:r>
          </w:p>
        </w:tc>
      </w:tr>
      <w:tr w:rsidR="00000000" w:rsidRPr="00C9680B">
        <w:tblPrEx>
          <w:tblCellMar>
            <w:top w:w="0" w:type="dxa"/>
            <w:bottom w:w="0" w:type="dxa"/>
          </w:tblCellMar>
        </w:tblPrEx>
        <w:tc>
          <w:tcPr>
            <w:tcW w:w="3090" w:type="dxa"/>
          </w:tcPr>
          <w:p w:rsidR="001C7BF9" w:rsidRPr="00C9680B" w:rsidRDefault="001C7BF9">
            <w:pPr>
              <w:pStyle w:val="LagtextIndrag"/>
            </w:pPr>
          </w:p>
        </w:tc>
        <w:tc>
          <w:tcPr>
            <w:tcW w:w="3089" w:type="dxa"/>
          </w:tcPr>
          <w:p w:rsidR="001C7BF9" w:rsidRPr="00C9680B" w:rsidRDefault="001C7BF9">
            <w:pPr>
              <w:pStyle w:val="LagtextIndrag"/>
              <w:rPr>
                <w:i/>
              </w:rPr>
            </w:pPr>
            <w:r w:rsidRPr="00C9680B">
              <w:rPr>
                <w:i/>
              </w:rPr>
              <w:t xml:space="preserve">Skattereduktion enligt denna lag skall inte beaktas vid beräkning av skattebelopp enligt 4 § lagen (1997: 324) om begränsning av skatt i vissa fall. </w:t>
            </w:r>
          </w:p>
        </w:tc>
      </w:tr>
    </w:tbl>
    <w:p w:rsidR="001C7BF9" w:rsidRPr="00C9680B" w:rsidRDefault="001C7BF9">
      <w:pPr>
        <w:pStyle w:val="LagtextIndrag"/>
      </w:pPr>
    </w:p>
    <w:p w:rsidR="001C7BF9" w:rsidRPr="00C9680B" w:rsidRDefault="001C7BF9"/>
    <w:p w:rsidR="001C7BF9" w:rsidRPr="00C9680B" w:rsidRDefault="001C7BF9">
      <w:pPr>
        <w:pStyle w:val="Rubrik2"/>
      </w:pPr>
      <w:r w:rsidRPr="00C9680B">
        <w:br w:type="page"/>
      </w:r>
      <w:bookmarkStart w:id="801" w:name="_Toc498910980"/>
      <w:r w:rsidRPr="00C9680B">
        <w:t>3.11 Förslaget till lag om underlag för förmögenhets</w:t>
      </w:r>
      <w:r w:rsidRPr="00C9680B">
        <w:softHyphen/>
        <w:t>skatt i vissa fall vid 2001 års taxering</w:t>
      </w:r>
      <w:bookmarkEnd w:id="801"/>
    </w:p>
    <w:p w:rsidR="001C7BF9" w:rsidRPr="00C9680B" w:rsidRDefault="001C7BF9">
      <w:r w:rsidRPr="00C9680B">
        <w:t>Utskottet föreslår att lagtexten i förslaget till lag om underlag för förmöge</w:t>
      </w:r>
      <w:r w:rsidRPr="00C9680B">
        <w:t>n</w:t>
      </w:r>
      <w:r w:rsidRPr="00C9680B">
        <w:t>hetsskatt i vissa fall vid 2001 års taxering erhåller följande som Utskottets förslag betecknade lydelse.</w:t>
      </w:r>
    </w:p>
    <w:p w:rsidR="001C7BF9" w:rsidRPr="00C9680B" w:rsidRDefault="001C7BF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
              <w:rPr>
                <w:i/>
              </w:rPr>
            </w:pPr>
            <w:r w:rsidRPr="00C9680B">
              <w:rPr>
                <w:i/>
              </w:rPr>
              <w:t>Regeringens förslag</w:t>
            </w:r>
          </w:p>
        </w:tc>
        <w:tc>
          <w:tcPr>
            <w:tcW w:w="3090" w:type="dxa"/>
          </w:tcPr>
          <w:p w:rsidR="001C7BF9" w:rsidRPr="00C9680B" w:rsidRDefault="001C7BF9">
            <w:pPr>
              <w:pStyle w:val="Lagtext"/>
              <w:rPr>
                <w:i/>
              </w:rPr>
            </w:pPr>
            <w:r w:rsidRPr="00C9680B">
              <w:rPr>
                <w:i/>
              </w:rPr>
              <w:t>Utskottets förslag</w:t>
            </w:r>
          </w:p>
        </w:tc>
      </w:tr>
    </w:tbl>
    <w:p w:rsidR="001C7BF9" w:rsidRPr="00C9680B" w:rsidRDefault="001C7BF9">
      <w:pPr>
        <w:pStyle w:val="LagRubrik2"/>
        <w:keepNext/>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89"/>
      </w:tblGrid>
      <w:tr w:rsidR="00000000" w:rsidRPr="00C9680B">
        <w:tblPrEx>
          <w:tblCellMar>
            <w:top w:w="0" w:type="dxa"/>
            <w:bottom w:w="0" w:type="dxa"/>
          </w:tblCellMar>
        </w:tblPrEx>
        <w:tc>
          <w:tcPr>
            <w:tcW w:w="3090" w:type="dxa"/>
          </w:tcPr>
          <w:p w:rsidR="001C7BF9" w:rsidRPr="00C9680B" w:rsidRDefault="001C7BF9">
            <w:pPr>
              <w:pStyle w:val="LagtextIndrag"/>
            </w:pPr>
            <w:r w:rsidRPr="00C9680B">
              <w:t>Vid beräkning av skattepliktig förmögenhet vid 2001 års taxering enligt lagen (1997:323) om statlig förmögenhetsskatt gäller följande. Vid värdering av sådan del av fasti</w:t>
            </w:r>
            <w:r w:rsidRPr="00C9680B">
              <w:t>g</w:t>
            </w:r>
            <w:r w:rsidRPr="00C9680B">
              <w:t>het som avses i 3 § första stycket b lagen (1984:1052) om statlig fasti</w:t>
            </w:r>
            <w:r w:rsidRPr="00C9680B">
              <w:t>g</w:t>
            </w:r>
            <w:r w:rsidRPr="00C9680B">
              <w:t>hetsskatt skall, i stället för taxering</w:t>
            </w:r>
            <w:r w:rsidRPr="00C9680B">
              <w:t>s</w:t>
            </w:r>
            <w:r w:rsidRPr="00C9680B">
              <w:t>värdet vid beskattnings</w:t>
            </w:r>
            <w:r w:rsidRPr="00C9680B">
              <w:softHyphen/>
              <w:t>årets utgång, taxeringsvärdet vid närmast föreg</w:t>
            </w:r>
            <w:r w:rsidRPr="00C9680B">
              <w:t>å</w:t>
            </w:r>
            <w:r w:rsidRPr="00C9680B">
              <w:t>ende beskattningsårs utgång tas upp om det är lägre.</w:t>
            </w:r>
          </w:p>
        </w:tc>
        <w:tc>
          <w:tcPr>
            <w:tcW w:w="3089" w:type="dxa"/>
          </w:tcPr>
          <w:p w:rsidR="001C7BF9" w:rsidRPr="00C9680B" w:rsidRDefault="001C7BF9">
            <w:pPr>
              <w:pStyle w:val="LagtextIndrag"/>
            </w:pPr>
            <w:r w:rsidRPr="00C9680B">
              <w:t xml:space="preserve">Vid beräkning av skattepliktig förmögenhet vid 2001 års taxering enligt lagen (1997:323) om statlig förmögenhetsskatt gäller följande. Vid värdering av sådan </w:t>
            </w:r>
            <w:r w:rsidRPr="00C9680B">
              <w:rPr>
                <w:i/>
              </w:rPr>
              <w:t>fastighet eller</w:t>
            </w:r>
            <w:r w:rsidRPr="00C9680B">
              <w:t xml:space="preserve"> del av fastighet som avses i 3 § första stycket b lagen (1984:1052) om statlig fastighetsskatt skall, i stället för taxeringsvärdet vid b</w:t>
            </w:r>
            <w:r w:rsidRPr="00C9680B">
              <w:t>e</w:t>
            </w:r>
            <w:r w:rsidRPr="00C9680B">
              <w:t>skatt</w:t>
            </w:r>
            <w:r w:rsidRPr="00C9680B">
              <w:softHyphen/>
              <w:t>ningsårets utgång, tax</w:t>
            </w:r>
            <w:r w:rsidRPr="00C9680B">
              <w:t>e</w:t>
            </w:r>
            <w:r w:rsidRPr="00C9680B">
              <w:t>rings</w:t>
            </w:r>
            <w:r w:rsidRPr="00C9680B">
              <w:softHyphen/>
              <w:t>värdet vid närmast föregående b</w:t>
            </w:r>
            <w:r w:rsidRPr="00C9680B">
              <w:t>e</w:t>
            </w:r>
            <w:r w:rsidRPr="00C9680B">
              <w:t>skattnings</w:t>
            </w:r>
            <w:r w:rsidRPr="00C9680B">
              <w:softHyphen/>
              <w:t>års utgång tas upp om det är lägre.</w:t>
            </w:r>
          </w:p>
        </w:tc>
      </w:tr>
    </w:tbl>
    <w:p w:rsidR="001C7BF9" w:rsidRPr="00C9680B" w:rsidRDefault="001C7BF9">
      <w:pPr>
        <w:pStyle w:val="Brdtext"/>
      </w:pPr>
    </w:p>
    <w:p w:rsidR="001C7BF9" w:rsidRPr="00C9680B" w:rsidRDefault="001C7BF9">
      <w:pPr>
        <w:pStyle w:val="LagtextIndrag"/>
      </w:pPr>
    </w:p>
    <w:p w:rsidR="001C7BF9" w:rsidRPr="00C9680B" w:rsidRDefault="001C7BF9">
      <w:pPr>
        <w:pStyle w:val="Rubrik2"/>
        <w:spacing w:before="0"/>
      </w:pPr>
      <w:r w:rsidRPr="00C9680B">
        <w:br w:type="page"/>
      </w:r>
      <w:bookmarkStart w:id="802" w:name="_Toc498910981"/>
      <w:r w:rsidRPr="00C9680B">
        <w:t>3.12 Förslaget till lag om ändring i lagen (1994:1776) om skatt på energi</w:t>
      </w:r>
      <w:bookmarkEnd w:id="802"/>
    </w:p>
    <w:p w:rsidR="001C7BF9" w:rsidRPr="00C9680B" w:rsidRDefault="001C7BF9">
      <w:r w:rsidRPr="00C9680B">
        <w:t>Utskottet föreslår att 2 kap. 1 § i förslaget till lag om ändring i lagen (1994: 1776) om skatt på energi erhåller följande som Utskottets förslag betecknade lydelse.</w:t>
      </w:r>
    </w:p>
    <w:p w:rsidR="001C7BF9" w:rsidRPr="00C9680B" w:rsidRDefault="001C7BF9">
      <w:pPr>
        <w:pStyle w:val="LagRubrik2"/>
        <w:keepNext/>
      </w:pPr>
    </w:p>
    <w:p w:rsidR="001C7BF9" w:rsidRPr="00C9680B" w:rsidRDefault="001C7BF9">
      <w:pPr>
        <w:pStyle w:val="Lagtext"/>
        <w:rPr>
          <w:b/>
        </w:rPr>
      </w:pPr>
      <w:r w:rsidRPr="00C9680B">
        <w:rPr>
          <w:b/>
        </w:rPr>
        <w:t>2 kap.</w:t>
      </w:r>
    </w:p>
    <w:p w:rsidR="001C7BF9" w:rsidRPr="00C9680B" w:rsidRDefault="001C7BF9">
      <w:pPr>
        <w:pStyle w:val="Lagtext"/>
        <w:rPr>
          <w:b/>
        </w:rPr>
      </w:pPr>
      <w:r w:rsidRPr="00C9680B">
        <w:rPr>
          <w:b/>
        </w:rPr>
        <w:t>1 §</w:t>
      </w:r>
    </w:p>
    <w:p w:rsidR="001C7BF9" w:rsidRPr="00C9680B" w:rsidRDefault="001C7BF9">
      <w:pPr>
        <w:pStyle w:val="LagRubrik2"/>
      </w:pPr>
    </w:p>
    <w:p w:rsidR="001C7BF9" w:rsidRPr="00C9680B" w:rsidRDefault="001C7BF9">
      <w:pPr>
        <w:pStyle w:val="LagRubrik2"/>
        <w:outlineLvl w:val="0"/>
      </w:pPr>
      <w:r w:rsidRPr="00C9680B">
        <w:t>Regeringens förslag</w:t>
      </w:r>
    </w:p>
    <w:p w:rsidR="001C7BF9" w:rsidRPr="00C9680B" w:rsidRDefault="001C7BF9">
      <w:pPr>
        <w:pStyle w:val="Lagtext"/>
      </w:pPr>
    </w:p>
    <w:p w:rsidR="001C7BF9" w:rsidRPr="00C9680B" w:rsidRDefault="001C7BF9">
      <w:pPr>
        <w:pStyle w:val="LagtextIndrag"/>
      </w:pPr>
      <w:r w:rsidRPr="00C9680B">
        <w:t>Energiskatt och koldioxidskatt skall, om inte annat följer av andra stycket, b</w:t>
      </w:r>
      <w:r w:rsidRPr="00C9680B">
        <w:t>e</w:t>
      </w:r>
      <w:r w:rsidRPr="00C9680B">
        <w:t>talas för följande bränslen med angivna belopp:</w:t>
      </w:r>
    </w:p>
    <w:p w:rsidR="001C7BF9" w:rsidRPr="00C9680B" w:rsidRDefault="001C7BF9">
      <w:pPr>
        <w:pStyle w:val="LagtextIndrag"/>
      </w:pPr>
    </w:p>
    <w:tbl>
      <w:tblPr>
        <w:tblW w:w="0" w:type="auto"/>
        <w:tblInd w:w="-142" w:type="dxa"/>
        <w:tblLayout w:type="fixed"/>
        <w:tblCellMar>
          <w:left w:w="70" w:type="dxa"/>
          <w:right w:w="70" w:type="dxa"/>
        </w:tblCellMar>
        <w:tblLook w:val="0000" w:firstRow="0" w:lastRow="0" w:firstColumn="0" w:lastColumn="0" w:noHBand="0" w:noVBand="0"/>
      </w:tblPr>
      <w:tblGrid>
        <w:gridCol w:w="284"/>
        <w:gridCol w:w="1276"/>
        <w:gridCol w:w="1417"/>
        <w:gridCol w:w="1053"/>
        <w:gridCol w:w="1053"/>
        <w:gridCol w:w="1053"/>
      </w:tblGrid>
      <w:tr w:rsidR="00000000" w:rsidRPr="00C9680B">
        <w:tblPrEx>
          <w:tblCellMar>
            <w:top w:w="0" w:type="dxa"/>
            <w:bottom w:w="0" w:type="dxa"/>
          </w:tblCellMar>
        </w:tblPrEx>
        <w:trPr>
          <w:cantSplit/>
        </w:trPr>
        <w:tc>
          <w:tcPr>
            <w:tcW w:w="284" w:type="dxa"/>
            <w:tcBorders>
              <w:top w:val="single" w:sz="6" w:space="0" w:color="auto"/>
            </w:tcBorders>
          </w:tcPr>
          <w:p w:rsidR="001C7BF9" w:rsidRPr="00C9680B" w:rsidRDefault="001C7BF9">
            <w:pPr>
              <w:pStyle w:val="Lagtext"/>
            </w:pPr>
          </w:p>
        </w:tc>
        <w:tc>
          <w:tcPr>
            <w:tcW w:w="1276" w:type="dxa"/>
            <w:tcBorders>
              <w:top w:val="single" w:sz="6" w:space="0" w:color="auto"/>
            </w:tcBorders>
          </w:tcPr>
          <w:p w:rsidR="001C7BF9" w:rsidRPr="00C9680B" w:rsidRDefault="001C7BF9">
            <w:pPr>
              <w:pStyle w:val="Lagtext"/>
              <w:jc w:val="left"/>
            </w:pPr>
            <w:r w:rsidRPr="00C9680B">
              <w:t>KN-nr</w:t>
            </w:r>
          </w:p>
        </w:tc>
        <w:tc>
          <w:tcPr>
            <w:tcW w:w="1417" w:type="dxa"/>
            <w:tcBorders>
              <w:top w:val="single" w:sz="6" w:space="0" w:color="auto"/>
            </w:tcBorders>
          </w:tcPr>
          <w:p w:rsidR="001C7BF9" w:rsidRPr="00C9680B" w:rsidRDefault="001C7BF9">
            <w:pPr>
              <w:pStyle w:val="Lagtext"/>
              <w:jc w:val="left"/>
            </w:pPr>
            <w:r w:rsidRPr="00C9680B">
              <w:t>Slag av bränsle</w:t>
            </w:r>
          </w:p>
        </w:tc>
        <w:tc>
          <w:tcPr>
            <w:tcW w:w="2106" w:type="dxa"/>
            <w:gridSpan w:val="2"/>
            <w:tcBorders>
              <w:top w:val="single" w:sz="6" w:space="0" w:color="auto"/>
            </w:tcBorders>
          </w:tcPr>
          <w:p w:rsidR="001C7BF9" w:rsidRPr="00C9680B" w:rsidRDefault="001C7BF9">
            <w:pPr>
              <w:pStyle w:val="Lagtext"/>
              <w:jc w:val="left"/>
            </w:pPr>
            <w:r w:rsidRPr="00C9680B">
              <w:t>Skatte</w:t>
            </w:r>
            <w:r w:rsidRPr="00C9680B">
              <w:softHyphen/>
              <w:t>b</w:t>
            </w:r>
            <w:r w:rsidRPr="00C9680B">
              <w:t>e</w:t>
            </w:r>
            <w:r w:rsidRPr="00C9680B">
              <w:t>lopp</w:t>
            </w:r>
          </w:p>
        </w:tc>
        <w:tc>
          <w:tcPr>
            <w:tcW w:w="1053" w:type="dxa"/>
            <w:tcBorders>
              <w:top w:val="single" w:sz="6" w:space="0" w:color="auto"/>
            </w:tcBorders>
          </w:tcPr>
          <w:p w:rsidR="001C7BF9" w:rsidRPr="00C9680B" w:rsidRDefault="001C7BF9">
            <w:pPr>
              <w:pStyle w:val="Lagtext"/>
              <w:jc w:val="left"/>
            </w:pPr>
          </w:p>
        </w:tc>
      </w:tr>
      <w:tr w:rsidR="00000000" w:rsidRPr="00C9680B">
        <w:tblPrEx>
          <w:tblCellMar>
            <w:top w:w="0" w:type="dxa"/>
            <w:bottom w:w="0" w:type="dxa"/>
          </w:tblCellMar>
        </w:tblPrEx>
        <w:tc>
          <w:tcPr>
            <w:tcW w:w="284" w:type="dxa"/>
            <w:tcBorders>
              <w:bottom w:val="single" w:sz="6" w:space="0" w:color="auto"/>
            </w:tcBorders>
          </w:tcPr>
          <w:p w:rsidR="001C7BF9" w:rsidRPr="00C9680B" w:rsidRDefault="001C7BF9">
            <w:pPr>
              <w:pStyle w:val="Lagtext"/>
            </w:pPr>
          </w:p>
        </w:tc>
        <w:tc>
          <w:tcPr>
            <w:tcW w:w="1276" w:type="dxa"/>
            <w:tcBorders>
              <w:bottom w:val="single" w:sz="6" w:space="0" w:color="auto"/>
            </w:tcBorders>
          </w:tcPr>
          <w:p w:rsidR="001C7BF9" w:rsidRPr="00C9680B" w:rsidRDefault="001C7BF9">
            <w:pPr>
              <w:pStyle w:val="Lagtext"/>
              <w:jc w:val="left"/>
            </w:pPr>
          </w:p>
        </w:tc>
        <w:tc>
          <w:tcPr>
            <w:tcW w:w="1417" w:type="dxa"/>
            <w:tcBorders>
              <w:bottom w:val="single" w:sz="6" w:space="0" w:color="auto"/>
            </w:tcBorders>
          </w:tcPr>
          <w:p w:rsidR="001C7BF9" w:rsidRPr="00C9680B" w:rsidRDefault="001C7BF9">
            <w:pPr>
              <w:pStyle w:val="Lagtext"/>
              <w:jc w:val="left"/>
            </w:pPr>
          </w:p>
        </w:tc>
        <w:tc>
          <w:tcPr>
            <w:tcW w:w="1053" w:type="dxa"/>
            <w:tcBorders>
              <w:top w:val="single" w:sz="6" w:space="0" w:color="auto"/>
              <w:bottom w:val="single" w:sz="6" w:space="0" w:color="auto"/>
            </w:tcBorders>
          </w:tcPr>
          <w:p w:rsidR="001C7BF9" w:rsidRPr="00C9680B" w:rsidRDefault="001C7BF9">
            <w:pPr>
              <w:pStyle w:val="Lagtext"/>
              <w:jc w:val="left"/>
            </w:pPr>
            <w:r w:rsidRPr="00C9680B">
              <w:t>Energi</w:t>
            </w:r>
            <w:r w:rsidRPr="00C9680B">
              <w:t>s</w:t>
            </w:r>
            <w:r w:rsidRPr="00C9680B">
              <w:t>katt</w:t>
            </w:r>
          </w:p>
        </w:tc>
        <w:tc>
          <w:tcPr>
            <w:tcW w:w="1053" w:type="dxa"/>
            <w:tcBorders>
              <w:top w:val="single" w:sz="6" w:space="0" w:color="auto"/>
              <w:bottom w:val="single" w:sz="6" w:space="0" w:color="auto"/>
            </w:tcBorders>
          </w:tcPr>
          <w:p w:rsidR="001C7BF9" w:rsidRPr="00C9680B" w:rsidRDefault="001C7BF9">
            <w:pPr>
              <w:pStyle w:val="Lagtext"/>
              <w:jc w:val="left"/>
            </w:pPr>
            <w:r w:rsidRPr="00C9680B">
              <w:t>Koldio</w:t>
            </w:r>
            <w:r w:rsidRPr="00C9680B">
              <w:t>x</w:t>
            </w:r>
            <w:r w:rsidRPr="00C9680B">
              <w:t>id</w:t>
            </w:r>
            <w:r w:rsidRPr="00C9680B">
              <w:softHyphen/>
              <w:t>skatt</w:t>
            </w:r>
          </w:p>
        </w:tc>
        <w:tc>
          <w:tcPr>
            <w:tcW w:w="1053" w:type="dxa"/>
            <w:tcBorders>
              <w:top w:val="single" w:sz="6" w:space="0" w:color="auto"/>
              <w:bottom w:val="single" w:sz="6" w:space="0" w:color="auto"/>
            </w:tcBorders>
          </w:tcPr>
          <w:p w:rsidR="001C7BF9" w:rsidRPr="00C9680B" w:rsidRDefault="001C7BF9">
            <w:pPr>
              <w:pStyle w:val="Lagtext"/>
              <w:jc w:val="left"/>
            </w:pPr>
            <w:r w:rsidRPr="00C9680B">
              <w:t>Summa skatt</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1.</w:t>
            </w:r>
          </w:p>
        </w:tc>
        <w:tc>
          <w:tcPr>
            <w:tcW w:w="1276" w:type="dxa"/>
          </w:tcPr>
          <w:p w:rsidR="001C7BF9" w:rsidRPr="00C9680B" w:rsidRDefault="001C7BF9">
            <w:pPr>
              <w:pStyle w:val="Lagtext"/>
              <w:jc w:val="left"/>
            </w:pPr>
            <w:r w:rsidRPr="00C9680B">
              <w:t>2710 00 26,</w:t>
            </w:r>
          </w:p>
          <w:p w:rsidR="001C7BF9" w:rsidRPr="00C9680B" w:rsidRDefault="001C7BF9">
            <w:pPr>
              <w:pStyle w:val="Lagtext"/>
              <w:jc w:val="left"/>
            </w:pPr>
            <w:r w:rsidRPr="00C9680B">
              <w:t>2710 00 27,</w:t>
            </w:r>
          </w:p>
          <w:p w:rsidR="001C7BF9" w:rsidRPr="00C9680B" w:rsidRDefault="001C7BF9">
            <w:pPr>
              <w:pStyle w:val="Lagtext"/>
              <w:jc w:val="left"/>
            </w:pPr>
            <w:r w:rsidRPr="00C9680B">
              <w:t>2710 00 29</w:t>
            </w:r>
          </w:p>
          <w:p w:rsidR="001C7BF9" w:rsidRPr="00C9680B" w:rsidRDefault="001C7BF9">
            <w:pPr>
              <w:pStyle w:val="Lagtext"/>
              <w:jc w:val="left"/>
            </w:pPr>
            <w:r w:rsidRPr="00C9680B">
              <w:t>eller</w:t>
            </w:r>
          </w:p>
          <w:p w:rsidR="001C7BF9" w:rsidRPr="00C9680B" w:rsidRDefault="001C7BF9">
            <w:pPr>
              <w:pStyle w:val="Lagtext"/>
              <w:jc w:val="left"/>
            </w:pPr>
            <w:r w:rsidRPr="00C9680B">
              <w:t>2710 00 32</w:t>
            </w:r>
          </w:p>
        </w:tc>
        <w:tc>
          <w:tcPr>
            <w:tcW w:w="1417" w:type="dxa"/>
          </w:tcPr>
          <w:p w:rsidR="001C7BF9" w:rsidRPr="00C9680B" w:rsidRDefault="001C7BF9">
            <w:pPr>
              <w:pStyle w:val="Lagtext"/>
              <w:jc w:val="left"/>
            </w:pPr>
            <w:r w:rsidRPr="00C9680B">
              <w:t>Bensin som uppfyller krav för</w:t>
            </w: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r>
      <w:tr w:rsidR="00000000" w:rsidRPr="00C9680B">
        <w:tblPrEx>
          <w:tblCellMar>
            <w:top w:w="0" w:type="dxa"/>
            <w:bottom w:w="0" w:type="dxa"/>
          </w:tblCellMar>
        </w:tblPrEx>
        <w:tc>
          <w:tcPr>
            <w:tcW w:w="284" w:type="dxa"/>
          </w:tcPr>
          <w:p w:rsidR="001C7BF9" w:rsidRPr="00C9680B" w:rsidRDefault="001C7BF9">
            <w:pPr>
              <w:pStyle w:val="Lagtext"/>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a) miljöklass 1</w:t>
            </w:r>
          </w:p>
        </w:tc>
        <w:tc>
          <w:tcPr>
            <w:tcW w:w="1053" w:type="dxa"/>
          </w:tcPr>
          <w:p w:rsidR="001C7BF9" w:rsidRPr="00C9680B" w:rsidRDefault="001C7BF9">
            <w:pPr>
              <w:pStyle w:val="Lagtext"/>
              <w:jc w:val="left"/>
            </w:pPr>
            <w:r w:rsidRPr="00C9680B">
              <w:t>3 kr 26 öre per liter</w:t>
            </w:r>
          </w:p>
        </w:tc>
        <w:tc>
          <w:tcPr>
            <w:tcW w:w="1053" w:type="dxa"/>
          </w:tcPr>
          <w:p w:rsidR="001C7BF9" w:rsidRPr="00C9680B" w:rsidRDefault="001C7BF9">
            <w:pPr>
              <w:pStyle w:val="Lagtext"/>
              <w:jc w:val="left"/>
            </w:pPr>
            <w:r w:rsidRPr="00C9680B">
              <w:t>1 kr 24 öre per liter</w:t>
            </w:r>
          </w:p>
        </w:tc>
        <w:tc>
          <w:tcPr>
            <w:tcW w:w="1053" w:type="dxa"/>
          </w:tcPr>
          <w:p w:rsidR="001C7BF9" w:rsidRPr="00C9680B" w:rsidRDefault="001C7BF9">
            <w:pPr>
              <w:pStyle w:val="Lagtext"/>
              <w:jc w:val="left"/>
            </w:pPr>
            <w:r w:rsidRPr="00C9680B">
              <w:t>4 kr 50 öre per liter</w:t>
            </w:r>
          </w:p>
        </w:tc>
      </w:tr>
      <w:tr w:rsidR="00000000" w:rsidRPr="00C9680B">
        <w:tblPrEx>
          <w:tblCellMar>
            <w:top w:w="0" w:type="dxa"/>
            <w:bottom w:w="0" w:type="dxa"/>
          </w:tblCellMar>
        </w:tblPrEx>
        <w:tc>
          <w:tcPr>
            <w:tcW w:w="284" w:type="dxa"/>
          </w:tcPr>
          <w:p w:rsidR="001C7BF9" w:rsidRPr="00C9680B" w:rsidRDefault="001C7BF9">
            <w:pPr>
              <w:pStyle w:val="Lagtext"/>
              <w:rPr>
                <w:sz w:val="18"/>
              </w:rPr>
            </w:pPr>
          </w:p>
        </w:tc>
        <w:tc>
          <w:tcPr>
            <w:tcW w:w="1276" w:type="dxa"/>
          </w:tcPr>
          <w:p w:rsidR="001C7BF9" w:rsidRPr="00C9680B" w:rsidRDefault="001C7BF9">
            <w:pPr>
              <w:pStyle w:val="Lagtext"/>
              <w:jc w:val="left"/>
              <w:rPr>
                <w:sz w:val="18"/>
              </w:rPr>
            </w:pPr>
          </w:p>
        </w:tc>
        <w:tc>
          <w:tcPr>
            <w:tcW w:w="1417" w:type="dxa"/>
          </w:tcPr>
          <w:p w:rsidR="001C7BF9" w:rsidRPr="00C9680B" w:rsidRDefault="001C7BF9">
            <w:pPr>
              <w:pStyle w:val="Lagtext"/>
              <w:jc w:val="left"/>
            </w:pPr>
            <w:r w:rsidRPr="00C9680B">
              <w:rPr>
                <w:sz w:val="18"/>
              </w:rPr>
              <w:t>b) miljöklass 2</w:t>
            </w:r>
          </w:p>
          <w:p w:rsidR="001C7BF9" w:rsidRPr="00C9680B" w:rsidRDefault="001C7BF9">
            <w:pPr>
              <w:pStyle w:val="Lagtext"/>
              <w:jc w:val="left"/>
              <w:rPr>
                <w:sz w:val="18"/>
              </w:rPr>
            </w:pPr>
          </w:p>
        </w:tc>
        <w:tc>
          <w:tcPr>
            <w:tcW w:w="1053" w:type="dxa"/>
          </w:tcPr>
          <w:p w:rsidR="001C7BF9" w:rsidRPr="00C9680B" w:rsidRDefault="001C7BF9">
            <w:pPr>
              <w:pStyle w:val="Lagtext"/>
              <w:jc w:val="left"/>
            </w:pPr>
            <w:r w:rsidRPr="00C9680B">
              <w:rPr>
                <w:sz w:val="18"/>
              </w:rPr>
              <w:t>3 kr 29 öre per liter</w:t>
            </w:r>
          </w:p>
        </w:tc>
        <w:tc>
          <w:tcPr>
            <w:tcW w:w="1053" w:type="dxa"/>
          </w:tcPr>
          <w:p w:rsidR="001C7BF9" w:rsidRPr="00C9680B" w:rsidRDefault="001C7BF9">
            <w:pPr>
              <w:pStyle w:val="Lagtext"/>
              <w:jc w:val="left"/>
            </w:pPr>
            <w:r w:rsidRPr="00C9680B">
              <w:rPr>
                <w:sz w:val="18"/>
              </w:rPr>
              <w:t>1 kr 24 öre per liter</w:t>
            </w:r>
          </w:p>
        </w:tc>
        <w:tc>
          <w:tcPr>
            <w:tcW w:w="1053" w:type="dxa"/>
          </w:tcPr>
          <w:p w:rsidR="001C7BF9" w:rsidRPr="00C9680B" w:rsidRDefault="001C7BF9">
            <w:pPr>
              <w:pStyle w:val="Lagtext"/>
              <w:jc w:val="left"/>
            </w:pPr>
            <w:r w:rsidRPr="00C9680B">
              <w:rPr>
                <w:sz w:val="18"/>
              </w:rPr>
              <w:t>4 kr 53 öre per liter</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2.</w:t>
            </w:r>
          </w:p>
        </w:tc>
        <w:tc>
          <w:tcPr>
            <w:tcW w:w="1276" w:type="dxa"/>
          </w:tcPr>
          <w:p w:rsidR="001C7BF9" w:rsidRPr="00C9680B" w:rsidRDefault="001C7BF9">
            <w:pPr>
              <w:pStyle w:val="Lagtext"/>
              <w:jc w:val="left"/>
            </w:pPr>
            <w:r w:rsidRPr="00C9680B">
              <w:t>2710 00 26,</w:t>
            </w:r>
          </w:p>
          <w:p w:rsidR="001C7BF9" w:rsidRPr="00C9680B" w:rsidRDefault="001C7BF9">
            <w:pPr>
              <w:pStyle w:val="Lagtext"/>
              <w:jc w:val="left"/>
            </w:pPr>
            <w:r w:rsidRPr="00C9680B">
              <w:t>2710 00 34</w:t>
            </w:r>
          </w:p>
          <w:p w:rsidR="001C7BF9" w:rsidRPr="00C9680B" w:rsidRDefault="001C7BF9">
            <w:pPr>
              <w:pStyle w:val="Lagtext"/>
              <w:jc w:val="left"/>
            </w:pPr>
            <w:r w:rsidRPr="00C9680B">
              <w:t>eller</w:t>
            </w:r>
          </w:p>
          <w:p w:rsidR="001C7BF9" w:rsidRPr="00C9680B" w:rsidRDefault="001C7BF9">
            <w:pPr>
              <w:pStyle w:val="Lagtext"/>
              <w:jc w:val="left"/>
            </w:pPr>
            <w:r w:rsidRPr="00C9680B">
              <w:t>2710 00 36</w:t>
            </w:r>
          </w:p>
        </w:tc>
        <w:tc>
          <w:tcPr>
            <w:tcW w:w="1417" w:type="dxa"/>
          </w:tcPr>
          <w:p w:rsidR="001C7BF9" w:rsidRPr="00C9680B" w:rsidRDefault="001C7BF9">
            <w:pPr>
              <w:pStyle w:val="Lagtext"/>
              <w:jc w:val="left"/>
            </w:pPr>
            <w:r w:rsidRPr="00C9680B">
              <w:t>Annan bensin</w:t>
            </w:r>
          </w:p>
          <w:p w:rsidR="001C7BF9" w:rsidRPr="00C9680B" w:rsidRDefault="001C7BF9">
            <w:pPr>
              <w:pStyle w:val="Lagtext"/>
              <w:jc w:val="left"/>
            </w:pPr>
            <w:r w:rsidRPr="00C9680B">
              <w:t>än som avses</w:t>
            </w:r>
          </w:p>
          <w:p w:rsidR="001C7BF9" w:rsidRPr="00C9680B" w:rsidRDefault="001C7BF9">
            <w:pPr>
              <w:pStyle w:val="Lagtext"/>
              <w:jc w:val="left"/>
            </w:pPr>
            <w:r w:rsidRPr="00C9680B">
              <w:t>under 1</w:t>
            </w:r>
          </w:p>
          <w:p w:rsidR="001C7BF9" w:rsidRPr="00C9680B" w:rsidRDefault="001C7BF9">
            <w:pPr>
              <w:pStyle w:val="Lagtext"/>
              <w:jc w:val="left"/>
            </w:pPr>
          </w:p>
        </w:tc>
        <w:tc>
          <w:tcPr>
            <w:tcW w:w="1053" w:type="dxa"/>
          </w:tcPr>
          <w:p w:rsidR="001C7BF9" w:rsidRPr="00C9680B" w:rsidRDefault="001C7BF9">
            <w:pPr>
              <w:pStyle w:val="Lagtext"/>
              <w:jc w:val="left"/>
            </w:pPr>
            <w:r w:rsidRPr="00C9680B">
              <w:t>3 kr 92öre per liter</w:t>
            </w:r>
          </w:p>
        </w:tc>
        <w:tc>
          <w:tcPr>
            <w:tcW w:w="1053" w:type="dxa"/>
          </w:tcPr>
          <w:p w:rsidR="001C7BF9" w:rsidRPr="00C9680B" w:rsidRDefault="001C7BF9">
            <w:pPr>
              <w:pStyle w:val="Lagtext"/>
              <w:jc w:val="left"/>
            </w:pPr>
            <w:r w:rsidRPr="00C9680B">
              <w:t>1 kr 24 öre per liter</w:t>
            </w:r>
          </w:p>
        </w:tc>
        <w:tc>
          <w:tcPr>
            <w:tcW w:w="1053" w:type="dxa"/>
          </w:tcPr>
          <w:p w:rsidR="001C7BF9" w:rsidRPr="00C9680B" w:rsidRDefault="001C7BF9">
            <w:pPr>
              <w:pStyle w:val="Lagtext"/>
              <w:jc w:val="left"/>
            </w:pPr>
            <w:r w:rsidRPr="00C9680B">
              <w:t>5 kr 16 öre per liter</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3.</w:t>
            </w:r>
          </w:p>
        </w:tc>
        <w:tc>
          <w:tcPr>
            <w:tcW w:w="1276" w:type="dxa"/>
          </w:tcPr>
          <w:p w:rsidR="001C7BF9" w:rsidRPr="00C9680B" w:rsidRDefault="001C7BF9">
            <w:pPr>
              <w:pStyle w:val="Lagtext"/>
              <w:jc w:val="left"/>
            </w:pPr>
            <w:r w:rsidRPr="00C9680B">
              <w:t>2710 00 51,</w:t>
            </w:r>
          </w:p>
          <w:p w:rsidR="001C7BF9" w:rsidRPr="00C9680B" w:rsidRDefault="001C7BF9">
            <w:pPr>
              <w:pStyle w:val="Lagtext"/>
              <w:jc w:val="left"/>
            </w:pPr>
            <w:r w:rsidRPr="00C9680B">
              <w:t>2710 00 55,</w:t>
            </w:r>
          </w:p>
          <w:p w:rsidR="001C7BF9" w:rsidRPr="00C9680B" w:rsidRDefault="001C7BF9">
            <w:pPr>
              <w:pStyle w:val="Lagtext"/>
              <w:jc w:val="left"/>
            </w:pPr>
            <w:r w:rsidRPr="00C9680B">
              <w:t>2710 00 69</w:t>
            </w:r>
          </w:p>
          <w:p w:rsidR="001C7BF9" w:rsidRPr="00C9680B" w:rsidRDefault="001C7BF9">
            <w:pPr>
              <w:pStyle w:val="Lagtext"/>
              <w:jc w:val="left"/>
            </w:pPr>
            <w:r w:rsidRPr="00C9680B">
              <w:t>eller</w:t>
            </w:r>
          </w:p>
          <w:p w:rsidR="001C7BF9" w:rsidRPr="00C9680B" w:rsidRDefault="001C7BF9">
            <w:pPr>
              <w:pStyle w:val="Lagtext"/>
              <w:jc w:val="left"/>
            </w:pPr>
            <w:r w:rsidRPr="00C9680B">
              <w:t>2710 00 74 –</w:t>
            </w:r>
          </w:p>
          <w:p w:rsidR="001C7BF9" w:rsidRPr="00C9680B" w:rsidRDefault="001C7BF9">
            <w:pPr>
              <w:pStyle w:val="Lagtext"/>
              <w:jc w:val="left"/>
            </w:pPr>
            <w:r w:rsidRPr="00C9680B">
              <w:t>2710 00 78</w:t>
            </w:r>
          </w:p>
        </w:tc>
        <w:tc>
          <w:tcPr>
            <w:tcW w:w="1417" w:type="dxa"/>
          </w:tcPr>
          <w:p w:rsidR="001C7BF9" w:rsidRPr="00C9680B" w:rsidRDefault="001C7BF9">
            <w:pPr>
              <w:pStyle w:val="Lagtext"/>
              <w:jc w:val="left"/>
            </w:pPr>
            <w:r w:rsidRPr="00C9680B">
              <w:t xml:space="preserve">Eldningsolja, dieselbrännolja, fotogen, m.m. som </w:t>
            </w: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r>
      <w:tr w:rsidR="00000000" w:rsidRPr="00C9680B">
        <w:tblPrEx>
          <w:tblCellMar>
            <w:top w:w="0" w:type="dxa"/>
            <w:bottom w:w="0" w:type="dxa"/>
          </w:tblCellMar>
        </w:tblPrEx>
        <w:tc>
          <w:tcPr>
            <w:tcW w:w="284" w:type="dxa"/>
          </w:tcPr>
          <w:p w:rsidR="001C7BF9" w:rsidRPr="00C9680B" w:rsidRDefault="001C7BF9">
            <w:pPr>
              <w:pStyle w:val="Lagtext"/>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a) har försetts med märkämnen eller ger mindre än 85 volym</w:t>
            </w:r>
            <w:r w:rsidRPr="00C9680B">
              <w:softHyphen/>
              <w:t>procent destillat vid 350</w:t>
            </w:r>
            <w:r w:rsidRPr="00C9680B">
              <w:rPr>
                <w:vertAlign w:val="superscript"/>
              </w:rPr>
              <w:t>o </w:t>
            </w:r>
            <w:r w:rsidRPr="00C9680B">
              <w:t>C,</w:t>
            </w:r>
          </w:p>
        </w:tc>
        <w:tc>
          <w:tcPr>
            <w:tcW w:w="1053" w:type="dxa"/>
          </w:tcPr>
          <w:p w:rsidR="001C7BF9" w:rsidRPr="00C9680B" w:rsidRDefault="001C7BF9">
            <w:pPr>
              <w:pStyle w:val="Lagtext"/>
              <w:jc w:val="left"/>
            </w:pPr>
            <w:r w:rsidRPr="00C9680B">
              <w:t>688 kr per m</w:t>
            </w:r>
            <w:r w:rsidRPr="00C9680B">
              <w:rPr>
                <w:sz w:val="16"/>
                <w:vertAlign w:val="superscript"/>
              </w:rPr>
              <w:t>3</w:t>
            </w:r>
          </w:p>
        </w:tc>
        <w:tc>
          <w:tcPr>
            <w:tcW w:w="1053" w:type="dxa"/>
          </w:tcPr>
          <w:p w:rsidR="001C7BF9" w:rsidRPr="00C9680B" w:rsidRDefault="001C7BF9">
            <w:pPr>
              <w:pStyle w:val="Lagtext"/>
              <w:jc w:val="left"/>
            </w:pPr>
            <w:r w:rsidRPr="00C9680B">
              <w:t>1 527 kr per m</w:t>
            </w:r>
            <w:r w:rsidRPr="00C9680B">
              <w:rPr>
                <w:sz w:val="16"/>
                <w:vertAlign w:val="superscript"/>
              </w:rPr>
              <w:t>3</w:t>
            </w:r>
          </w:p>
        </w:tc>
        <w:tc>
          <w:tcPr>
            <w:tcW w:w="1053" w:type="dxa"/>
          </w:tcPr>
          <w:p w:rsidR="001C7BF9" w:rsidRPr="00C9680B" w:rsidRDefault="001C7BF9">
            <w:pPr>
              <w:pStyle w:val="Lagtext"/>
              <w:jc w:val="left"/>
            </w:pPr>
            <w:r w:rsidRPr="00C9680B">
              <w:t>2 215 kr per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rPr>
                <w:sz w:val="18"/>
              </w:rPr>
            </w:pPr>
          </w:p>
        </w:tc>
        <w:tc>
          <w:tcPr>
            <w:tcW w:w="1276" w:type="dxa"/>
          </w:tcPr>
          <w:p w:rsidR="001C7BF9" w:rsidRPr="00C9680B" w:rsidRDefault="001C7BF9">
            <w:pPr>
              <w:pStyle w:val="Lagtext"/>
              <w:jc w:val="left"/>
              <w:rPr>
                <w:sz w:val="18"/>
              </w:rPr>
            </w:pPr>
          </w:p>
        </w:tc>
        <w:tc>
          <w:tcPr>
            <w:tcW w:w="1417" w:type="dxa"/>
          </w:tcPr>
          <w:p w:rsidR="001C7BF9" w:rsidRPr="00C9680B" w:rsidRDefault="001C7BF9">
            <w:pPr>
              <w:pStyle w:val="Lagtext"/>
              <w:jc w:val="left"/>
            </w:pPr>
            <w:r w:rsidRPr="00C9680B">
              <w:rPr>
                <w:sz w:val="18"/>
              </w:rPr>
              <w:t>b) inte har för</w:t>
            </w:r>
            <w:r w:rsidRPr="00C9680B">
              <w:rPr>
                <w:sz w:val="18"/>
              </w:rPr>
              <w:softHyphen/>
              <w:t>setts med märk</w:t>
            </w:r>
            <w:r w:rsidRPr="00C9680B">
              <w:rPr>
                <w:sz w:val="18"/>
              </w:rPr>
              <w:softHyphen/>
              <w:t>ämnen och ger minst 85 volym</w:t>
            </w:r>
            <w:r w:rsidRPr="00C9680B">
              <w:rPr>
                <w:sz w:val="18"/>
              </w:rPr>
              <w:softHyphen/>
              <w:t>procent destillat vid 350</w:t>
            </w:r>
            <w:r w:rsidRPr="00C9680B">
              <w:rPr>
                <w:sz w:val="18"/>
                <w:vertAlign w:val="superscript"/>
              </w:rPr>
              <w:t>o </w:t>
            </w:r>
            <w:r w:rsidRPr="00C9680B">
              <w:rPr>
                <w:sz w:val="18"/>
              </w:rPr>
              <w:t>C,</w:t>
            </w:r>
          </w:p>
          <w:p w:rsidR="001C7BF9" w:rsidRPr="00C9680B" w:rsidRDefault="001C7BF9">
            <w:pPr>
              <w:pStyle w:val="Lagtext"/>
              <w:jc w:val="left"/>
            </w:pPr>
            <w:r w:rsidRPr="00C9680B">
              <w:rPr>
                <w:sz w:val="18"/>
              </w:rPr>
              <w:t>tillhörig</w:t>
            </w:r>
          </w:p>
        </w:tc>
        <w:tc>
          <w:tcPr>
            <w:tcW w:w="1053"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r>
      <w:tr w:rsidR="00000000" w:rsidRPr="00C9680B">
        <w:tblPrEx>
          <w:tblCellMar>
            <w:top w:w="0" w:type="dxa"/>
            <w:bottom w:w="0" w:type="dxa"/>
          </w:tblCellMar>
        </w:tblPrEx>
        <w:tc>
          <w:tcPr>
            <w:tcW w:w="284" w:type="dxa"/>
          </w:tcPr>
          <w:p w:rsidR="001C7BF9" w:rsidRPr="00C9680B" w:rsidRDefault="001C7BF9">
            <w:pPr>
              <w:pStyle w:val="Lagtext"/>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miljöklass 1</w:t>
            </w:r>
          </w:p>
        </w:tc>
        <w:tc>
          <w:tcPr>
            <w:tcW w:w="1053" w:type="dxa"/>
          </w:tcPr>
          <w:p w:rsidR="001C7BF9" w:rsidRPr="00C9680B" w:rsidRDefault="001C7BF9">
            <w:pPr>
              <w:pStyle w:val="Lagtext"/>
              <w:jc w:val="left"/>
            </w:pPr>
            <w:r w:rsidRPr="00C9680B">
              <w:t>1 512 kr per m</w:t>
            </w:r>
            <w:r w:rsidRPr="00C9680B">
              <w:rPr>
                <w:sz w:val="16"/>
                <w:vertAlign w:val="superscript"/>
              </w:rPr>
              <w:t>3</w:t>
            </w:r>
          </w:p>
        </w:tc>
        <w:tc>
          <w:tcPr>
            <w:tcW w:w="1053" w:type="dxa"/>
          </w:tcPr>
          <w:p w:rsidR="001C7BF9" w:rsidRPr="00C9680B" w:rsidRDefault="001C7BF9">
            <w:pPr>
              <w:pStyle w:val="Lagtext"/>
              <w:jc w:val="left"/>
            </w:pPr>
            <w:r w:rsidRPr="00C9680B">
              <w:t>1 527 kr per m</w:t>
            </w:r>
            <w:r w:rsidRPr="00C9680B">
              <w:rPr>
                <w:sz w:val="16"/>
                <w:vertAlign w:val="superscript"/>
              </w:rPr>
              <w:t>3</w:t>
            </w:r>
          </w:p>
        </w:tc>
        <w:tc>
          <w:tcPr>
            <w:tcW w:w="1053" w:type="dxa"/>
          </w:tcPr>
          <w:p w:rsidR="001C7BF9" w:rsidRPr="00C9680B" w:rsidRDefault="001C7BF9">
            <w:pPr>
              <w:pStyle w:val="Lagtext"/>
              <w:jc w:val="left"/>
            </w:pPr>
            <w:r w:rsidRPr="00C9680B">
              <w:t>3 039 kr per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miljöklass 2</w:t>
            </w:r>
          </w:p>
        </w:tc>
        <w:tc>
          <w:tcPr>
            <w:tcW w:w="1053" w:type="dxa"/>
          </w:tcPr>
          <w:p w:rsidR="001C7BF9" w:rsidRPr="00C9680B" w:rsidRDefault="001C7BF9">
            <w:pPr>
              <w:pStyle w:val="Lagtext"/>
              <w:jc w:val="left"/>
            </w:pPr>
            <w:r w:rsidRPr="00C9680B">
              <w:t>1 739 kr per m</w:t>
            </w:r>
            <w:r w:rsidRPr="00C9680B">
              <w:rPr>
                <w:sz w:val="16"/>
                <w:vertAlign w:val="superscript"/>
              </w:rPr>
              <w:t>3</w:t>
            </w:r>
          </w:p>
        </w:tc>
        <w:tc>
          <w:tcPr>
            <w:tcW w:w="1053" w:type="dxa"/>
          </w:tcPr>
          <w:p w:rsidR="001C7BF9" w:rsidRPr="00C9680B" w:rsidRDefault="001C7BF9">
            <w:pPr>
              <w:pStyle w:val="Lagtext"/>
              <w:jc w:val="left"/>
            </w:pPr>
            <w:r w:rsidRPr="00C9680B">
              <w:t>1 527 kr per m</w:t>
            </w:r>
            <w:r w:rsidRPr="00C9680B">
              <w:rPr>
                <w:sz w:val="16"/>
                <w:vertAlign w:val="superscript"/>
              </w:rPr>
              <w:t>3</w:t>
            </w:r>
          </w:p>
        </w:tc>
        <w:tc>
          <w:tcPr>
            <w:tcW w:w="1053" w:type="dxa"/>
          </w:tcPr>
          <w:p w:rsidR="001C7BF9" w:rsidRPr="00C9680B" w:rsidRDefault="001C7BF9">
            <w:pPr>
              <w:pStyle w:val="Lagtext"/>
              <w:jc w:val="left"/>
            </w:pPr>
            <w:r w:rsidRPr="00C9680B">
              <w:t>3 266 kr per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miljöklass 3 eller inte tillhör någon miljö</w:t>
            </w:r>
            <w:r w:rsidRPr="00C9680B">
              <w:softHyphen/>
              <w:t>klass</w:t>
            </w:r>
          </w:p>
        </w:tc>
        <w:tc>
          <w:tcPr>
            <w:tcW w:w="1053" w:type="dxa"/>
          </w:tcPr>
          <w:p w:rsidR="001C7BF9" w:rsidRPr="00C9680B" w:rsidRDefault="001C7BF9">
            <w:pPr>
              <w:pStyle w:val="Lagtext"/>
              <w:jc w:val="left"/>
            </w:pPr>
            <w:r w:rsidRPr="00C9680B">
              <w:t>2 039 kr per m</w:t>
            </w:r>
            <w:r w:rsidRPr="00C9680B">
              <w:rPr>
                <w:sz w:val="16"/>
                <w:vertAlign w:val="superscript"/>
              </w:rPr>
              <w:t>3</w:t>
            </w:r>
            <w:r w:rsidRPr="00C9680B">
              <w:t xml:space="preserve"> </w:t>
            </w:r>
          </w:p>
        </w:tc>
        <w:tc>
          <w:tcPr>
            <w:tcW w:w="1053" w:type="dxa"/>
          </w:tcPr>
          <w:p w:rsidR="001C7BF9" w:rsidRPr="00C9680B" w:rsidRDefault="001C7BF9">
            <w:pPr>
              <w:pStyle w:val="Lagtext"/>
              <w:jc w:val="left"/>
            </w:pPr>
            <w:r w:rsidRPr="00C9680B">
              <w:t>1 527 kr per m</w:t>
            </w:r>
            <w:r w:rsidRPr="00C9680B">
              <w:rPr>
                <w:sz w:val="16"/>
                <w:vertAlign w:val="superscript"/>
              </w:rPr>
              <w:t>3</w:t>
            </w:r>
          </w:p>
        </w:tc>
        <w:tc>
          <w:tcPr>
            <w:tcW w:w="1053" w:type="dxa"/>
          </w:tcPr>
          <w:p w:rsidR="001C7BF9" w:rsidRPr="00C9680B" w:rsidRDefault="001C7BF9">
            <w:pPr>
              <w:pStyle w:val="Lagtext"/>
              <w:jc w:val="left"/>
            </w:pPr>
            <w:r w:rsidRPr="00C9680B">
              <w:t>3 566 kr per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4.</w:t>
            </w:r>
          </w:p>
        </w:tc>
        <w:tc>
          <w:tcPr>
            <w:tcW w:w="1276" w:type="dxa"/>
          </w:tcPr>
          <w:p w:rsidR="001C7BF9" w:rsidRPr="00C9680B" w:rsidRDefault="001C7BF9">
            <w:pPr>
              <w:pStyle w:val="Lagtext"/>
              <w:jc w:val="left"/>
            </w:pPr>
            <w:r w:rsidRPr="00C9680B">
              <w:t>ur 2711 12 11–2711 19 00</w:t>
            </w:r>
          </w:p>
        </w:tc>
        <w:tc>
          <w:tcPr>
            <w:tcW w:w="1417" w:type="dxa"/>
          </w:tcPr>
          <w:p w:rsidR="001C7BF9" w:rsidRPr="00C9680B" w:rsidRDefault="001C7BF9">
            <w:pPr>
              <w:pStyle w:val="Lagtext"/>
              <w:jc w:val="left"/>
            </w:pPr>
            <w:r w:rsidRPr="00C9680B">
              <w:t xml:space="preserve">Gasol </w:t>
            </w:r>
          </w:p>
        </w:tc>
        <w:tc>
          <w:tcPr>
            <w:tcW w:w="1053" w:type="dxa"/>
          </w:tcPr>
          <w:p w:rsidR="001C7BF9" w:rsidRPr="00C9680B" w:rsidRDefault="001C7BF9">
            <w:pPr>
              <w:pStyle w:val="Lagtext"/>
              <w:jc w:val="left"/>
              <w:rPr>
                <w:i/>
              </w:rPr>
            </w:pPr>
            <w:r w:rsidRPr="00C9680B">
              <w:rPr>
                <w:i/>
              </w:rPr>
              <w:t>134 kr per 1 000 kg</w:t>
            </w:r>
          </w:p>
        </w:tc>
        <w:tc>
          <w:tcPr>
            <w:tcW w:w="1053" w:type="dxa"/>
          </w:tcPr>
          <w:p w:rsidR="001C7BF9" w:rsidRPr="00C9680B" w:rsidRDefault="001C7BF9">
            <w:pPr>
              <w:pStyle w:val="Lagtext"/>
              <w:jc w:val="left"/>
              <w:rPr>
                <w:i/>
              </w:rPr>
            </w:pPr>
            <w:r w:rsidRPr="00C9680B">
              <w:rPr>
                <w:i/>
              </w:rPr>
              <w:t>1 606 kr per 1 000 kg</w:t>
            </w:r>
          </w:p>
        </w:tc>
        <w:tc>
          <w:tcPr>
            <w:tcW w:w="1053" w:type="dxa"/>
          </w:tcPr>
          <w:p w:rsidR="001C7BF9" w:rsidRPr="00C9680B" w:rsidRDefault="001C7BF9">
            <w:pPr>
              <w:pStyle w:val="Lagtext"/>
              <w:jc w:val="left"/>
              <w:rPr>
                <w:i/>
              </w:rPr>
            </w:pPr>
            <w:r w:rsidRPr="00C9680B">
              <w:rPr>
                <w:i/>
              </w:rPr>
              <w:t>1 740 kr per 1 000 kg</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5.</w:t>
            </w:r>
          </w:p>
        </w:tc>
        <w:tc>
          <w:tcPr>
            <w:tcW w:w="1276" w:type="dxa"/>
          </w:tcPr>
          <w:p w:rsidR="001C7BF9" w:rsidRPr="00C9680B" w:rsidRDefault="001C7BF9">
            <w:pPr>
              <w:pStyle w:val="Lagtext"/>
              <w:jc w:val="left"/>
            </w:pPr>
            <w:r w:rsidRPr="00C9680B">
              <w:t>ur 2711 29 00</w:t>
            </w:r>
          </w:p>
        </w:tc>
        <w:tc>
          <w:tcPr>
            <w:tcW w:w="1417" w:type="dxa"/>
          </w:tcPr>
          <w:p w:rsidR="001C7BF9" w:rsidRPr="00C9680B" w:rsidRDefault="001C7BF9">
            <w:pPr>
              <w:pStyle w:val="Lagtext"/>
              <w:jc w:val="left"/>
            </w:pPr>
            <w:r w:rsidRPr="00C9680B">
              <w:t>Metan</w:t>
            </w:r>
          </w:p>
        </w:tc>
        <w:tc>
          <w:tcPr>
            <w:tcW w:w="1053" w:type="dxa"/>
          </w:tcPr>
          <w:p w:rsidR="001C7BF9" w:rsidRPr="00C9680B" w:rsidRDefault="001C7BF9">
            <w:pPr>
              <w:pStyle w:val="Lagtext"/>
              <w:jc w:val="left"/>
              <w:rPr>
                <w:i/>
              </w:rPr>
            </w:pPr>
            <w:r w:rsidRPr="00C9680B">
              <w:rPr>
                <w:i/>
              </w:rPr>
              <w:t>223 kr per 1 000 m</w:t>
            </w:r>
            <w:r w:rsidRPr="00C9680B">
              <w:rPr>
                <w:i/>
                <w:sz w:val="16"/>
                <w:vertAlign w:val="superscript"/>
              </w:rPr>
              <w:t>3</w:t>
            </w:r>
          </w:p>
        </w:tc>
        <w:tc>
          <w:tcPr>
            <w:tcW w:w="1053" w:type="dxa"/>
          </w:tcPr>
          <w:p w:rsidR="001C7BF9" w:rsidRPr="00C9680B" w:rsidRDefault="001C7BF9">
            <w:pPr>
              <w:pStyle w:val="Lagtext"/>
              <w:jc w:val="left"/>
              <w:rPr>
                <w:i/>
              </w:rPr>
            </w:pPr>
            <w:r w:rsidRPr="00C9680B">
              <w:rPr>
                <w:i/>
              </w:rPr>
              <w:t>1 144 kr per 1 000 m</w:t>
            </w:r>
            <w:r w:rsidRPr="00C9680B">
              <w:rPr>
                <w:i/>
                <w:sz w:val="16"/>
                <w:vertAlign w:val="superscript"/>
              </w:rPr>
              <w:t>3</w:t>
            </w:r>
          </w:p>
        </w:tc>
        <w:tc>
          <w:tcPr>
            <w:tcW w:w="1053" w:type="dxa"/>
          </w:tcPr>
          <w:p w:rsidR="001C7BF9" w:rsidRPr="00C9680B" w:rsidRDefault="001C7BF9">
            <w:pPr>
              <w:pStyle w:val="Lagtext"/>
              <w:jc w:val="left"/>
              <w:rPr>
                <w:i/>
              </w:rPr>
            </w:pPr>
            <w:r w:rsidRPr="00C9680B">
              <w:rPr>
                <w:i/>
              </w:rPr>
              <w:t>1 367 kr per 1 000 m</w:t>
            </w:r>
            <w:r w:rsidRPr="00C9680B">
              <w:rPr>
                <w:i/>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6.</w:t>
            </w:r>
          </w:p>
        </w:tc>
        <w:tc>
          <w:tcPr>
            <w:tcW w:w="1276" w:type="dxa"/>
          </w:tcPr>
          <w:p w:rsidR="001C7BF9" w:rsidRPr="00C9680B" w:rsidRDefault="001C7BF9">
            <w:pPr>
              <w:pStyle w:val="Lagtext"/>
              <w:jc w:val="left"/>
            </w:pPr>
            <w:r w:rsidRPr="00C9680B">
              <w:t>2711 11 00, 2711 21 00</w:t>
            </w:r>
          </w:p>
        </w:tc>
        <w:tc>
          <w:tcPr>
            <w:tcW w:w="1417" w:type="dxa"/>
          </w:tcPr>
          <w:p w:rsidR="001C7BF9" w:rsidRPr="00C9680B" w:rsidRDefault="001C7BF9">
            <w:pPr>
              <w:pStyle w:val="Lagtext"/>
              <w:jc w:val="left"/>
            </w:pPr>
            <w:r w:rsidRPr="00C9680B">
              <w:t xml:space="preserve">Naturgas </w:t>
            </w:r>
          </w:p>
        </w:tc>
        <w:tc>
          <w:tcPr>
            <w:tcW w:w="1053" w:type="dxa"/>
          </w:tcPr>
          <w:p w:rsidR="001C7BF9" w:rsidRPr="00C9680B" w:rsidRDefault="001C7BF9">
            <w:pPr>
              <w:pStyle w:val="Lagtext"/>
              <w:jc w:val="left"/>
              <w:rPr>
                <w:i/>
              </w:rPr>
            </w:pPr>
            <w:r w:rsidRPr="00C9680B">
              <w:rPr>
                <w:i/>
              </w:rPr>
              <w:t>223 kr per 1 000 m</w:t>
            </w:r>
            <w:r w:rsidRPr="00C9680B">
              <w:rPr>
                <w:i/>
                <w:sz w:val="16"/>
                <w:vertAlign w:val="superscript"/>
              </w:rPr>
              <w:t>3</w:t>
            </w:r>
          </w:p>
        </w:tc>
        <w:tc>
          <w:tcPr>
            <w:tcW w:w="1053" w:type="dxa"/>
          </w:tcPr>
          <w:p w:rsidR="001C7BF9" w:rsidRPr="00C9680B" w:rsidRDefault="001C7BF9">
            <w:pPr>
              <w:pStyle w:val="Lagtext"/>
              <w:jc w:val="left"/>
              <w:rPr>
                <w:i/>
              </w:rPr>
            </w:pPr>
            <w:r w:rsidRPr="00C9680B">
              <w:rPr>
                <w:i/>
              </w:rPr>
              <w:t>1 144 kr per 1 000 m</w:t>
            </w:r>
            <w:r w:rsidRPr="00C9680B">
              <w:rPr>
                <w:i/>
                <w:sz w:val="16"/>
                <w:vertAlign w:val="superscript"/>
              </w:rPr>
              <w:t>3</w:t>
            </w:r>
          </w:p>
        </w:tc>
        <w:tc>
          <w:tcPr>
            <w:tcW w:w="1053" w:type="dxa"/>
          </w:tcPr>
          <w:p w:rsidR="001C7BF9" w:rsidRPr="00C9680B" w:rsidRDefault="001C7BF9">
            <w:pPr>
              <w:pStyle w:val="Lagtext"/>
              <w:jc w:val="left"/>
              <w:rPr>
                <w:i/>
              </w:rPr>
            </w:pPr>
            <w:r w:rsidRPr="00C9680B">
              <w:rPr>
                <w:i/>
              </w:rPr>
              <w:t>1 367 kr per 1 000 m</w:t>
            </w:r>
            <w:r w:rsidRPr="00C9680B">
              <w:rPr>
                <w:i/>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7.</w:t>
            </w:r>
          </w:p>
        </w:tc>
        <w:tc>
          <w:tcPr>
            <w:tcW w:w="1276" w:type="dxa"/>
          </w:tcPr>
          <w:p w:rsidR="001C7BF9" w:rsidRPr="00C9680B" w:rsidRDefault="001C7BF9">
            <w:pPr>
              <w:pStyle w:val="Lagtext"/>
              <w:jc w:val="left"/>
            </w:pPr>
            <w:r w:rsidRPr="00C9680B">
              <w:t>2701, 2702 eller 2704</w:t>
            </w:r>
          </w:p>
        </w:tc>
        <w:tc>
          <w:tcPr>
            <w:tcW w:w="1417" w:type="dxa"/>
          </w:tcPr>
          <w:p w:rsidR="001C7BF9" w:rsidRPr="00C9680B" w:rsidRDefault="001C7BF9">
            <w:pPr>
              <w:pStyle w:val="Lagtext"/>
              <w:jc w:val="left"/>
            </w:pPr>
            <w:r w:rsidRPr="00C9680B">
              <w:t>Kolbränslen</w:t>
            </w:r>
          </w:p>
        </w:tc>
        <w:tc>
          <w:tcPr>
            <w:tcW w:w="1053" w:type="dxa"/>
          </w:tcPr>
          <w:p w:rsidR="001C7BF9" w:rsidRPr="00C9680B" w:rsidRDefault="001C7BF9">
            <w:pPr>
              <w:pStyle w:val="Lagtext"/>
              <w:jc w:val="left"/>
            </w:pPr>
            <w:r w:rsidRPr="00C9680B">
              <w:t>293 kr per 1 000 kg</w:t>
            </w:r>
          </w:p>
        </w:tc>
        <w:tc>
          <w:tcPr>
            <w:tcW w:w="1053" w:type="dxa"/>
          </w:tcPr>
          <w:p w:rsidR="001C7BF9" w:rsidRPr="00C9680B" w:rsidRDefault="001C7BF9">
            <w:pPr>
              <w:pStyle w:val="Lagtext"/>
              <w:jc w:val="left"/>
            </w:pPr>
            <w:r w:rsidRPr="00C9680B">
              <w:t>1 329 kr per 1 000 kg</w:t>
            </w:r>
          </w:p>
        </w:tc>
        <w:tc>
          <w:tcPr>
            <w:tcW w:w="1053" w:type="dxa"/>
          </w:tcPr>
          <w:p w:rsidR="001C7BF9" w:rsidRPr="00C9680B" w:rsidRDefault="001C7BF9">
            <w:pPr>
              <w:pStyle w:val="Lagtext"/>
              <w:jc w:val="left"/>
            </w:pPr>
            <w:r w:rsidRPr="00C9680B">
              <w:t>1 622 kr per 1 000 kg</w:t>
            </w:r>
          </w:p>
        </w:tc>
      </w:tr>
      <w:tr w:rsidR="00000000" w:rsidRPr="00C9680B">
        <w:tblPrEx>
          <w:tblCellMar>
            <w:top w:w="0" w:type="dxa"/>
            <w:bottom w:w="0" w:type="dxa"/>
          </w:tblCellMar>
        </w:tblPrEx>
        <w:tc>
          <w:tcPr>
            <w:tcW w:w="284" w:type="dxa"/>
            <w:tcBorders>
              <w:bottom w:val="single" w:sz="6" w:space="0" w:color="auto"/>
            </w:tcBorders>
          </w:tcPr>
          <w:p w:rsidR="001C7BF9" w:rsidRPr="00C9680B" w:rsidRDefault="001C7BF9">
            <w:pPr>
              <w:pStyle w:val="Lagtext"/>
            </w:pPr>
            <w:r w:rsidRPr="00C9680B">
              <w:rPr>
                <w:sz w:val="18"/>
              </w:rPr>
              <w:t>8.</w:t>
            </w:r>
          </w:p>
        </w:tc>
        <w:tc>
          <w:tcPr>
            <w:tcW w:w="1276" w:type="dxa"/>
            <w:tcBorders>
              <w:bottom w:val="single" w:sz="6" w:space="0" w:color="auto"/>
            </w:tcBorders>
          </w:tcPr>
          <w:p w:rsidR="001C7BF9" w:rsidRPr="00C9680B" w:rsidRDefault="001C7BF9">
            <w:pPr>
              <w:pStyle w:val="Lagtext"/>
              <w:jc w:val="left"/>
            </w:pPr>
            <w:r w:rsidRPr="00C9680B">
              <w:t>2713 11 00–2713 12 00</w:t>
            </w:r>
          </w:p>
        </w:tc>
        <w:tc>
          <w:tcPr>
            <w:tcW w:w="1417" w:type="dxa"/>
            <w:tcBorders>
              <w:bottom w:val="single" w:sz="6" w:space="0" w:color="auto"/>
            </w:tcBorders>
          </w:tcPr>
          <w:p w:rsidR="001C7BF9" w:rsidRPr="00C9680B" w:rsidRDefault="001C7BF9">
            <w:pPr>
              <w:pStyle w:val="Lagtext"/>
              <w:jc w:val="left"/>
            </w:pPr>
            <w:r w:rsidRPr="00C9680B">
              <w:t>Petroleu</w:t>
            </w:r>
            <w:r w:rsidRPr="00C9680B">
              <w:t>m</w:t>
            </w:r>
            <w:r w:rsidRPr="00C9680B">
              <w:t>koks</w:t>
            </w:r>
          </w:p>
        </w:tc>
        <w:tc>
          <w:tcPr>
            <w:tcW w:w="1053" w:type="dxa"/>
            <w:tcBorders>
              <w:bottom w:val="single" w:sz="6" w:space="0" w:color="auto"/>
            </w:tcBorders>
          </w:tcPr>
          <w:p w:rsidR="001C7BF9" w:rsidRPr="00C9680B" w:rsidRDefault="001C7BF9">
            <w:pPr>
              <w:pStyle w:val="Lagtext"/>
              <w:jc w:val="left"/>
            </w:pPr>
            <w:r w:rsidRPr="00C9680B">
              <w:t>293 kr per 1 000 kg</w:t>
            </w:r>
          </w:p>
        </w:tc>
        <w:tc>
          <w:tcPr>
            <w:tcW w:w="1053" w:type="dxa"/>
            <w:tcBorders>
              <w:bottom w:val="single" w:sz="6" w:space="0" w:color="auto"/>
            </w:tcBorders>
          </w:tcPr>
          <w:p w:rsidR="001C7BF9" w:rsidRPr="00C9680B" w:rsidRDefault="001C7BF9">
            <w:pPr>
              <w:pStyle w:val="Lagtext"/>
              <w:jc w:val="left"/>
            </w:pPr>
            <w:r w:rsidRPr="00C9680B">
              <w:t>1 329 kr per 1 000 kg</w:t>
            </w:r>
          </w:p>
        </w:tc>
        <w:tc>
          <w:tcPr>
            <w:tcW w:w="1053" w:type="dxa"/>
            <w:tcBorders>
              <w:bottom w:val="single" w:sz="6" w:space="0" w:color="auto"/>
            </w:tcBorders>
          </w:tcPr>
          <w:p w:rsidR="001C7BF9" w:rsidRPr="00C9680B" w:rsidRDefault="001C7BF9">
            <w:pPr>
              <w:pStyle w:val="Lagtext"/>
              <w:jc w:val="left"/>
            </w:pPr>
            <w:r w:rsidRPr="00C9680B">
              <w:t>1 622 kr per 1 000 kg</w:t>
            </w:r>
          </w:p>
        </w:tc>
      </w:tr>
    </w:tbl>
    <w:p w:rsidR="001C7BF9" w:rsidRPr="00C9680B" w:rsidRDefault="001C7BF9">
      <w:pPr>
        <w:pStyle w:val="LagtextIndrag"/>
      </w:pPr>
    </w:p>
    <w:p w:rsidR="001C7BF9" w:rsidRPr="00C9680B" w:rsidRDefault="001C7BF9">
      <w:pPr>
        <w:pStyle w:val="LagRubrik2"/>
        <w:outlineLvl w:val="0"/>
      </w:pPr>
      <w:r w:rsidRPr="00C9680B">
        <w:t>Utskottets förslag</w:t>
      </w:r>
    </w:p>
    <w:p w:rsidR="001C7BF9" w:rsidRPr="00C9680B" w:rsidRDefault="001C7BF9">
      <w:pPr>
        <w:pStyle w:val="LagtextIndrag"/>
      </w:pPr>
    </w:p>
    <w:p w:rsidR="001C7BF9" w:rsidRPr="00C9680B" w:rsidRDefault="001C7BF9">
      <w:pPr>
        <w:pStyle w:val="LagtextIndrag"/>
      </w:pPr>
      <w:r w:rsidRPr="00C9680B">
        <w:t>Energiskatt och koldioxidskatt skall, om inte annat följer av andra stycket, b</w:t>
      </w:r>
      <w:r w:rsidRPr="00C9680B">
        <w:t>e</w:t>
      </w:r>
      <w:r w:rsidRPr="00C9680B">
        <w:t>talas för följande bränslen med angivna belopp:</w:t>
      </w:r>
    </w:p>
    <w:p w:rsidR="001C7BF9" w:rsidRPr="00C9680B" w:rsidRDefault="001C7BF9">
      <w:pPr>
        <w:pStyle w:val="LagtextIndrag"/>
      </w:pPr>
    </w:p>
    <w:tbl>
      <w:tblPr>
        <w:tblW w:w="0" w:type="auto"/>
        <w:tblInd w:w="-142" w:type="dxa"/>
        <w:tblLayout w:type="fixed"/>
        <w:tblCellMar>
          <w:left w:w="70" w:type="dxa"/>
          <w:right w:w="70" w:type="dxa"/>
        </w:tblCellMar>
        <w:tblLook w:val="0000" w:firstRow="0" w:lastRow="0" w:firstColumn="0" w:lastColumn="0" w:noHBand="0" w:noVBand="0"/>
      </w:tblPr>
      <w:tblGrid>
        <w:gridCol w:w="284"/>
        <w:gridCol w:w="1276"/>
        <w:gridCol w:w="1417"/>
        <w:gridCol w:w="1053"/>
        <w:gridCol w:w="1053"/>
        <w:gridCol w:w="1053"/>
      </w:tblGrid>
      <w:tr w:rsidR="00000000" w:rsidRPr="00C9680B">
        <w:tblPrEx>
          <w:tblCellMar>
            <w:top w:w="0" w:type="dxa"/>
            <w:bottom w:w="0" w:type="dxa"/>
          </w:tblCellMar>
        </w:tblPrEx>
        <w:trPr>
          <w:cantSplit/>
        </w:trPr>
        <w:tc>
          <w:tcPr>
            <w:tcW w:w="284" w:type="dxa"/>
            <w:tcBorders>
              <w:top w:val="single" w:sz="6" w:space="0" w:color="auto"/>
            </w:tcBorders>
          </w:tcPr>
          <w:p w:rsidR="001C7BF9" w:rsidRPr="00C9680B" w:rsidRDefault="001C7BF9">
            <w:pPr>
              <w:pStyle w:val="Lagtext"/>
            </w:pPr>
          </w:p>
        </w:tc>
        <w:tc>
          <w:tcPr>
            <w:tcW w:w="1276" w:type="dxa"/>
            <w:tcBorders>
              <w:top w:val="single" w:sz="6" w:space="0" w:color="auto"/>
            </w:tcBorders>
          </w:tcPr>
          <w:p w:rsidR="001C7BF9" w:rsidRPr="00C9680B" w:rsidRDefault="001C7BF9">
            <w:pPr>
              <w:pStyle w:val="Lagtext"/>
              <w:jc w:val="left"/>
            </w:pPr>
            <w:r w:rsidRPr="00C9680B">
              <w:t>KN-nr</w:t>
            </w:r>
          </w:p>
        </w:tc>
        <w:tc>
          <w:tcPr>
            <w:tcW w:w="1417" w:type="dxa"/>
            <w:tcBorders>
              <w:top w:val="single" w:sz="6" w:space="0" w:color="auto"/>
            </w:tcBorders>
          </w:tcPr>
          <w:p w:rsidR="001C7BF9" w:rsidRPr="00C9680B" w:rsidRDefault="001C7BF9">
            <w:pPr>
              <w:pStyle w:val="Lagtext"/>
              <w:jc w:val="left"/>
            </w:pPr>
            <w:r w:rsidRPr="00C9680B">
              <w:t>Slag av bränsle</w:t>
            </w:r>
          </w:p>
        </w:tc>
        <w:tc>
          <w:tcPr>
            <w:tcW w:w="2106" w:type="dxa"/>
            <w:gridSpan w:val="2"/>
            <w:tcBorders>
              <w:top w:val="single" w:sz="6" w:space="0" w:color="auto"/>
            </w:tcBorders>
          </w:tcPr>
          <w:p w:rsidR="001C7BF9" w:rsidRPr="00C9680B" w:rsidRDefault="001C7BF9">
            <w:pPr>
              <w:pStyle w:val="Lagtext"/>
              <w:jc w:val="left"/>
            </w:pPr>
            <w:r w:rsidRPr="00C9680B">
              <w:t>Skatte</w:t>
            </w:r>
            <w:r w:rsidRPr="00C9680B">
              <w:softHyphen/>
              <w:t>b</w:t>
            </w:r>
            <w:r w:rsidRPr="00C9680B">
              <w:t>e</w:t>
            </w:r>
            <w:r w:rsidRPr="00C9680B">
              <w:t>lopp</w:t>
            </w:r>
          </w:p>
        </w:tc>
        <w:tc>
          <w:tcPr>
            <w:tcW w:w="1053" w:type="dxa"/>
            <w:tcBorders>
              <w:top w:val="single" w:sz="6" w:space="0" w:color="auto"/>
            </w:tcBorders>
          </w:tcPr>
          <w:p w:rsidR="001C7BF9" w:rsidRPr="00C9680B" w:rsidRDefault="001C7BF9">
            <w:pPr>
              <w:pStyle w:val="Lagtext"/>
              <w:jc w:val="left"/>
            </w:pPr>
          </w:p>
        </w:tc>
      </w:tr>
      <w:tr w:rsidR="00000000" w:rsidRPr="00C9680B">
        <w:tblPrEx>
          <w:tblCellMar>
            <w:top w:w="0" w:type="dxa"/>
            <w:bottom w:w="0" w:type="dxa"/>
          </w:tblCellMar>
        </w:tblPrEx>
        <w:tc>
          <w:tcPr>
            <w:tcW w:w="284" w:type="dxa"/>
            <w:tcBorders>
              <w:bottom w:val="single" w:sz="6" w:space="0" w:color="auto"/>
            </w:tcBorders>
          </w:tcPr>
          <w:p w:rsidR="001C7BF9" w:rsidRPr="00C9680B" w:rsidRDefault="001C7BF9">
            <w:pPr>
              <w:pStyle w:val="Lagtext"/>
            </w:pPr>
          </w:p>
        </w:tc>
        <w:tc>
          <w:tcPr>
            <w:tcW w:w="1276" w:type="dxa"/>
            <w:tcBorders>
              <w:bottom w:val="single" w:sz="6" w:space="0" w:color="auto"/>
            </w:tcBorders>
          </w:tcPr>
          <w:p w:rsidR="001C7BF9" w:rsidRPr="00C9680B" w:rsidRDefault="001C7BF9">
            <w:pPr>
              <w:pStyle w:val="Lagtext"/>
              <w:jc w:val="left"/>
            </w:pPr>
          </w:p>
        </w:tc>
        <w:tc>
          <w:tcPr>
            <w:tcW w:w="1417" w:type="dxa"/>
            <w:tcBorders>
              <w:bottom w:val="single" w:sz="6" w:space="0" w:color="auto"/>
            </w:tcBorders>
          </w:tcPr>
          <w:p w:rsidR="001C7BF9" w:rsidRPr="00C9680B" w:rsidRDefault="001C7BF9">
            <w:pPr>
              <w:pStyle w:val="Lagtext"/>
              <w:jc w:val="left"/>
            </w:pPr>
          </w:p>
        </w:tc>
        <w:tc>
          <w:tcPr>
            <w:tcW w:w="1053" w:type="dxa"/>
            <w:tcBorders>
              <w:top w:val="single" w:sz="6" w:space="0" w:color="auto"/>
              <w:bottom w:val="single" w:sz="6" w:space="0" w:color="auto"/>
            </w:tcBorders>
          </w:tcPr>
          <w:p w:rsidR="001C7BF9" w:rsidRPr="00C9680B" w:rsidRDefault="001C7BF9">
            <w:pPr>
              <w:pStyle w:val="Lagtext"/>
              <w:jc w:val="left"/>
            </w:pPr>
            <w:r w:rsidRPr="00C9680B">
              <w:t>Energi</w:t>
            </w:r>
            <w:r w:rsidRPr="00C9680B">
              <w:t>s</w:t>
            </w:r>
            <w:r w:rsidRPr="00C9680B">
              <w:t>katt</w:t>
            </w:r>
          </w:p>
        </w:tc>
        <w:tc>
          <w:tcPr>
            <w:tcW w:w="1053" w:type="dxa"/>
            <w:tcBorders>
              <w:top w:val="single" w:sz="6" w:space="0" w:color="auto"/>
              <w:bottom w:val="single" w:sz="6" w:space="0" w:color="auto"/>
            </w:tcBorders>
          </w:tcPr>
          <w:p w:rsidR="001C7BF9" w:rsidRPr="00C9680B" w:rsidRDefault="001C7BF9">
            <w:pPr>
              <w:pStyle w:val="Lagtext"/>
              <w:jc w:val="left"/>
            </w:pPr>
            <w:r w:rsidRPr="00C9680B">
              <w:t>Koldio</w:t>
            </w:r>
            <w:r w:rsidRPr="00C9680B">
              <w:t>x</w:t>
            </w:r>
            <w:r w:rsidRPr="00C9680B">
              <w:t>id</w:t>
            </w:r>
            <w:r w:rsidRPr="00C9680B">
              <w:softHyphen/>
              <w:t>skatt</w:t>
            </w:r>
          </w:p>
        </w:tc>
        <w:tc>
          <w:tcPr>
            <w:tcW w:w="1053" w:type="dxa"/>
            <w:tcBorders>
              <w:top w:val="single" w:sz="6" w:space="0" w:color="auto"/>
              <w:bottom w:val="single" w:sz="6" w:space="0" w:color="auto"/>
            </w:tcBorders>
          </w:tcPr>
          <w:p w:rsidR="001C7BF9" w:rsidRPr="00C9680B" w:rsidRDefault="001C7BF9">
            <w:pPr>
              <w:pStyle w:val="Lagtext"/>
              <w:jc w:val="left"/>
            </w:pPr>
            <w:r w:rsidRPr="00C9680B">
              <w:t>Summa skatt</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1.</w:t>
            </w:r>
          </w:p>
        </w:tc>
        <w:tc>
          <w:tcPr>
            <w:tcW w:w="1276" w:type="dxa"/>
          </w:tcPr>
          <w:p w:rsidR="001C7BF9" w:rsidRPr="00C9680B" w:rsidRDefault="001C7BF9">
            <w:pPr>
              <w:pStyle w:val="Lagtext"/>
              <w:jc w:val="left"/>
            </w:pPr>
            <w:r w:rsidRPr="00C9680B">
              <w:t>2710 00 26,</w:t>
            </w:r>
          </w:p>
          <w:p w:rsidR="001C7BF9" w:rsidRPr="00C9680B" w:rsidRDefault="001C7BF9">
            <w:pPr>
              <w:pStyle w:val="Lagtext"/>
              <w:jc w:val="left"/>
            </w:pPr>
            <w:r w:rsidRPr="00C9680B">
              <w:t>2710 00 27,</w:t>
            </w:r>
          </w:p>
          <w:p w:rsidR="001C7BF9" w:rsidRPr="00C9680B" w:rsidRDefault="001C7BF9">
            <w:pPr>
              <w:pStyle w:val="Lagtext"/>
              <w:jc w:val="left"/>
            </w:pPr>
            <w:r w:rsidRPr="00C9680B">
              <w:t>2710 00 29</w:t>
            </w:r>
          </w:p>
          <w:p w:rsidR="001C7BF9" w:rsidRPr="00C9680B" w:rsidRDefault="001C7BF9">
            <w:pPr>
              <w:pStyle w:val="Lagtext"/>
              <w:jc w:val="left"/>
            </w:pPr>
            <w:r w:rsidRPr="00C9680B">
              <w:t>eller</w:t>
            </w:r>
          </w:p>
          <w:p w:rsidR="001C7BF9" w:rsidRPr="00C9680B" w:rsidRDefault="001C7BF9">
            <w:pPr>
              <w:pStyle w:val="Lagtext"/>
              <w:jc w:val="left"/>
            </w:pPr>
            <w:r w:rsidRPr="00C9680B">
              <w:t>2710 00 32</w:t>
            </w:r>
          </w:p>
        </w:tc>
        <w:tc>
          <w:tcPr>
            <w:tcW w:w="1417" w:type="dxa"/>
          </w:tcPr>
          <w:p w:rsidR="001C7BF9" w:rsidRPr="00C9680B" w:rsidRDefault="001C7BF9">
            <w:pPr>
              <w:pStyle w:val="Lagtext"/>
              <w:jc w:val="left"/>
            </w:pPr>
            <w:r w:rsidRPr="00C9680B">
              <w:t>Bensin som uppfyller krav för</w:t>
            </w: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r>
      <w:tr w:rsidR="00000000" w:rsidRPr="00C9680B">
        <w:tblPrEx>
          <w:tblCellMar>
            <w:top w:w="0" w:type="dxa"/>
            <w:bottom w:w="0" w:type="dxa"/>
          </w:tblCellMar>
        </w:tblPrEx>
        <w:tc>
          <w:tcPr>
            <w:tcW w:w="284" w:type="dxa"/>
          </w:tcPr>
          <w:p w:rsidR="001C7BF9" w:rsidRPr="00C9680B" w:rsidRDefault="001C7BF9">
            <w:pPr>
              <w:pStyle w:val="Lagtext"/>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a) miljöklass 1</w:t>
            </w:r>
          </w:p>
        </w:tc>
        <w:tc>
          <w:tcPr>
            <w:tcW w:w="1053" w:type="dxa"/>
          </w:tcPr>
          <w:p w:rsidR="001C7BF9" w:rsidRPr="00C9680B" w:rsidRDefault="001C7BF9">
            <w:pPr>
              <w:pStyle w:val="Lagtext"/>
              <w:jc w:val="left"/>
            </w:pPr>
            <w:r w:rsidRPr="00C9680B">
              <w:t>3 kr 26 öre per liter</w:t>
            </w:r>
          </w:p>
        </w:tc>
        <w:tc>
          <w:tcPr>
            <w:tcW w:w="1053" w:type="dxa"/>
          </w:tcPr>
          <w:p w:rsidR="001C7BF9" w:rsidRPr="00C9680B" w:rsidRDefault="001C7BF9">
            <w:pPr>
              <w:pStyle w:val="Lagtext"/>
              <w:jc w:val="left"/>
            </w:pPr>
            <w:r w:rsidRPr="00C9680B">
              <w:t>1 kr 24 öre per liter</w:t>
            </w:r>
          </w:p>
        </w:tc>
        <w:tc>
          <w:tcPr>
            <w:tcW w:w="1053" w:type="dxa"/>
          </w:tcPr>
          <w:p w:rsidR="001C7BF9" w:rsidRPr="00C9680B" w:rsidRDefault="001C7BF9">
            <w:pPr>
              <w:pStyle w:val="Lagtext"/>
              <w:jc w:val="left"/>
            </w:pPr>
            <w:r w:rsidRPr="00C9680B">
              <w:t>4 kr 50 öre per liter</w:t>
            </w:r>
          </w:p>
        </w:tc>
      </w:tr>
      <w:tr w:rsidR="00000000" w:rsidRPr="00C9680B">
        <w:tblPrEx>
          <w:tblCellMar>
            <w:top w:w="0" w:type="dxa"/>
            <w:bottom w:w="0" w:type="dxa"/>
          </w:tblCellMar>
        </w:tblPrEx>
        <w:tc>
          <w:tcPr>
            <w:tcW w:w="284" w:type="dxa"/>
          </w:tcPr>
          <w:p w:rsidR="001C7BF9" w:rsidRPr="00C9680B" w:rsidRDefault="001C7BF9">
            <w:pPr>
              <w:pStyle w:val="Lagtext"/>
              <w:rPr>
                <w:sz w:val="18"/>
              </w:rPr>
            </w:pPr>
          </w:p>
        </w:tc>
        <w:tc>
          <w:tcPr>
            <w:tcW w:w="1276" w:type="dxa"/>
          </w:tcPr>
          <w:p w:rsidR="001C7BF9" w:rsidRPr="00C9680B" w:rsidRDefault="001C7BF9">
            <w:pPr>
              <w:pStyle w:val="Lagtext"/>
              <w:jc w:val="left"/>
              <w:rPr>
                <w:sz w:val="18"/>
              </w:rPr>
            </w:pPr>
          </w:p>
        </w:tc>
        <w:tc>
          <w:tcPr>
            <w:tcW w:w="1417" w:type="dxa"/>
          </w:tcPr>
          <w:p w:rsidR="001C7BF9" w:rsidRPr="00C9680B" w:rsidRDefault="001C7BF9">
            <w:pPr>
              <w:pStyle w:val="Lagtext"/>
              <w:jc w:val="left"/>
            </w:pPr>
            <w:r w:rsidRPr="00C9680B">
              <w:rPr>
                <w:sz w:val="18"/>
              </w:rPr>
              <w:t>b) miljöklass 2</w:t>
            </w:r>
          </w:p>
          <w:p w:rsidR="001C7BF9" w:rsidRPr="00C9680B" w:rsidRDefault="001C7BF9">
            <w:pPr>
              <w:pStyle w:val="Lagtext"/>
              <w:jc w:val="left"/>
              <w:rPr>
                <w:sz w:val="18"/>
              </w:rPr>
            </w:pPr>
          </w:p>
        </w:tc>
        <w:tc>
          <w:tcPr>
            <w:tcW w:w="1053" w:type="dxa"/>
          </w:tcPr>
          <w:p w:rsidR="001C7BF9" w:rsidRPr="00C9680B" w:rsidRDefault="001C7BF9">
            <w:pPr>
              <w:pStyle w:val="Lagtext"/>
              <w:jc w:val="left"/>
            </w:pPr>
            <w:r w:rsidRPr="00C9680B">
              <w:rPr>
                <w:sz w:val="18"/>
              </w:rPr>
              <w:t>3 kr 29 öre per liter</w:t>
            </w:r>
          </w:p>
        </w:tc>
        <w:tc>
          <w:tcPr>
            <w:tcW w:w="1053" w:type="dxa"/>
          </w:tcPr>
          <w:p w:rsidR="001C7BF9" w:rsidRPr="00C9680B" w:rsidRDefault="001C7BF9">
            <w:pPr>
              <w:pStyle w:val="Lagtext"/>
              <w:jc w:val="left"/>
            </w:pPr>
            <w:r w:rsidRPr="00C9680B">
              <w:rPr>
                <w:sz w:val="18"/>
              </w:rPr>
              <w:t>1 kr 24 öre per liter</w:t>
            </w:r>
          </w:p>
        </w:tc>
        <w:tc>
          <w:tcPr>
            <w:tcW w:w="1053" w:type="dxa"/>
          </w:tcPr>
          <w:p w:rsidR="001C7BF9" w:rsidRPr="00C9680B" w:rsidRDefault="001C7BF9">
            <w:pPr>
              <w:pStyle w:val="Lagtext"/>
              <w:jc w:val="left"/>
            </w:pPr>
            <w:r w:rsidRPr="00C9680B">
              <w:rPr>
                <w:sz w:val="18"/>
              </w:rPr>
              <w:t>4 kr 53 öre per liter</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2.</w:t>
            </w:r>
          </w:p>
        </w:tc>
        <w:tc>
          <w:tcPr>
            <w:tcW w:w="1276" w:type="dxa"/>
          </w:tcPr>
          <w:p w:rsidR="001C7BF9" w:rsidRPr="00C9680B" w:rsidRDefault="001C7BF9">
            <w:pPr>
              <w:pStyle w:val="Lagtext"/>
              <w:jc w:val="left"/>
            </w:pPr>
            <w:r w:rsidRPr="00C9680B">
              <w:t>2710 00 26,</w:t>
            </w:r>
          </w:p>
          <w:p w:rsidR="001C7BF9" w:rsidRPr="00C9680B" w:rsidRDefault="001C7BF9">
            <w:pPr>
              <w:pStyle w:val="Lagtext"/>
              <w:jc w:val="left"/>
            </w:pPr>
            <w:r w:rsidRPr="00C9680B">
              <w:t>2710 00 34</w:t>
            </w:r>
          </w:p>
          <w:p w:rsidR="001C7BF9" w:rsidRPr="00C9680B" w:rsidRDefault="001C7BF9">
            <w:pPr>
              <w:pStyle w:val="Lagtext"/>
              <w:jc w:val="left"/>
            </w:pPr>
            <w:r w:rsidRPr="00C9680B">
              <w:t>eller</w:t>
            </w:r>
          </w:p>
          <w:p w:rsidR="001C7BF9" w:rsidRPr="00C9680B" w:rsidRDefault="001C7BF9">
            <w:pPr>
              <w:pStyle w:val="Lagtext"/>
              <w:jc w:val="left"/>
            </w:pPr>
            <w:r w:rsidRPr="00C9680B">
              <w:t>2710 00 36</w:t>
            </w:r>
          </w:p>
        </w:tc>
        <w:tc>
          <w:tcPr>
            <w:tcW w:w="1417" w:type="dxa"/>
          </w:tcPr>
          <w:p w:rsidR="001C7BF9" w:rsidRPr="00C9680B" w:rsidRDefault="001C7BF9">
            <w:pPr>
              <w:pStyle w:val="Lagtext"/>
              <w:jc w:val="left"/>
            </w:pPr>
            <w:r w:rsidRPr="00C9680B">
              <w:t>Annan bensin</w:t>
            </w:r>
          </w:p>
          <w:p w:rsidR="001C7BF9" w:rsidRPr="00C9680B" w:rsidRDefault="001C7BF9">
            <w:pPr>
              <w:pStyle w:val="Lagtext"/>
              <w:jc w:val="left"/>
            </w:pPr>
            <w:r w:rsidRPr="00C9680B">
              <w:t>än som avses</w:t>
            </w:r>
          </w:p>
          <w:p w:rsidR="001C7BF9" w:rsidRPr="00C9680B" w:rsidRDefault="001C7BF9">
            <w:pPr>
              <w:pStyle w:val="Lagtext"/>
              <w:jc w:val="left"/>
            </w:pPr>
            <w:r w:rsidRPr="00C9680B">
              <w:t>under 1</w:t>
            </w:r>
          </w:p>
          <w:p w:rsidR="001C7BF9" w:rsidRPr="00C9680B" w:rsidRDefault="001C7BF9">
            <w:pPr>
              <w:pStyle w:val="Lagtext"/>
              <w:jc w:val="left"/>
            </w:pPr>
          </w:p>
        </w:tc>
        <w:tc>
          <w:tcPr>
            <w:tcW w:w="1053" w:type="dxa"/>
          </w:tcPr>
          <w:p w:rsidR="001C7BF9" w:rsidRPr="00C9680B" w:rsidRDefault="001C7BF9">
            <w:pPr>
              <w:pStyle w:val="Lagtext"/>
              <w:jc w:val="left"/>
            </w:pPr>
            <w:r w:rsidRPr="00C9680B">
              <w:t>3 kr 92 öre per liter</w:t>
            </w:r>
          </w:p>
        </w:tc>
        <w:tc>
          <w:tcPr>
            <w:tcW w:w="1053" w:type="dxa"/>
          </w:tcPr>
          <w:p w:rsidR="001C7BF9" w:rsidRPr="00C9680B" w:rsidRDefault="001C7BF9">
            <w:pPr>
              <w:pStyle w:val="Lagtext"/>
              <w:jc w:val="left"/>
            </w:pPr>
            <w:r w:rsidRPr="00C9680B">
              <w:t>1 kr 24 öre per liter</w:t>
            </w:r>
          </w:p>
        </w:tc>
        <w:tc>
          <w:tcPr>
            <w:tcW w:w="1053" w:type="dxa"/>
          </w:tcPr>
          <w:p w:rsidR="001C7BF9" w:rsidRPr="00C9680B" w:rsidRDefault="001C7BF9">
            <w:pPr>
              <w:pStyle w:val="Lagtext"/>
              <w:jc w:val="left"/>
            </w:pPr>
            <w:r w:rsidRPr="00C9680B">
              <w:t>5 kr 16 öre per liter</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3.</w:t>
            </w:r>
          </w:p>
        </w:tc>
        <w:tc>
          <w:tcPr>
            <w:tcW w:w="1276" w:type="dxa"/>
          </w:tcPr>
          <w:p w:rsidR="001C7BF9" w:rsidRPr="00C9680B" w:rsidRDefault="001C7BF9">
            <w:pPr>
              <w:pStyle w:val="Lagtext"/>
              <w:jc w:val="left"/>
            </w:pPr>
            <w:r w:rsidRPr="00C9680B">
              <w:t>2710 00 51,</w:t>
            </w:r>
          </w:p>
          <w:p w:rsidR="001C7BF9" w:rsidRPr="00C9680B" w:rsidRDefault="001C7BF9">
            <w:pPr>
              <w:pStyle w:val="Lagtext"/>
              <w:jc w:val="left"/>
            </w:pPr>
            <w:r w:rsidRPr="00C9680B">
              <w:t>2710 00 55,</w:t>
            </w:r>
          </w:p>
          <w:p w:rsidR="001C7BF9" w:rsidRPr="00C9680B" w:rsidRDefault="001C7BF9">
            <w:pPr>
              <w:pStyle w:val="Lagtext"/>
              <w:jc w:val="left"/>
            </w:pPr>
            <w:r w:rsidRPr="00C9680B">
              <w:t>2710 00 69</w:t>
            </w:r>
          </w:p>
          <w:p w:rsidR="001C7BF9" w:rsidRPr="00C9680B" w:rsidRDefault="001C7BF9">
            <w:pPr>
              <w:pStyle w:val="Lagtext"/>
              <w:jc w:val="left"/>
            </w:pPr>
            <w:r w:rsidRPr="00C9680B">
              <w:t>eller</w:t>
            </w:r>
          </w:p>
          <w:p w:rsidR="001C7BF9" w:rsidRPr="00C9680B" w:rsidRDefault="001C7BF9">
            <w:pPr>
              <w:pStyle w:val="Lagtext"/>
              <w:jc w:val="left"/>
            </w:pPr>
            <w:r w:rsidRPr="00C9680B">
              <w:t>2710 00 74 –</w:t>
            </w:r>
          </w:p>
          <w:p w:rsidR="001C7BF9" w:rsidRPr="00C9680B" w:rsidRDefault="001C7BF9">
            <w:pPr>
              <w:pStyle w:val="Lagtext"/>
              <w:jc w:val="left"/>
            </w:pPr>
            <w:r w:rsidRPr="00C9680B">
              <w:t>2710 00 78</w:t>
            </w:r>
          </w:p>
        </w:tc>
        <w:tc>
          <w:tcPr>
            <w:tcW w:w="1417" w:type="dxa"/>
          </w:tcPr>
          <w:p w:rsidR="001C7BF9" w:rsidRPr="00C9680B" w:rsidRDefault="001C7BF9">
            <w:pPr>
              <w:pStyle w:val="Lagtext"/>
              <w:jc w:val="left"/>
            </w:pPr>
            <w:r w:rsidRPr="00C9680B">
              <w:t xml:space="preserve">Eldningsolja, dieselbrännolja, fotogen, m.m. som </w:t>
            </w: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r>
      <w:tr w:rsidR="00000000" w:rsidRPr="00C9680B">
        <w:tblPrEx>
          <w:tblCellMar>
            <w:top w:w="0" w:type="dxa"/>
            <w:bottom w:w="0" w:type="dxa"/>
          </w:tblCellMar>
        </w:tblPrEx>
        <w:tc>
          <w:tcPr>
            <w:tcW w:w="284" w:type="dxa"/>
          </w:tcPr>
          <w:p w:rsidR="001C7BF9" w:rsidRPr="00C9680B" w:rsidRDefault="001C7BF9">
            <w:pPr>
              <w:pStyle w:val="Lagtext"/>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a) har försetts med märkämnen eller ger mindre än 85 volym</w:t>
            </w:r>
            <w:r w:rsidRPr="00C9680B">
              <w:softHyphen/>
              <w:t>procent destillat vid 350</w:t>
            </w:r>
            <w:r w:rsidRPr="00C9680B">
              <w:rPr>
                <w:vertAlign w:val="superscript"/>
              </w:rPr>
              <w:t>o</w:t>
            </w:r>
            <w:r w:rsidRPr="00C9680B">
              <w:t>C,</w:t>
            </w:r>
          </w:p>
        </w:tc>
        <w:tc>
          <w:tcPr>
            <w:tcW w:w="1053" w:type="dxa"/>
          </w:tcPr>
          <w:p w:rsidR="001C7BF9" w:rsidRPr="00C9680B" w:rsidRDefault="001C7BF9">
            <w:pPr>
              <w:pStyle w:val="Lagtext"/>
              <w:jc w:val="left"/>
            </w:pPr>
            <w:r w:rsidRPr="00C9680B">
              <w:t>688 kr per m</w:t>
            </w:r>
            <w:r w:rsidRPr="00C9680B">
              <w:rPr>
                <w:sz w:val="16"/>
                <w:vertAlign w:val="superscript"/>
              </w:rPr>
              <w:t>3</w:t>
            </w:r>
          </w:p>
        </w:tc>
        <w:tc>
          <w:tcPr>
            <w:tcW w:w="1053" w:type="dxa"/>
          </w:tcPr>
          <w:p w:rsidR="001C7BF9" w:rsidRPr="00C9680B" w:rsidRDefault="001C7BF9">
            <w:pPr>
              <w:pStyle w:val="Lagtext"/>
              <w:jc w:val="left"/>
            </w:pPr>
            <w:r w:rsidRPr="00C9680B">
              <w:t>1 527 kr per m</w:t>
            </w:r>
            <w:r w:rsidRPr="00C9680B">
              <w:rPr>
                <w:sz w:val="16"/>
                <w:vertAlign w:val="superscript"/>
              </w:rPr>
              <w:t>3</w:t>
            </w:r>
          </w:p>
        </w:tc>
        <w:tc>
          <w:tcPr>
            <w:tcW w:w="1053" w:type="dxa"/>
          </w:tcPr>
          <w:p w:rsidR="001C7BF9" w:rsidRPr="00C9680B" w:rsidRDefault="001C7BF9">
            <w:pPr>
              <w:pStyle w:val="Lagtext"/>
              <w:jc w:val="left"/>
            </w:pPr>
            <w:r w:rsidRPr="00C9680B">
              <w:t>2 215 kr per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rPr>
                <w:sz w:val="18"/>
              </w:rPr>
            </w:pPr>
          </w:p>
        </w:tc>
        <w:tc>
          <w:tcPr>
            <w:tcW w:w="1276" w:type="dxa"/>
          </w:tcPr>
          <w:p w:rsidR="001C7BF9" w:rsidRPr="00C9680B" w:rsidRDefault="001C7BF9">
            <w:pPr>
              <w:pStyle w:val="Lagtext"/>
              <w:jc w:val="left"/>
              <w:rPr>
                <w:sz w:val="18"/>
              </w:rPr>
            </w:pPr>
          </w:p>
        </w:tc>
        <w:tc>
          <w:tcPr>
            <w:tcW w:w="1417" w:type="dxa"/>
          </w:tcPr>
          <w:p w:rsidR="001C7BF9" w:rsidRPr="00C9680B" w:rsidRDefault="001C7BF9">
            <w:pPr>
              <w:pStyle w:val="Lagtext"/>
              <w:jc w:val="left"/>
            </w:pPr>
            <w:r w:rsidRPr="00C9680B">
              <w:rPr>
                <w:sz w:val="18"/>
              </w:rPr>
              <w:t>b) inte har för</w:t>
            </w:r>
            <w:r w:rsidRPr="00C9680B">
              <w:rPr>
                <w:sz w:val="18"/>
              </w:rPr>
              <w:softHyphen/>
              <w:t>setts med märk</w:t>
            </w:r>
            <w:r w:rsidRPr="00C9680B">
              <w:rPr>
                <w:sz w:val="18"/>
              </w:rPr>
              <w:softHyphen/>
              <w:t>ämnen och ger minst 85 volym</w:t>
            </w:r>
            <w:r w:rsidRPr="00C9680B">
              <w:rPr>
                <w:sz w:val="18"/>
              </w:rPr>
              <w:softHyphen/>
              <w:t>procent destillat vid 350</w:t>
            </w:r>
            <w:r w:rsidRPr="00C9680B">
              <w:rPr>
                <w:sz w:val="18"/>
                <w:vertAlign w:val="superscript"/>
              </w:rPr>
              <w:t xml:space="preserve">o </w:t>
            </w:r>
            <w:r w:rsidRPr="00C9680B">
              <w:rPr>
                <w:sz w:val="18"/>
              </w:rPr>
              <w:t>C,</w:t>
            </w:r>
          </w:p>
          <w:p w:rsidR="001C7BF9" w:rsidRPr="00C9680B" w:rsidRDefault="001C7BF9">
            <w:pPr>
              <w:pStyle w:val="Lagtext"/>
              <w:jc w:val="left"/>
            </w:pPr>
            <w:r w:rsidRPr="00C9680B">
              <w:rPr>
                <w:sz w:val="18"/>
              </w:rPr>
              <w:t>tillhörig</w:t>
            </w:r>
          </w:p>
        </w:tc>
        <w:tc>
          <w:tcPr>
            <w:tcW w:w="1053"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c>
          <w:tcPr>
            <w:tcW w:w="1053" w:type="dxa"/>
          </w:tcPr>
          <w:p w:rsidR="001C7BF9" w:rsidRPr="00C9680B" w:rsidRDefault="001C7BF9">
            <w:pPr>
              <w:pStyle w:val="Lagtext"/>
              <w:jc w:val="left"/>
              <w:rPr>
                <w:sz w:val="18"/>
              </w:rPr>
            </w:pPr>
          </w:p>
        </w:tc>
      </w:tr>
      <w:tr w:rsidR="00000000" w:rsidRPr="00C9680B">
        <w:tblPrEx>
          <w:tblCellMar>
            <w:top w:w="0" w:type="dxa"/>
            <w:bottom w:w="0" w:type="dxa"/>
          </w:tblCellMar>
        </w:tblPrEx>
        <w:tc>
          <w:tcPr>
            <w:tcW w:w="284" w:type="dxa"/>
          </w:tcPr>
          <w:p w:rsidR="001C7BF9" w:rsidRPr="00C9680B" w:rsidRDefault="001C7BF9">
            <w:pPr>
              <w:pStyle w:val="Lagtext"/>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miljöklass 1</w:t>
            </w:r>
          </w:p>
        </w:tc>
        <w:tc>
          <w:tcPr>
            <w:tcW w:w="1053" w:type="dxa"/>
          </w:tcPr>
          <w:p w:rsidR="001C7BF9" w:rsidRPr="00C9680B" w:rsidRDefault="001C7BF9">
            <w:pPr>
              <w:pStyle w:val="Lagtext"/>
              <w:jc w:val="left"/>
            </w:pPr>
            <w:r w:rsidRPr="00C9680B">
              <w:t>1 512 kr per m</w:t>
            </w:r>
            <w:r w:rsidRPr="00C9680B">
              <w:rPr>
                <w:sz w:val="16"/>
                <w:vertAlign w:val="superscript"/>
              </w:rPr>
              <w:t>3</w:t>
            </w:r>
          </w:p>
        </w:tc>
        <w:tc>
          <w:tcPr>
            <w:tcW w:w="1053" w:type="dxa"/>
          </w:tcPr>
          <w:p w:rsidR="001C7BF9" w:rsidRPr="00C9680B" w:rsidRDefault="001C7BF9">
            <w:pPr>
              <w:pStyle w:val="Lagtext"/>
              <w:jc w:val="left"/>
            </w:pPr>
            <w:r w:rsidRPr="00C9680B">
              <w:t>1 527 kr per m</w:t>
            </w:r>
            <w:r w:rsidRPr="00C9680B">
              <w:rPr>
                <w:sz w:val="16"/>
                <w:vertAlign w:val="superscript"/>
              </w:rPr>
              <w:t>3</w:t>
            </w:r>
          </w:p>
        </w:tc>
        <w:tc>
          <w:tcPr>
            <w:tcW w:w="1053" w:type="dxa"/>
          </w:tcPr>
          <w:p w:rsidR="001C7BF9" w:rsidRPr="00C9680B" w:rsidRDefault="001C7BF9">
            <w:pPr>
              <w:pStyle w:val="Lagtext"/>
              <w:jc w:val="left"/>
            </w:pPr>
            <w:r w:rsidRPr="00C9680B">
              <w:t>3 039 kr per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miljöklass 2</w:t>
            </w:r>
          </w:p>
        </w:tc>
        <w:tc>
          <w:tcPr>
            <w:tcW w:w="1053" w:type="dxa"/>
          </w:tcPr>
          <w:p w:rsidR="001C7BF9" w:rsidRPr="00C9680B" w:rsidRDefault="001C7BF9">
            <w:pPr>
              <w:pStyle w:val="Lagtext"/>
              <w:jc w:val="left"/>
            </w:pPr>
            <w:r w:rsidRPr="00C9680B">
              <w:t>1 739 kr per m</w:t>
            </w:r>
            <w:r w:rsidRPr="00C9680B">
              <w:rPr>
                <w:sz w:val="16"/>
                <w:vertAlign w:val="superscript"/>
              </w:rPr>
              <w:t>3</w:t>
            </w:r>
          </w:p>
        </w:tc>
        <w:tc>
          <w:tcPr>
            <w:tcW w:w="1053" w:type="dxa"/>
          </w:tcPr>
          <w:p w:rsidR="001C7BF9" w:rsidRPr="00C9680B" w:rsidRDefault="001C7BF9">
            <w:pPr>
              <w:pStyle w:val="Lagtext"/>
              <w:jc w:val="left"/>
            </w:pPr>
            <w:r w:rsidRPr="00C9680B">
              <w:t>1 527 kr per m</w:t>
            </w:r>
            <w:r w:rsidRPr="00C9680B">
              <w:rPr>
                <w:sz w:val="16"/>
                <w:vertAlign w:val="superscript"/>
              </w:rPr>
              <w:t>3</w:t>
            </w:r>
          </w:p>
        </w:tc>
        <w:tc>
          <w:tcPr>
            <w:tcW w:w="1053" w:type="dxa"/>
          </w:tcPr>
          <w:p w:rsidR="001C7BF9" w:rsidRPr="00C9680B" w:rsidRDefault="001C7BF9">
            <w:pPr>
              <w:pStyle w:val="Lagtext"/>
              <w:jc w:val="left"/>
            </w:pPr>
            <w:r w:rsidRPr="00C9680B">
              <w:t>3 266 kr per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pPr>
            <w:r w:rsidRPr="00C9680B">
              <w:t>miljöklass 3 eller inte tillhör någon miljö</w:t>
            </w:r>
            <w:r w:rsidRPr="00C9680B">
              <w:softHyphen/>
              <w:t>klass</w:t>
            </w:r>
          </w:p>
        </w:tc>
        <w:tc>
          <w:tcPr>
            <w:tcW w:w="1053" w:type="dxa"/>
          </w:tcPr>
          <w:p w:rsidR="001C7BF9" w:rsidRPr="00C9680B" w:rsidRDefault="001C7BF9">
            <w:pPr>
              <w:pStyle w:val="Lagtext"/>
              <w:jc w:val="left"/>
            </w:pPr>
            <w:r w:rsidRPr="00C9680B">
              <w:t>2 039 kr per m</w:t>
            </w:r>
            <w:r w:rsidRPr="00C9680B">
              <w:rPr>
                <w:sz w:val="16"/>
                <w:vertAlign w:val="superscript"/>
              </w:rPr>
              <w:t>3</w:t>
            </w:r>
            <w:r w:rsidRPr="00C9680B">
              <w:t xml:space="preserve"> </w:t>
            </w:r>
          </w:p>
        </w:tc>
        <w:tc>
          <w:tcPr>
            <w:tcW w:w="1053" w:type="dxa"/>
          </w:tcPr>
          <w:p w:rsidR="001C7BF9" w:rsidRPr="00C9680B" w:rsidRDefault="001C7BF9">
            <w:pPr>
              <w:pStyle w:val="Lagtext"/>
              <w:jc w:val="left"/>
            </w:pPr>
            <w:r w:rsidRPr="00C9680B">
              <w:t>1 527 kr per m</w:t>
            </w:r>
            <w:r w:rsidRPr="00C9680B">
              <w:rPr>
                <w:sz w:val="16"/>
                <w:vertAlign w:val="superscript"/>
              </w:rPr>
              <w:t>3</w:t>
            </w:r>
          </w:p>
        </w:tc>
        <w:tc>
          <w:tcPr>
            <w:tcW w:w="1053" w:type="dxa"/>
          </w:tcPr>
          <w:p w:rsidR="001C7BF9" w:rsidRPr="00C9680B" w:rsidRDefault="001C7BF9">
            <w:pPr>
              <w:pStyle w:val="Lagtext"/>
              <w:jc w:val="left"/>
            </w:pPr>
            <w:r w:rsidRPr="00C9680B">
              <w:t>3 566 kr per m</w:t>
            </w:r>
            <w:r w:rsidRPr="00C9680B">
              <w:rPr>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4.</w:t>
            </w:r>
          </w:p>
        </w:tc>
        <w:tc>
          <w:tcPr>
            <w:tcW w:w="1276" w:type="dxa"/>
          </w:tcPr>
          <w:p w:rsidR="001C7BF9" w:rsidRPr="00C9680B" w:rsidRDefault="001C7BF9">
            <w:pPr>
              <w:pStyle w:val="Lagtext"/>
              <w:jc w:val="left"/>
            </w:pPr>
            <w:r w:rsidRPr="00C9680B">
              <w:t>ur 2711 12 11–2711 19 00</w:t>
            </w:r>
          </w:p>
        </w:tc>
        <w:tc>
          <w:tcPr>
            <w:tcW w:w="1417" w:type="dxa"/>
          </w:tcPr>
          <w:p w:rsidR="001C7BF9" w:rsidRPr="00C9680B" w:rsidRDefault="001C7BF9">
            <w:pPr>
              <w:pStyle w:val="Lagtext"/>
              <w:jc w:val="left"/>
            </w:pPr>
            <w:r w:rsidRPr="00C9680B">
              <w:t xml:space="preserve">Gasol </w:t>
            </w:r>
            <w:r w:rsidRPr="00C9680B">
              <w:rPr>
                <w:i/>
              </w:rPr>
              <w:t>som a</w:t>
            </w:r>
            <w:r w:rsidRPr="00C9680B">
              <w:rPr>
                <w:i/>
              </w:rPr>
              <w:t>n</w:t>
            </w:r>
            <w:r w:rsidRPr="00C9680B">
              <w:rPr>
                <w:i/>
              </w:rPr>
              <w:t xml:space="preserve">vänds för </w:t>
            </w:r>
            <w:r w:rsidRPr="00C9680B">
              <w:t xml:space="preserve"> </w:t>
            </w: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r>
      <w:tr w:rsidR="00000000" w:rsidRPr="00C9680B">
        <w:tblPrEx>
          <w:tblCellMar>
            <w:top w:w="0" w:type="dxa"/>
            <w:bottom w:w="0" w:type="dxa"/>
          </w:tblCellMar>
        </w:tblPrEx>
        <w:tc>
          <w:tcPr>
            <w:tcW w:w="284" w:type="dxa"/>
          </w:tcPr>
          <w:p w:rsidR="001C7BF9" w:rsidRPr="00C9680B" w:rsidRDefault="001C7BF9">
            <w:pPr>
              <w:pStyle w:val="Lagtext"/>
              <w:rPr>
                <w:sz w:val="18"/>
              </w:rPr>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rPr>
                <w:i/>
              </w:rPr>
            </w:pPr>
            <w:r w:rsidRPr="00C9680B">
              <w:rPr>
                <w:i/>
              </w:rPr>
              <w:t>a) drift av m</w:t>
            </w:r>
            <w:r w:rsidRPr="00C9680B">
              <w:rPr>
                <w:i/>
              </w:rPr>
              <w:t>o</w:t>
            </w:r>
            <w:r w:rsidRPr="00C9680B">
              <w:rPr>
                <w:i/>
              </w:rPr>
              <w:t>tordrivet fordon, fartyg eller luftfartyg</w:t>
            </w:r>
          </w:p>
        </w:tc>
        <w:tc>
          <w:tcPr>
            <w:tcW w:w="1053" w:type="dxa"/>
          </w:tcPr>
          <w:p w:rsidR="001C7BF9" w:rsidRPr="00C9680B" w:rsidRDefault="001C7BF9">
            <w:pPr>
              <w:pStyle w:val="Lagtext"/>
              <w:jc w:val="left"/>
              <w:rPr>
                <w:i/>
              </w:rPr>
            </w:pPr>
            <w:r w:rsidRPr="00C9680B">
              <w:rPr>
                <w:i/>
              </w:rPr>
              <w:t>0 kr per 1 000 kg</w:t>
            </w:r>
          </w:p>
        </w:tc>
        <w:tc>
          <w:tcPr>
            <w:tcW w:w="1053" w:type="dxa"/>
          </w:tcPr>
          <w:p w:rsidR="001C7BF9" w:rsidRPr="00C9680B" w:rsidRDefault="001C7BF9">
            <w:pPr>
              <w:pStyle w:val="Lagtext"/>
              <w:jc w:val="left"/>
              <w:rPr>
                <w:i/>
              </w:rPr>
            </w:pPr>
            <w:r w:rsidRPr="00C9680B">
              <w:rPr>
                <w:i/>
              </w:rPr>
              <w:t>1 264 kr per 1 000 kg</w:t>
            </w:r>
          </w:p>
        </w:tc>
        <w:tc>
          <w:tcPr>
            <w:tcW w:w="1053" w:type="dxa"/>
          </w:tcPr>
          <w:p w:rsidR="001C7BF9" w:rsidRPr="00C9680B" w:rsidRDefault="001C7BF9">
            <w:pPr>
              <w:pStyle w:val="Lagtext"/>
              <w:jc w:val="left"/>
              <w:rPr>
                <w:i/>
              </w:rPr>
            </w:pPr>
            <w:r w:rsidRPr="00C9680B">
              <w:rPr>
                <w:i/>
              </w:rPr>
              <w:t>1 264 kr per 1 000 kg</w:t>
            </w:r>
          </w:p>
        </w:tc>
      </w:tr>
      <w:tr w:rsidR="00000000" w:rsidRPr="00C9680B">
        <w:tblPrEx>
          <w:tblCellMar>
            <w:top w:w="0" w:type="dxa"/>
            <w:bottom w:w="0" w:type="dxa"/>
          </w:tblCellMar>
        </w:tblPrEx>
        <w:tc>
          <w:tcPr>
            <w:tcW w:w="284" w:type="dxa"/>
          </w:tcPr>
          <w:p w:rsidR="001C7BF9" w:rsidRPr="00C9680B" w:rsidRDefault="001C7BF9">
            <w:pPr>
              <w:pStyle w:val="Lagtext"/>
              <w:rPr>
                <w:sz w:val="18"/>
              </w:rPr>
            </w:pPr>
          </w:p>
        </w:tc>
        <w:tc>
          <w:tcPr>
            <w:tcW w:w="1276" w:type="dxa"/>
          </w:tcPr>
          <w:p w:rsidR="001C7BF9" w:rsidRPr="00C9680B" w:rsidRDefault="001C7BF9">
            <w:pPr>
              <w:pStyle w:val="Lagtext"/>
              <w:jc w:val="left"/>
              <w:rPr>
                <w:sz w:val="18"/>
              </w:rPr>
            </w:pPr>
          </w:p>
        </w:tc>
        <w:tc>
          <w:tcPr>
            <w:tcW w:w="1417" w:type="dxa"/>
          </w:tcPr>
          <w:p w:rsidR="001C7BF9" w:rsidRPr="00C9680B" w:rsidRDefault="001C7BF9">
            <w:pPr>
              <w:pStyle w:val="Lagtext"/>
              <w:jc w:val="left"/>
              <w:rPr>
                <w:i/>
                <w:sz w:val="18"/>
              </w:rPr>
            </w:pPr>
            <w:r w:rsidRPr="00C9680B">
              <w:rPr>
                <w:i/>
                <w:sz w:val="18"/>
              </w:rPr>
              <w:t>b) annat ända</w:t>
            </w:r>
            <w:r w:rsidRPr="00C9680B">
              <w:rPr>
                <w:i/>
                <w:sz w:val="18"/>
              </w:rPr>
              <w:softHyphen/>
              <w:t xml:space="preserve">mål än som avses under a  </w:t>
            </w:r>
          </w:p>
        </w:tc>
        <w:tc>
          <w:tcPr>
            <w:tcW w:w="1053" w:type="dxa"/>
          </w:tcPr>
          <w:p w:rsidR="001C7BF9" w:rsidRPr="00C9680B" w:rsidRDefault="001C7BF9">
            <w:pPr>
              <w:pStyle w:val="Lagtext"/>
              <w:jc w:val="left"/>
              <w:rPr>
                <w:i/>
                <w:sz w:val="18"/>
              </w:rPr>
            </w:pPr>
            <w:r w:rsidRPr="00C9680B">
              <w:rPr>
                <w:i/>
              </w:rPr>
              <w:t>134 kr per 1 000 kg</w:t>
            </w:r>
          </w:p>
        </w:tc>
        <w:tc>
          <w:tcPr>
            <w:tcW w:w="1053" w:type="dxa"/>
          </w:tcPr>
          <w:p w:rsidR="001C7BF9" w:rsidRPr="00C9680B" w:rsidRDefault="001C7BF9">
            <w:pPr>
              <w:pStyle w:val="Lagtext"/>
              <w:jc w:val="left"/>
              <w:rPr>
                <w:i/>
                <w:sz w:val="18"/>
              </w:rPr>
            </w:pPr>
            <w:r w:rsidRPr="00C9680B">
              <w:rPr>
                <w:i/>
              </w:rPr>
              <w:t>1 606 kr per 1 000 kg</w:t>
            </w:r>
          </w:p>
        </w:tc>
        <w:tc>
          <w:tcPr>
            <w:tcW w:w="1053" w:type="dxa"/>
          </w:tcPr>
          <w:p w:rsidR="001C7BF9" w:rsidRPr="00C9680B" w:rsidRDefault="001C7BF9">
            <w:pPr>
              <w:pStyle w:val="Lagtext"/>
              <w:jc w:val="left"/>
              <w:rPr>
                <w:i/>
                <w:sz w:val="18"/>
              </w:rPr>
            </w:pPr>
            <w:r w:rsidRPr="00C9680B">
              <w:rPr>
                <w:i/>
              </w:rPr>
              <w:t>1 740 kr per 1 000 kg</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5.</w:t>
            </w:r>
          </w:p>
        </w:tc>
        <w:tc>
          <w:tcPr>
            <w:tcW w:w="1276" w:type="dxa"/>
          </w:tcPr>
          <w:p w:rsidR="001C7BF9" w:rsidRPr="00C9680B" w:rsidRDefault="001C7BF9">
            <w:pPr>
              <w:pStyle w:val="Lagtext"/>
              <w:jc w:val="left"/>
            </w:pPr>
            <w:r w:rsidRPr="00C9680B">
              <w:t>ur 2711 29 00</w:t>
            </w:r>
          </w:p>
        </w:tc>
        <w:tc>
          <w:tcPr>
            <w:tcW w:w="1417" w:type="dxa"/>
          </w:tcPr>
          <w:p w:rsidR="001C7BF9" w:rsidRPr="00C9680B" w:rsidRDefault="001C7BF9">
            <w:pPr>
              <w:pStyle w:val="Lagtext"/>
              <w:jc w:val="left"/>
            </w:pPr>
            <w:r w:rsidRPr="00C9680B">
              <w:t xml:space="preserve">Metan </w:t>
            </w:r>
            <w:r w:rsidRPr="00C9680B">
              <w:rPr>
                <w:i/>
              </w:rPr>
              <w:t>som används för</w:t>
            </w:r>
            <w:r w:rsidRPr="00C9680B">
              <w:t xml:space="preserve"> </w:t>
            </w: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r>
      <w:tr w:rsidR="00000000" w:rsidRPr="00C9680B">
        <w:tblPrEx>
          <w:tblCellMar>
            <w:top w:w="0" w:type="dxa"/>
            <w:bottom w:w="0" w:type="dxa"/>
          </w:tblCellMar>
        </w:tblPrEx>
        <w:tc>
          <w:tcPr>
            <w:tcW w:w="284" w:type="dxa"/>
          </w:tcPr>
          <w:p w:rsidR="001C7BF9" w:rsidRPr="00C9680B" w:rsidRDefault="001C7BF9">
            <w:pPr>
              <w:pStyle w:val="Lagtext"/>
              <w:rPr>
                <w:sz w:val="18"/>
              </w:rPr>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rPr>
                <w:i/>
              </w:rPr>
            </w:pPr>
            <w:r w:rsidRPr="00C9680B">
              <w:rPr>
                <w:i/>
              </w:rPr>
              <w:t>a) drift av m</w:t>
            </w:r>
            <w:r w:rsidRPr="00C9680B">
              <w:rPr>
                <w:i/>
              </w:rPr>
              <w:t>o</w:t>
            </w:r>
            <w:r w:rsidRPr="00C9680B">
              <w:rPr>
                <w:i/>
              </w:rPr>
              <w:t>tor</w:t>
            </w:r>
            <w:r w:rsidRPr="00C9680B">
              <w:rPr>
                <w:i/>
              </w:rPr>
              <w:softHyphen/>
            </w:r>
            <w:r w:rsidRPr="00C9680B">
              <w:rPr>
                <w:i/>
              </w:rPr>
              <w:softHyphen/>
              <w:t>drivet fordon, fartyg eller luftfartyg</w:t>
            </w:r>
          </w:p>
        </w:tc>
        <w:tc>
          <w:tcPr>
            <w:tcW w:w="1053" w:type="dxa"/>
          </w:tcPr>
          <w:p w:rsidR="001C7BF9" w:rsidRPr="00C9680B" w:rsidRDefault="001C7BF9">
            <w:pPr>
              <w:pStyle w:val="Lagtext"/>
              <w:jc w:val="left"/>
              <w:rPr>
                <w:i/>
              </w:rPr>
            </w:pPr>
            <w:r w:rsidRPr="00C9680B">
              <w:rPr>
                <w:i/>
              </w:rPr>
              <w:t>0 kr per 1 000 m</w:t>
            </w:r>
            <w:r w:rsidRPr="00C9680B">
              <w:rPr>
                <w:i/>
                <w:sz w:val="16"/>
                <w:vertAlign w:val="superscript"/>
              </w:rPr>
              <w:t>3</w:t>
            </w:r>
          </w:p>
        </w:tc>
        <w:tc>
          <w:tcPr>
            <w:tcW w:w="1053" w:type="dxa"/>
          </w:tcPr>
          <w:p w:rsidR="001C7BF9" w:rsidRPr="00C9680B" w:rsidRDefault="001C7BF9">
            <w:pPr>
              <w:pStyle w:val="Lagtext"/>
              <w:jc w:val="left"/>
              <w:rPr>
                <w:i/>
              </w:rPr>
            </w:pPr>
            <w:r w:rsidRPr="00C9680B">
              <w:rPr>
                <w:i/>
              </w:rPr>
              <w:t>1 039 kr per 1 000 m</w:t>
            </w:r>
            <w:r w:rsidRPr="00C9680B">
              <w:rPr>
                <w:i/>
                <w:sz w:val="16"/>
                <w:vertAlign w:val="superscript"/>
              </w:rPr>
              <w:t>3</w:t>
            </w:r>
          </w:p>
        </w:tc>
        <w:tc>
          <w:tcPr>
            <w:tcW w:w="1053" w:type="dxa"/>
          </w:tcPr>
          <w:p w:rsidR="001C7BF9" w:rsidRPr="00C9680B" w:rsidRDefault="001C7BF9">
            <w:pPr>
              <w:pStyle w:val="Lagtext"/>
              <w:jc w:val="left"/>
              <w:rPr>
                <w:i/>
              </w:rPr>
            </w:pPr>
            <w:r w:rsidRPr="00C9680B">
              <w:rPr>
                <w:i/>
              </w:rPr>
              <w:t>1 039 kr per 1 000 m</w:t>
            </w:r>
            <w:r w:rsidRPr="00C9680B">
              <w:rPr>
                <w:i/>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rPr>
                <w:sz w:val="18"/>
              </w:rPr>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rPr>
                <w:i/>
                <w:sz w:val="18"/>
              </w:rPr>
            </w:pPr>
            <w:r w:rsidRPr="00C9680B">
              <w:rPr>
                <w:i/>
                <w:sz w:val="18"/>
              </w:rPr>
              <w:t>b) annat ända</w:t>
            </w:r>
            <w:r w:rsidRPr="00C9680B">
              <w:rPr>
                <w:i/>
                <w:sz w:val="18"/>
              </w:rPr>
              <w:softHyphen/>
              <w:t xml:space="preserve">mål än som avses under a  </w:t>
            </w:r>
          </w:p>
        </w:tc>
        <w:tc>
          <w:tcPr>
            <w:tcW w:w="1053" w:type="dxa"/>
          </w:tcPr>
          <w:p w:rsidR="001C7BF9" w:rsidRPr="00C9680B" w:rsidRDefault="001C7BF9">
            <w:pPr>
              <w:pStyle w:val="Lagtext"/>
              <w:jc w:val="left"/>
              <w:rPr>
                <w:i/>
              </w:rPr>
            </w:pPr>
            <w:r w:rsidRPr="00C9680B">
              <w:rPr>
                <w:i/>
              </w:rPr>
              <w:t>223 kr per 1 000 m</w:t>
            </w:r>
            <w:r w:rsidRPr="00C9680B">
              <w:rPr>
                <w:i/>
                <w:sz w:val="16"/>
                <w:vertAlign w:val="superscript"/>
              </w:rPr>
              <w:t>3</w:t>
            </w:r>
          </w:p>
        </w:tc>
        <w:tc>
          <w:tcPr>
            <w:tcW w:w="1053" w:type="dxa"/>
          </w:tcPr>
          <w:p w:rsidR="001C7BF9" w:rsidRPr="00C9680B" w:rsidRDefault="001C7BF9">
            <w:pPr>
              <w:pStyle w:val="Lagtext"/>
              <w:jc w:val="left"/>
              <w:rPr>
                <w:i/>
              </w:rPr>
            </w:pPr>
            <w:r w:rsidRPr="00C9680B">
              <w:rPr>
                <w:i/>
              </w:rPr>
              <w:t>1 144 kr per 1 000 m</w:t>
            </w:r>
            <w:r w:rsidRPr="00C9680B">
              <w:rPr>
                <w:i/>
                <w:sz w:val="16"/>
                <w:vertAlign w:val="superscript"/>
              </w:rPr>
              <w:t>3</w:t>
            </w:r>
          </w:p>
        </w:tc>
        <w:tc>
          <w:tcPr>
            <w:tcW w:w="1053" w:type="dxa"/>
          </w:tcPr>
          <w:p w:rsidR="001C7BF9" w:rsidRPr="00C9680B" w:rsidRDefault="001C7BF9">
            <w:pPr>
              <w:pStyle w:val="Lagtext"/>
              <w:jc w:val="left"/>
              <w:rPr>
                <w:i/>
              </w:rPr>
            </w:pPr>
            <w:r w:rsidRPr="00C9680B">
              <w:rPr>
                <w:i/>
              </w:rPr>
              <w:t>1 367 kr per 1 000 m</w:t>
            </w:r>
            <w:r w:rsidRPr="00C9680B">
              <w:rPr>
                <w:i/>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6.</w:t>
            </w:r>
          </w:p>
        </w:tc>
        <w:tc>
          <w:tcPr>
            <w:tcW w:w="1276" w:type="dxa"/>
          </w:tcPr>
          <w:p w:rsidR="001C7BF9" w:rsidRPr="00C9680B" w:rsidRDefault="001C7BF9">
            <w:pPr>
              <w:pStyle w:val="Lagtext"/>
              <w:jc w:val="left"/>
            </w:pPr>
            <w:r w:rsidRPr="00C9680B">
              <w:t>2711 11 00, 2711 21 00</w:t>
            </w:r>
          </w:p>
        </w:tc>
        <w:tc>
          <w:tcPr>
            <w:tcW w:w="1417" w:type="dxa"/>
          </w:tcPr>
          <w:p w:rsidR="001C7BF9" w:rsidRPr="00C9680B" w:rsidRDefault="001C7BF9">
            <w:pPr>
              <w:pStyle w:val="Lagtext"/>
              <w:jc w:val="left"/>
              <w:rPr>
                <w:i/>
              </w:rPr>
            </w:pPr>
            <w:r w:rsidRPr="00C9680B">
              <w:t xml:space="preserve">Naturgas </w:t>
            </w:r>
            <w:r w:rsidRPr="00C9680B">
              <w:rPr>
                <w:i/>
              </w:rPr>
              <w:t>som används för</w:t>
            </w: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c>
          <w:tcPr>
            <w:tcW w:w="1053" w:type="dxa"/>
          </w:tcPr>
          <w:p w:rsidR="001C7BF9" w:rsidRPr="00C9680B" w:rsidRDefault="001C7BF9">
            <w:pPr>
              <w:pStyle w:val="Lagtext"/>
              <w:jc w:val="left"/>
            </w:pPr>
          </w:p>
        </w:tc>
      </w:tr>
      <w:tr w:rsidR="00000000" w:rsidRPr="00C9680B">
        <w:tblPrEx>
          <w:tblCellMar>
            <w:top w:w="0" w:type="dxa"/>
            <w:bottom w:w="0" w:type="dxa"/>
          </w:tblCellMar>
        </w:tblPrEx>
        <w:tc>
          <w:tcPr>
            <w:tcW w:w="284" w:type="dxa"/>
          </w:tcPr>
          <w:p w:rsidR="001C7BF9" w:rsidRPr="00C9680B" w:rsidRDefault="001C7BF9">
            <w:pPr>
              <w:pStyle w:val="Lagtext"/>
              <w:rPr>
                <w:sz w:val="18"/>
              </w:rPr>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rPr>
                <w:i/>
              </w:rPr>
            </w:pPr>
            <w:r w:rsidRPr="00C9680B">
              <w:rPr>
                <w:i/>
              </w:rPr>
              <w:t>a) drift av m</w:t>
            </w:r>
            <w:r w:rsidRPr="00C9680B">
              <w:rPr>
                <w:i/>
              </w:rPr>
              <w:t>o</w:t>
            </w:r>
            <w:r w:rsidRPr="00C9680B">
              <w:rPr>
                <w:i/>
              </w:rPr>
              <w:t>tor</w:t>
            </w:r>
            <w:r w:rsidRPr="00C9680B">
              <w:rPr>
                <w:i/>
              </w:rPr>
              <w:softHyphen/>
            </w:r>
            <w:r w:rsidRPr="00C9680B">
              <w:rPr>
                <w:i/>
              </w:rPr>
              <w:softHyphen/>
              <w:t>drivet fordon, fartyg eller luftfartyg</w:t>
            </w:r>
          </w:p>
        </w:tc>
        <w:tc>
          <w:tcPr>
            <w:tcW w:w="1053" w:type="dxa"/>
          </w:tcPr>
          <w:p w:rsidR="001C7BF9" w:rsidRPr="00C9680B" w:rsidRDefault="001C7BF9">
            <w:pPr>
              <w:pStyle w:val="Lagtext"/>
              <w:jc w:val="left"/>
              <w:rPr>
                <w:i/>
              </w:rPr>
            </w:pPr>
            <w:r w:rsidRPr="00C9680B">
              <w:rPr>
                <w:i/>
              </w:rPr>
              <w:t>0 kr per 1 000 m</w:t>
            </w:r>
            <w:r w:rsidRPr="00C9680B">
              <w:rPr>
                <w:i/>
                <w:sz w:val="16"/>
                <w:vertAlign w:val="superscript"/>
              </w:rPr>
              <w:t>3</w:t>
            </w:r>
          </w:p>
        </w:tc>
        <w:tc>
          <w:tcPr>
            <w:tcW w:w="1053" w:type="dxa"/>
          </w:tcPr>
          <w:p w:rsidR="001C7BF9" w:rsidRPr="00C9680B" w:rsidRDefault="001C7BF9">
            <w:pPr>
              <w:pStyle w:val="Lagtext"/>
              <w:jc w:val="left"/>
              <w:rPr>
                <w:i/>
              </w:rPr>
            </w:pPr>
            <w:r w:rsidRPr="00C9680B">
              <w:rPr>
                <w:i/>
              </w:rPr>
              <w:t>1 039 kr per 1 000 m</w:t>
            </w:r>
            <w:r w:rsidRPr="00C9680B">
              <w:rPr>
                <w:i/>
                <w:sz w:val="16"/>
                <w:vertAlign w:val="superscript"/>
              </w:rPr>
              <w:t>3</w:t>
            </w:r>
          </w:p>
        </w:tc>
        <w:tc>
          <w:tcPr>
            <w:tcW w:w="1053" w:type="dxa"/>
          </w:tcPr>
          <w:p w:rsidR="001C7BF9" w:rsidRPr="00C9680B" w:rsidRDefault="001C7BF9">
            <w:pPr>
              <w:pStyle w:val="Lagtext"/>
              <w:jc w:val="left"/>
              <w:rPr>
                <w:i/>
              </w:rPr>
            </w:pPr>
            <w:r w:rsidRPr="00C9680B">
              <w:rPr>
                <w:i/>
              </w:rPr>
              <w:t>1 039 kr per 1 000 m</w:t>
            </w:r>
            <w:r w:rsidRPr="00C9680B">
              <w:rPr>
                <w:i/>
                <w:sz w:val="16"/>
                <w:vertAlign w:val="superscript"/>
              </w:rPr>
              <w:t>3</w:t>
            </w:r>
          </w:p>
        </w:tc>
      </w:tr>
      <w:tr w:rsidR="00000000" w:rsidRPr="00C9680B">
        <w:tblPrEx>
          <w:tblCellMar>
            <w:top w:w="0" w:type="dxa"/>
            <w:bottom w:w="0" w:type="dxa"/>
          </w:tblCellMar>
        </w:tblPrEx>
        <w:tc>
          <w:tcPr>
            <w:tcW w:w="284" w:type="dxa"/>
          </w:tcPr>
          <w:p w:rsidR="001C7BF9" w:rsidRPr="00C9680B" w:rsidRDefault="001C7BF9">
            <w:pPr>
              <w:pStyle w:val="Lagtext"/>
              <w:rPr>
                <w:sz w:val="18"/>
              </w:rPr>
            </w:pPr>
          </w:p>
        </w:tc>
        <w:tc>
          <w:tcPr>
            <w:tcW w:w="1276" w:type="dxa"/>
          </w:tcPr>
          <w:p w:rsidR="001C7BF9" w:rsidRPr="00C9680B" w:rsidRDefault="001C7BF9">
            <w:pPr>
              <w:pStyle w:val="Lagtext"/>
              <w:jc w:val="left"/>
            </w:pPr>
          </w:p>
        </w:tc>
        <w:tc>
          <w:tcPr>
            <w:tcW w:w="1417" w:type="dxa"/>
          </w:tcPr>
          <w:p w:rsidR="001C7BF9" w:rsidRPr="00C9680B" w:rsidRDefault="001C7BF9">
            <w:pPr>
              <w:pStyle w:val="Lagtext"/>
              <w:jc w:val="left"/>
              <w:rPr>
                <w:i/>
                <w:sz w:val="18"/>
              </w:rPr>
            </w:pPr>
            <w:r w:rsidRPr="00C9680B">
              <w:rPr>
                <w:i/>
                <w:sz w:val="18"/>
              </w:rPr>
              <w:t>b) annat ända</w:t>
            </w:r>
            <w:r w:rsidRPr="00C9680B">
              <w:rPr>
                <w:i/>
                <w:sz w:val="18"/>
              </w:rPr>
              <w:softHyphen/>
              <w:t xml:space="preserve">mål än som avses under a  </w:t>
            </w:r>
          </w:p>
        </w:tc>
        <w:tc>
          <w:tcPr>
            <w:tcW w:w="1053" w:type="dxa"/>
          </w:tcPr>
          <w:p w:rsidR="001C7BF9" w:rsidRPr="00C9680B" w:rsidRDefault="001C7BF9">
            <w:pPr>
              <w:pStyle w:val="Lagtext"/>
              <w:jc w:val="left"/>
              <w:rPr>
                <w:i/>
              </w:rPr>
            </w:pPr>
            <w:r w:rsidRPr="00C9680B">
              <w:rPr>
                <w:i/>
              </w:rPr>
              <w:t>223 kr per 1 000 m</w:t>
            </w:r>
            <w:r w:rsidRPr="00C9680B">
              <w:rPr>
                <w:i/>
                <w:sz w:val="16"/>
                <w:vertAlign w:val="superscript"/>
              </w:rPr>
              <w:t>3</w:t>
            </w:r>
          </w:p>
        </w:tc>
        <w:tc>
          <w:tcPr>
            <w:tcW w:w="1053" w:type="dxa"/>
          </w:tcPr>
          <w:p w:rsidR="001C7BF9" w:rsidRPr="00C9680B" w:rsidRDefault="001C7BF9">
            <w:pPr>
              <w:pStyle w:val="Lagtext"/>
              <w:jc w:val="left"/>
              <w:rPr>
                <w:i/>
              </w:rPr>
            </w:pPr>
            <w:r w:rsidRPr="00C9680B">
              <w:rPr>
                <w:i/>
              </w:rPr>
              <w:t>1 144 kr per 1 000 m</w:t>
            </w:r>
            <w:r w:rsidRPr="00C9680B">
              <w:rPr>
                <w:i/>
                <w:sz w:val="16"/>
                <w:vertAlign w:val="superscript"/>
              </w:rPr>
              <w:t>3</w:t>
            </w:r>
          </w:p>
        </w:tc>
        <w:tc>
          <w:tcPr>
            <w:tcW w:w="1053" w:type="dxa"/>
          </w:tcPr>
          <w:p w:rsidR="001C7BF9" w:rsidRPr="00C9680B" w:rsidRDefault="001C7BF9">
            <w:pPr>
              <w:pStyle w:val="Lagtext"/>
              <w:jc w:val="left"/>
              <w:rPr>
                <w:i/>
              </w:rPr>
            </w:pPr>
            <w:r w:rsidRPr="00C9680B">
              <w:rPr>
                <w:i/>
              </w:rPr>
              <w:t>1 367 kr per 1 000 m</w:t>
            </w:r>
            <w:r w:rsidRPr="00C9680B">
              <w:rPr>
                <w:i/>
                <w:sz w:val="16"/>
                <w:vertAlign w:val="superscript"/>
              </w:rPr>
              <w:t>3</w:t>
            </w:r>
          </w:p>
        </w:tc>
      </w:tr>
    </w:tbl>
    <w:p w:rsidR="001C7BF9" w:rsidRPr="00C9680B" w:rsidRDefault="001C7BF9"/>
    <w:p w:rsidR="001C7BF9" w:rsidRPr="00C9680B" w:rsidRDefault="001C7BF9">
      <w:pPr>
        <w:pStyle w:val="Normaltindrag"/>
      </w:pPr>
    </w:p>
    <w:tbl>
      <w:tblPr>
        <w:tblW w:w="0" w:type="auto"/>
        <w:tblInd w:w="-142" w:type="dxa"/>
        <w:tblLayout w:type="fixed"/>
        <w:tblCellMar>
          <w:left w:w="70" w:type="dxa"/>
          <w:right w:w="70" w:type="dxa"/>
        </w:tblCellMar>
        <w:tblLook w:val="0000" w:firstRow="0" w:lastRow="0" w:firstColumn="0" w:lastColumn="0" w:noHBand="0" w:noVBand="0"/>
      </w:tblPr>
      <w:tblGrid>
        <w:gridCol w:w="284"/>
        <w:gridCol w:w="1276"/>
        <w:gridCol w:w="1417"/>
        <w:gridCol w:w="1053"/>
        <w:gridCol w:w="1053"/>
        <w:gridCol w:w="1053"/>
      </w:tblGrid>
      <w:tr w:rsidR="00000000" w:rsidRPr="00C9680B">
        <w:tblPrEx>
          <w:tblCellMar>
            <w:top w:w="0" w:type="dxa"/>
            <w:bottom w:w="0" w:type="dxa"/>
          </w:tblCellMar>
        </w:tblPrEx>
        <w:tc>
          <w:tcPr>
            <w:tcW w:w="284" w:type="dxa"/>
          </w:tcPr>
          <w:p w:rsidR="001C7BF9" w:rsidRPr="00C9680B" w:rsidRDefault="001C7BF9">
            <w:pPr>
              <w:pStyle w:val="Lagtext"/>
            </w:pPr>
            <w:r w:rsidRPr="00C9680B">
              <w:rPr>
                <w:sz w:val="18"/>
              </w:rPr>
              <w:t>7.</w:t>
            </w:r>
          </w:p>
        </w:tc>
        <w:tc>
          <w:tcPr>
            <w:tcW w:w="1276" w:type="dxa"/>
          </w:tcPr>
          <w:p w:rsidR="001C7BF9" w:rsidRPr="00C9680B" w:rsidRDefault="001C7BF9">
            <w:pPr>
              <w:pStyle w:val="Lagtext"/>
              <w:jc w:val="left"/>
            </w:pPr>
            <w:r w:rsidRPr="00C9680B">
              <w:t>2701, 2702 eller 2704</w:t>
            </w:r>
          </w:p>
        </w:tc>
        <w:tc>
          <w:tcPr>
            <w:tcW w:w="1417" w:type="dxa"/>
          </w:tcPr>
          <w:p w:rsidR="001C7BF9" w:rsidRPr="00C9680B" w:rsidRDefault="001C7BF9">
            <w:pPr>
              <w:pStyle w:val="Lagtext"/>
              <w:jc w:val="left"/>
            </w:pPr>
            <w:r w:rsidRPr="00C9680B">
              <w:t>Kolbränslen</w:t>
            </w:r>
          </w:p>
        </w:tc>
        <w:tc>
          <w:tcPr>
            <w:tcW w:w="1053" w:type="dxa"/>
          </w:tcPr>
          <w:p w:rsidR="001C7BF9" w:rsidRPr="00C9680B" w:rsidRDefault="001C7BF9">
            <w:pPr>
              <w:pStyle w:val="Lagtext"/>
              <w:jc w:val="left"/>
            </w:pPr>
            <w:r w:rsidRPr="00C9680B">
              <w:t>293 kr per 1 000 kg</w:t>
            </w:r>
          </w:p>
        </w:tc>
        <w:tc>
          <w:tcPr>
            <w:tcW w:w="1053" w:type="dxa"/>
          </w:tcPr>
          <w:p w:rsidR="001C7BF9" w:rsidRPr="00C9680B" w:rsidRDefault="001C7BF9">
            <w:pPr>
              <w:pStyle w:val="Lagtext"/>
              <w:jc w:val="left"/>
            </w:pPr>
            <w:r w:rsidRPr="00C9680B">
              <w:t>1 329 kr per 1 000 kg</w:t>
            </w:r>
          </w:p>
        </w:tc>
        <w:tc>
          <w:tcPr>
            <w:tcW w:w="1053" w:type="dxa"/>
          </w:tcPr>
          <w:p w:rsidR="001C7BF9" w:rsidRPr="00C9680B" w:rsidRDefault="001C7BF9">
            <w:pPr>
              <w:pStyle w:val="Lagtext"/>
              <w:jc w:val="left"/>
            </w:pPr>
            <w:r w:rsidRPr="00C9680B">
              <w:t>1 622 kr per 1 000 kg</w:t>
            </w:r>
          </w:p>
        </w:tc>
      </w:tr>
      <w:tr w:rsidR="00000000" w:rsidRPr="00C9680B">
        <w:tblPrEx>
          <w:tblCellMar>
            <w:top w:w="0" w:type="dxa"/>
            <w:bottom w:w="0" w:type="dxa"/>
          </w:tblCellMar>
        </w:tblPrEx>
        <w:tc>
          <w:tcPr>
            <w:tcW w:w="284" w:type="dxa"/>
            <w:tcBorders>
              <w:bottom w:val="single" w:sz="6" w:space="0" w:color="auto"/>
            </w:tcBorders>
          </w:tcPr>
          <w:p w:rsidR="001C7BF9" w:rsidRPr="00C9680B" w:rsidRDefault="001C7BF9">
            <w:pPr>
              <w:pStyle w:val="Lagtext"/>
            </w:pPr>
            <w:r w:rsidRPr="00C9680B">
              <w:rPr>
                <w:sz w:val="18"/>
              </w:rPr>
              <w:t>8.</w:t>
            </w:r>
          </w:p>
        </w:tc>
        <w:tc>
          <w:tcPr>
            <w:tcW w:w="1276" w:type="dxa"/>
            <w:tcBorders>
              <w:bottom w:val="single" w:sz="6" w:space="0" w:color="auto"/>
            </w:tcBorders>
          </w:tcPr>
          <w:p w:rsidR="001C7BF9" w:rsidRPr="00C9680B" w:rsidRDefault="001C7BF9">
            <w:pPr>
              <w:pStyle w:val="Lagtext"/>
              <w:jc w:val="left"/>
            </w:pPr>
            <w:r w:rsidRPr="00C9680B">
              <w:t>2713 11 00–2713 12 00</w:t>
            </w:r>
          </w:p>
        </w:tc>
        <w:tc>
          <w:tcPr>
            <w:tcW w:w="1417" w:type="dxa"/>
            <w:tcBorders>
              <w:bottom w:val="single" w:sz="6" w:space="0" w:color="auto"/>
            </w:tcBorders>
          </w:tcPr>
          <w:p w:rsidR="001C7BF9" w:rsidRPr="00C9680B" w:rsidRDefault="001C7BF9">
            <w:pPr>
              <w:pStyle w:val="Lagtext"/>
              <w:jc w:val="left"/>
            </w:pPr>
            <w:r w:rsidRPr="00C9680B">
              <w:t>Petroleu</w:t>
            </w:r>
            <w:r w:rsidRPr="00C9680B">
              <w:t>m</w:t>
            </w:r>
            <w:r w:rsidRPr="00C9680B">
              <w:t>koks</w:t>
            </w:r>
          </w:p>
        </w:tc>
        <w:tc>
          <w:tcPr>
            <w:tcW w:w="1053" w:type="dxa"/>
            <w:tcBorders>
              <w:bottom w:val="single" w:sz="6" w:space="0" w:color="auto"/>
            </w:tcBorders>
          </w:tcPr>
          <w:p w:rsidR="001C7BF9" w:rsidRPr="00C9680B" w:rsidRDefault="001C7BF9">
            <w:pPr>
              <w:pStyle w:val="Lagtext"/>
              <w:jc w:val="left"/>
            </w:pPr>
            <w:r w:rsidRPr="00C9680B">
              <w:t>293 kr per 1 000 kg</w:t>
            </w:r>
          </w:p>
        </w:tc>
        <w:tc>
          <w:tcPr>
            <w:tcW w:w="1053" w:type="dxa"/>
            <w:tcBorders>
              <w:bottom w:val="single" w:sz="6" w:space="0" w:color="auto"/>
            </w:tcBorders>
          </w:tcPr>
          <w:p w:rsidR="001C7BF9" w:rsidRPr="00C9680B" w:rsidRDefault="001C7BF9">
            <w:pPr>
              <w:pStyle w:val="Lagtext"/>
              <w:jc w:val="left"/>
            </w:pPr>
            <w:r w:rsidRPr="00C9680B">
              <w:t>1 329 kr per 1 000 kg</w:t>
            </w:r>
          </w:p>
        </w:tc>
        <w:tc>
          <w:tcPr>
            <w:tcW w:w="1053" w:type="dxa"/>
            <w:tcBorders>
              <w:bottom w:val="single" w:sz="6" w:space="0" w:color="auto"/>
            </w:tcBorders>
          </w:tcPr>
          <w:p w:rsidR="001C7BF9" w:rsidRPr="00C9680B" w:rsidRDefault="001C7BF9">
            <w:pPr>
              <w:pStyle w:val="Lagtext"/>
              <w:jc w:val="left"/>
            </w:pPr>
            <w:r w:rsidRPr="00C9680B">
              <w:t>1 622 kr per 1 000 kg</w:t>
            </w:r>
          </w:p>
        </w:tc>
      </w:tr>
    </w:tbl>
    <w:p w:rsidR="001C7BF9" w:rsidRPr="00C9680B" w:rsidRDefault="001C7BF9">
      <w:pPr>
        <w:pStyle w:val="LagtextIndrag"/>
      </w:pPr>
    </w:p>
    <w:p w:rsidR="001C7BF9" w:rsidRPr="00C9680B" w:rsidRDefault="001C7BF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Rubrik2"/>
            </w:pPr>
            <w:r w:rsidRPr="00C9680B">
              <w:t>Regeringens förslag</w:t>
            </w:r>
          </w:p>
        </w:tc>
        <w:tc>
          <w:tcPr>
            <w:tcW w:w="3090" w:type="dxa"/>
          </w:tcPr>
          <w:p w:rsidR="001C7BF9" w:rsidRPr="00C9680B" w:rsidRDefault="001C7BF9">
            <w:pPr>
              <w:pStyle w:val="LagRubrik2"/>
            </w:pPr>
            <w:r w:rsidRPr="00C9680B">
              <w:t>Utskottets förslag</w:t>
            </w:r>
          </w:p>
        </w:tc>
      </w:tr>
    </w:tbl>
    <w:p w:rsidR="001C7BF9" w:rsidRPr="00C9680B" w:rsidRDefault="001C7BF9">
      <w:pPr>
        <w:pStyle w:val="LagRubrik2"/>
      </w:pPr>
    </w:p>
    <w:p w:rsidR="001C7BF9" w:rsidRPr="00C9680B" w:rsidRDefault="001C7BF9">
      <w:pPr>
        <w:pStyle w:val="LagtextIndrag"/>
      </w:pPr>
      <w:r w:rsidRPr="00C9680B">
        <w:t>I fall som avses i 4 kap. 1 § första stycket 7 och andra stycket samt 12 § första stycket 4 och andra stycket tas skatt ut med ett belopp som motsvarar skillnaden mellan de skattebelopp som gäller för bränslets olika användning</w:t>
      </w:r>
      <w:r w:rsidRPr="00C9680B">
        <w:t>s</w:t>
      </w:r>
      <w:r w:rsidRPr="00C9680B">
        <w:t>sätt.</w:t>
      </w:r>
    </w:p>
    <w:p w:rsidR="001C7BF9" w:rsidRPr="00C9680B" w:rsidRDefault="001C7BF9">
      <w:pPr>
        <w:pStyle w:val="LagtextIndrag"/>
      </w:pPr>
      <w:r w:rsidRPr="00C9680B">
        <w:t>För kalenderåret 2002 och efterföljande kalenderår skall de i första stycket angivna skattebeloppen räknas om enligt 10 §.</w:t>
      </w:r>
    </w:p>
    <w:p w:rsidR="001C7BF9" w:rsidRPr="00C9680B" w:rsidRDefault="001C7BF9">
      <w:pPr>
        <w:pStyle w:val="LagtextIndrag"/>
      </w:pPr>
    </w:p>
    <w:p w:rsidR="001C7BF9" w:rsidRPr="00C9680B" w:rsidRDefault="001C7BF9">
      <w:pPr>
        <w:pStyle w:val="Rubrik2"/>
        <w:spacing w:before="0"/>
      </w:pPr>
      <w:r w:rsidRPr="00C9680B">
        <w:br w:type="page"/>
      </w:r>
      <w:bookmarkStart w:id="803" w:name="_Toc498910982"/>
      <w:r w:rsidRPr="00C9680B">
        <w:t>3.14 Förslaget till lag om upphävande av lagen (1978:69) om försäljningsskatt på motorfordon</w:t>
      </w:r>
      <w:bookmarkEnd w:id="803"/>
    </w:p>
    <w:p w:rsidR="001C7BF9" w:rsidRPr="00C9680B" w:rsidRDefault="001C7BF9">
      <w:r w:rsidRPr="00C9680B">
        <w:t>Utskottet föreslår att lagtexten i förslaget till lag om upphävande av lagen (1978:69) om försäljningsskatt på motorfordon erhåller följande som Utsko</w:t>
      </w:r>
      <w:r w:rsidRPr="00C9680B">
        <w:t>t</w:t>
      </w:r>
      <w:r w:rsidRPr="00C9680B">
        <w:t>tets förslag b</w:t>
      </w:r>
      <w:r w:rsidRPr="00C9680B">
        <w:t>e</w:t>
      </w:r>
      <w:r w:rsidRPr="00C9680B">
        <w:t>tecknade lydelse.</w:t>
      </w:r>
    </w:p>
    <w:p w:rsidR="001C7BF9" w:rsidRPr="00C9680B" w:rsidRDefault="001C7BF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9680B">
        <w:tblPrEx>
          <w:tblCellMar>
            <w:top w:w="0" w:type="dxa"/>
            <w:bottom w:w="0" w:type="dxa"/>
          </w:tblCellMar>
        </w:tblPrEx>
        <w:tc>
          <w:tcPr>
            <w:tcW w:w="3090" w:type="dxa"/>
          </w:tcPr>
          <w:p w:rsidR="001C7BF9" w:rsidRPr="00C9680B" w:rsidRDefault="001C7BF9">
            <w:pPr>
              <w:pStyle w:val="Lagtext"/>
              <w:rPr>
                <w:i/>
              </w:rPr>
            </w:pPr>
            <w:r w:rsidRPr="00C9680B">
              <w:rPr>
                <w:i/>
              </w:rPr>
              <w:t>Regeringens förslag</w:t>
            </w:r>
          </w:p>
        </w:tc>
        <w:tc>
          <w:tcPr>
            <w:tcW w:w="3090" w:type="dxa"/>
          </w:tcPr>
          <w:p w:rsidR="001C7BF9" w:rsidRPr="00C9680B" w:rsidRDefault="001C7BF9">
            <w:pPr>
              <w:pStyle w:val="Lagtext"/>
              <w:rPr>
                <w:i/>
              </w:rPr>
            </w:pPr>
            <w:r w:rsidRPr="00C9680B">
              <w:rPr>
                <w:i/>
              </w:rPr>
              <w:t>Utskottets förslag</w:t>
            </w:r>
          </w:p>
        </w:tc>
      </w:tr>
    </w:tbl>
    <w:p w:rsidR="001C7BF9" w:rsidRPr="00C9680B" w:rsidRDefault="001C7BF9">
      <w:pPr>
        <w:pStyle w:val="LagRubrik2"/>
        <w:keepNext/>
      </w:pPr>
      <w:r w:rsidRPr="00C9680B">
        <w:t xml:space="preserve">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89"/>
      </w:tblGrid>
      <w:tr w:rsidR="00000000" w:rsidRPr="00C9680B">
        <w:tblPrEx>
          <w:tblCellMar>
            <w:top w:w="0" w:type="dxa"/>
            <w:bottom w:w="0" w:type="dxa"/>
          </w:tblCellMar>
        </w:tblPrEx>
        <w:tc>
          <w:tcPr>
            <w:tcW w:w="3090" w:type="dxa"/>
          </w:tcPr>
          <w:p w:rsidR="001C7BF9" w:rsidRPr="00C9680B" w:rsidRDefault="001C7BF9">
            <w:pPr>
              <w:pStyle w:val="LagtextIndrag"/>
            </w:pPr>
            <w:r w:rsidRPr="00C9680B">
              <w:t>Härigenom föreskrivs att lagen (1978:69) om försäljningsskatt på motor</w:t>
            </w:r>
            <w:r w:rsidRPr="00C9680B">
              <w:softHyphen/>
              <w:t>fordon skall upphöra att gälla vid utgången av år 2000. Den up</w:t>
            </w:r>
            <w:r w:rsidRPr="00C9680B">
              <w:t>p</w:t>
            </w:r>
            <w:r w:rsidRPr="00C9680B">
              <w:t>hävda lagen gäller fortfarande i fråga om förhållanden som hänför sig till tiden före den 1 januari 2001. Fö</w:t>
            </w:r>
            <w:r w:rsidRPr="00C9680B">
              <w:t>r</w:t>
            </w:r>
            <w:r w:rsidRPr="00C9680B">
              <w:t>säljningsskatt skall dock inte tas ut om skattskyldighet inträtt efter den 19 september 2000.</w:t>
            </w:r>
          </w:p>
        </w:tc>
        <w:tc>
          <w:tcPr>
            <w:tcW w:w="3089" w:type="dxa"/>
          </w:tcPr>
          <w:p w:rsidR="001C7BF9" w:rsidRPr="00C9680B" w:rsidRDefault="001C7BF9">
            <w:pPr>
              <w:pStyle w:val="LagtextIndrag"/>
            </w:pPr>
            <w:r w:rsidRPr="00C9680B">
              <w:t>Härigenom föreskrivs att lagen (1978:69) om försäljningsskatt på motor</w:t>
            </w:r>
            <w:r w:rsidRPr="00C9680B">
              <w:softHyphen/>
              <w:t>fordon skall upphöra att gälla vid utgången av år 2000. Den up</w:t>
            </w:r>
            <w:r w:rsidRPr="00C9680B">
              <w:t>p</w:t>
            </w:r>
            <w:r w:rsidRPr="00C9680B">
              <w:t>hävda lagen gäller fortfarande i fråga om förhållanden som hänför sig till tiden före den 1 januari 2001. Fö</w:t>
            </w:r>
            <w:r w:rsidRPr="00C9680B">
              <w:t>r</w:t>
            </w:r>
            <w:r w:rsidRPr="00C9680B">
              <w:t xml:space="preserve">säljningsskatt skall dock inte tas ut om skattskyldighet inträtt efter den 19 september 2000. </w:t>
            </w:r>
            <w:r w:rsidRPr="00C9680B">
              <w:rPr>
                <w:i/>
              </w:rPr>
              <w:t>Lagen (1985: 146) om avräkning vid åter</w:t>
            </w:r>
            <w:r w:rsidRPr="00C9680B">
              <w:rPr>
                <w:i/>
              </w:rPr>
              <w:softHyphen/>
              <w:t>betalning av skatter och avgifter och lagen (1993:891) om indrivning av statliga fordringar m.m. skall tillämpas b</w:t>
            </w:r>
            <w:r w:rsidRPr="00C9680B">
              <w:rPr>
                <w:i/>
              </w:rPr>
              <w:t>e</w:t>
            </w:r>
            <w:r w:rsidRPr="00C9680B">
              <w:rPr>
                <w:i/>
              </w:rPr>
              <w:t>träff</w:t>
            </w:r>
            <w:r w:rsidRPr="00C9680B">
              <w:rPr>
                <w:i/>
              </w:rPr>
              <w:softHyphen/>
              <w:t xml:space="preserve">ande den upphävda lagen.  </w:t>
            </w:r>
          </w:p>
        </w:tc>
      </w:tr>
    </w:tbl>
    <w:p w:rsidR="001C7BF9" w:rsidRPr="00C9680B" w:rsidRDefault="001C7BF9">
      <w:pPr>
        <w:pStyle w:val="LagtextIndrag"/>
      </w:pPr>
    </w:p>
    <w:p w:rsidR="001C7BF9" w:rsidRPr="00C9680B" w:rsidRDefault="001C7BF9">
      <w:pPr>
        <w:pStyle w:val="LagtextIndrag"/>
      </w:pPr>
    </w:p>
    <w:p w:rsidR="001C7BF9" w:rsidRPr="00C9680B" w:rsidRDefault="001C7BF9">
      <w:pPr>
        <w:pStyle w:val="LagtextIndrag"/>
      </w:pPr>
    </w:p>
    <w:p w:rsidR="001C7BF9" w:rsidRPr="00C9680B" w:rsidRDefault="001C7BF9">
      <w:pPr>
        <w:pStyle w:val="LagtextIndrag"/>
      </w:pPr>
    </w:p>
    <w:p w:rsidR="001C7BF9" w:rsidRPr="00C9680B" w:rsidRDefault="001C7BF9">
      <w:pPr>
        <w:pStyle w:val="Deltagare"/>
        <w:keepLines w:val="0"/>
        <w:spacing w:before="62" w:line="250" w:lineRule="atLeast"/>
        <w:rPr>
          <w:noProof w:val="0"/>
        </w:rPr>
      </w:pPr>
    </w:p>
    <w:p w:rsidR="001C7BF9" w:rsidRPr="00C9680B" w:rsidRDefault="001C7BF9">
      <w:pPr>
        <w:pStyle w:val="Normaltindrag"/>
        <w:sectPr w:rsidR="00000000" w:rsidRPr="00C9680B">
          <w:headerReference w:type="even" r:id="rId105"/>
          <w:headerReference w:type="default" r:id="rId106"/>
          <w:footerReference w:type="even" r:id="rId107"/>
          <w:footerReference w:type="default" r:id="rId108"/>
          <w:headerReference w:type="first" r:id="rId109"/>
          <w:footerReference w:type="first" r:id="rId110"/>
          <w:footnotePr>
            <w:numRestart w:val="eachSect"/>
          </w:footnotePr>
          <w:pgSz w:w="11906" w:h="16838" w:code="9"/>
          <w:pgMar w:top="907" w:right="4649" w:bottom="4508" w:left="1304" w:header="340" w:footer="227" w:gutter="0"/>
          <w:cols w:space="720"/>
          <w:titlePg/>
        </w:sectPr>
      </w:pPr>
    </w:p>
    <w:p w:rsidR="001C7BF9" w:rsidRPr="00C9680B" w:rsidRDefault="001C7BF9">
      <w:pPr>
        <w:pStyle w:val="Bilaga"/>
        <w:outlineLvl w:val="0"/>
      </w:pPr>
      <w:r w:rsidRPr="00C9680B">
        <w:t>Bilaga 4</w:t>
      </w:r>
    </w:p>
    <w:p w:rsidR="001C7BF9" w:rsidRPr="00C9680B" w:rsidRDefault="001C7BF9">
      <w:pPr>
        <w:pStyle w:val="Rubrik1"/>
        <w:rPr>
          <w:noProof w:val="0"/>
        </w:rPr>
      </w:pPr>
      <w:bookmarkStart w:id="804" w:name="_Toc498910983"/>
      <w:r w:rsidRPr="00C9680B">
        <w:rPr>
          <w:noProof w:val="0"/>
        </w:rPr>
        <w:t>Lagrådsyttrande som begärts av utskottet</w:t>
      </w:r>
      <w:bookmarkEnd w:id="804"/>
    </w:p>
    <w:p w:rsidR="001C7BF9" w:rsidRPr="00C9680B" w:rsidRDefault="001C7BF9">
      <w:pPr>
        <w:pStyle w:val="Bilaga"/>
      </w:pPr>
      <w:bookmarkStart w:id="805" w:name="_Toc496672773"/>
      <w:bookmarkStart w:id="806" w:name="BetänkandeRubrik"/>
      <w:bookmarkEnd w:id="806"/>
      <w:r w:rsidRPr="00C9680B">
        <w:t>Bilaga 5</w:t>
      </w:r>
    </w:p>
    <w:p w:rsidR="001C7BF9" w:rsidRPr="00C9680B" w:rsidRDefault="001C7BF9">
      <w:pPr>
        <w:pStyle w:val="Rubrik1"/>
        <w:spacing w:after="0"/>
        <w:rPr>
          <w:noProof w:val="0"/>
        </w:rPr>
      </w:pPr>
      <w:bookmarkStart w:id="807" w:name="_Toc498838085"/>
      <w:r w:rsidRPr="00C9680B">
        <w:rPr>
          <w:noProof w:val="0"/>
        </w:rPr>
        <w:t>Konstitutionsutsskottets yttrande</w:t>
      </w:r>
      <w:bookmarkEnd w:id="807"/>
    </w:p>
    <w:p w:rsidR="001C7BF9" w:rsidRPr="00C9680B" w:rsidRDefault="001C7BF9">
      <w:pPr>
        <w:pStyle w:val="R1"/>
        <w:spacing w:after="240"/>
      </w:pPr>
      <w:r w:rsidRPr="00C9680B">
        <w:t>2000/01:KU1y</w:t>
      </w:r>
    </w:p>
    <w:p w:rsidR="001C7BF9" w:rsidRPr="00C9680B" w:rsidRDefault="001C7BF9">
      <w:pPr>
        <w:pStyle w:val="Rubrik2"/>
        <w:spacing w:before="0"/>
      </w:pPr>
      <w:bookmarkStart w:id="808" w:name="_Toc498838086"/>
      <w:r w:rsidRPr="00C9680B">
        <w:t>Ram för utgiftsområde 1 Rikets styrelse</w:t>
      </w:r>
      <w:bookmarkEnd w:id="808"/>
    </w:p>
    <w:p w:rsidR="001C7BF9" w:rsidRPr="00C9680B" w:rsidRDefault="001C7BF9">
      <w:pPr>
        <w:pStyle w:val="R1"/>
        <w:spacing w:before="480" w:after="240"/>
      </w:pPr>
      <w:bookmarkStart w:id="809" w:name="Textstart"/>
      <w:bookmarkEnd w:id="805"/>
      <w:bookmarkEnd w:id="809"/>
      <w:r w:rsidRPr="00C9680B">
        <w:t>Till finansutskottet</w:t>
      </w:r>
    </w:p>
    <w:p w:rsidR="001C7BF9" w:rsidRPr="00C9680B" w:rsidRDefault="001C7BF9">
      <w:r w:rsidRPr="00C9680B">
        <w:t xml:space="preserve">Finansutskottet har den 21 september 2000 beslutat bereda övriga berörda utskott tillfälle att avge yttrande över </w:t>
      </w:r>
    </w:p>
    <w:p w:rsidR="001C7BF9" w:rsidRPr="00C9680B" w:rsidRDefault="001C7BF9">
      <w:pPr>
        <w:pStyle w:val="Normaltindrag"/>
      </w:pPr>
      <w:r w:rsidRPr="00C9680B">
        <w:rPr>
          <w:i/>
        </w:rPr>
        <w:t>dels</w:t>
      </w:r>
      <w:r w:rsidRPr="00C9680B">
        <w:t xml:space="preserve"> proposition 2000/01:1 Budgetpropositionen för 2001 (volym 1) i vad avser den ekonomiska politiken och förslag till statsbudget för budgetåret 2001, utgifternas fördelning på utgiftsområden och beräkningen av statsi</w:t>
      </w:r>
      <w:r w:rsidRPr="00C9680B">
        <w:t>n</w:t>
      </w:r>
      <w:r w:rsidRPr="00C9680B">
        <w:t>komsterna, låneramar (yrkandena 1–14 och 23–40) jämte motioner,</w:t>
      </w:r>
    </w:p>
    <w:p w:rsidR="001C7BF9" w:rsidRPr="00C9680B" w:rsidRDefault="001C7BF9">
      <w:pPr>
        <w:pStyle w:val="Normaltindrag"/>
      </w:pPr>
      <w:r w:rsidRPr="00C9680B">
        <w:rPr>
          <w:i/>
        </w:rPr>
        <w:t>dels</w:t>
      </w:r>
      <w:r w:rsidRPr="00C9680B">
        <w:t xml:space="preserve"> regeringens skrivelse 1999/2000:150 Årsredovisning för staten 1999,</w:t>
      </w:r>
    </w:p>
    <w:p w:rsidR="001C7BF9" w:rsidRPr="00C9680B" w:rsidRDefault="001C7BF9">
      <w:pPr>
        <w:pStyle w:val="Normaltindrag"/>
      </w:pPr>
      <w:r w:rsidRPr="00C9680B">
        <w:t>allt i de delar som berör respektive utskotts beredningsområde.</w:t>
      </w:r>
    </w:p>
    <w:p w:rsidR="001C7BF9" w:rsidRPr="00C9680B" w:rsidRDefault="001C7BF9">
      <w:r w:rsidRPr="00C9680B">
        <w:t>Konstitutionsutskottet begränsar sitt yttrande till att avse ramen för utgiftso</w:t>
      </w:r>
      <w:r w:rsidRPr="00C9680B">
        <w:t>m</w:t>
      </w:r>
      <w:r w:rsidRPr="00C9680B">
        <w:t>råde 1 Rikets styrelse och motionerna 2000/01:Fi208 (m) yrkandena 5 och 6, 2000/01:Fi209 (kd) yrkandena 6 och 7, 2000/01:Fi210 (c) yrkandena 4 och 5, 2000/01:Fi211 (fp) yrkandena 6 och 8, samt årsredovisningen för staten 1999.</w:t>
      </w:r>
    </w:p>
    <w:p w:rsidR="001C7BF9" w:rsidRPr="00C9680B" w:rsidRDefault="001C7BF9">
      <w:r w:rsidRPr="00C9680B">
        <w:t>Utskottets yttrande såvitt avser tilläggsbudget till statsbudgeten för budgetåret 2000 lämnas i 2000/01:KU2y.</w:t>
      </w:r>
    </w:p>
    <w:p w:rsidR="001C7BF9" w:rsidRPr="00C9680B" w:rsidRDefault="001C7BF9">
      <w:pPr>
        <w:pStyle w:val="Rubrik2"/>
      </w:pPr>
      <w:bookmarkStart w:id="810" w:name="_Toc496672774"/>
      <w:bookmarkStart w:id="811" w:name="_Toc498838087"/>
      <w:r w:rsidRPr="00C9680B">
        <w:t>Propositionen</w:t>
      </w:r>
      <w:bookmarkEnd w:id="810"/>
      <w:bookmarkEnd w:id="811"/>
    </w:p>
    <w:p w:rsidR="001C7BF9" w:rsidRPr="00C9680B" w:rsidRDefault="001C7BF9">
      <w:r w:rsidRPr="00C9680B">
        <w:t>I propositionen volym 1, avsnitt 2 yrkande 8 föreslår regeringen att riksdagen beslutar om fördelning av utgifterna för budgetåret 2001 på utgiftsområden i enlighet med vad regeringen anfört i avsnitt 7.1, tabell 7.2.</w:t>
      </w:r>
    </w:p>
    <w:p w:rsidR="001C7BF9" w:rsidRPr="00C9680B" w:rsidRDefault="001C7BF9">
      <w:pPr>
        <w:pStyle w:val="Normaltindrag"/>
      </w:pPr>
      <w:r w:rsidRPr="00C9680B">
        <w:t>Regeringen föreslår i yrkande 10 att riksdagen godkänner den preliminära fördelningen av utgifterna på utgiftsområden för budgetåren 2002 och 2003 som riktlinje för regeringens budgetarbete (avsnitt 7.1, tabell 7.2).</w:t>
      </w:r>
    </w:p>
    <w:p w:rsidR="001C7BF9" w:rsidRPr="00C9680B" w:rsidRDefault="001C7BF9">
      <w:pPr>
        <w:pStyle w:val="Normaltindrag"/>
      </w:pPr>
      <w:r w:rsidRPr="00C9680B">
        <w:t>Ramen för utgiftsområde 1 Rikets styrelse för år 2001 skall, enligt tabell 7.2 Utgiftstak och takbegränsande utgifter 2001–2003, uppgå till  5 316 203 000 kr. För åren 2002 och 2003 beräknas ramen till 5 135 mkr respektive 5 021 mkr.</w:t>
      </w:r>
    </w:p>
    <w:p w:rsidR="001C7BF9" w:rsidRPr="00C9680B" w:rsidRDefault="001C7BF9">
      <w:pPr>
        <w:pStyle w:val="Normaltindrag"/>
      </w:pPr>
      <w:r w:rsidRPr="00C9680B">
        <w:t>Förändringen av utgiftsområdesramen jämfört med beräkningen i 2000 års ekonomiska vårproposition förklaras i huvudsak av att en central säkerhet</w:t>
      </w:r>
      <w:r w:rsidRPr="00C9680B">
        <w:t>s</w:t>
      </w:r>
      <w:r w:rsidRPr="00C9680B">
        <w:t>funktion flyttar från utgiftsområde 5 Utrikesförvaltning och internationell samverkan till Regeringskansliets anslag under utgiftsområde 1. Ytterligare en förklaring är att den hyresökning som riksdagens förvaltningsstyrelse föreslog för Riksdagens ombudsmän, och som finns intagen i 2000 års ek</w:t>
      </w:r>
      <w:r w:rsidRPr="00C9680B">
        <w:t>o</w:t>
      </w:r>
      <w:r w:rsidRPr="00C9680B">
        <w:t>nomiska vårproposition, nu finansieras via en nedjustering av riksdagens förvaltningsanslag.</w:t>
      </w:r>
    </w:p>
    <w:p w:rsidR="001C7BF9" w:rsidRPr="00C9680B" w:rsidRDefault="001C7BF9">
      <w:pPr>
        <w:pStyle w:val="Normaltindrag"/>
      </w:pPr>
      <w:r w:rsidRPr="00C9680B">
        <w:t>Som ett led i utvecklingen av den ekonomiska styrningen har regeringen i propositionen indelat den statliga verksamheten i</w:t>
      </w:r>
      <w:r w:rsidRPr="00C9680B">
        <w:t xml:space="preserve"> 47 politikområden. Som skäl härför anför regeringen att det har visat sig svårt att med utgångspunkt i utgiftsområden formulera mål som är tillräckligt specifika för att möjliggöra uppföljning och bedömning av måluppfyllelsen. </w:t>
      </w:r>
      <w:r w:rsidRPr="00C9680B">
        <w:rPr>
          <w:snapToGrid w:val="0"/>
          <w:lang w:eastAsia="sv-SE"/>
        </w:rPr>
        <w:t>Politikområdesindelningen syftar till att möjliggöra en bättre koppling mellan mål, kostnader och resultat och till att avgränsa statlig verksamhet i politiskt relevanta sak</w:t>
      </w:r>
      <w:r w:rsidRPr="00C9680B">
        <w:rPr>
          <w:snapToGrid w:val="0"/>
          <w:lang w:eastAsia="sv-SE"/>
        </w:rPr>
        <w:softHyphen/>
        <w:t xml:space="preserve">områden, dvs. områden som är lämpliga för inbördes avvägningar och prioriteringar. </w:t>
      </w:r>
      <w:r w:rsidRPr="00C9680B">
        <w:t>För varje politikområde fas</w:t>
      </w:r>
      <w:r w:rsidRPr="00C9680B">
        <w:t>tställs ett eller flera mål. Enligt regeringens bedömning är det först i nästa steg, när mål formuleras för verksamhetsområden inom respektive politikområde, som det är möjligt att tillgodose riksdagens önsk</w:t>
      </w:r>
      <w:r w:rsidRPr="00C9680B">
        <w:t>e</w:t>
      </w:r>
      <w:r w:rsidRPr="00C9680B">
        <w:t>mål om tydliga och uppföljningsbara mål fullt ut.</w:t>
      </w:r>
    </w:p>
    <w:p w:rsidR="001C7BF9" w:rsidRPr="00C9680B" w:rsidRDefault="001C7BF9">
      <w:pPr>
        <w:pStyle w:val="Normaltindrag"/>
      </w:pPr>
      <w:r w:rsidRPr="00C9680B">
        <w:t>Utgiftsområde 1 omfattar politikområdet Demokrati samt delar av polit</w:t>
      </w:r>
      <w:r w:rsidRPr="00C9680B">
        <w:t>i</w:t>
      </w:r>
      <w:r w:rsidRPr="00C9680B">
        <w:t>k</w:t>
      </w:r>
      <w:r w:rsidRPr="00C9680B">
        <w:softHyphen/>
        <w:t>områdena Mediepolitik och Samepolitik. Ramen för politikområdet Dem</w:t>
      </w:r>
      <w:r w:rsidRPr="00C9680B">
        <w:t>o</w:t>
      </w:r>
      <w:r w:rsidRPr="00C9680B">
        <w:t>krati uppgår till 65 mkr. För politikområdet Mediepolitik uppgår ramen till 726 mkr, varav 691 mkr anvisas under utgiftsområdet. Ramen för politiko</w:t>
      </w:r>
      <w:r w:rsidRPr="00C9680B">
        <w:t>m</w:t>
      </w:r>
      <w:r w:rsidRPr="00C9680B">
        <w:t>rådet Samepolitik uppgår till 52 mkr, varav 15 mkr anvisas under utgiftso</w:t>
      </w:r>
      <w:r w:rsidRPr="00C9680B">
        <w:t>m</w:t>
      </w:r>
      <w:r w:rsidRPr="00C9680B">
        <w:t>rådet.</w:t>
      </w:r>
    </w:p>
    <w:p w:rsidR="001C7BF9" w:rsidRPr="00C9680B" w:rsidRDefault="001C7BF9">
      <w:pPr>
        <w:pStyle w:val="Normaltindrag"/>
      </w:pPr>
      <w:r w:rsidRPr="00C9680B">
        <w:t>I utgiftsområdet ingår även anslagen Kungliga hov- och slottsstaten, Reg</w:t>
      </w:r>
      <w:r w:rsidRPr="00C9680B">
        <w:t>e</w:t>
      </w:r>
      <w:r w:rsidRPr="00C9680B">
        <w:t>ringskansliet m.m., Stöd till politiska partier, riksdagens ledamöter och partier m.m., riksdagens förvaltningskostnader samt Riksdagens ombudsmän. Dessa anslag och verksamheter omfattas inte av den nya politikområdesindelningen, eftersom regeringen inte fastställer några mål för dem. Ramen för anslag som inte ingår i något politikområde uppgår till 4 062 mkr.</w:t>
      </w:r>
    </w:p>
    <w:p w:rsidR="001C7BF9" w:rsidRPr="00C9680B" w:rsidRDefault="001C7BF9">
      <w:pPr>
        <w:pStyle w:val="Rubrik3"/>
        <w:rPr>
          <w:noProof w:val="0"/>
        </w:rPr>
      </w:pPr>
      <w:bookmarkStart w:id="812" w:name="_Toc496672775"/>
      <w:bookmarkStart w:id="813" w:name="_Toc498838088"/>
      <w:r w:rsidRPr="00C9680B">
        <w:rPr>
          <w:noProof w:val="0"/>
        </w:rPr>
        <w:t>Närmare om utgiftsområde 1</w:t>
      </w:r>
      <w:bookmarkEnd w:id="812"/>
      <w:bookmarkEnd w:id="813"/>
    </w:p>
    <w:p w:rsidR="001C7BF9" w:rsidRPr="00C9680B" w:rsidRDefault="001C7BF9">
      <w:pPr>
        <w:pStyle w:val="Rubrik4"/>
        <w:spacing w:before="120"/>
        <w:rPr>
          <w:noProof w:val="0"/>
        </w:rPr>
      </w:pPr>
      <w:bookmarkStart w:id="814" w:name="_Toc496672776"/>
      <w:r w:rsidRPr="00C9680B">
        <w:rPr>
          <w:noProof w:val="0"/>
        </w:rPr>
        <w:t>Demokrati</w:t>
      </w:r>
      <w:bookmarkEnd w:id="814"/>
    </w:p>
    <w:p w:rsidR="001C7BF9" w:rsidRPr="00C9680B" w:rsidRDefault="001C7BF9">
      <w:pPr>
        <w:rPr>
          <w:snapToGrid w:val="0"/>
          <w:lang w:eastAsia="sv-SE"/>
        </w:rPr>
      </w:pPr>
      <w:r w:rsidRPr="00C9680B">
        <w:rPr>
          <w:snapToGrid w:val="0"/>
          <w:lang w:eastAsia="sv-SE"/>
        </w:rPr>
        <w:t>I politikområde Demokrati ingår: utvecklingsarbetet Tid för demokrati; beta</w:t>
      </w:r>
      <w:r w:rsidRPr="00C9680B">
        <w:rPr>
          <w:snapToGrid w:val="0"/>
          <w:lang w:eastAsia="sv-SE"/>
        </w:rPr>
        <w:t>l</w:t>
      </w:r>
      <w:r w:rsidRPr="00C9680B">
        <w:rPr>
          <w:snapToGrid w:val="0"/>
          <w:lang w:eastAsia="sv-SE"/>
        </w:rPr>
        <w:t>ning av statens kostnader för valsedlar, valkuvert och andra valtillbehör samt ersättningar till vissa myndigheter m.m. för biträde i samband med allmänna val; Justitiekanslerns och Datainspektionens verksamheter samt tilldelningen av Statens författningssamling (SFS) till kommuner, landsting och kommu</w:t>
      </w:r>
      <w:r w:rsidRPr="00C9680B">
        <w:rPr>
          <w:snapToGrid w:val="0"/>
          <w:lang w:eastAsia="sv-SE"/>
        </w:rPr>
        <w:t>n</w:t>
      </w:r>
      <w:r w:rsidRPr="00C9680B">
        <w:rPr>
          <w:snapToGrid w:val="0"/>
          <w:lang w:eastAsia="sv-SE"/>
        </w:rPr>
        <w:t>bibliotek. Regeringen föreslår att anslagen inom politikområdet för år 2001 skall uppgå till totalt 65 mkr. För år 2002 beräknas anslagen till sammanlagt 258 mkr och för år 2003 till 59 mkr. De stora variati</w:t>
      </w:r>
      <w:r w:rsidRPr="00C9680B">
        <w:rPr>
          <w:snapToGrid w:val="0"/>
          <w:lang w:eastAsia="sv-SE"/>
        </w:rPr>
        <w:t>onerna beror främst på vilka val som hålls under året.</w:t>
      </w:r>
    </w:p>
    <w:p w:rsidR="001C7BF9" w:rsidRPr="00C9680B" w:rsidRDefault="001C7BF9">
      <w:pPr>
        <w:pStyle w:val="Rubrik4"/>
        <w:rPr>
          <w:noProof w:val="0"/>
        </w:rPr>
      </w:pPr>
      <w:bookmarkStart w:id="815" w:name="_Toc496672777"/>
      <w:r w:rsidRPr="00C9680B">
        <w:rPr>
          <w:noProof w:val="0"/>
        </w:rPr>
        <w:t>Mediepolitik</w:t>
      </w:r>
      <w:bookmarkEnd w:id="815"/>
    </w:p>
    <w:p w:rsidR="001C7BF9" w:rsidRPr="00C9680B" w:rsidRDefault="001C7BF9">
      <w:r w:rsidRPr="00C9680B">
        <w:t>För de delar av politikområdet Mediepolitik som hör till utgiftsområde 1 föreslår regeringen anslag för år 2001 på totalt 691 mkr. Av politikområdet ingår anslagen till Presstödsnämnden och Taltidningsnämnden, presstöd, stöd till radio- och kassettidningar, Radio- och TV-verket samt Granskningsnäm</w:t>
      </w:r>
      <w:r w:rsidRPr="00C9680B">
        <w:t>n</w:t>
      </w:r>
      <w:r w:rsidRPr="00C9680B">
        <w:t>den för radio och TV i utgiftsområdet. För år 2002 beräknas anslaget till 693 mkr och för år 2003 till 687 mkr.</w:t>
      </w:r>
    </w:p>
    <w:p w:rsidR="001C7BF9" w:rsidRPr="00C9680B" w:rsidRDefault="001C7BF9">
      <w:pPr>
        <w:pStyle w:val="Rubrik4"/>
        <w:rPr>
          <w:noProof w:val="0"/>
        </w:rPr>
      </w:pPr>
      <w:bookmarkStart w:id="816" w:name="_Toc496672778"/>
      <w:r w:rsidRPr="00C9680B">
        <w:rPr>
          <w:noProof w:val="0"/>
        </w:rPr>
        <w:t>Samepolitik</w:t>
      </w:r>
      <w:bookmarkEnd w:id="816"/>
    </w:p>
    <w:p w:rsidR="001C7BF9" w:rsidRPr="00C9680B" w:rsidRDefault="001C7BF9">
      <w:r w:rsidRPr="00C9680B">
        <w:t xml:space="preserve">Regeringen föreslår att anslaget till Sametinget, som ingår i politikområdet </w:t>
      </w:r>
      <w:r w:rsidRPr="00C9680B">
        <w:rPr>
          <w:i/>
        </w:rPr>
        <w:t>Samepolitik</w:t>
      </w:r>
      <w:r w:rsidRPr="00C9680B">
        <w:t>, skall uppgå till 15 mkr för år 2001. Anslaget beräknas till 15 mkr även för åren 2002 och 2003.</w:t>
      </w:r>
    </w:p>
    <w:p w:rsidR="001C7BF9" w:rsidRPr="00C9680B" w:rsidRDefault="001C7BF9">
      <w:pPr>
        <w:pStyle w:val="Rubrik4"/>
        <w:rPr>
          <w:noProof w:val="0"/>
        </w:rPr>
      </w:pPr>
      <w:bookmarkStart w:id="817" w:name="_Toc496672779"/>
      <w:r w:rsidRPr="00C9680B">
        <w:rPr>
          <w:noProof w:val="0"/>
        </w:rPr>
        <w:t>Anslag som inte ingår i något polit</w:t>
      </w:r>
      <w:r w:rsidRPr="00C9680B">
        <w:rPr>
          <w:noProof w:val="0"/>
        </w:rPr>
        <w:t>i</w:t>
      </w:r>
      <w:r w:rsidRPr="00C9680B">
        <w:rPr>
          <w:noProof w:val="0"/>
        </w:rPr>
        <w:t>kområde</w:t>
      </w:r>
      <w:bookmarkEnd w:id="817"/>
      <w:r w:rsidRPr="00C9680B">
        <w:rPr>
          <w:noProof w:val="0"/>
        </w:rPr>
        <w:t xml:space="preserve"> </w:t>
      </w:r>
    </w:p>
    <w:p w:rsidR="001C7BF9" w:rsidRPr="00C9680B" w:rsidRDefault="001C7BF9">
      <w:r w:rsidRPr="00C9680B">
        <w:t xml:space="preserve">Anslaget </w:t>
      </w:r>
      <w:r w:rsidRPr="00C9680B">
        <w:rPr>
          <w:i/>
        </w:rPr>
        <w:t>Kungliga hov- och slottsstaten</w:t>
      </w:r>
      <w:r w:rsidRPr="00C9680B">
        <w:t xml:space="preserve"> avser att täcka kostnaderna för stat</w:t>
      </w:r>
      <w:r w:rsidRPr="00C9680B">
        <w:t>s</w:t>
      </w:r>
      <w:r w:rsidRPr="00C9680B">
        <w:t>chefens officiella funktioner inklusive kostnaderna för den kungliga familjens resor. Vidare betalas driftskostnader för de kungliga slotten – utom rent fa</w:t>
      </w:r>
      <w:r w:rsidRPr="00C9680B">
        <w:t>s</w:t>
      </w:r>
      <w:r w:rsidRPr="00C9680B">
        <w:t>tighetsunderhåll – och Husgerådskammarens verksamhet från anslaget. Reg</w:t>
      </w:r>
      <w:r w:rsidRPr="00C9680B">
        <w:t>e</w:t>
      </w:r>
      <w:r w:rsidRPr="00C9680B">
        <w:t>ringen föreslår att anslaget skall uppgå till 84 mkr för år 2001. För åren 2002 och 2003 beräknas anslaget till 84 mkr respektive 88 mkr.</w:t>
      </w:r>
    </w:p>
    <w:p w:rsidR="001C7BF9" w:rsidRPr="00C9680B" w:rsidRDefault="001C7BF9">
      <w:pPr>
        <w:pStyle w:val="Normaltindrag"/>
      </w:pPr>
      <w:r w:rsidRPr="00C9680B">
        <w:t xml:space="preserve">För </w:t>
      </w:r>
      <w:r w:rsidRPr="00C9680B">
        <w:rPr>
          <w:i/>
        </w:rPr>
        <w:t>Riksdagens ledamöter och partier m.m.</w:t>
      </w:r>
      <w:r w:rsidRPr="00C9680B">
        <w:t xml:space="preserve"> föreslås att anslaget för år 2001 skall uppgå till 560 mkr. För år 2002 beräknas anslaget till 597 mkr och för år 2003 till 610 mkr. Anslaget finansierar bl.a. arvoden till riksdagens ledamöter och till EU-parlamentarikerna. I anslaget ingår även stödet till partigrupperna i riksdagen. Vidare föreslås att kostnaderna för ledamöternas datakommunikation – 6 mkr – i fortsättningen skall finansieras över detta anslag i stället för över anslaget för riksdagens förvaltningsko</w:t>
      </w:r>
      <w:r w:rsidRPr="00C9680B">
        <w:t>stnader.</w:t>
      </w:r>
    </w:p>
    <w:p w:rsidR="001C7BF9" w:rsidRPr="00C9680B" w:rsidRDefault="001C7BF9">
      <w:pPr>
        <w:pStyle w:val="Normaltindrag"/>
      </w:pPr>
      <w:r w:rsidRPr="00C9680B">
        <w:t xml:space="preserve">Utgifterna för </w:t>
      </w:r>
      <w:r w:rsidRPr="00C9680B">
        <w:rPr>
          <w:i/>
        </w:rPr>
        <w:t>Riksdagens förvaltningskostnader</w:t>
      </w:r>
      <w:r w:rsidRPr="00C9680B">
        <w:t xml:space="preserve"> avser bl.a. löner, adm</w:t>
      </w:r>
      <w:r w:rsidRPr="00C9680B">
        <w:t>i</w:t>
      </w:r>
      <w:r w:rsidRPr="00C9680B">
        <w:t>nistration, fastighetsförvaltning, intern service, säkerhet, datateknik, förlag</w:t>
      </w:r>
      <w:r w:rsidRPr="00C9680B">
        <w:t>s</w:t>
      </w:r>
      <w:r w:rsidRPr="00C9680B">
        <w:t>verksamhet, bibliotek och informationsverksamhet. Anslaget föreslås uppgå till 441 mkr för år 2001. Det beräknade anslaget för år 2002 uppgår till 444 mkr och för år 2003 till 453 mkr.</w:t>
      </w:r>
    </w:p>
    <w:p w:rsidR="001C7BF9" w:rsidRPr="00C9680B" w:rsidRDefault="001C7BF9">
      <w:pPr>
        <w:pStyle w:val="Normaltindrag"/>
      </w:pPr>
      <w:r w:rsidRPr="00C9680B">
        <w:t xml:space="preserve">För anslaget </w:t>
      </w:r>
      <w:r w:rsidRPr="00C9680B">
        <w:rPr>
          <w:i/>
        </w:rPr>
        <w:t>Riksdagens ombudsmän, justitieombudsmännen</w:t>
      </w:r>
      <w:r w:rsidRPr="00C9680B">
        <w:t xml:space="preserve"> föreslås 46 mkr för år 2001. För åren 2002 och 2003 beräknas anslaget till 46 mkr respektive 47 mkr.</w:t>
      </w:r>
    </w:p>
    <w:p w:rsidR="001C7BF9" w:rsidRPr="00C9680B" w:rsidRDefault="001C7BF9">
      <w:pPr>
        <w:pStyle w:val="Normaltindrag"/>
      </w:pPr>
      <w:r w:rsidRPr="00C9680B">
        <w:t xml:space="preserve">Anslaget </w:t>
      </w:r>
      <w:r w:rsidRPr="00C9680B">
        <w:rPr>
          <w:i/>
        </w:rPr>
        <w:t>Regeringskansliet m.m.</w:t>
      </w:r>
      <w:r w:rsidRPr="00C9680B">
        <w:t xml:space="preserve"> finansierar Regeringskansliets förval</w:t>
      </w:r>
      <w:r w:rsidRPr="00C9680B">
        <w:t>t</w:t>
      </w:r>
      <w:r w:rsidRPr="00C9680B">
        <w:t>ningskostnader, kommittéväsendet, andra utredningar m.m. (Utrikesdepart</w:t>
      </w:r>
      <w:r w:rsidRPr="00C9680B">
        <w:t>e</w:t>
      </w:r>
      <w:r w:rsidRPr="00C9680B">
        <w:t>mentets verksamhet finansieras under utgiftsområde 5 Utrikesförvaltning och internationell samverkan.) Regeringskansliet hade vid utgången av 1999 ca 4 100 personer anställda inklusive UD och dess utlandsmyndigheter samt kommittéer. Av Regeringskansliets anställda är ca 125 personer (3 %) pol</w:t>
      </w:r>
      <w:r w:rsidRPr="00C9680B">
        <w:t>i</w:t>
      </w:r>
      <w:r w:rsidRPr="00C9680B">
        <w:t>tiskt rekryterade. I en rapport om Regeringskansliets långsiktiga dimension</w:t>
      </w:r>
      <w:r w:rsidRPr="00C9680B">
        <w:t>e</w:t>
      </w:r>
      <w:r w:rsidRPr="00C9680B">
        <w:t xml:space="preserve">ring (Ds </w:t>
      </w:r>
      <w:r w:rsidRPr="00C9680B">
        <w:t>2000:27) drar en oberoende forskare slutsatsen att Regeringskansliet, med nuvarande arbetsuppgifter, är underfinansierat. Enligt utredarens grova beräkning är resursgapet ca 300 till 400 årsarbetskrafter. Regeringen avser att analysera rapporten under hösten och återkomma med en samlad bedömning och ett preciserat förslag om Regeringskansliets dimensionering i den ek</w:t>
      </w:r>
      <w:r w:rsidRPr="00C9680B">
        <w:t>o</w:t>
      </w:r>
      <w:r w:rsidRPr="00C9680B">
        <w:t>nomiska vårpropositionen år 2001. Regeringen föreslår att anslaget skall uppgå till 3 270 mkr för år 2001. Ökningen i förhållande till anslage</w:t>
      </w:r>
      <w:r w:rsidRPr="00C9680B">
        <w:t>ts tidigare nivå beror främst på det svenska ordförandeskapet i EU våren 2001. För år 2002 beräknas anslaget till 2 854 mkr och för år 2003 till 2 917 mkr.</w:t>
      </w:r>
    </w:p>
    <w:p w:rsidR="001C7BF9" w:rsidRPr="00C9680B" w:rsidRDefault="001C7BF9">
      <w:pPr>
        <w:pStyle w:val="Normaltindrag"/>
      </w:pPr>
      <w:r w:rsidRPr="00C9680B">
        <w:t xml:space="preserve">Regeringen föreslår att anslaget </w:t>
      </w:r>
      <w:r w:rsidRPr="00C9680B">
        <w:rPr>
          <w:i/>
        </w:rPr>
        <w:t>Stöd till politiska partier</w:t>
      </w:r>
      <w:r w:rsidRPr="00C9680B">
        <w:t>, som består av partistöd och kanslistöd, skall uppgå till 145 mkr för år 2001. Anslaget berä</w:t>
      </w:r>
      <w:r w:rsidRPr="00C9680B">
        <w:t>k</w:t>
      </w:r>
      <w:r w:rsidRPr="00C9680B">
        <w:t xml:space="preserve">nas till 145 mkr för såväl år 2002 som år 2003. </w:t>
      </w:r>
    </w:p>
    <w:p w:rsidR="001C7BF9" w:rsidRPr="00C9680B" w:rsidRDefault="001C7BF9">
      <w:pPr>
        <w:pStyle w:val="Rubrik2"/>
      </w:pPr>
      <w:bookmarkStart w:id="818" w:name="_Toc496672780"/>
      <w:bookmarkStart w:id="819" w:name="_Toc498838089"/>
      <w:r w:rsidRPr="00C9680B">
        <w:t>Skrivelsen</w:t>
      </w:r>
      <w:bookmarkEnd w:id="818"/>
      <w:bookmarkEnd w:id="819"/>
    </w:p>
    <w:p w:rsidR="001C7BF9" w:rsidRPr="00C9680B" w:rsidRDefault="001C7BF9">
      <w:r w:rsidRPr="00C9680B">
        <w:t>I regeringens skrivelse 1999/2000:150 Årsredovisning för staten 1999 lämnar regeringen en redogörelse för det ekonomiska utfallet i staten budgetåret 1999.</w:t>
      </w:r>
    </w:p>
    <w:p w:rsidR="001C7BF9" w:rsidRPr="00C9680B" w:rsidRDefault="001C7BF9">
      <w:pPr>
        <w:pStyle w:val="Normaltindrag"/>
      </w:pPr>
      <w:r w:rsidRPr="00C9680B">
        <w:t xml:space="preserve">För utgiftsområde 1 blev utfallet 4 541 mkr, dvs. 362 mkr (8,6 %) högre än vad som anges i statsbudgeten. Ökningen förklaras till stor del, 185 mkr, av en förbrukning av tidigare års anslagssparande på anslaget C 1 </w:t>
      </w:r>
      <w:r w:rsidRPr="00C9680B">
        <w:rPr>
          <w:i/>
        </w:rPr>
        <w:t>Regering</w:t>
      </w:r>
      <w:r w:rsidRPr="00C9680B">
        <w:rPr>
          <w:i/>
        </w:rPr>
        <w:t>s</w:t>
      </w:r>
      <w:r w:rsidRPr="00C9680B">
        <w:rPr>
          <w:i/>
        </w:rPr>
        <w:t>kansliet m.m.</w:t>
      </w:r>
      <w:r w:rsidRPr="00C9680B">
        <w:t xml:space="preserve"> och på äldreanslaget från budgetåret 1995/96 B 2 </w:t>
      </w:r>
      <w:r w:rsidRPr="00C9680B">
        <w:rPr>
          <w:i/>
        </w:rPr>
        <w:t>Samarbete och utveckling inom Östersjöregionen</w:t>
      </w:r>
      <w:r w:rsidRPr="00C9680B">
        <w:t>, den s.k. Östersj</w:t>
      </w:r>
      <w:r w:rsidRPr="00C9680B">
        <w:t>ö</w:t>
      </w:r>
      <w:r w:rsidRPr="00C9680B">
        <w:t>miljarden.</w:t>
      </w:r>
    </w:p>
    <w:p w:rsidR="001C7BF9" w:rsidRPr="00C9680B" w:rsidRDefault="001C7BF9">
      <w:pPr>
        <w:pStyle w:val="Rubrik2"/>
      </w:pPr>
      <w:bookmarkStart w:id="820" w:name="_Toc496672781"/>
      <w:bookmarkStart w:id="821" w:name="_Toc498838090"/>
      <w:r w:rsidRPr="00C9680B">
        <w:t>Motionerna</w:t>
      </w:r>
      <w:bookmarkEnd w:id="820"/>
      <w:bookmarkEnd w:id="821"/>
    </w:p>
    <w:p w:rsidR="001C7BF9" w:rsidRPr="00C9680B" w:rsidRDefault="001C7BF9">
      <w:r w:rsidRPr="00C9680B">
        <w:t>I följande tablå redovisas budgetpropositionens och motionernas förslag till utgiftsramar.</w:t>
      </w:r>
    </w:p>
    <w:p w:rsidR="001C7BF9" w:rsidRPr="00C9680B" w:rsidRDefault="001C7BF9">
      <w:pPr>
        <w:pStyle w:val="Tabellrubrik"/>
        <w:spacing w:before="240"/>
        <w:outlineLvl w:val="0"/>
      </w:pPr>
      <w:r w:rsidRPr="00C9680B">
        <w:t>Förslag till ram för utgiftsområde 1 Rikets styrelse</w:t>
      </w:r>
    </w:p>
    <w:p w:rsidR="001C7BF9" w:rsidRPr="00C9680B" w:rsidRDefault="001C7BF9">
      <w:pPr>
        <w:pStyle w:val="Tabellrubrik"/>
        <w:keepLines/>
        <w:spacing w:before="123"/>
        <w:outlineLvl w:val="0"/>
        <w:rPr>
          <w:b/>
        </w:rPr>
      </w:pPr>
      <w:r w:rsidRPr="00C9680B">
        <w:rPr>
          <w:b/>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C9680B">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pPr>
          </w:p>
        </w:tc>
        <w:tc>
          <w:tcPr>
            <w:tcW w:w="1253" w:type="dxa"/>
            <w:gridSpan w:val="4"/>
            <w:tcBorders>
              <w:top w:val="single" w:sz="6" w:space="0" w:color="000000"/>
            </w:tcBorders>
          </w:tcPr>
          <w:p w:rsidR="001C7BF9" w:rsidRPr="00C9680B" w:rsidRDefault="001C7BF9">
            <w:pPr>
              <w:pStyle w:val="Tabell"/>
              <w:keepLines/>
              <w:jc w:val="center"/>
            </w:pPr>
          </w:p>
        </w:tc>
        <w:tc>
          <w:tcPr>
            <w:tcW w:w="142" w:type="dxa"/>
            <w:tcBorders>
              <w:top w:val="single" w:sz="6" w:space="0" w:color="000000"/>
            </w:tcBorders>
          </w:tcPr>
          <w:p w:rsidR="001C7BF9" w:rsidRPr="00C9680B" w:rsidRDefault="001C7BF9">
            <w:pPr>
              <w:pStyle w:val="Tabell"/>
              <w:keepLines/>
            </w:pPr>
          </w:p>
        </w:tc>
        <w:tc>
          <w:tcPr>
            <w:tcW w:w="1769" w:type="dxa"/>
            <w:gridSpan w:val="4"/>
            <w:tcBorders>
              <w:top w:val="single" w:sz="6" w:space="0" w:color="000000"/>
            </w:tcBorders>
          </w:tcPr>
          <w:p w:rsidR="001C7BF9" w:rsidRPr="00C9680B" w:rsidRDefault="001C7BF9">
            <w:pPr>
              <w:pStyle w:val="Tabell"/>
              <w:keepLines/>
            </w:pPr>
          </w:p>
        </w:tc>
      </w:tr>
      <w:tr w:rsidR="00000000" w:rsidRPr="00C9680B">
        <w:tblPrEx>
          <w:tblCellMar>
            <w:top w:w="0" w:type="dxa"/>
            <w:left w:w="0" w:type="dxa"/>
            <w:bottom w:w="0" w:type="dxa"/>
            <w:right w:w="0" w:type="dxa"/>
          </w:tblCellMar>
        </w:tblPrEx>
        <w:trPr>
          <w:trHeight w:hRule="exact" w:val="200"/>
        </w:trPr>
        <w:tc>
          <w:tcPr>
            <w:tcW w:w="454" w:type="dxa"/>
          </w:tcPr>
          <w:p w:rsidR="001C7BF9" w:rsidRPr="00C9680B" w:rsidRDefault="001C7BF9">
            <w:pPr>
              <w:pStyle w:val="Tabell"/>
              <w:keepLines/>
              <w:jc w:val="left"/>
            </w:pPr>
            <w:r w:rsidRPr="00C9680B">
              <w:t>År</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jc w:val="center"/>
            </w:pPr>
            <w:r w:rsidRPr="00C9680B">
              <w:t>Proposi-</w:t>
            </w:r>
          </w:p>
        </w:tc>
        <w:tc>
          <w:tcPr>
            <w:tcW w:w="142" w:type="dxa"/>
          </w:tcPr>
          <w:p w:rsidR="001C7BF9" w:rsidRPr="00C9680B" w:rsidRDefault="001C7BF9">
            <w:pPr>
              <w:pStyle w:val="Tabell"/>
              <w:keepLines/>
            </w:pPr>
          </w:p>
        </w:tc>
        <w:tc>
          <w:tcPr>
            <w:tcW w:w="4053" w:type="dxa"/>
            <w:gridSpan w:val="11"/>
            <w:tcBorders>
              <w:bottom w:val="single" w:sz="4" w:space="0" w:color="auto"/>
            </w:tcBorders>
          </w:tcPr>
          <w:p w:rsidR="001C7BF9" w:rsidRPr="00C9680B" w:rsidRDefault="001C7BF9">
            <w:pPr>
              <w:pStyle w:val="Tabell"/>
              <w:keepLines/>
            </w:pPr>
            <w:r w:rsidRPr="00C9680B">
              <w:t>Oppositionspartiernas avvikelser från propositionens ram</w:t>
            </w:r>
          </w:p>
        </w:tc>
      </w:tr>
      <w:tr w:rsidR="00000000" w:rsidRPr="00C9680B">
        <w:tblPrEx>
          <w:tblCellMar>
            <w:top w:w="0" w:type="dxa"/>
            <w:left w:w="0" w:type="dxa"/>
            <w:bottom w:w="0" w:type="dxa"/>
            <w:right w:w="0" w:type="dxa"/>
          </w:tblCellMar>
        </w:tblPrEx>
        <w:trPr>
          <w:trHeight w:hRule="exact" w:val="660"/>
        </w:trPr>
        <w:tc>
          <w:tcPr>
            <w:tcW w:w="454" w:type="dxa"/>
            <w:tcBorders>
              <w:bottom w:val="single" w:sz="6" w:space="0" w:color="auto"/>
            </w:tcBorders>
          </w:tcPr>
          <w:p w:rsidR="001C7BF9" w:rsidRPr="00C9680B" w:rsidRDefault="001C7BF9">
            <w:pPr>
              <w:pStyle w:val="Tabell"/>
              <w:keepLines/>
            </w:pPr>
          </w:p>
        </w:tc>
        <w:tc>
          <w:tcPr>
            <w:tcW w:w="57" w:type="dxa"/>
            <w:tcBorders>
              <w:bottom w:val="single" w:sz="6" w:space="0" w:color="auto"/>
            </w:tcBorders>
          </w:tcPr>
          <w:p w:rsidR="001C7BF9" w:rsidRPr="00C9680B" w:rsidRDefault="001C7BF9">
            <w:pPr>
              <w:pStyle w:val="Tabell"/>
              <w:keepLines/>
            </w:pPr>
          </w:p>
        </w:tc>
        <w:tc>
          <w:tcPr>
            <w:tcW w:w="964" w:type="dxa"/>
            <w:gridSpan w:val="2"/>
            <w:tcBorders>
              <w:bottom w:val="single" w:sz="6" w:space="0" w:color="auto"/>
            </w:tcBorders>
          </w:tcPr>
          <w:p w:rsidR="001C7BF9" w:rsidRPr="00C9680B" w:rsidRDefault="001C7BF9">
            <w:pPr>
              <w:pStyle w:val="Tabell"/>
              <w:keepLines/>
              <w:jc w:val="left"/>
            </w:pPr>
            <w:r w:rsidRPr="00C9680B">
              <w:t xml:space="preserve">    tionen</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rPr>
                <w:sz w:val="16"/>
              </w:rPr>
            </w:pPr>
          </w:p>
          <w:p w:rsidR="001C7BF9" w:rsidRPr="00C9680B" w:rsidRDefault="001C7BF9">
            <w:pPr>
              <w:pStyle w:val="Tabell"/>
              <w:keepLines/>
            </w:pPr>
            <w:r w:rsidRPr="00C9680B">
              <w:t>Moderata samlings-partiet</w:t>
            </w:r>
          </w:p>
        </w:tc>
        <w:tc>
          <w:tcPr>
            <w:tcW w:w="142" w:type="dxa"/>
            <w:gridSpan w:val="2"/>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Kristdemo-kraterna</w:t>
            </w:r>
          </w:p>
        </w:tc>
        <w:tc>
          <w:tcPr>
            <w:tcW w:w="142" w:type="dxa"/>
            <w:tcBorders>
              <w:bottom w:val="single" w:sz="6" w:space="0" w:color="auto"/>
            </w:tcBorders>
          </w:tcPr>
          <w:p w:rsidR="001C7BF9" w:rsidRPr="00C9680B" w:rsidRDefault="001C7BF9">
            <w:pPr>
              <w:pStyle w:val="Tabell"/>
              <w:keepLines/>
              <w:spacing w:before="90"/>
            </w:pPr>
          </w:p>
        </w:tc>
        <w:tc>
          <w:tcPr>
            <w:tcW w:w="792" w:type="dxa"/>
            <w:gridSpan w:val="3"/>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 xml:space="preserve">   Center-</w:t>
            </w:r>
          </w:p>
          <w:p w:rsidR="001C7BF9" w:rsidRPr="00C9680B" w:rsidRDefault="001C7BF9">
            <w:pPr>
              <w:pStyle w:val="Tabell"/>
              <w:keepLines/>
            </w:pPr>
            <w:r w:rsidRPr="00C9680B">
              <w:t xml:space="preserve">   partiet</w:t>
            </w:r>
          </w:p>
        </w:tc>
        <w:tc>
          <w:tcPr>
            <w:tcW w:w="141" w:type="dxa"/>
            <w:tcBorders>
              <w:bottom w:val="single" w:sz="6" w:space="0" w:color="auto"/>
            </w:tcBorders>
          </w:tcPr>
          <w:p w:rsidR="001C7BF9" w:rsidRPr="00C9680B" w:rsidRDefault="001C7BF9">
            <w:pPr>
              <w:pStyle w:val="Tabell"/>
              <w:keepLines/>
            </w:pPr>
          </w:p>
        </w:tc>
        <w:tc>
          <w:tcPr>
            <w:tcW w:w="1134" w:type="dxa"/>
            <w:gridSpan w:val="2"/>
            <w:tcBorders>
              <w:bottom w:val="single" w:sz="6" w:space="0" w:color="auto"/>
            </w:tcBorders>
          </w:tcPr>
          <w:p w:rsidR="001C7BF9" w:rsidRPr="00C9680B" w:rsidRDefault="001C7BF9">
            <w:pPr>
              <w:pStyle w:val="Tabell"/>
              <w:keepLines/>
              <w:spacing w:line="-80" w:lineRule="auto"/>
            </w:pPr>
          </w:p>
          <w:p w:rsidR="001C7BF9" w:rsidRPr="00C9680B" w:rsidRDefault="001C7BF9">
            <w:pPr>
              <w:pStyle w:val="Tabell"/>
              <w:keepLines/>
            </w:pPr>
            <w:r w:rsidRPr="00C9680B">
              <w:t>Folkpartiet liberalerna</w:t>
            </w:r>
          </w:p>
        </w:tc>
      </w:tr>
      <w:tr w:rsidR="00000000" w:rsidRPr="00C9680B">
        <w:tblPrEx>
          <w:tblCellMar>
            <w:top w:w="0" w:type="dxa"/>
            <w:left w:w="0" w:type="dxa"/>
            <w:bottom w:w="0" w:type="dxa"/>
            <w:right w:w="0" w:type="dxa"/>
          </w:tblCellMar>
        </w:tblPrEx>
        <w:trPr>
          <w:trHeight w:hRule="exact" w:val="60"/>
        </w:trPr>
        <w:tc>
          <w:tcPr>
            <w:tcW w:w="454" w:type="dxa"/>
          </w:tcPr>
          <w:p w:rsidR="001C7BF9" w:rsidRPr="00C9680B" w:rsidRDefault="001C7BF9">
            <w:pPr>
              <w:pStyle w:val="Tabell"/>
              <w:keepLines/>
            </w:pP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jc w:val="center"/>
            </w:pPr>
          </w:p>
        </w:tc>
        <w:tc>
          <w:tcPr>
            <w:tcW w:w="142" w:type="dxa"/>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gridSpan w:val="2"/>
          </w:tcPr>
          <w:p w:rsidR="001C7BF9" w:rsidRPr="00C9680B" w:rsidRDefault="001C7BF9">
            <w:pPr>
              <w:pStyle w:val="Tabell"/>
              <w:keepLines/>
            </w:pPr>
          </w:p>
        </w:tc>
        <w:tc>
          <w:tcPr>
            <w:tcW w:w="851" w:type="dxa"/>
          </w:tcPr>
          <w:p w:rsidR="001C7BF9" w:rsidRPr="00C9680B" w:rsidRDefault="001C7BF9">
            <w:pPr>
              <w:pStyle w:val="Tabell"/>
              <w:keepLines/>
            </w:pPr>
          </w:p>
        </w:tc>
        <w:tc>
          <w:tcPr>
            <w:tcW w:w="142" w:type="dxa"/>
          </w:tcPr>
          <w:p w:rsidR="001C7BF9" w:rsidRPr="00C9680B" w:rsidRDefault="001C7BF9">
            <w:pPr>
              <w:pStyle w:val="Tabell"/>
              <w:keepLines/>
            </w:pPr>
          </w:p>
        </w:tc>
        <w:tc>
          <w:tcPr>
            <w:tcW w:w="792" w:type="dxa"/>
            <w:gridSpan w:val="3"/>
          </w:tcPr>
          <w:p w:rsidR="001C7BF9" w:rsidRPr="00C9680B" w:rsidRDefault="001C7BF9">
            <w:pPr>
              <w:pStyle w:val="Tabell"/>
              <w:keepLines/>
              <w:ind w:right="38"/>
              <w:jc w:val="right"/>
            </w:pPr>
          </w:p>
        </w:tc>
        <w:tc>
          <w:tcPr>
            <w:tcW w:w="141" w:type="dxa"/>
          </w:tcPr>
          <w:p w:rsidR="001C7BF9" w:rsidRPr="00C9680B" w:rsidRDefault="001C7BF9">
            <w:pPr>
              <w:pStyle w:val="Tabell"/>
              <w:keepLines/>
            </w:pPr>
          </w:p>
        </w:tc>
        <w:tc>
          <w:tcPr>
            <w:tcW w:w="1134" w:type="dxa"/>
            <w:gridSpan w:val="2"/>
          </w:tcPr>
          <w:p w:rsidR="001C7BF9" w:rsidRPr="00C9680B" w:rsidRDefault="001C7BF9">
            <w:pPr>
              <w:pStyle w:val="Tabell"/>
              <w:keepLines/>
            </w:pPr>
          </w:p>
        </w:tc>
      </w:tr>
      <w:tr w:rsidR="00000000" w:rsidRPr="00C9680B">
        <w:tblPrEx>
          <w:tblCellMar>
            <w:top w:w="0" w:type="dxa"/>
            <w:left w:w="0" w:type="dxa"/>
            <w:bottom w:w="0" w:type="dxa"/>
            <w:right w:w="0" w:type="dxa"/>
          </w:tblCellMar>
        </w:tblPrEx>
        <w:tc>
          <w:tcPr>
            <w:tcW w:w="454" w:type="dxa"/>
          </w:tcPr>
          <w:p w:rsidR="001C7BF9" w:rsidRPr="00C9680B" w:rsidRDefault="001C7BF9">
            <w:pPr>
              <w:pStyle w:val="Tabell"/>
              <w:keepLines/>
            </w:pPr>
            <w:r w:rsidRPr="00C9680B">
              <w:t>2001</w:t>
            </w:r>
          </w:p>
        </w:tc>
        <w:tc>
          <w:tcPr>
            <w:tcW w:w="57" w:type="dxa"/>
          </w:tcPr>
          <w:p w:rsidR="001C7BF9" w:rsidRPr="00C9680B" w:rsidRDefault="001C7BF9">
            <w:pPr>
              <w:pStyle w:val="Tabell"/>
              <w:keepLines/>
            </w:pPr>
          </w:p>
        </w:tc>
        <w:tc>
          <w:tcPr>
            <w:tcW w:w="964" w:type="dxa"/>
            <w:gridSpan w:val="2"/>
          </w:tcPr>
          <w:p w:rsidR="001C7BF9" w:rsidRPr="00C9680B" w:rsidRDefault="001C7BF9">
            <w:pPr>
              <w:pStyle w:val="Tabell"/>
              <w:keepLines/>
              <w:ind w:right="199"/>
              <w:jc w:val="right"/>
            </w:pPr>
            <w:r w:rsidRPr="00C9680B">
              <w:t>5 316</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-377</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-560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-307</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-760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c>
          <w:tcPr>
            <w:tcW w:w="454" w:type="dxa"/>
          </w:tcPr>
          <w:p w:rsidR="001C7BF9" w:rsidRPr="00C9680B" w:rsidRDefault="001C7BF9">
            <w:pPr>
              <w:pStyle w:val="Tabell"/>
              <w:keepLines/>
            </w:pPr>
            <w:r w:rsidRPr="00C9680B">
              <w:t>2002</w:t>
            </w:r>
          </w:p>
        </w:tc>
        <w:tc>
          <w:tcPr>
            <w:tcW w:w="57" w:type="dxa"/>
          </w:tcPr>
          <w:p w:rsidR="001C7BF9" w:rsidRPr="00C9680B" w:rsidRDefault="001C7BF9">
            <w:pPr>
              <w:pStyle w:val="Tabell"/>
              <w:keepLines/>
              <w:rPr>
                <w:b/>
              </w:rPr>
            </w:pPr>
          </w:p>
        </w:tc>
        <w:tc>
          <w:tcPr>
            <w:tcW w:w="964" w:type="dxa"/>
            <w:gridSpan w:val="2"/>
          </w:tcPr>
          <w:p w:rsidR="001C7BF9" w:rsidRPr="00C9680B" w:rsidRDefault="001C7BF9">
            <w:pPr>
              <w:pStyle w:val="Tabell"/>
              <w:keepLines/>
              <w:ind w:right="199"/>
              <w:jc w:val="right"/>
            </w:pPr>
            <w:r w:rsidRPr="00C9680B">
              <w:t>5 135</w:t>
            </w:r>
          </w:p>
        </w:tc>
        <w:tc>
          <w:tcPr>
            <w:tcW w:w="142" w:type="dxa"/>
          </w:tcPr>
          <w:p w:rsidR="001C7BF9" w:rsidRPr="00C9680B" w:rsidRDefault="001C7BF9">
            <w:pPr>
              <w:pStyle w:val="Tabell"/>
              <w:keepLines/>
            </w:pPr>
          </w:p>
        </w:tc>
        <w:tc>
          <w:tcPr>
            <w:tcW w:w="851" w:type="dxa"/>
          </w:tcPr>
          <w:p w:rsidR="001C7BF9" w:rsidRPr="00C9680B" w:rsidRDefault="001C7BF9">
            <w:pPr>
              <w:pStyle w:val="Tabell"/>
              <w:keepLines/>
              <w:ind w:right="170"/>
              <w:jc w:val="right"/>
            </w:pPr>
            <w:r w:rsidRPr="00C9680B">
              <w:t>-639</w:t>
            </w:r>
          </w:p>
        </w:tc>
        <w:tc>
          <w:tcPr>
            <w:tcW w:w="142" w:type="dxa"/>
            <w:gridSpan w:val="2"/>
          </w:tcPr>
          <w:p w:rsidR="001C7BF9" w:rsidRPr="00C9680B" w:rsidRDefault="001C7BF9">
            <w:pPr>
              <w:pStyle w:val="Tabell"/>
              <w:keepLines/>
              <w:ind w:right="170"/>
              <w:jc w:val="right"/>
            </w:pPr>
          </w:p>
        </w:tc>
        <w:tc>
          <w:tcPr>
            <w:tcW w:w="851" w:type="dxa"/>
          </w:tcPr>
          <w:p w:rsidR="001C7BF9" w:rsidRPr="00C9680B" w:rsidRDefault="001C7BF9">
            <w:pPr>
              <w:pStyle w:val="Tabell"/>
              <w:keepLines/>
              <w:ind w:right="170"/>
              <w:jc w:val="right"/>
            </w:pPr>
            <w:r w:rsidRPr="00C9680B">
              <w:t>-430</w:t>
            </w:r>
          </w:p>
        </w:tc>
        <w:tc>
          <w:tcPr>
            <w:tcW w:w="142" w:type="dxa"/>
          </w:tcPr>
          <w:p w:rsidR="001C7BF9" w:rsidRPr="00C9680B" w:rsidRDefault="001C7BF9">
            <w:pPr>
              <w:pStyle w:val="Tabell"/>
              <w:keepLines/>
              <w:ind w:right="170"/>
              <w:jc w:val="right"/>
            </w:pPr>
          </w:p>
        </w:tc>
        <w:tc>
          <w:tcPr>
            <w:tcW w:w="792" w:type="dxa"/>
            <w:gridSpan w:val="3"/>
          </w:tcPr>
          <w:p w:rsidR="001C7BF9" w:rsidRPr="00C9680B" w:rsidRDefault="001C7BF9">
            <w:pPr>
              <w:pStyle w:val="Tabell"/>
              <w:keepLines/>
              <w:ind w:right="170"/>
              <w:jc w:val="right"/>
            </w:pPr>
            <w:r w:rsidRPr="00C9680B">
              <w:t>-610</w:t>
            </w:r>
          </w:p>
        </w:tc>
        <w:tc>
          <w:tcPr>
            <w:tcW w:w="141" w:type="dxa"/>
          </w:tcPr>
          <w:p w:rsidR="001C7BF9" w:rsidRPr="00C9680B" w:rsidRDefault="001C7BF9">
            <w:pPr>
              <w:pStyle w:val="Tabell"/>
              <w:keepLines/>
              <w:jc w:val="left"/>
            </w:pPr>
          </w:p>
        </w:tc>
        <w:tc>
          <w:tcPr>
            <w:tcW w:w="936" w:type="dxa"/>
          </w:tcPr>
          <w:p w:rsidR="001C7BF9" w:rsidRPr="00C9680B" w:rsidRDefault="001C7BF9">
            <w:pPr>
              <w:pStyle w:val="Tabell"/>
              <w:keepLines/>
              <w:ind w:right="170"/>
              <w:jc w:val="right"/>
            </w:pPr>
            <w:r w:rsidRPr="00C9680B">
              <w:t>-630</w:t>
            </w:r>
          </w:p>
        </w:tc>
        <w:tc>
          <w:tcPr>
            <w:tcW w:w="198" w:type="dxa"/>
          </w:tcPr>
          <w:p w:rsidR="001C7BF9" w:rsidRPr="00C9680B" w:rsidRDefault="001C7BF9">
            <w:pPr>
              <w:pStyle w:val="Tabell"/>
              <w:keepLines/>
              <w:ind w:right="170"/>
              <w:jc w:val="right"/>
            </w:pPr>
          </w:p>
        </w:tc>
      </w:tr>
      <w:tr w:rsidR="00000000" w:rsidRPr="00C9680B">
        <w:tblPrEx>
          <w:tblCellMar>
            <w:top w:w="0" w:type="dxa"/>
            <w:left w:w="0" w:type="dxa"/>
            <w:bottom w:w="0" w:type="dxa"/>
            <w:right w:w="0" w:type="dxa"/>
          </w:tblCellMar>
        </w:tblPrEx>
        <w:trPr>
          <w:trHeight w:hRule="exact" w:val="260"/>
        </w:trPr>
        <w:tc>
          <w:tcPr>
            <w:tcW w:w="454" w:type="dxa"/>
            <w:tcBorders>
              <w:bottom w:val="single" w:sz="6" w:space="0" w:color="auto"/>
            </w:tcBorders>
          </w:tcPr>
          <w:p w:rsidR="001C7BF9" w:rsidRPr="00C9680B" w:rsidRDefault="001C7BF9">
            <w:pPr>
              <w:pStyle w:val="Tabell"/>
              <w:keepLines/>
            </w:pPr>
            <w:r w:rsidRPr="00C9680B">
              <w:t>2003</w:t>
            </w:r>
          </w:p>
        </w:tc>
        <w:tc>
          <w:tcPr>
            <w:tcW w:w="57" w:type="dxa"/>
            <w:tcBorders>
              <w:bottom w:val="single" w:sz="6" w:space="0" w:color="auto"/>
            </w:tcBorders>
          </w:tcPr>
          <w:p w:rsidR="001C7BF9" w:rsidRPr="00C9680B" w:rsidRDefault="001C7BF9">
            <w:pPr>
              <w:pStyle w:val="Tabell"/>
              <w:keepLines/>
              <w:rPr>
                <w:b/>
              </w:rPr>
            </w:pPr>
          </w:p>
        </w:tc>
        <w:tc>
          <w:tcPr>
            <w:tcW w:w="964" w:type="dxa"/>
            <w:gridSpan w:val="2"/>
            <w:tcBorders>
              <w:bottom w:val="single" w:sz="6" w:space="0" w:color="auto"/>
            </w:tcBorders>
          </w:tcPr>
          <w:p w:rsidR="001C7BF9" w:rsidRPr="00C9680B" w:rsidRDefault="001C7BF9">
            <w:pPr>
              <w:pStyle w:val="Tabell"/>
              <w:keepLines/>
              <w:ind w:right="199"/>
              <w:jc w:val="right"/>
            </w:pPr>
            <w:r w:rsidRPr="00C9680B">
              <w:t>5 021</w:t>
            </w:r>
          </w:p>
        </w:tc>
        <w:tc>
          <w:tcPr>
            <w:tcW w:w="142" w:type="dxa"/>
            <w:tcBorders>
              <w:bottom w:val="single" w:sz="6" w:space="0" w:color="auto"/>
            </w:tcBorders>
          </w:tcPr>
          <w:p w:rsidR="001C7BF9" w:rsidRPr="00C9680B" w:rsidRDefault="001C7BF9">
            <w:pPr>
              <w:pStyle w:val="Tabell"/>
              <w:keepLines/>
            </w:pPr>
          </w:p>
        </w:tc>
        <w:tc>
          <w:tcPr>
            <w:tcW w:w="851" w:type="dxa"/>
            <w:tcBorders>
              <w:bottom w:val="single" w:sz="6" w:space="0" w:color="auto"/>
            </w:tcBorders>
          </w:tcPr>
          <w:p w:rsidR="001C7BF9" w:rsidRPr="00C9680B" w:rsidRDefault="001C7BF9">
            <w:pPr>
              <w:pStyle w:val="Tabell"/>
              <w:keepLines/>
              <w:ind w:right="170"/>
              <w:jc w:val="right"/>
            </w:pPr>
            <w:r w:rsidRPr="00C9680B">
              <w:t>-634</w:t>
            </w:r>
          </w:p>
        </w:tc>
        <w:tc>
          <w:tcPr>
            <w:tcW w:w="142" w:type="dxa"/>
            <w:gridSpan w:val="2"/>
            <w:tcBorders>
              <w:bottom w:val="single" w:sz="6" w:space="0" w:color="auto"/>
            </w:tcBorders>
          </w:tcPr>
          <w:p w:rsidR="001C7BF9" w:rsidRPr="00C9680B" w:rsidRDefault="001C7BF9">
            <w:pPr>
              <w:pStyle w:val="Tabell"/>
              <w:keepLines/>
              <w:ind w:right="170"/>
              <w:jc w:val="right"/>
            </w:pPr>
          </w:p>
        </w:tc>
        <w:tc>
          <w:tcPr>
            <w:tcW w:w="851" w:type="dxa"/>
            <w:tcBorders>
              <w:bottom w:val="single" w:sz="6" w:space="0" w:color="auto"/>
            </w:tcBorders>
          </w:tcPr>
          <w:p w:rsidR="001C7BF9" w:rsidRPr="00C9680B" w:rsidRDefault="001C7BF9">
            <w:pPr>
              <w:pStyle w:val="Tabell"/>
              <w:keepLines/>
              <w:ind w:right="170"/>
              <w:jc w:val="right"/>
            </w:pPr>
            <w:r w:rsidRPr="00C9680B">
              <w:t>-330</w:t>
            </w:r>
          </w:p>
        </w:tc>
        <w:tc>
          <w:tcPr>
            <w:tcW w:w="142" w:type="dxa"/>
            <w:tcBorders>
              <w:bottom w:val="single" w:sz="6" w:space="0" w:color="auto"/>
            </w:tcBorders>
          </w:tcPr>
          <w:p w:rsidR="001C7BF9" w:rsidRPr="00C9680B" w:rsidRDefault="001C7BF9">
            <w:pPr>
              <w:pStyle w:val="Tabell"/>
              <w:keepLines/>
              <w:ind w:right="170"/>
              <w:jc w:val="right"/>
            </w:pPr>
          </w:p>
        </w:tc>
        <w:tc>
          <w:tcPr>
            <w:tcW w:w="792" w:type="dxa"/>
            <w:gridSpan w:val="3"/>
            <w:tcBorders>
              <w:bottom w:val="single" w:sz="6" w:space="0" w:color="auto"/>
            </w:tcBorders>
          </w:tcPr>
          <w:p w:rsidR="001C7BF9" w:rsidRPr="00C9680B" w:rsidRDefault="001C7BF9">
            <w:pPr>
              <w:pStyle w:val="Tabell"/>
              <w:keepLines/>
              <w:ind w:right="170"/>
              <w:jc w:val="right"/>
            </w:pPr>
            <w:r w:rsidRPr="00C9680B">
              <w:t>-536</w:t>
            </w:r>
          </w:p>
        </w:tc>
        <w:tc>
          <w:tcPr>
            <w:tcW w:w="141" w:type="dxa"/>
            <w:tcBorders>
              <w:bottom w:val="single" w:sz="6" w:space="0" w:color="auto"/>
            </w:tcBorders>
          </w:tcPr>
          <w:p w:rsidR="001C7BF9" w:rsidRPr="00C9680B" w:rsidRDefault="001C7BF9">
            <w:pPr>
              <w:pStyle w:val="Tabell"/>
              <w:keepLines/>
              <w:jc w:val="left"/>
            </w:pPr>
          </w:p>
        </w:tc>
        <w:tc>
          <w:tcPr>
            <w:tcW w:w="936" w:type="dxa"/>
            <w:tcBorders>
              <w:bottom w:val="single" w:sz="6" w:space="0" w:color="auto"/>
            </w:tcBorders>
          </w:tcPr>
          <w:p w:rsidR="001C7BF9" w:rsidRPr="00C9680B" w:rsidRDefault="001C7BF9">
            <w:pPr>
              <w:pStyle w:val="Tabell"/>
              <w:keepLines/>
              <w:ind w:right="170"/>
              <w:jc w:val="right"/>
            </w:pPr>
            <w:r w:rsidRPr="00C9680B">
              <w:t>-685</w:t>
            </w:r>
          </w:p>
        </w:tc>
        <w:tc>
          <w:tcPr>
            <w:tcW w:w="198" w:type="dxa"/>
            <w:tcBorders>
              <w:bottom w:val="single" w:sz="6" w:space="0" w:color="auto"/>
            </w:tcBorders>
          </w:tcPr>
          <w:p w:rsidR="001C7BF9" w:rsidRPr="00C9680B" w:rsidRDefault="001C7BF9">
            <w:pPr>
              <w:pStyle w:val="Tabell"/>
              <w:keepLines/>
              <w:ind w:right="170"/>
              <w:jc w:val="right"/>
            </w:pPr>
          </w:p>
        </w:tc>
      </w:tr>
    </w:tbl>
    <w:p w:rsidR="001C7BF9" w:rsidRPr="00C9680B" w:rsidRDefault="001C7BF9">
      <w:pPr>
        <w:pStyle w:val="Odefinierat"/>
      </w:pPr>
    </w:p>
    <w:p w:rsidR="001C7BF9" w:rsidRPr="00C9680B" w:rsidRDefault="001C7BF9">
      <w:r w:rsidRPr="00C9680B">
        <w:rPr>
          <w:i/>
        </w:rPr>
        <w:t>Moderata samlingspartiet</w:t>
      </w:r>
      <w:r w:rsidRPr="00C9680B">
        <w:t xml:space="preserve"> föreslår i sin partimotion Fi208 yrkande 5 (delvis) en sänkning för utgiftsområde 1 med 377,4 mkr jämfört med förslagen i bu</w:t>
      </w:r>
      <w:r w:rsidRPr="00C9680B">
        <w:t>d</w:t>
      </w:r>
      <w:r w:rsidRPr="00C9680B">
        <w:t>getpropositionen. Partistödet bör enligt Moderata samlingspartiet minskas med en tredjedel, 96,8 mkr fr.o.m. budgetåret 2001 för att därefter successivt avvecklas. Även presstödet anser (m) bör avvecklas. Partiet föreslår en a</w:t>
      </w:r>
      <w:r w:rsidRPr="00C9680B">
        <w:t>v</w:t>
      </w:r>
      <w:r w:rsidRPr="00C9680B">
        <w:t>veckling i två steg, varav det första infaller år 2001. Det innebär en besparing på 300 mkr jämfört med regeringens förslag. Genom att presstödet avskaffas bor</w:t>
      </w:r>
      <w:r w:rsidRPr="00C9680B">
        <w:t>tfaller en av Presstödsnämndens huvuduppgifter, varför nämnden enligt Moderata samlingspartiet bör avvecklas fr.o.m. år 2002. Vidare anser partiet att 19,460 mkr skall avsätts till särskilda projekt för att upplysa om kommu</w:t>
      </w:r>
      <w:r w:rsidRPr="00C9680B">
        <w:t>n</w:t>
      </w:r>
      <w:r w:rsidRPr="00C9680B">
        <w:t>ismens förbrytelser mot mänskligheten. Besparingarna för år 2002 uppgår till 639,3 mkr och för år 2003 till 634,4 mkr (yrkande 6 delvis).</w:t>
      </w:r>
    </w:p>
    <w:p w:rsidR="001C7BF9" w:rsidRPr="00C9680B" w:rsidRDefault="001C7BF9">
      <w:pPr>
        <w:pStyle w:val="Normaltindrag"/>
        <w:rPr>
          <w:snapToGrid w:val="0"/>
          <w:lang w:eastAsia="sv-SE"/>
        </w:rPr>
      </w:pPr>
      <w:r w:rsidRPr="00C9680B">
        <w:rPr>
          <w:i/>
        </w:rPr>
        <w:t>Kristdemokraterna</w:t>
      </w:r>
      <w:r w:rsidRPr="00C9680B">
        <w:t xml:space="preserve"> föreslår i partimotion Fi209 att </w:t>
      </w:r>
      <w:r w:rsidRPr="00C9680B">
        <w:rPr>
          <w:snapToGrid w:val="0"/>
          <w:lang w:eastAsia="sv-SE"/>
        </w:rPr>
        <w:t>ramen för utgiftsomr</w:t>
      </w:r>
      <w:r w:rsidRPr="00C9680B">
        <w:rPr>
          <w:snapToGrid w:val="0"/>
          <w:lang w:eastAsia="sv-SE"/>
        </w:rPr>
        <w:t>å</w:t>
      </w:r>
      <w:r w:rsidRPr="00C9680B">
        <w:rPr>
          <w:snapToGrid w:val="0"/>
          <w:lang w:eastAsia="sv-SE"/>
        </w:rPr>
        <w:t>det minskas med 560 mkr för år 2001 jämfört med regeringens förslag (y</w:t>
      </w:r>
      <w:r w:rsidRPr="00C9680B">
        <w:rPr>
          <w:snapToGrid w:val="0"/>
          <w:lang w:eastAsia="sv-SE"/>
        </w:rPr>
        <w:t>r</w:t>
      </w:r>
      <w:r w:rsidRPr="00C9680B">
        <w:rPr>
          <w:snapToGrid w:val="0"/>
          <w:lang w:eastAsia="sv-SE"/>
        </w:rPr>
        <w:t>kande 6 delvis). Partiet anser att presstödet kan minskas med totalt 124 mkr, bl.a. med hänvisning till att en storstadstidning med omfattande presstöd upphört att komma ut. Anslaget till Regeringskansliet bör minskas med 430 mkr för år 2001, eftersom utveckling och anpassning av Regeringskansl</w:t>
      </w:r>
      <w:r w:rsidRPr="00C9680B">
        <w:rPr>
          <w:snapToGrid w:val="0"/>
          <w:lang w:eastAsia="sv-SE"/>
        </w:rPr>
        <w:t>i</w:t>
      </w:r>
      <w:r w:rsidRPr="00C9680B">
        <w:rPr>
          <w:snapToGrid w:val="0"/>
          <w:lang w:eastAsia="sv-SE"/>
        </w:rPr>
        <w:t>et enligt Kristdemokraterna kan ske genom organisationsförändringar och rationaliseringar.</w:t>
      </w:r>
      <w:r w:rsidRPr="00C9680B">
        <w:rPr>
          <w:snapToGrid w:val="0"/>
          <w:lang w:eastAsia="sv-SE"/>
        </w:rPr>
        <w:t xml:space="preserve"> För åren 2002 och 2003 bör anslaget minskas med 300 mkr respektive 200 mkr. I avvaktan på att en översyn görs av Datainspektionens verksamhet anser partiet att besparingar kan göras på 6 mkr årligen. Besp</w:t>
      </w:r>
      <w:r w:rsidRPr="00C9680B">
        <w:rPr>
          <w:snapToGrid w:val="0"/>
          <w:lang w:eastAsia="sv-SE"/>
        </w:rPr>
        <w:t>a</w:t>
      </w:r>
      <w:r w:rsidRPr="00C9680B">
        <w:rPr>
          <w:snapToGrid w:val="0"/>
          <w:lang w:eastAsia="sv-SE"/>
        </w:rPr>
        <w:t>ringarna på utgiftsområdet för år 2002 uppgår till 430 mkr och för år 2003 till 330 mkr (yrkande 7 delvis).</w:t>
      </w:r>
    </w:p>
    <w:p w:rsidR="001C7BF9" w:rsidRPr="00C9680B" w:rsidRDefault="001C7BF9">
      <w:pPr>
        <w:pStyle w:val="Normaltindrag"/>
        <w:rPr>
          <w:snapToGrid w:val="0"/>
          <w:lang w:eastAsia="sv-SE"/>
        </w:rPr>
      </w:pPr>
      <w:r w:rsidRPr="00C9680B">
        <w:rPr>
          <w:i/>
          <w:snapToGrid w:val="0"/>
          <w:lang w:eastAsia="sv-SE"/>
        </w:rPr>
        <w:t>Centerpartiet</w:t>
      </w:r>
      <w:r w:rsidRPr="00C9680B">
        <w:rPr>
          <w:snapToGrid w:val="0"/>
          <w:lang w:eastAsia="sv-SE"/>
        </w:rPr>
        <w:t xml:space="preserve"> föreslår i sin partimotion Fi210 yrkande 4 (delvis) en mins</w:t>
      </w:r>
      <w:r w:rsidRPr="00C9680B">
        <w:rPr>
          <w:snapToGrid w:val="0"/>
          <w:lang w:eastAsia="sv-SE"/>
        </w:rPr>
        <w:t>k</w:t>
      </w:r>
      <w:r w:rsidRPr="00C9680B">
        <w:rPr>
          <w:snapToGrid w:val="0"/>
          <w:lang w:eastAsia="sv-SE"/>
        </w:rPr>
        <w:t>ning av utgiftsramen för år 2001 med 307 mkr. För åren 2002 och 2003 för</w:t>
      </w:r>
      <w:r w:rsidRPr="00C9680B">
        <w:rPr>
          <w:snapToGrid w:val="0"/>
          <w:lang w:eastAsia="sv-SE"/>
        </w:rPr>
        <w:t>e</w:t>
      </w:r>
      <w:r w:rsidRPr="00C9680B">
        <w:rPr>
          <w:snapToGrid w:val="0"/>
          <w:lang w:eastAsia="sv-SE"/>
        </w:rPr>
        <w:t>slår partiet minskningar med 610 mkr respektive 536 mkr (yrkande 5 delvis).</w:t>
      </w:r>
    </w:p>
    <w:p w:rsidR="001C7BF9" w:rsidRPr="00C9680B" w:rsidRDefault="001C7BF9">
      <w:pPr>
        <w:pStyle w:val="Normaltindrag"/>
      </w:pPr>
      <w:r w:rsidRPr="00C9680B">
        <w:rPr>
          <w:i/>
        </w:rPr>
        <w:t>Folkpartiet liberalerna</w:t>
      </w:r>
      <w:r w:rsidRPr="00C9680B">
        <w:t xml:space="preserve"> föreslår i partimotion Fi211 yrkande 6 (delvis) en sänkning av ramen för utgiftsområdet för år 2001 med 760 mkr jämfört med förslaget i budgetpropositionen. I fråga om presstödet föreslås en minskning med 400 mkr med hänvisning till att det nu råder en helt ny situation i fö</w:t>
      </w:r>
      <w:r w:rsidRPr="00C9680B">
        <w:t>r</w:t>
      </w:r>
      <w:r w:rsidRPr="00C9680B">
        <w:t>hållande till vad som gällde när det infördes. Anslaget till Regeringskansliet m.m. anser partiet bör minskas med 330 mkr, eftersom</w:t>
      </w:r>
      <w:r w:rsidRPr="00C9680B">
        <w:rPr>
          <w:snapToGrid w:val="0"/>
          <w:lang w:eastAsia="sv-SE"/>
        </w:rPr>
        <w:t xml:space="preserve"> den nuvarande reg</w:t>
      </w:r>
      <w:r w:rsidRPr="00C9680B">
        <w:rPr>
          <w:snapToGrid w:val="0"/>
          <w:lang w:eastAsia="sv-SE"/>
        </w:rPr>
        <w:t>e</w:t>
      </w:r>
      <w:r w:rsidRPr="00C9680B">
        <w:rPr>
          <w:snapToGrid w:val="0"/>
          <w:lang w:eastAsia="sv-SE"/>
        </w:rPr>
        <w:t>ringens politiserande ambitioner har varit för stora</w:t>
      </w:r>
      <w:r w:rsidRPr="00C9680B">
        <w:t>.</w:t>
      </w:r>
      <w:r w:rsidRPr="00C9680B">
        <w:rPr>
          <w:snapToGrid w:val="0"/>
          <w:lang w:eastAsia="sv-SE"/>
        </w:rPr>
        <w:t xml:space="preserve"> Genom en mera begrä</w:t>
      </w:r>
      <w:r w:rsidRPr="00C9680B">
        <w:rPr>
          <w:snapToGrid w:val="0"/>
          <w:lang w:eastAsia="sv-SE"/>
        </w:rPr>
        <w:t>n</w:t>
      </w:r>
      <w:r w:rsidRPr="00C9680B">
        <w:rPr>
          <w:snapToGrid w:val="0"/>
          <w:lang w:eastAsia="sv-SE"/>
        </w:rPr>
        <w:t xml:space="preserve">sad ökning </w:t>
      </w:r>
      <w:r w:rsidRPr="00C9680B">
        <w:rPr>
          <w:snapToGrid w:val="0"/>
          <w:lang w:eastAsia="sv-SE"/>
        </w:rPr>
        <w:t>än den regeringen planerar kan de krav som EU-ordförandeskapet under det första halvåret 2001 ställer väl tillgodoses.</w:t>
      </w:r>
      <w:r w:rsidRPr="00C9680B">
        <w:t xml:space="preserve"> Vidare vill Folkpartiet liberalerna att partiernas </w:t>
      </w:r>
      <w:r w:rsidRPr="00C9680B">
        <w:rPr>
          <w:snapToGrid w:val="0"/>
          <w:lang w:eastAsia="sv-SE"/>
        </w:rPr>
        <w:t>beroende av offentliga medel på sikt skall begränsas och föreslår därför en minskning av partistödet med 30 mkr för år 2001. B</w:t>
      </w:r>
      <w:r w:rsidRPr="00C9680B">
        <w:rPr>
          <w:snapToGrid w:val="0"/>
          <w:lang w:eastAsia="sv-SE"/>
        </w:rPr>
        <w:t>e</w:t>
      </w:r>
      <w:r w:rsidRPr="00C9680B">
        <w:rPr>
          <w:snapToGrid w:val="0"/>
          <w:lang w:eastAsia="sv-SE"/>
        </w:rPr>
        <w:t>träffande åren 2002 och 2003 föreslås besparingar inom utgiftsområdet på sammanlagt 630 mkr respektive 685 mkr (yrkande 8 delvis).</w:t>
      </w:r>
    </w:p>
    <w:p w:rsidR="001C7BF9" w:rsidRPr="00C9680B" w:rsidRDefault="001C7BF9">
      <w:pPr>
        <w:pStyle w:val="Rubrik2"/>
      </w:pPr>
      <w:bookmarkStart w:id="822" w:name="_Toc496672782"/>
      <w:bookmarkStart w:id="823" w:name="_Toc498838091"/>
      <w:r w:rsidRPr="00C9680B">
        <w:t>Utskottets bedömning</w:t>
      </w:r>
      <w:bookmarkEnd w:id="822"/>
      <w:bookmarkEnd w:id="823"/>
    </w:p>
    <w:p w:rsidR="001C7BF9" w:rsidRPr="00C9680B" w:rsidRDefault="001C7BF9">
      <w:r w:rsidRPr="00C9680B">
        <w:t>Utskottet tillstyrker att riksdagen för budgetåret 2001 beslutar om utgiftsr</w:t>
      </w:r>
      <w:r w:rsidRPr="00C9680B">
        <w:t>a</w:t>
      </w:r>
      <w:r w:rsidRPr="00C9680B">
        <w:t>men för utgiftsområde 1 Rikets styrelse i enlighet med vad som anförs i bu</w:t>
      </w:r>
      <w:r w:rsidRPr="00C9680B">
        <w:t>d</w:t>
      </w:r>
      <w:r w:rsidRPr="00C9680B">
        <w:t>getpropositionen volym 1, avsnitt 7.1, tabell 7.2. Detta innebär att utgiftso</w:t>
      </w:r>
      <w:r w:rsidRPr="00C9680B">
        <w:t>m</w:t>
      </w:r>
      <w:r w:rsidRPr="00C9680B">
        <w:t>råde 1 anvisas 5 316 203 000 kr.</w:t>
      </w:r>
    </w:p>
    <w:p w:rsidR="001C7BF9" w:rsidRPr="00C9680B" w:rsidRDefault="001C7BF9">
      <w:pPr>
        <w:pStyle w:val="Normaltindrag"/>
      </w:pPr>
      <w:r w:rsidRPr="00C9680B">
        <w:t>Vidare tillstyrker utskottet att riksdagen för budgetåren 2002 och 2003 godkänner regeringens förslag till preliminära ramar för utgiftsområde 1 som riktlinjer för regeringens budgetarbete. Dessa ramar föreslås uppgå till 5 135 mkr respektive 5 021 mkr.</w:t>
      </w:r>
    </w:p>
    <w:p w:rsidR="001C7BF9" w:rsidRPr="00C9680B" w:rsidRDefault="001C7BF9">
      <w:pPr>
        <w:pStyle w:val="Normaltindrag"/>
      </w:pPr>
      <w:r w:rsidRPr="00C9680B">
        <w:t>Utskottets ställningstagande innebär att utskottet avstyrker motionerna Fi208 yrkandena 5 och 6 (m), Fi209 yrkandena 6 och 7 (kd), Fi210 yrkandena 4 och 5 (c) och Fi211 yrkandena 6 och 8 (fp).</w:t>
      </w:r>
    </w:p>
    <w:p w:rsidR="001C7BF9" w:rsidRPr="00C9680B" w:rsidRDefault="001C7BF9">
      <w:r w:rsidRPr="00C9680B">
        <w:t>Utskottet har inga invändningar mot att regeringens skrivelse 1999/2000:150 Årsredovisningen för staten 1999 läggs till handlinga</w:t>
      </w:r>
      <w:r w:rsidRPr="00C9680B">
        <w:t>r</w:t>
      </w:r>
      <w:r w:rsidRPr="00C9680B">
        <w:t>na.</w:t>
      </w:r>
    </w:p>
    <w:p w:rsidR="001C7BF9" w:rsidRPr="00C9680B" w:rsidRDefault="001C7BF9">
      <w:pPr>
        <w:pStyle w:val="Stockholm"/>
        <w:outlineLvl w:val="0"/>
      </w:pPr>
      <w:r w:rsidRPr="00C9680B">
        <w:t xml:space="preserve">Stockholm den 24 oktober 2000 </w:t>
      </w:r>
    </w:p>
    <w:p w:rsidR="001C7BF9" w:rsidRPr="00C9680B" w:rsidRDefault="001C7BF9">
      <w:pPr>
        <w:pStyle w:val="Vgnar"/>
        <w:outlineLvl w:val="0"/>
      </w:pPr>
      <w:r w:rsidRPr="00C9680B">
        <w:t>På konstitutionsutskottets vägnar</w:t>
      </w:r>
    </w:p>
    <w:p w:rsidR="001C7BF9" w:rsidRPr="00C9680B" w:rsidRDefault="001C7BF9">
      <w:pPr>
        <w:pStyle w:val="Ordfnamn"/>
      </w:pPr>
      <w:r w:rsidRPr="00C9680B">
        <w:t xml:space="preserve">Per Unckel </w:t>
      </w:r>
    </w:p>
    <w:p w:rsidR="001C7BF9" w:rsidRPr="00C9680B" w:rsidRDefault="001C7BF9">
      <w:pPr>
        <w:pStyle w:val="Deltagare"/>
        <w:rPr>
          <w:noProof w:val="0"/>
        </w:rPr>
      </w:pPr>
      <w:r w:rsidRPr="00C9680B">
        <w:rPr>
          <w:noProof w:val="0"/>
        </w:rPr>
        <w:t>I beslutet har deltagit: Per Unckel (m), Göran Magnusson (s), Barbro Hietala Nordlund (s), Pär Axel Sahlberg (s), Kenneth Kvist (v), Ingvar Svensson (kd), Mats Berglind (s), Kenth Högström (s), Mats Einarsson (v), Björn von der Esch (kd), Nils Fredrik Aurelius (m), Per Lager (mp), Åsa Torstensson (c), Helena Bargholtz (fp), Britt-Marie Lindkvist (s), Per-Samuel Nisser (m) och Carl-Erik Skårman (m).</w:t>
      </w:r>
    </w:p>
    <w:p w:rsidR="001C7BF9" w:rsidRPr="00C9680B" w:rsidRDefault="001C7BF9">
      <w:pPr>
        <w:pStyle w:val="Rubrik2"/>
      </w:pPr>
      <w:bookmarkStart w:id="824" w:name="Ordförande"/>
      <w:bookmarkStart w:id="825" w:name="Deltagare"/>
      <w:bookmarkStart w:id="826" w:name="_Toc496672783"/>
      <w:bookmarkStart w:id="827" w:name="_Toc498838092"/>
      <w:bookmarkEnd w:id="824"/>
      <w:bookmarkEnd w:id="825"/>
      <w:r w:rsidRPr="00C9680B">
        <w:t>Avvikande meningar</w:t>
      </w:r>
      <w:bookmarkEnd w:id="826"/>
      <w:bookmarkEnd w:id="827"/>
    </w:p>
    <w:p w:rsidR="001C7BF9" w:rsidRPr="00C9680B" w:rsidRDefault="001C7BF9">
      <w:r w:rsidRPr="00C9680B">
        <w:t>1. Per Unckel, Nils Fredrik Aurelius, Per-Samuel Nisser och Carl-Erik Skå</w:t>
      </w:r>
      <w:r w:rsidRPr="00C9680B">
        <w:t>r</w:t>
      </w:r>
      <w:r w:rsidRPr="00C9680B">
        <w:t>man (alla m), anser att den del av utskottets yttrande i avsnittet Utskottets bedömning som börjar med ”Utskottet tillstyrker” och slutar med ”6 och 8 (fp)” bort ha fö</w:t>
      </w:r>
      <w:r w:rsidRPr="00C9680B">
        <w:t>l</w:t>
      </w:r>
      <w:r w:rsidRPr="00C9680B">
        <w:t>jande lydelse:</w:t>
      </w:r>
    </w:p>
    <w:p w:rsidR="001C7BF9" w:rsidRPr="00C9680B" w:rsidRDefault="001C7BF9">
      <w:pPr>
        <w:pStyle w:val="Normaltindrag"/>
      </w:pPr>
      <w:r w:rsidRPr="00C9680B">
        <w:t>Utskottet avstyrker propositionens förslag och förslagen i motionerna Fi209 (kd), Fi210 (c) och Fi211 (fp) till utgiftsram för utgiftsområde 1 Rikets styrelse för budgetåret 2001 och tillstyrker förslaget i motion Fi208 (m) y</w:t>
      </w:r>
      <w:r w:rsidRPr="00C9680B">
        <w:t>r</w:t>
      </w:r>
      <w:r w:rsidRPr="00C9680B">
        <w:t>kande 5, som innebär att riksdagen för budgetåret 2001 anvisar 4 939 000 000 kr till utgiftsområdet.</w:t>
      </w:r>
    </w:p>
    <w:p w:rsidR="001C7BF9" w:rsidRPr="00C9680B" w:rsidRDefault="001C7BF9">
      <w:pPr>
        <w:pStyle w:val="Normaltindrag"/>
      </w:pPr>
      <w:r w:rsidRPr="00C9680B">
        <w:t>Utskottet avstyrker vidare propositionens förslag och förslagen i motione</w:t>
      </w:r>
      <w:r w:rsidRPr="00C9680B">
        <w:t>r</w:t>
      </w:r>
      <w:r w:rsidRPr="00C9680B">
        <w:t>na Fi209 (kd), Fi210 (c) och Fi211 (fp) vad avser den preliminära fördelnin</w:t>
      </w:r>
      <w:r w:rsidRPr="00C9680B">
        <w:t>g</w:t>
      </w:r>
      <w:r w:rsidRPr="00C9680B">
        <w:t>en av utgifterna på utgiftsområden för 2002 och 2003 och tillstyrker motionen Fi208 (m) yrkande 6, som innebär att riksdagen för budgetåren 2002 och 2003 godkänner en preliminär utgiftsram för utgiftsområde 1 på 4 496 mkr respektive 4 387 mkr som riktlinjer för regeringens budgeta</w:t>
      </w:r>
      <w:r w:rsidRPr="00C9680B">
        <w:t>r</w:t>
      </w:r>
      <w:r w:rsidRPr="00C9680B">
        <w:t>bete.</w:t>
      </w:r>
    </w:p>
    <w:p w:rsidR="001C7BF9" w:rsidRPr="00C9680B" w:rsidRDefault="001C7BF9">
      <w:r w:rsidRPr="00C9680B">
        <w:t>2. Ingvar Svensson och Björn von der Esch (båda kd), anser att den del av utskottets yttrande i avsnittet Utskottets bedömning som börjar med ”Utsk</w:t>
      </w:r>
      <w:r w:rsidRPr="00C9680B">
        <w:t>ottet tillstyrker” och slutar med ”6 och 8 (fp)” bort ha följande lyde</w:t>
      </w:r>
      <w:r w:rsidRPr="00C9680B">
        <w:t>l</w:t>
      </w:r>
      <w:r w:rsidRPr="00C9680B">
        <w:t>se:</w:t>
      </w:r>
    </w:p>
    <w:p w:rsidR="001C7BF9" w:rsidRPr="00C9680B" w:rsidRDefault="001C7BF9">
      <w:pPr>
        <w:pStyle w:val="Normaltindrag"/>
      </w:pPr>
      <w:r w:rsidRPr="00C9680B">
        <w:t>Utskottet avstyrker propositionens förslag och förslagen i motionerna Fi208 (m), Fi210 (c) och Fi211 (fp) till utgiftsram för utgiftsområde 1 Rikets styrelse för budgetåret 2001 och tillstyrker förslaget i motion Fi209 (kd) yrkande 6, som innebär att riksdagen för budgetåret 2001 anvisar 4 756 203 000 kr till utgiftsområdet.</w:t>
      </w:r>
    </w:p>
    <w:p w:rsidR="001C7BF9" w:rsidRPr="00C9680B" w:rsidRDefault="001C7BF9">
      <w:pPr>
        <w:pStyle w:val="Normaltindrag"/>
      </w:pPr>
      <w:r w:rsidRPr="00C9680B">
        <w:t>Utskottet avstyrker vidare propositionens förslag och förslagen i motione</w:t>
      </w:r>
      <w:r w:rsidRPr="00C9680B">
        <w:t>r</w:t>
      </w:r>
      <w:r w:rsidRPr="00C9680B">
        <w:t>na Fi208 (m), Fi210 (c) och Fi211 (fp) vad avser den preliminära fördelnin</w:t>
      </w:r>
      <w:r w:rsidRPr="00C9680B">
        <w:t>g</w:t>
      </w:r>
      <w:r w:rsidRPr="00C9680B">
        <w:t>en av utgifterna på utgiftsområden för 2002 och 2003 och tillstyrker motion Fi209 (kd) yrkande 7, som innebär att riksdagen för budgetåren 2002 och 2003 godkänner en preliminär utgiftsram för utgiftsområde 1 på 4 705 mkr respektive 4 691 mkr som riktlinjer för regeringens budgeta</w:t>
      </w:r>
      <w:r w:rsidRPr="00C9680B">
        <w:t>r</w:t>
      </w:r>
      <w:r w:rsidRPr="00C9680B">
        <w:t>bete.</w:t>
      </w:r>
    </w:p>
    <w:p w:rsidR="001C7BF9" w:rsidRPr="00C9680B" w:rsidRDefault="001C7BF9">
      <w:r w:rsidRPr="00C9680B">
        <w:t>3. Åsa Torstensson (c) anser att den del av utskottets yttrande i avsnittet U</w:t>
      </w:r>
      <w:r w:rsidRPr="00C9680B">
        <w:t>t</w:t>
      </w:r>
      <w:r w:rsidRPr="00C9680B">
        <w:t>skottets bedömning som börjar med ”Utskottet tillstyrker” och slutar med ”6 och 8 (fp)” bort ha följande lydelse:</w:t>
      </w:r>
    </w:p>
    <w:p w:rsidR="001C7BF9" w:rsidRPr="00C9680B" w:rsidRDefault="001C7BF9">
      <w:pPr>
        <w:pStyle w:val="Normaltindrag"/>
      </w:pPr>
      <w:r w:rsidRPr="00C9680B">
        <w:t>Utskottet avstyrker propositionens förslag och förslagen i motionerna Fi208 (m), Fi209 (kd) och Fi211 (fp) till utgiftsram för utgiftsområde 1 Rikets styrelse för budgetåret 2001 och tillstyrker förslaget i motion Fi210 (c) y</w:t>
      </w:r>
      <w:r w:rsidRPr="00C9680B">
        <w:t>r</w:t>
      </w:r>
      <w:r w:rsidRPr="00C9680B">
        <w:t>kande 4, som innebär att riksdagen för budgetåret 2001 anvisar 5 009 203 000 kr till utgiftsområdet.</w:t>
      </w:r>
    </w:p>
    <w:p w:rsidR="001C7BF9" w:rsidRPr="00C9680B" w:rsidRDefault="001C7BF9">
      <w:pPr>
        <w:pStyle w:val="Normaltindrag"/>
      </w:pPr>
      <w:r w:rsidRPr="00C9680B">
        <w:t>Utskottet avstyrker vidare propositionens förslag och förslagen i motione</w:t>
      </w:r>
      <w:r w:rsidRPr="00C9680B">
        <w:t>r</w:t>
      </w:r>
      <w:r w:rsidRPr="00C9680B">
        <w:t>na Fi208 (m), Fi209 (kd) och Fi211 (fp) vad avser den preliminära förde</w:t>
      </w:r>
      <w:r w:rsidRPr="00C9680B">
        <w:t>l</w:t>
      </w:r>
      <w:r w:rsidRPr="00C9680B">
        <w:t>ningen av utgifterna på utgiftsområden för 2002 och 2003 och tillstyrker motion Fi210 (c) yrkande 5, som innebär att riksdagen för budgetåren 2002 och 2003 godkänner en preliminär utgiftsram för utgiftsområde 1 på 4 525 mkr respektive 4 485 mkr som riktlinjer för regeringens budg</w:t>
      </w:r>
      <w:r w:rsidRPr="00C9680B">
        <w:t>e</w:t>
      </w:r>
      <w:r w:rsidRPr="00C9680B">
        <w:t>tarbete.</w:t>
      </w:r>
    </w:p>
    <w:p w:rsidR="001C7BF9" w:rsidRPr="00C9680B" w:rsidRDefault="001C7BF9">
      <w:r w:rsidRPr="00C9680B">
        <w:t xml:space="preserve">4. Helena Bargholtz (fp) anser att den del av utskottets yttrande i avsnittet Utskottets bedömning som börjar med ”Utskottet tillstyrker” och slutar </w:t>
      </w:r>
      <w:r w:rsidRPr="00C9680B">
        <w:t>med ”6 och 8 (fp)” bort ha följande lydelse:</w:t>
      </w:r>
    </w:p>
    <w:p w:rsidR="001C7BF9" w:rsidRPr="00C9680B" w:rsidRDefault="001C7BF9">
      <w:pPr>
        <w:pStyle w:val="Normaltindrag"/>
      </w:pPr>
      <w:r w:rsidRPr="00C9680B">
        <w:t>Utskottet avstyrker propositionens förslag och förslagen i motionerna Fi208 (m), Fi209 (kd) och Fi210 (c) till utgiftsram för utgiftsområde 1 Rikets styrelse för budgetåret 2001 och tillstyrker förslaget i motion Fi211 (fp) y</w:t>
      </w:r>
      <w:r w:rsidRPr="00C9680B">
        <w:t>r</w:t>
      </w:r>
      <w:r w:rsidRPr="00C9680B">
        <w:t>kande 6, som innebär att riksdagen för budgetåret 2001 anvisar 4 556 000 000 kr till utgiftsområdet.</w:t>
      </w:r>
    </w:p>
    <w:p w:rsidR="001C7BF9" w:rsidRPr="00C9680B" w:rsidRDefault="001C7BF9">
      <w:pPr>
        <w:pStyle w:val="Normaltindrag"/>
      </w:pPr>
      <w:r w:rsidRPr="00C9680B">
        <w:t>Utskottet avstyrker vidare propositionens förslag och förslagen i motione</w:t>
      </w:r>
      <w:r w:rsidRPr="00C9680B">
        <w:t>r</w:t>
      </w:r>
      <w:r w:rsidRPr="00C9680B">
        <w:t>na Fi208 (m), Fi209 (kd) och Fi210 (c) vad avser den preliminära fördelnin</w:t>
      </w:r>
      <w:r w:rsidRPr="00C9680B">
        <w:t>g</w:t>
      </w:r>
      <w:r w:rsidRPr="00C9680B">
        <w:t>en av utgifterna på utgiftsområden för 2002 och 2003 och tillstyrker motion Fi211 (fp) yrkande 8, som innebär att riksdagen för budgetåren 2002 och 2003 godkänner en preliminär utgiftsram på utgiftsområde 1 på 4 505 mkr respektive 4 336 mkr som riktlinjer för regeringens budg</w:t>
      </w:r>
      <w:r w:rsidRPr="00C9680B">
        <w:t>e</w:t>
      </w:r>
      <w:r w:rsidRPr="00C9680B">
        <w:t>tarbete.</w:t>
      </w:r>
    </w:p>
    <w:p w:rsidR="001C7BF9" w:rsidRPr="00C9680B" w:rsidRDefault="001C7BF9">
      <w:pPr>
        <w:pStyle w:val="Normaltindrag"/>
      </w:pPr>
    </w:p>
    <w:p w:rsidR="001C7BF9" w:rsidRPr="00C9680B" w:rsidRDefault="001C7BF9">
      <w:pPr>
        <w:pStyle w:val="Normaltindrag"/>
        <w:sectPr w:rsidR="00000000" w:rsidRPr="00C9680B">
          <w:headerReference w:type="even" r:id="rId111"/>
          <w:headerReference w:type="default" r:id="rId112"/>
          <w:footerReference w:type="even" r:id="rId113"/>
          <w:footerReference w:type="default" r:id="rId114"/>
          <w:headerReference w:type="first" r:id="rId115"/>
          <w:footerReference w:type="first" r:id="rId116"/>
          <w:footnotePr>
            <w:numRestart w:val="eachSect"/>
          </w:footnotePr>
          <w:pgSz w:w="11906" w:h="16838" w:code="9"/>
          <w:pgMar w:top="907" w:right="4649" w:bottom="4508" w:left="1304" w:header="340" w:footer="227" w:gutter="0"/>
          <w:cols w:space="720"/>
          <w:titlePg/>
        </w:sectPr>
      </w:pPr>
    </w:p>
    <w:p w:rsidR="001C7BF9" w:rsidRPr="00C9680B" w:rsidRDefault="001C7BF9">
      <w:pPr>
        <w:pStyle w:val="Bilaga"/>
      </w:pPr>
      <w:bookmarkStart w:id="828" w:name="_Toc498838093"/>
      <w:r w:rsidRPr="00C9680B">
        <w:t>bilaga 6</w:t>
      </w:r>
    </w:p>
    <w:p w:rsidR="001C7BF9" w:rsidRPr="00C9680B" w:rsidRDefault="001C7BF9">
      <w:pPr>
        <w:pStyle w:val="Rubrik1"/>
        <w:spacing w:after="0"/>
        <w:rPr>
          <w:noProof w:val="0"/>
        </w:rPr>
      </w:pPr>
      <w:r w:rsidRPr="00C9680B">
        <w:rPr>
          <w:noProof w:val="0"/>
        </w:rPr>
        <w:t>Skatteutskottets yttrande</w:t>
      </w:r>
      <w:bookmarkEnd w:id="828"/>
    </w:p>
    <w:p w:rsidR="001C7BF9" w:rsidRPr="00C9680B" w:rsidRDefault="001C7BF9">
      <w:pPr>
        <w:pStyle w:val="R1"/>
        <w:spacing w:after="250"/>
      </w:pPr>
      <w:r w:rsidRPr="00C9680B">
        <w:t>2000/01:SkU1y</w:t>
      </w:r>
    </w:p>
    <w:p w:rsidR="001C7BF9" w:rsidRPr="00C9680B" w:rsidRDefault="001C7BF9">
      <w:pPr>
        <w:pStyle w:val="Rubrik2"/>
        <w:spacing w:before="0"/>
      </w:pPr>
      <w:r w:rsidRPr="00C9680B">
        <w:t>Skattefrågor i budgetpropositionen</w:t>
      </w:r>
    </w:p>
    <w:p w:rsidR="001C7BF9" w:rsidRPr="00C9680B" w:rsidRDefault="001C7BF9">
      <w:pPr>
        <w:pStyle w:val="R1"/>
        <w:spacing w:before="480" w:after="240"/>
        <w:outlineLvl w:val="0"/>
      </w:pPr>
      <w:r w:rsidRPr="00C9680B">
        <w:t>Till finansutskottet</w:t>
      </w:r>
    </w:p>
    <w:p w:rsidR="001C7BF9" w:rsidRPr="00C9680B" w:rsidRDefault="001C7BF9">
      <w:pPr>
        <w:pStyle w:val="Rubrik1b"/>
        <w:spacing w:before="120"/>
        <w:outlineLvl w:val="0"/>
      </w:pPr>
      <w:bookmarkStart w:id="829" w:name="_Toc497720003"/>
      <w:bookmarkStart w:id="830" w:name="_Toc498838094"/>
      <w:r w:rsidRPr="00C9680B">
        <w:t>Sammanfattning</w:t>
      </w:r>
      <w:bookmarkEnd w:id="829"/>
      <w:bookmarkEnd w:id="830"/>
    </w:p>
    <w:p w:rsidR="001C7BF9" w:rsidRPr="00C9680B" w:rsidRDefault="001C7BF9">
      <w:r w:rsidRPr="00C9680B">
        <w:t>Utskottet tillstyrker de förslag som regeringen lägger fram och har inte någon erinran mot de bedömningar som regeringen redovisar.</w:t>
      </w:r>
    </w:p>
    <w:p w:rsidR="001C7BF9" w:rsidRPr="00C9680B" w:rsidRDefault="001C7BF9">
      <w:pPr>
        <w:pStyle w:val="Normaltindrag"/>
      </w:pPr>
      <w:r w:rsidRPr="00C9680B">
        <w:t>Inför inkomståret 2001 utformas inkomstbeskattningen på följande sätt. Grundavdraget höjs till 10 000 kr, pensionärernas särskilda grundavdrag höjs med 1 200 kr för ensamstående och 1 100 kr för gifta, låginkomsttagarnas skattereduktion om 1 320 kr behålls och kompensationen för den allmänna pensionsavgiften höjs till 50 %. I syfte att sänka andelen som betalar statlig inkomstskatt till 16 % sätts gränsen för uttag av statlig inkomstskatt vid en taxerad inkomst på 271 500 kr. Gränsen för uttag av 25 % stat</w:t>
      </w:r>
      <w:r w:rsidRPr="00C9680B">
        <w:t>lig inkomstskatt sätts vid en taxerad inkomst om 411 100 kr. Avdraget för kostnader för resor med egen bil mellan bostad och arbetsplats, i tjänsten och i näringsverksa</w:t>
      </w:r>
      <w:r w:rsidRPr="00C9680B">
        <w:t>m</w:t>
      </w:r>
      <w:r w:rsidRPr="00C9680B">
        <w:softHyphen/>
        <w:t>het höjs från 15 till 16 kr per mil. Avdragen för resor med förmånsbil höjs med 1 krona.</w:t>
      </w:r>
    </w:p>
    <w:p w:rsidR="001C7BF9" w:rsidRPr="00C9680B" w:rsidRDefault="001C7BF9">
      <w:pPr>
        <w:pStyle w:val="Normaltindrag"/>
      </w:pPr>
      <w:r w:rsidRPr="00C9680B">
        <w:t>Fastighetsskatten sänks för att begränsa effekten när taxeringsvärdet åte</w:t>
      </w:r>
      <w:r w:rsidRPr="00C9680B">
        <w:t>r</w:t>
      </w:r>
      <w:r w:rsidRPr="00C9680B">
        <w:softHyphen/>
        <w:t>ställs vid årsskiftet. Den 1 januari 2001 sänks fastighetsskatten till 1,2 % för småhus och till 0,7 % för hyreshusens bostadsdel. Ett arbete pågår som syftar till att riksdagen under våren 2001 skall kunna föreläggas en begränsnings</w:t>
      </w:r>
      <w:r w:rsidRPr="00C9680B">
        <w:softHyphen/>
        <w:t>regel för fastighetsskatten. Inriktningen är att denna regel skall tillämpas fr.o.m. den 1 januari 2001. Regeringen aviserar också en höjning av fribelop</w:t>
      </w:r>
      <w:r w:rsidRPr="00C9680B">
        <w:softHyphen/>
        <w:t>pen inom förmögenhetsbeskattningen till 1 000 000 kr för ensamstående och till 1 500 000 kr för sambeskattade par. En möjl</w:t>
      </w:r>
      <w:r w:rsidRPr="00C9680B">
        <w:t>ighet att använda det lägsta av 1999 och 2000 års taxeringsvärden vid värdering av bostadsdelen i hyreshus vid 2001 års förmögenhetstaxering införs. Som ett led i finansieringen av dessa åtgärder höjs den skattepliktiga delen av vinsten vid försäljning av privatbostadsfastigheter och privatbostadsrätter från hälften till två tredje</w:t>
      </w:r>
      <w:r w:rsidRPr="00C9680B">
        <w:softHyphen/>
        <w:t>d</w:t>
      </w:r>
      <w:r w:rsidRPr="00C9680B">
        <w:t>e</w:t>
      </w:r>
      <w:r w:rsidRPr="00C9680B">
        <w:t>lar.</w:t>
      </w:r>
    </w:p>
    <w:p w:rsidR="001C7BF9" w:rsidRPr="00C9680B" w:rsidRDefault="001C7BF9">
      <w:pPr>
        <w:pStyle w:val="Normaltindrag"/>
      </w:pPr>
      <w:r w:rsidRPr="00C9680B">
        <w:t>Koldioxidskatten höjs från 37 öre per kg till 53 öre per kg. Samtidigt sänks energiskatten för att begränsa höjningen av punktskatteuttaget enligt följande. Punktskatten p</w:t>
      </w:r>
      <w:r w:rsidRPr="00C9680B">
        <w:t>å eldningsolja stiger från 1 801 kr till 2 215 kr per kbm med motsvarande förändring av skatten på naturgas, gasol, kol etc. Punktskatten på diesel höjs från 2 922 kr per kbm till 3 039 kr per kbm (miljöklass 1). Punktskatten på bensin stiger från 4,47 kr till 4,50 kr per liter (miljöklass 1), vilket motsvarar en beräknad indexuppräkning. När det gäller el höjs punk</w:t>
      </w:r>
      <w:r w:rsidRPr="00C9680B">
        <w:t>t</w:t>
      </w:r>
      <w:r w:rsidRPr="00C9680B">
        <w:t>skatten med 1,9 öre per kWh. För hushåll i allmänhet uppgår punktskatten på el härefter till 18,1 öre per kWh. Skattebelastningen för till</w:t>
      </w:r>
      <w:r w:rsidRPr="00C9680B">
        <w:softHyphen/>
        <w:t>verk</w:t>
      </w:r>
      <w:r w:rsidRPr="00C9680B">
        <w:t>ningsindustrin samt jordbruks-, skogsbruks- och vattennäringarna hålls oförändrad genom att koldioxidskattelät</w:t>
      </w:r>
      <w:r w:rsidRPr="00C9680B">
        <w:t>t</w:t>
      </w:r>
      <w:r w:rsidRPr="00C9680B">
        <w:t xml:space="preserve">naden höjs från 50 % till 65 % av koldioxidskatteuttaget. </w:t>
      </w:r>
    </w:p>
    <w:p w:rsidR="001C7BF9" w:rsidRPr="00C9680B" w:rsidRDefault="001C7BF9">
      <w:pPr>
        <w:pStyle w:val="Normaltindrag"/>
      </w:pPr>
      <w:r w:rsidRPr="00C9680B">
        <w:t>Mervärdesskatten för personbefordran sänks från 12 % till 6 % för att b</w:t>
      </w:r>
      <w:r w:rsidRPr="00C9680B">
        <w:t>a</w:t>
      </w:r>
      <w:r w:rsidRPr="00C9680B">
        <w:t>lansera den kostnadsökning som den höjda dieselskatten kan leda till för kollektivtrafiken och annan yrkesmässig personbefordran.</w:t>
      </w:r>
    </w:p>
    <w:p w:rsidR="001C7BF9" w:rsidRPr="00C9680B" w:rsidRDefault="001C7BF9">
      <w:pPr>
        <w:pStyle w:val="Normaltindrag"/>
      </w:pPr>
      <w:r w:rsidRPr="00C9680B">
        <w:t>Fordonsskatten för dieseldrivna personbilar av 1993 års modell och äldre höjs till den nivå som gäller för övriga dieseldrivna personbilar fr.o.m. den 1 januari 2001. Den återstående försäljningsskatten på lätta lastbilar och bu</w:t>
      </w:r>
      <w:r w:rsidRPr="00C9680B">
        <w:t>s</w:t>
      </w:r>
      <w:r w:rsidRPr="00C9680B">
        <w:t>sar samt motorcyklar avska</w:t>
      </w:r>
      <w:r w:rsidRPr="00C9680B">
        <w:t>f</w:t>
      </w:r>
      <w:r w:rsidRPr="00C9680B">
        <w:t>fas med verkan fr.o.m. den 20 september 2000.</w:t>
      </w:r>
    </w:p>
    <w:p w:rsidR="001C7BF9" w:rsidRPr="00C9680B" w:rsidRDefault="001C7BF9">
      <w:pPr>
        <w:pStyle w:val="Normaltindrag"/>
      </w:pPr>
      <w:r w:rsidRPr="00C9680B">
        <w:t>I övrigt tillstyrks ändringar som rör beskattningen av nordiska sjömän e</w:t>
      </w:r>
      <w:r w:rsidRPr="00C9680B">
        <w:t>n</w:t>
      </w:r>
      <w:r w:rsidRPr="00C9680B">
        <w:t>ligt det nordiska dubbelbeskattningsavtalet, indexeringen av energi- och ko</w:t>
      </w:r>
      <w:r w:rsidRPr="00C9680B">
        <w:t>l</w:t>
      </w:r>
      <w:r w:rsidRPr="00C9680B">
        <w:t xml:space="preserve">dioxidskattesatserna, kalk- och cementindustrins koldioxidskatteuttag och privatinförsel av alkoholdrycker. </w:t>
      </w:r>
    </w:p>
    <w:p w:rsidR="001C7BF9" w:rsidRPr="00C9680B" w:rsidRDefault="001C7BF9">
      <w:pPr>
        <w:pStyle w:val="Normaltindrag"/>
      </w:pPr>
      <w:r w:rsidRPr="00C9680B">
        <w:t>Utskottet föreslår vissa justeringar i lagtexten. Bl.a. korrigeras lagtexten så att höjningen av koldioxidskatten inte slår igenom på naturgas och gasol som används som drivmedel.</w:t>
      </w:r>
    </w:p>
    <w:p w:rsidR="001C7BF9" w:rsidRPr="00C9680B" w:rsidRDefault="001C7BF9">
      <w:pPr>
        <w:pStyle w:val="Normaltindrag"/>
      </w:pPr>
      <w:r w:rsidRPr="00C9680B">
        <w:t>Utskottet tillstyrker regeringens beräkning av statsbudgetens inkomster för budgetåret 2001. Utöver de förslag och bedömningar som redovisats ingår här bl.a. differentierade vägavgifter för tunga fordon, sänkt mervärdesskatt på tillträde till djurparker, särskild skatt för utländska nyckelpersoner och ett särskilt s.k. yrkesfiskaravdrag.</w:t>
      </w:r>
    </w:p>
    <w:p w:rsidR="001C7BF9" w:rsidRPr="00C9680B" w:rsidRDefault="001C7BF9">
      <w:pPr>
        <w:pStyle w:val="Normaltindrag"/>
      </w:pPr>
      <w:r w:rsidRPr="00C9680B">
        <w:t>När det gäller statsbudgetens utgifter behandlar utskottet utgiftsramen för utgiftsområde 3 Skatteförvaltning och uppbörd. Utskottet biträder regeringens förslag till utgiftsram för budgetåret 2001 och förslaget om preliminära u</w:t>
      </w:r>
      <w:r w:rsidRPr="00C9680B">
        <w:t>t</w:t>
      </w:r>
      <w:r w:rsidRPr="00C9680B">
        <w:t xml:space="preserve">giftsramar för budgetåren 2002–2003. </w:t>
      </w:r>
    </w:p>
    <w:p w:rsidR="001C7BF9" w:rsidRPr="00C9680B" w:rsidRDefault="001C7BF9">
      <w:pPr>
        <w:pStyle w:val="Normaltindrag"/>
      </w:pPr>
      <w:r w:rsidRPr="00C9680B">
        <w:t>Utskottet avstyrker samtliga motioner.</w:t>
      </w:r>
    </w:p>
    <w:p w:rsidR="001C7BF9" w:rsidRPr="00C9680B" w:rsidRDefault="001C7BF9">
      <w:pPr>
        <w:pStyle w:val="Normaltindrag"/>
      </w:pPr>
      <w:r w:rsidRPr="00C9680B">
        <w:t>Moderata samlingspartiet, Kristdemokraterna, Centerpartiet och Folk</w:t>
      </w:r>
      <w:r w:rsidRPr="00C9680B">
        <w:softHyphen/>
        <w:t>partiet liberalerna har i avvikande meningar ställt sig bakom de egna budg</w:t>
      </w:r>
      <w:r w:rsidRPr="00C9680B">
        <w:t>e</w:t>
      </w:r>
      <w:r w:rsidRPr="00C9680B">
        <w:t xml:space="preserve">talternativen. Moderaterna, Kristdemokraterna och Folkpartiet har härvid begärt en högre utgiftsram för utgiftsområde 3 Skatteförvaltning och uppbörd. </w:t>
      </w:r>
    </w:p>
    <w:p w:rsidR="001C7BF9" w:rsidRPr="00C9680B" w:rsidRDefault="001C7BF9">
      <w:pPr>
        <w:pStyle w:val="Rubrik1b"/>
        <w:outlineLvl w:val="0"/>
      </w:pPr>
      <w:bookmarkStart w:id="831" w:name="_Toc497720004"/>
      <w:bookmarkStart w:id="832" w:name="_Toc498838095"/>
      <w:r w:rsidRPr="00C9680B">
        <w:t>Inledning</w:t>
      </w:r>
      <w:bookmarkEnd w:id="831"/>
      <w:bookmarkEnd w:id="832"/>
    </w:p>
    <w:p w:rsidR="001C7BF9" w:rsidRPr="00C9680B" w:rsidRDefault="001C7BF9">
      <w:r w:rsidRPr="00C9680B">
        <w:t>Finansutskottet har berett skatteutskottet tillfälle till yttrande över budgetpr</w:t>
      </w:r>
      <w:r w:rsidRPr="00C9680B">
        <w:t>o</w:t>
      </w:r>
      <w:r w:rsidRPr="00C9680B">
        <w:softHyphen/>
        <w:t>positionen för år 2001 i vad avser den ekonomiska politiken och förslaget till statsbudget för budgetåret 2001, utgifternas fördelning på utgiftsområden och beräkningen av statsinkomster, låneramar jämte motioner.</w:t>
      </w:r>
    </w:p>
    <w:p w:rsidR="001C7BF9" w:rsidRPr="00C9680B" w:rsidRDefault="001C7BF9">
      <w:pPr>
        <w:pStyle w:val="Normaltindrag"/>
      </w:pPr>
      <w:r w:rsidRPr="00C9680B">
        <w:t>Budgetpropositionen bygger på en överenskommelse mellan den social</w:t>
      </w:r>
      <w:r w:rsidRPr="00C9680B">
        <w:softHyphen/>
        <w:t>demokratiska regeringen, Vänsterpartiet och Miljöpartiet, vilka står bakom riktlinjerna för den ekonomiska politiken, budgetpolitiken, utgiftstaken, tilläggsbudgeten för 2000, anslagen för 2001 och de nu föreslagna skatte</w:t>
      </w:r>
      <w:r w:rsidRPr="00C9680B">
        <w:softHyphen/>
        <w:t>förändringarna. Samarbetet berör fem områden – ekonomi, sysselsättning, rättvisa, jämställdhet och miljö – och innefattar både konkreta förslag och åtaganden inför framtiden.</w:t>
      </w:r>
    </w:p>
    <w:p w:rsidR="001C7BF9" w:rsidRPr="00C9680B" w:rsidRDefault="001C7BF9">
      <w:pPr>
        <w:pStyle w:val="Normaltindrag"/>
      </w:pPr>
      <w:r w:rsidRPr="00C9680B">
        <w:t>Utskottet behandlar i det följande dels de förslag på skatteområdet som r</w:t>
      </w:r>
      <w:r w:rsidRPr="00C9680B">
        <w:t>e</w:t>
      </w:r>
      <w:r w:rsidRPr="00C9680B">
        <w:t>geringen, Moderata samlingspartiet, Kristdemokraterna, Centerpartiet och Folkpartiet lägger fram (rubriken Statsbudgetens inkomster), dels de förslag om utgiftsramar för Skatteförvaltning och uppbörd under perioden 2001–2003 som ingår i budgetfö</w:t>
      </w:r>
      <w:r w:rsidRPr="00C9680B">
        <w:t>r</w:t>
      </w:r>
      <w:r w:rsidRPr="00C9680B">
        <w:t>slagen (rubriken Utgiftsramar).</w:t>
      </w:r>
    </w:p>
    <w:p w:rsidR="001C7BF9" w:rsidRPr="00C9680B" w:rsidRDefault="001C7BF9">
      <w:pPr>
        <w:pStyle w:val="Normaltindrag"/>
        <w:rPr>
          <w:vanish/>
        </w:rPr>
      </w:pPr>
      <w:r w:rsidRPr="00C9680B">
        <w:br w:type="page"/>
      </w:r>
    </w:p>
    <w:p w:rsidR="001C7BF9" w:rsidRPr="00C9680B" w:rsidRDefault="001C7BF9">
      <w:pPr>
        <w:pStyle w:val="R1"/>
      </w:pPr>
      <w:bookmarkStart w:id="833" w:name="_Toc497720005"/>
      <w:r w:rsidRPr="00C9680B">
        <w:rPr>
          <w:vanish/>
        </w:rPr>
        <w:br w:type="page"/>
      </w:r>
      <w:r w:rsidRPr="00C9680B">
        <w:t>STATSBUDGETENS INKOMSTER</w:t>
      </w:r>
      <w:bookmarkEnd w:id="833"/>
    </w:p>
    <w:p w:rsidR="001C7BF9" w:rsidRPr="00C9680B" w:rsidRDefault="001C7BF9">
      <w:pPr>
        <w:pStyle w:val="Utskottetsvervganden-RubrikFrslagspunkt"/>
        <w:outlineLvl w:val="0"/>
      </w:pPr>
      <w:bookmarkStart w:id="834" w:name="_Toc498838096"/>
      <w:r w:rsidRPr="00C9680B">
        <w:t>Skattepolitikens inriktning</w:t>
      </w:r>
      <w:bookmarkEnd w:id="834"/>
    </w:p>
    <w:p w:rsidR="001C7BF9" w:rsidRPr="00C9680B" w:rsidRDefault="001C7BF9">
      <w:pPr>
        <w:pStyle w:val="Utskottsfrslagikorthet-Rubrik"/>
        <w:jc w:val="both"/>
        <w:outlineLvl w:val="0"/>
        <w:rPr>
          <w:noProof w:val="0"/>
        </w:rPr>
      </w:pPr>
      <w:bookmarkStart w:id="835" w:name="_Toc497206438"/>
      <w:bookmarkStart w:id="836" w:name="_Toc497720007"/>
      <w:r w:rsidRPr="00C9680B">
        <w:rPr>
          <w:noProof w:val="0"/>
        </w:rPr>
        <w:t>Utskottets förslag i korthet</w:t>
      </w:r>
      <w:bookmarkEnd w:id="835"/>
      <w:bookmarkEnd w:id="836"/>
    </w:p>
    <w:p w:rsidR="001C7BF9" w:rsidRPr="00C9680B" w:rsidRDefault="001C7BF9">
      <w:pPr>
        <w:pStyle w:val="Utskottsfrslagikorthet-Text"/>
      </w:pPr>
      <w:r w:rsidRPr="00C9680B">
        <w:t>Riksdagen avslår de motionsförslag om inriktning av skatte</w:t>
      </w:r>
      <w:r w:rsidRPr="00C9680B">
        <w:softHyphen/>
        <w:t>politiken som lagts fram av Moderata samlingspartiet, Kristdemo</w:t>
      </w:r>
      <w:r w:rsidRPr="00C9680B">
        <w:softHyphen/>
        <w:t>kraterna, Ce</w:t>
      </w:r>
      <w:r w:rsidRPr="00C9680B">
        <w:t>n</w:t>
      </w:r>
      <w:r w:rsidRPr="00C9680B">
        <w:t xml:space="preserve">terpartiet och Folkpartiet liberalerna. </w:t>
      </w:r>
    </w:p>
    <w:p w:rsidR="001C7BF9" w:rsidRPr="00C9680B" w:rsidRDefault="001C7BF9">
      <w:pPr>
        <w:pStyle w:val="Utskottetsvervganden-kursivrubrik"/>
        <w:outlineLvl w:val="0"/>
        <w:rPr>
          <w:noProof w:val="0"/>
        </w:rPr>
      </w:pPr>
      <w:bookmarkStart w:id="837" w:name="_Toc498838097"/>
      <w:r w:rsidRPr="00C9680B">
        <w:rPr>
          <w:noProof w:val="0"/>
        </w:rPr>
        <w:t>Budgetpropositionen</w:t>
      </w:r>
      <w:bookmarkEnd w:id="837"/>
    </w:p>
    <w:p w:rsidR="001C7BF9" w:rsidRPr="00C9680B" w:rsidRDefault="001C7BF9">
      <w:r w:rsidRPr="00C9680B">
        <w:t>I propositionen anför regeringen att de starka offentliga finanserna gör att det finns ett utrymme för ytterligare skattesänkningar. Regeringen har år 2000 påbörjat en inkomstskattereform som innebär att de skattskyldiga i fyra steg kompenseras för effekterna av den allmänna pensionsavgiften. Fullt utbyggd innebär reformen att den skattskyldige kompenseras för hela den allmänna pensionsavgift som betalas för beskattningsåret. I reformen ingår också att antalet personer som betalar statlig inkomstskatt på f</w:t>
      </w:r>
      <w:r w:rsidRPr="00C9680B">
        <w:t>örvärvsinkomster min</w:t>
      </w:r>
      <w:r w:rsidRPr="00C9680B">
        <w:t>s</w:t>
      </w:r>
      <w:r w:rsidRPr="00C9680B">
        <w:softHyphen/>
        <w:t xml:space="preserve">kas i syfte att nå en andel på 15 %. Takten i genomförandet av reformen beror enligt vad regeringen anför på det ekonomiska läget efter en sammanvägning av olika angelägna resursanspråk. När det gäller inkomståret 2001 bedömer regeringen nu att det finns ekonomiskt utrymme för att genomföra ytterligare en fjärdedel av reformen. Dessutom föreslås en höjning av reseavdraget till 16 kr per mil. </w:t>
      </w:r>
    </w:p>
    <w:p w:rsidR="001C7BF9" w:rsidRPr="00C9680B" w:rsidRDefault="001C7BF9">
      <w:pPr>
        <w:pStyle w:val="Normaltindrag"/>
      </w:pPr>
      <w:r w:rsidRPr="00C9680B">
        <w:t>Regeringen anför vidare att fastighetspriserna har ökat på många håll i Sverige. År 2001 komme</w:t>
      </w:r>
      <w:r w:rsidRPr="00C9680B">
        <w:t>r taxeringsvärdena att stiga kraftigt i de områden där priserna har stigit som mest. Om inga åtgärder vidtas kommer statens intäkter till följd av detta att öka med ca 10 miljarder kronor nästa år. Regeringen föreslår att dessa skatteintäkter används för att sänka skattesatsen på småhus från 1,5 till 1,2 procent och skattesatsen på hyreshus från 1,2 till 0,7 procent av taxeringsvärdet. Samtidigt aviseras ett förslag om höjt fribelopp i förm</w:t>
      </w:r>
      <w:r w:rsidRPr="00C9680B">
        <w:t>ö</w:t>
      </w:r>
      <w:r w:rsidRPr="00C9680B">
        <w:softHyphen/>
        <w:t>genhetsskatten till 1 miljon kronor för ensamstående och 1,5 miljo</w:t>
      </w:r>
      <w:r w:rsidRPr="00C9680B">
        <w:t>ner kronor för sambeskattade par. För att undvika att personer med låga inkomster bet</w:t>
      </w:r>
      <w:r w:rsidRPr="00C9680B">
        <w:t>a</w:t>
      </w:r>
      <w:r w:rsidRPr="00C9680B">
        <w:softHyphen/>
        <w:t>lar för stor andel av sin inkomst i fastighetsskatt har regeringen inlett ett a</w:t>
      </w:r>
      <w:r w:rsidRPr="00C9680B">
        <w:t>r</w:t>
      </w:r>
      <w:r w:rsidRPr="00C9680B">
        <w:t>bete som syftar till att presentera ett förslag till en begränsningsregel för fastighetsskatten. Regeringen föreslår även att skatten vid försäljning av privatbostäder höjs från 15 till 20 %. När det gäller fastighetsbeskattningen på längre sikt avser regeringen att återkomma med anledning av Fastighets</w:t>
      </w:r>
      <w:r w:rsidRPr="00C9680B">
        <w:softHyphen/>
        <w:t>beskattningskommitténs och Fastighetstax</w:t>
      </w:r>
      <w:r w:rsidRPr="00C9680B">
        <w:t>eringsutredningens b</w:t>
      </w:r>
      <w:r w:rsidRPr="00C9680B">
        <w:t>e</w:t>
      </w:r>
      <w:r w:rsidRPr="00C9680B">
        <w:t>tänkanden.</w:t>
      </w:r>
    </w:p>
    <w:p w:rsidR="001C7BF9" w:rsidRPr="00C9680B" w:rsidRDefault="001C7BF9">
      <w:pPr>
        <w:pStyle w:val="Normaltindrag"/>
      </w:pPr>
      <w:r w:rsidRPr="00C9680B">
        <w:t>I propositionen redovisar regeringen vidare en strategi för en grön skatt</w:t>
      </w:r>
      <w:r w:rsidRPr="00C9680B">
        <w:t>e</w:t>
      </w:r>
      <w:r w:rsidRPr="00C9680B">
        <w:softHyphen/>
        <w:t>växling. Sverige skall, enligt vad regeringen anför, vara ett mönsterland för en ekologiskt hållbar utveckling. Målet är ett ekologiskt Sverige. Det främsta syftet är att öka miljörelateringen av skattesystemet och härvid är en reform</w:t>
      </w:r>
      <w:r w:rsidRPr="00C9680B">
        <w:t>e</w:t>
      </w:r>
      <w:r w:rsidRPr="00C9680B">
        <w:softHyphen/>
        <w:t>ring av dagens energiskattesystem en central del. Den principskiss som pr</w:t>
      </w:r>
      <w:r w:rsidRPr="00C9680B">
        <w:t>e</w:t>
      </w:r>
      <w:r w:rsidRPr="00C9680B">
        <w:softHyphen/>
        <w:t>senterades i Skatteväxlingskommitténs betänkande utgör en utgångspunkt och innebär bl.a. en ökad tyngd för koldioxidskatten, en renodling av energi</w:t>
      </w:r>
      <w:r w:rsidRPr="00C9680B">
        <w:softHyphen/>
        <w:t>skattens fiskala karaktär, en höjning av koldioxids</w:t>
      </w:r>
      <w:r w:rsidRPr="00C9680B">
        <w:t>katten och en särskild tr</w:t>
      </w:r>
      <w:r w:rsidRPr="00C9680B">
        <w:t>a</w:t>
      </w:r>
      <w:r w:rsidRPr="00C9680B">
        <w:t>fik- och miljöskattekomponent. Skattesänkningar för hushållen kan ske g</w:t>
      </w:r>
      <w:r w:rsidRPr="00C9680B">
        <w:t>e</w:t>
      </w:r>
      <w:r w:rsidRPr="00C9680B">
        <w:t>nom höjda grundavdrag som ger en fördelningspolitiskt acceptabel kom</w:t>
      </w:r>
      <w:r w:rsidRPr="00C9680B">
        <w:softHyphen/>
        <w:t>pensation till både löntagare och pensionärer. För företag och offentlig sektor är en sänkning av arbetsgivaravgifterna en administrativt enkel metod att kompensera för de höjda energikostnaderna. Skatteväxlingskommitténs b</w:t>
      </w:r>
      <w:r w:rsidRPr="00C9680B">
        <w:t>e</w:t>
      </w:r>
      <w:r w:rsidRPr="00C9680B">
        <w:t>dömning av utrymmet för ytterligare skatteväxling motsvarar i dag ett u</w:t>
      </w:r>
      <w:r w:rsidRPr="00C9680B">
        <w:t>t</w:t>
      </w:r>
      <w:r w:rsidRPr="00C9680B">
        <w:t>rymme på ca 30 miljarder kronor under perioden 20</w:t>
      </w:r>
      <w:r w:rsidRPr="00C9680B">
        <w:t>01–2010.</w:t>
      </w:r>
    </w:p>
    <w:p w:rsidR="001C7BF9" w:rsidRPr="00C9680B" w:rsidRDefault="001C7BF9">
      <w:pPr>
        <w:pStyle w:val="Normaltindrag"/>
      </w:pPr>
      <w:r w:rsidRPr="00C9680B">
        <w:t>För 2001 bedömer regeringen att utrymmet för en grön skatteväxling är drygt 3 miljarder kronor. Regeringen föreslår därför att koldioxidskatten, dieselskatten och elskatten höjs. Intäkterna används för att finansiera en sän</w:t>
      </w:r>
      <w:r w:rsidRPr="00C9680B">
        <w:t>k</w:t>
      </w:r>
      <w:r w:rsidRPr="00C9680B">
        <w:softHyphen/>
        <w:t xml:space="preserve">ning av arbetsgivaravgiften samt en höjning av grundavdraget med 1 200 kr. </w:t>
      </w:r>
    </w:p>
    <w:p w:rsidR="001C7BF9" w:rsidRPr="00C9680B" w:rsidRDefault="001C7BF9">
      <w:pPr>
        <w:pStyle w:val="Normaltindrag"/>
      </w:pPr>
      <w:r w:rsidRPr="00C9680B">
        <w:t>Inom miljöområdet föreslås en rad andra skatteförändringar. För att gynna kollektivtrafiken föreslås en halvering av mervärdesskatten på denna. For</w:t>
      </w:r>
      <w:r w:rsidRPr="00C9680B">
        <w:softHyphen/>
        <w:t>donsskatten för äldre dieseldrivna personbilar höjs samtidigt som försälj</w:t>
      </w:r>
      <w:r w:rsidRPr="00C9680B">
        <w:softHyphen/>
        <w:t xml:space="preserve">ningsskatten på motorcyklar, lätta lastbilar och bussar tas bort. </w:t>
      </w:r>
    </w:p>
    <w:p w:rsidR="001C7BF9" w:rsidRPr="00C9680B" w:rsidRDefault="001C7BF9">
      <w:pPr>
        <w:pStyle w:val="Normaltindrag"/>
      </w:pPr>
      <w:r w:rsidRPr="00C9680B">
        <w:t>När det gäller det fortsatta arbetet med skatteväxling bedömer regeringen att ytterligare utredningar behöver genomföras. Dessa gäller utformningen av nedsättningen för tillverkningsindustrin och jordbruks-, skogsbruks- och vattenbruksnäringarna, en ökad miljörelatering av vägtrafikbeskattningen och en översyn av övriga miljörelaterade skatter. Dessutom kommer fördjup</w:t>
      </w:r>
      <w:r w:rsidRPr="00C9680B">
        <w:t>ade analyser att göras av alternativa ekonomiska styrmedel. Det gäller bland annat handel med utsläppskvoter och system för handel med förnybar el med hjälp av s.k. gröna certifikat.</w:t>
      </w:r>
    </w:p>
    <w:p w:rsidR="001C7BF9" w:rsidRPr="00C9680B" w:rsidRDefault="001C7BF9">
      <w:pPr>
        <w:pStyle w:val="Utskottetsvervganden-kursivrubrik"/>
        <w:outlineLvl w:val="0"/>
        <w:rPr>
          <w:noProof w:val="0"/>
        </w:rPr>
      </w:pPr>
      <w:bookmarkStart w:id="838" w:name="_Toc498838098"/>
      <w:r w:rsidRPr="00C9680B">
        <w:rPr>
          <w:noProof w:val="0"/>
        </w:rPr>
        <w:t>Motionerna</w:t>
      </w:r>
      <w:bookmarkEnd w:id="838"/>
    </w:p>
    <w:p w:rsidR="001C7BF9" w:rsidRPr="00C9680B" w:rsidRDefault="001C7BF9">
      <w:r w:rsidRPr="00C9680B">
        <w:rPr>
          <w:i/>
        </w:rPr>
        <w:t>Moderata samlingspartiet</w:t>
      </w:r>
      <w:r w:rsidRPr="00C9680B">
        <w:t xml:space="preserve"> anför i motion Fi208 yrkandena 19 och 20 av Bo Lundgren m.fl. (m) att en omfattande inkomstskattereform bör genomföras med utgångspunkten att man skall kunna leva på sin lön. I det treårsperspe</w:t>
      </w:r>
      <w:r w:rsidRPr="00C9680B">
        <w:t>k</w:t>
      </w:r>
      <w:r w:rsidRPr="00C9680B">
        <w:softHyphen/>
        <w:t>tiv som budgeten omfattar bedömer motionärerna att utrymme kan skapas för följande åtgärder vad gäller inkomstskatten. Grundavdraget vid den komm</w:t>
      </w:r>
      <w:r w:rsidRPr="00C9680B">
        <w:t>u</w:t>
      </w:r>
      <w:r w:rsidRPr="00C9680B">
        <w:softHyphen/>
        <w:t>nala beskattningen höjs. Höjningen utformas så att grundavdraget trappas upp från 10 000 till 34 000 kr vid en årsinkomst på 130 000 kr år 2001 och till 36 000 kr vid en</w:t>
      </w:r>
      <w:r w:rsidRPr="00C9680B">
        <w:t xml:space="preserve"> årsinkomst på 130 000 kr åren 2002 och 2003. Över dessa nivåer sker en begränsad avtrappning av grundavdraget. Ett förvärvsavdrag på 8 %, 8 % och 10 % vid den kommunala beskattningen införs. Den statliga inkomstskatten sänks till 20 %, 18 % och 15 % och brytpunkten höjs till gränsen för uttag av egenavgifter. På längre sikt och senast år 2010 bör en mer omfattande skattereform genomföras. Grundavdraget höjs då till minst 50 000 kr för alla och förvärvsavdraget höjs till 20 % på inkomster upp till gränsen f</w:t>
      </w:r>
      <w:r w:rsidRPr="00C9680B">
        <w:t>ör uttag av egen</w:t>
      </w:r>
      <w:r w:rsidRPr="00C9680B">
        <w:softHyphen/>
        <w:t>avgiften. Den statliga inkomstskatten avvecklas successivt. Reformen finansieras genom återhållsamhet med offentliga utgi</w:t>
      </w:r>
      <w:r w:rsidRPr="00C9680B">
        <w:t>f</w:t>
      </w:r>
      <w:r w:rsidRPr="00C9680B">
        <w:softHyphen/>
        <w:t>ter och ekonomisk tillväxt. Vidare anförs att företagande och tillväxt bör gynnas. Förmögenhetsskatten avvecklas för att stimulera sparande och ägande i Sverige och skatten på aktieutdelningar avskaffas för att inte svenskt ägande av svenska företag skall missgynnas relativt utländskt ägande. Kapital</w:t>
      </w:r>
      <w:r w:rsidRPr="00C9680B">
        <w:softHyphen/>
        <w:t>inkomstbeskattningen sänks gradvis. Ny- och småföretagande underlättas</w:t>
      </w:r>
      <w:r w:rsidRPr="00C9680B">
        <w:t xml:space="preserve"> genom avreglering och förenkling. </w:t>
      </w:r>
    </w:p>
    <w:p w:rsidR="001C7BF9" w:rsidRPr="00C9680B" w:rsidRDefault="001C7BF9">
      <w:r w:rsidRPr="00C9680B">
        <w:rPr>
          <w:i/>
        </w:rPr>
        <w:t>Kristdemokraterna</w:t>
      </w:r>
      <w:r w:rsidRPr="00C9680B">
        <w:t xml:space="preserve"> anför i motionerna Fi209 yrkande 12 och Sk323 yrkande 2–7, 52 av Alf Svensson m.fl. (kd) att skattepolitiken skall bidra till full sy</w:t>
      </w:r>
      <w:r w:rsidRPr="00C9680B">
        <w:t>s</w:t>
      </w:r>
      <w:r w:rsidRPr="00C9680B">
        <w:t>selsättning, stabil och uthållig tillväxt, rättvis fördelning, god miljö och hu</w:t>
      </w:r>
      <w:r w:rsidRPr="00C9680B">
        <w:t>s</w:t>
      </w:r>
      <w:r w:rsidRPr="00C9680B">
        <w:t>hållning med natur</w:t>
      </w:r>
      <w:r w:rsidRPr="00C9680B">
        <w:softHyphen/>
        <w:t>resurser och att skattereglerna samtidigt måste ha en bred acceptans och inte får leda till skatte</w:t>
      </w:r>
      <w:r w:rsidRPr="00C9680B">
        <w:softHyphen/>
        <w:t>undandraganden och bristande skattem</w:t>
      </w:r>
      <w:r w:rsidRPr="00C9680B">
        <w:t>o</w:t>
      </w:r>
      <w:r w:rsidRPr="00C9680B">
        <w:t>ral. Inkomstskatterna bör sänkas så att alla kan leva på sin egen lön och få en ökad beslutanderätt över sina egna inkomster. Motionärerna för</w:t>
      </w:r>
      <w:r w:rsidRPr="00C9680B">
        <w:t>eslår att gru</w:t>
      </w:r>
      <w:r w:rsidRPr="00C9680B">
        <w:t>n</w:t>
      </w:r>
      <w:r w:rsidRPr="00C9680B">
        <w:t>davdraget höjs till 20 000 kr, att skattereduktionen för låginkomstta</w:t>
      </w:r>
      <w:r w:rsidRPr="00C9680B">
        <w:softHyphen/>
        <w:t>gare fö</w:t>
      </w:r>
      <w:r w:rsidRPr="00C9680B">
        <w:t>r</w:t>
      </w:r>
      <w:r w:rsidRPr="00C9680B">
        <w:t>dubblas och att ett generellt förvärvsavdrag på 6,15 %, 8 % och 11,55 % införs 2001–2003. Det andra steget i den statliga inkomstskatteska</w:t>
      </w:r>
      <w:r w:rsidRPr="00C9680B">
        <w:softHyphen/>
        <w:t>lan slopas och arbetsgivaravgifterna sänks. De marginaleffekter som avtrapp</w:t>
      </w:r>
      <w:r w:rsidRPr="00C9680B">
        <w:softHyphen/>
        <w:t>ningen av nuvarande grundavdrag ger upphov till åtgärdas. Härtill kommer åtgärder i syfte att minska marginaleffekterna i bidrags- och social</w:t>
      </w:r>
      <w:r w:rsidRPr="00C9680B">
        <w:softHyphen/>
        <w:t>försäk</w:t>
      </w:r>
      <w:r w:rsidRPr="00C9680B">
        <w:softHyphen/>
        <w:t>rings</w:t>
      </w:r>
      <w:r w:rsidRPr="00C9680B">
        <w:softHyphen/>
        <w:t>systemen. Motionärerna anför vidare att om Sverige</w:t>
      </w:r>
      <w:r w:rsidRPr="00C9680B">
        <w:t xml:space="preserve"> långsiktigt skall vara ett land för företagande, investeringar och tillväxt, går det inte att ha kvar skatter som gör att kapital, företag och kompetens har starka incitament att lämna landet. Målet på medellång sikt bör vara att nå ner till den genomsnitt</w:t>
      </w:r>
      <w:r w:rsidRPr="00C9680B">
        <w:softHyphen/>
        <w:t>liga skattekv</w:t>
      </w:r>
      <w:r w:rsidRPr="00C9680B">
        <w:t>o</w:t>
      </w:r>
      <w:r w:rsidRPr="00C9680B">
        <w:t xml:space="preserve">ten inom EU. Det är också viktigt att övergå till majoritetsbeslut inom EU när det gäller minimiavgifter på miljöområdet. Ett högt skattetryck med krångliga regler riskerar enligt motionärerna att gröpa ur skattemoralen. Skattenivåerna och </w:t>
      </w:r>
      <w:r w:rsidRPr="00C9680B">
        <w:t>reglerna måste ändras så att incitamentet till svartarbete minskar. Ko</w:t>
      </w:r>
      <w:r w:rsidRPr="00C9680B">
        <w:t>n</w:t>
      </w:r>
      <w:r w:rsidRPr="00C9680B">
        <w:t>trollen av de medborgargrupper som parallellt uppbär stöd/bidrag och arbetar svart måste också öka. Med en ökad skattekontroll och förstärkt tullbevakning beräknar motionärerna att skatteintäkterna ökar med 210 miljoner kronor år 2001 och dä</w:t>
      </w:r>
      <w:r w:rsidRPr="00C9680B">
        <w:t>r</w:t>
      </w:r>
      <w:r w:rsidRPr="00C9680B">
        <w:t xml:space="preserve">efter med åtminstone 420 miljoner kronor per år. </w:t>
      </w:r>
    </w:p>
    <w:p w:rsidR="001C7BF9" w:rsidRPr="00C9680B" w:rsidRDefault="001C7BF9">
      <w:r w:rsidRPr="00C9680B">
        <w:rPr>
          <w:i/>
        </w:rPr>
        <w:t>Centerpartiet</w:t>
      </w:r>
      <w:r w:rsidRPr="00C9680B">
        <w:t xml:space="preserve"> anför i motion Sk321 yrkande 1 av Lennart Daléus m.fl. (c) att den goda konjunkturen gör att det nu finns möjlighet att sänka skattetrycket och utgiftskvoten och ändå låta statens utgifter vara realt oförändrade. Inrik</w:t>
      </w:r>
      <w:r w:rsidRPr="00C9680B">
        <w:t>t</w:t>
      </w:r>
      <w:r w:rsidRPr="00C9680B">
        <w:softHyphen/>
        <w:t>ningen bör vara att långsiktigt sänka skattetrycket och utgifternas andel av BNP ned till samma nivåer som i jämförbara OECD-länder. Syftet är att öka människors självbestämmande. Att kunna överblicka och påverka, att ha så stor kontroll som möjligt över sin egen tillvaro är en förutsättnin</w:t>
      </w:r>
      <w:r w:rsidRPr="00C9680B">
        <w:t>g för välb</w:t>
      </w:r>
      <w:r w:rsidRPr="00C9680B">
        <w:t>e</w:t>
      </w:r>
      <w:r w:rsidRPr="00C9680B">
        <w:softHyphen/>
        <w:t>finnande, kreativitet, trygghet och livskvalitet. En inkomstskattereform g</w:t>
      </w:r>
      <w:r w:rsidRPr="00C9680B">
        <w:t>e</w:t>
      </w:r>
      <w:r w:rsidRPr="00C9680B">
        <w:t>nomförs stegvis under perioden 2001 till 2003. Ambitionen är att göra skatt</w:t>
      </w:r>
      <w:r w:rsidRPr="00C9680B">
        <w:t>e</w:t>
      </w:r>
      <w:r w:rsidRPr="00C9680B">
        <w:t>systemet enkelt och överskådligt samt att sänka skatten och minska margin</w:t>
      </w:r>
      <w:r w:rsidRPr="00C9680B">
        <w:t>a</w:t>
      </w:r>
      <w:r w:rsidRPr="00C9680B">
        <w:t>leffekterna för framför allt låg- och medelinkomsttagare. Grundavdra</w:t>
      </w:r>
      <w:r w:rsidRPr="00C9680B">
        <w:softHyphen/>
        <w:t>get höjs till 15 000 kr år 2001 och till 20 000 kr år 2002. Någon upptrappning eller nedtrappning av grundavdraget genomförs inte för att undvika negativa ma</w:t>
      </w:r>
      <w:r w:rsidRPr="00C9680B">
        <w:t>r</w:t>
      </w:r>
      <w:r w:rsidRPr="00C9680B">
        <w:t>ginaleffekter. En riktad skattereduktion på 5 40</w:t>
      </w:r>
      <w:r w:rsidRPr="00C9680B">
        <w:t>0 kr till låginkomstagare g</w:t>
      </w:r>
      <w:r w:rsidRPr="00C9680B">
        <w:t>e</w:t>
      </w:r>
      <w:r w:rsidRPr="00C9680B">
        <w:t>nomförs år 2001. Skattereduktionen ges enbart på arbetsinkomster för att stimulera till arbete och företagande. Den riktade skattereduktionen höjs till 9 600 kr åren 2002 och 2003. År 2003 ersätts grundavdraget med en rak skattereduktion på 10 000 kr. Denna skattereduktion skall komma alla till del, oa</w:t>
      </w:r>
      <w:r w:rsidRPr="00C9680B">
        <w:t>v</w:t>
      </w:r>
      <w:r w:rsidRPr="00C9680B">
        <w:t>sett om inkomsten kommer från lön, företagsinkomst, a-kassa, sjukpen</w:t>
      </w:r>
      <w:r w:rsidRPr="00C9680B">
        <w:softHyphen/>
        <w:t>ning eller pension. Motionärerna anför vidare att skatterna måste upplevas som rättvisa av medborgarna och ge f</w:t>
      </w:r>
      <w:r w:rsidRPr="00C9680B">
        <w:t xml:space="preserve">örutsättningar för en positiv utveckling i samhället. Verksamheter som påverkar miljön skall inte vältra över miljö- och hälsorelaterade kostnader på samhället. Principen om att förorenaren betalar skall gälla. Med en skattepolitik som stöd för miljö- och energipolitiken kan Sverige enligt motionärerna genomgå en strukturomvandling som leder till ett modernt land med avancerad teknik som svarar upp mot miljöns krav. </w:t>
      </w:r>
    </w:p>
    <w:p w:rsidR="001C7BF9" w:rsidRPr="00C9680B" w:rsidRDefault="001C7BF9">
      <w:r w:rsidRPr="00C9680B">
        <w:rPr>
          <w:i/>
        </w:rPr>
        <w:t>Folkpartiet liberalerna</w:t>
      </w:r>
      <w:r w:rsidRPr="00C9680B">
        <w:t xml:space="preserve"> anför i motionerna Fi211 yrkandena 26 och 27 och Sk324 yrkande 1 av Lars Leijonborg m.fl. (fp) att dagens svenska skattetryck måste sänkas eftersom det inte är förenligt med en dynamisk och växande ekonomi. Skattepolitiken 2001–2003 bör inriktas på sänkt skatt på arbete och risksparande. Skatteförändringarna bör koncentreras på de för tillväxt och jobb mest skadliga inslagen, nämligen marginalskatterna. Det sista steget i den statliga inkomstskatteskalan bör avskaffas och gränsen för uttag av statlig i</w:t>
      </w:r>
      <w:r w:rsidRPr="00C9680B">
        <w:t>n</w:t>
      </w:r>
      <w:r w:rsidRPr="00C9680B">
        <w:t>kom</w:t>
      </w:r>
      <w:r w:rsidRPr="00C9680B">
        <w:t>stskatt bör höjas upp till gränsen för uttag av egenavgifter. Avtrapp</w:t>
      </w:r>
      <w:r w:rsidRPr="00C9680B">
        <w:softHyphen/>
        <w:t>ningen av grundavdraget bör avskaffas successivt för att undvika marginal</w:t>
      </w:r>
      <w:r w:rsidRPr="00C9680B">
        <w:softHyphen/>
        <w:t>effekter i medelinkomstlägen. En skattereduktion på 3 000 kr för alla bör införas. Med dessa åtgärder uppnås att de flesta betalar 30 % i skatt och att de med höga inkomster betalar 50 %. För att betona att barnstödet skall innebära att hänsyn i beskattningen tas till den extra försörjningsbörda föräldrar har, vill motionärerna att utökningen av barnstödet sker i fo</w:t>
      </w:r>
      <w:r w:rsidRPr="00C9680B">
        <w:t>rm av skattereduktion. Utöver växling av bostadsbidrag och barnbidragshöjning avsätts 500 kr per barn och år så att skattereduktionen per barn uppgår till 2 000 kr per år. Under innevarande mandatperiod skall skattetrycket klart understiga 50 %. På längre sikt bör ytterligare sänkta inkomstskatter genomföras i former som uppmunt</w:t>
      </w:r>
      <w:r w:rsidRPr="00C9680B">
        <w:softHyphen/>
        <w:t xml:space="preserve">rar ökat arbetsutbud, utbildning och risktagande. Den statliga skattens nivåer och omfattning ingår i ett sådant övervägande och skattereduktioner och sänkta kommunalskatter är bra </w:t>
      </w:r>
      <w:r w:rsidRPr="00C9680B">
        <w:t>tekniker. Barnfamiljernas marginaleffekter skall vidare minskas genom generella barnavdrag som växlas mot minskade bostadsbidrag och enhetliga barnomsor</w:t>
      </w:r>
      <w:r w:rsidRPr="00C9680B">
        <w:t>g</w:t>
      </w:r>
      <w:r w:rsidRPr="00C9680B">
        <w:t>s</w:t>
      </w:r>
      <w:r w:rsidRPr="00C9680B">
        <w:softHyphen/>
        <w:t xml:space="preserve">taxor. </w:t>
      </w:r>
    </w:p>
    <w:p w:rsidR="001C7BF9" w:rsidRPr="00C9680B" w:rsidRDefault="001C7BF9">
      <w:pPr>
        <w:pStyle w:val="Normaltindrag"/>
      </w:pPr>
      <w:r w:rsidRPr="00C9680B">
        <w:t>En kraftig skattereduktion på hushållsnära tjänster bör införas och beskat</w:t>
      </w:r>
      <w:r w:rsidRPr="00C9680B">
        <w:t>t</w:t>
      </w:r>
      <w:r w:rsidRPr="00C9680B">
        <w:softHyphen/>
        <w:t>ningen av personaloptioner bör ses över. Förmögenhetsskatten och skatten på aktievinster och -utdelningar avskaffas successivt inom de närmaste åren. Fastighetsskatten avskaffas och fastighetsbeskattningen utformas likvärdigt mellan boendeformer och kapitalplaceringar, med bibehållen avdragsrätt för räntor. En sänkning av kapitalskattesatsen bör framöver kombineras med det internationella arbetet mot illojal skattekonkurrens. Skatteharmonisering i form av gemensamma beslut om skattenivåer avvisas. Sverige</w:t>
      </w:r>
      <w:r w:rsidRPr="00C9680B">
        <w:t xml:space="preserve"> bör långsiktigt hamna på en mervärdesskattenivå som är närmare våra grannländers och som kan tillämpas mer generellt.</w:t>
      </w:r>
    </w:p>
    <w:p w:rsidR="001C7BF9" w:rsidRPr="00C9680B" w:rsidRDefault="001C7BF9">
      <w:pPr>
        <w:pStyle w:val="Normaltindrag"/>
      </w:pPr>
      <w:r w:rsidRPr="00C9680B">
        <w:t>Ekonomiska styrmedel är enligt motionärerna bra i miljöpolitiken och de förespråkar att s.k. grön skatteväxling tillämpas. Under senare delen av 90-talet har dock miljöskatterna höjts kraftigt, utan motsvarande sänkning av skatten på arbete. Den viktigaste gröna skattefrågan är – av miljöskäl – en gemensam koldio</w:t>
      </w:r>
      <w:r w:rsidRPr="00C9680B">
        <w:t>x</w:t>
      </w:r>
      <w:r w:rsidRPr="00C9680B">
        <w:t xml:space="preserve">idbeskattning inom EU. </w:t>
      </w:r>
    </w:p>
    <w:p w:rsidR="001C7BF9" w:rsidRPr="00C9680B" w:rsidRDefault="001C7BF9">
      <w:pPr>
        <w:pStyle w:val="Utskottetsvervganden-kursivrubrik"/>
        <w:outlineLvl w:val="0"/>
        <w:rPr>
          <w:noProof w:val="0"/>
        </w:rPr>
      </w:pPr>
      <w:bookmarkStart w:id="839" w:name="_Toc497206441"/>
      <w:bookmarkStart w:id="840" w:name="_Toc497720010"/>
      <w:bookmarkStart w:id="841" w:name="_Toc498838099"/>
      <w:r w:rsidRPr="00C9680B">
        <w:rPr>
          <w:noProof w:val="0"/>
        </w:rPr>
        <w:t>Utskottets ställningstagande</w:t>
      </w:r>
      <w:bookmarkEnd w:id="839"/>
      <w:bookmarkEnd w:id="840"/>
      <w:bookmarkEnd w:id="841"/>
    </w:p>
    <w:p w:rsidR="001C7BF9" w:rsidRPr="00C9680B" w:rsidRDefault="001C7BF9">
      <w:r w:rsidRPr="00C9680B">
        <w:t>Enligt skatteutskottets mening är det, av fördelningspolitiska skäl och för att främja arbetsmarknadsdeltagande och utbildning, angeläget att på sikt elimi</w:t>
      </w:r>
      <w:r w:rsidRPr="00C9680B">
        <w:softHyphen/>
        <w:t>nera de effekter som den allmänna pensionsavgiften har. Även om det rör sig om en avgift som till betydande del har sin motsvarighet i förmåner inom pensionssystemet uppfattas den av många som en skatt och bidrar till att höja den synliga marginalskatten och genomsnittsskatten. Den har härvid en för</w:t>
      </w:r>
      <w:r w:rsidRPr="00C9680B">
        <w:softHyphen/>
        <w:t>delningsprofil som särskilt drabbar låg- och medelinkomsttagarna. Utskottet har därför ingen erinran mot regeringens planer på att ta ytterligare steg mot en fullständig kompensation för avgiften i den takt som</w:t>
      </w:r>
      <w:r w:rsidRPr="00C9680B">
        <w:t xml:space="preserve"> ekonomin medger det.</w:t>
      </w:r>
    </w:p>
    <w:p w:rsidR="001C7BF9" w:rsidRPr="00C9680B" w:rsidRDefault="001C7BF9">
      <w:pPr>
        <w:pStyle w:val="Normaltindrag"/>
      </w:pPr>
      <w:r w:rsidRPr="00C9680B">
        <w:t>I de budgetalternativ som redovisas av oppositionspartierna föreslås fö</w:t>
      </w:r>
      <w:r w:rsidRPr="00C9680B">
        <w:t>r</w:t>
      </w:r>
      <w:r w:rsidRPr="00C9680B">
        <w:softHyphen/>
        <w:t>hållandevis långtgående förändringar i den skatteskala som beslutades under skattereformen och som därefter kompletterades med ett sista steg som en fördelningspolitisk korrigering. I samtliga alternativ ersätts regeringens fö</w:t>
      </w:r>
      <w:r w:rsidRPr="00C9680B">
        <w:t>r</w:t>
      </w:r>
      <w:r w:rsidRPr="00C9680B">
        <w:softHyphen/>
        <w:t>slag om en kompensation för den allmänna pensionsavgiften med långtgående skattesänkningar som medför att den skatteprofil som utvecklats på grundval av skattereformen frångås. Utskottet är inte berett att tillstyrka en sådan i</w:t>
      </w:r>
      <w:r w:rsidRPr="00C9680B">
        <w:t>n</w:t>
      </w:r>
      <w:r w:rsidRPr="00C9680B">
        <w:t xml:space="preserve">riktning. </w:t>
      </w:r>
    </w:p>
    <w:p w:rsidR="001C7BF9" w:rsidRPr="00C9680B" w:rsidRDefault="001C7BF9">
      <w:pPr>
        <w:pStyle w:val="Normaltindrag"/>
      </w:pPr>
      <w:r w:rsidRPr="00C9680B">
        <w:t>När det gäller beskattningen av fastigheter</w:t>
      </w:r>
      <w:r w:rsidRPr="00C9680B">
        <w:t xml:space="preserve"> har Fastighets</w:t>
      </w:r>
      <w:r w:rsidRPr="00C9680B">
        <w:softHyphen/>
        <w:t>beskattnings</w:t>
      </w:r>
      <w:r w:rsidRPr="00C9680B">
        <w:softHyphen/>
        <w:t xml:space="preserve">kommittén och Fastighetstaxeringsutredningen i sina betänkanden lämnat förslag om olika förändringar. Förslagen gäller den framtida beskattningen av bostadsrätter, en parallell avveckling av fastighetsskatt och räntebidrag för hyreshus, ett avskaffande av den årliga omräkningen, etc. Vidare finns ett förslag som innebär att miljöinvesteringar inte skall påverka taxeringsvärdet under de första tio åren. Utskottet anser att regeringens fortsatta beredning av dessa betänkanden bör </w:t>
      </w:r>
      <w:r w:rsidRPr="00C9680B">
        <w:t>avvaktas innan ställning tas till frågor som berör fa</w:t>
      </w:r>
      <w:r w:rsidRPr="00C9680B">
        <w:t>s</w:t>
      </w:r>
      <w:r w:rsidRPr="00C9680B">
        <w:t>tighetsbeskattningens framtida utfor</w:t>
      </w:r>
      <w:r w:rsidRPr="00C9680B">
        <w:t>m</w:t>
      </w:r>
      <w:r w:rsidRPr="00C9680B">
        <w:t>ning.</w:t>
      </w:r>
    </w:p>
    <w:p w:rsidR="001C7BF9" w:rsidRPr="00C9680B" w:rsidRDefault="001C7BF9">
      <w:pPr>
        <w:pStyle w:val="Normaltindrag"/>
      </w:pPr>
      <w:r w:rsidRPr="00C9680B">
        <w:t>En strategi för en grön skatteväxling redovisas av regeringen och skall u</w:t>
      </w:r>
      <w:r w:rsidRPr="00C9680B">
        <w:t>n</w:t>
      </w:r>
      <w:r w:rsidRPr="00C9680B">
        <w:t>der de kommande tio åren ge utrymme för en skatteväxling på i storleks</w:t>
      </w:r>
      <w:r w:rsidRPr="00C9680B">
        <w:softHyphen/>
        <w:t>ordningen 30 miljarder kronor. Höjda skatter på energi och miljöfarliga u</w:t>
      </w:r>
      <w:r w:rsidRPr="00C9680B">
        <w:t>t</w:t>
      </w:r>
      <w:r w:rsidRPr="00C9680B">
        <w:t>släpp växlas mot sänkt skatt på arbete. En reformering av dagens energi</w:t>
      </w:r>
      <w:r w:rsidRPr="00C9680B">
        <w:softHyphen/>
        <w:t>skattesystem genomförs med Skatteväxlingskommitténs principskiss som utgångspunkt och innebär bl.a. en successiv höjning av koldioxidskatten. Härtill kommer en rad ytterligare åtgärder för att öka miljörelateringen inom skattesystemet. Skatten på arbete sänks genom att grundavdraget höjs och f</w:t>
      </w:r>
      <w:r w:rsidRPr="00C9680B">
        <w:t>öretag och offentlig sektor kompenseras för de ökade energikostnaderna genom sänkta arbetsgivaravgifter. Dessutom kommer fördjupade analyser att göras av alternativa ekonomiska styrmedel. Det gäller bland annat handel med utsläppskvoter och system för handel med förnybar el med hjälp av s.k. gröna certifikat. Utskottet har inte någon erinran mot den strategi för en skatteväxling som redovisas och tillstyrker också i det följande att ett första steg tas redan år 2001 genom en skatteväxling som omfattar närma</w:t>
      </w:r>
      <w:r w:rsidRPr="00C9680B">
        <w:t xml:space="preserve">re 3 miljarder kronor. </w:t>
      </w:r>
    </w:p>
    <w:p w:rsidR="001C7BF9" w:rsidRPr="00C9680B" w:rsidRDefault="001C7BF9">
      <w:pPr>
        <w:pStyle w:val="Normaltindrag"/>
      </w:pPr>
      <w:r w:rsidRPr="00C9680B">
        <w:t>Med det anförda ställer sig utskottet bakom den av regeringen förordade inriktningen av skattepolitiken.</w:t>
      </w:r>
    </w:p>
    <w:p w:rsidR="001C7BF9" w:rsidRPr="00C9680B" w:rsidRDefault="001C7BF9">
      <w:pPr>
        <w:pStyle w:val="Normaltindrag"/>
      </w:pPr>
      <w:r w:rsidRPr="00C9680B">
        <w:t>I det följande går utskottet närmare in på de skatteförslag som läggs fram i de olika budgetalternativen.</w:t>
      </w:r>
    </w:p>
    <w:p w:rsidR="001C7BF9" w:rsidRPr="00C9680B" w:rsidRDefault="001C7BF9">
      <w:pPr>
        <w:pStyle w:val="Rubrik1b"/>
        <w:outlineLvl w:val="0"/>
      </w:pPr>
      <w:bookmarkStart w:id="842" w:name="_Toc498838100"/>
      <w:r w:rsidRPr="00C9680B">
        <w:t>Fysiska personers inkomster</w:t>
      </w:r>
      <w:bookmarkEnd w:id="842"/>
    </w:p>
    <w:p w:rsidR="001C7BF9" w:rsidRPr="00C9680B" w:rsidRDefault="001C7BF9">
      <w:pPr>
        <w:pStyle w:val="Utskottetsvervganden-RubrikFrslagspunkt"/>
        <w:spacing w:before="125"/>
        <w:outlineLvl w:val="0"/>
      </w:pPr>
      <w:bookmarkStart w:id="843" w:name="_Toc498838101"/>
      <w:r w:rsidRPr="00C9680B">
        <w:t>Inkomstskatten för år 2001</w:t>
      </w:r>
      <w:bookmarkEnd w:id="843"/>
    </w:p>
    <w:p w:rsidR="001C7BF9" w:rsidRPr="00C9680B" w:rsidRDefault="001C7BF9">
      <w:pPr>
        <w:pStyle w:val="Utskottsfrslagikorthet-Rubrik"/>
        <w:jc w:val="both"/>
        <w:outlineLvl w:val="0"/>
        <w:rPr>
          <w:noProof w:val="0"/>
        </w:rPr>
      </w:pPr>
      <w:bookmarkStart w:id="844" w:name="_Toc497206444"/>
      <w:bookmarkStart w:id="845" w:name="_Toc497720013"/>
      <w:r w:rsidRPr="00C9680B">
        <w:rPr>
          <w:noProof w:val="0"/>
        </w:rPr>
        <w:t>Utskottets förslag i korthet</w:t>
      </w:r>
      <w:bookmarkEnd w:id="844"/>
      <w:bookmarkEnd w:id="845"/>
    </w:p>
    <w:p w:rsidR="001C7BF9" w:rsidRPr="00C9680B" w:rsidRDefault="001C7BF9">
      <w:pPr>
        <w:pStyle w:val="Utskottsfrslagikorthet-Text"/>
      </w:pPr>
      <w:r w:rsidRPr="00C9680B">
        <w:t>Riksdagen bifaller regeringens förslag om en höjning av grund</w:t>
      </w:r>
      <w:r w:rsidRPr="00C9680B">
        <w:softHyphen/>
        <w:t>avdraget och det särskilda grundavdraget, en kompensation på 50 % för den al</w:t>
      </w:r>
      <w:r w:rsidRPr="00C9680B">
        <w:t>l</w:t>
      </w:r>
      <w:r w:rsidRPr="00C9680B">
        <w:t>männa pensionsavgiften, en förlängning av skattereduk</w:t>
      </w:r>
      <w:r w:rsidRPr="00C9680B">
        <w:softHyphen/>
        <w:t>tionen på 1 320 kr för låginkomsttagare och en justering av gränsen för uttag av statlig inkomstskatt i syfte att minska andelen skatt</w:t>
      </w:r>
      <w:r w:rsidRPr="00C9680B">
        <w:softHyphen/>
        <w:t>skyldiga som betalar statlig inkomstskatt till 16 %.</w:t>
      </w:r>
    </w:p>
    <w:p w:rsidR="001C7BF9" w:rsidRPr="00C9680B" w:rsidRDefault="001C7BF9">
      <w:pPr>
        <w:pStyle w:val="Utskottetsvervganden-kursivrubrik"/>
        <w:outlineLvl w:val="0"/>
        <w:rPr>
          <w:noProof w:val="0"/>
        </w:rPr>
      </w:pPr>
      <w:bookmarkStart w:id="846" w:name="_Toc498838102"/>
      <w:r w:rsidRPr="00C9680B">
        <w:rPr>
          <w:noProof w:val="0"/>
        </w:rPr>
        <w:t>Budgetpropositionen</w:t>
      </w:r>
      <w:bookmarkEnd w:id="846"/>
    </w:p>
    <w:p w:rsidR="001C7BF9" w:rsidRPr="00C9680B" w:rsidRDefault="001C7BF9">
      <w:r w:rsidRPr="00C9680B">
        <w:t>I propositionen föreslår regeringen att skattereduktionen för den allmänna pensionsavgiften höjs från 25 % till 50 % inkomståret 2001, att avdraget för den allmänna pensionsavgiften reduceras i motsvarande mån och att skik</w:t>
      </w:r>
      <w:r w:rsidRPr="00C9680B">
        <w:t>t</w:t>
      </w:r>
      <w:r w:rsidRPr="00C9680B">
        <w:softHyphen/>
        <w:t>gränserna justeras för den minskade avdragsrätten. Grundavdraget höjs till 27 % av prisbasbeloppet och avrundas i fortsättningen uppåt. Det särskilda grundavdraget höjs med 2,7 % av prisbasbeloppet för gift skattskyldig och med 3 % av prisbasbeloppet för annan skattskyldig. Den tillfälliga skatte</w:t>
      </w:r>
      <w:r w:rsidRPr="00C9680B">
        <w:softHyphen/>
        <w:t>reduktion som gäller år 2000 förlängs att gälla även år 2001. Slutligen före</w:t>
      </w:r>
      <w:r w:rsidRPr="00C9680B">
        <w:softHyphen/>
        <w:t>slås att grä</w:t>
      </w:r>
      <w:r w:rsidRPr="00C9680B">
        <w:t>n</w:t>
      </w:r>
      <w:r w:rsidRPr="00C9680B">
        <w:t>sen för uttag av statlig inkomstskatt höjs så att andelen skattskyl</w:t>
      </w:r>
      <w:r w:rsidRPr="00C9680B">
        <w:softHyphen/>
        <w:t>diga som betalar statlig inkomstskatt reduceras till 1</w:t>
      </w:r>
      <w:r w:rsidRPr="00C9680B">
        <w:t>6 %. Härefter uppgår den nedre skiktgränsen vid uttag av statlig inkomstskatt till 252 000 kr och den övre skiktgränsen till 390 400 kr. Räknat i taxerad inkomst – dvs. före gru</w:t>
      </w:r>
      <w:r w:rsidRPr="00C9680B">
        <w:t>n</w:t>
      </w:r>
      <w:r w:rsidRPr="00C9680B">
        <w:t>davdrag och avdrag för pensionsavgift – blir beloppen i stället 271 500 kr respektive 411 100 kr.</w:t>
      </w:r>
    </w:p>
    <w:p w:rsidR="001C7BF9" w:rsidRPr="00C9680B" w:rsidRDefault="001C7BF9">
      <w:pPr>
        <w:pStyle w:val="Normaltindrag"/>
      </w:pPr>
      <w:r w:rsidRPr="00C9680B">
        <w:t>Regeringen anför att det bedöms vara möjligt att genomföra ytterligare en fjärdedel av den reform som påbörjades år 2000 och som syftar till att elim</w:t>
      </w:r>
      <w:r w:rsidRPr="00C9680B">
        <w:t>i</w:t>
      </w:r>
      <w:r w:rsidRPr="00C9680B">
        <w:softHyphen/>
        <w:t xml:space="preserve">nera den effekt på genomsnittsskatten och medelskatten som den allmänna pensionsavgiften har. Vidare är det enligt vad regeringen anför angeläget att justera den nedre skiktgränsen så att andelen som betalar statlig inkomstskatt på sikt begränsas till 15 % av de skattskyldiga med förvärvsinkomster. </w:t>
      </w:r>
    </w:p>
    <w:p w:rsidR="001C7BF9" w:rsidRPr="00C9680B" w:rsidRDefault="001C7BF9">
      <w:pPr>
        <w:pStyle w:val="Normaltindrag"/>
      </w:pPr>
      <w:r w:rsidRPr="00C9680B">
        <w:t>Höjningen av grundavdraget och det särskilda grundavdraget utgör ett led i den skatteväxling som regeringen föreslår. Grundavdraget höjs med 1 200 kr för alla och avrundas i fortsättningen uppåt. För att i vis</w:t>
      </w:r>
      <w:r w:rsidRPr="00C9680B">
        <w:t>s mån kompensera pensionärerna för de höjda skatter som skatteväxlingen för med sig föreslår regeringen också att det särskilda grundavdraget höjs med 1 200 kr för e</w:t>
      </w:r>
      <w:r w:rsidRPr="00C9680B">
        <w:t>n</w:t>
      </w:r>
      <w:r w:rsidRPr="00C9680B">
        <w:t>samst</w:t>
      </w:r>
      <w:r w:rsidRPr="00C9680B">
        <w:t>å</w:t>
      </w:r>
      <w:r w:rsidRPr="00C9680B">
        <w:t xml:space="preserve">ende folkpensionär och med 1 100 kr för gift folkpensionär. </w:t>
      </w:r>
    </w:p>
    <w:p w:rsidR="001C7BF9" w:rsidRPr="00C9680B" w:rsidRDefault="001C7BF9">
      <w:pPr>
        <w:pStyle w:val="Normaltindrag"/>
      </w:pPr>
      <w:r w:rsidRPr="00C9680B">
        <w:t>Skattereduktionen för låginkomsttagare infördes år 1999 i avvaktan på en större skattereform. För att ge ett tillfredsställande fördelningspolitiskt utfall av de samlade regeländringarna år 2000 bibehölls reduktionen även i</w:t>
      </w:r>
      <w:r w:rsidRPr="00C9680B">
        <w:t>n</w:t>
      </w:r>
      <w:r w:rsidRPr="00C9680B">
        <w:t>komst</w:t>
      </w:r>
      <w:r w:rsidRPr="00C9680B">
        <w:softHyphen/>
        <w:t>året 2000. Eftersom ytterligare arbete krävs för att hitta en alternativ metod att åstadkomma ett likvärdigt resultat föreslår regeringen att skattereduktionen för låginkomsttagare förlängs ytterl</w:t>
      </w:r>
      <w:r w:rsidRPr="00C9680B">
        <w:t>i</w:t>
      </w:r>
      <w:r w:rsidRPr="00C9680B">
        <w:t>gare ett år.</w:t>
      </w:r>
    </w:p>
    <w:p w:rsidR="001C7BF9" w:rsidRPr="00C9680B" w:rsidRDefault="001C7BF9">
      <w:pPr>
        <w:pStyle w:val="Utskottetsvervganden-kursivrubrik"/>
        <w:outlineLvl w:val="0"/>
        <w:rPr>
          <w:noProof w:val="0"/>
        </w:rPr>
      </w:pPr>
      <w:bookmarkStart w:id="847" w:name="_Toc498838103"/>
      <w:r w:rsidRPr="00C9680B">
        <w:rPr>
          <w:noProof w:val="0"/>
        </w:rPr>
        <w:t>Motionerna</w:t>
      </w:r>
      <w:bookmarkEnd w:id="847"/>
    </w:p>
    <w:p w:rsidR="001C7BF9" w:rsidRPr="00C9680B" w:rsidRDefault="001C7BF9">
      <w:r w:rsidRPr="00C9680B">
        <w:rPr>
          <w:i/>
        </w:rPr>
        <w:t>Moderata samlingspartiet</w:t>
      </w:r>
      <w:r w:rsidRPr="00C9680B">
        <w:t xml:space="preserve"> hemställer i motionerna Sk319 yrkandena 1–6 och N385 yrkande 8 av Bo Lundgren m.fl. (m) och motion Sk313 yrkande 2 de</w:t>
      </w:r>
      <w:r w:rsidRPr="00C9680B">
        <w:t>l</w:t>
      </w:r>
      <w:r w:rsidRPr="00C9680B">
        <w:softHyphen/>
        <w:t>vis, 3–7 och 12–20 av Carl Fredrik Graf m.fl. (m) om avslag på regeringens förslag. För inkomståret 2001 föreslår motionärerna att ett kommunalt gru</w:t>
      </w:r>
      <w:r w:rsidRPr="00C9680B">
        <w:t>n</w:t>
      </w:r>
      <w:r w:rsidRPr="00C9680B">
        <w:t>davdrag införs. Avdraget börjar vid 10 000 kr och trappas upp så att det når nivån 34 000 kr vid en inkomst på 135 000 kr, för att därefter trappas ner till 24 000 kr vid en inkomst på 230 000 kr. Brytpunkten i den statliga inkoms</w:t>
      </w:r>
      <w:r w:rsidRPr="00C9680B">
        <w:t>t</w:t>
      </w:r>
      <w:r w:rsidRPr="00C9680B">
        <w:t>skatteskalan</w:t>
      </w:r>
      <w:r w:rsidRPr="00C9680B">
        <w:t xml:space="preserve"> höjs till taket för uttag av allmän pensionsavgift, och det sista steget i inkomstskatteskalan slopas. Vidare införs ett kommunalt för</w:t>
      </w:r>
      <w:r w:rsidRPr="00C9680B">
        <w:softHyphen/>
        <w:t>värvsavdrag på 8 %. Härtill kommer ett kommunalt grundavdrag på 12 000 kr per barn upp till 16 år och att arbetsskadelivränta inte skall reducera pensionä</w:t>
      </w:r>
      <w:r w:rsidRPr="00C9680B">
        <w:softHyphen/>
        <w:t>rernas särskilda grundavdrag. För efterföljande år innebär detta alternativ att grundavdraget och förvärvsavdraget höjs ytterligare och att den statliga i</w:t>
      </w:r>
      <w:r w:rsidRPr="00C9680B">
        <w:t>n</w:t>
      </w:r>
      <w:r w:rsidRPr="00C9680B">
        <w:t>komstskatten gradvis avskaffas. År 2002 införs ett avdrag för styr</w:t>
      </w:r>
      <w:r w:rsidRPr="00C9680B">
        <w:t>kta barn</w:t>
      </w:r>
      <w:r w:rsidRPr="00C9680B">
        <w:softHyphen/>
        <w:t>omsorg</w:t>
      </w:r>
      <w:r w:rsidRPr="00C9680B">
        <w:t>s</w:t>
      </w:r>
      <w:r w:rsidRPr="00C9680B">
        <w:t xml:space="preserve">kostnader. </w:t>
      </w:r>
    </w:p>
    <w:p w:rsidR="001C7BF9" w:rsidRPr="00C9680B" w:rsidRDefault="001C7BF9">
      <w:r w:rsidRPr="00C9680B">
        <w:rPr>
          <w:i/>
        </w:rPr>
        <w:t>Kristdemokraterna</w:t>
      </w:r>
      <w:r w:rsidRPr="00C9680B">
        <w:t xml:space="preserve"> föreslår i motion Sk323 yrkandena 8–12, 14, 15, 54 och 55 av Alf Svensson m.fl. (kd) en alternativ utformning av inkomstbeskat</w:t>
      </w:r>
      <w:r w:rsidRPr="00C9680B">
        <w:t>t</w:t>
      </w:r>
      <w:r w:rsidRPr="00C9680B">
        <w:softHyphen/>
        <w:t>ningen år 2001. Grundavdraget höjs till 20 000 kr i alla inkomstlägen och skattereduktionen för låginkomsttagare fördubblas till 2 640 kr. Ett generellt förvärvsavdrag på 6,15 % införs, och det sista steget i inkomstskatteskalan slopas. Motionärerna avsätter också 25 kr per barn och månad för en ytterl</w:t>
      </w:r>
      <w:r w:rsidRPr="00C9680B">
        <w:t>i</w:t>
      </w:r>
      <w:r w:rsidRPr="00C9680B">
        <w:softHyphen/>
        <w:t>gare skattesänkning för barnfamiljerna. De följande åren höjs förvärvsavdr</w:t>
      </w:r>
      <w:r w:rsidRPr="00C9680B">
        <w:t>a</w:t>
      </w:r>
      <w:r w:rsidRPr="00C9680B">
        <w:softHyphen/>
        <w:t>ge</w:t>
      </w:r>
      <w:r w:rsidRPr="00C9680B">
        <w:t>t liksom avsättningen för skattesänkningar till barnfamiljerna. År 2002 införs ett avdrag för styrkta bar</w:t>
      </w:r>
      <w:r w:rsidRPr="00C9680B">
        <w:t>n</w:t>
      </w:r>
      <w:r w:rsidRPr="00C9680B">
        <w:t>omsorgskostnader.</w:t>
      </w:r>
    </w:p>
    <w:p w:rsidR="001C7BF9" w:rsidRPr="00C9680B" w:rsidRDefault="001C7BF9">
      <w:r w:rsidRPr="00C9680B">
        <w:rPr>
          <w:i/>
        </w:rPr>
        <w:t>Centerpartiet</w:t>
      </w:r>
      <w:r w:rsidRPr="00C9680B">
        <w:t xml:space="preserve"> föreslår i motion Sk321 yrkandena 2–6 av Lennart Daléus m.fl. (c) att regeringens kompensation för den allmänna pensionsavgiften avvisas och att grund</w:t>
      </w:r>
      <w:r w:rsidRPr="00C9680B">
        <w:softHyphen/>
        <w:t>avdraget höjs till 15 000 kr i alla inkomstlägen. Vidare föreslås att regeringens skattereduktion för låginkomsttagare ersätts med en skatte</w:t>
      </w:r>
      <w:r w:rsidRPr="00C9680B">
        <w:softHyphen/>
        <w:t xml:space="preserve">reduktion på 5 400 kr som endast ges för låga arbetsinkomster. Reduktionen fasas in med 6 % av överskjutande inkomst upp till 90 000 kr och fasas sedan ut med 3 % över 130 000 kr. För senare år innebär alternativet att </w:t>
      </w:r>
      <w:r w:rsidRPr="00C9680B">
        <w:t>grund</w:t>
      </w:r>
      <w:r w:rsidRPr="00C9680B">
        <w:softHyphen/>
        <w:t>avdraget först höjs och sedan avlöses av en skattereduktion på 10 000 kr för alla och att skattereduktionen för låga arbetsinkomster höjs till 9 600 kr. År 2002 införs ett avdrag för styrkta bar</w:t>
      </w:r>
      <w:r w:rsidRPr="00C9680B">
        <w:t>n</w:t>
      </w:r>
      <w:r w:rsidRPr="00C9680B">
        <w:t>omsorgskostnader.</w:t>
      </w:r>
    </w:p>
    <w:p w:rsidR="001C7BF9" w:rsidRPr="00C9680B" w:rsidRDefault="001C7BF9">
      <w:r w:rsidRPr="00C9680B">
        <w:rPr>
          <w:i/>
        </w:rPr>
        <w:t>Folkpartiet liberalerna</w:t>
      </w:r>
      <w:r w:rsidRPr="00C9680B">
        <w:t xml:space="preserve"> föreslår i motion Sk324 yrkandena 2–5 av Lars Le</w:t>
      </w:r>
      <w:r w:rsidRPr="00C9680B">
        <w:t>i</w:t>
      </w:r>
      <w:r w:rsidRPr="00C9680B">
        <w:t>jonborg m.fl. (fp) att brytpunkten höjs till gränsen för uttaget av allmän pe</w:t>
      </w:r>
      <w:r w:rsidRPr="00C9680B">
        <w:t>n</w:t>
      </w:r>
      <w:r w:rsidRPr="00C9680B">
        <w:t>sionsavgift och att det sista steget i inkomstskatteskalan slopas. Avtrapp</w:t>
      </w:r>
      <w:r w:rsidRPr="00C9680B">
        <w:softHyphen/>
        <w:t>ningen av grundavdraget över ca 110 000 kr avskaffas successivt. Vidare införs en skattereduktion på 3 000 kr för alla. Motionärerna föreslår vidare i motion Sf308 yrkande 1 av Lars Leijonborg m.fl. (fp) att alla höjningar av det gen</w:t>
      </w:r>
      <w:r w:rsidRPr="00C9680B">
        <w:t>e</w:t>
      </w:r>
      <w:r w:rsidRPr="00C9680B">
        <w:t>rella barnstödet skall ske i form av skattesänkningar.</w:t>
      </w:r>
    </w:p>
    <w:p w:rsidR="001C7BF9" w:rsidRPr="00C9680B" w:rsidRDefault="001C7BF9">
      <w:pPr>
        <w:pStyle w:val="Utskottetsvervganden-kursivrubrik"/>
        <w:outlineLvl w:val="0"/>
        <w:rPr>
          <w:noProof w:val="0"/>
        </w:rPr>
      </w:pPr>
      <w:bookmarkStart w:id="848" w:name="_Toc497206447"/>
      <w:bookmarkStart w:id="849" w:name="_Toc497720016"/>
      <w:bookmarkStart w:id="850" w:name="_Toc498838104"/>
      <w:r w:rsidRPr="00C9680B">
        <w:rPr>
          <w:noProof w:val="0"/>
        </w:rPr>
        <w:t>Utskottets ställning</w:t>
      </w:r>
      <w:r w:rsidRPr="00C9680B">
        <w:rPr>
          <w:noProof w:val="0"/>
        </w:rPr>
        <w:t>stagande</w:t>
      </w:r>
      <w:bookmarkEnd w:id="848"/>
      <w:bookmarkEnd w:id="849"/>
      <w:bookmarkEnd w:id="850"/>
    </w:p>
    <w:p w:rsidR="001C7BF9" w:rsidRPr="00C9680B" w:rsidRDefault="001C7BF9">
      <w:r w:rsidRPr="00C9680B">
        <w:t>Enligt utskottets mening är det positivt att den goda ekonomin nu tillåter att inkomstbeskattningen successivt återställs till en profil som motsvarar det läge som råder när huvuddelen av de skattskyldiga endast betalar kommunal inkomstskatt och en andel kring 15 % också betalar statlig inkomstskatt. Den extra belastningen av den allmänna pensionsavgiften innebär en besvärande avvikelse från denna profil för skattskyldiga med arbetsinkomst och avvike</w:t>
      </w:r>
      <w:r w:rsidRPr="00C9680B">
        <w:t>l</w:t>
      </w:r>
      <w:r w:rsidRPr="00C9680B">
        <w:softHyphen/>
        <w:t>sen är särskilt kännbar för skattskyldiga med låga arbetsinkomster. I likhet med regeringen anser utskottet att det är angeläget att korrigera denna av</w:t>
      </w:r>
      <w:r w:rsidRPr="00C9680B">
        <w:softHyphen/>
        <w:t>vikelse och utskottet har därför ingen invändning mot regeringens förslag i denna del.</w:t>
      </w:r>
    </w:p>
    <w:p w:rsidR="001C7BF9" w:rsidRPr="00C9680B" w:rsidRDefault="001C7BF9">
      <w:pPr>
        <w:pStyle w:val="Normaltindrag"/>
      </w:pPr>
      <w:r w:rsidRPr="00C9680B">
        <w:t>Vidare ingår det en höjning av grundavdraget och det särskilda grund</w:t>
      </w:r>
      <w:r w:rsidRPr="00C9680B">
        <w:softHyphen/>
        <w:t>a</w:t>
      </w:r>
      <w:r w:rsidRPr="00C9680B">
        <w:t>v</w:t>
      </w:r>
      <w:r w:rsidRPr="00C9680B">
        <w:t>draget i regeringens förslag. Denna höjning möjliggörs genom att ett ytter</w:t>
      </w:r>
      <w:r w:rsidRPr="00C9680B">
        <w:softHyphen/>
        <w:t>ligare steg nu tas inom ramen för den strategi för en grön skatteväxling som redovi</w:t>
      </w:r>
      <w:r w:rsidRPr="00C9680B">
        <w:softHyphen/>
        <w:t>sas av regeringen, och den finansieras genom de förslag om ändringar i beskattningen av energi som behandlas i ärendet. Utskottet kan för sin del tillstyrka att denna skatteväxling genomförs och har därför inte heller någon invändning mot regeringens förslag i denna del.</w:t>
      </w:r>
    </w:p>
    <w:p w:rsidR="001C7BF9" w:rsidRPr="00C9680B" w:rsidRDefault="001C7BF9">
      <w:pPr>
        <w:pStyle w:val="Normaltindrag"/>
      </w:pPr>
      <w:r w:rsidRPr="00C9680B">
        <w:t>Med det anförda tillstyrker utskottet regeringens förslag. Härav följer att ut</w:t>
      </w:r>
      <w:r w:rsidRPr="00C9680B">
        <w:t>skottet inte är berett att tillstyrka något av de alternativa förslagen, och utskottet avstyrker därför de aktuella motionsyrkandena.</w:t>
      </w:r>
    </w:p>
    <w:p w:rsidR="001C7BF9" w:rsidRPr="00C9680B" w:rsidRDefault="001C7BF9">
      <w:pPr>
        <w:pStyle w:val="Utskottetsvervganden-RubrikFrslagspunkt"/>
        <w:outlineLvl w:val="0"/>
      </w:pPr>
      <w:bookmarkStart w:id="851" w:name="_Toc498838105"/>
      <w:r w:rsidRPr="00C9680B">
        <w:t>Utökade reseavdrag</w:t>
      </w:r>
      <w:bookmarkEnd w:id="851"/>
    </w:p>
    <w:p w:rsidR="001C7BF9" w:rsidRPr="00C9680B" w:rsidRDefault="001C7BF9">
      <w:pPr>
        <w:pStyle w:val="Utskottsfrslagikorthet-Rubrik"/>
        <w:jc w:val="both"/>
        <w:outlineLvl w:val="0"/>
        <w:rPr>
          <w:noProof w:val="0"/>
        </w:rPr>
      </w:pPr>
      <w:bookmarkStart w:id="852" w:name="_Toc497206449"/>
      <w:bookmarkStart w:id="853" w:name="_Toc497720018"/>
      <w:r w:rsidRPr="00C9680B">
        <w:rPr>
          <w:noProof w:val="0"/>
        </w:rPr>
        <w:t>Utskottets förslag i korthet</w:t>
      </w:r>
      <w:bookmarkEnd w:id="852"/>
      <w:bookmarkEnd w:id="853"/>
    </w:p>
    <w:p w:rsidR="001C7BF9" w:rsidRPr="00C9680B" w:rsidRDefault="001C7BF9">
      <w:pPr>
        <w:pStyle w:val="Utskottsfrslagikorthet-Text"/>
      </w:pPr>
      <w:r w:rsidRPr="00C9680B">
        <w:t>Riksdagen bifaller regeringens förslag om en höjning av rese</w:t>
      </w:r>
      <w:r w:rsidRPr="00C9680B">
        <w:softHyphen/>
        <w:t>avdraget från 15 till 16 kr, avdraget för resor med bensindriven förmånsbil från 8 till 9 kr och avdraget för resor med dieseldriven förmånsbil från 5 till 6 kr. Riksdagen avslår m</w:t>
      </w:r>
      <w:r w:rsidRPr="00C9680B">
        <w:t>o</w:t>
      </w:r>
      <w:r w:rsidRPr="00C9680B">
        <w:t>tionsyrkandena.</w:t>
      </w:r>
    </w:p>
    <w:p w:rsidR="001C7BF9" w:rsidRPr="00C9680B" w:rsidRDefault="001C7BF9">
      <w:pPr>
        <w:pStyle w:val="Utskottetsvervganden-kursivrubrik"/>
        <w:outlineLvl w:val="0"/>
        <w:rPr>
          <w:noProof w:val="0"/>
        </w:rPr>
      </w:pPr>
      <w:bookmarkStart w:id="854" w:name="_Toc498838106"/>
      <w:r w:rsidRPr="00C9680B">
        <w:rPr>
          <w:noProof w:val="0"/>
        </w:rPr>
        <w:t>Budgetpropositionen</w:t>
      </w:r>
      <w:bookmarkEnd w:id="854"/>
    </w:p>
    <w:p w:rsidR="001C7BF9" w:rsidRPr="00C9680B" w:rsidRDefault="001C7BF9">
      <w:r w:rsidRPr="00C9680B">
        <w:t>Regeringen föreslår att det avdragsgilla beloppet för kostnader för resor med egen bil mellan bostad och arbetsplats, för resor i tjänsten och i näringsver</w:t>
      </w:r>
      <w:r w:rsidRPr="00C9680B">
        <w:t>k</w:t>
      </w:r>
      <w:r w:rsidRPr="00C9680B">
        <w:softHyphen/>
        <w:t>samhet höjs från 15 kronor per mil till 16 kronor per mil. Avdraget för resor med förmånsbilar höjs från 8 kronor till 9 kronor (från 5 kronor till 6 kronor för dieseldrivna förmånsbilar). De nya reglerna föreslås gälla första gången vid 2002 års tax</w:t>
      </w:r>
      <w:r w:rsidRPr="00C9680B">
        <w:t>e</w:t>
      </w:r>
      <w:r w:rsidRPr="00C9680B">
        <w:t>ring.</w:t>
      </w:r>
    </w:p>
    <w:p w:rsidR="001C7BF9" w:rsidRPr="00C9680B" w:rsidRDefault="001C7BF9">
      <w:pPr>
        <w:pStyle w:val="Normaltindrag"/>
      </w:pPr>
      <w:r w:rsidRPr="00C9680B">
        <w:t>Regeringen gör bedömningen att den senaste tidens bensinprisuppgång ligger inom ramen för nuvarande avdragsbelopp på 15 kronor. Emellertid anser regeringen att det för att stimulera rörligheten på arbetsmarknaden är motiverat att höja det avdragsgilla b</w:t>
      </w:r>
      <w:r w:rsidRPr="00C9680B">
        <w:t>eloppet från 15 kronor till 16 kronor. Till skillnad från den höjning som genomfördes 1998 anser regeringen att det nu finns offentligfinansiellt utrymme för att höja avdragsbeloppet utan att samti</w:t>
      </w:r>
      <w:r w:rsidRPr="00C9680B">
        <w:softHyphen/>
        <w:t>digt höja beloppsgränsen för den ej avdragsgilla delen av resekostnaderna ytterl</w:t>
      </w:r>
      <w:r w:rsidRPr="00C9680B">
        <w:t>i</w:t>
      </w:r>
      <w:r w:rsidRPr="00C9680B">
        <w:t xml:space="preserve">gare. </w:t>
      </w:r>
    </w:p>
    <w:p w:rsidR="001C7BF9" w:rsidRPr="00C9680B" w:rsidRDefault="001C7BF9">
      <w:pPr>
        <w:pStyle w:val="Utskottetsvervganden-kursivrubrik"/>
        <w:outlineLvl w:val="0"/>
        <w:rPr>
          <w:noProof w:val="0"/>
        </w:rPr>
      </w:pPr>
      <w:bookmarkStart w:id="855" w:name="_Toc498838107"/>
      <w:r w:rsidRPr="00C9680B">
        <w:rPr>
          <w:noProof w:val="0"/>
        </w:rPr>
        <w:t>Motionerna</w:t>
      </w:r>
      <w:bookmarkEnd w:id="855"/>
    </w:p>
    <w:p w:rsidR="001C7BF9" w:rsidRPr="00C9680B" w:rsidRDefault="001C7BF9">
      <w:r w:rsidRPr="00C9680B">
        <w:rPr>
          <w:i/>
        </w:rPr>
        <w:t>Moderata samlingspartiet</w:t>
      </w:r>
      <w:r w:rsidRPr="00C9680B">
        <w:t xml:space="preserve"> föreslår i motionerna N385 yrkande 7 av Bo Lun</w:t>
      </w:r>
      <w:r w:rsidRPr="00C9680B">
        <w:t>d</w:t>
      </w:r>
      <w:r w:rsidRPr="00C9680B">
        <w:t>gren m.fl. (m) och Sk313 yrkandena 21 och 22 av Carl Fredrik Graf m.fl. (m) att reseavdraget i stället höjs till 20 kr per mil och att avdraget för förmånsb</w:t>
      </w:r>
      <w:r w:rsidRPr="00C9680B">
        <w:t>i</w:t>
      </w:r>
      <w:r w:rsidRPr="00C9680B">
        <w:t>lar höjs till 10 kr per mil (7 kr för dieseldrivna bilar).</w:t>
      </w:r>
    </w:p>
    <w:p w:rsidR="001C7BF9" w:rsidRPr="00C9680B" w:rsidRDefault="001C7BF9">
      <w:r w:rsidRPr="00C9680B">
        <w:rPr>
          <w:i/>
        </w:rPr>
        <w:t>Kristdemokraterna</w:t>
      </w:r>
      <w:r w:rsidRPr="00C9680B">
        <w:t xml:space="preserve"> föreslår i motion Sk323 yrkande 13 av Alf Svensson m.fl. (kd) att gränsen för reseavdrag sänks från 7 000 kr till 5 000 kr som ett stöd till boende i glesbygd. </w:t>
      </w:r>
    </w:p>
    <w:p w:rsidR="001C7BF9" w:rsidRPr="00C9680B" w:rsidRDefault="001C7BF9">
      <w:r w:rsidRPr="00C9680B">
        <w:rPr>
          <w:i/>
        </w:rPr>
        <w:t>Centerpartiet</w:t>
      </w:r>
      <w:r w:rsidRPr="00C9680B">
        <w:t xml:space="preserve"> förelår i motion Sk321 yrkandena 7 och 8 av Lennart Daléus m.fl. (c) att reseavdraget höjs till 20 kr per mil och att resor till och från bar</w:t>
      </w:r>
      <w:r w:rsidRPr="00C9680B">
        <w:t>n</w:t>
      </w:r>
      <w:r w:rsidRPr="00C9680B">
        <w:softHyphen/>
        <w:t xml:space="preserve">omsorg inkluderas i reseavdraget. </w:t>
      </w:r>
    </w:p>
    <w:p w:rsidR="001C7BF9" w:rsidRPr="00C9680B" w:rsidRDefault="001C7BF9">
      <w:r w:rsidRPr="00C9680B">
        <w:rPr>
          <w:i/>
        </w:rPr>
        <w:t>Folkpartiet liberalerna</w:t>
      </w:r>
      <w:r w:rsidRPr="00C9680B">
        <w:t xml:space="preserve"> föreslår i motion Sk324 yrkande 6 av Lars Leijonborg m.fl. (fp) att avdrag för resor till och från arbetet bör inkludera hämtning och lämning av barn vid barnomsorg.</w:t>
      </w:r>
    </w:p>
    <w:p w:rsidR="001C7BF9" w:rsidRPr="00C9680B" w:rsidRDefault="001C7BF9">
      <w:pPr>
        <w:pStyle w:val="Utskottetsvervganden-kursivrubrik"/>
        <w:outlineLvl w:val="0"/>
        <w:rPr>
          <w:noProof w:val="0"/>
        </w:rPr>
      </w:pPr>
      <w:bookmarkStart w:id="856" w:name="_Toc497206452"/>
      <w:bookmarkStart w:id="857" w:name="_Toc497720021"/>
      <w:bookmarkStart w:id="858" w:name="_Toc498838108"/>
      <w:r w:rsidRPr="00C9680B">
        <w:rPr>
          <w:noProof w:val="0"/>
        </w:rPr>
        <w:t>Utskottets ställningstagande</w:t>
      </w:r>
      <w:bookmarkEnd w:id="856"/>
      <w:bookmarkEnd w:id="857"/>
      <w:bookmarkEnd w:id="858"/>
    </w:p>
    <w:p w:rsidR="001C7BF9" w:rsidRPr="00C9680B" w:rsidRDefault="001C7BF9">
      <w:r w:rsidRPr="00C9680B">
        <w:t xml:space="preserve">Avdraget för kostnader för resor med egen bil ändrades så sent som 1998 och det fastställdes då med en marginal för att beloppet skulle kvarstå under ett antal år, och det finns inte nu någon anledning att genomföra en justering av beloppet på grund av bensinprisutvecklingen. Däremot finns det skäl att söka bidra till en ökad rörlighet på arbetsmarknaden genom en höjning av detta avdrag. </w:t>
      </w:r>
    </w:p>
    <w:p w:rsidR="001C7BF9" w:rsidRPr="00C9680B" w:rsidRDefault="001C7BF9">
      <w:pPr>
        <w:pStyle w:val="Normaltindrag"/>
      </w:pPr>
      <w:r w:rsidRPr="00C9680B">
        <w:t xml:space="preserve">Gränsen för ej avdragsgilla resor går i dag vid 7 000 kr, och regeringen gör bedömningen att det finns utrymme för att bibehålla denna oförändrad. När det gäller förslagen om en sänkning av denna gräns är detta enligt utskottet också av andra skäl än finansiella mindre lämpligt. Avdragsgränsen har också en praktisk betydelse genom att den bidrar till att förenkla taxeringsarbetet. Utskottet anser inte att det finns skäl att nu sänka denna gräns. </w:t>
      </w:r>
    </w:p>
    <w:p w:rsidR="001C7BF9" w:rsidRPr="00C9680B" w:rsidRDefault="001C7BF9">
      <w:pPr>
        <w:pStyle w:val="Normaltindrag"/>
      </w:pPr>
      <w:r w:rsidRPr="00C9680B">
        <w:t>När det gäller förslagen om en möjlighet att räkna in den extra tiden för att lämna barn på dagis finns det enligt utskottets mening skäl att hålla grän</w:t>
      </w:r>
      <w:r w:rsidRPr="00C9680B">
        <w:t>s</w:t>
      </w:r>
      <w:r w:rsidRPr="00C9680B">
        <w:softHyphen/>
        <w:t>dragningen kring dagens avdragsrätt för resor till och från arbetet så enkel och lättillämpad som möjligt. Att låta skattemyndigheterna beakta resan för i</w:t>
      </w:r>
      <w:r w:rsidRPr="00C9680B">
        <w:t>n</w:t>
      </w:r>
      <w:r w:rsidRPr="00C9680B">
        <w:t>lämning och hämtning av barn på dagis när tidsvinsten beräknas skulle komplicera de bedömningar som måste göras i dessa fall. Härtill kommer att fördelningspolitiska invändningar kan riktas mot åtgärder som innebär att endast vissa barnfamiljer erbjuds en avdragsrätt för en del av sina levnad</w:t>
      </w:r>
      <w:r w:rsidRPr="00C9680B">
        <w:t>s</w:t>
      </w:r>
      <w:r w:rsidRPr="00C9680B">
        <w:softHyphen/>
        <w:t>kostnader. Om syftet är att förbättra barnfamiljernas ekonom</w:t>
      </w:r>
      <w:r w:rsidRPr="00C9680B">
        <w:t xml:space="preserve">iska situation bör andra lösningar användas, t.ex. förbättringar av de olika stöd som i dag går direkt till barnfamiljerna. </w:t>
      </w:r>
    </w:p>
    <w:p w:rsidR="001C7BF9" w:rsidRPr="00C9680B" w:rsidRDefault="001C7BF9">
      <w:pPr>
        <w:pStyle w:val="Normaltindrag"/>
      </w:pPr>
      <w:r w:rsidRPr="00C9680B">
        <w:t>Utskottet tillstyrker regeringens förslag och avstyrker de nu aktuella m</w:t>
      </w:r>
      <w:r w:rsidRPr="00C9680B">
        <w:t>o</w:t>
      </w:r>
      <w:r w:rsidRPr="00C9680B">
        <w:t>tionsyrka</w:t>
      </w:r>
      <w:r w:rsidRPr="00C9680B">
        <w:t>n</w:t>
      </w:r>
      <w:r w:rsidRPr="00C9680B">
        <w:t>dena.</w:t>
      </w:r>
    </w:p>
    <w:p w:rsidR="001C7BF9" w:rsidRPr="00C9680B" w:rsidRDefault="001C7BF9">
      <w:pPr>
        <w:pStyle w:val="Utskottetsvervganden-RubrikFrslagspunkt"/>
        <w:outlineLvl w:val="0"/>
      </w:pPr>
      <w:bookmarkStart w:id="859" w:name="_Toc498838109"/>
      <w:r w:rsidRPr="00C9680B">
        <w:t>Pensionssparande</w:t>
      </w:r>
      <w:bookmarkEnd w:id="859"/>
    </w:p>
    <w:p w:rsidR="001C7BF9" w:rsidRPr="00C9680B" w:rsidRDefault="001C7BF9">
      <w:pPr>
        <w:pStyle w:val="Utskottsfrslagikorthet-Rubrik"/>
        <w:jc w:val="both"/>
        <w:outlineLvl w:val="0"/>
        <w:rPr>
          <w:noProof w:val="0"/>
        </w:rPr>
      </w:pPr>
      <w:bookmarkStart w:id="860" w:name="_Toc497206454"/>
      <w:bookmarkStart w:id="861" w:name="_Toc497720023"/>
      <w:r w:rsidRPr="00C9680B">
        <w:rPr>
          <w:noProof w:val="0"/>
        </w:rPr>
        <w:t>Utskottets förslag i korthet</w:t>
      </w:r>
      <w:bookmarkEnd w:id="860"/>
      <w:bookmarkEnd w:id="861"/>
    </w:p>
    <w:p w:rsidR="001C7BF9" w:rsidRPr="00C9680B" w:rsidRDefault="001C7BF9">
      <w:pPr>
        <w:pStyle w:val="Utskottsfrslagikorthet-Text"/>
      </w:pPr>
      <w:r w:rsidRPr="00C9680B">
        <w:t>Riksdagen avslår motionsförslagen om en utvidgad avdragsrätt för pe</w:t>
      </w:r>
      <w:r w:rsidRPr="00C9680B">
        <w:t>n</w:t>
      </w:r>
      <w:r w:rsidRPr="00C9680B">
        <w:t>sionssparande.</w:t>
      </w:r>
    </w:p>
    <w:p w:rsidR="001C7BF9" w:rsidRPr="00C9680B" w:rsidRDefault="001C7BF9">
      <w:pPr>
        <w:pStyle w:val="Utskottetsvervganden-kursivrubrik"/>
        <w:outlineLvl w:val="0"/>
        <w:rPr>
          <w:noProof w:val="0"/>
        </w:rPr>
      </w:pPr>
      <w:bookmarkStart w:id="862" w:name="_Toc498838110"/>
      <w:r w:rsidRPr="00C9680B">
        <w:rPr>
          <w:noProof w:val="0"/>
        </w:rPr>
        <w:t>Gällande bestämmelser</w:t>
      </w:r>
      <w:bookmarkEnd w:id="862"/>
    </w:p>
    <w:p w:rsidR="001C7BF9" w:rsidRPr="00C9680B" w:rsidRDefault="001C7BF9">
      <w:r w:rsidRPr="00C9680B">
        <w:t>Möjligheten att göra avdrag för premie för makes pensionsförsäkring slop</w:t>
      </w:r>
      <w:r w:rsidRPr="00C9680B">
        <w:t>a</w:t>
      </w:r>
      <w:r w:rsidRPr="00C9680B">
        <w:softHyphen/>
        <w:t>des 1973 som ett led i 1970 års särbeskattningsreform. Härigenom hindrades ett utnyttjande av makars skilda marginalskattesatser.</w:t>
      </w:r>
    </w:p>
    <w:p w:rsidR="001C7BF9" w:rsidRPr="00C9680B" w:rsidRDefault="001C7BF9">
      <w:pPr>
        <w:pStyle w:val="Normaltindrag"/>
      </w:pPr>
      <w:r w:rsidRPr="00C9680B">
        <w:t>Som ett led i finansieringen av EU-medlemskapet begränsades det all</w:t>
      </w:r>
      <w:r w:rsidRPr="00C9680B">
        <w:softHyphen/>
        <w:t>mä</w:t>
      </w:r>
      <w:r w:rsidRPr="00C9680B">
        <w:t>n</w:t>
      </w:r>
      <w:r w:rsidRPr="00C9680B">
        <w:t>na avdragsutrymmet för privata pensionsförsäkringspremier och insätt</w:t>
      </w:r>
      <w:r w:rsidRPr="00C9680B">
        <w:softHyphen/>
        <w:t>ningar på pensionssparkonton till ett halvt basbelopp fr.o.m. den 8 april 1995. Avdragsutrymmet för den som har pensionsrätt i anställning minskades till 5 % av inkomsten mellan tio och tjugo basbelopp (prop. 1994/95:203, bet. 1994/95:SkU28).</w:t>
      </w:r>
    </w:p>
    <w:p w:rsidR="001C7BF9" w:rsidRPr="00C9680B" w:rsidRDefault="001C7BF9">
      <w:pPr>
        <w:pStyle w:val="Utskottetsvervganden-kursivrubrik"/>
        <w:outlineLvl w:val="0"/>
        <w:rPr>
          <w:noProof w:val="0"/>
        </w:rPr>
      </w:pPr>
      <w:bookmarkStart w:id="863" w:name="_Toc498838111"/>
      <w:r w:rsidRPr="00C9680B">
        <w:rPr>
          <w:noProof w:val="0"/>
        </w:rPr>
        <w:t>Motionerna</w:t>
      </w:r>
      <w:bookmarkEnd w:id="863"/>
    </w:p>
    <w:p w:rsidR="001C7BF9" w:rsidRPr="00C9680B" w:rsidRDefault="001C7BF9">
      <w:r w:rsidRPr="00C9680B">
        <w:rPr>
          <w:i/>
        </w:rPr>
        <w:t>Moderata samlingspartiet</w:t>
      </w:r>
      <w:r w:rsidRPr="00C9680B">
        <w:t xml:space="preserve"> föreslår i motion Sk313 yrkande 31 av Carl Fredrik Graf m.fl. (m) att avdraget för premie för pensionsförsäkring höjs till 1 pris</w:t>
      </w:r>
      <w:r w:rsidRPr="00C9680B">
        <w:softHyphen/>
        <w:t>ba</w:t>
      </w:r>
      <w:r w:rsidRPr="00C9680B">
        <w:t>s</w:t>
      </w:r>
      <w:r w:rsidRPr="00C9680B">
        <w:softHyphen/>
        <w:t xml:space="preserve">belopp. </w:t>
      </w:r>
    </w:p>
    <w:p w:rsidR="001C7BF9" w:rsidRPr="00C9680B" w:rsidRDefault="001C7BF9">
      <w:r w:rsidRPr="00C9680B">
        <w:t>Även</w:t>
      </w:r>
      <w:r w:rsidRPr="00C9680B">
        <w:rPr>
          <w:i/>
        </w:rPr>
        <w:t xml:space="preserve"> Kristdemokraterna</w:t>
      </w:r>
      <w:r w:rsidRPr="00C9680B">
        <w:t xml:space="preserve"> föreslår i motion Sk323 yrkande 43 av Alf Svensson m.fl. (kd) att avdragsrätten för pensionssparande höjs till 1 prisbasbelopp.</w:t>
      </w:r>
    </w:p>
    <w:p w:rsidR="001C7BF9" w:rsidRPr="00C9680B" w:rsidRDefault="001C7BF9">
      <w:r w:rsidRPr="00C9680B">
        <w:rPr>
          <w:i/>
        </w:rPr>
        <w:t>Folkpartiet liberalerna</w:t>
      </w:r>
      <w:r w:rsidRPr="00C9680B">
        <w:t xml:space="preserve"> anför i motion Sk324 yrkande 10 av Lars Leijonborg m.fl. (fp) att en metod att förbättra den enskildes möjligheter att förnya sitt kunnande är att vidga möjligheterna till avdragsgillt pensions</w:t>
      </w:r>
      <w:r w:rsidRPr="00C9680B">
        <w:softHyphen/>
        <w:t>sparande till 1 prisbasbelopp och tillåta att medlen används för studier som höjer kompe</w:t>
      </w:r>
      <w:r w:rsidRPr="00C9680B">
        <w:softHyphen/>
        <w:t>te</w:t>
      </w:r>
      <w:r w:rsidRPr="00C9680B">
        <w:t>n</w:t>
      </w:r>
      <w:r w:rsidRPr="00C9680B">
        <w:t>sen.</w:t>
      </w:r>
    </w:p>
    <w:p w:rsidR="001C7BF9" w:rsidRPr="00C9680B" w:rsidRDefault="001C7BF9">
      <w:pPr>
        <w:pStyle w:val="Utskottetsvervganden-kursivrubrik"/>
        <w:outlineLvl w:val="0"/>
        <w:rPr>
          <w:noProof w:val="0"/>
        </w:rPr>
      </w:pPr>
      <w:bookmarkStart w:id="864" w:name="_Toc497206457"/>
      <w:bookmarkStart w:id="865" w:name="_Toc497720026"/>
      <w:bookmarkStart w:id="866" w:name="_Toc498838112"/>
      <w:r w:rsidRPr="00C9680B">
        <w:rPr>
          <w:noProof w:val="0"/>
        </w:rPr>
        <w:t>Utskottets ställningstagande</w:t>
      </w:r>
      <w:bookmarkEnd w:id="864"/>
      <w:bookmarkEnd w:id="865"/>
      <w:bookmarkEnd w:id="866"/>
    </w:p>
    <w:p w:rsidR="001C7BF9" w:rsidRPr="00C9680B" w:rsidRDefault="001C7BF9">
      <w:r w:rsidRPr="00C9680B">
        <w:t>Förslagen om en höjning av avdraget för eget pensionssparande kräver fina</w:t>
      </w:r>
      <w:r w:rsidRPr="00C9680B">
        <w:t>n</w:t>
      </w:r>
      <w:r w:rsidRPr="00C9680B">
        <w:softHyphen/>
        <w:t xml:space="preserve">siering och avstyrks därför av utskottet. </w:t>
      </w:r>
    </w:p>
    <w:p w:rsidR="001C7BF9" w:rsidRPr="00C9680B" w:rsidRDefault="001C7BF9">
      <w:pPr>
        <w:pStyle w:val="Normaltindrag"/>
      </w:pPr>
      <w:r w:rsidRPr="00C9680B">
        <w:t>När det gäller enskildas möjlighet att förnya sitt kunnande har riksdagen redan avsatt medel för en stimulans för individuell kompetensutveckling i arbetslivet, och det pågår ett arbete som syftar till att klarlägga hur stimulan</w:t>
      </w:r>
      <w:r w:rsidRPr="00C9680B">
        <w:softHyphen/>
        <w:t>sen bör vara utformad. Ett principförslag har avlämnats i maj 2000 (SOU 2000:51) och innebär att alla löntagare och företagare skall ha möjlighet att med en statlig skattesubvention, i form av uppskjuten beskattning, spara på ett eget kompetenskonto för sin framtida kompetensutveckling. Arbetsgivare som vill medverka skall ha möjlighet att avsätta medel till individens konto. Individen bestämmer dock själv till vilken typ av utbildning medlen skall användas. När pengarna tas ut från kontot beskattas de som</w:t>
      </w:r>
      <w:r w:rsidRPr="00C9680B">
        <w:t xml:space="preserve"> inkomst och därutöver utfaller en extra skattesubvention i form av en kompetenspremie. Utredaren väntas lämna ett slutbetänkande i januari 2001. Det framgår av vad regeringen anför i budgetpropositionen att systemet avses träda i kraft senast år 2002. </w:t>
      </w:r>
    </w:p>
    <w:p w:rsidR="001C7BF9" w:rsidRPr="00C9680B" w:rsidRDefault="001C7BF9">
      <w:pPr>
        <w:pStyle w:val="Normaltindrag"/>
      </w:pPr>
      <w:r w:rsidRPr="00C9680B">
        <w:t>Med det anförda avstyrker utskottet motionsyrkandena.</w:t>
      </w:r>
    </w:p>
    <w:p w:rsidR="001C7BF9" w:rsidRPr="00C9680B" w:rsidRDefault="001C7BF9">
      <w:pPr>
        <w:pStyle w:val="Utskottetsvervganden-RubrikFrslagspunkt"/>
        <w:outlineLvl w:val="0"/>
      </w:pPr>
      <w:bookmarkStart w:id="867" w:name="_Toc498838113"/>
      <w:r w:rsidRPr="00C9680B">
        <w:t>Yrkesfiskare</w:t>
      </w:r>
      <w:bookmarkEnd w:id="867"/>
    </w:p>
    <w:p w:rsidR="001C7BF9" w:rsidRPr="00C9680B" w:rsidRDefault="001C7BF9">
      <w:pPr>
        <w:pStyle w:val="Utskottsfrslagikorthet-Rubrik"/>
        <w:jc w:val="both"/>
        <w:outlineLvl w:val="0"/>
        <w:rPr>
          <w:noProof w:val="0"/>
        </w:rPr>
      </w:pPr>
      <w:bookmarkStart w:id="868" w:name="_Toc497206459"/>
      <w:bookmarkStart w:id="869" w:name="_Toc497720028"/>
      <w:r w:rsidRPr="00C9680B">
        <w:rPr>
          <w:noProof w:val="0"/>
        </w:rPr>
        <w:t>Utskottets förslag i korthet</w:t>
      </w:r>
      <w:bookmarkEnd w:id="868"/>
      <w:bookmarkEnd w:id="869"/>
    </w:p>
    <w:p w:rsidR="001C7BF9" w:rsidRPr="00C9680B" w:rsidRDefault="001C7BF9">
      <w:pPr>
        <w:pStyle w:val="Utskottsfrslagikorthet-Text"/>
      </w:pPr>
      <w:r w:rsidRPr="00C9680B">
        <w:t>Riksdagen avslår motionsförslagen om ett tillkännagivande till r</w:t>
      </w:r>
      <w:r w:rsidRPr="00C9680B">
        <w:t>e</w:t>
      </w:r>
      <w:r w:rsidRPr="00C9680B">
        <w:t>geringen om vikten av ett skyndsamt förslag om ett yrkesfiskar</w:t>
      </w:r>
      <w:r w:rsidRPr="00C9680B">
        <w:softHyphen/>
        <w:t xml:space="preserve">avdrag. </w:t>
      </w:r>
    </w:p>
    <w:p w:rsidR="001C7BF9" w:rsidRPr="00C9680B" w:rsidRDefault="001C7BF9">
      <w:pPr>
        <w:pStyle w:val="Utskottetsvervganden-kursivrubrik"/>
        <w:outlineLvl w:val="0"/>
        <w:rPr>
          <w:noProof w:val="0"/>
        </w:rPr>
      </w:pPr>
      <w:bookmarkStart w:id="870" w:name="_Toc498838114"/>
      <w:r w:rsidRPr="00C9680B">
        <w:rPr>
          <w:noProof w:val="0"/>
        </w:rPr>
        <w:t>Bakgrund</w:t>
      </w:r>
      <w:bookmarkEnd w:id="870"/>
    </w:p>
    <w:p w:rsidR="001C7BF9" w:rsidRPr="00C9680B" w:rsidRDefault="001C7BF9">
      <w:r w:rsidRPr="00C9680B">
        <w:t>Utredningen (Jo 1998:05) om konkurrenssituationen för det svenska yrkes</w:t>
      </w:r>
      <w:r w:rsidRPr="00C9680B">
        <w:softHyphen/>
        <w:t>fisket lade i januari 1999 fram betänkandet Yrkesfiskets konkurrenssituation (SOU 1999:3). Utredningen föreslår att det nu gällande avdraget för ökade levnadskostnader vid fiske ersätts av ett nytt avdrag benämnt yrkesfiskar</w:t>
      </w:r>
      <w:r w:rsidRPr="00C9680B">
        <w:softHyphen/>
        <w:t>avdrag. Vidare lägger utredningen fram förslag på metoder för att möjliggöra resultatutjämning vid fartygsbyte. Betänkandet har remissbehandlats. Ärendet bereds för närvarande i Regeringskansliet.</w:t>
      </w:r>
    </w:p>
    <w:p w:rsidR="001C7BF9" w:rsidRPr="00C9680B" w:rsidRDefault="001C7BF9">
      <w:pPr>
        <w:pStyle w:val="Utskottetsvervganden-kursivrubrik"/>
        <w:outlineLvl w:val="0"/>
        <w:rPr>
          <w:noProof w:val="0"/>
        </w:rPr>
      </w:pPr>
      <w:bookmarkStart w:id="871" w:name="_Toc498838115"/>
      <w:r w:rsidRPr="00C9680B">
        <w:rPr>
          <w:noProof w:val="0"/>
        </w:rPr>
        <w:t>Budgetpropositionen</w:t>
      </w:r>
      <w:bookmarkEnd w:id="871"/>
    </w:p>
    <w:p w:rsidR="001C7BF9" w:rsidRPr="00C9680B" w:rsidRDefault="001C7BF9">
      <w:r w:rsidRPr="00C9680B">
        <w:t>I propositionen anför regeringen att ett förslag om ett särskilt s.k. yrkes</w:t>
      </w:r>
      <w:r w:rsidRPr="00C9680B">
        <w:softHyphen/>
        <w:t>fiskaravdrag kommer att läggas under hösten. Förslaget syftar till att förbättra det svenska yrkesfiskets konkurrenssituation. Regeringen har avsatt en o</w:t>
      </w:r>
      <w:r w:rsidRPr="00C9680B">
        <w:t>f</w:t>
      </w:r>
      <w:r w:rsidRPr="00C9680B">
        <w:t>fentligfinansiell ram om 20 miljoner kronor som skall motsvara den till</w:t>
      </w:r>
      <w:r w:rsidRPr="00C9680B">
        <w:softHyphen/>
        <w:t>kommande budgetförsvagning som följer av att det nya avdraget ersätter det nuv</w:t>
      </w:r>
      <w:r w:rsidRPr="00C9680B">
        <w:t>a</w:t>
      </w:r>
      <w:r w:rsidRPr="00C9680B">
        <w:t>rande, mer begränsade avdraget för yrkesfiskares ökade levnadskostna</w:t>
      </w:r>
      <w:r w:rsidRPr="00C9680B">
        <w:softHyphen/>
        <w:t>der. Ett yrkesfiskaravdrag kräver utöver Lagrådets granskning godkännande från EG-kommissionen enligt statsstödsreglerna. Regeringen bedö</w:t>
      </w:r>
      <w:r w:rsidRPr="00C9680B">
        <w:t>mer likväl att de nya reglerna skall kunna tillämpas inkomståret 2001.</w:t>
      </w:r>
    </w:p>
    <w:p w:rsidR="001C7BF9" w:rsidRPr="00C9680B" w:rsidRDefault="001C7BF9">
      <w:pPr>
        <w:pStyle w:val="R4"/>
        <w:outlineLvl w:val="0"/>
      </w:pPr>
      <w:r w:rsidRPr="00C9680B">
        <w:t>Motionerna</w:t>
      </w:r>
    </w:p>
    <w:p w:rsidR="001C7BF9" w:rsidRPr="00C9680B" w:rsidRDefault="001C7BF9">
      <w:r w:rsidRPr="00C9680B">
        <w:t xml:space="preserve">I flera motioner från </w:t>
      </w:r>
      <w:r w:rsidRPr="00C9680B">
        <w:rPr>
          <w:i/>
        </w:rPr>
        <w:t>Moderata samlingspartiet</w:t>
      </w:r>
      <w:r w:rsidRPr="00C9680B">
        <w:t xml:space="preserve">, </w:t>
      </w:r>
      <w:r w:rsidRPr="00C9680B">
        <w:rPr>
          <w:i/>
        </w:rPr>
        <w:t>Kristdemokraterna</w:t>
      </w:r>
      <w:r w:rsidRPr="00C9680B">
        <w:t xml:space="preserve"> och </w:t>
      </w:r>
      <w:r w:rsidRPr="00C9680B">
        <w:rPr>
          <w:i/>
        </w:rPr>
        <w:t>Ce</w:t>
      </w:r>
      <w:r w:rsidRPr="00C9680B">
        <w:rPr>
          <w:i/>
        </w:rPr>
        <w:t>n</w:t>
      </w:r>
      <w:r w:rsidRPr="00C9680B">
        <w:rPr>
          <w:i/>
        </w:rPr>
        <w:t>terpartiet</w:t>
      </w:r>
      <w:r w:rsidRPr="00C9680B">
        <w:t xml:space="preserve"> begärs tillkännagivanden om vikten av att regeringen skynd</w:t>
      </w:r>
      <w:r w:rsidRPr="00C9680B">
        <w:softHyphen/>
        <w:t>samt lägger fram förslag om ett yrkesfiskaravdrag som innebär att det svenska fisket får konkurrensvillkor som är jämbördiga med villkoren i konkurren</w:t>
      </w:r>
      <w:r w:rsidRPr="00C9680B">
        <w:t>t</w:t>
      </w:r>
      <w:r w:rsidRPr="00C9680B">
        <w:softHyphen/>
        <w:t>länderna. Sådana yrkanden framställs i motionerna Sk314 av Kent Olsson (m), Sk323 yrkande 34 av Alf Svensson m.fl. (kd), MJ243 yrkande 16 av Alf Svensson m.fl. och MJ418 yrkande 9 av Åsa Torstensson m.fl. (c).</w:t>
      </w:r>
    </w:p>
    <w:p w:rsidR="001C7BF9" w:rsidRPr="00C9680B" w:rsidRDefault="001C7BF9">
      <w:pPr>
        <w:pStyle w:val="Utskottetsvervganden-kursivrubrik"/>
        <w:outlineLvl w:val="0"/>
        <w:rPr>
          <w:noProof w:val="0"/>
        </w:rPr>
      </w:pPr>
      <w:bookmarkStart w:id="872" w:name="_Toc497206463"/>
      <w:bookmarkStart w:id="873" w:name="_Toc497720032"/>
      <w:bookmarkStart w:id="874" w:name="_Toc498838116"/>
      <w:r w:rsidRPr="00C9680B">
        <w:rPr>
          <w:noProof w:val="0"/>
        </w:rPr>
        <w:t>Utskottets ställningstagande</w:t>
      </w:r>
      <w:bookmarkEnd w:id="872"/>
      <w:bookmarkEnd w:id="873"/>
      <w:bookmarkEnd w:id="874"/>
    </w:p>
    <w:p w:rsidR="001C7BF9" w:rsidRPr="00C9680B" w:rsidRDefault="001C7BF9">
      <w:r w:rsidRPr="00C9680B">
        <w:t>Som framgår av vad regeringen anför kommer ett förslag om ett yrkes</w:t>
      </w:r>
      <w:r w:rsidRPr="00C9680B">
        <w:softHyphen/>
        <w:t>fiskaravdrag att läggas fram under hösten. Utskottet ser inte någon anledning till ytterligare tillkännagivanden till regeringen i denna fråga och avstyrker därför motionsyrkandena.</w:t>
      </w:r>
    </w:p>
    <w:p w:rsidR="001C7BF9" w:rsidRPr="00C9680B" w:rsidRDefault="001C7BF9">
      <w:pPr>
        <w:pStyle w:val="Utskottetsvervganden-RubrikFrslagspunkt"/>
        <w:outlineLvl w:val="0"/>
      </w:pPr>
      <w:bookmarkStart w:id="875" w:name="_Toc498838117"/>
      <w:r w:rsidRPr="00C9680B">
        <w:t>Hushållsnära tjänster</w:t>
      </w:r>
      <w:bookmarkEnd w:id="875"/>
    </w:p>
    <w:p w:rsidR="001C7BF9" w:rsidRPr="00C9680B" w:rsidRDefault="001C7BF9">
      <w:pPr>
        <w:pStyle w:val="Utskottsfrslagikorthet-Rubrik"/>
        <w:jc w:val="both"/>
        <w:outlineLvl w:val="0"/>
        <w:rPr>
          <w:noProof w:val="0"/>
        </w:rPr>
      </w:pPr>
      <w:bookmarkStart w:id="876" w:name="_Toc497206465"/>
      <w:bookmarkStart w:id="877" w:name="_Toc497720034"/>
      <w:r w:rsidRPr="00C9680B">
        <w:rPr>
          <w:noProof w:val="0"/>
        </w:rPr>
        <w:t>Utskottets förslag i korthet</w:t>
      </w:r>
      <w:bookmarkEnd w:id="876"/>
      <w:bookmarkEnd w:id="877"/>
    </w:p>
    <w:p w:rsidR="001C7BF9" w:rsidRPr="00C9680B" w:rsidRDefault="001C7BF9">
      <w:pPr>
        <w:pStyle w:val="Utskottsfrslagikorthet-Text"/>
      </w:pPr>
      <w:r w:rsidRPr="00C9680B">
        <w:t>Riksdagen avslår motionsförslagen om en skattereduktion för hus</w:t>
      </w:r>
      <w:r w:rsidRPr="00C9680B">
        <w:softHyphen/>
        <w:t>hållsnära tjänster.</w:t>
      </w:r>
    </w:p>
    <w:p w:rsidR="001C7BF9" w:rsidRPr="00C9680B" w:rsidRDefault="001C7BF9">
      <w:pPr>
        <w:pStyle w:val="Utskottetsvervganden-kursivrubrik"/>
        <w:outlineLvl w:val="0"/>
        <w:rPr>
          <w:noProof w:val="0"/>
        </w:rPr>
      </w:pPr>
      <w:bookmarkStart w:id="878" w:name="_Toc498838118"/>
      <w:r w:rsidRPr="00C9680B">
        <w:rPr>
          <w:noProof w:val="0"/>
        </w:rPr>
        <w:t>Gällande bestämmelser</w:t>
      </w:r>
      <w:bookmarkEnd w:id="878"/>
    </w:p>
    <w:p w:rsidR="001C7BF9" w:rsidRPr="00C9680B" w:rsidRDefault="001C7BF9">
      <w:r w:rsidRPr="00C9680B">
        <w:t xml:space="preserve">Frågor om särskilda skatteregler för tjänstesektorn har behandlats i Tjänste-utredningens betänkande Uppskattad sysselsättning (SOU 1994:43) och i Tjänstebeskattningsutredningens betänkande Skatter, tjänster och syssel-sättning (SOU 1997:17). </w:t>
      </w:r>
    </w:p>
    <w:p w:rsidR="001C7BF9" w:rsidRPr="00C9680B" w:rsidRDefault="001C7BF9">
      <w:pPr>
        <w:pStyle w:val="Utskottetsvervganden-kursivrubrik"/>
        <w:outlineLvl w:val="0"/>
        <w:rPr>
          <w:noProof w:val="0"/>
        </w:rPr>
      </w:pPr>
      <w:bookmarkStart w:id="879" w:name="_Toc498838119"/>
      <w:r w:rsidRPr="00C9680B">
        <w:rPr>
          <w:noProof w:val="0"/>
        </w:rPr>
        <w:t>Motionerna</w:t>
      </w:r>
      <w:bookmarkEnd w:id="879"/>
    </w:p>
    <w:p w:rsidR="001C7BF9" w:rsidRPr="00C9680B" w:rsidRDefault="001C7BF9">
      <w:r w:rsidRPr="00C9680B">
        <w:rPr>
          <w:i/>
        </w:rPr>
        <w:t>Moderata samlingspartiet, Kristdemokraterna, Centerpartiet och Folk</w:t>
      </w:r>
      <w:r w:rsidRPr="00C9680B">
        <w:rPr>
          <w:i/>
        </w:rPr>
        <w:softHyphen/>
        <w:t xml:space="preserve">partiet liberalerna </w:t>
      </w:r>
      <w:r w:rsidRPr="00C9680B">
        <w:t>föreslår i flera motioner att en skattereduktion för hus</w:t>
      </w:r>
      <w:r w:rsidRPr="00C9680B">
        <w:softHyphen/>
        <w:t>hållsnära tjänster skall införas i enlighet med ett av partierna framställt gemensamt förslag. Förslaget innebär att en skattereduktion på 50 % införs för privatpe</w:t>
      </w:r>
      <w:r w:rsidRPr="00C9680B">
        <w:t>r</w:t>
      </w:r>
      <w:r w:rsidRPr="00C9680B">
        <w:softHyphen/>
        <w:t>soners betalning av arbetskostnaden inklusive moms för hushållstjänster som utförs i det egna hemmet, upp till 25 000 kr per år. Motionärerna anför att förslaget innebär att det vita priset halveras, direkt vid köpet, jämfört med dagens regler. Yrkanden med denna inrik</w:t>
      </w:r>
      <w:r w:rsidRPr="00C9680B">
        <w:t>tning framställs i motion Fi208 yrkande 12 av Bo Lundgren m.fl. (m), Sk313 yrkande 43 av Carl Fredrik Graf m.fl. (m), Sk323 yrkande 38 av Alf Svensson m.fl. (kd), Sk321 yrkande 23 av Lennart Daléus m.fl. (c), Sk324 yrkande 7 av Lars Leijonborg m.fl. (fp) och Sf308 yrkande 10 av Lars Leijonborg m.fl. (fp).</w:t>
      </w:r>
    </w:p>
    <w:p w:rsidR="001C7BF9" w:rsidRPr="00C9680B" w:rsidRDefault="001C7BF9">
      <w:pPr>
        <w:pStyle w:val="Utskottetsvervganden-kursivrubrik"/>
        <w:outlineLvl w:val="0"/>
        <w:rPr>
          <w:noProof w:val="0"/>
        </w:rPr>
      </w:pPr>
      <w:bookmarkStart w:id="880" w:name="_Toc497206468"/>
      <w:bookmarkStart w:id="881" w:name="_Toc497720037"/>
      <w:bookmarkStart w:id="882" w:name="_Toc498838120"/>
      <w:r w:rsidRPr="00C9680B">
        <w:rPr>
          <w:noProof w:val="0"/>
        </w:rPr>
        <w:t>Utskottets ställningstagande</w:t>
      </w:r>
      <w:bookmarkEnd w:id="880"/>
      <w:bookmarkEnd w:id="881"/>
      <w:bookmarkEnd w:id="882"/>
    </w:p>
    <w:p w:rsidR="001C7BF9" w:rsidRPr="00C9680B" w:rsidRDefault="001C7BF9">
      <w:r w:rsidRPr="00C9680B">
        <w:t>Enligt utskottets mening skulle införandet av en särskild stimulans för tjänst</w:t>
      </w:r>
      <w:r w:rsidRPr="00C9680B">
        <w:t>e</w:t>
      </w:r>
      <w:r w:rsidRPr="00C9680B">
        <w:softHyphen/>
        <w:t>sektorn i den form motionärerna föreslår innebära ett avsteg från de principer om en likformig och neutral beskattning som ligger till grund för skatterefo</w:t>
      </w:r>
      <w:r w:rsidRPr="00C9680B">
        <w:t>r</w:t>
      </w:r>
      <w:r w:rsidRPr="00C9680B">
        <w:softHyphen/>
        <w:t>men och som enligt utskottets mening bör gälla. Det är också kostsamt att genom stimulanser försöka skapa en tjänsteproduktion som kan konkurrera med hushållens egen tjänsteproduktion. Risken är att effekterna på sysselsät</w:t>
      </w:r>
      <w:r w:rsidRPr="00C9680B">
        <w:t>t</w:t>
      </w:r>
      <w:r w:rsidRPr="00C9680B">
        <w:softHyphen/>
        <w:t>ningen blir mycket små eller inga alls samtidigt som kostnaderna blir stora. De erfarenheter som man har gjort i Danmark talar fö</w:t>
      </w:r>
      <w:r w:rsidRPr="00C9680B">
        <w:t>r en sådan utgång.</w:t>
      </w:r>
    </w:p>
    <w:p w:rsidR="001C7BF9" w:rsidRPr="00C9680B" w:rsidRDefault="001C7BF9">
      <w:pPr>
        <w:pStyle w:val="Normaltindrag"/>
      </w:pPr>
      <w:r w:rsidRPr="00C9680B">
        <w:t>Vidare skulle en stimulans av denna typ leda till gränsdragningsproblem och ge upphov till svå</w:t>
      </w:r>
      <w:r w:rsidRPr="00C9680B">
        <w:t>r</w:t>
      </w:r>
      <w:r w:rsidRPr="00C9680B">
        <w:t>kontrollerade gråzoner.</w:t>
      </w:r>
    </w:p>
    <w:p w:rsidR="001C7BF9" w:rsidRPr="00C9680B" w:rsidRDefault="001C7BF9">
      <w:pPr>
        <w:pStyle w:val="Normaltindrag"/>
      </w:pPr>
      <w:r w:rsidRPr="00C9680B">
        <w:t>Utskottet är med hänsyn till det anförda inte berett att tillstyrka förslagen om en skattereduktion för hushållsnära tjänster och avstyrker därför moti</w:t>
      </w:r>
      <w:r w:rsidRPr="00C9680B">
        <w:t>o</w:t>
      </w:r>
      <w:r w:rsidRPr="00C9680B">
        <w:t>ns</w:t>
      </w:r>
      <w:r w:rsidRPr="00C9680B">
        <w:softHyphen/>
        <w:t>yrkandena.</w:t>
      </w:r>
    </w:p>
    <w:p w:rsidR="001C7BF9" w:rsidRPr="00C9680B" w:rsidRDefault="001C7BF9">
      <w:pPr>
        <w:pStyle w:val="Utskottetsvervganden-RubrikFrslagspunkt"/>
        <w:outlineLvl w:val="0"/>
      </w:pPr>
      <w:bookmarkStart w:id="883" w:name="_Toc498838121"/>
      <w:r w:rsidRPr="00C9680B">
        <w:t>Royalty</w:t>
      </w:r>
      <w:bookmarkEnd w:id="883"/>
    </w:p>
    <w:p w:rsidR="001C7BF9" w:rsidRPr="00C9680B" w:rsidRDefault="001C7BF9">
      <w:pPr>
        <w:pStyle w:val="Utskottsfrslagikorthet-Rubrik"/>
        <w:jc w:val="both"/>
        <w:outlineLvl w:val="0"/>
        <w:rPr>
          <w:noProof w:val="0"/>
        </w:rPr>
      </w:pPr>
      <w:bookmarkStart w:id="884" w:name="_Toc497206470"/>
      <w:bookmarkStart w:id="885" w:name="_Toc497720039"/>
      <w:r w:rsidRPr="00C9680B">
        <w:rPr>
          <w:noProof w:val="0"/>
        </w:rPr>
        <w:t>Utskottets förslag i korthet</w:t>
      </w:r>
      <w:bookmarkEnd w:id="884"/>
      <w:bookmarkEnd w:id="885"/>
    </w:p>
    <w:p w:rsidR="001C7BF9" w:rsidRPr="00C9680B" w:rsidRDefault="001C7BF9">
      <w:pPr>
        <w:pStyle w:val="Utskottsfrslagikorthet-Text"/>
      </w:pPr>
      <w:r w:rsidRPr="00C9680B">
        <w:t>Riksdagen avslår motionsförslagen om att royalty skall beskattas som i</w:t>
      </w:r>
      <w:r w:rsidRPr="00C9680B">
        <w:t>n</w:t>
      </w:r>
      <w:r w:rsidRPr="00C9680B">
        <w:t>komst av kapital respektive skattebefrias.</w:t>
      </w:r>
    </w:p>
    <w:p w:rsidR="001C7BF9" w:rsidRPr="00C9680B" w:rsidRDefault="001C7BF9">
      <w:pPr>
        <w:pStyle w:val="Utskottetsvervganden-kursivrubrik"/>
        <w:outlineLvl w:val="0"/>
        <w:rPr>
          <w:noProof w:val="0"/>
        </w:rPr>
      </w:pPr>
      <w:bookmarkStart w:id="886" w:name="_Toc498838122"/>
      <w:r w:rsidRPr="00C9680B">
        <w:rPr>
          <w:noProof w:val="0"/>
        </w:rPr>
        <w:t>Motionerna</w:t>
      </w:r>
      <w:bookmarkEnd w:id="886"/>
    </w:p>
    <w:p w:rsidR="001C7BF9" w:rsidRPr="00C9680B" w:rsidRDefault="001C7BF9">
      <w:r w:rsidRPr="00C9680B">
        <w:rPr>
          <w:i/>
        </w:rPr>
        <w:t>Moderata samlingspartiet</w:t>
      </w:r>
      <w:r w:rsidRPr="00C9680B">
        <w:t xml:space="preserve"> föreslår i motion Sk313 yrkande 40 av Carl Fredrik Graf m.fl. (m) att royaltyinkomster från uppfinningar och patent skall be</w:t>
      </w:r>
      <w:r w:rsidRPr="00C9680B">
        <w:softHyphen/>
        <w:t>skattas i inkomstslaget kapital fr.o.m. år 2001.</w:t>
      </w:r>
    </w:p>
    <w:p w:rsidR="001C7BF9" w:rsidRPr="00C9680B" w:rsidRDefault="001C7BF9">
      <w:r w:rsidRPr="00C9680B">
        <w:rPr>
          <w:i/>
        </w:rPr>
        <w:t>Kristdemokraterna</w:t>
      </w:r>
      <w:r w:rsidRPr="00C9680B">
        <w:t xml:space="preserve"> föreslår i motion Sk323 yrkande 35 av Alf Svensson m.fl. (kd) att royalty på patent skattebefrias under de två första åren för att sedan beskattas i inkomstslaget kapital.</w:t>
      </w:r>
    </w:p>
    <w:p w:rsidR="001C7BF9" w:rsidRPr="00C9680B" w:rsidRDefault="001C7BF9">
      <w:pPr>
        <w:pStyle w:val="Utskottetsvervganden-kursivrubrik"/>
        <w:outlineLvl w:val="0"/>
        <w:rPr>
          <w:noProof w:val="0"/>
        </w:rPr>
      </w:pPr>
      <w:bookmarkStart w:id="887" w:name="_Toc497206472"/>
      <w:bookmarkStart w:id="888" w:name="_Toc497720041"/>
      <w:bookmarkStart w:id="889" w:name="_Toc498838123"/>
      <w:r w:rsidRPr="00C9680B">
        <w:rPr>
          <w:noProof w:val="0"/>
        </w:rPr>
        <w:t>Utskottets ställningstagande</w:t>
      </w:r>
      <w:bookmarkEnd w:id="887"/>
      <w:bookmarkEnd w:id="888"/>
      <w:bookmarkEnd w:id="889"/>
    </w:p>
    <w:p w:rsidR="001C7BF9" w:rsidRPr="00C9680B" w:rsidRDefault="001C7BF9">
      <w:r w:rsidRPr="00C9680B">
        <w:t>Enligt utskottets mening bör det undvikas att införa särskilda skattestimu</w:t>
      </w:r>
      <w:r w:rsidRPr="00C9680B">
        <w:softHyphen/>
        <w:t>lanser för viss typ av verksamhet. Förslag om skattefrihet under begränsad tid för royaltyinkomster har tidigare föreslagits av Innovationsutredningen (SOU 1993:84), men har inte ansetts vara aktuella att genomföra. Motionsförslag om skattelättnader för royalty och patenterade uppfinningar har vid upprepade tillfällen avslagits av riksdagen och senast under våren 2000 i bl.a. betän</w:t>
      </w:r>
      <w:r w:rsidRPr="00C9680B">
        <w:softHyphen/>
        <w:t>kande SkU14 Allmänna motioner om företags- och kapitalbeskattning. U</w:t>
      </w:r>
      <w:r w:rsidRPr="00C9680B">
        <w:t>t</w:t>
      </w:r>
      <w:r w:rsidRPr="00C9680B">
        <w:t>skottet avstyrker motionsyrkandena.</w:t>
      </w:r>
    </w:p>
    <w:p w:rsidR="001C7BF9" w:rsidRPr="00C9680B" w:rsidRDefault="001C7BF9">
      <w:pPr>
        <w:pStyle w:val="Utskottetsvervganden-RubrikFrslagspunkt"/>
        <w:outlineLvl w:val="0"/>
      </w:pPr>
      <w:bookmarkStart w:id="890" w:name="_Toc498838124"/>
      <w:r w:rsidRPr="00C9680B">
        <w:t>Kapitalvinstbeskattni</w:t>
      </w:r>
      <w:r w:rsidRPr="00C9680B">
        <w:t>ng av bostäder</w:t>
      </w:r>
      <w:bookmarkEnd w:id="890"/>
    </w:p>
    <w:p w:rsidR="001C7BF9" w:rsidRPr="00C9680B" w:rsidRDefault="001C7BF9">
      <w:pPr>
        <w:pStyle w:val="Utskottsfrslagikorthet-Rubrik"/>
        <w:jc w:val="both"/>
        <w:outlineLvl w:val="0"/>
        <w:rPr>
          <w:noProof w:val="0"/>
        </w:rPr>
      </w:pPr>
      <w:bookmarkStart w:id="891" w:name="_Toc497206474"/>
      <w:bookmarkStart w:id="892" w:name="_Toc497720043"/>
      <w:r w:rsidRPr="00C9680B">
        <w:rPr>
          <w:noProof w:val="0"/>
        </w:rPr>
        <w:t>Utskottets förslag i korthet</w:t>
      </w:r>
      <w:bookmarkEnd w:id="891"/>
      <w:bookmarkEnd w:id="892"/>
    </w:p>
    <w:p w:rsidR="001C7BF9" w:rsidRPr="00C9680B" w:rsidRDefault="001C7BF9">
      <w:pPr>
        <w:pStyle w:val="Utskottsfrslagikorthet-Text"/>
      </w:pPr>
      <w:r w:rsidRPr="00C9680B">
        <w:t>Riksdagen tillstyrker regeringens förslag om att den skattepliktiga delen av vinsten vid försäljning av privatbostadsfastigheter och pr</w:t>
      </w:r>
      <w:r w:rsidRPr="00C9680B">
        <w:t>i</w:t>
      </w:r>
      <w:r w:rsidRPr="00C9680B">
        <w:t>vatbostadsrätter höjs från hälften till två tredjedelar av kapital</w:t>
      </w:r>
      <w:r w:rsidRPr="00C9680B">
        <w:softHyphen/>
        <w:t xml:space="preserve">vinsten. </w:t>
      </w:r>
    </w:p>
    <w:p w:rsidR="001C7BF9" w:rsidRPr="00C9680B" w:rsidRDefault="001C7BF9">
      <w:pPr>
        <w:pStyle w:val="Utskottetsvervganden-kursivrubrik"/>
        <w:outlineLvl w:val="0"/>
        <w:rPr>
          <w:noProof w:val="0"/>
        </w:rPr>
      </w:pPr>
      <w:bookmarkStart w:id="893" w:name="_Toc498838125"/>
      <w:r w:rsidRPr="00C9680B">
        <w:rPr>
          <w:noProof w:val="0"/>
        </w:rPr>
        <w:t>Budgetpropositionen</w:t>
      </w:r>
      <w:bookmarkEnd w:id="893"/>
    </w:p>
    <w:p w:rsidR="001C7BF9" w:rsidRPr="00C9680B" w:rsidRDefault="001C7BF9">
      <w:r w:rsidRPr="00C9680B">
        <w:t>Regeringen föreslår att den skattepliktiga delen av vinsten vid försäljning av privatbostadsfastigheter och privatbostadsrätter höjs från hälften till två tre</w:t>
      </w:r>
      <w:r w:rsidRPr="00C9680B">
        <w:t>d</w:t>
      </w:r>
      <w:r w:rsidRPr="00C9680B">
        <w:softHyphen/>
        <w:t>jedelar av kapitalvinsten. Det innebär att skatten, som en andel av vinsten, höjs från 15 % till 20 %. Någon ändring föreslås inte när det gäller den a</w:t>
      </w:r>
      <w:r w:rsidRPr="00C9680B">
        <w:t>v</w:t>
      </w:r>
      <w:r w:rsidRPr="00C9680B">
        <w:t>dragsgilla delen av en kapitalförlust, som därför även fortsättningsvis skall vara 50 %.</w:t>
      </w:r>
    </w:p>
    <w:p w:rsidR="001C7BF9" w:rsidRPr="00C9680B" w:rsidRDefault="001C7BF9">
      <w:pPr>
        <w:pStyle w:val="Normaltindrag"/>
      </w:pPr>
      <w:r w:rsidRPr="00C9680B">
        <w:t>Regeringen anför att det finns skäl som talar för att tyngdpunkten i förde</w:t>
      </w:r>
      <w:r w:rsidRPr="00C9680B">
        <w:t>l</w:t>
      </w:r>
      <w:r w:rsidRPr="00C9680B">
        <w:softHyphen/>
        <w:t>ningen av det totala skatteuttaget mellan fastighetsskatt och kapitalvinstb</w:t>
      </w:r>
      <w:r w:rsidRPr="00C9680B">
        <w:t>e</w:t>
      </w:r>
      <w:r w:rsidRPr="00C9680B">
        <w:softHyphen/>
        <w:t>skattning av privatbostäder bör förskjutas något mot ökad kapitalvinstskatt. Härför talar bl.a. de likviditets- och kostnadsproblem som fastighetsskatten medför för vissa hushåll. De förändringar som har föreslagits när det gäller fastighetsskattesatsen för småhus och bostadshyreshus bör dessutom finansi</w:t>
      </w:r>
      <w:r w:rsidRPr="00C9680B">
        <w:t>e</w:t>
      </w:r>
      <w:r w:rsidRPr="00C9680B">
        <w:softHyphen/>
        <w:t>ras inom bostadssektorn. Mot denna bakgrund anser regeringen att den skattepliktiga delen av vinsten vid avyttring av privatbo</w:t>
      </w:r>
      <w:r w:rsidRPr="00C9680B">
        <w:t>stadsfastigheter och privatbostadsrätter bör höjas från hälften till två tredjedelar av kapitalvinsten. När det gäller förluster konstaterar regeringen att det finns en generell fö</w:t>
      </w:r>
      <w:r w:rsidRPr="00C9680B">
        <w:t>r</w:t>
      </w:r>
      <w:r w:rsidRPr="00C9680B">
        <w:softHyphen/>
        <w:t>lustkvotering i inkomstslaget kapital med 70 % och att en sådan kvotering skulle medföra att knappt 47 % (70 % av två tredjedelar) av en förlust skulle få dras av. Mot bakgrund härav föreslår regeringen ingen ändring av den avdragsgilla förlustandelen på 50 %. De nya bestämmelserna föreslås gälla fr.o.m. den 1 janu</w:t>
      </w:r>
      <w:r w:rsidRPr="00C9680B">
        <w:t>a</w:t>
      </w:r>
      <w:r w:rsidRPr="00C9680B">
        <w:t>ri 2001.</w:t>
      </w:r>
    </w:p>
    <w:p w:rsidR="001C7BF9" w:rsidRPr="00C9680B" w:rsidRDefault="001C7BF9">
      <w:pPr>
        <w:pStyle w:val="Utskottetsvervganden-kursivrubrik"/>
        <w:outlineLvl w:val="0"/>
        <w:rPr>
          <w:noProof w:val="0"/>
        </w:rPr>
      </w:pPr>
      <w:bookmarkStart w:id="894" w:name="_Toc498838126"/>
      <w:r w:rsidRPr="00C9680B">
        <w:rPr>
          <w:noProof w:val="0"/>
        </w:rPr>
        <w:t>Moti</w:t>
      </w:r>
      <w:r w:rsidRPr="00C9680B">
        <w:rPr>
          <w:noProof w:val="0"/>
        </w:rPr>
        <w:t>onerna</w:t>
      </w:r>
      <w:bookmarkEnd w:id="894"/>
    </w:p>
    <w:p w:rsidR="001C7BF9" w:rsidRPr="00C9680B" w:rsidRDefault="001C7BF9">
      <w:r w:rsidRPr="00C9680B">
        <w:rPr>
          <w:i/>
        </w:rPr>
        <w:t>Moderata samlingspartiet</w:t>
      </w:r>
      <w:r w:rsidRPr="00C9680B">
        <w:t xml:space="preserve"> yrkar i motion Sk313 yrkande 2 delvis av Carl Fredrik Graf m.fl. (m) att regeringens förslag avslås.</w:t>
      </w:r>
    </w:p>
    <w:p w:rsidR="001C7BF9" w:rsidRPr="00C9680B" w:rsidRDefault="001C7BF9">
      <w:r w:rsidRPr="00C9680B">
        <w:rPr>
          <w:i/>
        </w:rPr>
        <w:t xml:space="preserve">Centerpartiet och Folkpartiet liberalerna </w:t>
      </w:r>
      <w:r w:rsidRPr="00C9680B">
        <w:t>räknar i sitt budgetalternativ med avslag på detta förslag.</w:t>
      </w:r>
    </w:p>
    <w:p w:rsidR="001C7BF9" w:rsidRPr="00C9680B" w:rsidRDefault="001C7BF9">
      <w:pPr>
        <w:pStyle w:val="Utskottetsvervganden-kursivrubrik"/>
        <w:outlineLvl w:val="0"/>
        <w:rPr>
          <w:noProof w:val="0"/>
        </w:rPr>
      </w:pPr>
      <w:bookmarkStart w:id="895" w:name="_Toc497206477"/>
      <w:bookmarkStart w:id="896" w:name="_Toc497720046"/>
      <w:bookmarkStart w:id="897" w:name="_Toc498838127"/>
      <w:r w:rsidRPr="00C9680B">
        <w:rPr>
          <w:noProof w:val="0"/>
        </w:rPr>
        <w:t>Utskottets ställningstagande</w:t>
      </w:r>
      <w:bookmarkEnd w:id="895"/>
      <w:bookmarkEnd w:id="896"/>
      <w:bookmarkEnd w:id="897"/>
    </w:p>
    <w:p w:rsidR="001C7BF9" w:rsidRPr="00C9680B" w:rsidRDefault="001C7BF9">
      <w:r w:rsidRPr="00C9680B">
        <w:t>Enligt utskottets mening bidrar en höjning av den skattepliktiga andelen av kapitalvinsten vid försäljning av privatbostäder till att beskattningen av dessa vinster blir mer likformig med den löpande beskattningen av fastigheterna. Utskottet har inte någon erinran mot förslaget och tillstyrker att det geno</w:t>
      </w:r>
      <w:r w:rsidRPr="00C9680B">
        <w:t>m</w:t>
      </w:r>
      <w:r w:rsidRPr="00C9680B">
        <w:softHyphen/>
        <w:t>förs. Utskottet avstyrker motionsyrkandet.</w:t>
      </w:r>
    </w:p>
    <w:p w:rsidR="001C7BF9" w:rsidRPr="00C9680B" w:rsidRDefault="001C7BF9">
      <w:pPr>
        <w:pStyle w:val="Utskottetsvervganden-RubrikFrslagspunkt"/>
        <w:outlineLvl w:val="0"/>
      </w:pPr>
      <w:bookmarkStart w:id="898" w:name="_Toc498838128"/>
      <w:r w:rsidRPr="00C9680B">
        <w:t>Inkomst av kapital</w:t>
      </w:r>
      <w:bookmarkEnd w:id="898"/>
    </w:p>
    <w:p w:rsidR="001C7BF9" w:rsidRPr="00C9680B" w:rsidRDefault="001C7BF9">
      <w:pPr>
        <w:pStyle w:val="Utskottsfrslagikorthet-Rubrik"/>
        <w:jc w:val="both"/>
        <w:outlineLvl w:val="0"/>
        <w:rPr>
          <w:noProof w:val="0"/>
        </w:rPr>
      </w:pPr>
      <w:bookmarkStart w:id="899" w:name="_Toc497206479"/>
      <w:bookmarkStart w:id="900" w:name="_Toc497720048"/>
      <w:r w:rsidRPr="00C9680B">
        <w:rPr>
          <w:noProof w:val="0"/>
        </w:rPr>
        <w:t>Utskottets förslag i korthet</w:t>
      </w:r>
      <w:bookmarkEnd w:id="899"/>
      <w:bookmarkEnd w:id="900"/>
    </w:p>
    <w:p w:rsidR="001C7BF9" w:rsidRPr="00C9680B" w:rsidRDefault="001C7BF9">
      <w:pPr>
        <w:pStyle w:val="Utskottsfrslagikorthet-Text"/>
      </w:pPr>
      <w:r w:rsidRPr="00C9680B">
        <w:t>Riksdagen avslår motionsförslagen om slopad skatt på aktie</w:t>
      </w:r>
      <w:r w:rsidRPr="00C9680B">
        <w:softHyphen/>
        <w:t>utdel</w:t>
      </w:r>
      <w:r w:rsidRPr="00C9680B">
        <w:softHyphen/>
        <w:t>ning, sl</w:t>
      </w:r>
      <w:r w:rsidRPr="00C9680B">
        <w:t>o</w:t>
      </w:r>
      <w:r w:rsidRPr="00C9680B">
        <w:t>pat noteringsvillkor i de s.k. lex Asea-reglerna, risk</w:t>
      </w:r>
      <w:r w:rsidRPr="00C9680B">
        <w:softHyphen/>
        <w:t>kapitalavdrag och sänkt skatt på person</w:t>
      </w:r>
      <w:r w:rsidRPr="00C9680B">
        <w:t>a</w:t>
      </w:r>
      <w:r w:rsidRPr="00C9680B">
        <w:t xml:space="preserve">loptioner. </w:t>
      </w:r>
    </w:p>
    <w:p w:rsidR="001C7BF9" w:rsidRPr="00C9680B" w:rsidRDefault="001C7BF9">
      <w:pPr>
        <w:pStyle w:val="Utskottetsvervganden-kursivrubrik"/>
        <w:outlineLvl w:val="0"/>
        <w:rPr>
          <w:noProof w:val="0"/>
        </w:rPr>
      </w:pPr>
      <w:bookmarkStart w:id="901" w:name="_Toc498838129"/>
      <w:r w:rsidRPr="00C9680B">
        <w:rPr>
          <w:noProof w:val="0"/>
        </w:rPr>
        <w:t>Bakgrund</w:t>
      </w:r>
      <w:bookmarkEnd w:id="901"/>
    </w:p>
    <w:p w:rsidR="001C7BF9" w:rsidRPr="00C9680B" w:rsidRDefault="001C7BF9">
      <w:r w:rsidRPr="00C9680B">
        <w:t>Frågan om s.k. enkelbeskattning och dess inverkan på företagsinvesteringarna har utretts av 1992 års företagsskatteutredning. Utredningen avvisade i betä</w:t>
      </w:r>
      <w:r w:rsidRPr="00C9680B">
        <w:t>n</w:t>
      </w:r>
      <w:r w:rsidRPr="00C9680B">
        <w:softHyphen/>
        <w:t xml:space="preserve">kandet En lättnad i dubbelbeskattningen av mindre företags inkomster (SOU 1996:119) ett generellt slopande av dubbelbeskattningen som ett medel att förbättra villkoren för företagande. </w:t>
      </w:r>
    </w:p>
    <w:p w:rsidR="001C7BF9" w:rsidRPr="00C9680B" w:rsidRDefault="001C7BF9">
      <w:pPr>
        <w:pStyle w:val="Normaltindrag"/>
      </w:pPr>
      <w:r w:rsidRPr="00C9680B">
        <w:t>Genom lagstiftning under hösten 1996 (prop. 1996/97:45, bet. 1996/97:SkU13), som har kompletterats under våren 1997 (prop. 1996/97:150, bet. 1996/97:FiU20), har riksdagen genomfört lättnader i b</w:t>
      </w:r>
      <w:r w:rsidRPr="00C9680B">
        <w:t>e</w:t>
      </w:r>
      <w:r w:rsidRPr="00C9680B">
        <w:t>skattningen av utdelning och reavinst på aktier i onoterade företag fr.o.m. 1998 års taxe</w:t>
      </w:r>
      <w:r w:rsidRPr="00C9680B">
        <w:softHyphen/>
        <w:t>ring. Lättnaderna ersatte det riskkapitalavdrag som införts tid</w:t>
      </w:r>
      <w:r w:rsidRPr="00C9680B">
        <w:t>i</w:t>
      </w:r>
      <w:r w:rsidRPr="00C9680B">
        <w:t xml:space="preserve">gare. </w:t>
      </w:r>
    </w:p>
    <w:p w:rsidR="001C7BF9" w:rsidRPr="00C9680B" w:rsidRDefault="001C7BF9">
      <w:pPr>
        <w:pStyle w:val="Utskottetsvervganden-kursivrubrik"/>
        <w:outlineLvl w:val="0"/>
        <w:rPr>
          <w:noProof w:val="0"/>
        </w:rPr>
      </w:pPr>
      <w:bookmarkStart w:id="902" w:name="_Toc498838130"/>
      <w:r w:rsidRPr="00C9680B">
        <w:rPr>
          <w:noProof w:val="0"/>
        </w:rPr>
        <w:t>Motionerna</w:t>
      </w:r>
      <w:bookmarkEnd w:id="902"/>
    </w:p>
    <w:p w:rsidR="001C7BF9" w:rsidRPr="00C9680B" w:rsidRDefault="001C7BF9">
      <w:r w:rsidRPr="00C9680B">
        <w:rPr>
          <w:i/>
        </w:rPr>
        <w:t>Moderata samlingspartiet</w:t>
      </w:r>
      <w:r w:rsidRPr="00C9680B">
        <w:t xml:space="preserve"> föreslår i motion Sk313 av Carl Fredrik Graf m.fl. (m) att skatten på aktieutdelning slopas den 1 januari 2001 (yrkande 39) och att noteringsvillkoret i de s.k. lex Asea-reglerna om uppskov med skatten på vissa aktieutdelningar skall slopas (yrkande 44). Motionärerna avsätter också medel för lättnad i beskattningen av personaloptioner.</w:t>
      </w:r>
    </w:p>
    <w:p w:rsidR="001C7BF9" w:rsidRPr="00C9680B" w:rsidRDefault="001C7BF9">
      <w:r w:rsidRPr="00C9680B">
        <w:rPr>
          <w:i/>
        </w:rPr>
        <w:t>Kristdemokraterna</w:t>
      </w:r>
      <w:r w:rsidRPr="00C9680B">
        <w:t xml:space="preserve"> föreslår i motion Sk323 av Alf Svensson m.fl. (kd) att en skattereduktion (riskkapitalavdrag) införs för den som köper nyemit</w:t>
      </w:r>
      <w:r w:rsidRPr="00C9680B">
        <w:softHyphen/>
        <w:t>terade aktier i onoterade bolag upp till 100 000 kr fr.o.m år 2001 (yrkande 25). Även dessa motionärer föreslår att beskattningen av utdelning på aktier slopas (yrkande 39). Slutligen föreslås att beskattningen av personaloptioner sänks med 100 miljoner kronor år 2002 och därefter med 200 miljoner kronor (y</w:t>
      </w:r>
      <w:r w:rsidRPr="00C9680B">
        <w:t>r</w:t>
      </w:r>
      <w:r w:rsidRPr="00C9680B">
        <w:t>kande 47).</w:t>
      </w:r>
    </w:p>
    <w:p w:rsidR="001C7BF9" w:rsidRPr="00C9680B" w:rsidRDefault="001C7BF9">
      <w:r w:rsidRPr="00C9680B">
        <w:rPr>
          <w:i/>
        </w:rPr>
        <w:t>Folkpartiet liberalerna</w:t>
      </w:r>
      <w:r w:rsidRPr="00C9680B">
        <w:t xml:space="preserve"> avsätter i sitt budgetalternativ medel för lättnad i beskattningen av personaloptioner.</w:t>
      </w:r>
    </w:p>
    <w:p w:rsidR="001C7BF9" w:rsidRPr="00C9680B" w:rsidRDefault="001C7BF9">
      <w:pPr>
        <w:pStyle w:val="Utskottetsvervganden-kursivrubrik"/>
        <w:outlineLvl w:val="0"/>
        <w:rPr>
          <w:noProof w:val="0"/>
        </w:rPr>
      </w:pPr>
      <w:bookmarkStart w:id="903" w:name="_Toc497206482"/>
      <w:bookmarkStart w:id="904" w:name="_Toc497720051"/>
      <w:bookmarkStart w:id="905" w:name="_Toc498838131"/>
      <w:r w:rsidRPr="00C9680B">
        <w:rPr>
          <w:noProof w:val="0"/>
        </w:rPr>
        <w:t>Utskottets ställningstagande</w:t>
      </w:r>
      <w:bookmarkEnd w:id="903"/>
      <w:bookmarkEnd w:id="904"/>
      <w:bookmarkEnd w:id="905"/>
    </w:p>
    <w:p w:rsidR="001C7BF9" w:rsidRPr="00C9680B" w:rsidRDefault="001C7BF9">
      <w:r w:rsidRPr="00C9680B">
        <w:t xml:space="preserve">Enligt utskottets mening visar de utredningar som gjorts på området att en slopad skatt på aktieutdelningar inte är ett verksamt medel för att förbättra de större företagens villkor. Tillgången till en internationell kapitalmarknad gör att beskattningen av sparande endast i begränsad omfattning inverkar på företagens investeringsbenägenhet. </w:t>
      </w:r>
    </w:p>
    <w:p w:rsidR="001C7BF9" w:rsidRPr="00C9680B" w:rsidRDefault="001C7BF9">
      <w:pPr>
        <w:pStyle w:val="Normaltindrag"/>
      </w:pPr>
      <w:r w:rsidRPr="00C9680B">
        <w:t>För små och medelstora företag som inte i alla avseenden har tillgång till den internationella kapitalmarknaden kan emellertid inte bortses från att den personliga kapitalbeskattningen inverkar på avkastningskravet och därmed i viss mån fungerar som en skatt på företagens investeringar. I skattelagstif</w:t>
      </w:r>
      <w:r w:rsidRPr="00C9680B">
        <w:t>t</w:t>
      </w:r>
      <w:r w:rsidRPr="00C9680B">
        <w:softHyphen/>
        <w:t xml:space="preserve">ningen har detta förhållande beaktats genom de särskilda lättnader som sedan 1997 gäller vid beskattningen av utdelningar och reavinster på onoterade aktier. Dessa skattelättnader ersatte ett tidigare riskkapitalavdrag. </w:t>
      </w:r>
    </w:p>
    <w:p w:rsidR="001C7BF9" w:rsidRPr="00C9680B" w:rsidRDefault="001C7BF9">
      <w:pPr>
        <w:pStyle w:val="Normaltindrag"/>
      </w:pPr>
      <w:r w:rsidRPr="00C9680B">
        <w:t>Utskottet anser att en generell sänkning av skatten på ägarnas sparande i aktier inte är en effektiv metod för att förbättra villkoren för företagandet och avstyrker därför motionsyrkandena om slopad skatt på aktieutdelning och även förslaget om införande av ett riskkapitalavdrag.</w:t>
      </w:r>
    </w:p>
    <w:p w:rsidR="001C7BF9" w:rsidRPr="00C9680B" w:rsidRDefault="001C7BF9">
      <w:pPr>
        <w:pStyle w:val="Normaltindrag"/>
      </w:pPr>
      <w:r w:rsidRPr="00C9680B">
        <w:t>När det gäller lex Asea-reglerna möjliggör dessa att en koncern omstru</w:t>
      </w:r>
      <w:r w:rsidRPr="00C9680B">
        <w:t>k</w:t>
      </w:r>
      <w:r w:rsidRPr="00C9680B">
        <w:softHyphen/>
        <w:t>tureras genom att ett dotterbolag delas ut till ägarna. Under vissa villkor me</w:t>
      </w:r>
      <w:r w:rsidRPr="00C9680B">
        <w:t>d</w:t>
      </w:r>
      <w:r w:rsidRPr="00C9680B">
        <w:softHyphen/>
        <w:t>ges ägarna uppskov med beskattningen av en sådan utdelning, och skatt tas ut först när ägaren i sin tur avyttrar aktierna. Reglerna har senast omarbetats i anslutning till att en generell skatterättslig reglering av fusioner och fissioner infördes (prop. 1998/99:15, bet. 1998/99:SkU5). Härvid infördes bl.a. lättna</w:t>
      </w:r>
      <w:r w:rsidRPr="00C9680B">
        <w:softHyphen/>
        <w:t>der i det s.k. noteringsvillkoret som innebar att kravet på notering på A-listan ersattes med ett krav på marknads</w:t>
      </w:r>
      <w:r w:rsidRPr="00C9680B">
        <w:t>notering. Ett motionsyrkande om att note</w:t>
      </w:r>
      <w:r w:rsidRPr="00C9680B">
        <w:softHyphen/>
        <w:t>ringskravet skulle släppas helt avslogs av utskottet med hänvisning till att noteringen behövs när anskaffningsvärdet på aktierna i det utdelande bolaget skall fast</w:t>
      </w:r>
      <w:r w:rsidRPr="00C9680B">
        <w:softHyphen/>
        <w:t>ställas och att avsaknaden av ett marknadsvärde antagligen skulle leda till praktiska problem med tillämpningen av dessa regler. Utskottet har inte ändrat uppfattning i denna fråga och avstyrker därför motionsyrkandet om ett slopande av noteringsvillkoret.</w:t>
      </w:r>
    </w:p>
    <w:p w:rsidR="001C7BF9" w:rsidRPr="00C9680B" w:rsidRDefault="001C7BF9">
      <w:pPr>
        <w:pStyle w:val="Normaltindrag"/>
      </w:pPr>
      <w:r w:rsidRPr="00C9680B">
        <w:t>Slutligen tar utskottet upp frågan om skattelättn</w:t>
      </w:r>
      <w:r w:rsidRPr="00C9680B">
        <w:t>ader för personaloptioner. Optionsprogrammen innebär ett visst mått av risktagande från såväl arbets</w:t>
      </w:r>
      <w:r w:rsidRPr="00C9680B">
        <w:softHyphen/>
        <w:t>tagarens som arbetsgivarens sida. I och med att parterna – genom avtalets konstruktion – har valt att skjuta upp beskattningen till en framtida tidpunkt är det svårt att förutse storleken på de skatte- respektive avgiftsinbetalningar som krävs när beskattningen väl utlöses. Om värdet är noll har den anställde gått miste om sin löneförmån. Är värdet stort kan skyldigheten att erlägga arbetsgivaravgifter bli b</w:t>
      </w:r>
      <w:r w:rsidRPr="00C9680B">
        <w:t>etungande för arbetsgivaren. Enligt utskottets mening finns det inte något bärande skäl att beskatta lön i form av optioner efter förmånligare regler än de som gäller för andra löneförmåner. Det är bara inom vissa delar av arbetsmarknaden som den här typen av löneförmåner kan erhållas och det skulle enligt utskottets mening skapa en i det närmaste ohåll</w:t>
      </w:r>
      <w:r w:rsidRPr="00C9680B">
        <w:softHyphen/>
        <w:t>bar situation om vissa grupper på detta sätt fick en förmånligare beskattning än andra grupper. Med det anförda avstyrker utskottet det aktuella motions</w:t>
      </w:r>
      <w:r w:rsidRPr="00C9680B">
        <w:softHyphen/>
        <w:t>y</w:t>
      </w:r>
      <w:r w:rsidRPr="00C9680B">
        <w:t>r</w:t>
      </w:r>
      <w:r w:rsidRPr="00C9680B">
        <w:t>k</w:t>
      </w:r>
      <w:r w:rsidRPr="00C9680B">
        <w:t>andet.</w:t>
      </w:r>
    </w:p>
    <w:p w:rsidR="001C7BF9" w:rsidRPr="00C9680B" w:rsidRDefault="001C7BF9">
      <w:pPr>
        <w:pStyle w:val="Utskottetsvervganden-RubrikFrslagspunkt"/>
        <w:outlineLvl w:val="0"/>
      </w:pPr>
      <w:bookmarkStart w:id="906" w:name="_Toc498838132"/>
      <w:r w:rsidRPr="00C9680B">
        <w:t>Beskattning av sjömän</w:t>
      </w:r>
      <w:bookmarkEnd w:id="906"/>
    </w:p>
    <w:p w:rsidR="001C7BF9" w:rsidRPr="00C9680B" w:rsidRDefault="001C7BF9">
      <w:pPr>
        <w:pStyle w:val="Utskottsfrslagikorthet-Rubrik"/>
        <w:jc w:val="both"/>
        <w:outlineLvl w:val="0"/>
        <w:rPr>
          <w:noProof w:val="0"/>
        </w:rPr>
      </w:pPr>
      <w:bookmarkStart w:id="907" w:name="_Toc497206484"/>
      <w:bookmarkStart w:id="908" w:name="_Toc497720053"/>
      <w:r w:rsidRPr="00C9680B">
        <w:rPr>
          <w:noProof w:val="0"/>
        </w:rPr>
        <w:t>Utskottets förslag i korthet</w:t>
      </w:r>
      <w:bookmarkEnd w:id="907"/>
      <w:bookmarkEnd w:id="908"/>
    </w:p>
    <w:p w:rsidR="001C7BF9" w:rsidRPr="00C9680B" w:rsidRDefault="001C7BF9">
      <w:pPr>
        <w:pStyle w:val="Utskottsfrslagikorthet-Text"/>
      </w:pPr>
      <w:r w:rsidRPr="00C9680B">
        <w:t>Riksdagen bifaller regeringens förslag om en förlängning av den skattefrihet som gäller för svenska sjömän vid arbete på skepp i viss internationell trafik till 2002 års tax</w:t>
      </w:r>
      <w:r w:rsidRPr="00C9680B">
        <w:t>e</w:t>
      </w:r>
      <w:r w:rsidRPr="00C9680B">
        <w:t>ring.</w:t>
      </w:r>
    </w:p>
    <w:p w:rsidR="001C7BF9" w:rsidRPr="00C9680B" w:rsidRDefault="001C7BF9">
      <w:pPr>
        <w:pStyle w:val="Utskottetsvervganden-kursivrubrik"/>
        <w:outlineLvl w:val="0"/>
        <w:rPr>
          <w:noProof w:val="0"/>
        </w:rPr>
      </w:pPr>
      <w:bookmarkStart w:id="909" w:name="_Toc498838133"/>
      <w:r w:rsidRPr="00C9680B">
        <w:rPr>
          <w:noProof w:val="0"/>
        </w:rPr>
        <w:t>Budgetpropositionen</w:t>
      </w:r>
      <w:bookmarkEnd w:id="909"/>
    </w:p>
    <w:p w:rsidR="001C7BF9" w:rsidRPr="00C9680B" w:rsidRDefault="001C7BF9">
      <w:r w:rsidRPr="00C9680B">
        <w:t>Regeringen föreslår att den särskilda övergångsbestämmelsen i artikel 31 punkt 3 i det nordiska skatteavtalet som gäller för i Sverige obegränsat skat</w:t>
      </w:r>
      <w:r w:rsidRPr="00C9680B">
        <w:t>t</w:t>
      </w:r>
      <w:r w:rsidRPr="00C9680B">
        <w:softHyphen/>
        <w:t>skyldiga sjömän som uppbär ersättning för arbete ombord på danskt, färöiskt, finskt, isländskt eller norskt skepp i internationell trafik förlängs att gälla också vid 2002 års taxering och att Sverige avstår från att utnyttja den mö</w:t>
      </w:r>
      <w:r w:rsidRPr="00C9680B">
        <w:t>j</w:t>
      </w:r>
      <w:r w:rsidRPr="00C9680B">
        <w:softHyphen/>
        <w:t>lighet till beskattning som artikel 26 punkt 2 i avtalet medger för ombord</w:t>
      </w:r>
      <w:r w:rsidRPr="00C9680B">
        <w:softHyphen/>
        <w:t>a</w:t>
      </w:r>
      <w:r w:rsidRPr="00C9680B">
        <w:t>n</w:t>
      </w:r>
      <w:r w:rsidRPr="00C9680B">
        <w:t>ställda vid 1999–2002 års taxeringar.</w:t>
      </w:r>
    </w:p>
    <w:p w:rsidR="001C7BF9" w:rsidRPr="00C9680B" w:rsidRDefault="001C7BF9">
      <w:pPr>
        <w:pStyle w:val="Normaltindrag"/>
      </w:pPr>
      <w:r w:rsidRPr="00C9680B">
        <w:t>Regeringen anför att den översyn av fjärrsjöfarten och färjenäringens vil</w:t>
      </w:r>
      <w:r w:rsidRPr="00C9680B">
        <w:t>l</w:t>
      </w:r>
      <w:r w:rsidRPr="00C9680B">
        <w:softHyphen/>
        <w:t>kor som regeringen nyligen påbörjat bl.a. innefattar att formen för rede</w:t>
      </w:r>
      <w:r w:rsidRPr="00C9680B">
        <w:softHyphen/>
        <w:t>rist</w:t>
      </w:r>
      <w:r w:rsidRPr="00C9680B">
        <w:t>ö</w:t>
      </w:r>
      <w:r w:rsidRPr="00C9680B">
        <w:softHyphen/>
        <w:t>det – nettostöd eller bruttostöd – skall utredas och att den för svensk del gä</w:t>
      </w:r>
      <w:r w:rsidRPr="00C9680B">
        <w:t>l</w:t>
      </w:r>
      <w:r w:rsidRPr="00C9680B">
        <w:t>lande särskilda treåriga övergångsregeln därför bör utsträckas till att gälla ytterligare ett år, dvs. också vid 2002 års taxering. Vidare bör Sverige avstå från att utnyttja en s.k. subject to tax-regel under hela den period som öve</w:t>
      </w:r>
      <w:r w:rsidRPr="00C9680B">
        <w:t>r</w:t>
      </w:r>
      <w:r w:rsidRPr="00C9680B">
        <w:softHyphen/>
        <w:t>gångsregeln gäller.</w:t>
      </w:r>
    </w:p>
    <w:p w:rsidR="001C7BF9" w:rsidRPr="00C9680B" w:rsidRDefault="001C7BF9">
      <w:pPr>
        <w:pStyle w:val="Utskottetsvervganden-kursivrubrik"/>
        <w:outlineLvl w:val="0"/>
        <w:rPr>
          <w:noProof w:val="0"/>
        </w:rPr>
      </w:pPr>
      <w:bookmarkStart w:id="910" w:name="_Toc498838134"/>
      <w:r w:rsidRPr="00C9680B">
        <w:rPr>
          <w:noProof w:val="0"/>
        </w:rPr>
        <w:t>Motionen</w:t>
      </w:r>
      <w:bookmarkEnd w:id="910"/>
    </w:p>
    <w:p w:rsidR="001C7BF9" w:rsidRPr="00C9680B" w:rsidRDefault="001C7BF9">
      <w:r w:rsidRPr="00C9680B">
        <w:rPr>
          <w:i/>
        </w:rPr>
        <w:t>Centerpartiet</w:t>
      </w:r>
      <w:r w:rsidRPr="00C9680B">
        <w:t xml:space="preserve"> hemställer i motion Sk321 yrkande 24 av Lennart Daléus m.fl. (c) att riksdagen fattar beslut om att införa ett nettostödsystem, befriat från inkoms</w:t>
      </w:r>
      <w:r w:rsidRPr="00C9680B">
        <w:t>t</w:t>
      </w:r>
      <w:r w:rsidRPr="00C9680B">
        <w:t>skatt och sociala avgifter, för svensk sjöfart.</w:t>
      </w:r>
    </w:p>
    <w:p w:rsidR="001C7BF9" w:rsidRPr="00C9680B" w:rsidRDefault="001C7BF9">
      <w:pPr>
        <w:pStyle w:val="Utskottetsvervganden-kursivrubrik"/>
        <w:outlineLvl w:val="0"/>
        <w:rPr>
          <w:noProof w:val="0"/>
        </w:rPr>
      </w:pPr>
      <w:bookmarkStart w:id="911" w:name="_Toc497206487"/>
      <w:bookmarkStart w:id="912" w:name="_Toc497720056"/>
      <w:bookmarkStart w:id="913" w:name="_Toc498838135"/>
      <w:r w:rsidRPr="00C9680B">
        <w:rPr>
          <w:noProof w:val="0"/>
        </w:rPr>
        <w:t>Utskottets ställningstagande</w:t>
      </w:r>
      <w:bookmarkEnd w:id="911"/>
      <w:bookmarkEnd w:id="912"/>
      <w:bookmarkEnd w:id="913"/>
    </w:p>
    <w:p w:rsidR="001C7BF9" w:rsidRPr="00C9680B" w:rsidRDefault="001C7BF9">
      <w:r w:rsidRPr="00C9680B">
        <w:t>Utskottet har inte funnit någon anledning till erinran mot regeringens förslag om en förlängning av övergångsreglerna om skattefrihet för svenska sjömän som arbetar ombord på viss internationell trafik och tillstyrker därför prop</w:t>
      </w:r>
      <w:r w:rsidRPr="00C9680B">
        <w:t>o</w:t>
      </w:r>
      <w:r w:rsidRPr="00C9680B">
        <w:softHyphen/>
        <w:t xml:space="preserve">sitionen i denna del. </w:t>
      </w:r>
    </w:p>
    <w:p w:rsidR="001C7BF9" w:rsidRPr="00C9680B" w:rsidRDefault="001C7BF9">
      <w:pPr>
        <w:pStyle w:val="Normaltindrag"/>
      </w:pPr>
      <w:r w:rsidRPr="00C9680B">
        <w:t>Regeringen har nyligen påbörjat en översyn av fjärrsjöfarten och färje</w:t>
      </w:r>
      <w:r w:rsidRPr="00C9680B">
        <w:softHyphen/>
        <w:t>näringens villkor som bl.a. innefattar formen för rederistödet – nettostöd eller bruttostöd – och målet är att ge den svenska sjöfarten likvärdiga konkurren</w:t>
      </w:r>
      <w:r w:rsidRPr="00C9680B">
        <w:t>s</w:t>
      </w:r>
      <w:r w:rsidRPr="00C9680B">
        <w:softHyphen/>
        <w:t>villkor. Regeringen anför att avsikten är att ett nytt stödsystem skall kunna träda i kraft den 1 januari 2002. Mot denna bakgrund finns det enligt utsko</w:t>
      </w:r>
      <w:r w:rsidRPr="00C9680B">
        <w:t>t</w:t>
      </w:r>
      <w:r w:rsidRPr="00C9680B">
        <w:softHyphen/>
        <w:t>tets mening inte någon anledning för riksdagen att nu ta ställning till den närmare utformningen av ett sådant stöd, och utskottet avstyrker därför m</w:t>
      </w:r>
      <w:r w:rsidRPr="00C9680B">
        <w:t>o</w:t>
      </w:r>
      <w:r w:rsidRPr="00C9680B">
        <w:t>tionsy</w:t>
      </w:r>
      <w:r w:rsidRPr="00C9680B">
        <w:t>r</w:t>
      </w:r>
      <w:r w:rsidRPr="00C9680B">
        <w:t>kandet.</w:t>
      </w:r>
    </w:p>
    <w:p w:rsidR="001C7BF9" w:rsidRPr="00C9680B" w:rsidRDefault="001C7BF9">
      <w:pPr>
        <w:pStyle w:val="Rubrik1b"/>
        <w:outlineLvl w:val="0"/>
      </w:pPr>
      <w:bookmarkStart w:id="914" w:name="_Toc498838136"/>
      <w:r w:rsidRPr="00C9680B">
        <w:br w:type="page"/>
        <w:t>Juridiska personers inkomster</w:t>
      </w:r>
      <w:bookmarkEnd w:id="914"/>
    </w:p>
    <w:p w:rsidR="001C7BF9" w:rsidRPr="00C9680B" w:rsidRDefault="001C7BF9">
      <w:pPr>
        <w:pStyle w:val="Utskottetsvervganden-RubrikFrslagspunkt"/>
        <w:spacing w:before="125"/>
        <w:outlineLvl w:val="0"/>
      </w:pPr>
      <w:bookmarkStart w:id="915" w:name="_Toc498838137"/>
      <w:r w:rsidRPr="00C9680B">
        <w:t>Företagsbeskattning</w:t>
      </w:r>
      <w:bookmarkEnd w:id="915"/>
    </w:p>
    <w:p w:rsidR="001C7BF9" w:rsidRPr="00C9680B" w:rsidRDefault="001C7BF9">
      <w:pPr>
        <w:pStyle w:val="Utskottsfrslagikorthet-Rubrik"/>
        <w:jc w:val="both"/>
        <w:outlineLvl w:val="0"/>
        <w:rPr>
          <w:noProof w:val="0"/>
        </w:rPr>
      </w:pPr>
      <w:bookmarkStart w:id="916" w:name="_Toc497206490"/>
      <w:bookmarkStart w:id="917" w:name="_Toc497720059"/>
      <w:r w:rsidRPr="00C9680B">
        <w:rPr>
          <w:noProof w:val="0"/>
        </w:rPr>
        <w:t>Utskottets förslag i korthet</w:t>
      </w:r>
      <w:bookmarkEnd w:id="916"/>
      <w:bookmarkEnd w:id="917"/>
    </w:p>
    <w:p w:rsidR="001C7BF9" w:rsidRPr="00C9680B" w:rsidRDefault="001C7BF9">
      <w:pPr>
        <w:pStyle w:val="Utskottsfrslagikorthet-Text"/>
      </w:pPr>
      <w:r w:rsidRPr="00C9680B">
        <w:t>Riksdagen avslår motionsförslagen om ändrade regler för lön till make, lön till barn, beskattning av förbjudna lån och avdrag för pe</w:t>
      </w:r>
      <w:r w:rsidRPr="00C9680B">
        <w:t>r</w:t>
      </w:r>
      <w:r w:rsidRPr="00C9680B">
        <w:t>sonalavvecklingskostnader när det gäller fåmansföretag. Riks</w:t>
      </w:r>
      <w:r w:rsidRPr="00C9680B">
        <w:softHyphen/>
        <w:t>dagen avstyrker motionsförslaget om ett tillkännagivande om inriktningen av 3:12-utredningen. Riksdagen avslår motionsförsla</w:t>
      </w:r>
      <w:r w:rsidRPr="00C9680B">
        <w:softHyphen/>
        <w:t>gen om sl</w:t>
      </w:r>
      <w:r w:rsidRPr="00C9680B">
        <w:t>o</w:t>
      </w:r>
      <w:r w:rsidRPr="00C9680B">
        <w:t>pande av möjligheten till återköp av aktier och om höj</w:t>
      </w:r>
      <w:r w:rsidRPr="00C9680B">
        <w:softHyphen/>
        <w:t>ning av ska</w:t>
      </w:r>
      <w:r w:rsidRPr="00C9680B">
        <w:t>t</w:t>
      </w:r>
      <w:r w:rsidRPr="00C9680B">
        <w:t>ten på bola</w:t>
      </w:r>
      <w:r w:rsidRPr="00C9680B">
        <w:t>g</w:t>
      </w:r>
      <w:r w:rsidRPr="00C9680B">
        <w:t>sinkomster till 30 %.</w:t>
      </w:r>
    </w:p>
    <w:p w:rsidR="001C7BF9" w:rsidRPr="00C9680B" w:rsidRDefault="001C7BF9">
      <w:pPr>
        <w:pStyle w:val="Utskottetsvervganden-kursivrubrik"/>
        <w:outlineLvl w:val="0"/>
        <w:rPr>
          <w:noProof w:val="0"/>
        </w:rPr>
      </w:pPr>
      <w:bookmarkStart w:id="918" w:name="_Toc498838138"/>
      <w:r w:rsidRPr="00C9680B">
        <w:rPr>
          <w:noProof w:val="0"/>
        </w:rPr>
        <w:t>Motionerna</w:t>
      </w:r>
      <w:bookmarkEnd w:id="918"/>
    </w:p>
    <w:p w:rsidR="001C7BF9" w:rsidRPr="00C9680B" w:rsidRDefault="001C7BF9">
      <w:r w:rsidRPr="00C9680B">
        <w:rPr>
          <w:i/>
        </w:rPr>
        <w:t>Moderata samlingspartiet</w:t>
      </w:r>
      <w:r w:rsidRPr="00C9680B">
        <w:t xml:space="preserve"> föreslår i motion Sk313 yrkande 45 av Carl Fredrik Graf m.fl. (m) att särbehandlingen av små- och egenföretagare och deras familjer slopas vid beskattningen. </w:t>
      </w:r>
    </w:p>
    <w:p w:rsidR="001C7BF9" w:rsidRPr="00C9680B" w:rsidRDefault="001C7BF9">
      <w:r w:rsidRPr="00C9680B">
        <w:rPr>
          <w:i/>
        </w:rPr>
        <w:t>Folkpartiet liberalerna</w:t>
      </w:r>
      <w:r w:rsidRPr="00C9680B">
        <w:t xml:space="preserve"> föreslår i motion Sk324 yrkande 18 av Lars Leijo</w:t>
      </w:r>
      <w:r w:rsidRPr="00C9680B">
        <w:t>n</w:t>
      </w:r>
      <w:r w:rsidRPr="00C9680B">
        <w:t>borg m.fl. (fp) att särreglerna om lön till fåmansföretagares make och barn under 16 år skall slopas, liksom det särskilda låneförbudet och för</w:t>
      </w:r>
      <w:r w:rsidRPr="00C9680B">
        <w:softHyphen/>
        <w:t>budet att göra avdrag för personalavvecklingskostnader. Vidare anför motio</w:t>
      </w:r>
      <w:r w:rsidRPr="00C9680B">
        <w:softHyphen/>
        <w:t>närerna att det är viktigt att utredningen av de s.k. 3:12-reglerna belyser möj</w:t>
      </w:r>
      <w:r w:rsidRPr="00C9680B">
        <w:softHyphen/>
        <w:t>ligheten att låta utdelning till en aktiv ägare i fåmansbolag anses som kapi</w:t>
      </w:r>
      <w:r w:rsidRPr="00C9680B">
        <w:softHyphen/>
        <w:t>talinkomst om ägaren tagit ut en lön som minst motsvarar den som en anställd kollega i</w:t>
      </w:r>
      <w:r w:rsidRPr="00C9680B">
        <w:t xml:space="preserve"> samma yrke har.</w:t>
      </w:r>
    </w:p>
    <w:p w:rsidR="001C7BF9" w:rsidRPr="00C9680B" w:rsidRDefault="001C7BF9">
      <w:r w:rsidRPr="00C9680B">
        <w:rPr>
          <w:i/>
        </w:rPr>
        <w:t>Kristdemokraterna</w:t>
      </w:r>
      <w:r w:rsidRPr="00C9680B">
        <w:t xml:space="preserve"> föreslår i motion Sk323 av Alf Svensson m.fl. (kd) att möjligheten till återköp av aktier slopas (yrkande 36) och att bolagsskatten höjs till 30 % (yrkande 37).</w:t>
      </w:r>
    </w:p>
    <w:p w:rsidR="001C7BF9" w:rsidRPr="00C9680B" w:rsidRDefault="001C7BF9">
      <w:pPr>
        <w:pStyle w:val="Utskottetsvervganden-kursivrubrik"/>
        <w:outlineLvl w:val="0"/>
        <w:rPr>
          <w:noProof w:val="0"/>
        </w:rPr>
      </w:pPr>
      <w:bookmarkStart w:id="919" w:name="_Toc497206492"/>
      <w:bookmarkStart w:id="920" w:name="_Toc497720061"/>
      <w:bookmarkStart w:id="921" w:name="_Toc498838139"/>
      <w:r w:rsidRPr="00C9680B">
        <w:rPr>
          <w:noProof w:val="0"/>
        </w:rPr>
        <w:t>Utskottets ställningstagande</w:t>
      </w:r>
      <w:bookmarkEnd w:id="919"/>
      <w:bookmarkEnd w:id="920"/>
      <w:bookmarkEnd w:id="921"/>
    </w:p>
    <w:p w:rsidR="001C7BF9" w:rsidRPr="00C9680B" w:rsidRDefault="001C7BF9">
      <w:r w:rsidRPr="00C9680B">
        <w:t>Bestämmelserna om lön till företagsledares make och barn har behandlats av Stoppregelutredningen som föreslagit att bestämmelsen om lön till make slopas. Regeringen har dock valt att inte lägga fram något förslag i denna del i anslutning till att flertalet stoppregler slopades under hösten 2000 (prop. 1999/2000:5, bet. 1999/2000:SkU5). Av propositionen framgick att rege</w:t>
      </w:r>
      <w:r w:rsidRPr="00C9680B">
        <w:softHyphen/>
        <w:t>ringen bereder ett förslag från Redovisningskommittén där motsvarande regler för enskild näringsverksamhet tagits upp och att reglerna om inkomst</w:t>
      </w:r>
      <w:r w:rsidRPr="00C9680B">
        <w:softHyphen/>
        <w:t>fördelning i fåmansföretag och fåmansägda handelsbolag lämpligen kan ses över i samband med reglerna för enskilda näringsidkare. Utskottet anser att resultatet av den påg</w:t>
      </w:r>
      <w:r w:rsidRPr="00C9680B">
        <w:t>å</w:t>
      </w:r>
      <w:r w:rsidRPr="00C9680B">
        <w:t xml:space="preserve">ende översynen bör avvaktas. </w:t>
      </w:r>
    </w:p>
    <w:p w:rsidR="001C7BF9" w:rsidRPr="00C9680B" w:rsidRDefault="001C7BF9">
      <w:pPr>
        <w:pStyle w:val="Normaltindrag"/>
      </w:pPr>
      <w:r w:rsidRPr="00C9680B">
        <w:t>Aktiebolagslagens låneförbud kompletteras av en särskild skatteregel som innebär att lån som tagits i strid med förbudet skall beskattas som inkomst av tjänst hos m</w:t>
      </w:r>
      <w:r w:rsidRPr="00C9680B">
        <w:t>ottagaren. Ett motiv för låneförbudet har varit att motverka skatt</w:t>
      </w:r>
      <w:r w:rsidRPr="00C9680B">
        <w:t>e</w:t>
      </w:r>
      <w:r w:rsidRPr="00C9680B">
        <w:softHyphen/>
        <w:t>flykt som består i att personer i ledande ställning i ett bolag tar ett lån från detta för privat konsumtion. Låneförbudet kompletterades därför med sär</w:t>
      </w:r>
      <w:r w:rsidRPr="00C9680B">
        <w:softHyphen/>
        <w:t>skilda skatteregler om hur ett förbjudet lån skall beskattas. Enligt utskottets bedömning kan låneförbudet inte upprätthållas enbart med stöd av aktie</w:t>
      </w:r>
      <w:r w:rsidRPr="00C9680B">
        <w:softHyphen/>
        <w:t>bolagslagens sanktionssystem, och utskottet är därför inte berett att tillstyrka att denna skatteregel slopas.</w:t>
      </w:r>
    </w:p>
    <w:p w:rsidR="001C7BF9" w:rsidRPr="00C9680B" w:rsidRDefault="001C7BF9">
      <w:pPr>
        <w:pStyle w:val="Normaltindrag"/>
      </w:pPr>
      <w:r w:rsidRPr="00C9680B">
        <w:t>Från och med 1997 års taxerin</w:t>
      </w:r>
      <w:r w:rsidRPr="00C9680B">
        <w:t>g är viss utbildning m.m. för den som är e</w:t>
      </w:r>
      <w:r w:rsidRPr="00C9680B">
        <w:t>l</w:t>
      </w:r>
      <w:r w:rsidRPr="00C9680B">
        <w:t>ler riskerar att bli arbetslös på grund av omstrukturering, personalavveck</w:t>
      </w:r>
      <w:r w:rsidRPr="00C9680B">
        <w:softHyphen/>
        <w:t>ling eller liknande i arbetsgivarens verksamhet befriad från förmånsbeskatt</w:t>
      </w:r>
      <w:r w:rsidRPr="00C9680B">
        <w:softHyphen/>
        <w:t>ning (prop. 1995/96:152, bet. 1995/96:SkU25). Skattefriheten gäller inte för för</w:t>
      </w:r>
      <w:r w:rsidRPr="00C9680B">
        <w:softHyphen/>
        <w:t>mån från fåmansföretag eller fåmansägt handelsbolag om den anställde är företagsledare eller delägare i företaget eller närstående till sådan person. Motsvarande begränsningar gäller för enskild näringsverksamhet. Vid en bedömning av bef</w:t>
      </w:r>
      <w:r w:rsidRPr="00C9680B">
        <w:t>rielsen från förmånsbeskattning i detta fall bör enligt u</w:t>
      </w:r>
      <w:r w:rsidRPr="00C9680B">
        <w:t>t</w:t>
      </w:r>
      <w:r w:rsidRPr="00C9680B">
        <w:t>skottets mening beaktas att skattelättnaden är ett avsteg från skatterefor</w:t>
      </w:r>
      <w:r w:rsidRPr="00C9680B">
        <w:softHyphen/>
        <w:t>mens principer om likformig och neutral beskattning. En utvidgning kan också medföra tillämpningsproblem och – oavsett företagets storlek – obehö</w:t>
      </w:r>
      <w:r w:rsidRPr="00C9680B">
        <w:softHyphen/>
        <w:t xml:space="preserve">riga skatteförmåner. Enligt utskottets bedömning bör en ändring i systemet snarast gå i motsatt riktning. </w:t>
      </w:r>
    </w:p>
    <w:p w:rsidR="001C7BF9" w:rsidRPr="00C9680B" w:rsidRDefault="001C7BF9">
      <w:pPr>
        <w:pStyle w:val="Normaltindrag"/>
      </w:pPr>
      <w:r w:rsidRPr="00C9680B">
        <w:t>De s.k. 3:12-reglerna anger hur utdelningar och reavinster vid avyttring av aktier i företaget skall fördelas mellan inkomst a</w:t>
      </w:r>
      <w:r w:rsidRPr="00C9680B">
        <w:t>v tjänst och inkomst av kap</w:t>
      </w:r>
      <w:r w:rsidRPr="00C9680B">
        <w:t>i</w:t>
      </w:r>
      <w:r w:rsidRPr="00C9680B">
        <w:softHyphen/>
        <w:t>tal hos den som är aktiv delägare i företaget. Regeringen har tillkallat en särskild utredare för att se över dessa regler. I utredningsuppdraget (dir. 1999:72) ingår att analysera metoden att utgå från en på något sätt fastställd normallön vid beräkning av det kapitalbeskattade utrymmet. Det finns enligt utskottets mening anledning att avvakta resultatet av den pågående utred</w:t>
      </w:r>
      <w:r w:rsidRPr="00C9680B">
        <w:softHyphen/>
        <w:t>nin</w:t>
      </w:r>
      <w:r w:rsidRPr="00C9680B">
        <w:t>g</w:t>
      </w:r>
      <w:r w:rsidRPr="00C9680B">
        <w:t>en. Utredningen beräknas avsluta sitt arbete den 31 oktober 2001.</w:t>
      </w:r>
    </w:p>
    <w:p w:rsidR="001C7BF9" w:rsidRPr="00C9680B" w:rsidRDefault="001C7BF9">
      <w:pPr>
        <w:pStyle w:val="Normaltindrag"/>
      </w:pPr>
      <w:r w:rsidRPr="00C9680B">
        <w:t>Möjligheten att återköpa egna akt</w:t>
      </w:r>
      <w:r w:rsidRPr="00C9680B">
        <w:t>ier är en anpassning till vad som gäller i flertalet europeiska länder och syftar till att skapa nya möjligheter för akti</w:t>
      </w:r>
      <w:r w:rsidRPr="00C9680B">
        <w:t>e</w:t>
      </w:r>
      <w:r w:rsidRPr="00C9680B">
        <w:softHyphen/>
        <w:t>bolag att föra tillbaka överskottsmedel till aktieägarna. Målet är ett effektivare utnyttjande av bolagens och näringslivets resurser. Utskottet är mot denna bakgrund inte berett att tillstyrka att denna möjlighet nu slopas. Utskottet är inte heller berett att tillstyrka en höjning av bolagsskatten till 30 %.</w:t>
      </w:r>
    </w:p>
    <w:p w:rsidR="001C7BF9" w:rsidRPr="00C9680B" w:rsidRDefault="001C7BF9">
      <w:pPr>
        <w:pStyle w:val="Normaltindrag"/>
      </w:pPr>
      <w:r w:rsidRPr="00C9680B">
        <w:t>Med det anförda avstyrker utskottet de aktuella motionsyrkandena.</w:t>
      </w:r>
    </w:p>
    <w:p w:rsidR="001C7BF9" w:rsidRPr="00C9680B" w:rsidRDefault="001C7BF9">
      <w:pPr>
        <w:pStyle w:val="Rubrik1b"/>
        <w:outlineLvl w:val="0"/>
      </w:pPr>
      <w:bookmarkStart w:id="922" w:name="_Toc498838140"/>
      <w:r w:rsidRPr="00C9680B">
        <w:t>Social- och arbetsgivaravgifter</w:t>
      </w:r>
      <w:bookmarkEnd w:id="922"/>
    </w:p>
    <w:p w:rsidR="001C7BF9" w:rsidRPr="00C9680B" w:rsidRDefault="001C7BF9">
      <w:pPr>
        <w:pStyle w:val="Utskottetsvervganden-RubrikFrslagspunkt"/>
        <w:spacing w:before="125"/>
        <w:outlineLvl w:val="0"/>
      </w:pPr>
      <w:bookmarkStart w:id="923" w:name="_Toc498838141"/>
      <w:r w:rsidRPr="00C9680B">
        <w:t>Löneskatt på vinstandelar</w:t>
      </w:r>
      <w:bookmarkEnd w:id="923"/>
    </w:p>
    <w:p w:rsidR="001C7BF9" w:rsidRPr="00C9680B" w:rsidRDefault="001C7BF9">
      <w:pPr>
        <w:pStyle w:val="Utskottsfrslagikorthet-Rubrik"/>
        <w:jc w:val="both"/>
        <w:outlineLvl w:val="0"/>
        <w:rPr>
          <w:noProof w:val="0"/>
        </w:rPr>
      </w:pPr>
      <w:bookmarkStart w:id="924" w:name="_Toc497206495"/>
      <w:bookmarkStart w:id="925" w:name="_Toc497720064"/>
      <w:r w:rsidRPr="00C9680B">
        <w:rPr>
          <w:noProof w:val="0"/>
        </w:rPr>
        <w:t>Utskottets förslag i korthet</w:t>
      </w:r>
      <w:bookmarkEnd w:id="924"/>
      <w:bookmarkEnd w:id="925"/>
    </w:p>
    <w:p w:rsidR="001C7BF9" w:rsidRPr="00C9680B" w:rsidRDefault="001C7BF9">
      <w:pPr>
        <w:pStyle w:val="Utskottsfrslagikorthet-Text"/>
      </w:pPr>
      <w:r w:rsidRPr="00C9680B">
        <w:t>Riksdagen avslår motionsförslagen om att särskild löneskatt inte skatt utgå på avsättning till vinstandelsstiftelser.</w:t>
      </w:r>
    </w:p>
    <w:p w:rsidR="001C7BF9" w:rsidRPr="00C9680B" w:rsidRDefault="001C7BF9">
      <w:pPr>
        <w:pStyle w:val="Utskottetsvervganden-kursivrubrik"/>
        <w:outlineLvl w:val="0"/>
        <w:rPr>
          <w:noProof w:val="0"/>
        </w:rPr>
      </w:pPr>
      <w:bookmarkStart w:id="926" w:name="_Toc498838142"/>
      <w:r w:rsidRPr="00C9680B">
        <w:rPr>
          <w:noProof w:val="0"/>
        </w:rPr>
        <w:t>Gällande bestämmelser</w:t>
      </w:r>
      <w:bookmarkEnd w:id="926"/>
    </w:p>
    <w:p w:rsidR="001C7BF9" w:rsidRPr="00C9680B" w:rsidRDefault="001C7BF9">
      <w:r w:rsidRPr="00C9680B">
        <w:t>Sedan den 1 januari 1997 tas särskild löneskatt ut på bidrag som en arbets</w:t>
      </w:r>
      <w:r w:rsidRPr="00C9680B">
        <w:softHyphen/>
        <w:t>givare lämnar till en vinstandelsstiftelse (prop. 1996/97:21, bet. 1996/97:FiU1). I propositionen framhölls att en av grundtankarna bakom skattereformen är att alla typer av förvärvsinkomster skall behandlas likfor</w:t>
      </w:r>
      <w:r w:rsidRPr="00C9680B">
        <w:softHyphen/>
        <w:t>migt.</w:t>
      </w:r>
    </w:p>
    <w:p w:rsidR="001C7BF9" w:rsidRPr="00C9680B" w:rsidRDefault="001C7BF9">
      <w:pPr>
        <w:pStyle w:val="Normaltindrag"/>
      </w:pPr>
      <w:r w:rsidRPr="00C9680B">
        <w:t>Vad beträffar utbetalning från en vinstandelsstiftelse finns sedan den 1 j</w:t>
      </w:r>
      <w:r w:rsidRPr="00C9680B">
        <w:t>a</w:t>
      </w:r>
      <w:r w:rsidRPr="00C9680B">
        <w:t>nuari 1993 en möjlighet till befrielse från socialavgifter (i vissa fall särskild löneskatt). Villkoren är att de bidrag som arbetsgivaren lämnat skall ha varit avsedda att vara bundna under minst tre kalenderår, tillkomma en betydande del av de anställda och lämnas till dem på likartade villkor. Om dessa villkor inte är uppfyllda eller om ersättning lämnas till bl.a. delägare eller företags</w:t>
      </w:r>
      <w:r w:rsidRPr="00C9680B">
        <w:softHyphen/>
        <w:t>l</w:t>
      </w:r>
      <w:r w:rsidRPr="00C9680B">
        <w:t>e</w:t>
      </w:r>
      <w:r w:rsidRPr="00C9680B">
        <w:t>dare i ett fåmansbolag gäller i princip inte sådan avgiftsfrihet.</w:t>
      </w:r>
    </w:p>
    <w:p w:rsidR="001C7BF9" w:rsidRPr="00C9680B" w:rsidRDefault="001C7BF9">
      <w:pPr>
        <w:pStyle w:val="Utskottetsvervganden-kursivrubrik"/>
        <w:outlineLvl w:val="0"/>
        <w:rPr>
          <w:noProof w:val="0"/>
        </w:rPr>
      </w:pPr>
      <w:bookmarkStart w:id="927" w:name="_Toc498838143"/>
      <w:r w:rsidRPr="00C9680B">
        <w:rPr>
          <w:noProof w:val="0"/>
        </w:rPr>
        <w:t>Motionerna</w:t>
      </w:r>
      <w:bookmarkEnd w:id="927"/>
    </w:p>
    <w:p w:rsidR="001C7BF9" w:rsidRPr="00C9680B" w:rsidRDefault="001C7BF9">
      <w:r w:rsidRPr="00C9680B">
        <w:rPr>
          <w:i/>
        </w:rPr>
        <w:t>Kristdemokraterna</w:t>
      </w:r>
      <w:r w:rsidRPr="00C9680B">
        <w:t xml:space="preserve"> yrkar i motion Sk323 yrkande 46 av Alf Svensson m.fl. (kd) att den särskilda löneskatten på bidrag till vinstandelsstiftelser slopas. </w:t>
      </w:r>
    </w:p>
    <w:p w:rsidR="001C7BF9" w:rsidRPr="00C9680B" w:rsidRDefault="001C7BF9"/>
    <w:p w:rsidR="001C7BF9" w:rsidRPr="00C9680B" w:rsidRDefault="001C7BF9">
      <w:r w:rsidRPr="00C9680B">
        <w:rPr>
          <w:i/>
        </w:rPr>
        <w:t>Folkpartiet liberalerna</w:t>
      </w:r>
      <w:r w:rsidRPr="00C9680B">
        <w:t xml:space="preserve"> anför i motion Sk324 yrkande 8 av Lars Leijonborg m.fl. (fp) att den särskilda löneskatten på avsättning till vinstandelsstiftelser bör slopas för att stimulera till en utvidgad användning av sådana sy</w:t>
      </w:r>
      <w:r w:rsidRPr="00C9680B">
        <w:t>s</w:t>
      </w:r>
      <w:r w:rsidRPr="00C9680B">
        <w:t>tem.</w:t>
      </w:r>
    </w:p>
    <w:p w:rsidR="001C7BF9" w:rsidRPr="00C9680B" w:rsidRDefault="001C7BF9">
      <w:pPr>
        <w:pStyle w:val="Utskottetsvervganden-kursivrubrik"/>
        <w:outlineLvl w:val="0"/>
        <w:rPr>
          <w:noProof w:val="0"/>
        </w:rPr>
      </w:pPr>
      <w:bookmarkStart w:id="928" w:name="_Toc497206498"/>
      <w:bookmarkStart w:id="929" w:name="_Toc497720067"/>
      <w:bookmarkStart w:id="930" w:name="_Toc498838144"/>
      <w:r w:rsidRPr="00C9680B">
        <w:rPr>
          <w:noProof w:val="0"/>
        </w:rPr>
        <w:t>Utskottets ställningstagande</w:t>
      </w:r>
      <w:bookmarkEnd w:id="928"/>
      <w:bookmarkEnd w:id="929"/>
      <w:bookmarkEnd w:id="930"/>
    </w:p>
    <w:p w:rsidR="001C7BF9" w:rsidRPr="00C9680B" w:rsidRDefault="001C7BF9">
      <w:r w:rsidRPr="00C9680B">
        <w:t>Enligt utskottets mening är uttaget av särskild löneskatt på avsättningar till vinstandelsstiftelser en följd av principerna om likformig beskattning. U</w:t>
      </w:r>
      <w:r w:rsidRPr="00C9680B">
        <w:t>t</w:t>
      </w:r>
      <w:r w:rsidRPr="00C9680B">
        <w:t>skottet har vid ett antal tillfällen avstyrkt yrkanden om ett slopande av l</w:t>
      </w:r>
      <w:r w:rsidRPr="00C9680B">
        <w:t>ö</w:t>
      </w:r>
      <w:r w:rsidRPr="00C9680B">
        <w:t>neskatten på dessa avsättningar. Det finns skäl att framhålla att en särskild stimulans för vinstandelsstiftelserna har införts genom att utbetalningarna under vissa villkor är undantagna från socialavgift.</w:t>
      </w:r>
    </w:p>
    <w:p w:rsidR="001C7BF9" w:rsidRPr="00C9680B" w:rsidRDefault="001C7BF9">
      <w:pPr>
        <w:pStyle w:val="Normaltindrag"/>
      </w:pPr>
      <w:r w:rsidRPr="00C9680B">
        <w:t>Med det anförda avstyrker utskottet motionsyrkandet.</w:t>
      </w:r>
    </w:p>
    <w:p w:rsidR="001C7BF9" w:rsidRPr="00C9680B" w:rsidRDefault="001C7BF9">
      <w:pPr>
        <w:pStyle w:val="Rubrik1b"/>
        <w:outlineLvl w:val="0"/>
      </w:pPr>
      <w:bookmarkStart w:id="931" w:name="_Toc498838145"/>
      <w:r w:rsidRPr="00C9680B">
        <w:t>Skatt på egendom</w:t>
      </w:r>
      <w:bookmarkEnd w:id="931"/>
    </w:p>
    <w:p w:rsidR="001C7BF9" w:rsidRPr="00C9680B" w:rsidRDefault="001C7BF9">
      <w:pPr>
        <w:pStyle w:val="Utskottetsvervganden-RubrikFrslagspunkt"/>
        <w:spacing w:before="125"/>
        <w:outlineLvl w:val="0"/>
      </w:pPr>
      <w:bookmarkStart w:id="932" w:name="_Toc498838146"/>
      <w:r w:rsidRPr="00C9680B">
        <w:t>Fastighetsskatt för bostäder</w:t>
      </w:r>
      <w:bookmarkEnd w:id="932"/>
    </w:p>
    <w:p w:rsidR="001C7BF9" w:rsidRPr="00C9680B" w:rsidRDefault="001C7BF9">
      <w:pPr>
        <w:pStyle w:val="Utskottsfrslagikorthet-Rubrik"/>
        <w:jc w:val="both"/>
        <w:outlineLvl w:val="0"/>
        <w:rPr>
          <w:noProof w:val="0"/>
        </w:rPr>
      </w:pPr>
      <w:bookmarkStart w:id="933" w:name="_Toc497206501"/>
      <w:bookmarkStart w:id="934" w:name="_Toc497720070"/>
      <w:r w:rsidRPr="00C9680B">
        <w:rPr>
          <w:noProof w:val="0"/>
        </w:rPr>
        <w:t>Utskottets förslag i korthet</w:t>
      </w:r>
      <w:bookmarkEnd w:id="933"/>
      <w:bookmarkEnd w:id="934"/>
    </w:p>
    <w:p w:rsidR="001C7BF9" w:rsidRPr="00C9680B" w:rsidRDefault="001C7BF9">
      <w:pPr>
        <w:pStyle w:val="Utskottsfrslagikorthet-Text"/>
      </w:pPr>
      <w:r w:rsidRPr="00C9680B">
        <w:t>Riksdagen bifaller regeringens förslag om sänkt fastighetsskatt för småhus till 1,2 % och fastighetsskatt för hyreshus (bostadsdelen) till 0,7 % den 1 januari 2001. Riksdagen avslår motionsförslagen om fortsatt frysning av taxeringsvärdena, ändrat underlag för fa</w:t>
      </w:r>
      <w:r w:rsidRPr="00C9680B">
        <w:t>s</w:t>
      </w:r>
      <w:r w:rsidRPr="00C9680B">
        <w:t>tighetsskatten, andra skattesa</w:t>
      </w:r>
      <w:r w:rsidRPr="00C9680B">
        <w:t>t</w:t>
      </w:r>
      <w:r w:rsidRPr="00C9680B">
        <w:t>ser, m.m.</w:t>
      </w:r>
    </w:p>
    <w:p w:rsidR="001C7BF9" w:rsidRPr="00C9680B" w:rsidRDefault="001C7BF9">
      <w:pPr>
        <w:pStyle w:val="Utskottetsvervganden-kursivrubrik"/>
        <w:outlineLvl w:val="0"/>
        <w:rPr>
          <w:noProof w:val="0"/>
        </w:rPr>
      </w:pPr>
      <w:bookmarkStart w:id="935" w:name="_Toc498838147"/>
      <w:r w:rsidRPr="00C9680B">
        <w:rPr>
          <w:noProof w:val="0"/>
        </w:rPr>
        <w:t>Budgetpropositionen</w:t>
      </w:r>
      <w:bookmarkEnd w:id="935"/>
    </w:p>
    <w:p w:rsidR="001C7BF9" w:rsidRPr="00C9680B" w:rsidRDefault="001C7BF9">
      <w:r w:rsidRPr="00C9680B">
        <w:t>Regeringen föreslår att fastighetsskatten för småhus sänks från 1,5 % till 1,2 % och att fastighetsskatten för hyreshus (bostadsdelen) sänks från 1,5 % till 0,7 % den 1 januari 2001.</w:t>
      </w:r>
    </w:p>
    <w:p w:rsidR="001C7BF9" w:rsidRPr="00C9680B" w:rsidRDefault="001C7BF9">
      <w:pPr>
        <w:pStyle w:val="Normaltindrag"/>
      </w:pPr>
      <w:r w:rsidRPr="00C9680B">
        <w:t>Regeringen anför att uttaget av fastighetsskatt på bostäder begränsats kra</w:t>
      </w:r>
      <w:r w:rsidRPr="00C9680B">
        <w:t>f</w:t>
      </w:r>
      <w:r w:rsidRPr="00C9680B">
        <w:t>tigt sedan 1996 och detta har lett till att taxeringsvärdena alltmer kommit att avvika från marknadsvärdena. Enligt regeringens bedömning bör taxe</w:t>
      </w:r>
      <w:r w:rsidRPr="00C9680B">
        <w:softHyphen/>
        <w:t>ringsvärdena utgöra grunden för fastighetsbeskattningen och regeringen anser det därför angeläget att frysningen av taxeringsvärdena nu upphör. Ett fullt genomslag för ändrade taxeringsvärden skulle dock ge mycket kraftiga fö</w:t>
      </w:r>
      <w:r w:rsidRPr="00C9680B">
        <w:t>r</w:t>
      </w:r>
      <w:r w:rsidRPr="00C9680B">
        <w:softHyphen/>
        <w:t>ändringar i såväl fastighets- som förmögenhetsskatteuttaget i stora delar av landet. Regeringens bedömning är att de effekter som återstä</w:t>
      </w:r>
      <w:r w:rsidRPr="00C9680B">
        <w:t>llda taxering</w:t>
      </w:r>
      <w:r w:rsidRPr="00C9680B">
        <w:t>s</w:t>
      </w:r>
      <w:r w:rsidRPr="00C9680B">
        <w:softHyphen/>
        <w:t>värden skulle ge upphov till vad gäller förändringar i uttaget av fastighetsskatt och förmögenhetsskatt mellan åren 2000 och 2001 inte är acceptabla. För att begränsa uttaget av fastighetsskatt föreslår regeringen att skattesatserna sänks. För småhus föreslås en sänkning från 1,5 % till 1,2 %. För hyreshusen är skatte</w:t>
      </w:r>
      <w:r w:rsidRPr="00C9680B">
        <w:softHyphen/>
        <w:t>satsen år 2000 tillfälligt sänkt till 1,2 %. Om inga beslut fattas är skatt</w:t>
      </w:r>
      <w:r w:rsidRPr="00C9680B">
        <w:t>e</w:t>
      </w:r>
      <w:r w:rsidRPr="00C9680B">
        <w:t>satsen 1,5 %. Regeringen föreslår att skattesatsen för hyreshus sänks från 1,5 % till 0,7 %. Syftet m</w:t>
      </w:r>
      <w:r w:rsidRPr="00C9680B">
        <w:t>ed denna åtgärd är, förutom att begränsa effek</w:t>
      </w:r>
      <w:r w:rsidRPr="00C9680B">
        <w:softHyphen/>
        <w:t>terna av de återställda taxeringsvärdena, att skapa förutsättningar för lägre hyresn</w:t>
      </w:r>
      <w:r w:rsidRPr="00C9680B">
        <w:t>i</w:t>
      </w:r>
      <w:r w:rsidRPr="00C9680B">
        <w:t>våer och stimulera till ökad produktion av hyresrätter.</w:t>
      </w:r>
    </w:p>
    <w:p w:rsidR="001C7BF9" w:rsidRPr="00C9680B" w:rsidRDefault="001C7BF9">
      <w:pPr>
        <w:pStyle w:val="Normaltindrag"/>
      </w:pPr>
      <w:r w:rsidRPr="00C9680B">
        <w:t>Regeringen anser att det finns behov av en regel som i vissa fall kan lindra uttaget av fastighetsskatt och har påbörjat ett arbete som syftar till att riks</w:t>
      </w:r>
      <w:r w:rsidRPr="00C9680B">
        <w:softHyphen/>
        <w:t>dagen under våren 2001 skall kunna föreläggas ett förslag till en begräns</w:t>
      </w:r>
      <w:r w:rsidRPr="00C9680B">
        <w:softHyphen/>
        <w:t>ningsregel för fastighetsskatten. Inriktningen på detta arbete bör enligt vad som anförs vara att begränsningsregeln skall utformas som en skattereduktion som skall tillämpas fr.o.m. den 1 januari 2001.</w:t>
      </w:r>
    </w:p>
    <w:p w:rsidR="001C7BF9" w:rsidRPr="00C9680B" w:rsidRDefault="001C7BF9">
      <w:pPr>
        <w:pStyle w:val="Utskottetsvervganden-kursivrubrik"/>
        <w:outlineLvl w:val="0"/>
        <w:rPr>
          <w:noProof w:val="0"/>
        </w:rPr>
      </w:pPr>
      <w:bookmarkStart w:id="936" w:name="_Toc498838148"/>
      <w:r w:rsidRPr="00C9680B">
        <w:rPr>
          <w:noProof w:val="0"/>
        </w:rPr>
        <w:t>Motionerna</w:t>
      </w:r>
      <w:bookmarkEnd w:id="936"/>
    </w:p>
    <w:p w:rsidR="001C7BF9" w:rsidRPr="00C9680B" w:rsidRDefault="001C7BF9">
      <w:r w:rsidRPr="00C9680B">
        <w:rPr>
          <w:i/>
        </w:rPr>
        <w:t>Moderata samlingspartiet</w:t>
      </w:r>
      <w:r w:rsidRPr="00C9680B">
        <w:t xml:space="preserve"> föreslår att fastighetsskatten beräknas på det lägsta av 1997 och 2001 års taxeringsvärden, att bara halva markvärdet tas med och att skattesatserna bestäms till 1 % för småhus och 0,7 % för hyreshusens bostadsdel. Vidare föreslås att skattesatsen för småhus sänks till 0,9 % år 2002 och 0,8 % år 2003. Yrkanden med denna inriktning framställs i moti</w:t>
      </w:r>
      <w:r w:rsidRPr="00C9680B">
        <w:t>o</w:t>
      </w:r>
      <w:r w:rsidRPr="00C9680B">
        <w:softHyphen/>
        <w:t>nerna Sk621 yrkandena 1, 2 och 4 av Bo Lundgren m.fl. (m), N385 yrkande 9 av Bo Lundgren m.fl. (m), Bo414 yrkandena 11, 12 och 14 av Bo Lundgren m.fl. (m), Sk3</w:t>
      </w:r>
      <w:r w:rsidRPr="00C9680B">
        <w:t xml:space="preserve">13 yrkandena 1 och 32–35 av Carl Fredrik Graf m.fl. (m) och Sk308 av Kent Olsson och Inger René (m). </w:t>
      </w:r>
    </w:p>
    <w:p w:rsidR="001C7BF9" w:rsidRPr="00C9680B" w:rsidRDefault="001C7BF9">
      <w:r w:rsidRPr="00C9680B">
        <w:rPr>
          <w:i/>
        </w:rPr>
        <w:t>Kristdemokraterna</w:t>
      </w:r>
      <w:r w:rsidRPr="00C9680B">
        <w:t xml:space="preserve"> föreslår att taxeringsvärdena fryses, att fastighetsskatten beräknas på en tredjedel av markvärdet över 150 000 kr och att skattesatsen bestäms till 1,2 % för alla bostäder. Motionärerna anför att beskattningen leder till en snedfördelning mellan boendeformerna hyreshus och småhus eller egna hem, och de föreslår att fastighetsskatten på sikt avvecklas och ersätts med en möjlighet för kommunerna att ta ut en avgift för täckande av kostnader för gatuunderhåll, brandförsvar och annan kommunal service som är k</w:t>
      </w:r>
      <w:r w:rsidRPr="00C9680B">
        <w:t>opplad till fastigheten. Motionärerna avvisar också den planerade b</w:t>
      </w:r>
      <w:r w:rsidRPr="00C9680B">
        <w:t>e</w:t>
      </w:r>
      <w:r w:rsidRPr="00C9680B">
        <w:t>gränsningsregeln. Yrkandena framställs i motionerna Sk323 yrkandena 16–21 och 53 av Alf Svensson m.fl. (kd) och Sk322 yrkande 3 av Kenneth Lantz m.fl. (kd).</w:t>
      </w:r>
    </w:p>
    <w:p w:rsidR="001C7BF9" w:rsidRPr="00C9680B" w:rsidRDefault="001C7BF9">
      <w:r w:rsidRPr="00C9680B">
        <w:rPr>
          <w:i/>
        </w:rPr>
        <w:t>Centerpartiet</w:t>
      </w:r>
      <w:r w:rsidRPr="00C9680B">
        <w:t xml:space="preserve"> föreslår i motion Sk321 yrkandena 11, 12, 15 och 16 av Lennart Daléus m.fl. (c) att frysningen av taxeringsvärdena förlängs, att skattesatsen för småhus bestäms till 1,2 % och att skattesatsen för bostadshyreshus b</w:t>
      </w:r>
      <w:r w:rsidRPr="00C9680B">
        <w:t>e</w:t>
      </w:r>
      <w:r w:rsidRPr="00C9680B">
        <w:t xml:space="preserve">stäms till 1,1 %. </w:t>
      </w:r>
    </w:p>
    <w:p w:rsidR="001C7BF9" w:rsidRPr="00C9680B" w:rsidRDefault="001C7BF9">
      <w:r w:rsidRPr="00C9680B">
        <w:rPr>
          <w:i/>
        </w:rPr>
        <w:t>Folkpartiet liberalerna</w:t>
      </w:r>
      <w:r w:rsidRPr="00C9680B">
        <w:t xml:space="preserve"> föreslår att frysningen av taxeringsvärdena förlängs, att skattesatsen för småhus bestäms till 1,2 % och att skattesatsen för bostad</w:t>
      </w:r>
      <w:r w:rsidRPr="00C9680B">
        <w:t>s</w:t>
      </w:r>
      <w:r w:rsidRPr="00C9680B">
        <w:softHyphen/>
        <w:t>hyreshus bestäms till 0,7 %. Yrkanden med denna inriktning läggs fram i motionerna Sk324 yrkande 13 av Lars Leijonborg m.fl. (fp) och Bo235 y</w:t>
      </w:r>
      <w:r w:rsidRPr="00C9680B">
        <w:t>r</w:t>
      </w:r>
      <w:r w:rsidRPr="00C9680B">
        <w:t>kande 12 av Yvonne Ångström och Helena Bargholtz (fp). I motion Sk316 av Kenth Skårvik (fp) begärs ett tillkännagivande om att fastighetsskatten skall avskaffas på sikt och att skatten bör frysas i avvaktan på att regeringen lägger fra</w:t>
      </w:r>
      <w:r w:rsidRPr="00C9680B">
        <w:t>m ett förslag om dess sl</w:t>
      </w:r>
      <w:r w:rsidRPr="00C9680B">
        <w:t>o</w:t>
      </w:r>
      <w:r w:rsidRPr="00C9680B">
        <w:t xml:space="preserve">pande. </w:t>
      </w:r>
    </w:p>
    <w:p w:rsidR="001C7BF9" w:rsidRPr="00C9680B" w:rsidRDefault="001C7BF9">
      <w:pPr>
        <w:pStyle w:val="Utskottetsvervganden-kursivrubrik"/>
        <w:outlineLvl w:val="0"/>
        <w:rPr>
          <w:noProof w:val="0"/>
        </w:rPr>
      </w:pPr>
      <w:bookmarkStart w:id="937" w:name="_Toc497206504"/>
      <w:bookmarkStart w:id="938" w:name="_Toc497720073"/>
      <w:bookmarkStart w:id="939" w:name="_Toc498838149"/>
      <w:r w:rsidRPr="00C9680B">
        <w:rPr>
          <w:noProof w:val="0"/>
        </w:rPr>
        <w:t>Utskottets ställningstagande</w:t>
      </w:r>
      <w:bookmarkEnd w:id="937"/>
      <w:bookmarkEnd w:id="938"/>
      <w:bookmarkEnd w:id="939"/>
    </w:p>
    <w:p w:rsidR="001C7BF9" w:rsidRPr="00C9680B" w:rsidRDefault="001C7BF9">
      <w:r w:rsidRPr="00C9680B">
        <w:t>Utskottet delar regeringens bedömning att taxeringsvärdena bör utgöra gru</w:t>
      </w:r>
      <w:r w:rsidRPr="00C9680B">
        <w:t>n</w:t>
      </w:r>
      <w:r w:rsidRPr="00C9680B">
        <w:t>den för fastighetsbeskattningen och att det är angeläget att frysningen av taxeringsvärdena nu upphör. De problem som hänger samman med att kop</w:t>
      </w:r>
      <w:r w:rsidRPr="00C9680B">
        <w:t>p</w:t>
      </w:r>
      <w:r w:rsidRPr="00C9680B">
        <w:softHyphen/>
        <w:t>lingen mellan taxeringsvärden och marknadsvärden återställs bör lösas genom en anpassning av övriga skatteregler.</w:t>
      </w:r>
    </w:p>
    <w:p w:rsidR="001C7BF9" w:rsidRPr="00C9680B" w:rsidRDefault="001C7BF9">
      <w:pPr>
        <w:pStyle w:val="Normaltindrag"/>
      </w:pPr>
      <w:r w:rsidRPr="00C9680B">
        <w:t>Regeringens förslag innebär att flera åtgärder vidtas med anledning av att frysningen nu upphör. Fastighetsskattesatserna sänks och fribeloppen inom förmögenhetsbeskattningen höjs. Utrymmet för kompenserande åtgärder ökas också genom att kapitalvinstsk</w:t>
      </w:r>
      <w:r w:rsidRPr="00C9680B">
        <w:t>atten på privatbostäder höjs. Sammantaget neutraliseras hela den förväntade offentligfinansiella effekten av de höjda taxeringsvärdena. De mycket kraftiga taxeringsvärdeshöjningar som gäller för småhus i Storstockholm och Storgöteborg begränsas på detta sätt, och i det övriga landet sjunker det genomsnittliga skatteuttaget. Variationerna är dock stora och utfallet i enskilda fall varierar starkt. När det gäller boende i hyre</w:t>
      </w:r>
      <w:r w:rsidRPr="00C9680B">
        <w:t>s</w:t>
      </w:r>
      <w:r w:rsidRPr="00C9680B">
        <w:softHyphen/>
        <w:t>hus beräknas sänkningen av fastighetsskatten leda till att boendekostnaden i g</w:t>
      </w:r>
      <w:r w:rsidRPr="00C9680B">
        <w:t>e</w:t>
      </w:r>
      <w:r w:rsidRPr="00C9680B">
        <w:t>nom</w:t>
      </w:r>
      <w:r w:rsidRPr="00C9680B">
        <w:t>snitt sänks med drygt 350 kr per år.</w:t>
      </w:r>
    </w:p>
    <w:p w:rsidR="001C7BF9" w:rsidRPr="00C9680B" w:rsidRDefault="001C7BF9">
      <w:pPr>
        <w:pStyle w:val="Normaltindrag"/>
      </w:pPr>
      <w:r w:rsidRPr="00C9680B">
        <w:t>Vid sidan av dessa åtgärder genomförs en förhållandevis kraftig sänkning av inkomstskatten. För hushåll i eget hem med medlemmar i åldern 20 till 64 år beräknas denna innebära en skattelättnad på i genomsnitt 6 000 kr per år. Härigenom underlättas den omställning som de återställda taxeringsvärdena kan komma att innebära i vissa fall.</w:t>
      </w:r>
    </w:p>
    <w:p w:rsidR="001C7BF9" w:rsidRPr="00C9680B" w:rsidRDefault="001C7BF9">
      <w:pPr>
        <w:pStyle w:val="Normaltindrag"/>
      </w:pPr>
      <w:r w:rsidRPr="00C9680B">
        <w:t xml:space="preserve">Även med dessa åtgärder kvarstår det ett behov av att begränsa uttaget av fastighetsskatt i vissa fall och regeringen har också påbörjat ett arbete som syftar till att riksdagen under våren 2001 skall kunna föreläggas ett förslag till en begränsningsregel för fastighetsskatten. Inriktningen på detta arbete är att begränsningsregeln skall utformas som en skattereduktion som skall tillämpas fr.o.m. den 1 januari 2001. </w:t>
      </w:r>
    </w:p>
    <w:p w:rsidR="001C7BF9" w:rsidRPr="00C9680B" w:rsidRDefault="001C7BF9">
      <w:pPr>
        <w:pStyle w:val="Normaltindrag"/>
      </w:pPr>
      <w:r w:rsidRPr="00C9680B">
        <w:t>Som utskottet anfört är det angeläget att frysningen av taxeringsvärdena nu upphör. Mot bakgrund av de åtgärder som regeringen föreslår i syfte att b</w:t>
      </w:r>
      <w:r w:rsidRPr="00C9680B">
        <w:t>e</w:t>
      </w:r>
      <w:r w:rsidRPr="00C9680B">
        <w:t>gränsa effekten av de återställda taxeringsvärdena finns det enligt utskottets mening inte heller någon anledning att fortsätta med frysningen, och utskottet avstyrker därför förslagen med denna inriktning. Utskottet tillstyrker reg</w:t>
      </w:r>
      <w:r w:rsidRPr="00C9680B">
        <w:t>e</w:t>
      </w:r>
      <w:r w:rsidRPr="00C9680B">
        <w:softHyphen/>
        <w:t>ringens nu aktuella förslag om en sänkning av fastighetsskattesatserna för bostäder.</w:t>
      </w:r>
    </w:p>
    <w:p w:rsidR="001C7BF9" w:rsidRPr="00C9680B" w:rsidRDefault="001C7BF9">
      <w:pPr>
        <w:pStyle w:val="Utskottetsvervganden-RubrikFrslagspunkt"/>
        <w:outlineLvl w:val="0"/>
      </w:pPr>
      <w:bookmarkStart w:id="940" w:name="_Toc498838150"/>
      <w:r w:rsidRPr="00C9680B">
        <w:t>Förmögenhetsbeskattningen</w:t>
      </w:r>
      <w:bookmarkEnd w:id="940"/>
    </w:p>
    <w:p w:rsidR="001C7BF9" w:rsidRPr="00C9680B" w:rsidRDefault="001C7BF9">
      <w:pPr>
        <w:pStyle w:val="Utskottsfrslagikorthet-Rubrik"/>
        <w:jc w:val="both"/>
        <w:outlineLvl w:val="0"/>
        <w:rPr>
          <w:noProof w:val="0"/>
        </w:rPr>
      </w:pPr>
      <w:bookmarkStart w:id="941" w:name="_Toc497206506"/>
      <w:bookmarkStart w:id="942" w:name="_Toc497720075"/>
      <w:r w:rsidRPr="00C9680B">
        <w:rPr>
          <w:noProof w:val="0"/>
        </w:rPr>
        <w:t>Utskottets förslag i korthet</w:t>
      </w:r>
      <w:bookmarkEnd w:id="941"/>
      <w:bookmarkEnd w:id="942"/>
    </w:p>
    <w:p w:rsidR="001C7BF9" w:rsidRPr="00C9680B" w:rsidRDefault="001C7BF9">
      <w:pPr>
        <w:pStyle w:val="Utskottsfrslagikorthet-Text"/>
      </w:pPr>
      <w:r w:rsidRPr="00C9680B">
        <w:t>Riksdagen avslår motionsförslagen om slopad sambeskattning, hö</w:t>
      </w:r>
      <w:r w:rsidRPr="00C9680B">
        <w:t>j</w:t>
      </w:r>
      <w:r w:rsidRPr="00C9680B">
        <w:t>da fr</w:t>
      </w:r>
      <w:r w:rsidRPr="00C9680B">
        <w:t>i</w:t>
      </w:r>
      <w:r w:rsidRPr="00C9680B">
        <w:t>belopp, slopad förmögenhetsskatt, m.m.</w:t>
      </w:r>
    </w:p>
    <w:p w:rsidR="001C7BF9" w:rsidRPr="00C9680B" w:rsidRDefault="001C7BF9">
      <w:pPr>
        <w:pStyle w:val="Utskottetsvervganden-kursivrubrik"/>
        <w:outlineLvl w:val="0"/>
        <w:rPr>
          <w:noProof w:val="0"/>
        </w:rPr>
      </w:pPr>
      <w:bookmarkStart w:id="943" w:name="_Toc498838151"/>
      <w:r w:rsidRPr="00C9680B">
        <w:rPr>
          <w:noProof w:val="0"/>
        </w:rPr>
        <w:t>Budgetpropositionen</w:t>
      </w:r>
      <w:bookmarkEnd w:id="943"/>
    </w:p>
    <w:p w:rsidR="001C7BF9" w:rsidRPr="00C9680B" w:rsidRDefault="001C7BF9">
      <w:r w:rsidRPr="00C9680B">
        <w:t>I propositionen gör regeringen bedömningen att de högre taxeringsvärdena vid 2002 års inkomsttaxering gör att fribeloppet för uttag av förmögenhets</w:t>
      </w:r>
      <w:r w:rsidRPr="00C9680B">
        <w:softHyphen/>
        <w:t>skatt bör höjas från 900 000 kr till 1 000 000 kr för ensamstående och till 1 500 000 kr för sambeskattade par. Ett förslag av denna innebörd kommer att lä</w:t>
      </w:r>
      <w:r w:rsidRPr="00C9680B">
        <w:t>g</w:t>
      </w:r>
      <w:r w:rsidRPr="00C9680B">
        <w:t xml:space="preserve">gas fram senare under hösten. </w:t>
      </w:r>
    </w:p>
    <w:p w:rsidR="001C7BF9" w:rsidRPr="00C9680B" w:rsidRDefault="001C7BF9">
      <w:pPr>
        <w:pStyle w:val="Normaltindrag"/>
      </w:pPr>
      <w:r w:rsidRPr="00C9680B">
        <w:t>Regeringen anför att det finns skäl att begränsa den trendmässiga ökningen i antalet skattskyldiga genom att justera fribeloppet inom förmögenhets</w:t>
      </w:r>
      <w:r w:rsidRPr="00C9680B">
        <w:softHyphen/>
        <w:t>beskattningen. Mot bakgrund av de principiella invändningar som utifrån bl.a. jämställdhetssynpunkt kan riktas mot sambeskattningen skulle man enligt vad regeringen anför kunna tänka sig att justeringen genomfördes i form av sl</w:t>
      </w:r>
      <w:r w:rsidRPr="00C9680B">
        <w:t>o</w:t>
      </w:r>
      <w:r w:rsidRPr="00C9680B">
        <w:softHyphen/>
        <w:t>pad sambeskattning. Mot en sådan åtgärd kan dock anföras att slopad samb</w:t>
      </w:r>
      <w:r w:rsidRPr="00C9680B">
        <w:t>e</w:t>
      </w:r>
      <w:r w:rsidRPr="00C9680B">
        <w:softHyphen/>
        <w:t>skattning skapar incitament till omfördelning av förmögenheter inom hushå</w:t>
      </w:r>
      <w:r w:rsidRPr="00C9680B">
        <w:t>l</w:t>
      </w:r>
      <w:r w:rsidRPr="00C9680B">
        <w:softHyphen/>
        <w:t xml:space="preserve">len av skatteplaneringsskäl. Därtill kommer att en sådan åtgärd inte skulle innebära någon lindring alls för ensamstående. Mot denna </w:t>
      </w:r>
      <w:r w:rsidRPr="00C9680B">
        <w:t>bakgrund avser regeringen att föreslå att fribeloppet höjs till 1 000 000 kr för fysisk person, dödsbo och familjestiftelse samt till 1 500 000 kr för sambeskattade par. Dessa förändringar beräknas begränsa antalet skattskyldiga till förmögenhet</w:t>
      </w:r>
      <w:r w:rsidRPr="00C9680B">
        <w:t>s</w:t>
      </w:r>
      <w:r w:rsidRPr="00C9680B">
        <w:softHyphen/>
        <w:t xml:space="preserve">skatt till omkring 570 000 personer år 2001. </w:t>
      </w:r>
    </w:p>
    <w:p w:rsidR="001C7BF9" w:rsidRPr="00C9680B" w:rsidRDefault="001C7BF9">
      <w:pPr>
        <w:pStyle w:val="Utskottetsvervganden-kursivrubrik"/>
        <w:outlineLvl w:val="0"/>
        <w:rPr>
          <w:noProof w:val="0"/>
        </w:rPr>
      </w:pPr>
      <w:bookmarkStart w:id="944" w:name="_Toc498838152"/>
      <w:r w:rsidRPr="00C9680B">
        <w:rPr>
          <w:noProof w:val="0"/>
        </w:rPr>
        <w:t>Motionerna</w:t>
      </w:r>
      <w:bookmarkEnd w:id="944"/>
    </w:p>
    <w:p w:rsidR="001C7BF9" w:rsidRPr="00C9680B" w:rsidRDefault="001C7BF9">
      <w:r w:rsidRPr="00C9680B">
        <w:rPr>
          <w:i/>
        </w:rPr>
        <w:t>Moderata samlingspartiet</w:t>
      </w:r>
      <w:r w:rsidRPr="00C9680B">
        <w:t xml:space="preserve"> föreslår i motionerna Sk621 yrkande 6 av Bo Lundgren m.fl. (m), Sk313 yrkandena 36–38 av Carl Fredrik Graf m.fl. (m) och Sk306 av Marietta de Pourbaix-Lundin (m) att sambeskattningen av förmögenhet slopas och att fribeloppet bestäms till 1,5 miljoner kronor år 2001 samt att förmögenhetskatten slopas helt år 2002. </w:t>
      </w:r>
    </w:p>
    <w:p w:rsidR="001C7BF9" w:rsidRPr="00C9680B" w:rsidRDefault="001C7BF9">
      <w:r w:rsidRPr="00C9680B">
        <w:rPr>
          <w:i/>
        </w:rPr>
        <w:t>Kristdemokraterna</w:t>
      </w:r>
      <w:r w:rsidRPr="00C9680B">
        <w:t xml:space="preserve"> föreslår i motionerna Sk323 yrkandena 40–42 av Alf Svensson m.fl. (kd) och Sk322 yrkande 5 av Kenneth Lantz m.fl. (kd) att fribeloppet höjs till 1,8 miljoner kronor för sambeskattade par år 2001 och att förmögenhetsskatten däre</w:t>
      </w:r>
      <w:r w:rsidRPr="00C9680B">
        <w:t>f</w:t>
      </w:r>
      <w:r w:rsidRPr="00C9680B">
        <w:t xml:space="preserve">ter avvecklas stegvis. </w:t>
      </w:r>
    </w:p>
    <w:p w:rsidR="001C7BF9" w:rsidRPr="00C9680B" w:rsidRDefault="001C7BF9">
      <w:r w:rsidRPr="00C9680B">
        <w:rPr>
          <w:i/>
        </w:rPr>
        <w:t>Centerpartiet</w:t>
      </w:r>
      <w:r w:rsidRPr="00C9680B">
        <w:t xml:space="preserve"> föreslår i motion Sk321 yrkande 17 av Lennart Daléus m.fl. (c) att sambeskattningen avskaffas år 2001.</w:t>
      </w:r>
    </w:p>
    <w:p w:rsidR="001C7BF9" w:rsidRPr="00C9680B" w:rsidRDefault="001C7BF9">
      <w:r w:rsidRPr="00C9680B">
        <w:rPr>
          <w:i/>
        </w:rPr>
        <w:t>Folkpartiet liberalerna</w:t>
      </w:r>
      <w:r w:rsidRPr="00C9680B">
        <w:t xml:space="preserve"> föreslår i motion Sk324 yrkande 14 av Lars Leijo</w:t>
      </w:r>
      <w:r w:rsidRPr="00C9680B">
        <w:t>n</w:t>
      </w:r>
      <w:r w:rsidRPr="00C9680B">
        <w:t>borg m.fl. (fp) att sambeskattningen avskaffas år 2001. Motionärerna anför att det finns starka jämställdhetsskäl, och praktiska skäl, för att avskaffa samb</w:t>
      </w:r>
      <w:r w:rsidRPr="00C9680B">
        <w:t>e</w:t>
      </w:r>
      <w:r w:rsidRPr="00C9680B">
        <w:t>skattningen. De föreslår vidare att fribeloppet höjs till 2,1 miljoner kronor år 2002 med sikte på ett fullständigt avskaffande av förmögenhet</w:t>
      </w:r>
      <w:r w:rsidRPr="00C9680B">
        <w:t>s</w:t>
      </w:r>
      <w:r w:rsidRPr="00C9680B">
        <w:softHyphen/>
        <w:t xml:space="preserve">skatten. </w:t>
      </w:r>
    </w:p>
    <w:p w:rsidR="001C7BF9" w:rsidRPr="00C9680B" w:rsidRDefault="001C7BF9">
      <w:pPr>
        <w:pStyle w:val="Utskottetsvervganden-kursivrubrik"/>
        <w:outlineLvl w:val="0"/>
        <w:rPr>
          <w:noProof w:val="0"/>
        </w:rPr>
      </w:pPr>
      <w:bookmarkStart w:id="945" w:name="_Toc497206509"/>
      <w:bookmarkStart w:id="946" w:name="_Toc497720078"/>
      <w:bookmarkStart w:id="947" w:name="_Toc498838153"/>
      <w:r w:rsidRPr="00C9680B">
        <w:rPr>
          <w:noProof w:val="0"/>
        </w:rPr>
        <w:t>Utskottets ställningstagande</w:t>
      </w:r>
      <w:bookmarkEnd w:id="945"/>
      <w:bookmarkEnd w:id="946"/>
      <w:bookmarkEnd w:id="947"/>
    </w:p>
    <w:p w:rsidR="001C7BF9" w:rsidRPr="00C9680B" w:rsidRDefault="001C7BF9">
      <w:r w:rsidRPr="00C9680B">
        <w:t xml:space="preserve">Enligt utskottets mening är det önskvärt att den trendmässiga ökningen av antalet skattskyldiga som erlägger förmögenhetsskatt begränsas. </w:t>
      </w:r>
    </w:p>
    <w:p w:rsidR="001C7BF9" w:rsidRPr="00C9680B" w:rsidRDefault="001C7BF9">
      <w:pPr>
        <w:pStyle w:val="Normaltindrag"/>
      </w:pPr>
      <w:r w:rsidRPr="00C9680B">
        <w:t>Vidare finns det anledning att söka göra reglerna mer neutrala i förhållande till den skattskyldiges familjeförhållanden. En möjlighet, som också framförs av flertalet motionärer, är här att slopa sambeskattningen. Sambeskattningen av förmögenhet har kritiserats på principiella grunder, och Riksskatteverket har i en rapport föreslagit att sambeskattningen slopas av förenklingsskäl. En nackdel med detta alternativ är dock att det skapar ett incitament till skatt</w:t>
      </w:r>
      <w:r w:rsidRPr="00C9680B">
        <w:t>e</w:t>
      </w:r>
      <w:r w:rsidRPr="00C9680B">
        <w:softHyphen/>
        <w:t>motiverade förmögenhetsöverföringar inom en familj. Enligt utskottets m</w:t>
      </w:r>
      <w:r w:rsidRPr="00C9680B">
        <w:t>e</w:t>
      </w:r>
      <w:r w:rsidRPr="00C9680B">
        <w:t>ning bör denna situation undvikas och utskottet instämmer därför i rege</w:t>
      </w:r>
      <w:r w:rsidRPr="00C9680B">
        <w:softHyphen/>
        <w:t>ringens slutsats att metoden med olika fribelopp för ensamstående och samb</w:t>
      </w:r>
      <w:r w:rsidRPr="00C9680B">
        <w:t>e</w:t>
      </w:r>
      <w:r w:rsidRPr="00C9680B">
        <w:softHyphen/>
        <w:t>skattade par är att föredra när effekten av de återställda taxeringsvärdena skall begrä</w:t>
      </w:r>
      <w:r w:rsidRPr="00C9680B">
        <w:t>n</w:t>
      </w:r>
      <w:r w:rsidRPr="00C9680B">
        <w:t>sas.</w:t>
      </w:r>
    </w:p>
    <w:p w:rsidR="001C7BF9" w:rsidRPr="00C9680B" w:rsidRDefault="001C7BF9">
      <w:pPr>
        <w:pStyle w:val="Normaltindrag"/>
      </w:pPr>
      <w:r w:rsidRPr="00C9680B">
        <w:t>Regeringen bedömer att fribeloppet för ensamstående bör höjas till 1 000 000 kr och att fribeloppet för sambeskattade par bör höjas till 1 500 000 kr. Härigenom sänks förmögenhetsskatten och antale</w:t>
      </w:r>
      <w:r w:rsidRPr="00C9680B">
        <w:t>t skattskyldiga reduceras kraftigt. Antalet skattskyldiga uppgick år 1997 till 570 000, år 2000 till 770 000 och beräknas är 2001 uppgå till 970 000 personer. Med regeringens förslag återgår antalet skattskyldiga till 1997 års nivå.</w:t>
      </w:r>
    </w:p>
    <w:p w:rsidR="001C7BF9" w:rsidRPr="00C9680B" w:rsidRDefault="001C7BF9">
      <w:pPr>
        <w:pStyle w:val="Normaltindrag"/>
      </w:pPr>
      <w:r w:rsidRPr="00C9680B">
        <w:t>Utskottet instämmer i regeringens bedömning av de förändringar som bör genomföras inom förmögenhetsbeskattningen och anser att regeringens fö</w:t>
      </w:r>
      <w:r w:rsidRPr="00C9680B">
        <w:t>r</w:t>
      </w:r>
      <w:r w:rsidRPr="00C9680B">
        <w:softHyphen/>
        <w:t>slag nu bör avvaktas. Utskottet är således inte berett att tillstyrka de olika motionsförslagen om slopad sambeskattning, kraftigt höjda fribelopp eller avskaffande av förmögenhetsskatten och avstyrker därför dessa.</w:t>
      </w:r>
    </w:p>
    <w:p w:rsidR="001C7BF9" w:rsidRPr="00C9680B" w:rsidRDefault="001C7BF9">
      <w:pPr>
        <w:pStyle w:val="Utskottetsvervganden-RubrikFrslagspunkt"/>
      </w:pPr>
      <w:bookmarkStart w:id="948" w:name="_Toc498838154"/>
      <w:r w:rsidRPr="00C9680B">
        <w:br w:type="page"/>
        <w:t>Värdering av bostadshyreshus vid 2001 års förmögenhetstaxering</w:t>
      </w:r>
      <w:bookmarkEnd w:id="948"/>
    </w:p>
    <w:p w:rsidR="001C7BF9" w:rsidRPr="00C9680B" w:rsidRDefault="001C7BF9">
      <w:pPr>
        <w:pStyle w:val="Utskottsfrslagikorthet-Rubrik"/>
        <w:jc w:val="both"/>
        <w:outlineLvl w:val="0"/>
        <w:rPr>
          <w:noProof w:val="0"/>
        </w:rPr>
      </w:pPr>
      <w:bookmarkStart w:id="949" w:name="_Toc497206511"/>
      <w:bookmarkStart w:id="950" w:name="_Toc497720080"/>
      <w:r w:rsidRPr="00C9680B">
        <w:rPr>
          <w:noProof w:val="0"/>
        </w:rPr>
        <w:t>Utskottets förslag i korthet</w:t>
      </w:r>
      <w:bookmarkEnd w:id="949"/>
      <w:bookmarkEnd w:id="950"/>
    </w:p>
    <w:p w:rsidR="001C7BF9" w:rsidRPr="00C9680B" w:rsidRDefault="001C7BF9">
      <w:pPr>
        <w:pStyle w:val="Utskottsfrslagikorthet-Text"/>
      </w:pPr>
      <w:r w:rsidRPr="00C9680B">
        <w:t>Riksdagen bifaller regeringens förslag om att hyreshus (bostads</w:t>
      </w:r>
      <w:r w:rsidRPr="00C9680B">
        <w:softHyphen/>
        <w:t>delen) skall värderas till det lägsta av 1999 respektive 2000 års ta</w:t>
      </w:r>
      <w:r w:rsidRPr="00C9680B">
        <w:t>x</w:t>
      </w:r>
      <w:r w:rsidRPr="00C9680B">
        <w:t xml:space="preserve">eringsvärde vid beräkning av skattepliktig förmögenhet vid 2001 års taxering. </w:t>
      </w:r>
    </w:p>
    <w:p w:rsidR="001C7BF9" w:rsidRPr="00C9680B" w:rsidRDefault="001C7BF9">
      <w:pPr>
        <w:pStyle w:val="Utskottetsvervganden-kursivrubrik"/>
        <w:outlineLvl w:val="0"/>
        <w:rPr>
          <w:noProof w:val="0"/>
        </w:rPr>
      </w:pPr>
      <w:bookmarkStart w:id="951" w:name="_Toc498838155"/>
      <w:r w:rsidRPr="00C9680B">
        <w:rPr>
          <w:noProof w:val="0"/>
        </w:rPr>
        <w:t>Budgetpropositionen</w:t>
      </w:r>
      <w:bookmarkEnd w:id="951"/>
    </w:p>
    <w:p w:rsidR="001C7BF9" w:rsidRPr="00C9680B" w:rsidRDefault="001C7BF9">
      <w:r w:rsidRPr="00C9680B">
        <w:t>Regeringen föreslår att hyreshus (bostadsdelen) skall få värderas till det lägsta av 1999 respektive 2000 års taxeringsvärde vid beräkning av skattepliktig förmögenhet vid 2001 års taxering. Vidare genomförs en rättelse av förm</w:t>
      </w:r>
      <w:r w:rsidRPr="00C9680B">
        <w:t>ö</w:t>
      </w:r>
      <w:r w:rsidRPr="00C9680B">
        <w:softHyphen/>
        <w:t xml:space="preserve">genhetsskattelagen. </w:t>
      </w:r>
    </w:p>
    <w:p w:rsidR="001C7BF9" w:rsidRPr="00C9680B" w:rsidRDefault="001C7BF9">
      <w:pPr>
        <w:pStyle w:val="Normaltindrag"/>
      </w:pPr>
      <w:r w:rsidRPr="00C9680B">
        <w:t>Regeringen anför att de höjda taxeringsvärdena för hyreshus till följd av 2000 års allmänna fastighetstaxering inte bör tillåtas slå när det gäller uttag av förmögenhetsskatt vid 2001 års taxering. En bestämmelse motsvarande den som genomförts på fastighetsskatteområdet bör därför införas även när det gäller förmögenhet</w:t>
      </w:r>
      <w:r w:rsidRPr="00C9680B">
        <w:t>s</w:t>
      </w:r>
      <w:r w:rsidRPr="00C9680B">
        <w:t xml:space="preserve">skatten. </w:t>
      </w:r>
    </w:p>
    <w:p w:rsidR="001C7BF9" w:rsidRPr="00C9680B" w:rsidRDefault="001C7BF9">
      <w:pPr>
        <w:pStyle w:val="Utskottetsvervganden-kursivrubrik"/>
        <w:outlineLvl w:val="0"/>
        <w:rPr>
          <w:noProof w:val="0"/>
        </w:rPr>
      </w:pPr>
      <w:bookmarkStart w:id="952" w:name="_Toc497206513"/>
      <w:bookmarkStart w:id="953" w:name="_Toc497720082"/>
      <w:bookmarkStart w:id="954" w:name="_Toc498838156"/>
      <w:r w:rsidRPr="00C9680B">
        <w:rPr>
          <w:noProof w:val="0"/>
        </w:rPr>
        <w:t>Utskottets ställningstagande</w:t>
      </w:r>
      <w:bookmarkEnd w:id="952"/>
      <w:bookmarkEnd w:id="953"/>
      <w:bookmarkEnd w:id="954"/>
    </w:p>
    <w:p w:rsidR="001C7BF9" w:rsidRPr="00C9680B" w:rsidRDefault="001C7BF9">
      <w:r w:rsidRPr="00C9680B">
        <w:t xml:space="preserve">Utskottet har inte funnit någon anledning till erinran mot regeringens förslag och tillstyrker därför propositionen i denna del. </w:t>
      </w:r>
    </w:p>
    <w:p w:rsidR="001C7BF9" w:rsidRPr="00C9680B" w:rsidRDefault="001C7BF9">
      <w:pPr>
        <w:pStyle w:val="Rubrik1b"/>
        <w:outlineLvl w:val="0"/>
      </w:pPr>
      <w:bookmarkStart w:id="955" w:name="_Toc498838157"/>
      <w:r w:rsidRPr="00C9680B">
        <w:t>Skatt på varor och tjänster</w:t>
      </w:r>
      <w:bookmarkEnd w:id="955"/>
    </w:p>
    <w:p w:rsidR="001C7BF9" w:rsidRPr="00C9680B" w:rsidRDefault="001C7BF9">
      <w:pPr>
        <w:pStyle w:val="Utskottetsvervganden-RubrikFrslagspunkt"/>
        <w:spacing w:before="125"/>
        <w:outlineLvl w:val="0"/>
      </w:pPr>
      <w:bookmarkStart w:id="956" w:name="_Toc498838158"/>
      <w:r w:rsidRPr="00C9680B">
        <w:t>Mervärdesskatt på resor</w:t>
      </w:r>
      <w:bookmarkEnd w:id="956"/>
    </w:p>
    <w:p w:rsidR="001C7BF9" w:rsidRPr="00C9680B" w:rsidRDefault="001C7BF9">
      <w:pPr>
        <w:pStyle w:val="Utskottsfrslagikorthet-Rubrik"/>
        <w:jc w:val="both"/>
        <w:outlineLvl w:val="0"/>
        <w:rPr>
          <w:noProof w:val="0"/>
        </w:rPr>
      </w:pPr>
      <w:bookmarkStart w:id="957" w:name="_Toc497206516"/>
      <w:bookmarkStart w:id="958" w:name="_Toc497720085"/>
      <w:r w:rsidRPr="00C9680B">
        <w:rPr>
          <w:noProof w:val="0"/>
        </w:rPr>
        <w:t>Utskottets förslag i korthet</w:t>
      </w:r>
      <w:bookmarkEnd w:id="957"/>
      <w:bookmarkEnd w:id="958"/>
    </w:p>
    <w:p w:rsidR="001C7BF9" w:rsidRPr="00C9680B" w:rsidRDefault="001C7BF9">
      <w:pPr>
        <w:pStyle w:val="Utskottsfrslagikorthet-Text"/>
      </w:pPr>
      <w:r w:rsidRPr="00C9680B">
        <w:t>Riksdagen bifaller regeringens förslag om en sänkning av mer</w:t>
      </w:r>
      <w:r w:rsidRPr="00C9680B">
        <w:softHyphen/>
        <w:t xml:space="preserve">värdesskatten på personbefordran från 12 % till 6 %. </w:t>
      </w:r>
    </w:p>
    <w:p w:rsidR="001C7BF9" w:rsidRPr="00C9680B" w:rsidRDefault="001C7BF9">
      <w:pPr>
        <w:pStyle w:val="Utskottetsvervganden-kursivrubrik"/>
        <w:outlineLvl w:val="0"/>
        <w:rPr>
          <w:noProof w:val="0"/>
        </w:rPr>
      </w:pPr>
      <w:bookmarkStart w:id="959" w:name="_Toc498838159"/>
      <w:r w:rsidRPr="00C9680B">
        <w:rPr>
          <w:noProof w:val="0"/>
        </w:rPr>
        <w:t>Budgetpropositionen</w:t>
      </w:r>
      <w:bookmarkEnd w:id="959"/>
    </w:p>
    <w:p w:rsidR="001C7BF9" w:rsidRPr="00C9680B" w:rsidRDefault="001C7BF9">
      <w:r w:rsidRPr="00C9680B">
        <w:t>Regeringen föreslår att mervärdesskatten för personbefordran sänks från 12 % till 6 %. Den lägre skattesatsen skall tillämpas även på färdbevis som säljs den 15 december eller senare om färdbeviset gäller personbefordran efter den 1 januari 2001.</w:t>
      </w:r>
    </w:p>
    <w:p w:rsidR="001C7BF9" w:rsidRPr="00C9680B" w:rsidRDefault="001C7BF9">
      <w:pPr>
        <w:pStyle w:val="Normaltindrag"/>
      </w:pPr>
      <w:r w:rsidRPr="00C9680B">
        <w:t>Regeringen anför att den föreslagna höjningen av dieselskatten kan inne</w:t>
      </w:r>
      <w:r w:rsidRPr="00C9680B">
        <w:softHyphen/>
        <w:t>bära nackdelar för kollektivtrafiken och annan yrkesmässig personbefordran eftersom en betydande del av fordonen i sådan trafik är dieseldrivna. För att balansera detta sänks mervärdesskatten för personbefordran från 12 % till 6 %.</w:t>
      </w:r>
    </w:p>
    <w:p w:rsidR="001C7BF9" w:rsidRPr="00C9680B" w:rsidRDefault="001C7BF9">
      <w:pPr>
        <w:pStyle w:val="Utskottetsvervganden-kursivrubrik"/>
        <w:outlineLvl w:val="0"/>
        <w:rPr>
          <w:noProof w:val="0"/>
        </w:rPr>
      </w:pPr>
      <w:bookmarkStart w:id="960" w:name="_Toc498838160"/>
      <w:r w:rsidRPr="00C9680B">
        <w:rPr>
          <w:noProof w:val="0"/>
        </w:rPr>
        <w:t>Motionerna</w:t>
      </w:r>
      <w:bookmarkEnd w:id="960"/>
    </w:p>
    <w:p w:rsidR="001C7BF9" w:rsidRPr="00C9680B" w:rsidRDefault="001C7BF9">
      <w:r w:rsidRPr="00C9680B">
        <w:rPr>
          <w:i/>
        </w:rPr>
        <w:t>Moderata samlingspartiet</w:t>
      </w:r>
      <w:r w:rsidRPr="00C9680B">
        <w:t xml:space="preserve"> yrkar i motion Sk313 yrkande 11 av Carl Fredrik Graf m.fl. (m) att förslaget om sänkt moms på kollektiva transporter avslås. </w:t>
      </w:r>
    </w:p>
    <w:p w:rsidR="001C7BF9" w:rsidRPr="00C9680B" w:rsidRDefault="001C7BF9">
      <w:r w:rsidRPr="00C9680B">
        <w:t>I motion Sk318 av Jarl Lander och Hans Stenberg (s) begärs ett tillkänna</w:t>
      </w:r>
      <w:r w:rsidRPr="00C9680B">
        <w:softHyphen/>
        <w:t>givande om att mervärdesskattesänkningen bör komma operatörerna inom kollektivtrafiken till del.</w:t>
      </w:r>
    </w:p>
    <w:p w:rsidR="001C7BF9" w:rsidRPr="00C9680B" w:rsidRDefault="001C7BF9">
      <w:pPr>
        <w:pStyle w:val="Utskottetsvervganden-kursivrubrik"/>
        <w:outlineLvl w:val="0"/>
        <w:rPr>
          <w:noProof w:val="0"/>
        </w:rPr>
      </w:pPr>
      <w:bookmarkStart w:id="961" w:name="_Toc497206519"/>
      <w:bookmarkStart w:id="962" w:name="_Toc497720088"/>
      <w:bookmarkStart w:id="963" w:name="_Toc498838161"/>
      <w:r w:rsidRPr="00C9680B">
        <w:rPr>
          <w:noProof w:val="0"/>
        </w:rPr>
        <w:t>Utskottets ställningstagande</w:t>
      </w:r>
      <w:bookmarkEnd w:id="961"/>
      <w:bookmarkEnd w:id="962"/>
      <w:bookmarkEnd w:id="963"/>
    </w:p>
    <w:p w:rsidR="001C7BF9" w:rsidRPr="00C9680B" w:rsidRDefault="001C7BF9">
      <w:pPr>
        <w:pStyle w:val="Normaltindrag"/>
        <w:ind w:firstLine="0"/>
      </w:pPr>
      <w:r w:rsidRPr="00C9680B">
        <w:t>Utskottet, som i ärendet tillstyrker den av regeringen föreslagna höjningen av dieselskatten, har ingen erinran mot regeringens förslag om sänkt mervärde</w:t>
      </w:r>
      <w:r w:rsidRPr="00C9680B">
        <w:t>s</w:t>
      </w:r>
      <w:r w:rsidRPr="00C9680B">
        <w:softHyphen/>
        <w:t>skatt på personbefordran och tillstyrker därför förslaget och avstyrker motion Sk313 yrkande 11.</w:t>
      </w:r>
    </w:p>
    <w:p w:rsidR="001C7BF9" w:rsidRPr="00C9680B" w:rsidRDefault="001C7BF9">
      <w:pPr>
        <w:pStyle w:val="Normaltindrag"/>
      </w:pPr>
      <w:r w:rsidRPr="00C9680B">
        <w:t>Någon anledning till ett tillkännagivande om hur skattesänkningen bör fö</w:t>
      </w:r>
      <w:r w:rsidRPr="00C9680B">
        <w:t>r</w:t>
      </w:r>
      <w:r w:rsidRPr="00C9680B">
        <w:softHyphen/>
        <w:t xml:space="preserve">delas mellan de olika intressenterna inom kollektivtrafiken finns inte och utskottet avstyrker därför även motion Sk318. </w:t>
      </w:r>
    </w:p>
    <w:p w:rsidR="001C7BF9" w:rsidRPr="00C9680B" w:rsidRDefault="001C7BF9">
      <w:pPr>
        <w:pStyle w:val="Utskottetsvervganden-RubrikFrslagspunkt"/>
        <w:outlineLvl w:val="0"/>
      </w:pPr>
      <w:bookmarkStart w:id="964" w:name="_Toc498838162"/>
      <w:r w:rsidRPr="00C9680B">
        <w:t>Mervärdesskatt på böcker, tidningar och kultur</w:t>
      </w:r>
      <w:bookmarkEnd w:id="964"/>
    </w:p>
    <w:p w:rsidR="001C7BF9" w:rsidRPr="00C9680B" w:rsidRDefault="001C7BF9">
      <w:pPr>
        <w:pStyle w:val="Utskottsfrslagikorthet-Rubrik"/>
        <w:jc w:val="both"/>
        <w:outlineLvl w:val="0"/>
        <w:rPr>
          <w:noProof w:val="0"/>
        </w:rPr>
      </w:pPr>
      <w:bookmarkStart w:id="965" w:name="_Toc497206521"/>
      <w:bookmarkStart w:id="966" w:name="_Toc497720090"/>
      <w:r w:rsidRPr="00C9680B">
        <w:rPr>
          <w:noProof w:val="0"/>
        </w:rPr>
        <w:t>Utskottets förslag i korthet</w:t>
      </w:r>
      <w:bookmarkEnd w:id="965"/>
      <w:bookmarkEnd w:id="966"/>
    </w:p>
    <w:p w:rsidR="001C7BF9" w:rsidRPr="00C9680B" w:rsidRDefault="001C7BF9">
      <w:pPr>
        <w:pStyle w:val="Utskottsfrslagikorthet-Text"/>
      </w:pPr>
      <w:r w:rsidRPr="00C9680B">
        <w:t>Riksdagen avslår motionsförslagen om en sänkning av mervärdes</w:t>
      </w:r>
      <w:r w:rsidRPr="00C9680B">
        <w:softHyphen/>
        <w:t>skatten på böcker till 6 %. Riksdagen avslår förslaget om en höj</w:t>
      </w:r>
      <w:r w:rsidRPr="00C9680B">
        <w:softHyphen/>
        <w:t>ning av mervärdesskatten på tidningar till 25 % och om slopad r</w:t>
      </w:r>
      <w:r w:rsidRPr="00C9680B">
        <w:t>e</w:t>
      </w:r>
      <w:r w:rsidRPr="00C9680B">
        <w:t xml:space="preserve">klamskatt. </w:t>
      </w:r>
    </w:p>
    <w:p w:rsidR="001C7BF9" w:rsidRPr="00C9680B" w:rsidRDefault="001C7BF9">
      <w:pPr>
        <w:pStyle w:val="Utskottetsvervganden-kursivrubrik"/>
        <w:outlineLvl w:val="0"/>
        <w:rPr>
          <w:noProof w:val="0"/>
        </w:rPr>
      </w:pPr>
      <w:bookmarkStart w:id="967" w:name="_Toc498838163"/>
      <w:r w:rsidRPr="00C9680B">
        <w:rPr>
          <w:noProof w:val="0"/>
        </w:rPr>
        <w:t>Bakgrund</w:t>
      </w:r>
      <w:bookmarkEnd w:id="967"/>
    </w:p>
    <w:p w:rsidR="001C7BF9" w:rsidRPr="00C9680B" w:rsidRDefault="001C7BF9">
      <w:r w:rsidRPr="00C9680B">
        <w:t>I Sverige beskattas böcker och tidskrifter med normal skattesats, 25 %. EG-direktivet tillåter reducerad skattesats på bl.a. böcker och tidskrifter, men Sverige har avstått från att använda denna möjlighet till differentiering (se bl.a. bet. 1996/97:SkU6 s. 29).</w:t>
      </w:r>
    </w:p>
    <w:p w:rsidR="001C7BF9" w:rsidRPr="00C9680B" w:rsidRDefault="001C7BF9">
      <w:pPr>
        <w:pStyle w:val="Utskottetsvervganden-kursivrubrik"/>
        <w:outlineLvl w:val="0"/>
        <w:rPr>
          <w:noProof w:val="0"/>
        </w:rPr>
      </w:pPr>
      <w:bookmarkStart w:id="968" w:name="_Toc498838164"/>
      <w:r w:rsidRPr="00C9680B">
        <w:rPr>
          <w:noProof w:val="0"/>
        </w:rPr>
        <w:t>Motionerna</w:t>
      </w:r>
      <w:bookmarkEnd w:id="968"/>
    </w:p>
    <w:p w:rsidR="001C7BF9" w:rsidRPr="00C9680B" w:rsidRDefault="001C7BF9">
      <w:r w:rsidRPr="00C9680B">
        <w:rPr>
          <w:i/>
        </w:rPr>
        <w:t>Moderata samlingspartiet</w:t>
      </w:r>
      <w:r w:rsidRPr="00C9680B">
        <w:t xml:space="preserve"> föreslår i motion Sk303 av Margareta Cederfelt (m) att mervärdesskatten på böcker sänks till 6 % år 2001. Motionärerna anför att en sänkning av priset på litteratur gör att läsandet främjas och dä</w:t>
      </w:r>
      <w:r w:rsidRPr="00C9680B">
        <w:t>r</w:t>
      </w:r>
      <w:r w:rsidRPr="00C9680B">
        <w:softHyphen/>
        <w:t>med ökar intresset för högre studier. I motion Sk313 yrkande 41 och 42 av Carl Fredrik Graf m.fl. (m) föreslås att mervärdesskatten på dagstidningar höjs till 25 % och att reklamskatten slopas år 2001.</w:t>
      </w:r>
    </w:p>
    <w:p w:rsidR="001C7BF9" w:rsidRPr="00C9680B" w:rsidRDefault="001C7BF9">
      <w:r w:rsidRPr="00C9680B">
        <w:rPr>
          <w:i/>
        </w:rPr>
        <w:t>Folkpartiet liberalerna</w:t>
      </w:r>
      <w:r w:rsidRPr="00C9680B">
        <w:t xml:space="preserve"> föreslår i motionerna Sk324 yrkande 22 av Lars Le</w:t>
      </w:r>
      <w:r w:rsidRPr="00C9680B">
        <w:t>i</w:t>
      </w:r>
      <w:r w:rsidRPr="00C9680B">
        <w:t>jonborg m.fl. (fp) och Ub227 yrkande 7 av Lars Leijonborg m.fl. (fp) att mervärdesskatten på böcker sänks till 6 % för att förbättra bokbranschens konku</w:t>
      </w:r>
      <w:r w:rsidRPr="00C9680B">
        <w:t>r</w:t>
      </w:r>
      <w:r w:rsidRPr="00C9680B">
        <w:t xml:space="preserve">rensläge och uppmuntra läsandet av det tryckta ordet i bokform. </w:t>
      </w:r>
    </w:p>
    <w:p w:rsidR="001C7BF9" w:rsidRPr="00C9680B" w:rsidRDefault="001C7BF9">
      <w:pPr>
        <w:pStyle w:val="Utskottetsvervganden-kursivrubrik"/>
        <w:outlineLvl w:val="0"/>
        <w:rPr>
          <w:noProof w:val="0"/>
        </w:rPr>
      </w:pPr>
      <w:bookmarkStart w:id="969" w:name="_Toc497206524"/>
      <w:bookmarkStart w:id="970" w:name="_Toc497720093"/>
      <w:bookmarkStart w:id="971" w:name="_Toc498838165"/>
      <w:r w:rsidRPr="00C9680B">
        <w:rPr>
          <w:noProof w:val="0"/>
        </w:rPr>
        <w:t>Utskottets ställningstagande</w:t>
      </w:r>
      <w:bookmarkEnd w:id="969"/>
      <w:bookmarkEnd w:id="970"/>
      <w:bookmarkEnd w:id="971"/>
    </w:p>
    <w:p w:rsidR="001C7BF9" w:rsidRPr="00C9680B" w:rsidRDefault="001C7BF9">
      <w:r w:rsidRPr="00C9680B">
        <w:t>Utskottet har under våren 2000 (1999/2000:SkU15 Allmänna motioner om mervärdesskatt) avstyrkt ett antal motioner om sänkt mervärdesskatt på böc</w:t>
      </w:r>
      <w:r w:rsidRPr="00C9680B">
        <w:t>k</w:t>
      </w:r>
      <w:r w:rsidRPr="00C9680B">
        <w:t>er och har då bl.a. hänvisat till att det inte är säkert att en mervärdes</w:t>
      </w:r>
      <w:r w:rsidRPr="00C9680B">
        <w:softHyphen/>
        <w:t>skattesänkning på böcker är bättre än andra åtgärder till samma eller lägre kostn</w:t>
      </w:r>
      <w:r w:rsidRPr="00C9680B">
        <w:t>a</w:t>
      </w:r>
      <w:r w:rsidRPr="00C9680B">
        <w:t xml:space="preserve">der när det gäller att stimulera sunda läsvanor. </w:t>
      </w:r>
    </w:p>
    <w:p w:rsidR="001C7BF9" w:rsidRPr="00C9680B" w:rsidRDefault="001C7BF9">
      <w:pPr>
        <w:pStyle w:val="Normaltindrag"/>
      </w:pPr>
      <w:r w:rsidRPr="00C9680B">
        <w:t>Utskottet är inte heller berett att tillstyrka förslaget om en höjning av me</w:t>
      </w:r>
      <w:r w:rsidRPr="00C9680B">
        <w:t>r</w:t>
      </w:r>
      <w:r w:rsidRPr="00C9680B">
        <w:softHyphen/>
        <w:t>värdesskatten på tidningar och slopad reklamskatt.</w:t>
      </w:r>
    </w:p>
    <w:p w:rsidR="001C7BF9" w:rsidRPr="00C9680B" w:rsidRDefault="001C7BF9">
      <w:pPr>
        <w:pStyle w:val="Normaltindrag"/>
      </w:pPr>
      <w:r w:rsidRPr="00C9680B">
        <w:t>Med det anförda avstyrker utskottet de aktuella motionerna.</w:t>
      </w:r>
    </w:p>
    <w:p w:rsidR="001C7BF9" w:rsidRPr="00C9680B" w:rsidRDefault="001C7BF9">
      <w:pPr>
        <w:pStyle w:val="Utskottetsvervganden-RubrikFrslagspunkt"/>
        <w:outlineLvl w:val="0"/>
      </w:pPr>
      <w:bookmarkStart w:id="972" w:name="_Toc498838166"/>
      <w:r w:rsidRPr="00C9680B">
        <w:t>Skatt på alkohol och tobak</w:t>
      </w:r>
      <w:bookmarkEnd w:id="972"/>
    </w:p>
    <w:p w:rsidR="001C7BF9" w:rsidRPr="00C9680B" w:rsidRDefault="001C7BF9">
      <w:pPr>
        <w:pStyle w:val="Utskottsfrslagikorthet-Rubrik"/>
        <w:jc w:val="both"/>
        <w:outlineLvl w:val="0"/>
        <w:rPr>
          <w:noProof w:val="0"/>
        </w:rPr>
      </w:pPr>
      <w:bookmarkStart w:id="973" w:name="_Toc497206526"/>
      <w:bookmarkStart w:id="974" w:name="_Toc497720095"/>
      <w:r w:rsidRPr="00C9680B">
        <w:rPr>
          <w:noProof w:val="0"/>
        </w:rPr>
        <w:t>Utskottets förslag i korthet</w:t>
      </w:r>
      <w:bookmarkEnd w:id="973"/>
      <w:bookmarkEnd w:id="974"/>
    </w:p>
    <w:p w:rsidR="001C7BF9" w:rsidRPr="00C9680B" w:rsidRDefault="001C7BF9">
      <w:pPr>
        <w:pStyle w:val="Utskottsfrslagikorthet-Text"/>
      </w:pPr>
      <w:r w:rsidRPr="00C9680B">
        <w:t>Riksdagen bifaller regeringens förslag om en höjning av gränsen för privat införsel av vin till 26 liter, starkvin till 6 liter och starköl till 32 liter den 1 januari 2001. Riksdagen avslår motionsförslagen om ändrade gränser för privat införsel och om sänkta alkohol</w:t>
      </w:r>
      <w:r w:rsidRPr="00C9680B">
        <w:softHyphen/>
        <w:t xml:space="preserve">skatter. </w:t>
      </w:r>
    </w:p>
    <w:p w:rsidR="001C7BF9" w:rsidRPr="00C9680B" w:rsidRDefault="001C7BF9">
      <w:pPr>
        <w:pStyle w:val="Utskottetsvervganden-kursivrubrik"/>
        <w:outlineLvl w:val="0"/>
        <w:rPr>
          <w:noProof w:val="0"/>
        </w:rPr>
      </w:pPr>
      <w:bookmarkStart w:id="975" w:name="_Toc498838167"/>
      <w:r w:rsidRPr="00C9680B">
        <w:rPr>
          <w:noProof w:val="0"/>
        </w:rPr>
        <w:t>Budgetpropositionen</w:t>
      </w:r>
      <w:bookmarkEnd w:id="975"/>
    </w:p>
    <w:p w:rsidR="001C7BF9" w:rsidRPr="00C9680B" w:rsidRDefault="001C7BF9">
      <w:r w:rsidRPr="00C9680B">
        <w:t>Regeringen föreslår att den mängd vin och öl som en resande kan föra in till Sverige från ett annat EU-land utan att skatt skall betalas i Sverige ökas från den 1 januari 2001. Från denna tidpunkt kan resande föra in 26 liter vin, 6 liter mellanklassprodukter (s.k. starkvin) och 32 liter starköl utan att svensk skatt skall betalas. Kvoterna för sprit och tobaksprodukter ändras inte.</w:t>
      </w:r>
    </w:p>
    <w:p w:rsidR="001C7BF9" w:rsidRPr="00C9680B" w:rsidRDefault="001C7BF9">
      <w:pPr>
        <w:pStyle w:val="Normaltindrag"/>
      </w:pPr>
      <w:r w:rsidRPr="00C9680B">
        <w:t>Regeringen anför att den av rådet beslutade ändringen av cirkulations</w:t>
      </w:r>
      <w:r w:rsidRPr="00C9680B">
        <w:softHyphen/>
        <w:t>direktivet innebär att införselkvoterna för vin och öl fr.o.m. den 1 januari 2001 skall höjas till 26 respektive 32 liter. Vidare skall enligt en anteckning i rådsprotokollet en ökning av kvoterna för mellanklassprodukter ske i linje med vad som anges i direktivet beträffande vin. Införselkvoten för s.k. star</w:t>
      </w:r>
      <w:r w:rsidRPr="00C9680B">
        <w:t>k</w:t>
      </w:r>
      <w:r w:rsidRPr="00C9680B">
        <w:softHyphen/>
        <w:t xml:space="preserve">vin ökas därför till 6 liter från samma tidpunkt. </w:t>
      </w:r>
    </w:p>
    <w:p w:rsidR="001C7BF9" w:rsidRPr="00C9680B" w:rsidRDefault="001C7BF9">
      <w:pPr>
        <w:pStyle w:val="Utskottetsvervganden-kursivrubrik"/>
        <w:outlineLvl w:val="0"/>
        <w:rPr>
          <w:noProof w:val="0"/>
        </w:rPr>
      </w:pPr>
      <w:bookmarkStart w:id="976" w:name="_Toc498838168"/>
      <w:r w:rsidRPr="00C9680B">
        <w:rPr>
          <w:noProof w:val="0"/>
        </w:rPr>
        <w:t>Motionerna</w:t>
      </w:r>
      <w:bookmarkEnd w:id="976"/>
    </w:p>
    <w:p w:rsidR="001C7BF9" w:rsidRPr="00C9680B" w:rsidRDefault="001C7BF9">
      <w:r w:rsidRPr="00C9680B">
        <w:rPr>
          <w:i/>
        </w:rPr>
        <w:t>Moderata samlingspartiet</w:t>
      </w:r>
      <w:r w:rsidRPr="00C9680B">
        <w:t xml:space="preserve"> föreslår i motionerna Sk313 yrkandena 9 och 10 av Carl Fredrik Graf m.fl. (m) och Sk1028 yrkandena 13–15 av Carl Fredrik Graf m.fl. (m) att gränserna för privat införsel bestäms till 3 liter sprit, 3 liter starkvin, 30 liter vin, 30 liter öl och 400 cigaretter fr.o.m. den 1 januari 2001 och att skattesatserna samtidigt sänks mot dansk nivå. Riksdagen bör vidare fatta beslut om en stegvis ökning av gränser för privat införsel.</w:t>
      </w:r>
    </w:p>
    <w:p w:rsidR="001C7BF9" w:rsidRPr="00C9680B" w:rsidRDefault="001C7BF9">
      <w:pPr>
        <w:pStyle w:val="Utskottetsvervganden-kursivrubrik"/>
        <w:outlineLvl w:val="0"/>
        <w:rPr>
          <w:noProof w:val="0"/>
        </w:rPr>
      </w:pPr>
      <w:bookmarkStart w:id="977" w:name="_Toc497206529"/>
      <w:bookmarkStart w:id="978" w:name="_Toc497720098"/>
      <w:bookmarkStart w:id="979" w:name="_Toc498838169"/>
      <w:r w:rsidRPr="00C9680B">
        <w:rPr>
          <w:noProof w:val="0"/>
        </w:rPr>
        <w:t>Utskottets ställningstagande</w:t>
      </w:r>
      <w:bookmarkEnd w:id="977"/>
      <w:bookmarkEnd w:id="978"/>
      <w:bookmarkEnd w:id="979"/>
    </w:p>
    <w:p w:rsidR="001C7BF9" w:rsidRPr="00C9680B" w:rsidRDefault="001C7BF9">
      <w:r w:rsidRPr="00C9680B">
        <w:t>Enligt utskottets mening grundar sig det förslag som regeringen lägger fram på den överenskommelse om en övergångsperiod för införselbegränsningarna som finns intagen i rådets direktiv 2000/44/EG. Utskottet ser inte någon a</w:t>
      </w:r>
      <w:r w:rsidRPr="00C9680B">
        <w:t>n</w:t>
      </w:r>
      <w:r w:rsidRPr="00C9680B">
        <w:t>ledning att som motionärerna föreslår besluta om högre gränser än som anges i direktivet när det gäller sprit, vin och öl och är inte heller berett att avvika från den av regeringen föreslagna gränsen för mellanklassprodukter. Utskottet avstyrker motionen och tillstyrker propositionen i denna del.</w:t>
      </w:r>
    </w:p>
    <w:p w:rsidR="001C7BF9" w:rsidRPr="00C9680B" w:rsidRDefault="001C7BF9">
      <w:pPr>
        <w:pStyle w:val="Normaltindrag"/>
      </w:pPr>
      <w:r w:rsidRPr="00C9680B">
        <w:t>När det gäller förslaget om sänkning av alkoholskattesatserna har reg</w:t>
      </w:r>
      <w:r w:rsidRPr="00C9680B">
        <w:t>e</w:t>
      </w:r>
      <w:r w:rsidRPr="00C9680B">
        <w:softHyphen/>
        <w:t>ringen i dagarna presenterat en nationell handlingsplan för att förebygga alkoholskador (prop. 2000/01:20). I handlingsplanen föreslår rege</w:t>
      </w:r>
      <w:r w:rsidRPr="00C9680B">
        <w:softHyphen/>
        <w:t>ringen åtgärder för att Sverige fortsättningsvis, även vid höjda införselkvoter, skall kunna behålla målet om att begränsa alkoholens skadeverkningar och verka för att minska den totala alkoholkonsumtionen. Regeringen gör bedöm</w:t>
      </w:r>
      <w:r w:rsidRPr="00C9680B">
        <w:softHyphen/>
        <w:t>ningen att de svenska alkoholskatterna på spritdrycker, vin och starköl kommer att behöva ses över på sikt, och det framgår att regeringen har</w:t>
      </w:r>
      <w:r w:rsidRPr="00C9680B">
        <w:t xml:space="preserve"> för avsikt att sen</w:t>
      </w:r>
      <w:r w:rsidRPr="00C9680B">
        <w:t>a</w:t>
      </w:r>
      <w:r w:rsidRPr="00C9680B">
        <w:t>re i en särskild proposition återkomma till frågan om de skatte</w:t>
      </w:r>
      <w:r w:rsidRPr="00C9680B">
        <w:softHyphen/>
        <w:t xml:space="preserve">justeringar som behövs. </w:t>
      </w:r>
    </w:p>
    <w:p w:rsidR="001C7BF9" w:rsidRPr="00C9680B" w:rsidRDefault="001C7BF9">
      <w:pPr>
        <w:pStyle w:val="Normaltindrag"/>
      </w:pPr>
      <w:r w:rsidRPr="00C9680B">
        <w:t>Enligt utskottets mening är det inte aktuellt att nu genomföra några förän</w:t>
      </w:r>
      <w:r w:rsidRPr="00C9680B">
        <w:t>d</w:t>
      </w:r>
      <w:r w:rsidRPr="00C9680B">
        <w:softHyphen/>
        <w:t>ringar av alkoholskattesatserna. Utskottet avstyrker motionen även i denna del.</w:t>
      </w:r>
    </w:p>
    <w:p w:rsidR="001C7BF9" w:rsidRPr="00C9680B" w:rsidRDefault="001C7BF9">
      <w:pPr>
        <w:pStyle w:val="Utskottetsvervganden-RubrikFrslagspunkt"/>
      </w:pPr>
      <w:bookmarkStart w:id="980" w:name="_Toc498838170"/>
      <w:r w:rsidRPr="00C9680B">
        <w:t>Förskjutning av skatteuttaget från energiskatt till koldioxidskatt</w:t>
      </w:r>
      <w:bookmarkEnd w:id="980"/>
    </w:p>
    <w:p w:rsidR="001C7BF9" w:rsidRPr="00C9680B" w:rsidRDefault="001C7BF9">
      <w:pPr>
        <w:pStyle w:val="Utskottsfrslagikorthet-Rubrik"/>
        <w:jc w:val="both"/>
        <w:outlineLvl w:val="0"/>
        <w:rPr>
          <w:noProof w:val="0"/>
        </w:rPr>
      </w:pPr>
      <w:bookmarkStart w:id="981" w:name="_Toc497206531"/>
      <w:bookmarkStart w:id="982" w:name="_Toc497720100"/>
      <w:r w:rsidRPr="00C9680B">
        <w:rPr>
          <w:noProof w:val="0"/>
        </w:rPr>
        <w:t>Utskottets förslag i korthet</w:t>
      </w:r>
      <w:bookmarkEnd w:id="981"/>
      <w:bookmarkEnd w:id="982"/>
    </w:p>
    <w:p w:rsidR="001C7BF9" w:rsidRPr="00C9680B" w:rsidRDefault="001C7BF9">
      <w:pPr>
        <w:pStyle w:val="Utskottsfrslagikorthet-Text"/>
      </w:pPr>
      <w:r w:rsidRPr="00C9680B">
        <w:t>Riksdagen bifaller regeringens förslag om en förskjutning av ska</w:t>
      </w:r>
      <w:r w:rsidRPr="00C9680B">
        <w:t>t</w:t>
      </w:r>
      <w:r w:rsidRPr="00C9680B">
        <w:t>teuttaget från energiskatt till koldioxidskatt. Koldioxidskatten höjs i ett första steg från 37 öre per kg till 46 öre per kg och intäkterna används för en sänkning av energiskatten på el och bränslen. Transportsektorns skattebelastning lämnas oförändrad. Skatteb</w:t>
      </w:r>
      <w:r w:rsidRPr="00C9680B">
        <w:t>e</w:t>
      </w:r>
      <w:r w:rsidRPr="00C9680B">
        <w:t>lastningen för tillverkningsindustrin samt jordbruks-, skogsbruks- och vattennäringarna hålls oförändrad genom att kol</w:t>
      </w:r>
      <w:r w:rsidRPr="00C9680B">
        <w:softHyphen/>
        <w:t>dioxidskattelättnaden höjs från 50 % till 65 % av koldioxid</w:t>
      </w:r>
      <w:r w:rsidRPr="00C9680B">
        <w:softHyphen/>
        <w:t>ska</w:t>
      </w:r>
      <w:r w:rsidRPr="00C9680B">
        <w:t>t</w:t>
      </w:r>
      <w:r w:rsidRPr="00C9680B">
        <w:t>teuttaget.</w:t>
      </w:r>
    </w:p>
    <w:p w:rsidR="001C7BF9" w:rsidRPr="00C9680B" w:rsidRDefault="001C7BF9">
      <w:pPr>
        <w:pStyle w:val="Utskottetsvervganden-kursivrubrik"/>
        <w:outlineLvl w:val="0"/>
        <w:rPr>
          <w:noProof w:val="0"/>
        </w:rPr>
      </w:pPr>
      <w:bookmarkStart w:id="983" w:name="_Toc498838171"/>
      <w:r w:rsidRPr="00C9680B">
        <w:rPr>
          <w:noProof w:val="0"/>
        </w:rPr>
        <w:t>Budgetpropositionen</w:t>
      </w:r>
      <w:bookmarkEnd w:id="983"/>
    </w:p>
    <w:p w:rsidR="001C7BF9" w:rsidRPr="00C9680B" w:rsidRDefault="001C7BF9">
      <w:r w:rsidRPr="00C9680B">
        <w:t>I propositionen föreslås att koldioxidskatten ges en ökad tyngd i förhållande till energiskatten. Detta åstadkoms genom att koldioxidskatten höjs med 25 % samtidigt som energiskatten på el och bränslen för uppvärmning sänks med 8 %. Omläggningen utformas så att skattebelastningen för tillver</w:t>
      </w:r>
      <w:r w:rsidRPr="00C9680B">
        <w:t>k</w:t>
      </w:r>
      <w:r w:rsidRPr="00C9680B">
        <w:t>nings</w:t>
      </w:r>
      <w:r w:rsidRPr="00C9680B">
        <w:softHyphen/>
        <w:t>industrin, jordbruks-, skogsbruks- och vattenbruksnäringarna samt transpor</w:t>
      </w:r>
      <w:r w:rsidRPr="00C9680B">
        <w:t>t</w:t>
      </w:r>
      <w:r w:rsidRPr="00C9680B">
        <w:softHyphen/>
        <w:t>sektorn blir oförändrad.</w:t>
      </w:r>
    </w:p>
    <w:p w:rsidR="001C7BF9" w:rsidRPr="00C9680B" w:rsidRDefault="001C7BF9">
      <w:pPr>
        <w:pStyle w:val="Normaltindrag"/>
      </w:pPr>
      <w:r w:rsidRPr="00C9680B">
        <w:t>Regeringen anför att dagens energiskatt är oenhetlig och bidrar till att mo</w:t>
      </w:r>
      <w:r w:rsidRPr="00C9680B">
        <w:t>t</w:t>
      </w:r>
      <w:r w:rsidRPr="00C9680B">
        <w:softHyphen/>
        <w:t xml:space="preserve">verka de miljöstyrande effekter som åsyftas bl.a. genom koldioxidskatten. Redan en intäktsneutral skatteomläggning med en minskad vikt för dagens energiskatt ökar den samlade miljöstyrningen. </w:t>
      </w:r>
    </w:p>
    <w:p w:rsidR="001C7BF9" w:rsidRPr="00C9680B" w:rsidRDefault="001C7BF9">
      <w:pPr>
        <w:pStyle w:val="Utskottetsvervganden-kursivrubrik"/>
        <w:outlineLvl w:val="0"/>
        <w:rPr>
          <w:noProof w:val="0"/>
        </w:rPr>
      </w:pPr>
      <w:bookmarkStart w:id="984" w:name="_Toc498838172"/>
      <w:r w:rsidRPr="00C9680B">
        <w:rPr>
          <w:noProof w:val="0"/>
        </w:rPr>
        <w:t>Motionerna</w:t>
      </w:r>
      <w:bookmarkEnd w:id="984"/>
    </w:p>
    <w:p w:rsidR="001C7BF9" w:rsidRPr="00C9680B" w:rsidRDefault="001C7BF9">
      <w:r w:rsidRPr="00C9680B">
        <w:rPr>
          <w:i/>
        </w:rPr>
        <w:t>Moderata samlingspartiet</w:t>
      </w:r>
      <w:r w:rsidRPr="00C9680B">
        <w:t xml:space="preserve"> yrkar i motionerna Sk1028 yrkande 3 delvis av Carl Fredrik Graf m.fl. (m) och Sk313 yrkande 8 delvis och 26 av Carl Fre</w:t>
      </w:r>
      <w:r w:rsidRPr="00C9680B">
        <w:t>d</w:t>
      </w:r>
      <w:r w:rsidRPr="00C9680B">
        <w:t>rik Graf m.fl. (m) att regeringens förslag avslås. Motionärerna anför att o</w:t>
      </w:r>
      <w:r w:rsidRPr="00C9680B">
        <w:t>m</w:t>
      </w:r>
      <w:r w:rsidRPr="00C9680B">
        <w:t>läggningen medför att punktskatten på eldningsolja och andra bränslen stiger.</w:t>
      </w:r>
    </w:p>
    <w:p w:rsidR="001C7BF9" w:rsidRPr="00C9680B" w:rsidRDefault="001C7BF9">
      <w:pPr>
        <w:pStyle w:val="Utskottetsvervganden-kursivrubrik"/>
        <w:outlineLvl w:val="0"/>
        <w:rPr>
          <w:noProof w:val="0"/>
        </w:rPr>
      </w:pPr>
      <w:bookmarkStart w:id="985" w:name="_Toc497206534"/>
      <w:bookmarkStart w:id="986" w:name="_Toc497720103"/>
      <w:bookmarkStart w:id="987" w:name="_Toc498838173"/>
      <w:r w:rsidRPr="00C9680B">
        <w:rPr>
          <w:noProof w:val="0"/>
        </w:rPr>
        <w:t>Utskottets ställningstagande</w:t>
      </w:r>
      <w:bookmarkEnd w:id="985"/>
      <w:bookmarkEnd w:id="986"/>
      <w:bookmarkEnd w:id="987"/>
    </w:p>
    <w:p w:rsidR="001C7BF9" w:rsidRPr="00C9680B" w:rsidRDefault="001C7BF9">
      <w:r w:rsidRPr="00C9680B">
        <w:t>Utskottet har i det föregående behandlat regeringens strategi för grön skatt</w:t>
      </w:r>
      <w:r w:rsidRPr="00C9680B">
        <w:t>e</w:t>
      </w:r>
      <w:r w:rsidRPr="00C9680B">
        <w:softHyphen/>
        <w:t>växling. Det främsta syftet är att öka miljörelateringen av skattesystemet och härvid är en reformering av dagens energiskattesystem en central del. Den principskiss som presenterades i Skatteväxlingskommitténs betänkande utgör en utgångspunkt. Ett successivt införande av Skatteväxlingskommitténs m</w:t>
      </w:r>
      <w:r w:rsidRPr="00C9680B">
        <w:t>o</w:t>
      </w:r>
      <w:r w:rsidRPr="00C9680B">
        <w:t>dell kan skapa en energiskattemodell som säkerställer en effektiv miljö</w:t>
      </w:r>
      <w:r w:rsidRPr="00C9680B">
        <w:softHyphen/>
        <w:t>styrning och en varaktig finansiering av de sänkta skatterna på arbete.</w:t>
      </w:r>
    </w:p>
    <w:p w:rsidR="001C7BF9" w:rsidRPr="00C9680B" w:rsidRDefault="001C7BF9">
      <w:pPr>
        <w:pStyle w:val="Normaltindrag"/>
      </w:pPr>
      <w:r w:rsidRPr="00C9680B">
        <w:t xml:space="preserve">Den omläggning som nu föreslås är intäktsneutral och har därför i </w:t>
      </w:r>
      <w:r w:rsidRPr="00C9680B">
        <w:t>första hand ett miljöpolitiskt syfte. Som regeringen anför bidrar redan en neutral omläggning med en minskad vikt för dagens energiskatt till att skattesyste</w:t>
      </w:r>
      <w:r w:rsidRPr="00C9680B">
        <w:t>m</w:t>
      </w:r>
      <w:r w:rsidRPr="00C9680B">
        <w:softHyphen/>
        <w:t>ets miljörelatering ökar. Eftersom omläggningen har utformats så att skatt</w:t>
      </w:r>
      <w:r w:rsidRPr="00C9680B">
        <w:t>e</w:t>
      </w:r>
      <w:r w:rsidRPr="00C9680B">
        <w:softHyphen/>
        <w:t>belastningen för tillverkningsindustrin, jordbruks-, skogsbruks- och vatte</w:t>
      </w:r>
      <w:r w:rsidRPr="00C9680B">
        <w:t>n</w:t>
      </w:r>
      <w:r w:rsidRPr="00C9680B">
        <w:softHyphen/>
        <w:t>bruksnäringarna samt transportsektorn blir oförändrad är det i första hand hushållens och servicesektorns förbrukning av el och fossila bränslen för uppvärmning samt motsvarande förbrukning i fjärrvärm</w:t>
      </w:r>
      <w:r w:rsidRPr="00C9680B">
        <w:t>eproduktionen som berörs. Vidare kommer förmånen av den halvering av energiskatten som tillämpas i kraftvärmeverk att minska i värde. Omläggningen medför en viss höjning av punktskatten på fossila bränslen för uppvärmning.</w:t>
      </w:r>
    </w:p>
    <w:p w:rsidR="001C7BF9" w:rsidRPr="00C9680B" w:rsidRDefault="001C7BF9">
      <w:pPr>
        <w:pStyle w:val="Normaltindrag"/>
      </w:pPr>
      <w:r w:rsidRPr="00C9680B">
        <w:t>Utskottet tillstyrker förslaget och avstyrker motionsyrkandet.</w:t>
      </w:r>
    </w:p>
    <w:p w:rsidR="001C7BF9" w:rsidRPr="00C9680B" w:rsidRDefault="001C7BF9">
      <w:pPr>
        <w:pStyle w:val="Utskottetsvervganden-RubrikFrslagspunkt"/>
        <w:outlineLvl w:val="0"/>
      </w:pPr>
      <w:bookmarkStart w:id="988" w:name="_Toc498838174"/>
      <w:r w:rsidRPr="00C9680B">
        <w:t>Höjd koldioxidskatt</w:t>
      </w:r>
      <w:bookmarkEnd w:id="988"/>
    </w:p>
    <w:p w:rsidR="001C7BF9" w:rsidRPr="00C9680B" w:rsidRDefault="001C7BF9">
      <w:pPr>
        <w:pStyle w:val="Utskottsfrslagikorthet-Rubrik"/>
        <w:jc w:val="both"/>
        <w:outlineLvl w:val="0"/>
        <w:rPr>
          <w:noProof w:val="0"/>
        </w:rPr>
      </w:pPr>
      <w:bookmarkStart w:id="989" w:name="_Toc497206536"/>
      <w:bookmarkStart w:id="990" w:name="_Toc497720105"/>
      <w:r w:rsidRPr="00C9680B">
        <w:rPr>
          <w:noProof w:val="0"/>
        </w:rPr>
        <w:t>Utskottets förslag i korthet</w:t>
      </w:r>
      <w:bookmarkEnd w:id="989"/>
      <w:bookmarkEnd w:id="990"/>
    </w:p>
    <w:p w:rsidR="001C7BF9" w:rsidRPr="00C9680B" w:rsidRDefault="001C7BF9">
      <w:pPr>
        <w:pStyle w:val="Utskottsfrslagikorthet-Text"/>
      </w:pPr>
      <w:r w:rsidRPr="00C9680B">
        <w:t>Riksdagen bifaller regeringens förslag om en höjning av koldioxid</w:t>
      </w:r>
      <w:r w:rsidRPr="00C9680B">
        <w:softHyphen/>
        <w:t>skatten till 53 öre per kg. Härvid rättas lagtexten så att höjningen inte slår igenom på naturgas och gasol som används som drivmedel. Riksdagen avslår motionsförslagen om sänkt energiskatt på bräns</w:t>
      </w:r>
      <w:r w:rsidRPr="00C9680B">
        <w:softHyphen/>
        <w:t>len och om en höjning av industrins koldioxidskatt.</w:t>
      </w:r>
    </w:p>
    <w:p w:rsidR="001C7BF9" w:rsidRPr="00C9680B" w:rsidRDefault="001C7BF9">
      <w:pPr>
        <w:pStyle w:val="Utskottetsvervganden-kursivrubrik"/>
        <w:outlineLvl w:val="0"/>
        <w:rPr>
          <w:noProof w:val="0"/>
        </w:rPr>
      </w:pPr>
      <w:bookmarkStart w:id="991" w:name="_Toc498838175"/>
      <w:r w:rsidRPr="00C9680B">
        <w:rPr>
          <w:noProof w:val="0"/>
        </w:rPr>
        <w:t>Budgetpropositionen</w:t>
      </w:r>
      <w:bookmarkEnd w:id="991"/>
    </w:p>
    <w:p w:rsidR="001C7BF9" w:rsidRPr="00C9680B" w:rsidRDefault="001C7BF9">
      <w:r w:rsidRPr="00C9680B">
        <w:t>Regeringen föreslår att koldioxidskatten höjs ytterligare till ca 53 öre per kg koldioxid. Även denna del av omläggningen utformas så att skattebelast</w:t>
      </w:r>
      <w:r w:rsidRPr="00C9680B">
        <w:softHyphen/>
        <w:t>nin</w:t>
      </w:r>
      <w:r w:rsidRPr="00C9680B">
        <w:t>g</w:t>
      </w:r>
      <w:r w:rsidRPr="00C9680B">
        <w:t>en för tillverkningsindustrin och jordbruks-, skogsbruks- och vatten</w:t>
      </w:r>
      <w:r w:rsidRPr="00C9680B">
        <w:softHyphen/>
        <w:t>bruksnärin</w:t>
      </w:r>
      <w:r w:rsidRPr="00C9680B">
        <w:t>g</w:t>
      </w:r>
      <w:r w:rsidRPr="00C9680B">
        <w:t xml:space="preserve">arna samt transportsektorn blir oförändrad. </w:t>
      </w:r>
    </w:p>
    <w:p w:rsidR="001C7BF9" w:rsidRPr="00C9680B" w:rsidRDefault="001C7BF9">
      <w:pPr>
        <w:pStyle w:val="Normaltindrag"/>
      </w:pPr>
      <w:r w:rsidRPr="00C9680B">
        <w:t>Regeringen anför att höjningen sker i syfte att bl.a. bidra till att Sveriges åtaganden enligt Kyotoprotokollet kan uppfyllas. I förhållande till dagsläget medför förändringarna av energiskatten och koldioxidskatten nettoskattehö</w:t>
      </w:r>
      <w:r w:rsidRPr="00C9680B">
        <w:t>j</w:t>
      </w:r>
      <w:r w:rsidRPr="00C9680B">
        <w:softHyphen/>
        <w:t>ningar med 414 kr för eldningsolja.</w:t>
      </w:r>
    </w:p>
    <w:p w:rsidR="001C7BF9" w:rsidRPr="00C9680B" w:rsidRDefault="001C7BF9">
      <w:pPr>
        <w:pStyle w:val="Utskottetsvervganden-kursivrubrik"/>
        <w:outlineLvl w:val="0"/>
        <w:rPr>
          <w:noProof w:val="0"/>
        </w:rPr>
      </w:pPr>
      <w:bookmarkStart w:id="992" w:name="_Toc498838176"/>
      <w:r w:rsidRPr="00C9680B">
        <w:rPr>
          <w:noProof w:val="0"/>
        </w:rPr>
        <w:t>Motionerna</w:t>
      </w:r>
      <w:bookmarkEnd w:id="992"/>
    </w:p>
    <w:p w:rsidR="001C7BF9" w:rsidRPr="00C9680B" w:rsidRDefault="001C7BF9">
      <w:r w:rsidRPr="00C9680B">
        <w:rPr>
          <w:i/>
        </w:rPr>
        <w:t>Moderata samlingspartiet</w:t>
      </w:r>
      <w:r w:rsidRPr="00C9680B">
        <w:t xml:space="preserve"> yrkar i motionerna Sk313 yrkande 8 delvis och 23 delvis samt Sk1028 yrkande 3 delvis och 4 delvis av Carl Fredrik Graf m.fl. (m) att förslaget om höjd koldioxidskatt avslås. Motionärerna föreslår att energiskatten på bränslen i stället sänks med 8 %.</w:t>
      </w:r>
    </w:p>
    <w:p w:rsidR="001C7BF9" w:rsidRPr="00C9680B" w:rsidRDefault="001C7BF9">
      <w:r w:rsidRPr="00C9680B">
        <w:rPr>
          <w:i/>
        </w:rPr>
        <w:t xml:space="preserve">Centerpartiet </w:t>
      </w:r>
      <w:r w:rsidRPr="00C9680B">
        <w:t>yrkar i motion Sk321 yrkandena 27 och 28 av Lennart Daléus m.fl. (c) att förslaget avslås. Vidare föreslår motionärerna att industrins ne</w:t>
      </w:r>
      <w:r w:rsidRPr="00C9680B">
        <w:t>d</w:t>
      </w:r>
      <w:r w:rsidRPr="00C9680B">
        <w:softHyphen/>
        <w:t>sättning av koldioxid</w:t>
      </w:r>
      <w:r w:rsidRPr="00C9680B">
        <w:t>s</w:t>
      </w:r>
      <w:r w:rsidRPr="00C9680B">
        <w:t>katten minskas till 25 %.</w:t>
      </w:r>
    </w:p>
    <w:p w:rsidR="001C7BF9" w:rsidRPr="00C9680B" w:rsidRDefault="001C7BF9">
      <w:pPr>
        <w:pStyle w:val="Utskottetsvervganden-kursivrubrik"/>
        <w:outlineLvl w:val="0"/>
        <w:rPr>
          <w:noProof w:val="0"/>
        </w:rPr>
      </w:pPr>
      <w:bookmarkStart w:id="993" w:name="_Toc497206539"/>
      <w:bookmarkStart w:id="994" w:name="_Toc497720108"/>
      <w:bookmarkStart w:id="995" w:name="_Toc498838177"/>
      <w:r w:rsidRPr="00C9680B">
        <w:rPr>
          <w:noProof w:val="0"/>
        </w:rPr>
        <w:t>Utskottets ställningstagande</w:t>
      </w:r>
      <w:bookmarkEnd w:id="993"/>
      <w:bookmarkEnd w:id="994"/>
      <w:bookmarkEnd w:id="995"/>
    </w:p>
    <w:p w:rsidR="001C7BF9" w:rsidRPr="00C9680B" w:rsidRDefault="001C7BF9">
      <w:r w:rsidRPr="00C9680B">
        <w:t xml:space="preserve">Enligt utskottets mening innebär höjningen av koldioxidskatten att ytterligare ett steg tas i en grön skatteväxling där höjda skatter på energi och miljöfarliga utsläpp höjs och skatten på arbete sänks. Utskottet tillstyrker förslaget. </w:t>
      </w:r>
    </w:p>
    <w:p w:rsidR="001C7BF9" w:rsidRPr="00C9680B" w:rsidRDefault="001C7BF9">
      <w:pPr>
        <w:pStyle w:val="Normaltindrag"/>
      </w:pPr>
      <w:r w:rsidRPr="00C9680B">
        <w:t>När det gäller förslaget om en skärpning av industrins koldioxidbeskat</w:t>
      </w:r>
      <w:r w:rsidRPr="00C9680B">
        <w:t>t</w:t>
      </w:r>
      <w:r w:rsidRPr="00C9680B">
        <w:softHyphen/>
        <w:t>ning bör det framhållas att de förslag som regeringen lägger fram i detta äre</w:t>
      </w:r>
      <w:r w:rsidRPr="00C9680B">
        <w:t>n</w:t>
      </w:r>
      <w:r w:rsidRPr="00C9680B">
        <w:t>de har utformats på ett sådant sätt att de nedsättningsberättigade verk</w:t>
      </w:r>
      <w:r w:rsidRPr="00C9680B">
        <w:softHyphen/>
        <w:t>samh</w:t>
      </w:r>
      <w:r w:rsidRPr="00C9680B">
        <w:t>e</w:t>
      </w:r>
      <w:r w:rsidRPr="00C9680B">
        <w:t>terna inte skall få en ökad skattebelastning. Avsikten är att utform</w:t>
      </w:r>
      <w:r w:rsidRPr="00C9680B">
        <w:softHyphen/>
        <w:t>ningen av nedsättningssystemet för tillverkningsindustrin och jordbruks-, skogsbruks- och vattenbruksnäringarna skall utredas som en del i förberedel</w:t>
      </w:r>
      <w:r w:rsidRPr="00C9680B">
        <w:softHyphen/>
        <w:t>serna för en fortsatt skatteväxling. Enligt utskottets mening bör resultatet av denna utredning avvaktas, och utskottet avstyrker därför</w:t>
      </w:r>
      <w:r w:rsidRPr="00C9680B">
        <w:t xml:space="preserve"> motions</w:t>
      </w:r>
      <w:r w:rsidRPr="00C9680B">
        <w:t>y</w:t>
      </w:r>
      <w:r w:rsidRPr="00C9680B">
        <w:t>rkandet.</w:t>
      </w:r>
    </w:p>
    <w:p w:rsidR="001C7BF9" w:rsidRPr="00C9680B" w:rsidRDefault="001C7BF9">
      <w:pPr>
        <w:pStyle w:val="Normaltindrag"/>
      </w:pPr>
      <w:r w:rsidRPr="00C9680B">
        <w:t>Slutligen har utskottet uppmärksammat att lagtexten fått en utformning som gör att höjningen av skatten på naturgas eller gasol som används som bränsle slår igenom på naturgas och gasol som används som drivmedel. Med hänsyn till att den uttalade avsikten i detta ärende är att skattebelastningen inom transportsektorn på andra bränslen än diesel inte skall öka år 2001 före</w:t>
      </w:r>
      <w:r w:rsidRPr="00C9680B">
        <w:softHyphen/>
        <w:t>slår utskottet att lagtexten korrigeras så att det sammantagna punkt</w:t>
      </w:r>
      <w:r w:rsidRPr="00C9680B">
        <w:softHyphen/>
        <w:t>skatte</w:t>
      </w:r>
      <w:r w:rsidRPr="00C9680B">
        <w:softHyphen/>
        <w:t>uttaget på naturgas och gasol som används som drivmedel inte ändras. U</w:t>
      </w:r>
      <w:r w:rsidRPr="00C9680B">
        <w:t>t</w:t>
      </w:r>
      <w:r w:rsidRPr="00C9680B">
        <w:t>skottet erinrar om att det utredningsarbete som regeringen aviserar i propo</w:t>
      </w:r>
      <w:r w:rsidRPr="00C9680B">
        <w:softHyphen/>
        <w:t>sitionen också innefattar en översyn av den framtida vägtrafikbeskattningen i syfte att skapa förutsättningar för en ökad miljörelatering. Målsättningen är att öka trafikbeskattningens samlade miljöstyrning och att vägtrafiken där</w:t>
      </w:r>
      <w:r w:rsidRPr="00C9680B">
        <w:softHyphen/>
        <w:t>med skall betala sina samhällsekonomiska kostnader.</w:t>
      </w:r>
    </w:p>
    <w:p w:rsidR="001C7BF9" w:rsidRPr="00C9680B" w:rsidRDefault="001C7BF9">
      <w:pPr>
        <w:pStyle w:val="Utskottetsvervganden-RubrikFrslagspunkt"/>
        <w:outlineLvl w:val="0"/>
      </w:pPr>
      <w:bookmarkStart w:id="996" w:name="_Toc498838178"/>
      <w:r w:rsidRPr="00C9680B">
        <w:t xml:space="preserve">Höjd </w:t>
      </w:r>
      <w:r w:rsidRPr="00C9680B">
        <w:t>energiskatt på el</w:t>
      </w:r>
      <w:bookmarkEnd w:id="996"/>
    </w:p>
    <w:p w:rsidR="001C7BF9" w:rsidRPr="00C9680B" w:rsidRDefault="001C7BF9">
      <w:pPr>
        <w:pStyle w:val="Utskottsfrslagikorthet-Rubrik"/>
        <w:jc w:val="both"/>
        <w:outlineLvl w:val="0"/>
        <w:rPr>
          <w:noProof w:val="0"/>
        </w:rPr>
      </w:pPr>
      <w:bookmarkStart w:id="997" w:name="_Toc497206541"/>
      <w:bookmarkStart w:id="998" w:name="_Toc497720110"/>
      <w:r w:rsidRPr="00C9680B">
        <w:rPr>
          <w:noProof w:val="0"/>
        </w:rPr>
        <w:t>Utskottets förslag i korthet</w:t>
      </w:r>
      <w:bookmarkEnd w:id="997"/>
      <w:bookmarkEnd w:id="998"/>
    </w:p>
    <w:p w:rsidR="001C7BF9" w:rsidRPr="00C9680B" w:rsidRDefault="001C7BF9">
      <w:pPr>
        <w:pStyle w:val="Utskottsfrslagikorthet-Text"/>
      </w:pPr>
      <w:r w:rsidRPr="00C9680B">
        <w:t>Riksdagen bifaller regeringens förslag om en höjning av energi</w:t>
      </w:r>
      <w:r w:rsidRPr="00C9680B">
        <w:softHyphen/>
        <w:t>skatten på el med netto 1,9 öre per kWh.</w:t>
      </w:r>
    </w:p>
    <w:p w:rsidR="001C7BF9" w:rsidRPr="00C9680B" w:rsidRDefault="001C7BF9">
      <w:pPr>
        <w:pStyle w:val="Utskottetsvervganden-kursivrubrik"/>
        <w:outlineLvl w:val="0"/>
        <w:rPr>
          <w:noProof w:val="0"/>
        </w:rPr>
      </w:pPr>
      <w:bookmarkStart w:id="999" w:name="_Toc498838179"/>
      <w:r w:rsidRPr="00C9680B">
        <w:rPr>
          <w:noProof w:val="0"/>
        </w:rPr>
        <w:t>Budgetpropositionen</w:t>
      </w:r>
      <w:bookmarkEnd w:id="999"/>
    </w:p>
    <w:p w:rsidR="001C7BF9" w:rsidRPr="00C9680B" w:rsidRDefault="001C7BF9">
      <w:r w:rsidRPr="00C9680B">
        <w:t>Regeringen föreslår att energiskatten på el höjs netto med 1,8 öre per kWh. Till det kommer indexuppräkningen av skatten med 0,1 öre per kWh. Totalt ger detta en höjning med 1,9 öre per kWh.</w:t>
      </w:r>
    </w:p>
    <w:p w:rsidR="001C7BF9" w:rsidRPr="00C9680B" w:rsidRDefault="001C7BF9">
      <w:pPr>
        <w:pStyle w:val="Normaltindrag"/>
      </w:pPr>
      <w:r w:rsidRPr="00C9680B">
        <w:t>Regeringen anför att de föreslagna höjningarna av koldioxidskatten resu</w:t>
      </w:r>
      <w:r w:rsidRPr="00C9680B">
        <w:t>l</w:t>
      </w:r>
      <w:r w:rsidRPr="00C9680B">
        <w:softHyphen/>
        <w:t>terar i att den relativa bränslekostnaden för el i småhus sjunker i förhållande till kostnaden för oljeuppvärmning. Elskattehöjningen kommer i viss mån att motverka denna effekt.</w:t>
      </w:r>
    </w:p>
    <w:p w:rsidR="001C7BF9" w:rsidRPr="00C9680B" w:rsidRDefault="001C7BF9">
      <w:pPr>
        <w:pStyle w:val="Utskottetsvervganden-kursivrubrik"/>
        <w:outlineLvl w:val="0"/>
        <w:rPr>
          <w:noProof w:val="0"/>
        </w:rPr>
      </w:pPr>
      <w:bookmarkStart w:id="1000" w:name="_Toc498838180"/>
      <w:r w:rsidRPr="00C9680B">
        <w:rPr>
          <w:noProof w:val="0"/>
        </w:rPr>
        <w:t>Motionerna</w:t>
      </w:r>
      <w:bookmarkEnd w:id="1000"/>
    </w:p>
    <w:p w:rsidR="001C7BF9" w:rsidRPr="00C9680B" w:rsidRDefault="001C7BF9">
      <w:r w:rsidRPr="00C9680B">
        <w:rPr>
          <w:i/>
        </w:rPr>
        <w:t>Moderata samlingspartiet</w:t>
      </w:r>
      <w:r w:rsidRPr="00C9680B">
        <w:t xml:space="preserve"> föreslår att energiskatten på el i stället sänks med 8 %. Yrkanden med denna inriktning finns i motion Sk1028 yrkande 3 delvis och 4 delvis av Carl Fredrik Graf m.fl. (m) samt Sk313 yrkande 8 delvis och 23 delvis av Carl Fredrik Graf m.fl. (m).</w:t>
      </w:r>
    </w:p>
    <w:p w:rsidR="001C7BF9" w:rsidRPr="00C9680B" w:rsidRDefault="001C7BF9">
      <w:r w:rsidRPr="00C9680B">
        <w:rPr>
          <w:i/>
        </w:rPr>
        <w:t>Kristdemokraterna</w:t>
      </w:r>
      <w:r w:rsidRPr="00C9680B">
        <w:t xml:space="preserve"> föreslår i motion Sk323 yrkande 49 av Alf Svensson m.fl. (kd) att förslaget om höjd energiskatt på el avslås. Motionärerna anför att energiskatten på el belastar all elprodu</w:t>
      </w:r>
      <w:r w:rsidRPr="00C9680B">
        <w:t>k</w:t>
      </w:r>
      <w:r w:rsidRPr="00C9680B">
        <w:t>tion lika och att den inte är miljö</w:t>
      </w:r>
      <w:r w:rsidRPr="00C9680B">
        <w:softHyphen/>
        <w:t>styrande.</w:t>
      </w:r>
    </w:p>
    <w:p w:rsidR="001C7BF9" w:rsidRPr="00C9680B" w:rsidRDefault="001C7BF9">
      <w:pPr>
        <w:pStyle w:val="Utskottetsvervganden-kursivrubrik"/>
        <w:outlineLvl w:val="0"/>
        <w:rPr>
          <w:noProof w:val="0"/>
        </w:rPr>
      </w:pPr>
      <w:bookmarkStart w:id="1001" w:name="_Toc497206544"/>
      <w:bookmarkStart w:id="1002" w:name="_Toc497720113"/>
      <w:bookmarkStart w:id="1003" w:name="_Toc498838181"/>
      <w:r w:rsidRPr="00C9680B">
        <w:rPr>
          <w:noProof w:val="0"/>
        </w:rPr>
        <w:t>Utskottets ställningstagande</w:t>
      </w:r>
      <w:bookmarkEnd w:id="1001"/>
      <w:bookmarkEnd w:id="1002"/>
      <w:bookmarkEnd w:id="1003"/>
    </w:p>
    <w:p w:rsidR="001C7BF9" w:rsidRPr="00C9680B" w:rsidRDefault="001C7BF9">
      <w:r w:rsidRPr="00C9680B">
        <w:t>Utskottet delar regeringens bedömning i denna del. Utskottet avstyrker m</w:t>
      </w:r>
      <w:r w:rsidRPr="00C9680B">
        <w:t>o</w:t>
      </w:r>
      <w:r w:rsidRPr="00C9680B">
        <w:t>tionerna och tillstyrker propositionen.</w:t>
      </w:r>
    </w:p>
    <w:p w:rsidR="001C7BF9" w:rsidRPr="00C9680B" w:rsidRDefault="001C7BF9">
      <w:pPr>
        <w:pStyle w:val="Utskottetsvervganden-RubrikFrslagspunkt"/>
        <w:outlineLvl w:val="0"/>
      </w:pPr>
      <w:bookmarkStart w:id="1004" w:name="_Toc498838182"/>
      <w:r w:rsidRPr="00C9680B">
        <w:t>Vissa miljöskatter</w:t>
      </w:r>
      <w:bookmarkEnd w:id="1004"/>
    </w:p>
    <w:p w:rsidR="001C7BF9" w:rsidRPr="00C9680B" w:rsidRDefault="001C7BF9">
      <w:pPr>
        <w:pStyle w:val="Utskottsfrslagikorthet-Rubrik"/>
        <w:jc w:val="both"/>
        <w:outlineLvl w:val="0"/>
        <w:rPr>
          <w:noProof w:val="0"/>
        </w:rPr>
      </w:pPr>
      <w:bookmarkStart w:id="1005" w:name="_Toc497206546"/>
      <w:bookmarkStart w:id="1006" w:name="_Toc497720115"/>
      <w:r w:rsidRPr="00C9680B">
        <w:rPr>
          <w:noProof w:val="0"/>
        </w:rPr>
        <w:t>Utskottets förslag i korthet</w:t>
      </w:r>
      <w:bookmarkEnd w:id="1005"/>
      <w:bookmarkEnd w:id="1006"/>
    </w:p>
    <w:p w:rsidR="001C7BF9" w:rsidRPr="00C9680B" w:rsidRDefault="001C7BF9">
      <w:pPr>
        <w:pStyle w:val="Utskottsfrslagikorthet-Text"/>
      </w:pPr>
      <w:r w:rsidRPr="00C9680B">
        <w:t>Riksdagen avslår motionsförslagen om en kväveoxidskatt, en skatt på fö</w:t>
      </w:r>
      <w:r w:rsidRPr="00C9680B">
        <w:t>r</w:t>
      </w:r>
      <w:r w:rsidRPr="00C9680B">
        <w:t>bränning av avfall och en miljöskatt på inrikes flygresor.</w:t>
      </w:r>
    </w:p>
    <w:p w:rsidR="001C7BF9" w:rsidRPr="00C9680B" w:rsidRDefault="001C7BF9">
      <w:pPr>
        <w:pStyle w:val="Utskottetsvervganden-kursivrubrik"/>
        <w:outlineLvl w:val="0"/>
        <w:rPr>
          <w:noProof w:val="0"/>
        </w:rPr>
      </w:pPr>
      <w:bookmarkStart w:id="1007" w:name="_Toc498838183"/>
      <w:r w:rsidRPr="00C9680B">
        <w:rPr>
          <w:noProof w:val="0"/>
        </w:rPr>
        <w:t>Motionen</w:t>
      </w:r>
      <w:bookmarkEnd w:id="1007"/>
    </w:p>
    <w:p w:rsidR="001C7BF9" w:rsidRPr="00C9680B" w:rsidRDefault="001C7BF9">
      <w:r w:rsidRPr="00C9680B">
        <w:rPr>
          <w:i/>
        </w:rPr>
        <w:t>Centerpartiet</w:t>
      </w:r>
      <w:r w:rsidRPr="00C9680B">
        <w:t xml:space="preserve"> lägger i motion Sk321 av Lennart Daléus m.fl. (c) fram förslag om höjning och införande av vissa miljöskatter. Motionärerna anför att kv</w:t>
      </w:r>
      <w:r w:rsidRPr="00C9680B">
        <w:t>ä</w:t>
      </w:r>
      <w:r w:rsidRPr="00C9680B">
        <w:t>veoxidutsläppen stadigt har ökat och att en kväveoxidskatt därför bör tas ut med 10 kr per kg NOx för pannor med en större effekt än 5 MW och med en nyttiggjord energiproduktion större än 20 GWh (yrkande 29). Vidare ko</w:t>
      </w:r>
      <w:r w:rsidRPr="00C9680B">
        <w:t>n</w:t>
      </w:r>
      <w:r w:rsidRPr="00C9680B">
        <w:softHyphen/>
        <w:t>staterar motionärerna att avfallsskatten har lett till att förbränningen av avfall ökar och de föreslår att en skatt på förbränning av avfall införs för a</w:t>
      </w:r>
      <w:r w:rsidRPr="00C9680B">
        <w:t>tt säke</w:t>
      </w:r>
      <w:r w:rsidRPr="00C9680B">
        <w:t>r</w:t>
      </w:r>
      <w:r w:rsidRPr="00C9680B">
        <w:softHyphen/>
        <w:t>ställa intentionen om minskade avfallsmängder (yrkande 30). Slutligen åter</w:t>
      </w:r>
      <w:r w:rsidRPr="00C9680B">
        <w:softHyphen/>
        <w:t>kommer motionärerna med ett förslag om att en miljöskatt på flyg bör införas med ett belopp per passagerare och resa, vilket innebär att de största flyg</w:t>
      </w:r>
      <w:r w:rsidRPr="00C9680B">
        <w:softHyphen/>
        <w:t>planen med flest resenärer får bära de största kostnaderna (yrkande 31).</w:t>
      </w:r>
    </w:p>
    <w:p w:rsidR="001C7BF9" w:rsidRPr="00C9680B" w:rsidRDefault="001C7BF9">
      <w:pPr>
        <w:pStyle w:val="Utskottetsvervganden-kursivrubrik"/>
        <w:outlineLvl w:val="0"/>
        <w:rPr>
          <w:noProof w:val="0"/>
        </w:rPr>
      </w:pPr>
      <w:bookmarkStart w:id="1008" w:name="_Toc497206548"/>
      <w:bookmarkStart w:id="1009" w:name="_Toc497720117"/>
      <w:bookmarkStart w:id="1010" w:name="_Toc498838184"/>
      <w:r w:rsidRPr="00C9680B">
        <w:rPr>
          <w:noProof w:val="0"/>
        </w:rPr>
        <w:t>Utskottets ställningstagande</w:t>
      </w:r>
      <w:bookmarkEnd w:id="1008"/>
      <w:bookmarkEnd w:id="1009"/>
      <w:bookmarkEnd w:id="1010"/>
    </w:p>
    <w:p w:rsidR="001C7BF9" w:rsidRPr="00C9680B" w:rsidRDefault="001C7BF9">
      <w:r w:rsidRPr="00C9680B">
        <w:t xml:space="preserve">Enligt utskottets mening utgör den kväveoxidavgift som i dag tas ut på större anläggningar ett exempel på ett väl fungerande ekonomiskt styrmedel inom miljöpolitiken och utskottet är inte berett att tillstyrka att det i stället läggs en skatt på dessa anläggningar. </w:t>
      </w:r>
    </w:p>
    <w:p w:rsidR="001C7BF9" w:rsidRPr="00C9680B" w:rsidRDefault="001C7BF9">
      <w:pPr>
        <w:pStyle w:val="Normaltindrag"/>
      </w:pPr>
      <w:r w:rsidRPr="00C9680B">
        <w:t>När det gäller den nyligen införda skatten på avfall har regeringen redan uppmärksammat den fråga som motionärerna tar upp. Regeringen anför i budgetpropositionen att den nyligen införda skatten på avfall endast har varit i kraft under en kort tid varför det ännu är för tidigt att bedöma vilka effekter den fått på avfallshanteringen. Det finns dock enligt vad regeringen anför anledning att uppmärksamma riskerna med en ökad förbränning av osorterat avfall. Det är därför angeläget att följa upp och utvärdera</w:t>
      </w:r>
      <w:r w:rsidRPr="00C9680B">
        <w:t xml:space="preserve"> hur systemet med avfallsbeskattning fungerar. En fråga som då kan aktualiseras är om en u</w:t>
      </w:r>
      <w:r w:rsidRPr="00C9680B">
        <w:t>t</w:t>
      </w:r>
      <w:r w:rsidRPr="00C9680B">
        <w:t>vidgning av skattebasen bör ske till att omfatta även förbränning av avfall. Utskottet anser att regeringens utvärdering av dessa frågor bör avvaktas.</w:t>
      </w:r>
    </w:p>
    <w:p w:rsidR="001C7BF9" w:rsidRPr="00C9680B" w:rsidRDefault="001C7BF9">
      <w:pPr>
        <w:pStyle w:val="Normaltindrag"/>
      </w:pPr>
      <w:r w:rsidRPr="00C9680B">
        <w:t>Sverige hade tidigare ett system med avgasskatt inom inrikes luftfart. Sy</w:t>
      </w:r>
      <w:r w:rsidRPr="00C9680B">
        <w:t>s</w:t>
      </w:r>
      <w:r w:rsidRPr="00C9680B">
        <w:t>temet avvecklades sedan EU funnit att det inte var förenligt med det s.k. mineraloljedirektivet. Avgasrelaterade landningsavgifter infördes den l janu</w:t>
      </w:r>
      <w:r w:rsidRPr="00C9680B">
        <w:t>a</w:t>
      </w:r>
      <w:r w:rsidRPr="00C9680B">
        <w:t>ri 1998. Systemet tillämpas för flygplan över 9 ton maximal startvikt samt vid flygplatser med fler än 300 000 passagerare eller mer än 30 000 ton frakt per år. Systemet bygger på en klassificering av flygplanens avgasutsläpp under landning och start. Uppgifter om avgasutsläpp hämtas från en särskild dat</w:t>
      </w:r>
      <w:r w:rsidRPr="00C9680B">
        <w:t>a</w:t>
      </w:r>
      <w:r w:rsidRPr="00C9680B">
        <w:t>bank som ICAO upprättat. Enligt utskottets mening är d</w:t>
      </w:r>
      <w:r w:rsidRPr="00C9680B">
        <w:t xml:space="preserve">et inte nu aktuellt att på nytt införa en miljöskatt på inrikesflyg. </w:t>
      </w:r>
    </w:p>
    <w:p w:rsidR="001C7BF9" w:rsidRPr="00C9680B" w:rsidRDefault="001C7BF9">
      <w:pPr>
        <w:pStyle w:val="Normaltindrag"/>
      </w:pPr>
      <w:r w:rsidRPr="00C9680B">
        <w:t>Med det anförda avstyrker utskottet de aktuella motionsyrkandena.</w:t>
      </w:r>
    </w:p>
    <w:p w:rsidR="001C7BF9" w:rsidRPr="00C9680B" w:rsidRDefault="001C7BF9">
      <w:pPr>
        <w:pStyle w:val="Utskottetsvervganden-RubrikFrslagspunkt"/>
        <w:outlineLvl w:val="0"/>
      </w:pPr>
      <w:bookmarkStart w:id="1011" w:name="_Toc498838185"/>
      <w:r w:rsidRPr="00C9680B">
        <w:t>Beskattning av drivmedel</w:t>
      </w:r>
      <w:bookmarkEnd w:id="1011"/>
    </w:p>
    <w:p w:rsidR="001C7BF9" w:rsidRPr="00C9680B" w:rsidRDefault="001C7BF9">
      <w:pPr>
        <w:pStyle w:val="Utskottsfrslagikorthet-Rubrik"/>
        <w:jc w:val="both"/>
        <w:outlineLvl w:val="0"/>
        <w:rPr>
          <w:noProof w:val="0"/>
        </w:rPr>
      </w:pPr>
      <w:bookmarkStart w:id="1012" w:name="_Toc497206550"/>
      <w:bookmarkStart w:id="1013" w:name="_Toc497720119"/>
      <w:r w:rsidRPr="00C9680B">
        <w:rPr>
          <w:noProof w:val="0"/>
        </w:rPr>
        <w:t>Utskottets förslag i korthet</w:t>
      </w:r>
      <w:bookmarkEnd w:id="1012"/>
      <w:bookmarkEnd w:id="1013"/>
    </w:p>
    <w:p w:rsidR="001C7BF9" w:rsidRPr="00C9680B" w:rsidRDefault="001C7BF9">
      <w:pPr>
        <w:pStyle w:val="Utskottsfrslagikorthet-Text"/>
      </w:pPr>
      <w:r w:rsidRPr="00C9680B">
        <w:t>Riksdagen bifaller regeringens förslag om en höjning av energi</w:t>
      </w:r>
      <w:r w:rsidRPr="00C9680B">
        <w:softHyphen/>
        <w:t>skatten på dieselolja med 117 kr per m</w:t>
      </w:r>
      <w:r w:rsidRPr="00C9680B">
        <w:rPr>
          <w:vertAlign w:val="superscript"/>
        </w:rPr>
        <w:t>3</w:t>
      </w:r>
      <w:r w:rsidRPr="00C9680B">
        <w:t>. Riksdagen avslår motions</w:t>
      </w:r>
      <w:r w:rsidRPr="00C9680B">
        <w:softHyphen/>
        <w:t>förslagen om sänkta drivmedelsskatter och om tillkänna</w:t>
      </w:r>
      <w:r w:rsidRPr="00C9680B">
        <w:softHyphen/>
        <w:t xml:space="preserve">givanden om betydelsen av låga drivmedelsskatter. </w:t>
      </w:r>
    </w:p>
    <w:p w:rsidR="001C7BF9" w:rsidRPr="00C9680B" w:rsidRDefault="001C7BF9">
      <w:pPr>
        <w:pStyle w:val="Utskottetsvervganden-kursivrubrik"/>
        <w:outlineLvl w:val="0"/>
        <w:rPr>
          <w:noProof w:val="0"/>
        </w:rPr>
      </w:pPr>
      <w:bookmarkStart w:id="1014" w:name="_Toc498838186"/>
      <w:r w:rsidRPr="00C9680B">
        <w:rPr>
          <w:noProof w:val="0"/>
        </w:rPr>
        <w:t>Budgetpropositionen</w:t>
      </w:r>
      <w:bookmarkEnd w:id="1014"/>
    </w:p>
    <w:p w:rsidR="001C7BF9" w:rsidRPr="00C9680B" w:rsidRDefault="001C7BF9">
      <w:r w:rsidRPr="00C9680B">
        <w:t>Regeringen föreslår att skatten på dieselolja höjs med 100 kr per m</w:t>
      </w:r>
      <w:r w:rsidRPr="00C9680B">
        <w:rPr>
          <w:vertAlign w:val="superscript"/>
        </w:rPr>
        <w:t>3</w:t>
      </w:r>
      <w:r w:rsidRPr="00C9680B">
        <w:t>. Till det kommer indexuppräkningen av skatten med 17 kr per m</w:t>
      </w:r>
      <w:r w:rsidRPr="00C9680B">
        <w:rPr>
          <w:vertAlign w:val="superscript"/>
        </w:rPr>
        <w:t>3</w:t>
      </w:r>
      <w:r w:rsidRPr="00C9680B">
        <w:t xml:space="preserve"> för miljöklass 1. Detta ger en samma</w:t>
      </w:r>
      <w:r w:rsidRPr="00C9680B">
        <w:t>n</w:t>
      </w:r>
      <w:r w:rsidRPr="00C9680B">
        <w:t>lagd höjning med 117 kr per m</w:t>
      </w:r>
      <w:r w:rsidRPr="00C9680B">
        <w:rPr>
          <w:vertAlign w:val="superscript"/>
        </w:rPr>
        <w:t>3</w:t>
      </w:r>
      <w:r w:rsidRPr="00C9680B">
        <w:t xml:space="preserve"> för miljöklass 1.</w:t>
      </w:r>
    </w:p>
    <w:p w:rsidR="001C7BF9" w:rsidRPr="00C9680B" w:rsidRDefault="001C7BF9">
      <w:pPr>
        <w:pStyle w:val="Normaltindrag"/>
      </w:pPr>
      <w:r w:rsidRPr="00C9680B">
        <w:t>Regeringen anför att dieselolja är lägre beskattad än bensin och att det från strikt miljösynpunkt inte finns skäl att ta ut lägre skatt för dieselolja. Natu</w:t>
      </w:r>
      <w:r w:rsidRPr="00C9680B">
        <w:t>r</w:t>
      </w:r>
      <w:r w:rsidRPr="00C9680B">
        <w:softHyphen/>
        <w:t>vårdsverket har i en rapport till regeringen (dnr M98/1689/7) visat att diese</w:t>
      </w:r>
      <w:r w:rsidRPr="00C9680B">
        <w:t>l</w:t>
      </w:r>
      <w:r w:rsidRPr="00C9680B">
        <w:softHyphen/>
        <w:t>personbilar i vissa avseenden är sämre för miljön än bensinbilar. Vidare a</w:t>
      </w:r>
      <w:r w:rsidRPr="00C9680B">
        <w:t>n</w:t>
      </w:r>
      <w:r w:rsidRPr="00C9680B">
        <w:t>förs att den lägre skattenivån för dieselolja jämfört med bensin har motive</w:t>
      </w:r>
      <w:r w:rsidRPr="00C9680B">
        <w:softHyphen/>
        <w:t>rats med hänsyn till den yrkesmässiga trafikens konkurrenssituation och att frågan om en framtida harmonisering av drivmedelsskatterna bör kunna tas upp i den utredning om en ökad miljörelatering av vägtrafikbeskattningen som aviseras.</w:t>
      </w:r>
    </w:p>
    <w:p w:rsidR="001C7BF9" w:rsidRPr="00C9680B" w:rsidRDefault="001C7BF9">
      <w:pPr>
        <w:pStyle w:val="Utskottetsvervganden-kursivrubrik"/>
        <w:outlineLvl w:val="0"/>
        <w:rPr>
          <w:noProof w:val="0"/>
        </w:rPr>
      </w:pPr>
      <w:bookmarkStart w:id="1015" w:name="_Toc498838187"/>
      <w:r w:rsidRPr="00C9680B">
        <w:rPr>
          <w:noProof w:val="0"/>
        </w:rPr>
        <w:t>Motionerna</w:t>
      </w:r>
      <w:bookmarkEnd w:id="1015"/>
    </w:p>
    <w:p w:rsidR="001C7BF9" w:rsidRPr="00C9680B" w:rsidRDefault="001C7BF9">
      <w:r w:rsidRPr="00C9680B">
        <w:rPr>
          <w:i/>
        </w:rPr>
        <w:t>Moderata samlingspartiet</w:t>
      </w:r>
      <w:r w:rsidRPr="00C9680B">
        <w:t xml:space="preserve"> yrkar att punktskatten på bensin och diesel i stället sänks med 56 öre per liter (70 öre inklusive mervärdesskatt). Motionärerna begär också tillkännagivanden till regeringen om betydelsen av sänkta dri</w:t>
      </w:r>
      <w:r w:rsidRPr="00C9680B">
        <w:t>v</w:t>
      </w:r>
      <w:r w:rsidRPr="00C9680B">
        <w:softHyphen/>
        <w:t>medelsskatter för boende i glesbygd, barnfamiljer, jordbruket och åkerin</w:t>
      </w:r>
      <w:r w:rsidRPr="00C9680B">
        <w:t>ä</w:t>
      </w:r>
      <w:r w:rsidRPr="00C9680B">
        <w:softHyphen/>
        <w:t>ringen. Motionärerna framhåller också att en höjning av dieselskatten kan leda till att transporter flyttas över till utländska åkerier som använder sämre bränsle. Yrkanden med denna inriktning framställs i motionerna N385 yrka</w:t>
      </w:r>
      <w:r w:rsidRPr="00C9680B">
        <w:t>n</w:t>
      </w:r>
      <w:r w:rsidRPr="00C9680B">
        <w:t xml:space="preserve">de 6 </w:t>
      </w:r>
      <w:r w:rsidRPr="00C9680B">
        <w:t>av Bo Lundgren m.fl. (m), Sk313 yrkande 24 av Carl Fredrik Graf m.fl. (m), Sk315 av Roy Hansson (m), Sk1028 yrkandena 11 och 12 av Carl Fre</w:t>
      </w:r>
      <w:r w:rsidRPr="00C9680B">
        <w:t>d</w:t>
      </w:r>
      <w:r w:rsidRPr="00C9680B">
        <w:t>rik Graf m.fl. (m), Sk301 av Rolf Gunnarsson (m), Sk302 av Rolf Gunnarsson (m), Sk304 av Stefan Hagfeldt (m), Sk305 av Catharina Elmsäter-Svärd och Margareta Cederfelt (m), Sk307 av Elizabeth Nyström och Anita Sidén (m), Sk311 yrkande 1 av Nils Fredrik Aurelius och Leif Carlson (m), Sk312 y</w:t>
      </w:r>
      <w:r w:rsidRPr="00C9680B">
        <w:t>r</w:t>
      </w:r>
      <w:r w:rsidRPr="00C9680B">
        <w:t>kandena 1 och 2 av Berit Adolfsson och Inger René (m), Sk317 av Jeppe Johnsson o</w:t>
      </w:r>
      <w:r w:rsidRPr="00C9680B">
        <w:t>ch Anders G Högmark (m), Sk320 yrkandena 1 och 2 av Olle Lindström och Anders Sjölund (m), Sk620 yrkande 4 av Ingvar Eriksson och Olle Lindström (m), Sk1025 yrkande 1 av Catharina Elmsäter-Svärd m.fl. (m) och Sk1029 yrkande 2 av Christel Anderberg (m).</w:t>
      </w:r>
    </w:p>
    <w:p w:rsidR="001C7BF9" w:rsidRPr="00C9680B" w:rsidRDefault="001C7BF9">
      <w:r w:rsidRPr="00C9680B">
        <w:rPr>
          <w:i/>
        </w:rPr>
        <w:t xml:space="preserve">Kristdemokraterna </w:t>
      </w:r>
      <w:r w:rsidRPr="00C9680B">
        <w:t>yrkar att regeringens förslag om en höjning av skatten på diesel avslås och föreslår att skatten på diesel i stället sänks med 25 öre per liter. Motionärerna anför att regeringen bör återkomma med en åtgärdsplan för att skapa lika vill</w:t>
      </w:r>
      <w:r w:rsidRPr="00C9680B">
        <w:softHyphen/>
        <w:t>kor mellan svensk och utländsk åkerinäring. Yrkanden med denna inriktning framställs i motionerna Sk323 yrkandena 31–33 av Alf Svensson m.fl. (kd) och T212 yrkande 8 av Johnny Gylling m.fl. (kd).</w:t>
      </w:r>
    </w:p>
    <w:p w:rsidR="001C7BF9" w:rsidRPr="00C9680B" w:rsidRDefault="001C7BF9">
      <w:r w:rsidRPr="00C9680B">
        <w:rPr>
          <w:i/>
        </w:rPr>
        <w:t>Centerpartiet</w:t>
      </w:r>
      <w:r w:rsidRPr="00C9680B">
        <w:t xml:space="preserve"> yrkar i motion Sk321 yrkande 22 av Lennart Daléus m.fl. (c) att regeringens förslag avslås.</w:t>
      </w:r>
    </w:p>
    <w:p w:rsidR="001C7BF9" w:rsidRPr="00C9680B" w:rsidRDefault="001C7BF9">
      <w:pPr>
        <w:pStyle w:val="Utskottetsvervganden-kursivrubrik"/>
        <w:outlineLvl w:val="0"/>
        <w:rPr>
          <w:noProof w:val="0"/>
        </w:rPr>
      </w:pPr>
      <w:bookmarkStart w:id="1016" w:name="_Toc497206553"/>
      <w:bookmarkStart w:id="1017" w:name="_Toc497720122"/>
      <w:bookmarkStart w:id="1018" w:name="_Toc498838188"/>
      <w:r w:rsidRPr="00C9680B">
        <w:rPr>
          <w:noProof w:val="0"/>
        </w:rPr>
        <w:t>Utskottets ställningstagande</w:t>
      </w:r>
      <w:bookmarkEnd w:id="1016"/>
      <w:bookmarkEnd w:id="1017"/>
      <w:bookmarkEnd w:id="1018"/>
    </w:p>
    <w:p w:rsidR="001C7BF9" w:rsidRPr="00C9680B" w:rsidRDefault="001C7BF9">
      <w:r w:rsidRPr="00C9680B">
        <w:t>Utskottet delar regeringens uppfattning att det inte finns något skäl att ta ut lägre skatt på dieselolja än på bensin och tillstyrker därför det förslag om en mindre höjning av dieselskatten som regeringen lägger fram. Härigenom tas ytterligare ett steg i den gröna skatteväxling som nu genomförs.</w:t>
      </w:r>
    </w:p>
    <w:p w:rsidR="001C7BF9" w:rsidRPr="00C9680B" w:rsidRDefault="001C7BF9">
      <w:pPr>
        <w:pStyle w:val="Normaltindrag"/>
      </w:pPr>
      <w:r w:rsidRPr="00C9680B">
        <w:t>Som ett led i den fortsatta skatteväxlingen kommer en utredning att tillsä</w:t>
      </w:r>
      <w:r w:rsidRPr="00C9680B">
        <w:t>t</w:t>
      </w:r>
      <w:r w:rsidRPr="00C9680B">
        <w:softHyphen/>
        <w:t>tas med uppgift att öka miljörelatering av vägtrafikbeskattningen. Härvid kommer bl.a. dieselskatten för privatbilism och yrkesmässig trafik att ses över. Avsikten är att genomföra en analys av de sammantagna effekterna av alla vägtrafikrelaterade skatter, dvs. hänsyn skall också tas till verkningarna av fordonsskatter m.m. Målsättningen är att öka trafikbeskattningens samlade miljöstyrning och att vägtrafiken därmed skall betala sina samhällsekono</w:t>
      </w:r>
      <w:r w:rsidRPr="00C9680B">
        <w:softHyphen/>
        <w:t>mi</w:t>
      </w:r>
      <w:r w:rsidRPr="00C9680B">
        <w:t>s</w:t>
      </w:r>
      <w:r w:rsidRPr="00C9680B">
        <w:t>ka kostnader. I utredningen skall också frågan om en f</w:t>
      </w:r>
      <w:r w:rsidRPr="00C9680B">
        <w:t>ramtida harmonise</w:t>
      </w:r>
      <w:r w:rsidRPr="00C9680B">
        <w:softHyphen/>
        <w:t>ring av drivmedelsskatterna tas upp och härvid skall förhållandena i våra gran</w:t>
      </w:r>
      <w:r w:rsidRPr="00C9680B">
        <w:t>n</w:t>
      </w:r>
      <w:r w:rsidRPr="00C9680B">
        <w:t>länder beaktas.</w:t>
      </w:r>
    </w:p>
    <w:p w:rsidR="001C7BF9" w:rsidRPr="00C9680B" w:rsidRDefault="001C7BF9">
      <w:pPr>
        <w:pStyle w:val="Normaltindrag"/>
      </w:pPr>
      <w:r w:rsidRPr="00C9680B">
        <w:t>Enligt utskottets mening är avsikten att den utredning som aviseras av r</w:t>
      </w:r>
      <w:r w:rsidRPr="00C9680B">
        <w:t>e</w:t>
      </w:r>
      <w:r w:rsidRPr="00C9680B">
        <w:t>geringen skall ligga till grund för de fortsatta förändringarna på detta område. Det finns mot denna bakgrund inte någon anledning till ett tillkänna</w:t>
      </w:r>
      <w:r w:rsidRPr="00C9680B">
        <w:softHyphen/>
        <w:t xml:space="preserve">givande till regeringen om behovet av sänkta drivmedelsskatter på olika områden. </w:t>
      </w:r>
    </w:p>
    <w:p w:rsidR="001C7BF9" w:rsidRPr="00C9680B" w:rsidRDefault="001C7BF9">
      <w:pPr>
        <w:pStyle w:val="Normaltindrag"/>
      </w:pPr>
      <w:r w:rsidRPr="00C9680B">
        <w:t>Med det anförda tillstyrker utskottet propositionen i denna del. Utskottet avstyrker de aktuella motionerna.</w:t>
      </w:r>
    </w:p>
    <w:p w:rsidR="001C7BF9" w:rsidRPr="00C9680B" w:rsidRDefault="001C7BF9">
      <w:pPr>
        <w:pStyle w:val="Utskottetsvervganden-RubrikFrslagspunkt"/>
        <w:outlineLvl w:val="0"/>
      </w:pPr>
      <w:bookmarkStart w:id="1019" w:name="_Toc498838189"/>
      <w:r w:rsidRPr="00C9680B">
        <w:t>Indexering av energi- och koldioxidskatt</w:t>
      </w:r>
      <w:bookmarkEnd w:id="1019"/>
    </w:p>
    <w:p w:rsidR="001C7BF9" w:rsidRPr="00C9680B" w:rsidRDefault="001C7BF9">
      <w:pPr>
        <w:pStyle w:val="Utskottsfrslagikorthet-Rubrik"/>
        <w:jc w:val="both"/>
        <w:outlineLvl w:val="0"/>
        <w:rPr>
          <w:noProof w:val="0"/>
        </w:rPr>
      </w:pPr>
      <w:bookmarkStart w:id="1020" w:name="_Toc497206555"/>
      <w:bookmarkStart w:id="1021" w:name="_Toc497720124"/>
      <w:r w:rsidRPr="00C9680B">
        <w:rPr>
          <w:noProof w:val="0"/>
        </w:rPr>
        <w:t>Utskottets förslag i korthet</w:t>
      </w:r>
      <w:bookmarkEnd w:id="1020"/>
      <w:bookmarkEnd w:id="1021"/>
    </w:p>
    <w:p w:rsidR="001C7BF9" w:rsidRPr="00C9680B" w:rsidRDefault="001C7BF9">
      <w:pPr>
        <w:pStyle w:val="Utskottsfrslagikorthet-Text"/>
      </w:pPr>
      <w:r w:rsidRPr="00C9680B">
        <w:t>Riksdagen bifaller regeringens förslag om ändring av basmånaden för indexering av energi- och koldioxidskattesatserna från oktober till juni.</w:t>
      </w:r>
    </w:p>
    <w:p w:rsidR="001C7BF9" w:rsidRPr="00C9680B" w:rsidRDefault="001C7BF9">
      <w:pPr>
        <w:pStyle w:val="Utskottetsvervganden-kursivrubrik"/>
        <w:outlineLvl w:val="0"/>
        <w:rPr>
          <w:noProof w:val="0"/>
        </w:rPr>
      </w:pPr>
      <w:bookmarkStart w:id="1022" w:name="_Toc498838190"/>
      <w:r w:rsidRPr="00C9680B">
        <w:rPr>
          <w:noProof w:val="0"/>
        </w:rPr>
        <w:t>Budgetpropositionen</w:t>
      </w:r>
      <w:bookmarkEnd w:id="1022"/>
    </w:p>
    <w:p w:rsidR="001C7BF9" w:rsidRPr="00C9680B" w:rsidRDefault="001C7BF9">
      <w:r w:rsidRPr="00C9680B">
        <w:t>Regeringen föreslår att den basmånad som används vid den årliga omräk</w:t>
      </w:r>
      <w:r w:rsidRPr="00C9680B">
        <w:softHyphen/>
        <w:t>ningen av energi- och koldioxidskattesatserna än</w:t>
      </w:r>
      <w:r w:rsidRPr="00C9680B">
        <w:t>d</w:t>
      </w:r>
      <w:r w:rsidRPr="00C9680B">
        <w:t>ras från oktober till juni.</w:t>
      </w:r>
    </w:p>
    <w:p w:rsidR="001C7BF9" w:rsidRPr="00C9680B" w:rsidRDefault="001C7BF9">
      <w:pPr>
        <w:pStyle w:val="Utskottetsvervganden-kursivrubrik"/>
        <w:outlineLvl w:val="0"/>
        <w:rPr>
          <w:noProof w:val="0"/>
        </w:rPr>
      </w:pPr>
      <w:bookmarkStart w:id="1023" w:name="_Toc497206557"/>
      <w:bookmarkStart w:id="1024" w:name="_Toc497720126"/>
      <w:bookmarkStart w:id="1025" w:name="_Toc498838191"/>
      <w:r w:rsidRPr="00C9680B">
        <w:rPr>
          <w:noProof w:val="0"/>
        </w:rPr>
        <w:t>Utskottets ställningstagande</w:t>
      </w:r>
      <w:bookmarkEnd w:id="1023"/>
      <w:bookmarkEnd w:id="1024"/>
      <w:bookmarkEnd w:id="1025"/>
    </w:p>
    <w:p w:rsidR="001C7BF9" w:rsidRPr="00C9680B" w:rsidRDefault="001C7BF9">
      <w:r w:rsidRPr="00C9680B">
        <w:t>Utskottet har inte funnit någon anledning till erinran mot detta förslag och tillsty</w:t>
      </w:r>
      <w:r w:rsidRPr="00C9680B">
        <w:t>r</w:t>
      </w:r>
      <w:r w:rsidRPr="00C9680B">
        <w:t>ker att det genomförs.</w:t>
      </w:r>
    </w:p>
    <w:p w:rsidR="001C7BF9" w:rsidRPr="00C9680B" w:rsidRDefault="001C7BF9">
      <w:pPr>
        <w:pStyle w:val="Utskottetsvervganden-RubrikFrslagspunkt"/>
        <w:outlineLvl w:val="0"/>
      </w:pPr>
      <w:bookmarkStart w:id="1026" w:name="_Toc498838192"/>
      <w:r w:rsidRPr="00C9680B">
        <w:t>Kalk- och cementindustrin</w:t>
      </w:r>
      <w:bookmarkEnd w:id="1026"/>
    </w:p>
    <w:p w:rsidR="001C7BF9" w:rsidRPr="00C9680B" w:rsidRDefault="001C7BF9">
      <w:pPr>
        <w:pStyle w:val="Utskottsfrslagikorthet-Rubrik"/>
        <w:jc w:val="both"/>
        <w:outlineLvl w:val="0"/>
        <w:rPr>
          <w:noProof w:val="0"/>
        </w:rPr>
      </w:pPr>
      <w:bookmarkStart w:id="1027" w:name="_Toc497206559"/>
      <w:bookmarkStart w:id="1028" w:name="_Toc497720128"/>
      <w:r w:rsidRPr="00C9680B">
        <w:rPr>
          <w:noProof w:val="0"/>
        </w:rPr>
        <w:t>Utskottets förslag i korthet</w:t>
      </w:r>
      <w:bookmarkEnd w:id="1027"/>
      <w:bookmarkEnd w:id="1028"/>
    </w:p>
    <w:p w:rsidR="001C7BF9" w:rsidRPr="00C9680B" w:rsidRDefault="001C7BF9">
      <w:pPr>
        <w:pStyle w:val="Utskottsfrslagikorthet-Text"/>
      </w:pPr>
      <w:r w:rsidRPr="00C9680B">
        <w:t>Riksdagen bifaller regeringens förslag om en tvåårig förlängning av kalk- och cementbranschernas begränsning</w:t>
      </w:r>
      <w:r w:rsidRPr="00C9680B">
        <w:t>s</w:t>
      </w:r>
      <w:r w:rsidRPr="00C9680B">
        <w:t>regel.</w:t>
      </w:r>
    </w:p>
    <w:p w:rsidR="001C7BF9" w:rsidRPr="00C9680B" w:rsidRDefault="001C7BF9">
      <w:pPr>
        <w:pStyle w:val="Utskottetsvervganden-kursivrubrik"/>
        <w:outlineLvl w:val="0"/>
        <w:rPr>
          <w:noProof w:val="0"/>
        </w:rPr>
      </w:pPr>
      <w:bookmarkStart w:id="1029" w:name="_Toc498838193"/>
      <w:r w:rsidRPr="00C9680B">
        <w:rPr>
          <w:noProof w:val="0"/>
        </w:rPr>
        <w:t>Budgetpropositionen</w:t>
      </w:r>
      <w:bookmarkEnd w:id="1029"/>
    </w:p>
    <w:p w:rsidR="001C7BF9" w:rsidRPr="00C9680B" w:rsidRDefault="001C7BF9">
      <w:r w:rsidRPr="00C9680B">
        <w:t>Regeringen föreslår att den övergångsvis gällande begränsningsregeln avs</w:t>
      </w:r>
      <w:r w:rsidRPr="00C9680B">
        <w:t>e</w:t>
      </w:r>
      <w:r w:rsidRPr="00C9680B">
        <w:softHyphen/>
        <w:t>ende kalk- och cementbranscherna m.m. (1,2-procentsregeln) förlängs ytterl</w:t>
      </w:r>
      <w:r w:rsidRPr="00C9680B">
        <w:t>i</w:t>
      </w:r>
      <w:r w:rsidRPr="00C9680B">
        <w:softHyphen/>
        <w:t>g</w:t>
      </w:r>
      <w:r w:rsidRPr="00C9680B">
        <w:t>a</w:t>
      </w:r>
      <w:r w:rsidRPr="00C9680B">
        <w:t>re två år.</w:t>
      </w:r>
    </w:p>
    <w:p w:rsidR="001C7BF9" w:rsidRPr="00C9680B" w:rsidRDefault="001C7BF9">
      <w:pPr>
        <w:pStyle w:val="Normaltindrag"/>
      </w:pPr>
      <w:r w:rsidRPr="00C9680B">
        <w:t>Regeringen anför att det är viktigt att energi- och koldioxid</w:t>
      </w:r>
      <w:r w:rsidRPr="00C9680B">
        <w:softHyphen/>
        <w:t>beskattningen har en utformning som ger goda förutsättningar för den svenska industrin att konkurrera internationellt. Så länge samtliga fossilbränslen inte beskattas i konkurrentländerna kan skattelättnader komma att behövas. Regeringen fi</w:t>
      </w:r>
      <w:r w:rsidRPr="00C9680B">
        <w:t>n</w:t>
      </w:r>
      <w:r w:rsidRPr="00C9680B">
        <w:t>ner därför skäl att föreslå att 1,2-procentsregeln förlängs ytterligare två år.</w:t>
      </w:r>
    </w:p>
    <w:p w:rsidR="001C7BF9" w:rsidRPr="00C9680B" w:rsidRDefault="001C7BF9">
      <w:pPr>
        <w:pStyle w:val="Utskottetsvervganden-kursivrubrik"/>
        <w:outlineLvl w:val="0"/>
        <w:rPr>
          <w:noProof w:val="0"/>
        </w:rPr>
      </w:pPr>
      <w:bookmarkStart w:id="1030" w:name="_Toc497206561"/>
      <w:bookmarkStart w:id="1031" w:name="_Toc497720130"/>
      <w:bookmarkStart w:id="1032" w:name="_Toc498838194"/>
      <w:r w:rsidRPr="00C9680B">
        <w:rPr>
          <w:noProof w:val="0"/>
        </w:rPr>
        <w:t>Utskottets ställningstagande</w:t>
      </w:r>
      <w:bookmarkEnd w:id="1030"/>
      <w:bookmarkEnd w:id="1031"/>
      <w:bookmarkEnd w:id="1032"/>
    </w:p>
    <w:p w:rsidR="001C7BF9" w:rsidRPr="00C9680B" w:rsidRDefault="001C7BF9">
      <w:r w:rsidRPr="00C9680B">
        <w:t>Utskottet har inte funnit någon anledning till erinran mot detta förslag och tillsty</w:t>
      </w:r>
      <w:r w:rsidRPr="00C9680B">
        <w:t>r</w:t>
      </w:r>
      <w:r w:rsidRPr="00C9680B">
        <w:t>ker att det genomförs.</w:t>
      </w:r>
    </w:p>
    <w:p w:rsidR="001C7BF9" w:rsidRPr="00C9680B" w:rsidRDefault="001C7BF9">
      <w:pPr>
        <w:pStyle w:val="Utskottetsvervganden-RubrikFrslagspunkt"/>
        <w:outlineLvl w:val="0"/>
      </w:pPr>
      <w:bookmarkStart w:id="1033" w:name="_Toc498838195"/>
      <w:r w:rsidRPr="00C9680B">
        <w:t>Skatt på kärnkraftsel</w:t>
      </w:r>
      <w:bookmarkEnd w:id="1033"/>
    </w:p>
    <w:p w:rsidR="001C7BF9" w:rsidRPr="00C9680B" w:rsidRDefault="001C7BF9">
      <w:pPr>
        <w:pStyle w:val="Utskottsfrslagikorthet-Rubrik"/>
        <w:jc w:val="both"/>
        <w:outlineLvl w:val="0"/>
        <w:rPr>
          <w:noProof w:val="0"/>
        </w:rPr>
      </w:pPr>
      <w:bookmarkStart w:id="1034" w:name="_Toc497206563"/>
      <w:bookmarkStart w:id="1035" w:name="_Toc497720132"/>
      <w:r w:rsidRPr="00C9680B">
        <w:rPr>
          <w:noProof w:val="0"/>
        </w:rPr>
        <w:t>Utskottets förslag i korthet</w:t>
      </w:r>
      <w:bookmarkEnd w:id="1034"/>
      <w:bookmarkEnd w:id="1035"/>
    </w:p>
    <w:p w:rsidR="001C7BF9" w:rsidRPr="00C9680B" w:rsidRDefault="001C7BF9">
      <w:pPr>
        <w:pStyle w:val="Utskottsfrslagikorthet-Text"/>
      </w:pPr>
      <w:r w:rsidRPr="00C9680B">
        <w:t>Riksdagen avslår motionsförslagen om sänkt skatt på kärnkraftsel.</w:t>
      </w:r>
    </w:p>
    <w:p w:rsidR="001C7BF9" w:rsidRPr="00C9680B" w:rsidRDefault="001C7BF9">
      <w:pPr>
        <w:pStyle w:val="Utskottetsvervganden-kursivrubrik"/>
        <w:outlineLvl w:val="0"/>
        <w:rPr>
          <w:noProof w:val="0"/>
        </w:rPr>
      </w:pPr>
      <w:bookmarkStart w:id="1036" w:name="_Toc498838196"/>
      <w:r w:rsidRPr="00C9680B">
        <w:rPr>
          <w:noProof w:val="0"/>
        </w:rPr>
        <w:t>Bakgrund</w:t>
      </w:r>
      <w:bookmarkEnd w:id="1036"/>
    </w:p>
    <w:p w:rsidR="001C7BF9" w:rsidRPr="00C9680B" w:rsidRDefault="001C7BF9">
      <w:r w:rsidRPr="00C9680B">
        <w:t>Skatt på termisk effekt i kärnkraftverk tas ut månadsvis med 5 514 kr per megawatt – motsvarande ca 181 kr per megawatt och dygn – av kärnkrafts</w:t>
      </w:r>
      <w:r w:rsidRPr="00C9680B">
        <w:softHyphen/>
        <w:t>reaktorns högsta tillåtna termiska effekt. Om en reaktor har varit ur drift u</w:t>
      </w:r>
      <w:r w:rsidRPr="00C9680B">
        <w:t>n</w:t>
      </w:r>
      <w:r w:rsidRPr="00C9680B">
        <w:t>der en sammanhängande period av mer än 90 kalenderdygn, får för varje dygn utöver de 90 första göras avdrag med 181 kr per megawatt av den ter</w:t>
      </w:r>
      <w:r w:rsidRPr="00C9680B">
        <w:softHyphen/>
        <w:t>miska effekten. Skatten ersatte den 1 juli 2000 en tidigare skatt på energi som pr</w:t>
      </w:r>
      <w:r w:rsidRPr="00C9680B">
        <w:t>o</w:t>
      </w:r>
      <w:r w:rsidRPr="00C9680B">
        <w:t xml:space="preserve">ducerats i kärnkraftverk. </w:t>
      </w:r>
    </w:p>
    <w:p w:rsidR="001C7BF9" w:rsidRPr="00C9680B" w:rsidRDefault="001C7BF9">
      <w:pPr>
        <w:pStyle w:val="Utskottetsvervganden-kursivrubrik"/>
        <w:outlineLvl w:val="0"/>
        <w:rPr>
          <w:noProof w:val="0"/>
        </w:rPr>
      </w:pPr>
      <w:bookmarkStart w:id="1037" w:name="_Toc498838197"/>
      <w:r w:rsidRPr="00C9680B">
        <w:rPr>
          <w:noProof w:val="0"/>
        </w:rPr>
        <w:t>Motionerna</w:t>
      </w:r>
      <w:bookmarkEnd w:id="1037"/>
    </w:p>
    <w:p w:rsidR="001C7BF9" w:rsidRPr="00C9680B" w:rsidRDefault="001C7BF9">
      <w:r w:rsidRPr="00C9680B">
        <w:rPr>
          <w:i/>
        </w:rPr>
        <w:t>Moderata samlingspartiet</w:t>
      </w:r>
      <w:r w:rsidRPr="00C9680B">
        <w:t xml:space="preserve"> föreslår att skatten på termisk effekt i kärnkraftverk omvandlas till en skatt på producerad energi och sänks med 0,5 öre per kWh till 2,2 öre per kWh. Yrkanden med denna inriktning framställs i motionerna Sk313 yrkandena 28 och 29 och Sk1028 yrkandena 5 och 6 av Carl Fredrik Graf m.fl. (m) samt Sk309 av Elizabeth Nyström och Kent Olsson (m).</w:t>
      </w:r>
    </w:p>
    <w:p w:rsidR="001C7BF9" w:rsidRPr="00C9680B" w:rsidRDefault="001C7BF9">
      <w:pPr>
        <w:pStyle w:val="Utskottetsvervganden-kursivrubrik"/>
        <w:outlineLvl w:val="0"/>
        <w:rPr>
          <w:noProof w:val="0"/>
        </w:rPr>
      </w:pPr>
      <w:bookmarkStart w:id="1038" w:name="_Toc497206566"/>
      <w:bookmarkStart w:id="1039" w:name="_Toc497720135"/>
      <w:bookmarkStart w:id="1040" w:name="_Toc498838198"/>
      <w:r w:rsidRPr="00C9680B">
        <w:rPr>
          <w:noProof w:val="0"/>
        </w:rPr>
        <w:t>Utskottets ställningstagande</w:t>
      </w:r>
      <w:bookmarkEnd w:id="1038"/>
      <w:bookmarkEnd w:id="1039"/>
      <w:bookmarkEnd w:id="1040"/>
    </w:p>
    <w:p w:rsidR="001C7BF9" w:rsidRPr="00C9680B" w:rsidRDefault="001C7BF9">
      <w:r w:rsidRPr="00C9680B">
        <w:t>Utskottet har under våren 2000 medverkat till att beskattningen av kär</w:t>
      </w:r>
      <w:r w:rsidRPr="00C9680B">
        <w:t>n</w:t>
      </w:r>
      <w:r w:rsidRPr="00C9680B">
        <w:softHyphen/>
        <w:t>kraftsproducerad el lades om till en skatt på installerad termisk effekt. Anle</w:t>
      </w:r>
      <w:r w:rsidRPr="00C9680B">
        <w:t>d</w:t>
      </w:r>
      <w:r w:rsidRPr="00C9680B">
        <w:softHyphen/>
        <w:t>ningen till omläggningen var att den tidigare produktionsskatten kunde ge upphov till snedvridningar inom elproduktionssystemet. Utskottet är inte berett att nu tillstyrka en återgång till den tidigare beskattningstekniken och avstyrker därför m</w:t>
      </w:r>
      <w:r w:rsidRPr="00C9680B">
        <w:t>o</w:t>
      </w:r>
      <w:r w:rsidRPr="00C9680B">
        <w:t>tionsyrkandena.</w:t>
      </w:r>
    </w:p>
    <w:p w:rsidR="001C7BF9" w:rsidRPr="00C9680B" w:rsidRDefault="001C7BF9">
      <w:pPr>
        <w:pStyle w:val="Utskottetsvervganden-RubrikFrslagspunkt"/>
        <w:outlineLvl w:val="0"/>
      </w:pPr>
      <w:bookmarkStart w:id="1041" w:name="_Toc498838199"/>
      <w:r w:rsidRPr="00C9680B">
        <w:t>Jordbrukets beskattning</w:t>
      </w:r>
      <w:bookmarkEnd w:id="1041"/>
    </w:p>
    <w:p w:rsidR="001C7BF9" w:rsidRPr="00C9680B" w:rsidRDefault="001C7BF9">
      <w:pPr>
        <w:pStyle w:val="Utskottsfrslagikorthet-Rubrik"/>
        <w:jc w:val="both"/>
        <w:outlineLvl w:val="0"/>
        <w:rPr>
          <w:noProof w:val="0"/>
        </w:rPr>
      </w:pPr>
      <w:bookmarkStart w:id="1042" w:name="_Toc497206568"/>
      <w:bookmarkStart w:id="1043" w:name="_Toc497720137"/>
      <w:r w:rsidRPr="00C9680B">
        <w:rPr>
          <w:noProof w:val="0"/>
        </w:rPr>
        <w:t>Utskottets förslag i korthet</w:t>
      </w:r>
      <w:bookmarkEnd w:id="1042"/>
      <w:bookmarkEnd w:id="1043"/>
    </w:p>
    <w:p w:rsidR="001C7BF9" w:rsidRPr="00C9680B" w:rsidRDefault="001C7BF9">
      <w:pPr>
        <w:pStyle w:val="Utskottsfrslagikorthet-Text"/>
      </w:pPr>
      <w:r w:rsidRPr="00C9680B">
        <w:t>Riksdagen avslår motionsförslagen om sänkt skatt på diesel i jord</w:t>
      </w:r>
      <w:r w:rsidRPr="00C9680B">
        <w:softHyphen/>
        <w:t>bruks-, skogsbruks- och arbetsmaskiner och om sänkt skatt på ha</w:t>
      </w:r>
      <w:r w:rsidRPr="00C9680B">
        <w:t>n</w:t>
      </w:r>
      <w:r w:rsidRPr="00C9680B">
        <w:t>delsgö</w:t>
      </w:r>
      <w:r w:rsidRPr="00C9680B">
        <w:t>d</w:t>
      </w:r>
      <w:r w:rsidRPr="00C9680B">
        <w:t xml:space="preserve">selns kväveinnehåll. </w:t>
      </w:r>
    </w:p>
    <w:p w:rsidR="001C7BF9" w:rsidRPr="00C9680B" w:rsidRDefault="001C7BF9">
      <w:pPr>
        <w:pStyle w:val="Utskottetsvervganden-kursivrubrik"/>
        <w:outlineLvl w:val="0"/>
        <w:rPr>
          <w:noProof w:val="0"/>
        </w:rPr>
      </w:pPr>
      <w:bookmarkStart w:id="1044" w:name="_Toc498838200"/>
      <w:r w:rsidRPr="00C9680B">
        <w:rPr>
          <w:noProof w:val="0"/>
        </w:rPr>
        <w:t>Motionerna</w:t>
      </w:r>
      <w:bookmarkEnd w:id="1044"/>
    </w:p>
    <w:p w:rsidR="001C7BF9" w:rsidRPr="00C9680B" w:rsidRDefault="001C7BF9">
      <w:r w:rsidRPr="00C9680B">
        <w:rPr>
          <w:i/>
        </w:rPr>
        <w:t>Moderata samlingspartiet</w:t>
      </w:r>
      <w:r w:rsidRPr="00C9680B">
        <w:t xml:space="preserve"> föreslår att skatten på diesel i jordbruks-, skog</w:t>
      </w:r>
      <w:r w:rsidRPr="00C9680B">
        <w:t>s</w:t>
      </w:r>
      <w:r w:rsidRPr="00C9680B">
        <w:softHyphen/>
        <w:t>bruks- och arbetsmaskiner sänks till 53 öre per liter och att skatten på ha</w:t>
      </w:r>
      <w:r w:rsidRPr="00C9680B">
        <w:t>n</w:t>
      </w:r>
      <w:r w:rsidRPr="00C9680B">
        <w:t>delsgödselns kväveinnehåll avskaffas. Yrkanden med denna inriktning fra</w:t>
      </w:r>
      <w:r w:rsidRPr="00C9680B">
        <w:t>m</w:t>
      </w:r>
      <w:r w:rsidRPr="00C9680B">
        <w:t>ställs i motionerna N385 yrkandena 10 och 11 av Bo Lundgren m.fl. (m), Sk313 yrkandena 27 och 30 av Carl Fredrik Graf m.fl. (m), Sk1028 yrkan</w:t>
      </w:r>
      <w:r w:rsidRPr="00C9680B">
        <w:softHyphen/>
        <w:t>dena 9 och 10 av Carl Fredrik Graf m.fl. (m), MJ244 yrkande 5 av Ingvar Eriksson m.fl. (m), MJ256 yrkande 4 av Ingvar Eriksson m.fl. (m) och Sk320 yrkande 3 av Olle Linds</w:t>
      </w:r>
      <w:r w:rsidRPr="00C9680B">
        <w:t>tröm och Anders Sjölund (m).</w:t>
      </w:r>
    </w:p>
    <w:p w:rsidR="001C7BF9" w:rsidRPr="00C9680B" w:rsidRDefault="001C7BF9">
      <w:r w:rsidRPr="00C9680B">
        <w:rPr>
          <w:i/>
        </w:rPr>
        <w:t>Kristdemokraterna</w:t>
      </w:r>
      <w:r w:rsidRPr="00C9680B">
        <w:t xml:space="preserve"> föreslår att dieselskatten sänks till 53 öre per liter för jordbruket, att skatten på kväve i handelsgödsel återförs till näringen och att även mindre jordbruk befrias från elskatt. Yrkandena framställs i motion Sk323 yrkandena 26–29 av Alf Sven</w:t>
      </w:r>
      <w:r w:rsidRPr="00C9680B">
        <w:t>s</w:t>
      </w:r>
      <w:r w:rsidRPr="00C9680B">
        <w:t xml:space="preserve">son m.fl. (kd). </w:t>
      </w:r>
    </w:p>
    <w:p w:rsidR="001C7BF9" w:rsidRPr="00C9680B" w:rsidRDefault="001C7BF9">
      <w:r w:rsidRPr="00C9680B">
        <w:rPr>
          <w:i/>
        </w:rPr>
        <w:t>Centerpartiet</w:t>
      </w:r>
      <w:r w:rsidRPr="00C9680B">
        <w:t xml:space="preserve"> föreslår i motion Sk321 yrkande 21 av Lennart Daléus m.fl. (c) att jordbrukets vägtrafik</w:t>
      </w:r>
      <w:r w:rsidRPr="00C9680B">
        <w:softHyphen/>
        <w:t>avgifter och handelsgödselavgifter restitueras.</w:t>
      </w:r>
    </w:p>
    <w:p w:rsidR="001C7BF9" w:rsidRPr="00C9680B" w:rsidRDefault="001C7BF9">
      <w:pPr>
        <w:pStyle w:val="Utskottetsvervganden-kursivrubrik"/>
        <w:outlineLvl w:val="0"/>
        <w:rPr>
          <w:noProof w:val="0"/>
        </w:rPr>
      </w:pPr>
      <w:bookmarkStart w:id="1045" w:name="_Toc497206570"/>
      <w:bookmarkStart w:id="1046" w:name="_Toc497720139"/>
      <w:bookmarkStart w:id="1047" w:name="_Toc498838201"/>
      <w:r w:rsidRPr="00C9680B">
        <w:rPr>
          <w:noProof w:val="0"/>
        </w:rPr>
        <w:t>Utskottets ställningstagande</w:t>
      </w:r>
      <w:bookmarkEnd w:id="1045"/>
      <w:bookmarkEnd w:id="1046"/>
      <w:bookmarkEnd w:id="1047"/>
    </w:p>
    <w:p w:rsidR="001C7BF9" w:rsidRPr="00C9680B" w:rsidRDefault="001C7BF9">
      <w:r w:rsidRPr="00C9680B">
        <w:t>Utskottet har vid ett antal tillfällen avstyrkt förslag om att arbetsfordon och liknande skall undantas från kravet på användning av den miljöklassade di</w:t>
      </w:r>
      <w:r w:rsidRPr="00C9680B">
        <w:t>e</w:t>
      </w:r>
      <w:r w:rsidRPr="00C9680B">
        <w:t>seln. De ökade miljökraven på motordrivna fordon gör enligt utskottets m</w:t>
      </w:r>
      <w:r w:rsidRPr="00C9680B">
        <w:t>e</w:t>
      </w:r>
      <w:r w:rsidRPr="00C9680B">
        <w:t>ning att det blir allt viktigare att inte vissa kategorier lämnas utanför. Arbet</w:t>
      </w:r>
      <w:r w:rsidRPr="00C9680B">
        <w:t>s</w:t>
      </w:r>
      <w:r w:rsidRPr="00C9680B">
        <w:t>fordonen hade tidigare av olika skäl inte kommit att omfattas av kravet på användning av miljöklassat drivmedel, och tillfälliga lösningar måste tillgr</w:t>
      </w:r>
      <w:r w:rsidRPr="00C9680B">
        <w:t>i</w:t>
      </w:r>
      <w:r w:rsidRPr="00C9680B">
        <w:t>pas för att komma till rätta med detta förhållande. Beslutet att även arbetsfo</w:t>
      </w:r>
      <w:r w:rsidRPr="00C9680B">
        <w:t>r</w:t>
      </w:r>
      <w:r w:rsidRPr="00C9680B">
        <w:t>don skall omfattas av kravet på användning av högbeskattad miljö</w:t>
      </w:r>
      <w:r w:rsidRPr="00C9680B">
        <w:softHyphen/>
        <w:t>klassad dieselolja löste dessa problem (prop. 1994/95:203, be</w:t>
      </w:r>
      <w:r w:rsidRPr="00C9680B">
        <w:t xml:space="preserve">t. 1994/95:SkU28). </w:t>
      </w:r>
    </w:p>
    <w:p w:rsidR="001C7BF9" w:rsidRPr="00C9680B" w:rsidRDefault="001C7BF9">
      <w:pPr>
        <w:pStyle w:val="Normaltindrag"/>
      </w:pPr>
      <w:r w:rsidRPr="00C9680B">
        <w:t xml:space="preserve">Den fortsatta skatteväxlingen förutsätter att vissa frågor utreds och härvid kommer Utredningen om en ökad miljörelatering av vägtrafikbeskattningen att se över dieselskatten för privatbilism och yrkesmässig trafik. I anslutning härtill kommer utredningen bl.a. att se över utformningen av beskattningen av arbetsmaskiner. </w:t>
      </w:r>
    </w:p>
    <w:p w:rsidR="001C7BF9" w:rsidRPr="00C9680B" w:rsidRDefault="001C7BF9">
      <w:pPr>
        <w:pStyle w:val="Normaltindrag"/>
      </w:pPr>
      <w:r w:rsidRPr="00C9680B">
        <w:t>Utskottet ser mot bakgrund av det anförda inte någon anledning att till</w:t>
      </w:r>
      <w:r w:rsidRPr="00C9680B">
        <w:softHyphen/>
        <w:t>sty</w:t>
      </w:r>
      <w:r w:rsidRPr="00C9680B">
        <w:t>r</w:t>
      </w:r>
      <w:r w:rsidRPr="00C9680B">
        <w:t xml:space="preserve">ka motionsförslagen om sänkt dieselskatt för jordbruket. </w:t>
      </w:r>
    </w:p>
    <w:p w:rsidR="001C7BF9" w:rsidRPr="00C9680B" w:rsidRDefault="001C7BF9">
      <w:pPr>
        <w:pStyle w:val="Normaltindrag"/>
      </w:pPr>
      <w:r w:rsidRPr="00C9680B">
        <w:t>När det gäller skatterna på bekämpningsmedel och handelsgödsel ingår också dessa i det utredningsarbete för att förverkliga en fortsatt skatteväxling som regeringen aviserar. Avsikten är att översynen skall genomföras i form av en särskild utredning. Utredningen skall bl.a. pröva huruvida de olika skatterna kan förändras så att de kan fungera som effektivare styrmedel på miljöomr</w:t>
      </w:r>
      <w:r w:rsidRPr="00C9680B">
        <w:t>å</w:t>
      </w:r>
      <w:r w:rsidRPr="00C9680B">
        <w:t xml:space="preserve">det utan att kraven på kostnadseffektivitet eftersätts. </w:t>
      </w:r>
    </w:p>
    <w:p w:rsidR="001C7BF9" w:rsidRPr="00C9680B" w:rsidRDefault="001C7BF9">
      <w:pPr>
        <w:pStyle w:val="Normaltindrag"/>
      </w:pPr>
      <w:r w:rsidRPr="00C9680B">
        <w:t>När det gäller jordbrukets befrielse från energiskatt på el har denna på grund av det stora antalet nedsättningsberättigade måst utformas som ett återbetalningssystem där återbetalning endast medges med belopp som öve</w:t>
      </w:r>
      <w:r w:rsidRPr="00C9680B">
        <w:t>r</w:t>
      </w:r>
      <w:r w:rsidRPr="00C9680B">
        <w:softHyphen/>
        <w:t xml:space="preserve">stiger 1 000 kr per årsperiod. Att denna metod avviker från vad som tillämpas för tillverkningsindustrin och växthusnäringen borde enligt vad som anfördes när reglerna infördes särskilt beaktas i en kommande översyn av elskatten (prop. 1999/2000:105, 1999/2000:SkU22). </w:t>
      </w:r>
    </w:p>
    <w:p w:rsidR="001C7BF9" w:rsidRPr="00C9680B" w:rsidRDefault="001C7BF9">
      <w:pPr>
        <w:pStyle w:val="Normaltindrag"/>
      </w:pPr>
      <w:r w:rsidRPr="00C9680B">
        <w:t>När det gäller de utredningar som bör genomföras inför en fortsatt skatt</w:t>
      </w:r>
      <w:r w:rsidRPr="00C9680B">
        <w:t>e</w:t>
      </w:r>
      <w:r w:rsidRPr="00C9680B">
        <w:softHyphen/>
        <w:t>växling konstaterar regeringen också att utvidgningen av industrins skattene</w:t>
      </w:r>
      <w:r w:rsidRPr="00C9680B">
        <w:t>d</w:t>
      </w:r>
      <w:r w:rsidRPr="00C9680B">
        <w:softHyphen/>
        <w:t>sättning till att gälla även jord- och skogsbruket tydliggjorde behovet av ett nytt sätt att ta ut energiskatt på el samt dess kopplingar till det nedsatta omr</w:t>
      </w:r>
      <w:r w:rsidRPr="00C9680B">
        <w:t>å</w:t>
      </w:r>
      <w:r w:rsidRPr="00C9680B">
        <w:softHyphen/>
        <w:t>det, och den utredning som skall se över utformningen av nedsättnings</w:t>
      </w:r>
      <w:r w:rsidRPr="00C9680B">
        <w:softHyphen/>
        <w:t>sy</w:t>
      </w:r>
      <w:r w:rsidRPr="00C9680B">
        <w:t>s</w:t>
      </w:r>
      <w:r w:rsidRPr="00C9680B">
        <w:t>temet för tillverkningsindustrin och jordbruks-, skogsbruks- och vatten</w:t>
      </w:r>
      <w:r w:rsidRPr="00C9680B">
        <w:softHyphen/>
        <w:t>näringarna kommer därför bl.a. att se över reglerna och systemet för uttag av ene</w:t>
      </w:r>
      <w:r w:rsidRPr="00C9680B">
        <w:t>r</w:t>
      </w:r>
      <w:r w:rsidRPr="00C9680B">
        <w:t>giskatt på el.</w:t>
      </w:r>
    </w:p>
    <w:p w:rsidR="001C7BF9" w:rsidRPr="00C9680B" w:rsidRDefault="001C7BF9">
      <w:pPr>
        <w:pStyle w:val="Normaltindrag"/>
      </w:pPr>
      <w:r w:rsidRPr="00C9680B">
        <w:t>När det slutligen gäller yrka</w:t>
      </w:r>
      <w:r w:rsidRPr="00C9680B">
        <w:t>ndet om en restitution av jordbrukets väg</w:t>
      </w:r>
      <w:r w:rsidRPr="00C9680B">
        <w:softHyphen/>
        <w:t>tra</w:t>
      </w:r>
      <w:r w:rsidRPr="00C9680B">
        <w:softHyphen/>
        <w:t xml:space="preserve">fikavgifter och handelsgödselskatter är utskottet inte berett att tillstyrka en sådan. </w:t>
      </w:r>
    </w:p>
    <w:p w:rsidR="001C7BF9" w:rsidRPr="00C9680B" w:rsidRDefault="001C7BF9">
      <w:pPr>
        <w:pStyle w:val="Normaltindrag"/>
      </w:pPr>
      <w:r w:rsidRPr="00C9680B">
        <w:t>Med det anförda avstyrker utskottet de nu aktuella motionsyrkandena.</w:t>
      </w:r>
    </w:p>
    <w:p w:rsidR="001C7BF9" w:rsidRPr="00C9680B" w:rsidRDefault="001C7BF9">
      <w:pPr>
        <w:pStyle w:val="Utskottetsvervganden-RubrikFrslagspunkt"/>
        <w:outlineLvl w:val="0"/>
      </w:pPr>
      <w:bookmarkStart w:id="1048" w:name="_Toc498838202"/>
      <w:r w:rsidRPr="00C9680B">
        <w:t>Fordonsskatt och försäljningsskatt</w:t>
      </w:r>
      <w:bookmarkEnd w:id="1048"/>
    </w:p>
    <w:p w:rsidR="001C7BF9" w:rsidRPr="00C9680B" w:rsidRDefault="001C7BF9">
      <w:pPr>
        <w:pStyle w:val="Utskottsfrslagikorthet-Rubrik"/>
        <w:jc w:val="both"/>
        <w:outlineLvl w:val="0"/>
        <w:rPr>
          <w:noProof w:val="0"/>
        </w:rPr>
      </w:pPr>
      <w:bookmarkStart w:id="1049" w:name="_Toc497206572"/>
      <w:bookmarkStart w:id="1050" w:name="_Toc497720141"/>
      <w:r w:rsidRPr="00C9680B">
        <w:rPr>
          <w:noProof w:val="0"/>
        </w:rPr>
        <w:t>Utskottets förslag i korthet</w:t>
      </w:r>
      <w:bookmarkEnd w:id="1049"/>
      <w:bookmarkEnd w:id="1050"/>
    </w:p>
    <w:p w:rsidR="001C7BF9" w:rsidRPr="00C9680B" w:rsidRDefault="001C7BF9">
      <w:pPr>
        <w:pStyle w:val="Utskottsfrslagikorthet-Text"/>
      </w:pPr>
      <w:r w:rsidRPr="00C9680B">
        <w:t>Riksdagen bifaller regeringens förslag om höjning av fordons</w:t>
      </w:r>
      <w:r w:rsidRPr="00C9680B">
        <w:softHyphen/>
        <w:t>skatten för dieseldrivna personbilar av 1993 års modell och äldre till samma nivå som gäller för nyare di</w:t>
      </w:r>
      <w:r w:rsidRPr="00C9680B">
        <w:t>e</w:t>
      </w:r>
      <w:r w:rsidRPr="00C9680B">
        <w:t>seldrivna personbilar. Riks</w:t>
      </w:r>
      <w:r w:rsidRPr="00C9680B">
        <w:softHyphen/>
        <w:t>dagen bifaller regeringens förslag om slopad försäljningsskatt på lätta lastb</w:t>
      </w:r>
      <w:r w:rsidRPr="00C9680B">
        <w:t>i</w:t>
      </w:r>
      <w:r w:rsidRPr="00C9680B">
        <w:t>lar och bussar samt motorcyklar.</w:t>
      </w:r>
    </w:p>
    <w:p w:rsidR="001C7BF9" w:rsidRPr="00C9680B" w:rsidRDefault="001C7BF9">
      <w:pPr>
        <w:pStyle w:val="Utskottetsvervganden-kursivrubrik"/>
        <w:outlineLvl w:val="0"/>
        <w:rPr>
          <w:noProof w:val="0"/>
        </w:rPr>
      </w:pPr>
      <w:bookmarkStart w:id="1051" w:name="_Toc498838203"/>
      <w:r w:rsidRPr="00C9680B">
        <w:rPr>
          <w:noProof w:val="0"/>
        </w:rPr>
        <w:t>Budgetpropositionen</w:t>
      </w:r>
      <w:bookmarkEnd w:id="1051"/>
    </w:p>
    <w:p w:rsidR="001C7BF9" w:rsidRPr="00C9680B" w:rsidRDefault="001C7BF9">
      <w:r w:rsidRPr="00C9680B">
        <w:t xml:space="preserve">Regeringen föreslår att fordonsskatten för dieseldrivna personbilar av 1993 års modell och äldre höjs till samma nivå som gäller för nyare dieseldrivna personbilar. I övrigt vidtas inte några åtgärder avseende fordonsskatten med anledning av Trafikbeskattningsutredningens betänkanden. </w:t>
      </w:r>
    </w:p>
    <w:p w:rsidR="001C7BF9" w:rsidRPr="00C9680B" w:rsidRDefault="001C7BF9">
      <w:pPr>
        <w:pStyle w:val="Normaltindrag"/>
      </w:pPr>
      <w:r w:rsidRPr="00C9680B">
        <w:t>Den återstående försäljningsskatten på lätta lastbilar och bussar samt m</w:t>
      </w:r>
      <w:r w:rsidRPr="00C9680B">
        <w:t>o</w:t>
      </w:r>
      <w:r w:rsidRPr="00C9680B">
        <w:t>torcyklar avskaffas.</w:t>
      </w:r>
    </w:p>
    <w:p w:rsidR="001C7BF9" w:rsidRPr="00C9680B" w:rsidRDefault="001C7BF9">
      <w:pPr>
        <w:pStyle w:val="Utskottetsvervganden-kursivrubrik"/>
        <w:outlineLvl w:val="0"/>
        <w:rPr>
          <w:noProof w:val="0"/>
        </w:rPr>
      </w:pPr>
      <w:bookmarkStart w:id="1052" w:name="_Toc497206574"/>
      <w:bookmarkStart w:id="1053" w:name="_Toc497720143"/>
      <w:bookmarkStart w:id="1054" w:name="_Toc498838204"/>
      <w:r w:rsidRPr="00C9680B">
        <w:rPr>
          <w:noProof w:val="0"/>
        </w:rPr>
        <w:t>Utskottets ställningstagande</w:t>
      </w:r>
      <w:bookmarkEnd w:id="1052"/>
      <w:bookmarkEnd w:id="1053"/>
      <w:bookmarkEnd w:id="1054"/>
    </w:p>
    <w:p w:rsidR="001C7BF9" w:rsidRPr="00C9680B" w:rsidRDefault="001C7BF9">
      <w:r w:rsidRPr="00C9680B">
        <w:t>Utskottet har inte funnit någon anledning till erinran mot förslagen och til</w:t>
      </w:r>
      <w:r w:rsidRPr="00C9680B">
        <w:t>l</w:t>
      </w:r>
      <w:r w:rsidRPr="00C9680B">
        <w:softHyphen/>
        <w:t xml:space="preserve">styrker därför propositionen i denna del. </w:t>
      </w:r>
    </w:p>
    <w:p w:rsidR="001C7BF9" w:rsidRPr="00C9680B" w:rsidRDefault="001C7BF9">
      <w:pPr>
        <w:pStyle w:val="Rubrik1b"/>
        <w:outlineLvl w:val="0"/>
      </w:pPr>
      <w:bookmarkStart w:id="1055" w:name="_Toc498838205"/>
      <w:r w:rsidRPr="00C9680B">
        <w:t>Lagförslagen</w:t>
      </w:r>
      <w:bookmarkEnd w:id="1055"/>
    </w:p>
    <w:p w:rsidR="001C7BF9" w:rsidRPr="00C9680B" w:rsidRDefault="001C7BF9">
      <w:r w:rsidRPr="00C9680B">
        <w:t>Finansutskottet har inhämtat Lagrådets yttrande över förslaget till lag om underlag för förmögenhetsskatt i vissa fall vid 2001 års taxering, och Lagrå</w:t>
      </w:r>
      <w:r w:rsidRPr="00C9680B">
        <w:softHyphen/>
        <w:t xml:space="preserve">det har föreslagit en viss omformulering av lagtexten. Utskottet tillstyrker den av Lagrådet föreslagna ändringen. </w:t>
      </w:r>
    </w:p>
    <w:p w:rsidR="001C7BF9" w:rsidRPr="00C9680B" w:rsidRDefault="001C7BF9">
      <w:pPr>
        <w:pStyle w:val="Normaltindrag"/>
      </w:pPr>
      <w:r w:rsidRPr="00C9680B">
        <w:t>Härutöver bör följande justeringar genomföras. I förslaget till lag om än</w:t>
      </w:r>
      <w:r w:rsidRPr="00C9680B">
        <w:t>d</w:t>
      </w:r>
      <w:r w:rsidRPr="00C9680B">
        <w:softHyphen/>
        <w:t>ring i lagen om statlig fastighetsskatt bör den sista meningen i övergångs</w:t>
      </w:r>
      <w:r w:rsidRPr="00C9680B">
        <w:softHyphen/>
        <w:t>bestämmelsen ges en tydligare utformning när det gäller de regler som skall tillämpas övergångsvis. I förslaget till lag om ändring i inkomstskattelagen bör 63 kap. 2 § andra stycket utformas så att det klart framgår att grundavdr</w:t>
      </w:r>
      <w:r w:rsidRPr="00C9680B">
        <w:t>a</w:t>
      </w:r>
      <w:r w:rsidRPr="00C9680B">
        <w:softHyphen/>
        <w:t>get skall avrundas uppåt. I lagen om skattereduktion på förvärvsinkomster vid 2002 års taxering bör det klargöras att skattereduktionen inte skall beaktas när ett skattebelopp beräknas enligt lagen (1997</w:t>
      </w:r>
      <w:r w:rsidRPr="00C9680B">
        <w:t>:324) om begränsning av skatt. Som framgår av vad utskottet anfört under rubriken Höjd koldioxidskatt bör förslaget till lag om ändring i lagen (1994:1776) om skatt på energi justeras så att den sammantagna punktskattebelastningen på naturgas och gasol som används som drivmedel inte ändras. Förslaget till lag om upphävande av lagen (1978:69) om försäljningsskatt på motorfordon bör kompletteras med en text som klargör att lagen (1985:146) om avräkning vid återbetalning av skatter och avgifter och lagen (1993</w:t>
      </w:r>
      <w:r w:rsidRPr="00C9680B">
        <w:t>:891) om indrivning av statliga fordringar m.m. fortfarande skall tillämpas beträffande den upphävda lagen. En närmare motivering till denna justering finns i proposition 2000/01:31 s. 86.</w:t>
      </w:r>
    </w:p>
    <w:p w:rsidR="001C7BF9" w:rsidRPr="00C9680B" w:rsidRDefault="001C7BF9">
      <w:pPr>
        <w:pStyle w:val="Normaltindrag"/>
      </w:pPr>
      <w:r w:rsidRPr="00C9680B">
        <w:t>Slutligen bör förslaget till lag om ändring i 7 kap. 1 § mervärdesskatte</w:t>
      </w:r>
      <w:r w:rsidRPr="00C9680B">
        <w:softHyphen/>
        <w:t>lagen (1994:200) samordnas med det förslag om ändring i samma paragraf som läggs fram i proposition 2000/01:23 om sänkt mervärdesskatt på tillträde till djurpa</w:t>
      </w:r>
      <w:r w:rsidRPr="00C9680B">
        <w:t>r</w:t>
      </w:r>
      <w:r w:rsidRPr="00C9680B">
        <w:t>ker.</w:t>
      </w:r>
    </w:p>
    <w:p w:rsidR="001C7BF9" w:rsidRPr="00C9680B" w:rsidRDefault="001C7BF9">
      <w:pPr>
        <w:pStyle w:val="Utskottetsvervganden-RubrikFrslagspunkt"/>
        <w:outlineLvl w:val="0"/>
      </w:pPr>
      <w:bookmarkStart w:id="1056" w:name="_Toc498838206"/>
      <w:r w:rsidRPr="00C9680B">
        <w:t>Beräkning av statsbudgetens inkomster</w:t>
      </w:r>
      <w:bookmarkEnd w:id="1056"/>
    </w:p>
    <w:p w:rsidR="001C7BF9" w:rsidRPr="00C9680B" w:rsidRDefault="001C7BF9">
      <w:pPr>
        <w:pStyle w:val="Utskottsfrslagikorthet-Rubrik"/>
        <w:jc w:val="both"/>
        <w:outlineLvl w:val="0"/>
        <w:rPr>
          <w:noProof w:val="0"/>
        </w:rPr>
      </w:pPr>
      <w:bookmarkStart w:id="1057" w:name="_Toc497206577"/>
      <w:bookmarkStart w:id="1058" w:name="_Toc497720146"/>
      <w:r w:rsidRPr="00C9680B">
        <w:rPr>
          <w:noProof w:val="0"/>
        </w:rPr>
        <w:t>Utskottets förslag i korthet</w:t>
      </w:r>
      <w:bookmarkEnd w:id="1057"/>
      <w:bookmarkEnd w:id="1058"/>
    </w:p>
    <w:p w:rsidR="001C7BF9" w:rsidRPr="00C9680B" w:rsidRDefault="001C7BF9">
      <w:pPr>
        <w:pStyle w:val="Utskottsfrslagikorthet-Text"/>
      </w:pPr>
      <w:r w:rsidRPr="00C9680B">
        <w:t>Riksdagen godkänner regeringens inkomstberäkning.</w:t>
      </w:r>
    </w:p>
    <w:p w:rsidR="001C7BF9" w:rsidRPr="00C9680B" w:rsidRDefault="001C7BF9">
      <w:pPr>
        <w:pStyle w:val="Utskottetsvervganden-kursivrubrik"/>
        <w:outlineLvl w:val="0"/>
        <w:rPr>
          <w:noProof w:val="0"/>
        </w:rPr>
      </w:pPr>
      <w:bookmarkStart w:id="1059" w:name="_Toc497206578"/>
      <w:bookmarkStart w:id="1060" w:name="_Toc497720147"/>
      <w:bookmarkStart w:id="1061" w:name="_Toc498838207"/>
      <w:r w:rsidRPr="00C9680B">
        <w:rPr>
          <w:noProof w:val="0"/>
        </w:rPr>
        <w:t>Budgetpropositionen</w:t>
      </w:r>
      <w:bookmarkEnd w:id="1059"/>
      <w:bookmarkEnd w:id="1060"/>
      <w:bookmarkEnd w:id="1061"/>
    </w:p>
    <w:p w:rsidR="001C7BF9" w:rsidRPr="00C9680B" w:rsidRDefault="001C7BF9">
      <w:r w:rsidRPr="00C9680B">
        <w:t xml:space="preserve">Regeringen beräknar statsbudgetens inkomster budgetåret 2001 till 717,1 miljarder kronor, varav 651,2 miljarder kronor från inkomsttiteln Skatter m.m. Härvid beaktar regeringen dels de förslag som nu behandlats, dels ett antal aviserade förslag. </w:t>
      </w:r>
    </w:p>
    <w:p w:rsidR="001C7BF9" w:rsidRPr="00C9680B" w:rsidRDefault="001C7BF9">
      <w:pPr>
        <w:pStyle w:val="Utskottetsvervganden-kursivrubrik"/>
        <w:outlineLvl w:val="0"/>
        <w:rPr>
          <w:noProof w:val="0"/>
        </w:rPr>
      </w:pPr>
      <w:bookmarkStart w:id="1062" w:name="_Toc497206579"/>
      <w:bookmarkStart w:id="1063" w:name="_Toc497720148"/>
      <w:bookmarkStart w:id="1064" w:name="_Toc498838208"/>
      <w:r w:rsidRPr="00C9680B">
        <w:rPr>
          <w:noProof w:val="0"/>
        </w:rPr>
        <w:t>Motionerna</w:t>
      </w:r>
      <w:bookmarkEnd w:id="1062"/>
      <w:bookmarkEnd w:id="1063"/>
      <w:bookmarkEnd w:id="1064"/>
    </w:p>
    <w:p w:rsidR="001C7BF9" w:rsidRPr="00C9680B" w:rsidRDefault="001C7BF9">
      <w:r w:rsidRPr="00C9680B">
        <w:rPr>
          <w:i/>
        </w:rPr>
        <w:t xml:space="preserve">Moderata samlingspartiet, Kristdemokraterna, Centerpartiet </w:t>
      </w:r>
      <w:r w:rsidRPr="00C9680B">
        <w:t xml:space="preserve">och </w:t>
      </w:r>
      <w:r w:rsidRPr="00C9680B">
        <w:rPr>
          <w:i/>
        </w:rPr>
        <w:t xml:space="preserve">Folkpartiet liberalerna </w:t>
      </w:r>
      <w:r w:rsidRPr="00C9680B">
        <w:t>begär i motionerna Fi208 yrkande 7 av Bo Lundgren m.fl. (m), Fi209 yrkande 5 av Alf Svensson m.fl. (kd), Sk323 yrkande 1 av Alf Sven</w:t>
      </w:r>
      <w:r w:rsidRPr="00C9680B">
        <w:t>s</w:t>
      </w:r>
      <w:r w:rsidRPr="00C9680B">
        <w:t xml:space="preserve">son m.fl. (kd), Fi210 yrkande 3 av Lennart Daléus m.fl. (c) och Fi211 yrkande 5 av Lars Leijonborg m.fl. (fp) godkännande av inkomstberäkningen i sina respektive budgetalternativ. </w:t>
      </w:r>
    </w:p>
    <w:p w:rsidR="001C7BF9" w:rsidRPr="00C9680B" w:rsidRDefault="001C7BF9">
      <w:pPr>
        <w:pStyle w:val="Utskottetsvervganden-kursivrubrik"/>
        <w:outlineLvl w:val="0"/>
        <w:rPr>
          <w:noProof w:val="0"/>
        </w:rPr>
      </w:pPr>
      <w:bookmarkStart w:id="1065" w:name="_Toc497206580"/>
      <w:bookmarkStart w:id="1066" w:name="_Toc497720149"/>
      <w:bookmarkStart w:id="1067" w:name="_Toc498838209"/>
      <w:r w:rsidRPr="00C9680B">
        <w:rPr>
          <w:noProof w:val="0"/>
        </w:rPr>
        <w:t>Utskottets ställningstagande</w:t>
      </w:r>
      <w:bookmarkEnd w:id="1065"/>
      <w:bookmarkEnd w:id="1066"/>
      <w:bookmarkEnd w:id="1067"/>
    </w:p>
    <w:p w:rsidR="001C7BF9" w:rsidRPr="00C9680B" w:rsidRDefault="001C7BF9">
      <w:r w:rsidRPr="00C9680B">
        <w:t>Utskottet har i det föregående tillstyrkt de förslag som regeringen lägger fram och tillstyrker följaktligen också regeringens inkomstberäkning. Utskottet avstyrker motionsyrkandena.</w:t>
      </w:r>
    </w:p>
    <w:p w:rsidR="001C7BF9" w:rsidRPr="00C9680B" w:rsidRDefault="001C7BF9">
      <w:pPr>
        <w:pStyle w:val="Normaltindrag"/>
      </w:pPr>
    </w:p>
    <w:p w:rsidR="001C7BF9" w:rsidRPr="00C9680B" w:rsidRDefault="001C7BF9">
      <w:pPr>
        <w:pStyle w:val="R1"/>
      </w:pPr>
      <w:r w:rsidRPr="00C9680B">
        <w:br w:type="page"/>
      </w:r>
      <w:bookmarkStart w:id="1068" w:name="_Toc497720150"/>
      <w:r w:rsidRPr="00C9680B">
        <w:t>UTGIFTSRAMAR</w:t>
      </w:r>
      <w:bookmarkEnd w:id="1068"/>
    </w:p>
    <w:p w:rsidR="001C7BF9" w:rsidRPr="00C9680B" w:rsidRDefault="001C7BF9">
      <w:pPr>
        <w:pStyle w:val="Utskottetsvervganden-RubrikFrslagspunkt"/>
      </w:pPr>
      <w:bookmarkStart w:id="1069" w:name="_Toc497720151"/>
      <w:bookmarkStart w:id="1070" w:name="_Toc498838210"/>
      <w:r w:rsidRPr="00C9680B">
        <w:t>Ramar för utgiftsområde 3 Skatteförvaltning och uppbörd</w:t>
      </w:r>
      <w:bookmarkEnd w:id="1069"/>
      <w:bookmarkEnd w:id="1070"/>
    </w:p>
    <w:p w:rsidR="001C7BF9" w:rsidRPr="00C9680B" w:rsidRDefault="001C7BF9">
      <w:pPr>
        <w:pStyle w:val="Utskottsfrslagikorthet-Text"/>
        <w:keepNext/>
        <w:keepLines/>
        <w:suppressAutoHyphens/>
        <w:spacing w:before="120" w:line="250" w:lineRule="exact"/>
        <w:outlineLvl w:val="0"/>
        <w:rPr>
          <w:b/>
        </w:rPr>
      </w:pPr>
      <w:r w:rsidRPr="00C9680B">
        <w:rPr>
          <w:b/>
        </w:rPr>
        <w:t xml:space="preserve">Utskottets förslag i korthet </w:t>
      </w:r>
    </w:p>
    <w:p w:rsidR="001C7BF9" w:rsidRPr="00C9680B" w:rsidRDefault="001C7BF9">
      <w:pPr>
        <w:pStyle w:val="Utskottsfrslagikorthet-Text"/>
      </w:pPr>
      <w:r w:rsidRPr="00C9680B">
        <w:t>Riksdagen bifaller regeringens förslag till utgiftsram för utgifts</w:t>
      </w:r>
      <w:r w:rsidRPr="00C9680B">
        <w:softHyphen/>
        <w:t>området för 2001 och godkänner regeringens preliminära utgifts</w:t>
      </w:r>
      <w:r w:rsidRPr="00C9680B">
        <w:softHyphen/>
        <w:t xml:space="preserve">ramar för utgiftsområdet för 2002 och 2003. </w:t>
      </w:r>
    </w:p>
    <w:p w:rsidR="001C7BF9" w:rsidRPr="00C9680B" w:rsidRDefault="001C7BF9">
      <w:pPr>
        <w:pStyle w:val="Utskottetsvervganden-kursivrubrik"/>
        <w:outlineLvl w:val="0"/>
        <w:rPr>
          <w:noProof w:val="0"/>
        </w:rPr>
      </w:pPr>
      <w:bookmarkStart w:id="1071" w:name="_Toc497206582"/>
      <w:bookmarkStart w:id="1072" w:name="_Toc497720152"/>
      <w:bookmarkStart w:id="1073" w:name="_Toc498838211"/>
      <w:r w:rsidRPr="00C9680B">
        <w:rPr>
          <w:noProof w:val="0"/>
        </w:rPr>
        <w:t>Budgetpropositionen</w:t>
      </w:r>
      <w:bookmarkEnd w:id="1071"/>
      <w:bookmarkEnd w:id="1072"/>
      <w:bookmarkEnd w:id="1073"/>
    </w:p>
    <w:p w:rsidR="001C7BF9" w:rsidRPr="00C9680B" w:rsidRDefault="001C7BF9">
      <w:r w:rsidRPr="00C9680B">
        <w:t>Utgiftsområde 3 (uo 3) omfattar Riksskatteverket (RSV) och skattemyndi</w:t>
      </w:r>
      <w:r w:rsidRPr="00C9680B">
        <w:t>g</w:t>
      </w:r>
      <w:r w:rsidRPr="00C9680B">
        <w:softHyphen/>
        <w:t>heterna samt Tullve</w:t>
      </w:r>
      <w:r w:rsidRPr="00C9680B">
        <w:t>r</w:t>
      </w:r>
      <w:r w:rsidRPr="00C9680B">
        <w:t xml:space="preserve">ket. </w:t>
      </w:r>
    </w:p>
    <w:p w:rsidR="001C7BF9" w:rsidRPr="00C9680B" w:rsidRDefault="001C7BF9">
      <w:pPr>
        <w:pStyle w:val="Normaltindrag"/>
      </w:pPr>
      <w:r w:rsidRPr="00C9680B">
        <w:t>Riksdagen har för år 2000 till uo 3 anvisat 5 922 miljoner kronor. Reg</w:t>
      </w:r>
      <w:r w:rsidRPr="00C9680B">
        <w:t>e</w:t>
      </w:r>
      <w:r w:rsidRPr="00C9680B">
        <w:softHyphen/>
        <w:t>ringen föreslår för budgetåret 2001 att riksdagen skall besluta om en utgift</w:t>
      </w:r>
      <w:r w:rsidRPr="00C9680B">
        <w:t>s</w:t>
      </w:r>
      <w:r w:rsidRPr="00C9680B">
        <w:softHyphen/>
        <w:t xml:space="preserve">ram för utgiftsområdet på 6 207 miljoner kronor. Regeringen föreslår vidare att riksdagen för åren 2002 och 2003 skall godkänna preliminära utgiftsramar för utgiftsområdet på 6 338 miljoner kronor respektive 6 483 miljoner kronor. </w:t>
      </w:r>
    </w:p>
    <w:p w:rsidR="001C7BF9" w:rsidRPr="00C9680B" w:rsidRDefault="001C7BF9">
      <w:pPr>
        <w:pStyle w:val="Normaltindrag"/>
      </w:pPr>
      <w:r w:rsidRPr="00C9680B">
        <w:t>Gemensamma prioriteringar för myndigheterna är bl.a. att skapa en m</w:t>
      </w:r>
      <w:r w:rsidRPr="00C9680B">
        <w:t>o</w:t>
      </w:r>
      <w:r w:rsidRPr="00C9680B">
        <w:t>dern, effektiv och ändamålsenlig förvaltning bl.a. genom kontinuerlig IT-, metod- och kompetensutveckling. Myndigheterna skall också sträva efter ökad service och ytterligare förenklingar för företag och allmä</w:t>
      </w:r>
      <w:r w:rsidRPr="00C9680B">
        <w:t>n</w:t>
      </w:r>
      <w:r w:rsidRPr="00C9680B">
        <w:t>het.</w:t>
      </w:r>
    </w:p>
    <w:p w:rsidR="001C7BF9" w:rsidRPr="00C9680B" w:rsidRDefault="001C7BF9">
      <w:pPr>
        <w:pStyle w:val="Normaltindrag"/>
      </w:pPr>
      <w:r w:rsidRPr="00C9680B">
        <w:t>Skatteförvaltningen skall vidare bl.a. prioritera förstärkt skattekontroll och insatser mot s.k. svart arbete. Situationen inom skatteförvaltningen är oro</w:t>
      </w:r>
      <w:r w:rsidRPr="00C9680B">
        <w:softHyphen/>
        <w:t>ande. Den nedåtgående trend som kan noteras bl.a. när det gäller pr</w:t>
      </w:r>
      <w:r w:rsidRPr="00C9680B">
        <w:t>o</w:t>
      </w:r>
      <w:r w:rsidRPr="00C9680B">
        <w:t>duktivi</w:t>
      </w:r>
      <w:r w:rsidRPr="00C9680B">
        <w:softHyphen/>
        <w:t>teten måste vändas. Samtidigt måste underskotten i myndigheternas verksam</w:t>
      </w:r>
      <w:r w:rsidRPr="00C9680B">
        <w:softHyphen/>
        <w:t>heter elimineras. Situationen vad gäller skattekontrollverksamheten är särskilt oroande. Skatteförvaltningen tillförs därför i enlighet med vad som aviserades i 2000 års ekonomiska vårproposition ett varaktigt resurstillskott om 125 miljoner kronor för att upprätthålla kontrollintensiteten på önskvärd nivå. Regeringen avser att noga följa utvecklingen och res</w:t>
      </w:r>
      <w:r w:rsidRPr="00C9680B">
        <w:t>ultatet av resurstil</w:t>
      </w:r>
      <w:r w:rsidRPr="00C9680B">
        <w:t>l</w:t>
      </w:r>
      <w:r w:rsidRPr="00C9680B">
        <w:softHyphen/>
        <w:t>skot</w:t>
      </w:r>
      <w:r w:rsidRPr="00C9680B">
        <w:softHyphen/>
        <w:t>tet. Med anledning av att bouppteckningsverksamheten förs över till skatte</w:t>
      </w:r>
      <w:r w:rsidRPr="00C9680B">
        <w:softHyphen/>
        <w:t>förvaltningen från rättsväsendet tillförs skattefö</w:t>
      </w:r>
      <w:r w:rsidRPr="00C9680B">
        <w:t>r</w:t>
      </w:r>
      <w:r w:rsidRPr="00C9680B">
        <w:t>valtningen 33 miljoner kro</w:t>
      </w:r>
      <w:r w:rsidRPr="00C9680B">
        <w:softHyphen/>
        <w:t>nor för 2001. Regeringen avser att återkomma med förslag till en slutlig b</w:t>
      </w:r>
      <w:r w:rsidRPr="00C9680B">
        <w:t>e</w:t>
      </w:r>
      <w:r w:rsidRPr="00C9680B">
        <w:t>räkning för året och beräkningen av de totala kostn</w:t>
      </w:r>
      <w:r w:rsidRPr="00C9680B">
        <w:t>a</w:t>
      </w:r>
      <w:r w:rsidRPr="00C9680B">
        <w:t xml:space="preserve">derna för reformen. </w:t>
      </w:r>
    </w:p>
    <w:p w:rsidR="001C7BF9" w:rsidRPr="00C9680B" w:rsidRDefault="001C7BF9">
      <w:pPr>
        <w:pStyle w:val="Normaltindrag"/>
      </w:pPr>
      <w:r w:rsidRPr="00C9680B">
        <w:t>När det gäller Tullverket lägger regeringen stor vikt vid utvecklings- och effektiviseringsarbetet inom tullverksamheten. Arbetet omfattar utveckling av nya arbetsmetoder, IT-utvecklin</w:t>
      </w:r>
      <w:r w:rsidRPr="00C9680B">
        <w:t>g, förenklingsarbete, information m.m. Inom gränsskyddets kontrollverksamhet skall narkotikakontrollen ges fortsatt hö</w:t>
      </w:r>
      <w:r w:rsidRPr="00C9680B">
        <w:t>g</w:t>
      </w:r>
      <w:r w:rsidRPr="00C9680B">
        <w:t>sta prioritet. Hög prioritet skall också ges kontroller mot storskalig illegal införsel av alkohol och tobak. Regeringen bedömer att Tullverket inom pr</w:t>
      </w:r>
      <w:r w:rsidRPr="00C9680B">
        <w:t>o</w:t>
      </w:r>
      <w:r w:rsidRPr="00C9680B">
        <w:softHyphen/>
        <w:t>cesserna effektiv handel och gränsskydd helt eller delvis uppfyllt merparten av de uppställda målen för verksamheten men att måluppfyllelsen i alla delar inte är tillfredsställande. Tullverket tillförs i budgeten, vilket aviserats i årets v</w:t>
      </w:r>
      <w:r w:rsidRPr="00C9680B">
        <w:t>årproposition, ett varaktigt resurstillskott på 10 miljoner kronor fr.o.m. 2001 till följd av merkostnader i samband med Öresundsbrons öppnande. Tullen har vidare kompenserats med 10 miljoner kronor med anledning av en e</w:t>
      </w:r>
      <w:r w:rsidRPr="00C9680B">
        <w:t>n</w:t>
      </w:r>
      <w:r w:rsidRPr="00C9680B">
        <w:t xml:space="preserve">gångsneddragning år 2000. På tilläggsbudget i årets vårproposition har tullen slutligen fr.o.m. den 1 juli 2000 bemyndigats att uppbära vissa av de avgifter som tas ut i verkets verksamhet. Detta tillskott beräknades uppgå till 25 miljoner kronor. </w:t>
      </w:r>
    </w:p>
    <w:p w:rsidR="001C7BF9" w:rsidRPr="00C9680B" w:rsidRDefault="001C7BF9">
      <w:pPr>
        <w:pStyle w:val="Utskottetsvervganden-kursivrubrik"/>
        <w:outlineLvl w:val="0"/>
        <w:rPr>
          <w:noProof w:val="0"/>
        </w:rPr>
      </w:pPr>
      <w:bookmarkStart w:id="1074" w:name="_Toc497206583"/>
      <w:bookmarkStart w:id="1075" w:name="_Toc497720153"/>
      <w:bookmarkStart w:id="1076" w:name="_Toc498838212"/>
      <w:r w:rsidRPr="00C9680B">
        <w:rPr>
          <w:noProof w:val="0"/>
        </w:rPr>
        <w:t>Motionerna</w:t>
      </w:r>
      <w:bookmarkEnd w:id="1074"/>
      <w:bookmarkEnd w:id="1075"/>
      <w:bookmarkEnd w:id="1076"/>
    </w:p>
    <w:p w:rsidR="001C7BF9" w:rsidRPr="00C9680B" w:rsidRDefault="001C7BF9">
      <w:r w:rsidRPr="00C9680B">
        <w:rPr>
          <w:i/>
        </w:rPr>
        <w:t>Moderata samlingspartiet</w:t>
      </w:r>
      <w:r w:rsidRPr="00C9680B">
        <w:t xml:space="preserve"> anför i motion Fi208 yrkandena 5 och 6 delvis av Bo Lundgren m.fl. (m) att smugglingen av cigaretter, alkohol och narkotika ökat kraftigt de senaste åren. Enligt motionärerna är smugglingen fortfarande betydande trots att riksdagen beslutat om skattesänkningar på cigaretter. Enligt motionärerna bör tullen tillföras ökade resurser för att förbättra ko</w:t>
      </w:r>
      <w:r w:rsidRPr="00C9680B">
        <w:t>n</w:t>
      </w:r>
      <w:r w:rsidRPr="00C9680B">
        <w:t>trollen. I motionen föreslås för 2001–2003 en utgiftsram för utgiftsområ</w:t>
      </w:r>
      <w:r w:rsidRPr="00C9680B">
        <w:softHyphen/>
        <w:t xml:space="preserve">det som är 50 miljoner kronor högre än propositionens. </w:t>
      </w:r>
    </w:p>
    <w:p w:rsidR="001C7BF9" w:rsidRPr="00C9680B" w:rsidRDefault="001C7BF9">
      <w:pPr>
        <w:pStyle w:val="Normaltindrag"/>
      </w:pPr>
      <w:r w:rsidRPr="00C9680B">
        <w:rPr>
          <w:i/>
        </w:rPr>
        <w:t>Kristdemokraterna</w:t>
      </w:r>
      <w:r w:rsidRPr="00C9680B">
        <w:t xml:space="preserve"> framhåller i motion Fi209 yrkandena 6 och 7 delvis av Alf Svensson m.fl. (kd) att den svarta marknaden enligt ett flertal studier och utredningar har fått en skadlig omfattning i Sverige. Resultatet är att konku</w:t>
      </w:r>
      <w:r w:rsidRPr="00C9680B">
        <w:t>r</w:t>
      </w:r>
      <w:r w:rsidRPr="00C9680B">
        <w:softHyphen/>
        <w:t xml:space="preserve">rensen mellan företag snedvrids och att affärsmoralen påverkas negativt. Motionärerna vill därför effektivisera skattekontrollen genom ökade resurser. I motionen framhålls vidare att även tullen behöver ökade resurser för att i samverkan med andra av EU:s medlemsländer bekämpa smuggling och annan </w:t>
      </w:r>
      <w:r w:rsidRPr="00C9680B">
        <w:t>ek</w:t>
      </w:r>
      <w:r w:rsidRPr="00C9680B">
        <w:t>o</w:t>
      </w:r>
      <w:r w:rsidRPr="00C9680B">
        <w:t>nomisk brottslighet. Kristdemokraterna föreslår för 2001–2003 en utgifts</w:t>
      </w:r>
      <w:r w:rsidRPr="00C9680B">
        <w:softHyphen/>
        <w:t>ram för utgiftsområdet som är 120 miljoner kronor högre än propositionens.</w:t>
      </w:r>
    </w:p>
    <w:p w:rsidR="001C7BF9" w:rsidRPr="00C9680B" w:rsidRDefault="001C7BF9">
      <w:pPr>
        <w:pStyle w:val="Normaltindrag"/>
      </w:pPr>
      <w:r w:rsidRPr="00C9680B">
        <w:rPr>
          <w:i/>
        </w:rPr>
        <w:t>Centerpartiet</w:t>
      </w:r>
      <w:r w:rsidRPr="00C9680B">
        <w:t xml:space="preserve"> föreslår i motion Fi210 yrkandena 4 och 5 delvis av Lennart Daléus m.fl. (c) samma utgiftsramar för utgiftsområdet under 2001–2003 som regeringen. </w:t>
      </w:r>
    </w:p>
    <w:p w:rsidR="001C7BF9" w:rsidRPr="00C9680B" w:rsidRDefault="001C7BF9">
      <w:pPr>
        <w:pStyle w:val="Normaltindrag"/>
      </w:pPr>
      <w:r w:rsidRPr="00C9680B">
        <w:rPr>
          <w:i/>
        </w:rPr>
        <w:t>Folkpartiet</w:t>
      </w:r>
      <w:r w:rsidRPr="00C9680B">
        <w:t xml:space="preserve"> slutligen förordar i sitt budgetalternativ i motion Fi211 yrka</w:t>
      </w:r>
      <w:r w:rsidRPr="00C9680B">
        <w:t>n</w:t>
      </w:r>
      <w:r w:rsidRPr="00C9680B">
        <w:softHyphen/>
        <w:t>dena 6 och 8 delvis av Lars Leijonborg m.fl. (fp) ökade resurser till skatte</w:t>
      </w:r>
      <w:r w:rsidRPr="00C9680B">
        <w:softHyphen/>
        <w:t>myndigheterna för åtgärder som kan leda till ökade skatteintäkter och till tullen för insatser mot den illegala införseln av alkohol och narkotika. Folk</w:t>
      </w:r>
      <w:r w:rsidRPr="00C9680B">
        <w:softHyphen/>
        <w:t>partiet förordar för 2001–2003 en utgiftsram för utgiftsområdet som är 75 miljoner kronor högre än propositionens.</w:t>
      </w:r>
    </w:p>
    <w:p w:rsidR="001C7BF9" w:rsidRPr="00C9680B" w:rsidRDefault="001C7BF9">
      <w:pPr>
        <w:pStyle w:val="Utskottetsvervganden-kursivrubrik"/>
        <w:outlineLvl w:val="0"/>
        <w:rPr>
          <w:noProof w:val="0"/>
        </w:rPr>
      </w:pPr>
      <w:bookmarkStart w:id="1077" w:name="_Toc497206584"/>
      <w:bookmarkStart w:id="1078" w:name="_Toc497720154"/>
      <w:bookmarkStart w:id="1079" w:name="_Toc498838213"/>
      <w:r w:rsidRPr="00C9680B">
        <w:rPr>
          <w:noProof w:val="0"/>
        </w:rPr>
        <w:t>Utskottets ställningstagande</w:t>
      </w:r>
      <w:bookmarkEnd w:id="1077"/>
      <w:bookmarkEnd w:id="1078"/>
      <w:bookmarkEnd w:id="1079"/>
    </w:p>
    <w:p w:rsidR="001C7BF9" w:rsidRPr="00C9680B" w:rsidRDefault="001C7BF9">
      <w:r w:rsidRPr="00C9680B">
        <w:t>Regeringens förslag till ekonomiska ramar för utgiftsområdet och oppos</w:t>
      </w:r>
      <w:r w:rsidRPr="00C9680B">
        <w:t>i</w:t>
      </w:r>
      <w:r w:rsidRPr="00C9680B">
        <w:softHyphen/>
        <w:t>tionspartiernas alternativa förslag framgår av följande tabell (miljoner kr</w:t>
      </w:r>
      <w:r w:rsidRPr="00C9680B">
        <w:t>o</w:t>
      </w:r>
      <w:r w:rsidRPr="00C9680B">
        <w:softHyphen/>
        <w:t>nor).</w:t>
      </w:r>
    </w:p>
    <w:p w:rsidR="001C7BF9" w:rsidRPr="00C9680B" w:rsidRDefault="001C7BF9">
      <w:r w:rsidRPr="00C9680B">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51"/>
        <w:gridCol w:w="1134"/>
        <w:gridCol w:w="1276"/>
        <w:gridCol w:w="1134"/>
        <w:gridCol w:w="1058"/>
      </w:tblGrid>
      <w:tr w:rsidR="00000000" w:rsidRPr="00C9680B">
        <w:tblPrEx>
          <w:tblCellMar>
            <w:top w:w="0" w:type="dxa"/>
            <w:bottom w:w="0" w:type="dxa"/>
          </w:tblCellMar>
        </w:tblPrEx>
        <w:tc>
          <w:tcPr>
            <w:tcW w:w="637" w:type="dxa"/>
          </w:tcPr>
          <w:p w:rsidR="001C7BF9" w:rsidRPr="00C9680B" w:rsidRDefault="001C7BF9">
            <w:r w:rsidRPr="00C9680B">
              <w:t>År</w:t>
            </w:r>
          </w:p>
        </w:tc>
        <w:tc>
          <w:tcPr>
            <w:tcW w:w="851" w:type="dxa"/>
          </w:tcPr>
          <w:p w:rsidR="001C7BF9" w:rsidRPr="00C9680B" w:rsidRDefault="001C7BF9">
            <w:r w:rsidRPr="00C9680B">
              <w:t>Propos</w:t>
            </w:r>
            <w:r w:rsidRPr="00C9680B">
              <w:t>i</w:t>
            </w:r>
            <w:r w:rsidRPr="00C9680B">
              <w:softHyphen/>
              <w:t>ti</w:t>
            </w:r>
            <w:r w:rsidRPr="00C9680B">
              <w:t>o</w:t>
            </w:r>
            <w:r w:rsidRPr="00C9680B">
              <w:t>nen</w:t>
            </w:r>
          </w:p>
        </w:tc>
        <w:tc>
          <w:tcPr>
            <w:tcW w:w="1134" w:type="dxa"/>
          </w:tcPr>
          <w:p w:rsidR="001C7BF9" w:rsidRPr="00C9680B" w:rsidRDefault="001C7BF9">
            <w:r w:rsidRPr="00C9680B">
              <w:t>Moderata samling</w:t>
            </w:r>
            <w:r w:rsidRPr="00C9680B">
              <w:t>s</w:t>
            </w:r>
            <w:r w:rsidRPr="00C9680B">
              <w:softHyphen/>
              <w:t>part</w:t>
            </w:r>
            <w:r w:rsidRPr="00C9680B">
              <w:t>i</w:t>
            </w:r>
            <w:r w:rsidRPr="00C9680B">
              <w:t>et</w:t>
            </w:r>
          </w:p>
        </w:tc>
        <w:tc>
          <w:tcPr>
            <w:tcW w:w="1276" w:type="dxa"/>
          </w:tcPr>
          <w:p w:rsidR="001C7BF9" w:rsidRPr="00C9680B" w:rsidRDefault="001C7BF9">
            <w:r w:rsidRPr="00C9680B">
              <w:t>Kristdem</w:t>
            </w:r>
            <w:r w:rsidRPr="00C9680B">
              <w:t>o</w:t>
            </w:r>
            <w:r w:rsidRPr="00C9680B">
              <w:softHyphen/>
              <w:t>kraterna</w:t>
            </w:r>
          </w:p>
        </w:tc>
        <w:tc>
          <w:tcPr>
            <w:tcW w:w="1134" w:type="dxa"/>
          </w:tcPr>
          <w:p w:rsidR="001C7BF9" w:rsidRPr="00C9680B" w:rsidRDefault="001C7BF9">
            <w:r w:rsidRPr="00C9680B">
              <w:t>Centerpartiet</w:t>
            </w:r>
          </w:p>
        </w:tc>
        <w:tc>
          <w:tcPr>
            <w:tcW w:w="1058" w:type="dxa"/>
          </w:tcPr>
          <w:p w:rsidR="001C7BF9" w:rsidRPr="00C9680B" w:rsidRDefault="001C7BF9">
            <w:r w:rsidRPr="00C9680B">
              <w:t>Folkpartiet</w:t>
            </w:r>
          </w:p>
        </w:tc>
      </w:tr>
      <w:tr w:rsidR="00000000" w:rsidRPr="00C9680B">
        <w:tblPrEx>
          <w:tblCellMar>
            <w:top w:w="0" w:type="dxa"/>
            <w:bottom w:w="0" w:type="dxa"/>
          </w:tblCellMar>
        </w:tblPrEx>
        <w:tc>
          <w:tcPr>
            <w:tcW w:w="637" w:type="dxa"/>
          </w:tcPr>
          <w:p w:rsidR="001C7BF9" w:rsidRPr="00C9680B" w:rsidRDefault="001C7BF9">
            <w:r w:rsidRPr="00C9680B">
              <w:t>2001</w:t>
            </w:r>
          </w:p>
        </w:tc>
        <w:tc>
          <w:tcPr>
            <w:tcW w:w="851" w:type="dxa"/>
          </w:tcPr>
          <w:p w:rsidR="001C7BF9" w:rsidRPr="00C9680B" w:rsidRDefault="001C7BF9">
            <w:r w:rsidRPr="00C9680B">
              <w:t>6 207</w:t>
            </w:r>
          </w:p>
        </w:tc>
        <w:tc>
          <w:tcPr>
            <w:tcW w:w="1134" w:type="dxa"/>
          </w:tcPr>
          <w:p w:rsidR="001C7BF9" w:rsidRPr="00C9680B" w:rsidRDefault="001C7BF9">
            <w:r w:rsidRPr="00C9680B">
              <w:t>+ 50</w:t>
            </w:r>
          </w:p>
        </w:tc>
        <w:tc>
          <w:tcPr>
            <w:tcW w:w="1276" w:type="dxa"/>
          </w:tcPr>
          <w:p w:rsidR="001C7BF9" w:rsidRPr="00C9680B" w:rsidRDefault="001C7BF9">
            <w:r w:rsidRPr="00C9680B">
              <w:t>+ 120</w:t>
            </w:r>
          </w:p>
        </w:tc>
        <w:tc>
          <w:tcPr>
            <w:tcW w:w="1134" w:type="dxa"/>
          </w:tcPr>
          <w:p w:rsidR="001C7BF9" w:rsidRPr="00C9680B" w:rsidRDefault="001C7BF9">
            <w:r w:rsidRPr="00C9680B">
              <w:t xml:space="preserve">  +- 0</w:t>
            </w:r>
          </w:p>
        </w:tc>
        <w:tc>
          <w:tcPr>
            <w:tcW w:w="1058" w:type="dxa"/>
          </w:tcPr>
          <w:p w:rsidR="001C7BF9" w:rsidRPr="00C9680B" w:rsidRDefault="001C7BF9">
            <w:r w:rsidRPr="00C9680B">
              <w:t>+ 75</w:t>
            </w:r>
          </w:p>
        </w:tc>
      </w:tr>
      <w:tr w:rsidR="00000000" w:rsidRPr="00C9680B">
        <w:tblPrEx>
          <w:tblCellMar>
            <w:top w:w="0" w:type="dxa"/>
            <w:bottom w:w="0" w:type="dxa"/>
          </w:tblCellMar>
        </w:tblPrEx>
        <w:tc>
          <w:tcPr>
            <w:tcW w:w="637" w:type="dxa"/>
          </w:tcPr>
          <w:p w:rsidR="001C7BF9" w:rsidRPr="00C9680B" w:rsidRDefault="001C7BF9">
            <w:r w:rsidRPr="00C9680B">
              <w:t>2002</w:t>
            </w:r>
          </w:p>
        </w:tc>
        <w:tc>
          <w:tcPr>
            <w:tcW w:w="851" w:type="dxa"/>
          </w:tcPr>
          <w:p w:rsidR="001C7BF9" w:rsidRPr="00C9680B" w:rsidRDefault="001C7BF9">
            <w:r w:rsidRPr="00C9680B">
              <w:t>6 338</w:t>
            </w:r>
          </w:p>
        </w:tc>
        <w:tc>
          <w:tcPr>
            <w:tcW w:w="1134" w:type="dxa"/>
          </w:tcPr>
          <w:p w:rsidR="001C7BF9" w:rsidRPr="00C9680B" w:rsidRDefault="001C7BF9">
            <w:r w:rsidRPr="00C9680B">
              <w:t>+ 50</w:t>
            </w:r>
          </w:p>
        </w:tc>
        <w:tc>
          <w:tcPr>
            <w:tcW w:w="1276" w:type="dxa"/>
          </w:tcPr>
          <w:p w:rsidR="001C7BF9" w:rsidRPr="00C9680B" w:rsidRDefault="001C7BF9">
            <w:r w:rsidRPr="00C9680B">
              <w:t>+ 120</w:t>
            </w:r>
          </w:p>
        </w:tc>
        <w:tc>
          <w:tcPr>
            <w:tcW w:w="1134" w:type="dxa"/>
          </w:tcPr>
          <w:p w:rsidR="001C7BF9" w:rsidRPr="00C9680B" w:rsidRDefault="001C7BF9">
            <w:r w:rsidRPr="00C9680B">
              <w:t xml:space="preserve">  +- 0</w:t>
            </w:r>
          </w:p>
        </w:tc>
        <w:tc>
          <w:tcPr>
            <w:tcW w:w="1058" w:type="dxa"/>
          </w:tcPr>
          <w:p w:rsidR="001C7BF9" w:rsidRPr="00C9680B" w:rsidRDefault="001C7BF9">
            <w:r w:rsidRPr="00C9680B">
              <w:t>+ 75</w:t>
            </w:r>
          </w:p>
        </w:tc>
      </w:tr>
      <w:tr w:rsidR="00000000" w:rsidRPr="00C9680B">
        <w:tblPrEx>
          <w:tblCellMar>
            <w:top w:w="0" w:type="dxa"/>
            <w:bottom w:w="0" w:type="dxa"/>
          </w:tblCellMar>
        </w:tblPrEx>
        <w:tc>
          <w:tcPr>
            <w:tcW w:w="637" w:type="dxa"/>
          </w:tcPr>
          <w:p w:rsidR="001C7BF9" w:rsidRPr="00C9680B" w:rsidRDefault="001C7BF9">
            <w:r w:rsidRPr="00C9680B">
              <w:t>2003</w:t>
            </w:r>
          </w:p>
        </w:tc>
        <w:tc>
          <w:tcPr>
            <w:tcW w:w="851" w:type="dxa"/>
          </w:tcPr>
          <w:p w:rsidR="001C7BF9" w:rsidRPr="00C9680B" w:rsidRDefault="001C7BF9">
            <w:r w:rsidRPr="00C9680B">
              <w:t>6 483</w:t>
            </w:r>
          </w:p>
        </w:tc>
        <w:tc>
          <w:tcPr>
            <w:tcW w:w="1134" w:type="dxa"/>
          </w:tcPr>
          <w:p w:rsidR="001C7BF9" w:rsidRPr="00C9680B" w:rsidRDefault="001C7BF9">
            <w:r w:rsidRPr="00C9680B">
              <w:t>+ 50</w:t>
            </w:r>
          </w:p>
        </w:tc>
        <w:tc>
          <w:tcPr>
            <w:tcW w:w="1276" w:type="dxa"/>
          </w:tcPr>
          <w:p w:rsidR="001C7BF9" w:rsidRPr="00C9680B" w:rsidRDefault="001C7BF9">
            <w:r w:rsidRPr="00C9680B">
              <w:t>+ 120</w:t>
            </w:r>
          </w:p>
        </w:tc>
        <w:tc>
          <w:tcPr>
            <w:tcW w:w="1134" w:type="dxa"/>
          </w:tcPr>
          <w:p w:rsidR="001C7BF9" w:rsidRPr="00C9680B" w:rsidRDefault="001C7BF9">
            <w:r w:rsidRPr="00C9680B">
              <w:t xml:space="preserve">  +- 0</w:t>
            </w:r>
          </w:p>
        </w:tc>
        <w:tc>
          <w:tcPr>
            <w:tcW w:w="1058" w:type="dxa"/>
          </w:tcPr>
          <w:p w:rsidR="001C7BF9" w:rsidRPr="00C9680B" w:rsidRDefault="001C7BF9">
            <w:r w:rsidRPr="00C9680B">
              <w:t>+ 75</w:t>
            </w:r>
          </w:p>
        </w:tc>
      </w:tr>
    </w:tbl>
    <w:p w:rsidR="001C7BF9" w:rsidRPr="00C9680B" w:rsidRDefault="001C7BF9">
      <w:r w:rsidRPr="00C9680B">
        <w:t>Uppgiften att bekämpa smuggling, skattefusk och annan ekonomisk brottsli</w:t>
      </w:r>
      <w:r w:rsidRPr="00C9680B">
        <w:t>g</w:t>
      </w:r>
      <w:r w:rsidRPr="00C9680B">
        <w:softHyphen/>
        <w:t>het på ett effektivt och kraftfullt sätt är sedan länge högt prioriterad hos tullen och skatteförvaltningen. Utskottet har under senare år oroats över att skatte</w:t>
      </w:r>
      <w:r w:rsidRPr="00C9680B">
        <w:softHyphen/>
        <w:t>förvaltningen inte förmått upprätthålla skattekontrollverksamheten på en tillräckligt hög nivå. Utskottet fäster därför stor vikt vid att skatteförval</w:t>
      </w:r>
      <w:r w:rsidRPr="00C9680B">
        <w:t>t</w:t>
      </w:r>
      <w:r w:rsidRPr="00C9680B">
        <w:softHyphen/>
        <w:t>ningen i årets budget fr.o.m. 2001 tillförs ett varaktigt resurstillskott på 125 miljoner kronor. Tillskottet skall bl.a. användas för att höja kontrollnivån i riktning mot 1997 års nivå. Även tul</w:t>
      </w:r>
      <w:r w:rsidRPr="00C9680B">
        <w:t>len tillförs som redovisats ovan ett vara</w:t>
      </w:r>
      <w:r w:rsidRPr="00C9680B">
        <w:t>k</w:t>
      </w:r>
      <w:r w:rsidRPr="00C9680B">
        <w:softHyphen/>
        <w:t>tigt resurstillskott för att möta merkostnader i samband med den nya Ör</w:t>
      </w:r>
      <w:r w:rsidRPr="00C9680B">
        <w:t>e</w:t>
      </w:r>
      <w:r w:rsidRPr="00C9680B">
        <w:t>sundsförbindelsen. Utskottets förhoppning är att resursförstärkningarna kommer att ytterligare öka effektiviteten i myndigheternas arbete med att bekämpa och förebygga sådan brottslighet som motionärerna nämner. Det får ankomma på regeringen att noga följa utvecklingen och resultatet av resu</w:t>
      </w:r>
      <w:r w:rsidRPr="00C9680B">
        <w:t>r</w:t>
      </w:r>
      <w:r w:rsidRPr="00C9680B">
        <w:t xml:space="preserve">stillskotten. </w:t>
      </w:r>
    </w:p>
    <w:p w:rsidR="001C7BF9" w:rsidRPr="00C9680B" w:rsidRDefault="001C7BF9">
      <w:pPr>
        <w:pStyle w:val="Normaltindrag"/>
      </w:pPr>
      <w:r w:rsidRPr="00C9680B">
        <w:t>Vid behandlingen av vårpropositionen instämde utskottet i regeringens b</w:t>
      </w:r>
      <w:r w:rsidRPr="00C9680B">
        <w:t>e</w:t>
      </w:r>
      <w:r w:rsidRPr="00C9680B">
        <w:t>dömning bl.a. beträffande resurstillskottens storlek, och utskottet ser ingen anledning att ändra bedömning i det avseendet. När det gäller de totala u</w:t>
      </w:r>
      <w:r w:rsidRPr="00C9680B">
        <w:t>t</w:t>
      </w:r>
      <w:r w:rsidRPr="00C9680B">
        <w:t>giftsramarna för utgiftsområdet anser utskottet att propositionens förslag för 2001–2003 är väl avvägt, och utskottet anser att de olika motionsförslagen som innebär ännu längre gående resursförstär</w:t>
      </w:r>
      <w:r w:rsidRPr="00C9680B">
        <w:t>k</w:t>
      </w:r>
      <w:r w:rsidRPr="00C9680B">
        <w:t xml:space="preserve">ningar inte är motiverade. </w:t>
      </w:r>
    </w:p>
    <w:p w:rsidR="001C7BF9" w:rsidRPr="00C9680B" w:rsidRDefault="001C7BF9">
      <w:pPr>
        <w:pStyle w:val="Normaltindrag"/>
      </w:pPr>
      <w:r w:rsidRPr="00C9680B">
        <w:t>Utskottet avstyrker därmed motionerna Fi208 yrkandena 5 och 6, Fi209 yrkandena 6 och 7 och Fi211 yrkandena 6 och 8, alla i här berör</w:t>
      </w:r>
      <w:r w:rsidRPr="00C9680B">
        <w:t>da delar, och föreslår att riksdagen skall besluta i enlighet med regeringens förslag till ram för uo 3 för budgetåret 2001. Utskottet föreslår vidare att riksdagen skall godkänna propositionens förslag till preliminära utgiftsramar för utgifts</w:t>
      </w:r>
      <w:r w:rsidRPr="00C9680B">
        <w:softHyphen/>
        <w:t>området för åren 2002 och 2003. Motion Fi210 yrkandena 4 och 5 delvis är tillgodosedd med propositionens förslag till utgiftsramar.</w:t>
      </w:r>
    </w:p>
    <w:p w:rsidR="001C7BF9" w:rsidRPr="00C9680B" w:rsidRDefault="001C7BF9">
      <w:r w:rsidRPr="00C9680B">
        <w:t>Eftersom finansutskottet har ett övergripande ansvar för budgeten vill skatte</w:t>
      </w:r>
      <w:r w:rsidRPr="00C9680B">
        <w:softHyphen/>
        <w:t>utskottet även lämna följande synpunkter på budgetens indelning i politik</w:t>
      </w:r>
      <w:r w:rsidRPr="00C9680B">
        <w:softHyphen/>
        <w:t>områden och utgiftsområden. Indelningen i politikområden, som är en nyhet i årets budgetproposition, innebär bl.a. att skatteförvaltningen och Tull</w:t>
      </w:r>
      <w:r w:rsidRPr="00C9680B">
        <w:softHyphen/>
        <w:t>verket inom uo 3 samt exekutionsväsendet (kronofogdemyndigheterna) inom uo 4 ingår i politikområdet Skatt, tull och exekution. Målformuleringen för poli</w:t>
      </w:r>
      <w:r w:rsidRPr="00C9680B">
        <w:softHyphen/>
        <w:t>tikområdet skall skatteutskottet bereda medan således anslagen till kron</w:t>
      </w:r>
      <w:r w:rsidRPr="00C9680B">
        <w:t>o</w:t>
      </w:r>
      <w:r w:rsidRPr="00C9680B">
        <w:softHyphen/>
        <w:t>fogdemyndigheterna bereds av justitieutskottet. Eftersom det f</w:t>
      </w:r>
      <w:r w:rsidRPr="00C9680B">
        <w:t>öreslagna målet för politikområdet såvitt avser kronofogdemyndigheterna därför bör bedömas av justitieutskottet har skatteutskottet berett justitieutskottet tillfälle att yttra sig över propositi</w:t>
      </w:r>
      <w:r w:rsidRPr="00C9680B">
        <w:t>o</w:t>
      </w:r>
      <w:r w:rsidRPr="00C9680B">
        <w:t>nen i denna del.</w:t>
      </w:r>
    </w:p>
    <w:p w:rsidR="001C7BF9" w:rsidRPr="00C9680B" w:rsidRDefault="001C7BF9">
      <w:pPr>
        <w:pStyle w:val="Normaltindrag"/>
      </w:pPr>
      <w:r w:rsidRPr="00C9680B">
        <w:t xml:space="preserve"> Frågan aktualiserar på nytt i vilket utgiftsområde anslaget till kronofo</w:t>
      </w:r>
      <w:r w:rsidRPr="00C9680B">
        <w:t>g</w:t>
      </w:r>
      <w:r w:rsidRPr="00C9680B">
        <w:softHyphen/>
        <w:t>demyndigheterna skall läggas. Sedan budgetreformen 1996 ligger detta anslag i uo 4 Rättsväsendet. Samtidigt ansvarar skatteutskottet för anslagen till RSV som är central myndighet för exekutionsväsendet. Vidare handhar lagutskottet beredningen av den exekutionsrättsliga lagstiftningen. Beredningen av ex</w:t>
      </w:r>
      <w:r w:rsidRPr="00C9680B">
        <w:t>e</w:t>
      </w:r>
      <w:r w:rsidRPr="00C9680B">
        <w:softHyphen/>
        <w:t>kutionsväsendets angelägenheter i riksdagen angår alltså tre olika utskott: skatte-, justitie- och lagutskotten. RSV har de senaste åren vid flera tillfällen gett uttryck åt uppfattningen att anslaget för</w:t>
      </w:r>
      <w:r w:rsidRPr="00C9680B">
        <w:t xml:space="preserve"> kronofogdemyndigheterna bör flyttas över till uo 3 Skatteförvaltning och uppbörd. Skälen är i huvudsak praktiska. RSV är som nämnts centralmyndighet för bägge förvaltningarna och har de senaste åren konsekvent redovisat skatteförvaltningens och kron</w:t>
      </w:r>
      <w:r w:rsidRPr="00C9680B">
        <w:t>o</w:t>
      </w:r>
      <w:r w:rsidRPr="00C9680B">
        <w:softHyphen/>
        <w:t>fogdemyndigheternas resursbehov i samma budgetunderlag. Det är vidare mer naturligt, anser RSV, att väga kronofogdemyndigheternas behov mot övrig skatteförvaltnings än att väga kronofogdemyndigheternas behov mot polisens, åklagarnas och domstolarnas. Mot den b</w:t>
      </w:r>
      <w:r w:rsidRPr="00C9680B">
        <w:t>akgrunden innebär den nya politikområdesindelningen ett steg i den riktning som RSV rekommenderar. Skatteutskottet för sin del anser att den pågående översynen över budget</w:t>
      </w:r>
      <w:r w:rsidRPr="00C9680B">
        <w:softHyphen/>
        <w:t>arbetet i riksdagen också skulle kunna ta upp frågan om anslagens inplacering i utgiftsområden med hänsyn till fördelningen av polit</w:t>
      </w:r>
      <w:r w:rsidRPr="00C9680B">
        <w:t>i</w:t>
      </w:r>
      <w:r w:rsidRPr="00C9680B">
        <w:t xml:space="preserve">kområden. </w:t>
      </w:r>
    </w:p>
    <w:p w:rsidR="001C7BF9" w:rsidRPr="00C9680B" w:rsidRDefault="001C7BF9">
      <w:pPr>
        <w:pStyle w:val="OrtochDatum"/>
        <w:spacing w:before="250"/>
      </w:pPr>
      <w:r w:rsidRPr="00C9680B">
        <w:t>Stockholm den 26 oktober 2000</w:t>
      </w:r>
    </w:p>
    <w:p w:rsidR="001C7BF9" w:rsidRPr="00C9680B" w:rsidRDefault="001C7BF9">
      <w:pPr>
        <w:pStyle w:val="Pxx-utskottetsvgnar"/>
      </w:pPr>
      <w:r w:rsidRPr="00C9680B">
        <w:t>På skatteutskottets vägnar</w:t>
      </w:r>
    </w:p>
    <w:p w:rsidR="001C7BF9" w:rsidRPr="00C9680B" w:rsidRDefault="001C7BF9">
      <w:pPr>
        <w:pStyle w:val="Ordfranden"/>
        <w:spacing w:before="625"/>
        <w:rPr>
          <w:noProof w:val="0"/>
        </w:rPr>
      </w:pPr>
      <w:r w:rsidRPr="00C9680B">
        <w:rPr>
          <w:noProof w:val="0"/>
        </w:rPr>
        <w:t>Arne Kjörnsberg</w:t>
      </w:r>
    </w:p>
    <w:p w:rsidR="001C7BF9" w:rsidRPr="00C9680B" w:rsidRDefault="001C7BF9">
      <w:pPr>
        <w:pStyle w:val="Deltagare"/>
        <w:rPr>
          <w:noProof w:val="0"/>
        </w:rPr>
      </w:pPr>
      <w:r w:rsidRPr="00C9680B">
        <w:rPr>
          <w:noProof w:val="0"/>
        </w:rPr>
        <w:t xml:space="preserve">Följande ledamöter har deltagit i beslutet: Arne Kjörnsberg (s), Carl Fredrik Graf (m), Lisbeth Staaf-Igelström (s), Per Rosengren (v), Helena Höij (kd), Carl Erik Hedlund (m), Per Erik Granström (s), Marietta de Pourbaix-Lundin (m), Ulla Wester (s), Lena Sandlin-Hedman (s), Marie Engström (v), Catharina Hagen (m), Rolf Kenneryd (c), Johan Pehrson (fp), Lennart Axelsson (s), Sven Brus (kd) och Matz Hammarström (mp). </w:t>
      </w:r>
    </w:p>
    <w:p w:rsidR="001C7BF9" w:rsidRPr="00C9680B" w:rsidRDefault="001C7BF9"/>
    <w:p w:rsidR="001C7BF9" w:rsidRPr="00C9680B" w:rsidRDefault="001C7BF9">
      <w:pPr>
        <w:pStyle w:val="R1"/>
      </w:pPr>
      <w:r w:rsidRPr="00C9680B">
        <w:br w:type="page"/>
      </w:r>
      <w:bookmarkStart w:id="1080" w:name="_Toc497720155"/>
      <w:r w:rsidRPr="00C9680B">
        <w:t>Avvikande meningar</w:t>
      </w:r>
      <w:bookmarkEnd w:id="1080"/>
    </w:p>
    <w:p w:rsidR="001C7BF9" w:rsidRPr="00C9680B" w:rsidRDefault="001C7BF9">
      <w:pPr>
        <w:pStyle w:val="Rubrik2"/>
        <w:spacing w:before="0"/>
      </w:pPr>
      <w:bookmarkStart w:id="1081" w:name="_Toc497720156"/>
      <w:bookmarkStart w:id="1082" w:name="_Toc498838214"/>
      <w:r w:rsidRPr="00C9680B">
        <w:t>1. Skattefrågor i budgetpropositionen – m</w:t>
      </w:r>
      <w:bookmarkEnd w:id="1081"/>
      <w:bookmarkEnd w:id="1082"/>
    </w:p>
    <w:p w:rsidR="001C7BF9" w:rsidRPr="00C9680B" w:rsidRDefault="001C7BF9">
      <w:r w:rsidRPr="00C9680B">
        <w:t>Carl Fredrik Graf (m), Carl Erik Hedlund (m), Marietta de Pourbaix-Lundin (m) och Catharina Hagen (m) anför:</w:t>
      </w:r>
    </w:p>
    <w:p w:rsidR="001C7BF9" w:rsidRPr="00C9680B" w:rsidRDefault="001C7BF9">
      <w:pPr>
        <w:pStyle w:val="Rubrik3"/>
        <w:spacing w:before="250"/>
        <w:rPr>
          <w:noProof w:val="0"/>
        </w:rPr>
      </w:pPr>
      <w:bookmarkStart w:id="1083" w:name="_Toc497720157"/>
      <w:bookmarkStart w:id="1084" w:name="_Toc498838215"/>
      <w:r w:rsidRPr="00C9680B">
        <w:rPr>
          <w:noProof w:val="0"/>
        </w:rPr>
        <w:t>Skatteförslagen och inkomstberäkningen</w:t>
      </w:r>
      <w:bookmarkEnd w:id="1083"/>
      <w:bookmarkEnd w:id="1084"/>
    </w:p>
    <w:p w:rsidR="001C7BF9" w:rsidRPr="00C9680B" w:rsidRDefault="001C7BF9">
      <w:r w:rsidRPr="00C9680B">
        <w:t>Vi vill föra en politik som gör att Sverige blir ett ledande kunskapssamhälle som står starkt i den globala ekonomin. I den globala ekonomin är det inte skattesatsernas höjd utan skattebasernas styrka som ger de stabila skatte</w:t>
      </w:r>
      <w:r w:rsidRPr="00C9680B">
        <w:softHyphen/>
        <w:t>inkomsterna. Sverige måste kunna hävda sig väl inte bara inom ramen för EU utan också i den internationella konkurrens som så tydligt präglar förutsät</w:t>
      </w:r>
      <w:r w:rsidRPr="00C9680B">
        <w:t>t</w:t>
      </w:r>
      <w:r w:rsidRPr="00C9680B">
        <w:softHyphen/>
        <w:t>ningarna för svensk välfärd och svenskt näringsliv. Det skall alltid löna sig att arbeta och det skall löna sig för den som vill arbeta mer. Kunskap och ko</w:t>
      </w:r>
      <w:r w:rsidRPr="00C9680B">
        <w:t>m</w:t>
      </w:r>
      <w:r w:rsidRPr="00C9680B">
        <w:softHyphen/>
        <w:t>petensutveckling skall stimuleras. Reformer som stärker den enskildes rätt och som vidgar utrymmet för företagande och företagsamhet skall tillsa</w:t>
      </w:r>
      <w:r w:rsidRPr="00C9680B">
        <w:t>m</w:t>
      </w:r>
      <w:r w:rsidRPr="00C9680B">
        <w:softHyphen/>
        <w:t xml:space="preserve">mans med stabila offentliga finanser lägga grunden för </w:t>
      </w:r>
      <w:r w:rsidRPr="00C9680B">
        <w:t xml:space="preserve">ett Sverige som i en föränderlig tid är ledande både när det gäller frihet och trygghet. </w:t>
      </w:r>
    </w:p>
    <w:p w:rsidR="001C7BF9" w:rsidRPr="00C9680B" w:rsidRDefault="001C7BF9">
      <w:pPr>
        <w:pStyle w:val="Normaltindrag"/>
      </w:pPr>
      <w:r w:rsidRPr="00C9680B">
        <w:t>Vi vill under detta decennium genomföra en omfattande inkomst</w:t>
      </w:r>
      <w:r w:rsidRPr="00C9680B">
        <w:softHyphen/>
        <w:t>skatte</w:t>
      </w:r>
      <w:r w:rsidRPr="00C9680B">
        <w:softHyphen/>
        <w:t>reform. Vårt långsiktiga mål är en kommunal inkomstbeskattning med ett grundavdrag på 50 000 kr per person och ett förvärvsavdrag som gör att bara 85 % av arbetsinkomsten beskattas. Den statliga inkomstskatten skall a</w:t>
      </w:r>
      <w:r w:rsidRPr="00C9680B">
        <w:t>v</w:t>
      </w:r>
      <w:r w:rsidRPr="00C9680B">
        <w:t xml:space="preserve">vecklas. Reformen skall vara genomförd fullt ut senast 2010. </w:t>
      </w:r>
    </w:p>
    <w:p w:rsidR="001C7BF9" w:rsidRPr="00C9680B" w:rsidRDefault="001C7BF9">
      <w:pPr>
        <w:pStyle w:val="Normaltindrag"/>
      </w:pPr>
      <w:r w:rsidRPr="00C9680B">
        <w:t>Regeringens förslag för inkomståret 2001 inskränker sig till en kompens</w:t>
      </w:r>
      <w:r w:rsidRPr="00C9680B">
        <w:t>a</w:t>
      </w:r>
      <w:r w:rsidRPr="00C9680B">
        <w:softHyphen/>
        <w:t xml:space="preserve">tion för en del av den allmänna pensionsavgiften och en marginell höjning av grundavdraget som finansieras genom höjda skatter på el och eldningsolja. Svenska löntagare kommer även i fortsättningen att vara de högst beskattade i den fria världen. </w:t>
      </w:r>
    </w:p>
    <w:p w:rsidR="001C7BF9" w:rsidRPr="00C9680B" w:rsidRDefault="001C7BF9">
      <w:pPr>
        <w:pStyle w:val="Normaltindrag"/>
      </w:pPr>
      <w:r w:rsidRPr="00C9680B">
        <w:t>Vi avslår regeringens förslag och föreslår att övergången till en verklig skattesänkning som omfattar såväl låginkomsttagare som höginkomsttagare påbörjas. En kraftig minskning av de marginaleffekter som drabbar låg</w:t>
      </w:r>
      <w:r w:rsidRPr="00C9680B">
        <w:softHyphen/>
        <w:t>inkomsttagare uppnås genom att ett växande grundavdrag införs. Grund</w:t>
      </w:r>
      <w:r w:rsidRPr="00C9680B">
        <w:softHyphen/>
        <w:t>avdraget startar med 10 000 kr och växer till 34 000 kr vid en inkomst på 130 000 kr. För den som vill öka sin arbetsinsats genom att öka sin deltid har det stor betydelse att en inkomstökning inte försvinner till skatt, i förlorade bidrag etc. Vid högre inkomster sker en avtrappning som upphör vid en i</w:t>
      </w:r>
      <w:r w:rsidRPr="00C9680B">
        <w:t>n</w:t>
      </w:r>
      <w:r w:rsidRPr="00C9680B">
        <w:t xml:space="preserve">komst på 230 000 kr. Grundavdraget uppgår då till 24 000 kr. Värnskatten utgör en straffskatt på utbildning och kompetens och avskaffas. </w:t>
      </w:r>
      <w:r w:rsidRPr="00C9680B">
        <w:t>Gränsen för uttag av statlig inkomstskatt flyttas upp till taket för uttag av den allmänna pensionsavgiften. En generell sänkning av marginaleffekten på alla arbets</w:t>
      </w:r>
      <w:r w:rsidRPr="00C9680B">
        <w:softHyphen/>
        <w:t xml:space="preserve">inkomster uppnås genom ett förvärvsavdrag. Inkomståret 2001 föreslår vi ett kommunalt förvärvsavdrag på 8 % av den pensionsgrundande inkomsten. Pensionärer med arbetsskadelivränta får sitt särskilda grundavdrag återställt. Avsikten är att grundavdraget och förvärvsavdraget skall höjas åren 2002 och 2003. </w:t>
      </w:r>
    </w:p>
    <w:p w:rsidR="001C7BF9" w:rsidRPr="00C9680B" w:rsidRDefault="001C7BF9">
      <w:pPr>
        <w:pStyle w:val="Normaltindrag"/>
      </w:pPr>
      <w:r w:rsidRPr="00C9680B">
        <w:t>I ett land som Sverige med långa avstånd</w:t>
      </w:r>
      <w:r w:rsidRPr="00C9680B">
        <w:t xml:space="preserve"> och där alternativ till bilen ofta inte finns är det nödvändigt med en bensinskattesänkning. Alla resor som görs är inte arbetsresor. För att folk skall kunna bo i glesbygden räcker det därför inte med ett höjt avdrag för arbetsresor. De svenska bensinskatterna måste sänkas till en genomsnittlig europeisk nivå. Vi föreslår att skatten på bensin och diesel sänks med 70 öre per liter inklusive moms från årsskiftet. Reg</w:t>
      </w:r>
      <w:r w:rsidRPr="00C9680B">
        <w:t>e</w:t>
      </w:r>
      <w:r w:rsidRPr="00C9680B">
        <w:softHyphen/>
        <w:t>ringen föreslår i stället en höjning av punktskatten på diesel med 11,7 öre per liter. Sk</w:t>
      </w:r>
      <w:r w:rsidRPr="00C9680B">
        <w:t>atten på diesel är redan så hög i Sverige att betydande vinster kan göras på att köpa den i annat land. Detta görs också redan i dag i stor u</w:t>
      </w:r>
      <w:r w:rsidRPr="00C9680B">
        <w:t>t</w:t>
      </w:r>
      <w:r w:rsidRPr="00C9680B">
        <w:t>sträckning. Höjningen är omotiverad och avslås. Vi höjer också reseavdra</w:t>
      </w:r>
      <w:r w:rsidRPr="00C9680B">
        <w:softHyphen/>
        <w:t xml:space="preserve">get till 20 kr per mil och avdraget för förmånsbilar till 10 kr per mil (7 kr för dieseldrivna bilar). Vid beräkning av avdrag för resor till och från arbete bör restiden även inkludera hämtning och lämning av barn vid barnomsorg. </w:t>
      </w:r>
    </w:p>
    <w:p w:rsidR="001C7BF9" w:rsidRPr="00C9680B" w:rsidRDefault="001C7BF9">
      <w:pPr>
        <w:pStyle w:val="Normaltindrag"/>
      </w:pPr>
      <w:r w:rsidRPr="00C9680B">
        <w:t>Vi vill öka möjligheten för föräldrar att själva välja sin barnom</w:t>
      </w:r>
      <w:r w:rsidRPr="00C9680B">
        <w:t>sorg och f</w:t>
      </w:r>
      <w:r w:rsidRPr="00C9680B">
        <w:t>ö</w:t>
      </w:r>
      <w:r w:rsidRPr="00C9680B">
        <w:t>reslår dä</w:t>
      </w:r>
      <w:r w:rsidRPr="00C9680B">
        <w:t>r</w:t>
      </w:r>
      <w:r w:rsidRPr="00C9680B">
        <w:t>för tillsammans med Kristdemokraterna, Centerpartiet och Folk</w:t>
      </w:r>
      <w:r w:rsidRPr="00C9680B">
        <w:softHyphen/>
        <w:t>partiet en kommunal avdragsrätt för styrkta barnomsorgskostnader på 50 000 kr fr.o.m. år 2002. Härtill kommer att vi i Moderata samlingspartiet ersätter regeringens förslag om höjt barnbidrag med ett extra kommunalt grundavdrag om 12 000 kr per barn redan i år.</w:t>
      </w:r>
    </w:p>
    <w:p w:rsidR="001C7BF9" w:rsidRPr="00C9680B" w:rsidRDefault="001C7BF9">
      <w:pPr>
        <w:pStyle w:val="Normaltindrag"/>
      </w:pPr>
      <w:r w:rsidRPr="00C9680B">
        <w:t xml:space="preserve">I vårt budgetalternativ höjs avdraget för premie för pensionsförsäkring från ett halvt till ett helt prisbasbelopp. </w:t>
      </w:r>
    </w:p>
    <w:p w:rsidR="001C7BF9" w:rsidRPr="00C9680B" w:rsidRDefault="001C7BF9">
      <w:pPr>
        <w:pStyle w:val="Normaltindrag"/>
        <w:rPr>
          <w:snapToGrid w:val="0"/>
        </w:rPr>
      </w:pPr>
      <w:r w:rsidRPr="00C9680B">
        <w:rPr>
          <w:snapToGrid w:val="0"/>
        </w:rPr>
        <w:t>En skattereduktion på 50 % av arbetskostnaden för ROT-arbeten och hu</w:t>
      </w:r>
      <w:r w:rsidRPr="00C9680B">
        <w:rPr>
          <w:snapToGrid w:val="0"/>
        </w:rPr>
        <w:t>s</w:t>
      </w:r>
      <w:r w:rsidRPr="00C9680B">
        <w:rPr>
          <w:snapToGrid w:val="0"/>
        </w:rPr>
        <w:softHyphen/>
        <w:t>hållstjänster som utförs i hemmet upp till 50 000 kr införs för att förbättra förutsättningarna för den vita marknaden för hushållstjänster (jfr motion 2000/01:Sk728). Förslaget har många fördelar. Svarta jobb blir vita genom att den som arbetar svart får möjlighet att inordna sig i ett legalt system, hus</w:t>
      </w:r>
      <w:r w:rsidRPr="00C9680B">
        <w:rPr>
          <w:snapToGrid w:val="0"/>
        </w:rPr>
        <w:softHyphen/>
        <w:t>hå</w:t>
      </w:r>
      <w:r w:rsidRPr="00C9680B">
        <w:rPr>
          <w:snapToGrid w:val="0"/>
        </w:rPr>
        <w:t>l</w:t>
      </w:r>
      <w:r w:rsidRPr="00C9680B">
        <w:rPr>
          <w:snapToGrid w:val="0"/>
        </w:rPr>
        <w:t xml:space="preserve">lens valfrihet ökar och vi får fler riktiga jobb. </w:t>
      </w:r>
    </w:p>
    <w:p w:rsidR="001C7BF9" w:rsidRPr="00C9680B" w:rsidRDefault="001C7BF9">
      <w:pPr>
        <w:pStyle w:val="Normaltindrag"/>
      </w:pPr>
      <w:r w:rsidRPr="00C9680B">
        <w:t>Fastighetsskatten är en orättfärdig skatt som tas ut utan hänsyn till männ</w:t>
      </w:r>
      <w:r w:rsidRPr="00C9680B">
        <w:t>i</w:t>
      </w:r>
      <w:r w:rsidRPr="00C9680B">
        <w:softHyphen/>
        <w:t xml:space="preserve">skors förmåga att betala. Taxeringsvärdena har varit frysta sedan 1997, och frysningens upphörande 2001 kommer att innebära kraftiga skattehöjningar för många både avseende fastighetsskatt och förmögenhetsskatt. </w:t>
      </w:r>
    </w:p>
    <w:p w:rsidR="001C7BF9" w:rsidRPr="00C9680B" w:rsidRDefault="001C7BF9">
      <w:pPr>
        <w:pStyle w:val="Normaltindrag"/>
      </w:pPr>
      <w:r w:rsidRPr="00C9680B">
        <w:t>Regeringen låter taxeringsvärdena stiga och kompenserar detta med sänkta fastighetsskattesatser. Men de flesta småhus kommer ändå att drabbas av kraftiga skattehöjningar. Regeringens förslag ger ett oförändrat uttag vid en höjning av taxeringsvärdet med 25 %. Men den genomsnittliga höjningen är 3</w:t>
      </w:r>
      <w:r w:rsidRPr="00C9680B">
        <w:t>5 %. I många områden stiger taxeringsvärden vid årsskiftet med 60–70 % och i en del områden med i det närmaste 100 %. Det är uppenbart att reg</w:t>
      </w:r>
      <w:r w:rsidRPr="00C9680B">
        <w:t>e</w:t>
      </w:r>
      <w:r w:rsidRPr="00C9680B">
        <w:softHyphen/>
        <w:t>ringens förslag är otillräckligt. I regeringens förslag ingår dessutom att kap</w:t>
      </w:r>
      <w:r w:rsidRPr="00C9680B">
        <w:t>i</w:t>
      </w:r>
      <w:r w:rsidRPr="00C9680B">
        <w:softHyphen/>
        <w:t>talvinst vid försäljning av bostäder skall beskattas hårdare. Vi avslår reg</w:t>
      </w:r>
      <w:r w:rsidRPr="00C9680B">
        <w:t>e</w:t>
      </w:r>
      <w:r w:rsidRPr="00C9680B">
        <w:softHyphen/>
        <w:t xml:space="preserve">ringens förslag. </w:t>
      </w:r>
    </w:p>
    <w:p w:rsidR="001C7BF9" w:rsidRPr="00C9680B" w:rsidRDefault="001C7BF9">
      <w:pPr>
        <w:pStyle w:val="Normaltindrag"/>
      </w:pPr>
      <w:r w:rsidRPr="00C9680B">
        <w:t>Vi vill fortsätta frysningen av taxeringsvärdena. Skatten skall beräknas ut</w:t>
      </w:r>
      <w:r w:rsidRPr="00C9680B">
        <w:t>i</w:t>
      </w:r>
      <w:r w:rsidRPr="00C9680B">
        <w:softHyphen/>
        <w:t>från 1997 års taxeringsvärden. För att minska de regionala skillnaderna a</w:t>
      </w:r>
      <w:r w:rsidRPr="00C9680B">
        <w:t>n</w:t>
      </w:r>
      <w:r w:rsidRPr="00C9680B">
        <w:t>vänds endast halva markvärdet som grund för beräkningen. I de områden där prisutvecklingen leder till sänkta taxeringsvärden skall de lägre värdena gälla. Vi påbörjar också en avveckling av fastighetsskatten. Skattesatsen sänks till 1,0 % för småhus och till 0,7 % för flerfamiljshus av det oföränd</w:t>
      </w:r>
      <w:r w:rsidRPr="00C9680B">
        <w:softHyphen/>
        <w:t>rade eller lägre taxeringsvärdet 2001. År 2002 sänks skattesatsen för småhus till 0,9 % och år 2003 till 0,8 %. Fastighetsskatten skall d</w:t>
      </w:r>
      <w:r w:rsidRPr="00C9680B">
        <w:t>ärefter avvecklas su</w:t>
      </w:r>
      <w:r w:rsidRPr="00C9680B">
        <w:t>c</w:t>
      </w:r>
      <w:r w:rsidRPr="00C9680B">
        <w:t xml:space="preserve">cessivt. </w:t>
      </w:r>
    </w:p>
    <w:p w:rsidR="001C7BF9" w:rsidRPr="00C9680B" w:rsidRDefault="001C7BF9">
      <w:pPr>
        <w:pStyle w:val="Normaltindrag"/>
      </w:pPr>
      <w:r w:rsidRPr="00C9680B">
        <w:t>Förmögenhetsskatten är en extraskatt på kapitalavkastning och motverkar den nödvändiga kapitalbildningen. Ett mångfasetterat näringsliv under o</w:t>
      </w:r>
      <w:r w:rsidRPr="00C9680B">
        <w:t>m</w:t>
      </w:r>
      <w:r w:rsidRPr="00C9680B">
        <w:t>strukturering behöver riskkapital, och det är viktigt att så stora delar av b</w:t>
      </w:r>
      <w:r w:rsidRPr="00C9680B">
        <w:t>e</w:t>
      </w:r>
      <w:r w:rsidRPr="00C9680B">
        <w:t>folkningen som möjligt deltar i kapitaluppbyggnaden. Förmögenhetsskatten är dessutom godtycklig. Ägarna av tolv av de tretton största förmögenheterna betalar inte förmögenhetsskatt för sitt aktieinnehav, medan låginkomsttagare med småhus nu kan tvingas lämna sina hem på grund av kombinationen av fastighetsskatt och förmögenhetsskatt. I ett första steg år 2001 avskaffas sa</w:t>
      </w:r>
      <w:r w:rsidRPr="00C9680B">
        <w:t>m</w:t>
      </w:r>
      <w:r w:rsidRPr="00C9680B">
        <w:softHyphen/>
        <w:t>beskattningen av förmögenhet och fribeloppet höjs till 1,</w:t>
      </w:r>
      <w:r w:rsidRPr="00C9680B">
        <w:t>5 miljoner kronor. Därefter avskaffas förmögenhet</w:t>
      </w:r>
      <w:r w:rsidRPr="00C9680B">
        <w:t>s</w:t>
      </w:r>
      <w:r w:rsidRPr="00C9680B">
        <w:t xml:space="preserve">skatten helt. </w:t>
      </w:r>
    </w:p>
    <w:p w:rsidR="001C7BF9" w:rsidRPr="00C9680B" w:rsidRDefault="001C7BF9">
      <w:pPr>
        <w:pStyle w:val="Normaltindrag"/>
      </w:pPr>
      <w:r w:rsidRPr="00C9680B">
        <w:t>Sverige har redan de allra högsta koldioxidskatterna i Europa, vilket har till följd att konkurrensen mellan Sverige och andra länder snedvrids. Vi riskerar redan i dag att företag flyttar till länder med lägre miljöskatter. Denna risk ökar än mer med regeringens förslag om höjda skatter på energi, men regeringen väljer att blunda för detta faktum. Vi avslår regeringens förslag och föreslår i stället att energiskatten på el och bränsle för upp</w:t>
      </w:r>
      <w:r w:rsidRPr="00C9680B">
        <w:t xml:space="preserve">värmning sänks med 8 %. </w:t>
      </w:r>
    </w:p>
    <w:p w:rsidR="001C7BF9" w:rsidRPr="00C9680B" w:rsidRDefault="001C7BF9">
      <w:pPr>
        <w:pStyle w:val="Normaltindrag"/>
      </w:pPr>
      <w:r w:rsidRPr="00C9680B">
        <w:t>Tillväxt och välståndsökning skapas genom ett dynamiskt näringsliv. St</w:t>
      </w:r>
      <w:r w:rsidRPr="00C9680B">
        <w:t>a</w:t>
      </w:r>
      <w:r w:rsidRPr="00C9680B">
        <w:t xml:space="preserve">ten kan medverka till att skapa ett positivt företagareklimat genom bl.a. ett skattesystem som inte hindrar företag från att utvecklas. Vi föreslår en rad åtgärder inom beskattningsområdet som syftar till att ge svenskt näringsliv bättre förutsättningar att utvecklas. </w:t>
      </w:r>
    </w:p>
    <w:p w:rsidR="001C7BF9" w:rsidRPr="00C9680B" w:rsidRDefault="001C7BF9">
      <w:pPr>
        <w:pStyle w:val="Normaltindrag"/>
      </w:pPr>
      <w:r w:rsidRPr="00C9680B">
        <w:t>Dubbelbeskattningen av bolagens vinstutdelningar slopas fr.o.m. 2001 års vinster. Bristen på riskkapital framhålls av många företagare som ett hinder för expansion. Det bästa sättet att skapa en stark marknad för riskkapital är att stimulera</w:t>
      </w:r>
      <w:r w:rsidRPr="00C9680B">
        <w:t xml:space="preserve"> till sparande. Dubbelbeskattningen av ett bolags vinstutdelningar innebär emellertid att riskkapital beskattas i det närmaste dubbelt så högt som riskfria placeringar. Härigenom missgynnas svenskt ägande av aktier i fö</w:t>
      </w:r>
      <w:r w:rsidRPr="00C9680B">
        <w:t>r</w:t>
      </w:r>
      <w:r w:rsidRPr="00C9680B">
        <w:softHyphen/>
        <w:t>hållande till utländska intressenter. Kapitalinkomstskatterna är alltför höga jämfört med nivån i andra länder. De bör därför successivt sänkas till 15 %, vilket skulle medföra en vitalisering av svenskt näringsliv. Vidare finns det ett behov att sänka skatten på personaloptioner. Vi avsätt</w:t>
      </w:r>
      <w:r w:rsidRPr="00C9680B">
        <w:t>er i vårt alternativ m</w:t>
      </w:r>
      <w:r w:rsidRPr="00C9680B">
        <w:t>e</w:t>
      </w:r>
      <w:r w:rsidRPr="00C9680B">
        <w:t>del för sänkt kapitalskatt/optionsbeskattning fr.o.m. år 2002.</w:t>
      </w:r>
    </w:p>
    <w:p w:rsidR="001C7BF9" w:rsidRPr="00C9680B" w:rsidRDefault="001C7BF9">
      <w:pPr>
        <w:pStyle w:val="Normaltindrag"/>
      </w:pPr>
      <w:r w:rsidRPr="00C9680B">
        <w:t>Royaltyinkomst beskattas som inkomst av kapital. Att som i dag ta upp royalty som näringsinkomst eller inkomst av tjänst driver uppfinningsrika innovatörer i landsflykt i stället för att slå vakt om deras kompetens för att utveckla nya idéer i Sverige.</w:t>
      </w:r>
    </w:p>
    <w:p w:rsidR="001C7BF9" w:rsidRPr="00C9680B" w:rsidRDefault="001C7BF9">
      <w:pPr>
        <w:pStyle w:val="Normaltindrag"/>
      </w:pPr>
      <w:r w:rsidRPr="00C9680B">
        <w:t>Beskattningen av en företagsledares familjemedlemmar för deras ersät</w:t>
      </w:r>
      <w:r w:rsidRPr="00C9680B">
        <w:t>t</w:t>
      </w:r>
      <w:r w:rsidRPr="00C9680B">
        <w:softHyphen/>
        <w:t>ning från bolaget följer särskilda regler. Make/maka beskattas för marknad</w:t>
      </w:r>
      <w:r w:rsidRPr="00C9680B">
        <w:t>s</w:t>
      </w:r>
      <w:r w:rsidRPr="00C9680B">
        <w:softHyphen/>
        <w:t>mässig ersättning. För den del som bedöms som liggande över en mark</w:t>
      </w:r>
      <w:r w:rsidRPr="00C9680B">
        <w:softHyphen/>
        <w:t>na</w:t>
      </w:r>
      <w:r w:rsidRPr="00C9680B">
        <w:t>d</w:t>
      </w:r>
      <w:r w:rsidRPr="00C9680B">
        <w:t>sersättning skattar företagsledaren. Barn under 16 år, som arbetar i bola</w:t>
      </w:r>
      <w:r w:rsidRPr="00C9680B">
        <w:softHyphen/>
        <w:t>get, beskattas hos den av makarna som har den högsta inkomsten från före</w:t>
      </w:r>
      <w:r w:rsidRPr="00C9680B">
        <w:softHyphen/>
        <w:t>taget. Detta gäller även ersättning till barn över 16 år, ”till den del ersätt</w:t>
      </w:r>
      <w:r w:rsidRPr="00C9680B">
        <w:softHyphen/>
        <w:t>ningen överstiger marknadsmässigt vederlag för arbetsinsatsen”. Det är direkt diskriminerande och t.o.m. ett brott mot jämställdhetssträv</w:t>
      </w:r>
      <w:r w:rsidRPr="00C9680B">
        <w:t>andena att betrakta make eller maka som ett bihang till företagsledaren. Det finns inte heller någon anledning att straffbeskatta ungdomars feriearbeten i familjeföretaget och därmed sätta i gång ett byte av arbeten mellan olika familjeföretag för att undvika straffskatten. Fåmansföretag bör jämställas med övriga verksamheter i dessa hänseenden.</w:t>
      </w:r>
    </w:p>
    <w:p w:rsidR="001C7BF9" w:rsidRPr="00C9680B" w:rsidRDefault="001C7BF9">
      <w:pPr>
        <w:pStyle w:val="Normaltindrag"/>
      </w:pPr>
      <w:r w:rsidRPr="00C9680B">
        <w:t>I den s.k. Lex Asea finns regler som underlättar omstrukturering av för</w:t>
      </w:r>
      <w:r w:rsidRPr="00C9680B">
        <w:t>e</w:t>
      </w:r>
      <w:r w:rsidRPr="00C9680B">
        <w:softHyphen/>
        <w:t>tag. En förutsättning är dock att någon del av det utdelande företaget är mar</w:t>
      </w:r>
      <w:r w:rsidRPr="00C9680B">
        <w:t>k</w:t>
      </w:r>
      <w:r w:rsidRPr="00C9680B">
        <w:softHyphen/>
        <w:t>nadsnoterat. Onoterade bolag omfattas inte av Lex Asea, vilket är en klar diskriminering av fåmansbolagen, varför kravet på marknadsnotering bör slopas.</w:t>
      </w:r>
    </w:p>
    <w:p w:rsidR="001C7BF9" w:rsidRPr="00C9680B" w:rsidRDefault="001C7BF9">
      <w:pPr>
        <w:pStyle w:val="Normaltindrag"/>
      </w:pPr>
      <w:r w:rsidRPr="00C9680B">
        <w:t>Den höga svenska dieselskatten slår hårt mot åkerinäringen. De svenska åkerierna har ca 20 % högre kostnader än konkurrenterna. De höga skatterna resulterar i att åkerier slås ut till förmån för konkurrerande åkerier från övriga Europa som kör i Sverige med sämre bilar, sämre d</w:t>
      </w:r>
      <w:r w:rsidRPr="00C9680B">
        <w:t>iesel och sämre arbetsvil</w:t>
      </w:r>
      <w:r w:rsidRPr="00C9680B">
        <w:t>l</w:t>
      </w:r>
      <w:r w:rsidRPr="00C9680B">
        <w:softHyphen/>
        <w:t>kor. Vi avslår därför regeringens förslag om en höjning av skatten på diesel och sänker i vårt alternativ i stället dieselskatten med 70 öre inklusive moms. Någon sänkning av mervärdesskatten på personbefordran är inte nödvändig med vårt alternativ.</w:t>
      </w:r>
    </w:p>
    <w:p w:rsidR="001C7BF9" w:rsidRPr="00C9680B" w:rsidRDefault="001C7BF9">
      <w:pPr>
        <w:pStyle w:val="Normaltindrag"/>
      </w:pPr>
      <w:r w:rsidRPr="00C9680B">
        <w:t>Även jordbruket drabbas av den dieselskattehöjning som regeringen för</w:t>
      </w:r>
      <w:r w:rsidRPr="00C9680B">
        <w:t>e</w:t>
      </w:r>
      <w:r w:rsidRPr="00C9680B">
        <w:softHyphen/>
        <w:t>slår. Skatterna på produktionsmedel i lantbruket har varit föremål för utre</w:t>
      </w:r>
      <w:r w:rsidRPr="00C9680B">
        <w:t>d</w:t>
      </w:r>
      <w:r w:rsidRPr="00C9680B">
        <w:softHyphen/>
        <w:t>ning. Utredningen föreslog att skatten på diesel inom lantbruket bör sänkas till den nivå som bl.a. gruvnäringen har. På så sätt skulle någon form av ko</w:t>
      </w:r>
      <w:r w:rsidRPr="00C9680B">
        <w:t>n</w:t>
      </w:r>
      <w:r w:rsidRPr="00C9680B">
        <w:t>kurrensneutralitet med lantbruket inom övriga EU skapas. Vi anser att skatten på diesel i lantbruket skall sänkas enligt utredningens förslag. Det betyder till en nivå på 53 öre per liter för arbetsredskap i jord- och skogsbruk. Även entreprenadmaskiner bör omfattas av denna lägr</w:t>
      </w:r>
      <w:r w:rsidRPr="00C9680B">
        <w:t>e skattesats. Vi har reserverat utrymme för att ta bort skatten på kväve i vårt bu</w:t>
      </w:r>
      <w:r w:rsidRPr="00C9680B">
        <w:t>d</w:t>
      </w:r>
      <w:r w:rsidRPr="00C9680B">
        <w:t xml:space="preserve">getalternativ. </w:t>
      </w:r>
    </w:p>
    <w:p w:rsidR="001C7BF9" w:rsidRPr="00C9680B" w:rsidRDefault="001C7BF9">
      <w:pPr>
        <w:pStyle w:val="Normaltindrag"/>
      </w:pPr>
      <w:r w:rsidRPr="00C9680B">
        <w:t>Energiskatterna slår inte bara mot jord- och skogsbruk. Sverige har en i</w:t>
      </w:r>
      <w:r w:rsidRPr="00C9680B">
        <w:t>n</w:t>
      </w:r>
      <w:r w:rsidRPr="00C9680B">
        <w:t>ternationellt sett stor energikrävande industrisektor, som har drabbats hårt av de särskilda produktionsskatterna på el. Enligt vår uppfattning bör inga fi</w:t>
      </w:r>
      <w:r w:rsidRPr="00C9680B">
        <w:t>s</w:t>
      </w:r>
      <w:r w:rsidRPr="00C9680B">
        <w:t>kala energiskatter över huvud taget tas ut i produktionsledet. Den särskilda skatten på el producerad i kärnkraftverk fördyrar produktionen i dessa a</w:t>
      </w:r>
      <w:r w:rsidRPr="00C9680B">
        <w:t>n</w:t>
      </w:r>
      <w:r w:rsidRPr="00C9680B">
        <w:t>läggningar. Skatten bör på sikt helt tas bort. I ett första skede skall höj</w:t>
      </w:r>
      <w:r w:rsidRPr="00C9680B">
        <w:softHyphen/>
        <w:t>ningen på 0,5 öre per kWh återtas. Vidare bör skatten tas ut som en produk</w:t>
      </w:r>
      <w:r w:rsidRPr="00C9680B">
        <w:softHyphen/>
        <w:t>tionsskatt.</w:t>
      </w:r>
    </w:p>
    <w:p w:rsidR="001C7BF9" w:rsidRPr="00C9680B" w:rsidRDefault="001C7BF9">
      <w:pPr>
        <w:pStyle w:val="Normaltindrag"/>
      </w:pPr>
      <w:r w:rsidRPr="00C9680B">
        <w:t>Skatten på annonser och reklam bör avskaff</w:t>
      </w:r>
      <w:r w:rsidRPr="00C9680B">
        <w:t>as eftersom den inte är konku</w:t>
      </w:r>
      <w:r w:rsidRPr="00C9680B">
        <w:t>r</w:t>
      </w:r>
      <w:r w:rsidRPr="00C9680B">
        <w:softHyphen/>
        <w:t>rensneutral och ger upphov tillämpnings- och kontrollsvårigheter. I samband med att reklamskatten avskaffas bör en bättre konkurrensneutralitet mellan dagstidningar och tidskrifter uppnås genom att mervärdesskatten på dagsti</w:t>
      </w:r>
      <w:r w:rsidRPr="00C9680B">
        <w:t>d</w:t>
      </w:r>
      <w:r w:rsidRPr="00C9680B">
        <w:softHyphen/>
        <w:t>ningar höjs till 25 %. Vår allmänna strävan är att sänka det generella uttaget av all mervärdesskatt, men innan det kan ske bör inget företag eller någon bransch ha konkurrensfördelar på grund av olika skattesa</w:t>
      </w:r>
      <w:r w:rsidRPr="00C9680B">
        <w:t>t</w:t>
      </w:r>
      <w:r w:rsidRPr="00C9680B">
        <w:t xml:space="preserve">ser. </w:t>
      </w:r>
    </w:p>
    <w:p w:rsidR="001C7BF9" w:rsidRPr="00C9680B" w:rsidRDefault="001C7BF9">
      <w:pPr>
        <w:pStyle w:val="Normaltindrag"/>
      </w:pPr>
      <w:r w:rsidRPr="00C9680B">
        <w:t>Vi vidhåller vårt förslag från i våras</w:t>
      </w:r>
      <w:r w:rsidRPr="00C9680B">
        <w:t xml:space="preserve"> när det gäller både ökade skattefria i</w:t>
      </w:r>
      <w:r w:rsidRPr="00C9680B">
        <w:t>n</w:t>
      </w:r>
      <w:r w:rsidRPr="00C9680B">
        <w:t>förselkvantiteter och sänkt skatt på alkohol. När de skattefria införselkvan</w:t>
      </w:r>
      <w:r w:rsidRPr="00C9680B">
        <w:softHyphen/>
        <w:t>titeterna stiger är det givetvis viktigt att anpassa de svenska alkoholskatterna till omvärldens. Den danska nivån på alkoholskatter kan tjäna som ett rik</w:t>
      </w:r>
      <w:r w:rsidRPr="00C9680B">
        <w:t>t</w:t>
      </w:r>
      <w:r w:rsidRPr="00C9680B">
        <w:softHyphen/>
        <w:t xml:space="preserve">märke. Görs inte detta kommer bryggerier, Systembolaget och andra aktörer i branschen i ett mycket prekärt läge. Redan i dag har vi permitteringar bland svenska bryggerier. Ökade skattefria införselkvantiteter, legala och illegala, kommer </w:t>
      </w:r>
      <w:r w:rsidRPr="00C9680B">
        <w:t>givetvis att innebära kraftigt försämrade överlevnadsvillkor för många företag resulterande i friställningar, nedläggningar och arbetslöshet. Dessa kostnader för samhället som helhet måste tas med i beräkningarna av vad bibehållandet av höga alkoholskatter innebär. Totalt räknar vi med att skatteeffekten för staten, jämfört med att inte sänka dessa punktskatter, blir plus minus noll. Riksdagen bör därför besluta om sänkta alkoholskatter i enlighet med vårt förslag fr.o.m. den 1 januari 2001.</w:t>
      </w:r>
    </w:p>
    <w:p w:rsidR="001C7BF9" w:rsidRPr="00C9680B" w:rsidRDefault="001C7BF9">
      <w:pPr>
        <w:pStyle w:val="Normaltindrag"/>
      </w:pPr>
      <w:r w:rsidRPr="00C9680B">
        <w:t>Vi anser slutli</w:t>
      </w:r>
      <w:r w:rsidRPr="00C9680B">
        <w:t>gen att det är av största vikt att regeringen skyndsamt och redan i höst lägger fram förslag om ett yrkesfiskaravdrag som innebär att det svenska fisket får konkurrensvillkor som är jämbördiga med villkoren i ko</w:t>
      </w:r>
      <w:r w:rsidRPr="00C9680B">
        <w:t>n</w:t>
      </w:r>
      <w:r w:rsidRPr="00C9680B">
        <w:softHyphen/>
        <w:t>kurrentländerna. Det anförda bör riksdagen som sin mening ge regeringen till känna.</w:t>
      </w:r>
    </w:p>
    <w:p w:rsidR="001C7BF9" w:rsidRPr="00C9680B" w:rsidRDefault="001C7BF9">
      <w:pPr>
        <w:pStyle w:val="Normaltindrag"/>
      </w:pPr>
      <w:r w:rsidRPr="00C9680B">
        <w:t>Vi föreslår att riksdagen fattar beslut om en inriktning av skattepolitiken som överensstämmer med Moderata samlingspartiets förslag.</w:t>
      </w:r>
    </w:p>
    <w:p w:rsidR="001C7BF9" w:rsidRPr="00C9680B" w:rsidRDefault="001C7BF9">
      <w:pPr>
        <w:pStyle w:val="Normaltindrag"/>
      </w:pPr>
      <w:r w:rsidRPr="00C9680B">
        <w:t>Med det anförda tillstyrker vi motionerna Fi208 yrkandena 7, 12, 19 och 20, Sk301, Sk302, Sk303, Sk304, Sk305, Sk306, Sk307, Sk308, Sk309, Sk311 yrkande 1, Sk312 yrkande 1, Sk313 yrkandena 1–6, 8–24 och 26–45, Sk314, Sk315, Sk317, Sk319 yrkandena 1–6, Sk320 yrkandena 1 och 3, Sk324 yrkande 6, Sk620 yrkande 4, Sk621 yrkandena 1, 2, 4 och 6, Sk1025 yrkande 1, Sk1028 yrkandena 3–6 och 9–15, Sk1029 yrkande 2, MJ244 y</w:t>
      </w:r>
      <w:r w:rsidRPr="00C9680B">
        <w:t>r</w:t>
      </w:r>
      <w:r w:rsidRPr="00C9680B">
        <w:t>kande 5, MJ256 yrkande 4, N385 yrkandena 6–11 och Bo414 yrkandena 11, 12 och 14.</w:t>
      </w:r>
    </w:p>
    <w:p w:rsidR="001C7BF9" w:rsidRPr="00C9680B" w:rsidRDefault="001C7BF9">
      <w:pPr>
        <w:pStyle w:val="Normaltindrag"/>
      </w:pPr>
      <w:r w:rsidRPr="00C9680B">
        <w:t>Vi står bakom den inkomstberäkning som redovisas i motion Fi208 yrka</w:t>
      </w:r>
      <w:r w:rsidRPr="00C9680B">
        <w:t>n</w:t>
      </w:r>
      <w:r w:rsidRPr="00C9680B">
        <w:t>de 7.</w:t>
      </w:r>
    </w:p>
    <w:p w:rsidR="001C7BF9" w:rsidRPr="00C9680B" w:rsidRDefault="001C7BF9">
      <w:pPr>
        <w:pStyle w:val="Rubrik3"/>
        <w:rPr>
          <w:noProof w:val="0"/>
        </w:rPr>
      </w:pPr>
      <w:bookmarkStart w:id="1085" w:name="_Toc497720158"/>
      <w:bookmarkStart w:id="1086" w:name="_Toc498838216"/>
      <w:r w:rsidRPr="00C9680B">
        <w:rPr>
          <w:noProof w:val="0"/>
        </w:rPr>
        <w:t>Ramarna för utg.omr. 3 Skatteförvaltning och uppbörd</w:t>
      </w:r>
      <w:bookmarkEnd w:id="1085"/>
      <w:bookmarkEnd w:id="1086"/>
    </w:p>
    <w:p w:rsidR="001C7BF9" w:rsidRPr="00C9680B" w:rsidRDefault="001C7BF9">
      <w:r w:rsidRPr="00C9680B">
        <w:t>Moderata samlingspartiet vill öka utgiftsramen för utgiftsområdet i förhålla</w:t>
      </w:r>
      <w:r w:rsidRPr="00C9680B">
        <w:t>n</w:t>
      </w:r>
      <w:r w:rsidRPr="00C9680B">
        <w:softHyphen/>
        <w:t>de till propositionen med 50 miljoner kronor vart och ett av åren 2001–2003. Medlen skall användas för att öka tullens möjligheter att via kontroller b</w:t>
      </w:r>
      <w:r w:rsidRPr="00C9680B">
        <w:t>e</w:t>
      </w:r>
      <w:r w:rsidRPr="00C9680B">
        <w:softHyphen/>
        <w:t>kämpa smugglingen av narkotika, alkohol och cigaretter. Trots skattesän</w:t>
      </w:r>
      <w:r w:rsidRPr="00C9680B">
        <w:t>k</w:t>
      </w:r>
      <w:r w:rsidRPr="00C9680B">
        <w:softHyphen/>
        <w:t>ningar på cigaretter har smugglingen fortfarande en betydande omfattning. Vi bedömer att denna satsning ökar intäkterna till statskassan med minst motsv</w:t>
      </w:r>
      <w:r w:rsidRPr="00C9680B">
        <w:t>a</w:t>
      </w:r>
      <w:r w:rsidRPr="00C9680B">
        <w:softHyphen/>
        <w:t>rande belopp. Med det anförda tillstyrker vi motion Fi208 yrkandena 5 och 6 i här berörda delar.</w:t>
      </w:r>
    </w:p>
    <w:p w:rsidR="001C7BF9" w:rsidRPr="00C9680B" w:rsidRDefault="001C7BF9">
      <w:pPr>
        <w:pStyle w:val="Rubrik2"/>
      </w:pPr>
      <w:bookmarkStart w:id="1087" w:name="_Toc497720159"/>
      <w:bookmarkStart w:id="1088" w:name="_Toc498838217"/>
      <w:r w:rsidRPr="00C9680B">
        <w:br w:type="page"/>
        <w:t>2. Skattefrågor i budgetproposit</w:t>
      </w:r>
      <w:r w:rsidRPr="00C9680B">
        <w:t>ionen – kd</w:t>
      </w:r>
      <w:bookmarkEnd w:id="1087"/>
      <w:bookmarkEnd w:id="1088"/>
    </w:p>
    <w:p w:rsidR="001C7BF9" w:rsidRPr="00C9680B" w:rsidRDefault="001C7BF9">
      <w:r w:rsidRPr="00C9680B">
        <w:t>Helena Höij (kd) anför:</w:t>
      </w:r>
    </w:p>
    <w:p w:rsidR="001C7BF9" w:rsidRPr="00C9680B" w:rsidRDefault="001C7BF9">
      <w:pPr>
        <w:pStyle w:val="Rubrik3"/>
        <w:spacing w:before="250"/>
        <w:rPr>
          <w:noProof w:val="0"/>
        </w:rPr>
      </w:pPr>
      <w:bookmarkStart w:id="1089" w:name="_Toc497720160"/>
      <w:bookmarkStart w:id="1090" w:name="_Toc498838218"/>
      <w:r w:rsidRPr="00C9680B">
        <w:rPr>
          <w:noProof w:val="0"/>
        </w:rPr>
        <w:t>Skatteförslagen och inkomstberäkningen</w:t>
      </w:r>
      <w:bookmarkEnd w:id="1089"/>
      <w:bookmarkEnd w:id="1090"/>
    </w:p>
    <w:p w:rsidR="001C7BF9" w:rsidRPr="00C9680B" w:rsidRDefault="001C7BF9">
      <w:r w:rsidRPr="00C9680B">
        <w:t>Skattepolitiken är ett viktigt instrument för att uppnå full sysselsättning, stabil och uthållig tillväxt, rättvis fördelning, god miljö och hushållning med natu</w:t>
      </w:r>
      <w:r w:rsidRPr="00C9680B">
        <w:t>r</w:t>
      </w:r>
      <w:r w:rsidRPr="00C9680B">
        <w:softHyphen/>
        <w:t>resurser. Samtidigt måste skatterna ha en utformning som gör att de får en bred acceptans och inte leder till skatteundandragande och bristande skatt</w:t>
      </w:r>
      <w:r w:rsidRPr="00C9680B">
        <w:t>e</w:t>
      </w:r>
      <w:r w:rsidRPr="00C9680B">
        <w:softHyphen/>
        <w:t>moral. Ju större det totala skatteuttaget är desto svårare blir det att undvika snedvridande effekter. Ett högt skattetryck med krångliga regler ger incit</w:t>
      </w:r>
      <w:r w:rsidRPr="00C9680B">
        <w:t>a</w:t>
      </w:r>
      <w:r w:rsidRPr="00C9680B">
        <w:softHyphen/>
        <w:t>ment till svartarbete och ökar sårbarheten vid en lågko</w:t>
      </w:r>
      <w:r w:rsidRPr="00C9680B">
        <w:t>n</w:t>
      </w:r>
      <w:r w:rsidRPr="00C9680B">
        <w:t>junktur.</w:t>
      </w:r>
    </w:p>
    <w:p w:rsidR="001C7BF9" w:rsidRPr="00C9680B" w:rsidRDefault="001C7BF9">
      <w:pPr>
        <w:pStyle w:val="Normaltindrag"/>
      </w:pPr>
      <w:r w:rsidRPr="00C9680B">
        <w:t>Vi ser det som en viktig och prioriterad uppgift att skapa en skattestruktur som gör att fler kan klara sig på sin egen lön och inte tving</w:t>
      </w:r>
      <w:r w:rsidRPr="00C9680B">
        <w:t>as vara beroende av bidrag för att få hushållsekonomin att gå ihop. Vidare behöver ändringar göras för att de val människor vill göra, exempelvis öka eller minska sin arbetstid, inte skall påverkas negativt av kombinationen av statliga regler och bidrag. Sänkta inkomstskatter för låginkomsttagare är en fråga om värdighet och respekt för enskilda personer. Med sänkta inkomstskatter kommer fler låginkomsttagare att få möjlighet att påverka och få kontroll över sin egen ekonomiska situation. Våra förslag som g</w:t>
      </w:r>
      <w:r w:rsidRPr="00C9680B">
        <w:t>ör att alla får behålla mer av sin lön är följande.</w:t>
      </w:r>
    </w:p>
    <w:p w:rsidR="001C7BF9" w:rsidRPr="00C9680B" w:rsidRDefault="001C7BF9">
      <w:r w:rsidRPr="00C9680B">
        <w:t>Ett grundavdrag på 20 000 kr införs vid beräkningen av den kommunala och statliga inkomstskatten år 2001. Inkomstskatten sänks för alla – även pensi</w:t>
      </w:r>
      <w:r w:rsidRPr="00C9680B">
        <w:t>o</w:t>
      </w:r>
      <w:r w:rsidRPr="00C9680B">
        <w:t>närer – med sammanlagt 16,9 miljarder kronor. Jämfört med rege</w:t>
      </w:r>
      <w:r w:rsidRPr="00C9680B">
        <w:softHyphen/>
        <w:t>ringens förslag ger detta en skattesänkning med ca 250 kr/månad, eller drygt 3 000 kr per år. Förslaget ger förutsättningar för en bättre funge</w:t>
      </w:r>
      <w:r w:rsidRPr="00C9680B">
        <w:softHyphen/>
        <w:t>rande lönebildning och innebär exempelvis en viktig förbättring för sommar- eller extraarbetande ungd</w:t>
      </w:r>
      <w:r w:rsidRPr="00C9680B">
        <w:t>o</w:t>
      </w:r>
      <w:r w:rsidRPr="00C9680B">
        <w:t xml:space="preserve">mar. </w:t>
      </w:r>
    </w:p>
    <w:p w:rsidR="001C7BF9" w:rsidRPr="00C9680B" w:rsidRDefault="001C7BF9">
      <w:r w:rsidRPr="00C9680B">
        <w:t xml:space="preserve">Skattereduktionen för låginkomsttagare fördubblas till 2 640 kr (220 kr per månad). </w:t>
      </w:r>
    </w:p>
    <w:p w:rsidR="001C7BF9" w:rsidRPr="00C9680B" w:rsidRDefault="001C7BF9">
      <w:r w:rsidRPr="00C9680B">
        <w:t>Ett statligt förvärvsavdrag införs mot kommunalskatten på inkomster av a</w:t>
      </w:r>
      <w:r w:rsidRPr="00C9680B">
        <w:t>n</w:t>
      </w:r>
      <w:r w:rsidRPr="00C9680B">
        <w:t>ställning och näringsverksamhet motsvarande 6,15 % av den taxerade i</w:t>
      </w:r>
      <w:r w:rsidRPr="00C9680B">
        <w:t>n</w:t>
      </w:r>
      <w:r w:rsidRPr="00C9680B">
        <w:t>komsten år 2001, 8 % år 2002 och 11,55 % år 2003. Hushållen får ett ökat ekonomiskt utrymme och avsevärt minskade marginaleffe</w:t>
      </w:r>
      <w:r w:rsidRPr="00C9680B">
        <w:t>k</w:t>
      </w:r>
      <w:r w:rsidRPr="00C9680B">
        <w:t>ter.</w:t>
      </w:r>
    </w:p>
    <w:p w:rsidR="001C7BF9" w:rsidRPr="00C9680B" w:rsidRDefault="001C7BF9">
      <w:r w:rsidRPr="00C9680B">
        <w:t xml:space="preserve">Värnskatten tas bort. Den är ett brott mot de principer som lades fast vid skattereformen 1990–1991 och mot de löften Socialdemokraterna ställde ut om att värnskatten under budgetsaneringsåren skulle vara tillfällig. Det är en framtidsinvestering att ha ett skattesystem som gör att utbildning lönar sig. </w:t>
      </w:r>
    </w:p>
    <w:p w:rsidR="001C7BF9" w:rsidRPr="00C9680B" w:rsidRDefault="001C7BF9">
      <w:r w:rsidRPr="00C9680B">
        <w:t>Gränsen för avdrag för resor till och från jobbet sänks från 7 000 till 5 000 kr. Det innebär att resekostnader på ytterligare 2 000 kr blir avdragsgilla jämfört med i dag. Vidare bör avdraget inkludera resor till och från barnomsorg. Förslaget skall ses som ett stöd för personer i glesbygd och andra som inte har möjlighet att utnyttja kollektiva alterna</w:t>
      </w:r>
      <w:r w:rsidRPr="00C9680B">
        <w:softHyphen/>
        <w:t>tiv till bilen. Vi stödjer regeringens förslag om sänkt moms på person</w:t>
      </w:r>
      <w:r w:rsidRPr="00C9680B">
        <w:softHyphen/>
        <w:t>befordran och höjd milersättning.</w:t>
      </w:r>
    </w:p>
    <w:p w:rsidR="001C7BF9" w:rsidRPr="00C9680B" w:rsidRDefault="001C7BF9">
      <w:r w:rsidRPr="00C9680B">
        <w:t>Utrymmet för eget pensionssparande ökar från ett halvt till ett helt pri</w:t>
      </w:r>
      <w:r w:rsidRPr="00C9680B">
        <w:t>s</w:t>
      </w:r>
      <w:r w:rsidRPr="00C9680B">
        <w:softHyphen/>
        <w:t>basbelopp. De olika socialförsäkringssystemen är så generella att det inte går att i dessa täcka in alla individuella önskemål. Därför bör enskilda få möjli</w:t>
      </w:r>
      <w:r w:rsidRPr="00C9680B">
        <w:t>g</w:t>
      </w:r>
      <w:r w:rsidRPr="00C9680B">
        <w:t>het att genom långsiktigt sparande gardera sig mot inkomstbort</w:t>
      </w:r>
      <w:r w:rsidRPr="00C9680B">
        <w:softHyphen/>
        <w:t xml:space="preserve">fall. </w:t>
      </w:r>
    </w:p>
    <w:p w:rsidR="001C7BF9" w:rsidRPr="00C9680B" w:rsidRDefault="001C7BF9">
      <w:r w:rsidRPr="00C9680B">
        <w:t>En rätt till avdrag för alla typer av barnomsorg – såväl offentlig som privat – införs från år 2002 och ökar familjernas valfrihet och ger utrymme för fle</w:t>
      </w:r>
      <w:r w:rsidRPr="00C9680B">
        <w:t>x</w:t>
      </w:r>
      <w:r w:rsidRPr="00C9680B">
        <w:t>ibla lösningar. Avdraget gäller för samtliga barnom</w:t>
      </w:r>
      <w:r w:rsidRPr="00C9680B">
        <w:softHyphen/>
        <w:t>sorgskostnader oavsett tillsynsform och får göras med maximalt 50 000 kr per barn och år. Kombina</w:t>
      </w:r>
      <w:r w:rsidRPr="00C9680B">
        <w:softHyphen/>
        <w:t>tionen av barnomsorgskonto och avdragsrätt gör till exempel att man för en egen kostnad av omkring 15 000 kr kan betala barnomsorg för 50 000 kr. Avdragsrätten minskar dessutom tröskeleffekterna vid övergång till förvärv</w:t>
      </w:r>
      <w:r w:rsidRPr="00C9680B">
        <w:t>s</w:t>
      </w:r>
      <w:r w:rsidRPr="00C9680B">
        <w:t>arbete genom att den faktiska kostnaden för bar</w:t>
      </w:r>
      <w:r w:rsidRPr="00C9680B">
        <w:t>n</w:t>
      </w:r>
      <w:r w:rsidRPr="00C9680B">
        <w:t xml:space="preserve">omsorg sänks. </w:t>
      </w:r>
    </w:p>
    <w:p w:rsidR="001C7BF9" w:rsidRPr="00C9680B" w:rsidRDefault="001C7BF9">
      <w:r w:rsidRPr="00C9680B">
        <w:t>Barnfamiljerna får en ytterligare skattelättnad åren 2001–2003 med 25, 100 re</w:t>
      </w:r>
      <w:r w:rsidRPr="00C9680B">
        <w:t xml:space="preserve">sp. 150 kr per barn och månad. </w:t>
      </w:r>
    </w:p>
    <w:p w:rsidR="001C7BF9" w:rsidRPr="00C9680B" w:rsidRDefault="001C7BF9">
      <w:r w:rsidRPr="00C9680B">
        <w:t>Ett särskilt yrkesfiskaravdrag införs. Det svenska fisket verkar på en inter</w:t>
      </w:r>
      <w:r w:rsidRPr="00C9680B">
        <w:softHyphen/>
        <w:t xml:space="preserve">nationell marknad, där fiskefartygen lägger till och säljer fisk i ett flertal länder, med påföljd att konkurrensen blir hård. Det svenska fisket måste ha likvärdiga skattevillkor med sina konkurrentländer. </w:t>
      </w:r>
    </w:p>
    <w:p w:rsidR="001C7BF9" w:rsidRPr="00C9680B" w:rsidRDefault="001C7BF9">
      <w:r w:rsidRPr="00C9680B">
        <w:t>Royaltyinkomster från patenterade uppfinningar skattebefrias under två år och beskattas därefter som inkomst av kapital. Sverige har en onormalt stor export av patent och uppfinningar som exploateras i andra länder. Vi vill förbättra möjligheterna till exploatering av patent och uppfinningar i Sverige.</w:t>
      </w:r>
    </w:p>
    <w:p w:rsidR="001C7BF9" w:rsidRPr="00C9680B" w:rsidRDefault="001C7BF9">
      <w:r w:rsidRPr="00C9680B">
        <w:t>En avdragsrätt för insättningar på individuella utbildningskonton införs från halvårsskiftet år 2002. De belopp som förs upp på kontot skall enbart kunna användas för den enskildes kompetens</w:t>
      </w:r>
      <w:r w:rsidRPr="00C9680B">
        <w:softHyphen/>
        <w:t>utveckling. Med</w:t>
      </w:r>
      <w:r w:rsidRPr="00C9680B">
        <w:softHyphen/>
        <w:t>arbetare med hög kompetens är på många vis en överlevnadsfråga för svensk företagsamhet. Vår förmåga att möjliggöra ett livslångt lärande kommer att påverka föret</w:t>
      </w:r>
      <w:r w:rsidRPr="00C9680B">
        <w:t>a</w:t>
      </w:r>
      <w:r w:rsidRPr="00C9680B">
        <w:t>gens möjligheter att stanna i Sver</w:t>
      </w:r>
      <w:r w:rsidRPr="00C9680B">
        <w:t>i</w:t>
      </w:r>
      <w:r w:rsidRPr="00C9680B">
        <w:t xml:space="preserve">ge. </w:t>
      </w:r>
    </w:p>
    <w:p w:rsidR="001C7BF9" w:rsidRPr="00C9680B" w:rsidRDefault="001C7BF9">
      <w:r w:rsidRPr="00C9680B">
        <w:t>Tjänstesektorn ges helt nya möjligheter att växa genom en femtiopro</w:t>
      </w:r>
      <w:r w:rsidRPr="00C9680B">
        <w:softHyphen/>
        <w:t>centig skattereduktion för de privata hushållens köp av tjänster i det egna hemmet. Förslaget kan beskrivas som en permanentning och utvidgning av ROT-systemet, så att det vita priset vid hushållens köp av tjänster i hemmet halv</w:t>
      </w:r>
      <w:r w:rsidRPr="00C9680B">
        <w:t>e</w:t>
      </w:r>
      <w:r w:rsidRPr="00C9680B">
        <w:t>ras direkt vid köpet. Tjänster för upp till 50 000 kr per år kan köpas med en femtioprocentig skattereduktion, som uppgår till maximalt 25 000 kr per hushåll och år.</w:t>
      </w:r>
    </w:p>
    <w:p w:rsidR="001C7BF9" w:rsidRPr="00C9680B" w:rsidRDefault="001C7BF9">
      <w:r w:rsidRPr="00C9680B">
        <w:t xml:space="preserve">Fastigheternas taxeringsvärden fryses varaktigt. Fastighetsskatten plågar många, inte minst dem med låga inkomster, </w:t>
      </w:r>
      <w:r w:rsidRPr="00C9680B">
        <w:t>och har på grund av sin utfor</w:t>
      </w:r>
      <w:r w:rsidRPr="00C9680B">
        <w:t>m</w:t>
      </w:r>
      <w:r w:rsidRPr="00C9680B">
        <w:t>ning orimliga effekter. Regeringens förslag innebär en höjning av fastighet</w:t>
      </w:r>
      <w:r w:rsidRPr="00C9680B">
        <w:t>s</w:t>
      </w:r>
      <w:r w:rsidRPr="00C9680B">
        <w:t>skatten för många och därtill en höjning av förmögenhets</w:t>
      </w:r>
      <w:r w:rsidRPr="00C9680B">
        <w:softHyphen/>
        <w:t>skatten när fasti</w:t>
      </w:r>
      <w:r w:rsidRPr="00C9680B">
        <w:t>g</w:t>
      </w:r>
      <w:r w:rsidRPr="00C9680B">
        <w:t>hetstaxeringsvärdena tinas upp. Vi anser att detta är oacceptabelt och finans</w:t>
      </w:r>
      <w:r w:rsidRPr="00C9680B">
        <w:t>i</w:t>
      </w:r>
      <w:r w:rsidRPr="00C9680B">
        <w:t>erar därför en varaktig frysning av taxerings</w:t>
      </w:r>
      <w:r w:rsidRPr="00C9680B">
        <w:softHyphen/>
        <w:t>vä</w:t>
      </w:r>
      <w:r w:rsidRPr="00C9680B">
        <w:t>r</w:t>
      </w:r>
      <w:r w:rsidRPr="00C9680B">
        <w:t xml:space="preserve">dena. </w:t>
      </w:r>
    </w:p>
    <w:p w:rsidR="001C7BF9" w:rsidRPr="00C9680B" w:rsidRDefault="001C7BF9">
      <w:r w:rsidRPr="00C9680B">
        <w:t>Fastighetsskatten bestäms den 1 januari 2001 till 1,2 % för alla typer av b</w:t>
      </w:r>
      <w:r w:rsidRPr="00C9680B">
        <w:t>o</w:t>
      </w:r>
      <w:r w:rsidRPr="00C9680B">
        <w:t>städer för att undvika att beskattningen leder till en snedfördelning mellan boendeformerna hyreshus och småhus. Endast en tredjedel av den del av markvärdet som överstiger 150 000 kr skall ligga till grund för fastighet</w:t>
      </w:r>
      <w:r w:rsidRPr="00C9680B">
        <w:t>s</w:t>
      </w:r>
      <w:r w:rsidRPr="00C9680B">
        <w:t>skatten. På så sätt försvinner de orimliga effekter som exem</w:t>
      </w:r>
      <w:r w:rsidRPr="00C9680B">
        <w:softHyphen/>
        <w:t>pelvis drabbat dem som bor i skärgårdsområden. På sikt avvecklas och ersätts fastighet</w:t>
      </w:r>
      <w:r w:rsidRPr="00C9680B">
        <w:t>s</w:t>
      </w:r>
      <w:r w:rsidRPr="00C9680B">
        <w:t>skatten med en möjlighet för kommunerna att ta ut en avgift för täckande av kostnader för gatuunderhåll, brandförsvar och annan kommunal servi</w:t>
      </w:r>
      <w:r w:rsidRPr="00C9680B">
        <w:t>ce som är kopplad till fastigheten. Den av rege</w:t>
      </w:r>
      <w:r w:rsidRPr="00C9680B">
        <w:softHyphen/>
        <w:t>ringen aviserade begränsningsregeln avvisas.</w:t>
      </w:r>
    </w:p>
    <w:p w:rsidR="001C7BF9" w:rsidRPr="00C9680B" w:rsidRDefault="001C7BF9">
      <w:r w:rsidRPr="00C9680B">
        <w:t>Grundbulten i kristdemokratisk ekonomisk politik är att ge stabila och goda villkor för fler och växande företag och därigenom öka sysselsättningen, minska arbetslösheten och trygga välfärden. Om Sverige långsiktigt skall vara ett land för företagande, investeringar och tillväxt, går det inte att ha kvar skatter som gör att kapital, företag och kompetens har starka incitament att lämna landet. Målet på medellång sik</w:t>
      </w:r>
      <w:r w:rsidRPr="00C9680B">
        <w:t>t bör vara att nå ner till den genomsnit</w:t>
      </w:r>
      <w:r w:rsidRPr="00C9680B">
        <w:t>t</w:t>
      </w:r>
      <w:r w:rsidRPr="00C9680B">
        <w:softHyphen/>
        <w:t>liga skattekvoten inom EU. Våra förslag är följande.</w:t>
      </w:r>
    </w:p>
    <w:p w:rsidR="001C7BF9" w:rsidRPr="00C9680B" w:rsidRDefault="001C7BF9">
      <w:r w:rsidRPr="00C9680B">
        <w:t>Arbetsgivaravgifterna sänks med 10 procentenheter på lönesummor upp till 900 000 kr per år från år 2002. För egenföretagare utökas den nedsätt</w:t>
      </w:r>
      <w:r w:rsidRPr="00C9680B">
        <w:softHyphen/>
        <w:t xml:space="preserve">ningsberättigade lönesumman till 250 000 kr per år. Förslaget gäller alla företag (arbetsgivare), men gynnar främst småföretagen. </w:t>
      </w:r>
    </w:p>
    <w:p w:rsidR="001C7BF9" w:rsidRPr="00C9680B" w:rsidRDefault="001C7BF9">
      <w:r w:rsidRPr="00C9680B">
        <w:t>Personer som köper nyemitterade aktier upp till 100 000 kr i onoterade bolag skall fr.o.m år 2001 ha möjlighet till skattereduktion (riskkapi</w:t>
      </w:r>
      <w:r w:rsidRPr="00C9680B">
        <w:softHyphen/>
        <w:t xml:space="preserve">talavdrag). Avdragsrätten skall ses som en kompensation för den större risk det innebär att köpa aktier i små, onoterade företag. </w:t>
      </w:r>
    </w:p>
    <w:p w:rsidR="001C7BF9" w:rsidRPr="00C9680B" w:rsidRDefault="001C7BF9">
      <w:r w:rsidRPr="00C9680B">
        <w:t>Dubbelbeskattningen av utdelningsinkomster från risksparande (aktier) a</w:t>
      </w:r>
      <w:r w:rsidRPr="00C9680B">
        <w:t>v</w:t>
      </w:r>
      <w:r w:rsidRPr="00C9680B">
        <w:t>vecklas åren 2001–2003. Dubbelbeskattningen leder till att en utländsk köp</w:t>
      </w:r>
      <w:r w:rsidRPr="00C9680B">
        <w:t>a</w:t>
      </w:r>
      <w:r w:rsidRPr="00C9680B">
        <w:t xml:space="preserve">re kan betala dubbelt så mycket som en svensk köpare och ändå få samma avkastning på sin investering efter skatt. Med en sådan politik är det mycket osäkert hur många svenska företag som i framtiden kommer att vara i svensk ägo. 46 större företag har flyttat sedan 1997. </w:t>
      </w:r>
    </w:p>
    <w:p w:rsidR="001C7BF9" w:rsidRPr="00C9680B" w:rsidRDefault="001C7BF9">
      <w:r w:rsidRPr="00C9680B">
        <w:t>Möjligheten för vissa större företag att återköpa aktier slopas. Den rubbar på ett allvarligt sätt balansen mellan ägare och styrelse och kan öppna för styre</w:t>
      </w:r>
      <w:r w:rsidRPr="00C9680B">
        <w:t>l</w:t>
      </w:r>
      <w:r w:rsidRPr="00C9680B">
        <w:t xml:space="preserve">serna att påverka aktievärdet på ett otillbörligt sätt. </w:t>
      </w:r>
    </w:p>
    <w:p w:rsidR="001C7BF9" w:rsidRPr="00C9680B" w:rsidRDefault="001C7BF9">
      <w:r w:rsidRPr="00C9680B">
        <w:t>Förmögenhetsskatten avvecklas i tre steg. År 2001 avskaffas sam</w:t>
      </w:r>
      <w:r w:rsidRPr="00C9680B">
        <w:softHyphen/>
        <w:t>beskatt</w:t>
      </w:r>
      <w:r w:rsidRPr="00C9680B">
        <w:softHyphen/>
        <w:t>ning av förmögenhet, år 2002 sänks förmögenhetsskattesatsen till 1 % och 2003 sänks skattesatsen till 0,5 %. I dag är 17 av Sveriges 18 aktiemiljardärer b</w:t>
      </w:r>
      <w:r w:rsidRPr="00C9680B">
        <w:t>e</w:t>
      </w:r>
      <w:r w:rsidRPr="00C9680B">
        <w:t>friade från förmögenhetsskatten på sitt aktieinnehav. Motivet för detta är att de annars sannolikt skulle välja att lämna Sverige med sina pengar. Utfor</w:t>
      </w:r>
      <w:r w:rsidRPr="00C9680B">
        <w:t>m</w:t>
      </w:r>
      <w:r w:rsidRPr="00C9680B">
        <w:t>ningen av dagens förmögenhetsskatt är orimlig också i andra avseenden. För den händelse att ett gift par tillsammans har en förmögenhet som överstiger 900 000 kr skall förmögenhetsskatt beta</w:t>
      </w:r>
      <w:r w:rsidRPr="00C9680B">
        <w:softHyphen/>
        <w:t>las.</w:t>
      </w:r>
      <w:r w:rsidRPr="00C9680B">
        <w:t xml:space="preserve"> Om ett sammanboende par har motsvarande förmögenhet ska de däremot inte sambeskattas. De förslag reg</w:t>
      </w:r>
      <w:r w:rsidRPr="00C9680B">
        <w:t>e</w:t>
      </w:r>
      <w:r w:rsidRPr="00C9680B">
        <w:t>ringen lägger fram kommer endast delvis att ändra på detta missförhållande. Vi föreslår att förmö</w:t>
      </w:r>
      <w:r w:rsidRPr="00C9680B">
        <w:softHyphen/>
        <w:t>genhetsskatten fasas ut och att detta finansieras med en höjning av bolagsskatten till 30 %.</w:t>
      </w:r>
    </w:p>
    <w:p w:rsidR="001C7BF9" w:rsidRPr="00C9680B" w:rsidRDefault="001C7BF9">
      <w:r w:rsidRPr="00C9680B">
        <w:t>Den särskilda löneskatten på vinstandelar för anställda avskaffas, vilket kommer att förbättra möjligheterna till en sund lönebildning.</w:t>
      </w:r>
    </w:p>
    <w:p w:rsidR="001C7BF9" w:rsidRPr="00C9680B" w:rsidRDefault="001C7BF9">
      <w:r w:rsidRPr="00C9680B">
        <w:t xml:space="preserve">Beskattningen av personaloptioner sänks med 100 miljoner kronor år 2002 och med 200 miljoner kronor år 2003. </w:t>
      </w:r>
    </w:p>
    <w:p w:rsidR="001C7BF9" w:rsidRPr="00C9680B" w:rsidRDefault="001C7BF9">
      <w:r w:rsidRPr="00C9680B">
        <w:t>Kulturmomsen inklusive momsen på böcker sänks till 6 % (inte tidskrif</w:t>
      </w:r>
      <w:r w:rsidRPr="00C9680B">
        <w:softHyphen/>
        <w:t>ter). Det finns många goda motiv att särskilt främja litteraturens tillgäng</w:t>
      </w:r>
      <w:r w:rsidRPr="00C9680B">
        <w:softHyphen/>
        <w:t>lighet, inte minst för barn. Vi eftersträvar en så likformig beskattning som möjligt och föreslår att kulturmomsen generellt sänks till 6 % från år 2002. Härigenom löses också problemen med olika momssatser för entréavgifter till olika ku</w:t>
      </w:r>
      <w:r w:rsidRPr="00C9680B">
        <w:t>l</w:t>
      </w:r>
      <w:r w:rsidRPr="00C9680B">
        <w:t>tur- och nöjesevenemang.</w:t>
      </w:r>
    </w:p>
    <w:p w:rsidR="001C7BF9" w:rsidRPr="00C9680B" w:rsidRDefault="001C7BF9">
      <w:r w:rsidRPr="00C9680B">
        <w:t>Fordonsskatten sänks som en följd av att samtliga personskadekostnader i samband med trafikolyckor förs över till trafikförsäkringen.</w:t>
      </w:r>
    </w:p>
    <w:p w:rsidR="001C7BF9" w:rsidRPr="00C9680B" w:rsidRDefault="001C7BF9">
      <w:r w:rsidRPr="00C9680B">
        <w:t>Regeringens förslag om höjd skatt på diesel avslås och punktskatten på diesel sänks i stället med 25 öre per liter. I förhållande till regeringens förslag sänks skatten på diesel med 35 öre. Det är viktigt att åkeri</w:t>
      </w:r>
      <w:r w:rsidRPr="00C9680B">
        <w:softHyphen/>
        <w:t>näringen inte straffas ut ur Sverige. Regeringen bör återkomma med en åtgärdsplan för att skapa lika villkor mellan svensk och utländsk åkeri</w:t>
      </w:r>
      <w:r w:rsidRPr="00C9680B">
        <w:softHyphen/>
        <w:t>n</w:t>
      </w:r>
      <w:r w:rsidRPr="00C9680B">
        <w:t>ä</w:t>
      </w:r>
      <w:r w:rsidRPr="00C9680B">
        <w:t>ring.</w:t>
      </w:r>
    </w:p>
    <w:p w:rsidR="001C7BF9" w:rsidRPr="00C9680B" w:rsidRDefault="001C7BF9">
      <w:r w:rsidRPr="00C9680B">
        <w:t>Vi accepterar inte den föreslagna höjningen av energiskatten på el, som b</w:t>
      </w:r>
      <w:r w:rsidRPr="00C9680B">
        <w:t>e</w:t>
      </w:r>
      <w:r w:rsidRPr="00C9680B">
        <w:t>lastar all elproduktion lika och i förhållande till den ökning av skatte</w:t>
      </w:r>
      <w:r w:rsidRPr="00C9680B">
        <w:softHyphen/>
        <w:t>trycket den medför inte blir miljöstyrande.</w:t>
      </w:r>
    </w:p>
    <w:p w:rsidR="001C7BF9" w:rsidRPr="00C9680B" w:rsidRDefault="001C7BF9">
      <w:r w:rsidRPr="00C9680B">
        <w:t>Jordbrukets dieselskatt sänks till 53 öre per liter, skatten på kväve i handel</w:t>
      </w:r>
      <w:r w:rsidRPr="00C9680B">
        <w:t>s</w:t>
      </w:r>
      <w:r w:rsidRPr="00C9680B">
        <w:t>gödsel återförs till näringen och även de mindre jordbruken befrias från e</w:t>
      </w:r>
      <w:r w:rsidRPr="00C9680B">
        <w:t>l</w:t>
      </w:r>
      <w:r w:rsidRPr="00C9680B">
        <w:t>skatt. Utgångspunkten för dessa förändringar är den statliga utredningen En livsmedelsstrategi för Sverige (SOU 1997:167). Hela jordbrukets s.k. ska</w:t>
      </w:r>
      <w:r w:rsidRPr="00C9680B">
        <w:t>t</w:t>
      </w:r>
      <w:r w:rsidRPr="00C9680B">
        <w:t>teryggsäck lyfts av.</w:t>
      </w:r>
    </w:p>
    <w:p w:rsidR="001C7BF9" w:rsidRPr="00C9680B" w:rsidRDefault="001C7BF9">
      <w:r w:rsidRPr="00C9680B">
        <w:t>Ett effektivt sätt att bekämpa miljöhoten är att använda olika former av ek</w:t>
      </w:r>
      <w:r w:rsidRPr="00C9680B">
        <w:t>o</w:t>
      </w:r>
      <w:r w:rsidRPr="00C9680B">
        <w:softHyphen/>
        <w:t>nomiska styrmedel. En ökad användning av miljörelaterade skatter skapar ett ekonomiskt utrymme som bör användas för att sänka skatten på arbete, så kallad skatteväxling. Detta arbete måste drivas internationellt och i synnerhet inom EU, för att slå vakt om konkurrensneutraliteten mellan företag och länder. Eftersom produktion utomlands ofta drivs med miljökrav som är lägre än i Sverige är det viktigt att gå över till majoritetsbeslut inom EU när det gäller minimiavgifter på miljö</w:t>
      </w:r>
      <w:r w:rsidRPr="00C9680B">
        <w:softHyphen/>
        <w:t>området. Vi accepterar re</w:t>
      </w:r>
      <w:r w:rsidRPr="00C9680B">
        <w:t xml:space="preserve">geringens förslag om en höjd koldioxidskatt, men föreslår samtidigt kraftigare skattesänkningar för låginkomsttagare och personer som bor i glesbygd än regeringen. </w:t>
      </w:r>
    </w:p>
    <w:p w:rsidR="001C7BF9" w:rsidRPr="00C9680B" w:rsidRDefault="001C7BF9">
      <w:pPr>
        <w:pStyle w:val="Normaltindrag"/>
      </w:pPr>
      <w:r w:rsidRPr="00C9680B">
        <w:t>Vi föreslår att riksdagen fattar beslut om en inriktning av skattepolitiken som överensstämmer med Kristdemokraternas förslag.</w:t>
      </w:r>
    </w:p>
    <w:p w:rsidR="001C7BF9" w:rsidRPr="00C9680B" w:rsidRDefault="001C7BF9">
      <w:pPr>
        <w:pStyle w:val="Normaltindrag"/>
      </w:pPr>
      <w:r w:rsidRPr="00C9680B">
        <w:t>Med det anförda tillstyrker vi motionerna Fi209 yrkandena 5 och 12, Sk322 yrkandena 3 och 5, Sk323 yrkandena 1–21, 25–29, 31–43, 46, 47, 49, 52–55, Sk324 yrkande 6, T212 yrkande 8 och MJ243 yrkande 16.</w:t>
      </w:r>
    </w:p>
    <w:p w:rsidR="001C7BF9" w:rsidRPr="00C9680B" w:rsidRDefault="001C7BF9">
      <w:pPr>
        <w:pStyle w:val="Normaltindrag"/>
      </w:pPr>
      <w:r w:rsidRPr="00C9680B">
        <w:t>Vi står bakom den inkomstberäkning som redovisas i motion Fi209 yrka</w:t>
      </w:r>
      <w:r w:rsidRPr="00C9680B">
        <w:t>n</w:t>
      </w:r>
      <w:r w:rsidRPr="00C9680B">
        <w:t>de 5 och Sk323 yrkande 1. Vi räknar med att en ökad skattekontroll och fö</w:t>
      </w:r>
      <w:r w:rsidRPr="00C9680B">
        <w:t>r</w:t>
      </w:r>
      <w:r w:rsidRPr="00C9680B">
        <w:t>stärkt tullbevakning ökar skatteintäkterna med 210 miljoner kronor år 2001 och därefter med åtminstone 420 milj</w:t>
      </w:r>
      <w:r w:rsidRPr="00C9680B">
        <w:t>o</w:t>
      </w:r>
      <w:r w:rsidRPr="00C9680B">
        <w:t>ner kronor per år.</w:t>
      </w:r>
    </w:p>
    <w:p w:rsidR="001C7BF9" w:rsidRPr="00C9680B" w:rsidRDefault="001C7BF9">
      <w:pPr>
        <w:pStyle w:val="Rubrik3"/>
        <w:rPr>
          <w:noProof w:val="0"/>
        </w:rPr>
      </w:pPr>
      <w:bookmarkStart w:id="1091" w:name="_Toc497720161"/>
      <w:bookmarkStart w:id="1092" w:name="_Toc498838219"/>
      <w:r w:rsidRPr="00C9680B">
        <w:rPr>
          <w:noProof w:val="0"/>
        </w:rPr>
        <w:t>Ramarna för utg.omr. 3 Skatteförvaltning och uppbörd</w:t>
      </w:r>
      <w:bookmarkEnd w:id="1091"/>
      <w:bookmarkEnd w:id="1092"/>
    </w:p>
    <w:p w:rsidR="001C7BF9" w:rsidRPr="00C9680B" w:rsidRDefault="001C7BF9">
      <w:r w:rsidRPr="00C9680B">
        <w:t>Kristdemokraterna vill att utgiftsramen för utgiftsområdet i förhållande till propositionen utökas med sammanlagt 120 miljoner kronor vart och ett av åren 2001–2003. Ett flertal studier och utredningar visar att den svarta ek</w:t>
      </w:r>
      <w:r w:rsidRPr="00C9680B">
        <w:t>o</w:t>
      </w:r>
      <w:r w:rsidRPr="00C9680B">
        <w:softHyphen/>
        <w:t xml:space="preserve">nomin har fått en skadlig omfattning i Sverige. Detta snedvrider konkurrensen mellan företag och urholkar affärsmoralen. För att motverka denna utveckling vill vi att skattemyndigheterna skall få ökade resurser för att effektivisera skattekontrollen. Erfarenheten visar att satsningar på dessa områden ger minst sex gånger pengarna tillbaka till statskassan. Vi vill också öka resurserna till tullen för att förstärka kontroll och spaning beträffande illegal införsel av bl.a. narkotika, vapen, alkohol, tobak </w:t>
      </w:r>
      <w:r w:rsidRPr="00C9680B">
        <w:t>och övriga skattepliktiga varor. Med det anförda tillstyrker vi m</w:t>
      </w:r>
      <w:r w:rsidRPr="00C9680B">
        <w:t>o</w:t>
      </w:r>
      <w:r w:rsidRPr="00C9680B">
        <w:t xml:space="preserve">tion Fi209 yrkandena 6 och 7 i här berörda delar. </w:t>
      </w:r>
    </w:p>
    <w:p w:rsidR="001C7BF9" w:rsidRPr="00C9680B" w:rsidRDefault="001C7BF9">
      <w:pPr>
        <w:pStyle w:val="Rubrik2"/>
      </w:pPr>
      <w:bookmarkStart w:id="1093" w:name="_Toc497720162"/>
      <w:bookmarkStart w:id="1094" w:name="_Toc498838220"/>
      <w:r w:rsidRPr="00C9680B">
        <w:t>3. Skattefrågor i budgetpropositionen – c</w:t>
      </w:r>
      <w:bookmarkEnd w:id="1093"/>
      <w:bookmarkEnd w:id="1094"/>
    </w:p>
    <w:p w:rsidR="001C7BF9" w:rsidRPr="00C9680B" w:rsidRDefault="001C7BF9">
      <w:r w:rsidRPr="00C9680B">
        <w:t>Rolf Kenneryd (c) anför:</w:t>
      </w:r>
    </w:p>
    <w:p w:rsidR="001C7BF9" w:rsidRPr="00C9680B" w:rsidRDefault="001C7BF9">
      <w:pPr>
        <w:pStyle w:val="Rubrik3"/>
        <w:spacing w:before="250"/>
        <w:rPr>
          <w:noProof w:val="0"/>
        </w:rPr>
      </w:pPr>
      <w:bookmarkStart w:id="1095" w:name="_Toc497720163"/>
      <w:bookmarkStart w:id="1096" w:name="_Toc498838221"/>
      <w:r w:rsidRPr="00C9680B">
        <w:rPr>
          <w:noProof w:val="0"/>
        </w:rPr>
        <w:t>Skatteförslagen och inkomstberäkningen</w:t>
      </w:r>
      <w:bookmarkEnd w:id="1095"/>
      <w:bookmarkEnd w:id="1096"/>
    </w:p>
    <w:p w:rsidR="001C7BF9" w:rsidRPr="00C9680B" w:rsidRDefault="001C7BF9">
      <w:r w:rsidRPr="00C9680B">
        <w:t>Centerpartiet för en politik för ett decentraliserat och ekologiskt samhälle med en stark ekonomi och har aktivt medverkat till att den svenska ekonomin nu är stark. Vi vill nu gå vidare med bl.a. skattesänkningar och reformer på a</w:t>
      </w:r>
      <w:r w:rsidRPr="00C9680B">
        <w:t>r</w:t>
      </w:r>
      <w:r w:rsidRPr="00C9680B">
        <w:t xml:space="preserve">betsmarknaden för att öka sysselsättningen och stärka välfärden. Med rätt ekonomisk politik är förutsättningarna för en stark, självständig ekonomi goda. </w:t>
      </w:r>
    </w:p>
    <w:p w:rsidR="001C7BF9" w:rsidRPr="00C9680B" w:rsidRDefault="001C7BF9">
      <w:pPr>
        <w:pStyle w:val="Normaltindrag"/>
      </w:pPr>
      <w:r w:rsidRPr="00C9680B">
        <w:t>Vi anser det nödvändigt att sänka skattetrycket. Inriktningen är att lång</w:t>
      </w:r>
      <w:r w:rsidRPr="00C9680B">
        <w:softHyphen/>
        <w:t>siktigt sänka skattetryck och utgifternas andel av BNP ned till samma nivåer som jämförbara OECD-länder. Sänkningen måste ske på ett sådant sätt att de offentliga finanserna förmår garantera vår gemensamma välfärd. Skatte</w:t>
      </w:r>
      <w:r w:rsidRPr="00C9680B">
        <w:softHyphen/>
        <w:t>systemets omfördelande funktion är viktig. Genom att fördela bördorna så att de som orkar bäst bär mer än de svaga, dvs. skatt efter bärkraft, kan alla me</w:t>
      </w:r>
      <w:r w:rsidRPr="00C9680B">
        <w:t>d</w:t>
      </w:r>
      <w:r w:rsidRPr="00C9680B">
        <w:softHyphen/>
        <w:t>borgare få social välfärd. Vi prioriterar sänkt inkomstskatt för låg- och m</w:t>
      </w:r>
      <w:r w:rsidRPr="00C9680B">
        <w:t>e</w:t>
      </w:r>
      <w:r w:rsidRPr="00C9680B">
        <w:t>delinkomsttagare samt sänkt skatt på företagande och boen</w:t>
      </w:r>
      <w:r w:rsidRPr="00C9680B">
        <w:t xml:space="preserve">de. </w:t>
      </w:r>
    </w:p>
    <w:p w:rsidR="001C7BF9" w:rsidRPr="00C9680B" w:rsidRDefault="001C7BF9">
      <w:pPr>
        <w:pStyle w:val="Normaltindrag"/>
      </w:pPr>
      <w:r w:rsidRPr="00C9680B">
        <w:t>Centerpartiet arbetar för att långsiktigt öka miljörelateringen i skatte</w:t>
      </w:r>
      <w:r w:rsidRPr="00C9680B">
        <w:softHyphen/>
        <w:t>systemet. Verksamheter som påverkar miljön skall inte vältra över miljö- och hälsorelaterade kostnader på samhället. Principen om att förorenaren betalar skall gälla. Med en skattepolitik som stöd för miljö- och energipolitiken kan Sverige genomgå en strukturomvandling som leder till ett modernt land med avanc</w:t>
      </w:r>
      <w:r w:rsidRPr="00C9680B">
        <w:t>e</w:t>
      </w:r>
      <w:r w:rsidRPr="00C9680B">
        <w:t xml:space="preserve">rad teknik som svarar upp mot miljöns krav. </w:t>
      </w:r>
    </w:p>
    <w:p w:rsidR="001C7BF9" w:rsidRPr="00C9680B" w:rsidRDefault="001C7BF9">
      <w:pPr>
        <w:pStyle w:val="Normaltindrag"/>
      </w:pPr>
      <w:r w:rsidRPr="00C9680B">
        <w:t>Skattesystemet skall gynna arbete och kunskap och stärka människors ställning på arbetsmarknaden. Det bör därför finnas en rejäl premie för mä</w:t>
      </w:r>
      <w:r w:rsidRPr="00C9680B">
        <w:t>n</w:t>
      </w:r>
      <w:r w:rsidRPr="00C9680B">
        <w:t>niskor att ta sig från bidragsberoende och i stället kunna leva på en för</w:t>
      </w:r>
      <w:r w:rsidRPr="00C9680B">
        <w:softHyphen/>
        <w:t>värvsi</w:t>
      </w:r>
      <w:r w:rsidRPr="00C9680B">
        <w:t>n</w:t>
      </w:r>
      <w:r w:rsidRPr="00C9680B">
        <w:t>komst. Som en del i det bör inkomstskatterna för låg- och medel</w:t>
      </w:r>
      <w:r w:rsidRPr="00C9680B">
        <w:softHyphen/>
        <w:t>inkomsttagare sänkas. Centerpartiet föreslår att en inkomstskattereform g</w:t>
      </w:r>
      <w:r w:rsidRPr="00C9680B">
        <w:t>e</w:t>
      </w:r>
      <w:r w:rsidRPr="00C9680B">
        <w:t>nomförs stegvis under perioden 2001 till 2003. Förslagen är följande.</w:t>
      </w:r>
    </w:p>
    <w:p w:rsidR="001C7BF9" w:rsidRPr="00C9680B" w:rsidRDefault="001C7BF9">
      <w:r w:rsidRPr="00C9680B">
        <w:t>Grundavdraget höjs till 15 000 kr i alla inkomstskikt. En höjning av grunda</w:t>
      </w:r>
      <w:r w:rsidRPr="00C9680B">
        <w:t>v</w:t>
      </w:r>
      <w:r w:rsidRPr="00C9680B">
        <w:t>draget är bättre än regeringens skattereduktion för delar av den allmänna pensionsavgiften eftersom ett höjt grundavdrag ger en större skattesänkning för människor med låga inkomster och kommer pensionä</w:t>
      </w:r>
      <w:r w:rsidRPr="00C9680B">
        <w:softHyphen/>
        <w:t>rer och studenter till del. De negativa marginaleffekter som är förknip</w:t>
      </w:r>
      <w:r w:rsidRPr="00C9680B">
        <w:softHyphen/>
        <w:t>pade med dagens avtrappade grundavdrag undviks också. För år 2002 har vi för avsikt att gå vidare med en höjning av grundavdraget till 20 000 kr.</w:t>
      </w:r>
    </w:p>
    <w:p w:rsidR="001C7BF9" w:rsidRPr="00C9680B" w:rsidRDefault="001C7BF9">
      <w:r w:rsidRPr="00C9680B">
        <w:t>För att ge en extra morot till människor med låga inkomster ersätts den nuv</w:t>
      </w:r>
      <w:r w:rsidRPr="00C9680B">
        <w:t>a</w:t>
      </w:r>
      <w:r w:rsidRPr="00C9680B">
        <w:t>rande tillfälliga skattereduktionen med en högre och permanent skatteredu</w:t>
      </w:r>
      <w:r w:rsidRPr="00C9680B">
        <w:t>k</w:t>
      </w:r>
      <w:r w:rsidRPr="00C9680B">
        <w:t>tion som enbart ges för inkomster från förvärvsarbete och företagande. År 2001 uppgår skattereduktionen till 5 400 kr. Den fasas in med 6 % av i</w:t>
      </w:r>
      <w:r w:rsidRPr="00C9680B">
        <w:t>n</w:t>
      </w:r>
      <w:r w:rsidRPr="00C9680B">
        <w:t>komsten upp till 90 000 kr och fasas ut med 3 % över 130 000 kr. Utfasnin</w:t>
      </w:r>
      <w:r w:rsidRPr="00C9680B">
        <w:t>g</w:t>
      </w:r>
      <w:r w:rsidRPr="00C9680B">
        <w:t>en avslutas vid en inkomst på 250 000 kr så att den minsta skattereduktionen blir 1 800 kr. Förslaget innebär en kraftig stimulans för den arbetslöse att ta ett arbete och för den deltidsarbetande att öka sin arbetstid</w:t>
      </w:r>
      <w:r w:rsidRPr="00C9680B">
        <w:t>. Under de två senare åren av denna budgetperiod ökas skattereduktionen så att den max</w:t>
      </w:r>
      <w:r w:rsidRPr="00C9680B">
        <w:t>i</w:t>
      </w:r>
      <w:r w:rsidRPr="00C9680B">
        <w:t>mala nivån blir 9 600 kr.</w:t>
      </w:r>
    </w:p>
    <w:p w:rsidR="001C7BF9" w:rsidRPr="00C9680B" w:rsidRDefault="001C7BF9">
      <w:r w:rsidRPr="00C9680B">
        <w:t>År 2003 ersätts grundavdraget med en rak skattereduktion på 10 000 kr. De</w:t>
      </w:r>
      <w:r w:rsidRPr="00C9680B">
        <w:t>n</w:t>
      </w:r>
      <w:r w:rsidRPr="00C9680B">
        <w:t>na skall komma alla till del, oavsett om inkomsten kommer från lön, företa</w:t>
      </w:r>
      <w:r w:rsidRPr="00C9680B">
        <w:t>g</w:t>
      </w:r>
      <w:r w:rsidRPr="00C9680B">
        <w:t>sinkomst, a-kassa, sjukpenning eller pension. Effekten av en rak skatteredu</w:t>
      </w:r>
      <w:r w:rsidRPr="00C9680B">
        <w:t>k</w:t>
      </w:r>
      <w:r w:rsidRPr="00C9680B">
        <w:t>tion på 10 000 kr är ungefär lika stor som effekten av ett grundavdrag på 30 000 kr för den person som bara betalar kommunal</w:t>
      </w:r>
      <w:r w:rsidRPr="00C9680B">
        <w:softHyphen/>
        <w:t>skatt. För den person som även betalar statlig inkomstskatt blir effekten dock en annan, eftersom skattereduktionen inte minskar den beskatt</w:t>
      </w:r>
      <w:r w:rsidRPr="00C9680B">
        <w:softHyphen/>
        <w:t>ningsbara inkomsten och därmed statsskatten. Ett kraftigt höjt rakt grundavdrag blir därmed bå</w:t>
      </w:r>
      <w:r w:rsidRPr="00C9680B">
        <w:t>de dyrare och fördelningspolitiskt sämre än en rak skattereduktion. För den enskilde indiv</w:t>
      </w:r>
      <w:r w:rsidRPr="00C9680B">
        <w:t>i</w:t>
      </w:r>
      <w:r w:rsidRPr="00C9680B">
        <w:t>den är det positivt att ersätta grundavdraget med en rak skattereduktion i och med att skatte</w:t>
      </w:r>
      <w:r w:rsidRPr="00C9680B">
        <w:softHyphen/>
        <w:t xml:space="preserve">systemet blir mer överskådligt. Alla skall enkelt kunna räkna ut sin skatt, vilket ger individen ett bättre grepp över privatekonomin. </w:t>
      </w:r>
    </w:p>
    <w:p w:rsidR="001C7BF9" w:rsidRPr="00C9680B" w:rsidRDefault="001C7BF9">
      <w:r w:rsidRPr="00C9680B">
        <w:t>Den nedre skiktgränsen justeras upp så att brytpunkten för statlig inkoms</w:t>
      </w:r>
      <w:r w:rsidRPr="00C9680B">
        <w:t>t</w:t>
      </w:r>
      <w:r w:rsidRPr="00C9680B">
        <w:t>skatt blir 277 400 kr år 2001. Vi bedömer att den högre bryt</w:t>
      </w:r>
      <w:r w:rsidRPr="00C9680B">
        <w:softHyphen/>
        <w:t>punkt som följer av Centerpartiets skattepolitik leder till att målet om att endast 15 % skall betala statlig inkomstskatt uppnås r</w:t>
      </w:r>
      <w:r w:rsidRPr="00C9680B">
        <w:t>e</w:t>
      </w:r>
      <w:r w:rsidRPr="00C9680B">
        <w:t>dan 2001.</w:t>
      </w:r>
    </w:p>
    <w:p w:rsidR="001C7BF9" w:rsidRPr="00C9680B" w:rsidRDefault="001C7BF9">
      <w:r w:rsidRPr="00C9680B">
        <w:t xml:space="preserve">Kostnader för barnomsorg blir avdragsgilla upp till 50 000 kr fr.o.m. år 2002. Det leder till att många av de föräldrar som i dag är hänvisade till ”svart” barnomsorg motiveras att redovisa barnomsorgskostnaden. </w:t>
      </w:r>
    </w:p>
    <w:p w:rsidR="001C7BF9" w:rsidRPr="00C9680B" w:rsidRDefault="001C7BF9">
      <w:r w:rsidRPr="00C9680B">
        <w:t>Reseavdraget höjs till 20 kr per mil. En höjd avdragsrätt gör att männi</w:t>
      </w:r>
      <w:r w:rsidRPr="00C9680B">
        <w:softHyphen/>
        <w:t>skor har en fortsatt möjlighet att bo kvar eller flytta till mindre orter där arbetsresorna ofta är långa. Ett höjt reseavdrag ökar även den regionala rörligheten på a</w:t>
      </w:r>
      <w:r w:rsidRPr="00C9680B">
        <w:t>r</w:t>
      </w:r>
      <w:r w:rsidRPr="00C9680B">
        <w:t>betsmarknaden och bidrar därmed till ett större arbets</w:t>
      </w:r>
      <w:r w:rsidRPr="00C9680B">
        <w:softHyphen/>
        <w:t>kraftsutbud även i min</w:t>
      </w:r>
      <w:r w:rsidRPr="00C9680B">
        <w:t>d</w:t>
      </w:r>
      <w:r w:rsidRPr="00C9680B">
        <w:t xml:space="preserve">re orter. Riskerna för arbetskraftsbrist inom vissa yrken minskas därmed. Vi anser dessutom att reseavdraget skall omfatta resor till och från barnomsorg. </w:t>
      </w:r>
    </w:p>
    <w:p w:rsidR="001C7BF9" w:rsidRPr="00C9680B" w:rsidRDefault="001C7BF9">
      <w:r w:rsidRPr="00C9680B">
        <w:t>Småhusens taxeringsvärden fryses och skattesatsen sänks till 1,2 %. Reg</w:t>
      </w:r>
      <w:r w:rsidRPr="00C9680B">
        <w:t>e</w:t>
      </w:r>
      <w:r w:rsidRPr="00C9680B">
        <w:t>ringens kompensation till kollektivet av småhusägare genom att sänka skatt</w:t>
      </w:r>
      <w:r w:rsidRPr="00C9680B">
        <w:t>e</w:t>
      </w:r>
      <w:r w:rsidRPr="00C9680B">
        <w:t>satsen och göra förändringar i förmögenhetsskatten är en klen tröst för de människor vars boendekostnad kommer att öka drama</w:t>
      </w:r>
      <w:r w:rsidRPr="00C9680B">
        <w:softHyphen/>
        <w:t>tiskt som en följd av kraftigt höjda taxeringsvärden. Uppjusteringen följer regler som innehåller uppenbara orimligheter –  t.ex. gynnas perso</w:t>
      </w:r>
      <w:r w:rsidRPr="00C9680B">
        <w:softHyphen/>
        <w:t>ner som förvärvat fritidsfasti</w:t>
      </w:r>
      <w:r w:rsidRPr="00C9680B">
        <w:t>g</w:t>
      </w:r>
      <w:r w:rsidRPr="00C9680B">
        <w:t>heter till överpris i attraktiva områden, medan den bofasta befolkningen i dessa attraktiva områden missgynnas. Det enda rimliga beslutet</w:t>
      </w:r>
      <w:r w:rsidRPr="00C9680B">
        <w:t xml:space="preserve"> är att förlänga nuvarande frysning av taxe</w:t>
      </w:r>
      <w:r w:rsidRPr="00C9680B">
        <w:softHyphen/>
        <w:t>ringsvärdena till nästa allmänna fastighetstaxering år 2003.</w:t>
      </w:r>
    </w:p>
    <w:p w:rsidR="001C7BF9" w:rsidRPr="00C9680B" w:rsidRDefault="001C7BF9">
      <w:r w:rsidRPr="00C9680B">
        <w:t>Hyreshusens taxeringsvärden fryses och skattesatsen sänks till 1,1 %. Reg</w:t>
      </w:r>
      <w:r w:rsidRPr="00C9680B">
        <w:t>e</w:t>
      </w:r>
      <w:r w:rsidRPr="00C9680B">
        <w:t>ringen anger den genomsnittliga ökningen av taxeringsvärdena för bostadsh</w:t>
      </w:r>
      <w:r w:rsidRPr="00C9680B">
        <w:t>y</w:t>
      </w:r>
      <w:r w:rsidRPr="00C9680B">
        <w:t>reshus för landet som helhet till 42 %, men det är osäkert om detta inkluderar den ytterligare uppräkning av taxeringsvärdena som följer av omräkningsfö</w:t>
      </w:r>
      <w:r w:rsidRPr="00C9680B">
        <w:t>r</w:t>
      </w:r>
      <w:r w:rsidRPr="00C9680B">
        <w:t>farandet. RSV:s preliminära bedömningar av omräkningstalen för år 2001 tyder på en ytterligare ökning av taxerings</w:t>
      </w:r>
      <w:r w:rsidRPr="00C9680B">
        <w:softHyphen/>
        <w:t>värdena 2001 med ca 20 % i sto</w:t>
      </w:r>
      <w:r w:rsidRPr="00C9680B">
        <w:t>r</w:t>
      </w:r>
      <w:r w:rsidRPr="00C9680B">
        <w:t>stadsregionernas tillväxtområden och ca 10 % i övriga landet. Då de sa</w:t>
      </w:r>
      <w:r w:rsidRPr="00C9680B">
        <w:t>m</w:t>
      </w:r>
      <w:r w:rsidRPr="00C9680B">
        <w:t>mantagna effekterna av den allmänna fastighetstaxeringen och omräkn</w:t>
      </w:r>
      <w:r w:rsidRPr="00C9680B">
        <w:t>ing</w:t>
      </w:r>
      <w:r w:rsidRPr="00C9680B">
        <w:t>s</w:t>
      </w:r>
      <w:r w:rsidRPr="00C9680B">
        <w:t>förfarandet innebär oacceptabla skattehöjningar anser vi att taxeringsvärdena på bostads</w:t>
      </w:r>
      <w:r w:rsidRPr="00C9680B">
        <w:softHyphen/>
        <w:t>hyreshus bör frysas på dagens nivå. Vidare bör skattesatsen för bostads</w:t>
      </w:r>
      <w:r w:rsidRPr="00C9680B">
        <w:softHyphen/>
        <w:t>h</w:t>
      </w:r>
      <w:r w:rsidRPr="00C9680B">
        <w:t>y</w:t>
      </w:r>
      <w:r w:rsidRPr="00C9680B">
        <w:t>reshus sänkas till 1,1 %.</w:t>
      </w:r>
    </w:p>
    <w:p w:rsidR="001C7BF9" w:rsidRPr="00C9680B" w:rsidRDefault="001C7BF9">
      <w:r w:rsidRPr="00C9680B">
        <w:t>Regeringens förslag om en höjning av kapitalvinstskatten på privatbostä</w:t>
      </w:r>
      <w:r w:rsidRPr="00C9680B">
        <w:softHyphen/>
        <w:t xml:space="preserve">der avslås. </w:t>
      </w:r>
    </w:p>
    <w:p w:rsidR="001C7BF9" w:rsidRPr="00C9680B" w:rsidRDefault="001C7BF9">
      <w:r w:rsidRPr="00C9680B">
        <w:t>Sambeskattningen avskaffas som ett första steg i en utfasning av förm</w:t>
      </w:r>
      <w:r w:rsidRPr="00C9680B">
        <w:t>ö</w:t>
      </w:r>
      <w:r w:rsidRPr="00C9680B">
        <w:softHyphen/>
        <w:t>genhetsskatten. Den internationella rörligheten för kapitalet har ökat och därför har det varit nödvändigt att befria huvudägare i aktiebolag från förm</w:t>
      </w:r>
      <w:r w:rsidRPr="00C9680B">
        <w:t>ö</w:t>
      </w:r>
      <w:r w:rsidRPr="00C9680B">
        <w:t>genhetsskatt med hänvisning till att deras kapital är låst i deras stora företag, som fyller en viktig funktion för svenskt näringsliv och svensk arbetsmar</w:t>
      </w:r>
      <w:r w:rsidRPr="00C9680B">
        <w:t>k</w:t>
      </w:r>
      <w:r w:rsidRPr="00C9680B">
        <w:t>nad. En situation där verkligt förmögna människor befrias från förmögenhet</w:t>
      </w:r>
      <w:r w:rsidRPr="00C9680B">
        <w:t>s</w:t>
      </w:r>
      <w:r w:rsidRPr="00C9680B">
        <w:t>skatt och mindre förmögna människor belastas med förmögenhetsskatt är naturligtvis inte acceptabel ur rättvisesyn</w:t>
      </w:r>
      <w:r w:rsidRPr="00C9680B">
        <w:softHyphen/>
        <w:t>punkt. Center</w:t>
      </w:r>
      <w:r w:rsidRPr="00C9680B">
        <w:t>partiet anser därför att förmögenhetsskatten successivt bör fasas ut ur det svenska skattesystemet. År 2003 sänks förmögenhet</w:t>
      </w:r>
      <w:r w:rsidRPr="00C9680B">
        <w:t>s</w:t>
      </w:r>
      <w:r w:rsidRPr="00C9680B">
        <w:softHyphen/>
        <w:t>skatten till 0,7 %.</w:t>
      </w:r>
    </w:p>
    <w:p w:rsidR="001C7BF9" w:rsidRPr="00C9680B" w:rsidRDefault="001C7BF9">
      <w:r w:rsidRPr="00C9680B">
        <w:t>Företagsklimatet i Sverige behöver bli bättre. Skatter och avgifter på arbete måste sänkas för att ge människor chansen att utveckla sina idéer i företag, vilket skapar fler jobb. Det bör ske genom att en skatteväxling genomförs, med sänkta skatter på arbetskraft och höjda skatter på miljöskadliga verksa</w:t>
      </w:r>
      <w:r w:rsidRPr="00C9680B">
        <w:t>m</w:t>
      </w:r>
      <w:r w:rsidRPr="00C9680B">
        <w:softHyphen/>
        <w:t>heter. Det ger förutsättningar för ökad sysselsättning generellt sett, vilket i synnerhet är gynnsamt för tjänstesektorn med en hög andel arbetskraftskos</w:t>
      </w:r>
      <w:r w:rsidRPr="00C9680B">
        <w:t>t</w:t>
      </w:r>
      <w:r w:rsidRPr="00C9680B">
        <w:softHyphen/>
        <w:t xml:space="preserve">nader. </w:t>
      </w:r>
    </w:p>
    <w:p w:rsidR="001C7BF9" w:rsidRPr="00C9680B" w:rsidRDefault="001C7BF9">
      <w:r w:rsidRPr="00C9680B">
        <w:t>Arbetsgivaravgifterna bör fortsätta att sänkas genom att reduktionen med 5 % av underlag upp till 852 000 kr för arbetsgivare och 180 000 kr för egenför</w:t>
      </w:r>
      <w:r w:rsidRPr="00C9680B">
        <w:t>e</w:t>
      </w:r>
      <w:r w:rsidRPr="00C9680B">
        <w:t>tagare höjs till 10 % fr.o.m. år 2001. Genom att sänka arbets</w:t>
      </w:r>
      <w:r w:rsidRPr="00C9680B">
        <w:softHyphen/>
        <w:t>givaravgifterna på detta sätt främjas de mindre företagen, där anställ</w:t>
      </w:r>
      <w:r w:rsidRPr="00C9680B">
        <w:softHyphen/>
        <w:t xml:space="preserve">ningspotentialen är högst, i förhållande till de större. Från och med 2003 bör underlaget sättas till två miljoner kronor. För egenföretagare bör motsvarande gräns då sättas till 300 000 kr. </w:t>
      </w:r>
    </w:p>
    <w:p w:rsidR="001C7BF9" w:rsidRPr="00C9680B" w:rsidRDefault="001C7BF9">
      <w:r w:rsidRPr="00C9680B">
        <w:t>De extra skatter som belastar jordbruket återförs till näringens utövare. Svenska jordbruksmaskiner betalar i dag en ”vägtrafikavgift” om 1,12 kr/liter diesel. Det är inte rimligt. Preci</w:t>
      </w:r>
      <w:r w:rsidRPr="00C9680B">
        <w:t>s som dieselkostnaderna är en tung börda är handelsgödselkostnaderna betungande i jämförelse med konkurrentländerna. Till stor del kan denna problematik lösas genom att skatten på handelsgödsel återförs till näringen. Jordbrukets särskatte</w:t>
      </w:r>
      <w:r w:rsidRPr="00C9680B">
        <w:softHyphen/>
        <w:t>börda måste lindras, inte höjas. Det svenska jordbrukets ryggsäck måste lyftas av och inte tyngas av ytterligare bördor. Riksdagen bör besluta att återföra motsvarande belopp, 1,23 milja</w:t>
      </w:r>
      <w:r w:rsidRPr="00C9680B">
        <w:t>r</w:t>
      </w:r>
      <w:r w:rsidRPr="00C9680B">
        <w:t>der, till svenskt jordbruk för att stärka konku</w:t>
      </w:r>
      <w:r w:rsidRPr="00C9680B">
        <w:t>r</w:t>
      </w:r>
      <w:r w:rsidRPr="00C9680B">
        <w:t>renskraften.</w:t>
      </w:r>
    </w:p>
    <w:p w:rsidR="001C7BF9" w:rsidRPr="00C9680B" w:rsidRDefault="001C7BF9">
      <w:r w:rsidRPr="00C9680B">
        <w:t>Ingen höjning av diesels</w:t>
      </w:r>
      <w:r w:rsidRPr="00C9680B">
        <w:t>katten. Så länge det inte finns alternativa bräns</w:t>
      </w:r>
      <w:r w:rsidRPr="00C9680B">
        <w:softHyphen/>
        <w:t>len att tillgå i tillräcklig mängd och till konkurrenskraftiga priser är det inte rimligt att höja dieselskatten. Höjd dieselskatt innebär att betydelse</w:t>
      </w:r>
      <w:r w:rsidRPr="00C9680B">
        <w:softHyphen/>
        <w:t>fulla näringar som åkerier, rederier och jordbruk får sämre möjligheter att konkurrera på lika villkor som sina europeiska konkurrenter.</w:t>
      </w:r>
    </w:p>
    <w:p w:rsidR="001C7BF9" w:rsidRPr="00C9680B" w:rsidRDefault="001C7BF9">
      <w:r w:rsidRPr="00C9680B">
        <w:t>En skattereduktion på 50 % av arbetskostnaden för ROT-arbeten och hushål</w:t>
      </w:r>
      <w:r w:rsidRPr="00C9680B">
        <w:t>l</w:t>
      </w:r>
      <w:r w:rsidRPr="00C9680B">
        <w:t>stjänster som utförs i hemmet införs. Förslaget kan beskrivas som en utvid</w:t>
      </w:r>
      <w:r w:rsidRPr="00C9680B">
        <w:t>g</w:t>
      </w:r>
      <w:r w:rsidRPr="00C9680B">
        <w:t>ning av det så kallade ROT-systemet, dvs. den skatte</w:t>
      </w:r>
      <w:r w:rsidRPr="00C9680B">
        <w:softHyphen/>
        <w:t>reduktion som tidigare tillämpades för reparationer, ombyggnad och till</w:t>
      </w:r>
      <w:r w:rsidRPr="00C9680B">
        <w:softHyphen/>
        <w:t>byggnad. Den maximala skattereduktionen skall vara 25 000 kr per hus</w:t>
      </w:r>
      <w:r w:rsidRPr="00C9680B">
        <w:softHyphen/>
        <w:t>håll och år. Det innebär att hushållet kan köpa tjänster för 50 000 kr per år och få skattereduktion för dessa.</w:t>
      </w:r>
    </w:p>
    <w:p w:rsidR="001C7BF9" w:rsidRPr="00C9680B" w:rsidRDefault="001C7BF9">
      <w:r w:rsidRPr="00C9680B">
        <w:t>Ett nettostöd för svensk sjöfart med skatte- och avgiftsfrihet för perso</w:t>
      </w:r>
      <w:r w:rsidRPr="00C9680B">
        <w:softHyphen/>
        <w:t>nalen införs den 1 januari 2001. Svensk sjöfart i allmänhet och färjor och flygbåtar i synnerhet har genom förändringar i vår omvärld under det senaste året utsatts för stora yttre påfrestningar. Det finns fog att tala om att svensk sjöfart är hotad. Det är närmast en självklarhet att svensk sjö</w:t>
      </w:r>
      <w:r w:rsidRPr="00C9680B">
        <w:softHyphen/>
        <w:t>fart, som är en vital del av vårt transportsystem och näringsliv, behöver likvärdiga villkor som sina ko</w:t>
      </w:r>
      <w:r w:rsidRPr="00C9680B">
        <w:t>n</w:t>
      </w:r>
      <w:r w:rsidRPr="00C9680B">
        <w:t xml:space="preserve">kurrenter för att kunna hävda sig. </w:t>
      </w:r>
    </w:p>
    <w:p w:rsidR="001C7BF9" w:rsidRPr="00C9680B" w:rsidRDefault="001C7BF9">
      <w:r w:rsidRPr="00C9680B">
        <w:t>Förslaget om höjd koldioxidskatt avslås. Höjningen berör enbart hus</w:t>
      </w:r>
      <w:r w:rsidRPr="00C9680B">
        <w:softHyphen/>
        <w:t xml:space="preserve">hållens, fjärrvärmeproducenternas och servicesektorernas förbrukning av fossila bränslen för uppvärmning. Det är olyckligt att regeringen på detta sätt ökar skillnaden i koldioxidbeskattning mellan hushållen och industrin, när det i stället finns anledning att minska skillnaderna för att förbereda Sverige för ett system för handel med utsläppsrättigheter. </w:t>
      </w:r>
    </w:p>
    <w:p w:rsidR="001C7BF9" w:rsidRPr="00C9680B" w:rsidRDefault="001C7BF9">
      <w:r w:rsidRPr="00C9680B">
        <w:t>Nedsättningen av industrins koldioxidskatt minskas från 50 % till 25 %. I den föreslagna nedsättningen ingår även fortsättningsvis skattelättnader för e</w:t>
      </w:r>
      <w:r w:rsidRPr="00C9680B">
        <w:t>ne</w:t>
      </w:r>
      <w:r w:rsidRPr="00C9680B">
        <w:t>r</w:t>
      </w:r>
      <w:r w:rsidRPr="00C9680B">
        <w:t>giintensiv verksamhet.</w:t>
      </w:r>
    </w:p>
    <w:p w:rsidR="001C7BF9" w:rsidRPr="00C9680B" w:rsidRDefault="001C7BF9">
      <w:r w:rsidRPr="00C9680B">
        <w:t>En kväveoxidskatt införs. Kväveoxidutsläppen har stadigt ökat. För att uppnå en 40-procentig minskning till 2005 införs en kväveoxidskatt med 10 kr per kg NOx för pannor med en större effekt än 5 MW och med en nyttiggjord energiproduktion större än 20 GWh.</w:t>
      </w:r>
    </w:p>
    <w:p w:rsidR="001C7BF9" w:rsidRPr="00C9680B" w:rsidRDefault="001C7BF9">
      <w:r w:rsidRPr="00C9680B">
        <w:t>En skatt på förbränning av avfall införs. Deponiskatten har lett till att fö</w:t>
      </w:r>
      <w:r w:rsidRPr="00C9680B">
        <w:t>r</w:t>
      </w:r>
      <w:r w:rsidRPr="00C9680B">
        <w:t>bränningen av avfall blivit mer lönsam. För att säkerställa att deponi</w:t>
      </w:r>
      <w:r w:rsidRPr="00C9680B">
        <w:softHyphen/>
        <w:t>skatten leder till minskade avfallsmängder bör den kompletteras med en skatt på förbränning av avfall. Avfallsförbränningsskatten bör motsvara deponiskatten för att säkerställa likvärdighet i beskattnin</w:t>
      </w:r>
      <w:r w:rsidRPr="00C9680B">
        <w:t>g</w:t>
      </w:r>
      <w:r w:rsidRPr="00C9680B">
        <w:t>en.</w:t>
      </w:r>
    </w:p>
    <w:p w:rsidR="001C7BF9" w:rsidRPr="00C9680B" w:rsidRDefault="001C7BF9">
      <w:r w:rsidRPr="00C9680B">
        <w:t>En miljöskatt på flyg införs med ett belopp per passagerare och resa, vilket innebär att de största flygplanen med flest resenärer får bära de största kos</w:t>
      </w:r>
      <w:r w:rsidRPr="00C9680B">
        <w:t>t</w:t>
      </w:r>
      <w:r w:rsidRPr="00C9680B">
        <w:t>naderna. Detta är fullt rimligt med tanke på att flygplatserna har dimension</w:t>
      </w:r>
      <w:r w:rsidRPr="00C9680B">
        <w:t>e</w:t>
      </w:r>
      <w:r w:rsidRPr="00C9680B">
        <w:t xml:space="preserve">rats för dessa plan. </w:t>
      </w:r>
    </w:p>
    <w:p w:rsidR="001C7BF9" w:rsidRPr="00C9680B" w:rsidRDefault="001C7BF9">
      <w:r w:rsidRPr="00C9680B">
        <w:t>Vi anser vidare att det är viktigt att regeringen skyndsamt lägger fram förslag om ett yrkesfiskaravdrag som innebär att det svenska fisket får konkurren</w:t>
      </w:r>
      <w:r w:rsidRPr="00C9680B">
        <w:t>s</w:t>
      </w:r>
      <w:r w:rsidRPr="00C9680B">
        <w:softHyphen/>
        <w:t>villkor som är jämbördiga med villkoren i konkurrentländerna och tillstyrker därför förslaget om ett tillkännagivande till regeringen med detta innehåll.</w:t>
      </w:r>
    </w:p>
    <w:p w:rsidR="001C7BF9" w:rsidRPr="00C9680B" w:rsidRDefault="001C7BF9">
      <w:pPr>
        <w:pStyle w:val="Normaltindrag"/>
      </w:pPr>
      <w:r w:rsidRPr="00C9680B">
        <w:t>Vi föreslår att riksdagen fattar beslut om en inriktning av skattepolitiken som överensstämmer med Centerpartiets förslag.</w:t>
      </w:r>
    </w:p>
    <w:p w:rsidR="001C7BF9" w:rsidRPr="00C9680B" w:rsidRDefault="001C7BF9">
      <w:pPr>
        <w:pStyle w:val="Normaltindrag"/>
      </w:pPr>
      <w:r w:rsidRPr="00C9680B">
        <w:t>Med det anförda tillstyrks motionerna Fi210 yrkande 3, Sk321 yrkandena 1– 8, 11, 12, 15–17, 21–24 och 27– 31 samt MJ418 yrkande 9.</w:t>
      </w:r>
    </w:p>
    <w:p w:rsidR="001C7BF9" w:rsidRPr="00C9680B" w:rsidRDefault="001C7BF9">
      <w:pPr>
        <w:pStyle w:val="Normaltindrag"/>
      </w:pPr>
      <w:r w:rsidRPr="00C9680B">
        <w:t>Vi står bakom den inkomstberäkning som redovisas i motion Fi210 yrka</w:t>
      </w:r>
      <w:r w:rsidRPr="00C9680B">
        <w:t>n</w:t>
      </w:r>
      <w:r w:rsidRPr="00C9680B">
        <w:t>de 3 av Lennart Daléus m.fl. (c).</w:t>
      </w:r>
    </w:p>
    <w:p w:rsidR="001C7BF9" w:rsidRPr="00C9680B" w:rsidRDefault="001C7BF9">
      <w:pPr>
        <w:pStyle w:val="Rubrik2"/>
      </w:pPr>
      <w:bookmarkStart w:id="1097" w:name="_Toc497720164"/>
      <w:bookmarkStart w:id="1098" w:name="_Toc498838222"/>
      <w:r w:rsidRPr="00C9680B">
        <w:t>4. Skattefrågor i budgetpropositionen – fp</w:t>
      </w:r>
      <w:bookmarkEnd w:id="1097"/>
      <w:bookmarkEnd w:id="1098"/>
    </w:p>
    <w:p w:rsidR="001C7BF9" w:rsidRPr="00C9680B" w:rsidRDefault="001C7BF9">
      <w:r w:rsidRPr="00C9680B">
        <w:t>Johan Pehrson (fp) anför:</w:t>
      </w:r>
    </w:p>
    <w:p w:rsidR="001C7BF9" w:rsidRPr="00C9680B" w:rsidRDefault="001C7BF9">
      <w:pPr>
        <w:pStyle w:val="Rubrik3"/>
        <w:spacing w:before="250"/>
        <w:rPr>
          <w:noProof w:val="0"/>
        </w:rPr>
      </w:pPr>
      <w:bookmarkStart w:id="1099" w:name="_Toc497720165"/>
      <w:bookmarkStart w:id="1100" w:name="_Toc498838223"/>
      <w:r w:rsidRPr="00C9680B">
        <w:rPr>
          <w:noProof w:val="0"/>
        </w:rPr>
        <w:t>Skatteförslagen och inkomstberäkningen</w:t>
      </w:r>
      <w:bookmarkEnd w:id="1099"/>
      <w:bookmarkEnd w:id="1100"/>
    </w:p>
    <w:p w:rsidR="001C7BF9" w:rsidRPr="00C9680B" w:rsidRDefault="001C7BF9">
      <w:r w:rsidRPr="00C9680B">
        <w:t>Dagens svenska skattetryck måste sänkas eftersom det inte är förenligt med en dynamisk och växande ekonomi. Den tilltagande internationaliseringen ökar kraven på att Sverige får konkurrenskraftiga villkor för företag och mä</w:t>
      </w:r>
      <w:r w:rsidRPr="00C9680B">
        <w:t>n</w:t>
      </w:r>
      <w:r w:rsidRPr="00C9680B">
        <w:t xml:space="preserve">niskor. Villkoren består i de olika ländernas kombinationer av skatter och välfärd, dvs. inte bara skattenivån utan också vad medborgarna får ut av skatterna. För den svenska politiken är naturligtvis skatte- och utgiftsnivåerna i övriga EU av särskilt stor betydelse. </w:t>
      </w:r>
    </w:p>
    <w:p w:rsidR="001C7BF9" w:rsidRPr="00C9680B" w:rsidRDefault="001C7BF9">
      <w:pPr>
        <w:pStyle w:val="Normaltindrag"/>
      </w:pPr>
      <w:r w:rsidRPr="00C9680B">
        <w:t>Viktigast är att sänka de skatter som är mest skadliga för tillväxt och sy</w:t>
      </w:r>
      <w:r w:rsidRPr="00C9680B">
        <w:t>s</w:t>
      </w:r>
      <w:r w:rsidRPr="00C9680B">
        <w:t>selsättning. Det gäller skatt på riskkapital, den högsta marginalskatten och arbetsgivaravgifterna, särskilt i tjänstesektorn. Skattesänkningar skall genom</w:t>
      </w:r>
      <w:r w:rsidRPr="00C9680B">
        <w:softHyphen/>
        <w:t>föras som mildrar marginaleffekterna för barnfamiljer och gör det möjligt för fler låginkomsttagare att leva på sin lön. Avgifterna till socialförsäkringarna skall vara försäkringsavgifter och fria från skatteinslag.</w:t>
      </w:r>
    </w:p>
    <w:p w:rsidR="001C7BF9" w:rsidRPr="00C9680B" w:rsidRDefault="001C7BF9">
      <w:pPr>
        <w:pStyle w:val="Normaltindrag"/>
      </w:pPr>
      <w:r w:rsidRPr="00C9680B">
        <w:t>En inkomstskattereform genomförs vars huvudingredienser är sänkta ma</w:t>
      </w:r>
      <w:r w:rsidRPr="00C9680B">
        <w:t>r</w:t>
      </w:r>
      <w:r w:rsidRPr="00C9680B">
        <w:t>ginalskatter genom slopad värnskatt, höjd brytpunkt, grundavdrag utan a</w:t>
      </w:r>
      <w:r w:rsidRPr="00C9680B">
        <w:t>v</w:t>
      </w:r>
      <w:r w:rsidRPr="00C9680B">
        <w:t>trappning samt en generell skatteminskning exempelvis i form av skatte</w:t>
      </w:r>
      <w:r w:rsidRPr="00C9680B">
        <w:softHyphen/>
        <w:t>reduktion. Dessa förändringar skall genomföras inom en treårsperiod, och därefter bör inkomstskatterna sänkas ytterligare i former som uppmuntrar ökat arbetsutbud, utbildning och risktagande. Den statliga skattens nivåer och omfattning ingår i ett sådant övervägande.</w:t>
      </w:r>
    </w:p>
    <w:p w:rsidR="001C7BF9" w:rsidRPr="00C9680B" w:rsidRDefault="001C7BF9">
      <w:pPr>
        <w:pStyle w:val="Normaltindrag"/>
      </w:pPr>
      <w:r w:rsidRPr="00C9680B">
        <w:t>Under de närmaste två–tre åren vill vi genomföra följande förändringar av skatterna.</w:t>
      </w:r>
    </w:p>
    <w:p w:rsidR="001C7BF9" w:rsidRPr="00C9680B" w:rsidRDefault="001C7BF9">
      <w:r w:rsidRPr="00C9680B">
        <w:t>Den s.k. LO-puckeln avskaffas. I inkomstlägen mellan ca 150 000 och 200 000 kr finns en marginaleffekt som uppkommer genom att grund</w:t>
      </w:r>
      <w:r w:rsidRPr="00C9680B">
        <w:softHyphen/>
        <w:t>avdraget avtrappas. Denna avtrappning bör successivt avskaffas vilket leder till en marginalska</w:t>
      </w:r>
      <w:r w:rsidRPr="00C9680B">
        <w:t>t</w:t>
      </w:r>
      <w:r w:rsidRPr="00C9680B">
        <w:t xml:space="preserve">tesänkning för betydande grupper. </w:t>
      </w:r>
    </w:p>
    <w:p w:rsidR="001C7BF9" w:rsidRPr="00C9680B" w:rsidRDefault="001C7BF9">
      <w:r w:rsidRPr="00C9680B">
        <w:t>Brytpunkten höjs upp till gränsen för egenavgifterna för att undvika att pers</w:t>
      </w:r>
      <w:r w:rsidRPr="00C9680B">
        <w:t>o</w:t>
      </w:r>
      <w:r w:rsidRPr="00C9680B">
        <w:t>ner som betalar både statlig skatt och egenavgifter får marginal</w:t>
      </w:r>
      <w:r w:rsidRPr="00C9680B">
        <w:softHyphen/>
        <w:t xml:space="preserve">effekter om ca 55 %. </w:t>
      </w:r>
    </w:p>
    <w:p w:rsidR="001C7BF9" w:rsidRPr="00C9680B" w:rsidRDefault="001C7BF9">
      <w:r w:rsidRPr="00C9680B">
        <w:t>Den s.k. värnskatten avskaffas. Den är ett brott mot skattereformen. Vår fö</w:t>
      </w:r>
      <w:r w:rsidRPr="00C9680B">
        <w:t>r</w:t>
      </w:r>
      <w:r w:rsidRPr="00C9680B">
        <w:t>ändring sänker marginalskatten med 5 procentenheter i de aktuella inkoms</w:t>
      </w:r>
      <w:r w:rsidRPr="00C9680B">
        <w:t>t</w:t>
      </w:r>
      <w:r w:rsidRPr="00C9680B">
        <w:t>skikten.</w:t>
      </w:r>
    </w:p>
    <w:p w:rsidR="001C7BF9" w:rsidRPr="00C9680B" w:rsidRDefault="001C7BF9">
      <w:r w:rsidRPr="00C9680B">
        <w:t xml:space="preserve">En skattereduktion, lika för alla, införs för att garantera att alla får del av en skattesänkning. Denna skattereduktion bör till en början vara ca 3 000 kr per person. </w:t>
      </w:r>
    </w:p>
    <w:p w:rsidR="001C7BF9" w:rsidRPr="00C9680B" w:rsidRDefault="001C7BF9">
      <w:r w:rsidRPr="00C9680B">
        <w:t>Alla höjningar av det generella barnstödet sker i form av skattesänk</w:t>
      </w:r>
      <w:r w:rsidRPr="00C9680B">
        <w:softHyphen/>
        <w:t>ningar. I de fall där familjen inte betalar någon skatt får det ersättas av ett kontantb</w:t>
      </w:r>
      <w:r w:rsidRPr="00C9680B">
        <w:t>i</w:t>
      </w:r>
      <w:r w:rsidRPr="00C9680B">
        <w:t>drag. Rent tekniskt kan detta enkelt och obyråkratiskt lösas via skattekontot. Den som inte betalar tillräckligt med skatt kan få en auto</w:t>
      </w:r>
      <w:r w:rsidRPr="00C9680B">
        <w:softHyphen/>
        <w:t xml:space="preserve">matisk kreditering på sitt skattekonto, vilken sedan automatiskt överförs till det vanliga bankkontot precis som barnbidraget. </w:t>
      </w:r>
    </w:p>
    <w:p w:rsidR="001C7BF9" w:rsidRPr="00C9680B" w:rsidRDefault="001C7BF9">
      <w:r w:rsidRPr="00C9680B">
        <w:t>Barnomsorgskostnader upp till 50 000 kr blir avdragsgilla i den kommu</w:t>
      </w:r>
      <w:r w:rsidRPr="00C9680B">
        <w:softHyphen/>
        <w:t>nala beskattningen, vilket minskar tröskeleffekterna för arbete och ökar möjligh</w:t>
      </w:r>
      <w:r w:rsidRPr="00C9680B">
        <w:t>e</w:t>
      </w:r>
      <w:r w:rsidRPr="00C9680B">
        <w:t>terna att komplettera med annan barnomsorg än den kommunalt finansierade. Genom avdragsrätten minskar barnomsorgskostnaden med en tredjedel.</w:t>
      </w:r>
    </w:p>
    <w:p w:rsidR="001C7BF9" w:rsidRPr="00C9680B" w:rsidRDefault="001C7BF9">
      <w:r w:rsidRPr="00C9680B">
        <w:t>En skattereduktion för hushållsnära tjänster införs. Det finns en stor efterfr</w:t>
      </w:r>
      <w:r w:rsidRPr="00C9680B">
        <w:t>å</w:t>
      </w:r>
      <w:r w:rsidRPr="00C9680B">
        <w:t>gan på hushållsnära tjänster. Totalt är nästan vart fjärde hushåll i Sverige intresserat av hjälp, ibland eller regelbundet. Det höga skatte</w:t>
      </w:r>
      <w:r w:rsidRPr="00C9680B">
        <w:softHyphen/>
        <w:t>uttaget hindrar efterfrågan och utbud från att mötas på en vit marknad. Inkomstskatter, soc</w:t>
      </w:r>
      <w:r w:rsidRPr="00C9680B">
        <w:t>i</w:t>
      </w:r>
      <w:r w:rsidRPr="00C9680B">
        <w:t xml:space="preserve">ala avgifter och moms driver upp timpriset till nivåer som nästan inga hushåll med normala inkomster är beredda att betala. </w:t>
      </w:r>
    </w:p>
    <w:p w:rsidR="001C7BF9" w:rsidRPr="00C9680B" w:rsidRDefault="001C7BF9">
      <w:r w:rsidRPr="00C9680B">
        <w:t>Den särskilda löneskatten på vinstandelar slopas. Vinstandelsstiftelser har funnits under en längre tid och ger de anställda ett ekonomiskt utbyte av ett</w:t>
      </w:r>
      <w:r w:rsidRPr="00C9680B">
        <w:t xml:space="preserve"> företags framgång och vinster. Vinstandelsstiftelser inom företag har goda förutsättningar att bidra till ökat engagemang och ökad delak</w:t>
      </w:r>
      <w:r w:rsidRPr="00C9680B">
        <w:softHyphen/>
        <w:t xml:space="preserve">tighet för de anställda. </w:t>
      </w:r>
    </w:p>
    <w:p w:rsidR="001C7BF9" w:rsidRPr="00C9680B" w:rsidRDefault="001C7BF9">
      <w:r w:rsidRPr="00C9680B">
        <w:t>Avgiftsuttaget på personaloptioner sänks med närmare 1 miljard kronor. Det intellektuella kapitalet i företaget blir allt viktigare i förhållande till det mer traditionella kapitalet i form av anläggnings- och finanskapital. Det är därför viktigt för svenska företag att kunna knyta till sig bärare av sådant kapital, medarbetarna. Beskattningen av</w:t>
      </w:r>
      <w:r w:rsidRPr="00C9680B">
        <w:t xml:space="preserve"> personaloptioner bör skyndsamt ses över både för dem som är långsiktigt verksamma i Sverige och för dem som arb</w:t>
      </w:r>
      <w:r w:rsidRPr="00C9680B">
        <w:t>e</w:t>
      </w:r>
      <w:r w:rsidRPr="00C9680B">
        <w:t xml:space="preserve">tar här tillfälligt. Inte minst socialavgifterna skapar problem. Konkurrensen från länder med förmånligare beskattningsregler måste tas som utgångspunkt vid översynen. </w:t>
      </w:r>
    </w:p>
    <w:p w:rsidR="001C7BF9" w:rsidRPr="00C9680B" w:rsidRDefault="001C7BF9">
      <w:r w:rsidRPr="00C9680B">
        <w:t>Avdragsrätten för pensionssparande höjs till 1,5 prisbasbelopp och medlen får användas för studier. Arbetslivet kommer i allt högre grad att kräva att den enskilde förnyar sina kunskaper för att bättre kunna möta förändringar på a</w:t>
      </w:r>
      <w:r w:rsidRPr="00C9680B">
        <w:t>rbetsmarknaden. En del av denna kompetenshöjning sker naturligen på a</w:t>
      </w:r>
      <w:r w:rsidRPr="00C9680B">
        <w:t>r</w:t>
      </w:r>
      <w:r w:rsidRPr="00C9680B">
        <w:t>betsplatsen. Men ibland krävs insatser därutöver. Folkpartiet vill att den e</w:t>
      </w:r>
      <w:r w:rsidRPr="00C9680B">
        <w:t>n</w:t>
      </w:r>
      <w:r w:rsidRPr="00C9680B">
        <w:t>skilde skall ha större möjligheter till att förnya sitt kunnande.</w:t>
      </w:r>
    </w:p>
    <w:p w:rsidR="001C7BF9" w:rsidRPr="00C9680B" w:rsidRDefault="001C7BF9">
      <w:r w:rsidRPr="00C9680B">
        <w:t>Arbetsgivaravgifternas skattedel tas bort. År 2001 sänks därför avgiften med 2, därefter med 5 procentenheter för hela den privata tjänstesektorn. Detta ger främst en ökad stimulans för sysselsättningsu</w:t>
      </w:r>
      <w:r w:rsidRPr="00C9680B">
        <w:t>t</w:t>
      </w:r>
      <w:r w:rsidRPr="00C9680B">
        <w:t>vecklingen i mindre företag.</w:t>
      </w:r>
    </w:p>
    <w:p w:rsidR="001C7BF9" w:rsidRPr="00C9680B" w:rsidRDefault="001C7BF9">
      <w:r w:rsidRPr="00C9680B">
        <w:t>Dubbelbeskattningen av bolagsinkomster slopas. Dubbelskatten gör det inte bara svårare för småföretagen att anskaffa riskkapital, den hindrar dessutom de små företagen att växa med eget kapital. Skattebelastningen på att växa med eget kapital är högre än att växa med lånat kapital. Avskaffandet av dubbelskatt på utdelningar bör ske i etapper genom att den halveras, först för fysiska personer och två år senare även för juri</w:t>
      </w:r>
      <w:r w:rsidRPr="00C9680B">
        <w:softHyphen/>
        <w:t>diska personer med sikte på ett fullständigt avskaffande.</w:t>
      </w:r>
    </w:p>
    <w:p w:rsidR="001C7BF9" w:rsidRPr="00C9680B" w:rsidRDefault="001C7BF9">
      <w:r w:rsidRPr="00C9680B">
        <w:t>Fastigheternas taxeringsvärden fortsätter att vara frysta, och skattesatsen sänks till 1,2 % för småhus och till 0,7 % för hyreshus. Vi menar att nivån på fastighetsbeskattningen fortfarande är för hög och att dagens beskattning</w:t>
      </w:r>
      <w:r w:rsidRPr="00C9680B">
        <w:t>s</w:t>
      </w:r>
      <w:r w:rsidRPr="00C9680B">
        <w:t>form är oacceptabel i grunden. Sänkningen av fastighets</w:t>
      </w:r>
      <w:r w:rsidRPr="00C9680B">
        <w:softHyphen/>
        <w:t>beskattningen måste ske stegvis och inledas omgående. Vägen till sänkt beskattning av fastigheter skall innehålla avskaffande av den nuvarande fastighetsskatten, införande av s.k. schablonintäktsbeskattning för egna</w:t>
      </w:r>
      <w:r w:rsidRPr="00C9680B">
        <w:softHyphen/>
        <w:t xml:space="preserve">hem samt bibehållen rätt till avdrag för låneräntor. </w:t>
      </w:r>
    </w:p>
    <w:p w:rsidR="001C7BF9" w:rsidRPr="00C9680B" w:rsidRDefault="001C7BF9">
      <w:r w:rsidRPr="00C9680B">
        <w:t>Regeringens förslag om höjd skatt på kapitalvinster vid försäljning av priva</w:t>
      </w:r>
      <w:r w:rsidRPr="00C9680B">
        <w:t>t</w:t>
      </w:r>
      <w:r w:rsidRPr="00C9680B">
        <w:t>bostäder avvisas eftersom det bryter mot den tidigare fastslagna symmetrin i kapitalbeskattningen med en 50-procentig andel av ordinarie kapitalbeskat</w:t>
      </w:r>
      <w:r w:rsidRPr="00C9680B">
        <w:t>t</w:t>
      </w:r>
      <w:r w:rsidRPr="00C9680B">
        <w:t xml:space="preserve">ning. </w:t>
      </w:r>
    </w:p>
    <w:p w:rsidR="001C7BF9" w:rsidRPr="00C9680B" w:rsidRDefault="001C7BF9">
      <w:r w:rsidRPr="00C9680B">
        <w:t>Sambeskattningen av förmögenhet avskaffas år 2001 och fribeloppet höjs till 2,1 miljoner kronor år 2002 med sikte på ett fullständigt avskaffande av fö</w:t>
      </w:r>
      <w:r w:rsidRPr="00C9680B">
        <w:t>r</w:t>
      </w:r>
      <w:r w:rsidRPr="00C9680B">
        <w:t>mögenhetsskatten. Sambeskattning av förmögenhet är det enda kvarvarande momentet av sambeskattning som finns i nuvarande skatte</w:t>
      </w:r>
      <w:r w:rsidRPr="00C9680B">
        <w:softHyphen/>
        <w:t>system. Riksskatt</w:t>
      </w:r>
      <w:r w:rsidRPr="00C9680B">
        <w:t>e</w:t>
      </w:r>
      <w:r w:rsidRPr="00C9680B">
        <w:t>verket anser att ett slopande av sambeskattningen av en familjs förmögenhet skulle ”vara till stor fördel och innebära avse</w:t>
      </w:r>
      <w:r w:rsidRPr="00C9680B">
        <w:softHyphen/>
        <w:t>värda förenklingar i de tekniska systemen”. Vi menar att det således finns starka jämställdhetsskäl, och pra</w:t>
      </w:r>
      <w:r w:rsidRPr="00C9680B">
        <w:t>k</w:t>
      </w:r>
      <w:r w:rsidRPr="00C9680B">
        <w:t>tiska skäl, för att avskaffa sambe</w:t>
      </w:r>
      <w:r w:rsidRPr="00C9680B">
        <w:softHyphen/>
        <w:t>skat</w:t>
      </w:r>
      <w:r w:rsidRPr="00C9680B">
        <w:t>t</w:t>
      </w:r>
      <w:r w:rsidRPr="00C9680B">
        <w:t xml:space="preserve">ningen. </w:t>
      </w:r>
    </w:p>
    <w:p w:rsidR="001C7BF9" w:rsidRPr="00C9680B" w:rsidRDefault="001C7BF9">
      <w:r w:rsidRPr="00C9680B">
        <w:t>Folkpartiet har en positiv inställning till skatteväxling, dvs. att knappa resu</w:t>
      </w:r>
      <w:r w:rsidRPr="00C9680B">
        <w:t>r</w:t>
      </w:r>
      <w:r w:rsidRPr="00C9680B">
        <w:t>ser beskattas mera och arbete mindre. Det som präglat regeringens s.k. skatt</w:t>
      </w:r>
      <w:r w:rsidRPr="00C9680B">
        <w:t>e</w:t>
      </w:r>
      <w:r w:rsidRPr="00C9680B">
        <w:t>växling är dock snarast en svartväxling, dvs. att skatt på energi höjts medan skattesänkningarna på arbete uteblivit. Folkpartiet säger ja till ökad miljösty</w:t>
      </w:r>
      <w:r w:rsidRPr="00C9680B">
        <w:t>r</w:t>
      </w:r>
      <w:r w:rsidRPr="00C9680B">
        <w:t>ning, bort från framför allt koldioxidutsläpp, genom förskjutningen av ska</w:t>
      </w:r>
      <w:r w:rsidRPr="00C9680B">
        <w:t>t</w:t>
      </w:r>
      <w:r w:rsidRPr="00C9680B">
        <w:t>teuttag från energiskatt till koldioxidskatt. Folkpartiet arbetar för en koldio</w:t>
      </w:r>
      <w:r w:rsidRPr="00C9680B">
        <w:t>x</w:t>
      </w:r>
      <w:r w:rsidRPr="00C9680B">
        <w:t>idskatt på EU-nivå som både beaktar problemens internationella karaktär och likställer företagen från konkurrenssynpunkt.</w:t>
      </w:r>
      <w:r w:rsidRPr="00C9680B">
        <w:t xml:space="preserve"> Regeringen måste nu med kraft verka för att detta skall bli möjligt. Vi säger också ja till att sänka momsen på kollektiv trafik och förutsätter att denna även kommer med</w:t>
      </w:r>
      <w:r w:rsidRPr="00C9680B">
        <w:softHyphen/>
        <w:t xml:space="preserve">borgarna som konsumenter av kollektivtrafik till godo genom lägre priser. </w:t>
      </w:r>
    </w:p>
    <w:p w:rsidR="001C7BF9" w:rsidRPr="00C9680B" w:rsidRDefault="001C7BF9">
      <w:r w:rsidRPr="00C9680B">
        <w:t>Folkpartiet motsätter sig regeringens förslag om höjda energiskatter och rä</w:t>
      </w:r>
      <w:r w:rsidRPr="00C9680B">
        <w:t>k</w:t>
      </w:r>
      <w:r w:rsidRPr="00C9680B">
        <w:t>nar med drygt 1 miljard kronor i lägre skatteinkomster än regeringen. Det finns ingen miljövinst om vi i Sverige höjer skatterna så att viktiga verksa</w:t>
      </w:r>
      <w:r w:rsidRPr="00C9680B">
        <w:t>m</w:t>
      </w:r>
      <w:r w:rsidRPr="00C9680B">
        <w:t>heter flyttar från vårt land för att lokalisera sig i ett land med sämre miljöre</w:t>
      </w:r>
      <w:r w:rsidRPr="00C9680B">
        <w:t>g</w:t>
      </w:r>
      <w:r w:rsidRPr="00C9680B">
        <w:t>ler.</w:t>
      </w:r>
    </w:p>
    <w:p w:rsidR="001C7BF9" w:rsidRPr="00C9680B" w:rsidRDefault="001C7BF9">
      <w:r w:rsidRPr="00C9680B">
        <w:t>Höjningen av dieselskatten avvisas. Med tanke på att regeringen i förra stat</w:t>
      </w:r>
      <w:r w:rsidRPr="00C9680B">
        <w:t>s</w:t>
      </w:r>
      <w:r w:rsidRPr="00C9680B">
        <w:t>budgeten valde att höja dieselskatten med 30 öre framstår det till</w:t>
      </w:r>
      <w:r w:rsidRPr="00C9680B">
        <w:softHyphen/>
        <w:t>sammans med det ovanligt höga världsmarknadspriset som i dag olämp</w:t>
      </w:r>
      <w:r w:rsidRPr="00C9680B">
        <w:softHyphen/>
        <w:t xml:space="preserve">ligt att ensidigt höja den svenska dieselskatten ytterligare. </w:t>
      </w:r>
    </w:p>
    <w:p w:rsidR="001C7BF9" w:rsidRPr="00C9680B" w:rsidRDefault="001C7BF9">
      <w:r w:rsidRPr="00C9680B">
        <w:t>Diskrimineringen av fåmansföretagen elimineras. Det finns ingen anled</w:t>
      </w:r>
      <w:r w:rsidRPr="00C9680B">
        <w:softHyphen/>
        <w:t>ning att ha särregler om inkomstfördelning eller om beskattning av lån som lä</w:t>
      </w:r>
      <w:r w:rsidRPr="00C9680B">
        <w:t>m</w:t>
      </w:r>
      <w:r w:rsidRPr="00C9680B">
        <w:t>nats i strid med aktiebolagslagens straffsanktionerade förbud när det gäller fåmansföretagen. Även förbudet mot avdrag för personal</w:t>
      </w:r>
      <w:r w:rsidRPr="00C9680B">
        <w:softHyphen/>
        <w:t>a</w:t>
      </w:r>
      <w:r w:rsidRPr="00C9680B">
        <w:t>v</w:t>
      </w:r>
      <w:r w:rsidRPr="00C9680B">
        <w:t xml:space="preserve">vecklingskostnader bör slopas. </w:t>
      </w:r>
    </w:p>
    <w:p w:rsidR="001C7BF9" w:rsidRPr="00C9680B" w:rsidRDefault="001C7BF9">
      <w:r w:rsidRPr="00C9680B">
        <w:t>En verklig förbättring av företagsklimatet förutsätter att fåmansbolags</w:t>
      </w:r>
      <w:r w:rsidRPr="00C9680B">
        <w:softHyphen/>
        <w:t>reglerna reformeras med sikte på att sänka den totala beskattningen av fåmansföretag. Speciellt gäller detta de krångliga s.k. 3:12-reglerna, som för många produ</w:t>
      </w:r>
      <w:r w:rsidRPr="00C9680B">
        <w:t>k</w:t>
      </w:r>
      <w:r w:rsidRPr="00C9680B">
        <w:t>tiva företagare innebär en väsentligt högre beskattning av det kapital som de satsat i det egna företaget än den skatt som andra kapitalinvesteringar i exte</w:t>
      </w:r>
      <w:r w:rsidRPr="00C9680B">
        <w:t>r</w:t>
      </w:r>
      <w:r w:rsidRPr="00C9680B">
        <w:t>na verksamheter ger upphov till. Dessa regler måste ändras från grunden. Huvudregeln vid beskattning av utdelning till aktiv ägare i fåmansbolag bör vara att all utdelning från bolaget anses s</w:t>
      </w:r>
      <w:r w:rsidRPr="00C9680B">
        <w:t>om kapitalinkomst om ägaren tagit ut en lön som minst motsvarar den som en anställd kollega i samma yrke har. Det är viktigt att denna möj</w:t>
      </w:r>
      <w:r w:rsidRPr="00C9680B">
        <w:softHyphen/>
        <w:t>lighet belyses i den pågående utredningen om 3:12-reglerna som berä</w:t>
      </w:r>
      <w:r w:rsidRPr="00C9680B">
        <w:t>k</w:t>
      </w:r>
      <w:r w:rsidRPr="00C9680B">
        <w:softHyphen/>
        <w:t>nas vara klar den 31 oktober 2001.</w:t>
      </w:r>
    </w:p>
    <w:p w:rsidR="001C7BF9" w:rsidRPr="00C9680B" w:rsidRDefault="001C7BF9">
      <w:r w:rsidRPr="00C9680B">
        <w:t>Bokmomsen sänks till 6 %. I dag gäller skilda skattesatser mellan bok</w:t>
      </w:r>
      <w:r w:rsidRPr="00C9680B">
        <w:softHyphen/>
        <w:t>inköp (25 %) och annan konsumtion av kultur, t.ex. teater-, konsert- och operaför</w:t>
      </w:r>
      <w:r w:rsidRPr="00C9680B">
        <w:t>e</w:t>
      </w:r>
      <w:r w:rsidRPr="00C9680B">
        <w:t>ställningar (6 %). Härigenom har skattepolitiken kommit att få en styrande effekt på medborgarnas val av kulturaktiviteter som inte varit avsikten. Det dåliga konkurrensläget för boken förvärras än mer av Internetbranschens utveckling på detta område och möjligheterna att anskaffa böcker on line. Detta tillsammans med en önskan att på olika sätt uppmuntra läsandet av det tryckta ordet i bokform gör att momsen på böcker bör sä</w:t>
      </w:r>
      <w:r w:rsidRPr="00C9680B">
        <w:t>nkas till 6 % från gällande 25 %.</w:t>
      </w:r>
    </w:p>
    <w:p w:rsidR="001C7BF9" w:rsidRPr="00C9680B" w:rsidRDefault="001C7BF9">
      <w:r w:rsidRPr="00C9680B">
        <w:t>I budgetpropositionen föreslås att reseavdragen höjs. Vi tillstyrker detta. Vi vill därutöver att restiden även får inkludera hämtning och lämning av barn vid barnomsorg. Detta är för många en förutsättning för att kunna arbeta, och denna tid och omväg bör räknas in vid beräkning av tidsvinsten.</w:t>
      </w:r>
    </w:p>
    <w:p w:rsidR="001C7BF9" w:rsidRPr="00C9680B" w:rsidRDefault="001C7BF9">
      <w:pPr>
        <w:pStyle w:val="Normaltindrag"/>
      </w:pPr>
      <w:r w:rsidRPr="00C9680B">
        <w:t>Skatteharmonisering i form av gemensamma beslut om skattenivåer avv</w:t>
      </w:r>
      <w:r w:rsidRPr="00C9680B">
        <w:t>i</w:t>
      </w:r>
      <w:r w:rsidRPr="00C9680B">
        <w:t>sas. Varje land, även inom EU, skall självt avgöra sin skattepolitik. Däremot kan systemen behöva anpassas till varandra för att underlätta handel, förbättra den inre marknaden och ytterligare riva gränser mellan människorna. Mervä</w:t>
      </w:r>
      <w:r w:rsidRPr="00C9680B">
        <w:t>r</w:t>
      </w:r>
      <w:r w:rsidRPr="00C9680B">
        <w:t>desskatten är ett sådant system där en gemensam hantering är efter</w:t>
      </w:r>
      <w:r w:rsidRPr="00C9680B">
        <w:softHyphen/>
        <w:t>strävansvärd. Sverige bör också långsiktigt hamna på en mervärdesskattenivå som är nä</w:t>
      </w:r>
      <w:r w:rsidRPr="00C9680B">
        <w:t>r</w:t>
      </w:r>
      <w:r w:rsidRPr="00C9680B">
        <w:t>mare våra grannländers och som kan tillämpas mer generellt.</w:t>
      </w:r>
    </w:p>
    <w:p w:rsidR="001C7BF9" w:rsidRPr="00C9680B" w:rsidRDefault="001C7BF9">
      <w:pPr>
        <w:pStyle w:val="Normaltindrag"/>
      </w:pPr>
      <w:r w:rsidRPr="00C9680B">
        <w:t>Vi föreslår att riksdagen fattar beslut om en inriktning av skatte</w:t>
      </w:r>
      <w:r w:rsidRPr="00C9680B">
        <w:t>politiken som överensstämmer med Folkpartiet liberalernas fö</w:t>
      </w:r>
      <w:r w:rsidRPr="00C9680B">
        <w:t>r</w:t>
      </w:r>
      <w:r w:rsidRPr="00C9680B">
        <w:t>slag.</w:t>
      </w:r>
    </w:p>
    <w:p w:rsidR="001C7BF9" w:rsidRPr="00C9680B" w:rsidRDefault="001C7BF9">
      <w:pPr>
        <w:pStyle w:val="Normaltindrag"/>
      </w:pPr>
      <w:r w:rsidRPr="00C9680B">
        <w:t>Med det anförda tillstyrks motionerna Fi211 yrkandena 5, 26, 27, Sk316, Sk324 yrkandena 1–8, 10, 13, 14, 18 och 22, Sf308 yrkandena 1 och 10, Ub227 yrkande 7 och Bo235 yrkande 12.</w:t>
      </w:r>
    </w:p>
    <w:p w:rsidR="001C7BF9" w:rsidRPr="00C9680B" w:rsidRDefault="001C7BF9">
      <w:pPr>
        <w:pStyle w:val="Normaltindrag"/>
      </w:pPr>
      <w:r w:rsidRPr="00C9680B">
        <w:t>Vi står bakom den inkomstberäkning som redovisas i motion Fi211 yrka</w:t>
      </w:r>
      <w:r w:rsidRPr="00C9680B">
        <w:t>n</w:t>
      </w:r>
      <w:r w:rsidRPr="00C9680B">
        <w:t>de 5 av Lars Leijonborg m.fl. (fp).</w:t>
      </w:r>
    </w:p>
    <w:p w:rsidR="001C7BF9" w:rsidRPr="00C9680B" w:rsidRDefault="001C7BF9">
      <w:pPr>
        <w:pStyle w:val="Rubrik3"/>
        <w:rPr>
          <w:noProof w:val="0"/>
        </w:rPr>
      </w:pPr>
      <w:bookmarkStart w:id="1101" w:name="_Toc497720166"/>
      <w:bookmarkStart w:id="1102" w:name="_Toc498838224"/>
      <w:r w:rsidRPr="00C9680B">
        <w:rPr>
          <w:noProof w:val="0"/>
        </w:rPr>
        <w:t>Ramarna för utg.omr. 3 Skatteförvaltning och uppbörd</w:t>
      </w:r>
      <w:bookmarkEnd w:id="1101"/>
      <w:bookmarkEnd w:id="1102"/>
    </w:p>
    <w:p w:rsidR="001C7BF9" w:rsidRPr="00C9680B" w:rsidRDefault="001C7BF9">
      <w:r w:rsidRPr="00C9680B">
        <w:t>Folkpartiet vill höja utgiftsramen för utgiftsområdet i förhållande till propos</w:t>
      </w:r>
      <w:r w:rsidRPr="00C9680B">
        <w:t>i</w:t>
      </w:r>
      <w:r w:rsidRPr="00C9680B">
        <w:t xml:space="preserve">tionen med sammanlagt 75 miljoner kronor vart och ett av åren 2001–2003. De ökade resurserna skall användas av skattemyndigheterna för åtgärder som ökar skatteintäkterna och av tullen för insatser mot den illegala införseln av narkotika och alkohol. Med det anförda tillstyrker vi motion Fi211 yrkandena 6 och 8 i här berörda delar.    </w:t>
      </w:r>
    </w:p>
    <w:p w:rsidR="001C7BF9" w:rsidRPr="00C9680B" w:rsidRDefault="001C7BF9"/>
    <w:p w:rsidR="001C7BF9" w:rsidRPr="00C9680B" w:rsidRDefault="001C7BF9">
      <w:pPr>
        <w:pStyle w:val="Normaltindrag"/>
        <w:sectPr w:rsidR="00000000" w:rsidRPr="00C9680B">
          <w:headerReference w:type="even" r:id="rId117"/>
          <w:headerReference w:type="default" r:id="rId118"/>
          <w:footerReference w:type="even" r:id="rId119"/>
          <w:footerReference w:type="default" r:id="rId120"/>
          <w:headerReference w:type="first" r:id="rId121"/>
          <w:footerReference w:type="first" r:id="rId122"/>
          <w:footnotePr>
            <w:numRestart w:val="eachSect"/>
          </w:footnotePr>
          <w:pgSz w:w="11906" w:h="16838" w:code="9"/>
          <w:pgMar w:top="850" w:right="4649" w:bottom="4507" w:left="1304" w:header="340" w:footer="227" w:gutter="0"/>
          <w:cols w:space="720"/>
          <w:titlePg/>
        </w:sectPr>
      </w:pPr>
    </w:p>
    <w:p w:rsidR="001C7BF9" w:rsidRPr="00C9680B" w:rsidRDefault="001C7BF9">
      <w:pPr>
        <w:pStyle w:val="Bilaga"/>
      </w:pPr>
      <w:bookmarkStart w:id="1103" w:name="_Toc497104481"/>
      <w:r w:rsidRPr="00C9680B">
        <w:t>bilaga 7</w:t>
      </w:r>
    </w:p>
    <w:p w:rsidR="001C7BF9" w:rsidRPr="00C9680B" w:rsidRDefault="001C7BF9">
      <w:pPr>
        <w:pStyle w:val="Rubrik1"/>
        <w:spacing w:after="0"/>
        <w:rPr>
          <w:noProof w:val="0"/>
        </w:rPr>
      </w:pPr>
      <w:bookmarkStart w:id="1104" w:name="_Toc498838225"/>
      <w:r w:rsidRPr="00C9680B">
        <w:rPr>
          <w:noProof w:val="0"/>
        </w:rPr>
        <w:t>Justitieutskottets yttrande</w:t>
      </w:r>
      <w:bookmarkEnd w:id="1104"/>
    </w:p>
    <w:p w:rsidR="001C7BF9" w:rsidRPr="00C9680B" w:rsidRDefault="001C7BF9">
      <w:pPr>
        <w:pStyle w:val="R1"/>
        <w:spacing w:after="240"/>
      </w:pPr>
      <w:r w:rsidRPr="00C9680B">
        <w:t>2000/01:JuU1y</w:t>
      </w:r>
    </w:p>
    <w:p w:rsidR="001C7BF9" w:rsidRPr="00C9680B" w:rsidRDefault="001C7BF9">
      <w:pPr>
        <w:pStyle w:val="Rubrik2"/>
        <w:spacing w:before="125"/>
      </w:pPr>
      <w:bookmarkStart w:id="1105" w:name="_Toc498838226"/>
      <w:r w:rsidRPr="00C9680B">
        <w:t>Ramen för utgiftsområde 4 Rättsväsendet</w:t>
      </w:r>
      <w:bookmarkEnd w:id="1105"/>
    </w:p>
    <w:p w:rsidR="001C7BF9" w:rsidRPr="00C9680B" w:rsidRDefault="001C7BF9">
      <w:pPr>
        <w:pStyle w:val="R1"/>
        <w:spacing w:before="480" w:after="240"/>
      </w:pPr>
      <w:r w:rsidRPr="00C9680B">
        <w:t>Till finansutskottet</w:t>
      </w:r>
      <w:bookmarkEnd w:id="1103"/>
    </w:p>
    <w:p w:rsidR="001C7BF9" w:rsidRPr="00C9680B" w:rsidRDefault="001C7BF9">
      <w:pPr>
        <w:pStyle w:val="Rubrik2"/>
        <w:spacing w:before="0"/>
      </w:pPr>
      <w:bookmarkStart w:id="1106" w:name="_Toc497104482"/>
      <w:bookmarkStart w:id="1107" w:name="_Toc498838227"/>
      <w:r w:rsidRPr="00C9680B">
        <w:t>Ärendet</w:t>
      </w:r>
      <w:bookmarkEnd w:id="1106"/>
      <w:bookmarkEnd w:id="1107"/>
    </w:p>
    <w:p w:rsidR="001C7BF9" w:rsidRPr="00C9680B" w:rsidRDefault="001C7BF9">
      <w:r w:rsidRPr="00C9680B">
        <w:t>Finansutskottet har berett samtliga utskott tillfälle att avge yttrande över proposition 2000/01:1 Budgetpropositionen för år 2001 i vad avser den ek</w:t>
      </w:r>
      <w:r w:rsidRPr="00C9680B">
        <w:t>o</w:t>
      </w:r>
      <w:r w:rsidRPr="00C9680B">
        <w:t>nomiska politiken och förslag till statsbudget för år 2001, utgifternas förde</w:t>
      </w:r>
      <w:r w:rsidRPr="00C9680B">
        <w:t>l</w:t>
      </w:r>
      <w:r w:rsidRPr="00C9680B">
        <w:t>ning på utgiftsområden och beräkningen av statsinkomsterna, låneramar m.m. i de delar som berör respektive utskotts beredning</w:t>
      </w:r>
      <w:r w:rsidRPr="00C9680B">
        <w:t>s</w:t>
      </w:r>
      <w:r w:rsidRPr="00C9680B">
        <w:t>område.</w:t>
      </w:r>
    </w:p>
    <w:p w:rsidR="001C7BF9" w:rsidRPr="00C9680B" w:rsidRDefault="001C7BF9">
      <w:pPr>
        <w:pStyle w:val="Normaltindrag"/>
      </w:pPr>
      <w:r w:rsidRPr="00C9680B">
        <w:t>Det sagda innebär sammanfattningsvis att justitieutskottet såvitt avser statsbudgetens utgiftssida beretts tillfälle att yttra sig över yrkandena 8 och 10 i volym 1 Förslag till statsbudget, finansplan m.m.</w:t>
      </w:r>
    </w:p>
    <w:p w:rsidR="001C7BF9" w:rsidRPr="00C9680B" w:rsidRDefault="001C7BF9">
      <w:pPr>
        <w:pStyle w:val="Normaltindrag"/>
      </w:pPr>
      <w:r w:rsidRPr="00C9680B">
        <w:t>I yrkande 8 föreslår regeringen att riksdagen beslutar om fördelning av u</w:t>
      </w:r>
      <w:r w:rsidRPr="00C9680B">
        <w:t>t</w:t>
      </w:r>
      <w:r w:rsidRPr="00C9680B">
        <w:t>gifterna för budgetåret 2001 på utgiftsområden i enlighet med vad regeringen föreslår (a</w:t>
      </w:r>
      <w:r w:rsidRPr="00C9680B">
        <w:t>v</w:t>
      </w:r>
      <w:r w:rsidRPr="00C9680B">
        <w:t>snitt 7.1, tabell 7.2).</w:t>
      </w:r>
    </w:p>
    <w:p w:rsidR="001C7BF9" w:rsidRPr="00C9680B" w:rsidRDefault="001C7BF9">
      <w:pPr>
        <w:pStyle w:val="Normaltindrag"/>
      </w:pPr>
      <w:r w:rsidRPr="00C9680B">
        <w:t>I yrkande 10 föreslår regeringen att riksdagen godkänner den preliminära fördelningen av utgifterna på utgiftsområden för budgetåren 2002 och 2003 som rik</w:t>
      </w:r>
      <w:r w:rsidRPr="00C9680B">
        <w:t>t</w:t>
      </w:r>
      <w:r w:rsidRPr="00C9680B">
        <w:t>linje för regeringens budgetarbete (avsnitt 7.1, tabell 7.2).</w:t>
      </w:r>
    </w:p>
    <w:p w:rsidR="001C7BF9" w:rsidRPr="00C9680B" w:rsidRDefault="001C7BF9">
      <w:pPr>
        <w:pStyle w:val="Normaltindrag"/>
      </w:pPr>
      <w:r w:rsidRPr="00C9680B">
        <w:t xml:space="preserve">Med anledning av propositionen har väckts bl.a. motionerna 2000/01: Fi208, Fi209, Fi210 och Fi211. </w:t>
      </w:r>
    </w:p>
    <w:p w:rsidR="001C7BF9" w:rsidRPr="00C9680B" w:rsidRDefault="001C7BF9">
      <w:pPr>
        <w:pStyle w:val="Normaltindrag"/>
      </w:pPr>
      <w:r w:rsidRPr="00C9680B">
        <w:t>I motion Fi208 yrkandena 5 och 6 (Bo Lundgren m.fl. m) föreslås för år 2001 en utvidgning av ramen för utgiftsområde 4 Rättsväsendet med 1 034,2 miljoner kronor jämfört med regeringens förslag. För åren 2002 och 2003 föreslås att en ökning med 869 respektive 868,2 miljoner kronor i förhållande till regeringens förslag skall utgöra riktlinje för regeringens budgeta</w:t>
      </w:r>
      <w:r w:rsidRPr="00C9680B">
        <w:t>r</w:t>
      </w:r>
      <w:r w:rsidRPr="00C9680B">
        <w:t>bete.</w:t>
      </w:r>
    </w:p>
    <w:p w:rsidR="001C7BF9" w:rsidRPr="00C9680B" w:rsidRDefault="001C7BF9">
      <w:pPr>
        <w:pStyle w:val="Normaltindrag"/>
      </w:pPr>
      <w:r w:rsidRPr="00C9680B">
        <w:t>I motion Fi209 yrkandena 6 och 7 (Alf Svensson m.fl. kd) föreslås för år 2001 en utvidgning av ramen för utgiftsområde 4 Rättsväsendet med 1 000 miljoner kronor jämfört med regeringens förslag. För åren 2002 och 2003 föreslås att en ökning med 1 000 miljoner kronor för respektive  år i förhå</w:t>
      </w:r>
      <w:r w:rsidRPr="00C9680B">
        <w:t>l</w:t>
      </w:r>
      <w:r w:rsidRPr="00C9680B">
        <w:t>lande till regeringens förslag skall utgöra riktlinje för regeringens budgeta</w:t>
      </w:r>
      <w:r w:rsidRPr="00C9680B">
        <w:t>r</w:t>
      </w:r>
      <w:r w:rsidRPr="00C9680B">
        <w:t>bete.</w:t>
      </w:r>
    </w:p>
    <w:p w:rsidR="001C7BF9" w:rsidRPr="00C9680B" w:rsidRDefault="001C7BF9">
      <w:pPr>
        <w:pStyle w:val="Normaltindrag"/>
      </w:pPr>
      <w:r w:rsidRPr="00C9680B">
        <w:t>I motion Fi210 yrkandena 4 och 5 (Lennart Daléus m.fl. c) föreslås för år 2001 en utvidgning av ramen för utgiftsområde 4 Rättsväsendet med 260 miljoner kronor jämfört med regeringens förslag. För åren 2002 och 2003 föreslås att en ökning med 320 miljoner kronor respektive 410 miljoner kr</w:t>
      </w:r>
      <w:r w:rsidRPr="00C9680B">
        <w:t>o</w:t>
      </w:r>
      <w:r w:rsidRPr="00C9680B">
        <w:t>nor i förhållande till regeringens förslag skall utgöra riktlinje för regeringens budg</w:t>
      </w:r>
      <w:r w:rsidRPr="00C9680B">
        <w:t>e</w:t>
      </w:r>
      <w:r w:rsidRPr="00C9680B">
        <w:t>tarbete.</w:t>
      </w:r>
    </w:p>
    <w:p w:rsidR="001C7BF9" w:rsidRPr="00C9680B" w:rsidRDefault="001C7BF9">
      <w:pPr>
        <w:pStyle w:val="Normaltindrag"/>
      </w:pPr>
      <w:r w:rsidRPr="00C9680B">
        <w:t>I motion Fi211 yrkandena 6 och 8 (Lars Leijonborg m.fl. fp) föreslås för år 2001 en utvidgning av ramen för utgiftsområde 4 Rättsväsendet med 402 miljoner kronor jämfört med regeringens förslag. För åren 2002 och 2003 föreslås att en ökning med 482 miljoner kronor för respektive år i förhållande till regeringens förslag skall utgöra riktlinje för regeringens budgeta</w:t>
      </w:r>
      <w:r w:rsidRPr="00C9680B">
        <w:t>r</w:t>
      </w:r>
      <w:r w:rsidRPr="00C9680B">
        <w:t>bete.</w:t>
      </w:r>
    </w:p>
    <w:p w:rsidR="001C7BF9" w:rsidRPr="00C9680B" w:rsidRDefault="001C7BF9">
      <w:pPr>
        <w:pStyle w:val="Normaltindrag"/>
      </w:pPr>
      <w:r w:rsidRPr="00C9680B">
        <w:t>Utskottet avgränsar sitt yttrande till att avse utgiftsramen för utgiftsområde 4 Rättsväsendet och därmed sammanhängande frågor.</w:t>
      </w:r>
    </w:p>
    <w:p w:rsidR="001C7BF9" w:rsidRPr="00C9680B" w:rsidRDefault="001C7BF9">
      <w:pPr>
        <w:pStyle w:val="Normaltindrag"/>
      </w:pPr>
      <w:r w:rsidRPr="00C9680B">
        <w:t>Ärendet föranleder följande yttrande från justitieutskottet.</w:t>
      </w:r>
    </w:p>
    <w:p w:rsidR="001C7BF9" w:rsidRPr="00C9680B" w:rsidRDefault="001C7BF9">
      <w:pPr>
        <w:pStyle w:val="Rubrik2"/>
      </w:pPr>
      <w:bookmarkStart w:id="1108" w:name="_Toc497104483"/>
      <w:bookmarkStart w:id="1109" w:name="_Toc498838228"/>
      <w:r w:rsidRPr="00C9680B">
        <w:t>Utskottet</w:t>
      </w:r>
      <w:bookmarkEnd w:id="1108"/>
      <w:bookmarkEnd w:id="1109"/>
    </w:p>
    <w:p w:rsidR="001C7BF9" w:rsidRPr="00C9680B" w:rsidRDefault="001C7BF9">
      <w:pPr>
        <w:pStyle w:val="Rubrik3"/>
        <w:spacing w:before="123"/>
        <w:rPr>
          <w:noProof w:val="0"/>
        </w:rPr>
      </w:pPr>
      <w:bookmarkStart w:id="1110" w:name="_Toc497104484"/>
      <w:bookmarkStart w:id="1111" w:name="_Toc498838229"/>
      <w:r w:rsidRPr="00C9680B">
        <w:rPr>
          <w:noProof w:val="0"/>
        </w:rPr>
        <w:t>Indelningen i politikområden</w:t>
      </w:r>
      <w:bookmarkEnd w:id="1110"/>
      <w:bookmarkEnd w:id="1111"/>
    </w:p>
    <w:p w:rsidR="001C7BF9" w:rsidRPr="00C9680B" w:rsidRDefault="001C7BF9">
      <w:r w:rsidRPr="00C9680B">
        <w:t>I riksdagsordningen finns bestämmelser om rambudgetering och utgiftsomr</w:t>
      </w:r>
      <w:r w:rsidRPr="00C9680B">
        <w:t>å</w:t>
      </w:r>
      <w:r w:rsidRPr="00C9680B">
        <w:t>den. Dessa tillämpades första gången i budgetarbetet hösten 1996. En utvä</w:t>
      </w:r>
      <w:r w:rsidRPr="00C9680B">
        <w:t>r</w:t>
      </w:r>
      <w:r w:rsidRPr="00C9680B">
        <w:t>dering av den nya budgetprocessen finns i betänkandet Utvärdering och vid</w:t>
      </w:r>
      <w:r w:rsidRPr="00C9680B">
        <w:t>a</w:t>
      </w:r>
      <w:r w:rsidRPr="00C9680B">
        <w:t>reutveckling av budgetprocessen (SOU 2000:61) som för närvarande remis</w:t>
      </w:r>
      <w:r w:rsidRPr="00C9680B">
        <w:t>s</w:t>
      </w:r>
      <w:r w:rsidRPr="00C9680B">
        <w:t>behandlas.</w:t>
      </w:r>
    </w:p>
    <w:p w:rsidR="001C7BF9" w:rsidRPr="00C9680B" w:rsidRDefault="001C7BF9">
      <w:pPr>
        <w:pStyle w:val="Normaltindrag"/>
      </w:pPr>
      <w:r w:rsidRPr="00C9680B">
        <w:t>I budgetpropositionen introducerar regeringen begreppet politikområden. Dessa har inte samma indelning som budgetens utgiftsområden. Införandet av politikområdena syftar till att avgränsa statlig verksamhet i politiskt relevanta sakområden, dvs. områden som är lämpliga för inbörde</w:t>
      </w:r>
      <w:r w:rsidRPr="00C9680B">
        <w:t>s avvägningar och prioriteringar (budgetpropositionen vol. 1 s. 177 och s. 245). Syftet med pol</w:t>
      </w:r>
      <w:r w:rsidRPr="00C9680B">
        <w:t>i</w:t>
      </w:r>
      <w:r w:rsidRPr="00C9680B">
        <w:t>tikområden synes alltså i stort vara detsamma som det som gäller för utgift</w:t>
      </w:r>
      <w:r w:rsidRPr="00C9680B">
        <w:t>s</w:t>
      </w:r>
      <w:r w:rsidRPr="00C9680B">
        <w:t xml:space="preserve">områdena (se 1993/94:TK1–3, 1993/94:KU18 s. 32 f och 1995/96:TK2 s. 3–4, 1995/96:KU21). En sammanställning över politikområdena och relationen mellan politikområden och utgiftsområden finns i budgetpropositionen vol. 1 s. 178 resp. s. 195. </w:t>
      </w:r>
    </w:p>
    <w:p w:rsidR="001C7BF9" w:rsidRPr="00C9680B" w:rsidRDefault="001C7BF9">
      <w:pPr>
        <w:pStyle w:val="Normaltindrag"/>
      </w:pPr>
      <w:r w:rsidRPr="00C9680B">
        <w:t>Enligt riksdagsordningen 4.6.4. bereder justitieutskottet ärenden om bl.a. utsökningsväsendet och a</w:t>
      </w:r>
      <w:r w:rsidRPr="00C9680B">
        <w:t>nslag inom utgiftsområde 4 Rättsväsendet. Inde</w:t>
      </w:r>
      <w:r w:rsidRPr="00C9680B">
        <w:t>l</w:t>
      </w:r>
      <w:r w:rsidRPr="00C9680B">
        <w:t>ningen i politikområden innebär att utgiftsområde 4 delas upp på två polit</w:t>
      </w:r>
      <w:r w:rsidRPr="00C9680B">
        <w:t>i</w:t>
      </w:r>
      <w:r w:rsidRPr="00C9680B">
        <w:t>k-</w:t>
      </w:r>
      <w:r w:rsidRPr="00C9680B">
        <w:br/>
        <w:t>områden, dels  Skatt, tull och exekution med verksamheten vid kronofogd</w:t>
      </w:r>
      <w:r w:rsidRPr="00C9680B">
        <w:t>e</w:t>
      </w:r>
      <w:r w:rsidRPr="00C9680B">
        <w:t>myndigheterna (politikområde 3) som huvudsakligen tillhör skatteutskottets beredningsområde, dels Rättsväsendet som innehåller övrig verksamhet inom utgiftsområde 4 (politikområde 4). Regeringen föreslår också ett nytt mål för politikområdet Skatt, tull och exekution. Detta mål inkluderar alltså kron</w:t>
      </w:r>
      <w:r w:rsidRPr="00C9680B">
        <w:t>o</w:t>
      </w:r>
      <w:r w:rsidRPr="00C9680B">
        <w:t>fogdemyndighe</w:t>
      </w:r>
      <w:r w:rsidRPr="00C9680B">
        <w:t>terna. Däremot föreslår regeringen inte att riksdagen skall fastställa något mål för politikområdet Rättsväsendet. Regeringens syn på förhållandet mellan mål för utgiftsområden och mål för politikområden har inte klargjorts i budge</w:t>
      </w:r>
      <w:r w:rsidRPr="00C9680B">
        <w:t>t</w:t>
      </w:r>
      <w:r w:rsidRPr="00C9680B">
        <w:t xml:space="preserve">propositionen. </w:t>
      </w:r>
    </w:p>
    <w:p w:rsidR="001C7BF9" w:rsidRPr="00C9680B" w:rsidRDefault="001C7BF9">
      <w:pPr>
        <w:pStyle w:val="Normaltindrag"/>
      </w:pPr>
      <w:r w:rsidRPr="00C9680B">
        <w:t>Utskottet kan se många fördelar med indelningen i politikområden. Det finns emellertid också en del frågetecken som redan antydningsvis nämnts. Utskottet vill här särskilt peka på de problem som uppstår när beredning</w:t>
      </w:r>
      <w:r w:rsidRPr="00C9680B">
        <w:t>s</w:t>
      </w:r>
      <w:r w:rsidRPr="00C9680B">
        <w:t>ansvaret för ett politikområde enligt riksdagsordningen är delat på flera u</w:t>
      </w:r>
      <w:r w:rsidRPr="00C9680B">
        <w:t>t</w:t>
      </w:r>
      <w:r w:rsidRPr="00C9680B">
        <w:t>skott – som exempel kan nämnas att justitieutskottet beretts tillfälle att yttra sig till skatteutskottet över målen för politikområde 3 såvitt avser utsökning</w:t>
      </w:r>
      <w:r w:rsidRPr="00C9680B">
        <w:t>s</w:t>
      </w:r>
      <w:r w:rsidRPr="00C9680B">
        <w:t>väsendet. Som utskottet ser det kan det alltså inte uteslutas att vissa förän</w:t>
      </w:r>
      <w:r w:rsidRPr="00C9680B">
        <w:t>d</w:t>
      </w:r>
      <w:r w:rsidRPr="00C9680B">
        <w:t>ringar i den nya ordningen bör aktualiseras.</w:t>
      </w:r>
    </w:p>
    <w:p w:rsidR="001C7BF9" w:rsidRPr="00C9680B" w:rsidRDefault="001C7BF9">
      <w:pPr>
        <w:pStyle w:val="Rubrik3"/>
        <w:rPr>
          <w:noProof w:val="0"/>
        </w:rPr>
      </w:pPr>
      <w:bookmarkStart w:id="1112" w:name="_Toc497104485"/>
      <w:bookmarkStart w:id="1113" w:name="_Toc498838230"/>
      <w:r w:rsidRPr="00C9680B">
        <w:rPr>
          <w:noProof w:val="0"/>
        </w:rPr>
        <w:t>Utgiftsområde 4</w:t>
      </w:r>
      <w:bookmarkEnd w:id="1112"/>
      <w:bookmarkEnd w:id="1113"/>
    </w:p>
    <w:p w:rsidR="001C7BF9" w:rsidRPr="00C9680B" w:rsidRDefault="001C7BF9">
      <w:pPr>
        <w:pStyle w:val="Rubrik4"/>
        <w:spacing w:before="123"/>
        <w:rPr>
          <w:noProof w:val="0"/>
        </w:rPr>
      </w:pPr>
      <w:bookmarkStart w:id="1114" w:name="_Toc497104486"/>
      <w:r w:rsidRPr="00C9680B">
        <w:rPr>
          <w:noProof w:val="0"/>
        </w:rPr>
        <w:t>Inledning</w:t>
      </w:r>
      <w:bookmarkEnd w:id="1114"/>
    </w:p>
    <w:p w:rsidR="001C7BF9" w:rsidRPr="00C9680B" w:rsidRDefault="001C7BF9">
      <w:r w:rsidRPr="00C9680B">
        <w:t>Inom utskottets beredningsområde faller utgiftsområde 4 Rättsväsendet. U</w:t>
      </w:r>
      <w:r w:rsidRPr="00C9680B">
        <w:t>t</w:t>
      </w:r>
      <w:r w:rsidRPr="00C9680B">
        <w:t>giftsområdet omfattar anslag till bl.a. polisväsendet, åklagarväsendet, do</w:t>
      </w:r>
      <w:r w:rsidRPr="00C9680B">
        <w:t>m</w:t>
      </w:r>
      <w:r w:rsidRPr="00C9680B">
        <w:t>stolsväsendet, kriminalvården, Brottsförebyggande rådet, Brottsoffermyndi</w:t>
      </w:r>
      <w:r w:rsidRPr="00C9680B">
        <w:t>g</w:t>
      </w:r>
      <w:r w:rsidRPr="00C9680B">
        <w:t>heten och kronofogdemyndigheterna. För budgetåret 2000 anslogs drygt 22,7 miljarder kronor. De största anslagen är polisorganisationen med 11,6 milja</w:t>
      </w:r>
      <w:r w:rsidRPr="00C9680B">
        <w:t>r</w:t>
      </w:r>
      <w:r w:rsidRPr="00C9680B">
        <w:t>der kronor, kriminalvården med 3,8 miljarder kronor och domstolsväsendet med 3,4 miljarder kronor.</w:t>
      </w:r>
    </w:p>
    <w:p w:rsidR="001C7BF9" w:rsidRPr="00C9680B" w:rsidRDefault="001C7BF9">
      <w:pPr>
        <w:pStyle w:val="Normaltindrag"/>
      </w:pPr>
      <w:r w:rsidRPr="00C9680B">
        <w:t xml:space="preserve">Det övergripande och långsiktiga målet för rättsväsendet är den enskildes rättstrygghet och rättssäkerhet. Målet </w:t>
      </w:r>
      <w:r w:rsidRPr="00C9680B">
        <w:t>för kriminalpolitiken är att minska brottsligheten och öka människors trygghet.</w:t>
      </w:r>
    </w:p>
    <w:p w:rsidR="001C7BF9" w:rsidRPr="00C9680B" w:rsidRDefault="001C7BF9">
      <w:pPr>
        <w:pStyle w:val="Normaltindrag"/>
      </w:pPr>
      <w:r w:rsidRPr="00C9680B">
        <w:t>De budgetpolitiska målen innebär bl.a. att statens utgifter skall rymmas inom det av riksdagen beslutade utgiftstaket. Utgiftstaket för staten är fördelat på utgiftsområden. Beslutet om utgiftstak för ett visst år fattas med framfö</w:t>
      </w:r>
      <w:r w:rsidRPr="00C9680B">
        <w:t>r</w:t>
      </w:r>
      <w:r w:rsidRPr="00C9680B">
        <w:t>hållning. Våren 1998 beslutade riksdagen sålunda om utgiftstaket för år 2001 och våren 1999 fattades motsvarande beslut avseende år 2002. Våren 2000 fastställdes utgiftstaket för år 2003. Vissa tekniska justeringar har därefter gjorts och utgiftstaken har alltså bestämts till 792, 817, respektive 847 milja</w:t>
      </w:r>
      <w:r w:rsidRPr="00C9680B">
        <w:t>r</w:t>
      </w:r>
      <w:r w:rsidRPr="00C9680B">
        <w:t>der kronor för vart och ett av åren 2001, 2002 och 2003. I vårens ärende gjo</w:t>
      </w:r>
      <w:r w:rsidRPr="00C9680B">
        <w:t>r</w:t>
      </w:r>
      <w:r w:rsidRPr="00C9680B">
        <w:t>des också, liksom tidigare år, en preliminär fördelning av utgifterna på u</w:t>
      </w:r>
      <w:r w:rsidRPr="00C9680B">
        <w:t>t</w:t>
      </w:r>
      <w:r w:rsidRPr="00C9680B">
        <w:t>giftsområden. I budgetpropositionen lägger regering</w:t>
      </w:r>
      <w:r w:rsidRPr="00C9680B">
        <w:t>en nu fram ett justerat förslag till beslut om utgiftstak och utgiftsramar för utgiftsområdena samtidigt som regeringen beträffande år 2001 också föreslår en fördelning på anslag inom respektive utgiftsram. I fyra partimotioner Fi208 (m), Fi209 (kd), Fi210 (c) och Fi211 (fp) har också väckts yrkanden om utgiftsramarnas storlek. Yrkandena har redovisats ovan såvitt avser utgiftsområde 4. Till frågan om fördelning på anslag återkommer utskottet i sitt budgetbetänkande 2000/01:JuU1.</w:t>
      </w:r>
    </w:p>
    <w:p w:rsidR="001C7BF9" w:rsidRPr="00C9680B" w:rsidRDefault="001C7BF9">
      <w:pPr>
        <w:pStyle w:val="Normaltindrag"/>
      </w:pPr>
      <w:r w:rsidRPr="00C9680B">
        <w:t>Utgiftstaket för staten fas</w:t>
      </w:r>
      <w:r w:rsidRPr="00C9680B">
        <w:t>tställdes alltså i våras (prop. 1999/2000:100, bet. 1999/2000:FiU20, 1999/2000:JuU4y) till 792 miljarder kronor för budgetåret 2001. Regeringen föreslår nu, med hänvisning till bl.a. att kommunsektorns skatteinkomster på grund av regelförändringar kommer att öka, att utgiftstaket för år 2001 skall bestämmas till 789 miljarder kronor och att utgiftstaket för åren 2002 och 2003 bestäms till 814 respektive 844 miljarder kronor. Det bör i sammanhanget nämnas att en princip i budgetsystemet är att ett fastställt</w:t>
      </w:r>
      <w:r w:rsidRPr="00C9680B">
        <w:t xml:space="preserve"> utgiftstak inte skall ändras; det fastställda utgiftstaket skall, såsom föreslås i förevarande fall, i princip bara bli föremål för tekniska just</w:t>
      </w:r>
      <w:r w:rsidRPr="00C9680B">
        <w:t>e</w:t>
      </w:r>
      <w:r w:rsidRPr="00C9680B">
        <w:t xml:space="preserve">ringar. </w:t>
      </w:r>
    </w:p>
    <w:p w:rsidR="001C7BF9" w:rsidRPr="00C9680B" w:rsidRDefault="001C7BF9">
      <w:pPr>
        <w:pStyle w:val="Normaltindrag"/>
      </w:pPr>
      <w:r w:rsidRPr="00C9680B">
        <w:t>De i motionerna framförda yrkandena bygger på ett utgiftstak som är lägre än såväl det riksdagen tidigare beslutat om som det som regeringen nu för</w:t>
      </w:r>
      <w:r w:rsidRPr="00C9680B">
        <w:t>e</w:t>
      </w:r>
      <w:r w:rsidRPr="00C9680B">
        <w:t>slår. – Här bortses från att det i motion Fi208 framförs ett yrkande avseende år 2001 som är något högre än regeringens förslag. Detta yrkande samma</w:t>
      </w:r>
      <w:r w:rsidRPr="00C9680B">
        <w:t>n</w:t>
      </w:r>
      <w:r w:rsidRPr="00C9680B">
        <w:t>hänger med att vissa kostnader föreslås överförda från kommunerna till st</w:t>
      </w:r>
      <w:r w:rsidRPr="00C9680B">
        <w:t>a</w:t>
      </w:r>
      <w:r w:rsidRPr="00C9680B">
        <w:t>ten; tas hänsyn härtill innebär också yrkandet i motion Fi208 ett lägre utgif</w:t>
      </w:r>
      <w:r w:rsidRPr="00C9680B">
        <w:t>t</w:t>
      </w:r>
      <w:r w:rsidRPr="00C9680B">
        <w:t>stak för år 2001 än det som tidigare beslutats respektive regeringen nu för</w:t>
      </w:r>
      <w:r w:rsidRPr="00C9680B">
        <w:t>e</w:t>
      </w:r>
      <w:r w:rsidRPr="00C9680B">
        <w:t>slår. – Samtidigt föreslås i samtliga här aktuella motioner ökningar av utgift</w:t>
      </w:r>
      <w:r w:rsidRPr="00C9680B">
        <w:t>s</w:t>
      </w:r>
      <w:r w:rsidRPr="00C9680B">
        <w:t>ramen för rättsväsendet. Ett bifall till yrkandena föru</w:t>
      </w:r>
      <w:r w:rsidRPr="00C9680B">
        <w:t>tsätter med andra ord en omfördelning från andra utgiftsområden till utgiftsområde 4. Detta utskott har emellertid endast att yttra sig över frågor som rör utgiftsområde 4. De öve</w:t>
      </w:r>
      <w:r w:rsidRPr="00C9680B">
        <w:t>r</w:t>
      </w:r>
      <w:r w:rsidRPr="00C9680B">
        <w:t>gripande frågorna liksom frågor om prioriteringar mellan utgiftsområdena ankommer det inte på utskottet att ta ställning till. Utskottet vill dock åter erinra om att verksamheten inom rättsväsendet intar en särställning i förhå</w:t>
      </w:r>
      <w:r w:rsidRPr="00C9680B">
        <w:t>l</w:t>
      </w:r>
      <w:r w:rsidRPr="00C9680B">
        <w:t>lande till övrig statlig verksamhet i det att verksamheten utgör en grundlä</w:t>
      </w:r>
      <w:r w:rsidRPr="00C9680B">
        <w:t>g</w:t>
      </w:r>
      <w:r w:rsidRPr="00C9680B">
        <w:t xml:space="preserve">gande förutsättning för ett </w:t>
      </w:r>
      <w:r w:rsidRPr="00C9680B">
        <w:t>fritt och demokratiskt samhälle. Denna särställning utgör också en självklar grund för prioritering av behoven inom utgiftsområde 4 framför behoven inom många andra u</w:t>
      </w:r>
      <w:r w:rsidRPr="00C9680B">
        <w:t>t</w:t>
      </w:r>
      <w:r w:rsidRPr="00C9680B">
        <w:t>giftsområden.</w:t>
      </w:r>
    </w:p>
    <w:p w:rsidR="001C7BF9" w:rsidRPr="00C9680B" w:rsidRDefault="001C7BF9">
      <w:pPr>
        <w:pStyle w:val="Rubrik3"/>
        <w:rPr>
          <w:noProof w:val="0"/>
        </w:rPr>
      </w:pPr>
      <w:bookmarkStart w:id="1115" w:name="_Toc497104487"/>
      <w:bookmarkStart w:id="1116" w:name="_Toc498838231"/>
      <w:r w:rsidRPr="00C9680B">
        <w:rPr>
          <w:noProof w:val="0"/>
        </w:rPr>
        <w:t>Utgiftsramen för åren 2001–2003</w:t>
      </w:r>
      <w:bookmarkEnd w:id="1115"/>
      <w:bookmarkEnd w:id="1116"/>
    </w:p>
    <w:p w:rsidR="001C7BF9" w:rsidRPr="00C9680B" w:rsidRDefault="001C7BF9">
      <w:pPr>
        <w:outlineLvl w:val="0"/>
      </w:pPr>
      <w:r w:rsidRPr="00C9680B">
        <w:rPr>
          <w:sz w:val="20"/>
        </w:rPr>
        <w:t>Regeringens förslag och motionsförslagen framgår av följande tabell.</w:t>
      </w:r>
    </w:p>
    <w:p w:rsidR="001C7BF9" w:rsidRPr="00C9680B" w:rsidRDefault="001C7BF9">
      <w:pPr>
        <w:pStyle w:val="Normaltindrag"/>
      </w:pPr>
    </w:p>
    <w:p w:rsidR="001C7BF9" w:rsidRPr="00C9680B" w:rsidRDefault="001C7BF9">
      <w:pPr>
        <w:outlineLvl w:val="0"/>
      </w:pPr>
      <w:r w:rsidRPr="00C9680B">
        <w:rPr>
          <w:b/>
        </w:rPr>
        <w:t>Utgiftsområde 4 (miljoner kronor)</w:t>
      </w:r>
    </w:p>
    <w:tbl>
      <w:tblPr>
        <w:tblW w:w="0" w:type="auto"/>
        <w:tblInd w:w="-7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756"/>
        <w:gridCol w:w="850"/>
        <w:gridCol w:w="709"/>
        <w:gridCol w:w="722"/>
      </w:tblGrid>
      <w:tr w:rsidR="00000000" w:rsidRPr="00C9680B">
        <w:tblPrEx>
          <w:tblCellMar>
            <w:top w:w="0" w:type="dxa"/>
            <w:bottom w:w="0" w:type="dxa"/>
          </w:tblCellMar>
        </w:tblPrEx>
        <w:tc>
          <w:tcPr>
            <w:tcW w:w="3756" w:type="dxa"/>
          </w:tcPr>
          <w:p w:rsidR="001C7BF9" w:rsidRPr="00C9680B" w:rsidRDefault="001C7BF9"/>
        </w:tc>
        <w:tc>
          <w:tcPr>
            <w:tcW w:w="850" w:type="dxa"/>
          </w:tcPr>
          <w:p w:rsidR="001C7BF9" w:rsidRPr="00C9680B" w:rsidRDefault="001C7BF9">
            <w:r w:rsidRPr="00C9680B">
              <w:t>2001</w:t>
            </w:r>
          </w:p>
        </w:tc>
        <w:tc>
          <w:tcPr>
            <w:tcW w:w="709" w:type="dxa"/>
          </w:tcPr>
          <w:p w:rsidR="001C7BF9" w:rsidRPr="00C9680B" w:rsidRDefault="001C7BF9">
            <w:r w:rsidRPr="00C9680B">
              <w:t>2002</w:t>
            </w:r>
          </w:p>
        </w:tc>
        <w:tc>
          <w:tcPr>
            <w:tcW w:w="722" w:type="dxa"/>
          </w:tcPr>
          <w:p w:rsidR="001C7BF9" w:rsidRPr="00C9680B" w:rsidRDefault="001C7BF9">
            <w:r w:rsidRPr="00C9680B">
              <w:t>2003</w:t>
            </w:r>
          </w:p>
        </w:tc>
      </w:tr>
      <w:tr w:rsidR="00000000" w:rsidRPr="00C9680B">
        <w:tblPrEx>
          <w:tblCellMar>
            <w:top w:w="0" w:type="dxa"/>
            <w:bottom w:w="0" w:type="dxa"/>
          </w:tblCellMar>
        </w:tblPrEx>
        <w:tc>
          <w:tcPr>
            <w:tcW w:w="3756" w:type="dxa"/>
          </w:tcPr>
          <w:p w:rsidR="001C7BF9" w:rsidRPr="00C9680B" w:rsidRDefault="001C7BF9">
            <w:pPr>
              <w:pStyle w:val="Tabell"/>
              <w:jc w:val="left"/>
            </w:pPr>
          </w:p>
          <w:p w:rsidR="001C7BF9" w:rsidRPr="00C9680B" w:rsidRDefault="001C7BF9">
            <w:pPr>
              <w:pStyle w:val="Tabell"/>
              <w:jc w:val="left"/>
            </w:pPr>
            <w:r w:rsidRPr="00C9680B">
              <w:t>Förslag i budgetpropositionen (prop. 2000/01:1)</w:t>
            </w:r>
          </w:p>
        </w:tc>
        <w:tc>
          <w:tcPr>
            <w:tcW w:w="850" w:type="dxa"/>
          </w:tcPr>
          <w:p w:rsidR="001C7BF9" w:rsidRPr="00C9680B" w:rsidRDefault="001C7BF9">
            <w:pPr>
              <w:pStyle w:val="Tabell"/>
              <w:tabs>
                <w:tab w:val="decimal" w:pos="639"/>
              </w:tabs>
              <w:jc w:val="left"/>
            </w:pPr>
          </w:p>
          <w:p w:rsidR="001C7BF9" w:rsidRPr="00C9680B" w:rsidRDefault="001C7BF9">
            <w:pPr>
              <w:pStyle w:val="Tabell"/>
              <w:tabs>
                <w:tab w:val="decimal" w:pos="639"/>
              </w:tabs>
              <w:jc w:val="left"/>
            </w:pPr>
            <w:r w:rsidRPr="00C9680B">
              <w:t>23 973</w:t>
            </w:r>
          </w:p>
        </w:tc>
        <w:tc>
          <w:tcPr>
            <w:tcW w:w="709" w:type="dxa"/>
          </w:tcPr>
          <w:p w:rsidR="001C7BF9" w:rsidRPr="00C9680B" w:rsidRDefault="001C7BF9">
            <w:pPr>
              <w:pStyle w:val="Tabell"/>
              <w:jc w:val="right"/>
            </w:pPr>
          </w:p>
          <w:p w:rsidR="001C7BF9" w:rsidRPr="00C9680B" w:rsidRDefault="001C7BF9">
            <w:pPr>
              <w:pStyle w:val="Tabell"/>
              <w:jc w:val="right"/>
            </w:pPr>
            <w:r w:rsidRPr="00C9680B">
              <w:t>25 082</w:t>
            </w:r>
          </w:p>
        </w:tc>
        <w:tc>
          <w:tcPr>
            <w:tcW w:w="722" w:type="dxa"/>
          </w:tcPr>
          <w:p w:rsidR="001C7BF9" w:rsidRPr="00C9680B" w:rsidRDefault="001C7BF9">
            <w:pPr>
              <w:pStyle w:val="Tabell"/>
              <w:jc w:val="right"/>
            </w:pPr>
          </w:p>
          <w:p w:rsidR="001C7BF9" w:rsidRPr="00C9680B" w:rsidRDefault="001C7BF9">
            <w:pPr>
              <w:pStyle w:val="Tabell"/>
              <w:jc w:val="right"/>
            </w:pPr>
            <w:r w:rsidRPr="00C9680B">
              <w:t>25 726</w:t>
            </w:r>
          </w:p>
        </w:tc>
      </w:tr>
      <w:tr w:rsidR="00000000" w:rsidRPr="00C9680B">
        <w:tblPrEx>
          <w:tblCellMar>
            <w:top w:w="0" w:type="dxa"/>
            <w:bottom w:w="0" w:type="dxa"/>
          </w:tblCellMar>
        </w:tblPrEx>
        <w:tc>
          <w:tcPr>
            <w:tcW w:w="3756" w:type="dxa"/>
          </w:tcPr>
          <w:p w:rsidR="001C7BF9" w:rsidRPr="00C9680B" w:rsidRDefault="001C7BF9">
            <w:pPr>
              <w:pStyle w:val="Tabell"/>
              <w:rPr>
                <w:i/>
              </w:rPr>
            </w:pPr>
          </w:p>
          <w:p w:rsidR="001C7BF9" w:rsidRPr="00C9680B" w:rsidRDefault="001C7BF9">
            <w:pPr>
              <w:pStyle w:val="Tabell"/>
              <w:rPr>
                <w:i/>
              </w:rPr>
            </w:pPr>
            <w:r w:rsidRPr="00C9680B">
              <w:rPr>
                <w:i/>
              </w:rPr>
              <w:t xml:space="preserve">Ändringsförslag: </w:t>
            </w:r>
          </w:p>
        </w:tc>
        <w:tc>
          <w:tcPr>
            <w:tcW w:w="850" w:type="dxa"/>
          </w:tcPr>
          <w:p w:rsidR="001C7BF9" w:rsidRPr="00C9680B" w:rsidRDefault="001C7BF9">
            <w:pPr>
              <w:pStyle w:val="Tabell"/>
              <w:tabs>
                <w:tab w:val="decimal" w:pos="639"/>
              </w:tabs>
              <w:jc w:val="left"/>
            </w:pPr>
          </w:p>
        </w:tc>
        <w:tc>
          <w:tcPr>
            <w:tcW w:w="709" w:type="dxa"/>
          </w:tcPr>
          <w:p w:rsidR="001C7BF9" w:rsidRPr="00C9680B" w:rsidRDefault="001C7BF9">
            <w:pPr>
              <w:pStyle w:val="Tabell"/>
              <w:jc w:val="right"/>
            </w:pPr>
          </w:p>
        </w:tc>
        <w:tc>
          <w:tcPr>
            <w:tcW w:w="722" w:type="dxa"/>
          </w:tcPr>
          <w:p w:rsidR="001C7BF9" w:rsidRPr="00C9680B" w:rsidRDefault="001C7BF9">
            <w:pPr>
              <w:pStyle w:val="Tabell"/>
              <w:jc w:val="right"/>
            </w:pPr>
          </w:p>
        </w:tc>
      </w:tr>
      <w:tr w:rsidR="00000000" w:rsidRPr="00C9680B">
        <w:tblPrEx>
          <w:tblCellMar>
            <w:top w:w="0" w:type="dxa"/>
            <w:bottom w:w="0" w:type="dxa"/>
          </w:tblCellMar>
        </w:tblPrEx>
        <w:tc>
          <w:tcPr>
            <w:tcW w:w="3756" w:type="dxa"/>
          </w:tcPr>
          <w:p w:rsidR="001C7BF9" w:rsidRPr="00C9680B" w:rsidRDefault="001C7BF9">
            <w:pPr>
              <w:pStyle w:val="Tabell"/>
            </w:pPr>
            <w:r w:rsidRPr="00C9680B">
              <w:t xml:space="preserve">Fi208 yrkandena 5 och 6 (m) </w:t>
            </w:r>
          </w:p>
        </w:tc>
        <w:tc>
          <w:tcPr>
            <w:tcW w:w="850" w:type="dxa"/>
          </w:tcPr>
          <w:p w:rsidR="001C7BF9" w:rsidRPr="00C9680B" w:rsidRDefault="001C7BF9">
            <w:pPr>
              <w:pStyle w:val="Tabell"/>
              <w:tabs>
                <w:tab w:val="decimal" w:pos="639"/>
              </w:tabs>
              <w:jc w:val="left"/>
            </w:pPr>
            <w:r w:rsidRPr="00C9680B">
              <w:t>+1 034,2</w:t>
            </w:r>
          </w:p>
        </w:tc>
        <w:tc>
          <w:tcPr>
            <w:tcW w:w="709" w:type="dxa"/>
          </w:tcPr>
          <w:p w:rsidR="001C7BF9" w:rsidRPr="00C9680B" w:rsidRDefault="001C7BF9">
            <w:pPr>
              <w:pStyle w:val="Tabell"/>
              <w:jc w:val="right"/>
            </w:pPr>
            <w:r w:rsidRPr="00C9680B">
              <w:t>+869</w:t>
            </w:r>
          </w:p>
        </w:tc>
        <w:tc>
          <w:tcPr>
            <w:tcW w:w="722" w:type="dxa"/>
          </w:tcPr>
          <w:p w:rsidR="001C7BF9" w:rsidRPr="00C9680B" w:rsidRDefault="001C7BF9">
            <w:pPr>
              <w:pStyle w:val="Tabell"/>
              <w:jc w:val="right"/>
            </w:pPr>
            <w:r w:rsidRPr="00C9680B">
              <w:t>+868</w:t>
            </w:r>
          </w:p>
        </w:tc>
      </w:tr>
      <w:tr w:rsidR="00000000" w:rsidRPr="00C9680B">
        <w:tblPrEx>
          <w:tblCellMar>
            <w:top w:w="0" w:type="dxa"/>
            <w:bottom w:w="0" w:type="dxa"/>
          </w:tblCellMar>
        </w:tblPrEx>
        <w:tc>
          <w:tcPr>
            <w:tcW w:w="3756" w:type="dxa"/>
          </w:tcPr>
          <w:p w:rsidR="001C7BF9" w:rsidRPr="00C9680B" w:rsidRDefault="001C7BF9">
            <w:pPr>
              <w:pStyle w:val="Tabell"/>
            </w:pPr>
            <w:r w:rsidRPr="00C9680B">
              <w:t>(v)</w:t>
            </w:r>
          </w:p>
        </w:tc>
        <w:tc>
          <w:tcPr>
            <w:tcW w:w="850" w:type="dxa"/>
          </w:tcPr>
          <w:p w:rsidR="001C7BF9" w:rsidRPr="00C9680B" w:rsidRDefault="001C7BF9">
            <w:pPr>
              <w:pStyle w:val="Tabell"/>
              <w:tabs>
                <w:tab w:val="decimal" w:pos="639"/>
              </w:tabs>
              <w:jc w:val="left"/>
            </w:pPr>
            <w:r w:rsidRPr="00C9680B">
              <w:t xml:space="preserve">0 </w:t>
            </w:r>
          </w:p>
        </w:tc>
        <w:tc>
          <w:tcPr>
            <w:tcW w:w="709" w:type="dxa"/>
          </w:tcPr>
          <w:p w:rsidR="001C7BF9" w:rsidRPr="00C9680B" w:rsidRDefault="001C7BF9">
            <w:pPr>
              <w:pStyle w:val="Tabell"/>
              <w:jc w:val="right"/>
            </w:pPr>
            <w:r w:rsidRPr="00C9680B">
              <w:t>0</w:t>
            </w:r>
          </w:p>
        </w:tc>
        <w:tc>
          <w:tcPr>
            <w:tcW w:w="722" w:type="dxa"/>
          </w:tcPr>
          <w:p w:rsidR="001C7BF9" w:rsidRPr="00C9680B" w:rsidRDefault="001C7BF9">
            <w:pPr>
              <w:pStyle w:val="Tabell"/>
              <w:jc w:val="right"/>
            </w:pPr>
            <w:r w:rsidRPr="00C9680B">
              <w:t>0</w:t>
            </w:r>
          </w:p>
        </w:tc>
      </w:tr>
      <w:tr w:rsidR="00000000" w:rsidRPr="00C9680B">
        <w:tblPrEx>
          <w:tblCellMar>
            <w:top w:w="0" w:type="dxa"/>
            <w:bottom w:w="0" w:type="dxa"/>
          </w:tblCellMar>
        </w:tblPrEx>
        <w:tc>
          <w:tcPr>
            <w:tcW w:w="3756" w:type="dxa"/>
          </w:tcPr>
          <w:p w:rsidR="001C7BF9" w:rsidRPr="00C9680B" w:rsidRDefault="001C7BF9">
            <w:pPr>
              <w:pStyle w:val="Tabell"/>
            </w:pPr>
            <w:r w:rsidRPr="00C9680B">
              <w:t>Fi209 yrkandena 6 och 7 (kd)</w:t>
            </w:r>
          </w:p>
        </w:tc>
        <w:tc>
          <w:tcPr>
            <w:tcW w:w="850" w:type="dxa"/>
          </w:tcPr>
          <w:p w:rsidR="001C7BF9" w:rsidRPr="00C9680B" w:rsidRDefault="001C7BF9">
            <w:pPr>
              <w:pStyle w:val="Tabell"/>
              <w:tabs>
                <w:tab w:val="decimal" w:pos="639"/>
              </w:tabs>
              <w:jc w:val="left"/>
            </w:pPr>
            <w:r w:rsidRPr="00C9680B">
              <w:t xml:space="preserve">+1 000 </w:t>
            </w:r>
          </w:p>
        </w:tc>
        <w:tc>
          <w:tcPr>
            <w:tcW w:w="709" w:type="dxa"/>
          </w:tcPr>
          <w:p w:rsidR="001C7BF9" w:rsidRPr="00C9680B" w:rsidRDefault="001C7BF9">
            <w:pPr>
              <w:pStyle w:val="Tabell"/>
              <w:jc w:val="right"/>
            </w:pPr>
            <w:r w:rsidRPr="00C9680B">
              <w:t>+1 000</w:t>
            </w:r>
          </w:p>
        </w:tc>
        <w:tc>
          <w:tcPr>
            <w:tcW w:w="722" w:type="dxa"/>
          </w:tcPr>
          <w:p w:rsidR="001C7BF9" w:rsidRPr="00C9680B" w:rsidRDefault="001C7BF9">
            <w:pPr>
              <w:pStyle w:val="Tabell"/>
              <w:jc w:val="right"/>
            </w:pPr>
            <w:r w:rsidRPr="00C9680B">
              <w:t>+1 000</w:t>
            </w:r>
          </w:p>
        </w:tc>
      </w:tr>
      <w:tr w:rsidR="00000000" w:rsidRPr="00C9680B">
        <w:tblPrEx>
          <w:tblCellMar>
            <w:top w:w="0" w:type="dxa"/>
            <w:bottom w:w="0" w:type="dxa"/>
          </w:tblCellMar>
        </w:tblPrEx>
        <w:tc>
          <w:tcPr>
            <w:tcW w:w="3756" w:type="dxa"/>
          </w:tcPr>
          <w:p w:rsidR="001C7BF9" w:rsidRPr="00C9680B" w:rsidRDefault="001C7BF9">
            <w:pPr>
              <w:pStyle w:val="Tabell"/>
            </w:pPr>
            <w:r w:rsidRPr="00C9680B">
              <w:t>Fi210 yrkandena 4 och 5 (c)</w:t>
            </w:r>
          </w:p>
        </w:tc>
        <w:tc>
          <w:tcPr>
            <w:tcW w:w="850" w:type="dxa"/>
          </w:tcPr>
          <w:p w:rsidR="001C7BF9" w:rsidRPr="00C9680B" w:rsidRDefault="001C7BF9">
            <w:pPr>
              <w:pStyle w:val="Tabell"/>
              <w:tabs>
                <w:tab w:val="decimal" w:pos="639"/>
              </w:tabs>
              <w:jc w:val="left"/>
            </w:pPr>
            <w:r w:rsidRPr="00C9680B">
              <w:t xml:space="preserve">+260 </w:t>
            </w:r>
          </w:p>
        </w:tc>
        <w:tc>
          <w:tcPr>
            <w:tcW w:w="709" w:type="dxa"/>
          </w:tcPr>
          <w:p w:rsidR="001C7BF9" w:rsidRPr="00C9680B" w:rsidRDefault="001C7BF9">
            <w:pPr>
              <w:pStyle w:val="Tabell"/>
              <w:jc w:val="right"/>
            </w:pPr>
            <w:r w:rsidRPr="00C9680B">
              <w:t>+320</w:t>
            </w:r>
          </w:p>
        </w:tc>
        <w:tc>
          <w:tcPr>
            <w:tcW w:w="722" w:type="dxa"/>
          </w:tcPr>
          <w:p w:rsidR="001C7BF9" w:rsidRPr="00C9680B" w:rsidRDefault="001C7BF9">
            <w:pPr>
              <w:pStyle w:val="Tabell"/>
              <w:jc w:val="right"/>
            </w:pPr>
            <w:r w:rsidRPr="00C9680B">
              <w:t>+410</w:t>
            </w:r>
          </w:p>
        </w:tc>
      </w:tr>
      <w:tr w:rsidR="00000000" w:rsidRPr="00C9680B">
        <w:tblPrEx>
          <w:tblCellMar>
            <w:top w:w="0" w:type="dxa"/>
            <w:bottom w:w="0" w:type="dxa"/>
          </w:tblCellMar>
        </w:tblPrEx>
        <w:tc>
          <w:tcPr>
            <w:tcW w:w="3756" w:type="dxa"/>
          </w:tcPr>
          <w:p w:rsidR="001C7BF9" w:rsidRPr="00C9680B" w:rsidRDefault="001C7BF9">
            <w:pPr>
              <w:pStyle w:val="Tabell"/>
            </w:pPr>
            <w:r w:rsidRPr="00C9680B">
              <w:t>Fi211 yrkandena 6 och 8 (fp)</w:t>
            </w:r>
          </w:p>
        </w:tc>
        <w:tc>
          <w:tcPr>
            <w:tcW w:w="850" w:type="dxa"/>
          </w:tcPr>
          <w:p w:rsidR="001C7BF9" w:rsidRPr="00C9680B" w:rsidRDefault="001C7BF9">
            <w:pPr>
              <w:pStyle w:val="Tabell"/>
              <w:tabs>
                <w:tab w:val="decimal" w:pos="639"/>
              </w:tabs>
              <w:jc w:val="left"/>
            </w:pPr>
            <w:r w:rsidRPr="00C9680B">
              <w:t xml:space="preserve">+402 </w:t>
            </w:r>
          </w:p>
        </w:tc>
        <w:tc>
          <w:tcPr>
            <w:tcW w:w="709" w:type="dxa"/>
          </w:tcPr>
          <w:p w:rsidR="001C7BF9" w:rsidRPr="00C9680B" w:rsidRDefault="001C7BF9">
            <w:pPr>
              <w:pStyle w:val="Tabell"/>
              <w:jc w:val="right"/>
            </w:pPr>
            <w:r w:rsidRPr="00C9680B">
              <w:t>+482</w:t>
            </w:r>
          </w:p>
        </w:tc>
        <w:tc>
          <w:tcPr>
            <w:tcW w:w="722" w:type="dxa"/>
          </w:tcPr>
          <w:p w:rsidR="001C7BF9" w:rsidRPr="00C9680B" w:rsidRDefault="001C7BF9">
            <w:pPr>
              <w:pStyle w:val="Tabell"/>
              <w:jc w:val="right"/>
            </w:pPr>
            <w:r w:rsidRPr="00C9680B">
              <w:t>+482</w:t>
            </w:r>
          </w:p>
        </w:tc>
      </w:tr>
      <w:tr w:rsidR="00000000" w:rsidRPr="00C9680B">
        <w:tblPrEx>
          <w:tblCellMar>
            <w:top w:w="0" w:type="dxa"/>
            <w:bottom w:w="0" w:type="dxa"/>
          </w:tblCellMar>
        </w:tblPrEx>
        <w:tc>
          <w:tcPr>
            <w:tcW w:w="3756" w:type="dxa"/>
          </w:tcPr>
          <w:p w:rsidR="001C7BF9" w:rsidRPr="00C9680B" w:rsidRDefault="001C7BF9">
            <w:pPr>
              <w:pStyle w:val="Tabell"/>
            </w:pPr>
            <w:r w:rsidRPr="00C9680B">
              <w:t xml:space="preserve">(mp) </w:t>
            </w:r>
          </w:p>
        </w:tc>
        <w:tc>
          <w:tcPr>
            <w:tcW w:w="850" w:type="dxa"/>
          </w:tcPr>
          <w:p w:rsidR="001C7BF9" w:rsidRPr="00C9680B" w:rsidRDefault="001C7BF9">
            <w:pPr>
              <w:pStyle w:val="Tabell"/>
              <w:tabs>
                <w:tab w:val="decimal" w:pos="639"/>
              </w:tabs>
              <w:jc w:val="left"/>
            </w:pPr>
            <w:r w:rsidRPr="00C9680B">
              <w:t xml:space="preserve">0 </w:t>
            </w:r>
          </w:p>
        </w:tc>
        <w:tc>
          <w:tcPr>
            <w:tcW w:w="709" w:type="dxa"/>
          </w:tcPr>
          <w:p w:rsidR="001C7BF9" w:rsidRPr="00C9680B" w:rsidRDefault="001C7BF9">
            <w:pPr>
              <w:pStyle w:val="Tabell"/>
              <w:jc w:val="right"/>
            </w:pPr>
            <w:r w:rsidRPr="00C9680B">
              <w:t>0</w:t>
            </w:r>
          </w:p>
        </w:tc>
        <w:tc>
          <w:tcPr>
            <w:tcW w:w="722" w:type="dxa"/>
          </w:tcPr>
          <w:p w:rsidR="001C7BF9" w:rsidRPr="00C9680B" w:rsidRDefault="001C7BF9">
            <w:pPr>
              <w:pStyle w:val="Tabell"/>
              <w:jc w:val="right"/>
            </w:pPr>
            <w:r w:rsidRPr="00C9680B">
              <w:t>0</w:t>
            </w:r>
          </w:p>
        </w:tc>
      </w:tr>
    </w:tbl>
    <w:p w:rsidR="001C7BF9" w:rsidRPr="00C9680B" w:rsidRDefault="001C7BF9"/>
    <w:p w:rsidR="001C7BF9" w:rsidRPr="00C9680B" w:rsidRDefault="001C7BF9">
      <w:r w:rsidRPr="00C9680B">
        <w:t>Regeringen föreslår alltså att rättsväsendets utgiftsram bestäms till knappt 24 miljarder kronor för år 2001 och preliminärt 25,1 respektive 25,7 miljarder för åren 2002 och 2003. Förslaget innebär i enlighet med vad som beslutades i våras att rättsväsendet tillförs 1 000 miljoner kronor för år 2001, 1 500 milj</w:t>
      </w:r>
      <w:r w:rsidRPr="00C9680B">
        <w:t>o</w:t>
      </w:r>
      <w:r w:rsidRPr="00C9680B">
        <w:t xml:space="preserve">ner kronor för år 2002 och 1 600 miljoner kronor för år 2003. För år 2001 föreslås merparten, 575 miljoner kronor, fördelas till polisorganisationen medan huvuddelen av återstoden tillförs kriminalvården, domstolsväsendet och åklagarverksamheten med respektive 271, 120 och 25 miljoner kronor. För anslagen till Rättsmedicinalverket och Brottsoffermyndigheten föreslås höjningar med 7 respektive 2 miljoner kronor. En i stora drag motsvarande fördelning, dock med större tyngdpunkt på polisen, redovisas för de </w:t>
      </w:r>
      <w:r w:rsidRPr="00C9680B">
        <w:t>ko</w:t>
      </w:r>
      <w:r w:rsidRPr="00C9680B">
        <w:t>m</w:t>
      </w:r>
      <w:r w:rsidRPr="00C9680B">
        <w:t>mande två åren.</w:t>
      </w:r>
      <w:r w:rsidRPr="00C9680B">
        <w:rPr>
          <w:sz w:val="20"/>
        </w:rPr>
        <w:t xml:space="preserve"> </w:t>
      </w:r>
      <w:r w:rsidRPr="00C9680B">
        <w:t>Härutöver föreslås vissa omfördelningar inom utgiftsområdet respektive mellan utgiftsområde 4 och andra utgiftsområden. Slutligen för</w:t>
      </w:r>
      <w:r w:rsidRPr="00C9680B">
        <w:t>e</w:t>
      </w:r>
      <w:r w:rsidRPr="00C9680B">
        <w:t xml:space="preserve">slås vissa tekniska justeringar, bl.a. pris- och löneomräkning. </w:t>
      </w:r>
    </w:p>
    <w:p w:rsidR="001C7BF9" w:rsidRPr="00C9680B" w:rsidRDefault="001C7BF9">
      <w:pPr>
        <w:pStyle w:val="Normaltindrag"/>
      </w:pPr>
      <w:r w:rsidRPr="00C9680B">
        <w:t>Regeringen konstaterar att den ekonomiska situationen inom rättsväsendet är ansträngd och att den, som uttalades i 2000 års ekonomiska vårproposition, noga kommer att följa rättsväsendets verksamhet och resultat och återkomma till riksdagen om de ytterligare insatser som erfordras för att full</w:t>
      </w:r>
      <w:r w:rsidRPr="00C9680B">
        <w:t>följa stat</w:t>
      </w:r>
      <w:r w:rsidRPr="00C9680B">
        <w:t>s</w:t>
      </w:r>
      <w:r w:rsidRPr="00C9680B">
        <w:t>makternas intentioner i fråga om utvecklingen av rättsväsendet.</w:t>
      </w:r>
    </w:p>
    <w:p w:rsidR="001C7BF9" w:rsidRPr="00C9680B" w:rsidRDefault="001C7BF9">
      <w:pPr>
        <w:pStyle w:val="Normaltindrag"/>
      </w:pPr>
      <w:r w:rsidRPr="00C9680B">
        <w:t>Regeringens förslag bygger på att moderniseringen av rättsväsendet skall fortsätta och att medborgarperspektivet därvid skall vara en utgångspunkt. Nyttan för den enskilde medborgaren av tilltänkta förändringar och reformer skall stå i fokus. Rättsväsendet skall alltså målmedvetet utvecklas mot ba</w:t>
      </w:r>
      <w:r w:rsidRPr="00C9680B">
        <w:t>k</w:t>
      </w:r>
      <w:r w:rsidRPr="00C9680B">
        <w:t>grund av medborgarnas behov och samhällets utveckling så att det även i morgondagens samhälle kan fungera som rättsstatens garant för medborga</w:t>
      </w:r>
      <w:r w:rsidRPr="00C9680B">
        <w:t>r</w:t>
      </w:r>
      <w:r w:rsidRPr="00C9680B">
        <w:t xml:space="preserve">nas rättssäkerhet och rättstrygghet. </w:t>
      </w:r>
    </w:p>
    <w:p w:rsidR="001C7BF9" w:rsidRPr="00C9680B" w:rsidRDefault="001C7BF9">
      <w:pPr>
        <w:pStyle w:val="Normaltindrag"/>
      </w:pPr>
      <w:r w:rsidRPr="00C9680B">
        <w:t xml:space="preserve">Regeringens förslag för åren 2002 och 2003 innebär en ytterligare kraftig förstärkning av rättsväsendet med en än starkare tyngdpunkt på polisens behov. </w:t>
      </w:r>
    </w:p>
    <w:p w:rsidR="001C7BF9" w:rsidRPr="00C9680B" w:rsidRDefault="001C7BF9">
      <w:pPr>
        <w:pStyle w:val="Normaltindrag"/>
      </w:pPr>
      <w:r w:rsidRPr="00C9680B">
        <w:t>I inledningen till detta yttrande har redovisats Moderata samlingpartiets, Kristdemokraternas, Centerpartiets och Folkpartiet liberalernas yrkanden om ramar för rättsväsendet i motionerna Fi208 (m), Fi209 (kd), Fi210 (c) respe</w:t>
      </w:r>
      <w:r w:rsidRPr="00C9680B">
        <w:t>k</w:t>
      </w:r>
      <w:r w:rsidRPr="00C9680B">
        <w:t>tive Fi211 (fp). Motionsyrkandena bygger på att de fyra partierna gjort andra bedömningar av behoven inom respektive anslag än regerin</w:t>
      </w:r>
      <w:r w:rsidRPr="00C9680B">
        <w:t>g</w:t>
      </w:r>
      <w:r w:rsidRPr="00C9680B">
        <w:t>en.</w:t>
      </w:r>
    </w:p>
    <w:p w:rsidR="001C7BF9" w:rsidRPr="00C9680B" w:rsidRDefault="001C7BF9">
      <w:pPr>
        <w:pStyle w:val="Normaltindrag"/>
      </w:pPr>
      <w:r w:rsidRPr="00C9680B">
        <w:t>I motion Fi208 (m) föreslås att utgiftsramen för år 2001 skall ökas med drygt 1 000 miljoner kronor jämfört med regeringens förslag. Härav skulle 895 miljoner kronor tillföras polisorganisationen, 80 miljoner kronor do</w:t>
      </w:r>
      <w:r w:rsidRPr="00C9680B">
        <w:t>m</w:t>
      </w:r>
      <w:r w:rsidRPr="00C9680B">
        <w:t>stolsväsendet och knappt 70 miljoner kronor kriminalvården. Förslaget inn</w:t>
      </w:r>
      <w:r w:rsidRPr="00C9680B">
        <w:t>e</w:t>
      </w:r>
      <w:r w:rsidRPr="00C9680B">
        <w:t>håller också förstärkningar till åklagarorganisationen och Rättsmedicinalve</w:t>
      </w:r>
      <w:r w:rsidRPr="00C9680B">
        <w:t>r</w:t>
      </w:r>
      <w:r w:rsidRPr="00C9680B">
        <w:t>ket och en minskning av anslaget till kronofogdemyndigheterna. Förslagen följs i stort upp avseende åren 2002 och 2003.</w:t>
      </w:r>
    </w:p>
    <w:p w:rsidR="001C7BF9" w:rsidRPr="00C9680B" w:rsidRDefault="001C7BF9">
      <w:pPr>
        <w:pStyle w:val="Normaltindrag"/>
      </w:pPr>
      <w:r w:rsidRPr="00C9680B">
        <w:t xml:space="preserve">I motion Fi209 (kd) föreslås att utgiftsramen för år 2001 skall ökas med </w:t>
      </w:r>
      <w:r w:rsidRPr="00C9680B">
        <w:br/>
        <w:t>1 000 miljoner kronor jämfört med regeringens förslag. Härav skulle 290 miljoner kronor tillföras polisorganisationen, 350 miljoner kronor tillföras domstolsväsendet och 250 miljoner kronor tillföras kriminalvården. Förslaget innehåller också förstärkningar till åklagarorganisationen, bidrag till brott</w:t>
      </w:r>
      <w:r w:rsidRPr="00C9680B">
        <w:t>s</w:t>
      </w:r>
      <w:r w:rsidRPr="00C9680B">
        <w:t>förebyggande arbete och Brottsoffermyndigheten. Förslagen följs i stort upp avseende åren 2002 och 2003.</w:t>
      </w:r>
    </w:p>
    <w:p w:rsidR="001C7BF9" w:rsidRPr="00C9680B" w:rsidRDefault="001C7BF9">
      <w:pPr>
        <w:pStyle w:val="Normaltindrag"/>
      </w:pPr>
      <w:r w:rsidRPr="00C9680B">
        <w:t>I motion Fi210 (c) föreslås att utgiftsramen för år 2001 skall ökas med 260 miljoner kronor. Härav sku</w:t>
      </w:r>
      <w:r w:rsidRPr="00C9680B">
        <w:t>lle 200 miljoner kronor tillföras polisorganisati</w:t>
      </w:r>
      <w:r w:rsidRPr="00C9680B">
        <w:t>o</w:t>
      </w:r>
      <w:r w:rsidRPr="00C9680B">
        <w:t>en, 59,5 miljoner kronor tillföras kriminalvården och 0,5 miljoner kronor tillföras Brottsoffermyndigheten. Förslagen följs i stort upp avseende åren 2002 och 2003.</w:t>
      </w:r>
    </w:p>
    <w:p w:rsidR="001C7BF9" w:rsidRPr="00C9680B" w:rsidRDefault="001C7BF9">
      <w:pPr>
        <w:pStyle w:val="Normaltindrag"/>
      </w:pPr>
      <w:r w:rsidRPr="00C9680B">
        <w:t>I motion Fi211 (fp) föreslås att utgiftsramen för år 2001 skall ökas med 402 miljoner kronor. Härav skulle 220 miljoner kronor tillföras polisorgan</w:t>
      </w:r>
      <w:r w:rsidRPr="00C9680B">
        <w:t>i</w:t>
      </w:r>
      <w:r w:rsidRPr="00C9680B">
        <w:t>sationen, 100 miljoner kronor tillföras domstolsväsendet och 56 miljoner kronor anslaget till rättshjälpskostnader – det sistnämnda beloppet i syfte att återställa rättshjälpsförmånerna till vad som gällde före den 1 december 1997. Förslaget innehåller också förstärkningar till åklagarorganisationen och Brottsoffermyndigheten med 10 respektive 16 miljoner kronor. Förslagen följs i stort upp avseende åren 2001 och 2002.</w:t>
      </w:r>
    </w:p>
    <w:p w:rsidR="001C7BF9" w:rsidRPr="00C9680B" w:rsidRDefault="001C7BF9">
      <w:pPr>
        <w:pStyle w:val="Normaltindrag"/>
      </w:pPr>
      <w:r w:rsidRPr="00C9680B">
        <w:t>Utskottet konstaterar först att regeringens förslag innebär en betydande förstärkning av</w:t>
      </w:r>
      <w:r w:rsidRPr="00C9680B">
        <w:t xml:space="preserve"> rättsväsendet. Det handlar om inte mindre än en miljard kr</w:t>
      </w:r>
      <w:r w:rsidRPr="00C9680B">
        <w:t>o</w:t>
      </w:r>
      <w:r w:rsidRPr="00C9680B">
        <w:t>nor redan nästa budgetår och 1,5 respektive 1,6 miljarder för de två komma</w:t>
      </w:r>
      <w:r w:rsidRPr="00C9680B">
        <w:t>n</w:t>
      </w:r>
      <w:r w:rsidRPr="00C9680B">
        <w:t>de åren. Sett över hela planeringsperioden kan ändå, som regeringen fra</w:t>
      </w:r>
      <w:r w:rsidRPr="00C9680B">
        <w:t>m</w:t>
      </w:r>
      <w:r w:rsidRPr="00C9680B">
        <w:t>håller (s. 15), den ansträngda ekonomiska situationen inom rättsväsendet göra att utgifterna kan komma att överstiga anslagsramarna under budgetperioden. Detta betyder att vissa myndigheters nuvarande anslagskrediter kan vara otillräckliga. Utskottet vill i sammanhanget dock erinra om att utskottet, i li</w:t>
      </w:r>
      <w:r w:rsidRPr="00C9680B">
        <w:t>khet med regeringen, anser att förändrings- och rationaliseringsarbetet skall fortsätta. Å andra sidan vill utskottet också erinra om att den kraftfulla sat</w:t>
      </w:r>
      <w:r w:rsidRPr="00C9680B">
        <w:t>s</w:t>
      </w:r>
      <w:r w:rsidRPr="00C9680B">
        <w:t>ning som nu görs på polisen bör komma att få effekt även på verksamheten inom de efterföljande myndigheterna i rättskedjan under planeringsperioden. Detta är ägnat att ytterligare förstärka behovet av ett kraftfullt förnyelsearb</w:t>
      </w:r>
      <w:r w:rsidRPr="00C9680B">
        <w:t>e</w:t>
      </w:r>
      <w:r w:rsidRPr="00C9680B">
        <w:t>te. Ändå måste utskottet konstatera att det inte är lätt att förutse det framtida medelsbehovet. Regeringen har, såvitt utskot</w:t>
      </w:r>
      <w:r w:rsidRPr="00C9680B">
        <w:t>tet kan förstå, dragit samma slutsats. Regeringen avser således (s.17) att noga följa rättsväsendets ver</w:t>
      </w:r>
      <w:r w:rsidRPr="00C9680B">
        <w:t>k</w:t>
      </w:r>
      <w:r w:rsidRPr="00C9680B">
        <w:t>samhet och resultat och återkomma till riksdagen om de ytterligare insatser som erfordras för att fullfölja statsmakternas intentioner för utvecklingen av rättsväsendet. Utskottet, som delar regeringens bedömningar såväl i fråga om medelsbehovet som i fråga om prioriteringar inom utgiftsområdet, känner mot den bakgrunden ingen oro för att rättsväsendets behov inte skulle tillgodoses också i ett något län</w:t>
      </w:r>
      <w:r w:rsidRPr="00C9680B">
        <w:t xml:space="preserve">gre perspektiv. Utskottet tillstyrker alltså regeringens förslag och avstyrker samtliga här aktuella motionsyrkanden. När det gäller yrkandet i motion Fi211 om rättshjälpen vill utskottet tillägga att det enligt utskottets mening inte finns någon anledning för riksdagen att inta någon annan ståndpunkt än att reformens principer står fast. </w:t>
      </w:r>
    </w:p>
    <w:p w:rsidR="001C7BF9" w:rsidRPr="00C9680B" w:rsidRDefault="001C7BF9">
      <w:pPr>
        <w:pStyle w:val="Normaltindrag"/>
      </w:pPr>
      <w:r w:rsidRPr="00C9680B">
        <w:t>Sammanfattningsvis tillstyrker utskottet yrkandena 8 och 10 i budgetpr</w:t>
      </w:r>
      <w:r w:rsidRPr="00C9680B">
        <w:t>o</w:t>
      </w:r>
      <w:r w:rsidRPr="00C9680B">
        <w:t>positionen för 2001 Förslag till statsbudget, finansplan m.m. och avstyrker motionerna Fi208, Fi209, Fi210 och Fi211 i motsvarande delar såvitt avser utgiftsområde 4.</w:t>
      </w:r>
    </w:p>
    <w:p w:rsidR="001C7BF9" w:rsidRPr="00C9680B" w:rsidRDefault="001C7BF9"/>
    <w:p w:rsidR="001C7BF9" w:rsidRPr="00C9680B" w:rsidRDefault="001C7BF9"/>
    <w:p w:rsidR="001C7BF9" w:rsidRPr="00C9680B" w:rsidRDefault="001C7BF9">
      <w:pPr>
        <w:pStyle w:val="Stockholm"/>
        <w:outlineLvl w:val="0"/>
      </w:pPr>
      <w:r w:rsidRPr="00C9680B">
        <w:t xml:space="preserve">Stockholm den 24 oktober 2000 </w:t>
      </w:r>
    </w:p>
    <w:p w:rsidR="001C7BF9" w:rsidRPr="00C9680B" w:rsidRDefault="001C7BF9">
      <w:pPr>
        <w:pStyle w:val="Vgnar"/>
      </w:pPr>
      <w:r w:rsidRPr="00C9680B">
        <w:t>På justitieutskottets vägnar</w:t>
      </w:r>
    </w:p>
    <w:p w:rsidR="001C7BF9" w:rsidRPr="00C9680B" w:rsidRDefault="001C7BF9">
      <w:pPr>
        <w:pStyle w:val="Ordfnamn"/>
      </w:pPr>
      <w:r w:rsidRPr="00C9680B">
        <w:t xml:space="preserve">Gun Hellsvik </w:t>
      </w:r>
    </w:p>
    <w:p w:rsidR="001C7BF9" w:rsidRPr="00C9680B" w:rsidRDefault="001C7BF9"/>
    <w:p w:rsidR="001C7BF9" w:rsidRPr="00C9680B" w:rsidRDefault="001C7BF9">
      <w:pPr>
        <w:pStyle w:val="Deltagare"/>
        <w:rPr>
          <w:noProof w:val="0"/>
        </w:rPr>
      </w:pPr>
      <w:r w:rsidRPr="00C9680B">
        <w:rPr>
          <w:noProof w:val="0"/>
        </w:rPr>
        <w:t>I beslutet har deltagit: Gun Hellsvik (m), Ingvar Johnsson (s), Margareta Sandgren (s), Ingemar Vänerlöv (kd), Ann-Marie Fagerström (s), Maud Ekendahl (m), Helena Zakariasén (s), Morgan Johansson (s), Yvonne Oscarsson (v), Ragnwi Marcelind (kd), Jeppe Johnsson (m), Kia Andreasson (mp), Gunnel Wallin (c), Göran Norlander (s), Anita Sidén (m) och Johan Pehrson (fp).</w:t>
      </w:r>
    </w:p>
    <w:p w:rsidR="001C7BF9" w:rsidRPr="00C9680B" w:rsidRDefault="001C7BF9">
      <w:pPr>
        <w:pStyle w:val="Rubrik2"/>
      </w:pPr>
      <w:bookmarkStart w:id="1117" w:name="_Toc497104488"/>
      <w:r w:rsidRPr="00C9680B">
        <w:t>Avvikande meningar</w:t>
      </w:r>
      <w:bookmarkEnd w:id="1117"/>
    </w:p>
    <w:p w:rsidR="001C7BF9" w:rsidRPr="00C9680B" w:rsidRDefault="001C7BF9">
      <w:pPr>
        <w:outlineLvl w:val="0"/>
      </w:pPr>
      <w:r w:rsidRPr="00C9680B">
        <w:t>1. Gun Hellsvik (m), Maud Ekendahl (m), Jeppe Johnsson (m) och Anita Sidén (m) anför:</w:t>
      </w:r>
    </w:p>
    <w:p w:rsidR="001C7BF9" w:rsidRPr="00C9680B" w:rsidRDefault="001C7BF9">
      <w:pPr>
        <w:pStyle w:val="Normaltindrag"/>
      </w:pPr>
      <w:r w:rsidRPr="00C9680B">
        <w:t>I takt med att rättsväsendet uppvisar allt tydligare tecken på att befinna sig i djup kris har människors tilltro till statsmakterna försvagats. I en rad olika avseenden får medborgarnas behov av rättssäkerhet och rättstrygghet stå tillbaka därför att de rättsvårdande myndigheterna inte längre klarar av att fullgöra sina uppgifter på ett godtagbart sätt. De eftersatta behoven är på praktiskt taget alla områden stora; detta gäller inte minst polisen där det finns ett mycket stort uppdämt behov av personalfö</w:t>
      </w:r>
      <w:r w:rsidRPr="00C9680B">
        <w:t>rstärkning, kompetensutvec</w:t>
      </w:r>
      <w:r w:rsidRPr="00C9680B">
        <w:t>k</w:t>
      </w:r>
      <w:r w:rsidRPr="00C9680B">
        <w:t>ling och vidareutbildning. Enligt vår bedömning är regeringens förslag till förstärkning av rättsväsendet helt otillräckligt. Vi föreslår alltså att utgiftso</w:t>
      </w:r>
      <w:r w:rsidRPr="00C9680B">
        <w:t>m</w:t>
      </w:r>
      <w:r w:rsidRPr="00C9680B">
        <w:t>rådet för de kommande tre åren tillförs 2,7 miljarder kronor utöver regerin</w:t>
      </w:r>
      <w:r w:rsidRPr="00C9680B">
        <w:t>g</w:t>
      </w:r>
      <w:r w:rsidRPr="00C9680B">
        <w:t xml:space="preserve">ens förslag. Härav bör utgiftsramen redan nästa år ökas med drygt 1 034 miljoner kronor. Samtidigt skärper vi kraven när det gäller resultatuppföljning och gott ledarskap. Enligt vår mening bör finansutskottet alltså tillstyrka motion Fi208 i berörda </w:t>
      </w:r>
      <w:r w:rsidRPr="00C9680B">
        <w:t>delar. När det gäller fördelningen på anslag av de extra medel vi föreslår hänvisar vi till motion 2000/01:Ju927 som kommer att behandlas i justitieutskottets budgetbetä</w:t>
      </w:r>
      <w:r w:rsidRPr="00C9680B">
        <w:t>n</w:t>
      </w:r>
      <w:r w:rsidRPr="00C9680B">
        <w:t>kande 2000/01:JuU1.</w:t>
      </w:r>
    </w:p>
    <w:p w:rsidR="001C7BF9" w:rsidRPr="00C9680B" w:rsidRDefault="001C7BF9">
      <w:pPr>
        <w:pStyle w:val="Normaltindrag"/>
      </w:pPr>
    </w:p>
    <w:p w:rsidR="001C7BF9" w:rsidRPr="00C9680B" w:rsidRDefault="001C7BF9">
      <w:pPr>
        <w:outlineLvl w:val="0"/>
      </w:pPr>
      <w:r w:rsidRPr="00C9680B">
        <w:t>2. Ingemar Vänerlöv (kd) och Ragnwi Marcelind (kd) anför:</w:t>
      </w:r>
    </w:p>
    <w:p w:rsidR="001C7BF9" w:rsidRPr="00C9680B" w:rsidRDefault="001C7BF9">
      <w:pPr>
        <w:pStyle w:val="Normaltindrag"/>
      </w:pPr>
      <w:r w:rsidRPr="00C9680B">
        <w:t>Kristdemokraterna har motsatt sig de nedskärningar som skett inom rätt</w:t>
      </w:r>
      <w:r w:rsidRPr="00C9680B">
        <w:t>s</w:t>
      </w:r>
      <w:r w:rsidRPr="00C9680B">
        <w:t>väsendet under senare år. De eftersatta behoven är nu mycket stora, särskilt inom de tre största myndigheterna polisen, domstolsväsendet och krimina</w:t>
      </w:r>
      <w:r w:rsidRPr="00C9680B">
        <w:t>l</w:t>
      </w:r>
      <w:r w:rsidRPr="00C9680B">
        <w:t>vården som sammantaget svarar för över 80 % av verksamheten inom utgift</w:t>
      </w:r>
      <w:r w:rsidRPr="00C9680B">
        <w:t>s</w:t>
      </w:r>
      <w:r w:rsidRPr="00C9680B">
        <w:t>området. Regeringens förslag i dessa delar innebär inte en tillräcklig priorit</w:t>
      </w:r>
      <w:r w:rsidRPr="00C9680B">
        <w:t>e</w:t>
      </w:r>
      <w:r w:rsidRPr="00C9680B">
        <w:t>ring. Även det brottsförebyggande arbetet är eftersatt i regeringens förslag. Med hänvisning till det anförda anser vi att utgiftsramen för rättsväsendet för de kommande tre åren bör tillföras 3 miljarder kronor</w:t>
      </w:r>
      <w:r w:rsidRPr="00C9680B">
        <w:t xml:space="preserve">  utöver regeringens förslag. Härav bör utgiftsområdet tillföras en miljard kronor redan nästa bu</w:t>
      </w:r>
      <w:r w:rsidRPr="00C9680B">
        <w:t>d</w:t>
      </w:r>
      <w:r w:rsidRPr="00C9680B">
        <w:t>getår. Enligt vår mening bör finansutskottet alltså tillstyrka motion Fi209 i berörda delar. När det gäller fördelningen på anslag av de extra medel vi föreslår hänvisar vi till motion 2000/01:Ju913 som kommer att behandlas i justitieu</w:t>
      </w:r>
      <w:r w:rsidRPr="00C9680B">
        <w:t>t</w:t>
      </w:r>
      <w:r w:rsidRPr="00C9680B">
        <w:t>skottets budgetbetänkande 2000/01:JuU1.</w:t>
      </w:r>
    </w:p>
    <w:p w:rsidR="001C7BF9" w:rsidRPr="00C9680B" w:rsidRDefault="001C7BF9">
      <w:pPr>
        <w:pStyle w:val="Normaltindrag"/>
      </w:pPr>
    </w:p>
    <w:p w:rsidR="001C7BF9" w:rsidRPr="00C9680B" w:rsidRDefault="001C7BF9">
      <w:pPr>
        <w:outlineLvl w:val="0"/>
      </w:pPr>
      <w:r w:rsidRPr="00C9680B">
        <w:br w:type="page"/>
        <w:t>3. Gunnel Wallin (c) anför:</w:t>
      </w:r>
    </w:p>
    <w:p w:rsidR="001C7BF9" w:rsidRPr="00C9680B" w:rsidRDefault="001C7BF9">
      <w:pPr>
        <w:pStyle w:val="Normaltindrag"/>
      </w:pPr>
      <w:r w:rsidRPr="00C9680B">
        <w:t>En av statens kärnuppgifter är att tillgodose den enskildes rättssäkerhet och rättstrygghet för att därigenom öka människors trygghet och livskvalitet. Det är av avgörande betydelse att de rättsvårdande myndigheterna ges tillräckliga förutsättningar att fullgöra sina uppgifter. Situationen inom rättsväsendet lämnar dessvärre mycket i övrigt att önska. Resursbristen är särskilt besv</w:t>
      </w:r>
      <w:r w:rsidRPr="00C9680B">
        <w:t>ä</w:t>
      </w:r>
      <w:r w:rsidRPr="00C9680B">
        <w:t>rande inom polisen, men också inom kriminalvården finns eftersatta behov. Mot den bakgrunden anser jag att utgiftsramen för de kommande tre åren bör tillföras 990 miljoner kronor utöver regeringens förslag. Enligt min mening bör finansutskottet alltså tillstyrka motion Fi210 i berörda delar. När det gäller fördelningen på anslag av de extra medel jag föreslår hänvisar jag till motion 2000/01:Ju926 som kommer att behandlas i justitieutskottets budge</w:t>
      </w:r>
      <w:r w:rsidRPr="00C9680B">
        <w:t>t</w:t>
      </w:r>
      <w:r w:rsidRPr="00C9680B">
        <w:t>betä</w:t>
      </w:r>
      <w:r w:rsidRPr="00C9680B">
        <w:t>n</w:t>
      </w:r>
      <w:r w:rsidRPr="00C9680B">
        <w:t>kande 2000/01:JuU1.</w:t>
      </w:r>
    </w:p>
    <w:p w:rsidR="001C7BF9" w:rsidRPr="00C9680B" w:rsidRDefault="001C7BF9">
      <w:pPr>
        <w:pStyle w:val="Normaltindrag"/>
      </w:pPr>
    </w:p>
    <w:p w:rsidR="001C7BF9" w:rsidRPr="00C9680B" w:rsidRDefault="001C7BF9">
      <w:pPr>
        <w:outlineLvl w:val="0"/>
      </w:pPr>
      <w:r w:rsidRPr="00C9680B">
        <w:t>4. Johan Pehrson (fp) anför:</w:t>
      </w:r>
    </w:p>
    <w:p w:rsidR="001C7BF9" w:rsidRPr="00C9680B" w:rsidRDefault="001C7BF9">
      <w:pPr>
        <w:pStyle w:val="Normaltindrag"/>
      </w:pPr>
      <w:r w:rsidRPr="00C9680B">
        <w:t>Att upprätthålla rättsordningen är en av de verkligt genuina uppgifterna för det offentliga. Därför måste det finnas resurser så att uppgifterna kan fullfö</w:t>
      </w:r>
      <w:r w:rsidRPr="00C9680B">
        <w:t>l</w:t>
      </w:r>
      <w:r w:rsidRPr="00C9680B">
        <w:t>jas på ett tillfredsställande sätt. Detta är dessvärre inte längre fallet. Det finns en rad eftersatta behov, särskilt inom polisen och domstolsväsendet men också brottsofferverksamheten måste förstärkas. Jag vill också åter upprepa min ståndpunkt att den s.k. rättshjälpsreformen är ett misslyckande och att reglerna bör återföras till vad som gällde före år 1997. Mot den bakgrunden anser jag att utgiftsramen för de kommande tre åren bör tillföras 1 366 milj</w:t>
      </w:r>
      <w:r w:rsidRPr="00C9680B">
        <w:t>o</w:t>
      </w:r>
      <w:r w:rsidRPr="00C9680B">
        <w:t>ner kronor utöver regeringens förslag. Enligt min</w:t>
      </w:r>
      <w:r w:rsidRPr="00C9680B">
        <w:t xml:space="preserve"> mening bör finansutskottet alltså tillstyrka motion Fi211 i berörda delar. När det gäller fördelningen på anslag av de extra medel jag föreslår hänvisar jag till motion 2000/01:Ju933 som kommer att behandlas i justitieutskottets budgetbetänkande 2000/01:JuU1.</w:t>
      </w:r>
    </w:p>
    <w:p w:rsidR="001C7BF9" w:rsidRPr="00C9680B" w:rsidRDefault="001C7BF9">
      <w:pPr>
        <w:pStyle w:val="Normaltindrag"/>
        <w:sectPr w:rsidR="00000000" w:rsidRPr="00C9680B">
          <w:headerReference w:type="even" r:id="rId123"/>
          <w:headerReference w:type="default" r:id="rId124"/>
          <w:footerReference w:type="even" r:id="rId125"/>
          <w:footerReference w:type="default" r:id="rId126"/>
          <w:headerReference w:type="first" r:id="rId127"/>
          <w:footerReference w:type="first" r:id="rId128"/>
          <w:footnotePr>
            <w:numRestart w:val="eachSect"/>
          </w:footnotePr>
          <w:pgSz w:w="11906" w:h="16838" w:code="9"/>
          <w:pgMar w:top="850" w:right="4649" w:bottom="4507" w:left="1304" w:header="340" w:footer="227" w:gutter="0"/>
          <w:cols w:space="720"/>
          <w:titlePg/>
        </w:sectPr>
      </w:pPr>
      <w:bookmarkStart w:id="1118" w:name="_Toc495462577"/>
    </w:p>
    <w:p w:rsidR="001C7BF9" w:rsidRPr="00C9680B" w:rsidRDefault="001C7BF9">
      <w:pPr>
        <w:pStyle w:val="Bilaga"/>
      </w:pPr>
      <w:r w:rsidRPr="00C9680B">
        <w:t>bilaga 8</w:t>
      </w:r>
    </w:p>
    <w:p w:rsidR="001C7BF9" w:rsidRPr="00C9680B" w:rsidRDefault="001C7BF9">
      <w:pPr>
        <w:pStyle w:val="Rubrik1"/>
        <w:spacing w:after="0"/>
        <w:rPr>
          <w:noProof w:val="0"/>
        </w:rPr>
      </w:pPr>
      <w:bookmarkStart w:id="1119" w:name="_Toc498838232"/>
      <w:r w:rsidRPr="00C9680B">
        <w:rPr>
          <w:noProof w:val="0"/>
        </w:rPr>
        <w:t>Utrikesutskottets yttrande</w:t>
      </w:r>
      <w:bookmarkEnd w:id="1119"/>
    </w:p>
    <w:p w:rsidR="001C7BF9" w:rsidRPr="00C9680B" w:rsidRDefault="001C7BF9">
      <w:pPr>
        <w:pStyle w:val="R1"/>
        <w:spacing w:after="240"/>
      </w:pPr>
      <w:r w:rsidRPr="00C9680B">
        <w:t>2000/01:UU1y</w:t>
      </w:r>
    </w:p>
    <w:p w:rsidR="001C7BF9" w:rsidRPr="00C9680B" w:rsidRDefault="001C7BF9">
      <w:pPr>
        <w:pStyle w:val="Rubrik2"/>
        <w:spacing w:before="125"/>
      </w:pPr>
      <w:bookmarkStart w:id="1120" w:name="_Toc498838233"/>
      <w:r w:rsidRPr="00C9680B">
        <w:t>Ramar för utgiftsområdena 5 Utrikesförvaltning och internationell samverkan samt 7 Internationellt bistånd m.m.</w:t>
      </w:r>
      <w:bookmarkEnd w:id="1120"/>
    </w:p>
    <w:p w:rsidR="001C7BF9" w:rsidRPr="00C9680B" w:rsidRDefault="001C7BF9">
      <w:pPr>
        <w:pStyle w:val="R1"/>
        <w:spacing w:before="480" w:after="240"/>
      </w:pPr>
      <w:r w:rsidRPr="00C9680B">
        <w:t>Till finansutskottet</w:t>
      </w:r>
      <w:bookmarkEnd w:id="1118"/>
    </w:p>
    <w:p w:rsidR="001C7BF9" w:rsidRPr="00C9680B" w:rsidRDefault="001C7BF9">
      <w:r w:rsidRPr="00C9680B">
        <w:t>Finansutskottet har genom beslut den 21 september 2000 berett övriga berö</w:t>
      </w:r>
      <w:r w:rsidRPr="00C9680B">
        <w:t>r</w:t>
      </w:r>
      <w:r w:rsidRPr="00C9680B">
        <w:t xml:space="preserve">da utskott tillfälle att avge yttrande </w:t>
      </w:r>
      <w:r w:rsidRPr="00C9680B">
        <w:rPr>
          <w:i/>
        </w:rPr>
        <w:t>dels</w:t>
      </w:r>
      <w:r w:rsidRPr="00C9680B">
        <w:t xml:space="preserve"> över proposition 1999/2000:1 Bu</w:t>
      </w:r>
      <w:r w:rsidRPr="00C9680B">
        <w:t>d</w:t>
      </w:r>
      <w:r w:rsidRPr="00C9680B">
        <w:t xml:space="preserve">getpropositionen för år 2001 (volym 1) i vad avser den ekonomiska politiken och förslag till statsbudget för budgetåret 2001, utgifternas fördelning på utgiftsområden och beräkning av statsinkomsterna, låneramar (yrkandena 1–14 och 23–40) jämte motioner, </w:t>
      </w:r>
      <w:r w:rsidRPr="00C9680B">
        <w:rPr>
          <w:i/>
        </w:rPr>
        <w:t>dels</w:t>
      </w:r>
      <w:r w:rsidRPr="00C9680B">
        <w:t xml:space="preserve"> regeringens skrivelse 1999/2000:150 År</w:t>
      </w:r>
      <w:r w:rsidRPr="00C9680B">
        <w:t>s</w:t>
      </w:r>
      <w:r w:rsidRPr="00C9680B">
        <w:t>redovisning för staten 1999.</w:t>
      </w:r>
    </w:p>
    <w:p w:rsidR="001C7BF9" w:rsidRPr="00C9680B" w:rsidRDefault="001C7BF9">
      <w:r w:rsidRPr="00C9680B">
        <w:t>Utrikesutskottet väljer att i det följande yttra sig över propositionens yrkanden 8, 9 och 10, över yrkande</w:t>
      </w:r>
      <w:r w:rsidRPr="00C9680B">
        <w:t>n i motionerna 2000/01:Fi208 (m), 2000/01:</w:t>
      </w:r>
      <w:r w:rsidRPr="00C9680B">
        <w:br/>
        <w:t>Fi209 (kd), 2000/01:Fi210 (c) och 2000/01:Fi211(fp) samt  över skrivelsen, allt i de delar som berör utskottets beredningso</w:t>
      </w:r>
      <w:r w:rsidRPr="00C9680B">
        <w:t>m</w:t>
      </w:r>
      <w:r w:rsidRPr="00C9680B">
        <w:t>råde.</w:t>
      </w:r>
    </w:p>
    <w:p w:rsidR="001C7BF9" w:rsidRPr="00C9680B" w:rsidRDefault="001C7BF9">
      <w:pPr>
        <w:pStyle w:val="Rubrik2"/>
      </w:pPr>
      <w:bookmarkStart w:id="1121" w:name="_Toc498838234"/>
      <w:r w:rsidRPr="00C9680B">
        <w:t>Propositionen</w:t>
      </w:r>
      <w:bookmarkEnd w:id="1121"/>
    </w:p>
    <w:p w:rsidR="001C7BF9" w:rsidRPr="00C9680B" w:rsidRDefault="001C7BF9">
      <w:pPr>
        <w:pStyle w:val="Rubrik3"/>
        <w:spacing w:before="123"/>
        <w:rPr>
          <w:noProof w:val="0"/>
        </w:rPr>
      </w:pPr>
      <w:bookmarkStart w:id="1122" w:name="_Toc465764664"/>
      <w:bookmarkStart w:id="1123" w:name="_Toc498838235"/>
      <w:r w:rsidRPr="00C9680B">
        <w:rPr>
          <w:noProof w:val="0"/>
        </w:rPr>
        <w:t>Yrkandena</w:t>
      </w:r>
      <w:bookmarkEnd w:id="1122"/>
      <w:bookmarkEnd w:id="1123"/>
    </w:p>
    <w:p w:rsidR="001C7BF9" w:rsidRPr="00C9680B" w:rsidRDefault="001C7BF9">
      <w:r w:rsidRPr="00C9680B">
        <w:t xml:space="preserve">Utrikesutskottets beredningsområde berörs, såvitt avser den ekonomiska politiken och förslag till budgeten, primärt av propositionens yrkanden 8–10. </w:t>
      </w:r>
    </w:p>
    <w:p w:rsidR="001C7BF9" w:rsidRPr="00C9680B" w:rsidRDefault="001C7BF9">
      <w:pPr>
        <w:pStyle w:val="Rubrik3"/>
        <w:rPr>
          <w:noProof w:val="0"/>
        </w:rPr>
      </w:pPr>
      <w:bookmarkStart w:id="1124" w:name="_Toc465764665"/>
      <w:bookmarkStart w:id="1125" w:name="_Toc498838236"/>
      <w:r w:rsidRPr="00C9680B">
        <w:rPr>
          <w:noProof w:val="0"/>
        </w:rPr>
        <w:t>Sammanfattning av propositionen</w:t>
      </w:r>
      <w:bookmarkEnd w:id="1124"/>
      <w:bookmarkEnd w:id="1125"/>
    </w:p>
    <w:p w:rsidR="001C7BF9" w:rsidRPr="00C9680B" w:rsidRDefault="001C7BF9">
      <w:r w:rsidRPr="00C9680B">
        <w:t xml:space="preserve">I </w:t>
      </w:r>
      <w:r w:rsidRPr="00C9680B">
        <w:rPr>
          <w:i/>
        </w:rPr>
        <w:t>yrkande 8</w:t>
      </w:r>
      <w:r w:rsidRPr="00C9680B">
        <w:t xml:space="preserve"> föreslås vad avser utrikesutskottets beredningsområde att för år 2001 2 908 385 tkr fördelas till </w:t>
      </w:r>
      <w:r w:rsidRPr="00C9680B">
        <w:rPr>
          <w:i/>
        </w:rPr>
        <w:t>utgiftsområde 5</w:t>
      </w:r>
      <w:r w:rsidRPr="00C9680B">
        <w:t xml:space="preserve"> och 14 966 011 tkr till </w:t>
      </w:r>
      <w:r w:rsidRPr="00C9680B">
        <w:rPr>
          <w:i/>
        </w:rPr>
        <w:t>u</w:t>
      </w:r>
      <w:r w:rsidRPr="00C9680B">
        <w:rPr>
          <w:i/>
        </w:rPr>
        <w:t>t</w:t>
      </w:r>
      <w:r w:rsidRPr="00C9680B">
        <w:rPr>
          <w:i/>
        </w:rPr>
        <w:t>giftsområde 7</w:t>
      </w:r>
      <w:r w:rsidRPr="00C9680B">
        <w:t xml:space="preserve"> (i bilagan till detta yttrande avrundat till miljoner kronor). I </w:t>
      </w:r>
      <w:r w:rsidRPr="00C9680B">
        <w:rPr>
          <w:i/>
        </w:rPr>
        <w:t>yrkande 9</w:t>
      </w:r>
      <w:r w:rsidRPr="00C9680B">
        <w:t xml:space="preserve"> begärs att riksdagen godkänner beräkningen av förändringar av anslagsbehållningar för budgetåret 2001 (-59 mkr för utgiftsområde 5 och     -63 mkr för utgiftsområde 7). Vidare föreslås </w:t>
      </w:r>
      <w:r w:rsidRPr="00C9680B">
        <w:rPr>
          <w:i/>
        </w:rPr>
        <w:t>(yrkande 10)</w:t>
      </w:r>
      <w:r w:rsidRPr="00C9680B">
        <w:t xml:space="preserve"> att följande prel</w:t>
      </w:r>
      <w:r w:rsidRPr="00C9680B">
        <w:t>i</w:t>
      </w:r>
      <w:r w:rsidRPr="00C9680B">
        <w:t>minära fördelning av utgifter (i mkr) på nämnda utgiftsom</w:t>
      </w:r>
      <w:r w:rsidRPr="00C9680B">
        <w:t>råden för budge</w:t>
      </w:r>
      <w:r w:rsidRPr="00C9680B">
        <w:t>t</w:t>
      </w:r>
      <w:r w:rsidRPr="00C9680B">
        <w:t>åren 2002 och 2003 godkänns som riktlinje för regeringens budgeta</w:t>
      </w:r>
      <w:r w:rsidRPr="00C9680B">
        <w:t>r</w:t>
      </w:r>
      <w:r w:rsidRPr="00C9680B">
        <w:t>bete:</w:t>
      </w:r>
    </w:p>
    <w:p w:rsidR="001C7BF9" w:rsidRPr="00C9680B" w:rsidRDefault="001C7BF9">
      <w:r w:rsidRPr="00C9680B">
        <w:br w:type="page"/>
      </w:r>
    </w:p>
    <w:tbl>
      <w:tblPr>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C9680B">
        <w:tblPrEx>
          <w:tblCellMar>
            <w:top w:w="0" w:type="dxa"/>
            <w:bottom w:w="0" w:type="dxa"/>
          </w:tblCellMar>
        </w:tblPrEx>
        <w:tc>
          <w:tcPr>
            <w:tcW w:w="2012" w:type="dxa"/>
            <w:shd w:val="pct35" w:color="auto" w:fill="FFFFFF"/>
          </w:tcPr>
          <w:p w:rsidR="001C7BF9" w:rsidRPr="00C9680B" w:rsidRDefault="001C7BF9">
            <w:pPr>
              <w:pStyle w:val="Normaltindrag"/>
            </w:pPr>
          </w:p>
        </w:tc>
        <w:tc>
          <w:tcPr>
            <w:tcW w:w="2012" w:type="dxa"/>
          </w:tcPr>
          <w:p w:rsidR="001C7BF9" w:rsidRPr="00C9680B" w:rsidRDefault="001C7BF9">
            <w:pPr>
              <w:pStyle w:val="Normaltindrag"/>
              <w:ind w:left="-27"/>
              <w:jc w:val="center"/>
              <w:rPr>
                <w:b/>
              </w:rPr>
            </w:pPr>
            <w:r w:rsidRPr="00C9680B">
              <w:rPr>
                <w:b/>
              </w:rPr>
              <w:t>2002</w:t>
            </w:r>
          </w:p>
        </w:tc>
        <w:tc>
          <w:tcPr>
            <w:tcW w:w="2012" w:type="dxa"/>
          </w:tcPr>
          <w:p w:rsidR="001C7BF9" w:rsidRPr="00C9680B" w:rsidRDefault="001C7BF9">
            <w:pPr>
              <w:pStyle w:val="Normaltindrag"/>
              <w:ind w:left="87"/>
              <w:jc w:val="center"/>
              <w:rPr>
                <w:b/>
              </w:rPr>
            </w:pPr>
            <w:r w:rsidRPr="00C9680B">
              <w:rPr>
                <w:b/>
              </w:rPr>
              <w:t>2003</w:t>
            </w:r>
          </w:p>
        </w:tc>
      </w:tr>
      <w:tr w:rsidR="00000000" w:rsidRPr="00C9680B">
        <w:tblPrEx>
          <w:tblCellMar>
            <w:top w:w="0" w:type="dxa"/>
            <w:bottom w:w="0" w:type="dxa"/>
          </w:tblCellMar>
        </w:tblPrEx>
        <w:tc>
          <w:tcPr>
            <w:tcW w:w="2012" w:type="dxa"/>
          </w:tcPr>
          <w:p w:rsidR="001C7BF9" w:rsidRPr="00C9680B" w:rsidRDefault="001C7BF9">
            <w:pPr>
              <w:pStyle w:val="Normaltindrag"/>
              <w:jc w:val="left"/>
              <w:rPr>
                <w:b/>
              </w:rPr>
            </w:pPr>
            <w:r w:rsidRPr="00C9680B">
              <w:rPr>
                <w:b/>
              </w:rPr>
              <w:t>Utgiftsområde 5</w:t>
            </w:r>
          </w:p>
        </w:tc>
        <w:tc>
          <w:tcPr>
            <w:tcW w:w="2012" w:type="dxa"/>
          </w:tcPr>
          <w:p w:rsidR="001C7BF9" w:rsidRPr="00C9680B" w:rsidRDefault="001C7BF9">
            <w:pPr>
              <w:pStyle w:val="Normaltindrag"/>
              <w:ind w:left="-27"/>
              <w:jc w:val="right"/>
            </w:pPr>
            <w:r w:rsidRPr="00C9680B">
              <w:t>2 881</w:t>
            </w:r>
          </w:p>
        </w:tc>
        <w:tc>
          <w:tcPr>
            <w:tcW w:w="2012" w:type="dxa"/>
            <w:tcBorders>
              <w:bottom w:val="nil"/>
            </w:tcBorders>
          </w:tcPr>
          <w:p w:rsidR="001C7BF9" w:rsidRPr="00C9680B" w:rsidRDefault="001C7BF9">
            <w:pPr>
              <w:pStyle w:val="Normaltindrag"/>
              <w:ind w:left="87"/>
              <w:jc w:val="right"/>
            </w:pPr>
            <w:r w:rsidRPr="00C9680B">
              <w:t>2 926</w:t>
            </w:r>
          </w:p>
        </w:tc>
      </w:tr>
      <w:tr w:rsidR="00000000" w:rsidRPr="00C9680B">
        <w:tblPrEx>
          <w:tblCellMar>
            <w:top w:w="0" w:type="dxa"/>
            <w:bottom w:w="0" w:type="dxa"/>
          </w:tblCellMar>
        </w:tblPrEx>
        <w:tc>
          <w:tcPr>
            <w:tcW w:w="2012" w:type="dxa"/>
          </w:tcPr>
          <w:p w:rsidR="001C7BF9" w:rsidRPr="00C9680B" w:rsidRDefault="001C7BF9">
            <w:pPr>
              <w:pStyle w:val="Normaltindrag"/>
              <w:rPr>
                <w:b/>
              </w:rPr>
            </w:pPr>
            <w:r w:rsidRPr="00C9680B">
              <w:rPr>
                <w:b/>
              </w:rPr>
              <w:t>Utgiftsområde 7</w:t>
            </w:r>
          </w:p>
        </w:tc>
        <w:tc>
          <w:tcPr>
            <w:tcW w:w="2012" w:type="dxa"/>
          </w:tcPr>
          <w:p w:rsidR="001C7BF9" w:rsidRPr="00C9680B" w:rsidRDefault="001C7BF9">
            <w:pPr>
              <w:pStyle w:val="Normaltindrag"/>
              <w:ind w:left="-27"/>
              <w:jc w:val="right"/>
            </w:pPr>
            <w:r w:rsidRPr="00C9680B">
              <w:t>15 570</w:t>
            </w:r>
          </w:p>
        </w:tc>
        <w:tc>
          <w:tcPr>
            <w:tcW w:w="2012" w:type="dxa"/>
          </w:tcPr>
          <w:p w:rsidR="001C7BF9" w:rsidRPr="00C9680B" w:rsidRDefault="001C7BF9">
            <w:pPr>
              <w:pStyle w:val="Normaltindrag"/>
              <w:ind w:left="87"/>
              <w:jc w:val="right"/>
            </w:pPr>
            <w:r w:rsidRPr="00C9680B">
              <w:t>18 185</w:t>
            </w:r>
          </w:p>
        </w:tc>
      </w:tr>
    </w:tbl>
    <w:p w:rsidR="001C7BF9" w:rsidRPr="00C9680B" w:rsidRDefault="001C7BF9">
      <w:pPr>
        <w:pStyle w:val="Normaltindrag"/>
      </w:pPr>
    </w:p>
    <w:p w:rsidR="001C7BF9" w:rsidRPr="00C9680B" w:rsidRDefault="001C7BF9">
      <w:r w:rsidRPr="00C9680B">
        <w:t xml:space="preserve">De föreslagna beloppen för budgetåret 2001 är lägre än vad som angavs i den ekonomiska vårpropositionen. Förändringarna avseende </w:t>
      </w:r>
      <w:r w:rsidRPr="00C9680B">
        <w:rPr>
          <w:i/>
        </w:rPr>
        <w:t>utgiftsområde 5</w:t>
      </w:r>
      <w:r w:rsidRPr="00C9680B">
        <w:t xml:space="preserve"> är hänförliga till vissa valutakursförändringar samt en överföring av en central säkerhetsfunktion till utgiftsområde 1 Rikets styrelse. Beträffande </w:t>
      </w:r>
      <w:r w:rsidRPr="00C9680B">
        <w:rPr>
          <w:i/>
        </w:rPr>
        <w:t>utgiftso</w:t>
      </w:r>
      <w:r w:rsidRPr="00C9680B">
        <w:rPr>
          <w:i/>
        </w:rPr>
        <w:t>m</w:t>
      </w:r>
      <w:r w:rsidRPr="00C9680B">
        <w:rPr>
          <w:i/>
        </w:rPr>
        <w:t>råde 7</w:t>
      </w:r>
      <w:r w:rsidRPr="00C9680B">
        <w:t xml:space="preserve"> anförs att BNI-prognosen nedjusterats jämfört med vad som gällde då den ekonomiska vårpropositionen framlades för riksdagen, vilket innebär att förslaget i föreliggande proposition är 34 miljoner kronor lägre, samt att en förändrad asylavräkning, på grund av en beräknad ökning av antalet flyktin</w:t>
      </w:r>
      <w:r w:rsidRPr="00C9680B">
        <w:t>g</w:t>
      </w:r>
      <w:r w:rsidRPr="00C9680B">
        <w:t>ar från västra Balkan, minskar bis</w:t>
      </w:r>
      <w:r w:rsidRPr="00C9680B">
        <w:t>tåndsanslaget med 29 miljoner kronor.</w:t>
      </w:r>
    </w:p>
    <w:p w:rsidR="001C7BF9" w:rsidRPr="00C9680B" w:rsidRDefault="001C7BF9">
      <w:pPr>
        <w:pStyle w:val="Normaltindrag"/>
      </w:pPr>
      <w:r w:rsidRPr="00C9680B">
        <w:t>I enlighet med regeringens vårproposition motsvarar 2001 års biståndsram 0,73 % av BNI. År 2002 ökas den till att motsvara 0,74 % av BNI och 2003 till 0,81 % av BNI. Ramen för utgiftsområdet föreslås uppgå till 14 966 mi</w:t>
      </w:r>
      <w:r w:rsidRPr="00C9680B">
        <w:t>l</w:t>
      </w:r>
      <w:r w:rsidRPr="00C9680B">
        <w:t>joner kronor 2001, varav 14 066 miljoner kronor till Internationellt utvec</w:t>
      </w:r>
      <w:r w:rsidRPr="00C9680B">
        <w:t>k</w:t>
      </w:r>
      <w:r w:rsidRPr="00C9680B">
        <w:t>lingssamarbete och 900 miljoner kronor till Samarbete med Central- och Östeuropa.</w:t>
      </w:r>
    </w:p>
    <w:p w:rsidR="001C7BF9" w:rsidRPr="00C9680B" w:rsidRDefault="001C7BF9">
      <w:pPr>
        <w:pStyle w:val="Normaltindrag"/>
      </w:pPr>
      <w:r w:rsidRPr="00C9680B">
        <w:t>Som ett led i den ekonomiska styrningen föreslås en indelning av den sta</w:t>
      </w:r>
      <w:r w:rsidRPr="00C9680B">
        <w:t>t</w:t>
      </w:r>
      <w:r w:rsidRPr="00C9680B">
        <w:t>liga verksamheten i 47 politikområden. Tre av dessa berör utrikesutskottet, nämligen Utrikes- och säkerhetspolitik, Internationellt utvecklingssamarbete samt Samarbete med Central- och Östeuropa. Det första politikområdet mo</w:t>
      </w:r>
      <w:r w:rsidRPr="00C9680B">
        <w:t>t</w:t>
      </w:r>
      <w:r w:rsidRPr="00C9680B">
        <w:t>svarar utgiftsområde 5, och de två sistnämnda motsvarar sammantagna u</w:t>
      </w:r>
      <w:r w:rsidRPr="00C9680B">
        <w:t>t</w:t>
      </w:r>
      <w:r w:rsidRPr="00C9680B">
        <w:t>giftsområde 7. Avgränsning, mål och politikens inriktning för respektive politikområden beskrivs i propositionen. Av intresse för utskottet är även politikområdet Utrikeshandel, export- och investeringsfrämjande.</w:t>
      </w:r>
    </w:p>
    <w:p w:rsidR="001C7BF9" w:rsidRPr="00C9680B" w:rsidRDefault="001C7BF9">
      <w:pPr>
        <w:pStyle w:val="Normaltindrag"/>
      </w:pPr>
      <w:r w:rsidRPr="00C9680B">
        <w:t>Enl</w:t>
      </w:r>
      <w:r w:rsidRPr="00C9680B">
        <w:t>igt budgetlagen får regeringen, för det ändamål och med högst det b</w:t>
      </w:r>
      <w:r w:rsidRPr="00C9680B">
        <w:t>e</w:t>
      </w:r>
      <w:r w:rsidRPr="00C9680B">
        <w:t>lopp som riksdagen bestämmer, beställa varor eller tjänster samt besluta om bidrag, ersättning, lån eller liknande som medför utgifter även under senare budgetår än det statsbudgeten avser. Regeringen begär bemyndigande i a</w:t>
      </w:r>
      <w:r w:rsidRPr="00C9680B">
        <w:t>n</w:t>
      </w:r>
      <w:r w:rsidRPr="00C9680B">
        <w:t>slagsavsnitten för de anslag som berörs.</w:t>
      </w:r>
    </w:p>
    <w:p w:rsidR="001C7BF9" w:rsidRPr="00C9680B" w:rsidRDefault="001C7BF9">
      <w:pPr>
        <w:pStyle w:val="Normaltindrag"/>
      </w:pPr>
      <w:r w:rsidRPr="00C9680B">
        <w:t>En avvikelse finns även i år mellan beräknade utestående förpliktelser och begärda bemyndiganden på utgiftsområde 7  Internationellt bistånd (detaljr</w:t>
      </w:r>
      <w:r w:rsidRPr="00C9680B">
        <w:t>e</w:t>
      </w:r>
      <w:r w:rsidRPr="00C9680B">
        <w:t>dovisat i tabell i  propositionen s. 205). Denna avvikelse beror på de schabl</w:t>
      </w:r>
      <w:r w:rsidRPr="00C9680B">
        <w:t>o</w:t>
      </w:r>
      <w:r w:rsidRPr="00C9680B">
        <w:t>ner som används i det bilaterala utvecklingssamarbetet. Inför budgetpropos</w:t>
      </w:r>
      <w:r w:rsidRPr="00C9680B">
        <w:t>i</w:t>
      </w:r>
      <w:r w:rsidRPr="00C9680B">
        <w:t>tionen för 2002 bedömer regeringen att bemyndiganderamen kan baseras på de faktiska förpliktelser som beräknas ingå.</w:t>
      </w:r>
    </w:p>
    <w:p w:rsidR="001C7BF9" w:rsidRPr="00C9680B" w:rsidRDefault="001C7BF9">
      <w:pPr>
        <w:pStyle w:val="Rubrik2"/>
      </w:pPr>
      <w:bookmarkStart w:id="1126" w:name="_Toc498838237"/>
      <w:r w:rsidRPr="00C9680B">
        <w:t>Skrivelsen</w:t>
      </w:r>
      <w:bookmarkEnd w:id="1126"/>
    </w:p>
    <w:p w:rsidR="001C7BF9" w:rsidRPr="00C9680B" w:rsidRDefault="001C7BF9">
      <w:r w:rsidRPr="00C9680B">
        <w:t>I skrivelse 1999/2000:150 lämnar regeringen en redogörelse för det ekon</w:t>
      </w:r>
      <w:r w:rsidRPr="00C9680B">
        <w:t>o</w:t>
      </w:r>
      <w:r w:rsidRPr="00C9680B">
        <w:t>miska utfallet i staten för budgetåret 1999. I skrivelsen redovisas och ko</w:t>
      </w:r>
      <w:r w:rsidRPr="00C9680B">
        <w:t>m</w:t>
      </w:r>
      <w:r w:rsidRPr="00C9680B">
        <w:t>menteras också bl.a. Riksrevisionsverkets iakttagelser i rapporter från effekt</w:t>
      </w:r>
      <w:r w:rsidRPr="00C9680B">
        <w:t>i</w:t>
      </w:r>
      <w:r w:rsidRPr="00C9680B">
        <w:t>vitetsrevisionen under året.</w:t>
      </w:r>
    </w:p>
    <w:p w:rsidR="001C7BF9" w:rsidRPr="00C9680B" w:rsidRDefault="001C7BF9">
      <w:pPr>
        <w:pStyle w:val="Rubrik2"/>
      </w:pPr>
      <w:bookmarkStart w:id="1127" w:name="_Toc498838238"/>
      <w:r w:rsidRPr="00C9680B">
        <w:t>Motionerna</w:t>
      </w:r>
      <w:bookmarkEnd w:id="1127"/>
    </w:p>
    <w:p w:rsidR="001C7BF9" w:rsidRPr="00C9680B" w:rsidRDefault="001C7BF9">
      <w:pPr>
        <w:pStyle w:val="Rubrik3"/>
        <w:spacing w:before="123"/>
        <w:rPr>
          <w:noProof w:val="0"/>
        </w:rPr>
      </w:pPr>
      <w:bookmarkStart w:id="1128" w:name="_Toc498838239"/>
      <w:r w:rsidRPr="00C9680B">
        <w:rPr>
          <w:noProof w:val="0"/>
        </w:rPr>
        <w:t>Yrkandena</w:t>
      </w:r>
      <w:bookmarkEnd w:id="1128"/>
    </w:p>
    <w:p w:rsidR="001C7BF9" w:rsidRPr="00C9680B" w:rsidRDefault="001C7BF9">
      <w:r w:rsidRPr="00C9680B">
        <w:t xml:space="preserve">Utrikesutskottet yttrar sig i det följande över motionerna </w:t>
      </w:r>
      <w:r w:rsidRPr="00C9680B">
        <w:rPr>
          <w:i/>
        </w:rPr>
        <w:t>2000/01:Fi208 (m) yrkandena 5</w:t>
      </w:r>
      <w:r w:rsidRPr="00C9680B">
        <w:t xml:space="preserve"> och </w:t>
      </w:r>
      <w:r w:rsidRPr="00C9680B">
        <w:rPr>
          <w:i/>
        </w:rPr>
        <w:t>6 (båda i berörd del)</w:t>
      </w:r>
      <w:r w:rsidRPr="00C9680B">
        <w:t xml:space="preserve">, </w:t>
      </w:r>
      <w:r w:rsidRPr="00C9680B">
        <w:rPr>
          <w:i/>
        </w:rPr>
        <w:t>2000/01:Fi209 (kd) yrkandena 6</w:t>
      </w:r>
      <w:r w:rsidRPr="00C9680B">
        <w:t xml:space="preserve"> och </w:t>
      </w:r>
      <w:r w:rsidRPr="00C9680B">
        <w:rPr>
          <w:i/>
        </w:rPr>
        <w:t>7 (båda i berörd del)</w:t>
      </w:r>
      <w:r w:rsidRPr="00C9680B">
        <w:t xml:space="preserve">, </w:t>
      </w:r>
      <w:r w:rsidRPr="00C9680B">
        <w:rPr>
          <w:i/>
        </w:rPr>
        <w:t>2000/01:Fi210 (c) yrkandena 4</w:t>
      </w:r>
      <w:r w:rsidRPr="00C9680B">
        <w:t xml:space="preserve"> och </w:t>
      </w:r>
      <w:r w:rsidRPr="00C9680B">
        <w:rPr>
          <w:i/>
        </w:rPr>
        <w:t>5 (båda i berörd del)</w:t>
      </w:r>
      <w:r w:rsidRPr="00C9680B">
        <w:t xml:space="preserve"> samt </w:t>
      </w:r>
      <w:r w:rsidRPr="00C9680B">
        <w:rPr>
          <w:i/>
        </w:rPr>
        <w:t>2000/01:Fi211 (fp) yrkandena 6–8 (alla i berörd del)</w:t>
      </w:r>
      <w:r w:rsidRPr="00C9680B">
        <w:t>.</w:t>
      </w:r>
    </w:p>
    <w:p w:rsidR="001C7BF9" w:rsidRPr="00C9680B" w:rsidRDefault="001C7BF9">
      <w:pPr>
        <w:pStyle w:val="Rubrik3"/>
        <w:rPr>
          <w:noProof w:val="0"/>
        </w:rPr>
      </w:pPr>
      <w:bookmarkStart w:id="1129" w:name="_Toc498838240"/>
      <w:r w:rsidRPr="00C9680B">
        <w:rPr>
          <w:noProof w:val="0"/>
        </w:rPr>
        <w:t>Sammanfattning av motionerna</w:t>
      </w:r>
      <w:bookmarkEnd w:id="1129"/>
    </w:p>
    <w:p w:rsidR="001C7BF9" w:rsidRPr="00C9680B" w:rsidRDefault="001C7BF9">
      <w:r w:rsidRPr="00C9680B">
        <w:t xml:space="preserve">Moderaternas förslag i partimotion </w:t>
      </w:r>
      <w:r w:rsidRPr="00C9680B">
        <w:rPr>
          <w:i/>
        </w:rPr>
        <w:t>Fi208 (m)</w:t>
      </w:r>
      <w:r w:rsidRPr="00C9680B">
        <w:t xml:space="preserve"> till fördelning av utgifterna för budgetåret 2001 </w:t>
      </w:r>
      <w:r w:rsidRPr="00C9680B">
        <w:rPr>
          <w:i/>
        </w:rPr>
        <w:t>(yrkande 5)</w:t>
      </w:r>
      <w:r w:rsidRPr="00C9680B">
        <w:t xml:space="preserve"> och till den preliminära fördelningen av utgifte</w:t>
      </w:r>
      <w:r w:rsidRPr="00C9680B">
        <w:t>r</w:t>
      </w:r>
      <w:r w:rsidRPr="00C9680B">
        <w:t xml:space="preserve">na på utgiftsområden för åren 2002 och 2003 </w:t>
      </w:r>
      <w:r w:rsidRPr="00C9680B">
        <w:rPr>
          <w:i/>
        </w:rPr>
        <w:t>(yrkande 6)</w:t>
      </w:r>
      <w:r w:rsidRPr="00C9680B">
        <w:t xml:space="preserve"> framgår, i de delar som berör utrikesutskottets beredningsområde, av tabellerna i bilagan till detta yttrande.</w:t>
      </w:r>
    </w:p>
    <w:p w:rsidR="001C7BF9" w:rsidRPr="00C9680B" w:rsidRDefault="001C7BF9">
      <w:pPr>
        <w:pStyle w:val="Normaltindrag"/>
      </w:pPr>
      <w:r w:rsidRPr="00C9680B">
        <w:t xml:space="preserve">Vad gäller </w:t>
      </w:r>
      <w:r w:rsidRPr="00C9680B">
        <w:rPr>
          <w:i/>
        </w:rPr>
        <w:t xml:space="preserve">utgiftsområde 5 </w:t>
      </w:r>
      <w:r w:rsidRPr="00C9680B">
        <w:t>förespråkar moderaterna svensk diplomatisk närvaro i princip i hela Europa och Medelhavsområdet samt i de utomeur</w:t>
      </w:r>
      <w:r w:rsidRPr="00C9680B">
        <w:t>o</w:t>
      </w:r>
      <w:r w:rsidRPr="00C9680B">
        <w:t>peiska industriländerna. Den besvärliga situationen för mänskliga rättigheter och demokrati i Vitryssland motiverar upprättandet av en svensk utlandsmy</w:t>
      </w:r>
      <w:r w:rsidRPr="00C9680B">
        <w:t>n</w:t>
      </w:r>
      <w:r w:rsidRPr="00C9680B">
        <w:t>dighet i Minsk. Mot denna bakgrund föreslås att anslaget till utrikesförval</w:t>
      </w:r>
      <w:r w:rsidRPr="00C9680B">
        <w:t>t</w:t>
      </w:r>
      <w:r w:rsidRPr="00C9680B">
        <w:t>ningen förstärks med 50 miljoner kronor. Speciellt för budgetåret 2001 för</w:t>
      </w:r>
      <w:r w:rsidRPr="00C9680B">
        <w:t>e</w:t>
      </w:r>
      <w:r w:rsidRPr="00C9680B">
        <w:t>slås därutöver en förstärkning med 20 miljoner kronor med anledning av Sveriges</w:t>
      </w:r>
      <w:r w:rsidRPr="00C9680B">
        <w:t xml:space="preserve"> ordförandeskap i EU.</w:t>
      </w:r>
    </w:p>
    <w:p w:rsidR="001C7BF9" w:rsidRPr="00C9680B" w:rsidRDefault="001C7BF9">
      <w:pPr>
        <w:pStyle w:val="Normaltindrag"/>
      </w:pPr>
      <w:r w:rsidRPr="00C9680B">
        <w:t xml:space="preserve">I motivtexten till moderaternas förslag till utgiftsram för </w:t>
      </w:r>
      <w:r w:rsidRPr="00C9680B">
        <w:rPr>
          <w:i/>
        </w:rPr>
        <w:t>utgiftsområde 7</w:t>
      </w:r>
      <w:r w:rsidRPr="00C9680B">
        <w:t xml:space="preserve"> anförs att insatser i tredje världen bör inriktas på att effektivt utrota fattigd</w:t>
      </w:r>
      <w:r w:rsidRPr="00C9680B">
        <w:t>o</w:t>
      </w:r>
      <w:r w:rsidRPr="00C9680B">
        <w:t>men. Frihandel, fri företagsamhet och respekt för mänskliga rättigheter är förutsättningar för fattigdomsutrotningen i världen. Vidare förespråkas att en kraftfull satsning på en ansvarsfull skuldsanering för utvecklingsorienterade regimer i Afrika skall genomföras.</w:t>
      </w:r>
    </w:p>
    <w:p w:rsidR="001C7BF9" w:rsidRPr="00C9680B" w:rsidRDefault="001C7BF9">
      <w:pPr>
        <w:pStyle w:val="Normaltindrag"/>
      </w:pPr>
      <w:r w:rsidRPr="00C9680B">
        <w:t>Anslaget för internationell fredsbevarande verksamhet (den del som o</w:t>
      </w:r>
      <w:r w:rsidRPr="00C9680B">
        <w:t>m</w:t>
      </w:r>
      <w:r w:rsidRPr="00C9680B">
        <w:t xml:space="preserve">fattar kostnaderna vid insats) bör, i enlighet med tidigare moderata förslag, ligga utanför </w:t>
      </w:r>
      <w:r w:rsidRPr="00C9680B">
        <w:rPr>
          <w:i/>
        </w:rPr>
        <w:t>utgiftsområde 6</w:t>
      </w:r>
      <w:r w:rsidRPr="00C9680B">
        <w:t xml:space="preserve">. I stället bör det inom </w:t>
      </w:r>
      <w:r w:rsidRPr="00C9680B">
        <w:rPr>
          <w:i/>
        </w:rPr>
        <w:t>utgiftsområde 7</w:t>
      </w:r>
      <w:r w:rsidRPr="00C9680B">
        <w:t xml:space="preserve"> skapas en samlad post för Sveriges fredsbevarande verksamhet.</w:t>
      </w:r>
    </w:p>
    <w:p w:rsidR="001C7BF9" w:rsidRPr="00C9680B" w:rsidRDefault="001C7BF9">
      <w:pPr>
        <w:pStyle w:val="Normaltindrag"/>
      </w:pPr>
      <w:r w:rsidRPr="00C9680B">
        <w:t>Den s.k. Östersjömiljarden bör upplösas och medlen tillföras det ordinarie anslaget för samarbete med Central- och Östeuropa.</w:t>
      </w:r>
    </w:p>
    <w:p w:rsidR="001C7BF9" w:rsidRPr="00C9680B" w:rsidRDefault="001C7BF9">
      <w:r w:rsidRPr="00C9680B">
        <w:t xml:space="preserve">Kristdemokraternas förslag i partimotion </w:t>
      </w:r>
      <w:r w:rsidRPr="00C9680B">
        <w:rPr>
          <w:i/>
        </w:rPr>
        <w:t>Fi209 (kd)</w:t>
      </w:r>
      <w:r w:rsidRPr="00C9680B">
        <w:t xml:space="preserve"> till fördelning av utgi</w:t>
      </w:r>
      <w:r w:rsidRPr="00C9680B">
        <w:t>f</w:t>
      </w:r>
      <w:r w:rsidRPr="00C9680B">
        <w:t xml:space="preserve">terna för budgetåret 2001 </w:t>
      </w:r>
      <w:r w:rsidRPr="00C9680B">
        <w:rPr>
          <w:i/>
        </w:rPr>
        <w:t>(yrkande 6)</w:t>
      </w:r>
      <w:r w:rsidRPr="00C9680B">
        <w:t xml:space="preserve"> och till den preliminära fördelningen av utgifterna på utgiftsområden för åren 2002 och 2003 </w:t>
      </w:r>
      <w:r w:rsidRPr="00C9680B">
        <w:rPr>
          <w:i/>
        </w:rPr>
        <w:t>(yrkande 7)</w:t>
      </w:r>
      <w:r w:rsidRPr="00C9680B">
        <w:t xml:space="preserve"> framgår, i de delar som berör utrikesutskottets beredningsområde, av tabellerna i bilagan till detta yttrande.</w:t>
      </w:r>
    </w:p>
    <w:p w:rsidR="001C7BF9" w:rsidRPr="00C9680B" w:rsidRDefault="001C7BF9">
      <w:pPr>
        <w:pStyle w:val="Normaltindrag"/>
      </w:pPr>
      <w:r w:rsidRPr="00C9680B">
        <w:t xml:space="preserve">I motionen föreslås inga förändringar som sammantaget påverkar ramen för </w:t>
      </w:r>
      <w:r w:rsidRPr="00C9680B">
        <w:rPr>
          <w:i/>
        </w:rPr>
        <w:t>utgiftsområde 5</w:t>
      </w:r>
      <w:r w:rsidRPr="00C9680B">
        <w:t>.</w:t>
      </w:r>
    </w:p>
    <w:p w:rsidR="001C7BF9" w:rsidRPr="00C9680B" w:rsidRDefault="001C7BF9">
      <w:pPr>
        <w:pStyle w:val="Normaltindrag"/>
      </w:pPr>
      <w:r w:rsidRPr="00C9680B">
        <w:t xml:space="preserve">Kristdemokraterna anför att drastiskt ökade ambitioner inom </w:t>
      </w:r>
      <w:r w:rsidRPr="00C9680B">
        <w:rPr>
          <w:i/>
        </w:rPr>
        <w:t>utgiftsområde 7</w:t>
      </w:r>
      <w:r w:rsidRPr="00C9680B">
        <w:t xml:space="preserve"> är nödvändiga bl.a. avseende det humanitära biståndet, globala miljöprojekt, MR och demokrati, säkerhetsfrämjande, fattigdomsbekämpning (skuld- a</w:t>
      </w:r>
      <w:r w:rsidRPr="00C9680B">
        <w:t>v</w:t>
      </w:r>
      <w:r w:rsidRPr="00C9680B">
        <w:t>skrivningar m.m.) samt hälsoforskning. Partiet föreslår en femårsplan för att komma upp till enprocentsnivån i biståndet och framhåller att förslagen i motionen innebär att nivån 0,9 % nås år 2003.</w:t>
      </w:r>
    </w:p>
    <w:p w:rsidR="001C7BF9" w:rsidRPr="00C9680B" w:rsidRDefault="001C7BF9">
      <w:pPr>
        <w:pStyle w:val="Normaltindrag"/>
      </w:pPr>
      <w:r w:rsidRPr="00C9680B">
        <w:t>I motionen noteras att samtidigt som tidigare reservationer återförs föreslås i propositionen nya utgiftstak som drabbar biståndet hårt.</w:t>
      </w:r>
    </w:p>
    <w:p w:rsidR="001C7BF9" w:rsidRPr="00C9680B" w:rsidRDefault="001C7BF9">
      <w:r w:rsidRPr="00C9680B">
        <w:t xml:space="preserve">Centerpartiets förslag i partimotion </w:t>
      </w:r>
      <w:r w:rsidRPr="00C9680B">
        <w:rPr>
          <w:i/>
        </w:rPr>
        <w:t>Fi210 (c)</w:t>
      </w:r>
      <w:r w:rsidRPr="00C9680B">
        <w:t xml:space="preserve"> till fördelning av utgifterna för budgetåret 2001 </w:t>
      </w:r>
      <w:r w:rsidRPr="00C9680B">
        <w:rPr>
          <w:i/>
        </w:rPr>
        <w:t>(yrkande 4)</w:t>
      </w:r>
      <w:r w:rsidRPr="00C9680B">
        <w:t xml:space="preserve"> och till den preliminära fördelningen av utgifte</w:t>
      </w:r>
      <w:r w:rsidRPr="00C9680B">
        <w:t>r</w:t>
      </w:r>
      <w:r w:rsidRPr="00C9680B">
        <w:t xml:space="preserve">na på utgiftsområden för åren 2002 och 2003 </w:t>
      </w:r>
      <w:r w:rsidRPr="00C9680B">
        <w:rPr>
          <w:i/>
        </w:rPr>
        <w:t>(yrkande 5)</w:t>
      </w:r>
      <w:r w:rsidRPr="00C9680B">
        <w:t xml:space="preserve"> framgår, i de delar som berör utrikesutskottets beredningsområde, av tabellerna i bilagan till detta yttrande.</w:t>
      </w:r>
    </w:p>
    <w:p w:rsidR="001C7BF9" w:rsidRPr="00C9680B" w:rsidRDefault="001C7BF9">
      <w:pPr>
        <w:pStyle w:val="Normaltindrag"/>
      </w:pPr>
      <w:r w:rsidRPr="00C9680B">
        <w:t xml:space="preserve">Förslagen beträffande utgiftsram för </w:t>
      </w:r>
      <w:r w:rsidRPr="00C9680B">
        <w:rPr>
          <w:i/>
        </w:rPr>
        <w:t>utgiftsområde 5</w:t>
      </w:r>
      <w:r w:rsidRPr="00C9680B">
        <w:t xml:space="preserve"> överensstämmer med propositionens förslag.</w:t>
      </w:r>
    </w:p>
    <w:p w:rsidR="001C7BF9" w:rsidRPr="00C9680B" w:rsidRDefault="001C7BF9">
      <w:pPr>
        <w:pStyle w:val="Normaltindrag"/>
      </w:pPr>
      <w:r w:rsidRPr="00C9680B">
        <w:t xml:space="preserve">I motionen förespråkas, vad avser </w:t>
      </w:r>
      <w:r w:rsidRPr="00C9680B">
        <w:rPr>
          <w:i/>
        </w:rPr>
        <w:t>utgiftsområde 7</w:t>
      </w:r>
      <w:r w:rsidRPr="00C9680B">
        <w:t xml:space="preserve"> bl.a. reformer inom o</w:t>
      </w:r>
      <w:r w:rsidRPr="00C9680B">
        <w:t>m</w:t>
      </w:r>
      <w:r w:rsidRPr="00C9680B">
        <w:t>rådet internationell rättvisa med innebörden att biståndet skall ökas och att insatser för globalt milj</w:t>
      </w:r>
      <w:r w:rsidRPr="00C9680B">
        <w:t>ö</w:t>
      </w:r>
      <w:r w:rsidRPr="00C9680B">
        <w:t>ansvar skall göras.</w:t>
      </w:r>
    </w:p>
    <w:p w:rsidR="001C7BF9" w:rsidRPr="00C9680B" w:rsidRDefault="001C7BF9">
      <w:pPr>
        <w:pStyle w:val="Normaltindrag"/>
      </w:pPr>
      <w:r w:rsidRPr="00C9680B">
        <w:t>Biståndspolitiken skall, enligt Centern, ges en sådan strukturell inriktning att människorna i mottagarländerna ges ökade förutsättningar att långsiktigt kunna lösa fattigdomsproblemen. Biståndsmålet på en procent av BNI skall återupprättas i en snabbare och jämnare takt än vad som nu sker.</w:t>
      </w:r>
    </w:p>
    <w:p w:rsidR="001C7BF9" w:rsidRPr="00C9680B" w:rsidRDefault="001C7BF9">
      <w:pPr>
        <w:pStyle w:val="Normaltindrag"/>
      </w:pPr>
      <w:r w:rsidRPr="00C9680B">
        <w:t>I motionen anförs att många av dagens miljöproblem är globala och att detta ställer nya krav på internationellt samarbete; för Sveriges del främst i Norden och EU. Centerpartiet vill nyttja den flexibla integrationen i EU för att bilda en nordisk miljöunion.</w:t>
      </w:r>
    </w:p>
    <w:p w:rsidR="001C7BF9" w:rsidRPr="00C9680B" w:rsidRDefault="001C7BF9">
      <w:r w:rsidRPr="00C9680B">
        <w:t xml:space="preserve">Folkpartiets förslag i partimotion </w:t>
      </w:r>
      <w:r w:rsidRPr="00C9680B">
        <w:rPr>
          <w:i/>
        </w:rPr>
        <w:t>Fi211 (fp)</w:t>
      </w:r>
      <w:r w:rsidRPr="00C9680B">
        <w:t xml:space="preserve"> till fördelning av utgifterna li</w:t>
      </w:r>
      <w:r w:rsidRPr="00C9680B">
        <w:t>k</w:t>
      </w:r>
      <w:r w:rsidRPr="00C9680B">
        <w:t xml:space="preserve">som beräkningen av förändringar av anslagsbehållningar för budgetåret 2001 </w:t>
      </w:r>
      <w:r w:rsidRPr="00C9680B">
        <w:rPr>
          <w:i/>
        </w:rPr>
        <w:t>(yrkandena 6–7)</w:t>
      </w:r>
      <w:r w:rsidRPr="00C9680B">
        <w:t xml:space="preserve"> och till den preliminära fördelningen av utgifterna på u</w:t>
      </w:r>
      <w:r w:rsidRPr="00C9680B">
        <w:t>t</w:t>
      </w:r>
      <w:r w:rsidRPr="00C9680B">
        <w:t xml:space="preserve">giftsområden för åren 2002 och 2003 </w:t>
      </w:r>
      <w:r w:rsidRPr="00C9680B">
        <w:rPr>
          <w:i/>
        </w:rPr>
        <w:t>(yrkande 8)</w:t>
      </w:r>
      <w:r w:rsidRPr="00C9680B">
        <w:t xml:space="preserve"> framgår, i de delar som berör utrikesutskottets beredningsområde, av tabellerna i bilagan till detta yttrande.</w:t>
      </w:r>
    </w:p>
    <w:p w:rsidR="001C7BF9" w:rsidRPr="00C9680B" w:rsidRDefault="001C7BF9">
      <w:pPr>
        <w:pStyle w:val="Normaltindrag"/>
      </w:pPr>
      <w:r w:rsidRPr="00C9680B">
        <w:t xml:space="preserve">Förslagen beträffande utgiftsram för </w:t>
      </w:r>
      <w:r w:rsidRPr="00C9680B">
        <w:rPr>
          <w:i/>
        </w:rPr>
        <w:t>utgiftsområde 5</w:t>
      </w:r>
      <w:r w:rsidRPr="00C9680B">
        <w:t xml:space="preserve"> överensstämmer med propositionens förslag.</w:t>
      </w:r>
    </w:p>
    <w:p w:rsidR="001C7BF9" w:rsidRPr="00C9680B" w:rsidRDefault="001C7BF9">
      <w:pPr>
        <w:pStyle w:val="Normaltindrag"/>
      </w:pPr>
      <w:r w:rsidRPr="00C9680B">
        <w:t>I motionen förespråkas ett program för ökat ekonomiskt välstånd och minskad fattigdom, som bör innehålla fortsatt frihandel, borttagande av ha</w:t>
      </w:r>
      <w:r w:rsidRPr="00C9680B">
        <w:t>n</w:t>
      </w:r>
      <w:r w:rsidRPr="00C9680B">
        <w:t>delshinder i de utvecklade ländernas ekonomier för u-ländernas produkter, bistånd till de fattigaste länderna, skuldsanering och öppenhet på det finans</w:t>
      </w:r>
      <w:r w:rsidRPr="00C9680B">
        <w:t>i</w:t>
      </w:r>
      <w:r w:rsidRPr="00C9680B">
        <w:t xml:space="preserve">ella området. Den biståndsram som Folkpartiet föreslår inom </w:t>
      </w:r>
      <w:r w:rsidRPr="00C9680B">
        <w:rPr>
          <w:i/>
        </w:rPr>
        <w:t>utgiftsområde 7</w:t>
      </w:r>
      <w:r w:rsidRPr="00C9680B">
        <w:t xml:space="preserve"> motsvarar under budgetåret 2001 0,81 % av BNI. För åren 2002 och 2003 är motsvarande tal 0,85 respektive 0,88 % av BNI. Avsikten är att enprocent</w:t>
      </w:r>
      <w:r w:rsidRPr="00C9680B">
        <w:t>s</w:t>
      </w:r>
      <w:r w:rsidRPr="00C9680B">
        <w:t>målet skall uppnås inom en femårsperiod.</w:t>
      </w:r>
    </w:p>
    <w:p w:rsidR="001C7BF9" w:rsidRPr="00C9680B" w:rsidRDefault="001C7BF9">
      <w:pPr>
        <w:pStyle w:val="Rubrik2"/>
      </w:pPr>
      <w:bookmarkStart w:id="1130" w:name="_Toc498838241"/>
      <w:r w:rsidRPr="00C9680B">
        <w:t>Utskottets överväganden</w:t>
      </w:r>
      <w:bookmarkEnd w:id="1130"/>
    </w:p>
    <w:p w:rsidR="001C7BF9" w:rsidRPr="00C9680B" w:rsidRDefault="001C7BF9">
      <w:pPr>
        <w:pStyle w:val="Brdtext2"/>
      </w:pPr>
      <w:r w:rsidRPr="00C9680B">
        <w:t>De offentliga finanserna har förbättrats. Budgetsaneringen och den förstärkning av statsfinanserna som den har lett till möjliggör, enligt utskottets bedömning, att en ökad satsning på utgiftsområdena 5 Utrikesförvaltning och internationell samverkan samt 7 Internationellt bistånd kan göras under den här aktuella tr</w:t>
      </w:r>
      <w:r w:rsidRPr="00C9680B">
        <w:t>e</w:t>
      </w:r>
      <w:r w:rsidRPr="00C9680B">
        <w:t>årsperioden. De av regeringen föreslagna ökningarna är väl motiverade.</w:t>
      </w:r>
    </w:p>
    <w:p w:rsidR="001C7BF9" w:rsidRPr="00C9680B" w:rsidRDefault="001C7BF9">
      <w:pPr>
        <w:pStyle w:val="Rubrik3"/>
        <w:rPr>
          <w:noProof w:val="0"/>
        </w:rPr>
      </w:pPr>
      <w:bookmarkStart w:id="1131" w:name="_Toc465764670"/>
      <w:bookmarkStart w:id="1132" w:name="_Toc498838242"/>
      <w:r w:rsidRPr="00C9680B">
        <w:rPr>
          <w:noProof w:val="0"/>
        </w:rPr>
        <w:t>Anslagens fördelning mellan utgiftsområdena m.m.</w:t>
      </w:r>
      <w:bookmarkEnd w:id="1131"/>
      <w:bookmarkEnd w:id="1132"/>
    </w:p>
    <w:p w:rsidR="001C7BF9" w:rsidRPr="00C9680B" w:rsidRDefault="001C7BF9">
      <w:r w:rsidRPr="00C9680B">
        <w:t xml:space="preserve">Moderaterna anför i sin partimotion </w:t>
      </w:r>
      <w:r w:rsidRPr="00C9680B">
        <w:rPr>
          <w:i/>
        </w:rPr>
        <w:t xml:space="preserve">Fi208 (m) yrkandena 5 </w:t>
      </w:r>
      <w:r w:rsidRPr="00C9680B">
        <w:t>och</w:t>
      </w:r>
      <w:r w:rsidRPr="00C9680B">
        <w:rPr>
          <w:i/>
        </w:rPr>
        <w:t xml:space="preserve"> 6 (båda delvis)</w:t>
      </w:r>
      <w:r w:rsidRPr="00C9680B">
        <w:t xml:space="preserve"> bl.a. att anslaget för internationell fredsbevarande verksamhet (den del som omfattar kostnaderna vid insats) bör ligga utanför </w:t>
      </w:r>
      <w:r w:rsidRPr="00C9680B">
        <w:rPr>
          <w:i/>
        </w:rPr>
        <w:t>utgiftsområde 6</w:t>
      </w:r>
      <w:r w:rsidRPr="00C9680B">
        <w:t xml:space="preserve">.   I stället bör det inom </w:t>
      </w:r>
      <w:r w:rsidRPr="00C9680B">
        <w:rPr>
          <w:i/>
        </w:rPr>
        <w:t>utgiftsområde 7</w:t>
      </w:r>
      <w:r w:rsidRPr="00C9680B">
        <w:t xml:space="preserve"> skapas en samlad post för Sveriges fred</w:t>
      </w:r>
      <w:r w:rsidRPr="00C9680B">
        <w:t>s</w:t>
      </w:r>
      <w:r w:rsidRPr="00C9680B">
        <w:t>bevarande verksamhet. Vidare föreslås att den s.k. Östersjömiljarden upplöses och att medlen tillförs det ordinarie anslaget för samarbete med Central- och Östeuropa.</w:t>
      </w:r>
    </w:p>
    <w:p w:rsidR="001C7BF9" w:rsidRPr="00C9680B" w:rsidRDefault="001C7BF9">
      <w:r w:rsidRPr="00C9680B">
        <w:t>Utskottet har tidigare behandlat motionsyrkanden med denna innebörd och därvi</w:t>
      </w:r>
      <w:r w:rsidRPr="00C9680B">
        <w:t xml:space="preserve">d kommit fram till att nuvarande ordning är ändamålsenlig och att någon förändring i den av motionärerna förespråkade riktningen ej bör genomföras. Denna bedömning kvarstår. Enligt utskottets mening bör därför motion </w:t>
      </w:r>
      <w:r w:rsidRPr="00C9680B">
        <w:rPr>
          <w:i/>
        </w:rPr>
        <w:t>Fi208 (m) yrkandena 5</w:t>
      </w:r>
      <w:r w:rsidRPr="00C9680B">
        <w:t xml:space="preserve"> och </w:t>
      </w:r>
      <w:r w:rsidRPr="00C9680B">
        <w:rPr>
          <w:i/>
        </w:rPr>
        <w:t>6 (båda delvis)</w:t>
      </w:r>
      <w:r w:rsidRPr="00C9680B">
        <w:rPr>
          <w:b/>
        </w:rPr>
        <w:t xml:space="preserve"> </w:t>
      </w:r>
      <w:r w:rsidRPr="00C9680B">
        <w:t xml:space="preserve">avstyrkas i här berörd del. </w:t>
      </w:r>
    </w:p>
    <w:p w:rsidR="001C7BF9" w:rsidRPr="00C9680B" w:rsidRDefault="001C7BF9">
      <w:pPr>
        <w:pStyle w:val="Rubrik3"/>
        <w:rPr>
          <w:noProof w:val="0"/>
        </w:rPr>
      </w:pPr>
      <w:bookmarkStart w:id="1133" w:name="_Toc465764671"/>
      <w:bookmarkStart w:id="1134" w:name="_Toc498838243"/>
      <w:r w:rsidRPr="00C9680B">
        <w:rPr>
          <w:noProof w:val="0"/>
        </w:rPr>
        <w:t>Utgiftsområde 5</w:t>
      </w:r>
      <w:bookmarkEnd w:id="1133"/>
      <w:bookmarkEnd w:id="1134"/>
    </w:p>
    <w:p w:rsidR="001C7BF9" w:rsidRPr="00C9680B" w:rsidRDefault="001C7BF9">
      <w:r w:rsidRPr="00C9680B">
        <w:t xml:space="preserve">Utskottet anser att regeringens förslag avseende utgiftsområde 5 </w:t>
      </w:r>
      <w:r w:rsidRPr="00C9680B">
        <w:rPr>
          <w:i/>
        </w:rPr>
        <w:t>(propositi</w:t>
      </w:r>
      <w:r w:rsidRPr="00C9680B">
        <w:rPr>
          <w:i/>
        </w:rPr>
        <w:t>o</w:t>
      </w:r>
      <w:r w:rsidRPr="00C9680B">
        <w:rPr>
          <w:i/>
        </w:rPr>
        <w:t xml:space="preserve">nens yrkanden 8 </w:t>
      </w:r>
      <w:r w:rsidRPr="00C9680B">
        <w:t>och</w:t>
      </w:r>
      <w:r w:rsidRPr="00C9680B">
        <w:rPr>
          <w:i/>
        </w:rPr>
        <w:t xml:space="preserve"> 10 [båda delvis])</w:t>
      </w:r>
      <w:r w:rsidRPr="00C9680B">
        <w:t xml:space="preserve"> är väl avvägt, varför det bör tillstyrkas. I konsekvens härmed bör förslagen i motion </w:t>
      </w:r>
      <w:r w:rsidRPr="00C9680B">
        <w:rPr>
          <w:i/>
        </w:rPr>
        <w:t xml:space="preserve">Fi208 (m) yrkandena 5 </w:t>
      </w:r>
      <w:r w:rsidRPr="00C9680B">
        <w:t>och</w:t>
      </w:r>
      <w:r w:rsidRPr="00C9680B">
        <w:rPr>
          <w:i/>
        </w:rPr>
        <w:t xml:space="preserve"> 6 (båda delvis) </w:t>
      </w:r>
      <w:r w:rsidRPr="00C9680B">
        <w:t>avstyrkas vad avser såväl budgetåret 2001 som budgetåren 2002 och 2003.</w:t>
      </w:r>
    </w:p>
    <w:p w:rsidR="001C7BF9" w:rsidRPr="00C9680B" w:rsidRDefault="001C7BF9">
      <w:r w:rsidRPr="00C9680B">
        <w:t xml:space="preserve">Förslagen i motionerna </w:t>
      </w:r>
      <w:r w:rsidRPr="00C9680B">
        <w:rPr>
          <w:i/>
        </w:rPr>
        <w:t xml:space="preserve">2000/01:Fi209 (kd) yrkandena 6 </w:t>
      </w:r>
      <w:r w:rsidRPr="00C9680B">
        <w:t>och</w:t>
      </w:r>
      <w:r w:rsidRPr="00C9680B">
        <w:rPr>
          <w:i/>
        </w:rPr>
        <w:t xml:space="preserve"> 7 (båda i berörd del), 2000/01:Fi210 (c) yrkandena 4 </w:t>
      </w:r>
      <w:r w:rsidRPr="00C9680B">
        <w:t>och</w:t>
      </w:r>
      <w:r w:rsidRPr="00C9680B">
        <w:rPr>
          <w:i/>
        </w:rPr>
        <w:t xml:space="preserve"> 5 (båda i berörd del)</w:t>
      </w:r>
      <w:r w:rsidRPr="00C9680B">
        <w:t xml:space="preserve"> samt </w:t>
      </w:r>
      <w:r w:rsidRPr="00C9680B">
        <w:rPr>
          <w:i/>
        </w:rPr>
        <w:t>2000/01:Fi211 (fp) yrkandena 6</w:t>
      </w:r>
      <w:r w:rsidRPr="00C9680B">
        <w:t xml:space="preserve"> och </w:t>
      </w:r>
      <w:r w:rsidRPr="00C9680B">
        <w:rPr>
          <w:i/>
        </w:rPr>
        <w:t>8 (båda i berörd del)</w:t>
      </w:r>
      <w:r w:rsidRPr="00C9680B">
        <w:t xml:space="preserve"> avviker beträffande utgiftsområde 5 inte från regeringens.</w:t>
      </w:r>
    </w:p>
    <w:p w:rsidR="001C7BF9" w:rsidRPr="00C9680B" w:rsidRDefault="001C7BF9">
      <w:pPr>
        <w:pStyle w:val="Rubrik3"/>
        <w:rPr>
          <w:noProof w:val="0"/>
        </w:rPr>
      </w:pPr>
      <w:bookmarkStart w:id="1135" w:name="_Toc465764672"/>
      <w:bookmarkStart w:id="1136" w:name="_Toc498838244"/>
      <w:r w:rsidRPr="00C9680B">
        <w:rPr>
          <w:noProof w:val="0"/>
        </w:rPr>
        <w:t>Utgiftsområde 7</w:t>
      </w:r>
      <w:bookmarkEnd w:id="1135"/>
      <w:bookmarkEnd w:id="1136"/>
    </w:p>
    <w:p w:rsidR="001C7BF9" w:rsidRPr="00C9680B" w:rsidRDefault="001C7BF9">
      <w:r w:rsidRPr="00C9680B">
        <w:t xml:space="preserve">Utskottet anser att regeringens förslag avseende utgiftsområde 7 </w:t>
      </w:r>
      <w:r w:rsidRPr="00C9680B">
        <w:rPr>
          <w:i/>
        </w:rPr>
        <w:t>(propositi</w:t>
      </w:r>
      <w:r w:rsidRPr="00C9680B">
        <w:rPr>
          <w:i/>
        </w:rPr>
        <w:t>o</w:t>
      </w:r>
      <w:r w:rsidRPr="00C9680B">
        <w:rPr>
          <w:i/>
        </w:rPr>
        <w:t xml:space="preserve">nens yrkanden 8 </w:t>
      </w:r>
      <w:r w:rsidRPr="00C9680B">
        <w:t>och</w:t>
      </w:r>
      <w:r w:rsidRPr="00C9680B">
        <w:rPr>
          <w:i/>
        </w:rPr>
        <w:t xml:space="preserve"> 10 [båda delvis])</w:t>
      </w:r>
      <w:r w:rsidRPr="00C9680B">
        <w:t xml:space="preserve"> är väl avvägt, varför det bör tillstyrkas. I konsekvens härmed bör förslagen i motionerna </w:t>
      </w:r>
      <w:r w:rsidRPr="00C9680B">
        <w:rPr>
          <w:i/>
        </w:rPr>
        <w:t>2000/01:Fi208 (m) yrkand</w:t>
      </w:r>
      <w:r w:rsidRPr="00C9680B">
        <w:rPr>
          <w:i/>
        </w:rPr>
        <w:t>e</w:t>
      </w:r>
      <w:r w:rsidRPr="00C9680B">
        <w:rPr>
          <w:i/>
        </w:rPr>
        <w:t>na 5</w:t>
      </w:r>
      <w:r w:rsidRPr="00C9680B">
        <w:t xml:space="preserve"> och </w:t>
      </w:r>
      <w:r w:rsidRPr="00C9680B">
        <w:rPr>
          <w:i/>
        </w:rPr>
        <w:t>6 (båda i berörd del)</w:t>
      </w:r>
      <w:r w:rsidRPr="00C9680B">
        <w:t xml:space="preserve">, </w:t>
      </w:r>
      <w:r w:rsidRPr="00C9680B">
        <w:rPr>
          <w:i/>
        </w:rPr>
        <w:t>2000/01:Fi209 (kd) yrkandena 6</w:t>
      </w:r>
      <w:r w:rsidRPr="00C9680B">
        <w:t xml:space="preserve"> och </w:t>
      </w:r>
      <w:r w:rsidRPr="00C9680B">
        <w:rPr>
          <w:i/>
        </w:rPr>
        <w:t>7 (båda i berörd del)</w:t>
      </w:r>
      <w:r w:rsidRPr="00C9680B">
        <w:t xml:space="preserve">, </w:t>
      </w:r>
      <w:r w:rsidRPr="00C9680B">
        <w:rPr>
          <w:i/>
        </w:rPr>
        <w:t>2000/01:Fi210 (c) yrkandena 4</w:t>
      </w:r>
      <w:r w:rsidRPr="00C9680B">
        <w:t xml:space="preserve"> och </w:t>
      </w:r>
      <w:r w:rsidRPr="00C9680B">
        <w:rPr>
          <w:i/>
        </w:rPr>
        <w:t>5 (båda i berörd del)</w:t>
      </w:r>
      <w:r w:rsidRPr="00C9680B">
        <w:t xml:space="preserve"> samt </w:t>
      </w:r>
      <w:r w:rsidRPr="00C9680B">
        <w:rPr>
          <w:i/>
        </w:rPr>
        <w:t xml:space="preserve">2000/01:Fi211 (fp) yrkandena 6 </w:t>
      </w:r>
      <w:r w:rsidRPr="00C9680B">
        <w:t>och</w:t>
      </w:r>
      <w:r w:rsidRPr="00C9680B">
        <w:rPr>
          <w:i/>
        </w:rPr>
        <w:t xml:space="preserve"> 8 (båda i berörd del)</w:t>
      </w:r>
      <w:r w:rsidRPr="00C9680B">
        <w:t xml:space="preserve"> avstyrkas vad avser såväl budgetåret 2001 som budgetåren 2002 och 2003.</w:t>
      </w:r>
    </w:p>
    <w:p w:rsidR="001C7BF9" w:rsidRPr="00C9680B" w:rsidRDefault="001C7BF9">
      <w:pPr>
        <w:pStyle w:val="Rubrik3"/>
        <w:rPr>
          <w:noProof w:val="0"/>
        </w:rPr>
      </w:pPr>
      <w:bookmarkStart w:id="1137" w:name="_Toc498838245"/>
      <w:r w:rsidRPr="00C9680B">
        <w:rPr>
          <w:noProof w:val="0"/>
        </w:rPr>
        <w:t>Anslagsbehållningar</w:t>
      </w:r>
      <w:bookmarkEnd w:id="1137"/>
    </w:p>
    <w:p w:rsidR="001C7BF9" w:rsidRPr="00C9680B" w:rsidRDefault="001C7BF9">
      <w:r w:rsidRPr="00C9680B">
        <w:t>I konsekvens med ovanstående ställningstaganden menar utskottet att prop</w:t>
      </w:r>
      <w:r w:rsidRPr="00C9680B">
        <w:t>o</w:t>
      </w:r>
      <w:r w:rsidRPr="00C9680B">
        <w:t>sitionens</w:t>
      </w:r>
      <w:r w:rsidRPr="00C9680B">
        <w:rPr>
          <w:i/>
        </w:rPr>
        <w:t xml:space="preserve"> </w:t>
      </w:r>
      <w:r w:rsidRPr="00C9680B">
        <w:t>förslag till beräkningen av förändringar av anslagsbehållningar för budgetåret 2001 (</w:t>
      </w:r>
      <w:r w:rsidRPr="00C9680B">
        <w:rPr>
          <w:i/>
        </w:rPr>
        <w:t>yrkande 9 i berörd del</w:t>
      </w:r>
      <w:r w:rsidRPr="00C9680B">
        <w:t xml:space="preserve">) vad avser utgiftsområdena 5 och 7 bör tillstyrkas och att motion </w:t>
      </w:r>
      <w:r w:rsidRPr="00C9680B">
        <w:rPr>
          <w:i/>
        </w:rPr>
        <w:t>Fi211 (fp) yrkande 7 i berörd del</w:t>
      </w:r>
      <w:r w:rsidRPr="00C9680B">
        <w:t xml:space="preserve"> bör avstyrkas.</w:t>
      </w:r>
    </w:p>
    <w:p w:rsidR="001C7BF9" w:rsidRPr="00C9680B" w:rsidRDefault="001C7BF9">
      <w:pPr>
        <w:pStyle w:val="Rubrik3"/>
        <w:rPr>
          <w:noProof w:val="0"/>
        </w:rPr>
      </w:pPr>
      <w:bookmarkStart w:id="1138" w:name="_Toc498838246"/>
      <w:r w:rsidRPr="00C9680B">
        <w:rPr>
          <w:noProof w:val="0"/>
        </w:rPr>
        <w:t>Skrivelsen</w:t>
      </w:r>
      <w:bookmarkEnd w:id="1138"/>
    </w:p>
    <w:p w:rsidR="001C7BF9" w:rsidRPr="00C9680B" w:rsidRDefault="001C7BF9">
      <w:r w:rsidRPr="00C9680B">
        <w:t>Enligt utskottets uppfattning innehåller skrivelsen med årsredovisning för staten information av central betydelse för riksdagens arbete med frågor r</w:t>
      </w:r>
      <w:r w:rsidRPr="00C9680B">
        <w:t>ö</w:t>
      </w:r>
      <w:r w:rsidRPr="00C9680B">
        <w:t>rande uppföljning och utvärdering. Den genomgång utrikesutskottet gjort av de delar som berör utskottets beredningsområde föranleder följande överv</w:t>
      </w:r>
      <w:r w:rsidRPr="00C9680B">
        <w:t>ä</w:t>
      </w:r>
      <w:r w:rsidRPr="00C9680B">
        <w:t>ganden.</w:t>
      </w:r>
    </w:p>
    <w:p w:rsidR="001C7BF9" w:rsidRPr="00C9680B" w:rsidRDefault="001C7BF9">
      <w:pPr>
        <w:pStyle w:val="Normaltindrag"/>
      </w:pPr>
      <w:r w:rsidRPr="00C9680B">
        <w:t xml:space="preserve">Utskottet har tidigare i yttrande till finansutskottet (yttrande 1999/2000:UU6y) noterat </w:t>
      </w:r>
      <w:r w:rsidRPr="00C9680B">
        <w:rPr>
          <w:i/>
        </w:rPr>
        <w:t xml:space="preserve">avvikelser mellan årsredovisningen för staten och budgetpropositionen </w:t>
      </w:r>
      <w:r w:rsidRPr="00C9680B">
        <w:t>samt att det inhämtats att misstämningarna, som inte var begränsade till utrikesutskottets beredningsområde, var föremål för Ekon</w:t>
      </w:r>
      <w:r w:rsidRPr="00C9680B">
        <w:t>o</w:t>
      </w:r>
      <w:r w:rsidRPr="00C9680B">
        <w:t xml:space="preserve">mistyrningsverkets (ESV:s) utredning. </w:t>
      </w:r>
    </w:p>
    <w:p w:rsidR="001C7BF9" w:rsidRPr="00C9680B" w:rsidRDefault="001C7BF9">
      <w:pPr>
        <w:pStyle w:val="Normaltindrag"/>
      </w:pPr>
      <w:r w:rsidRPr="00C9680B">
        <w:t xml:space="preserve">Inför granskningen av årsredovisningen för 1999 har utskottet från ESV erfarit att fel av tidigare upptäckt typ fortfarande vidlåder redovisningen, men att man har en uppfattning om vari felet består och att </w:t>
      </w:r>
      <w:r w:rsidRPr="00C9680B">
        <w:rPr>
          <w:snapToGrid w:val="0"/>
          <w:color w:val="000000"/>
          <w:lang w:eastAsia="sv-SE"/>
        </w:rPr>
        <w:t>en projektgrupp är tillsatt för att rätta till det. Mot denna bakgrund har utskottet inte företagit någon mera genomgripande granskning av siffermaterialet.</w:t>
      </w:r>
    </w:p>
    <w:p w:rsidR="001C7BF9" w:rsidRPr="00C9680B" w:rsidRDefault="001C7BF9">
      <w:pPr>
        <w:pStyle w:val="Normaltindrag"/>
      </w:pPr>
      <w:r w:rsidRPr="00C9680B">
        <w:t>Utskottet noterar att det av skrivelsen, men även av Riksrevisionsverkets årliga rapport 2000 till regeringen (RRV 2000:16), framgår att resultatred</w:t>
      </w:r>
      <w:r w:rsidRPr="00C9680B">
        <w:t>o</w:t>
      </w:r>
      <w:r w:rsidRPr="00C9680B">
        <w:t xml:space="preserve">visningen för </w:t>
      </w:r>
      <w:r w:rsidRPr="00C9680B">
        <w:rPr>
          <w:i/>
        </w:rPr>
        <w:t>Svenska institutet</w:t>
      </w:r>
      <w:r w:rsidRPr="00C9680B">
        <w:t xml:space="preserve"> i väsentlig omfattning inte uppfyller återra</w:t>
      </w:r>
      <w:r w:rsidRPr="00C9680B">
        <w:t>p</w:t>
      </w:r>
      <w:r w:rsidRPr="00C9680B">
        <w:t>porteringskraven enligt regleringsbrevet. Det föreligger också väsentliga brister i den underliggande resultatredovi</w:t>
      </w:r>
      <w:r w:rsidRPr="00C9680B">
        <w:t>s</w:t>
      </w:r>
      <w:r w:rsidRPr="00C9680B">
        <w:t>ningen.</w:t>
      </w:r>
    </w:p>
    <w:p w:rsidR="001C7BF9" w:rsidRPr="00C9680B" w:rsidRDefault="001C7BF9">
      <w:r w:rsidRPr="00C9680B">
        <w:t>I budgetpropositionen (volym 4, utgiftsområde 5) konstaterar regeringen att Svenska institutet genomför en genomgripande rekonstruktion av sin ekon</w:t>
      </w:r>
      <w:r w:rsidRPr="00C9680B">
        <w:t>o</w:t>
      </w:r>
      <w:r w:rsidRPr="00C9680B">
        <w:t>miadministration.  Syftet är bl.a. att förbättra rutinerna vad gäller återrappo</w:t>
      </w:r>
      <w:r w:rsidRPr="00C9680B">
        <w:t>r</w:t>
      </w:r>
      <w:r w:rsidRPr="00C9680B">
        <w:t>tering.  Regeringen har därutöver initierat en översyn av de anslags- och styrningsmässiga förutsättningarna för Svenska institutets verksamhet.  Reg</w:t>
      </w:r>
      <w:r w:rsidRPr="00C9680B">
        <w:t>e</w:t>
      </w:r>
      <w:r w:rsidRPr="00C9680B">
        <w:t>ringen bedömer, på grundval av utvärdering och en löpande dialog med my</w:t>
      </w:r>
      <w:r w:rsidRPr="00C9680B">
        <w:t>n</w:t>
      </w:r>
      <w:r w:rsidRPr="00C9680B">
        <w:t>digh</w:t>
      </w:r>
      <w:r w:rsidRPr="00C9680B">
        <w:t>e</w:t>
      </w:r>
      <w:r w:rsidRPr="00C9680B">
        <w:t>ten, att målen för verksamheten uppfyllts väl.</w:t>
      </w:r>
    </w:p>
    <w:p w:rsidR="001C7BF9" w:rsidRPr="00C9680B" w:rsidRDefault="001C7BF9">
      <w:pPr>
        <w:pStyle w:val="Normaltindrag"/>
      </w:pPr>
      <w:r w:rsidRPr="00C9680B">
        <w:t>Enligt utskottets mening förefaller de vidtagna åtgärderna lämpliga och ändamålsenliga. Utskottet utgår från att regeringen, inom ramen för budge</w:t>
      </w:r>
      <w:r w:rsidRPr="00C9680B">
        <w:t>t</w:t>
      </w:r>
      <w:r w:rsidRPr="00C9680B">
        <w:t>processen, återrapporterar i frågan när åtgärdsprogrammet är genomfört.</w:t>
      </w:r>
    </w:p>
    <w:p w:rsidR="001C7BF9" w:rsidRPr="00C9680B" w:rsidRDefault="001C7BF9">
      <w:pPr>
        <w:pStyle w:val="Stockholm"/>
      </w:pPr>
      <w:r w:rsidRPr="00C9680B">
        <w:t xml:space="preserve">Stockholm den 26 oktober 2000 </w:t>
      </w:r>
    </w:p>
    <w:p w:rsidR="001C7BF9" w:rsidRPr="00C9680B" w:rsidRDefault="001C7BF9">
      <w:pPr>
        <w:pStyle w:val="Vgnar"/>
      </w:pPr>
      <w:r w:rsidRPr="00C9680B">
        <w:t>På utrikesutskottets vägnar</w:t>
      </w:r>
    </w:p>
    <w:p w:rsidR="001C7BF9" w:rsidRPr="00C9680B" w:rsidRDefault="001C7BF9">
      <w:pPr>
        <w:pStyle w:val="Ordfnamn"/>
      </w:pPr>
      <w:r w:rsidRPr="00C9680B">
        <w:t>Viola Furubjelke</w:t>
      </w:r>
    </w:p>
    <w:p w:rsidR="001C7BF9" w:rsidRPr="00C9680B" w:rsidRDefault="001C7BF9">
      <w:pPr>
        <w:pStyle w:val="Deltagare"/>
        <w:rPr>
          <w:noProof w:val="0"/>
        </w:rPr>
      </w:pPr>
      <w:r w:rsidRPr="00C9680B">
        <w:rPr>
          <w:noProof w:val="0"/>
        </w:rPr>
        <w:t>I beslutet har deltagit: Viola Furubjelke (s), Göran Lennmarker (m), Sören Lekberg (s), Berndt Ekholm (s), Holger Gustafsson (kd), Bertil Persson (m), Liselotte Wågö (m), Agneta Brendt (s), Marianne Jönsson (s), Murad Artin (v), Jan Erik Ågren (kd), Sten Tolgfors (m), Marianne A</w:t>
      </w:r>
      <w:r w:rsidRPr="00C9680B">
        <w:rPr>
          <w:noProof w:val="0"/>
        </w:rPr>
        <w:t>n</w:t>
      </w:r>
      <w:r w:rsidRPr="00C9680B">
        <w:rPr>
          <w:noProof w:val="0"/>
        </w:rPr>
        <w:t>dersson (c), Karl-Göran Biörsmark (fp), Birgitta Ahlqvist (s) och Eva Zetterberg (v).</w:t>
      </w:r>
    </w:p>
    <w:p w:rsidR="001C7BF9" w:rsidRPr="00C9680B" w:rsidRDefault="001C7BF9">
      <w:pPr>
        <w:pStyle w:val="R1"/>
        <w:spacing w:before="480" w:after="240"/>
      </w:pPr>
      <w:bookmarkStart w:id="1139" w:name="_Toc465764673"/>
      <w:r w:rsidRPr="00C9680B">
        <w:t>Avvikande meningar</w:t>
      </w:r>
      <w:bookmarkEnd w:id="1139"/>
    </w:p>
    <w:p w:rsidR="001C7BF9" w:rsidRPr="00C9680B" w:rsidRDefault="001C7BF9">
      <w:pPr>
        <w:pStyle w:val="R2"/>
        <w:spacing w:before="0"/>
        <w:outlineLvl w:val="0"/>
      </w:pPr>
      <w:r w:rsidRPr="00C9680B">
        <w:t>1. Anslagens fördelning mellan utgiftsområdena m.m.</w:t>
      </w:r>
    </w:p>
    <w:p w:rsidR="001C7BF9" w:rsidRPr="00C9680B" w:rsidRDefault="001C7BF9">
      <w:r w:rsidRPr="00C9680B">
        <w:t>Göran Lennmarker, Bertil Persson, Liselotte Wågö och Sten Tolgfors (alla m) anför:</w:t>
      </w:r>
    </w:p>
    <w:p w:rsidR="001C7BF9" w:rsidRPr="00C9680B" w:rsidRDefault="001C7BF9">
      <w:r w:rsidRPr="00C9680B">
        <w:t xml:space="preserve">Utskottet tillstyrker, i enlighet med motion </w:t>
      </w:r>
      <w:r w:rsidRPr="00C9680B">
        <w:rPr>
          <w:i/>
        </w:rPr>
        <w:t xml:space="preserve">Fi208 (m) yrkandena 5 </w:t>
      </w:r>
      <w:r w:rsidRPr="00C9680B">
        <w:t>och</w:t>
      </w:r>
      <w:r w:rsidRPr="00C9680B">
        <w:rPr>
          <w:i/>
        </w:rPr>
        <w:t xml:space="preserve"> 6 (båda delvis),</w:t>
      </w:r>
      <w:r w:rsidRPr="00C9680B">
        <w:rPr>
          <w:b/>
        </w:rPr>
        <w:t xml:space="preserve"> </w:t>
      </w:r>
      <w:r w:rsidRPr="00C9680B">
        <w:rPr>
          <w:i/>
        </w:rPr>
        <w:t>dels</w:t>
      </w:r>
      <w:r w:rsidRPr="00C9680B">
        <w:t xml:space="preserve"> att anslaget för internationell fredsbevarande verksamhet (den del som omfattar kostnaderna vid insats) flyttas från </w:t>
      </w:r>
      <w:r w:rsidRPr="00C9680B">
        <w:rPr>
          <w:i/>
        </w:rPr>
        <w:t>utgiftsområde 6</w:t>
      </w:r>
      <w:r w:rsidRPr="00C9680B">
        <w:t xml:space="preserve"> till </w:t>
      </w:r>
      <w:r w:rsidRPr="00C9680B">
        <w:rPr>
          <w:i/>
        </w:rPr>
        <w:t>utgiftsområde 7,</w:t>
      </w:r>
      <w:r w:rsidRPr="00C9680B">
        <w:t xml:space="preserve"> där det skapas en samlad post för Sveriges fredsbevarande verksamhet, </w:t>
      </w:r>
      <w:r w:rsidRPr="00C9680B">
        <w:rPr>
          <w:i/>
        </w:rPr>
        <w:t>dels</w:t>
      </w:r>
      <w:r w:rsidRPr="00C9680B">
        <w:t xml:space="preserve"> att den s.k. Östersjömiljarden upplöses och att medlen til</w:t>
      </w:r>
      <w:r w:rsidRPr="00C9680B">
        <w:t>l</w:t>
      </w:r>
      <w:r w:rsidRPr="00C9680B">
        <w:t>förs det ordinarie ansl</w:t>
      </w:r>
      <w:r w:rsidRPr="00C9680B">
        <w:t>a</w:t>
      </w:r>
      <w:r w:rsidRPr="00C9680B">
        <w:t>get för samarbete med Central- och Östeuropa.</w:t>
      </w:r>
    </w:p>
    <w:p w:rsidR="001C7BF9" w:rsidRPr="00C9680B" w:rsidRDefault="001C7BF9">
      <w:pPr>
        <w:pStyle w:val="R2"/>
        <w:outlineLvl w:val="0"/>
      </w:pPr>
      <w:r w:rsidRPr="00C9680B">
        <w:t>2. Ramarna för utgiftsområdena 5 och 7</w:t>
      </w:r>
    </w:p>
    <w:p w:rsidR="001C7BF9" w:rsidRPr="00C9680B" w:rsidRDefault="001C7BF9">
      <w:r w:rsidRPr="00C9680B">
        <w:t>Göran Lennmarker, Bertil Persson, Liselotte Wågö och Sten Tolgfors (alla m) anför:</w:t>
      </w:r>
    </w:p>
    <w:p w:rsidR="001C7BF9" w:rsidRPr="00C9680B" w:rsidRDefault="001C7BF9">
      <w:r w:rsidRPr="00C9680B">
        <w:t xml:space="preserve">Utskottet förordar de ramar för </w:t>
      </w:r>
      <w:r w:rsidRPr="00C9680B">
        <w:rPr>
          <w:i/>
        </w:rPr>
        <w:t>utgiftsområdena 5</w:t>
      </w:r>
      <w:r w:rsidRPr="00C9680B">
        <w:t xml:space="preserve"> och </w:t>
      </w:r>
      <w:r w:rsidRPr="00C9680B">
        <w:rPr>
          <w:i/>
        </w:rPr>
        <w:t>7</w:t>
      </w:r>
      <w:r w:rsidRPr="00C9680B">
        <w:t xml:space="preserve"> för budgetåret 2001 och den preliminära fördelning av utgifterna för samma utgiftsområden för budgetåren 2002 och 2003 som, vad avser redovisningen av Moderata sa</w:t>
      </w:r>
      <w:r w:rsidRPr="00C9680B">
        <w:t>m</w:t>
      </w:r>
      <w:r w:rsidRPr="00C9680B">
        <w:t xml:space="preserve">lingspartiets förslag, framgår av bilagan till föreliggande yttrande med de motiveringar som framgår av motion </w:t>
      </w:r>
      <w:r w:rsidRPr="00C9680B">
        <w:rPr>
          <w:i/>
        </w:rPr>
        <w:t xml:space="preserve">Fi208 (m) yrkandena 5 </w:t>
      </w:r>
      <w:r w:rsidRPr="00C9680B">
        <w:t>och</w:t>
      </w:r>
      <w:r w:rsidRPr="00C9680B">
        <w:rPr>
          <w:i/>
        </w:rPr>
        <w:t xml:space="preserve"> 6 (båda delvis).</w:t>
      </w:r>
    </w:p>
    <w:p w:rsidR="001C7BF9" w:rsidRPr="00C9680B" w:rsidRDefault="001C7BF9">
      <w:pPr>
        <w:pStyle w:val="R2"/>
        <w:outlineLvl w:val="0"/>
      </w:pPr>
      <w:r w:rsidRPr="00C9680B">
        <w:t>3. Ramarna för utgiftsområde 7</w:t>
      </w:r>
    </w:p>
    <w:p w:rsidR="001C7BF9" w:rsidRPr="00C9680B" w:rsidRDefault="001C7BF9">
      <w:r w:rsidRPr="00C9680B">
        <w:t>Holger Gustafsson och Jan-Erik Ågren (båda kd) anför:</w:t>
      </w:r>
    </w:p>
    <w:p w:rsidR="001C7BF9" w:rsidRPr="00C9680B" w:rsidRDefault="001C7BF9">
      <w:r w:rsidRPr="00C9680B">
        <w:t>Utskottet förordar de ramar för utgiftsområde 7 för budgetåret 2001 och den preliminära fördelning av utgifterna för samma utgiftsområde för budgetåren 2002 och 2003 som, vad avser redovisningen av Kristdemokraternas förslag, framgår av bilagan till föreliggande yttrande med de motiveringar som fra</w:t>
      </w:r>
      <w:r w:rsidRPr="00C9680B">
        <w:t>m</w:t>
      </w:r>
      <w:r w:rsidRPr="00C9680B">
        <w:t>går av m</w:t>
      </w:r>
      <w:r w:rsidRPr="00C9680B">
        <w:t>o</w:t>
      </w:r>
      <w:r w:rsidRPr="00C9680B">
        <w:t xml:space="preserve">tion </w:t>
      </w:r>
      <w:r w:rsidRPr="00C9680B">
        <w:rPr>
          <w:i/>
        </w:rPr>
        <w:t xml:space="preserve">Fi209 (kd) yrkandena 6 </w:t>
      </w:r>
      <w:r w:rsidRPr="00C9680B">
        <w:t>och</w:t>
      </w:r>
      <w:r w:rsidRPr="00C9680B">
        <w:rPr>
          <w:i/>
        </w:rPr>
        <w:t xml:space="preserve"> 7 (båda delvis).</w:t>
      </w:r>
    </w:p>
    <w:p w:rsidR="001C7BF9" w:rsidRPr="00C9680B" w:rsidRDefault="001C7BF9">
      <w:pPr>
        <w:pStyle w:val="R2"/>
        <w:outlineLvl w:val="0"/>
      </w:pPr>
      <w:r w:rsidRPr="00C9680B">
        <w:br w:type="page"/>
        <w:t>4. Ramarna för utgiftsområde 7</w:t>
      </w:r>
    </w:p>
    <w:p w:rsidR="001C7BF9" w:rsidRPr="00C9680B" w:rsidRDefault="001C7BF9">
      <w:r w:rsidRPr="00C9680B">
        <w:t>Marianne Andersson (c) anför:</w:t>
      </w:r>
    </w:p>
    <w:p w:rsidR="001C7BF9" w:rsidRPr="00C9680B" w:rsidRDefault="001C7BF9">
      <w:r w:rsidRPr="00C9680B">
        <w:t>Utskottet förordar de ramar för utgiftsområde 7 för budgetåret 2001 och den preliminära fördelning av utgifterna för samma utgiftsområde för budgetåren 2002 och 2003 som, vad avser redovisningen av Centerpartiets förslag, fra</w:t>
      </w:r>
      <w:r w:rsidRPr="00C9680B">
        <w:t>m</w:t>
      </w:r>
      <w:r w:rsidRPr="00C9680B">
        <w:t xml:space="preserve">går av bilagan till föreliggande yttrande med de motiveringar som framgår av motion </w:t>
      </w:r>
      <w:r w:rsidRPr="00C9680B">
        <w:rPr>
          <w:i/>
        </w:rPr>
        <w:t xml:space="preserve">Fi210 (c) yrkandena 4 </w:t>
      </w:r>
      <w:r w:rsidRPr="00C9680B">
        <w:t>och</w:t>
      </w:r>
      <w:r w:rsidRPr="00C9680B">
        <w:rPr>
          <w:i/>
        </w:rPr>
        <w:t xml:space="preserve"> 5 (båda delvis).</w:t>
      </w:r>
    </w:p>
    <w:p w:rsidR="001C7BF9" w:rsidRPr="00C9680B" w:rsidRDefault="001C7BF9">
      <w:pPr>
        <w:pStyle w:val="R2"/>
      </w:pPr>
      <w:r w:rsidRPr="00C9680B">
        <w:t>5. Ramarna för utgiftsområde 7</w:t>
      </w:r>
    </w:p>
    <w:p w:rsidR="001C7BF9" w:rsidRPr="00C9680B" w:rsidRDefault="001C7BF9">
      <w:r w:rsidRPr="00C9680B">
        <w:t>Karl-Göran Biörsmark (fp) anför:</w:t>
      </w:r>
    </w:p>
    <w:p w:rsidR="001C7BF9" w:rsidRPr="00C9680B" w:rsidRDefault="001C7BF9">
      <w:pPr>
        <w:rPr>
          <w:i/>
        </w:rPr>
      </w:pPr>
      <w:r w:rsidRPr="00C9680B">
        <w:t xml:space="preserve">Utskottet förordar de ramar för utgiftsområde 7 för budgetåret 2001 och den preliminära fördelning av utgifterna för samma utgiftsområde för budgetåren 2002 och 2003 som, vad avser redovisningen av Folkpartiets förslag, framgår av bilagan till föreliggande yttrande med de motiveringar som framgår av motion </w:t>
      </w:r>
      <w:r w:rsidRPr="00C9680B">
        <w:rPr>
          <w:i/>
        </w:rPr>
        <w:t>Fi211 (fp) y</w:t>
      </w:r>
      <w:r w:rsidRPr="00C9680B">
        <w:rPr>
          <w:i/>
        </w:rPr>
        <w:t>r</w:t>
      </w:r>
      <w:r w:rsidRPr="00C9680B">
        <w:rPr>
          <w:i/>
        </w:rPr>
        <w:t xml:space="preserve">kandena 6 </w:t>
      </w:r>
      <w:r w:rsidRPr="00C9680B">
        <w:t>och</w:t>
      </w:r>
      <w:r w:rsidRPr="00C9680B">
        <w:rPr>
          <w:i/>
        </w:rPr>
        <w:t xml:space="preserve"> 8 (båda delvis).</w:t>
      </w:r>
    </w:p>
    <w:p w:rsidR="001C7BF9" w:rsidRPr="00C9680B" w:rsidRDefault="001C7BF9">
      <w:pPr>
        <w:pStyle w:val="R1"/>
        <w:spacing w:before="480" w:after="240"/>
      </w:pPr>
      <w:r w:rsidRPr="00C9680B">
        <w:t>Särskilt yttrande</w:t>
      </w:r>
    </w:p>
    <w:p w:rsidR="001C7BF9" w:rsidRPr="00C9680B" w:rsidRDefault="001C7BF9">
      <w:pPr>
        <w:pStyle w:val="R2"/>
        <w:spacing w:before="0"/>
        <w:outlineLvl w:val="0"/>
      </w:pPr>
      <w:r w:rsidRPr="00C9680B">
        <w:t>Medelsanvändningen inom utgiftsområde 5</w:t>
      </w:r>
    </w:p>
    <w:p w:rsidR="001C7BF9" w:rsidRPr="00C9680B" w:rsidRDefault="001C7BF9">
      <w:r w:rsidRPr="00C9680B">
        <w:t>Holger Gustafsson och Jan-Erik Ågren (båda kd) anför:</w:t>
      </w:r>
    </w:p>
    <w:p w:rsidR="001C7BF9" w:rsidRPr="00C9680B" w:rsidRDefault="001C7BF9">
      <w:pPr>
        <w:pStyle w:val="Brdtext2"/>
      </w:pPr>
      <w:r w:rsidRPr="00C9680B">
        <w:t>Att avgöra i vilka länder som Sverige bör ha representation är en delikat uppgift. På grund av finansiella begränsningar kan ambassader ej hållas i alla världens länder, utan svåra val måste göras. De olika valen och prioriteringarna bör ha sin grund i den generella målsättningen för utrikespolitiken. Några viktiga principer bör enligt Kristdemokraterna beaktas. Det är viktigt att ha diplomatisk represe</w:t>
      </w:r>
      <w:r w:rsidRPr="00C9680B">
        <w:t>n</w:t>
      </w:r>
      <w:r w:rsidRPr="00C9680B">
        <w:t>tation i alla kandidatländer till EU. De länder som får bilateralt bistånd från Sverige bör ha en svensk ambassad. För att främja en demokratisk utveckling bör vissa länder prioriteras särskilt. Vissa platser har även särskild strategisk betydelse.</w:t>
      </w:r>
    </w:p>
    <w:p w:rsidR="001C7BF9" w:rsidRPr="00C9680B" w:rsidRDefault="001C7BF9">
      <w:pPr>
        <w:pStyle w:val="Normaltindrag"/>
      </w:pPr>
      <w:r w:rsidRPr="00C9680B">
        <w:t xml:space="preserve">Utifrån dessa principer förordar Kristdemokraterna att </w:t>
      </w:r>
      <w:r w:rsidRPr="00C9680B">
        <w:rPr>
          <w:snapToGrid w:val="0"/>
          <w:lang w:eastAsia="sv-SE"/>
        </w:rPr>
        <w:t>regeringen bör se över möjligheterna att öppna svenska utlandsmyndigheter i Slovakien, Malta, Cypern och Vitryssland. Generalkonsulatet i Istanbul och ambassaden i Windhoek bör bibehållas. Detta kan göras inom budgetramen för utgiftso</w:t>
      </w:r>
      <w:r w:rsidRPr="00C9680B">
        <w:rPr>
          <w:snapToGrid w:val="0"/>
          <w:lang w:eastAsia="sv-SE"/>
        </w:rPr>
        <w:t>m</w:t>
      </w:r>
      <w:r w:rsidRPr="00C9680B">
        <w:rPr>
          <w:snapToGrid w:val="0"/>
          <w:lang w:eastAsia="sv-SE"/>
        </w:rPr>
        <w:t>råde 5. Regeringen bör utreda hur Sverige i ökad utsträckning kan dra nytta av den växande EU-diplomatin och om det finns utökade möjligheter till samordning mellan de nordiska länderna på sätt som redan genomförts i Be</w:t>
      </w:r>
      <w:r w:rsidRPr="00C9680B">
        <w:rPr>
          <w:snapToGrid w:val="0"/>
          <w:lang w:eastAsia="sv-SE"/>
        </w:rPr>
        <w:t>r</w:t>
      </w:r>
      <w:r w:rsidRPr="00C9680B">
        <w:rPr>
          <w:snapToGrid w:val="0"/>
          <w:lang w:eastAsia="sv-SE"/>
        </w:rPr>
        <w:t>lin.</w:t>
      </w:r>
    </w:p>
    <w:p w:rsidR="001C7BF9" w:rsidRPr="00C9680B" w:rsidRDefault="001C7BF9"/>
    <w:p w:rsidR="001C7BF9" w:rsidRPr="00C9680B" w:rsidRDefault="001C7BF9">
      <w:pPr>
        <w:pStyle w:val="R1"/>
        <w:spacing w:after="480"/>
      </w:pPr>
      <w:r w:rsidRPr="00C9680B">
        <w:br w:type="page"/>
      </w:r>
      <w:bookmarkStart w:id="1140" w:name="_Toc465764674"/>
      <w:r w:rsidRPr="00C9680B">
        <w:t>Förslag till fördelning av utgifter på utgifts</w:t>
      </w:r>
      <w:r w:rsidRPr="00C9680B">
        <w:softHyphen/>
        <w:t>områdena 5 och 7 för åren 2001–2003 m.m.</w:t>
      </w:r>
      <w:bookmarkEnd w:id="1140"/>
    </w:p>
    <w:p w:rsidR="001C7BF9" w:rsidRPr="00C9680B" w:rsidRDefault="001C7BF9">
      <w:pPr>
        <w:pStyle w:val="Rubrik2"/>
        <w:spacing w:before="0"/>
      </w:pPr>
      <w:bookmarkStart w:id="1141" w:name="_Toc465764675"/>
      <w:bookmarkStart w:id="1142" w:name="_Toc498838247"/>
      <w:r w:rsidRPr="00C9680B">
        <w:t>Utgiftsområde 5 Utrikesförvaltning och internationell samverkan</w:t>
      </w:r>
      <w:bookmarkEnd w:id="1141"/>
      <w:bookmarkEnd w:id="1142"/>
    </w:p>
    <w:p w:rsidR="001C7BF9" w:rsidRPr="00C9680B" w:rsidRDefault="001C7BF9">
      <w:pPr>
        <w:spacing w:before="187"/>
        <w:outlineLvl w:val="0"/>
      </w:pPr>
      <w:r w:rsidRPr="00C9680B">
        <w:t>Absoluta tal</w:t>
      </w:r>
    </w:p>
    <w:p w:rsidR="001C7BF9" w:rsidRPr="00C9680B" w:rsidRDefault="001C7BF9">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C9680B">
        <w:tblPrEx>
          <w:tblCellMar>
            <w:top w:w="0" w:type="dxa"/>
            <w:bottom w:w="0" w:type="dxa"/>
          </w:tblCellMar>
        </w:tblPrEx>
        <w:tc>
          <w:tcPr>
            <w:tcW w:w="2197" w:type="dxa"/>
            <w:shd w:val="pct35" w:color="auto" w:fill="FFFFFF"/>
          </w:tcPr>
          <w:p w:rsidR="001C7BF9" w:rsidRPr="00C9680B" w:rsidRDefault="001C7BF9">
            <w:pPr>
              <w:jc w:val="center"/>
            </w:pPr>
          </w:p>
        </w:tc>
        <w:tc>
          <w:tcPr>
            <w:tcW w:w="1275" w:type="dxa"/>
          </w:tcPr>
          <w:p w:rsidR="001C7BF9" w:rsidRPr="00C9680B" w:rsidRDefault="001C7BF9">
            <w:pPr>
              <w:jc w:val="center"/>
            </w:pPr>
            <w:r w:rsidRPr="00C9680B">
              <w:rPr>
                <w:b/>
              </w:rPr>
              <w:t>Bå 2001</w:t>
            </w:r>
          </w:p>
          <w:p w:rsidR="001C7BF9" w:rsidRPr="00C9680B" w:rsidRDefault="001C7BF9">
            <w:r w:rsidRPr="00C9680B">
              <w:rPr>
                <w:i/>
              </w:rPr>
              <w:t>(mkr)</w:t>
            </w:r>
          </w:p>
        </w:tc>
        <w:tc>
          <w:tcPr>
            <w:tcW w:w="1276" w:type="dxa"/>
          </w:tcPr>
          <w:p w:rsidR="001C7BF9" w:rsidRPr="00C9680B" w:rsidRDefault="001C7BF9">
            <w:pPr>
              <w:jc w:val="center"/>
            </w:pPr>
            <w:r w:rsidRPr="00C9680B">
              <w:rPr>
                <w:b/>
              </w:rPr>
              <w:t>Bå 2002</w:t>
            </w:r>
          </w:p>
          <w:p w:rsidR="001C7BF9" w:rsidRPr="00C9680B" w:rsidRDefault="001C7BF9">
            <w:r w:rsidRPr="00C9680B">
              <w:rPr>
                <w:i/>
              </w:rPr>
              <w:t>(mkr)</w:t>
            </w:r>
          </w:p>
        </w:tc>
        <w:tc>
          <w:tcPr>
            <w:tcW w:w="1288" w:type="dxa"/>
          </w:tcPr>
          <w:p w:rsidR="001C7BF9" w:rsidRPr="00C9680B" w:rsidRDefault="001C7BF9">
            <w:pPr>
              <w:jc w:val="center"/>
            </w:pPr>
            <w:r w:rsidRPr="00C9680B">
              <w:rPr>
                <w:b/>
              </w:rPr>
              <w:t>Bå 2003</w:t>
            </w:r>
          </w:p>
          <w:p w:rsidR="001C7BF9" w:rsidRPr="00C9680B" w:rsidRDefault="001C7BF9">
            <w:r w:rsidRPr="00C9680B">
              <w:rPr>
                <w:i/>
              </w:rPr>
              <w:t>(mkr)</w:t>
            </w:r>
          </w:p>
        </w:tc>
      </w:tr>
      <w:tr w:rsidR="00000000" w:rsidRPr="00C9680B">
        <w:tblPrEx>
          <w:tblCellMar>
            <w:top w:w="0" w:type="dxa"/>
            <w:bottom w:w="0" w:type="dxa"/>
          </w:tblCellMar>
        </w:tblPrEx>
        <w:tc>
          <w:tcPr>
            <w:tcW w:w="2197" w:type="dxa"/>
          </w:tcPr>
          <w:p w:rsidR="001C7BF9" w:rsidRPr="00C9680B" w:rsidRDefault="001C7BF9">
            <w:r w:rsidRPr="00C9680B">
              <w:rPr>
                <w:b/>
              </w:rPr>
              <w:t>Propositionen</w:t>
            </w:r>
          </w:p>
        </w:tc>
        <w:tc>
          <w:tcPr>
            <w:tcW w:w="1275" w:type="dxa"/>
          </w:tcPr>
          <w:p w:rsidR="001C7BF9" w:rsidRPr="00C9680B" w:rsidRDefault="001C7BF9">
            <w:r w:rsidRPr="00C9680B">
              <w:t>2 908</w:t>
            </w:r>
          </w:p>
        </w:tc>
        <w:tc>
          <w:tcPr>
            <w:tcW w:w="1276" w:type="dxa"/>
          </w:tcPr>
          <w:p w:rsidR="001C7BF9" w:rsidRPr="00C9680B" w:rsidRDefault="001C7BF9">
            <w:r w:rsidRPr="00C9680B">
              <w:t>2 881</w:t>
            </w:r>
          </w:p>
        </w:tc>
        <w:tc>
          <w:tcPr>
            <w:tcW w:w="1288" w:type="dxa"/>
          </w:tcPr>
          <w:p w:rsidR="001C7BF9" w:rsidRPr="00C9680B" w:rsidRDefault="001C7BF9">
            <w:r w:rsidRPr="00C9680B">
              <w:t>2 926</w:t>
            </w:r>
          </w:p>
        </w:tc>
      </w:tr>
      <w:tr w:rsidR="00000000" w:rsidRPr="00C9680B">
        <w:tblPrEx>
          <w:tblCellMar>
            <w:top w:w="0" w:type="dxa"/>
            <w:bottom w:w="0" w:type="dxa"/>
          </w:tblCellMar>
        </w:tblPrEx>
        <w:tc>
          <w:tcPr>
            <w:tcW w:w="2197" w:type="dxa"/>
          </w:tcPr>
          <w:p w:rsidR="001C7BF9" w:rsidRPr="00C9680B" w:rsidRDefault="001C7BF9">
            <w:r w:rsidRPr="00C9680B">
              <w:rPr>
                <w:b/>
                <w:sz w:val="18"/>
              </w:rPr>
              <w:t>Moderata samlingspart</w:t>
            </w:r>
            <w:r w:rsidRPr="00C9680B">
              <w:rPr>
                <w:b/>
                <w:sz w:val="18"/>
              </w:rPr>
              <w:t>i</w:t>
            </w:r>
            <w:r w:rsidRPr="00C9680B">
              <w:rPr>
                <w:b/>
                <w:sz w:val="18"/>
              </w:rPr>
              <w:t>et</w:t>
            </w:r>
          </w:p>
        </w:tc>
        <w:tc>
          <w:tcPr>
            <w:tcW w:w="1275" w:type="dxa"/>
          </w:tcPr>
          <w:p w:rsidR="001C7BF9" w:rsidRPr="00C9680B" w:rsidRDefault="001C7BF9">
            <w:r w:rsidRPr="00C9680B">
              <w:t>2 820</w:t>
            </w:r>
          </w:p>
        </w:tc>
        <w:tc>
          <w:tcPr>
            <w:tcW w:w="1276" w:type="dxa"/>
          </w:tcPr>
          <w:p w:rsidR="001C7BF9" w:rsidRPr="00C9680B" w:rsidRDefault="001C7BF9">
            <w:r w:rsidRPr="00C9680B">
              <w:t>2 769</w:t>
            </w:r>
          </w:p>
        </w:tc>
        <w:tc>
          <w:tcPr>
            <w:tcW w:w="1288" w:type="dxa"/>
          </w:tcPr>
          <w:p w:rsidR="001C7BF9" w:rsidRPr="00C9680B" w:rsidRDefault="001C7BF9">
            <w:r w:rsidRPr="00C9680B">
              <w:t>2 811</w:t>
            </w:r>
          </w:p>
        </w:tc>
      </w:tr>
      <w:tr w:rsidR="00000000" w:rsidRPr="00C9680B">
        <w:tblPrEx>
          <w:tblCellMar>
            <w:top w:w="0" w:type="dxa"/>
            <w:bottom w:w="0" w:type="dxa"/>
          </w:tblCellMar>
        </w:tblPrEx>
        <w:tc>
          <w:tcPr>
            <w:tcW w:w="2197" w:type="dxa"/>
          </w:tcPr>
          <w:p w:rsidR="001C7BF9" w:rsidRPr="00C9680B" w:rsidRDefault="001C7BF9">
            <w:r w:rsidRPr="00C9680B">
              <w:rPr>
                <w:b/>
              </w:rPr>
              <w:t>Kristdemokraterna</w:t>
            </w:r>
          </w:p>
        </w:tc>
        <w:tc>
          <w:tcPr>
            <w:tcW w:w="1275" w:type="dxa"/>
          </w:tcPr>
          <w:p w:rsidR="001C7BF9" w:rsidRPr="00C9680B" w:rsidRDefault="001C7BF9">
            <w:r w:rsidRPr="00C9680B">
              <w:t>2 908</w:t>
            </w:r>
          </w:p>
        </w:tc>
        <w:tc>
          <w:tcPr>
            <w:tcW w:w="1276" w:type="dxa"/>
          </w:tcPr>
          <w:p w:rsidR="001C7BF9" w:rsidRPr="00C9680B" w:rsidRDefault="001C7BF9">
            <w:r w:rsidRPr="00C9680B">
              <w:t>2 881</w:t>
            </w:r>
          </w:p>
        </w:tc>
        <w:tc>
          <w:tcPr>
            <w:tcW w:w="1288" w:type="dxa"/>
          </w:tcPr>
          <w:p w:rsidR="001C7BF9" w:rsidRPr="00C9680B" w:rsidRDefault="001C7BF9">
            <w:r w:rsidRPr="00C9680B">
              <w:t>2 926</w:t>
            </w:r>
          </w:p>
        </w:tc>
      </w:tr>
      <w:tr w:rsidR="00000000" w:rsidRPr="00C9680B">
        <w:tblPrEx>
          <w:tblCellMar>
            <w:top w:w="0" w:type="dxa"/>
            <w:bottom w:w="0" w:type="dxa"/>
          </w:tblCellMar>
        </w:tblPrEx>
        <w:tc>
          <w:tcPr>
            <w:tcW w:w="2197" w:type="dxa"/>
          </w:tcPr>
          <w:p w:rsidR="001C7BF9" w:rsidRPr="00C9680B" w:rsidRDefault="001C7BF9">
            <w:r w:rsidRPr="00C9680B">
              <w:rPr>
                <w:b/>
              </w:rPr>
              <w:t>Centerpartiet</w:t>
            </w:r>
          </w:p>
        </w:tc>
        <w:tc>
          <w:tcPr>
            <w:tcW w:w="1275" w:type="dxa"/>
          </w:tcPr>
          <w:p w:rsidR="001C7BF9" w:rsidRPr="00C9680B" w:rsidRDefault="001C7BF9">
            <w:r w:rsidRPr="00C9680B">
              <w:t>2 908</w:t>
            </w:r>
          </w:p>
        </w:tc>
        <w:tc>
          <w:tcPr>
            <w:tcW w:w="1276" w:type="dxa"/>
          </w:tcPr>
          <w:p w:rsidR="001C7BF9" w:rsidRPr="00C9680B" w:rsidRDefault="001C7BF9">
            <w:r w:rsidRPr="00C9680B">
              <w:t>2 881</w:t>
            </w:r>
          </w:p>
        </w:tc>
        <w:tc>
          <w:tcPr>
            <w:tcW w:w="1288" w:type="dxa"/>
          </w:tcPr>
          <w:p w:rsidR="001C7BF9" w:rsidRPr="00C9680B" w:rsidRDefault="001C7BF9">
            <w:r w:rsidRPr="00C9680B">
              <w:t>2 926</w:t>
            </w:r>
          </w:p>
        </w:tc>
      </w:tr>
      <w:tr w:rsidR="00000000" w:rsidRPr="00C9680B">
        <w:tblPrEx>
          <w:tblCellMar>
            <w:top w:w="0" w:type="dxa"/>
            <w:bottom w:w="0" w:type="dxa"/>
          </w:tblCellMar>
        </w:tblPrEx>
        <w:tc>
          <w:tcPr>
            <w:tcW w:w="2197" w:type="dxa"/>
          </w:tcPr>
          <w:p w:rsidR="001C7BF9" w:rsidRPr="00C9680B" w:rsidRDefault="001C7BF9">
            <w:r w:rsidRPr="00C9680B">
              <w:rPr>
                <w:b/>
              </w:rPr>
              <w:t>Folkpartiet</w:t>
            </w:r>
          </w:p>
        </w:tc>
        <w:tc>
          <w:tcPr>
            <w:tcW w:w="1275" w:type="dxa"/>
          </w:tcPr>
          <w:p w:rsidR="001C7BF9" w:rsidRPr="00C9680B" w:rsidRDefault="001C7BF9">
            <w:r w:rsidRPr="00C9680B">
              <w:t>2 908</w:t>
            </w:r>
          </w:p>
        </w:tc>
        <w:tc>
          <w:tcPr>
            <w:tcW w:w="1276" w:type="dxa"/>
          </w:tcPr>
          <w:p w:rsidR="001C7BF9" w:rsidRPr="00C9680B" w:rsidRDefault="001C7BF9">
            <w:r w:rsidRPr="00C9680B">
              <w:t>2 881</w:t>
            </w:r>
          </w:p>
        </w:tc>
        <w:tc>
          <w:tcPr>
            <w:tcW w:w="1288" w:type="dxa"/>
          </w:tcPr>
          <w:p w:rsidR="001C7BF9" w:rsidRPr="00C9680B" w:rsidRDefault="001C7BF9">
            <w:r w:rsidRPr="00C9680B">
              <w:t>2 926</w:t>
            </w:r>
          </w:p>
        </w:tc>
      </w:tr>
    </w:tbl>
    <w:p w:rsidR="001C7BF9" w:rsidRPr="00C9680B" w:rsidRDefault="001C7BF9"/>
    <w:p w:rsidR="001C7BF9" w:rsidRPr="00C9680B" w:rsidRDefault="001C7BF9">
      <w:pPr>
        <w:outlineLvl w:val="0"/>
      </w:pPr>
      <w:r w:rsidRPr="00C9680B">
        <w:t>Regeringens förslag och differenser gentemot detta</w:t>
      </w:r>
    </w:p>
    <w:p w:rsidR="001C7BF9" w:rsidRPr="00C9680B" w:rsidRDefault="001C7BF9">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C9680B">
        <w:tblPrEx>
          <w:tblCellMar>
            <w:top w:w="0" w:type="dxa"/>
            <w:bottom w:w="0" w:type="dxa"/>
          </w:tblCellMar>
        </w:tblPrEx>
        <w:tc>
          <w:tcPr>
            <w:tcW w:w="2197" w:type="dxa"/>
            <w:shd w:val="pct35" w:color="auto" w:fill="FFFFFF"/>
          </w:tcPr>
          <w:p w:rsidR="001C7BF9" w:rsidRPr="00C9680B" w:rsidRDefault="001C7BF9">
            <w:pPr>
              <w:jc w:val="center"/>
            </w:pPr>
          </w:p>
        </w:tc>
        <w:tc>
          <w:tcPr>
            <w:tcW w:w="1275" w:type="dxa"/>
          </w:tcPr>
          <w:p w:rsidR="001C7BF9" w:rsidRPr="00C9680B" w:rsidRDefault="001C7BF9">
            <w:pPr>
              <w:jc w:val="center"/>
            </w:pPr>
            <w:r w:rsidRPr="00C9680B">
              <w:rPr>
                <w:b/>
              </w:rPr>
              <w:t>Bå 2001</w:t>
            </w:r>
          </w:p>
          <w:p w:rsidR="001C7BF9" w:rsidRPr="00C9680B" w:rsidRDefault="001C7BF9">
            <w:r w:rsidRPr="00C9680B">
              <w:rPr>
                <w:i/>
              </w:rPr>
              <w:t>(mkr)</w:t>
            </w:r>
          </w:p>
        </w:tc>
        <w:tc>
          <w:tcPr>
            <w:tcW w:w="1276" w:type="dxa"/>
          </w:tcPr>
          <w:p w:rsidR="001C7BF9" w:rsidRPr="00C9680B" w:rsidRDefault="001C7BF9">
            <w:pPr>
              <w:jc w:val="center"/>
            </w:pPr>
            <w:r w:rsidRPr="00C9680B">
              <w:rPr>
                <w:b/>
              </w:rPr>
              <w:t>Bå 2002</w:t>
            </w:r>
          </w:p>
          <w:p w:rsidR="001C7BF9" w:rsidRPr="00C9680B" w:rsidRDefault="001C7BF9">
            <w:r w:rsidRPr="00C9680B">
              <w:rPr>
                <w:i/>
              </w:rPr>
              <w:t>(mkr)</w:t>
            </w:r>
          </w:p>
        </w:tc>
        <w:tc>
          <w:tcPr>
            <w:tcW w:w="1288" w:type="dxa"/>
          </w:tcPr>
          <w:p w:rsidR="001C7BF9" w:rsidRPr="00C9680B" w:rsidRDefault="001C7BF9">
            <w:pPr>
              <w:jc w:val="center"/>
            </w:pPr>
            <w:r w:rsidRPr="00C9680B">
              <w:rPr>
                <w:b/>
              </w:rPr>
              <w:t>Bå 2003</w:t>
            </w:r>
          </w:p>
          <w:p w:rsidR="001C7BF9" w:rsidRPr="00C9680B" w:rsidRDefault="001C7BF9">
            <w:r w:rsidRPr="00C9680B">
              <w:rPr>
                <w:i/>
              </w:rPr>
              <w:t>(mkr)</w:t>
            </w:r>
          </w:p>
        </w:tc>
      </w:tr>
      <w:tr w:rsidR="00000000" w:rsidRPr="00C9680B">
        <w:tblPrEx>
          <w:tblCellMar>
            <w:top w:w="0" w:type="dxa"/>
            <w:bottom w:w="0" w:type="dxa"/>
          </w:tblCellMar>
        </w:tblPrEx>
        <w:tc>
          <w:tcPr>
            <w:tcW w:w="2197" w:type="dxa"/>
          </w:tcPr>
          <w:p w:rsidR="001C7BF9" w:rsidRPr="00C9680B" w:rsidRDefault="001C7BF9">
            <w:r w:rsidRPr="00C9680B">
              <w:rPr>
                <w:b/>
              </w:rPr>
              <w:t>Propositionen</w:t>
            </w:r>
          </w:p>
        </w:tc>
        <w:tc>
          <w:tcPr>
            <w:tcW w:w="1275" w:type="dxa"/>
          </w:tcPr>
          <w:p w:rsidR="001C7BF9" w:rsidRPr="00C9680B" w:rsidRDefault="001C7BF9">
            <w:r w:rsidRPr="00C9680B">
              <w:t>2 908</w:t>
            </w:r>
          </w:p>
        </w:tc>
        <w:tc>
          <w:tcPr>
            <w:tcW w:w="1276" w:type="dxa"/>
          </w:tcPr>
          <w:p w:rsidR="001C7BF9" w:rsidRPr="00C9680B" w:rsidRDefault="001C7BF9">
            <w:r w:rsidRPr="00C9680B">
              <w:t>2 881</w:t>
            </w:r>
          </w:p>
        </w:tc>
        <w:tc>
          <w:tcPr>
            <w:tcW w:w="1288" w:type="dxa"/>
          </w:tcPr>
          <w:p w:rsidR="001C7BF9" w:rsidRPr="00C9680B" w:rsidRDefault="001C7BF9">
            <w:r w:rsidRPr="00C9680B">
              <w:t>2 926</w:t>
            </w:r>
          </w:p>
        </w:tc>
      </w:tr>
      <w:tr w:rsidR="00000000" w:rsidRPr="00C9680B">
        <w:tblPrEx>
          <w:tblCellMar>
            <w:top w:w="0" w:type="dxa"/>
            <w:bottom w:w="0" w:type="dxa"/>
          </w:tblCellMar>
        </w:tblPrEx>
        <w:tc>
          <w:tcPr>
            <w:tcW w:w="2197" w:type="dxa"/>
          </w:tcPr>
          <w:p w:rsidR="001C7BF9" w:rsidRPr="00C9680B" w:rsidRDefault="001C7BF9">
            <w:r w:rsidRPr="00C9680B">
              <w:rPr>
                <w:b/>
                <w:sz w:val="18"/>
              </w:rPr>
              <w:t>Moderata samlingspart</w:t>
            </w:r>
            <w:r w:rsidRPr="00C9680B">
              <w:rPr>
                <w:b/>
                <w:sz w:val="18"/>
              </w:rPr>
              <w:t>i</w:t>
            </w:r>
            <w:r w:rsidRPr="00C9680B">
              <w:rPr>
                <w:b/>
                <w:sz w:val="18"/>
              </w:rPr>
              <w:t>et</w:t>
            </w:r>
          </w:p>
        </w:tc>
        <w:tc>
          <w:tcPr>
            <w:tcW w:w="1275" w:type="dxa"/>
          </w:tcPr>
          <w:p w:rsidR="001C7BF9" w:rsidRPr="00C9680B" w:rsidRDefault="001C7BF9">
            <w:r w:rsidRPr="00C9680B">
              <w:t>- 88</w:t>
            </w:r>
          </w:p>
        </w:tc>
        <w:tc>
          <w:tcPr>
            <w:tcW w:w="1276" w:type="dxa"/>
          </w:tcPr>
          <w:p w:rsidR="001C7BF9" w:rsidRPr="00C9680B" w:rsidRDefault="001C7BF9">
            <w:r w:rsidRPr="00C9680B">
              <w:t>- 112</w:t>
            </w:r>
          </w:p>
        </w:tc>
        <w:tc>
          <w:tcPr>
            <w:tcW w:w="1288" w:type="dxa"/>
          </w:tcPr>
          <w:p w:rsidR="001C7BF9" w:rsidRPr="00C9680B" w:rsidRDefault="001C7BF9">
            <w:r w:rsidRPr="00C9680B">
              <w:t>- 115</w:t>
            </w:r>
          </w:p>
        </w:tc>
      </w:tr>
      <w:tr w:rsidR="00000000" w:rsidRPr="00C9680B">
        <w:tblPrEx>
          <w:tblCellMar>
            <w:top w:w="0" w:type="dxa"/>
            <w:bottom w:w="0" w:type="dxa"/>
          </w:tblCellMar>
        </w:tblPrEx>
        <w:tc>
          <w:tcPr>
            <w:tcW w:w="2197" w:type="dxa"/>
          </w:tcPr>
          <w:p w:rsidR="001C7BF9" w:rsidRPr="00C9680B" w:rsidRDefault="001C7BF9">
            <w:r w:rsidRPr="00C9680B">
              <w:rPr>
                <w:b/>
              </w:rPr>
              <w:t>Kristdemokraterna</w:t>
            </w:r>
          </w:p>
        </w:tc>
        <w:tc>
          <w:tcPr>
            <w:tcW w:w="1275" w:type="dxa"/>
          </w:tcPr>
          <w:p w:rsidR="001C7BF9" w:rsidRPr="00C9680B" w:rsidRDefault="001C7BF9">
            <w:r w:rsidRPr="00C9680B">
              <w:t>0</w:t>
            </w:r>
          </w:p>
        </w:tc>
        <w:tc>
          <w:tcPr>
            <w:tcW w:w="1276" w:type="dxa"/>
          </w:tcPr>
          <w:p w:rsidR="001C7BF9" w:rsidRPr="00C9680B" w:rsidRDefault="001C7BF9">
            <w:r w:rsidRPr="00C9680B">
              <w:t>0</w:t>
            </w:r>
          </w:p>
        </w:tc>
        <w:tc>
          <w:tcPr>
            <w:tcW w:w="1288" w:type="dxa"/>
          </w:tcPr>
          <w:p w:rsidR="001C7BF9" w:rsidRPr="00C9680B" w:rsidRDefault="001C7BF9">
            <w:r w:rsidRPr="00C9680B">
              <w:t>0</w:t>
            </w:r>
          </w:p>
        </w:tc>
      </w:tr>
      <w:tr w:rsidR="00000000" w:rsidRPr="00C9680B">
        <w:tblPrEx>
          <w:tblCellMar>
            <w:top w:w="0" w:type="dxa"/>
            <w:bottom w:w="0" w:type="dxa"/>
          </w:tblCellMar>
        </w:tblPrEx>
        <w:tc>
          <w:tcPr>
            <w:tcW w:w="2197" w:type="dxa"/>
          </w:tcPr>
          <w:p w:rsidR="001C7BF9" w:rsidRPr="00C9680B" w:rsidRDefault="001C7BF9">
            <w:r w:rsidRPr="00C9680B">
              <w:rPr>
                <w:b/>
              </w:rPr>
              <w:t>Centerpartiet</w:t>
            </w:r>
          </w:p>
        </w:tc>
        <w:tc>
          <w:tcPr>
            <w:tcW w:w="1275" w:type="dxa"/>
          </w:tcPr>
          <w:p w:rsidR="001C7BF9" w:rsidRPr="00C9680B" w:rsidRDefault="001C7BF9">
            <w:r w:rsidRPr="00C9680B">
              <w:t>0</w:t>
            </w:r>
          </w:p>
        </w:tc>
        <w:tc>
          <w:tcPr>
            <w:tcW w:w="1276" w:type="dxa"/>
          </w:tcPr>
          <w:p w:rsidR="001C7BF9" w:rsidRPr="00C9680B" w:rsidRDefault="001C7BF9">
            <w:r w:rsidRPr="00C9680B">
              <w:t>0</w:t>
            </w:r>
          </w:p>
        </w:tc>
        <w:tc>
          <w:tcPr>
            <w:tcW w:w="1288" w:type="dxa"/>
          </w:tcPr>
          <w:p w:rsidR="001C7BF9" w:rsidRPr="00C9680B" w:rsidRDefault="001C7BF9">
            <w:r w:rsidRPr="00C9680B">
              <w:t>0</w:t>
            </w:r>
          </w:p>
        </w:tc>
      </w:tr>
      <w:tr w:rsidR="00000000" w:rsidRPr="00C9680B">
        <w:tblPrEx>
          <w:tblCellMar>
            <w:top w:w="0" w:type="dxa"/>
            <w:bottom w:w="0" w:type="dxa"/>
          </w:tblCellMar>
        </w:tblPrEx>
        <w:tc>
          <w:tcPr>
            <w:tcW w:w="2197" w:type="dxa"/>
          </w:tcPr>
          <w:p w:rsidR="001C7BF9" w:rsidRPr="00C9680B" w:rsidRDefault="001C7BF9">
            <w:r w:rsidRPr="00C9680B">
              <w:rPr>
                <w:b/>
              </w:rPr>
              <w:t>Folkpartiet</w:t>
            </w:r>
          </w:p>
        </w:tc>
        <w:tc>
          <w:tcPr>
            <w:tcW w:w="1275" w:type="dxa"/>
          </w:tcPr>
          <w:p w:rsidR="001C7BF9" w:rsidRPr="00C9680B" w:rsidRDefault="001C7BF9">
            <w:r w:rsidRPr="00C9680B">
              <w:t>0</w:t>
            </w:r>
          </w:p>
        </w:tc>
        <w:tc>
          <w:tcPr>
            <w:tcW w:w="1276" w:type="dxa"/>
          </w:tcPr>
          <w:p w:rsidR="001C7BF9" w:rsidRPr="00C9680B" w:rsidRDefault="001C7BF9">
            <w:r w:rsidRPr="00C9680B">
              <w:t>0</w:t>
            </w:r>
          </w:p>
        </w:tc>
        <w:tc>
          <w:tcPr>
            <w:tcW w:w="1288" w:type="dxa"/>
          </w:tcPr>
          <w:p w:rsidR="001C7BF9" w:rsidRPr="00C9680B" w:rsidRDefault="001C7BF9">
            <w:r w:rsidRPr="00C9680B">
              <w:t>0</w:t>
            </w:r>
          </w:p>
        </w:tc>
      </w:tr>
    </w:tbl>
    <w:p w:rsidR="001C7BF9" w:rsidRPr="00C9680B" w:rsidRDefault="001C7BF9"/>
    <w:p w:rsidR="001C7BF9" w:rsidRPr="00C9680B" w:rsidRDefault="001C7BF9">
      <w:pPr>
        <w:pStyle w:val="Rubrik2"/>
      </w:pPr>
      <w:r w:rsidRPr="00C9680B">
        <w:br w:type="page"/>
      </w:r>
      <w:bookmarkStart w:id="1143" w:name="_Toc465764676"/>
      <w:bookmarkStart w:id="1144" w:name="_Toc498838248"/>
      <w:r w:rsidRPr="00C9680B">
        <w:t>Utgiftsområde 7 Internationellt bistånd</w:t>
      </w:r>
      <w:bookmarkEnd w:id="1143"/>
      <w:bookmarkEnd w:id="1144"/>
    </w:p>
    <w:p w:rsidR="001C7BF9" w:rsidRPr="00C9680B" w:rsidRDefault="001C7BF9">
      <w:pPr>
        <w:spacing w:before="187"/>
        <w:outlineLvl w:val="0"/>
      </w:pPr>
      <w:r w:rsidRPr="00C9680B">
        <w:t>Absoluta tal</w:t>
      </w:r>
    </w:p>
    <w:p w:rsidR="001C7BF9" w:rsidRPr="00C9680B" w:rsidRDefault="001C7BF9">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C9680B">
        <w:tblPrEx>
          <w:tblCellMar>
            <w:top w:w="0" w:type="dxa"/>
            <w:bottom w:w="0" w:type="dxa"/>
          </w:tblCellMar>
        </w:tblPrEx>
        <w:tc>
          <w:tcPr>
            <w:tcW w:w="2197" w:type="dxa"/>
            <w:shd w:val="pct35" w:color="auto" w:fill="FFFFFF"/>
          </w:tcPr>
          <w:p w:rsidR="001C7BF9" w:rsidRPr="00C9680B" w:rsidRDefault="001C7BF9">
            <w:pPr>
              <w:jc w:val="center"/>
            </w:pPr>
          </w:p>
        </w:tc>
        <w:tc>
          <w:tcPr>
            <w:tcW w:w="1275" w:type="dxa"/>
          </w:tcPr>
          <w:p w:rsidR="001C7BF9" w:rsidRPr="00C9680B" w:rsidRDefault="001C7BF9">
            <w:pPr>
              <w:jc w:val="center"/>
            </w:pPr>
            <w:r w:rsidRPr="00C9680B">
              <w:rPr>
                <w:b/>
              </w:rPr>
              <w:t>Bå 2001</w:t>
            </w:r>
          </w:p>
          <w:p w:rsidR="001C7BF9" w:rsidRPr="00C9680B" w:rsidRDefault="001C7BF9">
            <w:r w:rsidRPr="00C9680B">
              <w:rPr>
                <w:i/>
              </w:rPr>
              <w:t>(mkr)</w:t>
            </w:r>
          </w:p>
        </w:tc>
        <w:tc>
          <w:tcPr>
            <w:tcW w:w="1276" w:type="dxa"/>
          </w:tcPr>
          <w:p w:rsidR="001C7BF9" w:rsidRPr="00C9680B" w:rsidRDefault="001C7BF9">
            <w:pPr>
              <w:jc w:val="center"/>
            </w:pPr>
            <w:r w:rsidRPr="00C9680B">
              <w:rPr>
                <w:b/>
              </w:rPr>
              <w:t>Bå 2002</w:t>
            </w:r>
          </w:p>
          <w:p w:rsidR="001C7BF9" w:rsidRPr="00C9680B" w:rsidRDefault="001C7BF9">
            <w:r w:rsidRPr="00C9680B">
              <w:rPr>
                <w:i/>
              </w:rPr>
              <w:t>(mkr)</w:t>
            </w:r>
          </w:p>
        </w:tc>
        <w:tc>
          <w:tcPr>
            <w:tcW w:w="1288" w:type="dxa"/>
          </w:tcPr>
          <w:p w:rsidR="001C7BF9" w:rsidRPr="00C9680B" w:rsidRDefault="001C7BF9">
            <w:pPr>
              <w:jc w:val="center"/>
            </w:pPr>
            <w:r w:rsidRPr="00C9680B">
              <w:rPr>
                <w:b/>
              </w:rPr>
              <w:t>Bå 2003</w:t>
            </w:r>
          </w:p>
          <w:p w:rsidR="001C7BF9" w:rsidRPr="00C9680B" w:rsidRDefault="001C7BF9">
            <w:r w:rsidRPr="00C9680B">
              <w:rPr>
                <w:i/>
              </w:rPr>
              <w:t>(mkr)</w:t>
            </w:r>
          </w:p>
        </w:tc>
      </w:tr>
      <w:tr w:rsidR="00000000" w:rsidRPr="00C9680B">
        <w:tblPrEx>
          <w:tblCellMar>
            <w:top w:w="0" w:type="dxa"/>
            <w:bottom w:w="0" w:type="dxa"/>
          </w:tblCellMar>
        </w:tblPrEx>
        <w:tc>
          <w:tcPr>
            <w:tcW w:w="2197" w:type="dxa"/>
          </w:tcPr>
          <w:p w:rsidR="001C7BF9" w:rsidRPr="00C9680B" w:rsidRDefault="001C7BF9">
            <w:r w:rsidRPr="00C9680B">
              <w:rPr>
                <w:b/>
              </w:rPr>
              <w:t>Propositionen</w:t>
            </w:r>
          </w:p>
        </w:tc>
        <w:tc>
          <w:tcPr>
            <w:tcW w:w="1275" w:type="dxa"/>
          </w:tcPr>
          <w:p w:rsidR="001C7BF9" w:rsidRPr="00C9680B" w:rsidRDefault="001C7BF9">
            <w:r w:rsidRPr="00C9680B">
              <w:t>14 966</w:t>
            </w:r>
          </w:p>
        </w:tc>
        <w:tc>
          <w:tcPr>
            <w:tcW w:w="1276" w:type="dxa"/>
          </w:tcPr>
          <w:p w:rsidR="001C7BF9" w:rsidRPr="00C9680B" w:rsidRDefault="001C7BF9">
            <w:r w:rsidRPr="00C9680B">
              <w:t>15 570</w:t>
            </w:r>
          </w:p>
        </w:tc>
        <w:tc>
          <w:tcPr>
            <w:tcW w:w="1288" w:type="dxa"/>
          </w:tcPr>
          <w:p w:rsidR="001C7BF9" w:rsidRPr="00C9680B" w:rsidRDefault="001C7BF9">
            <w:r w:rsidRPr="00C9680B">
              <w:t>18 185</w:t>
            </w:r>
          </w:p>
        </w:tc>
      </w:tr>
      <w:tr w:rsidR="00000000" w:rsidRPr="00C9680B">
        <w:tblPrEx>
          <w:tblCellMar>
            <w:top w:w="0" w:type="dxa"/>
            <w:bottom w:w="0" w:type="dxa"/>
          </w:tblCellMar>
        </w:tblPrEx>
        <w:tc>
          <w:tcPr>
            <w:tcW w:w="2197" w:type="dxa"/>
          </w:tcPr>
          <w:p w:rsidR="001C7BF9" w:rsidRPr="00C9680B" w:rsidRDefault="001C7BF9">
            <w:r w:rsidRPr="00C9680B">
              <w:rPr>
                <w:b/>
                <w:sz w:val="18"/>
              </w:rPr>
              <w:t>Moderata samlingspart</w:t>
            </w:r>
            <w:r w:rsidRPr="00C9680B">
              <w:rPr>
                <w:b/>
                <w:sz w:val="18"/>
              </w:rPr>
              <w:t>i</w:t>
            </w:r>
            <w:r w:rsidRPr="00C9680B">
              <w:rPr>
                <w:b/>
                <w:sz w:val="18"/>
              </w:rPr>
              <w:t>et</w:t>
            </w:r>
          </w:p>
        </w:tc>
        <w:tc>
          <w:tcPr>
            <w:tcW w:w="1275" w:type="dxa"/>
          </w:tcPr>
          <w:p w:rsidR="001C7BF9" w:rsidRPr="00C9680B" w:rsidRDefault="001C7BF9">
            <w:r w:rsidRPr="00C9680B">
              <w:t>14 000</w:t>
            </w:r>
          </w:p>
        </w:tc>
        <w:tc>
          <w:tcPr>
            <w:tcW w:w="1276" w:type="dxa"/>
          </w:tcPr>
          <w:p w:rsidR="001C7BF9" w:rsidRPr="00C9680B" w:rsidRDefault="001C7BF9">
            <w:r w:rsidRPr="00C9680B">
              <w:t>13 662</w:t>
            </w:r>
          </w:p>
        </w:tc>
        <w:tc>
          <w:tcPr>
            <w:tcW w:w="1288" w:type="dxa"/>
          </w:tcPr>
          <w:p w:rsidR="001C7BF9" w:rsidRPr="00C9680B" w:rsidRDefault="001C7BF9">
            <w:r w:rsidRPr="00C9680B">
              <w:t>14 125</w:t>
            </w:r>
          </w:p>
        </w:tc>
      </w:tr>
      <w:tr w:rsidR="00000000" w:rsidRPr="00C9680B">
        <w:tblPrEx>
          <w:tblCellMar>
            <w:top w:w="0" w:type="dxa"/>
            <w:bottom w:w="0" w:type="dxa"/>
          </w:tblCellMar>
        </w:tblPrEx>
        <w:tc>
          <w:tcPr>
            <w:tcW w:w="2197" w:type="dxa"/>
          </w:tcPr>
          <w:p w:rsidR="001C7BF9" w:rsidRPr="00C9680B" w:rsidRDefault="001C7BF9">
            <w:r w:rsidRPr="00C9680B">
              <w:rPr>
                <w:b/>
              </w:rPr>
              <w:t>Kristdemokraterna</w:t>
            </w:r>
          </w:p>
        </w:tc>
        <w:tc>
          <w:tcPr>
            <w:tcW w:w="1275" w:type="dxa"/>
          </w:tcPr>
          <w:p w:rsidR="001C7BF9" w:rsidRPr="00C9680B" w:rsidRDefault="001C7BF9">
            <w:r w:rsidRPr="00C9680B">
              <w:t>15 566</w:t>
            </w:r>
          </w:p>
        </w:tc>
        <w:tc>
          <w:tcPr>
            <w:tcW w:w="1276" w:type="dxa"/>
          </w:tcPr>
          <w:p w:rsidR="001C7BF9" w:rsidRPr="00C9680B" w:rsidRDefault="001C7BF9">
            <w:r w:rsidRPr="00C9680B">
              <w:t>16 370</w:t>
            </w:r>
          </w:p>
        </w:tc>
        <w:tc>
          <w:tcPr>
            <w:tcW w:w="1288" w:type="dxa"/>
          </w:tcPr>
          <w:p w:rsidR="001C7BF9" w:rsidRPr="00C9680B" w:rsidRDefault="001C7BF9">
            <w:r w:rsidRPr="00C9680B">
              <w:t>20 185</w:t>
            </w:r>
          </w:p>
        </w:tc>
      </w:tr>
      <w:tr w:rsidR="00000000" w:rsidRPr="00C9680B">
        <w:tblPrEx>
          <w:tblCellMar>
            <w:top w:w="0" w:type="dxa"/>
            <w:bottom w:w="0" w:type="dxa"/>
          </w:tblCellMar>
        </w:tblPrEx>
        <w:tc>
          <w:tcPr>
            <w:tcW w:w="2197" w:type="dxa"/>
          </w:tcPr>
          <w:p w:rsidR="001C7BF9" w:rsidRPr="00C9680B" w:rsidRDefault="001C7BF9">
            <w:r w:rsidRPr="00C9680B">
              <w:rPr>
                <w:b/>
              </w:rPr>
              <w:t>Centerpartiet</w:t>
            </w:r>
          </w:p>
        </w:tc>
        <w:tc>
          <w:tcPr>
            <w:tcW w:w="1275" w:type="dxa"/>
          </w:tcPr>
          <w:p w:rsidR="001C7BF9" w:rsidRPr="00C9680B" w:rsidRDefault="001C7BF9">
            <w:r w:rsidRPr="00C9680B">
              <w:t>15 666</w:t>
            </w:r>
          </w:p>
        </w:tc>
        <w:tc>
          <w:tcPr>
            <w:tcW w:w="1276" w:type="dxa"/>
          </w:tcPr>
          <w:p w:rsidR="001C7BF9" w:rsidRPr="00C9680B" w:rsidRDefault="001C7BF9">
            <w:r w:rsidRPr="00C9680B">
              <w:t>16 520</w:t>
            </w:r>
          </w:p>
        </w:tc>
        <w:tc>
          <w:tcPr>
            <w:tcW w:w="1288" w:type="dxa"/>
          </w:tcPr>
          <w:p w:rsidR="001C7BF9" w:rsidRPr="00C9680B" w:rsidRDefault="001C7BF9">
            <w:r w:rsidRPr="00C9680B">
              <w:t>18 410</w:t>
            </w:r>
          </w:p>
        </w:tc>
      </w:tr>
      <w:tr w:rsidR="00000000" w:rsidRPr="00C9680B">
        <w:tblPrEx>
          <w:tblCellMar>
            <w:top w:w="0" w:type="dxa"/>
            <w:bottom w:w="0" w:type="dxa"/>
          </w:tblCellMar>
        </w:tblPrEx>
        <w:tc>
          <w:tcPr>
            <w:tcW w:w="2197" w:type="dxa"/>
          </w:tcPr>
          <w:p w:rsidR="001C7BF9" w:rsidRPr="00C9680B" w:rsidRDefault="001C7BF9">
            <w:r w:rsidRPr="00C9680B">
              <w:rPr>
                <w:b/>
              </w:rPr>
              <w:t>Folkpartiet</w:t>
            </w:r>
          </w:p>
        </w:tc>
        <w:tc>
          <w:tcPr>
            <w:tcW w:w="1275" w:type="dxa"/>
          </w:tcPr>
          <w:p w:rsidR="001C7BF9" w:rsidRPr="00C9680B" w:rsidRDefault="001C7BF9">
            <w:r w:rsidRPr="00C9680B">
              <w:t>16 666</w:t>
            </w:r>
          </w:p>
        </w:tc>
        <w:tc>
          <w:tcPr>
            <w:tcW w:w="1276" w:type="dxa"/>
          </w:tcPr>
          <w:p w:rsidR="001C7BF9" w:rsidRPr="00C9680B" w:rsidRDefault="001C7BF9">
            <w:r w:rsidRPr="00C9680B">
              <w:t>17 970</w:t>
            </w:r>
          </w:p>
        </w:tc>
        <w:tc>
          <w:tcPr>
            <w:tcW w:w="1288" w:type="dxa"/>
          </w:tcPr>
          <w:p w:rsidR="001C7BF9" w:rsidRPr="00C9680B" w:rsidRDefault="001C7BF9">
            <w:r w:rsidRPr="00C9680B">
              <w:t>19 885</w:t>
            </w:r>
          </w:p>
        </w:tc>
      </w:tr>
    </w:tbl>
    <w:p w:rsidR="001C7BF9" w:rsidRPr="00C9680B" w:rsidRDefault="001C7BF9">
      <w:pPr>
        <w:pStyle w:val="Normaltindrag"/>
      </w:pPr>
    </w:p>
    <w:p w:rsidR="001C7BF9" w:rsidRPr="00C9680B" w:rsidRDefault="001C7BF9">
      <w:pPr>
        <w:outlineLvl w:val="0"/>
      </w:pPr>
      <w:r w:rsidRPr="00C9680B">
        <w:t>Regeringens förslag och differenser gentemot detta</w:t>
      </w:r>
    </w:p>
    <w:p w:rsidR="001C7BF9" w:rsidRPr="00C9680B" w:rsidRDefault="001C7BF9">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C9680B">
        <w:tblPrEx>
          <w:tblCellMar>
            <w:top w:w="0" w:type="dxa"/>
            <w:bottom w:w="0" w:type="dxa"/>
          </w:tblCellMar>
        </w:tblPrEx>
        <w:tc>
          <w:tcPr>
            <w:tcW w:w="2197" w:type="dxa"/>
            <w:shd w:val="pct35" w:color="auto" w:fill="FFFFFF"/>
          </w:tcPr>
          <w:p w:rsidR="001C7BF9" w:rsidRPr="00C9680B" w:rsidRDefault="001C7BF9">
            <w:pPr>
              <w:jc w:val="center"/>
            </w:pPr>
          </w:p>
          <w:p w:rsidR="001C7BF9" w:rsidRPr="00C9680B" w:rsidRDefault="001C7BF9">
            <w:pPr>
              <w:pStyle w:val="Normaltindrag"/>
              <w:jc w:val="center"/>
            </w:pPr>
          </w:p>
        </w:tc>
        <w:tc>
          <w:tcPr>
            <w:tcW w:w="1275" w:type="dxa"/>
          </w:tcPr>
          <w:p w:rsidR="001C7BF9" w:rsidRPr="00C9680B" w:rsidRDefault="001C7BF9">
            <w:pPr>
              <w:jc w:val="center"/>
            </w:pPr>
            <w:r w:rsidRPr="00C9680B">
              <w:rPr>
                <w:b/>
              </w:rPr>
              <w:t>Bå 2001</w:t>
            </w:r>
          </w:p>
          <w:p w:rsidR="001C7BF9" w:rsidRPr="00C9680B" w:rsidRDefault="001C7BF9">
            <w:r w:rsidRPr="00C9680B">
              <w:rPr>
                <w:i/>
              </w:rPr>
              <w:t>(mkr)</w:t>
            </w:r>
          </w:p>
        </w:tc>
        <w:tc>
          <w:tcPr>
            <w:tcW w:w="1276" w:type="dxa"/>
          </w:tcPr>
          <w:p w:rsidR="001C7BF9" w:rsidRPr="00C9680B" w:rsidRDefault="001C7BF9">
            <w:pPr>
              <w:jc w:val="center"/>
            </w:pPr>
            <w:r w:rsidRPr="00C9680B">
              <w:rPr>
                <w:b/>
              </w:rPr>
              <w:t>Bå 2002</w:t>
            </w:r>
          </w:p>
          <w:p w:rsidR="001C7BF9" w:rsidRPr="00C9680B" w:rsidRDefault="001C7BF9">
            <w:r w:rsidRPr="00C9680B">
              <w:rPr>
                <w:i/>
              </w:rPr>
              <w:t>(mkr)</w:t>
            </w:r>
          </w:p>
        </w:tc>
        <w:tc>
          <w:tcPr>
            <w:tcW w:w="1288" w:type="dxa"/>
          </w:tcPr>
          <w:p w:rsidR="001C7BF9" w:rsidRPr="00C9680B" w:rsidRDefault="001C7BF9">
            <w:pPr>
              <w:pStyle w:val="Rubrik4"/>
              <w:spacing w:before="120"/>
              <w:jc w:val="center"/>
              <w:rPr>
                <w:b/>
                <w:i w:val="0"/>
                <w:noProof w:val="0"/>
              </w:rPr>
            </w:pPr>
            <w:r w:rsidRPr="00C9680B">
              <w:rPr>
                <w:b/>
                <w:i w:val="0"/>
                <w:noProof w:val="0"/>
              </w:rPr>
              <w:t>Bå 2003</w:t>
            </w:r>
          </w:p>
          <w:p w:rsidR="001C7BF9" w:rsidRPr="00C9680B" w:rsidRDefault="001C7BF9">
            <w:r w:rsidRPr="00C9680B">
              <w:rPr>
                <w:i/>
              </w:rPr>
              <w:t>(mkr)</w:t>
            </w:r>
          </w:p>
        </w:tc>
      </w:tr>
      <w:tr w:rsidR="00000000" w:rsidRPr="00C9680B">
        <w:tblPrEx>
          <w:tblCellMar>
            <w:top w:w="0" w:type="dxa"/>
            <w:bottom w:w="0" w:type="dxa"/>
          </w:tblCellMar>
        </w:tblPrEx>
        <w:tc>
          <w:tcPr>
            <w:tcW w:w="2197" w:type="dxa"/>
          </w:tcPr>
          <w:p w:rsidR="001C7BF9" w:rsidRPr="00C9680B" w:rsidRDefault="001C7BF9">
            <w:r w:rsidRPr="00C9680B">
              <w:rPr>
                <w:b/>
              </w:rPr>
              <w:t>Propositionen</w:t>
            </w:r>
          </w:p>
        </w:tc>
        <w:tc>
          <w:tcPr>
            <w:tcW w:w="1275" w:type="dxa"/>
          </w:tcPr>
          <w:p w:rsidR="001C7BF9" w:rsidRPr="00C9680B" w:rsidRDefault="001C7BF9">
            <w:r w:rsidRPr="00C9680B">
              <w:t>14 966</w:t>
            </w:r>
          </w:p>
        </w:tc>
        <w:tc>
          <w:tcPr>
            <w:tcW w:w="1276" w:type="dxa"/>
          </w:tcPr>
          <w:p w:rsidR="001C7BF9" w:rsidRPr="00C9680B" w:rsidRDefault="001C7BF9">
            <w:r w:rsidRPr="00C9680B">
              <w:t>15 570</w:t>
            </w:r>
          </w:p>
        </w:tc>
        <w:tc>
          <w:tcPr>
            <w:tcW w:w="1288" w:type="dxa"/>
          </w:tcPr>
          <w:p w:rsidR="001C7BF9" w:rsidRPr="00C9680B" w:rsidRDefault="001C7BF9">
            <w:r w:rsidRPr="00C9680B">
              <w:t>18 185</w:t>
            </w:r>
          </w:p>
        </w:tc>
      </w:tr>
      <w:tr w:rsidR="00000000" w:rsidRPr="00C9680B">
        <w:tblPrEx>
          <w:tblCellMar>
            <w:top w:w="0" w:type="dxa"/>
            <w:bottom w:w="0" w:type="dxa"/>
          </w:tblCellMar>
        </w:tblPrEx>
        <w:tc>
          <w:tcPr>
            <w:tcW w:w="2197" w:type="dxa"/>
          </w:tcPr>
          <w:p w:rsidR="001C7BF9" w:rsidRPr="00C9680B" w:rsidRDefault="001C7BF9">
            <w:r w:rsidRPr="00C9680B">
              <w:rPr>
                <w:b/>
                <w:sz w:val="18"/>
              </w:rPr>
              <w:t>Moderata samlingspart</w:t>
            </w:r>
            <w:r w:rsidRPr="00C9680B">
              <w:rPr>
                <w:b/>
                <w:sz w:val="18"/>
              </w:rPr>
              <w:t>i</w:t>
            </w:r>
            <w:r w:rsidRPr="00C9680B">
              <w:rPr>
                <w:b/>
                <w:sz w:val="18"/>
              </w:rPr>
              <w:t>et</w:t>
            </w:r>
          </w:p>
        </w:tc>
        <w:tc>
          <w:tcPr>
            <w:tcW w:w="1275" w:type="dxa"/>
          </w:tcPr>
          <w:p w:rsidR="001C7BF9" w:rsidRPr="00C9680B" w:rsidRDefault="001C7BF9">
            <w:r w:rsidRPr="00C9680B">
              <w:t>- 966</w:t>
            </w:r>
          </w:p>
        </w:tc>
        <w:tc>
          <w:tcPr>
            <w:tcW w:w="1276" w:type="dxa"/>
          </w:tcPr>
          <w:p w:rsidR="001C7BF9" w:rsidRPr="00C9680B" w:rsidRDefault="001C7BF9">
            <w:r w:rsidRPr="00C9680B">
              <w:t>- 1 908</w:t>
            </w:r>
          </w:p>
        </w:tc>
        <w:tc>
          <w:tcPr>
            <w:tcW w:w="1288" w:type="dxa"/>
          </w:tcPr>
          <w:p w:rsidR="001C7BF9" w:rsidRPr="00C9680B" w:rsidRDefault="001C7BF9">
            <w:r w:rsidRPr="00C9680B">
              <w:t>- 4 060</w:t>
            </w:r>
          </w:p>
        </w:tc>
      </w:tr>
      <w:tr w:rsidR="00000000" w:rsidRPr="00C9680B">
        <w:tblPrEx>
          <w:tblCellMar>
            <w:top w:w="0" w:type="dxa"/>
            <w:bottom w:w="0" w:type="dxa"/>
          </w:tblCellMar>
        </w:tblPrEx>
        <w:tc>
          <w:tcPr>
            <w:tcW w:w="2197" w:type="dxa"/>
          </w:tcPr>
          <w:p w:rsidR="001C7BF9" w:rsidRPr="00C9680B" w:rsidRDefault="001C7BF9">
            <w:r w:rsidRPr="00C9680B">
              <w:rPr>
                <w:b/>
              </w:rPr>
              <w:t>Kristdemokraterna</w:t>
            </w:r>
          </w:p>
        </w:tc>
        <w:tc>
          <w:tcPr>
            <w:tcW w:w="1275" w:type="dxa"/>
          </w:tcPr>
          <w:p w:rsidR="001C7BF9" w:rsidRPr="00C9680B" w:rsidRDefault="001C7BF9">
            <w:r w:rsidRPr="00C9680B">
              <w:t>+ 600</w:t>
            </w:r>
          </w:p>
        </w:tc>
        <w:tc>
          <w:tcPr>
            <w:tcW w:w="1276" w:type="dxa"/>
          </w:tcPr>
          <w:p w:rsidR="001C7BF9" w:rsidRPr="00C9680B" w:rsidRDefault="001C7BF9">
            <w:r w:rsidRPr="00C9680B">
              <w:t>+ 800</w:t>
            </w:r>
          </w:p>
        </w:tc>
        <w:tc>
          <w:tcPr>
            <w:tcW w:w="1288" w:type="dxa"/>
          </w:tcPr>
          <w:p w:rsidR="001C7BF9" w:rsidRPr="00C9680B" w:rsidRDefault="001C7BF9">
            <w:r w:rsidRPr="00C9680B">
              <w:t>+ 2000</w:t>
            </w:r>
          </w:p>
        </w:tc>
      </w:tr>
      <w:tr w:rsidR="00000000" w:rsidRPr="00C9680B">
        <w:tblPrEx>
          <w:tblCellMar>
            <w:top w:w="0" w:type="dxa"/>
            <w:bottom w:w="0" w:type="dxa"/>
          </w:tblCellMar>
        </w:tblPrEx>
        <w:tc>
          <w:tcPr>
            <w:tcW w:w="2197" w:type="dxa"/>
          </w:tcPr>
          <w:p w:rsidR="001C7BF9" w:rsidRPr="00C9680B" w:rsidRDefault="001C7BF9">
            <w:r w:rsidRPr="00C9680B">
              <w:rPr>
                <w:b/>
              </w:rPr>
              <w:t>Centerpartiet</w:t>
            </w:r>
          </w:p>
        </w:tc>
        <w:tc>
          <w:tcPr>
            <w:tcW w:w="1275" w:type="dxa"/>
          </w:tcPr>
          <w:p w:rsidR="001C7BF9" w:rsidRPr="00C9680B" w:rsidRDefault="001C7BF9">
            <w:r w:rsidRPr="00C9680B">
              <w:t>+ 700</w:t>
            </w:r>
          </w:p>
        </w:tc>
        <w:tc>
          <w:tcPr>
            <w:tcW w:w="1276" w:type="dxa"/>
          </w:tcPr>
          <w:p w:rsidR="001C7BF9" w:rsidRPr="00C9680B" w:rsidRDefault="001C7BF9">
            <w:r w:rsidRPr="00C9680B">
              <w:t>+ 950</w:t>
            </w:r>
          </w:p>
        </w:tc>
        <w:tc>
          <w:tcPr>
            <w:tcW w:w="1288" w:type="dxa"/>
          </w:tcPr>
          <w:p w:rsidR="001C7BF9" w:rsidRPr="00C9680B" w:rsidRDefault="001C7BF9">
            <w:r w:rsidRPr="00C9680B">
              <w:t>+ 225</w:t>
            </w:r>
          </w:p>
        </w:tc>
      </w:tr>
      <w:tr w:rsidR="00000000" w:rsidRPr="00C9680B">
        <w:tblPrEx>
          <w:tblCellMar>
            <w:top w:w="0" w:type="dxa"/>
            <w:bottom w:w="0" w:type="dxa"/>
          </w:tblCellMar>
        </w:tblPrEx>
        <w:tc>
          <w:tcPr>
            <w:tcW w:w="2197" w:type="dxa"/>
          </w:tcPr>
          <w:p w:rsidR="001C7BF9" w:rsidRPr="00C9680B" w:rsidRDefault="001C7BF9">
            <w:r w:rsidRPr="00C9680B">
              <w:rPr>
                <w:b/>
              </w:rPr>
              <w:t>Folkpartiet</w:t>
            </w:r>
          </w:p>
        </w:tc>
        <w:tc>
          <w:tcPr>
            <w:tcW w:w="1275" w:type="dxa"/>
          </w:tcPr>
          <w:p w:rsidR="001C7BF9" w:rsidRPr="00C9680B" w:rsidRDefault="001C7BF9">
            <w:r w:rsidRPr="00C9680B">
              <w:t>+ 1 700</w:t>
            </w:r>
          </w:p>
        </w:tc>
        <w:tc>
          <w:tcPr>
            <w:tcW w:w="1276" w:type="dxa"/>
          </w:tcPr>
          <w:p w:rsidR="001C7BF9" w:rsidRPr="00C9680B" w:rsidRDefault="001C7BF9">
            <w:r w:rsidRPr="00C9680B">
              <w:t>+ 2 400</w:t>
            </w:r>
          </w:p>
        </w:tc>
        <w:tc>
          <w:tcPr>
            <w:tcW w:w="1288" w:type="dxa"/>
          </w:tcPr>
          <w:p w:rsidR="001C7BF9" w:rsidRPr="00C9680B" w:rsidRDefault="001C7BF9">
            <w:r w:rsidRPr="00C9680B">
              <w:t>+ 1 700</w:t>
            </w:r>
          </w:p>
        </w:tc>
      </w:tr>
    </w:tbl>
    <w:p w:rsidR="001C7BF9" w:rsidRPr="00C9680B" w:rsidRDefault="001C7BF9">
      <w:r w:rsidRPr="00C9680B">
        <w:rPr>
          <w:sz w:val="16"/>
        </w:rPr>
        <w:t>Anm: Ovanstående båda tabeller är sinsemellan inte helt jämförbara på grund av beloppsa</w:t>
      </w:r>
      <w:r w:rsidRPr="00C9680B">
        <w:rPr>
          <w:sz w:val="16"/>
        </w:rPr>
        <w:t>v</w:t>
      </w:r>
      <w:r w:rsidRPr="00C9680B">
        <w:rPr>
          <w:sz w:val="16"/>
        </w:rPr>
        <w:t>run</w:t>
      </w:r>
      <w:r w:rsidRPr="00C9680B">
        <w:rPr>
          <w:sz w:val="16"/>
        </w:rPr>
        <w:t>d</w:t>
      </w:r>
      <w:r w:rsidRPr="00C9680B">
        <w:rPr>
          <w:sz w:val="16"/>
        </w:rPr>
        <w:t>ningar.</w:t>
      </w:r>
    </w:p>
    <w:p w:rsidR="001C7BF9" w:rsidRPr="00C9680B" w:rsidRDefault="001C7BF9">
      <w:pPr>
        <w:pStyle w:val="Normaltindrag"/>
        <w:sectPr w:rsidR="00000000" w:rsidRPr="00C9680B">
          <w:headerReference w:type="even" r:id="rId129"/>
          <w:headerReference w:type="default" r:id="rId130"/>
          <w:footerReference w:type="even" r:id="rId131"/>
          <w:footerReference w:type="default" r:id="rId132"/>
          <w:headerReference w:type="first" r:id="rId133"/>
          <w:footerReference w:type="first" r:id="rId134"/>
          <w:footnotePr>
            <w:numRestart w:val="eachSect"/>
          </w:footnotePr>
          <w:pgSz w:w="11906" w:h="16838" w:code="9"/>
          <w:pgMar w:top="850" w:right="4649" w:bottom="4507" w:left="1304" w:header="340" w:footer="227" w:gutter="0"/>
          <w:cols w:space="720"/>
          <w:titlePg/>
        </w:sectPr>
      </w:pPr>
      <w:bookmarkStart w:id="1145" w:name="_Toc497709570"/>
    </w:p>
    <w:p w:rsidR="001C7BF9" w:rsidRPr="00C9680B" w:rsidRDefault="001C7BF9">
      <w:pPr>
        <w:pStyle w:val="Bilaga"/>
      </w:pPr>
      <w:r w:rsidRPr="00C9680B">
        <w:t>BILAGA 9</w:t>
      </w:r>
    </w:p>
    <w:p w:rsidR="001C7BF9" w:rsidRPr="00C9680B" w:rsidRDefault="001C7BF9">
      <w:pPr>
        <w:pStyle w:val="Rubrik1"/>
        <w:spacing w:after="0"/>
        <w:rPr>
          <w:noProof w:val="0"/>
        </w:rPr>
      </w:pPr>
      <w:bookmarkStart w:id="1146" w:name="_Toc498838249"/>
      <w:r w:rsidRPr="00C9680B">
        <w:rPr>
          <w:noProof w:val="0"/>
        </w:rPr>
        <w:t>Försvarsutskottets yttrande</w:t>
      </w:r>
      <w:bookmarkEnd w:id="1146"/>
    </w:p>
    <w:p w:rsidR="001C7BF9" w:rsidRPr="00C9680B" w:rsidRDefault="001C7BF9">
      <w:pPr>
        <w:pStyle w:val="R1"/>
        <w:spacing w:after="240"/>
      </w:pPr>
      <w:r w:rsidRPr="00C9680B">
        <w:t>2000/01:FöU1y</w:t>
      </w:r>
    </w:p>
    <w:p w:rsidR="001C7BF9" w:rsidRPr="00C9680B" w:rsidRDefault="001C7BF9">
      <w:pPr>
        <w:pStyle w:val="Rubrik2"/>
        <w:spacing w:before="125"/>
      </w:pPr>
      <w:bookmarkStart w:id="1147" w:name="_Toc498838250"/>
      <w:r w:rsidRPr="00C9680B">
        <w:t>Utgiftsområde 6 Totalförsvar</w:t>
      </w:r>
      <w:bookmarkEnd w:id="1147"/>
    </w:p>
    <w:p w:rsidR="001C7BF9" w:rsidRPr="00C9680B" w:rsidRDefault="001C7BF9">
      <w:pPr>
        <w:pStyle w:val="R1"/>
        <w:spacing w:before="440" w:after="240"/>
      </w:pPr>
      <w:r w:rsidRPr="00C9680B">
        <w:t>Till finansutskottet</w:t>
      </w:r>
      <w:bookmarkEnd w:id="1145"/>
    </w:p>
    <w:p w:rsidR="001C7BF9" w:rsidRPr="00C9680B" w:rsidRDefault="001C7BF9">
      <w:r w:rsidRPr="00C9680B">
        <w:t>Finansutskottet har berett försvarsutskottet tillfälle att yttra sig över regerin</w:t>
      </w:r>
      <w:r w:rsidRPr="00C9680B">
        <w:t>g</w:t>
      </w:r>
      <w:r w:rsidRPr="00C9680B">
        <w:t>ens proposition 2000/01:1 Budgetpropositionen för 2001 såvitt avser förslag till u</w:t>
      </w:r>
      <w:r w:rsidRPr="00C9680B">
        <w:t>t</w:t>
      </w:r>
      <w:r w:rsidRPr="00C9680B">
        <w:t>giftsramar m.m., jämte motioner.</w:t>
      </w:r>
    </w:p>
    <w:p w:rsidR="001C7BF9" w:rsidRPr="00C9680B" w:rsidRDefault="001C7BF9">
      <w:pPr>
        <w:pStyle w:val="R1"/>
        <w:spacing w:before="400" w:after="240"/>
      </w:pPr>
      <w:bookmarkStart w:id="1148" w:name="_Toc497709571"/>
      <w:r w:rsidRPr="00C9680B">
        <w:t>Försvarsutskottets överväganden</w:t>
      </w:r>
      <w:bookmarkEnd w:id="1148"/>
    </w:p>
    <w:p w:rsidR="001C7BF9" w:rsidRPr="00C9680B" w:rsidRDefault="001C7BF9">
      <w:pPr>
        <w:pStyle w:val="Rubrik2"/>
        <w:spacing w:before="0"/>
      </w:pPr>
      <w:bookmarkStart w:id="1149" w:name="_Toc497709572"/>
      <w:bookmarkStart w:id="1150" w:name="_Toc498838251"/>
      <w:r w:rsidRPr="00C9680B">
        <w:t>Regeringen</w:t>
      </w:r>
      <w:bookmarkEnd w:id="1149"/>
      <w:bookmarkEnd w:id="1150"/>
    </w:p>
    <w:p w:rsidR="001C7BF9" w:rsidRPr="00C9680B" w:rsidRDefault="001C7BF9">
      <w:r w:rsidRPr="00C9680B">
        <w:t>Utgiftsområde 6 Totalförsvar omfattar i enlighet med vad som anges i för</w:t>
      </w:r>
      <w:r w:rsidRPr="00C9680B">
        <w:t>e</w:t>
      </w:r>
      <w:r w:rsidRPr="00C9680B">
        <w:t>liggande proposition (volym 1, avsnitt 7.5) politikområdet Försvarspolitik respektive politikområdet Skydd mot olyckor. Politikområdet Försvars-politik består av det militära försvaret och det civila försvaret. Politikområdet Skydd mot olyckor omfattar förebyggande, konsekvensbegränsande och skadea</w:t>
      </w:r>
      <w:r w:rsidRPr="00C9680B">
        <w:t>v</w:t>
      </w:r>
      <w:r w:rsidRPr="00C9680B">
        <w:t>hjälpande åtgärder avseende olyckor. Politikområdet Skydd mot olyckor begränsas till att omfatta verksamheter som bedrivs av myndigheter inom utgiftsområde 6 Totalförsvar. Kustbevakningens verksamhet kommer fr.o</w:t>
      </w:r>
      <w:r w:rsidRPr="00C9680B">
        <w:t>.m. 2001 att tillhöra flera politikområden, men myndigheten har sitt anslag under utgiftsområde 6 Totalförsvar och politikområdet Skydd mot olyckor.</w:t>
      </w:r>
    </w:p>
    <w:p w:rsidR="001C7BF9" w:rsidRPr="00C9680B" w:rsidRDefault="001C7BF9">
      <w:r w:rsidRPr="00C9680B">
        <w:t>Ramen för utgiftsområdet föreslås år 2001 uppgå till 46 530 miljoner kronor. För åren 2002 och 2003 beräknas preliminärt 45 508 respektive 44 513 milj</w:t>
      </w:r>
      <w:r w:rsidRPr="00C9680B">
        <w:t>o</w:t>
      </w:r>
      <w:r w:rsidRPr="00C9680B">
        <w:t>ner kronor.</w:t>
      </w:r>
    </w:p>
    <w:p w:rsidR="001C7BF9" w:rsidRPr="00C9680B" w:rsidRDefault="001C7BF9">
      <w:pPr>
        <w:pStyle w:val="Normaltindrag"/>
        <w:numPr>
          <w:ilvl w:val="0"/>
          <w:numId w:val="1340"/>
        </w:numPr>
        <w:spacing w:before="125"/>
      </w:pPr>
      <w:r w:rsidRPr="00C9680B">
        <w:t>År 2001            46 530 miljoner kronor</w:t>
      </w:r>
    </w:p>
    <w:p w:rsidR="001C7BF9" w:rsidRPr="00C9680B" w:rsidRDefault="001C7BF9">
      <w:pPr>
        <w:pStyle w:val="Normaltindrag"/>
        <w:numPr>
          <w:ilvl w:val="0"/>
          <w:numId w:val="1340"/>
        </w:numPr>
      </w:pPr>
      <w:r w:rsidRPr="00C9680B">
        <w:t>År 2002            45 508 miljoner kronor</w:t>
      </w:r>
    </w:p>
    <w:p w:rsidR="001C7BF9" w:rsidRPr="00C9680B" w:rsidRDefault="001C7BF9">
      <w:pPr>
        <w:pStyle w:val="Normaltindrag"/>
        <w:numPr>
          <w:ilvl w:val="0"/>
          <w:numId w:val="1340"/>
        </w:numPr>
      </w:pPr>
      <w:r w:rsidRPr="00C9680B">
        <w:t>År 2003            44 513 miljoner kronor</w:t>
      </w:r>
    </w:p>
    <w:p w:rsidR="001C7BF9" w:rsidRPr="00C9680B" w:rsidRDefault="001C7BF9">
      <w:pPr>
        <w:pStyle w:val="Rubrik2"/>
        <w:spacing w:before="320"/>
      </w:pPr>
      <w:bookmarkStart w:id="1151" w:name="_Toc497709573"/>
      <w:bookmarkStart w:id="1152" w:name="_Toc498838252"/>
      <w:r w:rsidRPr="00C9680B">
        <w:t>Motionerna</w:t>
      </w:r>
      <w:bookmarkEnd w:id="1151"/>
      <w:bookmarkEnd w:id="1152"/>
    </w:p>
    <w:p w:rsidR="001C7BF9" w:rsidRPr="00C9680B" w:rsidRDefault="001C7BF9">
      <w:r w:rsidRPr="00C9680B">
        <w:rPr>
          <w:i/>
        </w:rPr>
        <w:t>Moderata samlingspartiet</w:t>
      </w:r>
      <w:r w:rsidRPr="00C9680B">
        <w:t xml:space="preserve"> anser i Fi208 att försvaret inte bara skall klara dagens hot, utan också måste anpassas för att kunna möta morgondagens osäkerhet. Våra möjligheter att anpassa försvaret för att verka i olika situati</w:t>
      </w:r>
      <w:r w:rsidRPr="00C9680B">
        <w:t>o</w:t>
      </w:r>
      <w:r w:rsidRPr="00C9680B">
        <w:t xml:space="preserve">ner skall enligt motionärerna skapa reella  möjligheter att använda det som en del i säkerhetspolitiken. Försvaret bör därför i huvudsak utvecklas på samma nivå som under de två senaste försvarsbeslutsperioderna. </w:t>
      </w:r>
    </w:p>
    <w:p w:rsidR="001C7BF9" w:rsidRPr="00C9680B" w:rsidRDefault="001C7BF9">
      <w:pPr>
        <w:pStyle w:val="Normaltindrag"/>
      </w:pPr>
      <w:r w:rsidRPr="00C9680B">
        <w:t>Anslaget för att finansiera internationell verksamhet som bedrivs vid en i</w:t>
      </w:r>
      <w:r w:rsidRPr="00C9680B">
        <w:t>n</w:t>
      </w:r>
      <w:r w:rsidRPr="00C9680B">
        <w:t>sats bör i enlighet med tidigare moderata förslag ligga utanför utgiftsomr</w:t>
      </w:r>
      <w:r w:rsidRPr="00C9680B">
        <w:t>å</w:t>
      </w:r>
      <w:r w:rsidRPr="00C9680B">
        <w:t>det.</w:t>
      </w:r>
    </w:p>
    <w:p w:rsidR="001C7BF9" w:rsidRPr="00C9680B" w:rsidRDefault="001C7BF9">
      <w:r w:rsidRPr="00C9680B">
        <w:rPr>
          <w:i/>
        </w:rPr>
        <w:t>Kristdemokraterna</w:t>
      </w:r>
      <w:r w:rsidRPr="00C9680B">
        <w:t xml:space="preserve"> framhåller i Fi209 att de motsätter sig de omfattande nedskärningar av Försvarsmaktens fredsorganisation som  riksdagen beslutat på förslag av regeringen och Centerpartiet. </w:t>
      </w:r>
    </w:p>
    <w:p w:rsidR="001C7BF9" w:rsidRPr="00C9680B" w:rsidRDefault="001C7BF9">
      <w:pPr>
        <w:pStyle w:val="Normaltindrag"/>
      </w:pPr>
      <w:r w:rsidRPr="00C9680B">
        <w:t>Internationell verksamhet är ett medel att utveckla och stärka även Sver</w:t>
      </w:r>
      <w:r w:rsidRPr="00C9680B">
        <w:t>i</w:t>
      </w:r>
      <w:r w:rsidRPr="00C9680B">
        <w:t>ges nationella försvarsförmåga. På sikt bör därför en sådan samverkansfö</w:t>
      </w:r>
      <w:r w:rsidRPr="00C9680B">
        <w:t>r</w:t>
      </w:r>
      <w:r w:rsidRPr="00C9680B">
        <w:t>måga nås att alla svenska insatsförband kan ingå i Natoledda krishant</w:t>
      </w:r>
      <w:r w:rsidRPr="00C9680B">
        <w:t>e</w:t>
      </w:r>
      <w:r w:rsidRPr="00C9680B">
        <w:t>ringsinsatser. För att stärka Sveriges förmåga att bidra till internationell fred och säkerhet avsätter Kristdemokraterna 500 miljoner kronor mer än reg</w:t>
      </w:r>
      <w:r w:rsidRPr="00C9680B">
        <w:t>e</w:t>
      </w:r>
      <w:r w:rsidRPr="00C9680B">
        <w:t>ringen per år under åren 2001–2003. Vidare bör Kustbevakningens resurser stärkas med ytterligare 50 miljoner kronor per år.</w:t>
      </w:r>
    </w:p>
    <w:p w:rsidR="001C7BF9" w:rsidRPr="00C9680B" w:rsidRDefault="001C7BF9">
      <w:pPr>
        <w:pStyle w:val="Normaltindrag"/>
      </w:pPr>
      <w:r w:rsidRPr="00C9680B">
        <w:t>Mot den bakgrunden bör utgiftsramen för utgiftsområde 6 ökas med 550 miljoner kronor mer fö</w:t>
      </w:r>
      <w:r w:rsidRPr="00C9680B">
        <w:t>r vart och ett av åren 2001–2003.</w:t>
      </w:r>
    </w:p>
    <w:p w:rsidR="001C7BF9" w:rsidRPr="00C9680B" w:rsidRDefault="001C7BF9">
      <w:r w:rsidRPr="00C9680B">
        <w:rPr>
          <w:i/>
        </w:rPr>
        <w:t>Folkpartiet liberalerna</w:t>
      </w:r>
      <w:r w:rsidRPr="00C9680B">
        <w:t xml:space="preserve"> redovisar i Fi211 att de inte avviker från regeringens förslag för år 2001. För åren 2002 och 2003 föreslår Folkpartiet  att utgift</w:t>
      </w:r>
      <w:r w:rsidRPr="00C9680B">
        <w:t>s</w:t>
      </w:r>
      <w:r w:rsidRPr="00C9680B">
        <w:t>området ökas med 1 miljard resp. 2 miljarder.</w:t>
      </w:r>
    </w:p>
    <w:p w:rsidR="001C7BF9" w:rsidRPr="00C9680B" w:rsidRDefault="001C7BF9">
      <w:pPr>
        <w:pStyle w:val="Rubrik2"/>
        <w:spacing w:before="440"/>
      </w:pPr>
      <w:bookmarkStart w:id="1153" w:name="_Toc497709574"/>
      <w:bookmarkStart w:id="1154" w:name="_Toc498838253"/>
      <w:r w:rsidRPr="00C9680B">
        <w:t>Försvarsutskottet</w:t>
      </w:r>
      <w:bookmarkEnd w:id="1153"/>
      <w:bookmarkEnd w:id="1154"/>
    </w:p>
    <w:p w:rsidR="001C7BF9" w:rsidRPr="00C9680B" w:rsidRDefault="001C7BF9">
      <w:pPr>
        <w:spacing w:before="60"/>
      </w:pPr>
      <w:r w:rsidRPr="00C9680B">
        <w:t>Vänsterpartiet, Centerpartiet och Miljöpartiet de gröna delar regeringens uppfattning om totalförsvarsutgifterna åren 2001–2003. Förslagen  ser sa</w:t>
      </w:r>
      <w:r w:rsidRPr="00C9680B">
        <w:t>m</w:t>
      </w:r>
      <w:r w:rsidRPr="00C9680B">
        <w:t>manfattningsvis ut på följande vis:</w:t>
      </w:r>
    </w:p>
    <w:tbl>
      <w:tblPr>
        <w:tblW w:w="0" w:type="auto"/>
        <w:tblInd w:w="-70" w:type="dxa"/>
        <w:tblLayout w:type="fixed"/>
        <w:tblCellMar>
          <w:left w:w="70" w:type="dxa"/>
          <w:right w:w="70" w:type="dxa"/>
        </w:tblCellMar>
        <w:tblLook w:val="0000" w:firstRow="0" w:lastRow="0" w:firstColumn="0" w:lastColumn="0" w:noHBand="0" w:noVBand="0"/>
      </w:tblPr>
      <w:tblGrid>
        <w:gridCol w:w="2622"/>
        <w:gridCol w:w="992"/>
        <w:gridCol w:w="1276"/>
        <w:gridCol w:w="1202"/>
      </w:tblGrid>
      <w:tr w:rsidR="00000000" w:rsidRPr="00C9680B">
        <w:tblPrEx>
          <w:tblCellMar>
            <w:top w:w="0" w:type="dxa"/>
            <w:bottom w:w="0" w:type="dxa"/>
          </w:tblCellMar>
        </w:tblPrEx>
        <w:tc>
          <w:tcPr>
            <w:tcW w:w="2622" w:type="dxa"/>
            <w:tcBorders>
              <w:bottom w:val="single" w:sz="4" w:space="0" w:color="auto"/>
            </w:tcBorders>
          </w:tcPr>
          <w:p w:rsidR="001C7BF9" w:rsidRPr="00C9680B" w:rsidRDefault="001C7BF9">
            <w:r w:rsidRPr="00C9680B">
              <w:t>Miljoner kronor</w:t>
            </w:r>
          </w:p>
        </w:tc>
        <w:tc>
          <w:tcPr>
            <w:tcW w:w="992" w:type="dxa"/>
            <w:tcBorders>
              <w:bottom w:val="single" w:sz="4" w:space="0" w:color="auto"/>
            </w:tcBorders>
          </w:tcPr>
          <w:p w:rsidR="001C7BF9" w:rsidRPr="00C9680B" w:rsidRDefault="001C7BF9">
            <w:pPr>
              <w:jc w:val="center"/>
            </w:pPr>
            <w:r w:rsidRPr="00C9680B">
              <w:t>År 2001</w:t>
            </w:r>
          </w:p>
        </w:tc>
        <w:tc>
          <w:tcPr>
            <w:tcW w:w="1276" w:type="dxa"/>
            <w:tcBorders>
              <w:bottom w:val="single" w:sz="4" w:space="0" w:color="auto"/>
            </w:tcBorders>
          </w:tcPr>
          <w:p w:rsidR="001C7BF9" w:rsidRPr="00C9680B" w:rsidRDefault="001C7BF9">
            <w:pPr>
              <w:jc w:val="center"/>
            </w:pPr>
            <w:r w:rsidRPr="00C9680B">
              <w:t>År 2002</w:t>
            </w:r>
          </w:p>
        </w:tc>
        <w:tc>
          <w:tcPr>
            <w:tcW w:w="1202" w:type="dxa"/>
            <w:tcBorders>
              <w:bottom w:val="single" w:sz="4" w:space="0" w:color="auto"/>
            </w:tcBorders>
          </w:tcPr>
          <w:p w:rsidR="001C7BF9" w:rsidRPr="00C9680B" w:rsidRDefault="001C7BF9">
            <w:pPr>
              <w:jc w:val="center"/>
            </w:pPr>
            <w:r w:rsidRPr="00C9680B">
              <w:t>År 2003</w:t>
            </w:r>
          </w:p>
        </w:tc>
      </w:tr>
      <w:tr w:rsidR="00000000" w:rsidRPr="00C9680B">
        <w:tblPrEx>
          <w:tblCellMar>
            <w:top w:w="0" w:type="dxa"/>
            <w:bottom w:w="0" w:type="dxa"/>
          </w:tblCellMar>
        </w:tblPrEx>
        <w:tc>
          <w:tcPr>
            <w:tcW w:w="2622" w:type="dxa"/>
          </w:tcPr>
          <w:p w:rsidR="001C7BF9" w:rsidRPr="00C9680B" w:rsidRDefault="001C7BF9">
            <w:r w:rsidRPr="00C9680B">
              <w:t>Regeringen (samt v, c och mp)</w:t>
            </w:r>
          </w:p>
        </w:tc>
        <w:tc>
          <w:tcPr>
            <w:tcW w:w="992" w:type="dxa"/>
          </w:tcPr>
          <w:p w:rsidR="001C7BF9" w:rsidRPr="00C9680B" w:rsidRDefault="001C7BF9">
            <w:pPr>
              <w:ind w:right="227"/>
              <w:jc w:val="right"/>
            </w:pPr>
            <w:r w:rsidRPr="00C9680B">
              <w:t>46 530</w:t>
            </w:r>
          </w:p>
        </w:tc>
        <w:tc>
          <w:tcPr>
            <w:tcW w:w="1276" w:type="dxa"/>
          </w:tcPr>
          <w:p w:rsidR="001C7BF9" w:rsidRPr="00C9680B" w:rsidRDefault="001C7BF9">
            <w:pPr>
              <w:ind w:right="227"/>
              <w:jc w:val="right"/>
            </w:pPr>
            <w:r w:rsidRPr="00C9680B">
              <w:t>45 508</w:t>
            </w:r>
          </w:p>
        </w:tc>
        <w:tc>
          <w:tcPr>
            <w:tcW w:w="1202" w:type="dxa"/>
          </w:tcPr>
          <w:p w:rsidR="001C7BF9" w:rsidRPr="00C9680B" w:rsidRDefault="001C7BF9">
            <w:pPr>
              <w:ind w:right="227"/>
              <w:jc w:val="right"/>
            </w:pPr>
            <w:r w:rsidRPr="00C9680B">
              <w:t>44 513</w:t>
            </w:r>
          </w:p>
        </w:tc>
      </w:tr>
      <w:tr w:rsidR="00000000" w:rsidRPr="00C9680B">
        <w:tblPrEx>
          <w:tblCellMar>
            <w:top w:w="0" w:type="dxa"/>
            <w:bottom w:w="0" w:type="dxa"/>
          </w:tblCellMar>
        </w:tblPrEx>
        <w:tc>
          <w:tcPr>
            <w:tcW w:w="2622" w:type="dxa"/>
          </w:tcPr>
          <w:p w:rsidR="001C7BF9" w:rsidRPr="00C9680B" w:rsidRDefault="001C7BF9">
            <w:r w:rsidRPr="00C9680B">
              <w:t xml:space="preserve">Moderata samlingspartiet </w:t>
            </w:r>
            <w:r w:rsidRPr="00C9680B">
              <w:rPr>
                <w:vertAlign w:val="superscript"/>
              </w:rPr>
              <w:t>1</w:t>
            </w:r>
          </w:p>
        </w:tc>
        <w:tc>
          <w:tcPr>
            <w:tcW w:w="992" w:type="dxa"/>
          </w:tcPr>
          <w:p w:rsidR="001C7BF9" w:rsidRPr="00C9680B" w:rsidRDefault="001C7BF9">
            <w:pPr>
              <w:ind w:right="227"/>
              <w:jc w:val="right"/>
            </w:pPr>
            <w:r w:rsidRPr="00C9680B">
              <w:t xml:space="preserve">+ 1 043 </w:t>
            </w:r>
          </w:p>
        </w:tc>
        <w:tc>
          <w:tcPr>
            <w:tcW w:w="1276" w:type="dxa"/>
          </w:tcPr>
          <w:p w:rsidR="001C7BF9" w:rsidRPr="00C9680B" w:rsidRDefault="001C7BF9">
            <w:pPr>
              <w:ind w:right="227"/>
              <w:jc w:val="right"/>
            </w:pPr>
            <w:r w:rsidRPr="00C9680B">
              <w:t>+ 1 673</w:t>
            </w:r>
          </w:p>
        </w:tc>
        <w:tc>
          <w:tcPr>
            <w:tcW w:w="1202" w:type="dxa"/>
          </w:tcPr>
          <w:p w:rsidR="001C7BF9" w:rsidRPr="00C9680B" w:rsidRDefault="001C7BF9">
            <w:pPr>
              <w:ind w:right="227"/>
              <w:jc w:val="right"/>
            </w:pPr>
            <w:r w:rsidRPr="00C9680B">
              <w:t>+ 2 649</w:t>
            </w:r>
          </w:p>
        </w:tc>
      </w:tr>
      <w:tr w:rsidR="00000000" w:rsidRPr="00C9680B">
        <w:tblPrEx>
          <w:tblCellMar>
            <w:top w:w="0" w:type="dxa"/>
            <w:bottom w:w="0" w:type="dxa"/>
          </w:tblCellMar>
        </w:tblPrEx>
        <w:tc>
          <w:tcPr>
            <w:tcW w:w="2622" w:type="dxa"/>
          </w:tcPr>
          <w:p w:rsidR="001C7BF9" w:rsidRPr="00C9680B" w:rsidRDefault="001C7BF9">
            <w:r w:rsidRPr="00C9680B">
              <w:t>Kristdemokraterna</w:t>
            </w:r>
          </w:p>
        </w:tc>
        <w:tc>
          <w:tcPr>
            <w:tcW w:w="992" w:type="dxa"/>
          </w:tcPr>
          <w:p w:rsidR="001C7BF9" w:rsidRPr="00C9680B" w:rsidRDefault="001C7BF9">
            <w:pPr>
              <w:ind w:right="227"/>
              <w:jc w:val="right"/>
            </w:pPr>
            <w:r w:rsidRPr="00C9680B">
              <w:t>+ 550</w:t>
            </w:r>
          </w:p>
        </w:tc>
        <w:tc>
          <w:tcPr>
            <w:tcW w:w="1276" w:type="dxa"/>
          </w:tcPr>
          <w:p w:rsidR="001C7BF9" w:rsidRPr="00C9680B" w:rsidRDefault="001C7BF9">
            <w:pPr>
              <w:ind w:right="227"/>
              <w:jc w:val="right"/>
            </w:pPr>
            <w:r w:rsidRPr="00C9680B">
              <w:t>+ 550</w:t>
            </w:r>
          </w:p>
        </w:tc>
        <w:tc>
          <w:tcPr>
            <w:tcW w:w="1202" w:type="dxa"/>
          </w:tcPr>
          <w:p w:rsidR="001C7BF9" w:rsidRPr="00C9680B" w:rsidRDefault="001C7BF9">
            <w:pPr>
              <w:ind w:right="227"/>
              <w:jc w:val="right"/>
            </w:pPr>
            <w:r w:rsidRPr="00C9680B">
              <w:t>+ 550</w:t>
            </w:r>
          </w:p>
        </w:tc>
      </w:tr>
      <w:tr w:rsidR="00000000" w:rsidRPr="00C9680B">
        <w:tblPrEx>
          <w:tblCellMar>
            <w:top w:w="0" w:type="dxa"/>
            <w:bottom w:w="0" w:type="dxa"/>
          </w:tblCellMar>
        </w:tblPrEx>
        <w:tc>
          <w:tcPr>
            <w:tcW w:w="2622" w:type="dxa"/>
          </w:tcPr>
          <w:p w:rsidR="001C7BF9" w:rsidRPr="00C9680B" w:rsidRDefault="001C7BF9">
            <w:r w:rsidRPr="00C9680B">
              <w:t>Folkpartiet liberalerna</w:t>
            </w:r>
          </w:p>
        </w:tc>
        <w:tc>
          <w:tcPr>
            <w:tcW w:w="992" w:type="dxa"/>
          </w:tcPr>
          <w:p w:rsidR="001C7BF9" w:rsidRPr="00C9680B" w:rsidRDefault="001C7BF9">
            <w:pPr>
              <w:ind w:right="227"/>
              <w:jc w:val="right"/>
            </w:pPr>
            <w:r w:rsidRPr="00C9680B">
              <w:t>-</w:t>
            </w:r>
          </w:p>
        </w:tc>
        <w:tc>
          <w:tcPr>
            <w:tcW w:w="1276" w:type="dxa"/>
          </w:tcPr>
          <w:p w:rsidR="001C7BF9" w:rsidRPr="00C9680B" w:rsidRDefault="001C7BF9">
            <w:pPr>
              <w:ind w:right="227"/>
              <w:jc w:val="right"/>
            </w:pPr>
            <w:r w:rsidRPr="00C9680B">
              <w:t>+ 1 000</w:t>
            </w:r>
          </w:p>
        </w:tc>
        <w:tc>
          <w:tcPr>
            <w:tcW w:w="1202" w:type="dxa"/>
          </w:tcPr>
          <w:p w:rsidR="001C7BF9" w:rsidRPr="00C9680B" w:rsidRDefault="001C7BF9">
            <w:pPr>
              <w:ind w:right="227"/>
              <w:jc w:val="right"/>
            </w:pPr>
            <w:r w:rsidRPr="00C9680B">
              <w:t>+ 2 000</w:t>
            </w:r>
          </w:p>
        </w:tc>
      </w:tr>
    </w:tbl>
    <w:p w:rsidR="001C7BF9" w:rsidRPr="00C9680B" w:rsidRDefault="001C7BF9">
      <w:pPr>
        <w:spacing w:before="0"/>
        <w:rPr>
          <w:sz w:val="16"/>
        </w:rPr>
      </w:pPr>
      <w:r w:rsidRPr="00C9680B">
        <w:rPr>
          <w:sz w:val="16"/>
          <w:vertAlign w:val="superscript"/>
        </w:rPr>
        <w:t>1</w:t>
      </w:r>
      <w:r w:rsidRPr="00C9680B">
        <w:rPr>
          <w:sz w:val="16"/>
        </w:rPr>
        <w:t xml:space="preserve"> M:s förslag till utgiftsram omfattar inte anslaget till Fredsfrämjande truppi</w:t>
      </w:r>
      <w:r w:rsidRPr="00C9680B">
        <w:rPr>
          <w:sz w:val="16"/>
        </w:rPr>
        <w:t>n</w:t>
      </w:r>
      <w:r w:rsidRPr="00C9680B">
        <w:rPr>
          <w:sz w:val="16"/>
        </w:rPr>
        <w:t>satser.</w:t>
      </w:r>
    </w:p>
    <w:p w:rsidR="001C7BF9" w:rsidRPr="00C9680B" w:rsidRDefault="001C7BF9">
      <w:r w:rsidRPr="00C9680B">
        <w:rPr>
          <w:i/>
        </w:rPr>
        <w:t>Försvarsutskottet</w:t>
      </w:r>
      <w:r w:rsidRPr="00C9680B">
        <w:t xml:space="preserve"> erinrar om att nu gällande försvarsbeslutsperiod omfattar åren 1997–2001. I samband med den säkerhetspolitiska kontrollstation som genomfördes våren 1999  beslutade riksdagen bl.a. om de ekonomiska rik</w:t>
      </w:r>
      <w:r w:rsidRPr="00C9680B">
        <w:t>t</w:t>
      </w:r>
      <w:r w:rsidRPr="00C9680B">
        <w:t>linjerna för utgiftso</w:t>
      </w:r>
      <w:r w:rsidRPr="00C9680B">
        <w:t>m</w:t>
      </w:r>
      <w:r w:rsidRPr="00C9680B">
        <w:t>rådet under perioden 2000–2004.</w:t>
      </w:r>
    </w:p>
    <w:p w:rsidR="001C7BF9" w:rsidRPr="00C9680B" w:rsidRDefault="001C7BF9">
      <w:pPr>
        <w:pStyle w:val="Normaltindrag"/>
      </w:pPr>
      <w:r w:rsidRPr="00C9680B">
        <w:t>Utskottet har vid flera tillfällen behandlat förslag från Moderata samling</w:t>
      </w:r>
      <w:r w:rsidRPr="00C9680B">
        <w:t>s</w:t>
      </w:r>
      <w:r w:rsidRPr="00C9680B">
        <w:t>partiet att föra över utgifterna för Fredsfrämjande truppinsatser till utgiftso</w:t>
      </w:r>
      <w:r w:rsidRPr="00C9680B">
        <w:t>m</w:t>
      </w:r>
      <w:r w:rsidRPr="00C9680B">
        <w:t>råde 7 Internationellt bistånd. Riksdagen beslutade redan våren 1996 att dessa skall finansieras inom utgiftsområde 6 Totalförsvar. Någon omprövning av detta bör enligt utskottet inte ske inför beredningen av budgeten för år 2001.</w:t>
      </w:r>
    </w:p>
    <w:p w:rsidR="001C7BF9" w:rsidRPr="00C9680B" w:rsidRDefault="001C7BF9">
      <w:pPr>
        <w:pStyle w:val="Normaltindrag"/>
      </w:pPr>
      <w:r w:rsidRPr="00C9680B">
        <w:rPr>
          <w:i/>
        </w:rPr>
        <w:t>Försvarsutskottet</w:t>
      </w:r>
      <w:r w:rsidRPr="00C9680B">
        <w:t xml:space="preserve"> anser sålunda att regeringens förslag beträffande ram för utgiftsområde 6 Totalförsvar för år 2001 och preliminära ramar för 2002–2003 bör bifallas av riksdagen. Motionerna Fi208, Fi209 och Fi211 bör därför avslås i dessa delar.</w:t>
      </w:r>
    </w:p>
    <w:p w:rsidR="001C7BF9" w:rsidRPr="00C9680B" w:rsidRDefault="001C7BF9">
      <w:r w:rsidRPr="00C9680B">
        <w:t xml:space="preserve">Kustbevakningen bedriver verksamhet inom politikområdena Skydd mot olyckor, Rättsväsende, Skatt, tull och exekutionsväsende, Livsmedelspolitik, Transportpolitik samt Miljöpolitik. Anslaget till Kustbevakningen finns inom utgiftsområde 6 Totalförsvar. </w:t>
      </w:r>
    </w:p>
    <w:p w:rsidR="001C7BF9" w:rsidRPr="00C9680B" w:rsidRDefault="001C7BF9">
      <w:pPr>
        <w:pStyle w:val="Normaltindrag"/>
      </w:pPr>
      <w:r w:rsidRPr="00C9680B">
        <w:t xml:space="preserve">Målen och inriktningen inom </w:t>
      </w:r>
      <w:r w:rsidRPr="00C9680B">
        <w:rPr>
          <w:i/>
        </w:rPr>
        <w:t>sex</w:t>
      </w:r>
      <w:r w:rsidRPr="00C9680B">
        <w:t xml:space="preserve"> olika politikområden, inom vilka Kus</w:t>
      </w:r>
      <w:r w:rsidRPr="00C9680B">
        <w:t>t</w:t>
      </w:r>
      <w:r w:rsidRPr="00C9680B">
        <w:t xml:space="preserve">bevakningen bedriver sin verksamhet, skall således fastställas inom </w:t>
      </w:r>
      <w:r w:rsidRPr="00C9680B">
        <w:rPr>
          <w:i/>
        </w:rPr>
        <w:t xml:space="preserve">ett </w:t>
      </w:r>
      <w:r w:rsidRPr="00C9680B">
        <w:t>u</w:t>
      </w:r>
      <w:r w:rsidRPr="00C9680B">
        <w:t>t</w:t>
      </w:r>
      <w:r w:rsidRPr="00C9680B">
        <w:t>giftsområde och där avvägas mot andra ändamål. Enligt utskottet är det ri</w:t>
      </w:r>
      <w:r w:rsidRPr="00C9680B">
        <w:t>m</w:t>
      </w:r>
      <w:r w:rsidRPr="00C9680B">
        <w:t xml:space="preserve">ligt att hålla samman beredning och beslut om såväl ambitionsnivån för en viss verksamhet som för finansiering av denna i ett utskott. </w:t>
      </w:r>
    </w:p>
    <w:p w:rsidR="001C7BF9" w:rsidRPr="00C9680B" w:rsidRDefault="001C7BF9">
      <w:pPr>
        <w:pStyle w:val="Normaltindrag"/>
      </w:pPr>
      <w:r w:rsidRPr="00C9680B">
        <w:t>Utskottet anser det lämpligt att riksdagen gör en samlad utvärdering av och bedömning om lämpligheten av att ambitionsnivån för en verksamhet – t.ex. Kustbevakningen –  bestäms inom ett e</w:t>
      </w:r>
      <w:r w:rsidRPr="00C9680B">
        <w:t xml:space="preserve">ller flera politikområden som ligger utanför det utgiftsområde – i detta fall utgiftsområdet Totalförsvar – som skall finansiera verksamheten. </w:t>
      </w:r>
    </w:p>
    <w:p w:rsidR="001C7BF9" w:rsidRPr="00C9680B" w:rsidRDefault="001C7BF9">
      <w:pPr>
        <w:pStyle w:val="Stockholm"/>
      </w:pPr>
      <w:r w:rsidRPr="00C9680B">
        <w:t>Stockholm den 26 oktober 2000</w:t>
      </w:r>
    </w:p>
    <w:p w:rsidR="001C7BF9" w:rsidRPr="00C9680B" w:rsidRDefault="001C7BF9">
      <w:pPr>
        <w:pStyle w:val="Stockholm"/>
      </w:pPr>
      <w:r w:rsidRPr="00C9680B">
        <w:t>På försvarsutskottets vägnar</w:t>
      </w:r>
    </w:p>
    <w:p w:rsidR="001C7BF9" w:rsidRPr="00C9680B" w:rsidRDefault="001C7BF9">
      <w:pPr>
        <w:pStyle w:val="Ordfnamn"/>
      </w:pPr>
      <w:r w:rsidRPr="00C9680B">
        <w:t xml:space="preserve">Henrik Landerholm </w:t>
      </w:r>
    </w:p>
    <w:p w:rsidR="001C7BF9" w:rsidRPr="00C9680B" w:rsidRDefault="001C7BF9">
      <w:pPr>
        <w:pStyle w:val="Deltagare"/>
        <w:rPr>
          <w:noProof w:val="0"/>
        </w:rPr>
      </w:pPr>
      <w:r w:rsidRPr="00C9680B">
        <w:rPr>
          <w:noProof w:val="0"/>
        </w:rPr>
        <w:t>I beslutet har deltagit: Henrik Landerholm (m), Tone Tingsgård (s), Christer Skoog (s), Karin Wegestål (s), Stig Sandström (v), Åke Carnerö (kd), Olle Lindström (m), Rolf Gunnarsson (m), Ola Rask (s), Håkan Juholt (s), Berit Jóhannesson (v), Margareta Viklund (kd), Anna Lilliehöök (m), Lars Ångström (mp), Erik Arthur Egervärn (c), Runar Patriksson (fp) och Laila Bäck (s).</w:t>
      </w:r>
    </w:p>
    <w:p w:rsidR="001C7BF9" w:rsidRPr="00C9680B" w:rsidRDefault="001C7BF9">
      <w:pPr>
        <w:pStyle w:val="R1"/>
        <w:spacing w:before="480" w:after="240"/>
      </w:pPr>
      <w:bookmarkStart w:id="1155" w:name="_Toc497709575"/>
      <w:r w:rsidRPr="00C9680B">
        <w:t>Avvikande meningar</w:t>
      </w:r>
      <w:bookmarkEnd w:id="1155"/>
    </w:p>
    <w:p w:rsidR="001C7BF9" w:rsidRPr="00C9680B" w:rsidRDefault="001C7BF9">
      <w:r w:rsidRPr="00C9680B">
        <w:t>Henrik Landerholm, Olle Lindström, Rof Gunnarssson och Anna Lilliehöök (alla m ) anför:</w:t>
      </w:r>
    </w:p>
    <w:p w:rsidR="001C7BF9" w:rsidRPr="00C9680B" w:rsidRDefault="001C7BF9">
      <w:r w:rsidRPr="00C9680B">
        <w:t>Förhoppningen att försvaret snabbt och enkelt skall kunna ”anpassas” kan inte vara ett motiv för en massiv och ensidig nedrustning. Planeringsförutsättnin</w:t>
      </w:r>
      <w:r w:rsidRPr="00C9680B">
        <w:t>g</w:t>
      </w:r>
      <w:r w:rsidRPr="00C9680B">
        <w:t>en ”inget krig under de närmaste tio åren” är inte hållbar. Kraven på svenskt deltagande i internationella insatser kommer inte att minska. Försvaret bör således utvecklas i huvudsak på samma ekonomiska nivå som under den senaste försvarsbeslutsperioden. En långsiktig nivå avseende drift, vidmak</w:t>
      </w:r>
      <w:r w:rsidRPr="00C9680B">
        <w:t>t</w:t>
      </w:r>
      <w:r w:rsidRPr="00C9680B">
        <w:t>hållande och investeringar samt forskning och utveckling på ca 41 000 000 000 kr eftersträvas. Inför det kommande heltäckande försvarsb</w:t>
      </w:r>
      <w:r w:rsidRPr="00C9680B">
        <w:t>e</w:t>
      </w:r>
      <w:r w:rsidRPr="00C9680B">
        <w:t>slutet bör en annorlunda indelning av anslagen 6:1 Förbandsverksamhet och bere</w:t>
      </w:r>
      <w:r w:rsidRPr="00C9680B">
        <w:t>dskap m.m. och 6:3 Materiel, anläggningar samt forskning och tekniku</w:t>
      </w:r>
      <w:r w:rsidRPr="00C9680B">
        <w:t>t</w:t>
      </w:r>
      <w:r w:rsidRPr="00C9680B">
        <w:t>vec</w:t>
      </w:r>
      <w:r w:rsidRPr="00C9680B">
        <w:t>k</w:t>
      </w:r>
      <w:r w:rsidRPr="00C9680B">
        <w:t xml:space="preserve">ling övervägas. </w:t>
      </w:r>
    </w:p>
    <w:p w:rsidR="001C7BF9" w:rsidRPr="00C9680B" w:rsidRDefault="001C7BF9">
      <w:pPr>
        <w:pStyle w:val="Normaltindrag"/>
      </w:pPr>
      <w:r w:rsidRPr="00C9680B">
        <w:t>Anslaget 6:2 Fredsfrämjande truppinsatser skall enbart omfatta kostnader i samband med insatser och helt finansieras utanför försvarsanslaget. De fra</w:t>
      </w:r>
      <w:r w:rsidRPr="00C9680B">
        <w:t>m</w:t>
      </w:r>
      <w:r w:rsidRPr="00C9680B">
        <w:t>tida behoven av befolkningsskydd skall utredas. I avvaktan på att nästa he</w:t>
      </w:r>
      <w:r w:rsidRPr="00C9680B">
        <w:t>l</w:t>
      </w:r>
      <w:r w:rsidRPr="00C9680B">
        <w:t>täckande försvarsbeslut och att uppgifter och effektmål för totalförsvarets samlade ledning har beslutats av riksdagen bör anslagen behållas på nuvara</w:t>
      </w:r>
      <w:r w:rsidRPr="00C9680B">
        <w:t>n</w:t>
      </w:r>
      <w:r w:rsidRPr="00C9680B">
        <w:t>de nivå. Inga nya uppgifter har tillförts Kustbevakningen. Såväl nuvarande anslagsnivå som riksdagens verksamhetsinriktning för kustbevakningen bör behållas.</w:t>
      </w:r>
    </w:p>
    <w:p w:rsidR="001C7BF9" w:rsidRPr="00C9680B" w:rsidRDefault="001C7BF9">
      <w:r w:rsidRPr="00C9680B">
        <w:t>Vi anser att utskottets hemställan under 1 bort ha följande lydelse:</w:t>
      </w:r>
    </w:p>
    <w:p w:rsidR="001C7BF9" w:rsidRPr="00C9680B" w:rsidRDefault="001C7BF9">
      <w:r w:rsidRPr="00C9680B">
        <w:t>1. Riksdagen anvisar i enlighet med vad som i motionen anförs till utgiftso</w:t>
      </w:r>
      <w:r w:rsidRPr="00C9680B">
        <w:t>m</w:t>
      </w:r>
      <w:r w:rsidRPr="00C9680B">
        <w:t>råde 6 Totalförsvar 47 573 miljoner kronor (exklusive anslaget 6:2 Fred</w:t>
      </w:r>
      <w:r w:rsidRPr="00C9680B">
        <w:t>s</w:t>
      </w:r>
      <w:r w:rsidRPr="00C9680B">
        <w:t>främjande truppinsatser).</w:t>
      </w:r>
    </w:p>
    <w:p w:rsidR="001C7BF9" w:rsidRPr="00C9680B" w:rsidRDefault="001C7BF9">
      <w:pPr>
        <w:pStyle w:val="Normaltindrag"/>
        <w:ind w:firstLine="0"/>
      </w:pPr>
    </w:p>
    <w:p w:rsidR="001C7BF9" w:rsidRPr="00C9680B" w:rsidRDefault="001C7BF9">
      <w:pPr>
        <w:pStyle w:val="Normaltindrag"/>
        <w:ind w:firstLine="0"/>
      </w:pPr>
      <w:r w:rsidRPr="00C9680B">
        <w:t>Åke Carnerö och Margareta Viklund (båda kd) anför:</w:t>
      </w:r>
    </w:p>
    <w:p w:rsidR="001C7BF9" w:rsidRPr="00C9680B" w:rsidRDefault="001C7BF9">
      <w:pPr>
        <w:rPr>
          <w:snapToGrid w:val="0"/>
          <w:lang w:eastAsia="sv-SE"/>
        </w:rPr>
      </w:pPr>
      <w:r w:rsidRPr="00C9680B">
        <w:rPr>
          <w:snapToGrid w:val="0"/>
          <w:lang w:eastAsia="sv-SE"/>
        </w:rPr>
        <w:t>Internationellt säkerhetssamarbete är ett medel för att även utveckla och stä</w:t>
      </w:r>
      <w:r w:rsidRPr="00C9680B">
        <w:rPr>
          <w:snapToGrid w:val="0"/>
          <w:lang w:eastAsia="sv-SE"/>
        </w:rPr>
        <w:t>r</w:t>
      </w:r>
      <w:r w:rsidRPr="00C9680B">
        <w:rPr>
          <w:snapToGrid w:val="0"/>
          <w:lang w:eastAsia="sv-SE"/>
        </w:rPr>
        <w:t>ka vår nationella försvarsförmåga.  En väl utvecklad förbandsverksamhet ger den kompetens som krävs för att förbanden skall kunna nå hög operativ fö</w:t>
      </w:r>
      <w:r w:rsidRPr="00C9680B">
        <w:rPr>
          <w:snapToGrid w:val="0"/>
          <w:lang w:eastAsia="sv-SE"/>
        </w:rPr>
        <w:t>r</w:t>
      </w:r>
      <w:r w:rsidRPr="00C9680B">
        <w:rPr>
          <w:snapToGrid w:val="0"/>
          <w:lang w:eastAsia="sv-SE"/>
        </w:rPr>
        <w:t xml:space="preserve">måga i framtida insatsmiljöer. Genom ett fördjupat PFF-samarbete förbättras de svenska förbandens internationella samarbets- och samverkansförmåga. På sikt bör sådan samverkansförmåga nås att alla operativa insatsförband kan ingå i Natoledda krishanteringsinsatser. </w:t>
      </w:r>
    </w:p>
    <w:p w:rsidR="001C7BF9" w:rsidRPr="00C9680B" w:rsidRDefault="001C7BF9">
      <w:pPr>
        <w:pStyle w:val="Normaltindrag"/>
        <w:rPr>
          <w:snapToGrid w:val="0"/>
          <w:lang w:eastAsia="sv-SE"/>
        </w:rPr>
      </w:pPr>
      <w:r w:rsidRPr="00C9680B">
        <w:rPr>
          <w:snapToGrid w:val="0"/>
          <w:lang w:eastAsia="sv-SE"/>
        </w:rPr>
        <w:t>För att stärka Sveriges förmåga att bidra till fred och säkerhet i Europa och dess närhet genom</w:t>
      </w:r>
      <w:r w:rsidRPr="00C9680B">
        <w:rPr>
          <w:snapToGrid w:val="0"/>
          <w:lang w:eastAsia="sv-SE"/>
        </w:rPr>
        <w:t xml:space="preserve"> att delta i internationell fredsfrämjande och humanitär verksamhet avsätter Kristdemokraterna 500 miljoner kronor per år utöver regeringens förslag i politikområdet Försvarspolitik under anslag 6:1 för åren 2001, 2002 och 2003.</w:t>
      </w:r>
    </w:p>
    <w:p w:rsidR="001C7BF9" w:rsidRPr="00C9680B" w:rsidRDefault="001C7BF9">
      <w:pPr>
        <w:pStyle w:val="Normaltindrag"/>
        <w:rPr>
          <w:snapToGrid w:val="0"/>
          <w:lang w:eastAsia="sv-SE"/>
        </w:rPr>
      </w:pPr>
      <w:r w:rsidRPr="00C9680B">
        <w:rPr>
          <w:snapToGrid w:val="0"/>
          <w:lang w:eastAsia="sv-SE"/>
        </w:rPr>
        <w:t>För att långsiktigt kunna möta utökade krav på internationell verksamhet, gränskontroll genom den operativa Schengenanslutningen och miljöräd</w:t>
      </w:r>
      <w:r w:rsidRPr="00C9680B">
        <w:rPr>
          <w:snapToGrid w:val="0"/>
          <w:lang w:eastAsia="sv-SE"/>
        </w:rPr>
        <w:t>d</w:t>
      </w:r>
      <w:r w:rsidRPr="00C9680B">
        <w:rPr>
          <w:snapToGrid w:val="0"/>
          <w:lang w:eastAsia="sv-SE"/>
        </w:rPr>
        <w:t>ningstjänst till sjöss bör Kustbevakningens resurser förstärkas. Kristdem</w:t>
      </w:r>
      <w:r w:rsidRPr="00C9680B">
        <w:rPr>
          <w:snapToGrid w:val="0"/>
          <w:lang w:eastAsia="sv-SE"/>
        </w:rPr>
        <w:t>o</w:t>
      </w:r>
      <w:r w:rsidRPr="00C9680B">
        <w:rPr>
          <w:snapToGrid w:val="0"/>
          <w:lang w:eastAsia="sv-SE"/>
        </w:rPr>
        <w:t>kraterna avsätter i politikområdet Skydd mot olyckor 50 miljoner kronor per år utöver regeringens förslag under ramanslag 7:1 Kustbevakningen för detta ändamål. Mot bakgrund av dessa förslag bör ramen för utgiftsområde 6 just</w:t>
      </w:r>
      <w:r w:rsidRPr="00C9680B">
        <w:rPr>
          <w:snapToGrid w:val="0"/>
          <w:lang w:eastAsia="sv-SE"/>
        </w:rPr>
        <w:t>e</w:t>
      </w:r>
      <w:r w:rsidRPr="00C9680B">
        <w:rPr>
          <w:snapToGrid w:val="0"/>
          <w:lang w:eastAsia="sv-SE"/>
        </w:rPr>
        <w:t>ras upp med totalt 1 650 miljoner kronor under åren 2001 till 2003, eller 550 miljoner kronor för vart och ett av åren 2001, 2002 och 2003.</w:t>
      </w:r>
    </w:p>
    <w:p w:rsidR="001C7BF9" w:rsidRPr="00C9680B" w:rsidRDefault="001C7BF9"/>
    <w:p w:rsidR="001C7BF9" w:rsidRPr="00C9680B" w:rsidRDefault="001C7BF9">
      <w:r w:rsidRPr="00C9680B">
        <w:t>Runar Patriksson (fp) anför:</w:t>
      </w:r>
    </w:p>
    <w:p w:rsidR="001C7BF9" w:rsidRPr="00C9680B" w:rsidRDefault="001C7BF9">
      <w:pPr>
        <w:rPr>
          <w:snapToGrid w:val="0"/>
          <w:lang w:eastAsia="sv-SE"/>
        </w:rPr>
      </w:pPr>
      <w:r w:rsidRPr="00C9680B">
        <w:rPr>
          <w:snapToGrid w:val="0"/>
          <w:lang w:eastAsia="sv-SE"/>
        </w:rPr>
        <w:t xml:space="preserve">Folkpartiets politik har länge sammanfattats i orden ”ett smalare men vassare försvar”. Försvarsbeslutet våren 2000 gör försvaret smalare, men tyvärr inte tillräckligt mycket vassare. Vi har accepterat sänkningen av försvarsramen men anser – i likhet med vad vi gjorde när försvarsförhandlingarna avbröts – att det så kallade omställningsbidraget måste vara större. </w:t>
      </w:r>
    </w:p>
    <w:p w:rsidR="001C7BF9" w:rsidRPr="00C9680B" w:rsidRDefault="001C7BF9">
      <w:pPr>
        <w:pStyle w:val="Normaltindrag"/>
      </w:pPr>
      <w:r w:rsidRPr="00C9680B">
        <w:rPr>
          <w:snapToGrid w:val="0"/>
          <w:lang w:eastAsia="sv-SE"/>
        </w:rPr>
        <w:t xml:space="preserve">Utöver regeringens föreslagna anslag vill Folkpartiet anslå ytterligare tre miljarder kronor i omställningsbidrag för åren 2002–2003. På så sätt skulle den modernisering av försvaret vi anser nödvändig möjliggöras. Viktiga delar i en sådan modernisering är </w:t>
      </w:r>
      <w:r w:rsidRPr="00C9680B">
        <w:rPr>
          <w:i/>
          <w:snapToGrid w:val="0"/>
          <w:lang w:eastAsia="sv-SE"/>
        </w:rPr>
        <w:t>dels</w:t>
      </w:r>
      <w:r w:rsidRPr="00C9680B">
        <w:rPr>
          <w:snapToGrid w:val="0"/>
          <w:lang w:eastAsia="sv-SE"/>
        </w:rPr>
        <w:t xml:space="preserve"> materiell förnyelse såsom t.ex. elektroniska motmedel, nytt robotsystem för luftförsvaret och attackhelikoptrar, </w:t>
      </w:r>
      <w:r w:rsidRPr="00C9680B">
        <w:rPr>
          <w:i/>
          <w:snapToGrid w:val="0"/>
          <w:lang w:eastAsia="sv-SE"/>
        </w:rPr>
        <w:t>dels</w:t>
      </w:r>
      <w:r w:rsidRPr="00C9680B">
        <w:rPr>
          <w:snapToGrid w:val="0"/>
          <w:lang w:eastAsia="sv-SE"/>
        </w:rPr>
        <w:t xml:space="preserve"> ett nytt värnpliktssystem, som bygger på en könsneutral värnplikt och bl.a. annat ökar möjligheterna att ha personal med specialkompetenser snabbt tillgänglig för internationella insatser och dels kraftigt utökade resurser för internati</w:t>
      </w:r>
      <w:r w:rsidRPr="00C9680B">
        <w:rPr>
          <w:snapToGrid w:val="0"/>
          <w:lang w:eastAsia="sv-SE"/>
        </w:rPr>
        <w:t>o</w:t>
      </w:r>
      <w:r w:rsidRPr="00C9680B">
        <w:rPr>
          <w:snapToGrid w:val="0"/>
          <w:lang w:eastAsia="sv-SE"/>
        </w:rPr>
        <w:t>nella fredsbevarande insatser i t.ex. FN- eller EU-regi.</w:t>
      </w:r>
    </w:p>
    <w:p w:rsidR="001C7BF9" w:rsidRPr="00C9680B" w:rsidRDefault="001C7BF9">
      <w:pPr>
        <w:pStyle w:val="Normaltindrag"/>
        <w:ind w:firstLine="0"/>
      </w:pPr>
    </w:p>
    <w:p w:rsidR="001C7BF9" w:rsidRPr="00C9680B" w:rsidRDefault="001C7BF9">
      <w:r w:rsidRPr="00C9680B">
        <w:t>Lars Ångström (mp) anför:</w:t>
      </w:r>
    </w:p>
    <w:p w:rsidR="001C7BF9" w:rsidRPr="00C9680B" w:rsidRDefault="001C7BF9">
      <w:pPr>
        <w:rPr>
          <w:snapToGrid w:val="0"/>
          <w:lang w:eastAsia="sv-SE"/>
        </w:rPr>
      </w:pPr>
      <w:r w:rsidRPr="00C9680B">
        <w:rPr>
          <w:snapToGrid w:val="0"/>
          <w:lang w:eastAsia="sv-SE"/>
        </w:rPr>
        <w:t>Med undantag för åren 1990–1991 har Sveriges utgifter för ett militärt försvar aldrig varit högre än under 1999. Samtidigt råder stor enighet om, såväl pol</w:t>
      </w:r>
      <w:r w:rsidRPr="00C9680B">
        <w:rPr>
          <w:snapToGrid w:val="0"/>
          <w:lang w:eastAsia="sv-SE"/>
        </w:rPr>
        <w:t>i</w:t>
      </w:r>
      <w:r w:rsidRPr="00C9680B">
        <w:rPr>
          <w:snapToGrid w:val="0"/>
          <w:lang w:eastAsia="sv-SE"/>
        </w:rPr>
        <w:t xml:space="preserve">tiskt som i  militärledningen, att något militärt invasionshot inte existerar, varken nu eller under överskådlig framtid. </w:t>
      </w:r>
    </w:p>
    <w:p w:rsidR="001C7BF9" w:rsidRPr="00C9680B" w:rsidRDefault="001C7BF9">
      <w:pPr>
        <w:pStyle w:val="Normaltindrag"/>
        <w:rPr>
          <w:snapToGrid w:val="0"/>
          <w:lang w:eastAsia="sv-SE"/>
        </w:rPr>
      </w:pPr>
      <w:r w:rsidRPr="00C9680B">
        <w:rPr>
          <w:snapToGrid w:val="0"/>
          <w:lang w:eastAsia="sv-SE"/>
        </w:rPr>
        <w:t>Det är därför med tillfredsställelse Miljöpartiet konstaterat att regeringen och en riksdagsmajoritet numera delar vår uppfattning att även Sverige skall minska sina militärutgifter och inleda en avveckling av invasionsförsvaret. Trots det innehåller den statsbudget som Miljöpartiet står bakom otidsenligt höga nivåer på militärutgifterna. Under år 2001 kommer vi att betala rekor</w:t>
      </w:r>
      <w:r w:rsidRPr="00C9680B">
        <w:rPr>
          <w:snapToGrid w:val="0"/>
          <w:lang w:eastAsia="sv-SE"/>
        </w:rPr>
        <w:t>d</w:t>
      </w:r>
      <w:r w:rsidRPr="00C9680B">
        <w:rPr>
          <w:snapToGrid w:val="0"/>
          <w:lang w:eastAsia="sv-SE"/>
        </w:rPr>
        <w:t>höga 42,5 miljarder av totalfö</w:t>
      </w:r>
      <w:r w:rsidRPr="00C9680B">
        <w:rPr>
          <w:snapToGrid w:val="0"/>
          <w:lang w:eastAsia="sv-SE"/>
        </w:rPr>
        <w:t>r</w:t>
      </w:r>
      <w:r w:rsidRPr="00C9680B">
        <w:rPr>
          <w:snapToGrid w:val="0"/>
          <w:lang w:eastAsia="sv-SE"/>
        </w:rPr>
        <w:t xml:space="preserve">svarsbudgetens 45,5 miljarder till det militära. </w:t>
      </w:r>
    </w:p>
    <w:p w:rsidR="001C7BF9" w:rsidRPr="00C9680B" w:rsidRDefault="001C7BF9">
      <w:pPr>
        <w:pStyle w:val="Normaltindrag"/>
        <w:rPr>
          <w:snapToGrid w:val="0"/>
          <w:lang w:eastAsia="sv-SE"/>
        </w:rPr>
      </w:pPr>
      <w:r w:rsidRPr="00C9680B">
        <w:rPr>
          <w:snapToGrid w:val="0"/>
          <w:lang w:eastAsia="sv-SE"/>
        </w:rPr>
        <w:t xml:space="preserve">Denna grova felprioritering av landets ekonomiska resurser är ett resultat av försvarsuppgörelsen mellan Centern och Socialdemokraterna 1996. Det var först den 30 mars 2000 som en riksdagsmajoritet beslutade om militära utgiftsminskningar och överföring av resurser till sjukvården som Miljöpartiet krävt. Men de kommer först 2002. </w:t>
      </w:r>
    </w:p>
    <w:p w:rsidR="001C7BF9" w:rsidRPr="00C9680B" w:rsidRDefault="001C7BF9">
      <w:pPr>
        <w:pStyle w:val="Normaltindrag"/>
      </w:pPr>
      <w:r w:rsidRPr="00C9680B">
        <w:rPr>
          <w:snapToGrid w:val="0"/>
          <w:lang w:eastAsia="sv-SE"/>
        </w:rPr>
        <w:t>Grunden för vårt regeringssamarbete har varit en respekt för tidigare fatt</w:t>
      </w:r>
      <w:r w:rsidRPr="00C9680B">
        <w:rPr>
          <w:snapToGrid w:val="0"/>
          <w:lang w:eastAsia="sv-SE"/>
        </w:rPr>
        <w:t>a</w:t>
      </w:r>
      <w:r w:rsidRPr="00C9680B">
        <w:rPr>
          <w:snapToGrid w:val="0"/>
          <w:lang w:eastAsia="sv-SE"/>
        </w:rPr>
        <w:t>de beslut. Eftersom Centerpartiet och Socialdemokraterna inte varit förmögna att bryta sitt femåriga försvarsbeslut från 1996 som avser perioden 1997–2001, fortsätter det därför tyvärr att gälla också 2001. Miljöpartiets uppfattning är att det finns ett långt större utrymme för militära utgiftsminskningar i nästa försvarsbeslut.</w:t>
      </w:r>
    </w:p>
    <w:p w:rsidR="001C7BF9" w:rsidRPr="00C9680B" w:rsidRDefault="001C7BF9">
      <w:pPr>
        <w:pStyle w:val="Normaltindrag"/>
      </w:pPr>
    </w:p>
    <w:p w:rsidR="001C7BF9" w:rsidRPr="00C9680B" w:rsidRDefault="001C7BF9"/>
    <w:p w:rsidR="001C7BF9" w:rsidRPr="00C9680B" w:rsidRDefault="001C7BF9">
      <w:pPr>
        <w:pStyle w:val="Normaltindrag"/>
        <w:sectPr w:rsidR="00000000" w:rsidRPr="00C9680B">
          <w:headerReference w:type="even" r:id="rId135"/>
          <w:headerReference w:type="default" r:id="rId136"/>
          <w:footerReference w:type="even" r:id="rId137"/>
          <w:footerReference w:type="default" r:id="rId138"/>
          <w:headerReference w:type="first" r:id="rId139"/>
          <w:footerReference w:type="first" r:id="rId140"/>
          <w:footnotePr>
            <w:numRestart w:val="eachSect"/>
          </w:footnotePr>
          <w:pgSz w:w="11906" w:h="16838" w:code="9"/>
          <w:pgMar w:top="850" w:right="4649" w:bottom="4507" w:left="1304" w:header="340" w:footer="227" w:gutter="0"/>
          <w:cols w:space="720"/>
          <w:titlePg/>
        </w:sectPr>
      </w:pPr>
      <w:bookmarkStart w:id="1156" w:name="_Toc496407904"/>
    </w:p>
    <w:p w:rsidR="001C7BF9" w:rsidRPr="00C9680B" w:rsidRDefault="001C7BF9">
      <w:pPr>
        <w:pStyle w:val="Bilaga"/>
      </w:pPr>
      <w:r w:rsidRPr="00C9680B">
        <w:t>BILAGA 10</w:t>
      </w:r>
    </w:p>
    <w:p w:rsidR="001C7BF9" w:rsidRPr="00C9680B" w:rsidRDefault="001C7BF9">
      <w:pPr>
        <w:pStyle w:val="Rubrik1"/>
        <w:spacing w:after="0"/>
        <w:rPr>
          <w:noProof w:val="0"/>
        </w:rPr>
      </w:pPr>
      <w:bookmarkStart w:id="1157" w:name="_Toc498838254"/>
      <w:r w:rsidRPr="00C9680B">
        <w:rPr>
          <w:noProof w:val="0"/>
        </w:rPr>
        <w:t>Socialförsäkringsutskottets yttrande</w:t>
      </w:r>
      <w:bookmarkEnd w:id="1157"/>
    </w:p>
    <w:p w:rsidR="001C7BF9" w:rsidRPr="00C9680B" w:rsidRDefault="001C7BF9">
      <w:pPr>
        <w:pStyle w:val="R1"/>
        <w:spacing w:after="240"/>
      </w:pPr>
      <w:r w:rsidRPr="00C9680B">
        <w:t>2000/01:SfU1y</w:t>
      </w:r>
    </w:p>
    <w:p w:rsidR="001C7BF9" w:rsidRPr="00C9680B" w:rsidRDefault="001C7BF9">
      <w:pPr>
        <w:pStyle w:val="Rubrik2"/>
        <w:spacing w:before="0"/>
      </w:pPr>
      <w:bookmarkStart w:id="1158" w:name="_Toc498838255"/>
      <w:r w:rsidRPr="00C9680B">
        <w:t>Ramar för utgiftsområdena 8, 10, 11 och 12 samt statsbudgetens inkomster</w:t>
      </w:r>
      <w:bookmarkEnd w:id="1158"/>
    </w:p>
    <w:p w:rsidR="001C7BF9" w:rsidRPr="00C9680B" w:rsidRDefault="001C7BF9">
      <w:pPr>
        <w:pStyle w:val="R1"/>
        <w:spacing w:before="480" w:after="240"/>
        <w:outlineLvl w:val="0"/>
      </w:pPr>
      <w:r w:rsidRPr="00C9680B">
        <w:t>Till finansutskottet</w:t>
      </w:r>
      <w:bookmarkEnd w:id="1156"/>
    </w:p>
    <w:p w:rsidR="001C7BF9" w:rsidRPr="00C9680B" w:rsidRDefault="001C7BF9">
      <w:r w:rsidRPr="00C9680B">
        <w:t>Finansutskottet har den 21 september 2000 beslutat att bereda övriga utskott tillfälle att avge yttrande över proposition 2000/01:1 Budgetpropositionen för år 2001 (volym 1) i vad avser den ekonomiska politiken och förslag till stat</w:t>
      </w:r>
      <w:r w:rsidRPr="00C9680B">
        <w:t>s</w:t>
      </w:r>
      <w:r w:rsidRPr="00C9680B">
        <w:t>budget för budgetåret 2001, utgifternas fördelning på utgiftsområden och beräkningen av statsinkomsterna, låneramar (yrkandena  1–14 och 23–40) jämte motioner i de delar som berör respektive utskotts beredningsområde. Budgetpropositionen är resultatet av ett samarbete mellan Socialdemokrate</w:t>
      </w:r>
      <w:r w:rsidRPr="00C9680B">
        <w:t>r</w:t>
      </w:r>
      <w:r w:rsidRPr="00C9680B">
        <w:t>na, Vänste</w:t>
      </w:r>
      <w:r w:rsidRPr="00C9680B">
        <w:t>r</w:t>
      </w:r>
      <w:r w:rsidRPr="00C9680B">
        <w:t xml:space="preserve">partiet och Miljöpartiet. </w:t>
      </w:r>
    </w:p>
    <w:p w:rsidR="001C7BF9" w:rsidRPr="00C9680B" w:rsidRDefault="001C7BF9">
      <w:pPr>
        <w:pStyle w:val="Normaltindrag"/>
      </w:pPr>
      <w:r w:rsidRPr="00C9680B">
        <w:t>De delar av propositionen som utskottet yttrar sig över är regeringens fö</w:t>
      </w:r>
      <w:r w:rsidRPr="00C9680B">
        <w:t>r</w:t>
      </w:r>
      <w:r w:rsidRPr="00C9680B">
        <w:t>slag till dels fördelning av statsbudgetens utgifter på utgiftsområdena 8, 10, 11 och 12, dels beräkningen av statsbudgetens inkomster i de delar som avser utskottets beredningsområde och regeringens förslag till ändringar i lagen (1994:1920) om allmän löneavgift, lagen (1994:1744) om allmän pensionsa</w:t>
      </w:r>
      <w:r w:rsidRPr="00C9680B">
        <w:t>v</w:t>
      </w:r>
      <w:r w:rsidRPr="00C9680B">
        <w:t>gift, lagen (1998:674) om inkomstgrundad ålderspension och lagen (1998:676) om statlig ålderspe</w:t>
      </w:r>
      <w:r w:rsidRPr="00C9680B">
        <w:t>n</w:t>
      </w:r>
      <w:r w:rsidRPr="00C9680B">
        <w:t>sionsavgift (lagförslag 3.4, 3.6, 3.7 och 3.8).</w:t>
      </w:r>
    </w:p>
    <w:p w:rsidR="001C7BF9" w:rsidRPr="00C9680B" w:rsidRDefault="001C7BF9">
      <w:pPr>
        <w:pStyle w:val="Normaltindrag"/>
      </w:pPr>
      <w:r w:rsidRPr="00C9680B">
        <w:t>Yttrandet omfattar också beräkningen av utgifter för ålderspensi</w:t>
      </w:r>
      <w:r w:rsidRPr="00C9680B">
        <w:t>onssy</w:t>
      </w:r>
      <w:r w:rsidRPr="00C9680B">
        <w:t>s</w:t>
      </w:r>
      <w:r w:rsidRPr="00C9680B">
        <w:t>temet vid sidan av statsbudg</w:t>
      </w:r>
      <w:r w:rsidRPr="00C9680B">
        <w:t>e</w:t>
      </w:r>
      <w:r w:rsidRPr="00C9680B">
        <w:t xml:space="preserve">ten. </w:t>
      </w:r>
    </w:p>
    <w:p w:rsidR="001C7BF9" w:rsidRPr="00C9680B" w:rsidRDefault="001C7BF9">
      <w:pPr>
        <w:outlineLvl w:val="0"/>
      </w:pPr>
      <w:r w:rsidRPr="00C9680B">
        <w:t xml:space="preserve">Utskottet yttrar sig vidare i motsvarande delar över följande motioner </w:t>
      </w:r>
    </w:p>
    <w:p w:rsidR="001C7BF9" w:rsidRPr="00C9680B" w:rsidRDefault="001C7BF9">
      <w:r w:rsidRPr="00C9680B">
        <w:t>Fi208 yrkandena 5–7 av Bo Lundgren m.fl. (m)</w:t>
      </w:r>
    </w:p>
    <w:p w:rsidR="001C7BF9" w:rsidRPr="00C9680B" w:rsidRDefault="001C7BF9">
      <w:pPr>
        <w:pStyle w:val="Normaltindrag"/>
        <w:ind w:firstLine="0"/>
      </w:pPr>
      <w:r w:rsidRPr="00C9680B">
        <w:t>Fi209 yrkandena 5–7 av Alf Svensson m.fl. (kd)</w:t>
      </w:r>
    </w:p>
    <w:p w:rsidR="001C7BF9" w:rsidRPr="00C9680B" w:rsidRDefault="001C7BF9">
      <w:pPr>
        <w:pStyle w:val="Normaltindrag"/>
        <w:ind w:firstLine="0"/>
      </w:pPr>
      <w:r w:rsidRPr="00C9680B">
        <w:t>Fi210 yrkandena 3–5 av Lennart Daléus m.fl. (c)</w:t>
      </w:r>
    </w:p>
    <w:p w:rsidR="001C7BF9" w:rsidRPr="00C9680B" w:rsidRDefault="001C7BF9">
      <w:pPr>
        <w:pStyle w:val="Normaltindrag"/>
        <w:ind w:firstLine="0"/>
      </w:pPr>
      <w:r w:rsidRPr="00C9680B">
        <w:t>Fi211 yrkandena 5, 6 och 8 av Lars Leijonborg m.fl. (fp)</w:t>
      </w:r>
    </w:p>
    <w:p w:rsidR="001C7BF9" w:rsidRPr="00C9680B" w:rsidRDefault="001C7BF9">
      <w:pPr>
        <w:pStyle w:val="Normaltindrag"/>
        <w:ind w:firstLine="0"/>
      </w:pPr>
      <w:r w:rsidRPr="00C9680B">
        <w:t>Sk313 yrkandena 4–6 och 25 av Carl Fredrik Graf m.fl. (m)</w:t>
      </w:r>
    </w:p>
    <w:p w:rsidR="001C7BF9" w:rsidRPr="00C9680B" w:rsidRDefault="001C7BF9">
      <w:pPr>
        <w:pStyle w:val="Normaltindrag"/>
        <w:ind w:firstLine="0"/>
      </w:pPr>
      <w:r w:rsidRPr="00C9680B">
        <w:t>Sk321 yrkandena 18, 24 och 25 av Lennart Daléus m.fl. (c)</w:t>
      </w:r>
    </w:p>
    <w:p w:rsidR="001C7BF9" w:rsidRPr="00C9680B" w:rsidRDefault="001C7BF9">
      <w:pPr>
        <w:pStyle w:val="Normaltindrag"/>
        <w:ind w:firstLine="0"/>
      </w:pPr>
      <w:r w:rsidRPr="00C9680B">
        <w:t>Sk323 yrkandena 1 och 22–24 av Alf Svensson m.fl. (kd)</w:t>
      </w:r>
    </w:p>
    <w:p w:rsidR="001C7BF9" w:rsidRPr="00C9680B" w:rsidRDefault="001C7BF9">
      <w:pPr>
        <w:pStyle w:val="Normaltindrag"/>
        <w:ind w:firstLine="0"/>
      </w:pPr>
      <w:r w:rsidRPr="00C9680B">
        <w:t>N324 yrkande 6 av Alf Svensson m.fl. (kd)</w:t>
      </w:r>
    </w:p>
    <w:p w:rsidR="001C7BF9" w:rsidRPr="00C9680B" w:rsidRDefault="001C7BF9">
      <w:pPr>
        <w:pStyle w:val="R2"/>
        <w:outlineLvl w:val="0"/>
      </w:pPr>
      <w:r w:rsidRPr="00C9680B">
        <w:t>Utgiftsområde 8 Invandrare och flyktingar</w:t>
      </w:r>
    </w:p>
    <w:p w:rsidR="001C7BF9" w:rsidRPr="00C9680B" w:rsidRDefault="001C7BF9">
      <w:pPr>
        <w:pStyle w:val="R3"/>
        <w:spacing w:before="123"/>
        <w:outlineLvl w:val="0"/>
      </w:pPr>
      <w:r w:rsidRPr="00C9680B">
        <w:t>Propositionen</w:t>
      </w:r>
    </w:p>
    <w:p w:rsidR="001C7BF9" w:rsidRPr="00C9680B" w:rsidRDefault="001C7BF9">
      <w:r w:rsidRPr="00C9680B">
        <w:t>Utgiftsområdet omfattar fyra politikområden: Integrationspolitik, Storstad</w:t>
      </w:r>
      <w:r w:rsidRPr="00C9680B">
        <w:t>s</w:t>
      </w:r>
      <w:r w:rsidRPr="00C9680B">
        <w:t>politik, Migrationspolitik och Minoritetspolitik.</w:t>
      </w:r>
    </w:p>
    <w:p w:rsidR="001C7BF9" w:rsidRPr="00C9680B" w:rsidRDefault="001C7BF9">
      <w:pPr>
        <w:pStyle w:val="Normaltindrag"/>
      </w:pPr>
      <w:r w:rsidRPr="00C9680B">
        <w:t>Inom integrationspolitiken behandlas frågor rörande invandrares introdu</w:t>
      </w:r>
      <w:r w:rsidRPr="00C9680B">
        <w:t>k</w:t>
      </w:r>
      <w:r w:rsidRPr="00C9680B">
        <w:t>tion, ersättning till kommunerna för mottagande av flyktingar samt frågor om svenskt medborgarskap. Vidare behandlas åtgärder för att den etniska och kulturella mångfalden i samhället skall tas till vara samt åtgärder för att för</w:t>
      </w:r>
      <w:r w:rsidRPr="00C9680B">
        <w:t>e</w:t>
      </w:r>
      <w:r w:rsidRPr="00C9680B">
        <w:t>bygga och motverka etnisk diskriminering och främlingsfientlighet. Inom politikområdet finns även myndigheterna Integrationsverket, Ombudsmannen mot etnisk diskriminering samt Nämnden mot diskriminering.</w:t>
      </w:r>
    </w:p>
    <w:p w:rsidR="001C7BF9" w:rsidRPr="00C9680B" w:rsidRDefault="001C7BF9">
      <w:pPr>
        <w:pStyle w:val="Normaltindrag"/>
      </w:pPr>
      <w:r w:rsidRPr="00C9680B">
        <w:t xml:space="preserve">Storstadspolitik är i sin tur ett tvärsektoriellt politikområde och omfattar </w:t>
      </w:r>
      <w:r w:rsidRPr="00C9680B">
        <w:t>olika utvecklingsinsatser i storstadsområden. Anslag till storstadspolitiken finns också inom utgiftsområde 16, Utbildning och universitetsforskning.</w:t>
      </w:r>
    </w:p>
    <w:p w:rsidR="001C7BF9" w:rsidRPr="00C9680B" w:rsidRDefault="001C7BF9">
      <w:pPr>
        <w:pStyle w:val="Normaltindrag"/>
      </w:pPr>
      <w:r w:rsidRPr="00C9680B">
        <w:t>Migrationspolitik innefattar flyktingpolitiken, invandring till Sverige, mottagande av asylsökande, utlänningars rätt att vistas i Sverige, internati</w:t>
      </w:r>
      <w:r w:rsidRPr="00C9680B">
        <w:t>o</w:t>
      </w:r>
      <w:r w:rsidRPr="00C9680B">
        <w:t>nellt arbete inom det migrationspolitiska området samt Migrationsverket och Utlänningsnäm</w:t>
      </w:r>
      <w:r w:rsidRPr="00C9680B">
        <w:t>n</w:t>
      </w:r>
      <w:r w:rsidRPr="00C9680B">
        <w:t xml:space="preserve">den. </w:t>
      </w:r>
    </w:p>
    <w:p w:rsidR="001C7BF9" w:rsidRPr="00C9680B" w:rsidRDefault="001C7BF9">
      <w:pPr>
        <w:pStyle w:val="Normaltindrag"/>
      </w:pPr>
      <w:r w:rsidRPr="00C9680B">
        <w:t>Slutligen omfattar utgiftsområde 8 även minoritetspolitiken, med frågor r</w:t>
      </w:r>
      <w:r w:rsidRPr="00C9680B">
        <w:t>ö</w:t>
      </w:r>
      <w:r w:rsidRPr="00C9680B">
        <w:t>rande skydd och stöd för de nationella minoriteterna och de historiska min</w:t>
      </w:r>
      <w:r w:rsidRPr="00C9680B">
        <w:t>o</w:t>
      </w:r>
      <w:r w:rsidRPr="00C9680B">
        <w:t>ritetsspråken.</w:t>
      </w:r>
    </w:p>
    <w:p w:rsidR="001C7BF9" w:rsidRPr="00C9680B" w:rsidRDefault="001C7BF9">
      <w:pPr>
        <w:pStyle w:val="Normaltindrag"/>
      </w:pPr>
      <w:r w:rsidRPr="00C9680B">
        <w:t>Regeringen föreslår i budgetpropositionen en mindre förändring av inte</w:t>
      </w:r>
      <w:r w:rsidRPr="00C9680B">
        <w:t>g</w:t>
      </w:r>
      <w:r w:rsidRPr="00C9680B">
        <w:t>rationspolitikens mål. Integrationspolitiken syftar enligt detta förslag till lika rättigheter, skyldigheter och möjligheter för alla oavsett etnisk och kulturell bakgrund, en samhällsgemenskap med samhällets mångfald som grund samt en samhällsutveckling som kännetecknas av ömsesidig respekt och tolerans och som alla oavsett bakgrund skall vara delaktiga i.</w:t>
      </w:r>
    </w:p>
    <w:p w:rsidR="001C7BF9" w:rsidRPr="00C9680B" w:rsidRDefault="001C7BF9">
      <w:pPr>
        <w:pStyle w:val="Normaltindrag"/>
      </w:pPr>
      <w:r w:rsidRPr="00C9680B">
        <w:t>Storstadspolitikens mål är dels att ge storstadsregionerna goda förutsät</w:t>
      </w:r>
      <w:r w:rsidRPr="00C9680B">
        <w:t>t</w:t>
      </w:r>
      <w:r w:rsidRPr="00C9680B">
        <w:t>ningar för långsiktigt hållbar tillväxt och därmed bidra till att nya arbetstil</w:t>
      </w:r>
      <w:r w:rsidRPr="00C9680B">
        <w:t>l</w:t>
      </w:r>
      <w:r w:rsidRPr="00C9680B">
        <w:t>fällen skapas såväl inom storstadsregionerna som i övriga delar av landet, dels att bryta den sociala, etniska och diskriminerande segregationen och därmed verka för jämlika och jämställda levnadsvillkor för storstädernas invånare.</w:t>
      </w:r>
    </w:p>
    <w:p w:rsidR="001C7BF9" w:rsidRPr="00C9680B" w:rsidRDefault="001C7BF9">
      <w:pPr>
        <w:pStyle w:val="Normaltindrag"/>
      </w:pPr>
      <w:r w:rsidRPr="00C9680B">
        <w:t>Regeringen föreslår även för migrationspolitiken ett delvis nytt mål i bu</w:t>
      </w:r>
      <w:r w:rsidRPr="00C9680B">
        <w:t>d</w:t>
      </w:r>
      <w:r w:rsidRPr="00C9680B">
        <w:t>getpropositionen. Målen för politikområdet är enligt förslaget att verka för att migrationen till och från vårt land skall ske i ordnade former, att asylrätten värnas i Sverige och i ett internationellt perspektiv, att den reglerade invan</w:t>
      </w:r>
      <w:r w:rsidRPr="00C9680B">
        <w:t>d</w:t>
      </w:r>
      <w:r w:rsidRPr="00C9680B">
        <w:t>ringen upprätthålls samt att harmoniseringen av flykting- och invandrarpolit</w:t>
      </w:r>
      <w:r w:rsidRPr="00C9680B">
        <w:t>i</w:t>
      </w:r>
      <w:r w:rsidRPr="00C9680B">
        <w:t>ken i EU ökar.</w:t>
      </w:r>
    </w:p>
    <w:p w:rsidR="001C7BF9" w:rsidRPr="00C9680B" w:rsidRDefault="001C7BF9">
      <w:pPr>
        <w:pStyle w:val="Normaltindrag"/>
      </w:pPr>
      <w:r w:rsidRPr="00C9680B">
        <w:t>Målet för minoritetspolitiken föreslås även det i budgetpropositionen. Det överensstämmer med den inriktning som minoritetspolitiken givits genom riksdagens beslut om nationella mi</w:t>
      </w:r>
      <w:r w:rsidRPr="00C9680B">
        <w:t>noriteter i Sverige (prop. 1998/99:143, bet. 1999/2000:KU6, rskr. 1999/2000:69). Målen för politiken är enligt förslaget att ge skydd och stöd för de nationella minoriteterna och stärka deras möjli</w:t>
      </w:r>
      <w:r w:rsidRPr="00C9680B">
        <w:t>g</w:t>
      </w:r>
      <w:r w:rsidRPr="00C9680B">
        <w:t>heter till inflytande samt stödja de historiska minoritetsspråken så att de hålls levande.</w:t>
      </w:r>
    </w:p>
    <w:p w:rsidR="001C7BF9" w:rsidRPr="00C9680B" w:rsidRDefault="001C7BF9">
      <w:pPr>
        <w:pStyle w:val="Normaltindrag"/>
      </w:pPr>
      <w:r w:rsidRPr="00C9680B">
        <w:t>Genom riksdagens beslut med anledning av 2000 års ekonomiska vårpr</w:t>
      </w:r>
      <w:r w:rsidRPr="00C9680B">
        <w:t>o</w:t>
      </w:r>
      <w:r w:rsidRPr="00C9680B">
        <w:t>position (prop. 1999/2000:100, bet. 1999/2000:FiU20, rskr. 1999/2000:261) bestämdes ramen för år 2001 preliminärt till 4 875 miljoner kronor. I budge</w:t>
      </w:r>
      <w:r w:rsidRPr="00C9680B">
        <w:t>t</w:t>
      </w:r>
      <w:r w:rsidRPr="00C9680B">
        <w:t>propositionen föreslås en utgiftsram på 4 942 miljoner kronor för budgetåret 2001. Skillnaden mellan det preliminära beslutet och regeringens förslag förklaras av att det i budgetpropositionen görs ett antagande om ett ökat antal asylsökande och en snabbare ärendehantering vid Migrationsverket och U</w:t>
      </w:r>
      <w:r w:rsidRPr="00C9680B">
        <w:t>t</w:t>
      </w:r>
      <w:r w:rsidRPr="00C9680B">
        <w:t>länningsnämnden, vilket sammantaget leder till att utgiftern</w:t>
      </w:r>
      <w:r w:rsidRPr="00C9680B">
        <w:t>a för mottagandet av asylsökande minskar något och att utgifterna för kommunersättningarna ökar. I den nya utgiftsramen har också beaktats att sammanlagt 82,5 miljoner kronor av de 100 miljoner kronor, som anvisades i vårpropositionen till ett program för att öka sysselsättningen bland invandrare, överförs till utgiftso</w:t>
      </w:r>
      <w:r w:rsidRPr="00C9680B">
        <w:t>m</w:t>
      </w:r>
      <w:r w:rsidRPr="00C9680B">
        <w:t>rådena 13, 16 och 24.</w:t>
      </w:r>
    </w:p>
    <w:p w:rsidR="001C7BF9" w:rsidRPr="00C9680B" w:rsidRDefault="001C7BF9">
      <w:pPr>
        <w:pStyle w:val="Normaltindrag"/>
      </w:pPr>
      <w:r w:rsidRPr="00C9680B">
        <w:t xml:space="preserve">Den preliminära fördelningen för budgetåret 2002 föreslås beräknas till    </w:t>
      </w:r>
      <w:r w:rsidRPr="00C9680B">
        <w:br/>
        <w:t>4 683 miljoner kronor och för budgetåret 2003 till 4 717 miljoner kronor.</w:t>
      </w:r>
    </w:p>
    <w:p w:rsidR="001C7BF9" w:rsidRPr="00C9680B" w:rsidRDefault="001C7BF9">
      <w:pPr>
        <w:pStyle w:val="Normaltindrag"/>
      </w:pPr>
      <w:r w:rsidRPr="00C9680B">
        <w:t>För budgetåret 2001 kommer regeringen att fortsätta att prioritera insatser som leder till ökad integration, och särskilda satsningar kommer att göras vad gäller sysselsättning och förbättrad introduktion. Bland annat föreslår reg</w:t>
      </w:r>
      <w:r w:rsidRPr="00C9680B">
        <w:t>e</w:t>
      </w:r>
      <w:r w:rsidRPr="00C9680B">
        <w:t>ringen att Integrationsverket under 2001 skall kunna ge kommunerna visst stimulansbidrag för att ta emot flyktingar som ursprungligen togs emot i storstäderna. Regeringen anför vidare att det är viktigt att fler personer med invandrarbakgrund deltar i den demokratiska processen. Nyligen har också en utredare tillsatts (Ku 2000:01) med uppdrag att beskriva och analysera förde</w:t>
      </w:r>
      <w:r w:rsidRPr="00C9680B">
        <w:t>l</w:t>
      </w:r>
      <w:r w:rsidRPr="00C9680B">
        <w:t>ningen av makt och inflytande inom olika samhällsområden ur ett integr</w:t>
      </w:r>
      <w:r w:rsidRPr="00C9680B">
        <w:t>a</w:t>
      </w:r>
      <w:r w:rsidRPr="00C9680B">
        <w:t>tionspolitiskt perspektiv. Även insatser för att motverka disk</w:t>
      </w:r>
      <w:r w:rsidRPr="00C9680B">
        <w:t>riminering, främlingsfientlighet och rasism kommer att ha fortsatt hög prioritet. DO:s budget förstärks därför med 4 miljoner kronor.</w:t>
      </w:r>
    </w:p>
    <w:p w:rsidR="001C7BF9" w:rsidRPr="00C9680B" w:rsidRDefault="001C7BF9">
      <w:pPr>
        <w:pStyle w:val="Normaltindrag"/>
      </w:pPr>
      <w:r w:rsidRPr="00C9680B">
        <w:t>Regeringen bedömer att antalet asylsökande kommer att öka med anle</w:t>
      </w:r>
      <w:r w:rsidRPr="00C9680B">
        <w:t>d</w:t>
      </w:r>
      <w:r w:rsidRPr="00C9680B">
        <w:t>ning av att Sverige blir operativ medlem i Schengensamarbetet i mars 2001. Anslaget till Migrationsverket kommer därför att förstärkas 2001-2003. Reg</w:t>
      </w:r>
      <w:r w:rsidRPr="00C9680B">
        <w:t>e</w:t>
      </w:r>
      <w:r w:rsidRPr="00C9680B">
        <w:t>ringen kommer även framdeles att följa Migrationsverkets produktivitetsu</w:t>
      </w:r>
      <w:r w:rsidRPr="00C9680B">
        <w:t>t</w:t>
      </w:r>
      <w:r w:rsidRPr="00C9680B">
        <w:t>veckling och anser att Migrationsverkets prognosarbete bör utvecklas ytterl</w:t>
      </w:r>
      <w:r w:rsidRPr="00C9680B">
        <w:t>i</w:t>
      </w:r>
      <w:r w:rsidRPr="00C9680B">
        <w:t>gare.</w:t>
      </w:r>
    </w:p>
    <w:p w:rsidR="001C7BF9" w:rsidRPr="00C9680B" w:rsidRDefault="001C7BF9">
      <w:pPr>
        <w:pStyle w:val="Normaltindrag"/>
      </w:pPr>
      <w:r w:rsidRPr="00C9680B">
        <w:t>Minoritetspolitiken är ett nytt politikområde och regeringen bedömer att verksamheten bör fortsätta att utvecklas i enlighet med intentionerna i den minoritetspolitiska propositionen (prop. 1998/99:143, bet</w:t>
      </w:r>
      <w:r w:rsidRPr="00C9680B">
        <w:t>. 1999/2000:KU6, rskr. 1999/2000:69).</w:t>
      </w:r>
    </w:p>
    <w:p w:rsidR="001C7BF9" w:rsidRPr="00C9680B" w:rsidRDefault="001C7BF9">
      <w:pPr>
        <w:pStyle w:val="R3"/>
      </w:pPr>
      <w:r w:rsidRPr="00C9680B">
        <w:t>Motionerna</w:t>
      </w:r>
    </w:p>
    <w:p w:rsidR="001C7BF9" w:rsidRPr="00C9680B" w:rsidRDefault="001C7BF9">
      <w:pPr>
        <w:pStyle w:val="R4"/>
        <w:spacing w:before="123"/>
      </w:pPr>
      <w:r w:rsidRPr="00C9680B">
        <w:t>Moderaterna</w:t>
      </w:r>
    </w:p>
    <w:p w:rsidR="001C7BF9" w:rsidRPr="00C9680B" w:rsidRDefault="001C7BF9">
      <w:r w:rsidRPr="00C9680B">
        <w:t>I motion Fi208 yrkandena 5 och 6 föreslås – i förhållande till regeringens förslag – en minskning av utgifterna för budgetåret 2001 med 578 miljoner kronor och för budgetåren 2002 och 2003 med 129 respektive 243 miljoner kronor.</w:t>
      </w:r>
    </w:p>
    <w:p w:rsidR="001C7BF9" w:rsidRPr="00C9680B" w:rsidRDefault="001C7BF9">
      <w:pPr>
        <w:pStyle w:val="Normaltindrag"/>
      </w:pPr>
      <w:r w:rsidRPr="00C9680B">
        <w:t>Motionärerna konstaterar att regeringen vill fortsätta att anslå budgetmedel till vissa invandrartäta bostadsområden i storstäderna. Enligt motionärerna bör i stället andra vägar prövas som innebär en mindre belastning på stat</w:t>
      </w:r>
      <w:r w:rsidRPr="00C9680B">
        <w:t>s</w:t>
      </w:r>
      <w:r w:rsidRPr="00C9680B">
        <w:t>budgeten. De förespråkar en social och geografisk rörlighet, som uppnås bl.a. genom att bostadsmarknaden och arbetsmarknaden avregleras. Detta får i sin tur positiva effekter på integrationen, menar motionärerna.</w:t>
      </w:r>
    </w:p>
    <w:p w:rsidR="001C7BF9" w:rsidRPr="00C9680B" w:rsidRDefault="001C7BF9">
      <w:pPr>
        <w:pStyle w:val="Normaltindrag"/>
      </w:pPr>
      <w:r w:rsidRPr="00C9680B">
        <w:t>Motionärerna är också tveksamma till Integrationsverket, och föreslår att 20 miljoner kronor överförs till Migrationsverket för budgetåret 2001. Vidare bör enligt motionärerna anslag 10:5, Ombudsmannen mot etnisk diskrimin</w:t>
      </w:r>
      <w:r w:rsidRPr="00C9680B">
        <w:t>e</w:t>
      </w:r>
      <w:r w:rsidRPr="00C9680B">
        <w:t>ring, flyttas till utgiftsområde 14, Arbetsliv.</w:t>
      </w:r>
    </w:p>
    <w:p w:rsidR="001C7BF9" w:rsidRPr="00C9680B" w:rsidRDefault="001C7BF9">
      <w:pPr>
        <w:pStyle w:val="R4"/>
      </w:pPr>
      <w:r w:rsidRPr="00C9680B">
        <w:t>Kristdemokraterna</w:t>
      </w:r>
    </w:p>
    <w:p w:rsidR="001C7BF9" w:rsidRPr="00C9680B" w:rsidRDefault="001C7BF9">
      <w:r w:rsidRPr="00C9680B">
        <w:t>I motion Fi209 yrkandena 6 och 7 föreslås – i förhållande till regeringens förslag – en minskning för budgetåret 2001 med 344 miljoner kronor och för budgetåren 2002 och 2003 med 63 respektive 295 miljoner kronor.</w:t>
      </w:r>
    </w:p>
    <w:p w:rsidR="001C7BF9" w:rsidRPr="00C9680B" w:rsidRDefault="001C7BF9">
      <w:pPr>
        <w:pStyle w:val="Normaltindrag"/>
      </w:pPr>
      <w:r w:rsidRPr="00C9680B">
        <w:t>Motionärerna avvisar höjningen med 305 miljoner kronor av anslag 11:1, Utvecklingsinsatser i storstadsregionerna, samt hela anslaget på 230 miljoner kronor för 2003, som regeringen beräknat i budgetpropositionen. Motionäre</w:t>
      </w:r>
      <w:r w:rsidRPr="00C9680B">
        <w:t>r</w:t>
      </w:r>
      <w:r w:rsidRPr="00C9680B">
        <w:t>na föreslår också en nedläggning av Integrationsverket från den 1 juni 2001. Vissa av verkets uppgifter bör, enligt motionärerna, övertas av Migr</w:t>
      </w:r>
      <w:r w:rsidRPr="00C9680B">
        <w:t>a</w:t>
      </w:r>
      <w:r w:rsidRPr="00C9680B">
        <w:t>tionsverket, Ombudsmannen mot etnisk diskriminering samt av Riksförsä</w:t>
      </w:r>
      <w:r w:rsidRPr="00C9680B">
        <w:t>k</w:t>
      </w:r>
      <w:r w:rsidRPr="00C9680B">
        <w:t>ringsverket.</w:t>
      </w:r>
    </w:p>
    <w:p w:rsidR="001C7BF9" w:rsidRPr="00C9680B" w:rsidRDefault="001C7BF9">
      <w:pPr>
        <w:pStyle w:val="R4"/>
      </w:pPr>
      <w:r w:rsidRPr="00C9680B">
        <w:t>Centerpartiet</w:t>
      </w:r>
    </w:p>
    <w:p w:rsidR="001C7BF9" w:rsidRPr="00C9680B" w:rsidRDefault="001C7BF9">
      <w:r w:rsidRPr="00C9680B">
        <w:t>I motion Fi210 yrkandena 4 och 5 föreslås – i förhållande till regeringens förslag – en minskning för budgetåret 2001 med 535 miljoner kronor och för budgetåren 2002 och 2003 med 386 respektive 513 miljoner kronor.</w:t>
      </w:r>
    </w:p>
    <w:p w:rsidR="001C7BF9" w:rsidRPr="00C9680B" w:rsidRDefault="001C7BF9">
      <w:pPr>
        <w:pStyle w:val="Normaltindrag"/>
      </w:pPr>
      <w:r w:rsidRPr="00C9680B">
        <w:t>Motionärerna anför att de inte tror att regeringens utvecklingsinsatser i storstadsregionerna leder till några långsiktiga förändringar och att projek</w:t>
      </w:r>
      <w:r w:rsidRPr="00C9680B">
        <w:t>t</w:t>
      </w:r>
      <w:r w:rsidRPr="00C9680B">
        <w:t>verksamheten riskerar att bli en del vid sidan av kommunernas ordinarie verksamheter. De föreslår därför en minskning av anslag 11:1 med 265 milj</w:t>
      </w:r>
      <w:r w:rsidRPr="00C9680B">
        <w:t>o</w:t>
      </w:r>
      <w:r w:rsidRPr="00C9680B">
        <w:t>ner kronor. Vidare anförs att förkortade handläggningstider vid flyktingmo</w:t>
      </w:r>
      <w:r w:rsidRPr="00C9680B">
        <w:t>t</w:t>
      </w:r>
      <w:r w:rsidRPr="00C9680B">
        <w:t>tagandet och ökade insatser för att få människor i arbete möjliggör stora b</w:t>
      </w:r>
      <w:r w:rsidRPr="00C9680B">
        <w:t>e</w:t>
      </w:r>
      <w:r w:rsidRPr="00C9680B">
        <w:t>sparingar inom området. Slutligen bör, enligt motionärerna, Utlänningsnäm</w:t>
      </w:r>
      <w:r w:rsidRPr="00C9680B">
        <w:t>n</w:t>
      </w:r>
      <w:r w:rsidRPr="00C9680B">
        <w:t>den avvecklas och asylärendena överföras till förvaltningsdo</w:t>
      </w:r>
      <w:r w:rsidRPr="00C9680B">
        <w:t>m</w:t>
      </w:r>
      <w:r w:rsidRPr="00C9680B">
        <w:t>stolarna.</w:t>
      </w:r>
    </w:p>
    <w:p w:rsidR="001C7BF9" w:rsidRPr="00C9680B" w:rsidRDefault="001C7BF9">
      <w:pPr>
        <w:pStyle w:val="R4"/>
      </w:pPr>
      <w:r w:rsidRPr="00C9680B">
        <w:t>Folkpartiet</w:t>
      </w:r>
    </w:p>
    <w:p w:rsidR="001C7BF9" w:rsidRPr="00C9680B" w:rsidRDefault="001C7BF9">
      <w:r w:rsidRPr="00C9680B">
        <w:t>I motion Fi211 yrkandena 6 och 8 föreslås – i förhållande till regeringens förslag – en minskning för budgetåret 2001 med 442 miljoner kronor och för budgetåren 2002 och 2003 med 201 respektive 317 miljoner kronor.</w:t>
      </w:r>
    </w:p>
    <w:p w:rsidR="001C7BF9" w:rsidRPr="00C9680B" w:rsidRDefault="001C7BF9">
      <w:pPr>
        <w:pStyle w:val="Normaltindrag"/>
      </w:pPr>
      <w:r w:rsidRPr="00C9680B">
        <w:t>Motionärerna anför att en dominerande del av de projekt som finansieras inom anslag 11:1, Utvecklingsinsatser i storstadsregionerna, inte har en til</w:t>
      </w:r>
      <w:r w:rsidRPr="00C9680B">
        <w:t>l</w:t>
      </w:r>
      <w:r w:rsidRPr="00C9680B">
        <w:t>fredsställande effektivitet och förankring bland de berörda. Enligt motion</w:t>
      </w:r>
      <w:r w:rsidRPr="00C9680B">
        <w:t>ä</w:t>
      </w:r>
      <w:r w:rsidRPr="00C9680B">
        <w:t>rerna kan därför en minskning av anslaget ske. Vidare anför motionärerna att integrationen inte är en process som kan styras uppifrån och att Integr</w:t>
      </w:r>
      <w:r w:rsidRPr="00C9680B">
        <w:t>a</w:t>
      </w:r>
      <w:r w:rsidRPr="00C9680B">
        <w:t>tionsverket därför kan läggas ned.</w:t>
      </w:r>
    </w:p>
    <w:p w:rsidR="001C7BF9" w:rsidRPr="00C9680B" w:rsidRDefault="001C7BF9">
      <w:pPr>
        <w:pStyle w:val="R3"/>
      </w:pPr>
      <w:r w:rsidRPr="00C9680B">
        <w:t>Utskottets bedömning</w:t>
      </w:r>
    </w:p>
    <w:p w:rsidR="001C7BF9" w:rsidRPr="00C9680B" w:rsidRDefault="001C7BF9">
      <w:r w:rsidRPr="00C9680B">
        <w:t>Utskottet har att ta ställning till dels förslag om utgiftsram för budgetåret 2001, dels förslag till preliminär fördelning av utgifterna för budgetåret 2002 och 2003. Förslagen redovisas i tabellen nedan. Beloppen anges i miljoner kronor.</w:t>
      </w:r>
    </w:p>
    <w:p w:rsidR="001C7BF9" w:rsidRPr="00C9680B" w:rsidRDefault="001C7BF9">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233"/>
        <w:gridCol w:w="1006"/>
        <w:gridCol w:w="1006"/>
        <w:gridCol w:w="1006"/>
        <w:gridCol w:w="1006"/>
      </w:tblGrid>
      <w:tr w:rsidR="00000000" w:rsidRPr="00C9680B">
        <w:tblPrEx>
          <w:tblCellMar>
            <w:top w:w="0" w:type="dxa"/>
            <w:bottom w:w="0" w:type="dxa"/>
          </w:tblCellMar>
        </w:tblPrEx>
        <w:tc>
          <w:tcPr>
            <w:tcW w:w="779" w:type="dxa"/>
          </w:tcPr>
          <w:p w:rsidR="001C7BF9" w:rsidRPr="00C9680B" w:rsidRDefault="001C7BF9">
            <w:pPr>
              <w:pStyle w:val="Normaltindrag"/>
              <w:ind w:firstLine="0"/>
              <w:jc w:val="left"/>
            </w:pPr>
            <w:r w:rsidRPr="00C9680B">
              <w:t>År</w:t>
            </w:r>
          </w:p>
        </w:tc>
        <w:tc>
          <w:tcPr>
            <w:tcW w:w="1233" w:type="dxa"/>
          </w:tcPr>
          <w:p w:rsidR="001C7BF9" w:rsidRPr="00C9680B" w:rsidRDefault="001C7BF9">
            <w:pPr>
              <w:pStyle w:val="Normaltindrag"/>
              <w:ind w:firstLine="0"/>
              <w:jc w:val="center"/>
            </w:pPr>
            <w:r w:rsidRPr="00C9680B">
              <w:t>Regerin</w:t>
            </w:r>
            <w:r w:rsidRPr="00C9680B">
              <w:t>g</w:t>
            </w:r>
            <w:r w:rsidRPr="00C9680B">
              <w:t>en</w:t>
            </w:r>
          </w:p>
        </w:tc>
        <w:tc>
          <w:tcPr>
            <w:tcW w:w="1006" w:type="dxa"/>
          </w:tcPr>
          <w:p w:rsidR="001C7BF9" w:rsidRPr="00C9680B" w:rsidRDefault="001C7BF9">
            <w:pPr>
              <w:pStyle w:val="Normaltindrag"/>
              <w:ind w:firstLine="0"/>
              <w:jc w:val="center"/>
            </w:pPr>
            <w:r w:rsidRPr="00C9680B">
              <w:t>m</w:t>
            </w:r>
          </w:p>
        </w:tc>
        <w:tc>
          <w:tcPr>
            <w:tcW w:w="1006" w:type="dxa"/>
          </w:tcPr>
          <w:p w:rsidR="001C7BF9" w:rsidRPr="00C9680B" w:rsidRDefault="001C7BF9">
            <w:pPr>
              <w:pStyle w:val="Normaltindrag"/>
              <w:ind w:firstLine="0"/>
              <w:jc w:val="center"/>
            </w:pPr>
            <w:r w:rsidRPr="00C9680B">
              <w:t>kd</w:t>
            </w:r>
          </w:p>
        </w:tc>
        <w:tc>
          <w:tcPr>
            <w:tcW w:w="1006" w:type="dxa"/>
          </w:tcPr>
          <w:p w:rsidR="001C7BF9" w:rsidRPr="00C9680B" w:rsidRDefault="001C7BF9">
            <w:pPr>
              <w:pStyle w:val="Normaltindrag"/>
              <w:ind w:firstLine="0"/>
              <w:jc w:val="center"/>
            </w:pPr>
            <w:r w:rsidRPr="00C9680B">
              <w:t>c</w:t>
            </w:r>
          </w:p>
        </w:tc>
        <w:tc>
          <w:tcPr>
            <w:tcW w:w="1006" w:type="dxa"/>
          </w:tcPr>
          <w:p w:rsidR="001C7BF9" w:rsidRPr="00C9680B" w:rsidRDefault="001C7BF9">
            <w:pPr>
              <w:pStyle w:val="Normaltindrag"/>
              <w:ind w:firstLine="0"/>
              <w:jc w:val="center"/>
            </w:pPr>
            <w:r w:rsidRPr="00C9680B">
              <w:t>fp</w:t>
            </w:r>
          </w:p>
        </w:tc>
      </w:tr>
      <w:tr w:rsidR="00000000" w:rsidRPr="00C9680B">
        <w:tblPrEx>
          <w:tblCellMar>
            <w:top w:w="0" w:type="dxa"/>
            <w:bottom w:w="0" w:type="dxa"/>
          </w:tblCellMar>
        </w:tblPrEx>
        <w:tc>
          <w:tcPr>
            <w:tcW w:w="779" w:type="dxa"/>
          </w:tcPr>
          <w:p w:rsidR="001C7BF9" w:rsidRPr="00C9680B" w:rsidRDefault="001C7BF9">
            <w:pPr>
              <w:pStyle w:val="Normaltindrag"/>
              <w:ind w:firstLine="0"/>
              <w:jc w:val="left"/>
            </w:pPr>
            <w:r w:rsidRPr="00C9680B">
              <w:t>2001</w:t>
            </w:r>
          </w:p>
          <w:p w:rsidR="001C7BF9" w:rsidRPr="00C9680B" w:rsidRDefault="001C7BF9">
            <w:pPr>
              <w:pStyle w:val="Normaltindrag"/>
              <w:ind w:firstLine="0"/>
              <w:jc w:val="left"/>
            </w:pPr>
            <w:r w:rsidRPr="00C9680B">
              <w:t>2002</w:t>
            </w:r>
          </w:p>
          <w:p w:rsidR="001C7BF9" w:rsidRPr="00C9680B" w:rsidRDefault="001C7BF9">
            <w:pPr>
              <w:pStyle w:val="Normaltindrag"/>
              <w:ind w:firstLine="0"/>
              <w:jc w:val="left"/>
            </w:pPr>
            <w:r w:rsidRPr="00C9680B">
              <w:t>2003</w:t>
            </w:r>
          </w:p>
        </w:tc>
        <w:tc>
          <w:tcPr>
            <w:tcW w:w="1233" w:type="dxa"/>
          </w:tcPr>
          <w:p w:rsidR="001C7BF9" w:rsidRPr="00C9680B" w:rsidRDefault="001C7BF9">
            <w:pPr>
              <w:pStyle w:val="Normaltindrag"/>
              <w:ind w:right="170" w:firstLine="0"/>
              <w:jc w:val="right"/>
            </w:pPr>
            <w:r w:rsidRPr="00C9680B">
              <w:t>4 942</w:t>
            </w:r>
          </w:p>
          <w:p w:rsidR="001C7BF9" w:rsidRPr="00C9680B" w:rsidRDefault="001C7BF9">
            <w:pPr>
              <w:pStyle w:val="Normaltindrag"/>
              <w:ind w:right="170" w:firstLine="0"/>
              <w:jc w:val="right"/>
            </w:pPr>
            <w:r w:rsidRPr="00C9680B">
              <w:t>4 683</w:t>
            </w:r>
          </w:p>
          <w:p w:rsidR="001C7BF9" w:rsidRPr="00C9680B" w:rsidRDefault="001C7BF9">
            <w:pPr>
              <w:pStyle w:val="Normaltindrag"/>
              <w:ind w:right="170" w:firstLine="0"/>
              <w:jc w:val="right"/>
            </w:pPr>
            <w:r w:rsidRPr="00C9680B">
              <w:t>4 717</w:t>
            </w:r>
          </w:p>
        </w:tc>
        <w:tc>
          <w:tcPr>
            <w:tcW w:w="1006" w:type="dxa"/>
          </w:tcPr>
          <w:p w:rsidR="001C7BF9" w:rsidRPr="00C9680B" w:rsidRDefault="001C7BF9">
            <w:pPr>
              <w:pStyle w:val="Normaltindrag"/>
              <w:ind w:right="170" w:firstLine="0"/>
              <w:jc w:val="right"/>
            </w:pPr>
            <w:r w:rsidRPr="00C9680B">
              <w:t>- 578</w:t>
            </w:r>
          </w:p>
          <w:p w:rsidR="001C7BF9" w:rsidRPr="00C9680B" w:rsidRDefault="001C7BF9">
            <w:pPr>
              <w:pStyle w:val="Normaltindrag"/>
              <w:ind w:right="170" w:firstLine="0"/>
              <w:jc w:val="right"/>
            </w:pPr>
            <w:r w:rsidRPr="00C9680B">
              <w:t>- 129</w:t>
            </w:r>
          </w:p>
          <w:p w:rsidR="001C7BF9" w:rsidRPr="00C9680B" w:rsidRDefault="001C7BF9">
            <w:pPr>
              <w:pStyle w:val="Normaltindrag"/>
              <w:ind w:right="170" w:firstLine="0"/>
              <w:jc w:val="right"/>
            </w:pPr>
            <w:r w:rsidRPr="00C9680B">
              <w:t>- 243</w:t>
            </w:r>
          </w:p>
        </w:tc>
        <w:tc>
          <w:tcPr>
            <w:tcW w:w="1006" w:type="dxa"/>
          </w:tcPr>
          <w:p w:rsidR="001C7BF9" w:rsidRPr="00C9680B" w:rsidRDefault="001C7BF9">
            <w:pPr>
              <w:pStyle w:val="Normaltindrag"/>
              <w:ind w:right="170" w:firstLine="0"/>
              <w:jc w:val="right"/>
            </w:pPr>
            <w:r w:rsidRPr="00C9680B">
              <w:t>- 344</w:t>
            </w:r>
          </w:p>
          <w:p w:rsidR="001C7BF9" w:rsidRPr="00C9680B" w:rsidRDefault="001C7BF9">
            <w:pPr>
              <w:pStyle w:val="Normaltindrag"/>
              <w:ind w:right="170"/>
              <w:jc w:val="right"/>
            </w:pPr>
            <w:r w:rsidRPr="00C9680B">
              <w:t>- 63</w:t>
            </w:r>
          </w:p>
          <w:p w:rsidR="001C7BF9" w:rsidRPr="00C9680B" w:rsidRDefault="001C7BF9">
            <w:pPr>
              <w:pStyle w:val="Normaltindrag"/>
              <w:ind w:right="170"/>
              <w:jc w:val="right"/>
            </w:pPr>
            <w:r w:rsidRPr="00C9680B">
              <w:t>- 295</w:t>
            </w:r>
          </w:p>
        </w:tc>
        <w:tc>
          <w:tcPr>
            <w:tcW w:w="1006" w:type="dxa"/>
          </w:tcPr>
          <w:p w:rsidR="001C7BF9" w:rsidRPr="00C9680B" w:rsidRDefault="001C7BF9">
            <w:pPr>
              <w:pStyle w:val="Normaltindrag"/>
              <w:ind w:right="170" w:firstLine="0"/>
              <w:jc w:val="right"/>
            </w:pPr>
            <w:r w:rsidRPr="00C9680B">
              <w:t>- 535</w:t>
            </w:r>
          </w:p>
          <w:p w:rsidR="001C7BF9" w:rsidRPr="00C9680B" w:rsidRDefault="001C7BF9">
            <w:pPr>
              <w:pStyle w:val="Normaltindrag"/>
              <w:ind w:right="170" w:firstLine="0"/>
              <w:jc w:val="right"/>
            </w:pPr>
            <w:r w:rsidRPr="00C9680B">
              <w:t>- 386</w:t>
            </w:r>
          </w:p>
          <w:p w:rsidR="001C7BF9" w:rsidRPr="00C9680B" w:rsidRDefault="001C7BF9">
            <w:pPr>
              <w:pStyle w:val="Normaltindrag"/>
              <w:ind w:right="170" w:firstLine="0"/>
              <w:jc w:val="right"/>
            </w:pPr>
            <w:r w:rsidRPr="00C9680B">
              <w:t>- 513</w:t>
            </w:r>
          </w:p>
        </w:tc>
        <w:tc>
          <w:tcPr>
            <w:tcW w:w="1006" w:type="dxa"/>
          </w:tcPr>
          <w:p w:rsidR="001C7BF9" w:rsidRPr="00C9680B" w:rsidRDefault="001C7BF9">
            <w:pPr>
              <w:pStyle w:val="Normaltindrag"/>
              <w:ind w:right="170" w:firstLine="0"/>
              <w:jc w:val="right"/>
            </w:pPr>
            <w:r w:rsidRPr="00C9680B">
              <w:t>- 442</w:t>
            </w:r>
          </w:p>
          <w:p w:rsidR="001C7BF9" w:rsidRPr="00C9680B" w:rsidRDefault="001C7BF9">
            <w:pPr>
              <w:pStyle w:val="Normaltindrag"/>
              <w:ind w:right="170" w:firstLine="0"/>
              <w:jc w:val="right"/>
            </w:pPr>
            <w:r w:rsidRPr="00C9680B">
              <w:t>- 201</w:t>
            </w:r>
          </w:p>
          <w:p w:rsidR="001C7BF9" w:rsidRPr="00C9680B" w:rsidRDefault="001C7BF9">
            <w:pPr>
              <w:pStyle w:val="Normaltindrag"/>
              <w:ind w:right="170" w:firstLine="0"/>
              <w:jc w:val="right"/>
            </w:pPr>
            <w:r w:rsidRPr="00C9680B">
              <w:t>- 317</w:t>
            </w:r>
          </w:p>
        </w:tc>
      </w:tr>
    </w:tbl>
    <w:p w:rsidR="001C7BF9" w:rsidRPr="00C9680B" w:rsidRDefault="001C7BF9">
      <w:pPr>
        <w:pStyle w:val="Normaltindrag"/>
      </w:pPr>
    </w:p>
    <w:p w:rsidR="001C7BF9" w:rsidRPr="00C9680B" w:rsidRDefault="001C7BF9">
      <w:r w:rsidRPr="00C9680B">
        <w:t>Målen för integrationspolitiken uppnås endast i begränsad omfattning genom insatser inom integrationspolitiken. Av stor betydelse för hur de integration</w:t>
      </w:r>
      <w:r w:rsidRPr="00C9680B">
        <w:t>s</w:t>
      </w:r>
      <w:r w:rsidRPr="00C9680B">
        <w:t>politiska målen uppnås är de insatser som sker inom den generella politiken. Utskottet noterar att en särskild satsning på sysselsättning och förbättrad introduktion görs. Satsningen är bred och spänner över flera utgiftsområden, vilket gör att en del av de i vårpropositionen anvisade medlen överförs till utgiftsområdena 13, 16 och 24. Utskottet finner ingen anledning att här göra någon annan bedömning än regeringen. Ett ökat antal asylsökande och en snabbare ärendehantering vid Migrationsverket och Utlänn</w:t>
      </w:r>
      <w:r w:rsidRPr="00C9680B">
        <w:t>ingsnämnden leder enligt regeringens bedömning till att utgifterna för asylsökande minskar något medan utgifterna för kommunersättningarna ökar. Utskottet finner utifrån detta det rimligt att utgiftsramen jämfört med vårpropositionen utökas enligt regeringens förslag.</w:t>
      </w:r>
    </w:p>
    <w:p w:rsidR="001C7BF9" w:rsidRPr="00C9680B" w:rsidRDefault="001C7BF9">
      <w:pPr>
        <w:pStyle w:val="Normaltindrag"/>
      </w:pPr>
      <w:r w:rsidRPr="00C9680B">
        <w:t>I övrigt noterar utskottet att arbetet mot rasism, främlingsfientlighet och etnisk diskriminering fortsätter och att DO:s anslag förstärks med 4 miljoner kronor. Utskottet anser att anslaget till DO bör vara kvar inom utgiftsområde 8. Vidare d</w:t>
      </w:r>
      <w:r w:rsidRPr="00C9680B">
        <w:t>elar utskottet regeringens bedömning om vikten av ett långsiktigt utvecklingsarbete i storstadsregionerna och ställer sig därför bakom de for</w:t>
      </w:r>
      <w:r w:rsidRPr="00C9680B">
        <w:t>t</w:t>
      </w:r>
      <w:r w:rsidRPr="00C9680B">
        <w:t>satta satsningarna inom storstadspolitiken. Utskottet noterar även att Migr</w:t>
      </w:r>
      <w:r w:rsidRPr="00C9680B">
        <w:t>a</w:t>
      </w:r>
      <w:r w:rsidRPr="00C9680B">
        <w:t xml:space="preserve">tionsverkets budget förstärks mot bakgrund av antagandet om ett ökat antal asylsökande, med anledning bl.a. av Sveriges inträde som operativ medlem i Schengensamarbetet i mars 2001. </w:t>
      </w:r>
    </w:p>
    <w:p w:rsidR="001C7BF9" w:rsidRPr="00C9680B" w:rsidRDefault="001C7BF9">
      <w:pPr>
        <w:pStyle w:val="Normaltindrag"/>
      </w:pPr>
      <w:r w:rsidRPr="00C9680B">
        <w:t>Enligt utskottet finns det inte skäl att göra annan bedömning än regeringen vad gäller utgiftsramen, och utskot</w:t>
      </w:r>
      <w:r w:rsidRPr="00C9680B">
        <w:t>tet godtar därför regeringens förslag till utgiftsram för budgetåret 2001 samt förslag till preliminär fördelning av u</w:t>
      </w:r>
      <w:r w:rsidRPr="00C9680B">
        <w:t>t</w:t>
      </w:r>
      <w:r w:rsidRPr="00C9680B">
        <w:t>gifterna för budgetåren 2002 och 2003. Utskottet tillstyrker regeringens fö</w:t>
      </w:r>
      <w:r w:rsidRPr="00C9680B">
        <w:t>r</w:t>
      </w:r>
      <w:r w:rsidRPr="00C9680B">
        <w:t>slag och avstyrker motionerna Fi208 yrkandena 5 och 6, Fi209 yrkandena 6 och 7, Fi210 yrkandena 4 och 5 samt Fi211 yrkandena 6 och 8.</w:t>
      </w:r>
    </w:p>
    <w:p w:rsidR="001C7BF9" w:rsidRPr="00C9680B" w:rsidRDefault="001C7BF9">
      <w:pPr>
        <w:pStyle w:val="R2"/>
        <w:rPr>
          <w:snapToGrid w:val="0"/>
          <w:lang w:eastAsia="sv-SE"/>
        </w:rPr>
      </w:pPr>
      <w:r w:rsidRPr="00C9680B">
        <w:rPr>
          <w:snapToGrid w:val="0"/>
          <w:lang w:eastAsia="sv-SE"/>
        </w:rPr>
        <w:t>Utgiftsområde 10 Ekonomisk trygghet vid sjukdom och handikapp</w:t>
      </w:r>
    </w:p>
    <w:p w:rsidR="001C7BF9" w:rsidRPr="00C9680B" w:rsidRDefault="001C7BF9">
      <w:pPr>
        <w:pStyle w:val="R3"/>
        <w:spacing w:before="123"/>
        <w:outlineLvl w:val="0"/>
        <w:rPr>
          <w:snapToGrid w:val="0"/>
          <w:lang w:eastAsia="sv-SE"/>
        </w:rPr>
      </w:pPr>
      <w:r w:rsidRPr="00C9680B">
        <w:rPr>
          <w:snapToGrid w:val="0"/>
          <w:lang w:eastAsia="sv-SE"/>
        </w:rPr>
        <w:t>Propositionen</w:t>
      </w:r>
    </w:p>
    <w:p w:rsidR="001C7BF9" w:rsidRPr="00C9680B" w:rsidRDefault="001C7BF9">
      <w:pPr>
        <w:rPr>
          <w:snapToGrid w:val="0"/>
          <w:lang w:eastAsia="sv-SE"/>
        </w:rPr>
      </w:pPr>
      <w:r w:rsidRPr="00C9680B">
        <w:rPr>
          <w:snapToGrid w:val="0"/>
          <w:lang w:eastAsia="sv-SE"/>
        </w:rPr>
        <w:t>Utgiftsområdet omfattar politikområdet Ersättning vid arbetsoförmåga. Pol</w:t>
      </w:r>
      <w:r w:rsidRPr="00C9680B">
        <w:rPr>
          <w:snapToGrid w:val="0"/>
          <w:lang w:eastAsia="sv-SE"/>
        </w:rPr>
        <w:t>i</w:t>
      </w:r>
      <w:r w:rsidRPr="00C9680B">
        <w:rPr>
          <w:snapToGrid w:val="0"/>
          <w:lang w:eastAsia="sv-SE"/>
        </w:rPr>
        <w:t>tikområdet omfattar sjukpenning, rehabilitering, närståendepenning, förtid</w:t>
      </w:r>
      <w:r w:rsidRPr="00C9680B">
        <w:rPr>
          <w:snapToGrid w:val="0"/>
          <w:lang w:eastAsia="sv-SE"/>
        </w:rPr>
        <w:t>s</w:t>
      </w:r>
      <w:r w:rsidRPr="00C9680B">
        <w:rPr>
          <w:snapToGrid w:val="0"/>
          <w:lang w:eastAsia="sv-SE"/>
        </w:rPr>
        <w:t>pension, ersättning vid handikapp samt arbets- och kroppsskador, området kostnader för sysselsättning av vissa förtidspensionärer samt anslagen för Riksförsäkringsverket och de allmänna försäkringskassorna.</w:t>
      </w:r>
    </w:p>
    <w:p w:rsidR="001C7BF9" w:rsidRPr="00C9680B" w:rsidRDefault="001C7BF9">
      <w:pPr>
        <w:pStyle w:val="Normaltindrag"/>
      </w:pPr>
      <w:r w:rsidRPr="00C9680B">
        <w:t>I propositionen föreslås att målen för politikområdet skall vara att en större del av befolkningen i arbetsför ålder skall ha förmågan att arbeta och att pe</w:t>
      </w:r>
      <w:r w:rsidRPr="00C9680B">
        <w:t>r</w:t>
      </w:r>
      <w:r w:rsidRPr="00C9680B">
        <w:t>soner som inte har förmågan att arbeta skall ges en levnadsstandard som är anpassad till den ekonomiska utvecklingen i samhället.</w:t>
      </w:r>
    </w:p>
    <w:p w:rsidR="001C7BF9" w:rsidRPr="00C9680B" w:rsidRDefault="001C7BF9">
      <w:pPr>
        <w:pStyle w:val="Normaltindrag"/>
      </w:pPr>
      <w:r w:rsidRPr="00C9680B">
        <w:t>Genom riksdagens beslut med anledning av vårpropositionen bestämdes ramen för utgiftsområdet för år 2001 preliminärt till 100 075 miljoner kronor. I budgetpropositionen föreslås en utgiftsram på 101 950 miljoner kronor för budgetåret 2001. I förhållande till 2000 års ekonomiska vårproposition har således utgiftsramen höjts med ca 1,9 miljarder kronor. Enligt budgetpropos</w:t>
      </w:r>
      <w:r w:rsidRPr="00C9680B">
        <w:t>i</w:t>
      </w:r>
      <w:r w:rsidRPr="00C9680B">
        <w:t>tionen beror ökningen framför allt på ökade utgifter för förtidspension, men även ökade utgifter för sjukpenning och rehabilitering bidrar till den höjda nivån.</w:t>
      </w:r>
    </w:p>
    <w:p w:rsidR="001C7BF9" w:rsidRPr="00C9680B" w:rsidRDefault="001C7BF9">
      <w:pPr>
        <w:pStyle w:val="Normaltindrag"/>
      </w:pPr>
      <w:r w:rsidRPr="00C9680B">
        <w:t>Den preliminära fördelningen för budgetåret 2002 föreslås beräknas till 104 402 miljoner kronor och för budgetåret 2003 till 107 345 miljoner kr</w:t>
      </w:r>
      <w:r w:rsidRPr="00C9680B">
        <w:t>o</w:t>
      </w:r>
      <w:r w:rsidRPr="00C9680B">
        <w:t>nor.</w:t>
      </w:r>
    </w:p>
    <w:p w:rsidR="001C7BF9" w:rsidRPr="00C9680B" w:rsidRDefault="001C7BF9">
      <w:pPr>
        <w:rPr>
          <w:snapToGrid w:val="0"/>
          <w:lang w:eastAsia="sv-SE"/>
        </w:rPr>
      </w:pPr>
      <w:r w:rsidRPr="00C9680B">
        <w:rPr>
          <w:snapToGrid w:val="0"/>
          <w:lang w:eastAsia="sv-SE"/>
        </w:rPr>
        <w:t>Regeringen har tillsatt en arbetsgrupp som har till uppgift att skapa en struktur på ohälsoområdet som är tillräckligt kraftfull för att avsevärt öka människors möjligheter att delta i arbetslivet. Syftet är att bryta utvecklingen mot ökad sjukfrånvaro och i förlängningen fler förtidspensioner. Det skall ske genom förebyggande åtgärder, förbättrad arbetsmiljö, bättre rehabilitering och effe</w:t>
      </w:r>
      <w:r w:rsidRPr="00C9680B">
        <w:rPr>
          <w:snapToGrid w:val="0"/>
          <w:lang w:eastAsia="sv-SE"/>
        </w:rPr>
        <w:t>k</w:t>
      </w:r>
      <w:r w:rsidRPr="00C9680B">
        <w:rPr>
          <w:snapToGrid w:val="0"/>
          <w:lang w:eastAsia="sv-SE"/>
        </w:rPr>
        <w:t>tivare försäkringssystem. En första delrapport, Ett föränderligt arbetsliv på gott och ont (Ds 2000:54), har lämnats. Resultatet av arbetet med att utarbeta en handlingsplan skall slutredovisas senast den 1 december 2000 och en pr</w:t>
      </w:r>
      <w:r w:rsidRPr="00C9680B">
        <w:rPr>
          <w:snapToGrid w:val="0"/>
          <w:lang w:eastAsia="sv-SE"/>
        </w:rPr>
        <w:t>o</w:t>
      </w:r>
      <w:r w:rsidRPr="00C9680B">
        <w:rPr>
          <w:snapToGrid w:val="0"/>
          <w:lang w:eastAsia="sv-SE"/>
        </w:rPr>
        <w:t>position föreläggas riksdagen under hösten 2001 med ikraftträda</w:t>
      </w:r>
      <w:r w:rsidRPr="00C9680B">
        <w:rPr>
          <w:snapToGrid w:val="0"/>
          <w:lang w:eastAsia="sv-SE"/>
        </w:rPr>
        <w:t>n</w:t>
      </w:r>
      <w:r w:rsidRPr="00C9680B">
        <w:rPr>
          <w:snapToGrid w:val="0"/>
          <w:lang w:eastAsia="sv-SE"/>
        </w:rPr>
        <w:t xml:space="preserve">de 2003. </w:t>
      </w:r>
    </w:p>
    <w:p w:rsidR="001C7BF9" w:rsidRPr="00C9680B" w:rsidRDefault="001C7BF9">
      <w:pPr>
        <w:pStyle w:val="Normaltindrag"/>
        <w:rPr>
          <w:snapToGrid w:val="0"/>
          <w:lang w:eastAsia="sv-SE"/>
        </w:rPr>
      </w:pPr>
      <w:r w:rsidRPr="00C9680B">
        <w:rPr>
          <w:snapToGrid w:val="0"/>
          <w:lang w:eastAsia="sv-SE"/>
        </w:rPr>
        <w:t>Avsikten är att ett förslag om ett reformerat ersättningssystem vid långv</w:t>
      </w:r>
      <w:r w:rsidRPr="00C9680B">
        <w:rPr>
          <w:snapToGrid w:val="0"/>
          <w:lang w:eastAsia="sv-SE"/>
        </w:rPr>
        <w:t>a</w:t>
      </w:r>
      <w:r w:rsidRPr="00C9680B">
        <w:rPr>
          <w:snapToGrid w:val="0"/>
          <w:lang w:eastAsia="sv-SE"/>
        </w:rPr>
        <w:t xml:space="preserve">rig eller varaktig medicinskt grundad nedsättning av arbetsförmågan skall kunna lämnas till riksdagen under våren 2001. De nya reglerna skall, med hänsyn till genomförandet av det reformerade ålderspensionssystemet, träda i kraft den 1 januari 2003. </w:t>
      </w:r>
    </w:p>
    <w:p w:rsidR="001C7BF9" w:rsidRPr="00C9680B" w:rsidRDefault="001C7BF9">
      <w:pPr>
        <w:pStyle w:val="Normaltindrag"/>
      </w:pPr>
      <w:r w:rsidRPr="00C9680B">
        <w:rPr>
          <w:snapToGrid w:val="0"/>
          <w:lang w:eastAsia="sv-SE"/>
        </w:rPr>
        <w:t>Med anledning av kostnadsutvecklingen inom sjukförsäkringen beslutade regeringen i juni 1999 att utse en särskild utredare (dir. 1999:54). Utredaren har den 15 augusti 2000 överlämnat delbetänkandet Sjukförsäkringen – ba</w:t>
      </w:r>
      <w:r w:rsidRPr="00C9680B">
        <w:rPr>
          <w:snapToGrid w:val="0"/>
          <w:lang w:eastAsia="sv-SE"/>
        </w:rPr>
        <w:t>s</w:t>
      </w:r>
      <w:r w:rsidRPr="00C9680B">
        <w:rPr>
          <w:snapToGrid w:val="0"/>
          <w:lang w:eastAsia="sv-SE"/>
        </w:rPr>
        <w:t>fakta och utvecklingsmöjligheter (SOU 2000:72). Utredaren skall slutredovisa sitt uppdrag senast den 1 december 2000. I juni 1999 beslutade rege-</w:t>
      </w:r>
      <w:r w:rsidRPr="00C9680B">
        <w:rPr>
          <w:snapToGrid w:val="0"/>
          <w:lang w:eastAsia="sv-SE"/>
        </w:rPr>
        <w:br/>
        <w:t>r</w:t>
      </w:r>
      <w:r w:rsidRPr="00C9680B">
        <w:rPr>
          <w:snapToGrid w:val="0"/>
          <w:lang w:eastAsia="sv-SE"/>
        </w:rPr>
        <w:softHyphen/>
        <w:t>ingen även att utse en särskild utredare (dir. 1999:44) med uppdrag att se över den arbetslivsinriktade rehabiliteringen. Utredarens förslag har redov</w:t>
      </w:r>
      <w:r w:rsidRPr="00C9680B">
        <w:rPr>
          <w:snapToGrid w:val="0"/>
          <w:lang w:eastAsia="sv-SE"/>
        </w:rPr>
        <w:t>i</w:t>
      </w:r>
      <w:r w:rsidRPr="00C9680B">
        <w:rPr>
          <w:snapToGrid w:val="0"/>
          <w:lang w:eastAsia="sv-SE"/>
        </w:rPr>
        <w:t>sats den 30 augusti 2000 i betänkandet Rehabilitering till arbete (SOU 2000:78).</w:t>
      </w:r>
    </w:p>
    <w:p w:rsidR="001C7BF9" w:rsidRPr="00C9680B" w:rsidRDefault="001C7BF9">
      <w:pPr>
        <w:pStyle w:val="Normaltindrag"/>
      </w:pPr>
      <w:r w:rsidRPr="00C9680B">
        <w:rPr>
          <w:snapToGrid w:val="0"/>
          <w:lang w:eastAsia="sv-SE"/>
        </w:rPr>
        <w:t xml:space="preserve">I propositionen anges att regeringen är medveten om att bl.a den ökade administrationen av sjukpenningen har krävt ökade resurser </w:t>
      </w:r>
      <w:r w:rsidRPr="00C9680B">
        <w:t xml:space="preserve">och att de medel som anslås för </w:t>
      </w:r>
      <w:r w:rsidRPr="00C9680B">
        <w:rPr>
          <w:snapToGrid w:val="0"/>
          <w:lang w:eastAsia="sv-SE"/>
        </w:rPr>
        <w:t xml:space="preserve">försäkringskassorna </w:t>
      </w:r>
      <w:r w:rsidRPr="00C9680B">
        <w:t>kan visa sig vara otillräckliga. Regeringen avser att följa utvecklingen noga och vid behov tillskjuta medel på den tilläggsbudget som presenteras i samband med vårpropos</w:t>
      </w:r>
      <w:r w:rsidRPr="00C9680B">
        <w:t>i</w:t>
      </w:r>
      <w:r w:rsidRPr="00C9680B">
        <w:t>tionen 2001.</w:t>
      </w:r>
    </w:p>
    <w:p w:rsidR="001C7BF9" w:rsidRPr="00C9680B" w:rsidRDefault="001C7BF9">
      <w:pPr>
        <w:pStyle w:val="R3"/>
        <w:outlineLvl w:val="0"/>
      </w:pPr>
      <w:r w:rsidRPr="00C9680B">
        <w:t xml:space="preserve">Motionerna </w:t>
      </w:r>
    </w:p>
    <w:p w:rsidR="001C7BF9" w:rsidRPr="00C9680B" w:rsidRDefault="001C7BF9">
      <w:pPr>
        <w:pStyle w:val="R4"/>
        <w:spacing w:before="123"/>
        <w:outlineLvl w:val="0"/>
      </w:pPr>
      <w:r w:rsidRPr="00C9680B">
        <w:t xml:space="preserve">Moderaterna </w:t>
      </w:r>
    </w:p>
    <w:p w:rsidR="001C7BF9" w:rsidRPr="00C9680B" w:rsidRDefault="001C7BF9">
      <w:r w:rsidRPr="00C9680B">
        <w:t>I motion Fi208 yrkandena 5 och 6 föreslås – i förhållande till regeringens förslag – en minskning av utgiftsramen för budgetåret 2001 med 11 340 mi</w:t>
      </w:r>
      <w:r w:rsidRPr="00C9680B">
        <w:t>l</w:t>
      </w:r>
      <w:r w:rsidRPr="00C9680B">
        <w:t>joner kronor och för budgetåren 2002 och 2003 med 13 860 respektive 16 490 miljoner kr</w:t>
      </w:r>
      <w:r w:rsidRPr="00C9680B">
        <w:t>o</w:t>
      </w:r>
      <w:r w:rsidRPr="00C9680B">
        <w:t>nor.</w:t>
      </w:r>
    </w:p>
    <w:p w:rsidR="001C7BF9" w:rsidRPr="00C9680B" w:rsidRDefault="001C7BF9">
      <w:pPr>
        <w:pStyle w:val="Normaltindrag"/>
        <w:rPr>
          <w:b/>
        </w:rPr>
      </w:pPr>
      <w:r w:rsidRPr="00C9680B">
        <w:t>Enligt motionärerna måste den nuvarande kostnadsutvecklingen inom sjukförsäkringen hejdas. Detta kräver en rad olika samverkande åtgärder som dels berör ersättningsnivåer inom försäkringen, dels förbättrade sjukskri</w:t>
      </w:r>
      <w:r w:rsidRPr="00C9680B">
        <w:t>v</w:t>
      </w:r>
      <w:r w:rsidRPr="00C9680B">
        <w:t>ningsmetoder, dels ett samlat kostnads- och resursansvar hos försäkringska</w:t>
      </w:r>
      <w:r w:rsidRPr="00C9680B">
        <w:t>s</w:t>
      </w:r>
      <w:r w:rsidRPr="00C9680B">
        <w:t>sorna för rehabiliteringen. I motionen föreslås därför att kompensationsnivån i sjukförsäkringen skall vara 75 % av den sjukpenninggrundande inkomsten. Vidare bör fr.o.m. den 1 januari 2001 en andra karensdag införas den åttonde sjukdagen. Sjukpenninggrundande inkomst bör beräknas på ett genomsnitt av de senaste 24 månadernas inkomst och räknas upp med basbeloppet. Förbät</w:t>
      </w:r>
      <w:r w:rsidRPr="00C9680B">
        <w:t>t</w:t>
      </w:r>
      <w:r w:rsidRPr="00C9680B">
        <w:t>rad utbildning i försäkringsmedicin bör införas för såväl AT-</w:t>
      </w:r>
      <w:r w:rsidRPr="00C9680B">
        <w:t>läkare som ST-läkare. Enligt motionärerna skulle detta bidra till att minska sjukförsäkring</w:t>
      </w:r>
      <w:r w:rsidRPr="00C9680B">
        <w:t>s</w:t>
      </w:r>
      <w:r w:rsidRPr="00C9680B">
        <w:t>kostnaderna.</w:t>
      </w:r>
      <w:r w:rsidRPr="00C9680B">
        <w:rPr>
          <w:b/>
        </w:rPr>
        <w:t xml:space="preserve"> </w:t>
      </w:r>
      <w:r w:rsidRPr="00C9680B">
        <w:t>I motionen föreslås att försäkringskassan skall få det finansiella ansvaret för rehabilitering med möjlighet att upphandla rehabiliteringstjänster från såväl andra landsting än det egna som från privata entreprenörer och utomlands. Vidare bör de bra exemplen från FINSAM- och SOCSAM-försöken tillämpas och erfarenheterna från finansiell samordning tillvaratas i hela landet. Sjukskrivningar orsakade av traf</w:t>
      </w:r>
      <w:r w:rsidRPr="00C9680B">
        <w:t>ikolyckor bör bekostas av trafi</w:t>
      </w:r>
      <w:r w:rsidRPr="00C9680B">
        <w:t>k</w:t>
      </w:r>
      <w:r w:rsidRPr="00C9680B">
        <w:t>försäkringen. När det gäller arbetsskadeförsäkringen bör denna stegvis refo</w:t>
      </w:r>
      <w:r w:rsidRPr="00C9680B">
        <w:t>r</w:t>
      </w:r>
      <w:r w:rsidRPr="00C9680B">
        <w:t>meras. I ett första steg bör den brytas ut ur statsbudgeten och avgifterna a</w:t>
      </w:r>
      <w:r w:rsidRPr="00C9680B">
        <w:t>n</w:t>
      </w:r>
      <w:r w:rsidRPr="00C9680B">
        <w:t>passas efter arbetsgivarnas benägenhet att orsaka arbetsskador. I ett andra steg bör fö</w:t>
      </w:r>
      <w:r w:rsidRPr="00C9680B">
        <w:t>r</w:t>
      </w:r>
      <w:r w:rsidRPr="00C9680B">
        <w:t xml:space="preserve">säkringen privatiseras. </w:t>
      </w:r>
    </w:p>
    <w:p w:rsidR="001C7BF9" w:rsidRPr="00C9680B" w:rsidRDefault="001C7BF9">
      <w:pPr>
        <w:pStyle w:val="R4"/>
        <w:outlineLvl w:val="0"/>
      </w:pPr>
      <w:r w:rsidRPr="00C9680B">
        <w:t>Kristdemokraterna</w:t>
      </w:r>
    </w:p>
    <w:p w:rsidR="001C7BF9" w:rsidRPr="00C9680B" w:rsidRDefault="001C7BF9">
      <w:r w:rsidRPr="00C9680B">
        <w:t>I motion Fi209 yrkandena 6 och 7 föreslås – i förhållande till regeringens förslag – en minskning av utgiftsramen för budgetåret 2001 med 5 880 milj</w:t>
      </w:r>
      <w:r w:rsidRPr="00C9680B">
        <w:t>o</w:t>
      </w:r>
      <w:r w:rsidRPr="00C9680B">
        <w:t>ner kronor och för budgetåren 2002 och 2003 med 6 795 respektive 8 675 milj</w:t>
      </w:r>
      <w:r w:rsidRPr="00C9680B">
        <w:t>o</w:t>
      </w:r>
      <w:r w:rsidRPr="00C9680B">
        <w:t>ner kronor.</w:t>
      </w:r>
    </w:p>
    <w:p w:rsidR="001C7BF9" w:rsidRPr="00C9680B" w:rsidRDefault="001C7BF9">
      <w:pPr>
        <w:pStyle w:val="Normaltindrag"/>
      </w:pPr>
      <w:r w:rsidRPr="00C9680B">
        <w:t>Motionärerna föreslår att sjukförsäkringen bör innehålla två karensdagar med ett högriskskydd på tio dagar per år. Vidare bör sjukpenninggrundande inkomst beräknas på genomsnittsinkomsten under de två senaste åren och skattepliktiga förmåner liksom semesterersättning vara sjukpenninggrunda</w:t>
      </w:r>
      <w:r w:rsidRPr="00C9680B">
        <w:t>n</w:t>
      </w:r>
      <w:r w:rsidRPr="00C9680B">
        <w:t>de. I motionen anges att pengar som i dag går till passiv sjukskrivning i stället bör kunna användas över hela landet för vård och rehabilitering. Förutom samordning behövs kompetens- och resursförstärkning till arbetslivsinriktad rehabilitering och ökad kompetens inom hela försäkringsadministrationen. Motionärerna anser att förslagen i utredningen Rehabilitering till arbete - en reform med individen i centrum (SOU 2000:78) i alla väsentliga huvuddrag bör genomföras från den 1 juli 2001. Förslagen ger en ö</w:t>
      </w:r>
      <w:r w:rsidRPr="00C9680B">
        <w:t>kad totalkostnad det första året men lägre totalkostnader därefter. Kompetens- och kvalitetshö</w:t>
      </w:r>
      <w:r w:rsidRPr="00C9680B">
        <w:t>j</w:t>
      </w:r>
      <w:r w:rsidRPr="00C9680B">
        <w:t>ningen inom socialförsäkringsadministrationen säkrar rättstryggheten och minskar kostnaderna inom sjukförsäkringen. Slutligen anser motionärerna att samtliga personskadekostnader till följd av trafikolyckor skall överföras till trafikförsä</w:t>
      </w:r>
      <w:r w:rsidRPr="00C9680B">
        <w:t>k</w:t>
      </w:r>
      <w:r w:rsidRPr="00C9680B">
        <w:t>ringen.</w:t>
      </w:r>
    </w:p>
    <w:p w:rsidR="001C7BF9" w:rsidRPr="00C9680B" w:rsidRDefault="001C7BF9">
      <w:pPr>
        <w:pStyle w:val="R4"/>
        <w:outlineLvl w:val="0"/>
      </w:pPr>
      <w:r w:rsidRPr="00C9680B">
        <w:t>Centerpartiet</w:t>
      </w:r>
    </w:p>
    <w:p w:rsidR="001C7BF9" w:rsidRPr="00C9680B" w:rsidRDefault="001C7BF9">
      <w:r w:rsidRPr="00C9680B">
        <w:t>I motion Fi210 yrkandena 4 och 5 föreslås – i förhållande till regeringens förslag – en minskning av utgiftsramen för budgetåret 2001 med 4 693 milj</w:t>
      </w:r>
      <w:r w:rsidRPr="00C9680B">
        <w:t>o</w:t>
      </w:r>
      <w:r w:rsidRPr="00C9680B">
        <w:t>ner kronor och för budgetåren 2002 och 2003 med 5 270 respektive 5 800 miljoner kronor.</w:t>
      </w:r>
    </w:p>
    <w:p w:rsidR="001C7BF9" w:rsidRPr="00C9680B" w:rsidRDefault="001C7BF9">
      <w:pPr>
        <w:pStyle w:val="Normaltindrag"/>
      </w:pPr>
      <w:r w:rsidRPr="00C9680B">
        <w:t>Motionärerna anser att passiva ersättningar måste ersättas med aktiva i</w:t>
      </w:r>
      <w:r w:rsidRPr="00C9680B">
        <w:t>n</w:t>
      </w:r>
      <w:r w:rsidRPr="00C9680B">
        <w:t>satser. Kostnaderna för sjukförsäkringen minskar bl.a. genom att rehabilit</w:t>
      </w:r>
      <w:r w:rsidRPr="00C9680B">
        <w:t>e</w:t>
      </w:r>
      <w:r w:rsidRPr="00C9680B">
        <w:t>ringen knyts till individen genom finansiell samordning och att sjuklöneper</w:t>
      </w:r>
      <w:r w:rsidRPr="00C9680B">
        <w:t>i</w:t>
      </w:r>
      <w:r w:rsidRPr="00C9680B">
        <w:t>oden inom den offentliga sektorn förlängs till två månader. Vidare anser motionärerna att i princip skall ingen person under 30 år beviljas förtidspe</w:t>
      </w:r>
      <w:r w:rsidRPr="00C9680B">
        <w:t>n</w:t>
      </w:r>
      <w:r w:rsidRPr="00C9680B">
        <w:t xml:space="preserve">sion. </w:t>
      </w:r>
    </w:p>
    <w:p w:rsidR="001C7BF9" w:rsidRPr="00C9680B" w:rsidRDefault="001C7BF9">
      <w:pPr>
        <w:pStyle w:val="R4"/>
        <w:outlineLvl w:val="0"/>
      </w:pPr>
      <w:r w:rsidRPr="00C9680B">
        <w:t>Folkpartiet</w:t>
      </w:r>
    </w:p>
    <w:p w:rsidR="001C7BF9" w:rsidRPr="00C9680B" w:rsidRDefault="001C7BF9">
      <w:r w:rsidRPr="00C9680B">
        <w:t>I motion Fi211 yrkandena 6 och 8 föreslås – i förhållande till regeringens förslag – en minskning av utgiftsramen för budgetåret 2001 med 4 740 milj</w:t>
      </w:r>
      <w:r w:rsidRPr="00C9680B">
        <w:t>o</w:t>
      </w:r>
      <w:r w:rsidRPr="00C9680B">
        <w:t>ner kronor och för budgetåren 2002 och 2003 med 6 035 respektive 7 880 milj</w:t>
      </w:r>
      <w:r w:rsidRPr="00C9680B">
        <w:t>o</w:t>
      </w:r>
      <w:r w:rsidRPr="00C9680B">
        <w:t>ner kronor.</w:t>
      </w:r>
    </w:p>
    <w:p w:rsidR="001C7BF9" w:rsidRPr="00C9680B" w:rsidRDefault="001C7BF9">
      <w:pPr>
        <w:pStyle w:val="Normaltindrag"/>
      </w:pPr>
      <w:r w:rsidRPr="00C9680B">
        <w:t>Enligt motionärerna bör närståendevården förbättras bl.a. genom att rätten till förmånen och den därtill kopplade ledigheten förlängs från 60 till 120 dagar. Motionärerna anser att den del av sjukförsäkringens kostnader som hänför sig till trafikskador bör bäras av trafikförsäkringen. Aktiva åtgärder måste vidtas för att stärka rehabiliteringen och försäkringskassorna bör tillf</w:t>
      </w:r>
      <w:r w:rsidRPr="00C9680B">
        <w:t>ö</w:t>
      </w:r>
      <w:r w:rsidRPr="00C9680B">
        <w:t>ras ytterligare medel för att kunna ge en effektivare rehabilitering och bättre övervaka utnyttjandet av socialförsäkringarna. Detta ger besparingar för sju</w:t>
      </w:r>
      <w:r w:rsidRPr="00C9680B">
        <w:t>k</w:t>
      </w:r>
      <w:r w:rsidRPr="00C9680B">
        <w:t>försäkringen och förtidspensionerna. Slutligen anser motionärerna att finans</w:t>
      </w:r>
      <w:r w:rsidRPr="00C9680B">
        <w:t>i</w:t>
      </w:r>
      <w:r w:rsidRPr="00C9680B">
        <w:t>ell samordning mellan sjukförsäkring och sjukvård kan ge betydande besp</w:t>
      </w:r>
      <w:r w:rsidRPr="00C9680B">
        <w:t>a</w:t>
      </w:r>
      <w:r w:rsidRPr="00C9680B">
        <w:t>ringar i sjukförsäkringen.</w:t>
      </w:r>
    </w:p>
    <w:p w:rsidR="001C7BF9" w:rsidRPr="00C9680B" w:rsidRDefault="001C7BF9">
      <w:pPr>
        <w:pStyle w:val="R3"/>
        <w:outlineLvl w:val="0"/>
      </w:pPr>
      <w:r w:rsidRPr="00C9680B">
        <w:t>Utskottets bedömning</w:t>
      </w:r>
    </w:p>
    <w:p w:rsidR="001C7BF9" w:rsidRPr="00C9680B" w:rsidRDefault="001C7BF9">
      <w:r w:rsidRPr="00C9680B">
        <w:t>Utskottet har att ta ställning till dels förslag till utgifter för budgetåret 2001, dels förslag till preliminär fördelning av utgifterna för budgetåren 2002 och 2003. Förslagen redovisas i tabellen nedan. Beloppen anges i miljoner kr</w:t>
      </w:r>
      <w:r w:rsidRPr="00C9680B">
        <w:t>o</w:t>
      </w:r>
      <w:r w:rsidRPr="00C9680B">
        <w:t>nor.</w:t>
      </w:r>
    </w:p>
    <w:p w:rsidR="001C7BF9" w:rsidRPr="00C9680B" w:rsidRDefault="001C7BF9">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233"/>
        <w:gridCol w:w="1006"/>
        <w:gridCol w:w="1006"/>
        <w:gridCol w:w="1006"/>
        <w:gridCol w:w="1006"/>
      </w:tblGrid>
      <w:tr w:rsidR="00000000" w:rsidRPr="00C9680B">
        <w:tblPrEx>
          <w:tblCellMar>
            <w:top w:w="0" w:type="dxa"/>
            <w:bottom w:w="0" w:type="dxa"/>
          </w:tblCellMar>
        </w:tblPrEx>
        <w:tc>
          <w:tcPr>
            <w:tcW w:w="779" w:type="dxa"/>
          </w:tcPr>
          <w:p w:rsidR="001C7BF9" w:rsidRPr="00C9680B" w:rsidRDefault="001C7BF9">
            <w:pPr>
              <w:pStyle w:val="Normaltindrag"/>
              <w:ind w:firstLine="0"/>
            </w:pPr>
            <w:r w:rsidRPr="00C9680B">
              <w:t>År</w:t>
            </w:r>
          </w:p>
        </w:tc>
        <w:tc>
          <w:tcPr>
            <w:tcW w:w="1233" w:type="dxa"/>
          </w:tcPr>
          <w:p w:rsidR="001C7BF9" w:rsidRPr="00C9680B" w:rsidRDefault="001C7BF9">
            <w:pPr>
              <w:pStyle w:val="Normaltindrag"/>
              <w:ind w:firstLine="0"/>
              <w:jc w:val="center"/>
            </w:pPr>
            <w:r w:rsidRPr="00C9680B">
              <w:t>Regeringen</w:t>
            </w:r>
          </w:p>
        </w:tc>
        <w:tc>
          <w:tcPr>
            <w:tcW w:w="1006" w:type="dxa"/>
          </w:tcPr>
          <w:p w:rsidR="001C7BF9" w:rsidRPr="00C9680B" w:rsidRDefault="001C7BF9">
            <w:pPr>
              <w:pStyle w:val="Normaltindrag"/>
              <w:ind w:firstLine="0"/>
              <w:jc w:val="center"/>
            </w:pPr>
            <w:r w:rsidRPr="00C9680B">
              <w:t>m</w:t>
            </w:r>
          </w:p>
        </w:tc>
        <w:tc>
          <w:tcPr>
            <w:tcW w:w="1006" w:type="dxa"/>
          </w:tcPr>
          <w:p w:rsidR="001C7BF9" w:rsidRPr="00C9680B" w:rsidRDefault="001C7BF9">
            <w:pPr>
              <w:pStyle w:val="Normaltindrag"/>
              <w:ind w:firstLine="0"/>
              <w:jc w:val="center"/>
            </w:pPr>
            <w:r w:rsidRPr="00C9680B">
              <w:t>kd</w:t>
            </w:r>
          </w:p>
        </w:tc>
        <w:tc>
          <w:tcPr>
            <w:tcW w:w="1006" w:type="dxa"/>
          </w:tcPr>
          <w:p w:rsidR="001C7BF9" w:rsidRPr="00C9680B" w:rsidRDefault="001C7BF9">
            <w:pPr>
              <w:pStyle w:val="Normaltindrag"/>
              <w:ind w:firstLine="0"/>
              <w:jc w:val="center"/>
            </w:pPr>
            <w:r w:rsidRPr="00C9680B">
              <w:t>c</w:t>
            </w:r>
          </w:p>
        </w:tc>
        <w:tc>
          <w:tcPr>
            <w:tcW w:w="1006" w:type="dxa"/>
          </w:tcPr>
          <w:p w:rsidR="001C7BF9" w:rsidRPr="00C9680B" w:rsidRDefault="001C7BF9">
            <w:pPr>
              <w:pStyle w:val="Normaltindrag"/>
              <w:ind w:firstLine="0"/>
              <w:jc w:val="center"/>
            </w:pPr>
            <w:r w:rsidRPr="00C9680B">
              <w:t>fp</w:t>
            </w:r>
          </w:p>
        </w:tc>
      </w:tr>
      <w:tr w:rsidR="00000000" w:rsidRPr="00C9680B">
        <w:tblPrEx>
          <w:tblCellMar>
            <w:top w:w="0" w:type="dxa"/>
            <w:bottom w:w="0" w:type="dxa"/>
          </w:tblCellMar>
        </w:tblPrEx>
        <w:tc>
          <w:tcPr>
            <w:tcW w:w="779" w:type="dxa"/>
          </w:tcPr>
          <w:p w:rsidR="001C7BF9" w:rsidRPr="00C9680B" w:rsidRDefault="001C7BF9">
            <w:pPr>
              <w:pStyle w:val="Normaltindrag"/>
              <w:ind w:firstLine="0"/>
            </w:pPr>
            <w:r w:rsidRPr="00C9680B">
              <w:t>2001</w:t>
            </w:r>
          </w:p>
          <w:p w:rsidR="001C7BF9" w:rsidRPr="00C9680B" w:rsidRDefault="001C7BF9">
            <w:pPr>
              <w:pStyle w:val="Normaltindrag"/>
              <w:ind w:firstLine="0"/>
            </w:pPr>
            <w:r w:rsidRPr="00C9680B">
              <w:t>2002</w:t>
            </w:r>
          </w:p>
          <w:p w:rsidR="001C7BF9" w:rsidRPr="00C9680B" w:rsidRDefault="001C7BF9">
            <w:pPr>
              <w:pStyle w:val="Normaltindrag"/>
              <w:ind w:firstLine="0"/>
            </w:pPr>
            <w:r w:rsidRPr="00C9680B">
              <w:t>2003</w:t>
            </w:r>
          </w:p>
        </w:tc>
        <w:tc>
          <w:tcPr>
            <w:tcW w:w="1233" w:type="dxa"/>
          </w:tcPr>
          <w:p w:rsidR="001C7BF9" w:rsidRPr="00C9680B" w:rsidRDefault="001C7BF9">
            <w:pPr>
              <w:pStyle w:val="Normaltindrag"/>
              <w:ind w:right="170" w:firstLine="0"/>
              <w:jc w:val="right"/>
            </w:pPr>
            <w:r w:rsidRPr="00C9680B">
              <w:t>101 950</w:t>
            </w:r>
          </w:p>
          <w:p w:rsidR="001C7BF9" w:rsidRPr="00C9680B" w:rsidRDefault="001C7BF9">
            <w:pPr>
              <w:pStyle w:val="Normaltindrag"/>
              <w:ind w:right="170" w:firstLine="0"/>
              <w:jc w:val="right"/>
            </w:pPr>
            <w:r w:rsidRPr="00C9680B">
              <w:t>104 402</w:t>
            </w:r>
          </w:p>
          <w:p w:rsidR="001C7BF9" w:rsidRPr="00C9680B" w:rsidRDefault="001C7BF9">
            <w:pPr>
              <w:pStyle w:val="Normaltindrag"/>
              <w:ind w:right="170" w:firstLine="0"/>
              <w:jc w:val="right"/>
            </w:pPr>
            <w:r w:rsidRPr="00C9680B">
              <w:t>107 345</w:t>
            </w:r>
          </w:p>
        </w:tc>
        <w:tc>
          <w:tcPr>
            <w:tcW w:w="1006" w:type="dxa"/>
          </w:tcPr>
          <w:p w:rsidR="001C7BF9" w:rsidRPr="00C9680B" w:rsidRDefault="001C7BF9">
            <w:pPr>
              <w:pStyle w:val="Normaltindrag"/>
              <w:ind w:right="170" w:firstLine="0"/>
              <w:jc w:val="right"/>
            </w:pPr>
            <w:r w:rsidRPr="00C9680B">
              <w:t>- 11 340</w:t>
            </w:r>
          </w:p>
          <w:p w:rsidR="001C7BF9" w:rsidRPr="00C9680B" w:rsidRDefault="001C7BF9">
            <w:pPr>
              <w:pStyle w:val="Normaltindrag"/>
              <w:ind w:right="170" w:firstLine="0"/>
              <w:jc w:val="right"/>
            </w:pPr>
            <w:r w:rsidRPr="00C9680B">
              <w:t>- 13 860</w:t>
            </w:r>
          </w:p>
          <w:p w:rsidR="001C7BF9" w:rsidRPr="00C9680B" w:rsidRDefault="001C7BF9">
            <w:pPr>
              <w:pStyle w:val="Normaltindrag"/>
              <w:ind w:right="170" w:firstLine="0"/>
              <w:jc w:val="right"/>
            </w:pPr>
            <w:r w:rsidRPr="00C9680B">
              <w:t>- 16 490</w:t>
            </w:r>
          </w:p>
        </w:tc>
        <w:tc>
          <w:tcPr>
            <w:tcW w:w="1006" w:type="dxa"/>
          </w:tcPr>
          <w:p w:rsidR="001C7BF9" w:rsidRPr="00C9680B" w:rsidRDefault="001C7BF9">
            <w:pPr>
              <w:pStyle w:val="Normaltindrag"/>
              <w:ind w:right="170" w:firstLine="0"/>
              <w:jc w:val="right"/>
            </w:pPr>
            <w:r w:rsidRPr="00C9680B">
              <w:t>- 5 880</w:t>
            </w:r>
          </w:p>
          <w:p w:rsidR="001C7BF9" w:rsidRPr="00C9680B" w:rsidRDefault="001C7BF9">
            <w:pPr>
              <w:pStyle w:val="Normaltindrag"/>
              <w:ind w:right="170" w:firstLine="0"/>
              <w:jc w:val="right"/>
            </w:pPr>
            <w:r w:rsidRPr="00C9680B">
              <w:t>- 6 795</w:t>
            </w:r>
          </w:p>
          <w:p w:rsidR="001C7BF9" w:rsidRPr="00C9680B" w:rsidRDefault="001C7BF9">
            <w:pPr>
              <w:pStyle w:val="Normaltindrag"/>
              <w:ind w:right="170" w:firstLine="0"/>
              <w:jc w:val="right"/>
            </w:pPr>
            <w:r w:rsidRPr="00C9680B">
              <w:t>-8 675</w:t>
            </w:r>
          </w:p>
        </w:tc>
        <w:tc>
          <w:tcPr>
            <w:tcW w:w="1006" w:type="dxa"/>
          </w:tcPr>
          <w:p w:rsidR="001C7BF9" w:rsidRPr="00C9680B" w:rsidRDefault="001C7BF9">
            <w:pPr>
              <w:pStyle w:val="Normaltindrag"/>
              <w:ind w:right="170" w:firstLine="0"/>
              <w:jc w:val="right"/>
            </w:pPr>
            <w:r w:rsidRPr="00C9680B">
              <w:t>- 4 693</w:t>
            </w:r>
          </w:p>
          <w:p w:rsidR="001C7BF9" w:rsidRPr="00C9680B" w:rsidRDefault="001C7BF9">
            <w:pPr>
              <w:pStyle w:val="Normaltindrag"/>
              <w:ind w:right="170" w:firstLine="0"/>
              <w:jc w:val="right"/>
            </w:pPr>
            <w:r w:rsidRPr="00C9680B">
              <w:t>- 5 270</w:t>
            </w:r>
          </w:p>
          <w:p w:rsidR="001C7BF9" w:rsidRPr="00C9680B" w:rsidRDefault="001C7BF9">
            <w:pPr>
              <w:pStyle w:val="Normaltindrag"/>
              <w:ind w:right="170" w:firstLine="0"/>
              <w:jc w:val="right"/>
            </w:pPr>
            <w:r w:rsidRPr="00C9680B">
              <w:t>- 5 800</w:t>
            </w:r>
          </w:p>
        </w:tc>
        <w:tc>
          <w:tcPr>
            <w:tcW w:w="1006" w:type="dxa"/>
          </w:tcPr>
          <w:p w:rsidR="001C7BF9" w:rsidRPr="00C9680B" w:rsidRDefault="001C7BF9">
            <w:pPr>
              <w:pStyle w:val="Normaltindrag"/>
              <w:ind w:right="170" w:firstLine="0"/>
              <w:jc w:val="right"/>
            </w:pPr>
            <w:r w:rsidRPr="00C9680B">
              <w:t>- 4 740</w:t>
            </w:r>
          </w:p>
          <w:p w:rsidR="001C7BF9" w:rsidRPr="00C9680B" w:rsidRDefault="001C7BF9">
            <w:pPr>
              <w:pStyle w:val="Normaltindrag"/>
              <w:ind w:right="170" w:firstLine="0"/>
              <w:jc w:val="right"/>
            </w:pPr>
            <w:r w:rsidRPr="00C9680B">
              <w:t>- 6 035</w:t>
            </w:r>
          </w:p>
          <w:p w:rsidR="001C7BF9" w:rsidRPr="00C9680B" w:rsidRDefault="001C7BF9">
            <w:pPr>
              <w:pStyle w:val="Normaltindrag"/>
              <w:ind w:right="170" w:firstLine="0"/>
              <w:jc w:val="right"/>
            </w:pPr>
            <w:r w:rsidRPr="00C9680B">
              <w:t>- 7 880</w:t>
            </w:r>
          </w:p>
        </w:tc>
      </w:tr>
    </w:tbl>
    <w:p w:rsidR="001C7BF9" w:rsidRPr="00C9680B" w:rsidRDefault="001C7BF9">
      <w:pPr>
        <w:pStyle w:val="Normaltindrag"/>
      </w:pPr>
    </w:p>
    <w:p w:rsidR="001C7BF9" w:rsidRPr="00C9680B" w:rsidRDefault="001C7BF9">
      <w:r w:rsidRPr="00C9680B">
        <w:t xml:space="preserve">Sjukpenningkostnaderna ökade kraftigt under slutet av 1998, dock från en relativt låg nivå. Ökningen har fortsatt under 1999 och 2000. Kostnaderna för sjukpenningen (exklusive ålderspensionsavgiften) uppgick 1999 till 24 219 miljoner kronor, vilket är en ökning med 30 % jämfört med 1998. Utfallet för anslag Sjukpenning och rehabilitering m.m. för 1999 uppgick till 27 858 miljoner kronor. Utgiftsprognosen för anslaget för 2000 uppgår till 36 525 miljoner kronor. Kostnadsökningen beror främst på en ökning av </w:t>
      </w:r>
      <w:r w:rsidRPr="00C9680B">
        <w:t>antalet ersatta dagar, men även på en ökning av medelersät</w:t>
      </w:r>
      <w:r w:rsidRPr="00C9680B">
        <w:t>t</w:t>
      </w:r>
      <w:r w:rsidRPr="00C9680B">
        <w:t>ningen.</w:t>
      </w:r>
    </w:p>
    <w:p w:rsidR="001C7BF9" w:rsidRPr="00C9680B" w:rsidRDefault="001C7BF9">
      <w:pPr>
        <w:pStyle w:val="Normaltindrag"/>
      </w:pPr>
      <w:r w:rsidRPr="00C9680B">
        <w:t>Utskottet kan konstatera att trots att ökningstakten avtagit något under 2000 finns det för närvarande inget som tyder på att utgifterna kommer att minska under de närmaste åren.</w:t>
      </w:r>
    </w:p>
    <w:p w:rsidR="001C7BF9" w:rsidRPr="00C9680B" w:rsidRDefault="001C7BF9">
      <w:pPr>
        <w:pStyle w:val="Normaltindrag"/>
      </w:pPr>
      <w:r w:rsidRPr="00C9680B">
        <w:t>Den kraftiga ökningen av antalet långa sjukfall under de senaste åren har lett till en ökning av antalet nybeviljade förtidspensioner och sjukbidrag under senare delen av 1999 och 2000. Utvecklingen pekar på att utgifterna härför kommer att överskrida tidigare beräknade anslagsbelopp.</w:t>
      </w:r>
    </w:p>
    <w:p w:rsidR="001C7BF9" w:rsidRPr="00C9680B" w:rsidRDefault="001C7BF9">
      <w:pPr>
        <w:pStyle w:val="Normaltindrag"/>
      </w:pPr>
      <w:r w:rsidRPr="00C9680B">
        <w:t>Utskottet har tidigare uttalat att kostnadsutvecklingen inom sjukförsä</w:t>
      </w:r>
      <w:r w:rsidRPr="00C9680B">
        <w:t>k</w:t>
      </w:r>
      <w:r w:rsidRPr="00C9680B">
        <w:t>ringen inger stark oro. De bakomliggande orsakerna måste analyseras ingåe</w:t>
      </w:r>
      <w:r w:rsidRPr="00C9680B">
        <w:t>n</w:t>
      </w:r>
      <w:r w:rsidRPr="00C9680B">
        <w:t>de så att utvecklingen på längre sikt kan bedömas och att man därmed så långt möjligt undviker oförutsedda utgiftsökningar som nödvändiggör snabba i</w:t>
      </w:r>
      <w:r w:rsidRPr="00C9680B">
        <w:t>n</w:t>
      </w:r>
      <w:r w:rsidRPr="00C9680B">
        <w:t>grepp och förändringar i ersättningssystemen. Utskottet har även påtalat vi</w:t>
      </w:r>
      <w:r w:rsidRPr="00C9680B">
        <w:t>k</w:t>
      </w:r>
      <w:r w:rsidRPr="00C9680B">
        <w:t xml:space="preserve">ten av att ett helhetsgrepp tas kring frågorna och att kommande förslag bör samordnas. Enligt utskottets mening är det viktigt att utvecklingen med ökade utgifter för sjukförsäkringen inte medför att kostnaderna </w:t>
      </w:r>
      <w:r w:rsidRPr="00C9680B">
        <w:t>vältras över på e</w:t>
      </w:r>
      <w:r w:rsidRPr="00C9680B">
        <w:t>n</w:t>
      </w:r>
      <w:r w:rsidRPr="00C9680B">
        <w:t>skilda genom försämrade förmåner. Vad gäller partiernas förslag till förän</w:t>
      </w:r>
      <w:r w:rsidRPr="00C9680B">
        <w:t>d</w:t>
      </w:r>
      <w:r w:rsidRPr="00C9680B">
        <w:t xml:space="preserve">ringar av sjukförsäkringen har utskottet också tidigare behandlat och avvisat flertalet av dessa, senast i yttrande över vårpropositionen (yttr. 1999/2000:SfU7y). </w:t>
      </w:r>
    </w:p>
    <w:p w:rsidR="001C7BF9" w:rsidRPr="00C9680B" w:rsidRDefault="001C7BF9">
      <w:pPr>
        <w:pStyle w:val="Normaltindrag"/>
      </w:pPr>
      <w:r w:rsidRPr="00C9680B">
        <w:t xml:space="preserve">Inte minst med hänsyn till den enskildes situation är det viktigt att </w:t>
      </w:r>
      <w:r w:rsidRPr="00C9680B">
        <w:rPr>
          <w:snapToGrid w:val="0"/>
          <w:lang w:eastAsia="sv-SE"/>
        </w:rPr>
        <w:t>genom förebyggande åtgärder, förbättrad arbetsmiljö, bättre rehabilitering och effe</w:t>
      </w:r>
      <w:r w:rsidRPr="00C9680B">
        <w:rPr>
          <w:snapToGrid w:val="0"/>
          <w:lang w:eastAsia="sv-SE"/>
        </w:rPr>
        <w:t>k</w:t>
      </w:r>
      <w:r w:rsidRPr="00C9680B">
        <w:rPr>
          <w:snapToGrid w:val="0"/>
          <w:lang w:eastAsia="sv-SE"/>
        </w:rPr>
        <w:t xml:space="preserve">tivare försäkringssystem öka människors möjligheter att delta i arbetslivet. Enligt utskottets mening måste åtgärder sättas in för att bryta utvecklingen mot ökad sjukfrånvaro och i förlängningen fler förtidspensioner. Utskottet välkomnar därför den </w:t>
      </w:r>
      <w:r w:rsidRPr="00C9680B">
        <w:t>handlingsplan för att öka hälsan som regeringen avis</w:t>
      </w:r>
      <w:r w:rsidRPr="00C9680B">
        <w:t>e</w:t>
      </w:r>
      <w:r w:rsidRPr="00C9680B">
        <w:t>rat till hösten 2001.</w:t>
      </w:r>
    </w:p>
    <w:p w:rsidR="001C7BF9" w:rsidRPr="00C9680B" w:rsidRDefault="001C7BF9">
      <w:pPr>
        <w:pStyle w:val="Normaltindrag"/>
      </w:pPr>
      <w:r w:rsidRPr="00C9680B">
        <w:t>Anslaget för sjukpenning och rehabilitering m.m. har på tilläggsbudget för budgetåret 2000 anvisats 1,5</w:t>
      </w:r>
      <w:r w:rsidRPr="00C9680B">
        <w:t xml:space="preserve"> miljarder kronor i samband med vårpropositi</w:t>
      </w:r>
      <w:r w:rsidRPr="00C9680B">
        <w:t>o</w:t>
      </w:r>
      <w:r w:rsidRPr="00C9680B">
        <w:t>nen och nu i budgetpropositionen föreslås ytterligare 2,3 miljarder kronor.</w:t>
      </w:r>
      <w:r w:rsidRPr="00C9680B">
        <w:rPr>
          <w:snapToGrid w:val="0"/>
          <w:lang w:eastAsia="sv-SE"/>
        </w:rPr>
        <w:t xml:space="preserve"> </w:t>
      </w:r>
      <w:r w:rsidRPr="00C9680B">
        <w:t>Utskottet kan konstatera att med nuvarande prognos kommer anslaget ändock att ha ett relativt stort negativt ingående överföringsbelopp 2001. Utskottet noterar också att det i</w:t>
      </w:r>
      <w:r w:rsidRPr="00C9680B">
        <w:rPr>
          <w:snapToGrid w:val="0"/>
          <w:lang w:eastAsia="sv-SE"/>
        </w:rPr>
        <w:t xml:space="preserve"> propositionen anges att </w:t>
      </w:r>
      <w:r w:rsidRPr="00C9680B">
        <w:t xml:space="preserve">de medel som anslås för </w:t>
      </w:r>
      <w:r w:rsidRPr="00C9680B">
        <w:rPr>
          <w:snapToGrid w:val="0"/>
          <w:lang w:eastAsia="sv-SE"/>
        </w:rPr>
        <w:t>försä</w:t>
      </w:r>
      <w:r w:rsidRPr="00C9680B">
        <w:rPr>
          <w:snapToGrid w:val="0"/>
          <w:lang w:eastAsia="sv-SE"/>
        </w:rPr>
        <w:t>k</w:t>
      </w:r>
      <w:r w:rsidRPr="00C9680B">
        <w:rPr>
          <w:snapToGrid w:val="0"/>
          <w:lang w:eastAsia="sv-SE"/>
        </w:rPr>
        <w:t xml:space="preserve">ringskassorna </w:t>
      </w:r>
      <w:r w:rsidRPr="00C9680B">
        <w:t>kan visa sig vara otillräckliga och att det eventuellt behöver tillskjutas ytterligare medel på tilläggsbudget i samband med vårpropositi</w:t>
      </w:r>
      <w:r w:rsidRPr="00C9680B">
        <w:t>o</w:t>
      </w:r>
      <w:r w:rsidRPr="00C9680B">
        <w:t>nen 2001.</w:t>
      </w:r>
    </w:p>
    <w:p w:rsidR="001C7BF9" w:rsidRPr="00C9680B" w:rsidRDefault="001C7BF9">
      <w:pPr>
        <w:pStyle w:val="Normaltindrag"/>
      </w:pPr>
      <w:r w:rsidRPr="00C9680B">
        <w:t>Mot bakgrund av det anförda godtar utskottet regeringens förslag till u</w:t>
      </w:r>
      <w:r w:rsidRPr="00C9680B">
        <w:t>t</w:t>
      </w:r>
      <w:r w:rsidRPr="00C9680B">
        <w:t>giftsram för budgetåret 2001 liksom förslagen till preliminär fördelning av utgifterna för budgetåren 2002 och 2003. Motionerna Fi208 yrkandena 5 och 6, Fi209 yrkandena 6 och 7, Fi210 yrkandena 4 och 5 samt Fi211 yrkandena 6 och 8 a</w:t>
      </w:r>
      <w:r w:rsidRPr="00C9680B">
        <w:t>v</w:t>
      </w:r>
      <w:r w:rsidRPr="00C9680B">
        <w:t>styrks med det anförda.</w:t>
      </w:r>
    </w:p>
    <w:p w:rsidR="001C7BF9" w:rsidRPr="00C9680B" w:rsidRDefault="001C7BF9">
      <w:pPr>
        <w:pStyle w:val="R2"/>
        <w:outlineLvl w:val="0"/>
      </w:pPr>
      <w:r w:rsidRPr="00C9680B">
        <w:t xml:space="preserve">Utgiftsområde 11 Ekonomisk trygghet vid ålderdom </w:t>
      </w:r>
    </w:p>
    <w:p w:rsidR="001C7BF9" w:rsidRPr="00C9680B" w:rsidRDefault="001C7BF9">
      <w:pPr>
        <w:pStyle w:val="R3"/>
        <w:spacing w:before="123"/>
        <w:outlineLvl w:val="0"/>
      </w:pPr>
      <w:r w:rsidRPr="00C9680B">
        <w:t xml:space="preserve">Propositionen </w:t>
      </w:r>
    </w:p>
    <w:p w:rsidR="001C7BF9" w:rsidRPr="00C9680B" w:rsidRDefault="001C7BF9">
      <w:r w:rsidRPr="00C9680B">
        <w:t>Utgiftsområdet omfattar fr.o.m. budgetåret 2001 politikområdet Ekonomisk äldrepolitik. I politikområdet ingår samtliga anslag inom utgiftsområdet. Anslagen omfattar folkpension till ålderspensionärer som inte har rätt till tilläggspension (ATP), folkpension och ATP i form av efterlevandepension, pensionstillskott såväl till ålderspension som till efterlevandepension, b</w:t>
      </w:r>
      <w:r w:rsidRPr="00C9680B">
        <w:t>o</w:t>
      </w:r>
      <w:r w:rsidRPr="00C9680B">
        <w:t>stadstillägg till pe</w:t>
      </w:r>
      <w:r w:rsidRPr="00C9680B">
        <w:t>n</w:t>
      </w:r>
      <w:r w:rsidRPr="00C9680B">
        <w:t xml:space="preserve">sionärer (BTP) samt delpension. </w:t>
      </w:r>
    </w:p>
    <w:p w:rsidR="001C7BF9" w:rsidRPr="00C9680B" w:rsidRDefault="001C7BF9">
      <w:pPr>
        <w:pStyle w:val="Normaltindrag"/>
      </w:pPr>
      <w:r w:rsidRPr="00C9680B">
        <w:t>I budgetpropositionen föreslås att målet för politikområdet skall vara att personer med låg eller ingen inkomstrelaterad pension skall garanteras ett värdesäkrat grundskydd. I propositionen framhålls att det nya ålderspension</w:t>
      </w:r>
      <w:r w:rsidRPr="00C9680B">
        <w:t>s</w:t>
      </w:r>
      <w:r w:rsidRPr="00C9680B">
        <w:t>systemets grundläggande princip är den s.k. livsinkomstprincipen, dvs. att storleken på pensionen från det allmänna avgörs av hur mycket pengar man tjänar under hela livet och inte, som i ATP-systemet, inkomsterna under de femton bästa åren. Det nya systemet har dock ett grundskydd som ger god ekonomisk trygghet för alla.</w:t>
      </w:r>
    </w:p>
    <w:p w:rsidR="001C7BF9" w:rsidRPr="00C9680B" w:rsidRDefault="001C7BF9">
      <w:pPr>
        <w:pStyle w:val="Normaltindrag"/>
      </w:pPr>
      <w:r w:rsidRPr="00C9680B">
        <w:t>I propositionen föreslås att ramen för utgiftsområde 11 Ekonomisk tryg</w:t>
      </w:r>
      <w:r w:rsidRPr="00C9680B">
        <w:t>g</w:t>
      </w:r>
      <w:r w:rsidRPr="00C9680B">
        <w:t xml:space="preserve">het vid ålderdom för budgetåret 2001 fastställs till 33 780 miljoner kronor. Vidare föreslås att riksdagen godkänner den preliminära fördelningen för budgetåret 2002 till 33 150 miljoner kronor och för budgetåret 2003 till 50 904 miljoner kronor. </w:t>
      </w:r>
    </w:p>
    <w:p w:rsidR="001C7BF9" w:rsidRPr="00C9680B" w:rsidRDefault="001C7BF9">
      <w:pPr>
        <w:pStyle w:val="Normaltindrag"/>
      </w:pPr>
      <w:r w:rsidRPr="00C9680B">
        <w:t>Enligt propositionen beräknas andelen pensionärer med ATP öka de nä</w:t>
      </w:r>
      <w:r w:rsidRPr="00C9680B">
        <w:t>r</w:t>
      </w:r>
      <w:r w:rsidRPr="00C9680B">
        <w:t>maste åren, och därmed blir färre pensionärer berättigade till pensionstillskott. Denna tendens till minskade utgifter uppvägs enligt regeringen av de förslag till förbättringar som föreslås för de pensionärer som är mest ekonomiskt utsatta. I budgetpropositionen föreslås att fr.o.m. den 1 januari 2001 skall boendekostnader upp till 4 500 kr per månad berättiga till BTP och att grä</w:t>
      </w:r>
      <w:r w:rsidRPr="00C9680B">
        <w:t>n</w:t>
      </w:r>
      <w:r w:rsidRPr="00C9680B">
        <w:t>sen för skälig bostadskostnad vid beräkning av särskilt bostadstillägg till pensionärer (SBTP) skall höjas från 5 200 till 5 7</w:t>
      </w:r>
      <w:r w:rsidRPr="00C9680B">
        <w:t>00 kr per månad. I propos</w:t>
      </w:r>
      <w:r w:rsidRPr="00C9680B">
        <w:t>i</w:t>
      </w:r>
      <w:r w:rsidRPr="00C9680B">
        <w:t>tionen Anpassningar i ålderspensionssystemet inför 2001 m.m. (prop. 1999/2000:138) föreslås att den tillfälliga höjningen av nivåerna för berä</w:t>
      </w:r>
      <w:r w:rsidRPr="00C9680B">
        <w:t>k</w:t>
      </w:r>
      <w:r w:rsidRPr="00C9680B">
        <w:t>ning av pensionstillskott och SBTP skall permanentas. I budgetpropositionen föreslås vad gäller SBTP att gränsen för skälig levnadsnivå fr.o.m. den 1 januari 2001 härutöver skall höjas med 6 procentenheter från 123,4 % till 129,4 % av prisbasbeloppet (pbb) för den som är ensamstående och från 102,4 % till 108,4 % av pbb för den som är gift.</w:t>
      </w:r>
    </w:p>
    <w:p w:rsidR="001C7BF9" w:rsidRPr="00C9680B" w:rsidRDefault="001C7BF9">
      <w:pPr>
        <w:pStyle w:val="Normaltindrag"/>
      </w:pPr>
      <w:r w:rsidRPr="00C9680B">
        <w:t>Regeringen anger vidare att riksdagen med anledning av vårpropositionen beslutat att utgiftsområde 11 skall tillföras 30 miljoner kronor för att göra inkomstprövningen av änkepensionerna generösare och enklare. Den närmare utformningen skall beredas i samband med arbetet om ett nytt system för bostadsstöd till pensionärer. Härutöver anger regeringen att ytterligare 30 miljoner kronor tillskjuts det särskilda bostadstillägget och att regeringen därvidlag har för avsikt att återkomma till riksdagen under år 2</w:t>
      </w:r>
      <w:r w:rsidRPr="00C9680B">
        <w:t>001 med fö</w:t>
      </w:r>
      <w:r w:rsidRPr="00C9680B">
        <w:t>r</w:t>
      </w:r>
      <w:r w:rsidRPr="00C9680B">
        <w:t>slag. Enligt propositionen innebär förbättringarna en utgiftsökning med ca 200 miljoner kr</w:t>
      </w:r>
      <w:r w:rsidRPr="00C9680B">
        <w:t>o</w:t>
      </w:r>
      <w:r w:rsidRPr="00C9680B">
        <w:t>nor.</w:t>
      </w:r>
    </w:p>
    <w:p w:rsidR="001C7BF9" w:rsidRPr="00C9680B" w:rsidRDefault="001C7BF9">
      <w:pPr>
        <w:pStyle w:val="Normaltindrag"/>
      </w:pPr>
      <w:r w:rsidRPr="00C9680B">
        <w:t>Beträffande år 2003 föreslås att ramen ökas med ca 17 500 miljoner kronor jämfört med vad som angavs i den ekonomiska vårpropositionen. Enligt reg</w:t>
      </w:r>
      <w:r w:rsidRPr="00C9680B">
        <w:t>e</w:t>
      </w:r>
      <w:r w:rsidRPr="00C9680B">
        <w:t>ringen finns det två huvudorsaker till denna kraftiga ökning. För det första förs utgifterna för den bosättningsbaserade delen av folkpensionen från ålde</w:t>
      </w:r>
      <w:r w:rsidRPr="00C9680B">
        <w:t>r</w:t>
      </w:r>
      <w:r w:rsidRPr="00C9680B">
        <w:t>spensionssystemet vid sidan av statsbudgeten till utgiftsområde 11 och för det andra ersätts folkpension och pensionstillskott av garantipension enligt de reformerade ålde</w:t>
      </w:r>
      <w:r w:rsidRPr="00C9680B">
        <w:t>r</w:t>
      </w:r>
      <w:r w:rsidRPr="00C9680B">
        <w:t xml:space="preserve">spensionsreglerna.    </w:t>
      </w:r>
    </w:p>
    <w:p w:rsidR="001C7BF9" w:rsidRPr="00C9680B" w:rsidRDefault="001C7BF9">
      <w:pPr>
        <w:pStyle w:val="R3"/>
        <w:outlineLvl w:val="0"/>
      </w:pPr>
      <w:r w:rsidRPr="00C9680B">
        <w:t>Motionerna</w:t>
      </w:r>
    </w:p>
    <w:p w:rsidR="001C7BF9" w:rsidRPr="00C9680B" w:rsidRDefault="001C7BF9">
      <w:pPr>
        <w:pStyle w:val="R4"/>
        <w:spacing w:before="123"/>
        <w:outlineLvl w:val="0"/>
      </w:pPr>
      <w:r w:rsidRPr="00C9680B">
        <w:t>Moderaterna</w:t>
      </w:r>
    </w:p>
    <w:p w:rsidR="001C7BF9" w:rsidRPr="00C9680B" w:rsidRDefault="001C7BF9">
      <w:r w:rsidRPr="00C9680B">
        <w:t>I motion Fi208 yrkandena 5 och 6 föreslås – i förhållande till regeringens förslag – en ökning av utgiftsramen för budgetåret 2001 med 445 miljoner kronor och för budgetåren 2002 och 2003 med 555 miljoner kronor respektive 565 miljoner kronor</w:t>
      </w:r>
    </w:p>
    <w:p w:rsidR="001C7BF9" w:rsidRPr="00C9680B" w:rsidRDefault="001C7BF9">
      <w:pPr>
        <w:pStyle w:val="Normaltindrag"/>
      </w:pPr>
      <w:r w:rsidRPr="00C9680B">
        <w:t>I stället för att höja BTP föreslår motionärerna en höjning av gränsen för skälig levnadskostnad till 135,4 % av pbb för den som är ensamstående och till 114,4 % av pbb för den som är gift. För dem som var pensionärer under perioden 1993–1998 beräknades folkpensionen på ett basbelopp minskat med 2 %. För att kompensera dessa pensionärer föreslår motionärerna att folkpe</w:t>
      </w:r>
      <w:r w:rsidRPr="00C9680B">
        <w:t>n</w:t>
      </w:r>
      <w:r w:rsidRPr="00C9680B">
        <w:t xml:space="preserve">sionen under den kommande sexårsperioden beräknas på prisbasbeloppet förhöjt med 2 procentenheter. Förslaget innebär enligt motionärerna att 1993 års innehållna pensioner betalas ut år 2001, 1994 års innehållna pensioner år 2002 osv. </w:t>
      </w:r>
    </w:p>
    <w:p w:rsidR="001C7BF9" w:rsidRPr="00C9680B" w:rsidRDefault="001C7BF9">
      <w:pPr>
        <w:pStyle w:val="Normaltindrag"/>
      </w:pPr>
      <w:r w:rsidRPr="00C9680B">
        <w:t xml:space="preserve">Motionärerna anser också att änkepensionerna fr.o.m. den 1 januari 2001 skall återställas till den nivå som gällde före den 1 april 1997.   </w:t>
      </w:r>
    </w:p>
    <w:p w:rsidR="001C7BF9" w:rsidRPr="00C9680B" w:rsidRDefault="001C7BF9">
      <w:pPr>
        <w:pStyle w:val="R4"/>
        <w:outlineLvl w:val="0"/>
      </w:pPr>
      <w:r w:rsidRPr="00C9680B">
        <w:t>Kristdemokraterna</w:t>
      </w:r>
    </w:p>
    <w:p w:rsidR="001C7BF9" w:rsidRPr="00C9680B" w:rsidRDefault="001C7BF9">
      <w:r w:rsidRPr="00C9680B">
        <w:t>I motion Fi209 yrkandena 6 och 7 föreslås – i förhållande till regeringens förslag – en ökning av utgiftsramen för budgetåret 2001 med 1 806 miljoner kronor och för budgetåren 2002 och 2003 med 1 820 miljoner kronor respe</w:t>
      </w:r>
      <w:r w:rsidRPr="00C9680B">
        <w:t>k</w:t>
      </w:r>
      <w:r w:rsidRPr="00C9680B">
        <w:t>tive 900 milj</w:t>
      </w:r>
      <w:r w:rsidRPr="00C9680B">
        <w:t>o</w:t>
      </w:r>
      <w:r w:rsidRPr="00C9680B">
        <w:t xml:space="preserve">ner kronor. </w:t>
      </w:r>
    </w:p>
    <w:p w:rsidR="001C7BF9" w:rsidRPr="00C9680B" w:rsidRDefault="001C7BF9">
      <w:pPr>
        <w:pStyle w:val="Normaltindrag"/>
      </w:pPr>
      <w:r w:rsidRPr="00C9680B">
        <w:t>Motionärerna anser att änkepensionerna inte skall inkomstprövas samt att omställningspensionen bör utges under tolv månader. Vidare föreslår moti</w:t>
      </w:r>
      <w:r w:rsidRPr="00C9680B">
        <w:t>o</w:t>
      </w:r>
      <w:r w:rsidRPr="00C9680B">
        <w:t xml:space="preserve">närerna ett höjt pensionstillskott med 200 kr per månad åren 2001 och 2002. Fritidsfastighet skall inte ingå i årsinkomsten vid beräkning av BTP. </w:t>
      </w:r>
    </w:p>
    <w:p w:rsidR="001C7BF9" w:rsidRPr="00C9680B" w:rsidRDefault="001C7BF9">
      <w:pPr>
        <w:pStyle w:val="R4"/>
        <w:outlineLvl w:val="0"/>
      </w:pPr>
      <w:r w:rsidRPr="00C9680B">
        <w:t>Centerpartiet</w:t>
      </w:r>
    </w:p>
    <w:p w:rsidR="001C7BF9" w:rsidRPr="00C9680B" w:rsidRDefault="001C7BF9">
      <w:r w:rsidRPr="00C9680B">
        <w:t>I motion Fi210 yrkandena 4 och 5 föreslås – i förhållande till regeringens förslag – en ökning av utgiftsramen för budgetåret 2001 med 341 miljoner kronor och för budgetåren 2002 och 2003 med 359 miljoner kronor respektive 1 000 miljoner kronor.</w:t>
      </w:r>
    </w:p>
    <w:p w:rsidR="001C7BF9" w:rsidRPr="00C9680B" w:rsidRDefault="001C7BF9">
      <w:pPr>
        <w:pStyle w:val="Normaltindrag"/>
      </w:pPr>
      <w:r w:rsidRPr="00C9680B">
        <w:t>Motionärerna föreslår en höjning av pensionstillskottet med 3 000 kr per år i stället för den av regeringen föreslagna höjningen av BTP. En generell hö</w:t>
      </w:r>
      <w:r w:rsidRPr="00C9680B">
        <w:t>j</w:t>
      </w:r>
      <w:r w:rsidRPr="00C9680B">
        <w:t>ning av pensionstillskottet kommer enligt motionärerna fler låginkomstpe</w:t>
      </w:r>
      <w:r w:rsidRPr="00C9680B">
        <w:t>n</w:t>
      </w:r>
      <w:r w:rsidRPr="00C9680B">
        <w:t xml:space="preserve">sionärer till del, däribland många äldre kvinnor.  </w:t>
      </w:r>
    </w:p>
    <w:p w:rsidR="001C7BF9" w:rsidRPr="00C9680B" w:rsidRDefault="001C7BF9">
      <w:pPr>
        <w:pStyle w:val="R4"/>
        <w:outlineLvl w:val="0"/>
      </w:pPr>
      <w:r w:rsidRPr="00C9680B">
        <w:t>Folkpartiet</w:t>
      </w:r>
    </w:p>
    <w:p w:rsidR="001C7BF9" w:rsidRPr="00C9680B" w:rsidRDefault="001C7BF9">
      <w:r w:rsidRPr="00C9680B">
        <w:t xml:space="preserve">I motion Fi211 yrkandena 6 och 8 föreslås – i förhållande till regeringens förslag – en ökning av utgiftsramen för budgetåret 2001 med 835 miljoner kronor och för budgetåren 2002 och 2003 med 840 miljoner kronor respektive 850 miljoner kronor. </w:t>
      </w:r>
    </w:p>
    <w:p w:rsidR="001C7BF9" w:rsidRPr="00C9680B" w:rsidRDefault="001C7BF9">
      <w:pPr>
        <w:pStyle w:val="Normaltindrag"/>
      </w:pPr>
      <w:r w:rsidRPr="00C9680B">
        <w:t>Motionärerna anser att änkepensionerna inte bör inkomstprövas och att t</w:t>
      </w:r>
      <w:r w:rsidRPr="00C9680B">
        <w:t>i</w:t>
      </w:r>
      <w:r w:rsidRPr="00C9680B">
        <w:t xml:space="preserve">den för omställningspension bör förlängas till 12 månader. Fritidsfastighet skall inte ingå i årsinkomsten vid beräkning av BTP. </w:t>
      </w:r>
    </w:p>
    <w:p w:rsidR="001C7BF9" w:rsidRPr="00C9680B" w:rsidRDefault="001C7BF9">
      <w:pPr>
        <w:pStyle w:val="R3"/>
        <w:outlineLvl w:val="0"/>
      </w:pPr>
      <w:r w:rsidRPr="00C9680B">
        <w:t>Utskottets bedömning</w:t>
      </w:r>
    </w:p>
    <w:p w:rsidR="001C7BF9" w:rsidRPr="00C9680B" w:rsidRDefault="001C7BF9">
      <w:r w:rsidRPr="00C9680B">
        <w:t>Utskottet har att ta ställning till dels förslag till utgiftsram för budgetåret 2001, dels förslag till preliminär fördelning av utgifterna för budgetåren 2002 och 2003. Förslagen redovisas i tabellen nedan. Beloppen anges i miljoner</w:t>
      </w:r>
      <w:r w:rsidRPr="00C9680B">
        <w:rPr>
          <w:u w:val="single"/>
        </w:rPr>
        <w:t xml:space="preserve"> </w:t>
      </w:r>
      <w:r w:rsidRPr="00C9680B">
        <w:t xml:space="preserve">kronor. </w:t>
      </w:r>
    </w:p>
    <w:p w:rsidR="001C7BF9" w:rsidRPr="00C9680B" w:rsidRDefault="001C7BF9">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233"/>
        <w:gridCol w:w="1006"/>
        <w:gridCol w:w="1006"/>
        <w:gridCol w:w="1006"/>
        <w:gridCol w:w="1006"/>
      </w:tblGrid>
      <w:tr w:rsidR="00000000" w:rsidRPr="00C9680B">
        <w:tblPrEx>
          <w:tblCellMar>
            <w:top w:w="0" w:type="dxa"/>
            <w:bottom w:w="0" w:type="dxa"/>
          </w:tblCellMar>
        </w:tblPrEx>
        <w:tc>
          <w:tcPr>
            <w:tcW w:w="779" w:type="dxa"/>
          </w:tcPr>
          <w:p w:rsidR="001C7BF9" w:rsidRPr="00C9680B" w:rsidRDefault="001C7BF9">
            <w:pPr>
              <w:pStyle w:val="Normaltindrag"/>
              <w:ind w:firstLine="0"/>
            </w:pPr>
            <w:r w:rsidRPr="00C9680B">
              <w:t>År</w:t>
            </w:r>
          </w:p>
        </w:tc>
        <w:tc>
          <w:tcPr>
            <w:tcW w:w="1233" w:type="dxa"/>
          </w:tcPr>
          <w:p w:rsidR="001C7BF9" w:rsidRPr="00C9680B" w:rsidRDefault="001C7BF9">
            <w:pPr>
              <w:pStyle w:val="Normaltindrag"/>
              <w:ind w:firstLine="0"/>
              <w:jc w:val="center"/>
            </w:pPr>
            <w:r w:rsidRPr="00C9680B">
              <w:t>Regeringen</w:t>
            </w:r>
          </w:p>
        </w:tc>
        <w:tc>
          <w:tcPr>
            <w:tcW w:w="1006" w:type="dxa"/>
          </w:tcPr>
          <w:p w:rsidR="001C7BF9" w:rsidRPr="00C9680B" w:rsidRDefault="001C7BF9">
            <w:pPr>
              <w:pStyle w:val="Normaltindrag"/>
              <w:ind w:firstLine="0"/>
              <w:jc w:val="center"/>
            </w:pPr>
            <w:r w:rsidRPr="00C9680B">
              <w:t>m</w:t>
            </w:r>
          </w:p>
        </w:tc>
        <w:tc>
          <w:tcPr>
            <w:tcW w:w="1006" w:type="dxa"/>
          </w:tcPr>
          <w:p w:rsidR="001C7BF9" w:rsidRPr="00C9680B" w:rsidRDefault="001C7BF9">
            <w:pPr>
              <w:pStyle w:val="Normaltindrag"/>
              <w:ind w:firstLine="0"/>
              <w:jc w:val="center"/>
            </w:pPr>
            <w:r w:rsidRPr="00C9680B">
              <w:t>kd</w:t>
            </w:r>
          </w:p>
        </w:tc>
        <w:tc>
          <w:tcPr>
            <w:tcW w:w="1006" w:type="dxa"/>
          </w:tcPr>
          <w:p w:rsidR="001C7BF9" w:rsidRPr="00C9680B" w:rsidRDefault="001C7BF9">
            <w:pPr>
              <w:pStyle w:val="Normaltindrag"/>
              <w:ind w:firstLine="0"/>
              <w:jc w:val="center"/>
            </w:pPr>
            <w:r w:rsidRPr="00C9680B">
              <w:t>c</w:t>
            </w:r>
          </w:p>
        </w:tc>
        <w:tc>
          <w:tcPr>
            <w:tcW w:w="1006" w:type="dxa"/>
          </w:tcPr>
          <w:p w:rsidR="001C7BF9" w:rsidRPr="00C9680B" w:rsidRDefault="001C7BF9">
            <w:pPr>
              <w:pStyle w:val="Normaltindrag"/>
              <w:ind w:firstLine="0"/>
              <w:jc w:val="center"/>
            </w:pPr>
            <w:r w:rsidRPr="00C9680B">
              <w:t>fp</w:t>
            </w:r>
          </w:p>
        </w:tc>
      </w:tr>
      <w:tr w:rsidR="00000000" w:rsidRPr="00C9680B">
        <w:tblPrEx>
          <w:tblCellMar>
            <w:top w:w="0" w:type="dxa"/>
            <w:bottom w:w="0" w:type="dxa"/>
          </w:tblCellMar>
        </w:tblPrEx>
        <w:tc>
          <w:tcPr>
            <w:tcW w:w="779" w:type="dxa"/>
          </w:tcPr>
          <w:p w:rsidR="001C7BF9" w:rsidRPr="00C9680B" w:rsidRDefault="001C7BF9">
            <w:pPr>
              <w:pStyle w:val="Normaltindrag"/>
              <w:ind w:firstLine="0"/>
            </w:pPr>
            <w:r w:rsidRPr="00C9680B">
              <w:t>2001</w:t>
            </w:r>
          </w:p>
          <w:p w:rsidR="001C7BF9" w:rsidRPr="00C9680B" w:rsidRDefault="001C7BF9">
            <w:pPr>
              <w:pStyle w:val="Normaltindrag"/>
              <w:ind w:firstLine="0"/>
            </w:pPr>
            <w:r w:rsidRPr="00C9680B">
              <w:t>2002</w:t>
            </w:r>
          </w:p>
          <w:p w:rsidR="001C7BF9" w:rsidRPr="00C9680B" w:rsidRDefault="001C7BF9">
            <w:pPr>
              <w:pStyle w:val="Normaltindrag"/>
              <w:ind w:firstLine="0"/>
            </w:pPr>
            <w:r w:rsidRPr="00C9680B">
              <w:t>2003</w:t>
            </w:r>
          </w:p>
        </w:tc>
        <w:tc>
          <w:tcPr>
            <w:tcW w:w="1233" w:type="dxa"/>
          </w:tcPr>
          <w:p w:rsidR="001C7BF9" w:rsidRPr="00C9680B" w:rsidRDefault="001C7BF9">
            <w:pPr>
              <w:pStyle w:val="Normaltindrag"/>
              <w:ind w:right="170" w:firstLine="0"/>
              <w:jc w:val="right"/>
            </w:pPr>
            <w:r w:rsidRPr="00C9680B">
              <w:t>33 780</w:t>
            </w:r>
          </w:p>
          <w:p w:rsidR="001C7BF9" w:rsidRPr="00C9680B" w:rsidRDefault="001C7BF9">
            <w:pPr>
              <w:pStyle w:val="Normaltindrag"/>
              <w:ind w:right="170" w:firstLine="0"/>
              <w:jc w:val="right"/>
            </w:pPr>
            <w:r w:rsidRPr="00C9680B">
              <w:t>33 150</w:t>
            </w:r>
          </w:p>
          <w:p w:rsidR="001C7BF9" w:rsidRPr="00C9680B" w:rsidRDefault="001C7BF9">
            <w:pPr>
              <w:pStyle w:val="Normaltindrag"/>
              <w:ind w:right="170" w:firstLine="0"/>
              <w:jc w:val="right"/>
            </w:pPr>
            <w:r w:rsidRPr="00C9680B">
              <w:t>50 904</w:t>
            </w:r>
          </w:p>
        </w:tc>
        <w:tc>
          <w:tcPr>
            <w:tcW w:w="1006" w:type="dxa"/>
          </w:tcPr>
          <w:p w:rsidR="001C7BF9" w:rsidRPr="00C9680B" w:rsidRDefault="001C7BF9">
            <w:pPr>
              <w:pStyle w:val="Normaltindrag"/>
              <w:ind w:right="170" w:firstLine="0"/>
              <w:jc w:val="right"/>
            </w:pPr>
            <w:r w:rsidRPr="00C9680B">
              <w:t>+ 445</w:t>
            </w:r>
          </w:p>
          <w:p w:rsidR="001C7BF9" w:rsidRPr="00C9680B" w:rsidRDefault="001C7BF9">
            <w:pPr>
              <w:pStyle w:val="Normaltindrag"/>
              <w:ind w:right="170" w:firstLine="0"/>
              <w:jc w:val="right"/>
            </w:pPr>
            <w:r w:rsidRPr="00C9680B">
              <w:t>+ 555</w:t>
            </w:r>
          </w:p>
          <w:p w:rsidR="001C7BF9" w:rsidRPr="00C9680B" w:rsidRDefault="001C7BF9">
            <w:pPr>
              <w:pStyle w:val="Normaltindrag"/>
              <w:ind w:right="170" w:firstLine="0"/>
              <w:jc w:val="right"/>
            </w:pPr>
            <w:r w:rsidRPr="00C9680B">
              <w:t>+ 565</w:t>
            </w:r>
          </w:p>
        </w:tc>
        <w:tc>
          <w:tcPr>
            <w:tcW w:w="1006" w:type="dxa"/>
          </w:tcPr>
          <w:p w:rsidR="001C7BF9" w:rsidRPr="00C9680B" w:rsidRDefault="001C7BF9">
            <w:pPr>
              <w:pStyle w:val="Normaltindrag"/>
              <w:ind w:right="170" w:firstLine="0"/>
              <w:jc w:val="right"/>
            </w:pPr>
            <w:r w:rsidRPr="00C9680B">
              <w:t>+ 1 806</w:t>
            </w:r>
          </w:p>
          <w:p w:rsidR="001C7BF9" w:rsidRPr="00C9680B" w:rsidRDefault="001C7BF9">
            <w:pPr>
              <w:pStyle w:val="Normaltindrag"/>
              <w:ind w:right="170" w:firstLine="0"/>
              <w:jc w:val="right"/>
            </w:pPr>
            <w:r w:rsidRPr="00C9680B">
              <w:t>+ 1 820</w:t>
            </w:r>
          </w:p>
          <w:p w:rsidR="001C7BF9" w:rsidRPr="00C9680B" w:rsidRDefault="001C7BF9">
            <w:pPr>
              <w:pStyle w:val="Normaltindrag"/>
              <w:ind w:right="170" w:firstLine="0"/>
              <w:jc w:val="right"/>
            </w:pPr>
            <w:r w:rsidRPr="00C9680B">
              <w:t>+ 900</w:t>
            </w:r>
          </w:p>
        </w:tc>
        <w:tc>
          <w:tcPr>
            <w:tcW w:w="1006" w:type="dxa"/>
          </w:tcPr>
          <w:p w:rsidR="001C7BF9" w:rsidRPr="00C9680B" w:rsidRDefault="001C7BF9">
            <w:pPr>
              <w:pStyle w:val="Normaltindrag"/>
              <w:ind w:right="170" w:firstLine="0"/>
              <w:jc w:val="right"/>
            </w:pPr>
            <w:r w:rsidRPr="00C9680B">
              <w:t>+ 341</w:t>
            </w:r>
          </w:p>
          <w:p w:rsidR="001C7BF9" w:rsidRPr="00C9680B" w:rsidRDefault="001C7BF9">
            <w:pPr>
              <w:pStyle w:val="Normaltindrag"/>
              <w:ind w:right="170" w:firstLine="0"/>
              <w:jc w:val="right"/>
            </w:pPr>
            <w:r w:rsidRPr="00C9680B">
              <w:t>+ 359</w:t>
            </w:r>
          </w:p>
          <w:p w:rsidR="001C7BF9" w:rsidRPr="00C9680B" w:rsidRDefault="001C7BF9">
            <w:pPr>
              <w:pStyle w:val="Normaltindrag"/>
              <w:ind w:right="170" w:firstLine="0"/>
              <w:jc w:val="right"/>
            </w:pPr>
            <w:r w:rsidRPr="00C9680B">
              <w:t>+ 1 000</w:t>
            </w:r>
          </w:p>
        </w:tc>
        <w:tc>
          <w:tcPr>
            <w:tcW w:w="1006" w:type="dxa"/>
          </w:tcPr>
          <w:p w:rsidR="001C7BF9" w:rsidRPr="00C9680B" w:rsidRDefault="001C7BF9">
            <w:pPr>
              <w:pStyle w:val="Normaltindrag"/>
              <w:ind w:right="170" w:firstLine="0"/>
              <w:jc w:val="right"/>
            </w:pPr>
            <w:r w:rsidRPr="00C9680B">
              <w:t>+ 835</w:t>
            </w:r>
          </w:p>
          <w:p w:rsidR="001C7BF9" w:rsidRPr="00C9680B" w:rsidRDefault="001C7BF9">
            <w:pPr>
              <w:pStyle w:val="Normaltindrag"/>
              <w:ind w:right="170" w:firstLine="0"/>
              <w:jc w:val="right"/>
            </w:pPr>
            <w:r w:rsidRPr="00C9680B">
              <w:t>+ 840</w:t>
            </w:r>
          </w:p>
          <w:p w:rsidR="001C7BF9" w:rsidRPr="00C9680B" w:rsidRDefault="001C7BF9">
            <w:pPr>
              <w:pStyle w:val="Normaltindrag"/>
              <w:ind w:right="170" w:firstLine="0"/>
              <w:jc w:val="right"/>
            </w:pPr>
            <w:r w:rsidRPr="00C9680B">
              <w:t>+ 850</w:t>
            </w:r>
          </w:p>
        </w:tc>
      </w:tr>
    </w:tbl>
    <w:p w:rsidR="001C7BF9" w:rsidRPr="00C9680B" w:rsidRDefault="001C7BF9">
      <w:pPr>
        <w:pStyle w:val="Normaltindrag"/>
      </w:pPr>
    </w:p>
    <w:p w:rsidR="001C7BF9" w:rsidRPr="00C9680B" w:rsidRDefault="001C7BF9">
      <w:r w:rsidRPr="00C9680B">
        <w:t>I propositionen anför regeringen att vid saneringen av statens finanser gjordes omfattande besparingar som även drabbade pensionärerna. Besparingarna bestod av såväl generella åtgärder genom en begränsad uppräkning av pri</w:t>
      </w:r>
      <w:r w:rsidRPr="00C9680B">
        <w:t>s</w:t>
      </w:r>
      <w:r w:rsidRPr="00C9680B">
        <w:t>basbeloppet som mer selektiva förändringar i form av försämrade regler för bostadstillägg till pensionärer m.m. För att försämringarna inte skulle slå mot de mest utsatta pensionärerna har riktade förbättringar genomförts i form av förbättrat särskilt bostadstillägg och höjt pensionstillskott. Senare har förbät</w:t>
      </w:r>
      <w:r w:rsidRPr="00C9680B">
        <w:t>t</w:t>
      </w:r>
      <w:r w:rsidRPr="00C9680B">
        <w:t>ringar gjorts i form av dels förbättrat bostadstillägg, dels att pensionerna fr.o.m. år 1999 beräknas utan minskning av prisbasbeloppet.</w:t>
      </w:r>
    </w:p>
    <w:p w:rsidR="001C7BF9" w:rsidRPr="00C9680B" w:rsidRDefault="001C7BF9">
      <w:pPr>
        <w:pStyle w:val="Normaltindrag"/>
      </w:pPr>
      <w:r w:rsidRPr="00C9680B">
        <w:t>I departementspromemorian Sämre för mig Bättre för oss (Ds 19</w:t>
      </w:r>
      <w:r w:rsidRPr="00C9680B">
        <w:t>99:5) b</w:t>
      </w:r>
      <w:r w:rsidRPr="00C9680B">
        <w:t>e</w:t>
      </w:r>
      <w:r w:rsidRPr="00C9680B">
        <w:t>lyses effekterna av saneringsprogrammet för ålderspensionärernas inkoms</w:t>
      </w:r>
      <w:r w:rsidRPr="00C9680B">
        <w:t>t</w:t>
      </w:r>
      <w:r w:rsidRPr="00C9680B">
        <w:t>standard. Av promemorian framgår att pensionärerna som kollektiv har ökat sin inkomststandard, både i reala termer och i förhållande till andra grupper. På individnivå föreligger dock stora skillnader vad gäller det ekonomiska utfallet, vilket kan förklaras bl.a. av att de nytillträdande pensionärerna i genomsnitt har högre ATP-poäng. På individnivå har pensionärerna varit med och delat bördan av 1990-talets ekonomiska sanerings</w:t>
      </w:r>
      <w:r w:rsidRPr="00C9680B">
        <w:t xml:space="preserve">program.  </w:t>
      </w:r>
    </w:p>
    <w:p w:rsidR="001C7BF9" w:rsidRPr="00C9680B" w:rsidRDefault="001C7BF9">
      <w:pPr>
        <w:pStyle w:val="Normaltindrag"/>
      </w:pPr>
      <w:r w:rsidRPr="00C9680B">
        <w:t>Den tidigare begränsade uppräkningen av basbeloppet har fortfarande den effekten att prisbasbeloppet är ca 2 % lägre än vad som annars skulle varit fallet, men  i och med det reformerade ålderspensionssystemet får prisbasb</w:t>
      </w:r>
      <w:r w:rsidRPr="00C9680B">
        <w:t>e</w:t>
      </w:r>
      <w:r w:rsidRPr="00C9680B">
        <w:t>loppet en mer begränsad roll eftersom inkomstrelaterade pensioner kommer att följsamhetsindexeras. I den nämnda propositionen 1999/2000:138 föreslås att ATP skall följsamhetsindexeras fr.o.m. år 2002 (bet. 2000/01:SfU4). E</w:t>
      </w:r>
      <w:r w:rsidRPr="00C9680B">
        <w:t>n</w:t>
      </w:r>
      <w:r w:rsidRPr="00C9680B">
        <w:t>ligt regeringen innebär detta med stor sannolikhet att ATP kommer att räknas upp realt år 2002, vilket ytterligare minskar effekten av den tidigare reduc</w:t>
      </w:r>
      <w:r w:rsidRPr="00C9680B">
        <w:t>e</w:t>
      </w:r>
      <w:r w:rsidRPr="00C9680B">
        <w:t>ringen av basbeloppet. Vad gäller efterlevandeförmåner vill utskottet också erinra om att utgiftsområde 11 skall tillföras ytterligare</w:t>
      </w:r>
      <w:r w:rsidRPr="00C9680B">
        <w:t xml:space="preserve"> 30 miljoner kronor för att göra inkomstprövningen av änkepensionen generösare och enklare och att riksdagen beslutat förlänga tiden för omställningspension från sex till tio månader fr.o.m. år 2003 samt att regeringen anfört att fr.o.m. år 2005 bör tiden förlängas till tolv månader. Utskottet vill i sammanhanget erinra om att utskottet i betänkande 1999/2000:SfU13 Efterlevandepensioner och efterl</w:t>
      </w:r>
      <w:r w:rsidRPr="00C9680B">
        <w:t>e</w:t>
      </w:r>
      <w:r w:rsidRPr="00C9680B">
        <w:t>vandestöd till barn förutsatt att regeringen återkommer med förslag till rik</w:t>
      </w:r>
      <w:r w:rsidRPr="00C9680B">
        <w:t>s</w:t>
      </w:r>
      <w:r w:rsidRPr="00C9680B">
        <w:t xml:space="preserve">dagen om det visar sig ekonomiskt </w:t>
      </w:r>
      <w:r w:rsidRPr="00C9680B">
        <w:t>möjligt att tidigarelägga den aviserade förlängningen av den inledande omställningspe</w:t>
      </w:r>
      <w:r w:rsidRPr="00C9680B">
        <w:t>n</w:t>
      </w:r>
      <w:r w:rsidRPr="00C9680B">
        <w:t>sionen till tolv månader.</w:t>
      </w:r>
    </w:p>
    <w:p w:rsidR="001C7BF9" w:rsidRPr="00C9680B" w:rsidRDefault="001C7BF9">
      <w:pPr>
        <w:pStyle w:val="Normaltindrag"/>
      </w:pPr>
      <w:r w:rsidRPr="00C9680B">
        <w:t>Utskottet ser med tillfredsställelse att regeringen nu föreslår fortsatta sat</w:t>
      </w:r>
      <w:r w:rsidRPr="00C9680B">
        <w:t>s</w:t>
      </w:r>
      <w:r w:rsidRPr="00C9680B">
        <w:t>ningar på att förbättra pensionärernas ekonomi. De föreliggande förslagen i form av bl.a. förbättringar av bostadsstödet innebär att de inom pensi</w:t>
      </w:r>
      <w:r w:rsidRPr="00C9680B">
        <w:t>o</w:t>
      </w:r>
      <w:r w:rsidRPr="00C9680B">
        <w:t>närskollektivet som har de lägsta inkomsterna, däribland många kvinnor, får en höjd ekonomisk standard. Oaktat de satsningar som gjorts och nu föreslås för att förbättra pensionärernas ekonomi förutsätter utskottet att regeringen även fortsättningsvis följer utvecklingen av pensionärernas ekonomiska sit</w:t>
      </w:r>
      <w:r w:rsidRPr="00C9680B">
        <w:t>u</w:t>
      </w:r>
      <w:r w:rsidRPr="00C9680B">
        <w:t>ation. Utskottet har inget att erinra mot regeringens beräk</w:t>
      </w:r>
      <w:r w:rsidRPr="00C9680B">
        <w:t xml:space="preserve">ningar. Utskottet tillstyrker den av regeringen föreslagna utgiftsramen för budgetåret 2001 samt den preliminära fördelningen av utgifterna för budgetåren 2002 och 2003. Utskottet avstyrker i denna del motionerna Fi208 yrkandena 5 och 6, Fi209 yrkandena 6 och 7, Fi210 yrkandena 4 och 5 samt Fi211 yrkandena 6 och 8. </w:t>
      </w:r>
    </w:p>
    <w:p w:rsidR="001C7BF9" w:rsidRPr="00C9680B" w:rsidRDefault="001C7BF9">
      <w:pPr>
        <w:pStyle w:val="R2"/>
        <w:outlineLvl w:val="0"/>
      </w:pPr>
      <w:r w:rsidRPr="00C9680B">
        <w:t>Utgiftsområde 12</w:t>
      </w:r>
    </w:p>
    <w:p w:rsidR="001C7BF9" w:rsidRPr="00C9680B" w:rsidRDefault="001C7BF9">
      <w:pPr>
        <w:pStyle w:val="R3"/>
        <w:spacing w:before="123"/>
        <w:outlineLvl w:val="0"/>
      </w:pPr>
      <w:r w:rsidRPr="00C9680B">
        <w:t xml:space="preserve">Propositionen </w:t>
      </w:r>
    </w:p>
    <w:p w:rsidR="001C7BF9" w:rsidRPr="00C9680B" w:rsidRDefault="001C7BF9">
      <w:r w:rsidRPr="00C9680B">
        <w:t>Politikområdet Ekonomisk familjepolitik omfattar utgiftsområde 12 Ekon</w:t>
      </w:r>
      <w:r w:rsidRPr="00C9680B">
        <w:t>o</w:t>
      </w:r>
      <w:r w:rsidRPr="00C9680B">
        <w:t>misk trygghet för familjer och barn och anslag 21:1 Bostadsbidrag inom utgiftsområde 18 Samhällsplanering, bostadsförsörjning och byggande. St</w:t>
      </w:r>
      <w:r w:rsidRPr="00C9680B">
        <w:t>a</w:t>
      </w:r>
      <w:r w:rsidRPr="00C9680B">
        <w:t>tens övriga stöd till barnfamiljerna ingår i politikområdet Utbildningspolitik och utgörs av studiebidragen (utgiftsområde 15) och maxtaxa inom barno</w:t>
      </w:r>
      <w:r w:rsidRPr="00C9680B">
        <w:t>m</w:t>
      </w:r>
      <w:r w:rsidRPr="00C9680B">
        <w:t>sorgen (utgiftsområde 16).</w:t>
      </w:r>
    </w:p>
    <w:p w:rsidR="001C7BF9" w:rsidRPr="00C9680B" w:rsidRDefault="001C7BF9">
      <w:pPr>
        <w:pStyle w:val="Normaltindrag"/>
      </w:pPr>
      <w:r w:rsidRPr="00C9680B">
        <w:t>I utgiftsområde 12 ingår allmänna barnbidrag inklusive flerbarnstillägg och förlängt barnbidrag, föräldraförsäkring inklusive havandeskapspenning, underhållsstöd, bidrag till kostnader för in</w:t>
      </w:r>
      <w:r w:rsidRPr="00C9680B">
        <w:t>ternationella adoptioner, barnpe</w:t>
      </w:r>
      <w:r w:rsidRPr="00C9680B">
        <w:t>n</w:t>
      </w:r>
      <w:r w:rsidRPr="00C9680B">
        <w:t xml:space="preserve">sion i form av folkpension och ATP, vårdbidrag till funktionshindrade barn och pensionsrätt för barnår. </w:t>
      </w:r>
    </w:p>
    <w:p w:rsidR="001C7BF9" w:rsidRPr="00C9680B" w:rsidRDefault="001C7BF9">
      <w:pPr>
        <w:pStyle w:val="Normaltindrag"/>
      </w:pPr>
      <w:r w:rsidRPr="00C9680B">
        <w:t>I propositionen föreslås att målet för politikområdet Ekonomisk familj</w:t>
      </w:r>
      <w:r w:rsidRPr="00C9680B">
        <w:t>e</w:t>
      </w:r>
      <w:r w:rsidRPr="00C9680B">
        <w:t xml:space="preserve">politik skall vara att minska skillnaderna i de ekonomiska villkoren mellan familjer med och utan barn. </w:t>
      </w:r>
    </w:p>
    <w:p w:rsidR="001C7BF9" w:rsidRPr="00C9680B" w:rsidRDefault="001C7BF9">
      <w:pPr>
        <w:pStyle w:val="Normaltindrag"/>
      </w:pPr>
      <w:r w:rsidRPr="00C9680B">
        <w:t>Genom riksdagens beslut med anledning av 2000 års ekonomiska vårpr</w:t>
      </w:r>
      <w:r w:rsidRPr="00C9680B">
        <w:t>o</w:t>
      </w:r>
      <w:r w:rsidRPr="00C9680B">
        <w:t>position bestämdes ramen för utgiftsområde 12 för budgetåret 2001 prelim</w:t>
      </w:r>
      <w:r w:rsidRPr="00C9680B">
        <w:t>i</w:t>
      </w:r>
      <w:r w:rsidRPr="00C9680B">
        <w:t>närt till 48 172 miljoner kronor. I budgetpropositionen föreslås nu en utgift</w:t>
      </w:r>
      <w:r w:rsidRPr="00C9680B">
        <w:t>s</w:t>
      </w:r>
      <w:r w:rsidRPr="00C9680B">
        <w:t xml:space="preserve">ram på 47 747 miljoner kronor för budgetåret 2001. Skillnaden mellan det preliminära beslutet och regeringens förslag förklaras i huvudsak med att barnafödandet nu beräknas bli lägre. </w:t>
      </w:r>
    </w:p>
    <w:p w:rsidR="001C7BF9" w:rsidRPr="00C9680B" w:rsidRDefault="001C7BF9">
      <w:pPr>
        <w:pStyle w:val="Normaltindrag"/>
      </w:pPr>
      <w:r w:rsidRPr="00C9680B">
        <w:t>Den preliminära fördelningen för budgetåret 2002 föreslås beräknas till 48 930 miljoner kronor och för budgetåret 2003 till 50 756 miljoner kr</w:t>
      </w:r>
      <w:r w:rsidRPr="00C9680B">
        <w:t>o</w:t>
      </w:r>
      <w:r w:rsidRPr="00C9680B">
        <w:t xml:space="preserve">nor. </w:t>
      </w:r>
    </w:p>
    <w:p w:rsidR="001C7BF9" w:rsidRPr="00C9680B" w:rsidRDefault="001C7BF9">
      <w:pPr>
        <w:pStyle w:val="Normaltindrag"/>
      </w:pPr>
      <w:r w:rsidRPr="00C9680B">
        <w:t>Vid beräkningarna har beaktats regeringens förslag att höja barnbidraget med 100 kr per barn och månad fr.o.m. den 1 januari 2001 och en motsvara</w:t>
      </w:r>
      <w:r w:rsidRPr="00C9680B">
        <w:t>n</w:t>
      </w:r>
      <w:r w:rsidRPr="00C9680B">
        <w:t>de höjning av flerbarnstillägget. Vidare har beaktats förslagen att höja ado</w:t>
      </w:r>
      <w:r w:rsidRPr="00C9680B">
        <w:t>p</w:t>
      </w:r>
      <w:r w:rsidRPr="00C9680B">
        <w:t>tionsbidraget till 40 000 kr per barn liksom att rätten till underhållsstöd skall inträda först månaden efter den månad föräldrarna flyttat isär. Även effekte</w:t>
      </w:r>
      <w:r w:rsidRPr="00C9680B">
        <w:t>r</w:t>
      </w:r>
      <w:r w:rsidRPr="00C9680B">
        <w:t>na av regeringens förslag i proposition 1999/2000:118 om underhållsstöd vid växelvis boende har beaktats. Sistnämnda förslag beräknas ge minskade u</w:t>
      </w:r>
      <w:r w:rsidRPr="00C9680B">
        <w:t>t</w:t>
      </w:r>
      <w:r w:rsidRPr="00C9680B">
        <w:t>gifter för underhållsstödet med 50 miljoner kronor per år. Eftersom förslaget beräknas kunna tillämpas för underhållsstöd som a</w:t>
      </w:r>
      <w:r w:rsidRPr="00C9680B">
        <w:t xml:space="preserve">vser tid efter den 31 mars 2001 innebär det en besparing på underhållsstödet år 2001 med 37,5 miljoner kronor. </w:t>
      </w:r>
    </w:p>
    <w:p w:rsidR="001C7BF9" w:rsidRPr="00C9680B" w:rsidRDefault="001C7BF9">
      <w:pPr>
        <w:pStyle w:val="Normaltindrag"/>
      </w:pPr>
      <w:r w:rsidRPr="00C9680B">
        <w:t>Enligt vad som anges i propositionen avser regeringen att under hösten 2000 återkomma till riksdagen med proposition med förslag om vissa förän</w:t>
      </w:r>
      <w:r w:rsidRPr="00C9680B">
        <w:t>d</w:t>
      </w:r>
      <w:r w:rsidRPr="00C9680B">
        <w:t>ringar i föräldraförsäkringen. Bland annat skall de s.k. kontaktdagarna återi</w:t>
      </w:r>
      <w:r w:rsidRPr="00C9680B">
        <w:t>n</w:t>
      </w:r>
      <w:r w:rsidRPr="00C9680B">
        <w:t>föras och föräldrapenning förlängas med 30 ersättningsdagar motsvarande förälderns sjukpenninggrundande inkomst. Inom ramen för en sådan förlän</w:t>
      </w:r>
      <w:r w:rsidRPr="00C9680B">
        <w:t>g</w:t>
      </w:r>
      <w:r w:rsidRPr="00C9680B">
        <w:t>ning avser regeringen att föreslå att 60 dagar reserveras för respektive förä</w:t>
      </w:r>
      <w:r w:rsidRPr="00C9680B">
        <w:t>l</w:t>
      </w:r>
      <w:r w:rsidRPr="00C9680B">
        <w:t>der. Förslagen beräknas medföra ökade utgifter med 60 miljoner kronor år 2001 och med 160 miljoner kronor respektive 280 miljoner kronor de därpå följande två åren. Medel härför har beräknats under anslag 21:2 F</w:t>
      </w:r>
      <w:r w:rsidRPr="00C9680B">
        <w:t>öräldrafö</w:t>
      </w:r>
      <w:r w:rsidRPr="00C9680B">
        <w:t>r</w:t>
      </w:r>
      <w:r w:rsidRPr="00C9680B">
        <w:t xml:space="preserve">säkring (tidigare anslaget A2). </w:t>
      </w:r>
    </w:p>
    <w:p w:rsidR="001C7BF9" w:rsidRPr="00C9680B" w:rsidRDefault="001C7BF9">
      <w:pPr>
        <w:pStyle w:val="R3"/>
        <w:outlineLvl w:val="0"/>
      </w:pPr>
      <w:r w:rsidRPr="00C9680B">
        <w:t xml:space="preserve">Motionerna </w:t>
      </w:r>
    </w:p>
    <w:p w:rsidR="001C7BF9" w:rsidRPr="00C9680B" w:rsidRDefault="001C7BF9">
      <w:pPr>
        <w:pStyle w:val="R4"/>
        <w:spacing w:before="123"/>
        <w:outlineLvl w:val="0"/>
      </w:pPr>
      <w:r w:rsidRPr="00C9680B">
        <w:t xml:space="preserve">Moderaterna </w:t>
      </w:r>
    </w:p>
    <w:p w:rsidR="001C7BF9" w:rsidRPr="00C9680B" w:rsidRDefault="001C7BF9">
      <w:r w:rsidRPr="00C9680B">
        <w:t>I motion Fi208 yrkandena 5 och 6 föreslås – i förhållande till regeringens förslag – en minskning av utgiftsramen för budgetåret 2001 med 3 626 milj</w:t>
      </w:r>
      <w:r w:rsidRPr="00C9680B">
        <w:t>o</w:t>
      </w:r>
      <w:r w:rsidRPr="00C9680B">
        <w:t xml:space="preserve">ner kronor och för budgetåren 2002 och 2003 med 1 596 miljoner kronor respektive 1 776 miljoner kronor. </w:t>
      </w:r>
    </w:p>
    <w:p w:rsidR="001C7BF9" w:rsidRPr="00C9680B" w:rsidRDefault="001C7BF9">
      <w:pPr>
        <w:pStyle w:val="Normaltindrag"/>
      </w:pPr>
      <w:r w:rsidRPr="00C9680B">
        <w:t>Motionärerna föreslår att kompensationsnivån i föräldraförsäkringen sänks till 75 % av den sjukpenninggrundande inkomsten samt att garantibeloppet i föräldraförsäkringen höjs till 120 kr per dag fr.o.m. den 1 januari 2001. Vid</w:t>
      </w:r>
      <w:r w:rsidRPr="00C9680B">
        <w:t>a</w:t>
      </w:r>
      <w:r w:rsidRPr="00C9680B">
        <w:t xml:space="preserve">re anser de att ensamstående mödrar bör ges rätt att överföra de 10 dagarna med tillfällig föräldrapenning som utges till pappan i samband med ett barns födelse till någon annan än pappan. </w:t>
      </w:r>
    </w:p>
    <w:p w:rsidR="001C7BF9" w:rsidRPr="00C9680B" w:rsidRDefault="001C7BF9">
      <w:pPr>
        <w:pStyle w:val="Normaltindrag"/>
      </w:pPr>
      <w:r w:rsidRPr="00C9680B">
        <w:t>I stället för den föreslagna barnbidragshöjningen, som avvisas, anser m</w:t>
      </w:r>
      <w:r w:rsidRPr="00C9680B">
        <w:t>o</w:t>
      </w:r>
      <w:r w:rsidRPr="00C9680B">
        <w:t>tionärerna att barnfamiljerna skall få ett extra grundavdrag vid den komm</w:t>
      </w:r>
      <w:r w:rsidRPr="00C9680B">
        <w:t>u</w:t>
      </w:r>
      <w:r w:rsidRPr="00C9680B">
        <w:t>nala beskattningen på 12 000 kr per barn och år. Dessutom bör ett barno</w:t>
      </w:r>
      <w:r w:rsidRPr="00C9680B">
        <w:t>m</w:t>
      </w:r>
      <w:r w:rsidRPr="00C9680B">
        <w:t>sorgskonto på 40 000 kr per barn införas fr.o.m. 2002 för barn i förskoleå</w:t>
      </w:r>
      <w:r w:rsidRPr="00C9680B">
        <w:t>l</w:t>
      </w:r>
      <w:r w:rsidRPr="00C9680B">
        <w:t>dern samt avdrag för styrkta barnomsorgskostnader på högst 50 000 kr per år medges i den kommunala b</w:t>
      </w:r>
      <w:r w:rsidRPr="00C9680B">
        <w:t>e</w:t>
      </w:r>
      <w:r w:rsidRPr="00C9680B">
        <w:t xml:space="preserve">skattningen. </w:t>
      </w:r>
    </w:p>
    <w:p w:rsidR="001C7BF9" w:rsidRPr="00C9680B" w:rsidRDefault="001C7BF9">
      <w:pPr>
        <w:pStyle w:val="Normaltindrag"/>
      </w:pPr>
      <w:r w:rsidRPr="00C9680B">
        <w:t>Motionärerna föreslår även att underhållsstödet ersätts med ett ensamst</w:t>
      </w:r>
      <w:r w:rsidRPr="00C9680B">
        <w:t>å</w:t>
      </w:r>
      <w:r w:rsidRPr="00C9680B">
        <w:t xml:space="preserve">endestöd, som skall behovsprövas i förhållande till både boförälderns och den bidragsskyldiges inkomster. </w:t>
      </w:r>
    </w:p>
    <w:p w:rsidR="001C7BF9" w:rsidRPr="00C9680B" w:rsidRDefault="001C7BF9">
      <w:pPr>
        <w:pStyle w:val="Normaltindrag"/>
      </w:pPr>
      <w:r w:rsidRPr="00C9680B">
        <w:t xml:space="preserve">Vidare föreslås att adoptionsbidraget skall höjas till 50 % av kostnaden för adoptionen av ett barn, dock högst 55 000 kr. </w:t>
      </w:r>
    </w:p>
    <w:p w:rsidR="001C7BF9" w:rsidRPr="00C9680B" w:rsidRDefault="001C7BF9">
      <w:pPr>
        <w:pStyle w:val="Normaltindrag"/>
      </w:pPr>
      <w:r w:rsidRPr="00C9680B">
        <w:t>Motionärerna motsätter sig slutligen att en extra månad införs i föräldr</w:t>
      </w:r>
      <w:r w:rsidRPr="00C9680B">
        <w:t>a</w:t>
      </w:r>
      <w:r w:rsidRPr="00C9680B">
        <w:t>försäkringen liksom ett återinförande av kontaktdagarna i den tillfälliga fö</w:t>
      </w:r>
      <w:r w:rsidRPr="00C9680B">
        <w:t>r</w:t>
      </w:r>
      <w:r w:rsidRPr="00C9680B">
        <w:t>äldrape</w:t>
      </w:r>
      <w:r w:rsidRPr="00C9680B">
        <w:t>n</w:t>
      </w:r>
      <w:r w:rsidRPr="00C9680B">
        <w:t xml:space="preserve">ningen.   </w:t>
      </w:r>
    </w:p>
    <w:p w:rsidR="001C7BF9" w:rsidRPr="00C9680B" w:rsidRDefault="001C7BF9">
      <w:pPr>
        <w:pStyle w:val="R4"/>
        <w:outlineLvl w:val="0"/>
      </w:pPr>
      <w:r w:rsidRPr="00C9680B">
        <w:t xml:space="preserve">Kristdemokraterna </w:t>
      </w:r>
    </w:p>
    <w:p w:rsidR="001C7BF9" w:rsidRPr="00C9680B" w:rsidRDefault="001C7BF9">
      <w:r w:rsidRPr="00C9680B">
        <w:t>I motion Fi209 yrkandena 6 och 7 föreslås – jämfört med regeringens förslag – en minskning av utgiftsramen för budgetåret 2001 med 845 miljoner kronor och för budgetåren 2002 och 2003 ökningar med 846 miljoner kronor respe</w:t>
      </w:r>
      <w:r w:rsidRPr="00C9680B">
        <w:t>k</w:t>
      </w:r>
      <w:r w:rsidRPr="00C9680B">
        <w:t xml:space="preserve">tive 746 miljoner kronor. </w:t>
      </w:r>
    </w:p>
    <w:p w:rsidR="001C7BF9" w:rsidRPr="00C9680B" w:rsidRDefault="001C7BF9">
      <w:pPr>
        <w:pStyle w:val="Normaltindrag"/>
      </w:pPr>
      <w:r w:rsidRPr="00C9680B">
        <w:t>Motionärerna anser att ersättningen inom föräldraförsäkringen skall berä</w:t>
      </w:r>
      <w:r w:rsidRPr="00C9680B">
        <w:t>k</w:t>
      </w:r>
      <w:r w:rsidRPr="00C9680B">
        <w:t xml:space="preserve">nas på de senaste två årens inkomster inklusive skattepliktiga förmåner och semesterersättning. Vidare bör garantinivån i föräldraförsäkringen höjas till 150 kr per dag fr.o.m. 2001. </w:t>
      </w:r>
    </w:p>
    <w:p w:rsidR="001C7BF9" w:rsidRPr="00C9680B" w:rsidRDefault="001C7BF9">
      <w:pPr>
        <w:pStyle w:val="Normaltindrag"/>
      </w:pPr>
      <w:r w:rsidRPr="00C9680B">
        <w:t>Barnbidraget bör höjas till 925 kr per barn och månad fr.o.m. 2001 samt</w:t>
      </w:r>
      <w:r w:rsidRPr="00C9680B">
        <w:t>i</w:t>
      </w:r>
      <w:r w:rsidRPr="00C9680B">
        <w:t>digt som medel överförs till förbättringar av bostadsbidraget inom utgiftso</w:t>
      </w:r>
      <w:r w:rsidRPr="00C9680B">
        <w:t>m</w:t>
      </w:r>
      <w:r w:rsidRPr="00C9680B">
        <w:t>råde 18. Flerbarnstillägget behålls enligt nuvarande modell. I stället för for</w:t>
      </w:r>
      <w:r w:rsidRPr="00C9680B">
        <w:t>t</w:t>
      </w:r>
      <w:r w:rsidRPr="00C9680B">
        <w:t>satta barnbidragshöjningar föreslår motionärerna att en statlig skattereduktion införs för varje barn upp till 16 år. Reduktionen föreslås uppgå till 25 kr per barn och månad 2001 för att höjas till 100 kr 2002 och till 150 kr 2003.</w:t>
      </w:r>
    </w:p>
    <w:p w:rsidR="001C7BF9" w:rsidRPr="00C9680B" w:rsidRDefault="001C7BF9">
      <w:pPr>
        <w:pStyle w:val="Normaltindrag"/>
      </w:pPr>
      <w:r w:rsidRPr="00C9680B">
        <w:t>Motionärerna föreslår också att vårdbidrag utges till biståndsarbetare med funktionshindrade barn och anslår 500 000 kr per</w:t>
      </w:r>
      <w:r w:rsidRPr="00C9680B">
        <w:t xml:space="preserve"> år för detta änd</w:t>
      </w:r>
      <w:r w:rsidRPr="00C9680B">
        <w:t>a</w:t>
      </w:r>
      <w:r w:rsidRPr="00C9680B">
        <w:t xml:space="preserve">mål. </w:t>
      </w:r>
    </w:p>
    <w:p w:rsidR="001C7BF9" w:rsidRPr="00C9680B" w:rsidRDefault="001C7BF9">
      <w:pPr>
        <w:pStyle w:val="Normaltindrag"/>
      </w:pPr>
      <w:r w:rsidRPr="00C9680B">
        <w:t>De anser dessutom att ett barnomsorgskonto skall införas fr.o.m. 2002 på 40 000 kr för barn som fyllt ett år. Samtidigt föreslås att en avdragsrätt införs för styrkta barnomsorgskostnader på högst 50 000 kr per år samt att de 90 garantidagarna i föräldraförsäkringen slopas. Motionärerna motsätter sig även den extramånad i föräldraförsäkringen som regeringen avser att föreslå i en proposition under hö</w:t>
      </w:r>
      <w:r w:rsidRPr="00C9680B">
        <w:t>s</w:t>
      </w:r>
      <w:r w:rsidRPr="00C9680B">
        <w:t>ten.</w:t>
      </w:r>
    </w:p>
    <w:p w:rsidR="001C7BF9" w:rsidRPr="00C9680B" w:rsidRDefault="001C7BF9">
      <w:pPr>
        <w:pStyle w:val="R4"/>
        <w:outlineLvl w:val="0"/>
      </w:pPr>
      <w:r w:rsidRPr="00C9680B">
        <w:t xml:space="preserve">Centerpartiet </w:t>
      </w:r>
    </w:p>
    <w:p w:rsidR="001C7BF9" w:rsidRPr="00C9680B" w:rsidRDefault="001C7BF9">
      <w:r w:rsidRPr="00C9680B">
        <w:t>I motion Fi210 yrkandena 4 och 5 föreslås – i förhållande till regeringens förslag – en ökning av utgiftsramen för budgetåret 2001 med 570 miljoner kronor och för budgetåren 2002 och 2003 med 3 050 respektive 3 040 milj</w:t>
      </w:r>
      <w:r w:rsidRPr="00C9680B">
        <w:t>o</w:t>
      </w:r>
      <w:r w:rsidRPr="00C9680B">
        <w:t>ner kronor.</w:t>
      </w:r>
    </w:p>
    <w:p w:rsidR="001C7BF9" w:rsidRPr="00C9680B" w:rsidRDefault="001C7BF9">
      <w:pPr>
        <w:pStyle w:val="Normaltindrag"/>
      </w:pPr>
      <w:r w:rsidRPr="00C9680B">
        <w:t>Motionärerna föreslår att garantinivån i föräldraförsäkringen höjs till 200 kr per dag och att ersättningarna i föräldraförsäkringen beräknas på ett g</w:t>
      </w:r>
      <w:r w:rsidRPr="00C9680B">
        <w:t>e</w:t>
      </w:r>
      <w:r w:rsidRPr="00C9680B">
        <w:t xml:space="preserve">nomsnitt av de två senaste årens inkomst. </w:t>
      </w:r>
    </w:p>
    <w:p w:rsidR="001C7BF9" w:rsidRPr="00C9680B" w:rsidRDefault="001C7BF9">
      <w:pPr>
        <w:pStyle w:val="Normaltindrag"/>
      </w:pPr>
      <w:r w:rsidRPr="00C9680B">
        <w:t>Motionärerna förordar vidare att ett barnomsorgskonto införs fr.o.m. 2002 på 40 000 kr att användas under barnens förskoleår. Samtidigt bör en avdrag</w:t>
      </w:r>
      <w:r w:rsidRPr="00C9680B">
        <w:t>s</w:t>
      </w:r>
      <w:r w:rsidRPr="00C9680B">
        <w:t xml:space="preserve">rätt för styrkta barnomsorgskostnader införas på högst 50 000 kr samt avdrag medges för resor till och från barnomsorg vid beskattningen. </w:t>
      </w:r>
    </w:p>
    <w:p w:rsidR="001C7BF9" w:rsidRPr="00C9680B" w:rsidRDefault="001C7BF9">
      <w:pPr>
        <w:pStyle w:val="Normaltindrag"/>
      </w:pPr>
      <w:r w:rsidRPr="00C9680B">
        <w:t>De avvisar slutligen att en extra månad införs i föräldr</w:t>
      </w:r>
      <w:r w:rsidRPr="00C9680B">
        <w:t>a</w:t>
      </w:r>
      <w:r w:rsidRPr="00C9680B">
        <w:t xml:space="preserve">försäkringen.      </w:t>
      </w:r>
    </w:p>
    <w:p w:rsidR="001C7BF9" w:rsidRPr="00C9680B" w:rsidRDefault="001C7BF9">
      <w:pPr>
        <w:pStyle w:val="R4"/>
        <w:outlineLvl w:val="0"/>
      </w:pPr>
      <w:r w:rsidRPr="00C9680B">
        <w:t xml:space="preserve">Folkpartiet </w:t>
      </w:r>
    </w:p>
    <w:p w:rsidR="001C7BF9" w:rsidRPr="00C9680B" w:rsidRDefault="001C7BF9">
      <w:r w:rsidRPr="00C9680B">
        <w:t>I motion Fi211 yrkandena 6 och 8 föreslås – i förhållande till regeringens förslag – en minskning av utgiftsramen för budgetåret 2001 med 2 300 milj</w:t>
      </w:r>
      <w:r w:rsidRPr="00C9680B">
        <w:t>o</w:t>
      </w:r>
      <w:r w:rsidRPr="00C9680B">
        <w:t>ner kronor och en ökning budgetåren 2002 och 2003 med 75 miljoner kronor respektive 50 miljoner kronor.</w:t>
      </w:r>
    </w:p>
    <w:p w:rsidR="001C7BF9" w:rsidRPr="00C9680B" w:rsidRDefault="001C7BF9">
      <w:pPr>
        <w:pStyle w:val="Normaltindrag"/>
      </w:pPr>
      <w:r w:rsidRPr="00C9680B">
        <w:t>Motionärerna föreslår att ersättningsnivån för de s.k. mamma- och pappamånaderna höjs till 90 % av den sjukpenninggrundande inkomsten. De anser vidare att garantinivån i föräldraförsäkringen skall höjas till 150 kr per dag och att vissa besparingar kan göras genom att dels slopa de dagar i föräl</w:t>
      </w:r>
      <w:r w:rsidRPr="00C9680B">
        <w:t>d</w:t>
      </w:r>
      <w:r w:rsidRPr="00C9680B">
        <w:t>raförsäkringen som ersätts enbart på garantinivå, dels vidta åtgärder mot överutnyt</w:t>
      </w:r>
      <w:r w:rsidRPr="00C9680B">
        <w:t>t</w:t>
      </w:r>
      <w:r w:rsidRPr="00C9680B">
        <w:t xml:space="preserve">jande av försäkringen. </w:t>
      </w:r>
    </w:p>
    <w:p w:rsidR="001C7BF9" w:rsidRPr="00C9680B" w:rsidRDefault="001C7BF9">
      <w:pPr>
        <w:pStyle w:val="Normaltindrag"/>
      </w:pPr>
      <w:r w:rsidRPr="00C9680B">
        <w:t>Även inom underhållsstödet kan enligt motionärerna utgifterna hållas til</w:t>
      </w:r>
      <w:r w:rsidRPr="00C9680B">
        <w:t>l</w:t>
      </w:r>
      <w:r w:rsidRPr="00C9680B">
        <w:t>baka genom att markera det gemensamma fö</w:t>
      </w:r>
      <w:r w:rsidRPr="00C9680B">
        <w:t>r</w:t>
      </w:r>
      <w:r w:rsidRPr="00C9680B">
        <w:t xml:space="preserve">äldraansvaret. </w:t>
      </w:r>
    </w:p>
    <w:p w:rsidR="001C7BF9" w:rsidRPr="00C9680B" w:rsidRDefault="001C7BF9">
      <w:pPr>
        <w:pStyle w:val="Normaltindrag"/>
      </w:pPr>
      <w:r w:rsidRPr="00C9680B">
        <w:t>Vidare föreslås en växling av en del av det inkomstprövade bostadsbidr</w:t>
      </w:r>
      <w:r w:rsidRPr="00C9680B">
        <w:t>a</w:t>
      </w:r>
      <w:r w:rsidRPr="00C9680B">
        <w:t xml:space="preserve">get mot ett generellt barnstöd i form av sänkt skatt. Barnstödet skall i övrigt motsvaras av den av regeringen föreslagna barnbidragshöjningen samt utökas med 500 kr per barn och år. </w:t>
      </w:r>
    </w:p>
    <w:p w:rsidR="001C7BF9" w:rsidRPr="00C9680B" w:rsidRDefault="001C7BF9">
      <w:pPr>
        <w:pStyle w:val="Normaltindrag"/>
      </w:pPr>
      <w:r w:rsidRPr="00C9680B">
        <w:t xml:space="preserve">Motionärerna föreslår att ett barnomsorgskonto på 40 000 kr införs fr.o.m. 2002 för användning under barnets förskoletid liksom att avdrag medges för styrkta barnomsorgskostnader på högst 50 000 kr per barn och år.  </w:t>
      </w:r>
    </w:p>
    <w:p w:rsidR="001C7BF9" w:rsidRPr="00C9680B" w:rsidRDefault="001C7BF9">
      <w:pPr>
        <w:pStyle w:val="Normaltindrag"/>
      </w:pPr>
      <w:r w:rsidRPr="00C9680B">
        <w:t xml:space="preserve">Slutligen avvisar de en utbyggnad av föräldraförsäkringen.  </w:t>
      </w:r>
    </w:p>
    <w:p w:rsidR="001C7BF9" w:rsidRPr="00C9680B" w:rsidRDefault="001C7BF9">
      <w:pPr>
        <w:pStyle w:val="R3"/>
        <w:outlineLvl w:val="0"/>
      </w:pPr>
      <w:r w:rsidRPr="00C9680B">
        <w:t xml:space="preserve">Utskottets bedömning </w:t>
      </w:r>
    </w:p>
    <w:p w:rsidR="001C7BF9" w:rsidRPr="00C9680B" w:rsidRDefault="001C7BF9">
      <w:r w:rsidRPr="00C9680B">
        <w:t xml:space="preserve">Utskottet har att ta ställning till såväl förslag till utgiftsram för budgetåret 2001 som förslag till preliminär fördelning av utgifterna för budgetåren 2002 och 2003. Förslagen redovisas i tabellen nedan. Beloppen anges i miljoner kronor. </w:t>
      </w:r>
    </w:p>
    <w:p w:rsidR="001C7BF9" w:rsidRPr="00C9680B" w:rsidRDefault="001C7BF9">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233"/>
        <w:gridCol w:w="1006"/>
        <w:gridCol w:w="1006"/>
        <w:gridCol w:w="1006"/>
        <w:gridCol w:w="1006"/>
      </w:tblGrid>
      <w:tr w:rsidR="00000000" w:rsidRPr="00C9680B">
        <w:tblPrEx>
          <w:tblCellMar>
            <w:top w:w="0" w:type="dxa"/>
            <w:bottom w:w="0" w:type="dxa"/>
          </w:tblCellMar>
        </w:tblPrEx>
        <w:tc>
          <w:tcPr>
            <w:tcW w:w="779" w:type="dxa"/>
          </w:tcPr>
          <w:p w:rsidR="001C7BF9" w:rsidRPr="00C9680B" w:rsidRDefault="001C7BF9">
            <w:pPr>
              <w:pStyle w:val="Normaltindrag"/>
              <w:ind w:firstLine="0"/>
            </w:pPr>
            <w:r w:rsidRPr="00C9680B">
              <w:t>År</w:t>
            </w:r>
          </w:p>
        </w:tc>
        <w:tc>
          <w:tcPr>
            <w:tcW w:w="1233" w:type="dxa"/>
          </w:tcPr>
          <w:p w:rsidR="001C7BF9" w:rsidRPr="00C9680B" w:rsidRDefault="001C7BF9">
            <w:pPr>
              <w:pStyle w:val="Normaltindrag"/>
              <w:ind w:firstLine="0"/>
              <w:jc w:val="center"/>
            </w:pPr>
            <w:r w:rsidRPr="00C9680B">
              <w:t>Regeringen</w:t>
            </w:r>
          </w:p>
        </w:tc>
        <w:tc>
          <w:tcPr>
            <w:tcW w:w="1006" w:type="dxa"/>
          </w:tcPr>
          <w:p w:rsidR="001C7BF9" w:rsidRPr="00C9680B" w:rsidRDefault="001C7BF9">
            <w:pPr>
              <w:pStyle w:val="Normaltindrag"/>
              <w:ind w:firstLine="0"/>
              <w:jc w:val="center"/>
            </w:pPr>
            <w:r w:rsidRPr="00C9680B">
              <w:t>m</w:t>
            </w:r>
          </w:p>
        </w:tc>
        <w:tc>
          <w:tcPr>
            <w:tcW w:w="1006" w:type="dxa"/>
          </w:tcPr>
          <w:p w:rsidR="001C7BF9" w:rsidRPr="00C9680B" w:rsidRDefault="001C7BF9">
            <w:pPr>
              <w:pStyle w:val="Normaltindrag"/>
              <w:ind w:firstLine="0"/>
              <w:jc w:val="center"/>
            </w:pPr>
            <w:r w:rsidRPr="00C9680B">
              <w:t>kd</w:t>
            </w:r>
          </w:p>
        </w:tc>
        <w:tc>
          <w:tcPr>
            <w:tcW w:w="1006" w:type="dxa"/>
          </w:tcPr>
          <w:p w:rsidR="001C7BF9" w:rsidRPr="00C9680B" w:rsidRDefault="001C7BF9">
            <w:pPr>
              <w:pStyle w:val="Normaltindrag"/>
              <w:ind w:firstLine="0"/>
              <w:jc w:val="center"/>
            </w:pPr>
            <w:r w:rsidRPr="00C9680B">
              <w:t>c</w:t>
            </w:r>
          </w:p>
        </w:tc>
        <w:tc>
          <w:tcPr>
            <w:tcW w:w="1006" w:type="dxa"/>
          </w:tcPr>
          <w:p w:rsidR="001C7BF9" w:rsidRPr="00C9680B" w:rsidRDefault="001C7BF9">
            <w:pPr>
              <w:pStyle w:val="Normaltindrag"/>
              <w:ind w:firstLine="0"/>
              <w:jc w:val="center"/>
            </w:pPr>
            <w:r w:rsidRPr="00C9680B">
              <w:t>fp</w:t>
            </w:r>
          </w:p>
        </w:tc>
      </w:tr>
      <w:tr w:rsidR="00000000" w:rsidRPr="00C9680B">
        <w:tblPrEx>
          <w:tblCellMar>
            <w:top w:w="0" w:type="dxa"/>
            <w:bottom w:w="0" w:type="dxa"/>
          </w:tblCellMar>
        </w:tblPrEx>
        <w:tc>
          <w:tcPr>
            <w:tcW w:w="779" w:type="dxa"/>
          </w:tcPr>
          <w:p w:rsidR="001C7BF9" w:rsidRPr="00C9680B" w:rsidRDefault="001C7BF9">
            <w:pPr>
              <w:pStyle w:val="Normaltindrag"/>
              <w:ind w:firstLine="0"/>
            </w:pPr>
            <w:r w:rsidRPr="00C9680B">
              <w:t>2001</w:t>
            </w:r>
          </w:p>
          <w:p w:rsidR="001C7BF9" w:rsidRPr="00C9680B" w:rsidRDefault="001C7BF9">
            <w:pPr>
              <w:pStyle w:val="Normaltindrag"/>
              <w:ind w:firstLine="0"/>
            </w:pPr>
            <w:r w:rsidRPr="00C9680B">
              <w:t>2002</w:t>
            </w:r>
          </w:p>
          <w:p w:rsidR="001C7BF9" w:rsidRPr="00C9680B" w:rsidRDefault="001C7BF9">
            <w:pPr>
              <w:pStyle w:val="Normaltindrag"/>
              <w:ind w:firstLine="0"/>
            </w:pPr>
            <w:r w:rsidRPr="00C9680B">
              <w:t>2003</w:t>
            </w:r>
          </w:p>
        </w:tc>
        <w:tc>
          <w:tcPr>
            <w:tcW w:w="1233" w:type="dxa"/>
          </w:tcPr>
          <w:p w:rsidR="001C7BF9" w:rsidRPr="00C9680B" w:rsidRDefault="001C7BF9">
            <w:pPr>
              <w:pStyle w:val="Normaltindrag"/>
              <w:ind w:right="170" w:firstLine="0"/>
              <w:jc w:val="right"/>
            </w:pPr>
            <w:r w:rsidRPr="00C9680B">
              <w:t>47 747</w:t>
            </w:r>
          </w:p>
          <w:p w:rsidR="001C7BF9" w:rsidRPr="00C9680B" w:rsidRDefault="001C7BF9">
            <w:pPr>
              <w:pStyle w:val="Normaltindrag"/>
              <w:ind w:right="170" w:firstLine="0"/>
              <w:jc w:val="right"/>
            </w:pPr>
            <w:r w:rsidRPr="00C9680B">
              <w:t>48 930</w:t>
            </w:r>
          </w:p>
          <w:p w:rsidR="001C7BF9" w:rsidRPr="00C9680B" w:rsidRDefault="001C7BF9">
            <w:pPr>
              <w:pStyle w:val="Normaltindrag"/>
              <w:ind w:right="170" w:firstLine="0"/>
              <w:jc w:val="right"/>
            </w:pPr>
            <w:r w:rsidRPr="00C9680B">
              <w:t>50 756</w:t>
            </w:r>
          </w:p>
        </w:tc>
        <w:tc>
          <w:tcPr>
            <w:tcW w:w="1006" w:type="dxa"/>
          </w:tcPr>
          <w:p w:rsidR="001C7BF9" w:rsidRPr="00C9680B" w:rsidRDefault="001C7BF9">
            <w:pPr>
              <w:pStyle w:val="Normaltindrag"/>
              <w:ind w:right="170" w:firstLine="0"/>
              <w:jc w:val="right"/>
            </w:pPr>
            <w:r w:rsidRPr="00C9680B">
              <w:t>– 3 626</w:t>
            </w:r>
          </w:p>
          <w:p w:rsidR="001C7BF9" w:rsidRPr="00C9680B" w:rsidRDefault="001C7BF9">
            <w:pPr>
              <w:pStyle w:val="Normaltindrag"/>
              <w:ind w:right="170" w:firstLine="0"/>
              <w:jc w:val="right"/>
            </w:pPr>
            <w:r w:rsidRPr="00C9680B">
              <w:t>– 1 596</w:t>
            </w:r>
          </w:p>
          <w:p w:rsidR="001C7BF9" w:rsidRPr="00C9680B" w:rsidRDefault="001C7BF9">
            <w:pPr>
              <w:pStyle w:val="Normaltindrag"/>
              <w:ind w:right="170" w:firstLine="0"/>
              <w:jc w:val="right"/>
            </w:pPr>
            <w:r w:rsidRPr="00C9680B">
              <w:t>– 1 776</w:t>
            </w:r>
          </w:p>
        </w:tc>
        <w:tc>
          <w:tcPr>
            <w:tcW w:w="1006" w:type="dxa"/>
          </w:tcPr>
          <w:p w:rsidR="001C7BF9" w:rsidRPr="00C9680B" w:rsidRDefault="001C7BF9">
            <w:pPr>
              <w:pStyle w:val="Normaltindrag"/>
              <w:ind w:right="170" w:firstLine="0"/>
              <w:jc w:val="right"/>
            </w:pPr>
            <w:r w:rsidRPr="00C9680B">
              <w:t>– 845</w:t>
            </w:r>
          </w:p>
          <w:p w:rsidR="001C7BF9" w:rsidRPr="00C9680B" w:rsidRDefault="001C7BF9">
            <w:pPr>
              <w:pStyle w:val="Normaltindrag"/>
              <w:ind w:right="170" w:firstLine="0"/>
              <w:jc w:val="right"/>
            </w:pPr>
            <w:r w:rsidRPr="00C9680B">
              <w:t>+ 846</w:t>
            </w:r>
          </w:p>
          <w:p w:rsidR="001C7BF9" w:rsidRPr="00C9680B" w:rsidRDefault="001C7BF9">
            <w:pPr>
              <w:pStyle w:val="Normaltindrag"/>
              <w:ind w:right="170" w:firstLine="0"/>
              <w:jc w:val="right"/>
            </w:pPr>
            <w:r w:rsidRPr="00C9680B">
              <w:t>+ 746</w:t>
            </w:r>
          </w:p>
        </w:tc>
        <w:tc>
          <w:tcPr>
            <w:tcW w:w="1006" w:type="dxa"/>
          </w:tcPr>
          <w:p w:rsidR="001C7BF9" w:rsidRPr="00C9680B" w:rsidRDefault="001C7BF9">
            <w:pPr>
              <w:pStyle w:val="Normaltindrag"/>
              <w:ind w:right="170" w:firstLine="0"/>
              <w:jc w:val="right"/>
            </w:pPr>
            <w:r w:rsidRPr="00C9680B">
              <w:t>+ 570</w:t>
            </w:r>
          </w:p>
          <w:p w:rsidR="001C7BF9" w:rsidRPr="00C9680B" w:rsidRDefault="001C7BF9">
            <w:pPr>
              <w:pStyle w:val="Normaltindrag"/>
              <w:ind w:right="170" w:firstLine="0"/>
              <w:jc w:val="right"/>
            </w:pPr>
            <w:r w:rsidRPr="00C9680B">
              <w:t>+ 3 050</w:t>
            </w:r>
          </w:p>
          <w:p w:rsidR="001C7BF9" w:rsidRPr="00C9680B" w:rsidRDefault="001C7BF9">
            <w:pPr>
              <w:pStyle w:val="Normaltindrag"/>
              <w:ind w:right="170" w:firstLine="0"/>
              <w:jc w:val="right"/>
            </w:pPr>
            <w:r w:rsidRPr="00C9680B">
              <w:t>+ 3 040</w:t>
            </w:r>
          </w:p>
        </w:tc>
        <w:tc>
          <w:tcPr>
            <w:tcW w:w="1006" w:type="dxa"/>
          </w:tcPr>
          <w:p w:rsidR="001C7BF9" w:rsidRPr="00C9680B" w:rsidRDefault="001C7BF9">
            <w:pPr>
              <w:pStyle w:val="Normaltindrag"/>
              <w:ind w:right="170" w:firstLine="0"/>
              <w:jc w:val="right"/>
            </w:pPr>
            <w:r w:rsidRPr="00C9680B">
              <w:t>– 2 300</w:t>
            </w:r>
          </w:p>
          <w:p w:rsidR="001C7BF9" w:rsidRPr="00C9680B" w:rsidRDefault="001C7BF9">
            <w:pPr>
              <w:pStyle w:val="Normaltindrag"/>
              <w:ind w:right="170" w:firstLine="0"/>
              <w:jc w:val="right"/>
            </w:pPr>
            <w:r w:rsidRPr="00C9680B">
              <w:t>+ 75</w:t>
            </w:r>
          </w:p>
          <w:p w:rsidR="001C7BF9" w:rsidRPr="00C9680B" w:rsidRDefault="001C7BF9">
            <w:pPr>
              <w:pStyle w:val="Normaltindrag"/>
              <w:ind w:right="170" w:firstLine="0"/>
              <w:jc w:val="right"/>
            </w:pPr>
            <w:r w:rsidRPr="00C9680B">
              <w:t>+ 50</w:t>
            </w:r>
          </w:p>
        </w:tc>
      </w:tr>
    </w:tbl>
    <w:p w:rsidR="001C7BF9" w:rsidRPr="00C9680B" w:rsidRDefault="001C7BF9">
      <w:pPr>
        <w:pStyle w:val="Normaltindrag"/>
      </w:pPr>
    </w:p>
    <w:p w:rsidR="001C7BF9" w:rsidRPr="00C9680B" w:rsidRDefault="001C7BF9">
      <w:r w:rsidRPr="00C9680B">
        <w:t>Regeringen har föreslagit att målet för politikområdet Ekonomisk familjep</w:t>
      </w:r>
      <w:r w:rsidRPr="00C9680B">
        <w:t>o</w:t>
      </w:r>
      <w:r w:rsidRPr="00C9680B">
        <w:t>litik skall vara att minska skillnaderna i de ekonomiska villkoren mellan familjer med och utan barn. Anslag 21:1 Bostadsbidrag ingår, som redan nämnts, i politikområdet men hör annars till utgiftsområde 18. Målet för bostadsbidragen är att ge ekonomiskt svaga hushåll möjlighet att hålla sig med goda och tillräckligt rymliga bostäder. Utskottet kommer i samband med behandlingen av de olika anslagen inom utgiftsområde 12 att ta ställning till det föreslagna målet för politikområdet men vill redan nu peka på</w:t>
      </w:r>
      <w:r w:rsidRPr="00C9680B">
        <w:t xml:space="preserve"> skillnaden i framför allt målgrupp vad gäller målet för politikområdet respektive för b</w:t>
      </w:r>
      <w:r w:rsidRPr="00C9680B">
        <w:t>o</w:t>
      </w:r>
      <w:r w:rsidRPr="00C9680B">
        <w:t xml:space="preserve">stadsbidragen. </w:t>
      </w:r>
    </w:p>
    <w:p w:rsidR="001C7BF9" w:rsidRPr="00C9680B" w:rsidRDefault="001C7BF9">
      <w:pPr>
        <w:pStyle w:val="Normaltindrag"/>
      </w:pPr>
      <w:r w:rsidRPr="00C9680B">
        <w:t>Den ekonomiska krisen och besparingarna under 1990-talet har drabbat barnfamiljerna förhållandevis hårt. Många familjer har fått vidkännas ekon</w:t>
      </w:r>
      <w:r w:rsidRPr="00C9680B">
        <w:t>o</w:t>
      </w:r>
      <w:r w:rsidRPr="00C9680B">
        <w:t>miska försämringar bl.a. till följd av arbetslöshet och minskade inkomster. De senaste årens ekonomiska återhämtning har emellertid gynnat barnfamiljerna. En viss förbättring inträffade redan 1996, och utvecklingen tyder enligt reg</w:t>
      </w:r>
      <w:r w:rsidRPr="00C9680B">
        <w:t>e</w:t>
      </w:r>
      <w:r w:rsidRPr="00C9680B">
        <w:t>rin</w:t>
      </w:r>
      <w:r w:rsidRPr="00C9680B">
        <w:t>g</w:t>
      </w:r>
      <w:r w:rsidRPr="00C9680B">
        <w:t xml:space="preserve">en på att förbättringen fortsätter. </w:t>
      </w:r>
    </w:p>
    <w:p w:rsidR="001C7BF9" w:rsidRPr="00C9680B" w:rsidRDefault="001C7BF9">
      <w:pPr>
        <w:pStyle w:val="Normaltindrag"/>
      </w:pPr>
      <w:r w:rsidRPr="00C9680B">
        <w:t>I syfte att ytterligare förbättra barnfamiljernas ekonomiska situation höjdes barnbidraget fr.o.m. den 1 januari i år med 100 kr per barn och månad. Även flerbarnstillägget höjdes i motsvarande mån. I samband med att regeringen föreslog d</w:t>
      </w:r>
      <w:r w:rsidRPr="00C9680B">
        <w:t>enna höjning (prop. 1999/2000:1) förklarade den sin avsikt att återkomma med förslag om en lika stor höjning fr.o.m. 2001, dock under förutsättning att statens finanser medgav det. Regeringen har nu återkommit med förslag om höjning av barnbidraget med 100 kr per barn och månad fr.o.m. den 1 januari 2001. Samtidigt föreslås en höjning av flerbarnstillä</w:t>
      </w:r>
      <w:r w:rsidRPr="00C9680B">
        <w:t>g</w:t>
      </w:r>
      <w:r w:rsidRPr="00C9680B">
        <w:t>get.</w:t>
      </w:r>
    </w:p>
    <w:p w:rsidR="001C7BF9" w:rsidRPr="00C9680B" w:rsidRDefault="001C7BF9">
      <w:pPr>
        <w:pStyle w:val="Normaltindrag"/>
      </w:pPr>
      <w:r w:rsidRPr="00C9680B">
        <w:t>Regeringens förslag om ytterligare en höjning av barnbidraget och fle</w:t>
      </w:r>
      <w:r w:rsidRPr="00C9680B">
        <w:t>r</w:t>
      </w:r>
      <w:r w:rsidRPr="00C9680B">
        <w:t>barnstillägget fr.o.m. nästa år innebär enligt utskottets mening att barnfami</w:t>
      </w:r>
      <w:r w:rsidRPr="00C9680B">
        <w:t>l</w:t>
      </w:r>
      <w:r w:rsidRPr="00C9680B">
        <w:t>jerna får en påtaglig förbättring av sin ekonomi. I förhållande till 2000 års nivå kommer det ekonomiska stödet i form av barnbidrag och flerbarns-tillägg sammantaget att förstärkas med 327 kr per månad för hushåll med tre barn, med 507 kr per månad för hushåll med fyra barn och med 707 kr per månad för hushåll med fem barn. Den nu föreslagna höjningen kan innebära att barnbidraget 2001 når den högsta reala nivån sedan det införd</w:t>
      </w:r>
      <w:r w:rsidRPr="00C9680B">
        <w:t xml:space="preserve">es. </w:t>
      </w:r>
    </w:p>
    <w:p w:rsidR="001C7BF9" w:rsidRPr="00C9680B" w:rsidRDefault="001C7BF9">
      <w:pPr>
        <w:pStyle w:val="Normaltindrag"/>
      </w:pPr>
      <w:r w:rsidRPr="00C9680B">
        <w:t>Utskottet välkomnar den nu föreslagna höjningen och anser att den kan få betydelse också för barnafödandet. Enligt vad som anges i propositionen har fruktsamheten under 1997–1999 legat på ca 1,5 barn per kvinna, vilket är den lägsta nivå som någonsin uppmätts i Sverige. Under de första fem månaderna under 2000 har antalet födda barn fortsatt att ligga kvar på ungefär samma nivå som under 1999. Av SCB:s senaste statistik, som sträcker sig t.o.m. augusti 2000, framgår att en mindre ökning (1,5 %) har ske</w:t>
      </w:r>
      <w:r w:rsidRPr="00C9680B">
        <w:t xml:space="preserve">tt av antalet födda barn jämfört med motsvarande period 1999. </w:t>
      </w:r>
    </w:p>
    <w:p w:rsidR="001C7BF9" w:rsidRPr="00C9680B" w:rsidRDefault="001C7BF9">
      <w:pPr>
        <w:pStyle w:val="Normaltindrag"/>
      </w:pPr>
      <w:r w:rsidRPr="00C9680B">
        <w:t>Också föräldraförsäkringens utformning och ersättningsnivå torde ha bet</w:t>
      </w:r>
      <w:r w:rsidRPr="00C9680B">
        <w:t>y</w:t>
      </w:r>
      <w:r w:rsidRPr="00C9680B">
        <w:t>delse för födelsetalet eftersom försäkringen ger kvinnor och män möjlighet att förena förvärvsarbete med föräldraskap. Den höjning av föräldraförsäkringens nivå från 75 % till 80 % av den sjukpenninggrundande inkomsten som skedde den 1 januari 1998 var därför betydelsefull. Utskottet ser också positivt på att regeringen i budgetpropositionen har aviserat ytterligare förbättringar av föräldraförsäkringen. I en proposition under hösten avser regeringen att för</w:t>
      </w:r>
      <w:r w:rsidRPr="00C9680B">
        <w:t>e</w:t>
      </w:r>
      <w:r w:rsidRPr="00C9680B">
        <w:t>slå att de s.k. kontaktdagarna återinförs och at</w:t>
      </w:r>
      <w:r w:rsidRPr="00C9680B">
        <w:t>t föräldraförsäkringen förlängs med en månad. Inom ramen för en sådan förlängning skall sammanlagt 60 dagar reserveras för mamman respektive pappan. Utskottet noterar att också frågan om att införa en rätt för ensamstående mammor att överföra de tio s.k. pappadagarna till någon annan än pappan för närvarande bereds inom Reg</w:t>
      </w:r>
      <w:r w:rsidRPr="00C9680B">
        <w:t>e</w:t>
      </w:r>
      <w:r w:rsidRPr="00C9680B">
        <w:t xml:space="preserve">ringskansliet. Nu nämnda förändringar i föräldraförsäkringen i kombination med de föreslagna höjningarna av barnbidraget och flerbarnstillägget fr.o.m. 2001 får ses som ännu ett steg på </w:t>
      </w:r>
      <w:r w:rsidRPr="00C9680B">
        <w:t>vägen att få till stånd ett ökat barnafödande. Införandet av ytterligare en mamma- och pappamånad är också betydelsefullt ur ett jämställdhetsperspektiv. Därtill kommer det i proposition 1999/2000:129 framlagda förslaget om ett system med maxtaxa. Som utsko</w:t>
      </w:r>
      <w:r w:rsidRPr="00C9680B">
        <w:t>t</w:t>
      </w:r>
      <w:r w:rsidRPr="00C9680B">
        <w:t>tet framhöll i sitt yttrande till utbildningsutskottet (2000/01:SfU2y) kommer maxtaxereformen – fullt genomförd fr.o.m. 2004 – att utgöra ett viktigt ko</w:t>
      </w:r>
      <w:r w:rsidRPr="00C9680B">
        <w:t>m</w:t>
      </w:r>
      <w:r w:rsidRPr="00C9680B">
        <w:t>plement till nuvarande delar i familjepolitiken. Något skäl att i stället införa ett system med barno</w:t>
      </w:r>
      <w:r w:rsidRPr="00C9680B">
        <w:t xml:space="preserve">msorgskonto kan utskottet inte finna. </w:t>
      </w:r>
    </w:p>
    <w:p w:rsidR="001C7BF9" w:rsidRPr="00C9680B" w:rsidRDefault="001C7BF9">
      <w:pPr>
        <w:pStyle w:val="Normaltindrag"/>
      </w:pPr>
      <w:r w:rsidRPr="00C9680B">
        <w:t>Utskottet vill i sammanhanget understryka att en särskild utredare har fått till uppgift att göra en analys av de ekonomiska familjestöden (dir. 2000:16). De stöd som skall analyseras är i första hand de allmänna barnbidragen, u</w:t>
      </w:r>
      <w:r w:rsidRPr="00C9680B">
        <w:t>n</w:t>
      </w:r>
      <w:r w:rsidRPr="00C9680B">
        <w:t>derhållsstödet och bostadsbidraget till barnfamiljerna. Syftet är att undersöka vilka möjligheter det finns att inom ramen för den generella välfärdspolitiken, och med bibehållen eller ökad fördelningspolitisk träffsäkerhet, på ett mer effektivt sätt stödja barnfamiljerna. Utredaren skall därvid särskilt beakta bl.a. marginaleffekter och deras inverkan på arbetskraftsutbudet. Vidare skall utredaren pröva möjligheter att förändra de familjeekonomiska stöden i en riktning som innebär att stöden blir mer gene</w:t>
      </w:r>
      <w:r w:rsidRPr="00C9680B">
        <w:t>rella så att barnfamiljernas sa</w:t>
      </w:r>
      <w:r w:rsidRPr="00C9680B">
        <w:t>m</w:t>
      </w:r>
      <w:r w:rsidRPr="00C9680B">
        <w:t xml:space="preserve">lade marginaleffekter minskar. En slutlig redovisning av uppdraget skall lämnas senast den 28 februari 2001.  </w:t>
      </w:r>
    </w:p>
    <w:p w:rsidR="001C7BF9" w:rsidRPr="00C9680B" w:rsidRDefault="001C7BF9">
      <w:pPr>
        <w:pStyle w:val="Normaltindrag"/>
      </w:pPr>
      <w:r w:rsidRPr="00C9680B">
        <w:t>Enligt utskottets mening talar mycket för att det finns starka samband mellan ekonomi och barnafödande. Samtidigt kan de senaste årens utveckling på arbetsmarknaden med alltfler tillfälliga arbeten i form av projektanstäl</w:t>
      </w:r>
      <w:r w:rsidRPr="00C9680B">
        <w:t>l</w:t>
      </w:r>
      <w:r w:rsidRPr="00C9680B">
        <w:t>ningar och vikariat ha spelat in med minskade möjligheter att kvalificera sig för föräldraförsäkringen som följd. Osäkerheten om de bakomliggande fakt</w:t>
      </w:r>
      <w:r w:rsidRPr="00C9680B">
        <w:t>o</w:t>
      </w:r>
      <w:r w:rsidRPr="00C9680B">
        <w:t>rerna är dock fortfarande stor. Det finns därför all anledning att närmare u</w:t>
      </w:r>
      <w:r w:rsidRPr="00C9680B">
        <w:t>n</w:t>
      </w:r>
      <w:r w:rsidRPr="00C9680B">
        <w:t>dersöka orsakerna till de låga födelsetalen. Utskottet noterar därför med til</w:t>
      </w:r>
      <w:r w:rsidRPr="00C9680B">
        <w:t>l</w:t>
      </w:r>
      <w:r w:rsidRPr="00C9680B">
        <w:t>fredsställelse att regeringen uppdragit åt SCB att genomföra en enkät med syfte att bredda kunskaperna om attityderna till barnafödande i de mest intre</w:t>
      </w:r>
      <w:r w:rsidRPr="00C9680B">
        <w:t>s</w:t>
      </w:r>
      <w:r w:rsidRPr="00C9680B">
        <w:t>santa åldersgrupperna. Resultatet av uppdraget beräkn</w:t>
      </w:r>
      <w:r w:rsidRPr="00C9680B">
        <w:t>as kunna presenteras i slutet av innevarande år.</w:t>
      </w:r>
    </w:p>
    <w:p w:rsidR="001C7BF9" w:rsidRPr="00C9680B" w:rsidRDefault="001C7BF9">
      <w:pPr>
        <w:pStyle w:val="Normaltindrag"/>
      </w:pPr>
      <w:r w:rsidRPr="00C9680B">
        <w:t>Utskottet noterar vidare att regeringen avser att tillsätta en arbetsgrupp inom Socialdepartementet med uppgift att stödja arbetet med att öka kunsk</w:t>
      </w:r>
      <w:r w:rsidRPr="00C9680B">
        <w:t>a</w:t>
      </w:r>
      <w:r w:rsidRPr="00C9680B">
        <w:t>perna om mekanismerna bakom födelsetalsutvecklingen.</w:t>
      </w:r>
    </w:p>
    <w:p w:rsidR="001C7BF9" w:rsidRPr="00C9680B" w:rsidRDefault="001C7BF9">
      <w:pPr>
        <w:pStyle w:val="Normaltindrag"/>
      </w:pPr>
      <w:r w:rsidRPr="00C9680B">
        <w:t>Med det anförda tillstyrker utskottet regeringens förslag och avstyrker m</w:t>
      </w:r>
      <w:r w:rsidRPr="00C9680B">
        <w:t>o</w:t>
      </w:r>
      <w:r w:rsidRPr="00C9680B">
        <w:t xml:space="preserve">tionerna Fi208 yrkandena 5 och 6, Fi209 yrkandena 6 och 7, Fi210 yrkandena 4 och 5 samt Fi211 yrkandena 6 och 8. </w:t>
      </w:r>
    </w:p>
    <w:p w:rsidR="001C7BF9" w:rsidRPr="00C9680B" w:rsidRDefault="001C7BF9">
      <w:pPr>
        <w:pStyle w:val="R2"/>
        <w:outlineLvl w:val="0"/>
      </w:pPr>
      <w:r w:rsidRPr="00C9680B">
        <w:t xml:space="preserve">Ålderspensionssystemet vid sidan av statsbudgeten </w:t>
      </w:r>
    </w:p>
    <w:p w:rsidR="001C7BF9" w:rsidRPr="00C9680B" w:rsidRDefault="001C7BF9">
      <w:r w:rsidRPr="00C9680B">
        <w:t>Utgifterna för ålderspensionssystemet vid sidan av statsbudgeten omfattar ålderspension i form av ATP och ålderspension i form av folkpension till pensionärer som även uppbär ATP. Från och med budgetåret 2001 redovisas också reformerad tilläggspension, inkomstpension och premiepension. För år 2000 prognostiseras utgifterna för ålderspensionssystemet vid sidan av stat</w:t>
      </w:r>
      <w:r w:rsidRPr="00C9680B">
        <w:t>s</w:t>
      </w:r>
      <w:r w:rsidRPr="00C9680B">
        <w:t>bu</w:t>
      </w:r>
      <w:r w:rsidRPr="00C9680B">
        <w:t>d</w:t>
      </w:r>
      <w:r w:rsidRPr="00C9680B">
        <w:t>geten till 139 949 miljoner kronor.</w:t>
      </w:r>
    </w:p>
    <w:p w:rsidR="001C7BF9" w:rsidRPr="00C9680B" w:rsidRDefault="001C7BF9">
      <w:pPr>
        <w:pStyle w:val="Normaltindrag"/>
      </w:pPr>
      <w:r w:rsidRPr="00C9680B">
        <w:t>Utgifterna för ålderspensionssystemet vid sidan av statsbudgeten beräknas för år 2001 uppgå till 144 579 miljoner kronor, för år 2002 till 150 109 milj</w:t>
      </w:r>
      <w:r w:rsidRPr="00C9680B">
        <w:t>o</w:t>
      </w:r>
      <w:r w:rsidRPr="00C9680B">
        <w:t>ner kronor och för år 2003 till 149 462 miljoner kronor.</w:t>
      </w:r>
    </w:p>
    <w:p w:rsidR="001C7BF9" w:rsidRPr="00C9680B" w:rsidRDefault="001C7BF9">
      <w:pPr>
        <w:pStyle w:val="Normaltindrag"/>
      </w:pPr>
      <w:r w:rsidRPr="00C9680B">
        <w:t>Enligt propositionen ökar utgifterna för varje år dels på grund av prisba</w:t>
      </w:r>
      <w:r w:rsidRPr="00C9680B">
        <w:t>s</w:t>
      </w:r>
      <w:r w:rsidRPr="00C9680B">
        <w:t>beloppets utveckling, dels på grund av att den genomsnittliga ATP-nivån trendmässigt stiger. Det arbete som pågår med att införa det reformerade ålderspensionssystemet påverkar enligt regeringen också i hög grad de pr</w:t>
      </w:r>
      <w:r w:rsidRPr="00C9680B">
        <w:t>o</w:t>
      </w:r>
      <w:r w:rsidRPr="00C9680B">
        <w:t>gnostiserade utgifterna. Bland annat kommer ATP-pensionen fr.o.m. år 2002 att följa inkomstutvecklingen genom följsamhetsindexering i stället för att prisindexeras som hittills. En annan faktor som påverkar utgiftsutvecklingen är inkomstindexet som introducerades i samband med att de reformer</w:t>
      </w:r>
      <w:r w:rsidRPr="00C9680B">
        <w:t>ade intjänandereglerna trädde i kraft år 1999 men som får effekt först fr.o.m. år 2002. Vidare kommer fr.o.m. år 2003 utgifterna för den bosättningsbaserade delen av folkpensionen till pensionärer som också uppbär ATP att föras från Ålderspensionssystemet vid sidan av statsbudgeten till utgiftsområde 11. Denna överföring förklarar den stora skillnaden mellan de beräknade utgifte</w:t>
      </w:r>
      <w:r w:rsidRPr="00C9680B">
        <w:t>r</w:t>
      </w:r>
      <w:r w:rsidRPr="00C9680B">
        <w:t>na för år 2003 i 2000 års ekonomiska vårproposition respektive budgetprop</w:t>
      </w:r>
      <w:r w:rsidRPr="00C9680B">
        <w:t>o</w:t>
      </w:r>
      <w:r w:rsidRPr="00C9680B">
        <w:t>siti</w:t>
      </w:r>
      <w:r w:rsidRPr="00C9680B">
        <w:t>o</w:t>
      </w:r>
      <w:r w:rsidRPr="00C9680B">
        <w:t xml:space="preserve">nen för år 2001.   </w:t>
      </w:r>
    </w:p>
    <w:p w:rsidR="001C7BF9" w:rsidRPr="00C9680B" w:rsidRDefault="001C7BF9">
      <w:pPr>
        <w:pStyle w:val="Normaltindrag"/>
      </w:pPr>
      <w:r w:rsidRPr="00C9680B">
        <w:t>Regeringens beräkningar har int</w:t>
      </w:r>
      <w:r w:rsidRPr="00C9680B">
        <w:t>e föranlett några motionsyrkanden och u</w:t>
      </w:r>
      <w:r w:rsidRPr="00C9680B">
        <w:t>t</w:t>
      </w:r>
      <w:r w:rsidRPr="00C9680B">
        <w:t xml:space="preserve">skottet, som konstaterar att utgifterna för ålderspensionssystemet vid sidan av statsbudgeten ingår i utgiftstaket för staten, har inget att erinra mot dessa beräkningar. </w:t>
      </w:r>
    </w:p>
    <w:p w:rsidR="001C7BF9" w:rsidRPr="00C9680B" w:rsidRDefault="001C7BF9">
      <w:pPr>
        <w:pStyle w:val="R2"/>
        <w:outlineLvl w:val="0"/>
      </w:pPr>
      <w:r w:rsidRPr="00C9680B">
        <w:t>Statsbudgetens inkomster</w:t>
      </w:r>
    </w:p>
    <w:p w:rsidR="001C7BF9" w:rsidRPr="00C9680B" w:rsidRDefault="001C7BF9">
      <w:pPr>
        <w:pStyle w:val="R3"/>
        <w:spacing w:before="123"/>
        <w:outlineLvl w:val="0"/>
      </w:pPr>
      <w:r w:rsidRPr="00C9680B">
        <w:t>Nuvarande regler om socialavgifter</w:t>
      </w:r>
    </w:p>
    <w:p w:rsidR="001C7BF9" w:rsidRPr="00C9680B" w:rsidRDefault="001C7BF9">
      <w:r w:rsidRPr="00C9680B">
        <w:t>Socialförsäkringarna finansieras av allmän pensionsavgift, socialavgifter, statlig ålderspensionsavgift och allmänna skatt</w:t>
      </w:r>
      <w:r w:rsidRPr="00C9680B">
        <w:t>e</w:t>
      </w:r>
      <w:r w:rsidRPr="00C9680B">
        <w:t xml:space="preserve">medel. </w:t>
      </w:r>
    </w:p>
    <w:p w:rsidR="001C7BF9" w:rsidRPr="00C9680B" w:rsidRDefault="001C7BF9">
      <w:pPr>
        <w:pStyle w:val="Normaltindrag"/>
      </w:pPr>
      <w:r w:rsidRPr="00C9680B">
        <w:rPr>
          <w:i/>
        </w:rPr>
        <w:t>Allmän pensionsavgift</w:t>
      </w:r>
      <w:r w:rsidRPr="00C9680B">
        <w:t xml:space="preserve"> tas ut enligt lagen (1994:1744) om allmän pe</w:t>
      </w:r>
      <w:r w:rsidRPr="00C9680B">
        <w:t>n</w:t>
      </w:r>
      <w:r w:rsidRPr="00C9680B">
        <w:t>sionsavgift för finansiering av försäkringen för inkomstpension och tillägg</w:t>
      </w:r>
      <w:r w:rsidRPr="00C9680B">
        <w:t>s</w:t>
      </w:r>
      <w:r w:rsidRPr="00C9680B">
        <w:t>pension enligt lagen (1998:674) om inkomstgrundad ålderspension och tilläggspension i form av ålderspension enligt lagen (1962:381) om allmän försäkring. Avgiften betalas av den enskilde och beräknas på ett underlag som består av inkomst av anställning och inkomst av annat förvärvsarbete till den del summan av inkomsterna inte överstiger 8,07 förhöjda prisbasbelopp enligt lagen om allmän</w:t>
      </w:r>
      <w:r w:rsidRPr="00C9680B">
        <w:t xml:space="preserve"> försäkring. Avgiften utgör för närvarande 7 % av avgiftsu</w:t>
      </w:r>
      <w:r w:rsidRPr="00C9680B">
        <w:t>n</w:t>
      </w:r>
      <w:r w:rsidRPr="00C9680B">
        <w:t>derlaget. Avgiften är till viss del avdragsgill vid taxeringen och till viss del medges skattereduktion. Avgiften betalas inte av den vars inkomster för året understiger 24 % av prisbasbelo</w:t>
      </w:r>
      <w:r w:rsidRPr="00C9680B">
        <w:t>p</w:t>
      </w:r>
      <w:r w:rsidRPr="00C9680B">
        <w:t xml:space="preserve">pet. </w:t>
      </w:r>
    </w:p>
    <w:p w:rsidR="001C7BF9" w:rsidRPr="00C9680B" w:rsidRDefault="001C7BF9">
      <w:pPr>
        <w:pStyle w:val="Normaltindrag"/>
      </w:pPr>
      <w:r w:rsidRPr="00C9680B">
        <w:t xml:space="preserve">Socialavgifter betalas enligt lagen (1981:691) om socialavgifter (SAL) för finansiering av den allmänna försäkringen, ålderspensioneringen och vissa andra sociala ändamål. Avgifterna tas ut som arbetsgivaravgifter och egen-avgifter. </w:t>
      </w:r>
    </w:p>
    <w:p w:rsidR="001C7BF9" w:rsidRPr="00C9680B" w:rsidRDefault="001C7BF9">
      <w:pPr>
        <w:pStyle w:val="Normaltindrag"/>
      </w:pPr>
      <w:r w:rsidRPr="00C9680B">
        <w:rPr>
          <w:i/>
        </w:rPr>
        <w:t>Arbetsgivaravgifter</w:t>
      </w:r>
      <w:r w:rsidRPr="00C9680B">
        <w:t xml:space="preserve"> beräknas på ett underlag som består av lön och andra skattepliktiga förmåner som en arbetsgivare utger till anställda. Den totala avgiftssumman för år 2000 är 29,83 % av avgiftsunderlaget, varav sjukförsä</w:t>
      </w:r>
      <w:r w:rsidRPr="00C9680B">
        <w:t>k</w:t>
      </w:r>
      <w:r w:rsidRPr="00C9680B">
        <w:t xml:space="preserve">ringsavgiften utgör 8,50 % och ålderspensionsavgiften 10,21 %. Enligt </w:t>
      </w:r>
      <w:r w:rsidRPr="00C9680B">
        <w:br/>
        <w:t>2 kap. 5 a § SAL får en arbetsgivare vid beräkning av arbetsgivaravgifter varje månad göra avdrag med 5 % av avgiftsunderlaget, dock högst 3 550 kr, vilket mo</w:t>
      </w:r>
      <w:r w:rsidRPr="00C9680B">
        <w:t>t</w:t>
      </w:r>
      <w:r w:rsidRPr="00C9680B">
        <w:t xml:space="preserve">svarar en lönesumma om 852 000 kr. </w:t>
      </w:r>
    </w:p>
    <w:p w:rsidR="001C7BF9" w:rsidRPr="00C9680B" w:rsidRDefault="001C7BF9">
      <w:pPr>
        <w:pStyle w:val="Normaltindrag"/>
      </w:pPr>
      <w:r w:rsidRPr="00C9680B">
        <w:rPr>
          <w:i/>
        </w:rPr>
        <w:t>Egenavgifter</w:t>
      </w:r>
      <w:r w:rsidRPr="00C9680B">
        <w:t xml:space="preserve"> betalas på ett underlag som består av inkomst av annat fö</w:t>
      </w:r>
      <w:r w:rsidRPr="00C9680B">
        <w:t>r</w:t>
      </w:r>
      <w:r w:rsidRPr="00C9680B">
        <w:t xml:space="preserve">värvsarbete. En egenföretagare betalar för närvarande socialavgifter med 28,02 % av avgiftsunderlaget, varav sjukförsäkringsavgift 9,23 % och ålders-pensionsavgift 10,21 %. Vid beräkningen av egenavgifter enligt 3 kap. 5 a § SAL får avdrag göras med 5 % av avgiftsunderlaget, dock högst med 9 000 kr per år, vilket motsvarar ett avgiftsunderlag om 180 000 kr. </w:t>
      </w:r>
    </w:p>
    <w:p w:rsidR="001C7BF9" w:rsidRPr="00C9680B" w:rsidRDefault="001C7BF9">
      <w:pPr>
        <w:pStyle w:val="Normaltindrag"/>
      </w:pPr>
      <w:r w:rsidRPr="00C9680B">
        <w:rPr>
          <w:i/>
        </w:rPr>
        <w:t>Statlig ålderspensionsavgift</w:t>
      </w:r>
      <w:r w:rsidRPr="00C9680B">
        <w:t xml:space="preserve"> tas ut enligt lagen (1998:676) om statlig ål-derspensionsavgift för finansiering av försäkringen för inkomstgrundad ålde</w:t>
      </w:r>
      <w:r w:rsidRPr="00C9680B">
        <w:t>r</w:t>
      </w:r>
      <w:r w:rsidRPr="00C9680B">
        <w:t>spension enligt lagen om inkomstgrundad ålderspension. Denna avgift betalas med 10,21 % på vissa socialförsäkringsersättningar m.m. till den del dessa ersättningar tillsammans med övriga pensionsgrundande inkomster inte öve</w:t>
      </w:r>
      <w:r w:rsidRPr="00C9680B">
        <w:t>r</w:t>
      </w:r>
      <w:r w:rsidRPr="00C9680B">
        <w:t>stiger 8,07 förhöjda prisbasbelopp. Dessutom skall statlig ålderspensionsa</w:t>
      </w:r>
      <w:r w:rsidRPr="00C9680B">
        <w:t>v</w:t>
      </w:r>
      <w:r w:rsidRPr="00C9680B">
        <w:t>gift betalas på pensionsgrundande belopp (fiktiv inkomst som grundar pe</w:t>
      </w:r>
      <w:r w:rsidRPr="00C9680B">
        <w:t>n</w:t>
      </w:r>
      <w:r w:rsidRPr="00C9680B">
        <w:t>sionsrätt bl.a. för</w:t>
      </w:r>
      <w:r w:rsidRPr="00C9680B">
        <w:t xml:space="preserve"> föräldrar till små barn) med 18,5 %. </w:t>
      </w:r>
    </w:p>
    <w:p w:rsidR="001C7BF9" w:rsidRPr="00C9680B" w:rsidRDefault="001C7BF9">
      <w:pPr>
        <w:pStyle w:val="Normaltindrag"/>
      </w:pPr>
      <w:r w:rsidRPr="00C9680B">
        <w:t xml:space="preserve">Därutöver betalar arbetsgivare för varje år </w:t>
      </w:r>
      <w:r w:rsidRPr="00C9680B">
        <w:rPr>
          <w:i/>
        </w:rPr>
        <w:t>allmän löneavgift</w:t>
      </w:r>
      <w:r w:rsidRPr="00C9680B">
        <w:t xml:space="preserve"> enligt lagen (1994:1920) om allmän löneavgift med 3,09 % av underlaget, dvs. av arbet</w:t>
      </w:r>
      <w:r w:rsidRPr="00C9680B">
        <w:t>s</w:t>
      </w:r>
      <w:r w:rsidRPr="00C9680B">
        <w:t>givaren utgiven lön m.m. Allmän löneavgift betalas också av den som skall betala egenavgifter.</w:t>
      </w:r>
    </w:p>
    <w:p w:rsidR="001C7BF9" w:rsidRPr="00C9680B" w:rsidRDefault="001C7BF9">
      <w:pPr>
        <w:pStyle w:val="R3"/>
        <w:outlineLvl w:val="0"/>
      </w:pPr>
      <w:r w:rsidRPr="00C9680B">
        <w:t>Propositionen</w:t>
      </w:r>
    </w:p>
    <w:p w:rsidR="001C7BF9" w:rsidRPr="00C9680B" w:rsidRDefault="001C7BF9">
      <w:r w:rsidRPr="00C9680B">
        <w:t>I budgetpropositionen föreslås att riksdagen för budgetåret 2001 godkänner en i särskild bilaga redovisad beräkning av statsbudgetens inkomster. I</w:t>
      </w:r>
      <w:r w:rsidRPr="00C9680B">
        <w:t>n</w:t>
      </w:r>
      <w:r w:rsidRPr="00C9680B">
        <w:t>komsten, netto, av socialavgifter och allmän pensionsavgift beräknas uppgå till 232,6 miljarder kronor. Beloppet inkluderar inkomst av särskild löneskatt och allmän löneavgift om tillhopa 45,4 miljarder kronor.</w:t>
      </w:r>
    </w:p>
    <w:p w:rsidR="001C7BF9" w:rsidRPr="00C9680B" w:rsidRDefault="001C7BF9">
      <w:pPr>
        <w:pStyle w:val="Normaltindrag"/>
      </w:pPr>
      <w:r w:rsidRPr="00C9680B">
        <w:t>Nettoinkomsterna av arbetsgivar- och egenavgifter samt särskild löneskatt för budgetåret 2001 beräknas öka med 13,1 miljarder kronor jämfört med föregående år. Den högre summan återspeglar enligt propositionen utvec</w:t>
      </w:r>
      <w:r w:rsidRPr="00C9680B">
        <w:t>k</w:t>
      </w:r>
      <w:r w:rsidRPr="00C9680B">
        <w:t>lingen av lön</w:t>
      </w:r>
      <w:r w:rsidRPr="00C9680B">
        <w:t>e</w:t>
      </w:r>
      <w:r w:rsidRPr="00C9680B">
        <w:t>summan.</w:t>
      </w:r>
    </w:p>
    <w:p w:rsidR="001C7BF9" w:rsidRPr="00C9680B" w:rsidRDefault="001C7BF9">
      <w:pPr>
        <w:pStyle w:val="Normaltindrag"/>
        <w:rPr>
          <w:snapToGrid w:val="0"/>
          <w:lang w:eastAsia="sv-SE"/>
        </w:rPr>
      </w:pPr>
      <w:r w:rsidRPr="00C9680B">
        <w:rPr>
          <w:snapToGrid w:val="0"/>
          <w:lang w:eastAsia="sv-SE"/>
        </w:rPr>
        <w:t>I propositionen föreslås att sjukförsäkringsavgiften för dem som betalar arbetsgivaravgifter höjs från 8,50 till 8,80 % och för dem som betalar eg</w:t>
      </w:r>
      <w:r w:rsidRPr="00C9680B">
        <w:rPr>
          <w:snapToGrid w:val="0"/>
          <w:lang w:eastAsia="sv-SE"/>
        </w:rPr>
        <w:t>e</w:t>
      </w:r>
      <w:r w:rsidRPr="00C9680B">
        <w:rPr>
          <w:snapToGrid w:val="0"/>
          <w:lang w:eastAsia="sv-SE"/>
        </w:rPr>
        <w:t xml:space="preserve">n-avgifter från 9,23 till 9,53 % av avgiftsunderlaget från den 1 januari 2001. Vidare föreslås att den allmänna löneavgiften sänks från 3,09 till 2,69 % av avgiftsunderlaget. Det sammantagna uttaget av socialavgifter och allmän löneavgift sänks därmed med 0,1 procentenheter. </w:t>
      </w:r>
      <w:r w:rsidRPr="00C9680B">
        <w:t>Sänkningen beräknas ge en bruttobudgetförsvagning på 0,94 miljarder kronor.</w:t>
      </w:r>
      <w:r w:rsidRPr="00C9680B">
        <w:rPr>
          <w:snapToGrid w:val="0"/>
          <w:lang w:eastAsia="sv-SE"/>
        </w:rPr>
        <w:t xml:space="preserve"> Förslaget är en del av regeringens förslag till grön skatteväxling för år 2001. I propositionen anges att man genom förslaget också skapar bättre samstämmighet</w:t>
      </w:r>
      <w:r w:rsidRPr="00C9680B">
        <w:rPr>
          <w:snapToGrid w:val="0"/>
          <w:lang w:eastAsia="sv-SE"/>
        </w:rPr>
        <w:t xml:space="preserve"> mellan inkom</w:t>
      </w:r>
      <w:r w:rsidRPr="00C9680B">
        <w:rPr>
          <w:snapToGrid w:val="0"/>
          <w:lang w:eastAsia="sv-SE"/>
        </w:rPr>
        <w:t>s</w:t>
      </w:r>
      <w:r w:rsidRPr="00C9680B">
        <w:rPr>
          <w:snapToGrid w:val="0"/>
          <w:lang w:eastAsia="sv-SE"/>
        </w:rPr>
        <w:t>ter och utgifter i sjukförsäkringssystemet. För år 2001 beräknas de kostnader som sjukförsäkringsavgiften avser att täcka uppgå till 80 miljarder kronor. Den nya procentsatsen för sjukförsäkringsavgiften har tagits in i proposition 2000/01:8 om ny sociala</w:t>
      </w:r>
      <w:r w:rsidRPr="00C9680B">
        <w:rPr>
          <w:snapToGrid w:val="0"/>
          <w:lang w:eastAsia="sv-SE"/>
        </w:rPr>
        <w:t>v</w:t>
      </w:r>
      <w:r w:rsidRPr="00C9680B">
        <w:rPr>
          <w:snapToGrid w:val="0"/>
          <w:lang w:eastAsia="sv-SE"/>
        </w:rPr>
        <w:t xml:space="preserve">giftslag. </w:t>
      </w:r>
    </w:p>
    <w:p w:rsidR="001C7BF9" w:rsidRPr="00C9680B" w:rsidRDefault="001C7BF9">
      <w:pPr>
        <w:pStyle w:val="Normaltindrag"/>
        <w:rPr>
          <w:snapToGrid w:val="0"/>
          <w:lang w:eastAsia="sv-SE"/>
        </w:rPr>
      </w:pPr>
      <w:r w:rsidRPr="00C9680B">
        <w:rPr>
          <w:snapToGrid w:val="0"/>
          <w:lang w:eastAsia="sv-SE"/>
        </w:rPr>
        <w:t>Som ett del i regeringens förslag till grön skatteväxling för år 2001 höjs såväl det allmänna som det särskilda grundavdraget med ett belopp motsv</w:t>
      </w:r>
      <w:r w:rsidRPr="00C9680B">
        <w:rPr>
          <w:snapToGrid w:val="0"/>
          <w:lang w:eastAsia="sv-SE"/>
        </w:rPr>
        <w:t>a</w:t>
      </w:r>
      <w:r w:rsidRPr="00C9680B">
        <w:rPr>
          <w:snapToGrid w:val="0"/>
          <w:lang w:eastAsia="sv-SE"/>
        </w:rPr>
        <w:t>rande 3 % av prisbasbeloppet (pbb), vilket i det lägsta och det högsta i</w:t>
      </w:r>
      <w:r w:rsidRPr="00C9680B">
        <w:rPr>
          <w:snapToGrid w:val="0"/>
          <w:lang w:eastAsia="sv-SE"/>
        </w:rPr>
        <w:t>n</w:t>
      </w:r>
      <w:r w:rsidRPr="00C9680B">
        <w:rPr>
          <w:snapToGrid w:val="0"/>
          <w:lang w:eastAsia="sv-SE"/>
        </w:rPr>
        <w:t>komstskiktet motsvarar 27 % av pbb. Som en följd av detta föreslås i prop</w:t>
      </w:r>
      <w:r w:rsidRPr="00C9680B">
        <w:rPr>
          <w:snapToGrid w:val="0"/>
          <w:lang w:eastAsia="sv-SE"/>
        </w:rPr>
        <w:t>o</w:t>
      </w:r>
      <w:r w:rsidRPr="00C9680B">
        <w:rPr>
          <w:snapToGrid w:val="0"/>
          <w:lang w:eastAsia="sv-SE"/>
        </w:rPr>
        <w:t>sitionen att allmän pensionsavgift och statlig ålderspensionsavgift inte skall betalas av den som har inkomster som understiger 27 % av pbb, mot tidigare 24 %. Vidare föreslås att pensionsgrundande inkomst för varje år bara skall fastställas om summan av inkomsterna uppgått till minst 27 % av pbb, mot tid</w:t>
      </w:r>
      <w:r w:rsidRPr="00C9680B">
        <w:rPr>
          <w:snapToGrid w:val="0"/>
          <w:lang w:eastAsia="sv-SE"/>
        </w:rPr>
        <w:t>i</w:t>
      </w:r>
      <w:r w:rsidRPr="00C9680B">
        <w:rPr>
          <w:snapToGrid w:val="0"/>
          <w:lang w:eastAsia="sv-SE"/>
        </w:rPr>
        <w:t>gare 24 %.</w:t>
      </w:r>
    </w:p>
    <w:p w:rsidR="001C7BF9" w:rsidRPr="00C9680B" w:rsidRDefault="001C7BF9">
      <w:pPr>
        <w:pStyle w:val="R3"/>
        <w:outlineLvl w:val="0"/>
      </w:pPr>
      <w:r w:rsidRPr="00C9680B">
        <w:t>Motionerna</w:t>
      </w:r>
    </w:p>
    <w:p w:rsidR="001C7BF9" w:rsidRPr="00C9680B" w:rsidRDefault="001C7BF9">
      <w:pPr>
        <w:pStyle w:val="R4"/>
        <w:spacing w:before="123"/>
        <w:outlineLvl w:val="0"/>
      </w:pPr>
      <w:r w:rsidRPr="00C9680B">
        <w:t>Moderaterna</w:t>
      </w:r>
    </w:p>
    <w:p w:rsidR="001C7BF9" w:rsidRPr="00C9680B" w:rsidRDefault="001C7BF9">
      <w:pPr>
        <w:rPr>
          <w:snapToGrid w:val="0"/>
          <w:lang w:eastAsia="sv-SE"/>
        </w:rPr>
      </w:pPr>
      <w:r w:rsidRPr="00C9680B">
        <w:t xml:space="preserve">Motionärerna i motion Sk313 av Carl-Fredrik Graf m.fl. (m) avvisar förslagen till ändringar gällande </w:t>
      </w:r>
      <w:r w:rsidRPr="00C9680B">
        <w:rPr>
          <w:snapToGrid w:val="0"/>
          <w:lang w:eastAsia="sv-SE"/>
        </w:rPr>
        <w:t>allmän pensionsavgift, statlig ålderspensionsavgift och pensionsgrundande inkomst. Vidare yrkas att den allmänna löneavgiften skall sättas ned till 2,79 % av löneunderlaget år 2001. Motionärerna avvisar således förslaget om en sänkning av arbetsgivaravgifterna med 0,1 procentenheter (yrkandena 4–6 och 25).</w:t>
      </w:r>
    </w:p>
    <w:p w:rsidR="001C7BF9" w:rsidRPr="00C9680B" w:rsidRDefault="001C7BF9">
      <w:pPr>
        <w:pStyle w:val="Normaltindrag"/>
      </w:pPr>
      <w:r w:rsidRPr="00C9680B">
        <w:t>I motion Fi208 yrkande 7 begärs att riksdagen godkänner beräkningen av statsbudgetens inkomster för budgetåret 2001 i enlighet med vad som i m</w:t>
      </w:r>
      <w:r w:rsidRPr="00C9680B">
        <w:t>o</w:t>
      </w:r>
      <w:r w:rsidRPr="00C9680B">
        <w:t>tionen anförs.</w:t>
      </w:r>
    </w:p>
    <w:p w:rsidR="001C7BF9" w:rsidRPr="00C9680B" w:rsidRDefault="001C7BF9">
      <w:pPr>
        <w:pStyle w:val="R4"/>
        <w:outlineLvl w:val="0"/>
      </w:pPr>
      <w:r w:rsidRPr="00C9680B">
        <w:t>Kristdemokraterna</w:t>
      </w:r>
    </w:p>
    <w:p w:rsidR="001C7BF9" w:rsidRPr="00C9680B" w:rsidRDefault="001C7BF9">
      <w:r w:rsidRPr="00C9680B">
        <w:t>Motionärerna avvisar regeringens förslag om sänkta arbetsgivaravgifter med 0,1 procentenheter, vilket ökar inkomsterna med 0,76 miljarder kronor. En höjd arbetsgivaravgift med 0,18 procentenheter föreslås till följd av ett min</w:t>
      </w:r>
      <w:r w:rsidRPr="00C9680B">
        <w:t>s</w:t>
      </w:r>
      <w:r w:rsidRPr="00C9680B">
        <w:t>kat sjuklöneansvar. Detta ökar inkomsterna med 1,77 miljarder kronor. Lik</w:t>
      </w:r>
      <w:r w:rsidRPr="00C9680B">
        <w:t>a</w:t>
      </w:r>
      <w:r w:rsidRPr="00C9680B">
        <w:t>dana yrkanden återfinns även i Kristdemokraternas motion Sk323 yrkandena 23 och 24.</w:t>
      </w:r>
    </w:p>
    <w:p w:rsidR="001C7BF9" w:rsidRPr="00C9680B" w:rsidRDefault="001C7BF9">
      <w:pPr>
        <w:pStyle w:val="Normaltindrag"/>
      </w:pPr>
      <w:r w:rsidRPr="00C9680B">
        <w:t>I motionerna Fi209, N324 yrkande 6 och Sk323 yrkande 22 föreslås även att arbetsgivaravgifterna sänks fr.o.m. år 2002 med 10 procentenheter på lönesummor upp till 900 000 kr per år. För egenföretagare utökas den ne</w:t>
      </w:r>
      <w:r w:rsidRPr="00C9680B">
        <w:t>d</w:t>
      </w:r>
      <w:r w:rsidRPr="00C9680B">
        <w:t xml:space="preserve">sättningsbaserade lönesumman till 250 000 kr per år. </w:t>
      </w:r>
    </w:p>
    <w:p w:rsidR="001C7BF9" w:rsidRPr="00C9680B" w:rsidRDefault="001C7BF9">
      <w:pPr>
        <w:pStyle w:val="Normaltindrag"/>
      </w:pPr>
      <w:r w:rsidRPr="00C9680B">
        <w:t xml:space="preserve">I motionerna Fi209 yrkande 5 och Sk323 yrkande 1 begärs att riksdagen godkänner beräkningen av förändringarna i statsbudgetens inkomster för budgetåret 2001. </w:t>
      </w:r>
    </w:p>
    <w:p w:rsidR="001C7BF9" w:rsidRPr="00C9680B" w:rsidRDefault="001C7BF9">
      <w:pPr>
        <w:pStyle w:val="R4"/>
        <w:outlineLvl w:val="0"/>
      </w:pPr>
      <w:r w:rsidRPr="00C9680B">
        <w:t xml:space="preserve">Centerpartiet </w:t>
      </w:r>
    </w:p>
    <w:p w:rsidR="001C7BF9" w:rsidRPr="00C9680B" w:rsidRDefault="001C7BF9">
      <w:r w:rsidRPr="00C9680B">
        <w:t>Motionärerna avvisar regeringens förslag till sänkning av arbetsgivaravgifte</w:t>
      </w:r>
      <w:r w:rsidRPr="00C9680B">
        <w:t>r</w:t>
      </w:r>
      <w:r w:rsidRPr="00C9680B">
        <w:t>na med 0,1 procentenheter, vilket ger 0,76 miljarder kronor i ökade inkom</w:t>
      </w:r>
      <w:r w:rsidRPr="00C9680B">
        <w:t>s</w:t>
      </w:r>
      <w:r w:rsidRPr="00C9680B">
        <w:t>ter. Motionärerna anser att nedsättningen av arbetsgivaravgifterna skall utö</w:t>
      </w:r>
      <w:r w:rsidRPr="00C9680B">
        <w:t>k</w:t>
      </w:r>
      <w:r w:rsidRPr="00C9680B">
        <w:t>as till 10 procentenheter på ett oförändrat underlag. Inkomsterna minskar med 5,53 miljarder kronor med detta förslag. För att kompensera en förlängd sjuklöneperiod i offentliga sektorn föreslås att arbetsgivaravgifterna sänks med 0,7 procentenheter. Förslaget minskar inkomsterna med 2 miljarder kronor. Motionärerna föreslår slutligen att ett nettostödsystem</w:t>
      </w:r>
      <w:r w:rsidRPr="00C9680B">
        <w:t xml:space="preserve"> införs inom svensk sjöfart. Varken inkomstskatt eller sociala avgifter skall betalas för personal som arbetar på fartygen och sjöfartsstödet kan därmed tas bort. M</w:t>
      </w:r>
      <w:r w:rsidRPr="00C9680B">
        <w:t>o</w:t>
      </w:r>
      <w:r w:rsidRPr="00C9680B">
        <w:t>tionärerna beräknar att förslaget minskar inkomsterna med 1 miljard kronor. I motion Sk321 återfinns liknande yrkanden om nedsättning av arbetsgivara</w:t>
      </w:r>
      <w:r w:rsidRPr="00C9680B">
        <w:t>v</w:t>
      </w:r>
      <w:r w:rsidRPr="00C9680B">
        <w:t>giften med 10 procentenheter, nettostödsystem inom svensk sjöfart och sän</w:t>
      </w:r>
      <w:r w:rsidRPr="00C9680B">
        <w:t>k</w:t>
      </w:r>
      <w:r w:rsidRPr="00C9680B">
        <w:t>ning av arbetsgivaravgiften i offentlig sektor (yrkandena 18, 24 och 25)</w:t>
      </w:r>
    </w:p>
    <w:p w:rsidR="001C7BF9" w:rsidRPr="00C9680B" w:rsidRDefault="001C7BF9">
      <w:pPr>
        <w:pStyle w:val="Normaltindrag"/>
      </w:pPr>
      <w:r w:rsidRPr="00C9680B">
        <w:t>I motion Fi210 yrkande 3 begärs att riksdagen godk</w:t>
      </w:r>
      <w:r w:rsidRPr="00C9680B">
        <w:t>änner beräkningen av statsbudgetens inkomster för budgetåret 2001.</w:t>
      </w:r>
    </w:p>
    <w:p w:rsidR="001C7BF9" w:rsidRPr="00C9680B" w:rsidRDefault="001C7BF9">
      <w:pPr>
        <w:pStyle w:val="R4"/>
        <w:outlineLvl w:val="0"/>
      </w:pPr>
      <w:r w:rsidRPr="00C9680B">
        <w:t>Folkpartiet</w:t>
      </w:r>
    </w:p>
    <w:p w:rsidR="001C7BF9" w:rsidRPr="00C9680B" w:rsidRDefault="001C7BF9">
      <w:r w:rsidRPr="00C9680B">
        <w:t>Motionärerna anser att arbetsgivar- och egenavgifterna i tjänstesektorn bör sänkas med 2 procentenheter år 2001. Förslaget minskar enligt motionärerna inkomsterna 2001 med 5,1 miljarder kronor. Motionärerna anser att arbetsg</w:t>
      </w:r>
      <w:r w:rsidRPr="00C9680B">
        <w:t>i</w:t>
      </w:r>
      <w:r w:rsidRPr="00C9680B">
        <w:t>varavgifterna inom tjänstesektorn för åren därefter bör sänkas med 5 proce</w:t>
      </w:r>
      <w:r w:rsidRPr="00C9680B">
        <w:t>n</w:t>
      </w:r>
      <w:r w:rsidRPr="00C9680B">
        <w:t>te</w:t>
      </w:r>
      <w:r w:rsidRPr="00C9680B">
        <w:t>n</w:t>
      </w:r>
      <w:r w:rsidRPr="00C9680B">
        <w:t>heter.</w:t>
      </w:r>
    </w:p>
    <w:p w:rsidR="001C7BF9" w:rsidRPr="00C9680B" w:rsidRDefault="001C7BF9">
      <w:pPr>
        <w:pStyle w:val="Normaltindrag"/>
      </w:pPr>
      <w:r w:rsidRPr="00C9680B">
        <w:t>I motion Fi211 yrkande 5 begärs att riksdagen godkänner beräkningen av statsbudgetens inkomster för budgetåret 2001 enligt vad som anförs i moti</w:t>
      </w:r>
      <w:r w:rsidRPr="00C9680B">
        <w:t>o</w:t>
      </w:r>
      <w:r w:rsidRPr="00C9680B">
        <w:t>nen.</w:t>
      </w:r>
    </w:p>
    <w:p w:rsidR="001C7BF9" w:rsidRPr="00C9680B" w:rsidRDefault="001C7BF9">
      <w:pPr>
        <w:pStyle w:val="R3"/>
        <w:outlineLvl w:val="0"/>
      </w:pPr>
      <w:r w:rsidRPr="00C9680B">
        <w:t>Utskottets bedömning</w:t>
      </w:r>
    </w:p>
    <w:p w:rsidR="001C7BF9" w:rsidRPr="00C9680B" w:rsidRDefault="001C7BF9">
      <w:pPr>
        <w:rPr>
          <w:snapToGrid w:val="0"/>
          <w:lang w:eastAsia="sv-SE"/>
        </w:rPr>
      </w:pPr>
      <w:r w:rsidRPr="00C9680B">
        <w:rPr>
          <w:snapToGrid w:val="0"/>
          <w:lang w:eastAsia="sv-SE"/>
        </w:rPr>
        <w:t>För år 2001 beräknas enligt propositionen de kostnader som sjukförsäkring</w:t>
      </w:r>
      <w:r w:rsidRPr="00C9680B">
        <w:rPr>
          <w:snapToGrid w:val="0"/>
          <w:lang w:eastAsia="sv-SE"/>
        </w:rPr>
        <w:t>s</w:t>
      </w:r>
      <w:r w:rsidRPr="00C9680B">
        <w:rPr>
          <w:snapToGrid w:val="0"/>
          <w:lang w:eastAsia="sv-SE"/>
        </w:rPr>
        <w:t xml:space="preserve">avgiften avser att täcka uppgå till 80 miljarder kronor. </w:t>
      </w:r>
      <w:r w:rsidRPr="00C9680B">
        <w:t xml:space="preserve">Utskottet anser mot den bakgrunden det rimligt att </w:t>
      </w:r>
      <w:r w:rsidRPr="00C9680B">
        <w:rPr>
          <w:snapToGrid w:val="0"/>
          <w:lang w:eastAsia="sv-SE"/>
        </w:rPr>
        <w:t xml:space="preserve">sjukförsäkringsavgiften höjs med 0,3 </w:t>
      </w:r>
      <w:r w:rsidRPr="00C9680B">
        <w:t>procent</w:t>
      </w:r>
      <w:r w:rsidRPr="00C9680B">
        <w:softHyphen/>
        <w:t xml:space="preserve">enheter </w:t>
      </w:r>
      <w:r w:rsidRPr="00C9680B">
        <w:rPr>
          <w:snapToGrid w:val="0"/>
          <w:lang w:eastAsia="sv-SE"/>
        </w:rPr>
        <w:t xml:space="preserve">från den 1 januari 2001. </w:t>
      </w:r>
    </w:p>
    <w:p w:rsidR="001C7BF9" w:rsidRPr="00C9680B" w:rsidRDefault="001C7BF9">
      <w:pPr>
        <w:pStyle w:val="Normaltindrag"/>
        <w:rPr>
          <w:snapToGrid w:val="0"/>
          <w:lang w:eastAsia="sv-SE"/>
        </w:rPr>
      </w:pPr>
      <w:r w:rsidRPr="00C9680B">
        <w:rPr>
          <w:snapToGrid w:val="0"/>
          <w:lang w:eastAsia="sv-SE"/>
        </w:rPr>
        <w:t>I propositionen anges att som ett led i den gröna skatteväxlingen och för att balansera de föreslagna höjningarna i energiskatterna bör skatterna på arbete sänkas genom ett höjt grundavdrag i inkomstskatten, och att detta bör kom</w:t>
      </w:r>
      <w:r w:rsidRPr="00C9680B">
        <w:rPr>
          <w:snapToGrid w:val="0"/>
          <w:lang w:eastAsia="sv-SE"/>
        </w:rPr>
        <w:t>p</w:t>
      </w:r>
      <w:r w:rsidRPr="00C9680B">
        <w:rPr>
          <w:snapToGrid w:val="0"/>
          <w:lang w:eastAsia="sv-SE"/>
        </w:rPr>
        <w:t xml:space="preserve">letteras med bl.a. en viss sänkning av arbetsgivaravgifterna. Enligt utskottets mening är en sänkning av den allmänna löneavgiften med 0,4 </w:t>
      </w:r>
      <w:r w:rsidRPr="00C9680B">
        <w:t xml:space="preserve">procentenheter, vilket sammantaget </w:t>
      </w:r>
      <w:r w:rsidRPr="00C9680B">
        <w:rPr>
          <w:snapToGrid w:val="0"/>
          <w:lang w:eastAsia="sv-SE"/>
        </w:rPr>
        <w:t xml:space="preserve">ger en sänkning av arbetsgivaravgifterna med 0,1 </w:t>
      </w:r>
      <w:r w:rsidRPr="00C9680B">
        <w:t>pr</w:t>
      </w:r>
      <w:r w:rsidRPr="00C9680B">
        <w:t>o</w:t>
      </w:r>
      <w:r w:rsidRPr="00C9680B">
        <w:t>centenheter, motiverad</w:t>
      </w:r>
      <w:r w:rsidRPr="00C9680B">
        <w:rPr>
          <w:snapToGrid w:val="0"/>
          <w:lang w:eastAsia="sv-SE"/>
        </w:rPr>
        <w:t>. Förslaget skapar också enligt utskottets mening en bättre samstämmighet mellan inkomster och utgifter i sjukförsäkringssyste</w:t>
      </w:r>
      <w:r w:rsidRPr="00C9680B">
        <w:rPr>
          <w:snapToGrid w:val="0"/>
          <w:lang w:eastAsia="sv-SE"/>
        </w:rPr>
        <w:t>m</w:t>
      </w:r>
      <w:r w:rsidRPr="00C9680B">
        <w:rPr>
          <w:snapToGrid w:val="0"/>
          <w:lang w:eastAsia="sv-SE"/>
        </w:rPr>
        <w:t>et.</w:t>
      </w:r>
    </w:p>
    <w:p w:rsidR="001C7BF9" w:rsidRPr="00C9680B" w:rsidRDefault="001C7BF9">
      <w:pPr>
        <w:pStyle w:val="Normaltindrag"/>
      </w:pPr>
      <w:r w:rsidRPr="00C9680B">
        <w:t>Utskottet kan också konstatera att till följd av de höjda grundavdragen</w:t>
      </w:r>
      <w:r w:rsidRPr="00C9680B">
        <w:rPr>
          <w:snapToGrid w:val="0"/>
          <w:lang w:eastAsia="sv-SE"/>
        </w:rPr>
        <w:t xml:space="preserve"> bör allmän pensionsavgift och statlig ålderspensionsavgift inte betalas av den som har inkomster som understiger 27 % av prisbasbeloppet och att pensionsgru</w:t>
      </w:r>
      <w:r w:rsidRPr="00C9680B">
        <w:rPr>
          <w:snapToGrid w:val="0"/>
          <w:lang w:eastAsia="sv-SE"/>
        </w:rPr>
        <w:t>n</w:t>
      </w:r>
      <w:r w:rsidRPr="00C9680B">
        <w:rPr>
          <w:snapToGrid w:val="0"/>
          <w:lang w:eastAsia="sv-SE"/>
        </w:rPr>
        <w:t>dande inkomst för varje år bör fastställas om summan av inkomsterna uppgått till minst 27 % av prisbasbeloppet</w:t>
      </w:r>
      <w:r w:rsidRPr="00C9680B">
        <w:t xml:space="preserve">. </w:t>
      </w:r>
    </w:p>
    <w:p w:rsidR="001C7BF9" w:rsidRPr="00C9680B" w:rsidRDefault="001C7BF9">
      <w:pPr>
        <w:pStyle w:val="Normaltindrag"/>
        <w:rPr>
          <w:snapToGrid w:val="0"/>
          <w:lang w:eastAsia="sv-SE"/>
        </w:rPr>
      </w:pPr>
      <w:r w:rsidRPr="00C9680B">
        <w:t>När det gäller Kristdemokraternas och Centerpartiets krav på sänkta a</w:t>
      </w:r>
      <w:r w:rsidRPr="00C9680B">
        <w:t>r</w:t>
      </w:r>
      <w:r w:rsidRPr="00C9680B">
        <w:t xml:space="preserve">betsgivaravgifter vidhåller utskottet sin tidigare inställning att skäl saknas för såväl en generell sänkning, utöver den nu föreslagna sänkningen med 0,1 procentenheter, som för en höjning av lönesumman. Utskottet kan inte heller ställa sig bakom Folkpartiets krav på en generell sänkning fr.o.m. 2001 av arbetsgivaravgifterna inom tjänstesektorn. </w:t>
      </w:r>
    </w:p>
    <w:p w:rsidR="001C7BF9" w:rsidRPr="00C9680B" w:rsidRDefault="001C7BF9">
      <w:pPr>
        <w:pStyle w:val="Normaltindrag"/>
      </w:pPr>
      <w:r w:rsidRPr="00C9680B">
        <w:t>Vad beträffar Centerpartiets förslag om ett nettostödsystem inom svensk sjöfart noterar utskottet att regeringen i proposition 2000/01:8 om ny soc</w:t>
      </w:r>
      <w:r w:rsidRPr="00C9680B">
        <w:t>i</w:t>
      </w:r>
      <w:r w:rsidRPr="00C9680B">
        <w:t>alavgiftslag föreslår att de särskilda regler om sjukförsäkringsavgift, arbet</w:t>
      </w:r>
      <w:r w:rsidRPr="00C9680B">
        <w:t>s</w:t>
      </w:r>
      <w:r w:rsidRPr="00C9680B">
        <w:t>marknadsavgift och sjömanspensionsavgift som gäller för redare skall avska</w:t>
      </w:r>
      <w:r w:rsidRPr="00C9680B">
        <w:t>f</w:t>
      </w:r>
      <w:r w:rsidRPr="00C9680B">
        <w:t>fas. Utskottet kan också konstatera att det av budgetpropositionen framgår att regeringen nyligen påbörjat en total översyn av lastsjöfartens och färjetraf</w:t>
      </w:r>
      <w:r w:rsidRPr="00C9680B">
        <w:t>i</w:t>
      </w:r>
      <w:r w:rsidRPr="00C9680B">
        <w:t>kens villkor. Regeringen avser att lägga fram ett förslag som kan träda i kraft den 1 janu</w:t>
      </w:r>
      <w:r w:rsidRPr="00C9680B">
        <w:t>a</w:t>
      </w:r>
      <w:r w:rsidRPr="00C9680B">
        <w:t>ri 2002.</w:t>
      </w:r>
    </w:p>
    <w:p w:rsidR="001C7BF9" w:rsidRPr="00C9680B" w:rsidRDefault="001C7BF9">
      <w:pPr>
        <w:pStyle w:val="Normaltindrag"/>
      </w:pPr>
      <w:r w:rsidRPr="00C9680B">
        <w:t>Med det anförda tillstyrker utskottet regeringens förslag till ändringar i l</w:t>
      </w:r>
      <w:r w:rsidRPr="00C9680B">
        <w:t>a</w:t>
      </w:r>
      <w:r w:rsidRPr="00C9680B">
        <w:t>gen (1994:1920) om allmän löneavgift, lagen (1994:1744) om allmän pe</w:t>
      </w:r>
      <w:r w:rsidRPr="00C9680B">
        <w:t>n</w:t>
      </w:r>
      <w:r w:rsidRPr="00C9680B">
        <w:t xml:space="preserve">sionsavgift, lagen (1998:674) om inkomstgrundad ålderspension och lagen (1998:676) om statlig ålderspensionsavgift (lagförslag 3.4, 3.6, 3.7 och 3.8). </w:t>
      </w:r>
    </w:p>
    <w:p w:rsidR="001C7BF9" w:rsidRPr="00C9680B" w:rsidRDefault="001C7BF9">
      <w:pPr>
        <w:pStyle w:val="Normaltindrag"/>
        <w:rPr>
          <w:snapToGrid w:val="0"/>
          <w:lang w:eastAsia="sv-SE"/>
        </w:rPr>
      </w:pPr>
      <w:r w:rsidRPr="00C9680B">
        <w:rPr>
          <w:snapToGrid w:val="0"/>
          <w:lang w:eastAsia="sv-SE"/>
        </w:rPr>
        <w:t>Den nya högre procentsatsen för sjukförsäkringsavgiften har tagits in i proposition 2000/01:8 om ny socialavgiftslag. Eftersom det inte finns några motionsyrkanden rörande förslaget vare sig med anledning av budgetpropos</w:t>
      </w:r>
      <w:r w:rsidRPr="00C9680B">
        <w:rPr>
          <w:snapToGrid w:val="0"/>
          <w:lang w:eastAsia="sv-SE"/>
        </w:rPr>
        <w:t>i</w:t>
      </w:r>
      <w:r w:rsidRPr="00C9680B">
        <w:rPr>
          <w:snapToGrid w:val="0"/>
          <w:lang w:eastAsia="sv-SE"/>
        </w:rPr>
        <w:t xml:space="preserve">tionen eller proposition 2000/01:8 kommer utskottet att tillstyrka förslaget om en höjning av sjukförsäkringsavgiften i utskottets betänkande 2000/01:SfU5 om proposition 2000/01:8, som kommer att behandlas av riksdagen den 16 november. </w:t>
      </w:r>
    </w:p>
    <w:p w:rsidR="001C7BF9" w:rsidRPr="00C9680B" w:rsidRDefault="001C7BF9">
      <w:pPr>
        <w:pStyle w:val="Normaltindrag"/>
      </w:pPr>
      <w:r w:rsidRPr="00C9680B">
        <w:t>Vidare godtar utskottet, såvitt avser socialavgifter och allmän pensionsa</w:t>
      </w:r>
      <w:r w:rsidRPr="00C9680B">
        <w:t>v</w:t>
      </w:r>
      <w:r w:rsidRPr="00C9680B">
        <w:t xml:space="preserve">gift, regeringens beräkning av statsbudgetens inkomster för budgetåret 2001. </w:t>
      </w:r>
    </w:p>
    <w:p w:rsidR="001C7BF9" w:rsidRPr="00C9680B" w:rsidRDefault="001C7BF9">
      <w:pPr>
        <w:pStyle w:val="Normaltindrag"/>
      </w:pPr>
      <w:r w:rsidRPr="00C9680B">
        <w:t xml:space="preserve">Med det anförda avstyrker utskottet i motsvarande delar motionerna Fi208 yrkande 7, Sk313 yrkandena 4–6 och 25, Fi209 yrkande 5, N324 yrkande 6, Sk323 yrkandena 1 och 22–24, Fi210 yrkande 3, Sk321 yrkandena 18, 24 och 25 samt Fi211 yrkande 5. </w:t>
      </w:r>
    </w:p>
    <w:p w:rsidR="001C7BF9" w:rsidRPr="00C9680B" w:rsidRDefault="001C7BF9">
      <w:pPr>
        <w:pStyle w:val="Stockholm"/>
      </w:pPr>
      <w:r w:rsidRPr="00C9680B">
        <w:t>Stockholm den 24 oktober 2000</w:t>
      </w:r>
    </w:p>
    <w:p w:rsidR="001C7BF9" w:rsidRPr="00C9680B" w:rsidRDefault="001C7BF9">
      <w:pPr>
        <w:pStyle w:val="Vgnar"/>
      </w:pPr>
      <w:r w:rsidRPr="00C9680B">
        <w:t>På socialförsäkringsutskottets vägnar</w:t>
      </w:r>
    </w:p>
    <w:p w:rsidR="001C7BF9" w:rsidRPr="00C9680B" w:rsidRDefault="001C7BF9">
      <w:pPr>
        <w:pStyle w:val="Ordfnamn"/>
      </w:pPr>
      <w:r w:rsidRPr="00C9680B">
        <w:t xml:space="preserve">Berit Andnor </w:t>
      </w:r>
    </w:p>
    <w:p w:rsidR="001C7BF9" w:rsidRPr="00C9680B" w:rsidRDefault="001C7BF9">
      <w:pPr>
        <w:pStyle w:val="Deltagare"/>
        <w:rPr>
          <w:noProof w:val="0"/>
        </w:rPr>
      </w:pPr>
      <w:r w:rsidRPr="00C9680B">
        <w:rPr>
          <w:noProof w:val="0"/>
        </w:rPr>
        <w:t>I beslutet har deltagit: Berit Andnor (s), Bo Könberg (fp), Margit Gennser (m), Ulla Hoffmann (v), Rose-Marie Frebran (kd), Cecilia Magnusson (m), Mariann Ytterberg (s), Gustaf von Essen (m), Lennart Klockare (s), Ronny Olander (s), Sven-Erik Sjöstrand (v), Fanny Rizell (kd), Göran Lindblad (m), Kerstin-Maria Stalin (mp), Birgitta Carlsson (c), Göte Wahlström (s) och Rinaldo Karlsson (s).</w:t>
      </w:r>
    </w:p>
    <w:p w:rsidR="001C7BF9" w:rsidRPr="00C9680B" w:rsidRDefault="001C7BF9">
      <w:pPr>
        <w:pStyle w:val="R1"/>
        <w:spacing w:before="480" w:after="240"/>
        <w:outlineLvl w:val="0"/>
      </w:pPr>
      <w:bookmarkStart w:id="1159" w:name="_Toc496407905"/>
      <w:r w:rsidRPr="00C9680B">
        <w:t>Avvikande mening</w:t>
      </w:r>
      <w:bookmarkEnd w:id="1159"/>
      <w:r w:rsidRPr="00C9680B">
        <w:t>ar</w:t>
      </w:r>
    </w:p>
    <w:p w:rsidR="001C7BF9" w:rsidRPr="00C9680B" w:rsidRDefault="001C7BF9">
      <w:r w:rsidRPr="00C9680B">
        <w:t>1. Margit Gennser, Cecilia Magnusson, Gustaf von Essen och Göran Lindblad (alla m) anser att utskottets yttrande i nedan angivna avseenden bort ha fö</w:t>
      </w:r>
      <w:r w:rsidRPr="00C9680B">
        <w:t>l</w:t>
      </w:r>
      <w:r w:rsidRPr="00C9680B">
        <w:t>jande lydelse:</w:t>
      </w:r>
    </w:p>
    <w:p w:rsidR="001C7BF9" w:rsidRPr="00C9680B" w:rsidRDefault="001C7BF9">
      <w:pPr>
        <w:pStyle w:val="Rubrik7"/>
      </w:pPr>
      <w:r w:rsidRPr="00C9680B">
        <w:t>Utgiftsområde 8 Invandrare och flyktingar</w:t>
      </w:r>
    </w:p>
    <w:p w:rsidR="001C7BF9" w:rsidRPr="00C9680B" w:rsidRDefault="001C7BF9">
      <w:r w:rsidRPr="00C9680B">
        <w:t>Vi konstaterar att regeringen vill fortsätta att anslå budgetmedel till vissa invandrartäta bostadsområden i storstäderna. Vi anser emellertid att andra vägar som är effektivare och bättre och innebär en mindre belastning på stat</w:t>
      </w:r>
      <w:r w:rsidRPr="00C9680B">
        <w:t>s</w:t>
      </w:r>
      <w:r w:rsidRPr="00C9680B">
        <w:t>budgeten bör prövas. Vi menar att en av de viktigaste uppgifterna är att skapa social och geografisk rörlighet i det svenska samhället. Detta kan uppnås bl. a. genom att bostadsmarknaden och arbetsmarknaden avregleras, vilket i sin tur får positiva effekter på integrationen. Vi motsatte oss att ett särskilt inte</w:t>
      </w:r>
      <w:r w:rsidRPr="00C9680B">
        <w:t>g</w:t>
      </w:r>
      <w:r w:rsidRPr="00C9680B">
        <w:t xml:space="preserve">rationsverk inrättades och är fortfarande tveksamma till dess existens. Vi föreslår därför en utvärdering av hur Integrationsverkets medel har använts och vilka resultat som åstadkommits, senast i </w:t>
      </w:r>
      <w:r w:rsidRPr="00C9680B">
        <w:t>samband med 2001 års ekon</w:t>
      </w:r>
      <w:r w:rsidRPr="00C9680B">
        <w:t>o</w:t>
      </w:r>
      <w:r w:rsidRPr="00C9680B">
        <w:t>miska vårproposition. Detta för att därefter ta ställning till om verket bör läggas ned eller inte. Slutligen anser vi att anslaget för Ombudsmannen mot etnisk diskriminering bör flyttas till utgiftsområde 14, Arbet</w:t>
      </w:r>
      <w:r w:rsidRPr="00C9680B">
        <w:t>s</w:t>
      </w:r>
      <w:r w:rsidRPr="00C9680B">
        <w:t>liv.</w:t>
      </w:r>
    </w:p>
    <w:p w:rsidR="001C7BF9" w:rsidRPr="00C9680B" w:rsidRDefault="001C7BF9">
      <w:pPr>
        <w:pStyle w:val="Normaltindrag"/>
      </w:pPr>
      <w:r w:rsidRPr="00C9680B">
        <w:t>Vi föreslår i enlighet med motion Fi208 yrkandena 5 och 6 en, i förhålla</w:t>
      </w:r>
      <w:r w:rsidRPr="00C9680B">
        <w:t>n</w:t>
      </w:r>
      <w:r w:rsidRPr="00C9680B">
        <w:t>de regeringens förslag, minskning av utgiftsramen för budgetåret 2001 med 578 miljoner kronor och för budgetåren 2002 och 2003 med 129 respektive 243 miljoner kronor.</w:t>
      </w:r>
    </w:p>
    <w:p w:rsidR="001C7BF9" w:rsidRPr="00C9680B" w:rsidRDefault="001C7BF9">
      <w:r w:rsidRPr="00C9680B">
        <w:rPr>
          <w:i/>
        </w:rPr>
        <w:t>Utgiftsområde 10 Ekonomisk trygghet vid sjukdom och handikapp</w:t>
      </w:r>
    </w:p>
    <w:p w:rsidR="001C7BF9" w:rsidRPr="00C9680B" w:rsidRDefault="001C7BF9">
      <w:r w:rsidRPr="00C9680B">
        <w:t>Enligt vår mening måste den nuvarande kostnadsutvecklingen inom sjukfö</w:t>
      </w:r>
      <w:r w:rsidRPr="00C9680B">
        <w:t>r</w:t>
      </w:r>
      <w:r w:rsidRPr="00C9680B">
        <w:t>säkringen hejdas. Detta kräver en rad olika samverkande åtgärder som dels berör ersättningsnivåer inom försäkringen, dels förbättrade sjukskrivning</w:t>
      </w:r>
      <w:r w:rsidRPr="00C9680B">
        <w:t>s</w:t>
      </w:r>
      <w:r w:rsidRPr="00C9680B">
        <w:t>metoder, dels ett samlat kostnads- och resursansvar hos försäkringskassorna för rehabiliteringen och dels åtgärder som befrämjar en god arbetsmiljö. Vi anser därför att kompensationsnivån i sjukpenningförsäkringen bör vara 75 % och att ytterligare en karensdag, den åttonde dagen, bör införas fr.o.m. den 1 januari 2001. Beräkningen av den sjukpenninggrundande in</w:t>
      </w:r>
      <w:r w:rsidRPr="00C9680B">
        <w:t>komsten bör förenklas och grundas på ett medelvärde av de senaste 24 månadernas i</w:t>
      </w:r>
      <w:r w:rsidRPr="00C9680B">
        <w:t>n</w:t>
      </w:r>
      <w:r w:rsidRPr="00C9680B">
        <w:t>komst samt räknas upp med basbeloppet. Effekterna av den lägre ersättning</w:t>
      </w:r>
      <w:r w:rsidRPr="00C9680B">
        <w:t>s</w:t>
      </w:r>
      <w:r w:rsidRPr="00C9680B">
        <w:t>nivån måste ses i ett sammanhang med Moderaternas förslag till skattesän</w:t>
      </w:r>
      <w:r w:rsidRPr="00C9680B">
        <w:t>k</w:t>
      </w:r>
      <w:r w:rsidRPr="00C9680B">
        <w:t>ningar. Förbättrad utbildning i försäkringsmedicin bl.a. med inriktning på sjukskrivningen som terapeutisk metod bör införas för såväl AT-läkare som ST-läkare. Erfarenheter har visat att sådana utbildningssatsningar bidrar till att minska sjukförsäkringskostnaderna. Detta gäller ock</w:t>
      </w:r>
      <w:r w:rsidRPr="00C9680B">
        <w:t>så långtidssjukskri</w:t>
      </w:r>
      <w:r w:rsidRPr="00C9680B">
        <w:t>v</w:t>
      </w:r>
      <w:r w:rsidRPr="00C9680B">
        <w:t>ningen. Enligt vår mening bör försäkringskassan få det finansiella ansvaret för rehabilitering med möjlighet att upphandla rehabiliteringstjänster från såväl andra landsting än det egna som från privata entreprenörer och uto</w:t>
      </w:r>
      <w:r w:rsidRPr="00C9680B">
        <w:t>m</w:t>
      </w:r>
      <w:r w:rsidRPr="00C9680B">
        <w:t>lands. Vidare bör de bra exemplen från FINSAM- och SOCSAM-försöken tillämpas och erfarenheterna från finansiell samordning tillvaratas i hela la</w:t>
      </w:r>
      <w:r w:rsidRPr="00C9680B">
        <w:t>n</w:t>
      </w:r>
      <w:r w:rsidRPr="00C9680B">
        <w:t>det. Sjukskrivningar orsakade av trafikolyckor bör enligt vår mening bekostas av trafikskadeförsäkringen. När det gäller a</w:t>
      </w:r>
      <w:r w:rsidRPr="00C9680B">
        <w:t>rbetsskadeförsäkringen bör denna stegvis reformeras. I ett första steg bör den brytas ut ur statsbudgeten och avgifterna anpassas efter arbetsgivarnas benägenhet att orsaka arbetsskador. I ett andra steg bör försäkringen privatiseras. Vi föreslår också att havand</w:t>
      </w:r>
      <w:r w:rsidRPr="00C9680B">
        <w:t>e</w:t>
      </w:r>
      <w:r w:rsidRPr="00C9680B">
        <w:t>skapspenningen skall samordnas med sjukpenningen. Vi vill därutöver fra</w:t>
      </w:r>
      <w:r w:rsidRPr="00C9680B">
        <w:t>m</w:t>
      </w:r>
      <w:r w:rsidRPr="00C9680B">
        <w:t>hålla att skillnaden i genomsnittlig sjukskrivning mellan privat och offentlig sektor har ökat markant under 1990-talet till den offentliga sektorns nackdel. Den höga sjuklighe</w:t>
      </w:r>
      <w:r w:rsidRPr="00C9680B">
        <w:t>ten gäller framför allt inom landstingens och kommune</w:t>
      </w:r>
      <w:r w:rsidRPr="00C9680B">
        <w:t>r</w:t>
      </w:r>
      <w:r w:rsidRPr="00C9680B">
        <w:t>nas vård-, omsorgs- och utbildningssektor. Att de anställda i huvudsak är hänvisade till den kommunala sektorns arbetsgivare tycks bidra till viss frus</w:t>
      </w:r>
      <w:r w:rsidRPr="00C9680B">
        <w:t>t</w:t>
      </w:r>
      <w:r w:rsidRPr="00C9680B">
        <w:t>ration och missnöje med arbetsmiljön. Enligt vår mening skulle en mer diff</w:t>
      </w:r>
      <w:r w:rsidRPr="00C9680B">
        <w:t>e</w:t>
      </w:r>
      <w:r w:rsidRPr="00C9680B">
        <w:t>rentierad arbetsmarknad inom de nu nämnda servicesektorerna förbättra a</w:t>
      </w:r>
      <w:r w:rsidRPr="00C9680B">
        <w:t>r</w:t>
      </w:r>
      <w:r w:rsidRPr="00C9680B">
        <w:t>betsmiljöförhållandena och då minska sjuktalen. Vi är dock medvetna om att de långa sjukskrivningarna inte enbart kan relateras till arbet</w:t>
      </w:r>
      <w:r w:rsidRPr="00C9680B">
        <w:t>s</w:t>
      </w:r>
      <w:r w:rsidRPr="00C9680B">
        <w:t>livet.</w:t>
      </w:r>
    </w:p>
    <w:p w:rsidR="001C7BF9" w:rsidRPr="00C9680B" w:rsidRDefault="001C7BF9">
      <w:pPr>
        <w:pStyle w:val="Normaltindrag"/>
      </w:pPr>
      <w:r w:rsidRPr="00C9680B">
        <w:t>Vi föreslår i</w:t>
      </w:r>
      <w:r w:rsidRPr="00C9680B">
        <w:t xml:space="preserve"> enlighet med motion Fi208 yrkandena 5 och 6 en, i förhålla</w:t>
      </w:r>
      <w:r w:rsidRPr="00C9680B">
        <w:t>n</w:t>
      </w:r>
      <w:r w:rsidRPr="00C9680B">
        <w:t xml:space="preserve">de till regeringens förslag, minskning av utgiftsramen för budgetåret 2001 med 11 340 miljoner kronor och för budgetåren 2002 och 2003 med 13 860 respektive 16 490 miljoner kronor. </w:t>
      </w:r>
    </w:p>
    <w:p w:rsidR="001C7BF9" w:rsidRPr="00C9680B" w:rsidRDefault="001C7BF9">
      <w:r w:rsidRPr="00C9680B">
        <w:rPr>
          <w:i/>
        </w:rPr>
        <w:t>Utgiftsområde 11 Ekonomisk trygghet vid ålderdom</w:t>
      </w:r>
      <w:r w:rsidRPr="00C9680B">
        <w:t xml:space="preserve"> </w:t>
      </w:r>
    </w:p>
    <w:p w:rsidR="001C7BF9" w:rsidRPr="00C9680B" w:rsidRDefault="001C7BF9">
      <w:r w:rsidRPr="00C9680B">
        <w:t>Vi anser att inkomstprövningen av änkepensionerna bör slopas och nivån återställas till vad som gällde före den 1 april 1997, och det bör ske redan fr.o.m. år 2001. I budgetpropositionen föreslås att det s.k. golvet i BTP tas bort och att taket höjs från 4 000 kr till 4 500 kr. Enligt vår uppfattning har utformningen av bostadstillägget verkat kostnadsdrivande på framför allt kommunernas hyressättning. Vi anser därför att detta förslag inte bör geno</w:t>
      </w:r>
      <w:r w:rsidRPr="00C9680B">
        <w:t>m</w:t>
      </w:r>
      <w:r w:rsidRPr="00C9680B">
        <w:t>föras. I stället anser vi att levnadsvillkoren för de allra sämst ställda pension</w:t>
      </w:r>
      <w:r w:rsidRPr="00C9680B">
        <w:t>ä</w:t>
      </w:r>
      <w:r w:rsidRPr="00C9680B">
        <w:t>rerna bör förbättras och att det bör ske genom en höjning av gränsen för sk</w:t>
      </w:r>
      <w:r w:rsidRPr="00C9680B">
        <w:t>ä</w:t>
      </w:r>
      <w:r w:rsidRPr="00C9680B">
        <w:t>lig levnadskostnad till 135,4 % av prisbasbeloppet för den som är ensamst</w:t>
      </w:r>
      <w:r w:rsidRPr="00C9680B">
        <w:t>å</w:t>
      </w:r>
      <w:r w:rsidRPr="00C9680B">
        <w:t>ende och till 114,4 % av prisbasbeloppet för den som är gift. För dem som var pensionärer under perioden 1993–1998 beräknades folkpensionen på ett ba</w:t>
      </w:r>
      <w:r w:rsidRPr="00C9680B">
        <w:t>s</w:t>
      </w:r>
      <w:r w:rsidRPr="00C9680B">
        <w:t>belopp minskat med 2 %. För att kompensera dessa pensionärer föreslår vi att folkpensionen under den kommande sexårsperioden berä</w:t>
      </w:r>
      <w:r w:rsidRPr="00C9680B">
        <w:t>knas på ett prisba</w:t>
      </w:r>
      <w:r w:rsidRPr="00C9680B">
        <w:t>s</w:t>
      </w:r>
      <w:r w:rsidRPr="00C9680B">
        <w:t>belopp förhöjt med två procentenheter. Förslaget innebär att 1993 års inn</w:t>
      </w:r>
      <w:r w:rsidRPr="00C9680B">
        <w:t>e</w:t>
      </w:r>
      <w:r w:rsidRPr="00C9680B">
        <w:t>hållna pensioner betalas ut år 2001, 1994 års innehållna pensioner år 2002 osv.</w:t>
      </w:r>
    </w:p>
    <w:p w:rsidR="001C7BF9" w:rsidRPr="00C9680B" w:rsidRDefault="001C7BF9">
      <w:pPr>
        <w:pStyle w:val="Normaltindrag"/>
      </w:pPr>
      <w:r w:rsidRPr="00C9680B">
        <w:t>Vi föreslår i enlighet med motion Fi208 yrkandena 5 och 6 en, i förhålla</w:t>
      </w:r>
      <w:r w:rsidRPr="00C9680B">
        <w:t>n</w:t>
      </w:r>
      <w:r w:rsidRPr="00C9680B">
        <w:t xml:space="preserve">de till regeringens förslag, ökning av utgiftsramen för budgetåret 2001 med 445 miljoner kronor och för budgetåren 2002 och 2003 med 555 respektive 565 miljoner kronor.  </w:t>
      </w:r>
    </w:p>
    <w:p w:rsidR="001C7BF9" w:rsidRPr="00C9680B" w:rsidRDefault="001C7BF9">
      <w:r w:rsidRPr="00C9680B">
        <w:rPr>
          <w:i/>
        </w:rPr>
        <w:t xml:space="preserve">Utgiftsområde 12 Ekonomisk trygghet för familjer och barn </w:t>
      </w:r>
    </w:p>
    <w:p w:rsidR="001C7BF9" w:rsidRPr="00C9680B" w:rsidRDefault="001C7BF9">
      <w:r w:rsidRPr="00C9680B">
        <w:t>Vi anser att kompensationsnivån i föräldraförsäkringen skall sänkas till 75 % av den sjukpenninggrundande inkomsten och att garantibeloppet i föräldrafö</w:t>
      </w:r>
      <w:r w:rsidRPr="00C9680B">
        <w:t>r</w:t>
      </w:r>
      <w:r w:rsidRPr="00C9680B">
        <w:t>säkringen skall höjas till 120 kr per dag fr.o.m. den 1 januari 2001. Vidare bör ensamstående mödrar ges rätt att överföra de tio dagarna med tillfällig föräl</w:t>
      </w:r>
      <w:r w:rsidRPr="00C9680B">
        <w:t>d</w:t>
      </w:r>
      <w:r w:rsidRPr="00C9680B">
        <w:t xml:space="preserve">rapenning som utges till pappan i samband med ett barns födelse till någon annan än pappan. </w:t>
      </w:r>
    </w:p>
    <w:p w:rsidR="001C7BF9" w:rsidRPr="00C9680B" w:rsidRDefault="001C7BF9">
      <w:pPr>
        <w:pStyle w:val="Normaltindrag"/>
      </w:pPr>
      <w:r w:rsidRPr="00C9680B">
        <w:t>Vi föreslår också att havandeskapspenningen samordnas med sjukpennin</w:t>
      </w:r>
      <w:r w:rsidRPr="00C9680B">
        <w:t>g</w:t>
      </w:r>
      <w:r w:rsidRPr="00C9680B">
        <w:t>försäkringen, vilket också påverkar anslaget för sjukpenning under utgiftso</w:t>
      </w:r>
      <w:r w:rsidRPr="00C9680B">
        <w:t>m</w:t>
      </w:r>
      <w:r w:rsidRPr="00C9680B">
        <w:t>r</w:t>
      </w:r>
      <w:r w:rsidRPr="00C9680B">
        <w:t>å</w:t>
      </w:r>
      <w:r w:rsidRPr="00C9680B">
        <w:t xml:space="preserve">de 10. </w:t>
      </w:r>
    </w:p>
    <w:p w:rsidR="001C7BF9" w:rsidRPr="00C9680B" w:rsidRDefault="001C7BF9">
      <w:pPr>
        <w:pStyle w:val="Normaltindrag"/>
      </w:pPr>
      <w:r w:rsidRPr="00C9680B">
        <w:t>Vi avvisar den föreslagna barnbidragshöjningen och föreslår i stället att barnfamiljerna skall få ett extra grundavdrag vid den kommunala beskat</w:t>
      </w:r>
      <w:r w:rsidRPr="00C9680B">
        <w:t>t</w:t>
      </w:r>
      <w:r w:rsidRPr="00C9680B">
        <w:t>ningen med 12 000 kr per barn och år. Dessutom bör ett barnomsorgskonto på 40 000 kr per barn införas fr.o.m. 2002 för barn i förskoleåldern samt avdrag för styrkta barnomsorgskostnader på högst 50 000 kr per år medges i den kommunala beskat</w:t>
      </w:r>
      <w:r w:rsidRPr="00C9680B">
        <w:t>t</w:t>
      </w:r>
      <w:r w:rsidRPr="00C9680B">
        <w:t xml:space="preserve">ningen. </w:t>
      </w:r>
    </w:p>
    <w:p w:rsidR="001C7BF9" w:rsidRPr="00C9680B" w:rsidRDefault="001C7BF9">
      <w:pPr>
        <w:pStyle w:val="Normaltindrag"/>
      </w:pPr>
      <w:r w:rsidRPr="00C9680B">
        <w:t>Enligt vår mening bör underhållsstödet ersättas med ett ensamståendestöd, som skall behovsprövas i förhållande till både boförälderns och den bidrag</w:t>
      </w:r>
      <w:r w:rsidRPr="00C9680B">
        <w:t>s</w:t>
      </w:r>
      <w:r w:rsidRPr="00C9680B">
        <w:t>skyldiges inkomster. Härigenom kan utgifterna för underhållsstöd minska med ca 400 miljoner kr</w:t>
      </w:r>
      <w:r w:rsidRPr="00C9680B">
        <w:t>o</w:t>
      </w:r>
      <w:r w:rsidRPr="00C9680B">
        <w:t xml:space="preserve">nor per år. </w:t>
      </w:r>
    </w:p>
    <w:p w:rsidR="001C7BF9" w:rsidRPr="00C9680B" w:rsidRDefault="001C7BF9">
      <w:pPr>
        <w:pStyle w:val="Normaltindrag"/>
      </w:pPr>
      <w:r w:rsidRPr="00C9680B">
        <w:t xml:space="preserve">Vidare bör adoptionsbidraget höjas till 50 % av kostnaden för adoptionen av ett barn, dock högst 55 000 kr. </w:t>
      </w:r>
    </w:p>
    <w:p w:rsidR="001C7BF9" w:rsidRPr="00C9680B" w:rsidRDefault="001C7BF9">
      <w:pPr>
        <w:pStyle w:val="Normaltindrag"/>
      </w:pPr>
      <w:r w:rsidRPr="00C9680B">
        <w:t>Vi motsätter oss slutligen att en extra månad införs i föräldraförsäkringen liksom ett återinförande av kontaktdagarna i den tillfälliga föräldrapennin</w:t>
      </w:r>
      <w:r w:rsidRPr="00C9680B">
        <w:t>g</w:t>
      </w:r>
      <w:r w:rsidRPr="00C9680B">
        <w:t>en.</w:t>
      </w:r>
    </w:p>
    <w:p w:rsidR="001C7BF9" w:rsidRPr="00C9680B" w:rsidRDefault="001C7BF9">
      <w:pPr>
        <w:pStyle w:val="Normaltindrag"/>
      </w:pPr>
      <w:r w:rsidRPr="00C9680B">
        <w:t>Vi föreslår i enlighet med motion Fi208 yrkandena 5 och 6 en, i förhålla</w:t>
      </w:r>
      <w:r w:rsidRPr="00C9680B">
        <w:t>n</w:t>
      </w:r>
      <w:r w:rsidRPr="00C9680B">
        <w:t xml:space="preserve">de till regeringens förslag, minskning av utgiftsramen för budgetåret 2001 med 3 626 miljoner kronor och för budgetåren 2002 och 2003 med 1 596 respektive 1 776 miljoner kronor. </w:t>
      </w:r>
    </w:p>
    <w:p w:rsidR="001C7BF9" w:rsidRPr="00C9680B" w:rsidRDefault="001C7BF9">
      <w:r w:rsidRPr="00C9680B">
        <w:rPr>
          <w:i/>
        </w:rPr>
        <w:t>Statsbudgetens inkomster</w:t>
      </w:r>
    </w:p>
    <w:p w:rsidR="001C7BF9" w:rsidRPr="00C9680B" w:rsidRDefault="001C7BF9">
      <w:r w:rsidRPr="00C9680B">
        <w:t xml:space="preserve">Regeringen föreslår ändringar i lagarna om </w:t>
      </w:r>
      <w:r w:rsidRPr="00C9680B">
        <w:rPr>
          <w:snapToGrid w:val="0"/>
          <w:lang w:eastAsia="sv-SE"/>
        </w:rPr>
        <w:t>allmän pensionsavgift, statlig ålderspensionsavgift och pensionsgrundande inkomst, som en anpassning till sitt förslag om höjt grundavdrag</w:t>
      </w:r>
      <w:r w:rsidRPr="00C9680B">
        <w:t>.</w:t>
      </w:r>
      <w:r w:rsidRPr="00C9680B">
        <w:rPr>
          <w:snapToGrid w:val="0"/>
          <w:lang w:eastAsia="sv-SE"/>
        </w:rPr>
        <w:t xml:space="preserve"> </w:t>
      </w:r>
      <w:r w:rsidRPr="00C9680B">
        <w:t xml:space="preserve">Vi avvisar dessa ändringar. </w:t>
      </w:r>
      <w:r w:rsidRPr="00C9680B">
        <w:rPr>
          <w:snapToGrid w:val="0"/>
          <w:lang w:eastAsia="sv-SE"/>
        </w:rPr>
        <w:t>Enligt vår m</w:t>
      </w:r>
      <w:r w:rsidRPr="00C9680B">
        <w:rPr>
          <w:snapToGrid w:val="0"/>
          <w:lang w:eastAsia="sv-SE"/>
        </w:rPr>
        <w:t>e</w:t>
      </w:r>
      <w:r w:rsidRPr="00C9680B">
        <w:rPr>
          <w:snapToGrid w:val="0"/>
          <w:lang w:eastAsia="sv-SE"/>
        </w:rPr>
        <w:t>ning bör den allmänna löneavgiften sättas ned till 2,79 % av löneunderlaget år 2001. Vi avvisar således förslaget om en sänkning av arbetsgivaravgifterna med 0,1 procentenh</w:t>
      </w:r>
      <w:r w:rsidRPr="00C9680B">
        <w:rPr>
          <w:snapToGrid w:val="0"/>
          <w:lang w:eastAsia="sv-SE"/>
        </w:rPr>
        <w:t>e</w:t>
      </w:r>
      <w:r w:rsidRPr="00C9680B">
        <w:rPr>
          <w:snapToGrid w:val="0"/>
          <w:lang w:eastAsia="sv-SE"/>
        </w:rPr>
        <w:t>ter.</w:t>
      </w:r>
    </w:p>
    <w:p w:rsidR="001C7BF9" w:rsidRPr="00C9680B" w:rsidRDefault="001C7BF9">
      <w:pPr>
        <w:pStyle w:val="Normaltindrag"/>
      </w:pPr>
      <w:r w:rsidRPr="00C9680B">
        <w:t>Vi anser att riksdagen, såvitt avser socialavgifter och allmän pensionsa</w:t>
      </w:r>
      <w:r w:rsidRPr="00C9680B">
        <w:t>v</w:t>
      </w:r>
      <w:r w:rsidRPr="00C9680B">
        <w:t>gift, för budgetåret 2001 i enlighet härmed skall göra ändringar i regeringens beräkning av statsbudgetens inkomster. Med det anförda tillstyrker vi moti</w:t>
      </w:r>
      <w:r w:rsidRPr="00C9680B">
        <w:t>o</w:t>
      </w:r>
      <w:r w:rsidRPr="00C9680B">
        <w:t>nerna Fi208 yrkande 7 och Sk313 yrkandena 4–6 och 25.</w:t>
      </w:r>
    </w:p>
    <w:p w:rsidR="001C7BF9" w:rsidRPr="00C9680B" w:rsidRDefault="001C7BF9">
      <w:pPr>
        <w:pStyle w:val="Normaltindrag"/>
      </w:pPr>
    </w:p>
    <w:p w:rsidR="001C7BF9" w:rsidRPr="00C9680B" w:rsidRDefault="001C7BF9">
      <w:r w:rsidRPr="00C9680B">
        <w:t>2. Rose-Marie Frebran och Fanny Rizell (båda kd) anser att utskottets yttra</w:t>
      </w:r>
      <w:r w:rsidRPr="00C9680B">
        <w:t>n</w:t>
      </w:r>
      <w:r w:rsidRPr="00C9680B">
        <w:t>de i nedan angivna avseenden bort ha följande lydelse:</w:t>
      </w:r>
    </w:p>
    <w:p w:rsidR="001C7BF9" w:rsidRPr="00C9680B" w:rsidRDefault="001C7BF9">
      <w:r w:rsidRPr="00C9680B">
        <w:rPr>
          <w:i/>
        </w:rPr>
        <w:t>Utgiftsområde 8 Invandrare och flyktingar</w:t>
      </w:r>
    </w:p>
    <w:p w:rsidR="001C7BF9" w:rsidRPr="00C9680B" w:rsidRDefault="001C7BF9">
      <w:r w:rsidRPr="00C9680B">
        <w:t>Statsbidrag har fr.o.m. 1995/96 lämnats till vissa kommuner i framför allt storstadsregionerna, för att stimulera till insatser i utsatta bostadsområden. Vi avvisar den kraftiga höjning av anslaget 11:1, Utvecklingsinsatser i storstad</w:t>
      </w:r>
      <w:r w:rsidRPr="00C9680B">
        <w:t>s</w:t>
      </w:r>
      <w:r w:rsidRPr="00C9680B">
        <w:t>regionerna, med 305 miljoner kronor 2001 samt hela anslaget på 230 miljoner kronor för 2003, som regeringen föreslår i budgetpropositionen. Vi menar vidare att Integrationsverket bör läggas ned från den 1 juni 2001. Vissa av verkets uppgifter bör i stället övertas av Migrationsverket, Ombudsmannen mot etnisk diskriminering samt av Riksförsäkringsve</w:t>
      </w:r>
      <w:r w:rsidRPr="00C9680B">
        <w:t>r</w:t>
      </w:r>
      <w:r w:rsidRPr="00C9680B">
        <w:t>ket.</w:t>
      </w:r>
    </w:p>
    <w:p w:rsidR="001C7BF9" w:rsidRPr="00C9680B" w:rsidRDefault="001C7BF9">
      <w:pPr>
        <w:pStyle w:val="Normaltindrag"/>
      </w:pPr>
      <w:r w:rsidRPr="00C9680B">
        <w:t>Vi föreslår i enlighet med motion Fi209 yrkandena 6 och 7 en, i förhålla</w:t>
      </w:r>
      <w:r w:rsidRPr="00C9680B">
        <w:t>n</w:t>
      </w:r>
      <w:r w:rsidRPr="00C9680B">
        <w:t>de regeringens förslag, minskning av utgiftsramen för budgetåret 2001 med 344 miljoner kronor och för budgetåren 2002 och 2003 med 63 respektive 295 miljoner kronor.</w:t>
      </w:r>
    </w:p>
    <w:p w:rsidR="001C7BF9" w:rsidRPr="00C9680B" w:rsidRDefault="001C7BF9">
      <w:r w:rsidRPr="00C9680B">
        <w:rPr>
          <w:i/>
        </w:rPr>
        <w:t>Utgiftsområde 10 Ekonomisk trygghet vid sjukdom och handikapp</w:t>
      </w:r>
    </w:p>
    <w:p w:rsidR="001C7BF9" w:rsidRPr="00C9680B" w:rsidRDefault="001C7BF9">
      <w:r w:rsidRPr="00C9680B">
        <w:t>Vi anser att det bör införas två karensdagar i sjukförsäkringen med ett högriskskydd på tio dagar per år. Vidare bör den sjukpenninggrundande i</w:t>
      </w:r>
      <w:r w:rsidRPr="00C9680B">
        <w:t>n</w:t>
      </w:r>
      <w:r w:rsidRPr="00C9680B">
        <w:t>komsten beräknas på snittinkomsten de senaste två åren och skattepliktiga förmåner liksom semesterersättning vara sjukpenninggrundande. Enligt vår mening behövs förutom samordning en resursförstärkning till arbetslivsinri</w:t>
      </w:r>
      <w:r w:rsidRPr="00C9680B">
        <w:t>k</w:t>
      </w:r>
      <w:r w:rsidRPr="00C9680B">
        <w:t>tad rehabilitering och en ökad kompetens inom hela försäkringsadministrati</w:t>
      </w:r>
      <w:r w:rsidRPr="00C9680B">
        <w:t>o</w:t>
      </w:r>
      <w:r w:rsidRPr="00C9680B">
        <w:t>nen. De pengar som i dag går till passiv sjukskrivning bör i stället kunna användas över hela landet för vård och rehabilitering. Kompetens- och kval</w:t>
      </w:r>
      <w:r w:rsidRPr="00C9680B">
        <w:t>i</w:t>
      </w:r>
      <w:r w:rsidRPr="00C9680B">
        <w:t>tetshöjningen inom socialförsäkringsadministrationen säkrar rätt</w:t>
      </w:r>
      <w:r w:rsidRPr="00C9680B">
        <w:t>stryggheten och minskar kostnaderna inom sjukförsäkringen. Vi anser att förslagen i utredningen Rehabilitering till arbete – en reform med individen i centrum (SOU 2000:78) i alla väsentliga huvuddrag bör genomföras från den 1 juli 2001. Förslagen ger en ökad totalkostnad det första året men lägre totalkos</w:t>
      </w:r>
      <w:r w:rsidRPr="00C9680B">
        <w:t>t</w:t>
      </w:r>
      <w:r w:rsidRPr="00C9680B">
        <w:t>nader därefter. Slutligen anser vi att samtliga personskadekostnader till följd av trafikolyckor bör föras över till trafikförsä</w:t>
      </w:r>
      <w:r w:rsidRPr="00C9680B">
        <w:t>k</w:t>
      </w:r>
      <w:r w:rsidRPr="00C9680B">
        <w:t>ringen.</w:t>
      </w:r>
    </w:p>
    <w:p w:rsidR="001C7BF9" w:rsidRPr="00C9680B" w:rsidRDefault="001C7BF9">
      <w:pPr>
        <w:pStyle w:val="Normaltindrag"/>
      </w:pPr>
      <w:r w:rsidRPr="00C9680B">
        <w:t>Vi föreslår i enlighet med motion Fi209 yrkandena 6 och 7 en, i för</w:t>
      </w:r>
      <w:r w:rsidRPr="00C9680B">
        <w:t>hålla</w:t>
      </w:r>
      <w:r w:rsidRPr="00C9680B">
        <w:t>n</w:t>
      </w:r>
      <w:r w:rsidRPr="00C9680B">
        <w:t>de till regeringens förslag, minskning av utgiftsramen för budgetåret 2001 med 5 880 miljoner kronor och för budgetåren 2002 och 2003 med 6 795 respe</w:t>
      </w:r>
      <w:r w:rsidRPr="00C9680B">
        <w:t>k</w:t>
      </w:r>
      <w:r w:rsidRPr="00C9680B">
        <w:t xml:space="preserve">tive 8 675 miljoner kronor. </w:t>
      </w:r>
    </w:p>
    <w:p w:rsidR="001C7BF9" w:rsidRPr="00C9680B" w:rsidRDefault="001C7BF9">
      <w:r w:rsidRPr="00C9680B">
        <w:rPr>
          <w:i/>
        </w:rPr>
        <w:t>Utgiftsområde 11 Ekonomisk trygghet vid ålderdom</w:t>
      </w:r>
    </w:p>
    <w:p w:rsidR="001C7BF9" w:rsidRPr="00C9680B" w:rsidRDefault="001C7BF9">
      <w:r w:rsidRPr="00C9680B">
        <w:t>Vi anser att inkomstprövningen av änkepensionerna bör tas bort helt. Des</w:t>
      </w:r>
      <w:r w:rsidRPr="00C9680B">
        <w:t>s</w:t>
      </w:r>
      <w:r w:rsidRPr="00C9680B">
        <w:t>utom bör tiden för omställningspensionen förlängas till tolv månader redan fr.o.m. år 2001. Vidare anser vi att fritidsfastighet inte skall ingå i årsi</w:t>
      </w:r>
      <w:r w:rsidRPr="00C9680B">
        <w:t>n</w:t>
      </w:r>
      <w:r w:rsidRPr="00C9680B">
        <w:t>komsten vid beräkningen av BTP. Vi anser också att pensionstillskottet skall höjas med 200 kr åren 2001 och 2002. Därmed får enligt vår mening de ek</w:t>
      </w:r>
      <w:r w:rsidRPr="00C9680B">
        <w:t>o</w:t>
      </w:r>
      <w:r w:rsidRPr="00C9680B">
        <w:t>nomiskt sämst ställda pensionärerna en del av de förbättringar som garant</w:t>
      </w:r>
      <w:r w:rsidRPr="00C9680B">
        <w:t>i</w:t>
      </w:r>
      <w:r w:rsidRPr="00C9680B">
        <w:t>pensionen kan förväntas ge år 2003.</w:t>
      </w:r>
    </w:p>
    <w:p w:rsidR="001C7BF9" w:rsidRPr="00C9680B" w:rsidRDefault="001C7BF9">
      <w:pPr>
        <w:pStyle w:val="Normaltindrag"/>
      </w:pPr>
      <w:r w:rsidRPr="00C9680B">
        <w:t>Vi föreslår i enlighet med motion Fi209 yrkandena 6 och 7 en, i förhålla</w:t>
      </w:r>
      <w:r w:rsidRPr="00C9680B">
        <w:t>n</w:t>
      </w:r>
      <w:r w:rsidRPr="00C9680B">
        <w:t>de till regeringens förslag, ökning av utgiftsramen för budgetåret 2001 med 1 806 miljoner kronor och för budgetåren 2002 och 2003 med 1 820 respekt</w:t>
      </w:r>
      <w:r w:rsidRPr="00C9680B">
        <w:t>i</w:t>
      </w:r>
      <w:r w:rsidRPr="00C9680B">
        <w:t xml:space="preserve">ve 900 miljoner kronor.  </w:t>
      </w:r>
    </w:p>
    <w:p w:rsidR="001C7BF9" w:rsidRPr="00C9680B" w:rsidRDefault="001C7BF9">
      <w:r w:rsidRPr="00C9680B">
        <w:rPr>
          <w:i/>
        </w:rPr>
        <w:t xml:space="preserve">Utgiftsområde 12 Ekonomisk trygghet för familjer och barn </w:t>
      </w:r>
    </w:p>
    <w:p w:rsidR="001C7BF9" w:rsidRPr="00C9680B" w:rsidRDefault="001C7BF9">
      <w:r w:rsidRPr="00C9680B">
        <w:t>Vi anser att ersättningen inom föräldraförsäkringen skall beräknas på de senaste två årens inkomster samt att skattepliktiga förmåner och semestere</w:t>
      </w:r>
      <w:r w:rsidRPr="00C9680B">
        <w:t>r</w:t>
      </w:r>
      <w:r w:rsidRPr="00C9680B">
        <w:t>sättning skall ingå. Vidare bör enligt vår mening garantinivån i föräldrape</w:t>
      </w:r>
      <w:r w:rsidRPr="00C9680B">
        <w:t>n</w:t>
      </w:r>
      <w:r w:rsidRPr="00C9680B">
        <w:t xml:space="preserve">ningen höjas från 60 kr till 150 kr per dag. </w:t>
      </w:r>
    </w:p>
    <w:p w:rsidR="001C7BF9" w:rsidRPr="00C9680B" w:rsidRDefault="001C7BF9">
      <w:pPr>
        <w:pStyle w:val="Normaltindrag"/>
      </w:pPr>
      <w:r w:rsidRPr="00C9680B">
        <w:t xml:space="preserve">Vi anser att barnbidraget bör höjas till 925 kr per barn och månad fr.o.m. 2001 samtidigt som medel överförs till förbättringar av bostadsbidraget inom utgiftsområde 18. Flerbarnstillägget behålls enligt nuvarande modell. I stället för fortsatta barnbidragshöjningar bör en statlig skattereduktion införas för varje barn upp till 16 år. Reduktionen bör uppgå till 25 kr per barn och månad </w:t>
      </w:r>
      <w:r w:rsidRPr="00C9680B">
        <w:t>2001 för att höjas till 100 kr 2002 och till 150 kr 2003.</w:t>
      </w:r>
    </w:p>
    <w:p w:rsidR="001C7BF9" w:rsidRPr="00C9680B" w:rsidRDefault="001C7BF9">
      <w:pPr>
        <w:pStyle w:val="Normaltindrag"/>
      </w:pPr>
      <w:r w:rsidRPr="00C9680B">
        <w:t xml:space="preserve">Vi anser också att vårdbidrag skall kunna utges till biståndsarbetare med funktionshindrade barn. </w:t>
      </w:r>
    </w:p>
    <w:p w:rsidR="001C7BF9" w:rsidRPr="00C9680B" w:rsidRDefault="001C7BF9">
      <w:pPr>
        <w:pStyle w:val="Normaltindrag"/>
      </w:pPr>
      <w:r w:rsidRPr="00C9680B">
        <w:t>Dessutom bör ett barnomsorgskonto införas fr.o.m. 2002 på 40 000 kr för barn som fyllt ett år. Samtidigt bör avdrag medges för styrkta barnomsorg</w:t>
      </w:r>
      <w:r w:rsidRPr="00C9680B">
        <w:t>s</w:t>
      </w:r>
      <w:r w:rsidRPr="00C9680B">
        <w:t>kostnader på högst 50 000 kr per år samt de 90 garantidagarna i föräldrafö</w:t>
      </w:r>
      <w:r w:rsidRPr="00C9680B">
        <w:t>r</w:t>
      </w:r>
      <w:r w:rsidRPr="00C9680B">
        <w:t xml:space="preserve">säkringen slopas. </w:t>
      </w:r>
    </w:p>
    <w:p w:rsidR="001C7BF9" w:rsidRPr="00C9680B" w:rsidRDefault="001C7BF9">
      <w:pPr>
        <w:pStyle w:val="Normaltindrag"/>
      </w:pPr>
      <w:r w:rsidRPr="00C9680B">
        <w:t>Vi motsätter oss slutligen den extramånad i föräldraförsäkringen som reg</w:t>
      </w:r>
      <w:r w:rsidRPr="00C9680B">
        <w:t>e</w:t>
      </w:r>
      <w:r w:rsidRPr="00C9680B">
        <w:t>ringen avser att föreslå i en proposition under hö</w:t>
      </w:r>
      <w:r w:rsidRPr="00C9680B">
        <w:t>s</w:t>
      </w:r>
      <w:r w:rsidRPr="00C9680B">
        <w:t>ten.</w:t>
      </w:r>
    </w:p>
    <w:p w:rsidR="001C7BF9" w:rsidRPr="00C9680B" w:rsidRDefault="001C7BF9">
      <w:pPr>
        <w:pStyle w:val="Normaltindrag"/>
      </w:pPr>
      <w:r w:rsidRPr="00C9680B">
        <w:t>Vi föreslår i enlighet med motion Fi209 yrkandena 6 och 7 en, i förhålla</w:t>
      </w:r>
      <w:r w:rsidRPr="00C9680B">
        <w:t>n</w:t>
      </w:r>
      <w:r w:rsidRPr="00C9680B">
        <w:t xml:space="preserve">de till regeringens förslag, minskning av utgiftsramen för budgetåret 2001 med 845 miljoner kronor och för budgetåren 2002 och 2003 ökningar med 846 respektive 746 miljoner kronor. </w:t>
      </w:r>
    </w:p>
    <w:p w:rsidR="001C7BF9" w:rsidRPr="00C9680B" w:rsidRDefault="001C7BF9">
      <w:r w:rsidRPr="00C9680B">
        <w:rPr>
          <w:i/>
        </w:rPr>
        <w:t>Statsbudgetens inkomster</w:t>
      </w:r>
    </w:p>
    <w:p w:rsidR="001C7BF9" w:rsidRPr="00C9680B" w:rsidRDefault="001C7BF9">
      <w:r w:rsidRPr="00C9680B">
        <w:t>Vi avvisar regeringens förslag om sänkta arbetsgivaravgifter med 0,1 pr</w:t>
      </w:r>
      <w:r w:rsidRPr="00C9680B">
        <w:t>o</w:t>
      </w:r>
      <w:r w:rsidRPr="00C9680B">
        <w:t>centenheter, vilket ökar inkomsterna med 0,76 miljarder kronor. Vidare bör enligt vår mening arbetsgivaravgiften höjas med 0,18 procentenheter till följd av att en ytterligare karensdag införs. Detta ökar inkomsterna med 1,77 mi</w:t>
      </w:r>
      <w:r w:rsidRPr="00C9680B">
        <w:t>l</w:t>
      </w:r>
      <w:r w:rsidRPr="00C9680B">
        <w:t>jarder kr</w:t>
      </w:r>
      <w:r w:rsidRPr="00C9680B">
        <w:t>o</w:t>
      </w:r>
      <w:r w:rsidRPr="00C9680B">
        <w:t>nor.</w:t>
      </w:r>
    </w:p>
    <w:p w:rsidR="001C7BF9" w:rsidRPr="00C9680B" w:rsidRDefault="001C7BF9">
      <w:pPr>
        <w:pStyle w:val="Normaltindrag"/>
      </w:pPr>
      <w:r w:rsidRPr="00C9680B">
        <w:t xml:space="preserve">Enligt vår mening bör arbetsgivaravgifterna sänkas med 10 procentenheter på lönesummor upp till 900 000 kr per år fr.o.m. år 2002. För egenföretagare bör den nedsättningsbaserade lönesumman utökas till 250 000 kr per år. </w:t>
      </w:r>
    </w:p>
    <w:p w:rsidR="001C7BF9" w:rsidRPr="00C9680B" w:rsidRDefault="001C7BF9">
      <w:pPr>
        <w:pStyle w:val="Normaltindrag"/>
      </w:pPr>
      <w:r w:rsidRPr="00C9680B">
        <w:t>Vi anser att riksdagen, såvitt avser socialavgifter och allmän pensionsa</w:t>
      </w:r>
      <w:r w:rsidRPr="00C9680B">
        <w:t>v</w:t>
      </w:r>
      <w:r w:rsidRPr="00C9680B">
        <w:t>gift, för budgetåret 2001 i enlighet härmed skall göra ändringar i regeringens beräkning av statsbudgetens inkomster. Med det anförda tillstyrker vi moti</w:t>
      </w:r>
      <w:r w:rsidRPr="00C9680B">
        <w:t>o</w:t>
      </w:r>
      <w:r w:rsidRPr="00C9680B">
        <w:t xml:space="preserve">nerna Fi209 yrkande 5, N324 yrkande 6 samt Sk323 yrkandena 1 och 22–24. </w:t>
      </w:r>
    </w:p>
    <w:p w:rsidR="001C7BF9" w:rsidRPr="00C9680B" w:rsidRDefault="001C7BF9">
      <w:pPr>
        <w:pStyle w:val="Normaltindrag"/>
      </w:pPr>
    </w:p>
    <w:p w:rsidR="001C7BF9" w:rsidRPr="00C9680B" w:rsidRDefault="001C7BF9">
      <w:r w:rsidRPr="00C9680B">
        <w:t>3. Birgitta Carlsson (c) anser att utskottets yttrande i nedan angivna avsee</w:t>
      </w:r>
      <w:r w:rsidRPr="00C9680B">
        <w:t>n</w:t>
      </w:r>
      <w:r w:rsidRPr="00C9680B">
        <w:t>den bort ha följande lydelse:</w:t>
      </w:r>
    </w:p>
    <w:p w:rsidR="001C7BF9" w:rsidRPr="00C9680B" w:rsidRDefault="001C7BF9">
      <w:r w:rsidRPr="00C9680B">
        <w:rPr>
          <w:i/>
        </w:rPr>
        <w:t>Utgiftsområde 8 Invandrare och flyktingar</w:t>
      </w:r>
    </w:p>
    <w:p w:rsidR="001C7BF9" w:rsidRPr="00C9680B" w:rsidRDefault="001C7BF9">
      <w:r w:rsidRPr="00C9680B">
        <w:t>Integrationspolitiken måste bli en del av tillväxtpolitiken. Regeringens sto</w:t>
      </w:r>
      <w:r w:rsidRPr="00C9680B">
        <w:t>r</w:t>
      </w:r>
      <w:r w:rsidRPr="00C9680B">
        <w:t>stadssatsningar präglas i stället av en kortsiktig politik med enstaka insatser och den har karaktären av ”gåvogivande”, i stället för att använda människors kraft och möjligheter. Utvecklingen måste komma underifrån. Vi tror inte att regeringens centralt dirigerade projekt leder till långsiktig förbättring. Och, som regeringen påpekar i sin analys, så riskerar projekten att bli en del av en projektverksamhet vid sidan av kommunernas ordinarie verksamhet. Mot bakgrund av detta bör anslag 11:1, Utvecklingsi</w:t>
      </w:r>
      <w:r w:rsidRPr="00C9680B">
        <w:t>nsatser i storstadsregionerna, minskas med 265 miljoner kronor. Vidare anser vi att förkortade handläg</w:t>
      </w:r>
      <w:r w:rsidRPr="00C9680B">
        <w:t>g</w:t>
      </w:r>
      <w:r w:rsidRPr="00C9680B">
        <w:t>ningstider vid flyktingmottagandet och ökade insatser för att få människor i arbete möjliggör stora besparingar inom utgiftsområdet. Slutligen anser vi att Utlänningsnämnden bör avvecklas och att asylärendena bör överföras till förval</w:t>
      </w:r>
      <w:r w:rsidRPr="00C9680B">
        <w:t>t</w:t>
      </w:r>
      <w:r w:rsidRPr="00C9680B">
        <w:t>ningsdomstolarna.</w:t>
      </w:r>
    </w:p>
    <w:p w:rsidR="001C7BF9" w:rsidRPr="00C9680B" w:rsidRDefault="001C7BF9">
      <w:pPr>
        <w:pStyle w:val="Normaltindrag"/>
      </w:pPr>
      <w:r w:rsidRPr="00C9680B">
        <w:t>Vi föreslår i enlighet med motion Fi210 yrkandena 4 och 5 en, i förhålla</w:t>
      </w:r>
      <w:r w:rsidRPr="00C9680B">
        <w:t>n</w:t>
      </w:r>
      <w:r w:rsidRPr="00C9680B">
        <w:t>de till regeringens förslag, minskning av utgiftsramen för budgetåret 2001 med 535 miljoner kronor och för budgetåren 2002 och 2003 med 386 respe</w:t>
      </w:r>
      <w:r w:rsidRPr="00C9680B">
        <w:t>k</w:t>
      </w:r>
      <w:r w:rsidRPr="00C9680B">
        <w:t>tive 513 miljoner kronor.</w:t>
      </w:r>
    </w:p>
    <w:p w:rsidR="001C7BF9" w:rsidRPr="00C9680B" w:rsidRDefault="001C7BF9">
      <w:r w:rsidRPr="00C9680B">
        <w:rPr>
          <w:i/>
        </w:rPr>
        <w:t>Utgiftsområde 10 Ekonomisk trygghet vid sjukdom och handikapp</w:t>
      </w:r>
    </w:p>
    <w:p w:rsidR="001C7BF9" w:rsidRPr="00C9680B" w:rsidRDefault="001C7BF9">
      <w:r w:rsidRPr="00C9680B">
        <w:t>Enligt vår mening krävs en rad åtgärder för att minska sjukpenningkostnade</w:t>
      </w:r>
      <w:r w:rsidRPr="00C9680B">
        <w:t>r</w:t>
      </w:r>
      <w:r w:rsidRPr="00C9680B">
        <w:t>na och ge människor en möjlighet att återkomma till arbetslivet. Vi föreslår därför bl.a. att en aktiv rehabilitering knyts till individen genom finansiell samordning, att sjuklöneperioden inom den offentliga sektorn förlängs till två månader och en övergång från passivt stöd till aktiva insatser genom en vä</w:t>
      </w:r>
      <w:r w:rsidRPr="00C9680B">
        <w:t>x</w:t>
      </w:r>
      <w:r w:rsidRPr="00C9680B">
        <w:t>ling från sjukförsäkringen till rehabiliteringsersättning och rehabilitering</w:t>
      </w:r>
      <w:r w:rsidRPr="00C9680B">
        <w:t>s</w:t>
      </w:r>
      <w:r w:rsidRPr="00C9680B">
        <w:t>stöd. Anslaget för rehabiliteringsutredningar måste öka för att fler skall få rehabilitering. Förutom detta anser vi att den</w:t>
      </w:r>
      <w:r w:rsidRPr="00C9680B">
        <w:t xml:space="preserve"> sjukpenninggrundande inkom</w:t>
      </w:r>
      <w:r w:rsidRPr="00C9680B">
        <w:t>s</w:t>
      </w:r>
      <w:r w:rsidRPr="00C9680B">
        <w:t xml:space="preserve">ten bör förändras så att den baseras på ett genomsnitt av de två senaste årens inkomster. </w:t>
      </w:r>
    </w:p>
    <w:p w:rsidR="001C7BF9" w:rsidRPr="00C9680B" w:rsidRDefault="001C7BF9">
      <w:pPr>
        <w:pStyle w:val="Normaltindrag"/>
      </w:pPr>
      <w:r w:rsidRPr="00C9680B">
        <w:t>Vi föreslår i enlighet med motion Fi210 yrkandena 4 och 5 en, i förhålla</w:t>
      </w:r>
      <w:r w:rsidRPr="00C9680B">
        <w:t>n</w:t>
      </w:r>
      <w:r w:rsidRPr="00C9680B">
        <w:t xml:space="preserve">de till regeringens förslag, minskning av utgiftsramen för budgetåret 2001 med 4 693 miljoner kronor och för budgetåren 2002 och 2003 med 5 270 respektive 5 800 miljoner kronor.  </w:t>
      </w:r>
    </w:p>
    <w:p w:rsidR="001C7BF9" w:rsidRPr="00C9680B" w:rsidRDefault="001C7BF9">
      <w:r w:rsidRPr="00C9680B">
        <w:rPr>
          <w:i/>
        </w:rPr>
        <w:br w:type="page"/>
        <w:t>Utgiftsområde 11 Ekonomisk trygghet vid ålderdom</w:t>
      </w:r>
    </w:p>
    <w:p w:rsidR="001C7BF9" w:rsidRPr="00C9680B" w:rsidRDefault="001C7BF9">
      <w:r w:rsidRPr="00C9680B">
        <w:t>Vi anser att i stället för de av regeringen föreslagna ändringarna vad gäller BTP och SBTP bör pensionstillskottet höjas med 3 000 kr per år. En sådan generell höjning kommer enligt vår uppfattning fler låginkomstpensionärer till del, och däribland återfinns många äldre kvinnor. En höjning av pe</w:t>
      </w:r>
      <w:r w:rsidRPr="00C9680B">
        <w:t>n</w:t>
      </w:r>
      <w:r w:rsidRPr="00C9680B">
        <w:t xml:space="preserve">sionstillskottet leder också till att BTP ökar eftersom inkomstavdraget då minskar. </w:t>
      </w:r>
    </w:p>
    <w:p w:rsidR="001C7BF9" w:rsidRPr="00C9680B" w:rsidRDefault="001C7BF9">
      <w:pPr>
        <w:pStyle w:val="Normaltindrag"/>
      </w:pPr>
      <w:r w:rsidRPr="00C9680B">
        <w:t>Vi föreslår i enlighet med motion Fi210 yrkandena 4 och 5 en, i förhålla</w:t>
      </w:r>
      <w:r w:rsidRPr="00C9680B">
        <w:t>n</w:t>
      </w:r>
      <w:r w:rsidRPr="00C9680B">
        <w:t xml:space="preserve">de till regeringens förslag, ökning av utgiftsramen för budgetåret 2001 med 341 miljoner kronor och för budgetåren 2002 och 2003 med 359 respektive 1 000 miljoner kronor. </w:t>
      </w:r>
    </w:p>
    <w:p w:rsidR="001C7BF9" w:rsidRPr="00C9680B" w:rsidRDefault="001C7BF9">
      <w:r w:rsidRPr="00C9680B">
        <w:rPr>
          <w:i/>
        </w:rPr>
        <w:t xml:space="preserve">Utgiftsområde 12 Ekonomisk trygghet för familjer och barn </w:t>
      </w:r>
    </w:p>
    <w:p w:rsidR="001C7BF9" w:rsidRPr="00C9680B" w:rsidRDefault="001C7BF9">
      <w:r w:rsidRPr="00C9680B">
        <w:t>Vi anser att garantinivån i föräldrapenningen skall höjas till 200 kr per dag fr.o.m. 2001. Höjningen av grundnivån i föräldrapenningen får flera positiva effekter som inte påverkar detta utgiftsområde, bl.a. minskar utgifterna för socialbidrag och bostadsbidrag. Vidare bör ersättningarna i föräldraförsä</w:t>
      </w:r>
      <w:r w:rsidRPr="00C9680B">
        <w:t>k</w:t>
      </w:r>
      <w:r w:rsidRPr="00C9680B">
        <w:t>ringen beräknas på ett genomsnitt av de två senaste årens i</w:t>
      </w:r>
      <w:r w:rsidRPr="00C9680B">
        <w:t>n</w:t>
      </w:r>
      <w:r w:rsidRPr="00C9680B">
        <w:t>komster.</w:t>
      </w:r>
    </w:p>
    <w:p w:rsidR="001C7BF9" w:rsidRPr="00C9680B" w:rsidRDefault="001C7BF9">
      <w:pPr>
        <w:pStyle w:val="Normaltindrag"/>
      </w:pPr>
      <w:r w:rsidRPr="00C9680B">
        <w:t xml:space="preserve">Vi förordar vidare att ett barnomsorgskonto införs fr.o.m. 2002 på 40 000 kr att användas under barnens förskoleår. Samtidigt bör en avdragsrätt för styrkta barnomsorgskostnader införas på högst 50 000 kr samt avdrag medges för resor till och från barnomsorg vid beskattningen. </w:t>
      </w:r>
    </w:p>
    <w:p w:rsidR="001C7BF9" w:rsidRPr="00C9680B" w:rsidRDefault="001C7BF9">
      <w:pPr>
        <w:pStyle w:val="Normaltindrag"/>
      </w:pPr>
      <w:r w:rsidRPr="00C9680B">
        <w:t>Vi avvisar slutligen att en extra månad införs i föräldraförsäkrin</w:t>
      </w:r>
      <w:r w:rsidRPr="00C9680B">
        <w:t>g</w:t>
      </w:r>
      <w:r w:rsidRPr="00C9680B">
        <w:t xml:space="preserve">en. </w:t>
      </w:r>
    </w:p>
    <w:p w:rsidR="001C7BF9" w:rsidRPr="00C9680B" w:rsidRDefault="001C7BF9">
      <w:pPr>
        <w:pStyle w:val="Normaltindrag"/>
      </w:pPr>
      <w:r w:rsidRPr="00C9680B">
        <w:t>Vi föreslår i enlighet med motion Fi210 yrkandena 4 och 5 en, i förhålla</w:t>
      </w:r>
      <w:r w:rsidRPr="00C9680B">
        <w:t>n</w:t>
      </w:r>
      <w:r w:rsidRPr="00C9680B">
        <w:t>de till regeringens förslag, ökning av utgiftsramen för budgetåret 2001 med 570 miljoner kronor och för budgetåren 2002 och 2003 med 3 050 respektive 3 040 milj</w:t>
      </w:r>
      <w:r w:rsidRPr="00C9680B">
        <w:t>o</w:t>
      </w:r>
      <w:r w:rsidRPr="00C9680B">
        <w:t>ner kronor.</w:t>
      </w:r>
    </w:p>
    <w:p w:rsidR="001C7BF9" w:rsidRPr="00C9680B" w:rsidRDefault="001C7BF9">
      <w:r w:rsidRPr="00C9680B">
        <w:rPr>
          <w:i/>
        </w:rPr>
        <w:t>Statsbudgetens inkomster</w:t>
      </w:r>
    </w:p>
    <w:p w:rsidR="001C7BF9" w:rsidRPr="00C9680B" w:rsidRDefault="001C7BF9">
      <w:r w:rsidRPr="00C9680B">
        <w:t>Vi anser att nedsättningen av arbetsgivaravgifterna skall utökas till 10 pr</w:t>
      </w:r>
      <w:r w:rsidRPr="00C9680B">
        <w:t>o</w:t>
      </w:r>
      <w:r w:rsidRPr="00C9680B">
        <w:t>centenheter på ett oförändrat underlag. Inkomsterna minskar med 5,53 milja</w:t>
      </w:r>
      <w:r w:rsidRPr="00C9680B">
        <w:t>r</w:t>
      </w:r>
      <w:r w:rsidRPr="00C9680B">
        <w:t>der kronor med detta förslag. Regeringens förslag till sänkning av arbetsg</w:t>
      </w:r>
      <w:r w:rsidRPr="00C9680B">
        <w:t>i</w:t>
      </w:r>
      <w:r w:rsidRPr="00C9680B">
        <w:t>varavgifterna med 0,1 procentenheter avvisas, vilket ger 0,76 miljarder kronor i ökade inkomster. För att kompensera en förlängd sjuklöneperiod i offentliga sektorn bör enligt vår mening arbetsgivaravgifterna sänkas med 0,7 proce</w:t>
      </w:r>
      <w:r w:rsidRPr="00C9680B">
        <w:t>n</w:t>
      </w:r>
      <w:r w:rsidRPr="00C9680B">
        <w:t xml:space="preserve">tenheter. Förslaget minskar inkomsterna med 2 miljarder kronor. Slutligen anser vi att ett nettostödsystem bör införas inom svensk </w:t>
      </w:r>
      <w:r w:rsidRPr="00C9680B">
        <w:t>sjöfart. Varken i</w:t>
      </w:r>
      <w:r w:rsidRPr="00C9680B">
        <w:t>n</w:t>
      </w:r>
      <w:r w:rsidRPr="00C9680B">
        <w:t>komstskatt eller sociala avgifter skall betalas för personal som arbetar på fartygen och sjöfartsstödet kan därmed tas bort. Förslaget beräknas minska statens inkomster med 1 miljard kronor.</w:t>
      </w:r>
    </w:p>
    <w:p w:rsidR="001C7BF9" w:rsidRPr="00C9680B" w:rsidRDefault="001C7BF9">
      <w:pPr>
        <w:pStyle w:val="Normaltindrag"/>
      </w:pPr>
      <w:r w:rsidRPr="00C9680B">
        <w:t>Vi anser att riksdagen, såvitt avser socialavgifter och allmän pensionsa</w:t>
      </w:r>
      <w:r w:rsidRPr="00C9680B">
        <w:t>v</w:t>
      </w:r>
      <w:r w:rsidRPr="00C9680B">
        <w:t>gift, för budgetåret 2001 i enlighet härmed skall göra ändringar i regeringens beräkning av statsbudgetens inkomster. Med det anförda tillstyrker vi moti</w:t>
      </w:r>
      <w:r w:rsidRPr="00C9680B">
        <w:t>o</w:t>
      </w:r>
      <w:r w:rsidRPr="00C9680B">
        <w:t xml:space="preserve">nerna Fi210 yrkande 3 samt Sk321 yrkandena 18, 24 och 25. </w:t>
      </w:r>
    </w:p>
    <w:p w:rsidR="001C7BF9" w:rsidRPr="00C9680B" w:rsidRDefault="001C7BF9">
      <w:pPr>
        <w:pStyle w:val="Normaltindrag"/>
      </w:pPr>
    </w:p>
    <w:p w:rsidR="001C7BF9" w:rsidRPr="00C9680B" w:rsidRDefault="001C7BF9">
      <w:r w:rsidRPr="00C9680B">
        <w:t>4. Bo Könberg (fp) anser att utskottets yttrande i nedan angivna avseende bort ha följande lydelse:</w:t>
      </w:r>
    </w:p>
    <w:p w:rsidR="001C7BF9" w:rsidRPr="00C9680B" w:rsidRDefault="001C7BF9">
      <w:r w:rsidRPr="00C9680B">
        <w:rPr>
          <w:i/>
        </w:rPr>
        <w:t>Utgiftsområde 8 Invandrare och flyktingar</w:t>
      </w:r>
    </w:p>
    <w:p w:rsidR="001C7BF9" w:rsidRPr="00C9680B" w:rsidRDefault="001C7BF9">
      <w:r w:rsidRPr="00C9680B">
        <w:t>Vi anser att en dominerande del av de projekt som finansieras inom anslaget 11:1, Utvecklingsinsatser i storstadsregionerna, inte haft en tillfredsställande effektivitet och förankring bland de berörda och anser därför att en minskning av anslaget bör ske. Vi anser också att integrationen inte är en process som kan styras uppifrån och att Integrationsverket därför kan läggas ned.</w:t>
      </w:r>
    </w:p>
    <w:p w:rsidR="001C7BF9" w:rsidRPr="00C9680B" w:rsidRDefault="001C7BF9">
      <w:pPr>
        <w:pStyle w:val="Normaltindrag"/>
      </w:pPr>
      <w:r w:rsidRPr="00C9680B">
        <w:t>Vi föreslår i enlighet med motion Fi211 yrkandena 6 och 8 en, i förhålla</w:t>
      </w:r>
      <w:r w:rsidRPr="00C9680B">
        <w:t>n</w:t>
      </w:r>
      <w:r w:rsidRPr="00C9680B">
        <w:t>de till regeringens förslag, minskning av utgiftsramen för budgetåret 2001 med 442 miljoner kronor och för budgetåren 2002 och 2003 med 201 respe</w:t>
      </w:r>
      <w:r w:rsidRPr="00C9680B">
        <w:t>k</w:t>
      </w:r>
      <w:r w:rsidRPr="00C9680B">
        <w:t xml:space="preserve">tive 317 miljoner kronor. </w:t>
      </w:r>
    </w:p>
    <w:p w:rsidR="001C7BF9" w:rsidRPr="00C9680B" w:rsidRDefault="001C7BF9">
      <w:pPr>
        <w:outlineLvl w:val="0"/>
      </w:pPr>
      <w:r w:rsidRPr="00C9680B">
        <w:rPr>
          <w:i/>
        </w:rPr>
        <w:t>Utgiftsområde 10 Ekonomisk trygghet vid sjukdom och handikapp</w:t>
      </w:r>
    </w:p>
    <w:p w:rsidR="001C7BF9" w:rsidRPr="00C9680B" w:rsidRDefault="001C7BF9">
      <w:r w:rsidRPr="00C9680B">
        <w:t>Vi anser att närståendevården bör förbättras bl.a. genom att rätten till förm</w:t>
      </w:r>
      <w:r w:rsidRPr="00C9680B">
        <w:t>å</w:t>
      </w:r>
      <w:r w:rsidRPr="00C9680B">
        <w:t>nen och den därtill kopplade ledigheten förlängs från 60 till 120 dagar. Vidare bör den del av sjukförsäkringens kostnader som hänför sig till trafikskador bäras av trafikförsäkringen. Enligt vår mening måste aktiva åtgärder vidtas för att stärka rehabiliteringen, och försäkringskassorna bör tillföras ytterligare medel för att kunna ge en effektivare rehabilitering och bättre övervaka u</w:t>
      </w:r>
      <w:r w:rsidRPr="00C9680B">
        <w:t>t</w:t>
      </w:r>
      <w:r w:rsidRPr="00C9680B">
        <w:t>nyttjandet av socialförsäkringarna. Detta ger besparingar för sjukförsäkringen och förtidspensionerna. Slutligen anser vi</w:t>
      </w:r>
      <w:r w:rsidRPr="00C9680B">
        <w:t xml:space="preserve"> att finansiell samordning mellan sjukförsäkring och sjukvård kan ge betydande besparingar i sjukförsäkrin</w:t>
      </w:r>
      <w:r w:rsidRPr="00C9680B">
        <w:t>g</w:t>
      </w:r>
      <w:r w:rsidRPr="00C9680B">
        <w:t>en.</w:t>
      </w:r>
    </w:p>
    <w:p w:rsidR="001C7BF9" w:rsidRPr="00C9680B" w:rsidRDefault="001C7BF9">
      <w:pPr>
        <w:pStyle w:val="Normaltindrag"/>
      </w:pPr>
      <w:r w:rsidRPr="00C9680B">
        <w:t>Vi föreslår i enlighet med motion Fi211 yrkandena 6 och 8 en, i förhålla</w:t>
      </w:r>
      <w:r w:rsidRPr="00C9680B">
        <w:t>n</w:t>
      </w:r>
      <w:r w:rsidRPr="00C9680B">
        <w:t>de till regeringens förslag, minskning av utgiftsramen för budgetåret 2001 med 4 740 miljoner kronor och för budgetåren 2002 och 2003 med 6 035 respektive 7 880 milj</w:t>
      </w:r>
      <w:r w:rsidRPr="00C9680B">
        <w:t>o</w:t>
      </w:r>
      <w:r w:rsidRPr="00C9680B">
        <w:t xml:space="preserve">ner kronor.  </w:t>
      </w:r>
    </w:p>
    <w:p w:rsidR="001C7BF9" w:rsidRPr="00C9680B" w:rsidRDefault="001C7BF9">
      <w:pPr>
        <w:outlineLvl w:val="0"/>
      </w:pPr>
      <w:r w:rsidRPr="00C9680B">
        <w:rPr>
          <w:i/>
        </w:rPr>
        <w:t>Utgiftsområde 11 Ekonomisk trygghet vid ålderdom</w:t>
      </w:r>
    </w:p>
    <w:p w:rsidR="001C7BF9" w:rsidRPr="00C9680B" w:rsidRDefault="001C7BF9">
      <w:r w:rsidRPr="00C9680B">
        <w:t>Enligt vår mening bör inkomstprövningen av änkepensionen slopas och tiden för omställningspensionen utökas till tolv månader. Vi anser vidare att fritid</w:t>
      </w:r>
      <w:r w:rsidRPr="00C9680B">
        <w:t>s</w:t>
      </w:r>
      <w:r w:rsidRPr="00C9680B">
        <w:t>fastigheter inte skall ingå i årsinkomsten vid beräkning av BTP.</w:t>
      </w:r>
    </w:p>
    <w:p w:rsidR="001C7BF9" w:rsidRPr="00C9680B" w:rsidRDefault="001C7BF9">
      <w:pPr>
        <w:pStyle w:val="Normaltindrag"/>
      </w:pPr>
      <w:r w:rsidRPr="00C9680B">
        <w:t>Vi föreslår i enlighet med motion Fi211 yrkandena 6 och 8 en, i förhålla</w:t>
      </w:r>
      <w:r w:rsidRPr="00C9680B">
        <w:t>n</w:t>
      </w:r>
      <w:r w:rsidRPr="00C9680B">
        <w:t xml:space="preserve">de till regeringens förslag, ökning av utgiftsramen för budgetåret 2001 med 835 miljoner kronor och för budgetåren 2002 och 2003 med 840 respektive 850 miljoner kronor. </w:t>
      </w:r>
    </w:p>
    <w:p w:rsidR="001C7BF9" w:rsidRPr="00C9680B" w:rsidRDefault="001C7BF9">
      <w:pPr>
        <w:outlineLvl w:val="0"/>
      </w:pPr>
      <w:r w:rsidRPr="00C9680B">
        <w:rPr>
          <w:i/>
        </w:rPr>
        <w:t xml:space="preserve">Utgiftsområde 12 Ekonomisk trygghet för familjer och barn </w:t>
      </w:r>
    </w:p>
    <w:p w:rsidR="001C7BF9" w:rsidRPr="00C9680B" w:rsidRDefault="001C7BF9">
      <w:r w:rsidRPr="00C9680B">
        <w:t>Vi föreslår att ersättningsnivån för de s.k. mamma- och pappamånaderna höjs till 90 % av den sjukpenninggrundande inkomsten och att garantinivån i fö</w:t>
      </w:r>
      <w:r w:rsidRPr="00C9680B">
        <w:t>r</w:t>
      </w:r>
      <w:r w:rsidRPr="00C9680B">
        <w:t>äldraförsäkringen höjs till 150 kr per dag. Enligt vår mening kan vissa besp</w:t>
      </w:r>
      <w:r w:rsidRPr="00C9680B">
        <w:t>a</w:t>
      </w:r>
      <w:r w:rsidRPr="00C9680B">
        <w:t>ringar göras inom föräldraförsäkringen genom att dels slopa de dagar som ersätts enbart på garantinivå, dels vidta åtgärder mot överutnyttjande av fö</w:t>
      </w:r>
      <w:r w:rsidRPr="00C9680B">
        <w:t>r</w:t>
      </w:r>
      <w:r w:rsidRPr="00C9680B">
        <w:t>säkrin</w:t>
      </w:r>
      <w:r w:rsidRPr="00C9680B">
        <w:t>g</w:t>
      </w:r>
      <w:r w:rsidRPr="00C9680B">
        <w:t xml:space="preserve">en. </w:t>
      </w:r>
    </w:p>
    <w:p w:rsidR="001C7BF9" w:rsidRPr="00C9680B" w:rsidRDefault="001C7BF9">
      <w:pPr>
        <w:pStyle w:val="Normaltindrag"/>
      </w:pPr>
      <w:r w:rsidRPr="00C9680B">
        <w:t>Även inom underhållsstödet kan enligt vår uppfattning utgifterna hållas tillbaka genom att markera det gemensamma fö</w:t>
      </w:r>
      <w:r w:rsidRPr="00C9680B">
        <w:t>r</w:t>
      </w:r>
      <w:r w:rsidRPr="00C9680B">
        <w:t xml:space="preserve">äldraansvaret. </w:t>
      </w:r>
    </w:p>
    <w:p w:rsidR="001C7BF9" w:rsidRPr="00C9680B" w:rsidRDefault="001C7BF9">
      <w:pPr>
        <w:pStyle w:val="Normaltindrag"/>
      </w:pPr>
      <w:r w:rsidRPr="00C9680B">
        <w:t>Vidare föreslår vi en växling av en del av det inkomstprövade bostadsb</w:t>
      </w:r>
      <w:r w:rsidRPr="00C9680B">
        <w:t>i</w:t>
      </w:r>
      <w:r w:rsidRPr="00C9680B">
        <w:t>draget mot ett generellt barnstöd i form av sänkt skatt. Barnstödet skall i övrigt motsvaras av den av regeringen föreslagna barnbidragshöjningen samt utö</w:t>
      </w:r>
      <w:r w:rsidRPr="00C9680B">
        <w:t>k</w:t>
      </w:r>
      <w:r w:rsidRPr="00C9680B">
        <w:t xml:space="preserve">as med 500 kr per barn och år. </w:t>
      </w:r>
    </w:p>
    <w:p w:rsidR="001C7BF9" w:rsidRPr="00C9680B" w:rsidRDefault="001C7BF9">
      <w:pPr>
        <w:pStyle w:val="Normaltindrag"/>
      </w:pPr>
      <w:r w:rsidRPr="00C9680B">
        <w:t xml:space="preserve">Vi anser vidare att ett barnomsorgskonto på 40 000 kr skall införas fr.o.m. 2002 att användas under barnets förskoletid liksom att avdrag skall medges för styrkta barnomsorgskostnader på högst 50 000 kr per barn och år.  </w:t>
      </w:r>
    </w:p>
    <w:p w:rsidR="001C7BF9" w:rsidRPr="00C9680B" w:rsidRDefault="001C7BF9">
      <w:pPr>
        <w:pStyle w:val="Normaltindrag"/>
      </w:pPr>
      <w:r w:rsidRPr="00C9680B">
        <w:t xml:space="preserve">Slutligen avvisar vi en utbyggnad av föräldraförsäkringen.  </w:t>
      </w:r>
    </w:p>
    <w:p w:rsidR="001C7BF9" w:rsidRPr="00C9680B" w:rsidRDefault="001C7BF9">
      <w:pPr>
        <w:pStyle w:val="Normaltindrag"/>
      </w:pPr>
      <w:r w:rsidRPr="00C9680B">
        <w:t>Vi föreslår i enlighet med motion Fi211 yrkandena 6 och 8 en, i förhålla</w:t>
      </w:r>
      <w:r w:rsidRPr="00C9680B">
        <w:t>n</w:t>
      </w:r>
      <w:r w:rsidRPr="00C9680B">
        <w:t>de till regeringens förslag, minskning av utgiftsramen för budgetåret 2001 med 2 300 miljoner kronor och för budgetåren 2002 och 2003 ökningar med 75 respektive 50 milj</w:t>
      </w:r>
      <w:r w:rsidRPr="00C9680B">
        <w:t>o</w:t>
      </w:r>
      <w:r w:rsidRPr="00C9680B">
        <w:t>ner kronor.</w:t>
      </w:r>
    </w:p>
    <w:p w:rsidR="001C7BF9" w:rsidRPr="00C9680B" w:rsidRDefault="001C7BF9">
      <w:pPr>
        <w:outlineLvl w:val="0"/>
      </w:pPr>
      <w:r w:rsidRPr="00C9680B">
        <w:rPr>
          <w:i/>
        </w:rPr>
        <w:t>Statsbudgetens inkomster</w:t>
      </w:r>
    </w:p>
    <w:p w:rsidR="001C7BF9" w:rsidRPr="00C9680B" w:rsidRDefault="001C7BF9">
      <w:r w:rsidRPr="00C9680B">
        <w:t>Enligt vår mening bör arbetsgivar- och egenavgifterna i tjänstesektorn sänkas med 2 procentenheter år 2001. Förslaget minskar statens inkomster år 2001 med 5,1 miljarder kronor. För åren därefter bör arbetsgivar- och egenavgifte</w:t>
      </w:r>
      <w:r w:rsidRPr="00C9680B">
        <w:t>r</w:t>
      </w:r>
      <w:r w:rsidRPr="00C9680B">
        <w:t>na i tjänstesektorn sänkas med 5 procentenheter.</w:t>
      </w:r>
    </w:p>
    <w:p w:rsidR="001C7BF9" w:rsidRPr="00C9680B" w:rsidRDefault="001C7BF9">
      <w:pPr>
        <w:pStyle w:val="Normaltindrag"/>
      </w:pPr>
      <w:r w:rsidRPr="00C9680B">
        <w:t>Vi anser att riksdagen, såvitt avser socialavgifter och allmän pensionsa</w:t>
      </w:r>
      <w:r w:rsidRPr="00C9680B">
        <w:t>v</w:t>
      </w:r>
      <w:r w:rsidRPr="00C9680B">
        <w:t xml:space="preserve">gift, för budgetåret 2000 i enlighet härmed skall göra ändringar i regeringens beräkning av statsbudgetens inkomster. Med det anförda tillstyrker vi motion Fi211 yrkande 5. </w:t>
      </w:r>
    </w:p>
    <w:p w:rsidR="001C7BF9" w:rsidRPr="00C9680B" w:rsidRDefault="001C7BF9">
      <w:pPr>
        <w:pStyle w:val="R1"/>
        <w:spacing w:before="480" w:after="240"/>
        <w:outlineLvl w:val="0"/>
      </w:pPr>
      <w:r w:rsidRPr="00C9680B">
        <w:t>Särskilda yttranden</w:t>
      </w:r>
    </w:p>
    <w:p w:rsidR="001C7BF9" w:rsidRPr="00C9680B" w:rsidRDefault="001C7BF9">
      <w:pPr>
        <w:outlineLvl w:val="0"/>
      </w:pPr>
      <w:r w:rsidRPr="00C9680B">
        <w:t>1. Ulla Hoffmann (v), Sven-Erik Sjöstrand (v) och Kerstin-Maria Stalin (mp) anför:</w:t>
      </w:r>
    </w:p>
    <w:p w:rsidR="001C7BF9" w:rsidRPr="00C9680B" w:rsidRDefault="001C7BF9">
      <w:r w:rsidRPr="00C9680B">
        <w:rPr>
          <w:i/>
        </w:rPr>
        <w:t>Utgiftsområde 8 Invandrare och flyktingar, kommunersättningar vid fly</w:t>
      </w:r>
      <w:r w:rsidRPr="00C9680B">
        <w:rPr>
          <w:i/>
        </w:rPr>
        <w:t>k</w:t>
      </w:r>
      <w:r w:rsidRPr="00C9680B">
        <w:rPr>
          <w:i/>
        </w:rPr>
        <w:t>tingmottagande</w:t>
      </w:r>
    </w:p>
    <w:p w:rsidR="001C7BF9" w:rsidRPr="00C9680B" w:rsidRDefault="001C7BF9">
      <w:pPr>
        <w:rPr>
          <w:snapToGrid w:val="0"/>
          <w:lang w:eastAsia="sv-SE"/>
        </w:rPr>
      </w:pPr>
      <w:r w:rsidRPr="00C9680B">
        <w:rPr>
          <w:snapToGrid w:val="0"/>
          <w:lang w:eastAsia="sv-SE"/>
        </w:rPr>
        <w:t>I betänkandet anges att Integrationsverket under 2001 skall kunna ge komm</w:t>
      </w:r>
      <w:r w:rsidRPr="00C9680B">
        <w:rPr>
          <w:snapToGrid w:val="0"/>
          <w:lang w:eastAsia="sv-SE"/>
        </w:rPr>
        <w:t>u</w:t>
      </w:r>
      <w:r w:rsidRPr="00C9680B">
        <w:rPr>
          <w:snapToGrid w:val="0"/>
          <w:lang w:eastAsia="sv-SE"/>
        </w:rPr>
        <w:t xml:space="preserve">nerna visst stimulansbidrag för att ta emot flyktingar som ursprungligen togs emot i storstäderna. I budgetpropositionen anges som bakgrund till detta att situationen i en del storstadsområden är sådan att man i många fall inte kan erbjuda vare sig enskilda eller familjer ett rimligt boende och därmed rimliga förutsättningar till en introduktion till det svenska samhället. Vidare anges att det finns många kommuner som har tillgång till goda bostadslösningar och som kan erbjuda bra introduktionsprogram. </w:t>
      </w:r>
    </w:p>
    <w:p w:rsidR="001C7BF9" w:rsidRPr="00C9680B" w:rsidRDefault="001C7BF9">
      <w:pPr>
        <w:pStyle w:val="Normaltindrag"/>
      </w:pPr>
      <w:r w:rsidRPr="00C9680B">
        <w:rPr>
          <w:snapToGrid w:val="0"/>
          <w:lang w:eastAsia="sv-SE"/>
        </w:rPr>
        <w:t>Vi</w:t>
      </w:r>
      <w:r w:rsidRPr="00C9680B">
        <w:rPr>
          <w:snapToGrid w:val="0"/>
          <w:lang w:eastAsia="sv-SE"/>
        </w:rPr>
        <w:t xml:space="preserve"> är självfallet medvetna om de regionala obalanser som råder i landet, och fullt införstådda med att flyktingar när de väljer bostadsort skall få god information om vilka fördelar som finns att bosätta sig på olika orter i Sver</w:t>
      </w:r>
      <w:r w:rsidRPr="00C9680B">
        <w:rPr>
          <w:snapToGrid w:val="0"/>
          <w:lang w:eastAsia="sv-SE"/>
        </w:rPr>
        <w:t>i</w:t>
      </w:r>
      <w:r w:rsidRPr="00C9680B">
        <w:rPr>
          <w:snapToGrid w:val="0"/>
          <w:lang w:eastAsia="sv-SE"/>
        </w:rPr>
        <w:t>ge. Satsningar på förbättrad information av sådan karaktär beskrivs på andra ställen i budgetpropositionen. Vi ser det också som självklart att de komm</w:t>
      </w:r>
      <w:r w:rsidRPr="00C9680B">
        <w:rPr>
          <w:snapToGrid w:val="0"/>
          <w:lang w:eastAsia="sv-SE"/>
        </w:rPr>
        <w:t>u</w:t>
      </w:r>
      <w:r w:rsidRPr="00C9680B">
        <w:rPr>
          <w:snapToGrid w:val="0"/>
          <w:lang w:eastAsia="sv-SE"/>
        </w:rPr>
        <w:t>ner som tar emot flyktingar skall erhålla statsbidrag för detta. Men när en kvinna eller man som flytt till Sverige valt att bosätta</w:t>
      </w:r>
      <w:r w:rsidRPr="00C9680B">
        <w:rPr>
          <w:snapToGrid w:val="0"/>
          <w:lang w:eastAsia="sv-SE"/>
        </w:rPr>
        <w:t xml:space="preserve"> sig på en ort är det samhällets uppgift att där sörja för att hon eller han kan skaffa sig en rimlig bostad och få förutsättningar till en god introduktion till det svenska samhä</w:t>
      </w:r>
      <w:r w:rsidRPr="00C9680B">
        <w:rPr>
          <w:snapToGrid w:val="0"/>
          <w:lang w:eastAsia="sv-SE"/>
        </w:rPr>
        <w:t>l</w:t>
      </w:r>
      <w:r w:rsidRPr="00C9680B">
        <w:rPr>
          <w:snapToGrid w:val="0"/>
          <w:lang w:eastAsia="sv-SE"/>
        </w:rPr>
        <w:t>let. Hon eller han är med avseende på möjligheterna att skapa ett värdigt liv för sig och eventuellt för sin familj fullt likvärdig med den infödda svensk som bor i samma område. Vi vill därför markera att vi anser riktade insatser för att få flyktingar som valt att bosätta sig i storstadsområdena att flytta till andra kommuner so</w:t>
      </w:r>
      <w:r w:rsidRPr="00C9680B">
        <w:rPr>
          <w:snapToGrid w:val="0"/>
          <w:lang w:eastAsia="sv-SE"/>
        </w:rPr>
        <w:t>m inte samtidigt riktar sig till andra kommuninvånare är att betrakta som diskriminerande. Vi ser här ingen principiell anledning att skilja ut flyktingar som grupp. Lika lite som kommuner bör få särskilda st</w:t>
      </w:r>
      <w:r w:rsidRPr="00C9680B">
        <w:rPr>
          <w:snapToGrid w:val="0"/>
          <w:lang w:eastAsia="sv-SE"/>
        </w:rPr>
        <w:t>i</w:t>
      </w:r>
      <w:r w:rsidRPr="00C9680B">
        <w:rPr>
          <w:snapToGrid w:val="0"/>
          <w:lang w:eastAsia="sv-SE"/>
        </w:rPr>
        <w:t>mulansbidrag för att ta emot flyktingar bör man få det för att ta emot stat</w:t>
      </w:r>
      <w:r w:rsidRPr="00C9680B">
        <w:rPr>
          <w:snapToGrid w:val="0"/>
          <w:lang w:eastAsia="sv-SE"/>
        </w:rPr>
        <w:t>s</w:t>
      </w:r>
      <w:r w:rsidRPr="00C9680B">
        <w:rPr>
          <w:snapToGrid w:val="0"/>
          <w:lang w:eastAsia="sv-SE"/>
        </w:rPr>
        <w:t>tjänstemän, socialbidragstagare eller blåögda. Flyktingar äger samma frihet som alla andra bosatta i Sverige att utan särskild påverkan från statsmakten välja var man vill bo. Det hade därför varit mer rimligt att föreslå en sa</w:t>
      </w:r>
      <w:r w:rsidRPr="00C9680B">
        <w:rPr>
          <w:snapToGrid w:val="0"/>
          <w:lang w:eastAsia="sv-SE"/>
        </w:rPr>
        <w:t>tsning från Glesbygdsverket på att få fler att flytta till avflyttningsorter, än att ange att Integrationsverket särskilt skall uppmuntra flyktingar att flytta från sto</w:t>
      </w:r>
      <w:r w:rsidRPr="00C9680B">
        <w:rPr>
          <w:snapToGrid w:val="0"/>
          <w:lang w:eastAsia="sv-SE"/>
        </w:rPr>
        <w:t>r</w:t>
      </w:r>
      <w:r w:rsidRPr="00C9680B">
        <w:rPr>
          <w:snapToGrid w:val="0"/>
          <w:lang w:eastAsia="sv-SE"/>
        </w:rPr>
        <w:t>stadsområden. Vi anser att pengarna hade gjort större nytta om de satsats på förbättrad sfi-undervisning och introduktionsverksamhet i komm</w:t>
      </w:r>
      <w:r w:rsidRPr="00C9680B">
        <w:rPr>
          <w:snapToGrid w:val="0"/>
          <w:lang w:eastAsia="sv-SE"/>
        </w:rPr>
        <w:t>u</w:t>
      </w:r>
      <w:r w:rsidRPr="00C9680B">
        <w:rPr>
          <w:snapToGrid w:val="0"/>
          <w:lang w:eastAsia="sv-SE"/>
        </w:rPr>
        <w:t xml:space="preserve">nerna. </w:t>
      </w:r>
    </w:p>
    <w:p w:rsidR="001C7BF9" w:rsidRPr="00C9680B" w:rsidRDefault="001C7BF9">
      <w:pPr>
        <w:pStyle w:val="Normaltindrag"/>
      </w:pPr>
    </w:p>
    <w:p w:rsidR="001C7BF9" w:rsidRPr="00C9680B" w:rsidRDefault="001C7BF9">
      <w:pPr>
        <w:outlineLvl w:val="0"/>
      </w:pPr>
      <w:r w:rsidRPr="00C9680B">
        <w:t>2. Ulla Hoffmann och Sven-Erik Sjöstrand (båda v) anför:</w:t>
      </w:r>
    </w:p>
    <w:p w:rsidR="001C7BF9" w:rsidRPr="00C9680B" w:rsidRDefault="001C7BF9">
      <w:r w:rsidRPr="00C9680B">
        <w:rPr>
          <w:i/>
        </w:rPr>
        <w:t>Utgiftsområde 11 Ekonomisk trygghet vid ålderdom och</w:t>
      </w:r>
      <w:r w:rsidRPr="00C9680B">
        <w:t xml:space="preserve"> </w:t>
      </w:r>
      <w:r w:rsidRPr="00C9680B">
        <w:rPr>
          <w:i/>
        </w:rPr>
        <w:t>Ålderspensionssy</w:t>
      </w:r>
      <w:r w:rsidRPr="00C9680B">
        <w:rPr>
          <w:i/>
        </w:rPr>
        <w:t>s</w:t>
      </w:r>
      <w:r w:rsidRPr="00C9680B">
        <w:rPr>
          <w:i/>
        </w:rPr>
        <w:t>temet vid sidan av statsbudgeten</w:t>
      </w:r>
    </w:p>
    <w:p w:rsidR="001C7BF9" w:rsidRPr="00C9680B" w:rsidRDefault="001C7BF9">
      <w:r w:rsidRPr="00C9680B">
        <w:t>När riktlinjerna för det nya pensionssystemet första gången presenterades i en proposition år 1994 reserverade sig Vänsterpartiet mot propositionens förslag vid utskottets behandling. Vår principiella kritik kvarstår, vilket lett till att vi även fortsättningsvis reserverat oss mot de delar av pensionssystemet som varit uppe till behandling i riksdagen.</w:t>
      </w:r>
    </w:p>
    <w:p w:rsidR="001C7BF9" w:rsidRPr="00C9680B" w:rsidRDefault="001C7BF9">
      <w:pPr>
        <w:pStyle w:val="Normaltindrag"/>
      </w:pPr>
      <w:r w:rsidRPr="00C9680B">
        <w:t xml:space="preserve">Genom att Vänsterpartiet reserverade sig bereddes vi inte möjlighet att delta i den s.k. Genomförandegruppen, som består av de fem partier som står bakom överenskommelsen. Därmed har vi inte haft någon insyn i det fortsatta arbetet med pensionsreformen. Vi har inte heller någon möjlighet att påverka utformningen av de delar som kvarstår att lösa, det gäller t.ex. frågan om avgiftsväxling, den s.k. bromsen, bostadstilläggets och förtidspensionens anpassning. </w:t>
      </w:r>
    </w:p>
    <w:p w:rsidR="001C7BF9" w:rsidRPr="00C9680B" w:rsidRDefault="001C7BF9">
      <w:pPr>
        <w:pStyle w:val="Normaltindrag"/>
      </w:pPr>
      <w:r w:rsidRPr="00C9680B">
        <w:t xml:space="preserve">Sedan hösten år 1998 har Vänsterpartiet ett samarbete med regeringen som bl.a. omfattar budgetfrågorna. Samarbetet rymmer dock inte frågor som direkt berör det nya pensionssystemet. Detta leder till väsentliga problem. </w:t>
      </w:r>
    </w:p>
    <w:p w:rsidR="001C7BF9" w:rsidRPr="00C9680B" w:rsidRDefault="001C7BF9">
      <w:pPr>
        <w:pStyle w:val="Normaltindrag"/>
      </w:pPr>
      <w:r w:rsidRPr="00C9680B">
        <w:t xml:space="preserve">Genomförandegruppen fattar politiska beslut med ekonomisk innebörd utan att denna grupp har något ansvar för budgeten. Detta torde strida mot intentionerna i den nya budgetprocessen, där en majoritet vid ett samlat beslut förutsätts ta ansvar för budgeten i dess helhet. </w:t>
      </w:r>
    </w:p>
    <w:p w:rsidR="001C7BF9" w:rsidRPr="00C9680B" w:rsidRDefault="001C7BF9">
      <w:pPr>
        <w:pStyle w:val="Normaltindrag"/>
      </w:pPr>
      <w:r w:rsidRPr="00C9680B">
        <w:t>Trots detta har Vänsterpartiet i samarbete med Socialdemokraterna och Miljöpartiet kunnat medverka till att häften av egenavgifterna nu kompens</w:t>
      </w:r>
      <w:r w:rsidRPr="00C9680B">
        <w:t>e</w:t>
      </w:r>
      <w:r w:rsidRPr="00C9680B">
        <w:t>ras via reducerad skatt och minskad avdragsrätt. I praktiken har därmed också en viktig beståndsdel i det nya pensionssystemet förändrats till det bättre. Vänsterpartiet anser att när den offentliga ekonomin tillåter, bör eg</w:t>
      </w:r>
      <w:r w:rsidRPr="00C9680B">
        <w:t>e</w:t>
      </w:r>
      <w:r w:rsidRPr="00C9680B">
        <w:t xml:space="preserve">n-avgifterna kompenseras fullt ut och avdragsrätten slopas. </w:t>
      </w:r>
    </w:p>
    <w:p w:rsidR="001C7BF9" w:rsidRPr="00C9680B" w:rsidRDefault="001C7BF9">
      <w:pPr>
        <w:pStyle w:val="Normaltindrag"/>
      </w:pPr>
      <w:r w:rsidRPr="00C9680B">
        <w:t>Problemet med det delade ansvaret i budgetprocessen kvarstår dock. Det är därför Vänsterpartiets mening att pensionsfrågorna i dess helhet snarast mö</w:t>
      </w:r>
      <w:r w:rsidRPr="00C9680B">
        <w:t>j</w:t>
      </w:r>
      <w:r w:rsidRPr="00C9680B">
        <w:t xml:space="preserve">ligt bör integreras i det samlade budgetarbetet. </w:t>
      </w:r>
    </w:p>
    <w:p w:rsidR="001C7BF9" w:rsidRPr="00C9680B" w:rsidRDefault="001C7BF9">
      <w:pPr>
        <w:pStyle w:val="Normaltindrag"/>
      </w:pPr>
    </w:p>
    <w:p w:rsidR="001C7BF9" w:rsidRPr="00C9680B" w:rsidRDefault="001C7BF9">
      <w:pPr>
        <w:outlineLvl w:val="0"/>
      </w:pPr>
      <w:r w:rsidRPr="00C9680B">
        <w:t>3. Kerstin-Maria Stalin (mp) anför:</w:t>
      </w:r>
    </w:p>
    <w:p w:rsidR="001C7BF9" w:rsidRPr="00C9680B" w:rsidRDefault="001C7BF9">
      <w:r w:rsidRPr="00C9680B">
        <w:rPr>
          <w:i/>
        </w:rPr>
        <w:t>Utgiftsområde 8 Invandrare och flyktingar, målen för migrationspolitiken</w:t>
      </w:r>
    </w:p>
    <w:p w:rsidR="001C7BF9" w:rsidRPr="00C9680B" w:rsidRDefault="001C7BF9">
      <w:pPr>
        <w:rPr>
          <w:snapToGrid w:val="0"/>
          <w:lang w:eastAsia="sv-SE"/>
        </w:rPr>
      </w:pPr>
      <w:r w:rsidRPr="00C9680B">
        <w:rPr>
          <w:snapToGrid w:val="0"/>
          <w:lang w:eastAsia="sv-SE"/>
        </w:rPr>
        <w:t>Regeringen föreslår i budgetpropositionen för 2001 ett delvis nytt mål för migrationspolitiken. Vi har i en motion (2000/01:Sf6) med anledning av skrivelsen Migration och asylpolitik (2000/01:4) tidigare reagerat på den inbördes ordningen av målen i migrationspolitiken. Vi menar att först i up</w:t>
      </w:r>
      <w:r w:rsidRPr="00C9680B">
        <w:rPr>
          <w:snapToGrid w:val="0"/>
          <w:lang w:eastAsia="sv-SE"/>
        </w:rPr>
        <w:t>p</w:t>
      </w:r>
      <w:r w:rsidRPr="00C9680B">
        <w:rPr>
          <w:snapToGrid w:val="0"/>
          <w:lang w:eastAsia="sv-SE"/>
        </w:rPr>
        <w:t>räknandet av migrationspolitikens mål bör komma att migrationspolitiken skall präglas av rättssäkerhet, humanitet och respekt för individens mänskliga rättigheter. Detta finns emellertid inte medtaget som ett mål i regeringens förslag i budgetpropositionen. Som ett mål har i stället skrivits in att harmon</w:t>
      </w:r>
      <w:r w:rsidRPr="00C9680B">
        <w:rPr>
          <w:snapToGrid w:val="0"/>
          <w:lang w:eastAsia="sv-SE"/>
        </w:rPr>
        <w:t>i</w:t>
      </w:r>
      <w:r w:rsidRPr="00C9680B">
        <w:rPr>
          <w:snapToGrid w:val="0"/>
          <w:lang w:eastAsia="sv-SE"/>
        </w:rPr>
        <w:t>seringen av flykting- och invandrarpolitiken i EU skall öka. Även om beslutet om målförslaget behandlas av socialförsäkringsutskottet i samband med a</w:t>
      </w:r>
      <w:r w:rsidRPr="00C9680B">
        <w:rPr>
          <w:snapToGrid w:val="0"/>
          <w:lang w:eastAsia="sv-SE"/>
        </w:rPr>
        <w:t>n</w:t>
      </w:r>
      <w:r w:rsidRPr="00C9680B">
        <w:rPr>
          <w:snapToGrid w:val="0"/>
          <w:lang w:eastAsia="sv-SE"/>
        </w:rPr>
        <w:t>slagen vill vi här påpeka att vi finner förslaget myck</w:t>
      </w:r>
      <w:r w:rsidRPr="00C9680B">
        <w:rPr>
          <w:snapToGrid w:val="0"/>
          <w:lang w:eastAsia="sv-SE"/>
        </w:rPr>
        <w:t>et olyckligt.</w:t>
      </w:r>
    </w:p>
    <w:p w:rsidR="001C7BF9" w:rsidRPr="00C9680B" w:rsidRDefault="001C7BF9">
      <w:pPr>
        <w:spacing w:before="187"/>
        <w:rPr>
          <w:i/>
        </w:rPr>
      </w:pPr>
      <w:r w:rsidRPr="00C9680B">
        <w:rPr>
          <w:i/>
        </w:rPr>
        <w:t>Ålderspensionssystemet vid sidan av statsbudgeten</w:t>
      </w:r>
    </w:p>
    <w:p w:rsidR="001C7BF9" w:rsidRPr="00C9680B" w:rsidRDefault="001C7BF9">
      <w:pPr>
        <w:rPr>
          <w:snapToGrid w:val="0"/>
          <w:lang w:eastAsia="sv-SE"/>
        </w:rPr>
      </w:pPr>
      <w:r w:rsidRPr="00C9680B">
        <w:rPr>
          <w:snapToGrid w:val="0"/>
          <w:color w:val="000000"/>
          <w:lang w:eastAsia="sv-SE"/>
        </w:rPr>
        <w:t>Det finns en sedan tidigare känd instabilitet inbyggd i det nya ålderspension</w:t>
      </w:r>
      <w:r w:rsidRPr="00C9680B">
        <w:rPr>
          <w:snapToGrid w:val="0"/>
          <w:color w:val="000000"/>
          <w:lang w:eastAsia="sv-SE"/>
        </w:rPr>
        <w:t>s</w:t>
      </w:r>
      <w:r w:rsidRPr="00C9680B">
        <w:rPr>
          <w:snapToGrid w:val="0"/>
          <w:color w:val="000000"/>
          <w:lang w:eastAsia="sv-SE"/>
        </w:rPr>
        <w:t>systemet. För den enskilde är det högst osäkert hur stor pension han eller hon kommer att få. Det är också oklart i vilken omfattning den s.k. bromsen kan komma att behöva användas i det nya systemet.</w:t>
      </w:r>
    </w:p>
    <w:p w:rsidR="001C7BF9" w:rsidRPr="00C9680B" w:rsidRDefault="001C7BF9">
      <w:pPr>
        <w:pStyle w:val="Normaltindrag"/>
        <w:rPr>
          <w:snapToGrid w:val="0"/>
          <w:lang w:eastAsia="sv-SE"/>
        </w:rPr>
      </w:pPr>
      <w:r w:rsidRPr="00C9680B">
        <w:rPr>
          <w:snapToGrid w:val="0"/>
          <w:lang w:eastAsia="sv-SE"/>
        </w:rPr>
        <w:t>Vi vill också peka på att omläggningen till och administrationen av det nya pensionssystemet är och kommer att förbli en mycket omfattande process. Den är komplicerad och dyr, och det är inte lätt att överblicka vad det hela kommer att kosta eller vilka effekter den får. Det finns en reell risk att Rik</w:t>
      </w:r>
      <w:r w:rsidRPr="00C9680B">
        <w:rPr>
          <w:snapToGrid w:val="0"/>
          <w:lang w:eastAsia="sv-SE"/>
        </w:rPr>
        <w:t>s</w:t>
      </w:r>
      <w:r w:rsidRPr="00C9680B">
        <w:rPr>
          <w:snapToGrid w:val="0"/>
          <w:lang w:eastAsia="sv-SE"/>
        </w:rPr>
        <w:t>försäkringsverket och försäkringskassorna inte lyckas klara omläggningen utan att andra av deras ansvarsområden blir lidande. Det är ett faktum som i sin tur kan komma att drabba enskilda människor i skilda livssituationer.</w:t>
      </w:r>
    </w:p>
    <w:p w:rsidR="001C7BF9" w:rsidRPr="00C9680B" w:rsidRDefault="001C7BF9">
      <w:pPr>
        <w:pStyle w:val="Normaltindrag"/>
        <w:rPr>
          <w:snapToGrid w:val="0"/>
          <w:lang w:eastAsia="sv-SE"/>
        </w:rPr>
      </w:pPr>
    </w:p>
    <w:p w:rsidR="001C7BF9" w:rsidRPr="00C9680B" w:rsidRDefault="001C7BF9"/>
    <w:p w:rsidR="001C7BF9" w:rsidRPr="00C9680B" w:rsidRDefault="001C7BF9">
      <w:pPr>
        <w:pStyle w:val="Normaltindrag"/>
        <w:sectPr w:rsidR="00000000" w:rsidRPr="00C9680B">
          <w:headerReference w:type="even" r:id="rId141"/>
          <w:headerReference w:type="default" r:id="rId142"/>
          <w:footerReference w:type="even" r:id="rId143"/>
          <w:footerReference w:type="default" r:id="rId144"/>
          <w:headerReference w:type="first" r:id="rId145"/>
          <w:footerReference w:type="first" r:id="rId146"/>
          <w:footnotePr>
            <w:numRestart w:val="eachSect"/>
          </w:footnotePr>
          <w:pgSz w:w="11906" w:h="16838" w:code="9"/>
          <w:pgMar w:top="850" w:right="4649" w:bottom="4507" w:left="1304" w:header="340" w:footer="227" w:gutter="0"/>
          <w:cols w:space="720"/>
          <w:titlePg/>
        </w:sectPr>
      </w:pPr>
      <w:bookmarkStart w:id="1160" w:name="_Toc495488082"/>
    </w:p>
    <w:p w:rsidR="001C7BF9" w:rsidRPr="00C9680B" w:rsidRDefault="001C7BF9">
      <w:pPr>
        <w:pStyle w:val="Bilaga"/>
      </w:pPr>
      <w:r w:rsidRPr="00C9680B">
        <w:t>BILAGA 11</w:t>
      </w:r>
    </w:p>
    <w:p w:rsidR="001C7BF9" w:rsidRPr="00C9680B" w:rsidRDefault="001C7BF9">
      <w:pPr>
        <w:pStyle w:val="Rubrik1"/>
        <w:spacing w:after="0"/>
        <w:rPr>
          <w:noProof w:val="0"/>
        </w:rPr>
      </w:pPr>
      <w:bookmarkStart w:id="1161" w:name="_Toc498838256"/>
      <w:r w:rsidRPr="00C9680B">
        <w:rPr>
          <w:noProof w:val="0"/>
        </w:rPr>
        <w:t>Socialutskottets yttrande</w:t>
      </w:r>
      <w:bookmarkEnd w:id="1161"/>
    </w:p>
    <w:p w:rsidR="001C7BF9" w:rsidRPr="00C9680B" w:rsidRDefault="001C7BF9">
      <w:pPr>
        <w:pStyle w:val="R1"/>
        <w:spacing w:after="240"/>
      </w:pPr>
      <w:r w:rsidRPr="00C9680B">
        <w:t>2000/01:SoU1y</w:t>
      </w:r>
    </w:p>
    <w:p w:rsidR="001C7BF9" w:rsidRPr="00C9680B" w:rsidRDefault="001C7BF9">
      <w:pPr>
        <w:pStyle w:val="Rubrik2"/>
        <w:spacing w:before="125"/>
      </w:pPr>
      <w:bookmarkStart w:id="1162" w:name="_Toc498838257"/>
      <w:r w:rsidRPr="00C9680B">
        <w:t>Ramen för utgiftsområde 9 Hälsovård, sjukvård och social omsorg m.m.</w:t>
      </w:r>
      <w:bookmarkEnd w:id="1162"/>
    </w:p>
    <w:p w:rsidR="001C7BF9" w:rsidRPr="00C9680B" w:rsidRDefault="001C7BF9">
      <w:pPr>
        <w:pStyle w:val="Rubrik2"/>
        <w:spacing w:before="480" w:after="240"/>
        <w:rPr>
          <w:sz w:val="32"/>
        </w:rPr>
      </w:pPr>
      <w:bookmarkStart w:id="1163" w:name="_Toc498838258"/>
      <w:r w:rsidRPr="00C9680B">
        <w:rPr>
          <w:sz w:val="32"/>
        </w:rPr>
        <w:t>Till finansutskottet</w:t>
      </w:r>
      <w:bookmarkEnd w:id="1160"/>
      <w:bookmarkEnd w:id="1163"/>
    </w:p>
    <w:p w:rsidR="001C7BF9" w:rsidRPr="00C9680B" w:rsidRDefault="001C7BF9">
      <w:r w:rsidRPr="00C9680B">
        <w:t>Finansutskottet har den 21 september 2000 beslutat att bereda bl.a. socialu</w:t>
      </w:r>
      <w:r w:rsidRPr="00C9680B">
        <w:t>t</w:t>
      </w:r>
      <w:r w:rsidRPr="00C9680B">
        <w:t>skottet tillfälle att avge yttrande över dels proposition 2000/01:1 Budgetpr</w:t>
      </w:r>
      <w:r w:rsidRPr="00C9680B">
        <w:t>o</w:t>
      </w:r>
      <w:r w:rsidRPr="00C9680B">
        <w:t>positionen för 2001 (volym 1) i vad avser den ekonomiska politiken och förslag till statsbudget för budgetåret 2001, utgifternas fördelning på utgift</w:t>
      </w:r>
      <w:r w:rsidRPr="00C9680B">
        <w:t>s</w:t>
      </w:r>
      <w:r w:rsidRPr="00C9680B">
        <w:t>områden och beräkningen av statsinkomsterna, låneramar (yrkandena 1–14 och 23–40) jämte motioner, dels regeringens skrivelse 1999/2000:150 Årsr</w:t>
      </w:r>
      <w:r w:rsidRPr="00C9680B">
        <w:t>e</w:t>
      </w:r>
      <w:r w:rsidRPr="00C9680B">
        <w:t xml:space="preserve">dovisning för staten 1999. </w:t>
      </w:r>
    </w:p>
    <w:p w:rsidR="001C7BF9" w:rsidRPr="00C9680B" w:rsidRDefault="001C7BF9">
      <w:pPr>
        <w:pStyle w:val="Normaltindrag"/>
      </w:pPr>
      <w:r w:rsidRPr="00C9680B">
        <w:t>Socialutskottet begränsar sitt yttrande till förslagen rörande utgiftsområde 9 Hälsovård, sjukvård och social om</w:t>
      </w:r>
      <w:r w:rsidRPr="00C9680B">
        <w:t xml:space="preserve">sorg i propositionen jämte motionerna 2000/01:Fi208 (m) yrkandena 5, 6, 15 och 17,  2000/01:Fi209 (kd) yrkandena 6, 7 och 10, 2000/01:Fi210 (c) yrkandena 4 och 5 och 2000/01:Fi211 (fp) yrkandena 6 och 8 såvitt motionerna rör detta utgiftsområde. </w:t>
      </w:r>
    </w:p>
    <w:p w:rsidR="001C7BF9" w:rsidRPr="00C9680B" w:rsidRDefault="001C7BF9">
      <w:pPr>
        <w:pStyle w:val="Normaltindrag"/>
      </w:pPr>
      <w:r w:rsidRPr="00C9680B">
        <w:t>Därutöver behandlar socialutskottet också motionerna So282 (m) yrkande 3, So481 (m, s, v, kd, c, fp, mp), So504 (s, v, mp), Ju724 (v, s, c, fp, mp) yrkande 20 och L459 (fp) yrkande 15. I samtliga motioner begärs tillkännag</w:t>
      </w:r>
      <w:r w:rsidRPr="00C9680B">
        <w:t>i</w:t>
      </w:r>
      <w:r w:rsidRPr="00C9680B">
        <w:t>vande om fortsatt specialdestinerat statligt bidrag för hiv/aidsinsatser i sto</w:t>
      </w:r>
      <w:r w:rsidRPr="00C9680B">
        <w:t>r</w:t>
      </w:r>
      <w:r w:rsidRPr="00C9680B">
        <w:t>stadsregionerna. Det specialdestinerade bidraget har under senare år utbetalats från utgiftsområde 25 anslag A2 Bidrag för särskilda insatser i vissa komm</w:t>
      </w:r>
      <w:r w:rsidRPr="00C9680B">
        <w:t>u</w:t>
      </w:r>
      <w:r w:rsidRPr="00C9680B">
        <w:t>ner. Motionsyrkandena överlämnar socialutskottet till finansutskottet med detta yttrande under förutsättning av finansutskottets medgivande. Socialu</w:t>
      </w:r>
      <w:r w:rsidRPr="00C9680B">
        <w:t>t</w:t>
      </w:r>
      <w:r w:rsidRPr="00C9680B">
        <w:t>skottet förordar ett tillkännagivande till regeringen om ett fortsatt särskilt statsbidrag till storstadsregionerna.</w:t>
      </w:r>
    </w:p>
    <w:p w:rsidR="001C7BF9" w:rsidRPr="00C9680B" w:rsidRDefault="001C7BF9">
      <w:pPr>
        <w:pStyle w:val="Rubrik2"/>
      </w:pPr>
      <w:bookmarkStart w:id="1164" w:name="_Toc498838259"/>
      <w:r w:rsidRPr="00C9680B">
        <w:t>Proposition</w:t>
      </w:r>
      <w:r w:rsidRPr="00C9680B">
        <w:t>en</w:t>
      </w:r>
      <w:bookmarkEnd w:id="1164"/>
    </w:p>
    <w:p w:rsidR="001C7BF9" w:rsidRPr="00C9680B" w:rsidRDefault="001C7BF9">
      <w:r w:rsidRPr="00C9680B">
        <w:t xml:space="preserve">I propositionen redovisar regeringen en reviderad finansplan, budgetpolitiska mål och en prognos för budgeten för 2000. Vidare lämnas förslag till ändrade och nya anslag på tilläggsbudgeten för budgetåret 2000. </w:t>
      </w:r>
    </w:p>
    <w:p w:rsidR="001C7BF9" w:rsidRPr="00C9680B" w:rsidRDefault="001C7BF9">
      <w:pPr>
        <w:pStyle w:val="Normaltindrag"/>
      </w:pPr>
      <w:r w:rsidRPr="00C9680B">
        <w:t>Regeringen redovisar också förslag till utgiftstak för staten för åren 2001–2003 fördelat på de av riksdagen fastställda utgiftsområdena och ålderspe</w:t>
      </w:r>
      <w:r w:rsidRPr="00C9680B">
        <w:t>n</w:t>
      </w:r>
      <w:r w:rsidRPr="00C9680B">
        <w:t xml:space="preserve">sionssystemet vid sidan av statsbudgeten.   </w:t>
      </w:r>
    </w:p>
    <w:p w:rsidR="001C7BF9" w:rsidRPr="00C9680B" w:rsidRDefault="001C7BF9">
      <w:pPr>
        <w:pStyle w:val="Rubrik2"/>
      </w:pPr>
      <w:bookmarkStart w:id="1165" w:name="_Toc498838260"/>
      <w:r w:rsidRPr="00C9680B">
        <w:t>Utgiftsområde 9 Hälsovård, sjukvård och social omsorg</w:t>
      </w:r>
      <w:bookmarkEnd w:id="1165"/>
    </w:p>
    <w:p w:rsidR="001C7BF9" w:rsidRPr="00C9680B" w:rsidRDefault="001C7BF9">
      <w:r w:rsidRPr="00C9680B">
        <w:t>I utgiftsområdet ingår politikområdena Hälso- och sjukvårdspolitik, Folkhä</w:t>
      </w:r>
      <w:r w:rsidRPr="00C9680B">
        <w:t>l</w:t>
      </w:r>
      <w:r w:rsidRPr="00C9680B">
        <w:t>sopolitik, Barnpolitik, Handikappolitik, Äldrepolitik, Socialtjänstpolitik och Forskningspolitik. De beräknade utgifterna för utgiftsområdet har för 2001 reviderats i förhållande till beräkningarna i den ekonomiska vårpropositionen. Ca 2 363 mi</w:t>
      </w:r>
      <w:r w:rsidRPr="00C9680B">
        <w:t>l</w:t>
      </w:r>
      <w:r w:rsidRPr="00C9680B">
        <w:t>joner kronor har tillförts ramen.</w:t>
      </w:r>
    </w:p>
    <w:p w:rsidR="001C7BF9" w:rsidRPr="00C9680B" w:rsidRDefault="001C7BF9">
      <w:pPr>
        <w:pStyle w:val="Normaltindrag"/>
      </w:pPr>
      <w:r w:rsidRPr="00C9680B">
        <w:t>Förändringen av ramen för utgiftsområdet jämfört med beräkningarna i 2000 års ekonomiska vårproposition förklaras bland annat av att utgifterna för den statliga assistansersättningen ökar med anledning av införandet av rätten att be</w:t>
      </w:r>
      <w:r w:rsidRPr="00C9680B">
        <w:t>hålla assistansen efter fyllda 65 år. Regeringen föreslår också att utgift</w:t>
      </w:r>
      <w:r w:rsidRPr="00C9680B">
        <w:t>s</w:t>
      </w:r>
      <w:r w:rsidRPr="00C9680B">
        <w:t>området ökar med 50 miljoner kronor år 2001, 75 miljoner kronor år 2002 och 100 miljoner kronor år 2003 för att genomföra en nationell handlingsplan för alkoholskadeförebyggande insatser. Vidare föreslås att den tidigare b</w:t>
      </w:r>
      <w:r w:rsidRPr="00C9680B">
        <w:t>e</w:t>
      </w:r>
      <w:r w:rsidRPr="00C9680B">
        <w:t>slutade satsningen på tandvården om 200 miljoner kronor år 2002 och 300 miljoner kronor år 2003 tidigareläggs med 100 miljoner kronor från och med år 2001. Regeringen aviserar att den återkommer under 2001 med förs</w:t>
      </w:r>
      <w:r w:rsidRPr="00C9680B">
        <w:t>lag om hur de extra medlen för tandvården skall användas.  Därutöver föreslår reg</w:t>
      </w:r>
      <w:r w:rsidRPr="00C9680B">
        <w:t>e</w:t>
      </w:r>
      <w:r w:rsidRPr="00C9680B">
        <w:t>ringen att ytterligare 42 miljoner kronor tillförs utgiftsområdet med anledning av att fler personer än beräknat kommer att beviljas ersättning från Sterilis</w:t>
      </w:r>
      <w:r w:rsidRPr="00C9680B">
        <w:t>e</w:t>
      </w:r>
      <w:r w:rsidRPr="00C9680B">
        <w:t>ringsersättningsnämnden. Vidare ökas utgiftsområdet till följd av att utgifte</w:t>
      </w:r>
      <w:r w:rsidRPr="00C9680B">
        <w:t>r</w:t>
      </w:r>
      <w:r w:rsidRPr="00C9680B">
        <w:t xml:space="preserve">na för läkemedel förväntas öka. </w:t>
      </w:r>
    </w:p>
    <w:p w:rsidR="001C7BF9" w:rsidRPr="00C9680B" w:rsidRDefault="001C7BF9">
      <w:pPr>
        <w:pStyle w:val="Normaltindrag"/>
      </w:pPr>
      <w:r w:rsidRPr="00C9680B">
        <w:t>Ramen för utgiftsområdet föreslås uppgå till 29 374 miljoner kronor för budgetåret 2001 varav Hälso- och sjukvården uppgår till 20 miljarder kronor,  Folkhälsa t</w:t>
      </w:r>
      <w:r w:rsidRPr="00C9680B">
        <w:t>ill 0,5 miljarder kronor, Barnpolitik till 0,02 miljarder kronor, Handikappolitik till 7,7 miljarder kronor, Äldrepolitik till 0,3 miljarder kr</w:t>
      </w:r>
      <w:r w:rsidRPr="00C9680B">
        <w:t>o</w:t>
      </w:r>
      <w:r w:rsidRPr="00C9680B">
        <w:t>nor, Socialtjänstpolitik till 0,7 miljarder kronor och Forskningspolitik till 0,3 miljarder kronor. Vidare föreslås att ramen för utgiftsområdet beräknas till 30 309 miljoner kronor för år 2002 och 31 896 miljoner kronor år 2003.</w:t>
      </w:r>
    </w:p>
    <w:p w:rsidR="001C7BF9" w:rsidRPr="00C9680B" w:rsidRDefault="001C7BF9">
      <w:pPr>
        <w:pStyle w:val="Rubrik3"/>
        <w:rPr>
          <w:noProof w:val="0"/>
        </w:rPr>
      </w:pPr>
      <w:bookmarkStart w:id="1166" w:name="_Toc498838261"/>
      <w:r w:rsidRPr="00C9680B">
        <w:rPr>
          <w:noProof w:val="0"/>
        </w:rPr>
        <w:t>Motioner</w:t>
      </w:r>
      <w:bookmarkEnd w:id="1166"/>
    </w:p>
    <w:p w:rsidR="001C7BF9" w:rsidRPr="00C9680B" w:rsidRDefault="001C7BF9">
      <w:r w:rsidRPr="00C9680B">
        <w:t xml:space="preserve">Enligt </w:t>
      </w:r>
      <w:r w:rsidRPr="00C9680B">
        <w:rPr>
          <w:i/>
        </w:rPr>
        <w:t xml:space="preserve">Moderata samlingspartiet (Fi208) </w:t>
      </w:r>
      <w:r w:rsidRPr="00C9680B">
        <w:t>bör riksdagen besluta att till utgift</w:t>
      </w:r>
      <w:r w:rsidRPr="00C9680B">
        <w:t>s</w:t>
      </w:r>
      <w:r w:rsidRPr="00C9680B">
        <w:t xml:space="preserve">område 9 fördela 29 474 miljoner kronor för budgetåret 2001, vilket är 100 miljoner kronor mer än regeringen föreslagit </w:t>
      </w:r>
      <w:r w:rsidRPr="00C9680B">
        <w:rPr>
          <w:i/>
        </w:rPr>
        <w:t>(yrkande 5)</w:t>
      </w:r>
      <w:r w:rsidRPr="00C9680B">
        <w:t>. Vidare bör riksd</w:t>
      </w:r>
      <w:r w:rsidRPr="00C9680B">
        <w:t>a</w:t>
      </w:r>
      <w:r w:rsidRPr="00C9680B">
        <w:t>gen godkänna en preliminär fördelning om 27 795 miljoner kronor för bu</w:t>
      </w:r>
      <w:r w:rsidRPr="00C9680B">
        <w:t>d</w:t>
      </w:r>
      <w:r w:rsidRPr="00C9680B">
        <w:t xml:space="preserve">getåret 2002 och 27 231 miljoner kronor för år 2003, vilket innebär 2 514 miljoner kronor respektive 4 665 miljoner kronor mindre än vad regeringen föreslagit </w:t>
      </w:r>
      <w:r w:rsidRPr="00C9680B">
        <w:rPr>
          <w:i/>
        </w:rPr>
        <w:t>(yrkande 6)</w:t>
      </w:r>
      <w:r w:rsidRPr="00C9680B">
        <w:t xml:space="preserve">. </w:t>
      </w:r>
    </w:p>
    <w:p w:rsidR="001C7BF9" w:rsidRPr="00C9680B" w:rsidRDefault="001C7BF9">
      <w:pPr>
        <w:pStyle w:val="Normaltindrag"/>
      </w:pPr>
      <w:r w:rsidRPr="00C9680B">
        <w:t>Moderaterna anser att regeringens satsningar på</w:t>
      </w:r>
      <w:r w:rsidRPr="00C9680B">
        <w:t xml:space="preserve"> en förbättrad tandvård</w:t>
      </w:r>
      <w:r w:rsidRPr="00C9680B">
        <w:t>s</w:t>
      </w:r>
      <w:r w:rsidRPr="00C9680B">
        <w:t>försäkring är otillräckliga. Från år 2001 bör tandvårdsförsäkringen därför förstärkas med 300 miljoner kronor årligen. Moderaternas förslag på läkem</w:t>
      </w:r>
      <w:r w:rsidRPr="00C9680B">
        <w:t>e</w:t>
      </w:r>
      <w:r w:rsidRPr="00C9680B">
        <w:t>delsområdet medför sammantaget en kraftig successiv minskning av kostn</w:t>
      </w:r>
      <w:r w:rsidRPr="00C9680B">
        <w:t>a</w:t>
      </w:r>
      <w:r w:rsidRPr="00C9680B">
        <w:t>derna under åren framöver, anförs det. En förstärkning av den oberoende tillsynen inom sjukvården föreslås genom inrättande av en särskild medicina</w:t>
      </w:r>
      <w:r w:rsidRPr="00C9680B">
        <w:t>l</w:t>
      </w:r>
      <w:r w:rsidRPr="00C9680B">
        <w:t>styrelse. Vidare föreslås ett särskilt stimulansbidrag till psykiatrin för att komma till rätta med nuvarande missförhål</w:t>
      </w:r>
      <w:r w:rsidRPr="00C9680B">
        <w:t>landen i verksamheten. Satsnin</w:t>
      </w:r>
      <w:r w:rsidRPr="00C9680B">
        <w:t>g</w:t>
      </w:r>
      <w:r w:rsidRPr="00C9680B">
        <w:t>arna på arbetet mot hiv/aids föreslås öka i stället för att stagnera eller urho</w:t>
      </w:r>
      <w:r w:rsidRPr="00C9680B">
        <w:t>l</w:t>
      </w:r>
      <w:r w:rsidRPr="00C9680B">
        <w:t>kas. Ytterligare 76 miljoner kronor bör avsättas för detta ändamål. Det statliga engagemanget inom folkhälsoområdet bör kraftigt minskas till förmån för regionalt och lokalt folkhälsoarbete. Alkoholinspektionen är enligt motion</w:t>
      </w:r>
      <w:r w:rsidRPr="00C9680B">
        <w:t>ä</w:t>
      </w:r>
      <w:r w:rsidRPr="00C9680B">
        <w:t>rerna en onödig myndighet och bör avskaffas. Med ett avvecklat detaljhande</w:t>
      </w:r>
      <w:r w:rsidRPr="00C9680B">
        <w:t>l</w:t>
      </w:r>
      <w:r w:rsidRPr="00C9680B">
        <w:t>smonopol för Systembolaget blir det också enligt motionärerna naturligt att lägga ned Alkoholsorti</w:t>
      </w:r>
      <w:r w:rsidRPr="00C9680B">
        <w:t>mentsnämnden. Motionärerna anser att ytterligare medel måste tillskjutas för att det oberoende arbetet med information och upplysning om alkohol skall få tillräckligt genomslag. Bidragen till nykte</w:t>
      </w:r>
      <w:r w:rsidRPr="00C9680B">
        <w:t>r</w:t>
      </w:r>
      <w:r w:rsidRPr="00C9680B">
        <w:t>hetsrörelsen föreslås minskas. Det ekonomiska ansvaret för assistansersät</w:t>
      </w:r>
      <w:r w:rsidRPr="00C9680B">
        <w:t>t</w:t>
      </w:r>
      <w:r w:rsidRPr="00C9680B">
        <w:t>ningens 20 första timmar föreslås återföras till staten. Motionärerna anser att rätten till personlig assistans även under skoltid och vid vistelse på dagcenter skall återinföras och att schabloniseringen av assistansersättningen skall sl</w:t>
      </w:r>
      <w:r w:rsidRPr="00C9680B">
        <w:t>o</w:t>
      </w:r>
      <w:r w:rsidRPr="00C9680B">
        <w:t>p</w:t>
      </w:r>
      <w:r w:rsidRPr="00C9680B">
        <w:t>as. Moderaterna föreslår att stödet till handikapprörelsens rekreationsa</w:t>
      </w:r>
      <w:r w:rsidRPr="00C9680B">
        <w:t>n</w:t>
      </w:r>
      <w:r w:rsidRPr="00C9680B">
        <w:t>läggningar höjs med 2 miljoner kronor och föreslår också ett nytt anslag för bostadsstöd till funktionshindrade. De vill tillföra ytterligare medel till ansl</w:t>
      </w:r>
      <w:r w:rsidRPr="00C9680B">
        <w:t>a</w:t>
      </w:r>
      <w:r w:rsidRPr="00C9680B">
        <w:t>get för bidrag till handikapporganisationer. Dessa extra medel skall riktas särskilt till mindre handikapporganisationer som arbetar oberoende av de stora samarbetsorganen inom handikapprörelsen. Moderaterna föreslår att en hjälpmedelsgaranti skall införas. Inledningsvis bör den o</w:t>
      </w:r>
      <w:r w:rsidRPr="00C9680B">
        <w:t>mfatta de hjälpmedel som i dagsläget finansieras med statliga anslag. Slutligen föreslår de att den slutna ungdomsvården överförs från Statens institutionsstyrelse till krimina</w:t>
      </w:r>
      <w:r w:rsidRPr="00C9680B">
        <w:t>l</w:t>
      </w:r>
      <w:r w:rsidRPr="00C9680B">
        <w:t>vården och att en del av anslaget överförs till kriminalvården. Förslaget inn</w:t>
      </w:r>
      <w:r w:rsidRPr="00C9680B">
        <w:t>e</w:t>
      </w:r>
      <w:r w:rsidRPr="00C9680B">
        <w:t xml:space="preserve">bär en förstärkning av Statens institutionsstyrelses övriga verksamhet, anförs det.    </w:t>
      </w:r>
    </w:p>
    <w:p w:rsidR="001C7BF9" w:rsidRPr="00C9680B" w:rsidRDefault="001C7BF9">
      <w:pPr>
        <w:pStyle w:val="Normaltindrag"/>
      </w:pPr>
      <w:r w:rsidRPr="00C9680B">
        <w:t xml:space="preserve">Moderaterna anser vidare att riksdagen som sin mening bör ge regeringen till känna dels vad i motionen anförts om att välja sjukvård </w:t>
      </w:r>
      <w:r w:rsidRPr="00C9680B">
        <w:rPr>
          <w:i/>
        </w:rPr>
        <w:t>(yrkande 15)</w:t>
      </w:r>
      <w:r w:rsidRPr="00C9680B">
        <w:t xml:space="preserve">, dels vad som anförts om äldrepeng för valfrihet </w:t>
      </w:r>
      <w:r w:rsidRPr="00C9680B">
        <w:rPr>
          <w:i/>
        </w:rPr>
        <w:t xml:space="preserve">(yrkande 17). </w:t>
      </w:r>
      <w:r w:rsidRPr="00C9680B">
        <w:t>Moderaterna anser att i ett bra samhälle är sjukvården en rättighet för var och en samtidigt som var och en skall ha rätt att välja sjukvård när den behövs. Nya vårdformer och mångfald ger möjlighet att välja, anför de. De vill införa en obligatorisk hä</w:t>
      </w:r>
      <w:r w:rsidRPr="00C9680B">
        <w:t>l</w:t>
      </w:r>
      <w:r w:rsidRPr="00C9680B">
        <w:t>sovårdsförsäkring som omfattar alla. Ingen skall kunna nekas hälsoförsäkring men den enskilde skall kunna välja försäkringsgivare och  vårdgivare. Detta avvecklar köerna och därmed d</w:t>
      </w:r>
      <w:r w:rsidRPr="00C9680B">
        <w:t>et lidande och de kostnader som följer av dessa. Med mångfald och konkurrens inom sjukvården höjs kvaliteten och tryggheten, anför de. Vidare anför de att en värdighet på äldre dagar förutsä</w:t>
      </w:r>
      <w:r w:rsidRPr="00C9680B">
        <w:t>t</w:t>
      </w:r>
      <w:r w:rsidRPr="00C9680B">
        <w:t>ter att man kan välja mellan olika boendeformer och var man skall bo. Genom en modell med äldrepeng vill de ge de äldre makten över äldreomsorgen i stället för att det offentliga bestämmer över den enskildes liv på äldre dagar.</w:t>
      </w:r>
    </w:p>
    <w:p w:rsidR="001C7BF9" w:rsidRPr="00C9680B" w:rsidRDefault="001C7BF9">
      <w:r w:rsidRPr="00C9680B">
        <w:t xml:space="preserve">Enligt </w:t>
      </w:r>
      <w:r w:rsidRPr="00C9680B">
        <w:rPr>
          <w:i/>
        </w:rPr>
        <w:t xml:space="preserve">Kristdemokraterna (Fi209) </w:t>
      </w:r>
      <w:r w:rsidRPr="00C9680B">
        <w:t xml:space="preserve">bör riksdagen besluta om att anslå 29 437 miljoner kronor till utgiftsområde 9 för budgetåret 2001 </w:t>
      </w:r>
      <w:r w:rsidRPr="00C9680B">
        <w:rPr>
          <w:i/>
        </w:rPr>
        <w:t xml:space="preserve">(yrkande 6) </w:t>
      </w:r>
      <w:r w:rsidRPr="00C9680B">
        <w:t xml:space="preserve">samt godkänna en preliminär ram för utgiftsområde 9 för budgetåren 2002 och 2003 om 30 472 miljoner kronor respektive 32 059 miljoner kronor </w:t>
      </w:r>
      <w:r w:rsidRPr="00C9680B">
        <w:rPr>
          <w:i/>
        </w:rPr>
        <w:t>(yrkande 7).</w:t>
      </w:r>
      <w:r w:rsidRPr="00C9680B">
        <w:t xml:space="preserve"> Motionärerna föreslår således en ökning med 63 miljoner kronor för år 2001 jämfört med regeringens förslag och en  ökning med 163 miljoner kr</w:t>
      </w:r>
      <w:r w:rsidRPr="00C9680B">
        <w:t>o</w:t>
      </w:r>
      <w:r w:rsidRPr="00C9680B">
        <w:t>nor för år 2002  och 2003.</w:t>
      </w:r>
    </w:p>
    <w:p w:rsidR="001C7BF9" w:rsidRPr="00C9680B" w:rsidRDefault="001C7BF9">
      <w:pPr>
        <w:pStyle w:val="Normaltindrag"/>
      </w:pPr>
      <w:r w:rsidRPr="00C9680B">
        <w:t xml:space="preserve">Kristdemokraterna anser att funktionshindrade skall </w:t>
      </w:r>
      <w:r w:rsidRPr="00C9680B">
        <w:t>kunna delta i samhä</w:t>
      </w:r>
      <w:r w:rsidRPr="00C9680B">
        <w:t>l</w:t>
      </w:r>
      <w:r w:rsidRPr="00C9680B">
        <w:t>let på lika villkor och accepterar därför inga nedskärningar på handikappo</w:t>
      </w:r>
      <w:r w:rsidRPr="00C9680B">
        <w:t>m</w:t>
      </w:r>
      <w:r w:rsidRPr="00C9680B">
        <w:t>rådet. Det är bra att regeringen nu föreslår en avveckling av 65-årsgränsen i assistansersättningen, vilket motionärerna länge drivit. Det återstår dock att ta bort schablonersättningen i assistansersättningen som slår mot de allra sv</w:t>
      </w:r>
      <w:r w:rsidRPr="00C9680B">
        <w:t>a</w:t>
      </w:r>
      <w:r w:rsidRPr="00C9680B">
        <w:t>gaste. Kristdemokraterna anser att sjuk- och tandvårdsförsäkringen på sikt bör samordnas och att en utredning skyndsamt bör tillsättas för att utreda de nä</w:t>
      </w:r>
      <w:r w:rsidRPr="00C9680B">
        <w:t>r</w:t>
      </w:r>
      <w:r w:rsidRPr="00C9680B">
        <w:t>mare förutsättningarna för</w:t>
      </w:r>
      <w:r w:rsidRPr="00C9680B">
        <w:t xml:space="preserve"> detta. Också frågan om kostnader för hjälpmedel bör tas med i direktiven. Kristdemokraterna känner oro för att många avstår från nödvändig tandvård p.g.a. de höga kostnaderna. I avvaktan på utrednin</w:t>
      </w:r>
      <w:r w:rsidRPr="00C9680B">
        <w:t>g</w:t>
      </w:r>
      <w:r w:rsidRPr="00C9680B">
        <w:t>ens arbete bör därför tandvårdsförsäkringen tillföras ytterligare 100 miljoner kronor per år under åren 2001–2003. Slutligen föreslår motionärerna en extra satsning från år 2002 på stimulansbidrag till kommunernas arbete med anh</w:t>
      </w:r>
      <w:r w:rsidRPr="00C9680B">
        <w:t>ö</w:t>
      </w:r>
      <w:r w:rsidRPr="00C9680B">
        <w:t xml:space="preserve">rigvården. </w:t>
      </w:r>
    </w:p>
    <w:p w:rsidR="001C7BF9" w:rsidRPr="00C9680B" w:rsidRDefault="001C7BF9">
      <w:pPr>
        <w:pStyle w:val="Normaltindrag"/>
      </w:pPr>
      <w:r w:rsidRPr="00C9680B">
        <w:t xml:space="preserve">Kristdemokraterna anför att riksdagen som sin mening bör ge regeringen </w:t>
      </w:r>
      <w:r w:rsidRPr="00C9680B">
        <w:t xml:space="preserve">till känna de politikområden som bör prioriteras i budgetarbetet i enlighet med vad i motionen anförts under avsnitt 7 </w:t>
      </w:r>
      <w:r w:rsidRPr="00C9680B">
        <w:rPr>
          <w:i/>
        </w:rPr>
        <w:t xml:space="preserve">(yrkande 10). </w:t>
      </w:r>
      <w:r w:rsidRPr="00C9680B">
        <w:t xml:space="preserve">Bland de avsnitt som särskilt bör prioriteras ingår vården och omsorgen. Kristdemokraternas budgetalternativ innebär att kommuner och landsting tillförs ytterligare </w:t>
      </w:r>
      <w:r w:rsidRPr="00C9680B">
        <w:br/>
        <w:t xml:space="preserve">3 miljarder kronor under treårsperioden jämfört med regeringens förslag. Motionärerna vill förbättra tandvården och införa ett särskilt stimulansbidrag inom äldreomsorgen för att förbättra för anhörigvårdare. </w:t>
      </w:r>
    </w:p>
    <w:p w:rsidR="001C7BF9" w:rsidRPr="00C9680B" w:rsidRDefault="001C7BF9">
      <w:r w:rsidRPr="00C9680B">
        <w:t>Enl</w:t>
      </w:r>
      <w:r w:rsidRPr="00C9680B">
        <w:t xml:space="preserve">igt </w:t>
      </w:r>
      <w:r w:rsidRPr="00C9680B">
        <w:rPr>
          <w:i/>
        </w:rPr>
        <w:t>Centerpartiet (Fi210)</w:t>
      </w:r>
      <w:r w:rsidRPr="00C9680B">
        <w:t xml:space="preserve"> bör riksdagen besluta om en ram för utgiftso</w:t>
      </w:r>
      <w:r w:rsidRPr="00C9680B">
        <w:t>m</w:t>
      </w:r>
      <w:r w:rsidRPr="00C9680B">
        <w:t xml:space="preserve">råde 9 för budgetåret 2001 om 30 316 miljoner kronor </w:t>
      </w:r>
      <w:r w:rsidRPr="00C9680B">
        <w:rPr>
          <w:i/>
        </w:rPr>
        <w:t xml:space="preserve">(yrkande 4) </w:t>
      </w:r>
      <w:r w:rsidRPr="00C9680B">
        <w:t xml:space="preserve">samt att godkänna en preliminär ram om 31 021 miljoner kronor för år 2002 och 32 484 miljoner kronor för år 2003 </w:t>
      </w:r>
      <w:r w:rsidRPr="00C9680B">
        <w:rPr>
          <w:i/>
        </w:rPr>
        <w:t xml:space="preserve">(yrkande 5). </w:t>
      </w:r>
      <w:r w:rsidRPr="00C9680B">
        <w:t xml:space="preserve">Motionärerna föreslår således en ökning med 942 miljoner kronor för år 2001 jämfört med regeringens förslag och en  ökning med 712 miljoner kronor för år 2002 och 588 miljoner kronor för år  2003. </w:t>
      </w:r>
    </w:p>
    <w:p w:rsidR="001C7BF9" w:rsidRPr="00C9680B" w:rsidRDefault="001C7BF9">
      <w:pPr>
        <w:pStyle w:val="Normaltindrag"/>
      </w:pPr>
      <w:r w:rsidRPr="00C9680B">
        <w:t xml:space="preserve">Centerpartiet har medverkat till en omfördelning av </w:t>
      </w:r>
      <w:r w:rsidRPr="00C9680B">
        <w:t>resurserna från försv</w:t>
      </w:r>
      <w:r w:rsidRPr="00C9680B">
        <w:t>a</w:t>
      </w:r>
      <w:r w:rsidRPr="00C9680B">
        <w:t>ret till hälso- och sjukvården som innebär att vården och omsorgen kommer att tillföras ytterligare 8 miljarder kronor under åren 2002–2004. De områden som skall prioriteras är primärvården, äldreomsorgen, psykiatrin samt mån</w:t>
      </w:r>
      <w:r w:rsidRPr="00C9680B">
        <w:t>g</w:t>
      </w:r>
      <w:r w:rsidRPr="00C9680B">
        <w:t>fald och  tillgänglighet. Centerpartiet föreslår nu en ny vård- och hjälpm</w:t>
      </w:r>
      <w:r w:rsidRPr="00C9680B">
        <w:t>e</w:t>
      </w:r>
      <w:r w:rsidRPr="00C9680B">
        <w:t>delsgaranti som ger patienten ett besked om när en behandling skall utföras. Tiden mellan fastställd diagnos och påbörjad behandling får inte vara längre än tre månader. För en ny  vård- oc</w:t>
      </w:r>
      <w:r w:rsidRPr="00C9680B">
        <w:t>h hjälpmedelsgaranti avsätter Centerpartiet 500 miljoner kronor. Motionärerna anser att vården och omsorgen behöver fler alternativa driftsformer. Fler kooperativ och  privata entreprenörer måste få möjlighet att sluta avtal med kommuner och landsting. En mångfald av vårdgivare ökar tillgängligheten och valfriheten för patienten. Att bejaka olika driftsformer är för Centerpartiet lika självklart som att vården och omsorgen skall ges efter behov och vara solidariskt och rättvist fördelad via skattsedeln, anf</w:t>
      </w:r>
      <w:r w:rsidRPr="00C9680B">
        <w:t xml:space="preserve">örs det. Motionärerna tillstyrker regeringens förslag till förbättringar i tandvårdsförsäkringen avseende extra stöd till äldre. De föreslår ytterligare 100 miljoner kronor för att förbättra insatserna för ungdomars tandvård. </w:t>
      </w:r>
    </w:p>
    <w:p w:rsidR="001C7BF9" w:rsidRPr="00C9680B" w:rsidRDefault="001C7BF9">
      <w:r w:rsidRPr="00C9680B">
        <w:t xml:space="preserve">Enligt </w:t>
      </w:r>
      <w:r w:rsidRPr="00C9680B">
        <w:rPr>
          <w:i/>
        </w:rPr>
        <w:t xml:space="preserve">Folkpartiet liberalerna (Fi211) </w:t>
      </w:r>
      <w:r w:rsidRPr="00C9680B">
        <w:t xml:space="preserve">bör riksdagen besluta om en ram för utgiftsområde 9 för budgetåret 2001 om 33 028 miljoner kronor </w:t>
      </w:r>
      <w:r w:rsidRPr="00C9680B">
        <w:rPr>
          <w:i/>
        </w:rPr>
        <w:t xml:space="preserve">(yrkande 6) </w:t>
      </w:r>
      <w:r w:rsidRPr="00C9680B">
        <w:t xml:space="preserve">samt godkänna en preliminär ram om 34 113 miljoner kronor för år 2002 och 35 780 miljoner kronor för år 2003 </w:t>
      </w:r>
      <w:r w:rsidRPr="00C9680B">
        <w:rPr>
          <w:i/>
        </w:rPr>
        <w:t>(yrkande 8).</w:t>
      </w:r>
      <w:r w:rsidRPr="00C9680B">
        <w:t xml:space="preserve"> Motionärerna föreslår således en ökning med 3 654 miljoner kronor för år 2001 jämfört med regeringens förslag och en  ökning med 3 804 miljoner kronor för år 2002 och 3 884 miljoner kronor för år 2003. </w:t>
      </w:r>
    </w:p>
    <w:p w:rsidR="001C7BF9" w:rsidRPr="00C9680B" w:rsidRDefault="001C7BF9">
      <w:pPr>
        <w:pStyle w:val="Normaltindrag"/>
      </w:pPr>
      <w:r w:rsidRPr="00C9680B">
        <w:t>Folkpartiet vill återställa handikappreformen</w:t>
      </w:r>
      <w:r w:rsidRPr="00C9680B">
        <w:t xml:space="preserve"> och har beräknat ramen för att kunna förstatliga kostnaderna för de 20 första assistanstimmarna från kommunerna samtidigt som de begränsningar i rätten till personlig assistans som regeringen infört avskaffas. Vidare vill motionärerna överföra beloppen avsedda för kommuner som har höga kostnader för stöd och service till fun</w:t>
      </w:r>
      <w:r w:rsidRPr="00C9680B">
        <w:t>k</w:t>
      </w:r>
      <w:r w:rsidRPr="00C9680B">
        <w:t>tionshindrade samt medel avsedda för särskilt kostnadskrävande insatser enligt LSS från utgiftsområde 25 till utgiftsområde 9. Folkpartiet vill geno</w:t>
      </w:r>
      <w:r w:rsidRPr="00C9680B">
        <w:t>m</w:t>
      </w:r>
      <w:r w:rsidRPr="00C9680B">
        <w:t>föra en särskild tillgänglighetsref</w:t>
      </w:r>
      <w:r w:rsidRPr="00C9680B">
        <w:t>orm för handikappade och avsätter en mi</w:t>
      </w:r>
      <w:r w:rsidRPr="00C9680B">
        <w:t>l</w:t>
      </w:r>
      <w:r w:rsidRPr="00C9680B">
        <w:t>jard kronor för detta ändamål. Slutligen föreslås att 4 miljoner kronor ges i ökade bidrag till kvinnojourerna under anslaget Folkhälsopolitiska åtgärder.</w:t>
      </w:r>
    </w:p>
    <w:p w:rsidR="001C7BF9" w:rsidRPr="00C9680B" w:rsidRDefault="001C7BF9">
      <w:pPr>
        <w:pStyle w:val="Rubrik3"/>
        <w:rPr>
          <w:noProof w:val="0"/>
        </w:rPr>
      </w:pPr>
      <w:bookmarkStart w:id="1167" w:name="_Toc498838262"/>
      <w:r w:rsidRPr="00C9680B">
        <w:rPr>
          <w:noProof w:val="0"/>
        </w:rPr>
        <w:t>Utskottets bedömning</w:t>
      </w:r>
      <w:bookmarkEnd w:id="1167"/>
    </w:p>
    <w:p w:rsidR="001C7BF9" w:rsidRPr="00C9680B" w:rsidRDefault="001C7BF9">
      <w:r w:rsidRPr="00C9680B">
        <w:t>Utskottet delar regeringens uppfattning att behov – inte ekonomiska förhå</w:t>
      </w:r>
      <w:r w:rsidRPr="00C9680B">
        <w:t>l</w:t>
      </w:r>
      <w:r w:rsidRPr="00C9680B">
        <w:t>landen – skall bestämma vården och omsorgen. Det utjämnar livsvillkoren mellan friska och sjuka eller funktionshindrade</w:t>
      </w:r>
      <w:r w:rsidRPr="00C9680B">
        <w:rPr>
          <w:b/>
        </w:rPr>
        <w:t>.</w:t>
      </w:r>
      <w:r w:rsidRPr="00C9680B">
        <w:t xml:space="preserve"> Principerna om en solidariskt finansierad och rättvist fördelad hälso- och sjukvård är enligt utskottet cen</w:t>
      </w:r>
      <w:r w:rsidRPr="00C9680B">
        <w:t>t</w:t>
      </w:r>
      <w:r w:rsidRPr="00C9680B">
        <w:t>rala inslag i den generella välfärdspolitiken. Alla måste kunna känna trygghet i att det finns en hälso- och sjukvård av god kvalitet och att vid sjukdom vård och omsorg ges på lika villkor. Det finns, som utskottet tidigare uttalat, inget belägg för att Sverige skulle ha något att</w:t>
      </w:r>
      <w:r w:rsidRPr="00C9680B">
        <w:t xml:space="preserve"> vinna på att överge skattefinansi</w:t>
      </w:r>
      <w:r w:rsidRPr="00C9680B">
        <w:t>e</w:t>
      </w:r>
      <w:r w:rsidRPr="00C9680B">
        <w:t>ringen av vården. Internationella erfarenheter tyder tvärtom på att de skattef</w:t>
      </w:r>
      <w:r w:rsidRPr="00C9680B">
        <w:t>i</w:t>
      </w:r>
      <w:r w:rsidRPr="00C9680B">
        <w:t>nansierade hälso- och sjukvårdssystemen fungerar bättre i fördelningspolitiskt avseende än de försäkringsfinansierade systemen. Utskottet avstyrker därmed Moderaternas förslag till försäkringslösning.</w:t>
      </w:r>
    </w:p>
    <w:p w:rsidR="001C7BF9" w:rsidRPr="00C9680B" w:rsidRDefault="001C7BF9">
      <w:pPr>
        <w:pStyle w:val="Normaltindrag"/>
        <w:rPr>
          <w:b/>
        </w:rPr>
      </w:pPr>
      <w:r w:rsidRPr="00C9680B">
        <w:t>En väl fungerande skola, vård och omsorg är en förutsättning för välfärd</w:t>
      </w:r>
      <w:r w:rsidRPr="00C9680B">
        <w:t>s</w:t>
      </w:r>
      <w:r w:rsidRPr="00C9680B">
        <w:t>samhället. Stora delar av den kommunala verksamheten utgör basen för rät</w:t>
      </w:r>
      <w:r w:rsidRPr="00C9680B">
        <w:t>t</w:t>
      </w:r>
      <w:r w:rsidRPr="00C9680B">
        <w:t>visa och lägger grunden för en uthållig tillväxt. Utskottet konstaterar att reg</w:t>
      </w:r>
      <w:r w:rsidRPr="00C9680B">
        <w:t>e</w:t>
      </w:r>
      <w:r w:rsidRPr="00C9680B">
        <w:t>ringen sedan den tillträdde 1994 har prioriterat vård, skola och omsorg. I år tillförs vården, skolan och omsorgen 21,3 miljarder kronor mer i statsbidrag än 1996. För år 2001 föreslår regeringen att dessa satsningar ökas till 25,3 miljarder kronor. Totalt satsas 9 miljarder kronor på vård och omsorg under åren 2001–2004 framför allt av medel som frigjorts</w:t>
      </w:r>
      <w:r w:rsidRPr="00C9680B">
        <w:t xml:space="preserve"> genom uppgörelsen om försvaret. Satsningarna syftar bl.a. till att utveckla primärvården, sjukvårdsi</w:t>
      </w:r>
      <w:r w:rsidRPr="00C9680B">
        <w:t>n</w:t>
      </w:r>
      <w:r w:rsidRPr="00C9680B">
        <w:t>satserna i äldreomsorgen och psykiatrin. Utskottet delar inte Kristdemokr</w:t>
      </w:r>
      <w:r w:rsidRPr="00C9680B">
        <w:t>a</w:t>
      </w:r>
      <w:r w:rsidRPr="00C9680B">
        <w:t>ternas uppfattning att ytterligare resurser nu bör tillföras kommun- och land</w:t>
      </w:r>
      <w:r w:rsidRPr="00C9680B">
        <w:t>s</w:t>
      </w:r>
      <w:r w:rsidRPr="00C9680B">
        <w:t>tingssektorn.</w:t>
      </w:r>
    </w:p>
    <w:p w:rsidR="001C7BF9" w:rsidRPr="00C9680B" w:rsidRDefault="001C7BF9">
      <w:pPr>
        <w:pStyle w:val="Normaltindrag"/>
        <w:rPr>
          <w:b/>
        </w:rPr>
      </w:pPr>
      <w:r w:rsidRPr="00C9680B">
        <w:t>Utskottet anser det angeläget att den enskilde äldre ges möjlighet att b</w:t>
      </w:r>
      <w:r w:rsidRPr="00C9680B">
        <w:t>e</w:t>
      </w:r>
      <w:r w:rsidRPr="00C9680B">
        <w:t>stämma över sin livssituation och det sätt på vilket omsorgen ges. Enligt den nationella handlingsplanen för äldrepolitiken, som riksdagen antagit, skall den äldre kunna leva ett aktivt liv och ha inflytande i samhället och över sin va</w:t>
      </w:r>
      <w:r w:rsidRPr="00C9680B">
        <w:t>r</w:t>
      </w:r>
      <w:r w:rsidRPr="00C9680B">
        <w:t>dag. Den äldre skall så långt möjligt ges möjlighet att bo kvar hemma i sin ursprungliga bostad så länge han eller hon själv önskar det. När omvårdnad</w:t>
      </w:r>
      <w:r w:rsidRPr="00C9680B">
        <w:t>s</w:t>
      </w:r>
      <w:r w:rsidRPr="00C9680B">
        <w:t>behoven är stora och den äldre inte känner sig trygg i den egna bostaden skall han eller hon kunna flytta till en anpassad b</w:t>
      </w:r>
      <w:r w:rsidRPr="00C9680B">
        <w:t>oendeform. Den äldre skall också kunna lita på att vården och omsorgen har god kvalitet och att hans eller hennes individuella behov och önskemål tillgodoses så långt möjligt. Utsko</w:t>
      </w:r>
      <w:r w:rsidRPr="00C9680B">
        <w:t>t</w:t>
      </w:r>
      <w:r w:rsidRPr="00C9680B">
        <w:t>tet har tidigare konstaterat att många kommuner erbjuder vård och omsorg i olika former både i egen regi och entreprenadupphandlad. Utskottet anser inte att det behövs någon ytterligare reglering i syfte att säkerställa valfrihet. U</w:t>
      </w:r>
      <w:r w:rsidRPr="00C9680B">
        <w:t>t</w:t>
      </w:r>
      <w:r w:rsidRPr="00C9680B">
        <w:t>skottet avstyrker därmed Moderaternas förslag till äldrepeng.</w:t>
      </w:r>
    </w:p>
    <w:p w:rsidR="001C7BF9" w:rsidRPr="00C9680B" w:rsidRDefault="001C7BF9">
      <w:pPr>
        <w:pStyle w:val="Normaltindrag"/>
      </w:pPr>
      <w:r w:rsidRPr="00C9680B">
        <w:t>Utskottet konstaterar med tillfreds</w:t>
      </w:r>
      <w:r w:rsidRPr="00C9680B">
        <w:t>ställelse att den föreslagna ramen för u</w:t>
      </w:r>
      <w:r w:rsidRPr="00C9680B">
        <w:t>t</w:t>
      </w:r>
      <w:r w:rsidRPr="00C9680B">
        <w:t>giftsområde 9 för budgetåret 2001 vidgats för flera reformer. Regeringen har tidigare aviserat ett tillskott till tandvården om 200 miljoner kronor år 2002 och 300 miljoner kronor år 2003. Regeringen föreslår nu att 100 miljoner kronor av medlen för 2002 tidigareläggs och tillförs utgiftsområdet redan år 2001. Inriktningen är att det samlade resurstillskottet skall användas för att förbättra skyddet mot höga behandlingskostnader, varvid särskilt de äldre föreslås pri</w:t>
      </w:r>
      <w:r w:rsidRPr="00C9680B">
        <w:t>oriteras. Vidare har regeringen nyligen, efter ett initiativ från u</w:t>
      </w:r>
      <w:r w:rsidRPr="00C9680B">
        <w:t>t</w:t>
      </w:r>
      <w:r w:rsidRPr="00C9680B">
        <w:t>skottet, föreslagit att personer som före fyllda 65 år haft rätt till personlig assistans och assistansersättning skall få behålla assistansen och ersättningen även efter att han eller hon har fyllt 65 år. Ytterligare resurser föreslås tillf</w:t>
      </w:r>
      <w:r w:rsidRPr="00C9680B">
        <w:t>ö</w:t>
      </w:r>
      <w:r w:rsidRPr="00C9680B">
        <w:t>ras utgiftsområdet för att täcka dessa kostnader. En nationell handlingsplan för att förebygga alkoholskador har just avlämnats</w:t>
      </w:r>
      <w:r w:rsidRPr="00C9680B">
        <w:rPr>
          <w:b/>
        </w:rPr>
        <w:t>.</w:t>
      </w:r>
      <w:r w:rsidRPr="00C9680B">
        <w:t xml:space="preserve"> För detta föreslås utgift</w:t>
      </w:r>
      <w:r w:rsidRPr="00C9680B">
        <w:t>s</w:t>
      </w:r>
      <w:r w:rsidRPr="00C9680B">
        <w:t>området ökas med 50 miljoner kronor för år 2001</w:t>
      </w:r>
      <w:r w:rsidRPr="00C9680B">
        <w:t>, 75 miljoner kronor för år 2002 och 100 miljoner kronor för år 2003. Slutligen föreslås ytterligare resu</w:t>
      </w:r>
      <w:r w:rsidRPr="00C9680B">
        <w:t>r</w:t>
      </w:r>
      <w:r w:rsidRPr="00C9680B">
        <w:t>ser då fler personer än beräknat ansökt om ersättning från Steriliseringsersät</w:t>
      </w:r>
      <w:r w:rsidRPr="00C9680B">
        <w:t>t</w:t>
      </w:r>
      <w:r w:rsidRPr="00C9680B">
        <w:t>ningsnämnden. Utskottet finner prioriteringarna väl avvägda. Utskottet anser därmed att regeringens förslag om en ram för utgiftsområde 9 om 29 373 625 000 kr för budgetåret 2001 bör tillstyrkas och att motionerna Fi208 (m) yrkandena 5, 15 och 17, Fi209 (kd) yrkandena 6 och 10, Fi210 (c) yrkande 4 och Fi211 (fp) yrkande 6 bör</w:t>
      </w:r>
      <w:r w:rsidRPr="00C9680B">
        <w:t xml:space="preserve"> a</w:t>
      </w:r>
      <w:r w:rsidRPr="00C9680B">
        <w:t>v</w:t>
      </w:r>
      <w:r w:rsidRPr="00C9680B">
        <w:t xml:space="preserve">styrkas i denna del. </w:t>
      </w:r>
    </w:p>
    <w:p w:rsidR="001C7BF9" w:rsidRPr="00C9680B" w:rsidRDefault="001C7BF9">
      <w:pPr>
        <w:pStyle w:val="Normaltindrag"/>
      </w:pPr>
      <w:r w:rsidRPr="00C9680B">
        <w:t xml:space="preserve">Utskottet anser även att den preliminära fördelningen av utgifterna för budgetåren 2002 och 2003 såvitt gäller utgiftsområde 9 bör tillstyrkas och att motionerna Fi208 (m) yrkande 6, Fi209 (kd) yrkande 7, Fi210 (c) yrkande 5 och Fi211 (fp) yrkande 8 bör avstyrkas i denna del. </w:t>
      </w:r>
    </w:p>
    <w:p w:rsidR="001C7BF9" w:rsidRPr="00C9680B" w:rsidRDefault="001C7BF9">
      <w:pPr>
        <w:pStyle w:val="Rubrik2"/>
      </w:pPr>
      <w:bookmarkStart w:id="1168" w:name="_Toc498838263"/>
      <w:r w:rsidRPr="00C9680B">
        <w:t>Hivpreventivt arbete</w:t>
      </w:r>
      <w:bookmarkEnd w:id="1168"/>
    </w:p>
    <w:p w:rsidR="001C7BF9" w:rsidRPr="00C9680B" w:rsidRDefault="001C7BF9">
      <w:pPr>
        <w:pStyle w:val="Rubrik3"/>
        <w:spacing w:before="123"/>
        <w:rPr>
          <w:noProof w:val="0"/>
        </w:rPr>
      </w:pPr>
      <w:bookmarkStart w:id="1169" w:name="_Toc498838264"/>
      <w:r w:rsidRPr="00C9680B">
        <w:rPr>
          <w:noProof w:val="0"/>
        </w:rPr>
        <w:t>Motioner</w:t>
      </w:r>
      <w:bookmarkEnd w:id="1169"/>
    </w:p>
    <w:p w:rsidR="001C7BF9" w:rsidRPr="00C9680B" w:rsidRDefault="001C7BF9">
      <w:r w:rsidRPr="00C9680B">
        <w:t xml:space="preserve">I </w:t>
      </w:r>
      <w:r w:rsidRPr="00C9680B">
        <w:rPr>
          <w:i/>
        </w:rPr>
        <w:t>motion So504 av Susanne Eberstein m.fl. (s, v, mp)</w:t>
      </w:r>
      <w:r w:rsidRPr="00C9680B">
        <w:t xml:space="preserve"> begärs tillkännagivande till regeringen om vad i motionen anförts om ett fortsatt specialdestinerat statligt bidrag för hiv/aidsinsatser. </w:t>
      </w:r>
    </w:p>
    <w:p w:rsidR="001C7BF9" w:rsidRPr="00C9680B" w:rsidRDefault="001C7BF9">
      <w:pPr>
        <w:pStyle w:val="Normaltindrag"/>
        <w:rPr>
          <w:i/>
        </w:rPr>
      </w:pPr>
      <w:r w:rsidRPr="00C9680B">
        <w:t xml:space="preserve">Yrkanden med samma innebörd finns också i </w:t>
      </w:r>
      <w:r w:rsidRPr="00C9680B">
        <w:rPr>
          <w:i/>
        </w:rPr>
        <w:t xml:space="preserve">motionerna So282 av Chris Heister m.fl. (m) yrkande 3, So481 Maud Ekendahl m.fl. (m, s, v, kd, c, fp, mp), Ju724 av Tasso Stafilidis m.fl. (v, s, c, fp, mp) yrkande 20 och L459 av Ana Maria Narti m.fl. (fp) yrkande 15. </w:t>
      </w:r>
    </w:p>
    <w:p w:rsidR="001C7BF9" w:rsidRPr="00C9680B" w:rsidRDefault="001C7BF9">
      <w:pPr>
        <w:pStyle w:val="Rubrik3"/>
        <w:rPr>
          <w:noProof w:val="0"/>
        </w:rPr>
      </w:pPr>
      <w:bookmarkStart w:id="1170" w:name="_Toc498838265"/>
      <w:r w:rsidRPr="00C9680B">
        <w:rPr>
          <w:noProof w:val="0"/>
        </w:rPr>
        <w:t>Bakgrund</w:t>
      </w:r>
      <w:bookmarkEnd w:id="1170"/>
    </w:p>
    <w:p w:rsidR="001C7BF9" w:rsidRPr="00C9680B" w:rsidRDefault="001C7BF9">
      <w:r w:rsidRPr="00C9680B">
        <w:t>Fram t.o.m. år 1997 utbetalades ett extra statsbidrag till kommuner och land</w:t>
      </w:r>
      <w:r w:rsidRPr="00C9680B">
        <w:t>s</w:t>
      </w:r>
      <w:r w:rsidRPr="00C9680B">
        <w:t xml:space="preserve">ting i storstadsregionerna från utgiftsområde 9 anslag A4 Insatser mot aids. </w:t>
      </w:r>
    </w:p>
    <w:p w:rsidR="001C7BF9" w:rsidRPr="00C9680B" w:rsidRDefault="001C7BF9">
      <w:pPr>
        <w:pStyle w:val="Normaltindrag"/>
      </w:pPr>
      <w:r w:rsidRPr="00C9680B">
        <w:t>I vårpropositionen 1996/97:150 uttalade regeringen (s. 107) att statens stöd till kommunernas och landstingens hivpreventiva arbete framöver fick anses ingå i de generella statsbidragen. För att värna den verksamhet som byggts upp i samarbete mellan kommuner, landsting och frivilliga organisationer föreslog regeringen dock ett fortsatt tillfälligt bidrag för förebyggande hiv/aidsverksamhet i storstäderna under åren 1998 och 1999.</w:t>
      </w:r>
      <w:r w:rsidRPr="00C9680B">
        <w:t xml:space="preserve"> Bidraget fördes över till utgiftsområde 25 anslag A2 Bidrag för särskilda insatser i vissa kommuner och landsting. </w:t>
      </w:r>
    </w:p>
    <w:p w:rsidR="001C7BF9" w:rsidRPr="00C9680B" w:rsidRDefault="001C7BF9">
      <w:pPr>
        <w:pStyle w:val="Normaltindrag"/>
      </w:pPr>
      <w:r w:rsidRPr="00C9680B">
        <w:t>I budgetpropositionen för år 2000, 1999/2000:1, föreslog regeringen under utgiftsområde 25 (volym 2, s. 12) att det tillfälliga bidraget skulle utgå även under år 2000.</w:t>
      </w:r>
    </w:p>
    <w:p w:rsidR="001C7BF9" w:rsidRPr="00C9680B" w:rsidRDefault="001C7BF9">
      <w:pPr>
        <w:pStyle w:val="Rubrik3"/>
        <w:rPr>
          <w:noProof w:val="0"/>
        </w:rPr>
      </w:pPr>
      <w:bookmarkStart w:id="1171" w:name="_Toc498838266"/>
      <w:r w:rsidRPr="00C9680B">
        <w:rPr>
          <w:noProof w:val="0"/>
        </w:rPr>
        <w:t>Utskottets bedömning</w:t>
      </w:r>
      <w:bookmarkEnd w:id="1171"/>
    </w:p>
    <w:p w:rsidR="001C7BF9" w:rsidRPr="00C9680B" w:rsidRDefault="001C7BF9">
      <w:r w:rsidRPr="00C9680B">
        <w:t>Utskottet anser det glädjande att de förebyggande insatserna mot hivinfektion varit framgångsrika och att Sverige förblivit ett land med låg förekomst av hivinfektion. Utskottet anser att insatserna mot hiv/aids måste ges fortsatt hög prioritet på alla samhällsnivåer. Insatserna bör i ökad grad riktas mot de gru</w:t>
      </w:r>
      <w:r w:rsidRPr="00C9680B">
        <w:t>p</w:t>
      </w:r>
      <w:r w:rsidRPr="00C9680B">
        <w:t>per där riskbeteendet är som störst och där en fortsatt smittspridning sker. För att värna den verksamhet som byggts upp i storstadsområdena i samarbete mellan kommuner, landsting och frivilliga organisationer är det angeläget med ett fortsatt särskilt bidrag till storstadsområdena. Utskottet delar således uppfattningen i motionerna So282 (m) yrkande 3, So481 (m, s, v, kd, c, fp, mp), So504 (s, v, mp), Ju724 (v, s, c, fp, mp) yrkande 20 och L459 (fp) y</w:t>
      </w:r>
      <w:r w:rsidRPr="00C9680B">
        <w:t>r</w:t>
      </w:r>
      <w:r w:rsidRPr="00C9680B">
        <w:t>kande 15. Socialutskottet förordar ett tillkännagivand</w:t>
      </w:r>
      <w:r w:rsidRPr="00C9680B">
        <w:t>e till regeringen om ett fortsatt särskilt statsbidrag till storstadsregionerna. Med det anförda överlä</w:t>
      </w:r>
      <w:r w:rsidRPr="00C9680B">
        <w:t>m</w:t>
      </w:r>
      <w:r w:rsidRPr="00C9680B">
        <w:t>nar utskottet motionsyrkandena till finansutsko</w:t>
      </w:r>
      <w:r w:rsidRPr="00C9680B">
        <w:t>t</w:t>
      </w:r>
      <w:r w:rsidRPr="00C9680B">
        <w:t>tet.</w:t>
      </w:r>
    </w:p>
    <w:p w:rsidR="001C7BF9" w:rsidRPr="00C9680B" w:rsidRDefault="001C7BF9">
      <w:pPr>
        <w:pStyle w:val="Stockholm"/>
      </w:pPr>
      <w:r w:rsidRPr="00C9680B">
        <w:br w:type="page"/>
        <w:t>Stockholm den 24 oktober 2000</w:t>
      </w:r>
    </w:p>
    <w:p w:rsidR="001C7BF9" w:rsidRPr="00C9680B" w:rsidRDefault="001C7BF9">
      <w:pPr>
        <w:pStyle w:val="Vgnar"/>
      </w:pPr>
      <w:r w:rsidRPr="00C9680B">
        <w:t>På socialutskottets vägnar</w:t>
      </w:r>
    </w:p>
    <w:p w:rsidR="001C7BF9" w:rsidRPr="00C9680B" w:rsidRDefault="001C7BF9">
      <w:pPr>
        <w:pStyle w:val="Ordfnamn"/>
      </w:pPr>
      <w:r w:rsidRPr="00C9680B">
        <w:t xml:space="preserve">Ingrid Burman </w:t>
      </w:r>
    </w:p>
    <w:p w:rsidR="001C7BF9" w:rsidRPr="00C9680B" w:rsidRDefault="001C7BF9">
      <w:pPr>
        <w:pStyle w:val="Deltagare"/>
        <w:rPr>
          <w:noProof w:val="0"/>
        </w:rPr>
      </w:pPr>
      <w:r w:rsidRPr="00C9680B">
        <w:rPr>
          <w:noProof w:val="0"/>
        </w:rPr>
        <w:t>I beslutet har deltagit: Ingrid Burman (v), Susanne Eberstein (s), Margareta Israelsson (s), Chatrine Pålsson (kd), Leif Carlson (m), Conny Öhman (s), Hans Hjortzberg-Nordlund (m), Lars U Granberg (s), Elisebeht Markström (s), Rolf Olsson (v), Cristina Husmark Pehrsson (m), Kenneth Johansson (c), Catherine Persson (s), Lars Elinderson (m), Ester Lindstedt-Staaf (kd) och Harald Nordlund (fp).</w:t>
      </w:r>
      <w:bookmarkStart w:id="1172" w:name="_Toc495488083"/>
    </w:p>
    <w:p w:rsidR="001C7BF9" w:rsidRPr="00C9680B" w:rsidRDefault="001C7BF9">
      <w:pPr>
        <w:pStyle w:val="R1"/>
        <w:spacing w:after="240"/>
      </w:pPr>
      <w:r w:rsidRPr="00C9680B">
        <w:br w:type="page"/>
        <w:t>Avvikande mening</w:t>
      </w:r>
      <w:bookmarkEnd w:id="1172"/>
      <w:r w:rsidRPr="00C9680B">
        <w:t>ar</w:t>
      </w:r>
    </w:p>
    <w:p w:rsidR="001C7BF9" w:rsidRPr="00C9680B" w:rsidRDefault="001C7BF9">
      <w:pPr>
        <w:outlineLvl w:val="0"/>
      </w:pPr>
      <w:r w:rsidRPr="00C9680B">
        <w:t>1. Leif Carlson, Hans Hjortzberg-Nordlund, Cristina Husmark Pehrsson och Lars Elinderson (alla m) anför:</w:t>
      </w:r>
    </w:p>
    <w:p w:rsidR="001C7BF9" w:rsidRPr="00C9680B" w:rsidRDefault="001C7BF9">
      <w:pPr>
        <w:pStyle w:val="Normaltindrag"/>
      </w:pPr>
      <w:r w:rsidRPr="00C9680B">
        <w:t>Vi anser att i ett bra samhälle är sjukvården en rättighet för var och en samtidigt som var och en skall ha rätt att välja sjukvård när den behövs. Nya vårdformer och mångfald ger möjlighet att välja. Vi vill införa en obligatorisk hälsovårdsförsäkring som omfattar alla oavsett hälsotillstånd och betalning</w:t>
      </w:r>
      <w:r w:rsidRPr="00C9680B">
        <w:t>s</w:t>
      </w:r>
      <w:r w:rsidRPr="00C9680B">
        <w:t>förmåga. Den enskilde skall kunna välja försäkringsgivare och  vårdgivare. Detta avvecklar köerna och därmed det lidande och de kostnader som följer av dessa. Med mångfald och konkurrens inom sjukvården höjs kvaliteten och tryggheten.</w:t>
      </w:r>
    </w:p>
    <w:p w:rsidR="001C7BF9" w:rsidRPr="00C9680B" w:rsidRDefault="001C7BF9">
      <w:pPr>
        <w:pStyle w:val="Normaltindrag"/>
      </w:pPr>
      <w:r w:rsidRPr="00C9680B">
        <w:t>Genom en modell med äldrepeng vill vi ge de äldre makten över äldreo</w:t>
      </w:r>
      <w:r w:rsidRPr="00C9680B">
        <w:t>m</w:t>
      </w:r>
      <w:r w:rsidRPr="00C9680B">
        <w:t>sorgen i stället för att det offentliga bestämmer över den enskildes liv på äldre dagar.</w:t>
      </w:r>
    </w:p>
    <w:p w:rsidR="001C7BF9" w:rsidRPr="00C9680B" w:rsidRDefault="001C7BF9">
      <w:pPr>
        <w:pStyle w:val="Normaltindrag"/>
      </w:pPr>
      <w:r w:rsidRPr="00C9680B">
        <w:t>Inom utgiftsområde 9 Hälsovård, sjukvård och social omsorg anser vi att regeringens satsningar på en förbättrad tandvårdsförsäkring är otillräckliga. Vi vill redan från år 2001 förstärka tandvården med 300 miljoner kronor årligen. Vårt förslag på läkemedelsområdet medför sammantaget en kraftig successiv minskning av kostnaderna under åren framöver, genom en änd</w:t>
      </w:r>
      <w:r w:rsidRPr="00C9680B">
        <w:t>a</w:t>
      </w:r>
      <w:r w:rsidRPr="00C9680B">
        <w:t>målsenligare läkemedelshantering och avveckling av apoteksmonopolet. Samtidigt förbättrar våra förslag skyddet för de mest utsatta. Vi föreslår en förstärkning av den oberoende  tillsynen inom sjukvården genom inrättande av en särskild medicinalstyrelse. Vidare vill vi ha ett särskilt stimulansbidrag till psykiatrin för att komma till rätta med nuvarande missförhållanden. Sat</w:t>
      </w:r>
      <w:r w:rsidRPr="00C9680B">
        <w:t>s</w:t>
      </w:r>
      <w:r w:rsidRPr="00C9680B">
        <w:t xml:space="preserve">ningarna på det förebyggande arbetet mot hiv/aids bör öka i stället för att stagnera eller urholkas. Vi föreslår att ytterligare 76 </w:t>
      </w:r>
      <w:r w:rsidRPr="00C9680B">
        <w:t>miljoner kronor avsätts för detta ändamål. Det statliga engagemanget inom folkhälsoområdet bör kraftigt minskas till förmån för regionalt och lokalt folkhälsoarbete. Alkoh</w:t>
      </w:r>
      <w:r w:rsidRPr="00C9680B">
        <w:t>o</w:t>
      </w:r>
      <w:r w:rsidRPr="00C9680B">
        <w:t>l-inspektionen är en onödig myndighet och bör avskaffas. Med ett avvecklat detaljhandelsmonopol för Systembolaget blir det också naturligt att lägga ned Alkoholsortimentsnämnden. Vi vill skjuta till ytterligare medel för att det oberoende arbetet med information och upplysning om alkohol skall få til</w:t>
      </w:r>
      <w:r w:rsidRPr="00C9680B">
        <w:t>l</w:t>
      </w:r>
      <w:r w:rsidRPr="00C9680B">
        <w:t xml:space="preserve">räckligt genomslag. Samtidigt vill vi </w:t>
      </w:r>
      <w:r w:rsidRPr="00C9680B">
        <w:t>minska bidragen till nykterhetsrörelsen. Det ekonomiska ansvaret för assistansersättningens 20 första timmar bör återföras till staten. Vi anser att rätten till personlig assistans även under sko</w:t>
      </w:r>
      <w:r w:rsidRPr="00C9680B">
        <w:t>l</w:t>
      </w:r>
      <w:r w:rsidRPr="00C9680B">
        <w:t>tid och vid vistelse på dagcenter skall återinföras och att schabloniseringen av assistansersättningen skall slopas. Stödet till handikapprörelsens rekre</w:t>
      </w:r>
      <w:r w:rsidRPr="00C9680B">
        <w:t>a</w:t>
      </w:r>
      <w:r w:rsidRPr="00C9680B">
        <w:t>tionsanläggningar bör höjas med 2 miljoner kronor och ett nytt anslag för bostadsstöd till funktionshindrade införas. Vi vill tillföra ytterligare medel till ansl</w:t>
      </w:r>
      <w:r w:rsidRPr="00C9680B">
        <w:t>aget för bidrag till handikapporganisationer. Dessa extra medel skall riktas särskilt till mindre handikapporganisationer som arbetar oberoende av de stora samarbetsorganen inom handikapprörelsen. Vi anser att en hjälpm</w:t>
      </w:r>
      <w:r w:rsidRPr="00C9680B">
        <w:t>e</w:t>
      </w:r>
      <w:r w:rsidRPr="00C9680B">
        <w:t>delsgaranti skall införas. Inledningsvis bör den omfatta de hjälpmedel som i dagsläget finansieras med statliga anslag. Slutligen föreslår vi att den slutna ungdomsvården överförs från Statens institutionsstyrelse till kriminalvården och att en del av anslaget överförs till kriminalvården. F</w:t>
      </w:r>
      <w:r w:rsidRPr="00C9680B">
        <w:t>örslaget innebär en förstärkning av Statens institutionsstyrelses övriga ver</w:t>
      </w:r>
      <w:r w:rsidRPr="00C9680B">
        <w:t>k</w:t>
      </w:r>
      <w:r w:rsidRPr="00C9680B">
        <w:t xml:space="preserve">samhet.    </w:t>
      </w:r>
    </w:p>
    <w:p w:rsidR="001C7BF9" w:rsidRPr="00C9680B" w:rsidRDefault="001C7BF9">
      <w:pPr>
        <w:pStyle w:val="Normaltindrag"/>
      </w:pPr>
      <w:r w:rsidRPr="00C9680B">
        <w:t>Mot bakgrund av vad vi anfört anser vi att riksdagen med bifall till motion Fi208 (m) yrkandena 5, 15 och 17 och med anledning av propositionen samt med avslag på motionerna Fi209 (kd) yrkandena 6 och 10, Fi210 (c) yrkande 4 och Fi211 (fp) yrkande 6 i denna del bör öka ramen för utgiftsområde 9  för budgetåret 2001 med 100 miljoner kronor till 29 474 miljoner kronor. Enligt vår mening bör riksdagen med bifall till motio</w:t>
      </w:r>
      <w:r w:rsidRPr="00C9680B">
        <w:t>n Fi208 (m) yrkande 6 och med anledning av propositionen samt med avslag på motionerna Fi209 (kd) yrka</w:t>
      </w:r>
      <w:r w:rsidRPr="00C9680B">
        <w:t>n</w:t>
      </w:r>
      <w:r w:rsidRPr="00C9680B">
        <w:t xml:space="preserve">de 7, Fi210 (c) yrkande 5 och Fi211 (fp) yrkande 8 i denna del godkänna en preliminär fördelning vad avser utgiftsområde 9 om 27 795 miljoner kronor för år 2002 och 27 231 miljoner kronor för år 2003. </w:t>
      </w:r>
    </w:p>
    <w:p w:rsidR="001C7BF9" w:rsidRPr="00C9680B" w:rsidRDefault="001C7BF9">
      <w:pPr>
        <w:outlineLvl w:val="0"/>
      </w:pPr>
      <w:r w:rsidRPr="00C9680B">
        <w:t>2. Chatrine Pålsson och Ester Lindstedt-Staaf (båda kd) anför:</w:t>
      </w:r>
    </w:p>
    <w:p w:rsidR="001C7BF9" w:rsidRPr="00C9680B" w:rsidRDefault="001C7BF9">
      <w:pPr>
        <w:pStyle w:val="Normaltindrag"/>
      </w:pPr>
      <w:r w:rsidRPr="00C9680B">
        <w:t>I budgetpropositionen för år 2001 återför regeringen ytterligare resurser till kommunsektorn. De mest uppmärksammade insatserna är resurserna till skolan på 5 miljarder kronor och resurstillskottet på 9 miljarder kronor till sjukvården. Vi anser att dessa resursförstärkningar dock måste ses mot ba</w:t>
      </w:r>
      <w:r w:rsidRPr="00C9680B">
        <w:t>k</w:t>
      </w:r>
      <w:r w:rsidRPr="00C9680B">
        <w:t>grund av att kommuner och landsting, dvs. skola, vård och omsorg, drabbades hårt av regeringens budgetsanering under 1990-talet. Vi vill erinra om att t.ex. demografiska förändringar och statlig övervältring av kostnader som exe</w:t>
      </w:r>
      <w:r w:rsidRPr="00C9680B">
        <w:t>m</w:t>
      </w:r>
      <w:r w:rsidRPr="00C9680B">
        <w:t>pelvis assistansersättningen inom LSS  kraftigt förändrat kommunernas och landstingens ekonomiska  läge.  De resurser som finns till kommunsektorns förfogande de närmaste åren kommer inte att räcka till för att kapa de långa vårdköerna, tillgodose behoven av äldreläkare med geriatr</w:t>
      </w:r>
      <w:r w:rsidRPr="00C9680B">
        <w:t>isk och psykiatrisk kompetens, hålla utbyggnadstakten för äldreboenden och gruppboenden av olika slag eller att ge tillräckligt stöd till människor med psykisk ohälsa. För att klara vårdens direkta behov och möjliggöra för kommunerna att införa en typ av enhetstaxa inom äldreomsorgen krävs ett tillskott till kommunsektorn. Kristdemokraterna anser att vården och omsorgen är ett prioriterat område, därför bör kommuner och landsting tillföras ytterligare 3 miljarder kronor under treårsperioden jämfört med rege</w:t>
      </w:r>
      <w:r w:rsidRPr="00C9680B">
        <w:t>ringens förslag. Målet för vår vård- och omsorgspolitik är att ge trygghet och medmänsklig omsorg åt alla oavsett kön, etnisk bakgrund eller yrke. Alla har samma rätt att leva ett värdigt liv. Ingen skall behöva avstå från vård av ekonomiska skäl. Alltför stora kos</w:t>
      </w:r>
      <w:r w:rsidRPr="00C9680B">
        <w:t>t</w:t>
      </w:r>
      <w:r w:rsidRPr="00C9680B">
        <w:t>nadsökningar har skett för dem som är långvarigt sjuka och svaga. Utvec</w:t>
      </w:r>
      <w:r w:rsidRPr="00C9680B">
        <w:t>k</w:t>
      </w:r>
      <w:r w:rsidRPr="00C9680B">
        <w:t>lingen av nya läkemedel och de ökande behoven generellt inom hälso- och sjukvården gör att man måste överväga nya lösningar. Vi anser att en översyn bör göras av hela systeme</w:t>
      </w:r>
      <w:r w:rsidRPr="00C9680B">
        <w:t>t så att högkostnadsskyddet verkligen omfattar alla egna avgifter i vården, inklusive hjälpmedel.</w:t>
      </w:r>
    </w:p>
    <w:p w:rsidR="001C7BF9" w:rsidRPr="00C9680B" w:rsidRDefault="001C7BF9">
      <w:pPr>
        <w:pStyle w:val="Normaltindrag"/>
      </w:pPr>
      <w:r w:rsidRPr="00C9680B">
        <w:t>Vi är öppna för en större mångfald inom hälso- och sjukvården med en o</w:t>
      </w:r>
      <w:r w:rsidRPr="00C9680B">
        <w:t>f</w:t>
      </w:r>
      <w:r w:rsidRPr="00C9680B">
        <w:t>fentlig och solidarisk finansiering som grund. En ökad mångfald av vårdgiv</w:t>
      </w:r>
      <w:r w:rsidRPr="00C9680B">
        <w:t>a</w:t>
      </w:r>
      <w:r w:rsidRPr="00C9680B">
        <w:t>re ger patienterna större valmöjligheter och kan stimulera, utveckla och tillf</w:t>
      </w:r>
      <w:r w:rsidRPr="00C9680B">
        <w:t>ö</w:t>
      </w:r>
      <w:r w:rsidRPr="00C9680B">
        <w:t>ra vården nya dimensioner. Privata, kooperativa och ideellt drivna alternativ bör därför ges förutsättningar att utvecklas. Vi anser det oansvarigt att måla upp de privata alternativen som en hotbild i sig. Konkurrensutsättning är ett medel för att skapa och stimulera effektivt utnyttjande av begränsade resurser, stimulera till nytänkande och bidra till g</w:t>
      </w:r>
      <w:r w:rsidRPr="00C9680B">
        <w:t>od och förhöjd kvalitet samt ge pat</w:t>
      </w:r>
      <w:r w:rsidRPr="00C9680B">
        <w:t>i</w:t>
      </w:r>
      <w:r w:rsidRPr="00C9680B">
        <w:t xml:space="preserve">enterna en högre grad av valfrihet. Det innebär också att kvalitetssäkringen kommer i fokus.     </w:t>
      </w:r>
    </w:p>
    <w:p w:rsidR="001C7BF9" w:rsidRPr="00C9680B" w:rsidRDefault="001C7BF9">
      <w:pPr>
        <w:pStyle w:val="Normaltindrag"/>
      </w:pPr>
      <w:r w:rsidRPr="00C9680B">
        <w:t>Vi anser att funktionshindrade skall kunna delta i samhället på lika villkor och accepterar därför inga nedskärningar på handikappområdet. Det är bra att regeringen nu föreslår en avveckling av 65-årsgränsen i assistansersättningen, vilket vi länge drivit. Det återstår dock att ta bort schablonersättningen i ass</w:t>
      </w:r>
      <w:r w:rsidRPr="00C9680B">
        <w:t>i</w:t>
      </w:r>
      <w:r w:rsidRPr="00C9680B">
        <w:t>stansersättningen som slår mot de allra svagaste. Vi anser att sjuk- och tan</w:t>
      </w:r>
      <w:r w:rsidRPr="00C9680B">
        <w:t>d</w:t>
      </w:r>
      <w:r w:rsidRPr="00C9680B">
        <w:t>vårdsförsäkringen på sikt bör samordnas och att en utredning skyndsamt bör tillsättas för detta. Också frågan om kostnader för hjälpmedel bör tas med i direktiven. Vi känner oro för att många avstår från nödvändig tandvård p.g.a. de höga kostnaderna. I avvaktan på utredningens arbete bör därför tandvård</w:t>
      </w:r>
      <w:r w:rsidRPr="00C9680B">
        <w:t>s</w:t>
      </w:r>
      <w:r w:rsidRPr="00C9680B">
        <w:t xml:space="preserve">försäkringen tillföras ytterligare 100 miljoner kronor per år under åren 2001–2003. Slutligen föreslår vi en extra satsning från </w:t>
      </w:r>
      <w:r w:rsidRPr="00C9680B">
        <w:t xml:space="preserve">år 2002 på stimulansbidrag till kommunernas arbete med anhörigvården. </w:t>
      </w:r>
    </w:p>
    <w:p w:rsidR="001C7BF9" w:rsidRPr="00C9680B" w:rsidRDefault="001C7BF9">
      <w:pPr>
        <w:pStyle w:val="Normaltindrag"/>
      </w:pPr>
      <w:r w:rsidRPr="00C9680B">
        <w:t>Mot bakgrund av vad vi anfört anser vi att riksdagen med bifall till motion Fi209 (kd) yrkandena 6 och 10 och med anledning av propositionen samt med avslag på motionerna Fi208 (m) yrkandena 5, 15 och 17, Fi210 (c) yrkande 4 och Fi211 (fp) yrkande 6 i denna del bör öka ramen för utgiftsområde 9  för budgetåret 2001 med 63 miljoner kronor till 29 437 miljoner kronor. Enligt vår mening bör riksdagen med bifall till motion Fi209 (kd) yrkand</w:t>
      </w:r>
      <w:r w:rsidRPr="00C9680B">
        <w:t>e 7 och med anledning av propositionen samt med avslag på motionerna Fi208 (m) yrkande 6, Fi210 (c) yrkande 5 och Fi211 (fp) yrkande 8 i denna del godkä</w:t>
      </w:r>
      <w:r w:rsidRPr="00C9680B">
        <w:t>n</w:t>
      </w:r>
      <w:r w:rsidRPr="00C9680B">
        <w:t xml:space="preserve">na en preliminär fördelning vad avser utgiftsområde 9 om 30 472 miljoner kronor för år 2002 och 32 059 miljoner kronor för år 2003. </w:t>
      </w:r>
    </w:p>
    <w:p w:rsidR="001C7BF9" w:rsidRPr="00C9680B" w:rsidRDefault="001C7BF9">
      <w:pPr>
        <w:outlineLvl w:val="0"/>
      </w:pPr>
      <w:r w:rsidRPr="00C9680B">
        <w:t>3.</w:t>
      </w:r>
      <w:r w:rsidRPr="00C9680B">
        <w:rPr>
          <w:b/>
        </w:rPr>
        <w:t xml:space="preserve"> </w:t>
      </w:r>
      <w:r w:rsidRPr="00C9680B">
        <w:t>Kenneth Johansson (c) anför:</w:t>
      </w:r>
    </w:p>
    <w:p w:rsidR="001C7BF9" w:rsidRPr="00C9680B" w:rsidRDefault="001C7BF9">
      <w:pPr>
        <w:pStyle w:val="Normaltindrag"/>
      </w:pPr>
      <w:r w:rsidRPr="00C9680B">
        <w:t xml:space="preserve"> Centerpartiet har medverkat till en omfördelning av resurserna från fö</w:t>
      </w:r>
      <w:r w:rsidRPr="00C9680B">
        <w:t>r</w:t>
      </w:r>
      <w:r w:rsidRPr="00C9680B">
        <w:t>svaret till hälso- och sjukvården som innebär att vården och omsorgen ko</w:t>
      </w:r>
      <w:r w:rsidRPr="00C9680B">
        <w:t>m</w:t>
      </w:r>
      <w:r w:rsidRPr="00C9680B">
        <w:t>mer att tillföras ytterligare 8 miljarder kronor under 2002–2004. De områden som skall prioriteras är primärvården, äldreomsorgen, psykiatrin samt mån</w:t>
      </w:r>
      <w:r w:rsidRPr="00C9680B">
        <w:t>g</w:t>
      </w:r>
      <w:r w:rsidRPr="00C9680B">
        <w:t xml:space="preserve">fald och  tillgänglighet. </w:t>
      </w:r>
    </w:p>
    <w:p w:rsidR="001C7BF9" w:rsidRPr="00C9680B" w:rsidRDefault="001C7BF9">
      <w:pPr>
        <w:pStyle w:val="Normaltindrag"/>
      </w:pPr>
      <w:r w:rsidRPr="00C9680B">
        <w:t>Inom utgiftsområde 9 föreslår jag en ny vård- och hjälpmedelsgaranti som ger patienten ett besked om när en behandling skall utföras. Tiden mellan fastställd diagnos och påbörjad behandling får inte vara längre än tre mån</w:t>
      </w:r>
      <w:r w:rsidRPr="00C9680B">
        <w:t>a</w:t>
      </w:r>
      <w:r w:rsidRPr="00C9680B">
        <w:t>der. För en ny  vård- och hjälpmedelsgaranti avsätter Centerpartiet 500 milj</w:t>
      </w:r>
      <w:r w:rsidRPr="00C9680B">
        <w:t>o</w:t>
      </w:r>
      <w:r w:rsidRPr="00C9680B">
        <w:t>ner kronor. Jag anser att vården och omsorgen behöver fler alternativa drift</w:t>
      </w:r>
      <w:r w:rsidRPr="00C9680B">
        <w:t>s</w:t>
      </w:r>
      <w:r w:rsidRPr="00C9680B">
        <w:t>former. Fler kooperativ och  privata entreprenörer måste få möjlighet att sluta avtal med kommuner och landsting. Det ökar möjligheten att säkra en bra vård och omsorg i framtiden. Med en mångfald av vårdgivare ökar tillgän</w:t>
      </w:r>
      <w:r w:rsidRPr="00C9680B">
        <w:t>g</w:t>
      </w:r>
      <w:r w:rsidRPr="00C9680B">
        <w:t>ligheten och valfriheten för patienten. Att bejaka olika driftsformer är för mig lika självklart som att vården och omsorgen skall ge</w:t>
      </w:r>
      <w:r w:rsidRPr="00C9680B">
        <w:t xml:space="preserve">s efter behov och vara solidariskt och rättvist fördelad via skattsedeln. Jag tillstyrker regeringens förslag till förbättringar i tandvårdsförsäkringen avseende extra stöd till äldre. Jag föreslår ytterligare 100 miljoner kronor för att förbättra insatserna för ungdomars tandvård. </w:t>
      </w:r>
    </w:p>
    <w:p w:rsidR="001C7BF9" w:rsidRPr="00C9680B" w:rsidRDefault="001C7BF9">
      <w:pPr>
        <w:pStyle w:val="Normaltindrag"/>
      </w:pPr>
      <w:r w:rsidRPr="00C9680B">
        <w:t>I motion So506 redovisar Centerpartiet mer utförligt de förändringar inom utgiftsområde 9 som bör beslutas om inför 2001 års budget. Här föreslås en rad åtgärder för att förhindra att läkemedelsförmånen försämras ytterligare, bl</w:t>
      </w:r>
      <w:r w:rsidRPr="00C9680B">
        <w:t>.a. bättre ordinationsrutiner, noggrannare kontroll av hur läkemedel fö</w:t>
      </w:r>
      <w:r w:rsidRPr="00C9680B">
        <w:t>r</w:t>
      </w:r>
      <w:r w:rsidRPr="00C9680B">
        <w:t xml:space="preserve">skrivs, utvecklade arbetsformer för läkemedelskommittéerna, receptavgift, mindre förpackningar m.m. Priskonkurrensen på läkemedel måste öka och Apoteksbolagets monopol avvecklas. Centerpartiet vill också satsa på ett nationellt hälsonät för att knyta samman alla vårdcentraler, äldreboenden, stora och små sjukhus och privatkliniker. Nätet skulle göra det möjligt för alla som jobbar inom hälso- och sjukvården att kommunicera med varandra </w:t>
      </w:r>
      <w:r w:rsidRPr="00C9680B">
        <w:t>för konsultationer och utbildning. Det skulle också förbättra möjligheten till vård i hemmen. För år 2001 bör 50 miljoner kronor avsättas för projektets initi</w:t>
      </w:r>
      <w:r w:rsidRPr="00C9680B">
        <w:t>e</w:t>
      </w:r>
      <w:r w:rsidRPr="00C9680B">
        <w:t>rande. Bilstödet till handikappade behöver förbättras och åldersgränserna för stödet ses över. För detta bör ytterligare 50 miljoner kronor avsättas. Besp</w:t>
      </w:r>
      <w:r w:rsidRPr="00C9680B">
        <w:t>a</w:t>
      </w:r>
      <w:r w:rsidRPr="00C9680B">
        <w:t>ringar kan enligt vår bedömning göras inom myndigheternas administration med 47,8 miljoner kronor. Samtidigt bör Statens institutionsstyrelse förstärkas med 10 miljoner kronor för särskilda utveckli</w:t>
      </w:r>
      <w:r w:rsidRPr="00C9680B">
        <w:t>ngsprojekt. Regeringen har i budgeten anslagit 30 miljoner kronor mindre för personligt ombud än vad som var avsikten enligt förra årets budgetförslag. Centerpartiet föreslår ytte</w:t>
      </w:r>
      <w:r w:rsidRPr="00C9680B">
        <w:t>r</w:t>
      </w:r>
      <w:r w:rsidRPr="00C9680B">
        <w:t>ligare 30 miljoner kronor i enlighet med den ursprungliga planen. Centerpa</w:t>
      </w:r>
      <w:r w:rsidRPr="00C9680B">
        <w:t>r</w:t>
      </w:r>
      <w:r w:rsidRPr="00C9680B">
        <w:t>tiet vill också utveckla hemservicen för äldre och avsätter 250 miljoner kr</w:t>
      </w:r>
      <w:r w:rsidRPr="00C9680B">
        <w:t>o</w:t>
      </w:r>
      <w:r w:rsidRPr="00C9680B">
        <w:t xml:space="preserve">nor för detta.        </w:t>
      </w:r>
    </w:p>
    <w:p w:rsidR="001C7BF9" w:rsidRPr="00C9680B" w:rsidRDefault="001C7BF9">
      <w:pPr>
        <w:pStyle w:val="Normaltindrag"/>
      </w:pPr>
      <w:r w:rsidRPr="00C9680B">
        <w:t>Mot bakgrund av vad jag anfört anser jag att riksdagen med bifall till m</w:t>
      </w:r>
      <w:r w:rsidRPr="00C9680B">
        <w:t>o</w:t>
      </w:r>
      <w:r w:rsidRPr="00C9680B">
        <w:t>tion Fi210 (c) yrkande 4 och med anledning av propositionen samt med a</w:t>
      </w:r>
      <w:r w:rsidRPr="00C9680B">
        <w:t>v</w:t>
      </w:r>
      <w:r w:rsidRPr="00C9680B">
        <w:t>slag på motionerna Fi208 (m) yrkandena 5, 15 och 17, Fi209 (kd) yrkandena 6 och 10 och Fi211 (fp) yrkande 6 i denna del bör öka ramen för utgiftsomr</w:t>
      </w:r>
      <w:r w:rsidRPr="00C9680B">
        <w:t>å</w:t>
      </w:r>
      <w:r w:rsidRPr="00C9680B">
        <w:t>de 9 för budgetåret 2001 med 942 miljoner kronor till 30 316 miljoner kronor. Enligt min mening bör riksdagen med bifall till motion Fi210 (c) yrkande 5 och med anledning av propositionen samt med avslag på motionerna Fi208 (m) yrkande 6, Fi209 (kd) yrkande 7 och Fi211 (fp) yrkande 8 i denn</w:t>
      </w:r>
      <w:r w:rsidRPr="00C9680B">
        <w:t xml:space="preserve">a del godkänna en preliminär fördelning vad avser utgiftsområde 9 om 31 021 miljoner kronor för år 2002 och 32 484 miljoner kronor för år 2003. </w:t>
      </w:r>
    </w:p>
    <w:p w:rsidR="001C7BF9" w:rsidRPr="00C9680B" w:rsidRDefault="001C7BF9">
      <w:r w:rsidRPr="00C9680B">
        <w:t xml:space="preserve">Harald Nordlund (fp) anför: </w:t>
      </w:r>
    </w:p>
    <w:p w:rsidR="001C7BF9" w:rsidRPr="00C9680B" w:rsidRDefault="001C7BF9">
      <w:pPr>
        <w:pStyle w:val="Normaltindrag"/>
      </w:pPr>
      <w:r w:rsidRPr="00C9680B">
        <w:t>I tjugofem år har Folkpartiet drivit kravet på en tillgänglig och patientnära primärvård. Jag anser det rätt att satsa mycket på vårdkedjans allra första länk. Patienten hamnar med hjälp av husläkaren på rätt vårdnivå. Folkpartiets målsättning är en läkare på 1 500 invånare. Jag anser att om målet skall up</w:t>
      </w:r>
      <w:r w:rsidRPr="00C9680B">
        <w:t>p</w:t>
      </w:r>
      <w:r w:rsidRPr="00C9680B">
        <w:t>nås samtidigt som ambitionen höjs för primärvården så krävs det en husl</w:t>
      </w:r>
      <w:r w:rsidRPr="00C9680B">
        <w:t>ä</w:t>
      </w:r>
      <w:r w:rsidRPr="00C9680B">
        <w:t>karlag och en lag om utökad etableringsfrihet för fler specialister. Utan en ordentlig husläkarreform kommer allmänläkarbristen och de långa väntetide</w:t>
      </w:r>
      <w:r w:rsidRPr="00C9680B">
        <w:t>r</w:t>
      </w:r>
      <w:r w:rsidRPr="00C9680B">
        <w:t>na i primärvården att bestå. Vidare anser jag att all öppenvård bör konku</w:t>
      </w:r>
      <w:r w:rsidRPr="00C9680B">
        <w:t>r</w:t>
      </w:r>
      <w:r w:rsidRPr="00C9680B">
        <w:t xml:space="preserve">rensutsättas för att på det sättet öka effektiviteten och underlätta för privata alternativ att få större utrymme. </w:t>
      </w:r>
    </w:p>
    <w:p w:rsidR="001C7BF9" w:rsidRPr="00C9680B" w:rsidRDefault="001C7BF9">
      <w:pPr>
        <w:pStyle w:val="Normaltindrag"/>
      </w:pPr>
      <w:r w:rsidRPr="00C9680B">
        <w:t>Inom utgiftsområde 9 föreslår jag att handikappreformen återställs. Resu</w:t>
      </w:r>
      <w:r w:rsidRPr="00C9680B">
        <w:t>r</w:t>
      </w:r>
      <w:r w:rsidRPr="00C9680B">
        <w:t>ser tillförs för att åter förstatliga de 20 första timmarna av assistansersättnin</w:t>
      </w:r>
      <w:r w:rsidRPr="00C9680B">
        <w:t>g</w:t>
      </w:r>
      <w:r w:rsidRPr="00C9680B">
        <w:t>en och ta bort de begränsningar i rätten till personlig assistans som regeringen infört. Vidare bör de beräknade beloppen avsedda för kommuner som har höga kostnader för stöd och service till funktionshindrade samt medel avse</w:t>
      </w:r>
      <w:r w:rsidRPr="00C9680B">
        <w:t>d</w:t>
      </w:r>
      <w:r w:rsidRPr="00C9680B">
        <w:t>da för särskilt kostnadskrävande insatser enligt LSS överföras från utgiftso</w:t>
      </w:r>
      <w:r w:rsidRPr="00C9680B">
        <w:t>m</w:t>
      </w:r>
      <w:r w:rsidRPr="00C9680B">
        <w:t>råde 25 till utgiftsområde 9. Folkpartiet föreslår att en miljard kronor avsätts per år under fem år för en särskild tillgängl</w:t>
      </w:r>
      <w:r w:rsidRPr="00C9680B">
        <w:t>ighetsreform för handikappade. Vidare bör kvinnojourerna ges ytterligare 4 miljoner kronor i bidrag. Slutl</w:t>
      </w:r>
      <w:r w:rsidRPr="00C9680B">
        <w:t>i</w:t>
      </w:r>
      <w:r w:rsidRPr="00C9680B">
        <w:t>gen vill jag peka på att internationaliseringen medfört ett ökat inflöde av alkohol och narkotika, vilket kräver ökade insatser av polis och tull men också en intensifierad upplysning. Jag anser det nödvändigt att avsätta ytterl</w:t>
      </w:r>
      <w:r w:rsidRPr="00C9680B">
        <w:t>i</w:t>
      </w:r>
      <w:r w:rsidRPr="00C9680B">
        <w:t>gare 150 miljoner kronor för en intensifierad upplysning.</w:t>
      </w:r>
    </w:p>
    <w:p w:rsidR="001C7BF9" w:rsidRPr="00C9680B" w:rsidRDefault="001C7BF9">
      <w:pPr>
        <w:pStyle w:val="Normaltindrag"/>
      </w:pPr>
      <w:r w:rsidRPr="00C9680B">
        <w:t>Mot bakgrund av vad jag anfört anser jag att riksdagen med bifall till m</w:t>
      </w:r>
      <w:r w:rsidRPr="00C9680B">
        <w:t>o</w:t>
      </w:r>
      <w:r w:rsidRPr="00C9680B">
        <w:t>tion Fi211 (fp) yrkande 6 och med anledning av propositionen samt med avslag på motionerna Fi208 (m) yrkandena 5, 15 och 17, Fi209 (kd) yrkand</w:t>
      </w:r>
      <w:r w:rsidRPr="00C9680B">
        <w:t>e</w:t>
      </w:r>
      <w:r w:rsidRPr="00C9680B">
        <w:t>na 6 och 10 och Fi210 (c) yrkande 4 i denna del bör öka ramen för utgiftso</w:t>
      </w:r>
      <w:r w:rsidRPr="00C9680B">
        <w:t>m</w:t>
      </w:r>
      <w:r w:rsidRPr="00C9680B">
        <w:t>råde 9  för budgetåret 2001 med 3 654 miljoner kronor till 33 028 miljoner kronor. Enligt min mening bör riksdagen med bifall till motion Fi211 (fp) yrkande 8 och med anledning av propositionen samt med avslag på motione</w:t>
      </w:r>
      <w:r w:rsidRPr="00C9680B">
        <w:t>r</w:t>
      </w:r>
      <w:r w:rsidRPr="00C9680B">
        <w:t>na Fi208 (m) yrkande 6, Fi209 (kd) yrkande 7 och Fi210 (c) yrkande 5 i d</w:t>
      </w:r>
      <w:r w:rsidRPr="00C9680B">
        <w:t>e</w:t>
      </w:r>
      <w:r w:rsidRPr="00C9680B">
        <w:t>n</w:t>
      </w:r>
      <w:r w:rsidRPr="00C9680B">
        <w:t xml:space="preserve">na del godkänna en preliminär fördelning vad avser utgiftsområde 9 om 34 113 miljoner kronor för år 2002 och 35 780 miljoner kronor för år 2003. </w:t>
      </w:r>
    </w:p>
    <w:p w:rsidR="001C7BF9" w:rsidRPr="00C9680B" w:rsidRDefault="001C7BF9">
      <w:pPr>
        <w:pStyle w:val="Normaltindrag"/>
        <w:sectPr w:rsidR="00000000" w:rsidRPr="00C9680B">
          <w:headerReference w:type="even" r:id="rId147"/>
          <w:headerReference w:type="default" r:id="rId148"/>
          <w:footerReference w:type="even" r:id="rId149"/>
          <w:footerReference w:type="default" r:id="rId150"/>
          <w:headerReference w:type="first" r:id="rId151"/>
          <w:footerReference w:type="first" r:id="rId152"/>
          <w:footnotePr>
            <w:numRestart w:val="eachSect"/>
          </w:footnotePr>
          <w:pgSz w:w="11906" w:h="16838" w:code="9"/>
          <w:pgMar w:top="850" w:right="4649" w:bottom="4507" w:left="1304" w:header="340" w:footer="227" w:gutter="0"/>
          <w:cols w:space="720"/>
          <w:titlePg/>
        </w:sectPr>
      </w:pPr>
    </w:p>
    <w:p w:rsidR="001C7BF9" w:rsidRPr="00C9680B" w:rsidRDefault="001C7BF9">
      <w:pPr>
        <w:pStyle w:val="Bilaga"/>
      </w:pPr>
      <w:r w:rsidRPr="00C9680B">
        <w:t>bilaga 12</w:t>
      </w:r>
    </w:p>
    <w:p w:rsidR="001C7BF9" w:rsidRPr="00C9680B" w:rsidRDefault="001C7BF9">
      <w:pPr>
        <w:pStyle w:val="Rubrik1"/>
        <w:spacing w:after="0"/>
        <w:rPr>
          <w:noProof w:val="0"/>
        </w:rPr>
      </w:pPr>
      <w:bookmarkStart w:id="1173" w:name="_Toc498838267"/>
      <w:r w:rsidRPr="00C9680B">
        <w:rPr>
          <w:noProof w:val="0"/>
        </w:rPr>
        <w:t>Kulturutskottets protokollsutdrag</w:t>
      </w:r>
      <w:bookmarkEnd w:id="1173"/>
    </w:p>
    <w:p w:rsidR="001C7BF9" w:rsidRPr="00C9680B" w:rsidRDefault="001C7BF9">
      <w:pPr>
        <w:pStyle w:val="R1"/>
      </w:pPr>
      <w:r w:rsidRPr="00C9680B">
        <w:t>2000/01:2.1</w:t>
      </w:r>
    </w:p>
    <w:p w:rsidR="001C7BF9" w:rsidRPr="00C9680B" w:rsidRDefault="001C7BF9">
      <w:r w:rsidRPr="00C9680B">
        <w:br w:type="page"/>
      </w:r>
    </w:p>
    <w:p w:rsidR="001C7BF9" w:rsidRPr="00C9680B" w:rsidRDefault="001C7BF9">
      <w:pPr>
        <w:pStyle w:val="Normaltindrag"/>
        <w:sectPr w:rsidR="00000000" w:rsidRPr="00C9680B">
          <w:headerReference w:type="even" r:id="rId153"/>
          <w:headerReference w:type="default" r:id="rId154"/>
          <w:footerReference w:type="even" r:id="rId155"/>
          <w:footerReference w:type="default" r:id="rId156"/>
          <w:headerReference w:type="first" r:id="rId157"/>
          <w:footerReference w:type="first" r:id="rId158"/>
          <w:footnotePr>
            <w:numRestart w:val="eachSect"/>
          </w:footnotePr>
          <w:pgSz w:w="11906" w:h="16838" w:code="9"/>
          <w:pgMar w:top="850" w:right="4649" w:bottom="4507" w:left="1304" w:header="340" w:footer="227" w:gutter="0"/>
          <w:cols w:space="720"/>
          <w:titlePg/>
        </w:sectPr>
      </w:pPr>
    </w:p>
    <w:p w:rsidR="001C7BF9" w:rsidRPr="00C9680B" w:rsidRDefault="001C7BF9">
      <w:pPr>
        <w:pStyle w:val="Bilaga"/>
      </w:pPr>
      <w:r w:rsidRPr="00C9680B">
        <w:t>bilaga 13</w:t>
      </w:r>
    </w:p>
    <w:p w:rsidR="001C7BF9" w:rsidRPr="00C9680B" w:rsidRDefault="001C7BF9">
      <w:pPr>
        <w:pStyle w:val="Rubrik1"/>
        <w:spacing w:after="0"/>
        <w:rPr>
          <w:noProof w:val="0"/>
        </w:rPr>
      </w:pPr>
      <w:bookmarkStart w:id="1174" w:name="_Toc498838268"/>
      <w:r w:rsidRPr="00C9680B">
        <w:rPr>
          <w:noProof w:val="0"/>
        </w:rPr>
        <w:t>Trafikutskottets protokollsutdrag</w:t>
      </w:r>
      <w:bookmarkEnd w:id="1174"/>
    </w:p>
    <w:p w:rsidR="001C7BF9" w:rsidRPr="00C9680B" w:rsidRDefault="001C7BF9">
      <w:pPr>
        <w:pStyle w:val="Rubrik1"/>
        <w:rPr>
          <w:noProof w:val="0"/>
        </w:rPr>
      </w:pPr>
      <w:bookmarkStart w:id="1175" w:name="_Toc498838269"/>
      <w:r w:rsidRPr="00C9680B">
        <w:rPr>
          <w:noProof w:val="0"/>
        </w:rPr>
        <w:t>2000/01:3.2</w:t>
      </w:r>
      <w:bookmarkEnd w:id="1175"/>
    </w:p>
    <w:p w:rsidR="001C7BF9" w:rsidRPr="00C9680B" w:rsidRDefault="001C7BF9"/>
    <w:p w:rsidR="001C7BF9" w:rsidRPr="00C9680B" w:rsidRDefault="001C7BF9">
      <w:pPr>
        <w:pStyle w:val="Normaltindrag"/>
        <w:sectPr w:rsidR="00000000" w:rsidRPr="00C9680B">
          <w:headerReference w:type="even" r:id="rId159"/>
          <w:headerReference w:type="default" r:id="rId160"/>
          <w:footerReference w:type="even" r:id="rId161"/>
          <w:footerReference w:type="default" r:id="rId162"/>
          <w:headerReference w:type="first" r:id="rId163"/>
          <w:footerReference w:type="first" r:id="rId164"/>
          <w:footnotePr>
            <w:numRestart w:val="eachSect"/>
          </w:footnotePr>
          <w:pgSz w:w="11906" w:h="16838" w:code="9"/>
          <w:pgMar w:top="850" w:right="4649" w:bottom="4507" w:left="1304" w:header="340" w:footer="227" w:gutter="0"/>
          <w:cols w:space="720"/>
          <w:titlePg/>
        </w:sectPr>
      </w:pPr>
    </w:p>
    <w:p w:rsidR="001C7BF9" w:rsidRPr="00C9680B" w:rsidRDefault="001C7BF9">
      <w:pPr>
        <w:pStyle w:val="Bilaga"/>
      </w:pPr>
      <w:r w:rsidRPr="00C9680B">
        <w:t>bilaga 14</w:t>
      </w:r>
    </w:p>
    <w:p w:rsidR="001C7BF9" w:rsidRPr="00C9680B" w:rsidRDefault="001C7BF9">
      <w:pPr>
        <w:pStyle w:val="Rubrik1"/>
        <w:spacing w:after="0"/>
        <w:rPr>
          <w:noProof w:val="0"/>
        </w:rPr>
      </w:pPr>
      <w:bookmarkStart w:id="1176" w:name="_Toc498838270"/>
      <w:r w:rsidRPr="00C9680B">
        <w:rPr>
          <w:noProof w:val="0"/>
        </w:rPr>
        <w:t>Näringsutskottets protokollsutdrag</w:t>
      </w:r>
      <w:bookmarkEnd w:id="1176"/>
    </w:p>
    <w:p w:rsidR="001C7BF9" w:rsidRPr="00C9680B" w:rsidRDefault="001C7BF9">
      <w:pPr>
        <w:pStyle w:val="R1"/>
      </w:pPr>
      <w:r w:rsidRPr="00C9680B">
        <w:t xml:space="preserve"> 2000/01:4.4</w:t>
      </w:r>
    </w:p>
    <w:p w:rsidR="001C7BF9" w:rsidRPr="00C9680B" w:rsidRDefault="001C7BF9"/>
    <w:p w:rsidR="001C7BF9" w:rsidRPr="00C9680B" w:rsidRDefault="001C7BF9">
      <w:pPr>
        <w:pStyle w:val="Normaltindrag"/>
        <w:sectPr w:rsidR="00000000" w:rsidRPr="00C9680B">
          <w:headerReference w:type="even" r:id="rId165"/>
          <w:headerReference w:type="default" r:id="rId166"/>
          <w:footerReference w:type="even" r:id="rId167"/>
          <w:footerReference w:type="default" r:id="rId168"/>
          <w:headerReference w:type="first" r:id="rId169"/>
          <w:footerReference w:type="first" r:id="rId170"/>
          <w:footnotePr>
            <w:numRestart w:val="eachSect"/>
          </w:footnotePr>
          <w:pgSz w:w="11906" w:h="16838" w:code="9"/>
          <w:pgMar w:top="850" w:right="4649" w:bottom="4507" w:left="1304" w:header="340" w:footer="227" w:gutter="0"/>
          <w:cols w:space="720"/>
          <w:titlePg/>
        </w:sectPr>
      </w:pPr>
    </w:p>
    <w:p w:rsidR="001C7BF9" w:rsidRPr="00C9680B" w:rsidRDefault="001C7BF9">
      <w:pPr>
        <w:pStyle w:val="Bilaga"/>
      </w:pPr>
      <w:r w:rsidRPr="00C9680B">
        <w:t>bilaga 15</w:t>
      </w:r>
    </w:p>
    <w:p w:rsidR="001C7BF9" w:rsidRPr="00C9680B" w:rsidRDefault="001C7BF9">
      <w:pPr>
        <w:pStyle w:val="Rubrik1"/>
        <w:spacing w:after="0"/>
        <w:rPr>
          <w:noProof w:val="0"/>
        </w:rPr>
      </w:pPr>
      <w:bookmarkStart w:id="1177" w:name="_Toc498838271"/>
      <w:r w:rsidRPr="00C9680B">
        <w:rPr>
          <w:noProof w:val="0"/>
        </w:rPr>
        <w:t>Arbetsmarknadsutskottets protokollsutdrag</w:t>
      </w:r>
      <w:bookmarkEnd w:id="1177"/>
    </w:p>
    <w:p w:rsidR="001C7BF9" w:rsidRPr="00C9680B" w:rsidRDefault="001C7BF9">
      <w:pPr>
        <w:pStyle w:val="R1"/>
      </w:pPr>
      <w:r w:rsidRPr="00C9680B">
        <w:t>2000/01:5, bilagorna 3 och 4</w:t>
      </w:r>
    </w:p>
    <w:p w:rsidR="001C7BF9" w:rsidRPr="00C9680B" w:rsidRDefault="001C7BF9">
      <w:r w:rsidRPr="00C9680B">
        <w:br w:type="page"/>
      </w:r>
      <w:r w:rsidRPr="00C9680B">
        <w:br w:type="page"/>
      </w:r>
      <w:r w:rsidRPr="00C9680B">
        <w:br w:type="page"/>
      </w:r>
      <w:r w:rsidRPr="00C9680B">
        <w:br w:type="page"/>
      </w:r>
      <w:r w:rsidRPr="00C9680B">
        <w:br w:type="page"/>
      </w:r>
      <w:r w:rsidRPr="00C9680B">
        <w:br w:type="page"/>
      </w:r>
      <w:r w:rsidRPr="00C9680B">
        <w:br w:type="page"/>
      </w:r>
      <w:r w:rsidRPr="00C9680B">
        <w:br w:type="page"/>
      </w:r>
    </w:p>
    <w:p w:rsidR="001C7BF9" w:rsidRPr="00C9680B" w:rsidRDefault="001C7BF9">
      <w:pPr>
        <w:pStyle w:val="Normaltindrag"/>
        <w:sectPr w:rsidR="00000000" w:rsidRPr="00C9680B">
          <w:headerReference w:type="even" r:id="rId171"/>
          <w:headerReference w:type="default" r:id="rId172"/>
          <w:footerReference w:type="even" r:id="rId173"/>
          <w:footerReference w:type="default" r:id="rId174"/>
          <w:headerReference w:type="first" r:id="rId175"/>
          <w:footerReference w:type="first" r:id="rId176"/>
          <w:footnotePr>
            <w:numRestart w:val="eachSect"/>
          </w:footnotePr>
          <w:pgSz w:w="11906" w:h="16838" w:code="9"/>
          <w:pgMar w:top="850" w:right="4649" w:bottom="4507" w:left="1304" w:header="340" w:footer="227" w:gutter="0"/>
          <w:cols w:space="720"/>
          <w:titlePg/>
        </w:sectPr>
      </w:pPr>
    </w:p>
    <w:p w:rsidR="001C7BF9" w:rsidRPr="00C9680B" w:rsidRDefault="001C7BF9">
      <w:pPr>
        <w:pStyle w:val="Bilaga"/>
      </w:pPr>
      <w:bookmarkStart w:id="1178" w:name="_Toc497014213"/>
      <w:r w:rsidRPr="00C9680B">
        <w:t>bilaga 16</w:t>
      </w:r>
    </w:p>
    <w:p w:rsidR="001C7BF9" w:rsidRPr="00C9680B" w:rsidRDefault="001C7BF9">
      <w:pPr>
        <w:pStyle w:val="Rubrik1"/>
        <w:spacing w:after="0"/>
        <w:rPr>
          <w:noProof w:val="0"/>
        </w:rPr>
      </w:pPr>
      <w:bookmarkStart w:id="1179" w:name="_Toc498838272"/>
      <w:r w:rsidRPr="00C9680B">
        <w:rPr>
          <w:noProof w:val="0"/>
        </w:rPr>
        <w:t>Bostadsutskottets yttrande</w:t>
      </w:r>
      <w:bookmarkEnd w:id="1179"/>
    </w:p>
    <w:p w:rsidR="001C7BF9" w:rsidRPr="00C9680B" w:rsidRDefault="001C7BF9">
      <w:pPr>
        <w:pStyle w:val="R1"/>
        <w:spacing w:after="240"/>
      </w:pPr>
      <w:r w:rsidRPr="00C9680B">
        <w:t>2000/01:BoU1y</w:t>
      </w:r>
    </w:p>
    <w:p w:rsidR="001C7BF9" w:rsidRPr="00C9680B" w:rsidRDefault="001C7BF9">
      <w:pPr>
        <w:pStyle w:val="Rubrik2"/>
        <w:spacing w:before="125"/>
      </w:pPr>
      <w:bookmarkStart w:id="1180" w:name="_Toc498838273"/>
      <w:r w:rsidRPr="00C9680B">
        <w:t>Ramen för utgiftsområde 18 m.m.</w:t>
      </w:r>
      <w:bookmarkEnd w:id="1180"/>
    </w:p>
    <w:p w:rsidR="001C7BF9" w:rsidRPr="00C9680B" w:rsidRDefault="001C7BF9">
      <w:pPr>
        <w:pStyle w:val="Rubrik2"/>
        <w:spacing w:before="480" w:after="240"/>
        <w:rPr>
          <w:sz w:val="32"/>
        </w:rPr>
      </w:pPr>
      <w:bookmarkStart w:id="1181" w:name="_Toc498838274"/>
      <w:r w:rsidRPr="00C9680B">
        <w:rPr>
          <w:sz w:val="32"/>
        </w:rPr>
        <w:t>Till finansutskottet</w:t>
      </w:r>
      <w:bookmarkEnd w:id="1178"/>
      <w:bookmarkEnd w:id="1181"/>
    </w:p>
    <w:p w:rsidR="001C7BF9" w:rsidRPr="00C9680B" w:rsidRDefault="001C7BF9">
      <w:r w:rsidRPr="00C9680B">
        <w:t>Finansutskottet har berett berörda utskott tillfälle att avge yttrande över pr</w:t>
      </w:r>
      <w:r w:rsidRPr="00C9680B">
        <w:t>o</w:t>
      </w:r>
      <w:r w:rsidRPr="00C9680B">
        <w:t>position 2000/01:1 Budgetpropositionen för 2001 (volym 1) i vad avser bl.a. utgifternas fördelning på utgiftsområden jämte moti</w:t>
      </w:r>
      <w:r w:rsidRPr="00C9680B">
        <w:t>o</w:t>
      </w:r>
      <w:r w:rsidRPr="00C9680B">
        <w:t xml:space="preserve">ner. </w:t>
      </w:r>
    </w:p>
    <w:p w:rsidR="001C7BF9" w:rsidRPr="00C9680B" w:rsidRDefault="001C7BF9">
      <w:pPr>
        <w:pStyle w:val="Normaltindrag"/>
      </w:pPr>
      <w:r w:rsidRPr="00C9680B">
        <w:t>Bostadsutskottet behandlar i detta yttrande förslagen i budgetpropositionen och motstående motioner i vad avser ramen för utgiftsområde 18 Samhäll</w:t>
      </w:r>
      <w:r w:rsidRPr="00C9680B">
        <w:t>s</w:t>
      </w:r>
      <w:r w:rsidRPr="00C9680B">
        <w:t>planering, bostadsförsörjning och byggande. Därutöver behandlas förslag i budgetproposition och motioner avseende fastighetsbeskattningen.</w:t>
      </w:r>
    </w:p>
    <w:p w:rsidR="001C7BF9" w:rsidRPr="00C9680B" w:rsidRDefault="001C7BF9">
      <w:pPr>
        <w:pStyle w:val="Rubrik2"/>
        <w:rPr>
          <w:sz w:val="32"/>
        </w:rPr>
      </w:pPr>
      <w:bookmarkStart w:id="1182" w:name="_Toc497014214"/>
      <w:bookmarkStart w:id="1183" w:name="_Toc498838275"/>
      <w:r w:rsidRPr="00C9680B">
        <w:rPr>
          <w:sz w:val="32"/>
        </w:rPr>
        <w:t>Sammanfattning</w:t>
      </w:r>
      <w:bookmarkEnd w:id="1182"/>
      <w:bookmarkEnd w:id="1183"/>
    </w:p>
    <w:p w:rsidR="001C7BF9" w:rsidRPr="00C9680B" w:rsidRDefault="001C7BF9">
      <w:r w:rsidRPr="00C9680B">
        <w:t>Bostadsutskottet tillstyrker att ramen för utgiftsområde 18 för budgetåret 2001 fastställs till den nivå som regeringen föreslagit. Utskottet anser att riksdagen även bör godkänna den preliminära beräkningen av denna ram för budgetåren 2002 och 2003. Motstående motionsförslag i dessa delar a</w:t>
      </w:r>
      <w:r w:rsidRPr="00C9680B">
        <w:t>v</w:t>
      </w:r>
      <w:r w:rsidRPr="00C9680B">
        <w:t>styrks.</w:t>
      </w:r>
    </w:p>
    <w:p w:rsidR="001C7BF9" w:rsidRPr="00C9680B" w:rsidRDefault="001C7BF9">
      <w:pPr>
        <w:pStyle w:val="Normaltindrag"/>
      </w:pPr>
      <w:r w:rsidRPr="00C9680B">
        <w:t>Utskottet anser vidare att regeringens förslag angående fastighetsbeskat</w:t>
      </w:r>
      <w:r w:rsidRPr="00C9680B">
        <w:t>t</w:t>
      </w:r>
      <w:r w:rsidRPr="00C9680B">
        <w:t>ningen år 2001 bör genomföras och avstyrker samtliga motionsförslag i fr</w:t>
      </w:r>
      <w:r w:rsidRPr="00C9680B">
        <w:t>å</w:t>
      </w:r>
      <w:r w:rsidRPr="00C9680B">
        <w:t xml:space="preserve">gan. </w:t>
      </w:r>
    </w:p>
    <w:p w:rsidR="001C7BF9" w:rsidRPr="00C9680B" w:rsidRDefault="001C7BF9">
      <w:pPr>
        <w:pStyle w:val="Normaltindrag"/>
      </w:pPr>
      <w:r w:rsidRPr="00C9680B">
        <w:t>Avvikande meningar (m), (kd), (c) och (fp) har avgivits till förmån för fö</w:t>
      </w:r>
      <w:r w:rsidRPr="00C9680B">
        <w:t>r</w:t>
      </w:r>
      <w:r w:rsidRPr="00C9680B">
        <w:t>slagen till medelstilldelning avseende utgiftsområde 18 samt om fastighetsb</w:t>
      </w:r>
      <w:r w:rsidRPr="00C9680B">
        <w:t>e</w:t>
      </w:r>
      <w:r w:rsidRPr="00C9680B">
        <w:t xml:space="preserve">skattningen i respektive partimotioner.  </w:t>
      </w:r>
    </w:p>
    <w:p w:rsidR="001C7BF9" w:rsidRPr="00C9680B" w:rsidRDefault="001C7BF9">
      <w:pPr>
        <w:pStyle w:val="R1"/>
        <w:spacing w:before="480" w:after="240"/>
      </w:pPr>
      <w:bookmarkStart w:id="1184" w:name="_Toc497014215"/>
      <w:r w:rsidRPr="00C9680B">
        <w:t>Utskottet</w:t>
      </w:r>
      <w:bookmarkEnd w:id="1184"/>
    </w:p>
    <w:p w:rsidR="001C7BF9" w:rsidRPr="00C9680B" w:rsidRDefault="001C7BF9">
      <w:pPr>
        <w:pStyle w:val="Rubrik2"/>
        <w:spacing w:before="0"/>
      </w:pPr>
      <w:bookmarkStart w:id="1185" w:name="_Toc497014216"/>
      <w:bookmarkStart w:id="1186" w:name="_Toc498838276"/>
      <w:r w:rsidRPr="00C9680B">
        <w:t>Utgiftsområde 18 – Samhällsplanering, bostadsförsörjning och byggande</w:t>
      </w:r>
      <w:bookmarkEnd w:id="1185"/>
      <w:bookmarkEnd w:id="1186"/>
    </w:p>
    <w:p w:rsidR="001C7BF9" w:rsidRPr="00C9680B" w:rsidRDefault="001C7BF9">
      <w:r w:rsidRPr="00C9680B">
        <w:t>Utgiftsområde 18 omfattar anslag inom delområdena plan-, bygg- och b</w:t>
      </w:r>
      <w:r w:rsidRPr="00C9680B">
        <w:t>o</w:t>
      </w:r>
      <w:r w:rsidRPr="00C9680B">
        <w:t xml:space="preserve">stadsväsendet, geoteknik, länsstyrelserna, lantmäteriverksamhet samt stöd till ekologisk omställning och utveckling. </w:t>
      </w:r>
    </w:p>
    <w:p w:rsidR="001C7BF9" w:rsidRPr="00C9680B" w:rsidRDefault="001C7BF9">
      <w:pPr>
        <w:pStyle w:val="Normaltindrag"/>
      </w:pPr>
      <w:r w:rsidRPr="00C9680B">
        <w:t>Regeringen föreslår (finansplanen punkt 8, tabell 7.2) att ramen för u</w:t>
      </w:r>
      <w:r w:rsidRPr="00C9680B">
        <w:t>t</w:t>
      </w:r>
      <w:r w:rsidRPr="00C9680B">
        <w:t>giftsområde 18 för budgetåret 2001 skall fastställas till 11 634 740 000 kr. Riksdagen föreslås vidare godkänna preliminära beräkningar av ramen för utgiftsområdet för budgetåren 2002 och 2003 (punkt 10, tabell 7.2). För år 2002 föreslås en preliminär ram om 11 012 miljoner kronor och för år 2003 föreslås att motsvarande ram skall beräknas till 10 613 miljoner kr</w:t>
      </w:r>
      <w:r w:rsidRPr="00C9680B">
        <w:t>o</w:t>
      </w:r>
      <w:r w:rsidRPr="00C9680B">
        <w:t>nor.</w:t>
      </w:r>
    </w:p>
    <w:p w:rsidR="001C7BF9" w:rsidRPr="00C9680B" w:rsidRDefault="001C7BF9">
      <w:pPr>
        <w:pStyle w:val="Normaltindrag"/>
      </w:pPr>
      <w:r w:rsidRPr="00C9680B">
        <w:t>Regeringens ramförslag för år 2001 är 349 miljoner kronor lägre än mo</w:t>
      </w:r>
      <w:r w:rsidRPr="00C9680B">
        <w:t>t</w:t>
      </w:r>
      <w:r w:rsidRPr="00C9680B">
        <w:t>svarande beräkning i 2000 års ekonomiska vårproposition. Enligt regeringen förklaras förändringen i huvudsak av att medlen för byggforskning överförs till ett nytt forskningsråd med anslag under utgiftsområde 20. Belastningen på anslaget för bostadsbidrag beräknas minska till följd av ökande löner och sysse</w:t>
      </w:r>
      <w:r w:rsidRPr="00C9680B">
        <w:t>l</w:t>
      </w:r>
      <w:r w:rsidRPr="00C9680B">
        <w:t xml:space="preserve">sättning. </w:t>
      </w:r>
    </w:p>
    <w:p w:rsidR="001C7BF9" w:rsidRPr="00C9680B" w:rsidRDefault="001C7BF9">
      <w:pPr>
        <w:pStyle w:val="Normaltindrag"/>
      </w:pPr>
      <w:r w:rsidRPr="00C9680B">
        <w:t>Vidare anges att anslaget för investeringar som främjar ekologisk hållba</w:t>
      </w:r>
      <w:r w:rsidRPr="00C9680B">
        <w:t>r</w:t>
      </w:r>
      <w:r w:rsidRPr="00C9680B">
        <w:t>het minskas med 115 miljoner kronor och anslaget till lokala investering</w:t>
      </w:r>
      <w:r w:rsidRPr="00C9680B">
        <w:t>s</w:t>
      </w:r>
      <w:r w:rsidRPr="00C9680B">
        <w:t>program med 50 miljoner kronor år 2001. Länsstyrelserna och de regionala självstyrelseorganen tillförs enligt regeringens förslag medel för strukturfon</w:t>
      </w:r>
      <w:r w:rsidRPr="00C9680B">
        <w:t>d</w:t>
      </w:r>
      <w:r w:rsidRPr="00C9680B">
        <w:t>sadministration och länsstyrelserna för miljötillsyn.</w:t>
      </w:r>
    </w:p>
    <w:p w:rsidR="001C7BF9" w:rsidRPr="00C9680B" w:rsidRDefault="001C7BF9">
      <w:pPr>
        <w:pStyle w:val="Normaltindrag"/>
      </w:pPr>
      <w:r w:rsidRPr="00C9680B">
        <w:t>Förslag till andra nivåer för ramen för utgiftsområde 18 läggs fram i part</w:t>
      </w:r>
      <w:r w:rsidRPr="00C9680B">
        <w:t>i</w:t>
      </w:r>
      <w:r w:rsidRPr="00C9680B">
        <w:t xml:space="preserve">motioner (m), (kd), (c) och (fp). </w:t>
      </w:r>
    </w:p>
    <w:p w:rsidR="001C7BF9" w:rsidRPr="00C9680B" w:rsidRDefault="001C7BF9">
      <w:pPr>
        <w:pStyle w:val="Normaltindrag"/>
      </w:pPr>
      <w:r w:rsidRPr="00C9680B">
        <w:t>Moderata samlingspartiet föreslår i sin partimotion 2000/01:Fi208 yrkande 5 att ramen för utgiftsområde 18 för budgetåret 2001 skall fastställas till ett belopp som är 2 096 miljoner kronor lägre än regeringsförslaget. För budge</w:t>
      </w:r>
      <w:r w:rsidRPr="00C9680B">
        <w:t>t</w:t>
      </w:r>
      <w:r w:rsidRPr="00C9680B">
        <w:t>åren 2002 och 2003 föreslås i motionens yrkande 6 en preliminär ram som är 1 951 respektive 2 288 miljoner kronor lägre än vad regeringen förordat.  Besparingen avses uppnås genom nedskärningar på ett flertal områden. De största besparingarna avser räntebidragen, bostadsbidragen samt en avvec</w:t>
      </w:r>
      <w:r w:rsidRPr="00C9680B">
        <w:t>k</w:t>
      </w:r>
      <w:r w:rsidRPr="00C9680B">
        <w:t xml:space="preserve">ling av stödet till de lokala investeringsprogrammen. </w:t>
      </w:r>
    </w:p>
    <w:p w:rsidR="001C7BF9" w:rsidRPr="00C9680B" w:rsidRDefault="001C7BF9">
      <w:pPr>
        <w:pStyle w:val="Normaltindrag"/>
      </w:pPr>
      <w:r w:rsidRPr="00C9680B">
        <w:t>Kristdemokraterna föreslår i sin partimotion 2000/01:Fi209 en minskning av ramen med 560 miljoner kronor vad gäller år 2001 (yrkande 6). För bu</w:t>
      </w:r>
      <w:r w:rsidRPr="00C9680B">
        <w:t>d</w:t>
      </w:r>
      <w:r w:rsidRPr="00C9680B">
        <w:t>getåret 2002 föreslås en minskning med 999 miljoner kronor och för år 2003 en minskning med 1 140 miljoner kronor (yrkande 7). Besparingar görs på främst räntebidragsanslaget och stödet till lokala investeringsprogram. Samt</w:t>
      </w:r>
      <w:r w:rsidRPr="00C9680B">
        <w:t>i</w:t>
      </w:r>
      <w:r w:rsidRPr="00C9680B">
        <w:t>digt föreslås ett ökat anslag till bostadsbidrag samt en satsning på förbättrad ino</w:t>
      </w:r>
      <w:r w:rsidRPr="00C9680B">
        <w:t>m</w:t>
      </w:r>
      <w:r w:rsidRPr="00C9680B">
        <w:t>husmiljö och arkitekturåret.</w:t>
      </w:r>
    </w:p>
    <w:p w:rsidR="001C7BF9" w:rsidRPr="00C9680B" w:rsidRDefault="001C7BF9">
      <w:pPr>
        <w:pStyle w:val="Normaltindrag"/>
      </w:pPr>
      <w:r w:rsidRPr="00C9680B">
        <w:t>Förslagen för utgiftsområde 18 i Centerpartiets partimotion 2000/01:Fi210 yrkandena 4 och 5 innebär att ramen bestäms till ett belopp som är 1 667, 1 430 respektive 1 140 mil</w:t>
      </w:r>
      <w:r w:rsidRPr="00C9680B">
        <w:t xml:space="preserve">joner kronor lägre än vad regeringen föreslagit för budgetåren 2001–2003. </w:t>
      </w:r>
    </w:p>
    <w:p w:rsidR="001C7BF9" w:rsidRPr="00C9680B" w:rsidRDefault="001C7BF9">
      <w:pPr>
        <w:pStyle w:val="Normaltindrag"/>
      </w:pPr>
      <w:r w:rsidRPr="00C9680B">
        <w:t>I Folkpartiets partimotion 2000/01:Fi211 yrkande 6 föreslås att ramen för budgetåret 2001 bestäms till ett belopp som är 2 504 miljoner kronor lägre än vad regeringen föreslagit. Enligt yrkande 8 bör den preliminära ramen för åren 2002 och 2003 fastställas till belopp som är 2 184 respektive 1 858 mi</w:t>
      </w:r>
      <w:r w:rsidRPr="00C9680B">
        <w:t>l</w:t>
      </w:r>
      <w:r w:rsidRPr="00C9680B">
        <w:t>joner kronor lägre än regeringsförslaget. Förslagen utgår från lägre utgifter för bostadsbidrag, räntebidrag samt för vissa myndighetsanslag. Vidare för</w:t>
      </w:r>
      <w:r w:rsidRPr="00C9680B">
        <w:t>e</w:t>
      </w:r>
      <w:r w:rsidRPr="00C9680B">
        <w:t>slås att anslaget för stöd till lokala investeringsprogram avvecklas. Högre anslag än i regeringsförslaget har beräknats för investeringsbidrag för anor</w:t>
      </w:r>
      <w:r w:rsidRPr="00C9680B">
        <w:t>d</w:t>
      </w:r>
      <w:r w:rsidRPr="00C9680B">
        <w:t xml:space="preserve">nande av bostäder för studenter. </w:t>
      </w:r>
    </w:p>
    <w:p w:rsidR="001C7BF9" w:rsidRPr="00C9680B" w:rsidRDefault="001C7BF9">
      <w:pPr>
        <w:pStyle w:val="Normaltindrag"/>
      </w:pPr>
      <w:r w:rsidRPr="00C9680B">
        <w:t>De ovan beskrivna förslagen i budgetpropositionen och i partimotionerna om ramar för utgiftsområde 18 – Samhällsplanering, bostadsförsörjning och byggande – åren 2001–2003</w:t>
      </w:r>
      <w:r w:rsidRPr="00C9680B">
        <w:t xml:space="preserve"> kan sammanfattas i vidstående tabell. Förslagen i partimotionerna redovisas som avvikelse från regeringens förslag. Beloppen anges avrundade till miljoner kronor.</w:t>
      </w:r>
    </w:p>
    <w:p w:rsidR="001C7BF9" w:rsidRPr="00C9680B" w:rsidRDefault="001C7BF9">
      <w:pPr>
        <w:pStyle w:val="Normaltindrag"/>
      </w:pPr>
    </w:p>
    <w:tbl>
      <w:tblPr>
        <w:tblW w:w="0" w:type="auto"/>
        <w:tblInd w:w="-75" w:type="dxa"/>
        <w:tblLayout w:type="fixed"/>
        <w:tblCellMar>
          <w:left w:w="70" w:type="dxa"/>
          <w:right w:w="70" w:type="dxa"/>
        </w:tblCellMar>
        <w:tblLook w:val="0000" w:firstRow="0" w:lastRow="0" w:firstColumn="0" w:lastColumn="0" w:noHBand="0" w:noVBand="0"/>
      </w:tblPr>
      <w:tblGrid>
        <w:gridCol w:w="1509"/>
        <w:gridCol w:w="1113"/>
        <w:gridCol w:w="1134"/>
        <w:gridCol w:w="1134"/>
      </w:tblGrid>
      <w:tr w:rsidR="00000000" w:rsidRPr="00C9680B">
        <w:tblPrEx>
          <w:tblCellMar>
            <w:top w:w="0" w:type="dxa"/>
            <w:bottom w:w="0" w:type="dxa"/>
          </w:tblCellMar>
        </w:tblPrEx>
        <w:tc>
          <w:tcPr>
            <w:tcW w:w="1509" w:type="dxa"/>
            <w:tcBorders>
              <w:top w:val="single" w:sz="6" w:space="0" w:color="auto"/>
              <w:left w:val="single" w:sz="6" w:space="0" w:color="auto"/>
            </w:tcBorders>
          </w:tcPr>
          <w:p w:rsidR="001C7BF9" w:rsidRPr="00C9680B" w:rsidRDefault="001C7BF9">
            <w:pPr>
              <w:pStyle w:val="Normaltindrag"/>
              <w:ind w:firstLine="0"/>
            </w:pPr>
          </w:p>
        </w:tc>
        <w:tc>
          <w:tcPr>
            <w:tcW w:w="1113" w:type="dxa"/>
            <w:tcBorders>
              <w:top w:val="single" w:sz="6" w:space="0" w:color="auto"/>
            </w:tcBorders>
          </w:tcPr>
          <w:p w:rsidR="001C7BF9" w:rsidRPr="00C9680B" w:rsidRDefault="001C7BF9">
            <w:pPr>
              <w:pStyle w:val="Normaltindrag"/>
              <w:ind w:firstLine="0"/>
              <w:jc w:val="center"/>
            </w:pPr>
            <w:r w:rsidRPr="00C9680B">
              <w:t>2001</w:t>
            </w:r>
          </w:p>
        </w:tc>
        <w:tc>
          <w:tcPr>
            <w:tcW w:w="1134" w:type="dxa"/>
            <w:tcBorders>
              <w:top w:val="single" w:sz="6" w:space="0" w:color="auto"/>
            </w:tcBorders>
          </w:tcPr>
          <w:p w:rsidR="001C7BF9" w:rsidRPr="00C9680B" w:rsidRDefault="001C7BF9">
            <w:pPr>
              <w:pStyle w:val="Normaltindrag"/>
              <w:ind w:firstLine="0"/>
              <w:jc w:val="center"/>
            </w:pPr>
            <w:r w:rsidRPr="00C9680B">
              <w:t>2002</w:t>
            </w:r>
          </w:p>
        </w:tc>
        <w:tc>
          <w:tcPr>
            <w:tcW w:w="1134" w:type="dxa"/>
            <w:tcBorders>
              <w:top w:val="single" w:sz="6" w:space="0" w:color="auto"/>
              <w:right w:val="single" w:sz="6" w:space="0" w:color="auto"/>
            </w:tcBorders>
          </w:tcPr>
          <w:p w:rsidR="001C7BF9" w:rsidRPr="00C9680B" w:rsidRDefault="001C7BF9">
            <w:pPr>
              <w:pStyle w:val="Normaltindrag"/>
              <w:ind w:firstLine="0"/>
              <w:jc w:val="center"/>
            </w:pPr>
            <w:r w:rsidRPr="00C9680B">
              <w:t>2003</w:t>
            </w:r>
          </w:p>
        </w:tc>
      </w:tr>
      <w:tr w:rsidR="00000000" w:rsidRPr="00C9680B">
        <w:tblPrEx>
          <w:tblCellMar>
            <w:top w:w="0" w:type="dxa"/>
            <w:bottom w:w="0" w:type="dxa"/>
          </w:tblCellMar>
        </w:tblPrEx>
        <w:tc>
          <w:tcPr>
            <w:tcW w:w="1509" w:type="dxa"/>
            <w:tcBorders>
              <w:top w:val="single" w:sz="6" w:space="0" w:color="auto"/>
              <w:left w:val="single" w:sz="6" w:space="0" w:color="auto"/>
            </w:tcBorders>
          </w:tcPr>
          <w:p w:rsidR="001C7BF9" w:rsidRPr="00C9680B" w:rsidRDefault="001C7BF9">
            <w:pPr>
              <w:pStyle w:val="Normaltindrag"/>
              <w:ind w:firstLine="0"/>
            </w:pPr>
            <w:r w:rsidRPr="00C9680B">
              <w:t>Regeringen</w:t>
            </w:r>
          </w:p>
        </w:tc>
        <w:tc>
          <w:tcPr>
            <w:tcW w:w="1113" w:type="dxa"/>
            <w:tcBorders>
              <w:top w:val="single" w:sz="6" w:space="0" w:color="auto"/>
            </w:tcBorders>
          </w:tcPr>
          <w:p w:rsidR="001C7BF9" w:rsidRPr="00C9680B" w:rsidRDefault="001C7BF9">
            <w:pPr>
              <w:pStyle w:val="Normaltindrag"/>
              <w:ind w:right="57" w:firstLine="0"/>
              <w:jc w:val="right"/>
            </w:pPr>
            <w:r w:rsidRPr="00C9680B">
              <w:t>11 635</w:t>
            </w:r>
          </w:p>
        </w:tc>
        <w:tc>
          <w:tcPr>
            <w:tcW w:w="1134" w:type="dxa"/>
            <w:tcBorders>
              <w:top w:val="single" w:sz="6" w:space="0" w:color="auto"/>
            </w:tcBorders>
          </w:tcPr>
          <w:p w:rsidR="001C7BF9" w:rsidRPr="00C9680B" w:rsidRDefault="001C7BF9">
            <w:pPr>
              <w:pStyle w:val="Normaltindrag"/>
              <w:ind w:right="57" w:firstLine="0"/>
              <w:jc w:val="right"/>
            </w:pPr>
            <w:r w:rsidRPr="00C9680B">
              <w:t>11 012</w:t>
            </w:r>
          </w:p>
        </w:tc>
        <w:tc>
          <w:tcPr>
            <w:tcW w:w="1134" w:type="dxa"/>
            <w:tcBorders>
              <w:top w:val="single" w:sz="6" w:space="0" w:color="auto"/>
              <w:right w:val="single" w:sz="6" w:space="0" w:color="auto"/>
            </w:tcBorders>
          </w:tcPr>
          <w:p w:rsidR="001C7BF9" w:rsidRPr="00C9680B" w:rsidRDefault="001C7BF9">
            <w:pPr>
              <w:pStyle w:val="Normaltindrag"/>
              <w:ind w:right="57" w:firstLine="0"/>
              <w:jc w:val="right"/>
            </w:pPr>
            <w:r w:rsidRPr="00C9680B">
              <w:t>10 613</w:t>
            </w:r>
          </w:p>
        </w:tc>
      </w:tr>
      <w:tr w:rsidR="00000000" w:rsidRPr="00C9680B">
        <w:tblPrEx>
          <w:tblCellMar>
            <w:top w:w="0" w:type="dxa"/>
            <w:bottom w:w="0" w:type="dxa"/>
          </w:tblCellMar>
        </w:tblPrEx>
        <w:tc>
          <w:tcPr>
            <w:tcW w:w="1509" w:type="dxa"/>
            <w:tcBorders>
              <w:left w:val="single" w:sz="6" w:space="0" w:color="auto"/>
            </w:tcBorders>
          </w:tcPr>
          <w:p w:rsidR="001C7BF9" w:rsidRPr="00C9680B" w:rsidRDefault="001C7BF9">
            <w:pPr>
              <w:pStyle w:val="Normaltindrag"/>
              <w:ind w:firstLine="0"/>
            </w:pPr>
            <w:r w:rsidRPr="00C9680B">
              <w:t>(m)</w:t>
            </w:r>
          </w:p>
        </w:tc>
        <w:tc>
          <w:tcPr>
            <w:tcW w:w="1113" w:type="dxa"/>
          </w:tcPr>
          <w:p w:rsidR="001C7BF9" w:rsidRPr="00C9680B" w:rsidRDefault="001C7BF9">
            <w:pPr>
              <w:pStyle w:val="Normaltindrag"/>
              <w:ind w:right="57" w:firstLine="0"/>
              <w:jc w:val="right"/>
            </w:pPr>
            <w:r w:rsidRPr="00C9680B">
              <w:t>-2 096</w:t>
            </w:r>
          </w:p>
        </w:tc>
        <w:tc>
          <w:tcPr>
            <w:tcW w:w="1134" w:type="dxa"/>
          </w:tcPr>
          <w:p w:rsidR="001C7BF9" w:rsidRPr="00C9680B" w:rsidRDefault="001C7BF9">
            <w:pPr>
              <w:pStyle w:val="Normaltindrag"/>
              <w:ind w:right="57" w:firstLine="0"/>
              <w:jc w:val="right"/>
            </w:pPr>
            <w:r w:rsidRPr="00C9680B">
              <w:t>-1 951</w:t>
            </w:r>
          </w:p>
        </w:tc>
        <w:tc>
          <w:tcPr>
            <w:tcW w:w="1134" w:type="dxa"/>
            <w:tcBorders>
              <w:right w:val="single" w:sz="6" w:space="0" w:color="auto"/>
            </w:tcBorders>
          </w:tcPr>
          <w:p w:rsidR="001C7BF9" w:rsidRPr="00C9680B" w:rsidRDefault="001C7BF9">
            <w:pPr>
              <w:pStyle w:val="Normaltindrag"/>
              <w:ind w:right="57" w:firstLine="0"/>
              <w:jc w:val="right"/>
            </w:pPr>
            <w:r w:rsidRPr="00C9680B">
              <w:t>-2 288</w:t>
            </w:r>
          </w:p>
        </w:tc>
      </w:tr>
      <w:tr w:rsidR="00000000" w:rsidRPr="00C9680B">
        <w:tblPrEx>
          <w:tblCellMar>
            <w:top w:w="0" w:type="dxa"/>
            <w:bottom w:w="0" w:type="dxa"/>
          </w:tblCellMar>
        </w:tblPrEx>
        <w:tc>
          <w:tcPr>
            <w:tcW w:w="1509" w:type="dxa"/>
            <w:tcBorders>
              <w:left w:val="single" w:sz="6" w:space="0" w:color="auto"/>
            </w:tcBorders>
          </w:tcPr>
          <w:p w:rsidR="001C7BF9" w:rsidRPr="00C9680B" w:rsidRDefault="001C7BF9">
            <w:pPr>
              <w:pStyle w:val="Normaltindrag"/>
              <w:ind w:firstLine="0"/>
            </w:pPr>
            <w:r w:rsidRPr="00C9680B">
              <w:t>(kd)</w:t>
            </w:r>
          </w:p>
        </w:tc>
        <w:tc>
          <w:tcPr>
            <w:tcW w:w="1113" w:type="dxa"/>
          </w:tcPr>
          <w:p w:rsidR="001C7BF9" w:rsidRPr="00C9680B" w:rsidRDefault="001C7BF9">
            <w:pPr>
              <w:pStyle w:val="Normaltindrag"/>
              <w:ind w:right="57" w:firstLine="0"/>
              <w:jc w:val="right"/>
            </w:pPr>
            <w:r w:rsidRPr="00C9680B">
              <w:t>-560</w:t>
            </w:r>
          </w:p>
        </w:tc>
        <w:tc>
          <w:tcPr>
            <w:tcW w:w="1134" w:type="dxa"/>
          </w:tcPr>
          <w:p w:rsidR="001C7BF9" w:rsidRPr="00C9680B" w:rsidRDefault="001C7BF9">
            <w:pPr>
              <w:pStyle w:val="Normaltindrag"/>
              <w:ind w:right="57" w:firstLine="0"/>
              <w:jc w:val="right"/>
            </w:pPr>
            <w:r w:rsidRPr="00C9680B">
              <w:t>-999</w:t>
            </w:r>
          </w:p>
        </w:tc>
        <w:tc>
          <w:tcPr>
            <w:tcW w:w="1134" w:type="dxa"/>
            <w:tcBorders>
              <w:right w:val="single" w:sz="6" w:space="0" w:color="auto"/>
            </w:tcBorders>
          </w:tcPr>
          <w:p w:rsidR="001C7BF9" w:rsidRPr="00C9680B" w:rsidRDefault="001C7BF9">
            <w:pPr>
              <w:pStyle w:val="Normaltindrag"/>
              <w:ind w:right="57" w:firstLine="0"/>
              <w:jc w:val="right"/>
            </w:pPr>
            <w:r w:rsidRPr="00C9680B">
              <w:t>-1 140</w:t>
            </w:r>
          </w:p>
        </w:tc>
      </w:tr>
      <w:tr w:rsidR="00000000" w:rsidRPr="00C9680B">
        <w:tblPrEx>
          <w:tblCellMar>
            <w:top w:w="0" w:type="dxa"/>
            <w:bottom w:w="0" w:type="dxa"/>
          </w:tblCellMar>
        </w:tblPrEx>
        <w:tc>
          <w:tcPr>
            <w:tcW w:w="1509" w:type="dxa"/>
            <w:tcBorders>
              <w:left w:val="single" w:sz="6" w:space="0" w:color="auto"/>
            </w:tcBorders>
          </w:tcPr>
          <w:p w:rsidR="001C7BF9" w:rsidRPr="00C9680B" w:rsidRDefault="001C7BF9">
            <w:pPr>
              <w:pStyle w:val="Normaltindrag"/>
              <w:ind w:firstLine="0"/>
            </w:pPr>
            <w:r w:rsidRPr="00C9680B">
              <w:t>(c)</w:t>
            </w:r>
          </w:p>
        </w:tc>
        <w:tc>
          <w:tcPr>
            <w:tcW w:w="1113" w:type="dxa"/>
          </w:tcPr>
          <w:p w:rsidR="001C7BF9" w:rsidRPr="00C9680B" w:rsidRDefault="001C7BF9">
            <w:pPr>
              <w:pStyle w:val="Normaltindrag"/>
              <w:ind w:right="57" w:firstLine="0"/>
              <w:jc w:val="right"/>
            </w:pPr>
            <w:r w:rsidRPr="00C9680B">
              <w:t>-1 667</w:t>
            </w:r>
          </w:p>
        </w:tc>
        <w:tc>
          <w:tcPr>
            <w:tcW w:w="1134" w:type="dxa"/>
          </w:tcPr>
          <w:p w:rsidR="001C7BF9" w:rsidRPr="00C9680B" w:rsidRDefault="001C7BF9">
            <w:pPr>
              <w:pStyle w:val="Normaltindrag"/>
              <w:ind w:right="57" w:firstLine="0"/>
              <w:jc w:val="right"/>
            </w:pPr>
            <w:r w:rsidRPr="00C9680B">
              <w:t>-1 430</w:t>
            </w:r>
          </w:p>
        </w:tc>
        <w:tc>
          <w:tcPr>
            <w:tcW w:w="1134" w:type="dxa"/>
            <w:tcBorders>
              <w:right w:val="single" w:sz="6" w:space="0" w:color="auto"/>
            </w:tcBorders>
          </w:tcPr>
          <w:p w:rsidR="001C7BF9" w:rsidRPr="00C9680B" w:rsidRDefault="001C7BF9">
            <w:pPr>
              <w:pStyle w:val="Normaltindrag"/>
              <w:ind w:right="57" w:firstLine="0"/>
              <w:jc w:val="right"/>
            </w:pPr>
            <w:r w:rsidRPr="00C9680B">
              <w:t>-1 135</w:t>
            </w:r>
          </w:p>
        </w:tc>
      </w:tr>
      <w:tr w:rsidR="00000000" w:rsidRPr="00C9680B">
        <w:tblPrEx>
          <w:tblCellMar>
            <w:top w:w="0" w:type="dxa"/>
            <w:bottom w:w="0" w:type="dxa"/>
          </w:tblCellMar>
        </w:tblPrEx>
        <w:tc>
          <w:tcPr>
            <w:tcW w:w="1509" w:type="dxa"/>
            <w:tcBorders>
              <w:left w:val="single" w:sz="6" w:space="0" w:color="auto"/>
              <w:bottom w:val="single" w:sz="6" w:space="0" w:color="auto"/>
            </w:tcBorders>
          </w:tcPr>
          <w:p w:rsidR="001C7BF9" w:rsidRPr="00C9680B" w:rsidRDefault="001C7BF9">
            <w:pPr>
              <w:pStyle w:val="Normaltindrag"/>
              <w:ind w:firstLine="0"/>
            </w:pPr>
            <w:r w:rsidRPr="00C9680B">
              <w:t>(fp)</w:t>
            </w:r>
          </w:p>
        </w:tc>
        <w:tc>
          <w:tcPr>
            <w:tcW w:w="1113" w:type="dxa"/>
            <w:tcBorders>
              <w:bottom w:val="single" w:sz="6" w:space="0" w:color="auto"/>
            </w:tcBorders>
          </w:tcPr>
          <w:p w:rsidR="001C7BF9" w:rsidRPr="00C9680B" w:rsidRDefault="001C7BF9">
            <w:pPr>
              <w:pStyle w:val="Normaltindrag"/>
              <w:ind w:right="57" w:firstLine="0"/>
              <w:jc w:val="right"/>
            </w:pPr>
            <w:r w:rsidRPr="00C9680B">
              <w:t>-2 504</w:t>
            </w:r>
          </w:p>
        </w:tc>
        <w:tc>
          <w:tcPr>
            <w:tcW w:w="1134" w:type="dxa"/>
            <w:tcBorders>
              <w:bottom w:val="single" w:sz="6" w:space="0" w:color="auto"/>
            </w:tcBorders>
          </w:tcPr>
          <w:p w:rsidR="001C7BF9" w:rsidRPr="00C9680B" w:rsidRDefault="001C7BF9">
            <w:pPr>
              <w:pStyle w:val="Normaltindrag"/>
              <w:ind w:right="57" w:firstLine="0"/>
              <w:jc w:val="right"/>
            </w:pPr>
            <w:r w:rsidRPr="00C9680B">
              <w:t>-2 184</w:t>
            </w:r>
          </w:p>
        </w:tc>
        <w:tc>
          <w:tcPr>
            <w:tcW w:w="1134" w:type="dxa"/>
            <w:tcBorders>
              <w:bottom w:val="single" w:sz="6" w:space="0" w:color="auto"/>
              <w:right w:val="single" w:sz="6" w:space="0" w:color="auto"/>
            </w:tcBorders>
          </w:tcPr>
          <w:p w:rsidR="001C7BF9" w:rsidRPr="00C9680B" w:rsidRDefault="001C7BF9">
            <w:pPr>
              <w:pStyle w:val="Normaltindrag"/>
              <w:ind w:right="57" w:firstLine="0"/>
              <w:jc w:val="right"/>
            </w:pPr>
            <w:r w:rsidRPr="00C9680B">
              <w:t>-1 858</w:t>
            </w:r>
          </w:p>
        </w:tc>
      </w:tr>
    </w:tbl>
    <w:p w:rsidR="001C7BF9" w:rsidRPr="00C9680B" w:rsidRDefault="001C7BF9">
      <w:pPr>
        <w:spacing w:before="0" w:line="200" w:lineRule="atLeast"/>
      </w:pPr>
    </w:p>
    <w:p w:rsidR="001C7BF9" w:rsidRPr="00C9680B" w:rsidRDefault="001C7BF9">
      <w:r w:rsidRPr="00C9680B">
        <w:t>Bostadsutskottet vill vad gäller förslagen om ramen för utgiftsområde 18 anföra följande.</w:t>
      </w:r>
    </w:p>
    <w:p w:rsidR="001C7BF9" w:rsidRPr="00C9680B" w:rsidRDefault="001C7BF9">
      <w:pPr>
        <w:pStyle w:val="Normaltindrag"/>
      </w:pPr>
      <w:r w:rsidRPr="00C9680B">
        <w:t>Det kan inledningsvis konstateras att regeringens ramförslag ger utrymme för vissa nya satsningar inom utgiftsområde 18. Medel är beräknade för de nya stöden till studentbostäder respektive till bostadsinvesteringar som frä</w:t>
      </w:r>
      <w:r w:rsidRPr="00C9680B">
        <w:t>m</w:t>
      </w:r>
      <w:r w:rsidRPr="00C9680B">
        <w:t>jar ekologisk hållbarhet. Den minskning av ramen som skett de senaste åren och som fortsätter under den kommande treårsperioden beror främst på min</w:t>
      </w:r>
      <w:r w:rsidRPr="00C9680B">
        <w:t>s</w:t>
      </w:r>
      <w:r w:rsidRPr="00C9680B">
        <w:t>kad belastning på de anslag som på olika sätt är beroende av den allmänna ekonomiska utvecklingen. Detta gäller bostadsbidragen, räntebidragen samt garantiverksamheten vid Statens bostadskreditnämnd. Med de förutsättningar som finns redovisade i budgetpropositionen bör den föreslagna ramen ge tillräckligt utrymme för den anslagsfördelning inom utgiftsområdet so</w:t>
      </w:r>
      <w:r w:rsidRPr="00C9680B">
        <w:t>m b</w:t>
      </w:r>
      <w:r w:rsidRPr="00C9680B">
        <w:t>o</w:t>
      </w:r>
      <w:r w:rsidRPr="00C9680B">
        <w:t xml:space="preserve">stadsutskottet senare i höst kommer att ta ställning till. </w:t>
      </w:r>
    </w:p>
    <w:p w:rsidR="001C7BF9" w:rsidRPr="00C9680B" w:rsidRDefault="001C7BF9">
      <w:pPr>
        <w:pStyle w:val="Normaltindrag"/>
      </w:pPr>
      <w:r w:rsidRPr="00C9680B">
        <w:t>De förslag till ram för utgiftsområde 18 som förs fram i de aktuella part</w:t>
      </w:r>
      <w:r w:rsidRPr="00C9680B">
        <w:t>i</w:t>
      </w:r>
      <w:r w:rsidRPr="00C9680B">
        <w:t>motionerna utgår samtliga från att kraftiga besparingar genomförs på ansl</w:t>
      </w:r>
      <w:r w:rsidRPr="00C9680B">
        <w:t>a</w:t>
      </w:r>
      <w:r w:rsidRPr="00C9680B">
        <w:t>gen inom utgiftsområdet i förhållande till regeringsförslaget. Utskottet tar i detta yttrande visserligen inte ställning till fördelningen på enskilda anslag inom utgiftsområdet men vill ändå uppmärksamma finansutskottet på att flera av ramförslagen bygger på anslagsbesparingar som i praktiken inte är geno</w:t>
      </w:r>
      <w:r w:rsidRPr="00C9680B">
        <w:t>m</w:t>
      </w:r>
      <w:r w:rsidRPr="00C9680B">
        <w:t>förbara. Detta gäller exempelvis för Centerpartiets och Folkpartiets ramfö</w:t>
      </w:r>
      <w:r w:rsidRPr="00C9680B">
        <w:t>r</w:t>
      </w:r>
      <w:r w:rsidRPr="00C9680B">
        <w:t>slag som utgår från att stora besparingar kan uppnås g</w:t>
      </w:r>
      <w:r w:rsidRPr="00C9680B">
        <w:t>enom en avveckling av stödet till de lokala investeringsprogrammen och en samtidig avveckling av hela anslaget för denna verksamhet. Anslaget för denna verksamhet för bu</w:t>
      </w:r>
      <w:r w:rsidRPr="00C9680B">
        <w:t>d</w:t>
      </w:r>
      <w:r w:rsidRPr="00C9680B">
        <w:t>getåret 2001 avser emellertid till största delen beviljat men ännu inte utbetalat stöd. En total avveckling av anslaget för budgetåret 2001 skulle således me</w:t>
      </w:r>
      <w:r w:rsidRPr="00C9680B">
        <w:t>d</w:t>
      </w:r>
      <w:r w:rsidRPr="00C9680B">
        <w:t>föra att staten inte kan fullfölja redan gjorda åtaganden. Folkpartiets ramfö</w:t>
      </w:r>
      <w:r w:rsidRPr="00C9680B">
        <w:t>r</w:t>
      </w:r>
      <w:r w:rsidRPr="00C9680B">
        <w:t>slag utgår vidare från kraftiga nedskärningar på vissa myndighetsanslag. För Boverket föreslås en nedskärn</w:t>
      </w:r>
      <w:r w:rsidRPr="00C9680B">
        <w:t>ing med närmare 40 %. När motsvarande fö</w:t>
      </w:r>
      <w:r w:rsidRPr="00C9680B">
        <w:t>r</w:t>
      </w:r>
      <w:r w:rsidRPr="00C9680B">
        <w:t>slag lades fram föregående år påpekade bostadsutskottet att en så stor ne</w:t>
      </w:r>
      <w:r w:rsidRPr="00C9680B">
        <w:t>d</w:t>
      </w:r>
      <w:r w:rsidRPr="00C9680B">
        <w:t xml:space="preserve">skärning under närmast kommande budgetår är helt orealistisk om gällande trygghetslagar och avtal skall följas. </w:t>
      </w:r>
    </w:p>
    <w:p w:rsidR="001C7BF9" w:rsidRPr="00C9680B" w:rsidRDefault="001C7BF9">
      <w:pPr>
        <w:pStyle w:val="Normaltindrag"/>
      </w:pPr>
      <w:r w:rsidRPr="00C9680B">
        <w:t>Utskottet vill vidare peka på de allvarliga konsekvenser på bostadsmar</w:t>
      </w:r>
      <w:r w:rsidRPr="00C9680B">
        <w:t>k</w:t>
      </w:r>
      <w:r w:rsidRPr="00C9680B">
        <w:t>naden som besparingar enligt vissa av motionsförslagen kan ge upphov till. Besparingarnas närmare innebörd framgår visserligen endast till viss del av de nu aktuella partimotionerna, men kan vad gäller fördelningen på anslag utl</w:t>
      </w:r>
      <w:r w:rsidRPr="00C9680B">
        <w:t>ä</w:t>
      </w:r>
      <w:r w:rsidRPr="00C9680B">
        <w:t>sas av de kommittémotioner som bostadsutskottet skall bereda senare i höst.</w:t>
      </w:r>
    </w:p>
    <w:p w:rsidR="001C7BF9" w:rsidRPr="00C9680B" w:rsidRDefault="001C7BF9">
      <w:pPr>
        <w:pStyle w:val="Normaltindrag"/>
      </w:pPr>
      <w:r w:rsidRPr="00C9680B">
        <w:t>Förslaget i partimotionen från Moderata samlingspartiet utgår från en ne</w:t>
      </w:r>
      <w:r w:rsidRPr="00C9680B">
        <w:t>d</w:t>
      </w:r>
      <w:r w:rsidRPr="00C9680B">
        <w:t>skärning av räntebidragsanslaget med 800 miljoner kronor. Även förslagen från Kristdemokraterna och Folkpartiet förutsätter att kraftiga nedskärningar på räntebidragen genomförs under budgetåret 2001. Utskottet vill framhålla att ett genomförande av dessa förslag framför allt skulle innebära krav på höjda hyror i den del av bostadsbeståndet som redan i dag har de högsta b</w:t>
      </w:r>
      <w:r w:rsidRPr="00C9680B">
        <w:t>o</w:t>
      </w:r>
      <w:r w:rsidRPr="00C9680B">
        <w:t>endekostnaderna. Nedskärningen skulle sannolikt även drabba bostäder i de s.k. krisårgångarna. Vid ett genomförande av förslagen från tv</w:t>
      </w:r>
      <w:r w:rsidRPr="00C9680B">
        <w:t>å av partierna skulle dessa konsekvenser dessutom förstärkas genom att regeringens förslag om en fastighetsskattesänkning för hyreshusen avvisas. Vidare kan konstat</w:t>
      </w:r>
      <w:r w:rsidRPr="00C9680B">
        <w:t>e</w:t>
      </w:r>
      <w:r w:rsidRPr="00C9680B">
        <w:t>ras att den nödvändiga nyproduktionen av bostäder starkt skulle försvåras om räntebidragen till nya bostäder helt avvecklades i enlighet med vad Kristd</w:t>
      </w:r>
      <w:r w:rsidRPr="00C9680B">
        <w:t>e</w:t>
      </w:r>
      <w:r w:rsidRPr="00C9680B">
        <w:t xml:space="preserve">mokraterna förordat. </w:t>
      </w:r>
    </w:p>
    <w:p w:rsidR="001C7BF9" w:rsidRPr="00C9680B" w:rsidRDefault="001C7BF9">
      <w:pPr>
        <w:pStyle w:val="Normaltindrag"/>
      </w:pPr>
      <w:r w:rsidRPr="00C9680B">
        <w:t>Bostadsutskottet kommer senare i höst att ta ställning till förslag om a</w:t>
      </w:r>
      <w:r w:rsidRPr="00C9680B">
        <w:t>n</w:t>
      </w:r>
      <w:r w:rsidRPr="00C9680B">
        <w:t>slagsfördelningen inom utgiftsområde 18. Det kan emellertid redan nu ko</w:t>
      </w:r>
      <w:r w:rsidRPr="00C9680B">
        <w:t>n</w:t>
      </w:r>
      <w:r w:rsidRPr="00C9680B">
        <w:t>stateras att de ramförslag som lagts fram i partimotioner inte bör läggas till grund för utskottets vidare arbete. Utskottet avstyrker således dessa förslag i motionerna Fi208 (m), Fi209 (kd), Fi210 (c) och Fi211 (fp). Regeringens ramförslag avseende utgiftsområde 18 för budgetåren 2001–2003 til</w:t>
      </w:r>
      <w:r w:rsidRPr="00C9680B">
        <w:t>l</w:t>
      </w:r>
      <w:r w:rsidRPr="00C9680B">
        <w:t xml:space="preserve">styrks.    </w:t>
      </w:r>
    </w:p>
    <w:p w:rsidR="001C7BF9" w:rsidRPr="00C9680B" w:rsidRDefault="001C7BF9">
      <w:pPr>
        <w:pStyle w:val="Normaltindrag"/>
      </w:pPr>
      <w:r w:rsidRPr="00C9680B">
        <w:t>Bostadsutskottet vill i detta sammanhang även något kommentera den fö</w:t>
      </w:r>
      <w:r w:rsidRPr="00C9680B">
        <w:t>r</w:t>
      </w:r>
      <w:r w:rsidRPr="00C9680B">
        <w:t>delning av anslag på politikområden som regeringen redovisar i budgetprop</w:t>
      </w:r>
      <w:r w:rsidRPr="00C9680B">
        <w:t>o</w:t>
      </w:r>
      <w:r w:rsidRPr="00C9680B">
        <w:t>sitionen. Regeringen framhåller att denna indelning utgår från flera kriterier, bl.a. politisk relevans och uppföljningsbarhet. Politikområdena beskrivs vad gäller avgränsning, mål och politikens inriktning. Anslagen inom utgiftso</w:t>
      </w:r>
      <w:r w:rsidRPr="00C9680B">
        <w:t>m</w:t>
      </w:r>
      <w:r w:rsidRPr="00C9680B">
        <w:t>råde 18 anses falla inom fyra olika politikområden: Bostadspolitik, Regional samhällsorganisation, Ekonomisk familjepolitik samt Miljöpolitik. De två förstnämnda faller helt inom utgiftsområde 18 medan de ö</w:t>
      </w:r>
      <w:r w:rsidRPr="00C9680B">
        <w:t xml:space="preserve">vriga endast till en mindre del innefattar anslag inom detta utgiftsområde. </w:t>
      </w:r>
    </w:p>
    <w:p w:rsidR="001C7BF9" w:rsidRPr="00C9680B" w:rsidRDefault="001C7BF9">
      <w:pPr>
        <w:pStyle w:val="Normaltindrag"/>
      </w:pPr>
      <w:r w:rsidRPr="00C9680B">
        <w:t>Utskottet kan ha förståelse för de motiv som regeringen för fram för denna indelning av budgeten. Samtidigt finns skäl att peka på de problem som kan uppkomma när indelningen i statsbudgeten avviker från indelningen i utgift</w:t>
      </w:r>
      <w:r w:rsidRPr="00C9680B">
        <w:t>s</w:t>
      </w:r>
      <w:r w:rsidRPr="00C9680B">
        <w:t xml:space="preserve">områden och utskottens ansvarsområden. En strävan under senare år har varit att utskottens arbete i större utsträckning skall inriktas på uppföljning av måluppfyllelsen inom olika områden. En sådan uppföljning riskerar givetvis att försvåras om utskottens budgetarbete och förslag till riksdagsbeslut sker enligt en indelningsgrund – utgiftsområden – och regeringens redovisning av politikens inriktning och mål enligt en annan – politikområden. </w:t>
      </w:r>
    </w:p>
    <w:p w:rsidR="001C7BF9" w:rsidRPr="00C9680B" w:rsidRDefault="001C7BF9">
      <w:pPr>
        <w:pStyle w:val="Normaltindrag"/>
      </w:pPr>
      <w:r w:rsidRPr="00C9680B">
        <w:t>Riksdagen har vid olika tillfällen fastställt de bostadspolitisk</w:t>
      </w:r>
      <w:r w:rsidRPr="00C9680B">
        <w:t>a målen. De</w:t>
      </w:r>
      <w:r w:rsidRPr="00C9680B">
        <w:t>s</w:t>
      </w:r>
      <w:r w:rsidRPr="00C9680B">
        <w:t>sa mål har även inkluderats i de mål för utgiftsområde 18 som regeringen redovisat i tidigare budgetpropositioner. I årets budgetproposition redovisas emellertid mål för politikområden. Vad gäller bostadsutskottets beredning</w:t>
      </w:r>
      <w:r w:rsidRPr="00C9680B">
        <w:t>s</w:t>
      </w:r>
      <w:r w:rsidRPr="00C9680B">
        <w:t>område kan konstateras att vissa av dessa mål inte har någon motsvarighet i tidigare målformuleringar. Endast i ett avseende underställs de nya målen riksdagen för beslut. Detta gäller målet för Ekonomisk familjepolitik som bl.a. anses omfatta anslaget för bostadsbidrag. I ö</w:t>
      </w:r>
      <w:r w:rsidRPr="00C9680B">
        <w:t>vrigt omfattar detta mål anslag under utgiftsområde 12. Samtidigt gäller att anslaget för bostadsbidrag faller under målet för utgiftsområde 18 och därmed målet för bostadspolitik som det kommit till uttryck i tidigare propositioner och i riksdagens beslut i frågan. Vad gäller bostadsbidragen har för övrigt riksdagen i ett tillkännag</w:t>
      </w:r>
      <w:r w:rsidRPr="00C9680B">
        <w:t>i</w:t>
      </w:r>
      <w:r w:rsidRPr="00C9680B">
        <w:t>vande våren 1996 framhållit att bidragens primära uppgift även fortsättning</w:t>
      </w:r>
      <w:r w:rsidRPr="00C9680B">
        <w:t>s</w:t>
      </w:r>
      <w:r w:rsidRPr="00C9680B">
        <w:t>vis bör vara att svara upp mot bostadspolitiska mål, dvs. ge möjlighet för resurssvaga hushåll att e</w:t>
      </w:r>
      <w:r w:rsidRPr="00C9680B">
        <w:t>fterfråga goda och tillräckligt rymliga bostäder (1995/96:BoU11, rskr. 229).</w:t>
      </w:r>
    </w:p>
    <w:p w:rsidR="001C7BF9" w:rsidRPr="00C9680B" w:rsidRDefault="001C7BF9">
      <w:pPr>
        <w:pStyle w:val="Normaltindrag"/>
      </w:pPr>
      <w:r w:rsidRPr="00C9680B">
        <w:t>Den fråga som inställer sig mot den redovisade bakgrunden är vilka mål som bör tas som utgångspunkt för riksdagens budgetarbete och uppföljning</w:t>
      </w:r>
      <w:r w:rsidRPr="00C9680B">
        <w:t>s</w:t>
      </w:r>
      <w:r w:rsidRPr="00C9680B">
        <w:t xml:space="preserve">verksamhet. Vidare kan ifrågasättas om det är lämpligt att ett utskott bereder regeringens förslag till övergripande mål för ett politikområde som innefattar anslag som bereds av ett annat utskott och som dessutom redan faller under mål fastlagda efter den indelning som riksdagsordningen lägger fast.    </w:t>
      </w:r>
    </w:p>
    <w:p w:rsidR="001C7BF9" w:rsidRPr="00C9680B" w:rsidRDefault="001C7BF9">
      <w:pPr>
        <w:pStyle w:val="Rubrik2"/>
      </w:pPr>
      <w:bookmarkStart w:id="1187" w:name="_Toc497014217"/>
      <w:bookmarkStart w:id="1188" w:name="_Toc498838277"/>
      <w:r w:rsidRPr="00C9680B">
        <w:t>Fastighetsbeskattningen år 2001</w:t>
      </w:r>
      <w:bookmarkEnd w:id="1187"/>
      <w:bookmarkEnd w:id="1188"/>
    </w:p>
    <w:p w:rsidR="001C7BF9" w:rsidRPr="00C9680B" w:rsidRDefault="001C7BF9">
      <w:r w:rsidRPr="00C9680B">
        <w:t>Bostadsutskottet behandlar i yttrandet förslag i budgetproposition och moti</w:t>
      </w:r>
      <w:r w:rsidRPr="00C9680B">
        <w:t>o</w:t>
      </w:r>
      <w:r w:rsidRPr="00C9680B">
        <w:t xml:space="preserve">ner som avser fastighetsskatten år 2001, dvs. förslag som påverkar statens budget för nästkommande år. </w:t>
      </w:r>
    </w:p>
    <w:p w:rsidR="001C7BF9" w:rsidRPr="00C9680B" w:rsidRDefault="001C7BF9">
      <w:pPr>
        <w:pStyle w:val="Normaltindrag"/>
      </w:pPr>
      <w:r w:rsidRPr="00C9680B">
        <w:t>I budgetpropositionen lägger regeringen fram ett förslag till lag om än</w:t>
      </w:r>
      <w:r w:rsidRPr="00C9680B">
        <w:t>d</w:t>
      </w:r>
      <w:r w:rsidRPr="00C9680B">
        <w:t>ring i lagen (1984:1052) om statlig fastighetsskatt. Förslaget innebär i korthet att skattesatsen för fastighetsskatten fr.o.m. år 2001 sänks för</w:t>
      </w:r>
    </w:p>
    <w:p w:rsidR="001C7BF9" w:rsidRPr="00C9680B" w:rsidRDefault="001C7BF9">
      <w:r w:rsidRPr="00C9680B">
        <w:t xml:space="preserve">småhus från 1,5 % till 1,2 %, </w:t>
      </w:r>
    </w:p>
    <w:p w:rsidR="001C7BF9" w:rsidRPr="00C9680B" w:rsidRDefault="001C7BF9">
      <w:r w:rsidRPr="00C9680B">
        <w:t xml:space="preserve">hyreshus (bostadsdelen) från 1,5 % till 0,7 %. </w:t>
      </w:r>
    </w:p>
    <w:p w:rsidR="001C7BF9" w:rsidRPr="00C9680B" w:rsidRDefault="001C7BF9">
      <w:r w:rsidRPr="00C9680B">
        <w:t>De skäl som anges för förslaget är i huvudsak följande. Sedan 1996 har utt</w:t>
      </w:r>
      <w:r w:rsidRPr="00C9680B">
        <w:t>a</w:t>
      </w:r>
      <w:r w:rsidRPr="00C9680B">
        <w:t>get av fastighetsskatt kraftigt begränsats genom en rad successiva beslut. Det gäller bl.a. att omräkningsförfarandet inte har tillämpats som avsetts, skatt</w:t>
      </w:r>
      <w:r w:rsidRPr="00C9680B">
        <w:t>e</w:t>
      </w:r>
      <w:r w:rsidRPr="00C9680B">
        <w:t>satsen generellt har sänkts från 1,7 % till 1,5 % samt att skattesatsen för h</w:t>
      </w:r>
      <w:r w:rsidRPr="00C9680B">
        <w:t>y</w:t>
      </w:r>
      <w:r w:rsidRPr="00C9680B">
        <w:t>reshus tillfälligt har sänkts till 1,2 % för åren 1999 och 2000. Åtgärderna har delvis vidtagits i avvaktan på resultaten av Fastighetstaxeringsutredningens respektive Fastighetsbeskattningskommitténs arbete. Enligt regeringen bör de förslag som lämnats av dessa båda utrednin</w:t>
      </w:r>
      <w:r w:rsidRPr="00C9680B">
        <w:t>gar behandlas i ett sammanhang. Regeringen avser därför att återkomma till de frågor om fastighetsbeskat</w:t>
      </w:r>
      <w:r w:rsidRPr="00C9680B">
        <w:t>t</w:t>
      </w:r>
      <w:r w:rsidRPr="00C9680B">
        <w:t>ningen på längre sikt som tagits upp av utre</w:t>
      </w:r>
      <w:r w:rsidRPr="00C9680B">
        <w:t>d</w:t>
      </w:r>
      <w:r w:rsidRPr="00C9680B">
        <w:t xml:space="preserve">ningarna. </w:t>
      </w:r>
    </w:p>
    <w:p w:rsidR="001C7BF9" w:rsidRPr="00C9680B" w:rsidRDefault="001C7BF9">
      <w:pPr>
        <w:pStyle w:val="Normaltindrag"/>
      </w:pPr>
      <w:r w:rsidRPr="00C9680B">
        <w:t>Enligt regeringens bedömning bör taxeringsvärdena utgöra grunden för fastighetsbeskattningen. Genom att det omräkningsförfarande som infördes 1996 inte har tillämpats på avsett sätt har taxeringsvärdena efterhand alltmer kommit att avvika från marknadsvärdena. Regeringens bedömning är att de effekter som ett återställande skulle ge upphov till vad g</w:t>
      </w:r>
      <w:r w:rsidRPr="00C9680B">
        <w:t>äller uttaget av fa</w:t>
      </w:r>
      <w:r w:rsidRPr="00C9680B">
        <w:t>s</w:t>
      </w:r>
      <w:r w:rsidRPr="00C9680B">
        <w:t>tighetsskatt och förmögenhetsskatt mellan åren 2000 och 2001 inte är acce</w:t>
      </w:r>
      <w:r w:rsidRPr="00C9680B">
        <w:t>p</w:t>
      </w:r>
      <w:r w:rsidRPr="00C9680B">
        <w:t xml:space="preserve">tabla. För att begränsa uttaget av fastighetsskatt bör därför skattesatserna sänkas. </w:t>
      </w:r>
    </w:p>
    <w:p w:rsidR="001C7BF9" w:rsidRPr="00C9680B" w:rsidRDefault="001C7BF9">
      <w:pPr>
        <w:pStyle w:val="Normaltindrag"/>
        <w:spacing w:line="240" w:lineRule="auto"/>
      </w:pPr>
      <w:r w:rsidRPr="00C9680B">
        <w:t xml:space="preserve">För småhusens del innebär förslaget att omräkningen av taxeringsvärdena endast kommer att öka skatteuttaget till den del taxeringsvärdeshöjningen överstiger 25 %. För hyreshusen innebär det att skattesatsen sänks med drygt 40 % jämfört med vad som gäller år 2000. </w:t>
      </w:r>
    </w:p>
    <w:p w:rsidR="001C7BF9" w:rsidRPr="00C9680B" w:rsidRDefault="001C7BF9">
      <w:pPr>
        <w:pStyle w:val="Normaltindrag"/>
      </w:pPr>
      <w:r w:rsidRPr="00C9680B">
        <w:t>I budgetpropositionen aviserar regeringen dessutom sin avsikt att under v</w:t>
      </w:r>
      <w:r w:rsidRPr="00C9680B">
        <w:t>å</w:t>
      </w:r>
      <w:r w:rsidRPr="00C9680B">
        <w:t>ren 2001 lägga fram ett förslag till begränsningsregel för uttaget av fastighet</w:t>
      </w:r>
      <w:r w:rsidRPr="00C9680B">
        <w:t>s</w:t>
      </w:r>
      <w:r w:rsidRPr="00C9680B">
        <w:t>skatt. Inriktningen på det arbete med en sådan regel som nu pågår anges vara att begränsningsregeln skall utformas som en skattereduktion som skall ti</w:t>
      </w:r>
      <w:r w:rsidRPr="00C9680B">
        <w:t>l</w:t>
      </w:r>
      <w:r w:rsidRPr="00C9680B">
        <w:t>lämpas fr.o.m. den 1 januari 2001.</w:t>
      </w:r>
    </w:p>
    <w:p w:rsidR="001C7BF9" w:rsidRPr="00C9680B" w:rsidRDefault="001C7BF9">
      <w:pPr>
        <w:pStyle w:val="Normaltindrag"/>
      </w:pPr>
      <w:r w:rsidRPr="00C9680B">
        <w:t>Förslag som avser fastighetsbeskattningen för år 2001 läggs fram dels i partimotioner (m), (kd), (c) samt (fp), dels i enskilda motioner (m), (kd) samt (fp).</w:t>
      </w:r>
    </w:p>
    <w:p w:rsidR="001C7BF9" w:rsidRPr="00C9680B" w:rsidRDefault="001C7BF9">
      <w:pPr>
        <w:pStyle w:val="Normaltindrag"/>
      </w:pPr>
      <w:r w:rsidRPr="00C9680B">
        <w:t>I Moderata samlingspartiets partimotion 2000/01:Sk621 föreslås dels att fastighetsskatten skall beräknas på det lägsta av 1997 och 2001 års taxering</w:t>
      </w:r>
      <w:r w:rsidRPr="00C9680B">
        <w:t>s</w:t>
      </w:r>
      <w:r w:rsidRPr="00C9680B">
        <w:t>värden (yrkande 1), dels att skattesatsen år 2001 skall fastställas till 1 % för småhus och 0,7 % för flerbostadsfastigheter (yrkande 2), och dels att skatten fr.o.m. år 2001 skall beräknas på halva markvärdet (yrkande 4). Även i part</w:t>
      </w:r>
      <w:r w:rsidRPr="00C9680B">
        <w:t>i</w:t>
      </w:r>
      <w:r w:rsidRPr="00C9680B">
        <w:t xml:space="preserve">motionerna 2000/01:Bo414 (m) yrkandena 11, 12 och 14 samt 2000/01:N385 (m) yrkande 9 liksom i motionerna 2000/01:Sk308 (m) och 2000/01:Sk313 (m) förs motsvarande förslag fram. </w:t>
      </w:r>
    </w:p>
    <w:p w:rsidR="001C7BF9" w:rsidRPr="00C9680B" w:rsidRDefault="001C7BF9">
      <w:pPr>
        <w:pStyle w:val="Normaltindrag"/>
      </w:pPr>
      <w:r w:rsidRPr="00C9680B">
        <w:t>Gemensamt för förslagen i motionerna (m) är att de ser förändringarna i fastighetsskatten år 2001 s</w:t>
      </w:r>
      <w:r w:rsidRPr="00C9680B">
        <w:t>om ett första led i en successiv avveckling av fa</w:t>
      </w:r>
      <w:r w:rsidRPr="00C9680B">
        <w:t>s</w:t>
      </w:r>
      <w:r w:rsidRPr="00C9680B">
        <w:t>tighetsskatten. Enligt motionerna innebär ett på sikt fullständigt avskaffande av fastighetsskatt och förmögenhetsskatt att också förfarandet för fastställa</w:t>
      </w:r>
      <w:r w:rsidRPr="00C9680B">
        <w:t>n</w:t>
      </w:r>
      <w:r w:rsidRPr="00C9680B">
        <w:t>de av taxeringsvärden på fastigheter blir onödigt.</w:t>
      </w:r>
    </w:p>
    <w:p w:rsidR="001C7BF9" w:rsidRPr="00C9680B" w:rsidRDefault="001C7BF9">
      <w:pPr>
        <w:pStyle w:val="Normaltindrag"/>
      </w:pPr>
      <w:r w:rsidRPr="00C9680B">
        <w:t>Kristdemokraterna föreslår i sin partimotion 2000/01:Sk323 att regerin</w:t>
      </w:r>
      <w:r w:rsidRPr="00C9680B">
        <w:t>g</w:t>
      </w:r>
      <w:r w:rsidRPr="00C9680B">
        <w:t>ens förslag avseende fastighetsbeskattningen år 2001 skall avslås (yrkandena 16 och 21). Enligt motionen bör i stället fastighetsskatten sänkas till 1,2 % (yrkande 18), fastighetsskatten endast beräknas på en tredjedel av markvärdet över 150 000 kr (yrkande 19) samt frysningen av taxeringsvärdena behållas (yrkande 20). I motionen förordas dessutom att riksdagen skall uttala sig för att den begränsningsregel som regeringen aviserar inte skall införas (yrkande 53). Förslaget om att begränsa den del av markvä</w:t>
      </w:r>
      <w:r w:rsidRPr="00C9680B">
        <w:t>rdet som skall utgöra u</w:t>
      </w:r>
      <w:r w:rsidRPr="00C9680B">
        <w:t>n</w:t>
      </w:r>
      <w:r w:rsidRPr="00C9680B">
        <w:t>derlag för fastighetsskatten framförs även i motion 2000/01:Sk322 (kd) y</w:t>
      </w:r>
      <w:r w:rsidRPr="00C9680B">
        <w:t>r</w:t>
      </w:r>
      <w:r w:rsidRPr="00C9680B">
        <w:t>kande 3.</w:t>
      </w:r>
    </w:p>
    <w:p w:rsidR="001C7BF9" w:rsidRPr="00C9680B" w:rsidRDefault="001C7BF9">
      <w:pPr>
        <w:pStyle w:val="Normaltindrag"/>
      </w:pPr>
      <w:r w:rsidRPr="00C9680B">
        <w:t>Utgångspunkten för förslagen i motionerna (kd) är att de på sikt vill a</w:t>
      </w:r>
      <w:r w:rsidRPr="00C9680B">
        <w:t>v</w:t>
      </w:r>
      <w:r w:rsidRPr="00C9680B">
        <w:t>veckla systemet med statlig fastighetsskatt och ersätta det med ett system med en kommunal fastighetsavgift som är avsedd att täcka de kommunala kostn</w:t>
      </w:r>
      <w:r w:rsidRPr="00C9680B">
        <w:t>a</w:t>
      </w:r>
      <w:r w:rsidRPr="00C9680B">
        <w:t>der som är kopplade till fastigheten. De förändringar i fastighetsbeskattningen som föreslås för år 2001 utgör ett första steg i en sådan avvec</w:t>
      </w:r>
      <w:r w:rsidRPr="00C9680B">
        <w:t>k</w:t>
      </w:r>
      <w:r w:rsidRPr="00C9680B">
        <w:t>ling.</w:t>
      </w:r>
    </w:p>
    <w:p w:rsidR="001C7BF9" w:rsidRPr="00C9680B" w:rsidRDefault="001C7BF9">
      <w:pPr>
        <w:pStyle w:val="Normaltindrag"/>
      </w:pPr>
      <w:r w:rsidRPr="00C9680B">
        <w:t>De skatteeffekter som ett genomförande av regeringens förslag skulle ge upphov till är enligt Centerpartiets partimotion 2000/01:Sk321 inte accepta</w:t>
      </w:r>
      <w:r w:rsidRPr="00C9680B">
        <w:t>b</w:t>
      </w:r>
      <w:r w:rsidRPr="00C9680B">
        <w:t>la. Enligt motionen bör därför frysningen av taxeringsvärdena på såväl sm</w:t>
      </w:r>
      <w:r w:rsidRPr="00C9680B">
        <w:t>å</w:t>
      </w:r>
      <w:r w:rsidRPr="00C9680B">
        <w:t>hus som bostadshyreshus förlängas (yrkandena 11 och 15), skattesatsen sä</w:t>
      </w:r>
      <w:r w:rsidRPr="00C9680B">
        <w:t>n</w:t>
      </w:r>
      <w:r w:rsidRPr="00C9680B">
        <w:t>kas till 1,2 % för småhus och till 1,1 % för bostadshyreshus (yrkandena 12 och 16).</w:t>
      </w:r>
    </w:p>
    <w:p w:rsidR="001C7BF9" w:rsidRPr="00C9680B" w:rsidRDefault="001C7BF9">
      <w:pPr>
        <w:pStyle w:val="Normaltindrag"/>
      </w:pPr>
      <w:r w:rsidRPr="00C9680B">
        <w:t>Enligt Folkpartiets partimotion 2000/01:Sk324 bör fastighetsskatten i sin nuvarande utformning stegvis avskaffas. I stället bör en s.k. schabloni</w:t>
      </w:r>
      <w:r w:rsidRPr="00C9680B">
        <w:t>n</w:t>
      </w:r>
      <w:r w:rsidRPr="00C9680B">
        <w:t>täktsbeskattning för egnahem införas samtidigt som avdragsrätten för lån</w:t>
      </w:r>
      <w:r w:rsidRPr="00C9680B">
        <w:t>e</w:t>
      </w:r>
      <w:r w:rsidRPr="00C9680B">
        <w:t>räntor behålls. I avvaktan på en sådan grundläggande reformering bör tax</w:t>
      </w:r>
      <w:r w:rsidRPr="00C9680B">
        <w:t>e</w:t>
      </w:r>
      <w:r w:rsidRPr="00C9680B">
        <w:t>ringsvärdena vara fortsatt frysta och skattesatserna för år 2001 fastställas till 1,2 % för småhus och 0,7 % för flerbostadshus (yrkande 13). Ett motsvarande förslag läggs dessutom fram i den bostadspolitiska motionen 2000/01:Bo235 (fp) yrkande 12. Förslaget om en fortsatt frysning av taxeringsvärdena förs fram även i motion 2000/01:Sk316 (fp).</w:t>
      </w:r>
    </w:p>
    <w:p w:rsidR="001C7BF9" w:rsidRPr="00C9680B" w:rsidRDefault="001C7BF9">
      <w:pPr>
        <w:pStyle w:val="Normaltindrag"/>
      </w:pPr>
      <w:r w:rsidRPr="00C9680B">
        <w:t>Med anledning av v</w:t>
      </w:r>
      <w:r w:rsidRPr="00C9680B">
        <w:t>ad som i proposition och motioner föreslagits om fa</w:t>
      </w:r>
      <w:r w:rsidRPr="00C9680B">
        <w:t>s</w:t>
      </w:r>
      <w:r w:rsidRPr="00C9680B">
        <w:t>tighetsbeskattningen år 2001 vill bostadsutskottets anföra följande.</w:t>
      </w:r>
    </w:p>
    <w:p w:rsidR="001C7BF9" w:rsidRPr="00C9680B" w:rsidRDefault="001C7BF9">
      <w:pPr>
        <w:pStyle w:val="Normaltindrag"/>
      </w:pPr>
      <w:r w:rsidRPr="00C9680B">
        <w:t>Frågor om beskattningen av byggande och boende har under senare år fått en allt större uppmärksamhet i den bostadspolitiska debatten. Inte minst gäller detta fastighetsbeskattningen. Uttaget av fastighetsskatt har också en bet</w:t>
      </w:r>
      <w:r w:rsidRPr="00C9680B">
        <w:t>y</w:t>
      </w:r>
      <w:r w:rsidRPr="00C9680B">
        <w:t>dande påverkan på boendekostnaderna. Det är mot bl.a. den bakgrunden som åtgärder under senare år har vidtagits för att begränsa uttaget. Som redovisas i budgetpropositionen har sålunda omräkningsförfarandet inte tillämpats som avsetts, skattesatsen generellt sänkts från 1,7 % till 1,5 % samt skattesatsen för hyreshus tillfälligt sänkts till 1,2 % för åren 1999 och 2000. Dessa tillfä</w:t>
      </w:r>
      <w:r w:rsidRPr="00C9680B">
        <w:t>l</w:t>
      </w:r>
      <w:r w:rsidRPr="00C9680B">
        <w:t>liga åtgärder har också vidtagits i avvaktan på resultaten av Fastighetstax</w:t>
      </w:r>
      <w:r w:rsidRPr="00C9680B">
        <w:t>e</w:t>
      </w:r>
      <w:r w:rsidRPr="00C9680B">
        <w:t>ringsutredningens respektive Fastighetsbeskattni</w:t>
      </w:r>
      <w:r w:rsidRPr="00C9680B">
        <w:t>ngskommi</w:t>
      </w:r>
      <w:r w:rsidRPr="00C9680B">
        <w:t>t</w:t>
      </w:r>
      <w:r w:rsidRPr="00C9680B">
        <w:t xml:space="preserve">téns arbete. </w:t>
      </w:r>
    </w:p>
    <w:p w:rsidR="001C7BF9" w:rsidRPr="00C9680B" w:rsidRDefault="001C7BF9">
      <w:pPr>
        <w:pStyle w:val="Normaltindrag"/>
      </w:pPr>
      <w:r w:rsidRPr="00C9680B">
        <w:t>De förändringar i fastighetsbeskattningen som nu föreslås är inte heller de avsedda att i något grundläggande avseende förändra fastighetsskattesyste</w:t>
      </w:r>
      <w:r w:rsidRPr="00C9680B">
        <w:t>m</w:t>
      </w:r>
      <w:r w:rsidRPr="00C9680B">
        <w:t>et. I stället är de avsedda att återställa taxeringsvärdet som grund för fasti</w:t>
      </w:r>
      <w:r w:rsidRPr="00C9680B">
        <w:t>g</w:t>
      </w:r>
      <w:r w:rsidRPr="00C9680B">
        <w:t>hetsbeskattningen enligt vad som ursprungligen avsågs. Utskottet kan ansluta sig till denna principiella uppfattning. Samtidigt delar utskottet regeringens bedömning att skattesatserna måste sänkas för att de effekter som ett återstä</w:t>
      </w:r>
      <w:r w:rsidRPr="00C9680B">
        <w:t>l</w:t>
      </w:r>
      <w:r w:rsidRPr="00C9680B">
        <w:t>lande skulle ge upphov till vad gäller uttaget av fastighetsskatt och förmöge</w:t>
      </w:r>
      <w:r w:rsidRPr="00C9680B">
        <w:t>n</w:t>
      </w:r>
      <w:r w:rsidRPr="00C9680B">
        <w:t>hetsskatt mellan åren 2000 och 2001 inte skall bli oacceptabla. Ett sådant synsätt motiverar enligt utskottets mening de</w:t>
      </w:r>
      <w:r w:rsidRPr="00C9680B">
        <w:t xml:space="preserve">ssutom att en begränsningsregel för uttaget av fastighetsskatt utarbetas och införs redan för nästa år i enlighet med vad regeringen aviserar i budgetpropositionen. </w:t>
      </w:r>
    </w:p>
    <w:p w:rsidR="001C7BF9" w:rsidRPr="00C9680B" w:rsidRDefault="001C7BF9">
      <w:pPr>
        <w:pStyle w:val="Normaltindrag"/>
      </w:pPr>
      <w:r w:rsidRPr="00C9680B">
        <w:t>Bostadsutskottet har tidigare givit uttryck för uppfattningen att mera o</w:t>
      </w:r>
      <w:r w:rsidRPr="00C9680B">
        <w:t>m</w:t>
      </w:r>
      <w:r w:rsidRPr="00C9680B">
        <w:t>fattande förändringar i fastighetsbeskattningen bör anstå till dess att resultaten av Fastighetstaxeringsutredningens respektive Fastighetsbeskattningsko</w:t>
      </w:r>
      <w:r w:rsidRPr="00C9680B">
        <w:t>m</w:t>
      </w:r>
      <w:r w:rsidRPr="00C9680B">
        <w:t>mitténs arbete föreligger. Utskottet vidhåller denna uppfattning. Även om utredningarna nu avslutat sitt arbete bör den fortsatta beredningen av de fö</w:t>
      </w:r>
      <w:r w:rsidRPr="00C9680B">
        <w:t>r</w:t>
      </w:r>
      <w:r w:rsidRPr="00C9680B">
        <w:t>slag de lagt fram avvaktas. Regeringen aviserar också i budgetpropositionen sin avsikt att återkomma till riksdagen när det gäller de förslag som de båda utrednin</w:t>
      </w:r>
      <w:r w:rsidRPr="00C9680B">
        <w:t>g</w:t>
      </w:r>
      <w:r w:rsidRPr="00C9680B">
        <w:t xml:space="preserve">arna lagt fram. </w:t>
      </w:r>
    </w:p>
    <w:p w:rsidR="001C7BF9" w:rsidRPr="00C9680B" w:rsidRDefault="001C7BF9">
      <w:pPr>
        <w:pStyle w:val="Normaltindrag"/>
      </w:pPr>
      <w:r w:rsidRPr="00C9680B">
        <w:t>Med hänvisning till det nu</w:t>
      </w:r>
      <w:r w:rsidRPr="00C9680B">
        <w:t xml:space="preserve"> anförda tillstyrker utskottet regeringens förslag vad gäller fastighetsbeskattningen för 2001. Samtliga motionsyrkanden a</w:t>
      </w:r>
      <w:r w:rsidRPr="00C9680B">
        <w:t>v</w:t>
      </w:r>
      <w:r w:rsidRPr="00C9680B">
        <w:t>styrks.</w:t>
      </w:r>
    </w:p>
    <w:p w:rsidR="001C7BF9" w:rsidRPr="00C9680B" w:rsidRDefault="001C7BF9">
      <w:pPr>
        <w:pStyle w:val="Normaltindrag"/>
      </w:pPr>
    </w:p>
    <w:p w:rsidR="001C7BF9" w:rsidRPr="00C9680B" w:rsidRDefault="001C7BF9">
      <w:pPr>
        <w:pStyle w:val="Stockholm"/>
        <w:outlineLvl w:val="0"/>
      </w:pPr>
      <w:r w:rsidRPr="00C9680B">
        <w:t xml:space="preserve">Stockholm den 26 oktober 2000 </w:t>
      </w:r>
    </w:p>
    <w:p w:rsidR="001C7BF9" w:rsidRPr="00C9680B" w:rsidRDefault="001C7BF9">
      <w:pPr>
        <w:pStyle w:val="Vgnar"/>
      </w:pPr>
      <w:r w:rsidRPr="00C9680B">
        <w:t>På bostadsutskottets vägnar</w:t>
      </w:r>
    </w:p>
    <w:p w:rsidR="001C7BF9" w:rsidRPr="00C9680B" w:rsidRDefault="001C7BF9">
      <w:pPr>
        <w:pStyle w:val="Ordfnamn"/>
      </w:pPr>
      <w:r w:rsidRPr="00C9680B">
        <w:t xml:space="preserve">Knut Billing </w:t>
      </w:r>
    </w:p>
    <w:p w:rsidR="001C7BF9" w:rsidRPr="00C9680B" w:rsidRDefault="001C7BF9">
      <w:pPr>
        <w:pStyle w:val="Deltagare"/>
        <w:rPr>
          <w:noProof w:val="0"/>
        </w:rPr>
      </w:pPr>
      <w:r w:rsidRPr="00C9680B">
        <w:rPr>
          <w:noProof w:val="0"/>
        </w:rPr>
        <w:t>I beslutet har deltagit: Knut Billing (m), Bengt-Ola Ryttar (s), Lilian Virgin (s), Owe Hellberg (v), Ulla-Britt Hagström (kd), Sten Andersson (m), Inga Berggren (m), Anders Ygeman (s), Siw Wittgren-Ahl (s), Sten Lundström (v), Annelie Enochson (kd), Helena Hillar Rosenqvist (mp), Rigmor Stenmark (c), Yvonne Ångström (fp), Carina A Elgestam (s), Ewa Thalén Finné (m) och Leif Jakobsson (s).</w:t>
      </w:r>
    </w:p>
    <w:p w:rsidR="001C7BF9" w:rsidRPr="00C9680B" w:rsidRDefault="001C7BF9">
      <w:pPr>
        <w:pStyle w:val="R1"/>
        <w:spacing w:before="480" w:after="240"/>
      </w:pPr>
      <w:bookmarkStart w:id="1189" w:name="_Toc497014218"/>
      <w:r w:rsidRPr="00C9680B">
        <w:t>Avvikande meningar</w:t>
      </w:r>
      <w:bookmarkEnd w:id="1189"/>
    </w:p>
    <w:p w:rsidR="001C7BF9" w:rsidRPr="00C9680B" w:rsidRDefault="001C7BF9">
      <w:pPr>
        <w:pStyle w:val="Rubrik2"/>
        <w:spacing w:before="0"/>
      </w:pPr>
      <w:bookmarkStart w:id="1190" w:name="_Toc497014219"/>
      <w:bookmarkStart w:id="1191" w:name="_Toc498838278"/>
      <w:r w:rsidRPr="00C9680B">
        <w:t>1. Utgiftsområde 18 – Samhällsplanering, bostadsförsörjning och byggande</w:t>
      </w:r>
      <w:bookmarkEnd w:id="1190"/>
      <w:bookmarkEnd w:id="1191"/>
    </w:p>
    <w:p w:rsidR="001C7BF9" w:rsidRPr="00C9680B" w:rsidRDefault="001C7BF9">
      <w:r w:rsidRPr="00C9680B">
        <w:t>Knut Billing (m), Sten Andersson (m), Inga Berggren (m) och Ewa Thalén Finné (m) anser att den del av bostadsutskottets yttrande som under rubriken Utgiftsområde 18 – Samhällsplanering, bostadsförsörjning och byggande börjar med ”Det kan” och slutar med ”lägger fast” bort ha följande lydelse:</w:t>
      </w:r>
    </w:p>
    <w:p w:rsidR="001C7BF9" w:rsidRPr="00C9680B" w:rsidRDefault="001C7BF9">
      <w:pPr>
        <w:pStyle w:val="Normaltindrag"/>
      </w:pPr>
      <w:r w:rsidRPr="00C9680B">
        <w:t>Bostadsmarknaden präglas fortfarande till stor del av de system för regl</w:t>
      </w:r>
      <w:r w:rsidRPr="00C9680B">
        <w:t>e</w:t>
      </w:r>
      <w:r w:rsidRPr="00C9680B">
        <w:t>ring och detaljstyrning som byggdes upp under ett långvarigt socialdemokr</w:t>
      </w:r>
      <w:r w:rsidRPr="00C9680B">
        <w:t>a</w:t>
      </w:r>
      <w:r w:rsidRPr="00C9680B">
        <w:t>tiskt regeringsinnehav. Genom den avreglering som inleddes under den bo</w:t>
      </w:r>
      <w:r w:rsidRPr="00C9680B">
        <w:t>r</w:t>
      </w:r>
      <w:r w:rsidRPr="00C9680B">
        <w:t>gerliga regeringsperioden togs visserligen betydelsefulla steg mot en minskad statlig och kommunal styrning av boendet, men dessa åtgärder har på flera punkter kullkastats sedan år 1994. Försöken att med lagstiftning och ekon</w:t>
      </w:r>
      <w:r w:rsidRPr="00C9680B">
        <w:t>o</w:t>
      </w:r>
      <w:r w:rsidRPr="00C9680B">
        <w:t>miska sanktioner hindra hyresgäster att köpa sina egna bostäder är ett exe</w:t>
      </w:r>
      <w:r w:rsidRPr="00C9680B">
        <w:t>m</w:t>
      </w:r>
      <w:r w:rsidRPr="00C9680B">
        <w:t>pel på denna utveckling. Det senaste exemplet är regeringens för</w:t>
      </w:r>
      <w:r w:rsidRPr="00C9680B">
        <w:t xml:space="preserve">slag om statlig styrning av kommunernas arbete med bostadsförsörjning. </w:t>
      </w:r>
    </w:p>
    <w:p w:rsidR="001C7BF9" w:rsidRPr="00C9680B" w:rsidRDefault="001C7BF9">
      <w:pPr>
        <w:pStyle w:val="Normaltindrag"/>
      </w:pPr>
      <w:r w:rsidRPr="00C9680B">
        <w:t>Regleringen av bostadssektorn och den internationellt sett mycket höga b</w:t>
      </w:r>
      <w:r w:rsidRPr="00C9680B">
        <w:t>e</w:t>
      </w:r>
      <w:r w:rsidRPr="00C9680B">
        <w:t>skattningen av boendet har medfört att vi i Sverige betalar mer för boendet än i något annat jämförbart land. Höga skatter på både inkomster och boende leder till att alltmer av den disponibla inkomsten går till boendekostnader. Ett genomsnittligt hushåll använder nästan en tredjedel av inkomsten efter skatt till boendet. Enbart fastighetsskatten motsvarar en månadshyra av tolv.</w:t>
      </w:r>
    </w:p>
    <w:p w:rsidR="001C7BF9" w:rsidRPr="00C9680B" w:rsidRDefault="001C7BF9">
      <w:pPr>
        <w:pStyle w:val="Normaltindrag"/>
      </w:pPr>
      <w:r w:rsidRPr="00C9680B">
        <w:t>Bostadsutskottet anser att utgångspunkten för de bostadspolitiska besluten under de närmaste åren, och därmed även för de nu aktu</w:t>
      </w:r>
      <w:r w:rsidRPr="00C9680B">
        <w:t>ella budgetbesluten, måste vara att bostadsmarknaden skall styras av människors efterfrågan, inte av subventioner, detaljregleringar och politiska ingrepp. Åtgärder måste vi</w:t>
      </w:r>
      <w:r w:rsidRPr="00C9680B">
        <w:t>d</w:t>
      </w:r>
      <w:r w:rsidRPr="00C9680B">
        <w:t>tas för att möjliggöra ett bostadsbyggande som svarar mot efterfrågan. Det handlar bl.a. om att reformera hyressättningssystemet, att tillåta ägarlägenh</w:t>
      </w:r>
      <w:r w:rsidRPr="00C9680B">
        <w:t>e</w:t>
      </w:r>
      <w:r w:rsidRPr="00C9680B">
        <w:t>ter samt att förenkla plan- och bygglovsprocessen.</w:t>
      </w:r>
    </w:p>
    <w:p w:rsidR="001C7BF9" w:rsidRPr="00C9680B" w:rsidRDefault="001C7BF9">
      <w:pPr>
        <w:pStyle w:val="Normaltindrag"/>
      </w:pPr>
      <w:r w:rsidRPr="00C9680B">
        <w:t xml:space="preserve">Utskottet kan konstatera att denna inriktning ligger till grund för de förslag om ram för utgiftsområde 18 under budgetåren 2001–2003 </w:t>
      </w:r>
      <w:r w:rsidRPr="00C9680B">
        <w:t>som läggs fram i Moderata samlingspartiets partimotion 2000/01:Fi208. Enligt dessa förslag ger en successiv avveckling av fastighetsskatten utrymme för att trappa av räntebidragen snabbare. På detta sätt  fördyras inte boendekostnaderna. En bred avreglering av bostadsmarknaden bidrar bl.a. till att kostnaderna för Boverket och övrig bostadsadministration kan begränsas. Bostadsbidragen renodlas för att endast gå till barnfamiljer och växlas på sikt mot sänkt skatt. Stödet till lokala investeringsprogram avve</w:t>
      </w:r>
      <w:r w:rsidRPr="00C9680B">
        <w:t xml:space="preserve">cklas genom att nya bidrag inte beviljas.  </w:t>
      </w:r>
    </w:p>
    <w:p w:rsidR="001C7BF9" w:rsidRPr="00C9680B" w:rsidRDefault="001C7BF9">
      <w:pPr>
        <w:pStyle w:val="Normaltindrag"/>
      </w:pPr>
      <w:r w:rsidRPr="00C9680B">
        <w:t>Utskottet tillstyrker med hänvisning till det nu anförda Moderata sa</w:t>
      </w:r>
      <w:r w:rsidRPr="00C9680B">
        <w:t>m</w:t>
      </w:r>
      <w:r w:rsidRPr="00C9680B">
        <w:t>lingspartiets partimotion 2000/01:Fi208 yrkandena 5 och 6. Regeringens förslag, liksom övriga motionsyrkanden a</w:t>
      </w:r>
      <w:r w:rsidRPr="00C9680B">
        <w:t>v</w:t>
      </w:r>
      <w:r w:rsidRPr="00C9680B">
        <w:t>styrks.</w:t>
      </w:r>
    </w:p>
    <w:p w:rsidR="001C7BF9" w:rsidRPr="00C9680B" w:rsidRDefault="001C7BF9">
      <w:pPr>
        <w:pStyle w:val="Rubrik2"/>
      </w:pPr>
      <w:bookmarkStart w:id="1192" w:name="_Toc497014220"/>
      <w:bookmarkStart w:id="1193" w:name="_Toc498838279"/>
      <w:r w:rsidRPr="00C9680B">
        <w:t>2. Utgiftsområde 18 – Samhällsplanering, bostadsförsörjning och byggande</w:t>
      </w:r>
      <w:bookmarkEnd w:id="1192"/>
      <w:bookmarkEnd w:id="1193"/>
    </w:p>
    <w:p w:rsidR="001C7BF9" w:rsidRPr="00C9680B" w:rsidRDefault="001C7BF9">
      <w:r w:rsidRPr="00C9680B">
        <w:t>Ulla-Britt Hagström (kd) och Annelie Enochson (kd) anser att den del av bostadsutskottets yttrande som under rubriken Utgiftsområde 18 – Samhäll</w:t>
      </w:r>
      <w:r w:rsidRPr="00C9680B">
        <w:t>s</w:t>
      </w:r>
      <w:r w:rsidRPr="00C9680B">
        <w:t>planering, bostadsförsörjning och byggande börjar med ”Det kan” och slutar med ”lägger fast” bort ha följande lydelse:</w:t>
      </w:r>
    </w:p>
    <w:p w:rsidR="001C7BF9" w:rsidRPr="00C9680B" w:rsidRDefault="001C7BF9">
      <w:pPr>
        <w:pStyle w:val="Normaltindrag"/>
      </w:pPr>
      <w:r w:rsidRPr="00C9680B">
        <w:t>Bostaden och boendemiljön har en central roll för människors livsvillkor. Trygghet och valfrihet i boendet är en viktig välfärdsfråga. Människors ski</w:t>
      </w:r>
      <w:r w:rsidRPr="00C9680B">
        <w:t>f</w:t>
      </w:r>
      <w:r w:rsidRPr="00C9680B">
        <w:t>tande önskemål och behov av bostäder i olika skeden under livet måste kunna tillgodoses till rimliga kostnader. Under studieåren kan det viktigaste önsk</w:t>
      </w:r>
      <w:r w:rsidRPr="00C9680B">
        <w:t>e</w:t>
      </w:r>
      <w:r w:rsidRPr="00C9680B">
        <w:t>målet vara en billig bostad i nära anslutning till högskolan eller universitetet. Under andra skeden i livet kan önskemålet vara att äga sin bostad oavsett om den ligger på markplanet eller i ett flerbostadshus. Det är därför viktigt att större möjlighet ges till eget ägande av bostäder genom att ägarlägenheter tillåts. Systemet för hyressättning måste ref</w:t>
      </w:r>
      <w:r w:rsidRPr="00C9680B">
        <w:t>ormeras genom att större möjli</w:t>
      </w:r>
      <w:r w:rsidRPr="00C9680B">
        <w:t>g</w:t>
      </w:r>
      <w:r w:rsidRPr="00C9680B">
        <w:t>het ges för individuell anpassning av hyrorna och genom att lägesfaktorn ges större tyngd. Möjligheterna till ett billigare byggande bör tas till vara, bl.a. bör en ko</w:t>
      </w:r>
      <w:r w:rsidRPr="00C9680B">
        <w:t>n</w:t>
      </w:r>
      <w:r w:rsidRPr="00C9680B">
        <w:t xml:space="preserve">sekvensutredning om sänkt byggmoms genomföras. </w:t>
      </w:r>
    </w:p>
    <w:p w:rsidR="001C7BF9" w:rsidRPr="00C9680B" w:rsidRDefault="001C7BF9">
      <w:pPr>
        <w:pStyle w:val="Normaltindrag"/>
      </w:pPr>
      <w:r w:rsidRPr="00C9680B">
        <w:t>Detta är några av de grundläggande utgångspunkterna för det reformbehov som finns inom bostadssektorn. Enligt bostadsutskottets mening svarar de förslag som förs fram i Kristdemokraternas partimotion 2000/01:Fi209 om förändringar inom utgiftsområde 18 under den när</w:t>
      </w:r>
      <w:r w:rsidRPr="00C9680B">
        <w:t>maste treårsperioden bäst mot denna inrik</w:t>
      </w:r>
      <w:r w:rsidRPr="00C9680B">
        <w:t>t</w:t>
      </w:r>
      <w:r w:rsidRPr="00C9680B">
        <w:t xml:space="preserve">ning.  </w:t>
      </w:r>
    </w:p>
    <w:p w:rsidR="001C7BF9" w:rsidRPr="00C9680B" w:rsidRDefault="001C7BF9">
      <w:pPr>
        <w:pStyle w:val="Normaltindrag"/>
      </w:pPr>
      <w:r w:rsidRPr="00C9680B">
        <w:t>Utskottet delar således vad som i partimotionen anförts om reformbehovet inom utgiftsområde 18. Bostadsbidragen bör förstärkas och göras mer rättv</w:t>
      </w:r>
      <w:r w:rsidRPr="00C9680B">
        <w:t>i</w:t>
      </w:r>
      <w:r w:rsidRPr="00C9680B">
        <w:t>sa. Det kan ske genom att de individuella inkomstgränserna slopas och de snäva regler för den bidragsgrundande bostadsytan som infördes år 1997 ändras. Stödet till de barnfamiljer som har den mest utsatta ekonomiska situ</w:t>
      </w:r>
      <w:r w:rsidRPr="00C9680B">
        <w:t>a</w:t>
      </w:r>
      <w:r w:rsidRPr="00C9680B">
        <w:t>tionen bör förbättras genom att den barnrelaterade delen av bostadsbidraget höjs med 100 kr per barn.</w:t>
      </w:r>
    </w:p>
    <w:p w:rsidR="001C7BF9" w:rsidRPr="00C9680B" w:rsidRDefault="001C7BF9">
      <w:pPr>
        <w:pStyle w:val="Normaltindrag"/>
      </w:pPr>
      <w:r w:rsidRPr="00C9680B">
        <w:t>Besparingar kan göras på räntebidraget till det äldre fastighetsbeståndet. Räntebidraget till nya fastigheter bör avvecklas. Vidare kan en besparing uppnås genom att de lokala investerings</w:t>
      </w:r>
      <w:r w:rsidRPr="00C9680B">
        <w:t>programmen avvecklas. I stället bör medel omfördelas till en ny anslagspost för förbättrad inomhusmiljö samt allergisanering av bostäder och skolor m.m. Ett anslag bör också inrättas för uppföljning av de satsningar som gjorts inom ramen för Arkitekturåret. Ra</w:t>
      </w:r>
      <w:r w:rsidRPr="00C9680B">
        <w:t>m</w:t>
      </w:r>
      <w:r w:rsidRPr="00C9680B">
        <w:t>förslaget enligt Kristdemokraternas motion ger utrymme för dessa nya sat</w:t>
      </w:r>
      <w:r w:rsidRPr="00C9680B">
        <w:t>s</w:t>
      </w:r>
      <w:r w:rsidRPr="00C9680B">
        <w:t>ningar.</w:t>
      </w:r>
    </w:p>
    <w:p w:rsidR="001C7BF9" w:rsidRPr="00C9680B" w:rsidRDefault="001C7BF9">
      <w:pPr>
        <w:pStyle w:val="Normaltindrag"/>
      </w:pPr>
      <w:r w:rsidRPr="00C9680B">
        <w:t>Sammantaget innebär de ovan redovisade åtgärderna att ramen för utgift</w:t>
      </w:r>
      <w:r w:rsidRPr="00C9680B">
        <w:t>s</w:t>
      </w:r>
      <w:r w:rsidRPr="00C9680B">
        <w:t>område 18 bör fastställas i enlighet med förslaget i motion 2000/01:Fi209 (kd) yrkandena 6 och 7. Regeringens förslag, liksom övriga aktuella mo</w:t>
      </w:r>
      <w:r w:rsidRPr="00C9680B">
        <w:softHyphen/>
        <w:t>tions</w:t>
      </w:r>
      <w:r w:rsidRPr="00C9680B">
        <w:softHyphen/>
        <w:t>yrka</w:t>
      </w:r>
      <w:r w:rsidRPr="00C9680B">
        <w:t>n</w:t>
      </w:r>
      <w:r w:rsidRPr="00C9680B">
        <w:t xml:space="preserve">den, avstyrks.   </w:t>
      </w:r>
    </w:p>
    <w:p w:rsidR="001C7BF9" w:rsidRPr="00C9680B" w:rsidRDefault="001C7BF9">
      <w:pPr>
        <w:pStyle w:val="Rubrik2"/>
      </w:pPr>
      <w:bookmarkStart w:id="1194" w:name="_Toc497014221"/>
      <w:bookmarkStart w:id="1195" w:name="_Toc498838280"/>
      <w:r w:rsidRPr="00C9680B">
        <w:t>3. Utgiftsområde 18 – Samhällsplanering, bostadsförsörjning och byggande</w:t>
      </w:r>
      <w:bookmarkEnd w:id="1194"/>
      <w:bookmarkEnd w:id="1195"/>
    </w:p>
    <w:p w:rsidR="001C7BF9" w:rsidRPr="00C9680B" w:rsidRDefault="001C7BF9">
      <w:r w:rsidRPr="00C9680B">
        <w:t>Rigmor Stenmark (c) anser att den del av bostadsutskottets yttrande som under rubriken Utgiftsområde 18 – Samhällsplanering, bostadsförsörjning och byggande börjar med ”Det kan” och slutar med ”lägger fast” bort ha följande lydelse:</w:t>
      </w:r>
    </w:p>
    <w:p w:rsidR="001C7BF9" w:rsidRPr="00C9680B" w:rsidRDefault="001C7BF9">
      <w:pPr>
        <w:pStyle w:val="Normaltindrag"/>
      </w:pPr>
      <w:r w:rsidRPr="00C9680B">
        <w:t>Bostadspolitiken bör inriktas på att skapa förutsättningar för en väl g</w:t>
      </w:r>
      <w:r w:rsidRPr="00C9680B">
        <w:t>e</w:t>
      </w:r>
      <w:r w:rsidRPr="00C9680B">
        <w:t>nomtänkt samhällsplanering och en god bostadsförsörjning. Viktiga inslag i detta arbete är att finna former för att öka miljöhänsynen i planeringen. Vid</w:t>
      </w:r>
      <w:r w:rsidRPr="00C9680B">
        <w:t>a</w:t>
      </w:r>
      <w:r w:rsidRPr="00C9680B">
        <w:t xml:space="preserve">re måste jämställdhetsaspekterna beaktas i alla planeringssammanhang liksom de sociala frågorna, barnens behov och tillgängligheten för funktionshindrade. Det måste skapas förutsättningar för att tillskapa bra bostäder till rimliga kostnader. </w:t>
      </w:r>
    </w:p>
    <w:p w:rsidR="001C7BF9" w:rsidRPr="00C9680B" w:rsidRDefault="001C7BF9">
      <w:pPr>
        <w:pStyle w:val="Normaltindrag"/>
      </w:pPr>
      <w:r w:rsidRPr="00C9680B">
        <w:t>Samtidigt som åtgärder vidtas för att förbättra förutsättningarna för en god bostadsförsörjning är det angeläget a</w:t>
      </w:r>
      <w:r w:rsidRPr="00C9680B">
        <w:t>tt ta till vara de möjligheter till besp</w:t>
      </w:r>
      <w:r w:rsidRPr="00C9680B">
        <w:t>a</w:t>
      </w:r>
      <w:r w:rsidRPr="00C9680B">
        <w:t>ringar som finns inom sektorn. Det förslag till ram för utgiftsområde 18 som läggs fram i Centerpartiets partimotion 2000/01:Fi210 innebär att dessa mö</w:t>
      </w:r>
      <w:r w:rsidRPr="00C9680B">
        <w:t>j</w:t>
      </w:r>
      <w:r w:rsidRPr="00C9680B">
        <w:t>ligheter kan tas till vara utan att negativa effekter för sektorn behöver uppstå. Framför allt kan besparingar göras genom en avveckling av stödet till lokala investeringsprogram för en ekologisk hållbarhet. De miljömässiga och a</w:t>
      </w:r>
      <w:r w:rsidRPr="00C9680B">
        <w:t>r</w:t>
      </w:r>
      <w:r w:rsidRPr="00C9680B">
        <w:t>betsmarknadsmässiga resultaten av detta stöd har varit mycket begränsade i förhållande ti</w:t>
      </w:r>
      <w:r w:rsidRPr="00C9680B">
        <w:t>ll satsningens omfattning. Bidrag som redan är beviljade till bra projekt som redan är igångsatta bör betalas ut. Medel för detta får tas genom omfördelning. Återstående medel som avsatts för lokala investeringsprogram bör emellertid användas på ett mer kostnadseffektivt sätt. Centerpartiet lägger fram förslag med sådan inriktning inom andra utgiftsområden. En minskad anslagsbelastning kan också väntas uppkomma för bostadsbidragen vid ett genomförande av de förslag till förbättringar för barnfamiljerna inom</w:t>
      </w:r>
      <w:r w:rsidRPr="00C9680B">
        <w:t xml:space="preserve"> ramen för föräldraförsäkringen och skattesystemet som Centerpartiet lagt fram. Slutligen kan besparingar göras på länsstyrelsernas administr</w:t>
      </w:r>
      <w:r w:rsidRPr="00C9680B">
        <w:t>a</w:t>
      </w:r>
      <w:r w:rsidRPr="00C9680B">
        <w:t>tion.</w:t>
      </w:r>
    </w:p>
    <w:p w:rsidR="001C7BF9" w:rsidRPr="00C9680B" w:rsidRDefault="001C7BF9">
      <w:pPr>
        <w:pStyle w:val="Normaltindrag"/>
      </w:pPr>
      <w:r w:rsidRPr="00C9680B">
        <w:t>Det är angeläget att i större utsträckning kunna hjälpa de familjer som drabbats av fukt- och mögelskador i sina hus. Den ram som föreslås i Cente</w:t>
      </w:r>
      <w:r w:rsidRPr="00C9680B">
        <w:t>r</w:t>
      </w:r>
      <w:r w:rsidRPr="00C9680B">
        <w:t>partiets motion ger utrymme för ett ökat anslag till Fonden för fukt- och m</w:t>
      </w:r>
      <w:r w:rsidRPr="00C9680B">
        <w:t>ö</w:t>
      </w:r>
      <w:r w:rsidRPr="00C9680B">
        <w:t>gelsk</w:t>
      </w:r>
      <w:r w:rsidRPr="00C9680B">
        <w:t>a</w:t>
      </w:r>
      <w:r w:rsidRPr="00C9680B">
        <w:t xml:space="preserve">dor. </w:t>
      </w:r>
    </w:p>
    <w:p w:rsidR="001C7BF9" w:rsidRPr="00C9680B" w:rsidRDefault="001C7BF9">
      <w:pPr>
        <w:pStyle w:val="Normaltindrag"/>
      </w:pPr>
      <w:r w:rsidRPr="00C9680B">
        <w:t>Utskottet ställer sig sammanfattningsvis bakom förslagen i Centerpartiets partimotion 2000/01:Fi210 yrkandena 4 och 5 om ramen för utgiftsområde 18. Regeringsförslaget, liksom övriga aktuella motionsyrkanden, a</w:t>
      </w:r>
      <w:r w:rsidRPr="00C9680B">
        <w:t>v</w:t>
      </w:r>
      <w:r w:rsidRPr="00C9680B">
        <w:t>styrks.</w:t>
      </w:r>
    </w:p>
    <w:p w:rsidR="001C7BF9" w:rsidRPr="00C9680B" w:rsidRDefault="001C7BF9">
      <w:pPr>
        <w:pStyle w:val="Rubrik2"/>
      </w:pPr>
      <w:bookmarkStart w:id="1196" w:name="_Toc497014222"/>
      <w:bookmarkStart w:id="1197" w:name="_Toc498838281"/>
      <w:r w:rsidRPr="00C9680B">
        <w:t>4. Utgiftsområde 18 – Samhällsplanering, bostadsförsörjning och byggande</w:t>
      </w:r>
      <w:bookmarkEnd w:id="1196"/>
      <w:bookmarkEnd w:id="1197"/>
    </w:p>
    <w:p w:rsidR="001C7BF9" w:rsidRPr="00C9680B" w:rsidRDefault="001C7BF9">
      <w:r w:rsidRPr="00C9680B">
        <w:t>Yvonne Ångström (fp) anser att den del av bostadsutskottets yttrande som under rubriken Utgiftsområde 18 – Samhällsplanering, bostadsförsörjning och byggande börjar med ”Det kan” och slutar med ”lägger fast” bort ha följande lydelse:</w:t>
      </w:r>
    </w:p>
    <w:p w:rsidR="001C7BF9" w:rsidRPr="00C9680B" w:rsidRDefault="001C7BF9">
      <w:pPr>
        <w:pStyle w:val="Normaltindrag"/>
      </w:pPr>
      <w:r w:rsidRPr="00C9680B">
        <w:t>Den svenska bostadspolitiken står inför flera stora utmaningar. Bostad</w:t>
      </w:r>
      <w:r w:rsidRPr="00C9680B">
        <w:t>s</w:t>
      </w:r>
      <w:r w:rsidRPr="00C9680B">
        <w:t xml:space="preserve">byggandet ligger fortfarande på en alltför låg nivå. Även om det finns tecken på en viss ökning av byggandet är det långt ifrån tillräckligt för att råda bot på en tilltagande bostadsbrist. I storstadsregionerna och andra tillväxtområden riskerar bostadsbristen att bromsa den ekonomiska tillväxten. Bristen på studentbostäder utgör på många studieorter ett stort hinder för en effektiv högskoleutbildning. </w:t>
      </w:r>
    </w:p>
    <w:p w:rsidR="001C7BF9" w:rsidRPr="00C9680B" w:rsidRDefault="001C7BF9">
      <w:pPr>
        <w:pStyle w:val="Normaltindrag"/>
      </w:pPr>
      <w:r w:rsidRPr="00C9680B">
        <w:t>Villkoren på bostadsmarknaden måste reformeras i flera avseenden genom avreglering och förenklingar. De</w:t>
      </w:r>
      <w:r w:rsidRPr="00C9680B">
        <w:t>t är nödvändigt att förbättra förutsättningarna för nyproduktion av bostäder genom bl.a. förenklad planprocess och en mer differentierad hyressättning. Bruksvärdessystemets tillämpning har lett till hyresnivåer som i många fall upplevs som orättvisa. En blandning mellan olika upplåtelseformer och typer av bebyggelse bör eftersträvas. Den tillt</w:t>
      </w:r>
      <w:r w:rsidRPr="00C9680B">
        <w:t>a</w:t>
      </w:r>
      <w:r w:rsidRPr="00C9680B">
        <w:t>gande etniska och sociala segregationen bidrar till att vissa bostadsområden hamnat i en negativ spiral. Bostadsbidragssystemet medför tillsammans med skatter och bar</w:t>
      </w:r>
      <w:r w:rsidRPr="00C9680B">
        <w:t>nomsorgstaxor att många barnfamiljer drabbas av stora marg</w:t>
      </w:r>
      <w:r w:rsidRPr="00C9680B">
        <w:t>i</w:t>
      </w:r>
      <w:r w:rsidRPr="00C9680B">
        <w:t>naleffekter när arbetsinkomsterna ökar. Det gäller exempelvis vid en öve</w:t>
      </w:r>
      <w:r w:rsidRPr="00C9680B">
        <w:t>r</w:t>
      </w:r>
      <w:r w:rsidRPr="00C9680B">
        <w:t xml:space="preserve">gång från deltid till heltid eller när någon i hushållet går från arbetslöshet till arbete. </w:t>
      </w:r>
    </w:p>
    <w:p w:rsidR="001C7BF9" w:rsidRPr="00C9680B" w:rsidRDefault="001C7BF9">
      <w:pPr>
        <w:pStyle w:val="Normaltindrag"/>
      </w:pPr>
      <w:r w:rsidRPr="00C9680B">
        <w:t>I motioner från Folkpartiet har bl.a. dessa frågor tagits upp och åtgärder f</w:t>
      </w:r>
      <w:r w:rsidRPr="00C9680B">
        <w:t>ö</w:t>
      </w:r>
      <w:r w:rsidRPr="00C9680B">
        <w:t>reslagits. Vissa av dessa åtgärder påverkar nivån på anslagsramen för utgift</w:t>
      </w:r>
      <w:r w:rsidRPr="00C9680B">
        <w:t>s</w:t>
      </w:r>
      <w:r w:rsidRPr="00C9680B">
        <w:t>område 18 under åren 2001–2003. Förslag i denna fråga redovisas i Folkpa</w:t>
      </w:r>
      <w:r w:rsidRPr="00C9680B">
        <w:t>r</w:t>
      </w:r>
      <w:r w:rsidRPr="00C9680B">
        <w:t>tiets partimotion 2000/01:Fi211. Bostadsutskottet delar vad i partimotionen anförts om behovet av åtgärder inom utgiftsområde 18. Besparingar kan up</w:t>
      </w:r>
      <w:r w:rsidRPr="00C9680B">
        <w:t>p</w:t>
      </w:r>
      <w:r w:rsidRPr="00C9680B">
        <w:t>nås på anslaget för räntebidrag genom en snabbare höjning av den s.k. gara</w:t>
      </w:r>
      <w:r w:rsidRPr="00C9680B">
        <w:t>n</w:t>
      </w:r>
      <w:r w:rsidRPr="00C9680B">
        <w:t>terade räntan. Vidare kan besparingar göras på byråkratin inom Boverket och Lantmäteriverket. Stödet till de lokala investeringsprogramme</w:t>
      </w:r>
      <w:r w:rsidRPr="00C9680B">
        <w:t>n har kritiserats av bl.a. Riksrevisionsverket och Riksdagens revisorer. Anslaget för denna stödverksamhet kan avvecklas. I syfte att minska bidragens marginaleffekter växlas delar av bostadsbidragen mot skattelättnader för barnfamiljerna. Detta och vissa övriga regel</w:t>
      </w:r>
      <w:r w:rsidRPr="00C9680B">
        <w:softHyphen/>
        <w:t>ändringar leder till en minskad belastning på anslaget för bostadsbidrag. För att möjliggöra en kraftfull satsning på nya studentb</w:t>
      </w:r>
      <w:r w:rsidRPr="00C9680B">
        <w:t>o</w:t>
      </w:r>
      <w:r w:rsidRPr="00C9680B">
        <w:t>städer har medel beräknats för att höja anslaget för anordnande av bostäder för studenter med 50 miljoner kronor</w:t>
      </w:r>
      <w:r w:rsidRPr="00C9680B">
        <w:t>.</w:t>
      </w:r>
    </w:p>
    <w:p w:rsidR="001C7BF9" w:rsidRPr="00C9680B" w:rsidRDefault="001C7BF9">
      <w:pPr>
        <w:pStyle w:val="Normaltindrag"/>
      </w:pPr>
      <w:r w:rsidRPr="00C9680B">
        <w:t>Sammantaget innebär vad utskottet nu förordat att ramen för utgiftsområde 18 för åren 2001–2003 bör bestämmas i enlighet med Folkpartiets partimotion 2000/01:Fi211 yrkandena 6 och 8. Regeringsförslaget i denna del samt fö</w:t>
      </w:r>
      <w:r w:rsidRPr="00C9680B">
        <w:t>r</w:t>
      </w:r>
      <w:r w:rsidRPr="00C9680B">
        <w:t>slagen i övriga partimotioner avstyrks.</w:t>
      </w:r>
    </w:p>
    <w:p w:rsidR="001C7BF9" w:rsidRPr="00C9680B" w:rsidRDefault="001C7BF9">
      <w:pPr>
        <w:pStyle w:val="Rubrik2"/>
      </w:pPr>
      <w:bookmarkStart w:id="1198" w:name="_Toc497014223"/>
      <w:bookmarkStart w:id="1199" w:name="_Toc498838282"/>
      <w:r w:rsidRPr="00C9680B">
        <w:t>5. Fastighetsbeskattningen år 2001</w:t>
      </w:r>
      <w:bookmarkEnd w:id="1198"/>
      <w:bookmarkEnd w:id="1199"/>
    </w:p>
    <w:p w:rsidR="001C7BF9" w:rsidRPr="00C9680B" w:rsidRDefault="001C7BF9">
      <w:r w:rsidRPr="00C9680B">
        <w:t>Knut Billing (m), Sten Andersson (m), Inga Berggren (m) och Ewa Thalén Finné (m) anser att den del av bostadsutskottets yttrande som under rubriken Fastighetsbeskattningen år 2001 börjar med ”Frågor om” och slutar med ”motionsyrkanden avstyrks” bort ha följande lydelse:</w:t>
      </w:r>
    </w:p>
    <w:p w:rsidR="001C7BF9" w:rsidRPr="00C9680B" w:rsidRDefault="001C7BF9">
      <w:pPr>
        <w:pStyle w:val="Normaltindrag"/>
      </w:pPr>
      <w:r w:rsidRPr="00C9680B">
        <w:t>Regeringen presenterar sitt förslag till ändringar i fastighetsbeskattningen som en skattesänkning. Även om förslaget för vissa hushåll innebär att ska</w:t>
      </w:r>
      <w:r w:rsidRPr="00C9680B">
        <w:t>t</w:t>
      </w:r>
      <w:r w:rsidRPr="00C9680B">
        <w:t>teuttaget minskar något medför det för många hushåll en mycket kraftig skattehöjning som är ett hot mot familjens ekonomiska trygghet. Vad som erfordras är i stället en successiv avveckling av fastighetsskatten som inleds med verkliga skattesänkningar för alla hushåll.</w:t>
      </w:r>
    </w:p>
    <w:p w:rsidR="001C7BF9" w:rsidRPr="00C9680B" w:rsidRDefault="001C7BF9">
      <w:pPr>
        <w:pStyle w:val="Normaltindrag"/>
      </w:pPr>
      <w:r w:rsidRPr="00C9680B">
        <w:t>I en nybyggd hyreslägenhet går närmare 70 % av hyran till att betala skatt och andra pålagor som tagits ut och fortlöpande tas ut med boendet som y</w:t>
      </w:r>
      <w:r w:rsidRPr="00C9680B">
        <w:t>t</w:t>
      </w:r>
      <w:r w:rsidRPr="00C9680B">
        <w:t>tersta skatteobjekt. Här ligger förklaringen till att det är dyrt att flytta in i nyproducerade lägenheter. Men det blir allt dyrare att också bo i redan befin</w:t>
      </w:r>
      <w:r w:rsidRPr="00C9680B">
        <w:t>t</w:t>
      </w:r>
      <w:r w:rsidRPr="00C9680B">
        <w:t>liga hyresrätter. Bara fastighetsskatten kostar de boende i hyreshus minst en månadshyra per år. För småhusägare varierar fastighetsskatten mycket ber</w:t>
      </w:r>
      <w:r w:rsidRPr="00C9680B">
        <w:t>o</w:t>
      </w:r>
      <w:r w:rsidRPr="00C9680B">
        <w:t>ende på var fastigheten ligger. Om frysningen av fastighetsskatten upphör  nästa år, i enlighet med regeringens förslag, kan dessutom många familjer förvänta sig en kraftigt höjd fastighetsskatt. Resu</w:t>
      </w:r>
      <w:r w:rsidRPr="00C9680B">
        <w:t xml:space="preserve">ltatet kan komma att bli att många människor riskerar att få lämna hus och hem eftersom de inte har råd att bo kvar. </w:t>
      </w:r>
    </w:p>
    <w:p w:rsidR="001C7BF9" w:rsidRPr="00C9680B" w:rsidRDefault="001C7BF9">
      <w:pPr>
        <w:pStyle w:val="Normaltindrag"/>
      </w:pPr>
      <w:r w:rsidRPr="00C9680B">
        <w:t>Enligt utskottets uppfattning kan därför inte stora förändringar i fastighet</w:t>
      </w:r>
      <w:r w:rsidRPr="00C9680B">
        <w:t>s</w:t>
      </w:r>
      <w:r w:rsidRPr="00C9680B">
        <w:t>beskattningen anstå till dess att Fastighetstaxeringsutredningen och Fasti</w:t>
      </w:r>
      <w:r w:rsidRPr="00C9680B">
        <w:t>g</w:t>
      </w:r>
      <w:r w:rsidRPr="00C9680B">
        <w:t>hetsbeskattningskommittén lägger fram eventuella förslag till regeländringar. I enlighet med förslaget i de nu aktuella motionerna (m) bör i stället en su</w:t>
      </w:r>
      <w:r w:rsidRPr="00C9680B">
        <w:t>c</w:t>
      </w:r>
      <w:r w:rsidRPr="00C9680B">
        <w:t>cessiv avveckling av fastighetsskatten inledas redan år 2001. Som en första åtgärd skall därför underlaget för skatteberäkningen frysas för att mildra effekterna av de senaste årens mycket kraftiga prisökningar i vissa områden. Skattesatsen för år 2001 skall för småhus sänkas till</w:t>
      </w:r>
      <w:r w:rsidRPr="00C9680B">
        <w:t xml:space="preserve"> 1,2 % och för hyreshus till 0,7 %. Vidare skall underlaget för skatten utgöras av byggnadsvärdet och halva markvärdet. Genom att reducera markvärdet vid beräkningen av skatten åstadkommer man framför allt en lindring av de stora regionala orättv</w:t>
      </w:r>
      <w:r w:rsidRPr="00C9680B">
        <w:t>i</w:t>
      </w:r>
      <w:r w:rsidRPr="00C9680B">
        <w:t>sorna.</w:t>
      </w:r>
    </w:p>
    <w:p w:rsidR="001C7BF9" w:rsidRPr="00C9680B" w:rsidRDefault="001C7BF9">
      <w:pPr>
        <w:pStyle w:val="Normaltindrag"/>
      </w:pPr>
      <w:r w:rsidRPr="00C9680B">
        <w:t>Som framgått är de förändringar som nu bör genomföras steg på väg mot ett avskaffande av fastighetsskatten. För tydlighetens skull bör här göras klart att avsikten inte är att den skall ersättas med andra pålagor i form av en sch</w:t>
      </w:r>
      <w:r w:rsidRPr="00C9680B">
        <w:t>a</w:t>
      </w:r>
      <w:r w:rsidRPr="00C9680B">
        <w:t>blonintäkt eller liknande. Genom en avveckling kan dessutom fastighetstax</w:t>
      </w:r>
      <w:r w:rsidRPr="00C9680B">
        <w:t>e</w:t>
      </w:r>
      <w:r w:rsidRPr="00C9680B">
        <w:t xml:space="preserve">ringen förenklas för att sedan helt tas bort. </w:t>
      </w:r>
    </w:p>
    <w:p w:rsidR="001C7BF9" w:rsidRPr="00C9680B" w:rsidRDefault="001C7BF9">
      <w:pPr>
        <w:pStyle w:val="Normaltindrag"/>
      </w:pPr>
      <w:r w:rsidRPr="00C9680B">
        <w:t>Med det nu anförda tillstyrker utskottet förslagen i Moderata samlingspa</w:t>
      </w:r>
      <w:r w:rsidRPr="00C9680B">
        <w:t>r</w:t>
      </w:r>
      <w:r w:rsidRPr="00C9680B">
        <w:t>tiets partimotioner 2000/01:Sk621 yrkandena 1, 2 och 4, 2000/01:Bo414 (m) yrkandena 11, 12 och 14 samt 2000/01:N385 (m) yrkande 9 liksom motione</w:t>
      </w:r>
      <w:r w:rsidRPr="00C9680B">
        <w:t>r</w:t>
      </w:r>
      <w:r w:rsidRPr="00C9680B">
        <w:t>na 2000/01:Sk308 (m) och 2000/01:Sk313 (m). Regeringens förslag avstyrks.</w:t>
      </w:r>
    </w:p>
    <w:p w:rsidR="001C7BF9" w:rsidRPr="00C9680B" w:rsidRDefault="001C7BF9">
      <w:pPr>
        <w:pStyle w:val="Rubrik2"/>
      </w:pPr>
      <w:bookmarkStart w:id="1200" w:name="_Toc497014224"/>
      <w:bookmarkStart w:id="1201" w:name="_Toc498838283"/>
      <w:r w:rsidRPr="00C9680B">
        <w:t>6. Fastighetsbeskattningen år 2001</w:t>
      </w:r>
      <w:bookmarkEnd w:id="1200"/>
      <w:bookmarkEnd w:id="1201"/>
    </w:p>
    <w:p w:rsidR="001C7BF9" w:rsidRPr="00C9680B" w:rsidRDefault="001C7BF9">
      <w:r w:rsidRPr="00C9680B">
        <w:t>Ulla-Britt Hagström (kd) och Annelie Enochson (kd) anser att den del av bostadsutskottets yttrande som under rubriken Fastighetsbeskattningen år 2001 börjar med ”Frågor om” och slutar med ”motionsyrkanden avstyrks” bort ha följande lydelse:</w:t>
      </w:r>
    </w:p>
    <w:p w:rsidR="001C7BF9" w:rsidRPr="00C9680B" w:rsidRDefault="001C7BF9">
      <w:pPr>
        <w:pStyle w:val="Normaltindrag"/>
      </w:pPr>
      <w:r w:rsidRPr="00C9680B">
        <w:t>Trots en massiv kritik fortsätter Sverige att år efter år ha den hårdaste b</w:t>
      </w:r>
      <w:r w:rsidRPr="00C9680B">
        <w:t>e</w:t>
      </w:r>
      <w:r w:rsidRPr="00C9680B">
        <w:t>skattningen av boendet i hela världen. I de europeiska länderna uppgick b</w:t>
      </w:r>
      <w:r w:rsidRPr="00C9680B">
        <w:t>o</w:t>
      </w:r>
      <w:r w:rsidRPr="00C9680B">
        <w:t>endekostnadernas andel av den disponibla inkomsten till i genomsnitt 20 % år 1993, i Sverige uppgick den till så mycket som 30 %.</w:t>
      </w:r>
    </w:p>
    <w:p w:rsidR="001C7BF9" w:rsidRPr="00C9680B" w:rsidRDefault="001C7BF9">
      <w:pPr>
        <w:pStyle w:val="Normaltindrag"/>
      </w:pPr>
      <w:r w:rsidRPr="00C9680B">
        <w:t>Fastighetsskatten drabbar alla boende oavsett inkomst och betalningsfö</w:t>
      </w:r>
      <w:r w:rsidRPr="00C9680B">
        <w:t>r</w:t>
      </w:r>
      <w:r w:rsidRPr="00C9680B">
        <w:t>måga. Den strider alltså mot den gängse principen om skatt efter bärkraft. Skatten hotar i vissa fall äganderätten liksom den enskildes trygghet vad gäller besittningen av det egna hemmet. Personer med låga inkomster boende  i attraktiva områden har inte råd att betala skatten och kommer att få lämna sina hem och invanda miljöer när taxeringsvärdet kommer att räknas upp. Att göra det möjligt att äga sin bostad också för låginkomsttagare är att verka för ett jämlikt samhälle, ett samhälle där äganderätt int</w:t>
      </w:r>
      <w:r w:rsidRPr="00C9680B">
        <w:t>e kräver stora pengar. Fastighetsskatten ökar den sociala segregeringen och motverkar möjlighete</w:t>
      </w:r>
      <w:r w:rsidRPr="00C9680B">
        <w:t>r</w:t>
      </w:r>
      <w:r w:rsidRPr="00C9680B">
        <w:t>na för ett permanent boende i många områden som är attraktiva för de fritid</w:t>
      </w:r>
      <w:r w:rsidRPr="00C9680B">
        <w:t>s</w:t>
      </w:r>
      <w:r w:rsidRPr="00C9680B">
        <w:t>b</w:t>
      </w:r>
      <w:r w:rsidRPr="00C9680B">
        <w:t>o</w:t>
      </w:r>
      <w:r w:rsidRPr="00C9680B">
        <w:t>ende.</w:t>
      </w:r>
    </w:p>
    <w:p w:rsidR="001C7BF9" w:rsidRPr="00C9680B" w:rsidRDefault="001C7BF9">
      <w:pPr>
        <w:pStyle w:val="Normaltindrag"/>
      </w:pPr>
      <w:r w:rsidRPr="00C9680B">
        <w:t>Som framhålls i bl.a. Kristdemokraternas partimotion bör de statliga re</w:t>
      </w:r>
      <w:r w:rsidRPr="00C9680B">
        <w:t>g</w:t>
      </w:r>
      <w:r w:rsidRPr="00C9680B">
        <w:t>lerna utformas så att de ger skattemässig neutralitet mellan olika boendefo</w:t>
      </w:r>
      <w:r w:rsidRPr="00C9680B">
        <w:t>r</w:t>
      </w:r>
      <w:r w:rsidRPr="00C9680B">
        <w:t>mer. Den enskildes val av bostad skall naturligtvis i första hand styras av dennes behov och förutsättningar i övrigt och inte av beskattningens utfor</w:t>
      </w:r>
      <w:r w:rsidRPr="00C9680B">
        <w:t>m</w:t>
      </w:r>
      <w:r w:rsidRPr="00C9680B">
        <w:t>ning. Den snedfördelning i beskattningen mellan småhus och hyreshus som den nuvarande majoriteten har skapat måste därför rättas till. På sikt måste också systemet med statlig fastighetsskatt avvecklas. I stället bör kommune</w:t>
      </w:r>
      <w:r w:rsidRPr="00C9680B">
        <w:t>r</w:t>
      </w:r>
      <w:r w:rsidRPr="00C9680B">
        <w:t>na ges möjlighet att ta ut en avgift för täckande av kostna</w:t>
      </w:r>
      <w:r w:rsidRPr="00C9680B">
        <w:t>derna för gatuunde</w:t>
      </w:r>
      <w:r w:rsidRPr="00C9680B">
        <w:t>r</w:t>
      </w:r>
      <w:r w:rsidRPr="00C9680B">
        <w:t>håll, brandförsvar och annan kommunal service som är kopplad till fastigh</w:t>
      </w:r>
      <w:r w:rsidRPr="00C9680B">
        <w:t>e</w:t>
      </w:r>
      <w:r w:rsidRPr="00C9680B">
        <w:t>ten. På så vis stannar pengarna inom kommunerna och kommer medborgarna till del. I dag är det kommunerna som har kostnaderna och staten som tar in hela skatteintäkten. Den kommunala avgiften relaterad till fastigheten ko</w:t>
      </w:r>
      <w:r w:rsidRPr="00C9680B">
        <w:t>m</w:t>
      </w:r>
      <w:r w:rsidRPr="00C9680B">
        <w:t xml:space="preserve">mer att på sikt innebära en växling till minskad kommunalskatt. </w:t>
      </w:r>
    </w:p>
    <w:p w:rsidR="001C7BF9" w:rsidRPr="00C9680B" w:rsidRDefault="001C7BF9">
      <w:pPr>
        <w:pStyle w:val="Normaltindrag"/>
      </w:pPr>
      <w:r w:rsidRPr="00C9680B">
        <w:t>En avveckling av fastighetsskatten bör inledas redan nästa år. I enlighet med förslag i motioner (kd) bör därför fastighetsskatten år</w:t>
      </w:r>
      <w:r w:rsidRPr="00C9680B">
        <w:t xml:space="preserve"> 2001 sänkas till 1,2 % samtidigt som skatten endast beräknas på en tredjedel av markvärdet över 150 000 kr. Ett viktigt inslag i avvecklingen är också att frysningen av tax</w:t>
      </w:r>
      <w:r w:rsidRPr="00C9680B">
        <w:t>e</w:t>
      </w:r>
      <w:r w:rsidRPr="00C9680B">
        <w:t>ringsvärdena behålls. De nu förordade åtgärderna innebär bl.a. att effekterna av de senaste årens mycket kraftiga prisökningar i vissa områden mil</w:t>
      </w:r>
      <w:r w:rsidRPr="00C9680B">
        <w:t>d</w:t>
      </w:r>
      <w:r w:rsidRPr="00C9680B">
        <w:t>ras.</w:t>
      </w:r>
    </w:p>
    <w:p w:rsidR="001C7BF9" w:rsidRPr="00C9680B" w:rsidRDefault="001C7BF9">
      <w:pPr>
        <w:pStyle w:val="Normaltindrag"/>
      </w:pPr>
      <w:r w:rsidRPr="00C9680B">
        <w:t>Det nu anförda innebär att utskottet tillstyrker förslagen i Kristdemokrate</w:t>
      </w:r>
      <w:r w:rsidRPr="00C9680B">
        <w:t>r</w:t>
      </w:r>
      <w:r w:rsidRPr="00C9680B">
        <w:t>nas partimotion 2000/01:Sk323 yrkandena 16–21 och 53 samt i motion 2000/01:Sk322 (kd) yrkande 3. Regeringens förslag avseende fastighetsb</w:t>
      </w:r>
      <w:r w:rsidRPr="00C9680B">
        <w:t>e</w:t>
      </w:r>
      <w:r w:rsidRPr="00C9680B">
        <w:t xml:space="preserve">skattningen år 2001 avslås. </w:t>
      </w:r>
    </w:p>
    <w:p w:rsidR="001C7BF9" w:rsidRPr="00C9680B" w:rsidRDefault="001C7BF9">
      <w:pPr>
        <w:pStyle w:val="Rubrik2"/>
      </w:pPr>
      <w:bookmarkStart w:id="1202" w:name="_Toc497014225"/>
      <w:bookmarkStart w:id="1203" w:name="_Toc498838284"/>
      <w:r w:rsidRPr="00C9680B">
        <w:t>7. Fastighetsbeskattningen år 2001</w:t>
      </w:r>
      <w:bookmarkEnd w:id="1202"/>
      <w:bookmarkEnd w:id="1203"/>
    </w:p>
    <w:p w:rsidR="001C7BF9" w:rsidRPr="00C9680B" w:rsidRDefault="001C7BF9">
      <w:r w:rsidRPr="00C9680B">
        <w:t>Rigmor Stenmark (c) anser att den del av bostadsutskottets yttrande som under rubriken Fastighetsbeskattningen år 2001 börjar med ”Frågor om” och slutar med ”motionsyrkanden avstyrks” bort ha följande lydelse:</w:t>
      </w:r>
    </w:p>
    <w:p w:rsidR="001C7BF9" w:rsidRPr="00C9680B" w:rsidRDefault="001C7BF9">
      <w:pPr>
        <w:pStyle w:val="Normaltindrag"/>
      </w:pPr>
      <w:r w:rsidRPr="00C9680B">
        <w:t>Med den utformning fastighetsskatten har i dag har underlaget för skatten, dvs. taxeringsvärdet, kommit att få en allt större betydelse. Det var också mot den bakgrunden som Centerpartiet medverkade till att frysa taxeringsvärdena fr.o.m. år 1997. När regeringen nu inte vill låta frysningen bestå innebär det kraftiga höjningar av fastighetsskatteuttaget för många familjer nästa år. Inte minst gäller det för de familjer som bor i områden som är attraktiva för fr</w:t>
      </w:r>
      <w:r w:rsidRPr="00C9680B">
        <w:t>i</w:t>
      </w:r>
      <w:r w:rsidRPr="00C9680B">
        <w:t>tidsboende. Förutom att förslaget försätter många människor i stora svårigh</w:t>
      </w:r>
      <w:r w:rsidRPr="00C9680B">
        <w:t>e</w:t>
      </w:r>
      <w:r w:rsidRPr="00C9680B">
        <w:t>ter riskerar det att ytterligare avfolka många kust- och skärgårdssamhällen. Samhällets åtgärder bör i stället syfta till att underlätta ett boende i dessa områden.</w:t>
      </w:r>
    </w:p>
    <w:p w:rsidR="001C7BF9" w:rsidRPr="00C9680B" w:rsidRDefault="001C7BF9">
      <w:pPr>
        <w:pStyle w:val="Normaltindrag"/>
      </w:pPr>
      <w:r w:rsidRPr="00C9680B">
        <w:t>Regeringens förslag visar på ett tydligt sätt de svagheter som är förknipp</w:t>
      </w:r>
      <w:r w:rsidRPr="00C9680B">
        <w:t>a</w:t>
      </w:r>
      <w:r w:rsidRPr="00C9680B">
        <w:t>de med dagens taxeringssystem. Enligt utskottets mening måste systemet därför ses över. Inte minst gäller det med tanke på effekterna av de årliga uppräkningarna av taxeringsvärdet. I avvaktan på en sådan översyn bör därför frysningen av taxeringsvärdena förlängas.</w:t>
      </w:r>
    </w:p>
    <w:p w:rsidR="001C7BF9" w:rsidRPr="00C9680B" w:rsidRDefault="001C7BF9">
      <w:pPr>
        <w:pStyle w:val="Normaltindrag"/>
      </w:pPr>
      <w:r w:rsidRPr="00C9680B">
        <w:t>För att mildra effekterna av dagens fastighetsbeskattningen måste utöver en fortsatt frysning av taxeringsvärdena skattesatserna sänkas. I enlighet med förslaget i Centerpartiets partimotion 2000/01:Sk321 bör skattesatsen för fastighetsskatten å</w:t>
      </w:r>
      <w:r w:rsidRPr="00C9680B">
        <w:t>r 2001 sänkas till 1,2 % för småhus och till 1,1 % för b</w:t>
      </w:r>
      <w:r w:rsidRPr="00C9680B">
        <w:t>o</w:t>
      </w:r>
      <w:r w:rsidRPr="00C9680B">
        <w:t>stadshyreshus.</w:t>
      </w:r>
    </w:p>
    <w:p w:rsidR="001C7BF9" w:rsidRPr="00C9680B" w:rsidRDefault="001C7BF9">
      <w:pPr>
        <w:pStyle w:val="Normaltindrag"/>
      </w:pPr>
      <w:r w:rsidRPr="00C9680B">
        <w:t>Med hänvisning till det nu anförda tillstyrker utskottet förslagen i Cente</w:t>
      </w:r>
      <w:r w:rsidRPr="00C9680B">
        <w:t>r</w:t>
      </w:r>
      <w:r w:rsidRPr="00C9680B">
        <w:t>partiets partimotion 2000/01:Sk321 yrkandena 11, 12, 15 och 16. Regeringens förslag avstyrks.</w:t>
      </w:r>
    </w:p>
    <w:p w:rsidR="001C7BF9" w:rsidRPr="00C9680B" w:rsidRDefault="001C7BF9">
      <w:pPr>
        <w:pStyle w:val="Rubrik2"/>
      </w:pPr>
      <w:bookmarkStart w:id="1204" w:name="_Toc497014226"/>
      <w:bookmarkStart w:id="1205" w:name="_Toc498838285"/>
      <w:r w:rsidRPr="00C9680B">
        <w:t>8. Fastighetsbeskattningen år 2001</w:t>
      </w:r>
      <w:bookmarkEnd w:id="1204"/>
      <w:bookmarkEnd w:id="1205"/>
    </w:p>
    <w:p w:rsidR="001C7BF9" w:rsidRPr="00C9680B" w:rsidRDefault="001C7BF9">
      <w:r w:rsidRPr="00C9680B">
        <w:t>Yvonne Ångström (fp) anser att den del av bostadsutskottets yttrande som under rubriken Fastighetsbeskattningen år 2001 börjar med ”Frågor om” och slutar med ”motionsyrkanden avstyrks ” bort ha följande lydelse:</w:t>
      </w:r>
    </w:p>
    <w:p w:rsidR="001C7BF9" w:rsidRPr="00C9680B" w:rsidRDefault="001C7BF9">
      <w:pPr>
        <w:pStyle w:val="Normaltindrag"/>
      </w:pPr>
      <w:r w:rsidRPr="00C9680B">
        <w:t>Det finns i dag ett för alla, med undantag av regeringen och dess stödpart</w:t>
      </w:r>
      <w:r w:rsidRPr="00C9680B">
        <w:t>i</w:t>
      </w:r>
      <w:r w:rsidRPr="00C9680B">
        <w:t>er, uppenbart behov av en ny bostadspolitik. Ett viktigt inslag i en sådan ny bostadspolitik för att lösa dagens bostadsproblem är en reformerad fastighet</w:t>
      </w:r>
      <w:r w:rsidRPr="00C9680B">
        <w:t>s</w:t>
      </w:r>
      <w:r w:rsidRPr="00C9680B">
        <w:t>beskattning. Fastighetsskatten utgör i dag en alltför stor del av många männ</w:t>
      </w:r>
      <w:r w:rsidRPr="00C9680B">
        <w:t>i</w:t>
      </w:r>
      <w:r w:rsidRPr="00C9680B">
        <w:t>skors boendekostnad. De successivt höjda skattesatserna har tydliggjort att skattebeloppen blir olika för likvärdiga bostäder beroende på var de ligger. Skattebeloppen har ökat kraftigt för många sedan de gjort sitt fastighetsfö</w:t>
      </w:r>
      <w:r w:rsidRPr="00C9680B">
        <w:t>r</w:t>
      </w:r>
      <w:r w:rsidRPr="00C9680B">
        <w:t xml:space="preserve">värv. </w:t>
      </w:r>
    </w:p>
    <w:p w:rsidR="001C7BF9" w:rsidRPr="00C9680B" w:rsidRDefault="001C7BF9">
      <w:pPr>
        <w:pStyle w:val="Normaltindrag"/>
      </w:pPr>
      <w:r w:rsidRPr="00C9680B">
        <w:t>Vad som erfordras är en successiv avvecklin</w:t>
      </w:r>
      <w:r w:rsidRPr="00C9680B">
        <w:t>g av dagens fastighetsbeskat</w:t>
      </w:r>
      <w:r w:rsidRPr="00C9680B">
        <w:t>t</w:t>
      </w:r>
      <w:r w:rsidRPr="00C9680B">
        <w:t>ning som bör inledas redan nästa år. På sikt bör i stället en s.k. schabloni</w:t>
      </w:r>
      <w:r w:rsidRPr="00C9680B">
        <w:t>n</w:t>
      </w:r>
      <w:r w:rsidRPr="00C9680B">
        <w:t>täktsbeskattning för egnahem införas i enlighet med förslagen i motionerna från Folkpartiet. Samtidigt måste naturligtvis avdragsrätten för låneräntor behållas. I avvaktan på den nu förordade grundläggande reformeringen av fastighetsbeskattningen bör taxeringsvärdena vara fortsatt frysta och skatt</w:t>
      </w:r>
      <w:r w:rsidRPr="00C9680B">
        <w:t>e</w:t>
      </w:r>
      <w:r w:rsidRPr="00C9680B">
        <w:t>satserna för år 2001 fastställas till 1,2 % för småhus och 0,7 % för flerb</w:t>
      </w:r>
      <w:r w:rsidRPr="00C9680B">
        <w:t>o</w:t>
      </w:r>
      <w:r w:rsidRPr="00C9680B">
        <w:t xml:space="preserve">stadshus. Till skillnad från de </w:t>
      </w:r>
      <w:r w:rsidRPr="00C9680B">
        <w:t>förslag som regeringen lagt fram innebär det nu förordade förslaget att skatten sänks för alla boende och inte bara för vissa. En fortsatt frysning av taxeringsvärdena i kombination med sänkta skattesa</w:t>
      </w:r>
      <w:r w:rsidRPr="00C9680B">
        <w:t>t</w:t>
      </w:r>
      <w:r w:rsidRPr="00C9680B">
        <w:t>ser ger också lättnader för dem som varit värst drabbade av det hittillsvarande systemet, dvs. permanentboende i vissa attraktiva fritidsomr</w:t>
      </w:r>
      <w:r w:rsidRPr="00C9680B">
        <w:t>å</w:t>
      </w:r>
      <w:r w:rsidRPr="00C9680B">
        <w:t>den.</w:t>
      </w:r>
    </w:p>
    <w:p w:rsidR="001C7BF9" w:rsidRPr="00C9680B" w:rsidRDefault="001C7BF9">
      <w:pPr>
        <w:pStyle w:val="Normaltindrag"/>
      </w:pPr>
      <w:r w:rsidRPr="00C9680B">
        <w:t>Utskottet tillstyrker med hänvisning till det nu anförda förslagen i Fol</w:t>
      </w:r>
      <w:r w:rsidRPr="00C9680B">
        <w:t>k</w:t>
      </w:r>
      <w:r w:rsidRPr="00C9680B">
        <w:t>partiets partimotion 2000/01:Sk324 yrkande 13 samt i motionerna 2000/01:</w:t>
      </w:r>
      <w:r w:rsidRPr="00C9680B">
        <w:br/>
        <w:t>Bo235 (fp) yrkande 12 och 2000/01:Sk316 (fp). Regeringens förslag a</w:t>
      </w:r>
      <w:r w:rsidRPr="00C9680B">
        <w:t>v</w:t>
      </w:r>
      <w:r w:rsidRPr="00C9680B">
        <w:t>styrks.</w:t>
      </w:r>
    </w:p>
    <w:p w:rsidR="001C7BF9" w:rsidRPr="00C9680B" w:rsidRDefault="001C7BF9">
      <w:pPr>
        <w:pStyle w:val="Bilaga"/>
      </w:pPr>
    </w:p>
    <w:p w:rsidR="001C7BF9" w:rsidRPr="00C9680B" w:rsidRDefault="001C7BF9">
      <w:pPr>
        <w:pStyle w:val="Bilaga"/>
        <w:sectPr w:rsidR="00000000" w:rsidRPr="00C9680B">
          <w:headerReference w:type="even" r:id="rId177"/>
          <w:headerReference w:type="default" r:id="rId178"/>
          <w:footerReference w:type="even" r:id="rId179"/>
          <w:footerReference w:type="default" r:id="rId180"/>
          <w:headerReference w:type="first" r:id="rId181"/>
          <w:footerReference w:type="first" r:id="rId182"/>
          <w:footnotePr>
            <w:numRestart w:val="eachSect"/>
          </w:footnotePr>
          <w:pgSz w:w="11906" w:h="16838" w:code="9"/>
          <w:pgMar w:top="907" w:right="4649" w:bottom="4508" w:left="1304" w:header="340" w:footer="227" w:gutter="0"/>
          <w:cols w:space="720"/>
          <w:titlePg/>
        </w:sectPr>
      </w:pPr>
    </w:p>
    <w:p w:rsidR="001C7BF9" w:rsidRPr="00C9680B" w:rsidRDefault="001C7BF9">
      <w:pPr>
        <w:pStyle w:val="Bilaga"/>
      </w:pPr>
      <w:r w:rsidRPr="00C9680B">
        <w:t>BILAGA 17</w:t>
      </w:r>
    </w:p>
    <w:p w:rsidR="001C7BF9" w:rsidRPr="00C9680B" w:rsidRDefault="001C7BF9">
      <w:pPr>
        <w:pStyle w:val="Rubrik1"/>
        <w:spacing w:after="0"/>
        <w:rPr>
          <w:noProof w:val="0"/>
        </w:rPr>
      </w:pPr>
      <w:bookmarkStart w:id="1206" w:name="_Toc498838286"/>
      <w:r w:rsidRPr="00C9680B">
        <w:rPr>
          <w:noProof w:val="0"/>
        </w:rPr>
        <w:t>Finansutskottets offentliga utfrågning</w:t>
      </w:r>
      <w:bookmarkEnd w:id="1206"/>
    </w:p>
    <w:p w:rsidR="001C7BF9" w:rsidRPr="00C9680B" w:rsidRDefault="001C7BF9">
      <w:pPr>
        <w:pStyle w:val="R1"/>
      </w:pPr>
      <w:r w:rsidRPr="00C9680B">
        <w:t>om penningpolitiken</w:t>
      </w:r>
    </w:p>
    <w:p w:rsidR="001C7BF9" w:rsidRPr="00C9680B" w:rsidRDefault="001C7BF9">
      <w:pPr>
        <w:pStyle w:val="Deltagare"/>
        <w:keepLines w:val="0"/>
        <w:tabs>
          <w:tab w:val="left" w:pos="567"/>
        </w:tabs>
        <w:spacing w:before="62" w:line="250" w:lineRule="atLeast"/>
        <w:outlineLvl w:val="0"/>
        <w:rPr>
          <w:noProof w:val="0"/>
        </w:rPr>
      </w:pPr>
      <w:r w:rsidRPr="00C9680B">
        <w:rPr>
          <w:noProof w:val="0"/>
        </w:rPr>
        <w:t xml:space="preserve">Tid:   </w:t>
      </w:r>
      <w:r w:rsidRPr="00C9680B">
        <w:rPr>
          <w:noProof w:val="0"/>
        </w:rPr>
        <w:tab/>
        <w:t>Tisdagen den 10 oktober 2000 kl. 09.00–11.45</w:t>
      </w:r>
    </w:p>
    <w:p w:rsidR="001C7BF9" w:rsidRPr="00C9680B" w:rsidRDefault="001C7BF9">
      <w:pPr>
        <w:tabs>
          <w:tab w:val="left" w:pos="567"/>
        </w:tabs>
      </w:pPr>
      <w:r w:rsidRPr="00C9680B">
        <w:t xml:space="preserve">Lokal: </w:t>
      </w:r>
      <w:r w:rsidRPr="00C9680B">
        <w:tab/>
        <w:t xml:space="preserve">Skandiasalen, Neptunus </w:t>
      </w:r>
    </w:p>
    <w:p w:rsidR="001C7BF9" w:rsidRPr="00C9680B" w:rsidRDefault="001C7BF9">
      <w:pPr>
        <w:pStyle w:val="Rubrik2"/>
      </w:pPr>
      <w:bookmarkStart w:id="1207" w:name="_Toc498838287"/>
      <w:r w:rsidRPr="00C9680B">
        <w:t>Inbjuden</w:t>
      </w:r>
      <w:bookmarkEnd w:id="1207"/>
    </w:p>
    <w:p w:rsidR="001C7BF9" w:rsidRPr="00C9680B" w:rsidRDefault="001C7BF9">
      <w:pPr>
        <w:outlineLvl w:val="0"/>
      </w:pPr>
      <w:r w:rsidRPr="00C9680B">
        <w:t>Riksbankschefen Urban Bäckström</w:t>
      </w:r>
    </w:p>
    <w:p w:rsidR="001C7BF9" w:rsidRPr="00C9680B" w:rsidRDefault="001C7BF9">
      <w:pPr>
        <w:pStyle w:val="Rubrik2"/>
      </w:pPr>
      <w:bookmarkStart w:id="1208" w:name="_Toc498838288"/>
      <w:r w:rsidRPr="00C9680B">
        <w:t>Deltagande ledamöter</w:t>
      </w:r>
      <w:bookmarkEnd w:id="1208"/>
    </w:p>
    <w:p w:rsidR="001C7BF9" w:rsidRPr="00C9680B" w:rsidRDefault="001C7BF9">
      <w:pPr>
        <w:outlineLvl w:val="0"/>
        <w:rPr>
          <w:spacing w:val="4"/>
          <w:kern w:val="16"/>
        </w:rPr>
      </w:pPr>
      <w:r w:rsidRPr="00C9680B">
        <w:rPr>
          <w:spacing w:val="4"/>
          <w:kern w:val="16"/>
        </w:rPr>
        <w:t>Jan Bergqvist (s),  ordförande</w:t>
      </w:r>
    </w:p>
    <w:p w:rsidR="001C7BF9" w:rsidRPr="00C9680B" w:rsidRDefault="001C7BF9">
      <w:pPr>
        <w:rPr>
          <w:spacing w:val="4"/>
          <w:kern w:val="16"/>
        </w:rPr>
      </w:pPr>
      <w:r w:rsidRPr="00C9680B">
        <w:rPr>
          <w:spacing w:val="4"/>
          <w:kern w:val="16"/>
        </w:rPr>
        <w:t>Mats Odell (kd),  vice ordförande</w:t>
      </w:r>
    </w:p>
    <w:p w:rsidR="001C7BF9" w:rsidRPr="00C9680B" w:rsidRDefault="001C7BF9">
      <w:pPr>
        <w:rPr>
          <w:spacing w:val="4"/>
          <w:kern w:val="16"/>
        </w:rPr>
      </w:pPr>
      <w:r w:rsidRPr="00C9680B">
        <w:rPr>
          <w:spacing w:val="4"/>
          <w:kern w:val="16"/>
        </w:rPr>
        <w:t xml:space="preserve">Gunnar Hökmark (m) </w:t>
      </w:r>
    </w:p>
    <w:p w:rsidR="001C7BF9" w:rsidRPr="00C9680B" w:rsidRDefault="001C7BF9">
      <w:pPr>
        <w:rPr>
          <w:spacing w:val="4"/>
          <w:kern w:val="16"/>
        </w:rPr>
      </w:pPr>
      <w:r w:rsidRPr="00C9680B">
        <w:rPr>
          <w:spacing w:val="4"/>
          <w:kern w:val="16"/>
        </w:rPr>
        <w:t>Bengt Silfverstrand (s)</w:t>
      </w:r>
    </w:p>
    <w:p w:rsidR="001C7BF9" w:rsidRPr="00C9680B" w:rsidRDefault="001C7BF9">
      <w:pPr>
        <w:rPr>
          <w:spacing w:val="4"/>
          <w:kern w:val="16"/>
        </w:rPr>
      </w:pPr>
      <w:r w:rsidRPr="00C9680B">
        <w:rPr>
          <w:spacing w:val="4"/>
          <w:kern w:val="16"/>
        </w:rPr>
        <w:t>Lisbet Calner (s)</w:t>
      </w:r>
    </w:p>
    <w:p w:rsidR="001C7BF9" w:rsidRPr="00C9680B" w:rsidRDefault="001C7BF9">
      <w:pPr>
        <w:rPr>
          <w:spacing w:val="4"/>
          <w:kern w:val="16"/>
        </w:rPr>
      </w:pPr>
      <w:r w:rsidRPr="00C9680B">
        <w:rPr>
          <w:spacing w:val="4"/>
          <w:kern w:val="16"/>
        </w:rPr>
        <w:t>Johan Lönnroth (v)</w:t>
      </w:r>
    </w:p>
    <w:p w:rsidR="001C7BF9" w:rsidRPr="00C9680B" w:rsidRDefault="001C7BF9">
      <w:pPr>
        <w:rPr>
          <w:spacing w:val="4"/>
          <w:kern w:val="16"/>
        </w:rPr>
      </w:pPr>
      <w:r w:rsidRPr="00C9680B">
        <w:rPr>
          <w:spacing w:val="4"/>
          <w:kern w:val="16"/>
        </w:rPr>
        <w:t>Lennart Hedquist (m)</w:t>
      </w:r>
    </w:p>
    <w:p w:rsidR="001C7BF9" w:rsidRPr="00C9680B" w:rsidRDefault="001C7BF9">
      <w:pPr>
        <w:rPr>
          <w:spacing w:val="4"/>
          <w:kern w:val="16"/>
        </w:rPr>
      </w:pPr>
      <w:r w:rsidRPr="00C9680B">
        <w:rPr>
          <w:spacing w:val="4"/>
          <w:kern w:val="16"/>
        </w:rPr>
        <w:t>Sonia Karlsson (s)</w:t>
      </w:r>
    </w:p>
    <w:p w:rsidR="001C7BF9" w:rsidRPr="00C9680B" w:rsidRDefault="001C7BF9">
      <w:pPr>
        <w:rPr>
          <w:spacing w:val="4"/>
          <w:kern w:val="16"/>
        </w:rPr>
      </w:pPr>
      <w:r w:rsidRPr="00C9680B">
        <w:rPr>
          <w:spacing w:val="4"/>
          <w:kern w:val="16"/>
        </w:rPr>
        <w:t>Carin Lundberg (s)</w:t>
      </w:r>
    </w:p>
    <w:p w:rsidR="001C7BF9" w:rsidRPr="00C9680B" w:rsidRDefault="001C7BF9">
      <w:pPr>
        <w:rPr>
          <w:spacing w:val="4"/>
          <w:kern w:val="16"/>
        </w:rPr>
      </w:pPr>
      <w:r w:rsidRPr="00C9680B">
        <w:rPr>
          <w:spacing w:val="4"/>
          <w:kern w:val="16"/>
        </w:rPr>
        <w:t>Per Landgren (kd)</w:t>
      </w:r>
    </w:p>
    <w:p w:rsidR="001C7BF9" w:rsidRPr="00C9680B" w:rsidRDefault="001C7BF9">
      <w:pPr>
        <w:rPr>
          <w:spacing w:val="4"/>
          <w:kern w:val="16"/>
        </w:rPr>
      </w:pPr>
      <w:r w:rsidRPr="00C9680B">
        <w:rPr>
          <w:spacing w:val="4"/>
          <w:kern w:val="16"/>
        </w:rPr>
        <w:t xml:space="preserve">Yvonne Ruwaida (mp) </w:t>
      </w:r>
    </w:p>
    <w:p w:rsidR="001C7BF9" w:rsidRPr="00C9680B" w:rsidRDefault="001C7BF9">
      <w:pPr>
        <w:rPr>
          <w:spacing w:val="4"/>
          <w:kern w:val="16"/>
        </w:rPr>
      </w:pPr>
      <w:r w:rsidRPr="00C9680B">
        <w:rPr>
          <w:spacing w:val="4"/>
          <w:kern w:val="16"/>
        </w:rPr>
        <w:t xml:space="preserve">Karin Pilsäter (fp) </w:t>
      </w:r>
    </w:p>
    <w:p w:rsidR="001C7BF9" w:rsidRPr="00C9680B" w:rsidRDefault="001C7BF9">
      <w:pPr>
        <w:rPr>
          <w:spacing w:val="4"/>
          <w:kern w:val="16"/>
        </w:rPr>
      </w:pPr>
      <w:r w:rsidRPr="00C9680B">
        <w:rPr>
          <w:spacing w:val="4"/>
          <w:kern w:val="16"/>
        </w:rPr>
        <w:t>Hans Hoff (s)</w:t>
      </w:r>
    </w:p>
    <w:p w:rsidR="001C7BF9" w:rsidRPr="00C9680B" w:rsidRDefault="001C7BF9">
      <w:pPr>
        <w:rPr>
          <w:spacing w:val="4"/>
          <w:kern w:val="16"/>
        </w:rPr>
      </w:pPr>
      <w:r w:rsidRPr="00C9680B">
        <w:rPr>
          <w:spacing w:val="4"/>
          <w:kern w:val="16"/>
        </w:rPr>
        <w:t xml:space="preserve">Agne Hansson (c) </w:t>
      </w:r>
    </w:p>
    <w:p w:rsidR="001C7BF9" w:rsidRPr="00C9680B" w:rsidRDefault="001C7BF9">
      <w:pPr>
        <w:pStyle w:val="R2"/>
      </w:pPr>
      <w:r w:rsidRPr="00C9680B">
        <w:br w:type="page"/>
        <w:t xml:space="preserve">Protokoll från finansutskottets offentliga utfrågning tisdagen den 10 oktober 2000 med riksbankschefen Urban Bäckström </w:t>
      </w:r>
    </w:p>
    <w:p w:rsidR="001C7BF9" w:rsidRPr="00C9680B" w:rsidRDefault="001C7BF9">
      <w:pPr>
        <w:pStyle w:val="Normaltindrag"/>
      </w:pPr>
    </w:p>
    <w:p w:rsidR="001C7BF9" w:rsidRPr="00C9680B" w:rsidRDefault="001C7BF9">
      <w:r w:rsidRPr="00C9680B">
        <w:rPr>
          <w:i/>
        </w:rPr>
        <w:t>Ordföranden:</w:t>
      </w:r>
      <w:r w:rsidRPr="00C9680B">
        <w:t xml:space="preserve"> Jag ber att få hälsa alla hjärtligt välkomna till finansutskottets utfrågning av riksbankschefen. Det är något av ett jubileum i dag, eftersom det är tionde gången som Urban Bäckström medverkar vid en offentlig u</w:t>
      </w:r>
      <w:r w:rsidRPr="00C9680B">
        <w:t>t</w:t>
      </w:r>
      <w:r w:rsidRPr="00C9680B">
        <w:t>frågning i finansutskottet. Jag brukar inte recensera Urban Bäckströms fra</w:t>
      </w:r>
      <w:r w:rsidRPr="00C9680B">
        <w:t>m</w:t>
      </w:r>
      <w:r w:rsidRPr="00C9680B">
        <w:t>trädanden, men jag vill säga att vi alla uppskattar Urban Bäckströms bere</w:t>
      </w:r>
      <w:r w:rsidRPr="00C9680B">
        <w:t>d</w:t>
      </w:r>
      <w:r w:rsidRPr="00C9680B">
        <w:t>villighet att svara på frågor samt hans goda pedagogiska förm</w:t>
      </w:r>
      <w:r w:rsidRPr="00C9680B">
        <w:t>å</w:t>
      </w:r>
      <w:r w:rsidRPr="00C9680B">
        <w:t>ga.</w:t>
      </w:r>
    </w:p>
    <w:p w:rsidR="001C7BF9" w:rsidRPr="00C9680B" w:rsidRDefault="001C7BF9">
      <w:pPr>
        <w:pStyle w:val="Normaltindrag"/>
      </w:pPr>
      <w:r w:rsidRPr="00C9680B">
        <w:t>Därmed ber jag att få överlämna ordet till riksbankschefen. Varsågod!</w:t>
      </w:r>
    </w:p>
    <w:p w:rsidR="001C7BF9" w:rsidRPr="00C9680B" w:rsidRDefault="001C7BF9">
      <w:pPr>
        <w:pStyle w:val="Deltagare"/>
        <w:keepLines w:val="0"/>
        <w:spacing w:before="0" w:line="360" w:lineRule="auto"/>
        <w:rPr>
          <w:noProof w:val="0"/>
        </w:rPr>
      </w:pPr>
    </w:p>
    <w:p w:rsidR="001C7BF9" w:rsidRPr="00C9680B" w:rsidRDefault="001C7BF9">
      <w:r w:rsidRPr="00C9680B">
        <w:rPr>
          <w:i/>
        </w:rPr>
        <w:t>Urban Bäckström:</w:t>
      </w:r>
      <w:r w:rsidRPr="00C9680B">
        <w:t xml:space="preserve"> Tack för det fina och varma välkomnandet. Jag visste inte att det var tionde gången, men det har blivit några gånger med åren. Jag up</w:t>
      </w:r>
      <w:r w:rsidRPr="00C9680B">
        <w:t>p</w:t>
      </w:r>
      <w:r w:rsidRPr="00C9680B">
        <w:t>skattar mycket att få komma hit och diskutera penningpolitiken. Jag tänkte följa samma uppläggning som tidigare, nämligen att jag börjar med en inle</w:t>
      </w:r>
      <w:r w:rsidRPr="00C9680B">
        <w:t>d</w:t>
      </w:r>
      <w:r w:rsidRPr="00C9680B">
        <w:t>ning och sedan står jag till förfogande för att försöka svara på frågor efter bästa förmåga.</w:t>
      </w:r>
    </w:p>
    <w:p w:rsidR="001C7BF9" w:rsidRPr="00C9680B" w:rsidRDefault="001C7BF9">
      <w:pPr>
        <w:spacing w:before="125"/>
      </w:pPr>
      <w:r w:rsidRPr="00C9680B">
        <w:t>Det som slår en när man betraktar svensk ekonomi är att det är en imponera</w:t>
      </w:r>
      <w:r w:rsidRPr="00C9680B">
        <w:t>n</w:t>
      </w:r>
      <w:r w:rsidRPr="00C9680B">
        <w:t>de utveckling som vi ser. Vi har haft en tillväxt på ungefär 3 % sedan vän</w:t>
      </w:r>
      <w:r w:rsidRPr="00C9680B">
        <w:t>d</w:t>
      </w:r>
      <w:r w:rsidRPr="00C9680B">
        <w:t>ningen sommaren 1993 efter den djupa krisen i början på 1990-talet. Sedan dess har ekonomin som sagt vuxit med ungefär 3 % per år i genomsnitt. Nu verkar ekonomin t.o.m. vara inne i en takt på mellan 3 och 4 %. Det är natu</w:t>
      </w:r>
      <w:r w:rsidRPr="00C9680B">
        <w:t>r</w:t>
      </w:r>
      <w:r w:rsidRPr="00C9680B">
        <w:t xml:space="preserve">ligtvis också glädjande att sysselsättningen har tagit fart. Hittills i år har </w:t>
      </w:r>
      <w:r w:rsidRPr="00C9680B">
        <w:br/>
        <w:t>70 000 fler människor fått jobb jämfört med samma period förra året.</w:t>
      </w:r>
    </w:p>
    <w:p w:rsidR="001C7BF9" w:rsidRPr="00C9680B" w:rsidRDefault="001C7BF9">
      <w:pPr>
        <w:pStyle w:val="Normaltindrag"/>
      </w:pPr>
      <w:r w:rsidRPr="00C9680B">
        <w:t>Samtidigt med denna utveckling kan vi konstatera att inflationen</w:t>
      </w:r>
      <w:r w:rsidRPr="00C9680B">
        <w:t xml:space="preserve"> har fö</w:t>
      </w:r>
      <w:r w:rsidRPr="00C9680B">
        <w:t>r</w:t>
      </w:r>
      <w:r w:rsidRPr="00C9680B">
        <w:t>blivit mycket låg. Den här gynnsamma utvecklingen innebär naturligtvis inte att Riksbanken kan luta sig tillbaka. Det finns risker i det fortsatta förloppet. Jag kommer tillbaka till det så småningom. Det kräver naturligtvis en va</w:t>
      </w:r>
      <w:r w:rsidRPr="00C9680B">
        <w:t>k</w:t>
      </w:r>
      <w:r w:rsidRPr="00C9680B">
        <w:t>samhet från vår sida när det gäller räntevapnet.</w:t>
      </w:r>
    </w:p>
    <w:p w:rsidR="001C7BF9" w:rsidRPr="00C9680B" w:rsidRDefault="001C7BF9">
      <w:pPr>
        <w:pStyle w:val="Normaltindrag"/>
      </w:pPr>
      <w:r w:rsidRPr="00C9680B">
        <w:t>Det har gått bra under tidigare decennier, men då har alltid inflationen a</w:t>
      </w:r>
      <w:r w:rsidRPr="00C9680B">
        <w:t>c</w:t>
      </w:r>
      <w:r w:rsidRPr="00C9680B">
        <w:t>celererat. Om man ska försöka förstå varför det går så bra för svensk ekonomi samtidigt som inflationen är låg, tror jag att man i grund och botten måste se till den omorientering av svensk ekonomisk politik som enligt min bedö</w:t>
      </w:r>
      <w:r w:rsidRPr="00C9680B">
        <w:t>m</w:t>
      </w:r>
      <w:r w:rsidRPr="00C9680B">
        <w:t>ning skedde för 10–15 år sedan. Den har sedan fortsatt i olika steg. Jag tror att det började med kredit- och valutaavregleringen. Skattesystemet har förän</w:t>
      </w:r>
      <w:r w:rsidRPr="00C9680B">
        <w:t>d</w:t>
      </w:r>
      <w:r w:rsidRPr="00C9680B">
        <w:t>rats, och även delar av transfereringssystemet har förändrats. Konkurre</w:t>
      </w:r>
      <w:r w:rsidRPr="00C9680B">
        <w:t>n</w:t>
      </w:r>
      <w:r w:rsidRPr="00C9680B">
        <w:t>s</w:t>
      </w:r>
      <w:r w:rsidRPr="00C9680B">
        <w:softHyphen/>
        <w:t>trycket har ökat betydligt i svensk ekonomi. Allt det</w:t>
      </w:r>
      <w:r w:rsidRPr="00C9680B">
        <w:t>ta har förändrat svensk ekonomis sätt att fungera.</w:t>
      </w:r>
    </w:p>
    <w:p w:rsidR="001C7BF9" w:rsidRPr="00C9680B" w:rsidRDefault="001C7BF9">
      <w:pPr>
        <w:pStyle w:val="Normaltindrag"/>
      </w:pPr>
      <w:r w:rsidRPr="00C9680B">
        <w:t>Sedan kan man naturligtvis diskutera om det har skett tillräckligt mycket på olika områden och om det kan ske mer – och det vet jag att utskottets ledamöter har olika åsikter om – men faktum är att någonting har hänt i svensk ekonomi. Till detta kommer betoningen på en stabilitetsinriktad ek</w:t>
      </w:r>
      <w:r w:rsidRPr="00C9680B">
        <w:t>o</w:t>
      </w:r>
      <w:r w:rsidRPr="00C9680B">
        <w:t>nomisk politik med ett lagstadgat prisstabilitetsmål och en framgångsrik sanering av statsfinanserna. Även där kan man konstatera att det säkert finns olika åsikter bland utskottets ledamöter om huruvida man borde ha vidtagit den ena eller den andra åtgärden på inkomstsidan eller på utgiftssidan, men fa</w:t>
      </w:r>
      <w:r w:rsidRPr="00C9680B">
        <w:t>k</w:t>
      </w:r>
      <w:r w:rsidRPr="00C9680B">
        <w:t>tum är att saneringen ändå har blivit framgångsrik i det perspektivet.</w:t>
      </w:r>
    </w:p>
    <w:p w:rsidR="001C7BF9" w:rsidRPr="00C9680B" w:rsidRDefault="001C7BF9">
      <w:pPr>
        <w:pStyle w:val="Normaltindrag"/>
      </w:pPr>
      <w:r w:rsidRPr="00C9680B">
        <w:t>Allt detta har gjort att vi har fått en bättre produktivitetstillväxt i svensk ekonomi. I den rapport som presenteras i dag har vi i Ri</w:t>
      </w:r>
      <w:r w:rsidRPr="00C9680B">
        <w:t>ksbanken också än</w:t>
      </w:r>
      <w:r w:rsidRPr="00C9680B">
        <w:t>d</w:t>
      </w:r>
      <w:r w:rsidRPr="00C9680B">
        <w:t>rat produktivitetsantagandet marginellt. Allt detta är ett tecken på en bättre fungerande ekonomi.</w:t>
      </w:r>
    </w:p>
    <w:p w:rsidR="001C7BF9" w:rsidRPr="00C9680B" w:rsidRDefault="001C7BF9">
      <w:pPr>
        <w:pStyle w:val="Normaltindrag"/>
      </w:pPr>
      <w:r w:rsidRPr="00C9680B">
        <w:t>En ökad produktivitetstillväxt gör det möjligt att producera mer med sa</w:t>
      </w:r>
      <w:r w:rsidRPr="00C9680B">
        <w:t>m</w:t>
      </w:r>
      <w:r w:rsidRPr="00C9680B">
        <w:t>ma mängd resurser. En varaktig ökning av produktivitetstillväxten höjer alltså ekonomins långsiktiga kapacitetsförmåga. Den förbättring av produktiviteten som vi har sett är inte, såvitt vi kan se, enbart ett resultat av den goda ko</w:t>
      </w:r>
      <w:r w:rsidRPr="00C9680B">
        <w:t>n</w:t>
      </w:r>
      <w:r w:rsidRPr="00C9680B">
        <w:t>junkturen, utan det ligger någonting strukturellt i det som har skett.</w:t>
      </w:r>
    </w:p>
    <w:p w:rsidR="001C7BF9" w:rsidRPr="00C9680B" w:rsidRDefault="001C7BF9">
      <w:pPr>
        <w:pStyle w:val="Normaltindrag"/>
      </w:pPr>
      <w:r w:rsidRPr="00C9680B">
        <w:t>Låt mig ta ett exempel. Arbetsproduktiviteten ökade med knappt 1½ % per år i genomsnitt mellan 1974 och 1993. Sedan 1994 ligger motsvarande siffra på uppemot 2 % per år i genomsnitt. Det är alltså en höjning</w:t>
      </w:r>
      <w:r w:rsidRPr="00C9680B">
        <w:t xml:space="preserve"> med en halv procentenhet. Det kanske inte låter så mycket, men i ett långt perspektiv handlar det om väldigt stora resurser.</w:t>
      </w:r>
    </w:p>
    <w:p w:rsidR="001C7BF9" w:rsidRPr="00C9680B" w:rsidRDefault="001C7BF9">
      <w:pPr>
        <w:pStyle w:val="Normaltindrag"/>
      </w:pPr>
      <w:r w:rsidRPr="00C9680B">
        <w:t xml:space="preserve">Efter att jag har sagt detta tycker jag att det är lika viktigt att framhålla att vi inte ser några tydliga tecken på en accelererande produktivitetstillväxt. Vi har haft en höjning av produktivitetstillväxten från en och en halv till två, men vi har inte haft en accelererande tillväxttakt som man har haft i USA – inte ännu i alla fall. En förklaring till skillnaderna mellan USA och </w:t>
      </w:r>
      <w:r w:rsidRPr="00C9680B">
        <w:t>Europa – och då inkluderar jag Sverige i Europa – när det gäller produktivitetsutvecklingen kan naturligtvis hänga samman med att man mäter på lite olika sätt. Men det är inte uteslutet att svensk ekonomi kommer in i en accelererande utveckling av produktivitetstillväxten. Det finns en del tecken, en del indikatorer, på detta. De är mycket preliminära. Jag tycker inte att man ska bygga in det i förväntningar eller policybeslut. Utvecklingen är nog så positiv i alla fall, så man behöver inte inteckna framtid</w:t>
      </w:r>
      <w:r w:rsidRPr="00C9680B">
        <w:t>en på ett överdrivet sätt. Låt oss vänta och se vad som kan hända!</w:t>
      </w:r>
    </w:p>
    <w:p w:rsidR="001C7BF9" w:rsidRPr="00C9680B" w:rsidRDefault="001C7BF9">
      <w:pPr>
        <w:pStyle w:val="Normaltindrag"/>
      </w:pPr>
      <w:r w:rsidRPr="00C9680B">
        <w:t>Ett tillväxtförlopp som drivs av stigande produktivitetstillväxt ger goda cirklar. Man kan säga att detta är en av förklaringarna till att det har gått bra under senare år i svensk ekonomi, men det finns också andra orsaker. Jag ska peka på några till.</w:t>
      </w:r>
    </w:p>
    <w:p w:rsidR="001C7BF9" w:rsidRPr="00C9680B" w:rsidRDefault="001C7BF9">
      <w:pPr>
        <w:pStyle w:val="Normaltindrag"/>
      </w:pPr>
      <w:r w:rsidRPr="00C9680B">
        <w:t>En speciell faktor som har påverkat innevarande år är andra typer av s.k. positiva utbudseffekter. Jag tänker då på olika avregleringar. Det är elmar</w:t>
      </w:r>
      <w:r w:rsidRPr="00C9680B">
        <w:t>k</w:t>
      </w:r>
      <w:r w:rsidRPr="00C9680B">
        <w:t>naden, telemarknaden och EU:s jordbruksreform. Framför allt är det teleo</w:t>
      </w:r>
      <w:r w:rsidRPr="00C9680B">
        <w:t>m</w:t>
      </w:r>
      <w:r w:rsidRPr="00C9680B">
        <w:t>rådet som har gett de här positiva effekterna. Det har gjort att priserna har anpassat sig nedåt. Vi vet alla att samtalsavgifter och allt sådant har sjunkit under året. Det har slagit på inflationstakten i stort. Det har lett till högre reallöneökningar än vad löntagare och arbetsgivare har förväntat sig. På det sättet har det stimulerat efterfrågan. Vi får alltså en situation där priserna går ned och där inflationstakten tillfälligt</w:t>
      </w:r>
      <w:r w:rsidRPr="00C9680B">
        <w:t xml:space="preserve"> går ned. Det stimulerar samtidigt efte</w:t>
      </w:r>
      <w:r w:rsidRPr="00C9680B">
        <w:t>r</w:t>
      </w:r>
      <w:r w:rsidRPr="00C9680B">
        <w:t>frågan så att produktionen höjs. Dessa två går åt var sitt håll.</w:t>
      </w:r>
    </w:p>
    <w:p w:rsidR="001C7BF9" w:rsidRPr="00C9680B" w:rsidRDefault="001C7BF9">
      <w:pPr>
        <w:pStyle w:val="Normaltindrag"/>
      </w:pPr>
      <w:r w:rsidRPr="00C9680B">
        <w:t>Detta är strikt sett engångseffekter, men de kan gradvis slå igenom i ek</w:t>
      </w:r>
      <w:r w:rsidRPr="00C9680B">
        <w:t>o</w:t>
      </w:r>
      <w:r w:rsidRPr="00C9680B">
        <w:t>nomin och därmed ligga kvar och påverka under en längre period så att infl</w:t>
      </w:r>
      <w:r w:rsidRPr="00C9680B">
        <w:t>a</w:t>
      </w:r>
      <w:r w:rsidRPr="00C9680B">
        <w:t>tionen hålls låg under en längre period. Med detta vill jag inte göra några prognoser på just de här effekterna, utan det handlar att se allmänt på den här typen av positiva utbudseffekter.</w:t>
      </w:r>
    </w:p>
    <w:p w:rsidR="001C7BF9" w:rsidRPr="00C9680B" w:rsidRDefault="001C7BF9">
      <w:pPr>
        <w:pStyle w:val="Normaltindrag"/>
      </w:pPr>
      <w:r w:rsidRPr="00C9680B">
        <w:t>En annan faktor som naturligtvis hänger samman med detta är den skärpta konkurrensen. Globaliseringen ger en skärpt konkurrens på många olika områden. Det visar sig i att företagen har svårare att höja priserna. Vinstma</w:t>
      </w:r>
      <w:r w:rsidRPr="00C9680B">
        <w:t>r</w:t>
      </w:r>
      <w:r w:rsidRPr="00C9680B">
        <w:t>ginalerna brukar stiga i den här fasen av konjunkturen, men det har alltså inte skett på samma sätt som tidigare. Det tror jag man kan tillskriva den skärpta konkurrensen. Det kan naturligtvis också bero på att företagen på ett annat sätt än tidigare vet att Riksbanken obönhörligen kommer att höja styrräntan om det kommer försök till att driva upp vinstmarginalerna.</w:t>
      </w:r>
    </w:p>
    <w:p w:rsidR="001C7BF9" w:rsidRPr="00C9680B" w:rsidRDefault="001C7BF9">
      <w:pPr>
        <w:pStyle w:val="Normaltindrag"/>
      </w:pPr>
      <w:r w:rsidRPr="00C9680B">
        <w:t>En annan faktor som har gått i motsatt riktning är de höjda oljepriserna. De är ett tecken på en negativ utbudseffekt. Priserna går upp och te</w:t>
      </w:r>
      <w:r w:rsidRPr="00C9680B">
        <w:t>nderar att driva ned produktionen i ekonomin i stort. Det är inte så lätt att klassificera oljeprisernas effekter. Ett vanligt mönster i konjunkturuppgångar är ju att råvarupriser också stiger överlag, och oljepriserna är ju en del av ett sådant förlopp. Det är både en utbudseffekt och en efterfrågeeffekt.</w:t>
      </w:r>
    </w:p>
    <w:p w:rsidR="001C7BF9" w:rsidRPr="00C9680B" w:rsidRDefault="001C7BF9">
      <w:pPr>
        <w:pStyle w:val="Normaltindrag"/>
      </w:pPr>
      <w:r w:rsidRPr="00C9680B">
        <w:t>Om man tittar på de här effekterna, avregleringarna, konkurrensen och o</w:t>
      </w:r>
      <w:r w:rsidRPr="00C9680B">
        <w:t>l</w:t>
      </w:r>
      <w:r w:rsidRPr="00C9680B">
        <w:t>jepriserna som går i motsatt riktning, visar det sig att de positiva effekterna dominerar. Det gör de inte i alla länder, men i Sverige dominerar de. Vi har alltså fått ett sammantaget positivt bidrag till den ekonomiska utvecklingen både på prisområdet och på efterfrågeområdet.</w:t>
      </w:r>
    </w:p>
    <w:p w:rsidR="001C7BF9" w:rsidRPr="00C9680B" w:rsidRDefault="001C7BF9">
      <w:pPr>
        <w:pStyle w:val="Normaltindrag"/>
      </w:pPr>
      <w:r w:rsidRPr="00C9680B">
        <w:t>Ytterligare en förklaring till den gynnsamma utvecklingen är naturligtvis mängden lediga resurser. Mängden lediga resurser är ett fackuttryck för att det har funnits fler personer som har stått till arbetsmarknadens förfogande än v</w:t>
      </w:r>
      <w:r w:rsidRPr="00C9680B">
        <w:t>ad vi tidigare har bedömt. Det visar sig i att bristsituationerna på arbet</w:t>
      </w:r>
      <w:r w:rsidRPr="00C9680B">
        <w:t>s</w:t>
      </w:r>
      <w:r w:rsidRPr="00C9680B">
        <w:t>marknaden inte har blivit så utbredda, i alla fall inte än så länge, att det har skapat ett pris- och lönetryck av gammalt vanligt snitt.</w:t>
      </w:r>
    </w:p>
    <w:p w:rsidR="001C7BF9" w:rsidRPr="00C9680B" w:rsidRDefault="001C7BF9">
      <w:pPr>
        <w:pStyle w:val="Normaltindrag"/>
      </w:pPr>
      <w:r w:rsidRPr="00C9680B">
        <w:t>Vi har sett att löneökningarna hittills – och jag tänker då på löneglidningen som tidigare normalt slår ut direkt i ett sådant här konjunkturförlopp – har varit måttliga trots att sysselsättningsökningen faktiskt är den största på 40 år. Arbetslösheten har fallit till en nivå som få trodde var möjl</w:t>
      </w:r>
      <w:r w:rsidRPr="00C9680B">
        <w:t>igt efter den djupa krisen vid 1990-talets inledning. Skälet till att man trott och bedömt att det skulle vara svårt för arbetslösheten att komma ned är naturligtvis den europ</w:t>
      </w:r>
      <w:r w:rsidRPr="00C9680B">
        <w:t>e</w:t>
      </w:r>
      <w:r w:rsidRPr="00C9680B">
        <w:t>iska utvecklingen under de senaste 10–20 åren. Där har det visat sig vara svårt att komma tillbaka till lägre arbetslöshetsnivåer efter en störning av det slag som t.ex. vi har gått igenom.</w:t>
      </w:r>
    </w:p>
    <w:p w:rsidR="001C7BF9" w:rsidRPr="00C9680B" w:rsidRDefault="001C7BF9">
      <w:pPr>
        <w:pStyle w:val="Normaltindrag"/>
      </w:pPr>
      <w:r w:rsidRPr="00C9680B">
        <w:t>Det som har hänt är att fler personer har sökt sig ut på arbetsmarknaden. Många som tidigare var heltidsstuderande och alltså inte registrerades i</w:t>
      </w:r>
      <w:r w:rsidRPr="00C9680B">
        <w:t xml:space="preserve"> a</w:t>
      </w:r>
      <w:r w:rsidRPr="00C9680B">
        <w:t>r</w:t>
      </w:r>
      <w:r w:rsidRPr="00C9680B">
        <w:t>betsmarknadsstatistiken har kommit ut på arbetsmarknaden och fått jobb. Dessutom har som vi vet de arbetsmarknadspolitiska åtgärderna dragits ned, och det har gjort att arbetsutbudet har kunnat öka ytterligare.</w:t>
      </w:r>
    </w:p>
    <w:p w:rsidR="001C7BF9" w:rsidRPr="00C9680B" w:rsidRDefault="001C7BF9">
      <w:pPr>
        <w:pStyle w:val="Normaltindrag"/>
      </w:pPr>
      <w:r w:rsidRPr="00C9680B">
        <w:t>Detta är några tecken på att omfattningen av lediga resurser har varit något större än vad vi har trott tidigare. Därför har vi gradvis förändrat vår syn på resursutnyttjandet i ekonomin under senare år, och vi gör det även den här gången.</w:t>
      </w:r>
    </w:p>
    <w:p w:rsidR="001C7BF9" w:rsidRPr="00C9680B" w:rsidRDefault="001C7BF9">
      <w:pPr>
        <w:pStyle w:val="Normaltindrag"/>
      </w:pPr>
      <w:r w:rsidRPr="00C9680B">
        <w:t>Därmed har jag pekat på några olika faktorer som ligger bakom det gyn</w:t>
      </w:r>
      <w:r w:rsidRPr="00C9680B">
        <w:t>n</w:t>
      </w:r>
      <w:r w:rsidRPr="00C9680B">
        <w:t>samma förloppet med god efterfrågetillväxt samt att det har gått att förena med prisstabilitet, i alla fall så här långt. Men det är helt klart att den starka efterfrågan så småningom kommer att leda till bristsituationer på arbetsmar</w:t>
      </w:r>
      <w:r w:rsidRPr="00C9680B">
        <w:t>k</w:t>
      </w:r>
      <w:r w:rsidRPr="00C9680B">
        <w:t>naden. Om sysselsättningen ökar i en takt av ca 70 000 personer per år och den underliggande befolkningstillväxten ger ett bidrag till arbetskraften på någonstans mellan 15 000 och 20 000 personer per år, är det alltså 50 000 fler än vad som långsiktigt är möjligt. Det går na</w:t>
      </w:r>
      <w:r w:rsidRPr="00C9680B">
        <w:t>turligtvis så länge det finns pe</w:t>
      </w:r>
      <w:r w:rsidRPr="00C9680B">
        <w:t>r</w:t>
      </w:r>
      <w:r w:rsidRPr="00C9680B">
        <w:t>soner som är villiga att ta ett jobb, som finns på rätt ställe och som har rätt utbildning. Men när det börjar kärva på den punkten kommer vi att se bristt</w:t>
      </w:r>
      <w:r w:rsidRPr="00C9680B">
        <w:t>a</w:t>
      </w:r>
      <w:r w:rsidRPr="00C9680B">
        <w:t>len stiga successivt. Det är svårt att säga exakt när detta kommer att inträffa, men då om inte förr måste Riksbanken höja reporäntan och strama åt så att vi får en utveckling som ligger mer i linje med den långsiktigt möjliga. Det kan komma tidigare. Det kan komma senare. Det beror alldeles på hur arbet</w:t>
      </w:r>
      <w:r w:rsidRPr="00C9680B">
        <w:t>s</w:t>
      </w:r>
      <w:r w:rsidRPr="00C9680B">
        <w:t xml:space="preserve">marknaden kommer </w:t>
      </w:r>
      <w:r w:rsidRPr="00C9680B">
        <w:t>att fungera.</w:t>
      </w:r>
    </w:p>
    <w:p w:rsidR="001C7BF9" w:rsidRPr="00C9680B" w:rsidRDefault="001C7BF9">
      <w:pPr>
        <w:spacing w:before="125"/>
      </w:pPr>
      <w:r w:rsidRPr="00C9680B">
        <w:t>Den bedömning som vi presenterar i dag i rapporten till utskottet innehåller som vanligt en utsikt över de närmaste 1–2 åren som är den horisont vi jobbar med. I stora drag kan man säga att bilden är densamma som den vi present</w:t>
      </w:r>
      <w:r w:rsidRPr="00C9680B">
        <w:t>e</w:t>
      </w:r>
      <w:r w:rsidRPr="00C9680B">
        <w:t>rade i den förra prognosen. Jag tänker då på den som kom i juni. Vi har n</w:t>
      </w:r>
      <w:r w:rsidRPr="00C9680B">
        <w:t>a</w:t>
      </w:r>
      <w:r w:rsidRPr="00C9680B">
        <w:t>turligtvis kommit några månader längre i konjunkturuppgången, men i det huvudscenario som vi skissar är det inte alltför oroande inflationstendenser.</w:t>
      </w:r>
    </w:p>
    <w:p w:rsidR="001C7BF9" w:rsidRPr="00C9680B" w:rsidRDefault="001C7BF9">
      <w:pPr>
        <w:pStyle w:val="Normaltindrag"/>
      </w:pPr>
      <w:r w:rsidRPr="00C9680B">
        <w:t>Det är också samtidigt viktigt att påpeka att det finns ett antal tydligt ide</w:t>
      </w:r>
      <w:r w:rsidRPr="00C9680B">
        <w:t>n</w:t>
      </w:r>
      <w:r w:rsidRPr="00C9680B">
        <w:t>tifierbara risker i förloppet som vi måste vara uppmärksamma på. Vi utformar som vanligt penningpolitiken efter det underliggande måttet som vi något kryptiskt kallar för UND1X, dvs. KPI minus ränteeffekterna och de indirekta skatterna. I vårt huvudscenario bedömer vi att det måttet, med en oförändrad reporänta, kommer att leda till en inflation på 1 ½ % på ett års sikt och 1,9 % på två års sikt, för att vara exakt. Sedan vet utskottets ledamöter att vi också tittar på olika risker i systemet. När man beak</w:t>
      </w:r>
      <w:r w:rsidRPr="00C9680B">
        <w:t>tar de olika möjliga utvec</w:t>
      </w:r>
      <w:r w:rsidRPr="00C9680B">
        <w:t>k</w:t>
      </w:r>
      <w:r w:rsidRPr="00C9680B">
        <w:t>lingsvägarna kommer vi något högre i vår inflationsbedömning – 1,6 % r</w:t>
      </w:r>
      <w:r w:rsidRPr="00C9680B">
        <w:t>e</w:t>
      </w:r>
      <w:r w:rsidRPr="00C9680B">
        <w:t>spektive 2,1 % på ett respektive två års sikt.</w:t>
      </w:r>
    </w:p>
    <w:p w:rsidR="001C7BF9" w:rsidRPr="00C9680B" w:rsidRDefault="001C7BF9">
      <w:pPr>
        <w:pStyle w:val="Normaltindrag"/>
      </w:pPr>
      <w:r w:rsidRPr="00C9680B">
        <w:t>Den här bedömningen av inflationsutvecklingen bygger på en fortsatt stark internationell konjunkturbild. För Sveriges del räknar vi med att BNP stiger med 4 % i år, 3,7 % nästa år och 3 % år 2002. Det är alltså en fortsatt tillväxt under de närmaste 1–2 åren på mellan 3–4 %. Vi har inte ändrat prognosen för inflationen speciellt mycket. Den är i allt väsentligt den</w:t>
      </w:r>
      <w:r w:rsidRPr="00C9680B">
        <w:t>samma som i tidigare bedömningar.</w:t>
      </w:r>
    </w:p>
    <w:p w:rsidR="001C7BF9" w:rsidRPr="00C9680B" w:rsidRDefault="001C7BF9">
      <w:pPr>
        <w:pStyle w:val="Normaltindrag"/>
      </w:pPr>
      <w:r w:rsidRPr="00C9680B">
        <w:t>Det som naturligtvis spelar en roll och har förändrats lite grann är att olj</w:t>
      </w:r>
      <w:r w:rsidRPr="00C9680B">
        <w:t>e</w:t>
      </w:r>
      <w:r w:rsidRPr="00C9680B">
        <w:t>priset förväntas röra sig i en bana som ligger något högre än tidigare. Des</w:t>
      </w:r>
      <w:r w:rsidRPr="00C9680B">
        <w:t>s</w:t>
      </w:r>
      <w:r w:rsidRPr="00C9680B">
        <w:t>utom har vi sett att den starka dollarn har dragit med sig kronans kurs. Det måste naturligtvis också beaktas i en samlad bedömning.</w:t>
      </w:r>
    </w:p>
    <w:p w:rsidR="001C7BF9" w:rsidRPr="00C9680B" w:rsidRDefault="001C7BF9">
      <w:pPr>
        <w:pStyle w:val="Normaltindrag"/>
      </w:pPr>
      <w:r w:rsidRPr="00C9680B">
        <w:t>Huvudscenariot ser alltså ganska ljust ut. Osäkerheten är betydande, har jag skrivit i mina anteckningar inför föredragningen. Det handlar om oljepr</w:t>
      </w:r>
      <w:r w:rsidRPr="00C9680B">
        <w:t>i</w:t>
      </w:r>
      <w:r w:rsidRPr="00C9680B">
        <w:t>set. Vi vet inte riktigt hur det kommer att utveckla sig. Vi gör en del alternat</w:t>
      </w:r>
      <w:r w:rsidRPr="00C9680B">
        <w:t>i</w:t>
      </w:r>
      <w:r w:rsidRPr="00C9680B">
        <w:t>va beräkningar i inflationsrapporten. Det är naturligtvis dollarns utveckling som spelar en roll. Men det kanske allra viktigaste är naturligtvis lönebil</w:t>
      </w:r>
      <w:r w:rsidRPr="00C9680B">
        <w:t>d</w:t>
      </w:r>
      <w:r w:rsidRPr="00C9680B">
        <w:t>ningen, och nu drar ju en stor avtalsrörelse i gång här under hösten. Vi har gjort våra bedömningar, och andra har gjort sina bedömningar. På något sätt går vi mot någon slags sanningens minut i lönebildningshänseende. Vi får se om det verkligen är så att våra hypoteser är ri</w:t>
      </w:r>
      <w:r w:rsidRPr="00C9680B">
        <w:t>ktiga om att arbetsmarknaden fungerar bra också vid den här typen av lägre arbetslöshetsnivåer jämfört med för några år sedan när avtalsrörelsen bedrevs förra gången.</w:t>
      </w:r>
    </w:p>
    <w:p w:rsidR="001C7BF9" w:rsidRPr="00C9680B" w:rsidRDefault="001C7BF9">
      <w:pPr>
        <w:pStyle w:val="Normaltindrag"/>
      </w:pPr>
      <w:r w:rsidRPr="00C9680B">
        <w:t>Vi tror att det här kommer att fungera, och vi tror att det beror på att det finns ett grundläggande förtroende för den regim som vi från Riksbankens sida hanterar det dagliga arbetet kring, men kanske framför allt den regim som den ekonomiska politiken i stort med lagstiftning, sunda statsfinanser och allt annat bygger under. Vi tror att dett</w:t>
      </w:r>
      <w:r w:rsidRPr="00C9680B">
        <w:t>a kommer att ha en betydelse när man nu närmar sig förhandlingarnas slutskeden.</w:t>
      </w:r>
    </w:p>
    <w:p w:rsidR="001C7BF9" w:rsidRPr="00C9680B" w:rsidRDefault="001C7BF9">
      <w:pPr>
        <w:pStyle w:val="Normaltindrag"/>
      </w:pPr>
      <w:r w:rsidRPr="00C9680B">
        <w:t>Beslutet att nu lämna reporäntan oförändrad under, som vi säger, ännu en tid ska ses mot bakgrund av den bedömning av inflationen som vi gör och att inflationen under nästan hela horisonten som vi brukar överblicka ligger under 2 %. Den kommer upp över 2 % i slutet om man också väger in riskbi</w:t>
      </w:r>
      <w:r w:rsidRPr="00C9680B">
        <w:t>l</w:t>
      </w:r>
      <w:r w:rsidRPr="00C9680B">
        <w:t>den. Bilden av den här starka konjunkturuppgången i svensk ekonomi kva</w:t>
      </w:r>
      <w:r w:rsidRPr="00C9680B">
        <w:t>r</w:t>
      </w:r>
      <w:r w:rsidRPr="00C9680B">
        <w:t>står. Ett stigande resursutnyttjande bl.a. på arbetsmarknaden kommer, som jag sade tidigare, att leda till ett potentiellt tryck. Det talar för att reporäntan kan komma att behöva höjas framöver.</w:t>
      </w:r>
    </w:p>
    <w:p w:rsidR="001C7BF9" w:rsidRPr="00C9680B" w:rsidRDefault="001C7BF9">
      <w:pPr>
        <w:pStyle w:val="Normaltindrag"/>
      </w:pPr>
      <w:r w:rsidRPr="00C9680B">
        <w:t>Jag stannar där, herr ordförande.</w:t>
      </w:r>
    </w:p>
    <w:p w:rsidR="001C7BF9" w:rsidRPr="00C9680B" w:rsidRDefault="001C7BF9"/>
    <w:p w:rsidR="001C7BF9" w:rsidRPr="00C9680B" w:rsidRDefault="001C7BF9">
      <w:pPr>
        <w:outlineLvl w:val="0"/>
      </w:pPr>
      <w:r w:rsidRPr="00C9680B">
        <w:rPr>
          <w:i/>
        </w:rPr>
        <w:t>Ordföranden:</w:t>
      </w:r>
      <w:r w:rsidRPr="00C9680B">
        <w:t xml:space="preserve"> Vi tackar Urban Bäckström för inledningen.</w:t>
      </w:r>
    </w:p>
    <w:p w:rsidR="001C7BF9" w:rsidRPr="00C9680B" w:rsidRDefault="001C7BF9"/>
    <w:p w:rsidR="001C7BF9" w:rsidRPr="00C9680B" w:rsidRDefault="001C7BF9">
      <w:r w:rsidRPr="00C9680B">
        <w:rPr>
          <w:i/>
        </w:rPr>
        <w:t>Sonia Karlsson (s):</w:t>
      </w:r>
      <w:r w:rsidRPr="00C9680B">
        <w:t xml:space="preserve"> Herr ordförande! Riksbankschefen och jag har ju flera gånger tidigare diskuterat frågan om öppenhet och insyn. Vid utfrågningen den 6 oktober sade Urban Bäckström att man t.o.m. kan titta in genom Rik</w:t>
      </w:r>
      <w:r w:rsidRPr="00C9680B">
        <w:t>s</w:t>
      </w:r>
      <w:r w:rsidRPr="00C9680B">
        <w:t xml:space="preserve">bankens slutna dörrar för att se vad som pågår. Jag håller med om att det har skett en utveckling mot allt större öppenhet. Men jag skulle ändå vilja fråga om de gränser för öppenheten som fortfarande finns. På vilka områden anser riksbankschefen att det råder en fullständig öppenhet? På vilka områden tycker </w:t>
      </w:r>
      <w:r w:rsidRPr="00C9680B">
        <w:t>riksbankschefen att det fortfarande måste finnas gränser för öppenh</w:t>
      </w:r>
      <w:r w:rsidRPr="00C9680B">
        <w:t>e</w:t>
      </w:r>
      <w:r w:rsidRPr="00C9680B">
        <w:t>ten?</w:t>
      </w:r>
    </w:p>
    <w:p w:rsidR="001C7BF9" w:rsidRPr="00C9680B" w:rsidRDefault="001C7BF9">
      <w:pPr>
        <w:pStyle w:val="Normaltindrag"/>
      </w:pPr>
      <w:r w:rsidRPr="00C9680B">
        <w:t>Låt mig illustrera med några exempel. Hur är det med försäljningen av guld? Här finns ett avtal mellan de 15 EU-ländernas centralbanker från se</w:t>
      </w:r>
      <w:r w:rsidRPr="00C9680B">
        <w:t>p</w:t>
      </w:r>
      <w:r w:rsidRPr="00C9680B">
        <w:t>tember 1999. I princip ska man inte sälja guld, men det finns en möjlighet för dessa 15 banker att på vissa villkor få sälja upp till 400 ton guld om året. Vilken offentlighet ger de 15 avtalsslutande centralbankerna åt de här avt</w:t>
      </w:r>
      <w:r w:rsidRPr="00C9680B">
        <w:t>a</w:t>
      </w:r>
      <w:r w:rsidRPr="00C9680B">
        <w:t>len? Har Riksbanken varit pådrivande för öppenhet i det sammanhanget?</w:t>
      </w:r>
    </w:p>
    <w:p w:rsidR="001C7BF9" w:rsidRPr="00C9680B" w:rsidRDefault="001C7BF9">
      <w:pPr>
        <w:pStyle w:val="Normaltindrag"/>
      </w:pPr>
      <w:r w:rsidRPr="00C9680B">
        <w:t>Jag har ett annat exempel. Om jag har förstått saken rätt offentliggör eller kommenterar inte Riksbanken interventioner på valutamarknaden. Det gäller t.ex. stödköp av kronan. Vad hindrar att Riksbanken öppnare</w:t>
      </w:r>
      <w:r w:rsidRPr="00C9680B">
        <w:t xml:space="preserve"> än i dag uttalar sig om det?</w:t>
      </w:r>
    </w:p>
    <w:p w:rsidR="001C7BF9" w:rsidRPr="00C9680B" w:rsidRDefault="001C7BF9">
      <w:pPr>
        <w:pStyle w:val="Normaltindrag"/>
      </w:pPr>
      <w:r w:rsidRPr="00C9680B">
        <w:t>Till sist. Vi talade för ett år sedan också om BIS. Min fråga är om rik</w:t>
      </w:r>
      <w:r w:rsidRPr="00C9680B">
        <w:t>s</w:t>
      </w:r>
      <w:r w:rsidRPr="00C9680B">
        <w:t>bankschefen under det år som gått har lyckats föra in något av svensk öppe</w:t>
      </w:r>
      <w:r w:rsidRPr="00C9680B">
        <w:t>n</w:t>
      </w:r>
      <w:r w:rsidRPr="00C9680B">
        <w:t>het i Baselbankens slutna rum.</w:t>
      </w:r>
    </w:p>
    <w:p w:rsidR="001C7BF9" w:rsidRPr="00C9680B" w:rsidRDefault="001C7BF9">
      <w:pPr>
        <w:pStyle w:val="Deltagare"/>
        <w:keepLines w:val="0"/>
        <w:spacing w:before="0" w:line="360" w:lineRule="auto"/>
        <w:rPr>
          <w:noProof w:val="0"/>
        </w:rPr>
      </w:pPr>
    </w:p>
    <w:p w:rsidR="001C7BF9" w:rsidRPr="00C9680B" w:rsidRDefault="001C7BF9">
      <w:r w:rsidRPr="00C9680B">
        <w:rPr>
          <w:i/>
        </w:rPr>
        <w:t>Urban Bäckström:</w:t>
      </w:r>
      <w:r w:rsidRPr="00C9680B">
        <w:t xml:space="preserve"> Jag är mycket tacksam för att Sonia Karlsson vid varje tillfälle – jag vet inte om det är tio gånger, men det är många gånger – driver på det här med öppenhet. Jag ska gärna säga att det har varit ett gott stöd. Det är en god svensk tradition att arbeta för öppenhet på många olika områden.</w:t>
      </w:r>
    </w:p>
    <w:p w:rsidR="001C7BF9" w:rsidRPr="00C9680B" w:rsidRDefault="001C7BF9">
      <w:pPr>
        <w:pStyle w:val="Normaltindrag"/>
      </w:pPr>
      <w:r w:rsidRPr="00C9680B">
        <w:t>Samtliga exempel som Sonia Karlsson tar upp här handlar om våra förhå</w:t>
      </w:r>
      <w:r w:rsidRPr="00C9680B">
        <w:t>l</w:t>
      </w:r>
      <w:r w:rsidRPr="00C9680B">
        <w:t>landen med andra länder. Vi är en av de allra mest öppna centralbankerna i världen, men vi är inte ledande. Bank of England är också öppen i många avseenden, och det finns andra centralbanker som också är öppna. Men alla centralbanker är inte lika öppna. Det beror inte på att de har någon speciell kultur i sig, utan det beror naturligtvis på att de är sprungna ur en kultur i det landet där man inte har samma öppenhet. Därför redovisar inte alla centra</w:t>
      </w:r>
      <w:r w:rsidRPr="00C9680B">
        <w:t>l</w:t>
      </w:r>
      <w:r w:rsidRPr="00C9680B">
        <w:t>banker olika förhållanden på samma sätt som vi gör. Det</w:t>
      </w:r>
      <w:r w:rsidRPr="00C9680B">
        <w:t xml:space="preserve"> gör att vi i vårt umgänge med dem måste iaktta en försiktighet med uppgifter som rör våra gemensa</w:t>
      </w:r>
      <w:r w:rsidRPr="00C9680B">
        <w:t>m</w:t>
      </w:r>
      <w:r w:rsidRPr="00C9680B">
        <w:t>ma förhållanden.</w:t>
      </w:r>
    </w:p>
    <w:p w:rsidR="001C7BF9" w:rsidRPr="00C9680B" w:rsidRDefault="001C7BF9">
      <w:pPr>
        <w:pStyle w:val="Normaltindrag"/>
      </w:pPr>
      <w:r w:rsidRPr="00C9680B">
        <w:t>När det gäller försäljningen av guld agerade vi i vår egenskap av G 10-land och ställde upp på det gemensamma avtalet därför att guldpriset helt enkelt höll på att kollapsa. Guld förlorar ju sin roll när man har en så pass låg infl</w:t>
      </w:r>
      <w:r w:rsidRPr="00C9680B">
        <w:t>a</w:t>
      </w:r>
      <w:r w:rsidRPr="00C9680B">
        <w:t>tion. Det är i orostider när inflationen tenderar att stiga som guld blir attra</w:t>
      </w:r>
      <w:r w:rsidRPr="00C9680B">
        <w:t>k</w:t>
      </w:r>
      <w:r w:rsidRPr="00C9680B">
        <w:t>tivt. Så har det varit historiskt sett i alla fall. I det här fallet handlade det om att försöka skapa en större tydlighet och klarhet för marknaden när det gäller hur försäljningarna av guld kommer att gå till. Men observera att det handlade om de försäljningar som redan då var annonserade. Det höll på att utbryta något slags kaos på marknaden därför att centralbankerna håller en så stor del av guldet i vär</w:t>
      </w:r>
      <w:r w:rsidRPr="00C9680B">
        <w:t>l</w:t>
      </w:r>
      <w:r w:rsidRPr="00C9680B">
        <w:t>den.</w:t>
      </w:r>
    </w:p>
    <w:p w:rsidR="001C7BF9" w:rsidRPr="00C9680B" w:rsidRDefault="001C7BF9">
      <w:pPr>
        <w:pStyle w:val="Normaltindrag"/>
      </w:pPr>
      <w:r w:rsidRPr="00C9680B">
        <w:t>Jag vet inte v</w:t>
      </w:r>
      <w:r w:rsidRPr="00C9680B">
        <w:t>ad det är för ytterligare information som kunde tillföras där, men jag är öppen för konkreta frågor om det är någonting som vi faktiskt kan offentliggöra som inte innebär att vi röjer andra centralbankers förhållanden som inte är lika öppna. Här handlar det ju om Sveriges umgänge i stort med andra länder. Om vi röjde deras förhållanden skulle vi riskera att andra länder inte ville prata med oss. Men samtidigt kan vi arbeta för större öppenhet.</w:t>
      </w:r>
    </w:p>
    <w:p w:rsidR="001C7BF9" w:rsidRPr="00C9680B" w:rsidRDefault="001C7BF9">
      <w:pPr>
        <w:pStyle w:val="Normaltindrag"/>
      </w:pPr>
      <w:r w:rsidRPr="00C9680B">
        <w:t>När det gäller interventionen sade vi att vi inte kommenterar de</w:t>
      </w:r>
      <w:r w:rsidRPr="00C9680B">
        <w:t>n interve</w:t>
      </w:r>
      <w:r w:rsidRPr="00C9680B">
        <w:t>n</w:t>
      </w:r>
      <w:r w:rsidRPr="00C9680B">
        <w:t>tion som G 7-länderna gjorde för att stödja euron. Vi var inte med i den inte</w:t>
      </w:r>
      <w:r w:rsidRPr="00C9680B">
        <w:t>r</w:t>
      </w:r>
      <w:r w:rsidRPr="00C9680B">
        <w:t>ventionen. Vi kommenterade den inte av hänsyn till de andra. När vi gjorde en intervention på den svenska marknaden – jag vill minnas att det senast var hösten 1998 vid ett tillfälle – kommenterade vi den och berättade vad vi hade gjort. Vi berättade dock inte hur mycket vi hade gjort. Det har att göra med att få största möjliga effekt av en intervention.</w:t>
      </w:r>
    </w:p>
    <w:p w:rsidR="001C7BF9" w:rsidRPr="00C9680B" w:rsidRDefault="001C7BF9">
      <w:pPr>
        <w:pStyle w:val="Normaltindrag"/>
      </w:pPr>
      <w:r w:rsidRPr="00C9680B">
        <w:t>I BIS flyter all den här kulturen samman på något sätt. Men jag ty</w:t>
      </w:r>
      <w:r w:rsidRPr="00C9680B">
        <w:t>cker att BIS är så pass öppen som man bör och kan vara. Jag och andra styrelseled</w:t>
      </w:r>
      <w:r w:rsidRPr="00C9680B">
        <w:t>a</w:t>
      </w:r>
      <w:r w:rsidRPr="00C9680B">
        <w:t>möter verkade t.ex. för en hög grad av öppenhet när det gäller guldfrågan. Jag fick förfrågningar här i Sverige av de journalister som granskade Riksbankens hantering av guldfrågan under andra världskriget om BIS skulle kunna öppna sitt arkiv för detta, och det gjordes så småningom. Det berättas om vad som sker på mötena där också via särskilda pressbriefingar osv.</w:t>
      </w:r>
    </w:p>
    <w:p w:rsidR="001C7BF9" w:rsidRPr="00C9680B" w:rsidRDefault="001C7BF9">
      <w:pPr>
        <w:pStyle w:val="Deltagare"/>
        <w:keepLines w:val="0"/>
        <w:spacing w:before="0" w:line="360" w:lineRule="auto"/>
        <w:rPr>
          <w:noProof w:val="0"/>
        </w:rPr>
      </w:pPr>
    </w:p>
    <w:p w:rsidR="001C7BF9" w:rsidRPr="00C9680B" w:rsidRDefault="001C7BF9">
      <w:r w:rsidRPr="00C9680B">
        <w:rPr>
          <w:i/>
        </w:rPr>
        <w:t>Sonia Karlsson (s):</w:t>
      </w:r>
      <w:r w:rsidRPr="00C9680B">
        <w:t xml:space="preserve"> När det gäller det här sista om BIS var det mer med u</w:t>
      </w:r>
      <w:r w:rsidRPr="00C9680B">
        <w:t>t</w:t>
      </w:r>
      <w:r w:rsidRPr="00C9680B">
        <w:t>gångspunkt i förra årets diskussion där riksbankschefen sade att just i BIS kunde man inte gå ut med information i efterhand eftersom det inte skulle bli några konstruktiva diskussioner då. Riksbankschefen sade också redan då att öppenhet är en process och att man inte har kommit så långt i andra länder som i Sverige. Jag tycker att det är positivt om Riksbanken driver på den här processen i BIS.</w:t>
      </w:r>
    </w:p>
    <w:p w:rsidR="001C7BF9" w:rsidRPr="00C9680B" w:rsidRDefault="001C7BF9">
      <w:pPr>
        <w:pStyle w:val="Normaltindrag"/>
      </w:pPr>
      <w:r w:rsidRPr="00C9680B">
        <w:t>Riksbankschefen sade att detta mest handlar om vårt förhå</w:t>
      </w:r>
      <w:r w:rsidRPr="00C9680B">
        <w:t>llande med an</w:t>
      </w:r>
      <w:r w:rsidRPr="00C9680B">
        <w:t>d</w:t>
      </w:r>
      <w:r w:rsidRPr="00C9680B">
        <w:t>ra länder. Jag tycker att man ser att det finns många fördelar med den svenska öppenheten, bl.a. när det gäller EU. Därför är det bra att vi pläderar för den.</w:t>
      </w:r>
    </w:p>
    <w:p w:rsidR="001C7BF9" w:rsidRPr="00C9680B" w:rsidRDefault="001C7BF9">
      <w:pPr>
        <w:pStyle w:val="Normaltindrag"/>
      </w:pPr>
      <w:r w:rsidRPr="00C9680B">
        <w:t xml:space="preserve">Men om vi tittar på det som gäller Riksbanken och Sverige vill jag ta upp systemet med de öppna protokollen och röstsiffrorna som nu har varit i kraft en längre tid. Jag undrar hur riksbankschefen tycker att detta har utfallit. När det gäller de här särskilda protokollen har publiceringstiden sjunkit en hel del från en tidseftersläpning </w:t>
      </w:r>
      <w:r w:rsidRPr="00C9680B">
        <w:t>på 30–40 arbetsdagar till hittills i år i genomsnitt 13 dagar. Då kan man fråga sig vad det är som gör att 13 arbetsdagar är lagom nu. Vilka bedömningar ligger bakom de här olika tidsintervallerna? Jag har tittat på de olika protokollen.</w:t>
      </w:r>
    </w:p>
    <w:p w:rsidR="001C7BF9" w:rsidRPr="00C9680B" w:rsidRDefault="001C7BF9">
      <w:pPr>
        <w:pStyle w:val="Deltagare"/>
        <w:keepLines w:val="0"/>
        <w:spacing w:before="0" w:line="360" w:lineRule="auto"/>
        <w:rPr>
          <w:noProof w:val="0"/>
        </w:rPr>
      </w:pPr>
    </w:p>
    <w:p w:rsidR="001C7BF9" w:rsidRPr="00C9680B" w:rsidRDefault="001C7BF9">
      <w:r w:rsidRPr="00C9680B">
        <w:rPr>
          <w:i/>
        </w:rPr>
        <w:t>Urban Bäckström:</w:t>
      </w:r>
      <w:r w:rsidRPr="00C9680B">
        <w:t xml:space="preserve"> Det är riktigt att tiden för protokollens publicering har sjunkit. Det är medvetet. Vi hade som arbetshypotes runt 14 dagar när vi startade, men vi visste inte om vi kunde leva upp till detta. Därför började vi med en längre period, och sedan har vi arbetat oss nedåt. Nu brukar 14 dagar fungera oftast, om det inte kommer helgdagar emellan.</w:t>
      </w:r>
    </w:p>
    <w:p w:rsidR="001C7BF9" w:rsidRPr="00C9680B" w:rsidRDefault="001C7BF9">
      <w:pPr>
        <w:pStyle w:val="Normaltindrag"/>
      </w:pPr>
      <w:r w:rsidRPr="00C9680B">
        <w:t>Det är helt enkelt en produktionsprocess. Det är jobbigt för medarbetare att få ned en diskussion på ett papper. Det är en miniinflationsrapport som ska skrivas varje gå</w:t>
      </w:r>
      <w:r w:rsidRPr="00C9680B">
        <w:t>ng. Det är kanske inte den allra svåraste delen att teckna ned vad som inträffade. Sedan inträffar ju nästa steg, nämligen att bilden hos sex personer i direktionen ska vara densamma. Man ska komma överens om att detta var det som sades. Då måste naturligtvis protokollen justeras. Det är en liten process att få ihop sex personer och kunna göra det. Det är möjligt att vi kommer snabbare fram i framtiden, men det är ingenting som jag vågar lova på det här stadiet. Jag tycker att 14 dagar fungerar alldeles utm</w:t>
      </w:r>
      <w:r w:rsidRPr="00C9680B">
        <w:t>ärkt. Jag för min del är väldigt nöjd med det.</w:t>
      </w:r>
    </w:p>
    <w:p w:rsidR="001C7BF9" w:rsidRPr="00C9680B" w:rsidRDefault="001C7BF9">
      <w:pPr>
        <w:pStyle w:val="Normaltindrag"/>
      </w:pPr>
      <w:r w:rsidRPr="00C9680B">
        <w:t>Sedan kan man gå tillbaka till vad Sonia Karlsson egentligen frågar om, nämligen var gränsen för öppenhet går. Jag tror nog att vi inte kommer att få se TV-sända sammanträden med Riksbankens direktion under min tid i ba</w:t>
      </w:r>
      <w:r w:rsidRPr="00C9680B">
        <w:t>n</w:t>
      </w:r>
      <w:r w:rsidRPr="00C9680B">
        <w:t>ken. Någonstans där går gränsen.</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Sonia Karlsson (s): </w:t>
      </w:r>
      <w:r w:rsidRPr="00C9680B">
        <w:t>Efter att ha läst alla protokoll tycker jag ändå att det ku</w:t>
      </w:r>
      <w:r w:rsidRPr="00C9680B">
        <w:t>n</w:t>
      </w:r>
      <w:r w:rsidRPr="00C9680B">
        <w:t>de vara väldigt intressant att TV-sända sammanträdena. Det är ju en intressant diskussion som man kan läsa i protokollen. Men gäller detta verkligen bara produktionsprocessen? Man ser att det 1999 i genomsnitt tog 29 arbetsdagar, och att det nu, i januari–september, har tagit 13. Har det då inget med inn</w:t>
      </w:r>
      <w:r w:rsidRPr="00C9680B">
        <w:t>e</w:t>
      </w:r>
      <w:r w:rsidRPr="00C9680B">
        <w:t>hållet i protokollen att göra? Är det bara en produktionsfråga?</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Urban Bäckström: </w:t>
      </w:r>
      <w:r w:rsidRPr="00C9680B">
        <w:t>Inte vad jag har upplevt hittills i alla fall. Jag kan inte se att det är några svåra sekretesskäl eller någonting som förhindrar vår ver</w:t>
      </w:r>
      <w:r w:rsidRPr="00C9680B">
        <w:t>k</w:t>
      </w:r>
      <w:r w:rsidRPr="00C9680B">
        <w:t>samhet som gör att man inte skulle kunna korta ned eller t.ex. halvera tiden, utan det är nog mer produktionstekniska skäl. Men det kan komma situationer – jag kan inte utesluta det och inte riktigt överblicka det heller – där det ka</w:t>
      </w:r>
      <w:r w:rsidRPr="00C9680B">
        <w:t>n</w:t>
      </w:r>
      <w:r w:rsidRPr="00C9680B">
        <w:t>ske behöver förflyta ett litet tag innan man publicerar protokollen. Skulle man då regelmässigt ha en publicering på kanske en vecka och sed</w:t>
      </w:r>
      <w:r w:rsidRPr="00C9680B">
        <w:t>an fördröja det skulle alla förstå att någonting hade inträffat. Jag tycker att vi nu ska låta oss nöja med två veckor. Det finns ingen centralbank som gör det snabbare än så. Vi är alltså ledande på det området, men vår ambition kan ju vara högre ställd än så i alla fall. Låt oss nu ha 14 dagar, och sedan ser vi över tiden om det går att korta ned det. Det finns ingen anledning att hålla det hemligt av något annat skäl.</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Gunnar Hökmark (m): </w:t>
      </w:r>
      <w:r w:rsidRPr="00C9680B">
        <w:t xml:space="preserve">Jag tänkte be riksbankschefen utveckla frågorna om de uppåtrisker som finns beskrivna i rapporten. Det är rätt mycket av en 1990-talsreformagenda som riksbankschefen förklarar den lugna utvecklingen nu med, med avregleringar av olika slag och den växande konkurrensen. En intressant sak vore att få ett litet förtydligande kring vad det är som nu leder till att en del av de bedömningar som gjordes i våras när det gäller utbud av arbetskraft och växande arbetskraftsbrist ändå har förändrats till det positiva. </w:t>
      </w:r>
      <w:r w:rsidRPr="00C9680B">
        <w:t>Vad är det för faktorer i ekonomin som man där särskilt kan peka på?</w:t>
      </w:r>
    </w:p>
    <w:p w:rsidR="001C7BF9" w:rsidRPr="00C9680B" w:rsidRDefault="001C7BF9">
      <w:pPr>
        <w:pStyle w:val="Normaltindrag"/>
      </w:pPr>
      <w:r w:rsidRPr="00C9680B">
        <w:t>Och vad är det för flaskhalsar som vi nu ser träda fram och som blir vikt</w:t>
      </w:r>
      <w:r w:rsidRPr="00C9680B">
        <w:t>i</w:t>
      </w:r>
      <w:r w:rsidRPr="00C9680B">
        <w:t>gare och viktigare? I den förra inflationsrapporten pekade Riksbanken på att det fanns ett par områden där detta var mer tydligt. Där hade vi mindre vä</w:t>
      </w:r>
      <w:r w:rsidRPr="00C9680B">
        <w:t>x</w:t>
      </w:r>
      <w:r w:rsidRPr="00C9680B">
        <w:t>ande produktivitet och där var det också mindre av konkurrens och avregl</w:t>
      </w:r>
      <w:r w:rsidRPr="00C9680B">
        <w:t>e</w:t>
      </w:r>
      <w:r w:rsidRPr="00C9680B">
        <w:t>ringar. Jag skulle vilja att riksbankschefen utvecklar hur man ser på situati</w:t>
      </w:r>
      <w:r w:rsidRPr="00C9680B">
        <w:t>o</w:t>
      </w:r>
      <w:r w:rsidRPr="00C9680B">
        <w:t>nen framöver när det gäller just framväxande flaskhalsar, inte minst i det perspektiv som Urban Bäckström själv var inne på när det gäller skillnaden mellan USA – den amerikanska ekonomin – och vår egen. Vi s</w:t>
      </w:r>
      <w:r w:rsidRPr="00C9680B">
        <w:t>er alltså inte någon snabbt växande produktivitet även om vi har kommit upp på en högre produktivitetsnivå. Var hittar vi de flaskhalsar som, om vi tar bort dem, kan leda till att vi får en motsvarande utveckling som i den amerikanska ekon</w:t>
      </w:r>
      <w:r w:rsidRPr="00C9680B">
        <w:t>o</w:t>
      </w:r>
      <w:r w:rsidRPr="00C9680B">
        <w:t>min?</w:t>
      </w:r>
    </w:p>
    <w:p w:rsidR="001C7BF9" w:rsidRPr="00C9680B" w:rsidRDefault="001C7BF9">
      <w:pPr>
        <w:pStyle w:val="Normaltindrag"/>
      </w:pPr>
      <w:r w:rsidRPr="00C9680B">
        <w:t>Den andra delen av uppåtriskerna som jag tycker det kunde vara intressant att höra någonting om är synen på växelkursen gentemot andra valutor. Man tar upp relationen till dollarn, men det förs inget egentligt resonemang om relationen till euron, annat än att man för</w:t>
      </w:r>
      <w:r w:rsidRPr="00C9680B">
        <w:t>väntar sig ligga stabilt. Men det kan ju t.ex. vara så att vi får en stigande euro – vi kanske inte är vana att tala om det fenomenet sedan det senaste halvåret eller året, men likväl finns det rätt mycket som talar för det. Hur påverkar detta – jag definierar det helt enkelt på det viset – de svenska uppåtriskerna?</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Urban Bäckström:  </w:t>
      </w:r>
      <w:r w:rsidRPr="00C9680B">
        <w:t>Om jag börjar med riskerna i vår bedömning så nämnde jag i min inledning oljepriset och kronans utveckling. Om man gör en mek</w:t>
      </w:r>
      <w:r w:rsidRPr="00C9680B">
        <w:t>a</w:t>
      </w:r>
      <w:r w:rsidRPr="00C9680B">
        <w:t>nisk beräkning – beräkningar är alltid beräkningar, men en känslighetskalkyl – kan man generellt säga att om oljepriset ligger kvar på nivån runt 30 dollar och inte sjunker till vad vi har räknat med successivt, 24–25 dollar, under den kommande ett- till tvåårsperioden, så blir inflationen en halv procentenhet högre mot slutet av perioden än vad vi har räknat med. På samma sätt är de</w:t>
      </w:r>
      <w:r w:rsidRPr="00C9680B">
        <w:t>t så att om dollarn är fortsatt stark, och därmed kronan, som mer följer euron, så blir det dollarn som rätt mycket bestämmer vår effektiva växelkurs. Om kronan ligger kvar på den här nivån, och dollarn därmed är fortsatt stark, så kommer inflationen med den här typen av mekaniska beräkningar på samma sätt att bli nästan en halv procentenhet högre mot slutet av perioden.</w:t>
      </w:r>
    </w:p>
    <w:p w:rsidR="001C7BF9" w:rsidRPr="00C9680B" w:rsidRDefault="001C7BF9">
      <w:pPr>
        <w:pStyle w:val="Normaltindrag"/>
      </w:pPr>
      <w:r w:rsidRPr="00C9680B">
        <w:t>Här talar vi om en ett- till tvåårsperiod. Vi tycker att det mesta ändå talar för att oljepriset sjunker tillbaka när nu OPEC:s åtgärder o</w:t>
      </w:r>
      <w:r w:rsidRPr="00C9680B">
        <w:t>ch olika andra typer av åtgärder också får effekt. När läget normaliseras på valutamarknaderna rör sig kronan återigen mot sin långsiktiga jämviktsväxelkurs. Med de bedö</w:t>
      </w:r>
      <w:r w:rsidRPr="00C9680B">
        <w:t>m</w:t>
      </w:r>
      <w:r w:rsidRPr="00C9680B">
        <w:t>ningarna hamnar vi då i huvudscenariot. Sedan kan man lägga in lite sann</w:t>
      </w:r>
      <w:r w:rsidRPr="00C9680B">
        <w:t>o</w:t>
      </w:r>
      <w:r w:rsidRPr="00C9680B">
        <w:t>likheter för att det inte blir fullt lika bra, och det är det som vi har gjort i ris</w:t>
      </w:r>
      <w:r w:rsidRPr="00C9680B">
        <w:t>k</w:t>
      </w:r>
      <w:r w:rsidRPr="00C9680B">
        <w:t>beräkningarna. Då får vi den riskjusterade prognosen, som ligger några tio</w:t>
      </w:r>
      <w:r w:rsidRPr="00C9680B">
        <w:t>n</w:t>
      </w:r>
      <w:r w:rsidRPr="00C9680B">
        <w:t>delar högre än de 1,9 som jag redovisade tidigare.</w:t>
      </w:r>
    </w:p>
    <w:p w:rsidR="001C7BF9" w:rsidRPr="00C9680B" w:rsidRDefault="001C7BF9">
      <w:pPr>
        <w:pStyle w:val="Normaltindrag"/>
      </w:pPr>
      <w:r w:rsidRPr="00C9680B">
        <w:t>Man ska komma ihåg att oljan egentligen bara ger en engång</w:t>
      </w:r>
      <w:r w:rsidRPr="00C9680B">
        <w:t>seffekt på prisnivåerna. Oljepriset stiger från en nivå till en annan nivå. Sedan kommer det in i svenska konsumentpriser, och höjer prisnivån. Under en period blir då inflationstakten temporärt högre. Det lägger sig ju så småningom när det gäller effekten på inflationen, om det inte slår in på inflationsförväntningarna. Då föds det in i hela inflationsprocessen via lönebildningen osv., och det är det som man måste förhindra.</w:t>
      </w:r>
    </w:p>
    <w:p w:rsidR="001C7BF9" w:rsidRPr="00C9680B" w:rsidRDefault="001C7BF9">
      <w:pPr>
        <w:pStyle w:val="Normaltindrag"/>
      </w:pPr>
      <w:r w:rsidRPr="00C9680B">
        <w:t>När det gäller kronan har detta två effekter. Den ena är en direkt import</w:t>
      </w:r>
      <w:r w:rsidRPr="00C9680B">
        <w:softHyphen/>
        <w:t>pris</w:t>
      </w:r>
      <w:r w:rsidRPr="00C9680B">
        <w:softHyphen/>
        <w:t>effekt. Det är ungefär samma effekt som oljan har. Men detta slår också via en stimulerande effekt på exporten och därmed på den varaktiga infl</w:t>
      </w:r>
      <w:r w:rsidRPr="00C9680B">
        <w:t>a</w:t>
      </w:r>
      <w:r w:rsidRPr="00C9680B">
        <w:t>tionsprocessen. Men den kanske viktigaste risksituationen, eller riskfaktorn, här är lönebildningen. Vi har inte prövat lönebildningen i den här nya situ</w:t>
      </w:r>
      <w:r w:rsidRPr="00C9680B">
        <w:t>a</w:t>
      </w:r>
      <w:r w:rsidRPr="00C9680B">
        <w:t>tionen, med en mer ansträngd arbetsmarknad än vad vi har haft tidigare. Dä</w:t>
      </w:r>
      <w:r w:rsidRPr="00C9680B">
        <w:t>r</w:t>
      </w:r>
      <w:r w:rsidRPr="00C9680B">
        <w:t>för blir det en mycket viktig faktor. Lönekostnaderna är ju den helt domin</w:t>
      </w:r>
      <w:r w:rsidRPr="00C9680B">
        <w:t>e</w:t>
      </w:r>
      <w:r w:rsidRPr="00C9680B">
        <w:t>rande kostnaden i ekonomin totalt sett. Därför är detta he</w:t>
      </w:r>
      <w:r w:rsidRPr="00C9680B">
        <w:t>lt avgörande för hur lön</w:t>
      </w:r>
      <w:r w:rsidRPr="00C9680B">
        <w:t>e</w:t>
      </w:r>
      <w:r w:rsidRPr="00C9680B">
        <w:t>bildningen går.</w:t>
      </w:r>
    </w:p>
    <w:p w:rsidR="001C7BF9" w:rsidRPr="00C9680B" w:rsidRDefault="001C7BF9">
      <w:pPr>
        <w:pStyle w:val="Normaltindrag"/>
      </w:pPr>
      <w:r w:rsidRPr="00C9680B">
        <w:t xml:space="preserve">Be mig inte att kommentera de bud som har lagts nyligen, men vad vi ändå måste konstatera är att </w:t>
      </w:r>
      <w:r w:rsidRPr="00C9680B">
        <w:rPr>
          <w:i/>
        </w:rPr>
        <w:t>allt</w:t>
      </w:r>
      <w:r w:rsidRPr="00C9680B">
        <w:t xml:space="preserve"> måste inkluderas i det utrymme som avgörs av den långsiktiga produktivitetsutvecklingen och inflationsmålets nivå. I klartext innebär det att löneökningar över intervallet 3 ½–4 % kommer att leda till arbetslöshet. Där måste allt inkluderas, vare sig vi pratar om löneglidning, arbetstidsförkortning eller vad det än är. Det måste in i det utrymmet. Om inte produktiviteten blir högre leder detta till högre arbetslöshet.</w:t>
      </w:r>
    </w:p>
    <w:p w:rsidR="001C7BF9" w:rsidRPr="00C9680B" w:rsidRDefault="001C7BF9">
      <w:pPr>
        <w:spacing w:before="125"/>
      </w:pPr>
      <w:r w:rsidRPr="00C9680B">
        <w:t>Nästa punkt som Gunnar Hökmark tog upp gäller produktivitetsutvecklingen. Låt mig ill</w:t>
      </w:r>
      <w:r w:rsidRPr="00C9680B">
        <w:t xml:space="preserve">ustrera vad som har hänt i svensk ekonomi på det området med den bild som jag nu visar. Den ser kanske lite krånglig ut, men det är helt enkelt så att när det gäller arbetsproduktivitetens utveckling – och märk väl att det är nivåerna, och inte förändringstakten år från år som vi pratar om – kan man genom att titta på kurvans lutning se om förändringstakten ökar eller minskar. Den blå linjen är summan av de andra två. Det är ett sätt att dekomponera, eller dela upp, arbetsproduktiviteten i två komponenter. </w:t>
      </w:r>
      <w:r w:rsidRPr="00C9680B">
        <w:t>Den ena kompone</w:t>
      </w:r>
      <w:r w:rsidRPr="00C9680B">
        <w:t>n</w:t>
      </w:r>
      <w:r w:rsidRPr="00C9680B">
        <w:t>ten handlar om faktorproduktiviteten. Ett annat uttryck för det är att säga att det är tekniken som spelar roll för hur den lutar. Det gäller teknikens impl</w:t>
      </w:r>
      <w:r w:rsidRPr="00C9680B">
        <w:t>e</w:t>
      </w:r>
      <w:r w:rsidRPr="00C9680B">
        <w:t>mentering i produktionen, dvs. vad man kan producera med givet antal resu</w:t>
      </w:r>
      <w:r w:rsidRPr="00C9680B">
        <w:t>r</w:t>
      </w:r>
      <w:r w:rsidRPr="00C9680B">
        <w:t>ser där arbetskraft och kapital ökar på ungefär samma sätt. Låt mig betona att detta är en starkt förenklad bild av verkligheten, men siffrorna är hämtade från det verkliga livet. Den andra handlar om relationen mellan kapital och arbete. Man kan alltså öka arbetsp</w:t>
      </w:r>
      <w:r w:rsidRPr="00C9680B">
        <w:t>roduktiviteten genom att ta in mer maskiner i produktionen, så att man får mer maskiner per anställd. De här två komp</w:t>
      </w:r>
      <w:r w:rsidRPr="00C9680B">
        <w:t>o</w:t>
      </w:r>
      <w:r w:rsidRPr="00C9680B">
        <w:t>nenterna är en källa till produktivitetsökning.</w:t>
      </w:r>
    </w:p>
    <w:p w:rsidR="001C7BF9" w:rsidRPr="00C9680B" w:rsidRDefault="001C7BF9">
      <w:pPr>
        <w:pStyle w:val="Normaltindrag"/>
      </w:pPr>
      <w:r w:rsidRPr="00C9680B">
        <w:t>Det intressanta är att det i Sverige tidigare under 1900-talet mycket ofta har handlat om en ökning av den gröna linjen. Vi har alltså rationaliserat bort arbetskraft genom att introducera maskiner och teknik. 1960-talet är ett sådant exempel. Det är mycket sällan som denna faktorproduktivitet har rört sig, men det har naturligtvis hänt i vissa</w:t>
      </w:r>
      <w:r w:rsidRPr="00C9680B">
        <w:t xml:space="preserve"> skeden. Det som är intressant är att se hur den ligger helt konstant under slutet av 1980-talet, men sedan börjar röra sig uppåt. Det är klart att det hänger samman med att svensk ekonomi fungerar bättre, men det hänger naturligtvis också samman med den nya tekniken. Vad vi ännu inte har sett är en kapitalfördjupningsprocess, dvs. en process där man använder mer kapital i produktionen än arbetskraft. Den gröna linjen ligger ganska konstant där. Men det är säkert någonting som kommer i takt med att det blir</w:t>
      </w:r>
      <w:r w:rsidRPr="00C9680B">
        <w:t xml:space="preserve"> mer och mer svårt att få tag på arbetskraft. Då investerar man i mer maskiner. Observera att detta kan handla om både tjänste- och varuprodu</w:t>
      </w:r>
      <w:r w:rsidRPr="00C9680B">
        <w:t>k</w:t>
      </w:r>
      <w:r w:rsidRPr="00C9680B">
        <w:t>tion. Jag tycker att det är ett mycket gott tecken att det är faktorproduktivit</w:t>
      </w:r>
      <w:r w:rsidRPr="00C9680B">
        <w:t>e</w:t>
      </w:r>
      <w:r w:rsidRPr="00C9680B">
        <w:t>ten som ökar. Tekniken kommer in här på ett annat sätt över lag och gynnar användningen av alla produktionsfaktorer.</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Gunnar Hökmark (m): </w:t>
      </w:r>
      <w:r w:rsidRPr="00C9680B">
        <w:t>Herr ordförande! Det finns en sak som jag bara skulle vilja få förtydligad i detta. När det gäller den växande produktiviteten som vi ser här, dels faktorproduktiviteten men också i övrigt – i vilken omfattning berör den alla de olika delarna av ekonomin? Vi kan ju se mycket tydligt att det finns stor genomslagskraft för detta i de delar av ekonomin som har nära beröringskontakt med IT-företagandet och, enkelt uttryckt, den nya ekon</w:t>
      </w:r>
      <w:r w:rsidRPr="00C9680B">
        <w:t>o</w:t>
      </w:r>
      <w:r w:rsidRPr="00C9680B">
        <w:t>min. Men vi har ju också en stor del traditionell ekonomi, både offentlig s</w:t>
      </w:r>
      <w:r w:rsidRPr="00C9680B">
        <w:t>ektor och även en traditionell tillverkningsindustri. Hur pass mycket förän</w:t>
      </w:r>
      <w:r w:rsidRPr="00C9680B">
        <w:t>d</w:t>
      </w:r>
      <w:r w:rsidRPr="00C9680B">
        <w:t>ras faktorerna där?</w:t>
      </w:r>
    </w:p>
    <w:p w:rsidR="001C7BF9" w:rsidRPr="00C9680B" w:rsidRDefault="001C7BF9">
      <w:pPr>
        <w:pStyle w:val="Normaltindrag"/>
      </w:pPr>
      <w:r w:rsidRPr="00C9680B">
        <w:t>Eftersom arbetstidsfrågan kom upp skulle jag också vilja nämna en sak. Självfallet påverkar kostnaderna för den inflation och prisutveckling, men detta gäller också i termer av utbud och arbetskraftsbrist. Hur ser det mönstret ut? Riksbanken har nu sedan i våras gjort en förändring när det gäller både synen på utbudet och bristen på arbetskraft. Hur slår de olika modeller av arbetstidsförkortning som nu diskutera</w:t>
      </w:r>
      <w:r w:rsidRPr="00C9680B">
        <w:t>s just i sammanhanget när det gäller att hantera flaskhalsar och att kunna skapa en ökad produktivitetsutveckling?</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Urban Bäckström: </w:t>
      </w:r>
      <w:r w:rsidRPr="00C9680B">
        <w:t>Den bild som jag visade avsåg hela näringslivet. Det är alltså hela den svenska ekonomin som inte är offentlig sektor, dvs. lite drygt två tredjedelar av svensk ekonomi. Det är lite svårt att dekomponera och titta precis på i vilken sektor, på väldigt disaggregerad nivå, detta händer. Statist</w:t>
      </w:r>
      <w:r w:rsidRPr="00C9680B">
        <w:t>i</w:t>
      </w:r>
      <w:r w:rsidRPr="00C9680B">
        <w:t>ken är helt enkelt inte så tillförlitlig. Det är svårt. Vi har publicerat detta tid</w:t>
      </w:r>
      <w:r w:rsidRPr="00C9680B">
        <w:t>i</w:t>
      </w:r>
      <w:r w:rsidRPr="00C9680B">
        <w:t>gare, och jag tror att vi i rapporten har ett diagram som jag hör här att mina medarbetare försöker ta fram. Vi har dekomponerat det h</w:t>
      </w:r>
      <w:r w:rsidRPr="00C9680B">
        <w:t>ela på varor och tjänster, och det är möjligt att det är det som är på väg fram här nu. Vi har ingen bild här, men det är i alla fall ofta varuproduktionen som ger mer pr</w:t>
      </w:r>
      <w:r w:rsidRPr="00C9680B">
        <w:t>o</w:t>
      </w:r>
      <w:r w:rsidRPr="00C9680B">
        <w:t>duktivitet än tjänsteproduktionen i statistiken. Sedan är det väldigt svårt att mäta produktivitet i tjänstese</w:t>
      </w:r>
      <w:r w:rsidRPr="00C9680B">
        <w:t>k</w:t>
      </w:r>
      <w:r w:rsidRPr="00C9680B">
        <w:t>torn traditionellt sett.</w:t>
      </w:r>
    </w:p>
    <w:p w:rsidR="001C7BF9" w:rsidRPr="00C9680B" w:rsidRDefault="001C7BF9">
      <w:pPr>
        <w:pStyle w:val="Normaltindrag"/>
      </w:pPr>
      <w:r w:rsidRPr="00C9680B">
        <w:t>Låt oss titta på arbetsmarknaden och på bristsituationen där. Detta är taget ur Konjunkturinstitutets barometrar. Man frågar alltså företag hur de ser på tillgången på arbetskraft och på andra faktorer. De</w:t>
      </w:r>
      <w:r w:rsidRPr="00C9680B">
        <w:t>tta är ett mått på bristen på arbetskraft. Här ser vi det hela i ett långt perspektiv. Någon generell brist i tillverkningsindustrin går inte att spåra i dag. Såvitt jag förstår är detta julib</w:t>
      </w:r>
      <w:r w:rsidRPr="00C9680B">
        <w:t>a</w:t>
      </w:r>
      <w:r w:rsidRPr="00C9680B">
        <w:t>rometern. Nu kommer det en ny om ett tag. Det hela är på väg uppåt. Rik</w:t>
      </w:r>
      <w:r w:rsidRPr="00C9680B">
        <w:t>t</w:t>
      </w:r>
      <w:r w:rsidRPr="00C9680B">
        <w:t>ningen är ganska klar, men det är inte den generella bristen som vi har sett. När det gäller byggsidan ser vi att man i perioder när det byggs mycket brukar ha en ganska stor brist på byggnadsarbetare. Den är helt klart på väg upp, men detta är in</w:t>
      </w:r>
      <w:r w:rsidRPr="00C9680B">
        <w:t>te en stor del av ekonomin i dag. Därför kanske inte detta är en så stor källa till oro som det hade varit om bristen hade varit utbredd. Men det här kommer att stiga och gå upp, och vi måste vara uppmärksamma på det.</w:t>
      </w:r>
    </w:p>
    <w:p w:rsidR="001C7BF9" w:rsidRPr="00C9680B" w:rsidRDefault="001C7BF9">
      <w:pPr>
        <w:pStyle w:val="Normaltindrag"/>
      </w:pPr>
      <w:r w:rsidRPr="00C9680B">
        <w:t>När det gäller utbudet på arbetskraft i största allmänhet kan man säga att det finns en prognos i ekonomiska sammanhang som man kan göra med ganska god säkerhet. Det är en prognos för arbetskraftsdeltagande eller, rätt</w:t>
      </w:r>
      <w:r w:rsidRPr="00C9680B">
        <w:t>a</w:t>
      </w:r>
      <w:r w:rsidRPr="00C9680B">
        <w:t>re sagt, befolkningstillväxt i olika åldrar när man tittar framåt. Där vet vi att deltagandet eller befolkningstillväxten kommer att gå ned när vi kommer några år till in på 2000-talet. Vi kommer ned till kanske en tiondels bidrag till BNP under varje år, medan vi nu mer långsiktigt har en halv procents bidrag. Därför kommer vi att få en oförmånlig sammansättning på befolkningsstru</w:t>
      </w:r>
      <w:r w:rsidRPr="00C9680B">
        <w:t>k</w:t>
      </w:r>
      <w:r w:rsidRPr="00C9680B">
        <w:t>turen. Jag ska inte ha några synpunkter på hur människor väljer att ta ut sta</w:t>
      </w:r>
      <w:r w:rsidRPr="00C9680B">
        <w:t>n</w:t>
      </w:r>
      <w:r w:rsidRPr="00C9680B">
        <w:t>dardökningen – om man gör det i form av ökade re</w:t>
      </w:r>
      <w:r w:rsidRPr="00C9680B">
        <w:t>allöner eller om man gör det i form av arbetstidsförkortning. Men det råder ingen tvekan om att det är en kostnad att förkorta arbetstiden – en kostnad som måste rymmas i produ</w:t>
      </w:r>
      <w:r w:rsidRPr="00C9680B">
        <w:t>k</w:t>
      </w:r>
      <w:r w:rsidRPr="00C9680B">
        <w:t>tivitetsutrymmet. Sedan får man naturligtvis lägga in olika aspekter så att det inte uppstår obalanser i offentlig sektor. Är det så att det är färre som jobbar och bidrar till skatteintäkterna så kan ju de offentliga finanserna bli ansträn</w:t>
      </w:r>
      <w:r w:rsidRPr="00C9680B">
        <w:t>g</w:t>
      </w:r>
      <w:r w:rsidRPr="00C9680B">
        <w:t>da av det skälet. Det är naturligtvis någonting som man får titta på när man diskuterar arbets</w:t>
      </w:r>
      <w:r w:rsidRPr="00C9680B">
        <w:t>tidsförkortning. Jobbar vi mindre så påverkar det naturligtvis skatteintäkterna.</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Gunnar Hökmark (m): </w:t>
      </w:r>
      <w:r w:rsidRPr="00C9680B">
        <w:t>Herr ordförande! Jag har en reflexion. Det är lite konstigt ibland när det gäller statistiken. Vi har väldigt mycket statistik kring varu- och tjänsteproduktionen och tillverkningsindustrin, men vi har däremot mindre kring de helt vitala och viktiga delarna i det framväxande kunskap</w:t>
      </w:r>
      <w:r w:rsidRPr="00C9680B">
        <w:t>s</w:t>
      </w:r>
      <w:r w:rsidRPr="00C9680B">
        <w:t>samhället. Det gäller både utbildning och sjukvård. Där har vi ju också min</w:t>
      </w:r>
      <w:r w:rsidRPr="00C9680B">
        <w:t>d</w:t>
      </w:r>
      <w:r w:rsidRPr="00C9680B">
        <w:t>re av konkurrens och mångfald. För att se möjligheter att öppna flaskhalsar både på arbetskraftssidan och andra sidor är det viktigt att vi i fortsättni</w:t>
      </w:r>
      <w:r w:rsidRPr="00C9680B">
        <w:t>ngen gör det lite lättare att sätta fokus på vad det är som leder till att man kan få en ökad produktivitet på det här området. Det är ju faktiskt en mycket stor del av ekonomin, förutom att det är en viktig del av vår välfärd.</w:t>
      </w:r>
    </w:p>
    <w:p w:rsidR="001C7BF9" w:rsidRPr="00C9680B" w:rsidRDefault="001C7BF9"/>
    <w:p w:rsidR="001C7BF9" w:rsidRPr="00C9680B" w:rsidRDefault="001C7BF9">
      <w:r w:rsidRPr="00C9680B">
        <w:rPr>
          <w:i/>
        </w:rPr>
        <w:t xml:space="preserve">Urban Bäckström: </w:t>
      </w:r>
      <w:r w:rsidRPr="00C9680B">
        <w:t xml:space="preserve">Det här med statistik </w:t>
      </w:r>
      <w:r w:rsidRPr="00C9680B">
        <w:rPr>
          <w:i/>
        </w:rPr>
        <w:t>är</w:t>
      </w:r>
      <w:r w:rsidRPr="00C9680B">
        <w:t xml:space="preserve"> besvärligt. Jag brukar något skämtsamt säga att det är konstigt att vi i Sverige alltid får våra BNP-siffror långt efter det att USA har presenterat sina. Det kan möjligen bero på att vi är ett så stort land att vi har svårt att få fram siffrorna i Sverige, medan det lilla landet USA är mycket enklare att greppa. Nu vet jag att den nye generald</w:t>
      </w:r>
      <w:r w:rsidRPr="00C9680B">
        <w:t>i</w:t>
      </w:r>
      <w:r w:rsidRPr="00C9680B">
        <w:t>rektören på SCB tar tag i den här frågan och verkligen försöker förbättra statistikproduktionen på just det här området, som naturligtvis är</w:t>
      </w:r>
      <w:r w:rsidRPr="00C9680B">
        <w:t xml:space="preserve"> ett beky</w:t>
      </w:r>
      <w:r w:rsidRPr="00C9680B">
        <w:t>m</w:t>
      </w:r>
      <w:r w:rsidRPr="00C9680B">
        <w:t>mer för oss när det dröjer ett kvartal innan vi får BNP-siffrorna. Det är ett exempel på att det är svårt och arbetsamt, och ibland kostsamt, att mäta ek</w:t>
      </w:r>
      <w:r w:rsidRPr="00C9680B">
        <w:t>o</w:t>
      </w:r>
      <w:r w:rsidRPr="00C9680B">
        <w:t>nomins utveckling på olika o</w:t>
      </w:r>
      <w:r w:rsidRPr="00C9680B">
        <w:t>m</w:t>
      </w:r>
      <w:r w:rsidRPr="00C9680B">
        <w:t>råden.</w:t>
      </w:r>
    </w:p>
    <w:p w:rsidR="001C7BF9" w:rsidRPr="00C9680B" w:rsidRDefault="001C7BF9">
      <w:pPr>
        <w:pStyle w:val="Normaltindrag"/>
      </w:pPr>
      <w:r w:rsidRPr="00C9680B">
        <w:t>Jag visade aldrig den amerikanska utvecklingen här, men jag borde ha gjort det, och jag visar den nu. Detta är alltså årlig procentuell förändring mätt på kvartal av produktivitet. Det är den blå kurvan som vi ska koncentrera oss på. Vi ser här hur det liksom drar i väg under de senaste åren. Det är alltså en a</w:t>
      </w:r>
      <w:r w:rsidRPr="00C9680B">
        <w:t>cceleration av tillväxttakten. Det är ingenting som hindrar att detta kommer till Europa och till Sverige – det har säkert också gjort det i betydande grad. Vi har en del indikatorer på att produktiviteten accelererar även i Sverige. Jag ska gärna visa dem för utskottet. De finns inte med i rapporten, och jag vill anbefalla en hög grad av försiktighet när det gäller att tolka dem eftersom det hela är på ett väldigt tidigt stadium. Om vi tittar på den blå kurvan visar den den faktiska produktivitetsutvecklin</w:t>
      </w:r>
      <w:r w:rsidRPr="00C9680B">
        <w:t>gen mellan kvartalen. Det är alltså inte årsvis förändring, utan det gäller mellan kvartalen. Därför ser kurvan ut som ett EKG. Den röda är en indikator på produktivitetsutvecklingen som vi helt enkelt har tagit från KI:s barometrar. Man frågar då företagen hur de ser på produktionsutvecklingen framöver och tillbaka. Dessutom frågar man hur de ser på sysselsättningsutvecklingen. Kombinerar man de här två så får man ett produktivitetsmått som företagen anger. Man behöver inte gå på nationalr</w:t>
      </w:r>
      <w:r w:rsidRPr="00C9680B">
        <w:t>ä</w:t>
      </w:r>
      <w:r w:rsidRPr="00C9680B">
        <w:t>kenskaperna. Det</w:t>
      </w:r>
      <w:r w:rsidRPr="00C9680B">
        <w:t xml:space="preserve"> ser ut att fungera ganska bra om man tittar på den historiska utvecklingen. Vi ser en tendens till acceleration av takten kvartalsvis här. Detta är en indikator.</w:t>
      </w:r>
    </w:p>
    <w:p w:rsidR="001C7BF9" w:rsidRPr="00C9680B" w:rsidRDefault="001C7BF9">
      <w:pPr>
        <w:pStyle w:val="Normaltindrag"/>
      </w:pPr>
      <w:r w:rsidRPr="00C9680B">
        <w:t>En annan indikator är att titta på vinstutvecklingen i börsföretagen och helt enkelt justera den för antalet arbetade timmar, med konsumentprisindex osv. Då kan man få ett produktivitetsmått på utvecklingen i börsföretagen i alla fall. Är de sedan någorlunda stabila och representativa över tiden för resten av ekonomin så har man fått ett produktiv</w:t>
      </w:r>
      <w:r w:rsidRPr="00C9680B">
        <w:t>itetsmått för hela ekonomin. Det tyder också på en viss acceleration. Det är den blå linjen här. Vi har inte velat eller vågat ta in den här analysen i vår bedömning. Men vi följer naturligtvis det här oerhört noga för att se om det finns någonting som gör att teknikimpl</w:t>
      </w:r>
      <w:r w:rsidRPr="00C9680B">
        <w:t>e</w:t>
      </w:r>
      <w:r w:rsidRPr="00C9680B">
        <w:t>menteringen i svensk ekonomi går snabbare och bättre än vad vi tidigare har trott. Låt oss alltså följa det här och diskutera det vidare i kommande u</w:t>
      </w:r>
      <w:r w:rsidRPr="00C9680B">
        <w:t>t</w:t>
      </w:r>
      <w:r w:rsidRPr="00C9680B">
        <w:t>skottsutfrågningar, och se hur det stämmer med statistiken i övrigt. Men jag vill varna fö</w:t>
      </w:r>
      <w:r w:rsidRPr="00C9680B">
        <w:t>r att i dag dra för långtgående växlar på en sådan här utveckling. Om det här skulle vara riktigt vet vi ju heller inte om utvecklingen är ko</w:t>
      </w:r>
      <w:r w:rsidRPr="00C9680B">
        <w:t>n</w:t>
      </w:r>
      <w:r w:rsidRPr="00C9680B">
        <w:t>junkturell eller strukturell, dvs. om detta är någonting som bara hänger sa</w:t>
      </w:r>
      <w:r w:rsidRPr="00C9680B">
        <w:t>m</w:t>
      </w:r>
      <w:r w:rsidRPr="00C9680B">
        <w:t>man med konjunkturen eller om det är någonting som faktiskt verkar på lite längre sikt.</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Johan Lönnroth (v): </w:t>
      </w:r>
      <w:r w:rsidRPr="00C9680B">
        <w:t>Det är en mycket glädjande bild i huvudsak som rik</w:t>
      </w:r>
      <w:r w:rsidRPr="00C9680B">
        <w:t>s</w:t>
      </w:r>
      <w:r w:rsidRPr="00C9680B">
        <w:t>bankschefen ger oss. Min första fråga handlar om att det var ganska stor enighet, åtminstone inom den professionella ekonomkåren, för ett antal år sedan om att med det relativt höga skattetryck som vi hade i Sverige så skulle man inte kunna åstadkomma den här vändningen uppåt utan mycket stora skattesänkningar totalt sett. Nu har vi sett en kombination under 1990-talet. Skattetrycket har visserligen på senare tid fallit något i relation till BNP, men inte m</w:t>
      </w:r>
      <w:r w:rsidRPr="00C9680B">
        <w:t>ycket, och ändå har den svenska ekonomin lyft. Jag skulle vilja höra riksbankschefen säga någonting om det här. Vad var det för felbedömningar man gjorde när så stora delar av de professionella ekonomerna, och för övrigt många politiker också, ansåg att detta var en omöjlig kombination?</w:t>
      </w:r>
    </w:p>
    <w:p w:rsidR="001C7BF9" w:rsidRPr="00C9680B" w:rsidRDefault="001C7BF9">
      <w:pPr>
        <w:pStyle w:val="Normaltindrag"/>
      </w:pPr>
      <w:r w:rsidRPr="00C9680B">
        <w:t>Den andra frågan knyter an till Gunnar Hökmarks frågeställning om a</w:t>
      </w:r>
      <w:r w:rsidRPr="00C9680B">
        <w:t>r</w:t>
      </w:r>
      <w:r w:rsidRPr="00C9680B">
        <w:t>betstidsförkortning. Riksbankschefen sade också att man självfallet måste räkna in en eventuell arbetstidsförkortning när man tittar på det totala utry</w:t>
      </w:r>
      <w:r w:rsidRPr="00C9680B">
        <w:t>m</w:t>
      </w:r>
      <w:r w:rsidRPr="00C9680B">
        <w:t>met inom ramen för en given produktivitetstillväxt. Nu såg vi i går förslaget från LO, TCO och SACO, som landar på en totalkostnad på i storleksor</w:t>
      </w:r>
      <w:r w:rsidRPr="00C9680B">
        <w:t>d</w:t>
      </w:r>
      <w:r w:rsidRPr="00C9680B">
        <w:t>ningen 8 miljarder kronor fram till år 2005. Nu tittar jag på Riksbankens försörjningsbalansprognos. Då kan man se t.ex. på hushållens konsumtion att man räknar med en konsumtionsökning som jag i väldigt grova sv</w:t>
      </w:r>
      <w:r w:rsidRPr="00C9680B">
        <w:t>ängar skulle vilja beräkna till ungefär 120 miljarder kronor fram till enbart 2002. Det är alltså en real privat konsumtionsökning för hushållen. Då tycker jag att man får lite proportioner på de här siffrorna. Den offentliga konsumtionen ökar ju också oerhört blygsamt i förhållande till den privata konsumtionstillväxten. Jag skulle bara vilja höra riksbankschefen bekräfta att de tal som det hittills har talats om när det gäller arbetstidsförkortningar ändå är peanuts, om jag nu får använda en sådan här USA</w:t>
      </w:r>
      <w:r w:rsidRPr="00C9680B">
        <w:t>-term, i förhållande till den väldiga privata konsumtionstillväxten.</w:t>
      </w:r>
    </w:p>
    <w:p w:rsidR="001C7BF9" w:rsidRPr="00C9680B" w:rsidRDefault="001C7BF9">
      <w:pPr>
        <w:pStyle w:val="Normaltindrag"/>
      </w:pPr>
      <w:r w:rsidRPr="00C9680B">
        <w:t>Till sist skulle jag vilja höra riksbankschefen kommentera ett uttalande. Jag läste i Finanstidningen, tror jag att det var, i morse. Där säger den tyske finansministern, Hans Eichel, så här i går: Euron kräver en helt annan omfat</w:t>
      </w:r>
      <w:r w:rsidRPr="00C9680B">
        <w:t>t</w:t>
      </w:r>
      <w:r w:rsidRPr="00C9680B">
        <w:t>ning på samordningen mellan finansministrarna och centralbankscheferna. Annars kommer projektet med den gemensamma valutan inte att lyckas.</w:t>
      </w:r>
    </w:p>
    <w:p w:rsidR="001C7BF9" w:rsidRPr="00C9680B" w:rsidRDefault="001C7BF9">
      <w:pPr>
        <w:pStyle w:val="Normaltindrag"/>
      </w:pPr>
      <w:r w:rsidRPr="00C9680B">
        <w:t xml:space="preserve">Det är klart att jag inte har någon förhoppning om att jag ska få höra Urban Bäckström säga: Hurra för att vi inte är med i EMU! Men jag skulle ändå vilja höra Urban Bäckström lite kommentera det här att vi nu klarar att inte höja reporäntan jämfört med den situation och den starka oro som Eichel uttrycker efter det att man där har höjt sin styrränta och det ändå inte </w:t>
      </w:r>
      <w:r w:rsidRPr="00C9680B">
        <w:t>tycks ha någon positiv effekt på eurokursen.</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Urban Bäckström: </w:t>
      </w:r>
      <w:r w:rsidRPr="00C9680B">
        <w:t>Jag sitter här och funderar på om jag ska börja med jor</w:t>
      </w:r>
      <w:r w:rsidRPr="00C9680B">
        <w:t>d</w:t>
      </w:r>
      <w:r w:rsidRPr="00C9680B">
        <w:t>nötterna eller arbetstidsförkortningen och vår bedömning av konsumtionsu</w:t>
      </w:r>
      <w:r w:rsidRPr="00C9680B">
        <w:t>t</w:t>
      </w:r>
      <w:r w:rsidRPr="00C9680B">
        <w:t>rymmet. En arbetstidsförkortning är, om jag förstår det rätt, tänkt att vara för evig tid, eller på lång sikt. Vår försörjningsbalans sträcker sig ett till två år fram i tiden. Det är klart att man måste tänka på hur det förhåller sig efter 2008 t.ex., när vi vet att arbetsutbudet går ned ganska dramatiskt. Men jag ska inte gå in och kommentera enskilda förslag. Jag är bara noga m</w:t>
      </w:r>
      <w:r w:rsidRPr="00C9680B">
        <w:t>ed att poängt</w:t>
      </w:r>
      <w:r w:rsidRPr="00C9680B">
        <w:t>e</w:t>
      </w:r>
      <w:r w:rsidRPr="00C9680B">
        <w:t>ra att allt måste finnas i produktivitetsutrymmet. Gör det inte det så leder arbetstidsförkortningen till lägre reallöneutveckling. Det måste stå fullständigt klart att det är så. Sedan ska jag inte lägga mig i hur löntagarna eller arbet</w:t>
      </w:r>
      <w:r w:rsidRPr="00C9680B">
        <w:t>s</w:t>
      </w:r>
      <w:r w:rsidRPr="00C9680B">
        <w:t>marknadens parter väljer att fördela detta. Men det måste finnas i detta, a</w:t>
      </w:r>
      <w:r w:rsidRPr="00C9680B">
        <w:t>n</w:t>
      </w:r>
      <w:r w:rsidRPr="00C9680B">
        <w:t xml:space="preserve">nars blir det arbetslöshet av det. Det finns en mycket direkt koppling mellan hur man håller sig inom utrymmet när det gäller den totala lönekostnaden och arbetslösheten. De är direkt </w:t>
      </w:r>
      <w:r w:rsidRPr="00C9680B">
        <w:t>kommunicerande kärl. Riksdagen har bestämt att vi ska verka för prisstabilitet, och det kommer vi att göra allt för att göra. Jag tror att detta är bra också i längden för svensk ekonomi – jag delar den up</w:t>
      </w:r>
      <w:r w:rsidRPr="00C9680B">
        <w:t>p</w:t>
      </w:r>
      <w:r w:rsidRPr="00C9680B">
        <w:t>fattningen. Men då finns dessa kommunicerande kärl. Annars kommer det att vara otydligare, för de finns i alla fall – även om man inte har en prisstabil</w:t>
      </w:r>
      <w:r w:rsidRPr="00C9680B">
        <w:t>i</w:t>
      </w:r>
      <w:r w:rsidRPr="00C9680B">
        <w:t>tetsinriktad politik. Det visar utvecklingen i slutet på 1980-talet och i början på 1990-talet om inte annat.</w:t>
      </w:r>
    </w:p>
    <w:p w:rsidR="001C7BF9" w:rsidRPr="00C9680B" w:rsidRDefault="001C7BF9">
      <w:pPr>
        <w:pStyle w:val="Normaltindrag"/>
      </w:pPr>
      <w:r w:rsidRPr="00C9680B">
        <w:t>Vad gäller skatter tog jag upp i min inledn</w:t>
      </w:r>
      <w:r w:rsidRPr="00C9680B">
        <w:t>ing att man ser när man tittar tillbaka att det hände någonting i svensk ekonomi i mitten på 1980-talet när det gäller ekonomisk politik. Det ledde inte omedelbart till goda effekter, men det gjordes saker. En sak var avregleringen av kreditmarknaden. En annan sak var ändringar i transfereringssystemet. En tredje sak var skattereformen. Jag tror att detta har haft effekt. Om det är så att det har haft effekt ger ju det en god kvittens på det som gjordes. Men det kanske också leder till en annan slutsats, nä</w:t>
      </w:r>
      <w:r w:rsidRPr="00C9680B">
        <w:t>mligen att man kan uppnå ytterligare effekter om man gör andra saker. Sedan ska inte jag lägga mig i hur den politiska diskussionen går om vilka skatter man i så fall ska sänka. Men det går enligt min mening inte att säga att utvecklingen har visat att ingenting har hänt till följd av skatteförän</w:t>
      </w:r>
      <w:r w:rsidRPr="00C9680B">
        <w:t>d</w:t>
      </w:r>
      <w:r w:rsidRPr="00C9680B">
        <w:t>ringar, för jag tror att det definitivt är så.</w:t>
      </w:r>
    </w:p>
    <w:p w:rsidR="001C7BF9" w:rsidRPr="00C9680B" w:rsidRDefault="001C7BF9">
      <w:pPr>
        <w:pStyle w:val="Normaltindrag"/>
      </w:pPr>
      <w:r w:rsidRPr="00C9680B">
        <w:t>Det finns en ruta om reporäntan, Sverige och euroområdet i inflationsra</w:t>
      </w:r>
      <w:r w:rsidRPr="00C9680B">
        <w:t>p</w:t>
      </w:r>
      <w:r w:rsidRPr="00C9680B">
        <w:t xml:space="preserve">porten. Som jag ser det är prisutvecklingen lägre i Sverige än i euroområdet. Det spelar roll. Stiger priserna mindre så blir också räntan lägre, och så är det i Sverige. En konkret faktor bakom detta är våra avregleringar på el- och teleområdena. Det har drivit ned priserna, och det är en av orsakerna till den lägre reporäntan. En annan orsak är att det ser ut som om prisutvecklingen lite mer brett, dvs. också på andra områden, är bättre i Sverige än i euroområdet. Det kan hänga samman med vår tes om att </w:t>
      </w:r>
      <w:r w:rsidRPr="00C9680B">
        <w:t xml:space="preserve">resursutnyttjandet inte har blivit fullt så ansträngt som vi trodde tidigare. Därför har vi gjort en revidering i samband med den här rapporten. Men det kan naturligtvis också på det strukturella planet vara så att svensk ekonomi ser ut att fungera lite bättre än vad vi tidigare har trott. Det är möjligt att euroområdet relativt sett har högre stelheter än vad som finns i svensk ekonomi. Men detta kan vi bara spekulera om.  </w:t>
      </w:r>
    </w:p>
    <w:p w:rsidR="001C7BF9" w:rsidRPr="00C9680B" w:rsidRDefault="001C7BF9">
      <w:pPr>
        <w:pStyle w:val="Normaltindrag"/>
      </w:pPr>
      <w:r w:rsidRPr="00C9680B">
        <w:t>I grund och botten är förklaringen till att Sverige har en lägre reporänta att vi h</w:t>
      </w:r>
      <w:r w:rsidRPr="00C9680B">
        <w:t>ar lägre prisutveckling. Då kan man gå vidare – och det är väl den frågan som Johan Lönnroth förbereder nu. Vad hade hänt om Sverige hade gått med, och varit medlem i dag? Svaret är enkelt: Då hade finanspolitiken fått axla den rollen, och den hade i så fall kunnat vara lite mer stimulerande än vad den är i dag med motsvarande högre ränta från Frankfurt sett.</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Johan Lönnroth (v): </w:t>
      </w:r>
      <w:r w:rsidRPr="00C9680B">
        <w:t>Bedömningarna av omöjligheten att klara en kombin</w:t>
      </w:r>
      <w:r w:rsidRPr="00C9680B">
        <w:t>a</w:t>
      </w:r>
      <w:r w:rsidRPr="00C9680B">
        <w:t>tion av stark ekonomisk tillväxt och relativt högt skattetryck gjordes efter alla beslut om avregleringar, så sent som 1994–96. Det var en på det hela taget enig ekonomkår som, tillsammans med mycket stora delar av vårt eget skrå, ansåg att det var en fullständigt omöjlig kombination, även när man tog hä</w:t>
      </w:r>
      <w:r w:rsidRPr="00C9680B">
        <w:t>n</w:t>
      </w:r>
      <w:r w:rsidRPr="00C9680B">
        <w:t>syn till besluten om avregleringar osv.</w:t>
      </w:r>
    </w:p>
    <w:p w:rsidR="001C7BF9" w:rsidRPr="00C9680B" w:rsidRDefault="001C7BF9">
      <w:pPr>
        <w:pStyle w:val="Normaltindrag"/>
      </w:pPr>
      <w:r w:rsidRPr="00C9680B">
        <w:t>När det gäller EMU betonar Eichel bestämt att det handlar om en samor</w:t>
      </w:r>
      <w:r w:rsidRPr="00C9680B">
        <w:t>d</w:t>
      </w:r>
      <w:r w:rsidRPr="00C9680B">
        <w:t>ning. Man måste samordna besluten mellan riksbankschefer och finansminis</w:t>
      </w:r>
      <w:r w:rsidRPr="00C9680B">
        <w:t>t</w:t>
      </w:r>
      <w:r w:rsidRPr="00C9680B">
        <w:t>rar i EMU om projektet ska klara sig. Jag skulle gärna vilja höra riksbank</w:t>
      </w:r>
      <w:r w:rsidRPr="00C9680B">
        <w:t>s</w:t>
      </w:r>
      <w:r w:rsidRPr="00C9680B">
        <w:t>chefen kommentera det något, bortsett från effekterna av om Sverige hade varit med i EMU. Är det inte också riksbankschefens bedömning att det krävs en mycket stark samordning om projektet ska klara sig? Då kan inte t.ex. den svenske riksbankschefen göra egna bedömningar av utvecklingen i Sverige. Då tvingas man överlasta till finanspolitiken, på det sätt som r</w:t>
      </w:r>
      <w:r w:rsidRPr="00C9680B">
        <w:t>iksbankschefen säger. Man måste även samordna f</w:t>
      </w:r>
      <w:r w:rsidRPr="00C9680B">
        <w:t>i</w:t>
      </w:r>
      <w:r w:rsidRPr="00C9680B">
        <w:t>nanspolitiken mellan de olika länderna.</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Urban Bäckström: </w:t>
      </w:r>
      <w:r w:rsidRPr="00C9680B">
        <w:t>De ekonomer som uttalat sig om Sveriges möjlighet att lyfta, om jag använder Johan Lönnroths uttryckssätt, får svara för det själva. Det fanns en allmän oro för att Sverige skulle fastna i en arbetslöshet långt högre än den vi ser i dag, precis som Europa gjorde. Jag delade den oron. Detta skedde i Tyskland, Frankrike och en hel del andra länder. Formellt sett är regelstrukturen på arbetsmarknaden ungefär lika inflexibel i Sverige som i de länderna. Det var det man hängde upp det på. Det fanns en risk att f</w:t>
      </w:r>
      <w:r w:rsidRPr="00C9680B">
        <w:t>olk skulle permanentas utanför arbetskraften och att företagen i en konjunktu</w:t>
      </w:r>
      <w:r w:rsidRPr="00C9680B">
        <w:t>r</w:t>
      </w:r>
      <w:r w:rsidRPr="00C9680B">
        <w:t>uppgång inte skulle våga anställa människor. De skulle då inte kunna dra ned kostnaderna om de hamnade i en djup kris. Människor skulle, på grund av regelsystemet, inte söka de jobb som kom ut på arbetsmarknaden. Detta är precis vad som händer i Europa. Jag talar inte om något som kunde ha hänt men inte inträffade. Detta är läget ute i Europa i dag, i många länder – inte alla.</w:t>
      </w:r>
    </w:p>
    <w:p w:rsidR="001C7BF9" w:rsidRPr="00C9680B" w:rsidRDefault="001C7BF9">
      <w:pPr>
        <w:pStyle w:val="Normaltindrag"/>
      </w:pPr>
      <w:r w:rsidRPr="00C9680B">
        <w:t>Det fanns en stor risk att samma sak skulle hända i Sv</w:t>
      </w:r>
      <w:r w:rsidRPr="00C9680B">
        <w:t>erige, om man såg på regelsystemet. Men det hände inte, i vart fall inte som en arbetshypotes. Vi har inte prövat arbetsmarknaden och lönebildningen i ett sådant läge. Vi får hoppas att det fungerar bra under de avtalsförhandlingar som nu sker. Det finns också andra skäl. Krisen i början på 90-talet visade att företagen kan dra ned sina kostnader, om de behöver. Vårt regelsystem, vår lagstiftning, omö</w:t>
      </w:r>
      <w:r w:rsidRPr="00C9680B">
        <w:t>j</w:t>
      </w:r>
      <w:r w:rsidRPr="00C9680B">
        <w:t>liggör inte en kostnadsanpassning. Det har betydelse nu, när företagen bed</w:t>
      </w:r>
      <w:r w:rsidRPr="00C9680B">
        <w:t>ö</w:t>
      </w:r>
      <w:r w:rsidRPr="00C9680B">
        <w:t>mer om de vågar anställa människ</w:t>
      </w:r>
      <w:r w:rsidRPr="00C9680B">
        <w:t>or i konjunkturuppgången. För det gör de. Vi har en sysselsättningsexpansion som är den högsta på 40 år. Det är inte vad vi ser ute i Europa. Det finns också en förklaring till det. Nog om det.</w:t>
      </w:r>
    </w:p>
    <w:p w:rsidR="001C7BF9" w:rsidRPr="00C9680B" w:rsidRDefault="001C7BF9">
      <w:pPr>
        <w:pStyle w:val="Normaltindrag"/>
      </w:pPr>
      <w:r w:rsidRPr="00C9680B">
        <w:t>Är samordning av ekonomisk politik i Europa en förutsättning för EMU? Det är en lång och svår diskussion. Ett kort svar från min sida är: Nej, det är inte en nödvändighet. Man kan mycket väl bedriva penningpolitiken geme</w:t>
      </w:r>
      <w:r w:rsidRPr="00C9680B">
        <w:t>n</w:t>
      </w:r>
      <w:r w:rsidRPr="00C9680B">
        <w:t>samt och finanspolitiken nationellt. Sedan är det naturligtvis ett problem att man i vissa länder i Europa nu släpper upp inflationen. Politiska system i en del länder förmår inte spara mer i statsfinanserna och strama åt ekonomin när de har budgetöverskott. Det leder till högre inflation i de länderna. Men det kommer också att drabba dem. Under resans gång försvagar de sin egen ko</w:t>
      </w:r>
      <w:r w:rsidRPr="00C9680B">
        <w:t>n</w:t>
      </w:r>
      <w:r w:rsidRPr="00C9680B">
        <w:t>kurrenskraft och får svårt att komma till rätta med det. Brister i den ekon</w:t>
      </w:r>
      <w:r w:rsidRPr="00C9680B">
        <w:t>o</w:t>
      </w:r>
      <w:r w:rsidRPr="00C9680B">
        <w:t>miska politiken i vissa länder kan komma att skapa</w:t>
      </w:r>
      <w:r w:rsidRPr="00C9680B">
        <w:t xml:space="preserve"> problem i de länderna senare. Jag kan förstå att det finns en oro hos en del finansministrar för hur det utvecklar sig – i en del länder.</w:t>
      </w:r>
    </w:p>
    <w:p w:rsidR="001C7BF9" w:rsidRPr="00C9680B" w:rsidRDefault="001C7BF9">
      <w:pPr>
        <w:pStyle w:val="Normaltindrag"/>
      </w:pPr>
      <w:r w:rsidRPr="00C9680B">
        <w:t>Det är inget konstigt. Det är precis de krav som ställdes då vi hade Bretton Woods-systemet. Då hade inte penningpolitiken, vare sig i Sverige eller n</w:t>
      </w:r>
      <w:r w:rsidRPr="00C9680B">
        <w:t>å</w:t>
      </w:r>
      <w:r w:rsidRPr="00C9680B">
        <w:t>gon annanstans, möjlighet att parera konjunkturens skiftningar. Det var precis som det är i EMU nu. Det ansvaret föll på finanspolitiken. Det är vad som sker nu på EMU-området.</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Mats Odell (kd): </w:t>
      </w:r>
      <w:r w:rsidRPr="00C9680B">
        <w:t>Herr ordförande! Det är lätt för en riksbank och ett finansu</w:t>
      </w:r>
      <w:r w:rsidRPr="00C9680B">
        <w:t>t</w:t>
      </w:r>
      <w:r w:rsidRPr="00C9680B">
        <w:t>skott att glädjas åt innehållet i dagens inflationsrapport. Allting ser bättre ut än vi hade anledning att tro för inte så länge sedan.</w:t>
      </w:r>
    </w:p>
    <w:p w:rsidR="001C7BF9" w:rsidRPr="00C9680B" w:rsidRDefault="001C7BF9">
      <w:pPr>
        <w:pStyle w:val="Normaltindrag"/>
      </w:pPr>
      <w:r w:rsidRPr="00C9680B">
        <w:t>Det är också intressant att höra vad riksbankschefen säger och läsa vad som sägs i rapporten om bakgrunden. Johan Lönnroth har talat om politiska felbedömningar bakåt i tiden. Det skulle vara frestande att påminna om mo</w:t>
      </w:r>
      <w:r w:rsidRPr="00C9680B">
        <w:t>t</w:t>
      </w:r>
      <w:r w:rsidRPr="00C9680B">
        <w:t>ståndet mot alla de reformer vars resultat vi nu kan glädjas åt. En lång rad ytterligare strukturförändringar skulle kunna göra situationen än bättre. Det är finansutskottets uppgift att på vår kant försöka lotsa utvecklingen framåt. Reformerna var inte populära när de genomfördes. Det gjordes under stort motstånd. Jag vill inte peka ut några särskilda i det sammanhanget – jag vill inte stöta mig med t.ex. Johan Lönnroth. Vi har en stor agenda framför oss på detta område.</w:t>
      </w:r>
    </w:p>
    <w:p w:rsidR="001C7BF9" w:rsidRPr="00C9680B" w:rsidRDefault="001C7BF9">
      <w:pPr>
        <w:pStyle w:val="Normaltindrag"/>
      </w:pPr>
      <w:r w:rsidRPr="00C9680B">
        <w:t>Jag tänkte be riksbankschefen komm</w:t>
      </w:r>
      <w:r w:rsidRPr="00C9680B">
        <w:t>entera några intressanta penningpol</w:t>
      </w:r>
      <w:r w:rsidRPr="00C9680B">
        <w:t>i</w:t>
      </w:r>
      <w:r w:rsidRPr="00C9680B">
        <w:t>tiska debatter som har förts under sommaren. Den ena har handlat om pr</w:t>
      </w:r>
      <w:r w:rsidRPr="00C9680B">
        <w:t>o</w:t>
      </w:r>
      <w:r w:rsidRPr="00C9680B">
        <w:t>gnosperiodens längd. Jag har i tidigare diskussioner med riksbankschefen använt metaforer med vältande bilar och inbromsning. Om man läser prot</w:t>
      </w:r>
      <w:r w:rsidRPr="00C9680B">
        <w:t>o</w:t>
      </w:r>
      <w:r w:rsidRPr="00C9680B">
        <w:t>kollen bakåt i tiden kan man finna att ledamöter av direktionen har uttalat sig för höjningar, med hänvisning till att ett sådant behov föreligger om man ser litet längre än två år. Frågan är då om det är nödvändigt att börja bromsa i Södertälje när man ska svä</w:t>
      </w:r>
      <w:r w:rsidRPr="00C9680B">
        <w:t>nga av i Nyköping. Har det hänt något på det o</w:t>
      </w:r>
      <w:r w:rsidRPr="00C9680B">
        <w:t>m</w:t>
      </w:r>
      <w:r w:rsidRPr="00C9680B">
        <w:t>rådet. Kan man se att åtgärder av penningpolitisk karaktär får snabbare e</w:t>
      </w:r>
      <w:r w:rsidRPr="00C9680B">
        <w:t>f</w:t>
      </w:r>
      <w:r w:rsidRPr="00C9680B">
        <w:t>fekt? Eller måste man ha en längre framförhållning?</w:t>
      </w:r>
    </w:p>
    <w:p w:rsidR="001C7BF9" w:rsidRPr="00C9680B" w:rsidRDefault="001C7BF9">
      <w:pPr>
        <w:pStyle w:val="Normaltindrag"/>
      </w:pPr>
      <w:r w:rsidRPr="00C9680B">
        <w:t>Den andra debatten har handlat om huruvida inflationsmålet är rätt sa</w:t>
      </w:r>
      <w:r w:rsidRPr="00C9680B">
        <w:t>m</w:t>
      </w:r>
      <w:r w:rsidRPr="00C9680B">
        <w:t>mansatt. Lånechefen på Riksgäldskontoret gick i mitten av september ut med en debattartikel och sade att det var fel sammansatt. Erik Thedéen menade att vi egentligen har en högre underliggande inflation. Den döljs av det han b</w:t>
      </w:r>
      <w:r w:rsidRPr="00C9680B">
        <w:t>e</w:t>
      </w:r>
      <w:r w:rsidRPr="00C9680B">
        <w:t>skrev som engångseffekter av avregleringarna, vilket riksbankschefen delvis har instämt i. Egentligen skulle man b</w:t>
      </w:r>
      <w:r w:rsidRPr="00C9680B">
        <w:t>e</w:t>
      </w:r>
      <w:r w:rsidRPr="00C9680B">
        <w:t>höva strama åt.</w:t>
      </w:r>
    </w:p>
    <w:p w:rsidR="001C7BF9" w:rsidRPr="00C9680B" w:rsidRDefault="001C7BF9">
      <w:pPr>
        <w:pStyle w:val="Normaltindrag"/>
      </w:pPr>
      <w:r w:rsidRPr="00C9680B">
        <w:t>Det skulle vara intressant att få en kommentar kring det. Jag har läst vad Urban Bäckström har sagt. Vid utfrågningar har vi ofta diskuterat inflation</w:t>
      </w:r>
      <w:r w:rsidRPr="00C9680B">
        <w:t>s</w:t>
      </w:r>
      <w:r w:rsidRPr="00C9680B">
        <w:t>målets sammansättning. Den debatten blir inte så omfattande i dag, eftersom både UND1Xoch KPI tycks ligga på nästan samma nivå. Underlaget för trätor är inte särskilt stort just i dag.</w:t>
      </w:r>
    </w:p>
    <w:p w:rsidR="001C7BF9" w:rsidRPr="00C9680B" w:rsidRDefault="001C7BF9">
      <w:pPr>
        <w:pStyle w:val="Normaltindrag"/>
      </w:pPr>
      <w:r w:rsidRPr="00C9680B">
        <w:t>Det skulle vara intressant om riksbankschefen ville kommentera de två pun</w:t>
      </w:r>
      <w:r w:rsidRPr="00C9680B">
        <w:t>k</w:t>
      </w:r>
      <w:r w:rsidRPr="00C9680B">
        <w:t>terna.</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Urban Bäckström: </w:t>
      </w:r>
      <w:r w:rsidRPr="00C9680B">
        <w:t>I början var jag orolig att det inte skulle bli någon fråga utan mera en diskussion mellan utskottets ledamöter. Jag ska gärna försöka illustrera dessa frågor.</w:t>
      </w:r>
    </w:p>
    <w:p w:rsidR="001C7BF9" w:rsidRPr="00C9680B" w:rsidRDefault="001C7BF9">
      <w:pPr>
        <w:pStyle w:val="Normaltindrag"/>
      </w:pPr>
      <w:r w:rsidRPr="00C9680B">
        <w:t>I grund och botten är det bra att sådana här diskussioner dyker upp. Mats Odell säger att han har läst vad jag har sagt. Det är möjligt att han har läst vad som har återgivits av vad någon påstår att jag skulle ha sagt. Det behöver inte alltid vara samma sak. I grund och botten är detta bra. Det är två viktiga fr</w:t>
      </w:r>
      <w:r w:rsidRPr="00C9680B">
        <w:t>å</w:t>
      </w:r>
      <w:r w:rsidRPr="00C9680B">
        <w:t>gor som diskuteras. Längden på den period vi ska överblicka och agera inom ska ifrågasättas och diskuteras. Det gäller också hur inflationsmålet är sa</w:t>
      </w:r>
      <w:r w:rsidRPr="00C9680B">
        <w:t>m</w:t>
      </w:r>
      <w:r w:rsidRPr="00C9680B">
        <w:t>mansatt.</w:t>
      </w:r>
    </w:p>
    <w:p w:rsidR="001C7BF9" w:rsidRPr="00C9680B" w:rsidRDefault="001C7BF9">
      <w:pPr>
        <w:pStyle w:val="Normaltindrag"/>
      </w:pPr>
      <w:r w:rsidRPr="00C9680B">
        <w:t>Vi har bakom oss en mängd olika regimer, som vi har trott skulle fungera i evighet. Det började med silvermyntfoten och guldmyntfoten, Bretton Woods-systemet, vår s.k. fasta växelkurspolitik – som vi försvarade i landet 1992 – och nu den rörliga växelkursregimen. Under dessa perioder har vi alltid, eller ofta, trott att vi befunnit oss i den bästa a</w:t>
      </w:r>
      <w:r w:rsidRPr="00C9680B">
        <w:t>v världar. Vi måste vara ödmjuka och försöka förstå vad vi ännu inte har begripit. Vad kan hända? Vilka risker finns? Vilka avigsidor finns? Det måste vi diskutera. Vi har inte funnit det optimala sättet att bedriva penningpolitik. Om 25 år kanske vi blickar tillbaka och säger att det var något vi inte förstod då, men nu vet vi hur vi ska göra i stället. Så har man vunnit en erfarenhet till.</w:t>
      </w:r>
    </w:p>
    <w:p w:rsidR="001C7BF9" w:rsidRPr="00C9680B" w:rsidRDefault="001C7BF9">
      <w:pPr>
        <w:pStyle w:val="Normaltindrag"/>
      </w:pPr>
      <w:r w:rsidRPr="00C9680B">
        <w:t>Prognosperiodens längd är nu 1–2 år. Vi försöker anpassa penningpolit</w:t>
      </w:r>
      <w:r w:rsidRPr="00C9680B">
        <w:t>i</w:t>
      </w:r>
      <w:r w:rsidRPr="00C9680B">
        <w:t xml:space="preserve">ken efter den inflationsprognosen. Det gör vi därför att vi </w:t>
      </w:r>
      <w:r w:rsidRPr="00C9680B">
        <w:rPr>
          <w:i/>
        </w:rPr>
        <w:t xml:space="preserve">tror </w:t>
      </w:r>
      <w:r w:rsidRPr="00C9680B">
        <w:t>att penningp</w:t>
      </w:r>
      <w:r w:rsidRPr="00C9680B">
        <w:t>o</w:t>
      </w:r>
      <w:r w:rsidRPr="00C9680B">
        <w:t>litiken har sin största verkan inom det intervallet. När vi försöker fånga detta med ekonometriska metoder visar det sig allt som oftast att penningpolitiken har störst effekter under en period av 1–2 år. Det betyder inte att penningpol</w:t>
      </w:r>
      <w:r w:rsidRPr="00C9680B">
        <w:t>i</w:t>
      </w:r>
      <w:r w:rsidRPr="00C9680B">
        <w:t>tiken inte har några effekter under perioden år 0–1 eller år 2–3. Det är klart att den har effekter under båda de perioderna. Men som vi bedömer det har den störst effekter under år 1–2. Därför st</w:t>
      </w:r>
      <w:r w:rsidRPr="00C9680B">
        <w:t>år det i fokus för vårt arbete.</w:t>
      </w:r>
    </w:p>
    <w:p w:rsidR="001C7BF9" w:rsidRPr="00C9680B" w:rsidRDefault="001C7BF9">
      <w:pPr>
        <w:pStyle w:val="Normaltindrag"/>
      </w:pPr>
      <w:r w:rsidRPr="00C9680B">
        <w:t>Självfallet måste vi lägga vikt vid vad som händer år 0–1 liksom år 2–3. Vi ska också komma ihåg att prognosernas tillförlitlighet avtar med tiden. U</w:t>
      </w:r>
      <w:r w:rsidRPr="00C9680B">
        <w:t>t</w:t>
      </w:r>
      <w:r w:rsidRPr="00C9680B">
        <w:t>skottet vet, liksom jag, att prognoser slår fel. Ju längre man utsträcker tidsh</w:t>
      </w:r>
      <w:r w:rsidRPr="00C9680B">
        <w:t>o</w:t>
      </w:r>
      <w:r w:rsidRPr="00C9680B">
        <w:t>risonten, desto svårare är det att göra träffsäkra prognoser. Om man på goda grunder kan tro att inflationen kommer att accelerera snabbt den tjugofemte månaden, alltså precis bortom två år, kanske man ska agera redan i dag. Det är vad diskussionen inom direktionen under vissa sammanträden har handlat om. Detta behöver inte vara ett avsteg från tankeramen. Det är i allra högsta grad ett led i en ansvarsfull penningpolitik.</w:t>
      </w:r>
    </w:p>
    <w:p w:rsidR="001C7BF9" w:rsidRPr="00C9680B" w:rsidRDefault="001C7BF9">
      <w:pPr>
        <w:pStyle w:val="Normaltindrag"/>
      </w:pPr>
      <w:r w:rsidRPr="00C9680B">
        <w:t>Om j</w:t>
      </w:r>
      <w:r w:rsidRPr="00C9680B">
        <w:t>ag skulle försöka bidra till diskussionen kan jag säga att man kan ru</w:t>
      </w:r>
      <w:r w:rsidRPr="00C9680B">
        <w:t>n</w:t>
      </w:r>
      <w:r w:rsidRPr="00C9680B">
        <w:t>da av hörnen på stolparna efter 1–2 år, så att man ser att vi måste tillmäta tiden både före och efter en viss vikt då vi bestämmer räntan.</w:t>
      </w:r>
    </w:p>
    <w:p w:rsidR="001C7BF9" w:rsidRPr="00C9680B" w:rsidRDefault="001C7BF9">
      <w:pPr>
        <w:spacing w:before="125"/>
      </w:pPr>
      <w:r w:rsidRPr="00C9680B">
        <w:t>Mats Odell tog också upp inflationsmålets sammansättning. Både utskottet och jag vet vad som händer om man börjar plocka bort priser som stiger och sjunker. Då blir det en konstig diskussion. Det tog ett bra tag innan vi fick uppslutning i det svenska samhället för vårt sätt att korrigera KPI för ränt</w:t>
      </w:r>
      <w:r w:rsidRPr="00C9680B">
        <w:t>e</w:t>
      </w:r>
      <w:r w:rsidRPr="00C9680B">
        <w:t>kostnader och indirekta skatter. Mycket av den diskussionen har vi också haft här i utskottet. För att kunna göra det på ett trovärdigt sätt måste man etablera en princip. Den principen kan inte vara att man alltid ska plocka bort priser som drar ned KPI-utvecklingen och bedriva penningpolitik efter den del av ekonomin där priserna alltid stiger. Det är vad jag har sett i en artikel på DN Debatt, om man hårdrar det. Man vill ta bort de priser som drar ned KPI och bedriva penningpolitik efter den del av pri</w:t>
      </w:r>
      <w:r w:rsidRPr="00C9680B">
        <w:t>sindexet som gör att priserna stiger. Det blir konstigt. Det blir ett slags etablerad principlöshet där man korrigerar bort det som gör att det ser bra ut och bedriver penningpolitik efter det som ser dåligt ut.</w:t>
      </w:r>
    </w:p>
    <w:p w:rsidR="001C7BF9" w:rsidRPr="00C9680B" w:rsidRDefault="001C7BF9">
      <w:pPr>
        <w:pStyle w:val="Normaltindrag"/>
      </w:pPr>
      <w:r w:rsidRPr="00C9680B">
        <w:t>Det är inte min avsikt att raljera. Här reses en viktig principiell fråga. Vi har sett avregleringen av el- och telemarknaden. Den påverkar oss i år. Är detta något man ska bortse från? Ligger det en princip i att man ska bortse från den typen av utbudseffekter? Man skulle kunna göra det och täcka i</w:t>
      </w:r>
      <w:r w:rsidRPr="00C9680B">
        <w:t>n det i det förtydligande av inflationsmålet som vi tog i Riksbankens direktion förra våren.</w:t>
      </w:r>
    </w:p>
    <w:p w:rsidR="001C7BF9" w:rsidRPr="00C9680B" w:rsidRDefault="001C7BF9">
      <w:pPr>
        <w:pStyle w:val="Normaltindrag"/>
      </w:pPr>
      <w:r w:rsidRPr="00C9680B">
        <w:t>Det handlar om ifall man kan se det som en engångshändelse: Plötsligt kommer avregleringen. Nästa månad kommer priseffekterna. Sedan händer ingenting mer. Efter ett år kommer inflationen att återgå till den ursprungliga nivån. Det är en klar och tydlig avreglering. Men detta är inte det mönster vi har sett under åren. I stället har det varit så att det har gjorts en avreglering, och sedan har effekter sipprat ut. Se</w:t>
      </w:r>
      <w:r w:rsidRPr="00C9680B">
        <w:t>nare kommer några effekter till. Effekter kommer via en annan kanal. Det görs en ny avreglering. Konkurrenstrycket ökar.</w:t>
      </w:r>
    </w:p>
    <w:p w:rsidR="001C7BF9" w:rsidRPr="00C9680B" w:rsidRDefault="001C7BF9">
      <w:pPr>
        <w:pStyle w:val="Normaltindrag"/>
      </w:pPr>
      <w:r w:rsidRPr="00C9680B">
        <w:t>Det som i strikt teoretisk mening är en engångshändelse visar sig komma igen i form av olika mekanismer, som en serie av händelser. Frågan är då hur man ska betrakta det i penningpolitiken. Vår uppgift skulle vara omöjlig om vi här i utskottet och i andra sammanhang skulle försöka förklara att vi tar bort vissa priser därför att de sjunkit och andra priser av andra anledningar. Det skulle</w:t>
      </w:r>
      <w:r w:rsidRPr="00C9680B">
        <w:t xml:space="preserve"> aldrig fungera. Därför har vi valt att helt enkelt inkludera dem.</w:t>
      </w:r>
    </w:p>
    <w:p w:rsidR="001C7BF9" w:rsidRPr="00C9680B" w:rsidRDefault="001C7BF9">
      <w:pPr>
        <w:pStyle w:val="Normaltindrag"/>
      </w:pPr>
      <w:r w:rsidRPr="00C9680B">
        <w:t>Om vi skulle få en osedvanligt stor, tydligt identifierbar effekt kanske vi kommer till en annan slutsats. Då får vi kommunicera det noga. Det gäller att vara tydlig.</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Mats Odell (kd): </w:t>
      </w:r>
      <w:r w:rsidRPr="00C9680B">
        <w:t>Jag vill tacka riksbankschefen för det intressanta principiella resonemanget. Det behövs fler avregleringar, som jag var inne på tidigare, så att en positiv spiral av den karaktär som vi i dag kan avläsa i inflationsra</w:t>
      </w:r>
      <w:r w:rsidRPr="00C9680B">
        <w:t>p</w:t>
      </w:r>
      <w:r w:rsidRPr="00C9680B">
        <w:t>porten kan fortsätta.</w:t>
      </w:r>
    </w:p>
    <w:p w:rsidR="001C7BF9" w:rsidRPr="00C9680B" w:rsidRDefault="001C7BF9">
      <w:pPr>
        <w:pStyle w:val="Normaltindrag"/>
      </w:pPr>
      <w:r w:rsidRPr="00C9680B">
        <w:t>Riksbankschefen tog upp arbetsmarknadens funktionssätt och att det nu finns mer lediga resurser än man trodde tidigare. Jag skulle vilja ställa en specifik fråga. Det har visat sig att långtidsarbetslösheten har gått ned. En viktig funktion verkar bemanningsföretagen ha.</w:t>
      </w:r>
      <w:r w:rsidRPr="00C9680B">
        <w:t xml:space="preserve"> Det var ju mycket kontrove</w:t>
      </w:r>
      <w:r w:rsidRPr="00C9680B">
        <w:t>r</w:t>
      </w:r>
      <w:r w:rsidRPr="00C9680B">
        <w:t>siellt, att de skulle få den roll de nu har. Jag vet inte om det är unikt för Sver</w:t>
      </w:r>
      <w:r w:rsidRPr="00C9680B">
        <w:t>i</w:t>
      </w:r>
      <w:r w:rsidRPr="00C9680B">
        <w:t>ge. I USA har de företagen stor omfattning. Bemanningsföretagen tycks vara den placerare av långtidsarbetslösa som fungerar allra bäst för närvarande. Det de säljer tycks vara ett kringgående av den ganska strikta svenska arbet</w:t>
      </w:r>
      <w:r w:rsidRPr="00C9680B">
        <w:t>s</w:t>
      </w:r>
      <w:r w:rsidRPr="00C9680B">
        <w:t>rättslagstiftningen. Man kan få ut människor på arbetsmarknaden som i no</w:t>
      </w:r>
      <w:r w:rsidRPr="00C9680B">
        <w:t>r</w:t>
      </w:r>
      <w:r w:rsidRPr="00C9680B">
        <w:t>malfallet inte ens skulle kallas till en intervju enbart beroende på efternamnet.</w:t>
      </w:r>
    </w:p>
    <w:p w:rsidR="001C7BF9" w:rsidRPr="00C9680B" w:rsidRDefault="001C7BF9">
      <w:pPr>
        <w:pStyle w:val="Normaltindrag"/>
      </w:pPr>
      <w:r w:rsidRPr="00C9680B">
        <w:t>Har Riksbanken stu</w:t>
      </w:r>
      <w:r w:rsidRPr="00C9680B">
        <w:t>derat bakgrunden till detta? Ser ni någon effekt av b</w:t>
      </w:r>
      <w:r w:rsidRPr="00C9680B">
        <w:t>e</w:t>
      </w:r>
      <w:r w:rsidRPr="00C9680B">
        <w:t>manningsföretagens stora betydelse?</w:t>
      </w:r>
    </w:p>
    <w:p w:rsidR="001C7BF9" w:rsidRPr="00C9680B" w:rsidRDefault="001C7BF9">
      <w:pPr>
        <w:pStyle w:val="Deltagare"/>
        <w:keepLines w:val="0"/>
        <w:spacing w:before="0" w:line="360" w:lineRule="auto"/>
        <w:rPr>
          <w:noProof w:val="0"/>
        </w:rPr>
      </w:pPr>
    </w:p>
    <w:p w:rsidR="001C7BF9" w:rsidRPr="00C9680B" w:rsidRDefault="001C7BF9">
      <w:r w:rsidRPr="00C9680B">
        <w:rPr>
          <w:i/>
        </w:rPr>
        <w:t>Urban Bäckström:</w:t>
      </w:r>
      <w:r w:rsidRPr="00C9680B">
        <w:t xml:space="preserve"> Låt mig göra ett tillägg till svaret på den tidigare frågan om prognosperiodens längd. Vi har dragit konsekvenserna av det och avser att ha en kort skrivning om vår uppfattning om vad som händer i ekonomin efter år 2. Då får vi in det i bedömningarna. Man har med i inflationsrapporten vad som händer mellan år 0 och år 1. Då borde man rimligen ha med år 2 och 3, med beaktande av att det är e</w:t>
      </w:r>
      <w:r w:rsidRPr="00C9680B">
        <w:t>x</w:t>
      </w:r>
      <w:r w:rsidRPr="00C9680B">
        <w:t>tremt osäkert.</w:t>
      </w:r>
    </w:p>
    <w:p w:rsidR="001C7BF9" w:rsidRPr="00C9680B" w:rsidRDefault="001C7BF9">
      <w:pPr>
        <w:pStyle w:val="Normaltindrag"/>
      </w:pPr>
      <w:r w:rsidRPr="00C9680B">
        <w:t xml:space="preserve">Jag har inte så mycket att tillföra när det gäller bemanningsföretagen. Man kan titta på det formella </w:t>
      </w:r>
      <w:r w:rsidRPr="00C9680B">
        <w:t>regelverket kring arbetsmarknaden i vid mening. Det ger anledning att tro att vi skulle fastna i en hög arbetslöshet. Det har visat sig att regelverket i vid mening reellt sett inte fungerar så. Arbetsmarknaden fungerar bättre än vad man på formella grunder skulle kunna tänka sig. Det finns olika utslag av det. Jag tänker inte gå in på detaljerna.</w:t>
      </w:r>
    </w:p>
    <w:p w:rsidR="001C7BF9" w:rsidRPr="00C9680B" w:rsidRDefault="001C7BF9">
      <w:pPr>
        <w:pStyle w:val="Normaltindrag"/>
      </w:pPr>
      <w:r w:rsidRPr="00C9680B">
        <w:t>Det sätt arbetsmarknaden har kommit att fungera på, trots det formella r</w:t>
      </w:r>
      <w:r w:rsidRPr="00C9680B">
        <w:t>e</w:t>
      </w:r>
      <w:r w:rsidRPr="00C9680B">
        <w:t>gelverket i vid mening, har varit bra för möjligh</w:t>
      </w:r>
      <w:r w:rsidRPr="00C9680B">
        <w:t>e</w:t>
      </w:r>
      <w:r w:rsidRPr="00C9680B">
        <w:t>ten att få ned arbetslösheten.</w:t>
      </w:r>
    </w:p>
    <w:p w:rsidR="001C7BF9" w:rsidRPr="00C9680B" w:rsidRDefault="001C7BF9">
      <w:pPr>
        <w:pStyle w:val="Deltagare"/>
        <w:keepLines w:val="0"/>
        <w:spacing w:before="0" w:line="360" w:lineRule="auto"/>
        <w:rPr>
          <w:noProof w:val="0"/>
        </w:rPr>
      </w:pPr>
    </w:p>
    <w:p w:rsidR="001C7BF9" w:rsidRPr="00C9680B" w:rsidRDefault="001C7BF9">
      <w:r w:rsidRPr="00C9680B">
        <w:rPr>
          <w:i/>
        </w:rPr>
        <w:t>Hans Hoff (s):</w:t>
      </w:r>
      <w:r w:rsidRPr="00C9680B">
        <w:t xml:space="preserve"> Herr ordförande! Jag tänker också beröra olika riskscenarier. Man kan konstatera att hushållens upplåning i dag nästan motsvarar samma nivå som i slutet på 1980-talet. Samtidigt kan man konstatera att utlåningen till hushållen för andra ändamål än bostäder ökar kraftigt. Om upplåningen sker för direkt konsumtion eller investeringar i annan form än bostäder vet man inte med full säkerhet. Det som däremot är positivt är att räntenivån i dag är betydligt lägre än i slutet på 1980-talet.</w:t>
      </w:r>
    </w:p>
    <w:p w:rsidR="001C7BF9" w:rsidRPr="00C9680B" w:rsidRDefault="001C7BF9">
      <w:pPr>
        <w:pStyle w:val="Normaltindrag"/>
      </w:pPr>
      <w:r w:rsidRPr="00C9680B">
        <w:t>Vi kan också konstater</w:t>
      </w:r>
      <w:r w:rsidRPr="00C9680B">
        <w:t>a att finansbolagen återigen kör sina stora a</w:t>
      </w:r>
      <w:r w:rsidRPr="00C9680B">
        <w:t>n</w:t>
      </w:r>
      <w:r w:rsidRPr="00C9680B">
        <w:t>nonskampanjer för att människor ska lockas ta deras telefonlån, med snabba pengar dagen efter. I Aftonbladets bilaga i söndags fanns följande annons: ”Höstrea i New York. Varför stanna vid tanken? Ring – vi ger besked medan du väntar. Vad du använder pengarna till är din ensak. Snabbt och enkelt. 33 % effektiv ränta.”</w:t>
      </w:r>
    </w:p>
    <w:p w:rsidR="001C7BF9" w:rsidRPr="00C9680B" w:rsidRDefault="001C7BF9">
      <w:pPr>
        <w:pStyle w:val="Normaltindrag"/>
      </w:pPr>
      <w:r w:rsidRPr="00C9680B">
        <w:t>En stilla förhoppning är att bankernas och finansbolagens ledningar dragit visdom av bankkrisens orsaker. Mina frågor till riksbankschefen är: Ans</w:t>
      </w:r>
      <w:r w:rsidRPr="00C9680B">
        <w:t>er riksbankschefen att en osund eller delvis osund risk</w:t>
      </w:r>
      <w:r w:rsidRPr="00C9680B">
        <w:softHyphen/>
      </w:r>
      <w:r w:rsidRPr="00C9680B">
        <w:softHyphen/>
        <w:t>uppbyggnad sker i Sverige i dag? I så fall, vilka instrument förfogar Riksbanken över, när en osund ri</w:t>
      </w:r>
      <w:r w:rsidRPr="00C9680B">
        <w:t>s</w:t>
      </w:r>
      <w:r w:rsidRPr="00C9680B">
        <w:t>kuppbyggnad sker?</w:t>
      </w:r>
    </w:p>
    <w:p w:rsidR="001C7BF9" w:rsidRPr="00C9680B" w:rsidRDefault="001C7BF9">
      <w:pPr>
        <w:pStyle w:val="Deltagare"/>
        <w:keepLines w:val="0"/>
        <w:spacing w:before="0" w:line="360" w:lineRule="auto"/>
        <w:rPr>
          <w:noProof w:val="0"/>
        </w:rPr>
      </w:pPr>
    </w:p>
    <w:p w:rsidR="001C7BF9" w:rsidRPr="00C9680B" w:rsidRDefault="001C7BF9">
      <w:r w:rsidRPr="00C9680B">
        <w:rPr>
          <w:i/>
        </w:rPr>
        <w:t>Urban Bäckström:</w:t>
      </w:r>
      <w:r w:rsidRPr="00C9680B">
        <w:t xml:space="preserve"> Ett kort svar på den första frågan är nej. Ett kort svar på den andra frågan är reporäntan, ytterst. Låt mig utveckla det.</w:t>
      </w:r>
    </w:p>
    <w:p w:rsidR="001C7BF9" w:rsidRPr="00C9680B" w:rsidRDefault="001C7BF9">
      <w:pPr>
        <w:pStyle w:val="Normaltindrag"/>
      </w:pPr>
      <w:r w:rsidRPr="00C9680B">
        <w:t>Man kan studera kreditexpansionens utveckling. Det är sant att expa</w:t>
      </w:r>
      <w:r w:rsidRPr="00C9680B">
        <w:t>n</w:t>
      </w:r>
      <w:r w:rsidRPr="00C9680B">
        <w:t>sionstakten i kreditinstitutens utlåning till hushållen har varit hög. Om man ser på utlåningen till både företag och hushåll är expansionstakten kanske något för hög, men inte dramatiskt hög som under slutet av 80-talet.</w:t>
      </w:r>
    </w:p>
    <w:p w:rsidR="001C7BF9" w:rsidRPr="00C9680B" w:rsidRDefault="001C7BF9">
      <w:pPr>
        <w:pStyle w:val="Normaltindrag"/>
      </w:pPr>
      <w:r w:rsidRPr="00C9680B">
        <w:t>Vad beror det då på att hushållen lånar pengar men att upplåningen uppe</w:t>
      </w:r>
      <w:r w:rsidRPr="00C9680B">
        <w:t>n</w:t>
      </w:r>
      <w:r w:rsidRPr="00C9680B">
        <w:t>barligen trappats ned något under senare tid? Jag tror att man har velat förnya sin vagnpark. Det handlar om kylskåp, bilar, varaktiga kapitalvaror – en och annan telefon, TV-apparat och stereo. Från slutet av 80-talet fram till 1997–1998 var det en period då man inte köpte bilar. Man bytte inte kylskåp. Var och en av oss vet att ett kylskåp håller 10 år. Om man har tur håller det i 15 år. Samma sak är det med tvättmaskiner och köksutrustning. En bil kan n</w:t>
      </w:r>
      <w:r w:rsidRPr="00C9680B">
        <w:t>a</w:t>
      </w:r>
      <w:r w:rsidRPr="00C9680B">
        <w:t>turligtvis hålla ganska länge. Vi hade i Sverige u</w:t>
      </w:r>
      <w:r w:rsidRPr="00C9680B">
        <w:t>nder en tid på 1900-talet en av Västeuropas äldsta bilparker. Då är det inte så konstigt att man säljer några aktier när aktiekurserna stiger eller belånar sitt hus när villavärdena stiger, för att reparera huset eller köpa en ny bil. Det är detta vi ser.</w:t>
      </w:r>
    </w:p>
    <w:p w:rsidR="001C7BF9" w:rsidRPr="00C9680B" w:rsidRDefault="001C7BF9">
      <w:pPr>
        <w:pStyle w:val="Normaltindrag"/>
      </w:pPr>
      <w:r w:rsidRPr="00C9680B">
        <w:t>Två gånger om året gör vi rapporter där vi tittar på banksystemets stabil</w:t>
      </w:r>
      <w:r w:rsidRPr="00C9680B">
        <w:t>i</w:t>
      </w:r>
      <w:r w:rsidRPr="00C9680B">
        <w:t>tet. Än så länge ser vi ingen dramatik. Det är dock viktigt att hushåll, och för den delen även företag, inte fattar beslut med utgångspunkt i att räntan alltid kommer att vara så här låg. Precis som den inte alltid kan vara 2,90 kan den inte heller varaktigt förbli 3,75. En normal ränta ligger säkert lite högre. Jag tänker inte ge mig in i spekulationer om precis var den ligger. Man måste ha säkerhetsmarginaler när man fattar beslut för sitt hushåll. Det är en viktig lärdom.</w:t>
      </w:r>
    </w:p>
    <w:p w:rsidR="001C7BF9" w:rsidRPr="00C9680B" w:rsidRDefault="001C7BF9">
      <w:pPr>
        <w:pStyle w:val="Normaltindrag"/>
      </w:pPr>
      <w:r w:rsidRPr="00C9680B">
        <w:t>Det är i allt väsentligt samma</w:t>
      </w:r>
      <w:r w:rsidRPr="00C9680B">
        <w:t xml:space="preserve"> verkställande ledningar i de svenska banke</w:t>
      </w:r>
      <w:r w:rsidRPr="00C9680B">
        <w:t>r</w:t>
      </w:r>
      <w:r w:rsidRPr="00C9680B">
        <w:t>na som det var under krisåren. Det gör mig lite tryggare. Det var de som tog reda på mycket efter det som hände i slutet av 80-talet. Så länge de är kvar känns det lite tryggare. De vill inte föra in sin institution i samma problem som de fick vara med och reda upp.</w:t>
      </w:r>
    </w:p>
    <w:p w:rsidR="001C7BF9" w:rsidRPr="00C9680B" w:rsidRDefault="001C7BF9">
      <w:pPr>
        <w:pStyle w:val="Deltagare"/>
        <w:keepLines w:val="0"/>
        <w:spacing w:before="0" w:line="360" w:lineRule="auto"/>
        <w:rPr>
          <w:noProof w:val="0"/>
        </w:rPr>
      </w:pPr>
    </w:p>
    <w:p w:rsidR="001C7BF9" w:rsidRPr="00C9680B" w:rsidRDefault="001C7BF9">
      <w:r w:rsidRPr="00C9680B">
        <w:rPr>
          <w:i/>
        </w:rPr>
        <w:t>Agne Hansson (c):</w:t>
      </w:r>
      <w:r w:rsidRPr="00C9680B">
        <w:t xml:space="preserve"> Jag kanske kan tillåta mig en kommentar till debatten mellan Mats Odell och Johan Lönnroth.</w:t>
      </w:r>
    </w:p>
    <w:p w:rsidR="001C7BF9" w:rsidRPr="00C9680B" w:rsidRDefault="001C7BF9">
      <w:pPr>
        <w:pStyle w:val="Deltagare"/>
        <w:keepLines w:val="0"/>
        <w:spacing w:before="0" w:line="360" w:lineRule="auto"/>
        <w:rPr>
          <w:noProof w:val="0"/>
        </w:rPr>
      </w:pPr>
    </w:p>
    <w:p w:rsidR="001C7BF9" w:rsidRPr="00C9680B" w:rsidRDefault="001C7BF9">
      <w:pPr>
        <w:outlineLvl w:val="0"/>
      </w:pPr>
      <w:r w:rsidRPr="00C9680B">
        <w:rPr>
          <w:i/>
        </w:rPr>
        <w:t>Ordföranden:</w:t>
      </w:r>
      <w:r w:rsidRPr="00C9680B">
        <w:t xml:space="preserve"> Gör det gärna i form av en fråga till riksbank</w:t>
      </w:r>
      <w:r w:rsidRPr="00C9680B">
        <w:t>s</w:t>
      </w:r>
      <w:r w:rsidRPr="00C9680B">
        <w:t>chefen.</w:t>
      </w:r>
    </w:p>
    <w:p w:rsidR="001C7BF9" w:rsidRPr="00C9680B" w:rsidRDefault="001C7BF9">
      <w:pPr>
        <w:pStyle w:val="Deltagare"/>
        <w:keepLines w:val="0"/>
        <w:spacing w:before="0" w:line="360" w:lineRule="auto"/>
        <w:rPr>
          <w:noProof w:val="0"/>
        </w:rPr>
      </w:pPr>
    </w:p>
    <w:p w:rsidR="001C7BF9" w:rsidRPr="00C9680B" w:rsidRDefault="001C7BF9">
      <w:r w:rsidRPr="00C9680B">
        <w:rPr>
          <w:i/>
        </w:rPr>
        <w:t>Agne Hansson (c):</w:t>
      </w:r>
      <w:r w:rsidRPr="00C9680B">
        <w:t xml:space="preserve"> Det kan vara intressant att notera motståndet mot san</w:t>
      </w:r>
      <w:r w:rsidRPr="00C9680B">
        <w:t>e</w:t>
      </w:r>
      <w:r w:rsidRPr="00C9680B">
        <w:t>ringen av ekonomin och vilka som stod för det. Det kan ha betydelse för den ljusa bild vi fick. Jag ko</w:t>
      </w:r>
      <w:r w:rsidRPr="00C9680B">
        <w:t>m</w:t>
      </w:r>
      <w:r w:rsidRPr="00C9680B">
        <w:t>mer då in på min fråga.</w:t>
      </w:r>
    </w:p>
    <w:p w:rsidR="001C7BF9" w:rsidRPr="00C9680B" w:rsidRDefault="001C7BF9">
      <w:pPr>
        <w:pStyle w:val="Normaltindrag"/>
      </w:pPr>
      <w:r w:rsidRPr="00C9680B">
        <w:t>Vi letar efter en långsiktighet i tillväxten efter en sanering och reformering av ekonomin. Vi fick höra att Riksbanken i någon mån hade missbedömt flaskhalsarna på arbetsmarknaden i fråga om konjunkturens uthållighet och penningpolitiska regleringar. Vilken betydelse kan EU-medlemskapet ha haft för rörligheten på arbetsmarknade</w:t>
      </w:r>
      <w:r w:rsidRPr="00C9680B">
        <w:t>n i detta sammanhang? Har ni gjort någon analys av er bedömning av tidpunkten för flaskhalsproblematiken? Felb</w:t>
      </w:r>
      <w:r w:rsidRPr="00C9680B">
        <w:t>e</w:t>
      </w:r>
      <w:r w:rsidRPr="00C9680B">
        <w:t>dömning är ett alltför starkt ord. Har ni själva någon uppfattning om var ni missade i b</w:t>
      </w:r>
      <w:r w:rsidRPr="00C9680B">
        <w:t>e</w:t>
      </w:r>
      <w:r w:rsidRPr="00C9680B">
        <w:t>dömningen?</w:t>
      </w:r>
    </w:p>
    <w:p w:rsidR="001C7BF9" w:rsidRPr="00C9680B" w:rsidRDefault="001C7BF9">
      <w:pPr>
        <w:pStyle w:val="Normaltindrag"/>
      </w:pPr>
      <w:r w:rsidRPr="00C9680B">
        <w:t>Om jag förstod riksbankschefen rätt hotar i förlängningen en höjning av reporäntan. Oljepriset, lönebildningen och dollarn är tre hot. Hur bedömer Riksbanken konjunkturutvecklingen i USA? Det finns vissa tecken, t.ex. lastbilsförsäljningen, som visar på en avmattning. Hur påverkar det bedö</w:t>
      </w:r>
      <w:r w:rsidRPr="00C9680B">
        <w:t>m</w:t>
      </w:r>
      <w:r w:rsidRPr="00C9680B">
        <w:t>ningen av reporäntan inför framtiden?</w:t>
      </w:r>
    </w:p>
    <w:p w:rsidR="001C7BF9" w:rsidRPr="00C9680B" w:rsidRDefault="001C7BF9">
      <w:pPr>
        <w:pStyle w:val="Deltagare"/>
        <w:keepLines w:val="0"/>
        <w:spacing w:before="0" w:line="360" w:lineRule="auto"/>
        <w:rPr>
          <w:noProof w:val="0"/>
        </w:rPr>
      </w:pPr>
    </w:p>
    <w:p w:rsidR="001C7BF9" w:rsidRPr="00C9680B" w:rsidRDefault="001C7BF9">
      <w:r w:rsidRPr="00C9680B">
        <w:rPr>
          <w:i/>
        </w:rPr>
        <w:t>Urban Bäckström:</w:t>
      </w:r>
      <w:r w:rsidRPr="00C9680B">
        <w:t xml:space="preserve"> Jag har ingen exakt analys av hur EU-medlemskapet har påverkat utvecklingen i svensk ekonomi. Man kan säga, tentativt, att det har skärpt konkurrensen, och i den meningen har det varit bra. Det har påverkat prisutvec</w:t>
      </w:r>
      <w:r w:rsidRPr="00C9680B">
        <w:t>k</w:t>
      </w:r>
      <w:r w:rsidRPr="00C9680B">
        <w:t>lingen.</w:t>
      </w:r>
    </w:p>
    <w:p w:rsidR="001C7BF9" w:rsidRPr="00C9680B" w:rsidRDefault="001C7BF9">
      <w:pPr>
        <w:pStyle w:val="Normaltindrag"/>
      </w:pPr>
      <w:r w:rsidRPr="00C9680B">
        <w:t>Man kan studera olika grupper på och utanför arbetsmarknaden och antalet arbetade timmar. Tekniskt sett finns i dag ett utrymme för att expandera sy</w:t>
      </w:r>
      <w:r w:rsidRPr="00C9680B">
        <w:t>s</w:t>
      </w:r>
      <w:r w:rsidRPr="00C9680B">
        <w:t>selsättningen med så mycket som 13 %. Men så mycket kan den inte expa</w:t>
      </w:r>
      <w:r w:rsidRPr="00C9680B">
        <w:t>n</w:t>
      </w:r>
      <w:r w:rsidRPr="00C9680B">
        <w:t>dera. Människor bor inte precis där jobben finns. De har inte exakt den u</w:t>
      </w:r>
      <w:r w:rsidRPr="00C9680B">
        <w:t>t</w:t>
      </w:r>
      <w:r w:rsidRPr="00C9680B">
        <w:t xml:space="preserve">bildning som krävs för det jobb som finns ledigt någon annanstans. Det tar tid att omskola sig. Det tar tid att flytta. Det gör att man inte kommer hela vägen. Alla vill heller inte söka jobb. De tackar nej till ett jobb som erbjuds även om de kunde ta det. De kanske vill vänta på ett som ger bättre betalt. Det finns en matchningsproblematik. </w:t>
      </w:r>
    </w:p>
    <w:p w:rsidR="001C7BF9" w:rsidRPr="00C9680B" w:rsidRDefault="001C7BF9">
      <w:pPr>
        <w:pStyle w:val="Normaltindrag"/>
      </w:pPr>
      <w:r w:rsidRPr="00C9680B">
        <w:t>När det stora gapet h</w:t>
      </w:r>
      <w:r w:rsidRPr="00C9680B">
        <w:t>ar öppnat sig har frågan varit: Hur många av dessa personer är anställningsbara i något slags mening, geografiskt, yrkesmässigt? Hur många vill jobba? Hur många blir utslagna i en sådan process?</w:t>
      </w:r>
    </w:p>
    <w:p w:rsidR="001C7BF9" w:rsidRPr="00C9680B" w:rsidRDefault="001C7BF9">
      <w:pPr>
        <w:pStyle w:val="Normaltindrag"/>
      </w:pPr>
      <w:r w:rsidRPr="00C9680B">
        <w:t>Det var inte så när vi gick igenom krisen i början på 90-talet att alla företag drog ned arbetsstyrkan, och så kom efterfrågan på, och då växlade man upp arbetsstyrkan igen. Så var det inte, utan företag slogs ut. De företag som finns och expanderar i dag är inte samma företag som fanns då. De finns heller inte på s</w:t>
      </w:r>
      <w:r w:rsidRPr="00C9680B">
        <w:t>amma ort.</w:t>
      </w:r>
    </w:p>
    <w:p w:rsidR="001C7BF9" w:rsidRPr="00C9680B" w:rsidRDefault="001C7BF9">
      <w:pPr>
        <w:pStyle w:val="Normaltindrag"/>
      </w:pPr>
      <w:r w:rsidRPr="00C9680B">
        <w:t>Det har skett förändringar i produktionsstrukturen, och följaktligen måste arbetskraften följa med i de förändringarna. Därför har frågan hela tiden varit: Hur många av dessa personer har kunnat komma i jobb i produktion?</w:t>
      </w:r>
    </w:p>
    <w:p w:rsidR="001C7BF9" w:rsidRPr="00C9680B" w:rsidRDefault="001C7BF9">
      <w:pPr>
        <w:pStyle w:val="Normaltindrag"/>
      </w:pPr>
      <w:r w:rsidRPr="00C9680B">
        <w:t>Där har vi gradvis över åren förändrat vår syn för att ha något slags säke</w:t>
      </w:r>
      <w:r w:rsidRPr="00C9680B">
        <w:t>r</w:t>
      </w:r>
      <w:r w:rsidRPr="00C9680B">
        <w:t>hetsmarginal i politiken. Vi har inte varit de sista att ändra vår syn. Det s</w:t>
      </w:r>
      <w:r w:rsidRPr="00C9680B">
        <w:t>e</w:t>
      </w:r>
      <w:r w:rsidRPr="00C9680B">
        <w:t>naste året har vi blivit väl så kritiserade från ledande konjunkturbedömare för att vi varit alldeles för optimistiska. Man har tyckt att det varit mycket unde</w:t>
      </w:r>
      <w:r w:rsidRPr="00C9680B">
        <w:t>r</w:t>
      </w:r>
      <w:r w:rsidRPr="00C9680B">
        <w:t>ligt att vi inte har höjt reporäntan.</w:t>
      </w:r>
    </w:p>
    <w:p w:rsidR="001C7BF9" w:rsidRPr="00C9680B" w:rsidRDefault="001C7BF9">
      <w:pPr>
        <w:pStyle w:val="Normaltindrag"/>
      </w:pPr>
      <w:r w:rsidRPr="00C9680B">
        <w:t>Detta har nu ändrats lite grann. Det är fler som har sett att ekonomin fu</w:t>
      </w:r>
      <w:r w:rsidRPr="00C9680B">
        <w:t>n</w:t>
      </w:r>
      <w:r w:rsidRPr="00C9680B">
        <w:t>gerar bättre. En centralbank ska naturligtvis gå i fronten för en sådan utvec</w:t>
      </w:r>
      <w:r w:rsidRPr="00C9680B">
        <w:t>k</w:t>
      </w:r>
      <w:r w:rsidRPr="00C9680B">
        <w:t>ling, om den har påtagligt stöd för sin syn, och det har vi försökt att göra.</w:t>
      </w:r>
    </w:p>
    <w:p w:rsidR="001C7BF9" w:rsidRPr="00C9680B" w:rsidRDefault="001C7BF9">
      <w:pPr>
        <w:pStyle w:val="Normaltindrag"/>
      </w:pPr>
      <w:r w:rsidRPr="00C9680B">
        <w:t>Låt mig korrigera Agne Hansson på en punkt. Det är inte oljan och kr</w:t>
      </w:r>
      <w:r w:rsidRPr="00C9680B">
        <w:t>o</w:t>
      </w:r>
      <w:r w:rsidRPr="00C9680B">
        <w:t>nans utveckling som är det väldigt väsentliga i riskbedömningen eller det som gör att vi går mot en räntehöjning, utan det är arbetsmarknaden.</w:t>
      </w:r>
    </w:p>
    <w:p w:rsidR="001C7BF9" w:rsidRPr="00C9680B" w:rsidRDefault="001C7BF9">
      <w:pPr>
        <w:pStyle w:val="Normaltindrag"/>
      </w:pPr>
      <w:r w:rsidRPr="00C9680B">
        <w:t>Någonstans naggar vi utrymmet för mycket i kanten. Det visar sig att f</w:t>
      </w:r>
      <w:r w:rsidRPr="00C9680B">
        <w:t>ö</w:t>
      </w:r>
      <w:r w:rsidRPr="00C9680B">
        <w:t>retagen säger att de inte får tag i arbetskraft. När det blir för utbrett i svensk ekonomi kommer löneglidningen att ta fart. Då börjar man bjuda över varan</w:t>
      </w:r>
      <w:r w:rsidRPr="00C9680B">
        <w:t>d</w:t>
      </w:r>
      <w:r w:rsidRPr="00C9680B">
        <w:t>ra för att locka över arbetskraft från det ena företaget till det andra, och då hamnar vi i en löneglidningskarusell.</w:t>
      </w:r>
    </w:p>
    <w:p w:rsidR="001C7BF9" w:rsidRPr="00C9680B" w:rsidRDefault="001C7BF9">
      <w:pPr>
        <w:pStyle w:val="Normaltindrag"/>
      </w:pPr>
      <w:r w:rsidRPr="00C9680B">
        <w:t xml:space="preserve">Det får inte ske. Därför måste vi i något skede höja reporäntan, så länge som sysselsättningen ökar så snabbt som den gör. Sedan kan det naturligtvis inträffa saker i världsekonomin som gör att det sker en spontan dämpning. Men det ser </w:t>
      </w:r>
      <w:r w:rsidRPr="00C9680B">
        <w:t>vi nu inga tecken på. Den amerikanska utvecklingen tyder så här långt på att det sker något slags dämpning under ordnade former. Det finns inbyggt i vårt scenario.</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Agne Hansson (c): </w:t>
      </w:r>
      <w:r w:rsidRPr="00C9680B">
        <w:t>Jag tackar för de svaren. Det är intressant vad som möjl</w:t>
      </w:r>
      <w:r w:rsidRPr="00C9680B">
        <w:t>i</w:t>
      </w:r>
      <w:r w:rsidRPr="00C9680B">
        <w:t>gen kan göras, för att Urban Bäckström och Riksbanken ska bli ännu mer optimistiska, för att ta till vara kapacitetsutrymmet effektivt.</w:t>
      </w:r>
    </w:p>
    <w:p w:rsidR="001C7BF9" w:rsidRPr="00C9680B" w:rsidRDefault="001C7BF9">
      <w:pPr>
        <w:pStyle w:val="Normaltindrag"/>
      </w:pPr>
      <w:r w:rsidRPr="00C9680B">
        <w:t>Jag skulle vilja komplettera min fråga. Förändringar till det positiva har skett. Kan möjligen den s.k. effekten av den s.k. nya ekonomin haft någon betydelse? Har ni några spår av den, och i så fall åt vilket håll? Vad drar ni för slu</w:t>
      </w:r>
      <w:r w:rsidRPr="00C9680B">
        <w:t>t</w:t>
      </w:r>
      <w:r w:rsidRPr="00C9680B">
        <w:t>satser?</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Urban Bäckström: </w:t>
      </w:r>
      <w:r w:rsidRPr="00C9680B">
        <w:t>Jag är inte så förtjust i det ordet, om jag ska vara ärlig. Jag har försökt att säga det. Jag läste en bok skriven av ekonomiprofessorn Schiller för inte så länge sedan. Det är säkert flera av er andra som har läst den. Han tittade där på aktiemarknaden.</w:t>
      </w:r>
    </w:p>
    <w:p w:rsidR="001C7BF9" w:rsidRPr="00C9680B" w:rsidRDefault="001C7BF9">
      <w:pPr>
        <w:pStyle w:val="Normaltindrag"/>
      </w:pPr>
      <w:r w:rsidRPr="00C9680B">
        <w:t>Han dokumenterar att vi har haft den typen av uttryck i hundra år. Om n</w:t>
      </w:r>
      <w:r w:rsidRPr="00C9680B">
        <w:t>å</w:t>
      </w:r>
      <w:r w:rsidRPr="00C9680B">
        <w:t>got har dessa uttryck, när de går runt i pressdebatten, lett till en eufori som inte har varit så hälsosam. Ny ekonomi leder tanken dithän att det är något helt nytt som inträder där gamla lagar slutar att gälla.</w:t>
      </w:r>
    </w:p>
    <w:p w:rsidR="001C7BF9" w:rsidRPr="00C9680B" w:rsidRDefault="001C7BF9">
      <w:pPr>
        <w:pStyle w:val="Normaltindrag"/>
      </w:pPr>
      <w:r w:rsidRPr="00C9680B">
        <w:t>Jag tror säkert att det också var en ny ekonomi när elektriciteten, ångm</w:t>
      </w:r>
      <w:r w:rsidRPr="00C9680B">
        <w:t>a</w:t>
      </w:r>
      <w:r w:rsidRPr="00C9680B">
        <w:t>skinen eller alla de andra uppfinningarna kom.Vår välståndsutveckling föru</w:t>
      </w:r>
      <w:r w:rsidRPr="00C9680B">
        <w:t>t</w:t>
      </w:r>
      <w:r w:rsidRPr="00C9680B">
        <w:t>sätter att det ständigt kommer en ny ekonomi. Det är inte särskilt konstigt. Vill vi ha arbetstidsförkortning och reallöneökningar får vi faktiskt se till att det blir en ny ekonomi nästan jämt.</w:t>
      </w:r>
    </w:p>
    <w:p w:rsidR="001C7BF9" w:rsidRPr="00C9680B" w:rsidRDefault="001C7BF9">
      <w:pPr>
        <w:pStyle w:val="Normaltindrag"/>
      </w:pPr>
      <w:r w:rsidRPr="00C9680B">
        <w:t>Det som sker med Internet och informationstekniken kommer att ha e</w:t>
      </w:r>
      <w:r w:rsidRPr="00C9680B">
        <w:t>f</w:t>
      </w:r>
      <w:r w:rsidRPr="00C9680B">
        <w:t>fekter på en mängd olika områden. Man kan jämföra det med järnvägens tillkomst i Sverige under andra halvan av 1800-talet. Jag har kanske gjort det tidigare i utskottet. Ekonomin går igenom tre faser.</w:t>
      </w:r>
    </w:p>
    <w:p w:rsidR="001C7BF9" w:rsidRPr="00C9680B" w:rsidRDefault="001C7BF9">
      <w:pPr>
        <w:pStyle w:val="Normaltindrag"/>
      </w:pPr>
      <w:r w:rsidRPr="00C9680B">
        <w:t>Den första fasen är att järnvägsindustrin blomstrar, IT-industrin i dagens värld. Den andra fasen är att människorna börjar resa på tågen och se sig om på andra orter i landet, dvs. man surfar på nätet och börjar titta på olika saker runtom i världen. Den tredje fasen är när järnvägen påverkar produktionens f</w:t>
      </w:r>
      <w:r w:rsidRPr="00C9680B">
        <w:t>örläggning och konsumtionsmönstret. Man kan importera saker väldigt bra och enkelt om man har ett järnvägsnät som fungerar.</w:t>
      </w:r>
    </w:p>
    <w:p w:rsidR="001C7BF9" w:rsidRPr="00C9680B" w:rsidRDefault="001C7BF9">
      <w:pPr>
        <w:pStyle w:val="Normaltindrag"/>
      </w:pPr>
      <w:r w:rsidRPr="00C9680B">
        <w:t>Man kan också rationalisera produktionen om man har ett väl fungerande järnvägsnät. Samma sak är det med informationstekniken. Även om många av dessa företag just nu har det svårt förenklar det naturligtvis högst betydligt att kunna handla över nätet. Det påverkar företagens kostnader, och det impl</w:t>
      </w:r>
      <w:r w:rsidRPr="00C9680B">
        <w:t>e</w:t>
      </w:r>
      <w:r w:rsidRPr="00C9680B">
        <w:t>menteras successivt i ekonomin.</w:t>
      </w:r>
    </w:p>
    <w:p w:rsidR="001C7BF9" w:rsidRPr="00C9680B" w:rsidRDefault="001C7BF9">
      <w:pPr>
        <w:pStyle w:val="Normaltindrag"/>
      </w:pPr>
      <w:r w:rsidRPr="00C9680B">
        <w:t>Det tredje steget är det verkligt stora steget i sådana faser. Det tror jag li</w:t>
      </w:r>
      <w:r w:rsidRPr="00C9680B">
        <w:t>g</w:t>
      </w:r>
      <w:r w:rsidRPr="00C9680B">
        <w:t>ger framför oss. Men det är väldigt svårt att säga i vilket tidsperspektiv och i vilken omfattning det kommer att påverka oss. Det är inte så att det är noll eller ett. Redan i dag har vi säkert fått gradvis mer och mer inslag av ny te</w:t>
      </w:r>
      <w:r w:rsidRPr="00C9680B">
        <w:t>k</w:t>
      </w:r>
      <w:r w:rsidRPr="00C9680B">
        <w:t>nik i vår produktion. Teknikfaktorns totalfaktor av produktiviteten har börjat öka trendmässigt under 1990-talet. Det är säkert ett utslag av detta.</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Karin Pilsäter (fp): </w:t>
      </w:r>
      <w:r w:rsidRPr="00C9680B">
        <w:t>Riksbankens bedömningar handlar, som vi har fått en diskussion om här, framför allt om siktet på två år. Era insatser får effekt långt efter det att ni har uträttat dem. Men samtidigt visar mycket av bakgru</w:t>
      </w:r>
      <w:r w:rsidRPr="00C9680B">
        <w:t>n</w:t>
      </w:r>
      <w:r w:rsidRPr="00C9680B">
        <w:t>den till att det går så pass bra för Sveriges ekonomi att de politiska insatserna kanske har ännu längre ledtider innan det händer någonting. Väldigt många av de saker som i dag bedöms som positiva är sådant som man gjorde för fem, sex, sju, åtta, tio år sedan.</w:t>
      </w:r>
    </w:p>
    <w:p w:rsidR="001C7BF9" w:rsidRPr="00C9680B" w:rsidRDefault="001C7BF9">
      <w:pPr>
        <w:pStyle w:val="Normaltindrag"/>
      </w:pPr>
      <w:r w:rsidRPr="00C9680B">
        <w:t>Därför är det viktigt för oss som jobbar me</w:t>
      </w:r>
      <w:r w:rsidRPr="00C9680B">
        <w:t>d politik att i kanske ännu mer god tid än vad ni har gjort försöka dra slutsatser om vad man ska göra. Jag skulle därför vilja ställa ytterligare några frågor som gäller just arbetsmarkn</w:t>
      </w:r>
      <w:r w:rsidRPr="00C9680B">
        <w:t>a</w:t>
      </w:r>
      <w:r w:rsidRPr="00C9680B">
        <w:t>dens funktionssätt.</w:t>
      </w:r>
    </w:p>
    <w:p w:rsidR="001C7BF9" w:rsidRPr="00C9680B" w:rsidRDefault="001C7BF9">
      <w:pPr>
        <w:pStyle w:val="Normaltindrag"/>
      </w:pPr>
      <w:r w:rsidRPr="00C9680B">
        <w:t>Vi fick här höra hur noga riksbankschefen var med att påpeka att allt ska rymmas inom måttet för ökad arbetsproduktivitet och inflationsmål, oavsett hur man tar ut förbättringarna. Då är det viktigt att veta hur man mäter denna produktivitet så att man vet inom vilket mått det ska rymmas.</w:t>
      </w:r>
    </w:p>
    <w:p w:rsidR="001C7BF9" w:rsidRPr="00C9680B" w:rsidRDefault="001C7BF9">
      <w:pPr>
        <w:pStyle w:val="Normaltindrag"/>
      </w:pPr>
      <w:r w:rsidRPr="00C9680B">
        <w:t>Det finns väldigt dåliga produktivitetsmått för stora delar av tjänstesektorn. Det är också den del av tjänstesektorn som de flesta bedömer kommer att öka mer och mer. Det gäller i vårt land särskilt det som finns inom den offentliga sektorn. Där har man generellt sett dåliga mätmetoder. Genom att det fung</w:t>
      </w:r>
      <w:r w:rsidRPr="00C9680B">
        <w:t>e</w:t>
      </w:r>
      <w:r w:rsidRPr="00C9680B">
        <w:t>rar på ett annat sätt inom offentligt reglerad verksamhet än vad det gör inom privat verksamhet kanske det blir ännu svårare att finna mätmetoder.</w:t>
      </w:r>
    </w:p>
    <w:p w:rsidR="001C7BF9" w:rsidRPr="00C9680B" w:rsidRDefault="001C7BF9">
      <w:pPr>
        <w:pStyle w:val="Normaltindrag"/>
      </w:pPr>
      <w:r w:rsidRPr="00C9680B">
        <w:t>Jag har t.ex. sett en mätning från Landstingsförbundet som mäter vården. Där menade man på att det år 1991–1994 var en produktivitetsökning på 15 procentenheter medan det därefter i stort sett inte har varit någon ökning alls fram till år 1999. Det skulle indikera att produktiviteten är väsentligt sämre än det som ni har mätt. Å andra sidan finns det mycket disk</w:t>
      </w:r>
      <w:r w:rsidRPr="00C9680B">
        <w:t>ussioner om att man i dessa mätningar inte fångar in kvalitetsökningarna, så att man missar där.</w:t>
      </w:r>
    </w:p>
    <w:p w:rsidR="001C7BF9" w:rsidRPr="00C9680B" w:rsidRDefault="001C7BF9">
      <w:pPr>
        <w:pStyle w:val="Normaltindrag"/>
      </w:pPr>
      <w:r w:rsidRPr="00C9680B">
        <w:t>Jag skulle vilja höra lite om hur ni jobbar med att bedöma de olika pr</w:t>
      </w:r>
      <w:r w:rsidRPr="00C9680B">
        <w:t>o</w:t>
      </w:r>
      <w:r w:rsidRPr="00C9680B">
        <w:t>duktivitetsmätningarna och för att få fram bättre produktivitetsmått inom de mer mjuka sektorerna inom tjänstesektorn, och då delvis det som ligger i offentlig sektor.</w:t>
      </w:r>
    </w:p>
    <w:p w:rsidR="001C7BF9" w:rsidRPr="00C9680B" w:rsidRDefault="001C7BF9">
      <w:pPr>
        <w:pStyle w:val="Normaltindrag"/>
      </w:pPr>
      <w:r w:rsidRPr="00C9680B">
        <w:t>Det andra gäller arbetstidsförkortningar och sådant. Det råder förhop</w:t>
      </w:r>
      <w:r w:rsidRPr="00C9680B">
        <w:t>p</w:t>
      </w:r>
      <w:r w:rsidRPr="00C9680B">
        <w:t>ningsvis inga delade meningar inom stora delar av samhällsektorn att allting ska rymmas. Men vad skulle Riksbanken säga att osäkerheten om lagstif</w:t>
      </w:r>
      <w:r w:rsidRPr="00C9680B">
        <w:t>t</w:t>
      </w:r>
      <w:r w:rsidRPr="00C9680B">
        <w:t>ningens utformning får för effekter? På vilket sätt har ni bedömt osäkerheten om vad riksdagen tänker lagstifta om och hur det kommer att mer kortsiktigt slå på vad som händer på arbetsmarknaden?</w:t>
      </w:r>
    </w:p>
    <w:p w:rsidR="001C7BF9" w:rsidRPr="00C9680B" w:rsidRDefault="001C7BF9">
      <w:pPr>
        <w:pStyle w:val="Normaltindrag"/>
      </w:pPr>
      <w:r w:rsidRPr="00C9680B">
        <w:t>Jag noterade att vice riksbankschefen Willy Bergström häromdagen sade att det kvarstår orosmoment. Det föreligger nämligen uppenbara obalanser och felaktiga lönerelatio</w:t>
      </w:r>
      <w:r w:rsidRPr="00C9680B">
        <w:t>ner på arbetsmarknaden, säger han. Det låter som om det inte är fullt så ljust som det har framgått hittills.</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Urban Bäckström: </w:t>
      </w:r>
      <w:r w:rsidRPr="00C9680B">
        <w:t>När det gäller det första tror jag att Karin Pilsäter har alldeles rätt. Det är oerhört långa ledtider i de ekonomisk-politiska åtgärder som vidtas i dessa riksdagens husbyggnader. Vidtar man strukturella förän</w:t>
      </w:r>
      <w:r w:rsidRPr="00C9680B">
        <w:t>d</w:t>
      </w:r>
      <w:r w:rsidRPr="00C9680B">
        <w:t>ringar av svensk ekonomi, det må vara ett bidrag, en skatteåtgärd eller någo</w:t>
      </w:r>
      <w:r w:rsidRPr="00C9680B">
        <w:t>n</w:t>
      </w:r>
      <w:r w:rsidRPr="00C9680B">
        <w:t>ting annat, tar det kanske fem, tio, femton år innan det slår ut i konkreta sif</w:t>
      </w:r>
      <w:r w:rsidRPr="00C9680B">
        <w:t>f</w:t>
      </w:r>
      <w:r w:rsidRPr="00C9680B">
        <w:t>ror.</w:t>
      </w:r>
    </w:p>
    <w:p w:rsidR="001C7BF9" w:rsidRPr="00C9680B" w:rsidRDefault="001C7BF9">
      <w:pPr>
        <w:pStyle w:val="Normaltindrag"/>
      </w:pPr>
      <w:r w:rsidRPr="00C9680B">
        <w:t>Då kan man också, precis som på 70-talet, låta sig luras av att det ser gan</w:t>
      </w:r>
      <w:r w:rsidRPr="00C9680B">
        <w:t>s</w:t>
      </w:r>
      <w:r w:rsidRPr="00C9680B">
        <w:t>ka hyggligt ut i alla fall, och så vidtar man nästa åtgärd. Men vi såg att t.ex. de åtgärderna strukturellt ledde till en oerhört svag utveckling under slutet av 80-talet. Ekonomin överhettades vid väldigt låga tillväxttal. Vi fick aldrig in trean, för att återknyta till Mats Odells liknelser, utan vi fick köra på låga växlar. Det tror jag är en lärdom från de senaste decennierna, både positivt och neg</w:t>
      </w:r>
      <w:r w:rsidRPr="00C9680B">
        <w:t>a</w:t>
      </w:r>
      <w:r w:rsidRPr="00C9680B">
        <w:t>tivt.</w:t>
      </w:r>
    </w:p>
    <w:p w:rsidR="001C7BF9" w:rsidRPr="00C9680B" w:rsidRDefault="001C7BF9">
      <w:pPr>
        <w:pStyle w:val="Normaltindrag"/>
      </w:pPr>
      <w:r w:rsidRPr="00C9680B">
        <w:t>När det gäller olika mått på produktiviteten är det alldeles riktigt att det är svårt, särskilt när</w:t>
      </w:r>
      <w:r w:rsidRPr="00C9680B">
        <w:t xml:space="preserve"> man mäter på enskilda sektorer. Men jag tror inte att det är ett mätproblem för fack och arbetsgivare. De har utomordentligt goda och kompetenta resurser när det gäller att bedöma löneutfall. Jag tror att det handlar om förhandlingsstyrka, pressen från medlemmarna och inte minst läget på arbetsmarknaden.</w:t>
      </w:r>
    </w:p>
    <w:p w:rsidR="001C7BF9" w:rsidRPr="00C9680B" w:rsidRDefault="001C7BF9">
      <w:pPr>
        <w:pStyle w:val="Normaltindrag"/>
      </w:pPr>
      <w:r w:rsidRPr="00C9680B">
        <w:t>Är det utbredd arbetskraftsbrist– och vi ser åtminstone något exempel på det i våra nordiska grannländer – är det klart att medlemmarnas förväntningar växer. Då är det inte så lätt för en fackföreningsledn</w:t>
      </w:r>
      <w:r w:rsidRPr="00C9680B">
        <w:t>ing att förespråka åte</w:t>
      </w:r>
      <w:r w:rsidRPr="00C9680B">
        <w:t>r</w:t>
      </w:r>
      <w:r w:rsidRPr="00C9680B">
        <w:t>hållsamma löneökningar. I värsta fall – och det har vi också sett exempel på i Sverige – röstar man bort ledningen och röstar in en ny. Det är inte så lätt.</w:t>
      </w:r>
    </w:p>
    <w:p w:rsidR="001C7BF9" w:rsidRPr="00C9680B" w:rsidRDefault="001C7BF9">
      <w:pPr>
        <w:pStyle w:val="Normaltindrag"/>
      </w:pPr>
      <w:r w:rsidRPr="00C9680B">
        <w:t>Det är ekonomins grundläggande lagar som ändå i någon mening bestä</w:t>
      </w:r>
      <w:r w:rsidRPr="00C9680B">
        <w:t>m</w:t>
      </w:r>
      <w:r w:rsidRPr="00C9680B">
        <w:t>mer lönebildningen. Det är viktigt, i den mån man har kontroll på förhan</w:t>
      </w:r>
      <w:r w:rsidRPr="00C9680B">
        <w:t>d</w:t>
      </w:r>
      <w:r w:rsidRPr="00C9680B">
        <w:t>lingsprocessen, att klara ut att allt måste rymmas i ramen. Alla kostnader måste vara med. Vi tittar på detta från BNP-nivå. Vi kan mäta med någon hygglig precision att löneutrymmet, beräknat på traditionellt sett, ligger på 3½–4 %.</w:t>
      </w:r>
    </w:p>
    <w:p w:rsidR="001C7BF9" w:rsidRPr="00C9680B" w:rsidRDefault="001C7BF9">
      <w:pPr>
        <w:pStyle w:val="Normaltindrag"/>
      </w:pPr>
      <w:r w:rsidRPr="00C9680B">
        <w:t>Det här är inte på något sätt kontroversiellt. Det har både fackliga ekon</w:t>
      </w:r>
      <w:r w:rsidRPr="00C9680B">
        <w:t>o</w:t>
      </w:r>
      <w:r w:rsidRPr="00C9680B">
        <w:t>mer och ekonomer från arbetsgivarsidan kommit fram till. Det gäller bara att detta också återspeglas i de samtal eller förhandlingar som nu förs på arbet</w:t>
      </w:r>
      <w:r w:rsidRPr="00C9680B">
        <w:t>s</w:t>
      </w:r>
      <w:r w:rsidRPr="00C9680B">
        <w:t>mar</w:t>
      </w:r>
      <w:r w:rsidRPr="00C9680B">
        <w:t>k</w:t>
      </w:r>
      <w:r w:rsidRPr="00C9680B">
        <w:t>naden.</w:t>
      </w:r>
    </w:p>
    <w:p w:rsidR="001C7BF9" w:rsidRPr="00C9680B" w:rsidRDefault="001C7BF9">
      <w:pPr>
        <w:pStyle w:val="Deltagare"/>
        <w:keepLines w:val="0"/>
        <w:spacing w:before="0" w:line="360" w:lineRule="auto"/>
        <w:rPr>
          <w:noProof w:val="0"/>
        </w:rPr>
      </w:pPr>
    </w:p>
    <w:p w:rsidR="001C7BF9" w:rsidRPr="00C9680B" w:rsidRDefault="001C7BF9">
      <w:r w:rsidRPr="00C9680B">
        <w:rPr>
          <w:i/>
        </w:rPr>
        <w:t>Karin Pilsäter (fp):</w:t>
      </w:r>
      <w:r w:rsidRPr="00C9680B">
        <w:t xml:space="preserve"> Tack. Jag skulle vilja ställa ytterligare två snabba frågor som har att göra med just de mer långsiktiga frågorna. Den ena frågan gäller konjunkturkänsligheten i de offentliga finanserna, som ju fortfarande ligger väldigt högt. I era precis som i alla andras bedömningar ligger ändå nedgån</w:t>
      </w:r>
      <w:r w:rsidRPr="00C9680B">
        <w:t>g</w:t>
      </w:r>
      <w:r w:rsidRPr="00C9680B">
        <w:t>en inom en överblickbar horisont. Man vet inte hur långt ner det går, men att det vänder och börjar gå nedåt. Hur jobbar Riksbanken med att parera framt</w:t>
      </w:r>
      <w:r w:rsidRPr="00C9680B">
        <w:t>i</w:t>
      </w:r>
      <w:r w:rsidRPr="00C9680B">
        <w:t xml:space="preserve">da effekter av den kraftiga konjunkturkänslighet som vi fortfarande </w:t>
      </w:r>
      <w:r w:rsidRPr="00C9680B">
        <w:t>har?</w:t>
      </w:r>
    </w:p>
    <w:p w:rsidR="001C7BF9" w:rsidRPr="00C9680B" w:rsidRDefault="001C7BF9">
      <w:pPr>
        <w:pStyle w:val="Normaltindrag"/>
      </w:pPr>
      <w:r w:rsidRPr="00C9680B">
        <w:t>Den andra frågan gäller, som också nämnts här, att det råder stora obala</w:t>
      </w:r>
      <w:r w:rsidRPr="00C9680B">
        <w:t>n</w:t>
      </w:r>
      <w:r w:rsidRPr="00C9680B">
        <w:t>ser regionalt i landet. Hur pass mycket skulle riksbankschefen vilja säga att de brister som nu uppstår påverkar? Det är brist på bostäder och byggnadsarbet</w:t>
      </w:r>
      <w:r w:rsidRPr="00C9680B">
        <w:t>a</w:t>
      </w:r>
      <w:r w:rsidRPr="00C9680B">
        <w:t>re där det finns jobb och tvärtom, dvs. det är överskott på arbetskraft och bostäder där det inte finns jobb. Hur allvarliga är de obalanserna?</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Urban Bäckström: </w:t>
      </w:r>
      <w:r w:rsidRPr="00C9680B">
        <w:t xml:space="preserve"> Byggnadsarbetare är väl den mest flexibla kategori vi har på svensk arbetsmarknad. Där byggen drar i gång kommer det byggnadsa</w:t>
      </w:r>
      <w:r w:rsidRPr="00C9680B">
        <w:t>r</w:t>
      </w:r>
      <w:r w:rsidRPr="00C9680B">
        <w:t>betare. Sedan kan lönerna dra i väg lite grann.</w:t>
      </w:r>
    </w:p>
    <w:p w:rsidR="001C7BF9" w:rsidRPr="00C9680B" w:rsidRDefault="001C7BF9">
      <w:pPr>
        <w:pStyle w:val="Normaltindrag"/>
      </w:pPr>
      <w:r w:rsidRPr="00C9680B">
        <w:t>Det är klart att infrastrukturen spelar en roll här. När det gäller Stoc</w:t>
      </w:r>
      <w:r w:rsidRPr="00C9680B">
        <w:t>k</w:t>
      </w:r>
      <w:r w:rsidRPr="00C9680B">
        <w:t>holmsområdets infrastruktur och kommunikationerna märker man att det blir mer och mer folk. Det märker de som kör bil och även de som åker komm</w:t>
      </w:r>
      <w:r w:rsidRPr="00C9680B">
        <w:t>u</w:t>
      </w:r>
      <w:r w:rsidRPr="00C9680B">
        <w:t>nalt. Det märks också på lägenhetspriser och fastighetspriser. Det är ett tryck på storstadsregioner. Här sker en stor del av tillväxten i den här delen av landet. Det är klart att ju bättre infrastrukturen fungerar, desto bättre blir förstås möjligheterna till tillväxt. Det är självklart.</w:t>
      </w:r>
    </w:p>
    <w:p w:rsidR="001C7BF9" w:rsidRPr="00C9680B" w:rsidRDefault="001C7BF9">
      <w:pPr>
        <w:pStyle w:val="Normaltindrag"/>
      </w:pPr>
      <w:r w:rsidRPr="00C9680B">
        <w:t>När det gäller konjunkturkänsligheten i de offentliga finanserna ska jag ödm</w:t>
      </w:r>
      <w:r w:rsidRPr="00C9680B">
        <w:t>jukt säga att vi på Riksbanken inte är några experter på offentliga fina</w:t>
      </w:r>
      <w:r w:rsidRPr="00C9680B">
        <w:t>n</w:t>
      </w:r>
      <w:r w:rsidRPr="00C9680B">
        <w:t>ser. Vi gör nog lika mycket fel i våra beräkningar som andra gör. Men det viktiga är att vi amorterar ned statsskulden så att vi kommer tillbaka till i vart fall det läge vi hade när vi gick in i 1990-talet och den stora krisen slog till.</w:t>
      </w:r>
    </w:p>
    <w:p w:rsidR="001C7BF9" w:rsidRPr="00C9680B" w:rsidRDefault="001C7BF9">
      <w:pPr>
        <w:pStyle w:val="Normaltindrag"/>
      </w:pPr>
      <w:r w:rsidRPr="00C9680B">
        <w:t>Det värsta som skulle kunna hända oss är att vi ligger kvar med en stor statsskuld, och så drabbar oss en ny kris som vi i dag inte kan förutse. Då kan vi aldrig ta oss ur den. Länder som hamnar på en</w:t>
      </w:r>
      <w:r w:rsidRPr="00C9680B">
        <w:t xml:space="preserve"> skuldkvotnivå på 100 % eller 150 % av BNP har oerhört svårt att ta sig ur det, därför att de hamnar i räntefällan.</w:t>
      </w:r>
    </w:p>
    <w:p w:rsidR="001C7BF9" w:rsidRPr="00C9680B" w:rsidRDefault="001C7BF9">
      <w:pPr>
        <w:pStyle w:val="Normaltindrag"/>
      </w:pPr>
      <w:r w:rsidRPr="00C9680B">
        <w:t>Det är det viktigaste vi gör nu. Jag förstår att pengarna kan bränna i fickan hos vissa politiska företrädare. Vi måste amortera ned så att vi kommer bort från den skulduppbyggnad vi hade under 1990-talet. Jag vet inte om vi har någon overheadbild på detta, men skulden var ca 40 % av BNP. Det är rimligt att komma ned så att vi får bort den räntebörda och skuldbörda som vi ådrog oss vid den kri</w:t>
      </w:r>
      <w:r w:rsidRPr="00C9680B">
        <w:t>sen med allt som gick till bankkriser, andra åtgärder, arbetslö</w:t>
      </w:r>
      <w:r w:rsidRPr="00C9680B">
        <w:t>s</w:t>
      </w:r>
      <w:r w:rsidRPr="00C9680B">
        <w:t>hetsunderstöd och alltihop.</w:t>
      </w:r>
    </w:p>
    <w:p w:rsidR="001C7BF9" w:rsidRPr="00C9680B" w:rsidRDefault="001C7BF9">
      <w:pPr>
        <w:pStyle w:val="Normaltindrag"/>
      </w:pPr>
      <w:r w:rsidRPr="00C9680B">
        <w:t>Man kan diskutera om man ska gå ännu längre, men det är ett först</w:t>
      </w:r>
      <w:r w:rsidRPr="00C9680B">
        <w:t>a</w:t>
      </w:r>
      <w:r w:rsidRPr="00C9680B">
        <w:t>handskrav. Jag märker nu att det finns tendenser i den ekonomisk-politiska debatten. Vi ser hur det diskuteras i vårt grannland Norge och att pengarna bränner i fickan. Nu har man inte där de skulder som vi drog på oss. Men det är viktigt att finansutskottets ledamöter går i bräschen för att hålla i utvec</w:t>
      </w:r>
      <w:r w:rsidRPr="00C9680B">
        <w:t>k</w:t>
      </w:r>
      <w:r w:rsidRPr="00C9680B">
        <w:t>lingen.</w:t>
      </w:r>
    </w:p>
    <w:p w:rsidR="001C7BF9" w:rsidRPr="00C9680B" w:rsidRDefault="001C7BF9">
      <w:pPr>
        <w:pStyle w:val="Normaltindrag"/>
      </w:pPr>
      <w:r w:rsidRPr="00C9680B">
        <w:t>Vi har en hög konjunkturkänslighet. Jag kan inte säga på decimalen exakt var den ligger. Men den ligger fortfarande högt. Vi är känsliga för avbräck i världsekonomin och om det skulle hända någont</w:t>
      </w:r>
      <w:r w:rsidRPr="00C9680B">
        <w:t>ing. Låt oss vara konservat</w:t>
      </w:r>
      <w:r w:rsidRPr="00C9680B">
        <w:t>i</w:t>
      </w:r>
      <w:r w:rsidRPr="00C9680B">
        <w:t>va och försiktiga på det området. Det säger jag inte för att jag ska lägga mig i den politiska debatten utan för att det har påverkat förtroendet för den ek</w:t>
      </w:r>
      <w:r w:rsidRPr="00C9680B">
        <w:t>o</w:t>
      </w:r>
      <w:r w:rsidRPr="00C9680B">
        <w:t>nomiska politiken och vår möjlighet att bedriva en något så när bra pennin</w:t>
      </w:r>
      <w:r w:rsidRPr="00C9680B">
        <w:t>g</w:t>
      </w:r>
      <w:r w:rsidRPr="00C9680B">
        <w:t>politik. Om vi hamnar i en kris och har en hög skuldsättning drar räntorna i väg på både korta och långa sidan.</w:t>
      </w:r>
    </w:p>
    <w:p w:rsidR="001C7BF9" w:rsidRPr="00C9680B" w:rsidRDefault="001C7BF9">
      <w:pPr>
        <w:pStyle w:val="Normaltindrag"/>
      </w:pPr>
      <w:r w:rsidRPr="00C9680B">
        <w:t>Jag blev lite engagerad där. Jag ber om ursäkt att det tog så lång tid</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Karin Pilsäter (fp): </w:t>
      </w:r>
      <w:r w:rsidRPr="00C9680B">
        <w:t>Det är bra att det finns folk som är engagerade i sådana frågor.</w:t>
      </w:r>
    </w:p>
    <w:p w:rsidR="001C7BF9" w:rsidRPr="00C9680B" w:rsidRDefault="001C7BF9">
      <w:pPr>
        <w:pStyle w:val="Normaltindrag"/>
        <w:spacing w:line="360" w:lineRule="auto"/>
      </w:pPr>
    </w:p>
    <w:p w:rsidR="001C7BF9" w:rsidRPr="00C9680B" w:rsidRDefault="001C7BF9">
      <w:r w:rsidRPr="00C9680B">
        <w:rPr>
          <w:i/>
        </w:rPr>
        <w:t xml:space="preserve">Yvonne Ruwaida (mp): </w:t>
      </w:r>
      <w:r w:rsidRPr="00C9680B">
        <w:t xml:space="preserve">Jag delar Urban Bäckströms brinnande engagemang för att skriva av statsskulden. </w:t>
      </w:r>
    </w:p>
    <w:p w:rsidR="001C7BF9" w:rsidRPr="00C9680B" w:rsidRDefault="001C7BF9">
      <w:pPr>
        <w:pStyle w:val="Normaltindrag"/>
      </w:pPr>
      <w:r w:rsidRPr="00C9680B">
        <w:t>Jag tänkte först gå in på den intressanta diskussion vi har haft om mängden lediga resurser på arbetsmarknaden, dvs. hur många som är anställningsbara. Frågan om arbetskraftsutbud är en otroligt central fråga när man diskuterar arbetstidsförkortning. Ett motargument från de partier som har drivit frågan om arbetstidsförkortning är att efterfrågan på arbetsmarknaden inte kommer att kunna mötas om man genomför en arbetstidsförkor</w:t>
      </w:r>
      <w:r w:rsidRPr="00C9680B">
        <w:t>tning.</w:t>
      </w:r>
    </w:p>
    <w:p w:rsidR="001C7BF9" w:rsidRPr="00C9680B" w:rsidRDefault="001C7BF9">
      <w:pPr>
        <w:pStyle w:val="Normaltindrag"/>
      </w:pPr>
      <w:r w:rsidRPr="00C9680B">
        <w:t>Därför tycker jag att det är intressant att man nu utifrån de olika skäl som man här har redogjort för justerar de tidigare bedömningar man har gjort. Jag har själv tidigare gjort bedömningen att man av olika skäl har underskattat rörligheten på arbetsmarknaden. Det är bl.a. de skäl som man har nämnt här, men också andra skäl. Jag vet att det finns väldigt många högutbildade i</w:t>
      </w:r>
      <w:r w:rsidRPr="00C9680B">
        <w:t>n</w:t>
      </w:r>
      <w:r w:rsidRPr="00C9680B">
        <w:t>vandrare som är sysselsatta i arbeten som är under deras utbildningsnivå och som nu i ljusare arbetsmarknadstider faktiskt har en rörlighet på arbetsmar</w:t>
      </w:r>
      <w:r w:rsidRPr="00C9680B">
        <w:t>k</w:t>
      </w:r>
      <w:r w:rsidRPr="00C9680B">
        <w:t>naden. De kan t.ex. från att ha varit taxichaufförer plötsligt återanställas som ingenjörer. Jag tror att vi har en större ökad rörlighet på arbetsmarknaden än vad bedö</w:t>
      </w:r>
      <w:r w:rsidRPr="00C9680B">
        <w:t>m</w:t>
      </w:r>
      <w:r w:rsidRPr="00C9680B">
        <w:t>ningarna tidigare gjort gällande.</w:t>
      </w:r>
    </w:p>
    <w:p w:rsidR="001C7BF9" w:rsidRPr="00C9680B" w:rsidRDefault="001C7BF9">
      <w:pPr>
        <w:pStyle w:val="Normaltindrag"/>
      </w:pPr>
      <w:r w:rsidRPr="00C9680B">
        <w:t xml:space="preserve">Jag tänkte gå över till två olika frågeställningar. Den ena rör hur man ser på penningpolitiken. I dag tar man i penningpolitiken inte upp de signaler som </w:t>
      </w:r>
      <w:r w:rsidRPr="00C9680B">
        <w:t>gäller hot och möjligheter inom miljöområdet. Finansmarknaden fattar i dag sällan beslut som är grundade på det som händer inom miljöområdet. I finansplanen har vi nu fått in något som kallas gröna nyckeltal, dvs. att man även tittar på olika miljöförutsättningar. Naturligtvis påverkar miljöförstöring. Det gäller t.ex. växthuseffekten, som skapar extremare klimat, men också annan typ av miljöförstöring. Det får effekter på bedömningar av inflation och tillväxt, och det får effekter också på den internatione</w:t>
      </w:r>
      <w:r w:rsidRPr="00C9680B">
        <w:t>lla ekonomin och utr</w:t>
      </w:r>
      <w:r w:rsidRPr="00C9680B">
        <w:t>i</w:t>
      </w:r>
      <w:r w:rsidRPr="00C9680B">
        <w:t>keshandeln.</w:t>
      </w:r>
    </w:p>
    <w:p w:rsidR="001C7BF9" w:rsidRPr="00C9680B" w:rsidRDefault="001C7BF9">
      <w:pPr>
        <w:pStyle w:val="Normaltindrag"/>
      </w:pPr>
      <w:r w:rsidRPr="00C9680B">
        <w:t>I dagens arbete i Riksbanken, t.ex. med inflationsrapporten, ingår tyvärr inte några gröna nyckeltal. Jag undrar om man på Riksbanken har tänkt ig</w:t>
      </w:r>
      <w:r w:rsidRPr="00C9680B">
        <w:t>e</w:t>
      </w:r>
      <w:r w:rsidRPr="00C9680B">
        <w:t>nom detta och om man tänker titta på detta område framöver och försöka föra in ett miljöperspektiv även i inflationsrapporten.</w:t>
      </w:r>
    </w:p>
    <w:p w:rsidR="001C7BF9" w:rsidRPr="00C9680B" w:rsidRDefault="001C7BF9">
      <w:pPr>
        <w:pStyle w:val="Normaltindrag"/>
      </w:pPr>
      <w:r w:rsidRPr="00C9680B">
        <w:t>Jag vill ställa en fråga som jag förmodligen kommer att få ett väldigt kr</w:t>
      </w:r>
      <w:r w:rsidRPr="00C9680B">
        <w:t>i</w:t>
      </w:r>
      <w:r w:rsidRPr="00C9680B">
        <w:t xml:space="preserve">tiskt svar på, kan jag tänka mig. Som Urban Bäckström sade har vi inte funnit det optimala sättet att bedriva penningpolitik. Det förs i dag en diskussion om att införa en Tobinskatt. Det är en diskussion som förs bland många politiker. Bl.a. i Kanada och Frankrike finns det många parlamentariker som driver frågan om att införa någon form av Tobinskatt. Diskussioner förs om att kanske införa en skatt på EU-nivå eller på någon annan internationell nivå. Hur ser riksbankschefen på ett sådant införande av en </w:t>
      </w:r>
      <w:r w:rsidRPr="00C9680B">
        <w:t>Tobinskatt?</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Urban Bäckström: </w:t>
      </w:r>
      <w:r w:rsidRPr="00C9680B">
        <w:t>Vi har inte tänkt att införa några gröna nyckeltal. Man måste se Riksbanken som en liten del av den ekonomiska politiken i stort. Vi har fått en liten flygel delegerad till oss av riksdagen. Den flygen sköter vi i det dagliga arbetet med den instruktion vi har fått av riksdagen. Sedan är det riksdag och regering som driver den ekonomiska politiken i stort. Där är det naturligt att gröna nyckeltal kommer in, att SCB jobbar med detta, osv.</w:t>
      </w:r>
    </w:p>
    <w:p w:rsidR="001C7BF9" w:rsidRPr="00C9680B" w:rsidRDefault="001C7BF9">
      <w:pPr>
        <w:pStyle w:val="Normaltindrag"/>
      </w:pPr>
      <w:r w:rsidRPr="00C9680B">
        <w:t>Däremot är det naturligtvis viktigt att Riksbanken som myndighet ser t</w:t>
      </w:r>
      <w:r w:rsidRPr="00C9680B">
        <w:t>ill att vi gör det vi kan på miljöområdet. Hur förstör vi sedlar? Där ingår meta</w:t>
      </w:r>
      <w:r w:rsidRPr="00C9680B">
        <w:t>l</w:t>
      </w:r>
      <w:r w:rsidRPr="00C9680B">
        <w:t>ler. Tar vi reda på dem? Hur sker vår upphandling som myndighet, osv.? Vi har en miljöpolicy i Riksbanken, och det ska vi naturligtvis ha.</w:t>
      </w:r>
    </w:p>
    <w:p w:rsidR="001C7BF9" w:rsidRPr="00C9680B" w:rsidRDefault="001C7BF9">
      <w:pPr>
        <w:pStyle w:val="Normaltindrag"/>
      </w:pPr>
      <w:r w:rsidRPr="00C9680B">
        <w:t>Man får inte överskatta vad man kan göra och inte göra med reporäntan. Det är väldigt bra att ha betalningsmedel i en ekonomi. Vi vet att det är oe</w:t>
      </w:r>
      <w:r w:rsidRPr="00C9680B">
        <w:t>r</w:t>
      </w:r>
      <w:r w:rsidRPr="00C9680B">
        <w:t>hört bra och viktigt. Men det är naturligtvis företagare och anställda som skapar ekonomisk tillväxt. Förutsättningarna för denna ekonomiska tillväxt läggs fast här i riksdagen. Det är ändå det som är det stora och det viktiga.</w:t>
      </w:r>
    </w:p>
    <w:p w:rsidR="001C7BF9" w:rsidRPr="00C9680B" w:rsidRDefault="001C7BF9">
      <w:pPr>
        <w:pStyle w:val="Normaltindrag"/>
      </w:pPr>
      <w:r w:rsidRPr="00C9680B">
        <w:t>När det gäller frågan om Tobinskatt är det alldeles rätt gissat att det blir ett kritiskt svar, och det av två skäl. Det vanliga argumentet är att det är så svårt att genomföra en skatt i alla länder och att handeln därför flyttar. Man måste få en väldigt stor internationell uppslut</w:t>
      </w:r>
      <w:r w:rsidRPr="00C9680B">
        <w:t>ning för att det ska fungera. Vi vet i Sverige att handeln flyttar, för vi har prövat det. Den flyttade till London för vår del, aktie- och obligationshandeln. Vi vet att det fungerar så.</w:t>
      </w:r>
    </w:p>
    <w:p w:rsidR="001C7BF9" w:rsidRPr="00C9680B" w:rsidRDefault="001C7BF9">
      <w:pPr>
        <w:pStyle w:val="Normaltindrag"/>
      </w:pPr>
      <w:r w:rsidRPr="00C9680B">
        <w:t>Det är klart att det alltid finns någon ö någonstans ute i världen där man inte inför skatten. Det är det vanliga argumentet mot Tobinskatt. Det kommer alltid att finnas någon ö någonstans dit handeln kan flytta. Men låt oss fundera lite närmare på om Tobinskatten i sig är en bra tanke. Vad gör den? Också där är jag kritis</w:t>
      </w:r>
      <w:r w:rsidRPr="00C9680B">
        <w:t>k.</w:t>
      </w:r>
    </w:p>
    <w:p w:rsidR="001C7BF9" w:rsidRPr="00C9680B" w:rsidRDefault="001C7BF9">
      <w:pPr>
        <w:pStyle w:val="Normaltindrag"/>
      </w:pPr>
      <w:r w:rsidRPr="00C9680B">
        <w:t>Tobinskattens ursprungliga tanke är att den ska minska omsättningen på marknaden. Det ska bli svårare att omsätta värdepapper, framför allt kos</w:t>
      </w:r>
      <w:r w:rsidRPr="00C9680B">
        <w:t>t</w:t>
      </w:r>
      <w:r w:rsidRPr="00C9680B">
        <w:t>sammare. Alltså ska omsättningen gå ned. Vad händer på en marknad där omsättningen är lägre och det är fler som vill köpa och som vill sälja värd</w:t>
      </w:r>
      <w:r w:rsidRPr="00C9680B">
        <w:t>e</w:t>
      </w:r>
      <w:r w:rsidRPr="00C9680B">
        <w:t>papper? Ja, all erfarenhet visar att en sådan marknad blir mer turbulent än en marknad med mer omsättning. Alltså är det fel tanke, tycker jag.</w:t>
      </w:r>
    </w:p>
    <w:p w:rsidR="001C7BF9" w:rsidRPr="00C9680B" w:rsidRDefault="001C7BF9">
      <w:pPr>
        <w:pStyle w:val="Normaltindrag"/>
      </w:pPr>
      <w:r w:rsidRPr="00C9680B">
        <w:t>Men det finns också ett annat argument. Jag nämnde avregleringen av den svenska kreditmarknaden i början av mitt anförande. Det gäller speciellt den utveckling som har kunnat ske därefter på riskkapitalmarknaden. Vad hade</w:t>
      </w:r>
      <w:r w:rsidRPr="00C9680B">
        <w:t xml:space="preserve"> hänt om vi hade infört en Tobinskatt på riskkapitalmarknaden? Det hade blivit mindre riskkapital. Mindre riskvilligt kapital i svensk ekonomi hade lett till färre jobb och svagare produktionsökning. Då har jag antagit att vi har fått med oss alla länder. Det hade blivit en sämre fungerande ekonomi.</w:t>
      </w:r>
    </w:p>
    <w:p w:rsidR="001C7BF9" w:rsidRPr="00C9680B" w:rsidRDefault="001C7BF9">
      <w:pPr>
        <w:pStyle w:val="Normaltindrag"/>
      </w:pPr>
      <w:r w:rsidRPr="00C9680B">
        <w:t>Är man beredd att ta det – men det är jag inte säker på att alla som för</w:t>
      </w:r>
      <w:r w:rsidRPr="00C9680B">
        <w:t>e</w:t>
      </w:r>
      <w:r w:rsidRPr="00C9680B">
        <w:t>språkar Tobinskatten är – ska man naturligtvis införa den. Det finansiella systemets funktionssätt och dess betydelse för den ekonomiska tillväxten är något som ekonomer har tittat för lite på. Vi ska värna och vårda det finans</w:t>
      </w:r>
      <w:r w:rsidRPr="00C9680B">
        <w:t>i</w:t>
      </w:r>
      <w:r w:rsidRPr="00C9680B">
        <w:t>ella systemet så att det fungerar bra.</w:t>
      </w:r>
    </w:p>
    <w:p w:rsidR="001C7BF9" w:rsidRPr="00C9680B" w:rsidRDefault="001C7BF9">
      <w:pPr>
        <w:pStyle w:val="Normaltindrag"/>
      </w:pPr>
      <w:r w:rsidRPr="00C9680B">
        <w:t>Även om jag avvisar Tobinskatten finns otvetydigt ett problem där ute. Det problemet ligger i att systemet inte alltid hänger med när marknaden går före. Tillsynsmyndigheter, centralbanker och lagstiftning hänger inte alltid med. Då kan utveckl</w:t>
      </w:r>
      <w:r w:rsidRPr="00C9680B">
        <w:t>ingen skapa problem.</w:t>
      </w:r>
    </w:p>
    <w:p w:rsidR="001C7BF9" w:rsidRPr="00C9680B" w:rsidRDefault="001C7BF9">
      <w:pPr>
        <w:pStyle w:val="Normaltindrag"/>
      </w:pPr>
      <w:r w:rsidRPr="00C9680B">
        <w:t>Det här är någonting som är oerhört centralt och fordrar mycket tanke långt utanför Riksbankens väggar. Vi är nu i en period där vi återigen prövar fria kapitalrörelser. Någonstans inom oss har vi tron, här runt bordet och i det politiska systemet i stort, att fria kapitalrörelser är bra för den ekonomiska tillväxten.</w:t>
      </w:r>
    </w:p>
    <w:p w:rsidR="001C7BF9" w:rsidRPr="00C9680B" w:rsidRDefault="001C7BF9">
      <w:pPr>
        <w:pStyle w:val="Normaltindrag"/>
      </w:pPr>
      <w:r w:rsidRPr="00C9680B">
        <w:t>En sådan period har tidigare fått ett väldigt abrupt slut. Först och främst var det naturligtvis Första världskriget som inleddes 1914 och kanske ytterst 20- och 30-talskrisen. Sedan befann vi oss i en period med ett hårt reglerat finansiellt system. Nu har vi återigen i världsekonomin avreglerat detta sy</w:t>
      </w:r>
      <w:r w:rsidRPr="00C9680B">
        <w:softHyphen/>
        <w:t>stem i tron att det ska vara bra. Men 1990-talet har varit fullt med finansiella kriser. Alltså finns det något problem med detta som vi måste hantera.</w:t>
      </w:r>
    </w:p>
    <w:p w:rsidR="001C7BF9" w:rsidRPr="00C9680B" w:rsidRDefault="001C7BF9">
      <w:pPr>
        <w:pStyle w:val="Normaltindrag"/>
      </w:pPr>
      <w:r w:rsidRPr="00C9680B">
        <w:t>Det är därför som diskussionen är så intensiv. Hur ska man se till att vi får en internationell finansiell struktur som kan hantera de fria kapitalrörelserna? Låt oss på ett mer konstruktivt sätt försöka lösa det problemet än att ta fatt i ett förslag som är fel tänkt, enligt min uppfattning. Det finns andra vägar att gå. Jag tror att det är bättre att gå d</w:t>
      </w:r>
      <w:r w:rsidRPr="00C9680B">
        <w:t>e vägarna. Låt oss inte diskutera Tobin</w:t>
      </w:r>
      <w:r w:rsidRPr="00C9680B">
        <w:softHyphen/>
        <w:t>skattens vara eller inte vara. Låt oss lägga den åt sidan. Vi har prövat den i Sverige, och vi vet att den inte var bra.</w:t>
      </w:r>
    </w:p>
    <w:p w:rsidR="001C7BF9" w:rsidRPr="00C9680B" w:rsidRDefault="001C7BF9">
      <w:pPr>
        <w:pStyle w:val="Normaltindrag"/>
      </w:pPr>
      <w:r w:rsidRPr="00C9680B">
        <w:t>Låt oss diskutera på ett konstruktivt sätt hur vi kan hantera finansmarkn</w:t>
      </w:r>
      <w:r w:rsidRPr="00C9680B">
        <w:t>a</w:t>
      </w:r>
      <w:r w:rsidRPr="00C9680B">
        <w:t>derna och det framväxande finansiella systemet med bra regelverk, intern</w:t>
      </w:r>
      <w:r w:rsidRPr="00C9680B">
        <w:t>a</w:t>
      </w:r>
      <w:r w:rsidRPr="00C9680B">
        <w:t>tionella överenskommelser osv. Jag tror att det är precis det som debatten om globalisering och demonstrationer delvis handlar om. Vi får inte hamna i den enkelspåriga debatten om Tobinskatten, utan vi måste ta demonstrationerna och viljan till diskussion om hur vi ska hantera detta på allvar. Annars kan den här perioden med fria kapitalrörelser återigen komma till ett abrupt slut.</w:t>
      </w:r>
    </w:p>
    <w:p w:rsidR="001C7BF9" w:rsidRPr="00C9680B" w:rsidRDefault="001C7BF9">
      <w:pPr>
        <w:pStyle w:val="Deltagare"/>
        <w:keepLines w:val="0"/>
        <w:spacing w:before="0" w:line="360" w:lineRule="auto"/>
        <w:rPr>
          <w:noProof w:val="0"/>
        </w:rPr>
      </w:pPr>
    </w:p>
    <w:p w:rsidR="001C7BF9" w:rsidRPr="00C9680B" w:rsidRDefault="001C7BF9">
      <w:r w:rsidRPr="00C9680B">
        <w:rPr>
          <w:i/>
        </w:rPr>
        <w:t xml:space="preserve">Yvonne Ruwaida (mp): </w:t>
      </w:r>
      <w:r w:rsidRPr="00C9680B">
        <w:t>Jag tror nog att riksbankschefen hade varit väldigt fascinerad om han varit på det möte som jag var på nere i Bryssel där vi di</w:t>
      </w:r>
      <w:r w:rsidRPr="00C9680B">
        <w:t>s</w:t>
      </w:r>
      <w:r w:rsidRPr="00C9680B">
        <w:t>kuterade bl.a. Tobinskatt. Det var inte någon enkelspårig diskussion. Vi di</w:t>
      </w:r>
      <w:r w:rsidRPr="00C9680B">
        <w:t>s</w:t>
      </w:r>
      <w:r w:rsidRPr="00C9680B">
        <w:t>kuterade väldigt många olika alternativ för hur man ska kunna hantera f</w:t>
      </w:r>
      <w:r w:rsidRPr="00C9680B">
        <w:t>i</w:t>
      </w:r>
      <w:r w:rsidRPr="00C9680B">
        <w:t>nansmarknaden, och några olika former av Tobinskatter diskuterades.</w:t>
      </w:r>
    </w:p>
    <w:p w:rsidR="001C7BF9" w:rsidRPr="00C9680B" w:rsidRDefault="001C7BF9">
      <w:pPr>
        <w:pStyle w:val="Normaltindrag"/>
      </w:pPr>
      <w:r w:rsidRPr="00C9680B">
        <w:t>Det var inte alls så att man talade om att återinföra ett system som man haft tidigare. Man diskuterade olika modeller för Tobinskatt, olika nivåer och vad det skulle k</w:t>
      </w:r>
      <w:r w:rsidRPr="00C9680B">
        <w:t>unna få för inverkan. Det är en väldigt intressant och viktig diskussion. Jag skulle inte vilja så fullt ut som riksbankschefen avfärda idén om någon form av Tobinskatt för all framtid.</w:t>
      </w:r>
    </w:p>
    <w:p w:rsidR="001C7BF9" w:rsidRPr="00C9680B" w:rsidRDefault="001C7BF9">
      <w:pPr>
        <w:pStyle w:val="Normaltindrag"/>
      </w:pPr>
      <w:r w:rsidRPr="00C9680B">
        <w:t>Däremot undrar jag vad riksbankschefen menar när han talar om en inte</w:t>
      </w:r>
      <w:r w:rsidRPr="00C9680B">
        <w:t>r</w:t>
      </w:r>
      <w:r w:rsidRPr="00C9680B">
        <w:t>nationell finansiell struktur. Vad skulle den innehålla? Du nämnde den, men du gav den här inget innehåll. Det är den diskussionen som är intressant. Hur ska vi hantera finansmarknaden? Jag tror att vi alla här i rummet inser att vi måste göra det på något sätt.</w:t>
      </w:r>
    </w:p>
    <w:p w:rsidR="001C7BF9" w:rsidRPr="00C9680B" w:rsidRDefault="001C7BF9">
      <w:pPr>
        <w:pStyle w:val="Normaltindrag"/>
      </w:pPr>
      <w:r w:rsidRPr="00C9680B">
        <w:t xml:space="preserve">Sedan finns det kanske olika inställningar till om det är bra med en viss tröghet på finansmarknaden eller inte. Vilka negativa konsekvenser kan en sådan tröghet få? Tröghet är också eftertanke. Det kan vara lite konservativt, men det kan faktiskt </w:t>
      </w:r>
      <w:r w:rsidRPr="00C9680B">
        <w:t>vara lite bra på många sätt. Problemet blir när vi gör väldigt spontana, snabba, handlingar som vi får ta konsekvenserna av i efte</w:t>
      </w:r>
      <w:r w:rsidRPr="00C9680B">
        <w:t>r</w:t>
      </w:r>
      <w:r w:rsidRPr="00C9680B">
        <w:t xml:space="preserve">hand. </w:t>
      </w:r>
    </w:p>
    <w:p w:rsidR="001C7BF9" w:rsidRPr="00C9680B" w:rsidRDefault="001C7BF9">
      <w:pPr>
        <w:pStyle w:val="Normaltindrag"/>
      </w:pPr>
      <w:r w:rsidRPr="00C9680B">
        <w:t>Sedan delar jag inte uppfattningen när det gäller Riksbankens roll och att Riksbanken inte ska titta på gröna nyckeltal, men det är en diskussion som jag förmodligen kommer att återkomma till gentemot Riksbanken i ett senare skede.</w:t>
      </w:r>
    </w:p>
    <w:p w:rsidR="001C7BF9" w:rsidRPr="00C9680B" w:rsidRDefault="001C7BF9">
      <w:pPr>
        <w:pStyle w:val="Ordfranden"/>
        <w:keepNext w:val="0"/>
        <w:spacing w:line="360" w:lineRule="auto"/>
        <w:rPr>
          <w:noProof w:val="0"/>
        </w:rPr>
      </w:pPr>
    </w:p>
    <w:p w:rsidR="001C7BF9" w:rsidRPr="00C9680B" w:rsidRDefault="001C7BF9">
      <w:r w:rsidRPr="00C9680B">
        <w:rPr>
          <w:i/>
        </w:rPr>
        <w:t>Urban Bäckström:</w:t>
      </w:r>
      <w:r w:rsidRPr="00C9680B">
        <w:t xml:space="preserve"> Låt oss ställa oss frågan: Vad är det för problem som vi vill lösa apropå den här diskussionen om Tobinskatten? Vad är problemet? Jo, det är en turbulens som vi har sett framför allt under 1990-talet. Många länder har dragits med i en finansiell kris. Thailand, Mexico, Korea, Sverige och en del andra länder har dragits med. Det är naturligtvis lätt för politiska ledare i de här länderna att skylla på det internationella finanskapitalets rörelser, dä</w:t>
      </w:r>
      <w:r w:rsidRPr="00C9680B">
        <w:t>r</w:t>
      </w:r>
      <w:r w:rsidRPr="00C9680B">
        <w:t>för att det blir så bra att man får en utomstående som ha</w:t>
      </w:r>
      <w:r w:rsidRPr="00C9680B">
        <w:t>r hotat utvecklingen i de här länderna. George Soros har ju framträtt som en galjonsfigur i det här sammanhanget. Sättet att komma åt honom är att införa någon skatt av den här typen.</w:t>
      </w:r>
    </w:p>
    <w:p w:rsidR="001C7BF9" w:rsidRPr="00C9680B" w:rsidRDefault="001C7BF9">
      <w:pPr>
        <w:pStyle w:val="Normaltindrag"/>
      </w:pPr>
      <w:r w:rsidRPr="00C9680B">
        <w:t>Låt oss ändå vara överens om att orsakerna till sådana här finansiella kriser är två. Den ena är en felaktig ekonomisk politik, och den andra är ett dåligt fungerande finanssystem.</w:t>
      </w:r>
    </w:p>
    <w:p w:rsidR="001C7BF9" w:rsidRPr="00C9680B" w:rsidRDefault="001C7BF9">
      <w:pPr>
        <w:pStyle w:val="Normaltindrag"/>
      </w:pPr>
      <w:r w:rsidRPr="00C9680B">
        <w:t>Låt oss ta vår egen utveckling som ett exempel. Överhettningen och bubblan som blåstes upp under slutet av 1980-talet ledde till återverkningar i början av 1990-talet. Vad var det för kapitalrörelser som var problem hösten 1992? Det är klart att det fanns en och annan spekulant inne på den svenska marknaden – det  är jag helt övertygad om – men det stora var de s.k. korgl</w:t>
      </w:r>
      <w:r w:rsidRPr="00C9680B">
        <w:t>å</w:t>
      </w:r>
      <w:r w:rsidRPr="00C9680B">
        <w:t>nen, den mycket medvetna ekonomiska politik som vi förde. Det var den privata sektorn som skulle finansiera bytesbalansunderskottet. Det var en medveten ekonomisk politik under slutet av 1980-talet. Och tanken var att hushåll och företag skulle stimuleras att ta lån utomlands genom att man höll en högre ränta i Sverige. Vi kommer ihåg hur varenda svensk bank för statens räkning annonserade om hur man skulle ta de här korglånen utomlands. Det gjorde folk. Man kunde till synes helt riskfritt låna kanske till</w:t>
      </w:r>
      <w:r w:rsidRPr="00C9680B">
        <w:t xml:space="preserve"> 10 % utomlands och placera i svenska statspapper till 15 % och skära emellan. Men vad hände när vi kom fram till obalansernas år 1990, 1991 och 1992? Jo, det är klart att människor i Sverige blev rädda och sade: Tänk om kronan skrivs ned! Då skjutsade man ut det här kapitalet genom att betala tillbaka lånen. Man sålde sina statsobligationer, och man betalade tillbaka de här lånen, som man hade tagit upp utomlands. Det blev ett valutautflöde och en kronkris.</w:t>
      </w:r>
    </w:p>
    <w:p w:rsidR="001C7BF9" w:rsidRPr="00C9680B" w:rsidRDefault="001C7BF9">
      <w:pPr>
        <w:pStyle w:val="Normaltindrag"/>
      </w:pPr>
      <w:r w:rsidRPr="00C9680B">
        <w:t>Detta löser man inte med någon Tobinskatt, utan d</w:t>
      </w:r>
      <w:r w:rsidRPr="00C9680B">
        <w:t>et här var en felaktig ekonomisk politik – det vet vi nu – med överhettning, uppblåsta tillgångsvä</w:t>
      </w:r>
      <w:r w:rsidRPr="00C9680B">
        <w:t>r</w:t>
      </w:r>
      <w:r w:rsidRPr="00C9680B">
        <w:t>den, en kraftig kreditexpansion och tron att det gick att finansiera ett byte</w:t>
      </w:r>
      <w:r w:rsidRPr="00C9680B">
        <w:t>s</w:t>
      </w:r>
      <w:r w:rsidRPr="00C9680B">
        <w:t>balansunderskott med en kortfristig upplåning. Mönstret går igen i Korea, Thailand och Indonesien, men det är lite olika ingredienser. Det här var det ena.</w:t>
      </w:r>
    </w:p>
    <w:p w:rsidR="001C7BF9" w:rsidRPr="00C9680B" w:rsidRDefault="001C7BF9">
      <w:pPr>
        <w:pStyle w:val="Normaltindrag"/>
      </w:pPr>
      <w:r w:rsidRPr="00C9680B">
        <w:t>Det andra var att vi hade en finansinspektion som inte hade hängt med när det gällde att följa upp det finansiella systemets utveckling. Det som intress</w:t>
      </w:r>
      <w:r w:rsidRPr="00C9680B">
        <w:t>e</w:t>
      </w:r>
      <w:r w:rsidRPr="00C9680B">
        <w:t>rade Finansinspektionen var helt andra saker än det som var relevant för att säkra en stabilitet i det finansiella systemet. Det här var inget konstigt. Det hände precis samma sak i alla andra länder som jag har nämnt, och vi ser under andra skeden att lagstiftaren inte alltid hänger med, och tillsynen hän</w:t>
      </w:r>
      <w:r w:rsidRPr="00C9680B">
        <w:t>g</w:t>
      </w:r>
      <w:r w:rsidRPr="00C9680B">
        <w:t xml:space="preserve">er inte alltid med när det gäller utvecklingen på en fri marknad. Det är därför jag tjatar om att det är så oerhört viktigt att Finansinspektionen får ökade resurser. Vi har inte dragit slutsatser efter </w:t>
      </w:r>
      <w:r w:rsidRPr="00C9680B">
        <w:t>krisen i början av 1990-talet och den bristande tillsynen i slutet av 1980-talet. Jag vet att detta är problematiskt under utgiftstaket, men vi måste dra den här slutsatsen. Annars drar vi den omvända slutsatsen, att tillsynen var bra under slutet av 80-talet, och det tror jag inte att vi ska komma fram till.</w:t>
      </w:r>
    </w:p>
    <w:p w:rsidR="001C7BF9" w:rsidRPr="00C9680B" w:rsidRDefault="001C7BF9">
      <w:pPr>
        <w:pStyle w:val="Normaltindrag"/>
      </w:pPr>
      <w:r w:rsidRPr="00C9680B">
        <w:t>Jag tror att den här typen av diskussioner inom ett land är mycket viktigare än Tobinskatten. Och det handlar om hur länder kan samarbeta för att tillfö</w:t>
      </w:r>
      <w:r w:rsidRPr="00C9680B">
        <w:t>r</w:t>
      </w:r>
      <w:r w:rsidRPr="00C9680B">
        <w:t>säkra att grannländerna har skött sin ekonomiska politik och sitt tillsynssy</w:t>
      </w:r>
      <w:r w:rsidRPr="00C9680B">
        <w:t>s</w:t>
      </w:r>
      <w:r w:rsidRPr="00C9680B">
        <w:t>tem, eftersom vi vet att det här sprider sig mellan länder om det blir en kris. Det är mycket mer konstruktivt än att prata om Tobinskatt.</w:t>
      </w:r>
    </w:p>
    <w:p w:rsidR="001C7BF9" w:rsidRPr="00C9680B" w:rsidRDefault="001C7BF9">
      <w:pPr>
        <w:pStyle w:val="Deltagare"/>
        <w:keepLines w:val="0"/>
        <w:spacing w:before="0" w:line="360" w:lineRule="auto"/>
        <w:rPr>
          <w:noProof w:val="0"/>
        </w:rPr>
      </w:pPr>
    </w:p>
    <w:p w:rsidR="001C7BF9" w:rsidRPr="00C9680B" w:rsidRDefault="001C7BF9">
      <w:r w:rsidRPr="00C9680B">
        <w:rPr>
          <w:i/>
        </w:rPr>
        <w:t>Lennart Hedquist (m):</w:t>
      </w:r>
      <w:r w:rsidRPr="00C9680B">
        <w:t xml:space="preserve"> Ordförande! Jag tycker att riksbankschefen har visat på en mycket god pedagogisk förmåga när han har argumenterat kring T</w:t>
      </w:r>
      <w:r w:rsidRPr="00C9680B">
        <w:t>o</w:t>
      </w:r>
      <w:r w:rsidRPr="00C9680B">
        <w:t>bin</w:t>
      </w:r>
      <w:r w:rsidRPr="00C9680B">
        <w:softHyphen/>
        <w:t>skatten. Men jag hade tänkt ställa en fråga om något helt annat.</w:t>
      </w:r>
    </w:p>
    <w:p w:rsidR="001C7BF9" w:rsidRPr="00C9680B" w:rsidRDefault="001C7BF9">
      <w:pPr>
        <w:pStyle w:val="Normaltindrag"/>
      </w:pPr>
      <w:r w:rsidRPr="00C9680B">
        <w:t>Jag har suttit här och bläddrat i inflationsrapporten och försökt hitta någon helt ny aspekt. Det föranleder mig att ställa en fråga om den demografiska utvecklingen. Det hänvisas till att man i debatten ofta påtalar de påfrestningar för samhällsekonomin och den offentliga sektorns finanser som följer med den demografi</w:t>
      </w:r>
      <w:r w:rsidRPr="00C9680B">
        <w:t>ska utvecklingen, som står framför oss de närmaste decennie</w:t>
      </w:r>
      <w:r w:rsidRPr="00C9680B">
        <w:t>r</w:t>
      </w:r>
      <w:r w:rsidRPr="00C9680B">
        <w:t>na. Men nu finns det en fördjupningsruta i den här inflationsrapporten som visar att det samtidigt finns en annan ekonomisk mekanism som kan motve</w:t>
      </w:r>
      <w:r w:rsidRPr="00C9680B">
        <w:t>r</w:t>
      </w:r>
      <w:r w:rsidRPr="00C9680B">
        <w:t>ka de här problemen, nämligen det högre sparandet, som delvis är en följd av den demografiska utvecklingen, som leder till större investeringar som i sin tur leder till en högre produktivitet.</w:t>
      </w:r>
    </w:p>
    <w:p w:rsidR="001C7BF9" w:rsidRPr="00C9680B" w:rsidRDefault="001C7BF9">
      <w:pPr>
        <w:pStyle w:val="Normaltindrag"/>
      </w:pPr>
      <w:r w:rsidRPr="00C9680B">
        <w:t>I inflationsrapporten lyfts det ju fram att den här aspekten, att de förvänt</w:t>
      </w:r>
      <w:r w:rsidRPr="00C9680B">
        <w:t>a</w:t>
      </w:r>
      <w:r w:rsidRPr="00C9680B">
        <w:t>de demografiska förskjutningarna kan tänkas påverka utvecklingen framöver på ett positivt sätt, inte tidigare har uppmärksammats särskilt mycket. Jag ser att det finns en mycket intressant ekvation i den här fördjupningsrutan. Man anger hur det relativa utbudet av kapital och arbetskraft kommer att påverka arbetsproduktiviteten. Man gör ett antagande att kapitalstocken bestäms av den äldre befolkningens sparkapital och att arbetskraften i ökad utsträckning utgörs av yngre individer. Kapitalintensiteten kom</w:t>
      </w:r>
      <w:r w:rsidRPr="00C9680B">
        <w:t>mer i så fall att bestämmas av de äldres sparkapital per individ multiplicerat med kvoten mellan antalet äldre individer och antalet yngre individer. Det låter komplicerat och är det onekligen också när man tittar på själva ekvationen. Men om de beräkningar som görs är riktiga väntas den demografiska utvecklingen höja arbetsprodu</w:t>
      </w:r>
      <w:r w:rsidRPr="00C9680B">
        <w:t>k</w:t>
      </w:r>
      <w:r w:rsidRPr="00C9680B">
        <w:t>tiviteten med i genomsnitt 0,2 procentenheter per år under hela perioden 2000–2030, självfallet med avvikelser skilda år.</w:t>
      </w:r>
    </w:p>
    <w:p w:rsidR="001C7BF9" w:rsidRPr="00C9680B" w:rsidRDefault="001C7BF9">
      <w:pPr>
        <w:pStyle w:val="Normaltindrag"/>
      </w:pPr>
      <w:r w:rsidRPr="00C9680B">
        <w:t>Om man lägger den här produktivitetshöjningen till de prod</w:t>
      </w:r>
      <w:r w:rsidRPr="00C9680B">
        <w:t>uktivitetsh</w:t>
      </w:r>
      <w:r w:rsidRPr="00C9680B">
        <w:t>ö</w:t>
      </w:r>
      <w:r w:rsidRPr="00C9680B">
        <w:t>jande faktorer som i övrigt rimligen måste finnas, t.ex. effekten av avregl</w:t>
      </w:r>
      <w:r w:rsidRPr="00C9680B">
        <w:t>e</w:t>
      </w:r>
      <w:r w:rsidRPr="00C9680B">
        <w:t>ringar och investeringar i IT och den internationella konkurrensen allmänt, blir det ju ganska sensationella siffror, ställt i relation till hur vi hittills har betraktat den demografiska utvecklingen.</w:t>
      </w:r>
    </w:p>
    <w:p w:rsidR="001C7BF9" w:rsidRPr="00C9680B" w:rsidRDefault="001C7BF9">
      <w:pPr>
        <w:pStyle w:val="Normaltindrag"/>
      </w:pPr>
      <w:r w:rsidRPr="00C9680B">
        <w:t>Min fråga till riksbankschefen blir då: Vilka förutsättningar måste enligt hans mening vara uppfyllda för att vi ska kunna få den här produktivitetsu</w:t>
      </w:r>
      <w:r w:rsidRPr="00C9680B">
        <w:t>t</w:t>
      </w:r>
      <w:r w:rsidRPr="00C9680B">
        <w:t>vec</w:t>
      </w:r>
      <w:r w:rsidRPr="00C9680B">
        <w:t>k</w:t>
      </w:r>
      <w:r w:rsidRPr="00C9680B">
        <w:t>lingen, utifrån den demografiska utvecklingen de närmaste decennierna?</w:t>
      </w:r>
    </w:p>
    <w:p w:rsidR="001C7BF9" w:rsidRPr="00C9680B" w:rsidRDefault="001C7BF9">
      <w:pPr>
        <w:pStyle w:val="Deltagare"/>
        <w:keepLines w:val="0"/>
        <w:spacing w:before="0" w:line="360" w:lineRule="auto"/>
        <w:rPr>
          <w:noProof w:val="0"/>
        </w:rPr>
      </w:pPr>
    </w:p>
    <w:p w:rsidR="001C7BF9" w:rsidRPr="00C9680B" w:rsidRDefault="001C7BF9">
      <w:r w:rsidRPr="00C9680B">
        <w:rPr>
          <w:i/>
        </w:rPr>
        <w:t>Urban Bäckström</w:t>
      </w:r>
      <w:r w:rsidRPr="00C9680B">
        <w:t>: Jag är full av beundran för Lennart Hedquist som har tagit sig igenom detta. Jag tycker själv att det kan bli lite krångligt med alla for</w:t>
      </w:r>
      <w:r w:rsidRPr="00C9680B">
        <w:t>m</w:t>
      </w:r>
      <w:r w:rsidRPr="00C9680B">
        <w:t>ler. Jag försöker få medarbetarna på Riksbanken att uttrycka sådant här utan alla krångliga formler. Det finns andra möjligheter att publicera det här. Men i grund och botten tycker jag att det här är någonting mycket intressant som flera av våra unga lovande och duktiga medarbetare jobbar med.</w:t>
      </w:r>
    </w:p>
    <w:p w:rsidR="001C7BF9" w:rsidRPr="00C9680B" w:rsidRDefault="001C7BF9">
      <w:pPr>
        <w:pStyle w:val="Normaltindrag"/>
      </w:pPr>
      <w:r w:rsidRPr="00C9680B">
        <w:t>Det här är ju en gren inom nationalekonomin som tittar på demografins betyde</w:t>
      </w:r>
      <w:r w:rsidRPr="00C9680B">
        <w:t>lse för den ekonomiska utvecklingen. Det är hemskt spännande. Det här kan förklaras på ett ganska enkelt sätt. Det är först när man kommer upp lite grann i åldrarna som man kan bygga upp ett sparkapital och som man har möjlighet att spara, i alla fall om vi ser till ett genomsnitt. Sedan finns det de som inte kan spara över huvud taget under sin livstid, och det finns de som kan spara väldigt mycket. Men när man kommer upp lite grann i åldrarna har kanske barnen flyttat ut. Man amorterar på villan eller vad</w:t>
      </w:r>
      <w:r w:rsidRPr="00C9680B">
        <w:t xml:space="preserve"> man nu kan göra, och då får man ett sparande.</w:t>
      </w:r>
    </w:p>
    <w:p w:rsidR="001C7BF9" w:rsidRPr="00C9680B" w:rsidRDefault="001C7BF9">
      <w:pPr>
        <w:pStyle w:val="Normaltindrag"/>
      </w:pPr>
      <w:r w:rsidRPr="00C9680B">
        <w:t>Det är i huvudsak de äldre som äger kapitalstocken, dvs. sparandet. Det är klart att man med fler äldre har förutsättningar att ha en större kapitalstock. Det ger produktivitetsaspekter. Och det är en aspekt som naturligtvis inte har kommit fram. Den kompenserar inte fullt ut för det tappade arbetsutbudet, eftersom den effekten är större, enligt de här beräkningarna, men det finns en motverkande aspekt. Vi tycker att det är trevligt att föra in den här typen av</w:t>
      </w:r>
      <w:r w:rsidRPr="00C9680B">
        <w:t xml:space="preserve"> aspekter i den allmänna diskussionen för att visa på olika verkande mekani</w:t>
      </w:r>
      <w:r w:rsidRPr="00C9680B">
        <w:t>s</w:t>
      </w:r>
      <w:r w:rsidRPr="00C9680B">
        <w:t>mer i det ekonomiska förloppet. Och vi är på väg mot en sådan här demogr</w:t>
      </w:r>
      <w:r w:rsidRPr="00C9680B">
        <w:t>a</w:t>
      </w:r>
      <w:r w:rsidRPr="00C9680B">
        <w:t>fiförändring som jag beskrev tidigare. Men trots att vi har alla dessa lovande personer jobbande hos oss är jag lite kritisk mot att det ska vara formler i inflationsrapporten. Man borde kunna beskriva det här ändå.</w:t>
      </w:r>
    </w:p>
    <w:p w:rsidR="001C7BF9" w:rsidRPr="00C9680B" w:rsidRDefault="001C7BF9">
      <w:pPr>
        <w:pStyle w:val="Deltagare"/>
        <w:keepLines w:val="0"/>
        <w:spacing w:before="0" w:line="360" w:lineRule="auto"/>
        <w:rPr>
          <w:noProof w:val="0"/>
        </w:rPr>
      </w:pPr>
    </w:p>
    <w:p w:rsidR="001C7BF9" w:rsidRPr="00C9680B" w:rsidRDefault="001C7BF9">
      <w:r w:rsidRPr="00C9680B">
        <w:rPr>
          <w:i/>
        </w:rPr>
        <w:t>Lennart Hedquist (m):</w:t>
      </w:r>
      <w:r w:rsidRPr="00C9680B">
        <w:t xml:space="preserve"> Jag tycker, oaktat formlerna, att det här resonemanget är ganska intressant. Men vad jag möjligen skulle vilja är att riksbankschefen ytterligare ger sina synpunkter på vad som måste vara uppfyllt för att man ska kunna få det här resultatet. Jag förutsätter att man inte får de här 0,2 proce</w:t>
      </w:r>
      <w:r w:rsidRPr="00C9680B">
        <w:t>n</w:t>
      </w:r>
      <w:r w:rsidRPr="00C9680B">
        <w:t>t</w:t>
      </w:r>
      <w:r w:rsidRPr="00C9680B">
        <w:softHyphen/>
        <w:t>enheterna per år i genomsnitt bara genom att låta utvecklingen ha sin gång. Rimligen måste övriga förutsättningar när det gäller hur den här kapitalstoc</w:t>
      </w:r>
      <w:r w:rsidRPr="00C9680B">
        <w:t>k</w:t>
      </w:r>
      <w:r w:rsidRPr="00C9680B">
        <w:t>en kan användas vara uppfyllda för att man ska få den här produk</w:t>
      </w:r>
      <w:r w:rsidRPr="00C9680B">
        <w:t>tivitetshö</w:t>
      </w:r>
      <w:r w:rsidRPr="00C9680B">
        <w:t>j</w:t>
      </w:r>
      <w:r w:rsidRPr="00C9680B">
        <w:t>ningen. Min fråga är närmast: I vilken utsträckning är det här kopplat till en fortgående avreglering, t.ex.?</w:t>
      </w:r>
    </w:p>
    <w:p w:rsidR="001C7BF9" w:rsidRPr="00C9680B" w:rsidRDefault="001C7BF9">
      <w:pPr>
        <w:pStyle w:val="Deltagare"/>
        <w:keepLines w:val="0"/>
        <w:spacing w:before="0" w:line="360" w:lineRule="auto"/>
        <w:rPr>
          <w:noProof w:val="0"/>
        </w:rPr>
      </w:pPr>
    </w:p>
    <w:p w:rsidR="001C7BF9" w:rsidRPr="00C9680B" w:rsidRDefault="001C7BF9">
      <w:r w:rsidRPr="00C9680B">
        <w:rPr>
          <w:i/>
        </w:rPr>
        <w:t>Urban Bäckström:</w:t>
      </w:r>
      <w:r w:rsidRPr="00C9680B">
        <w:t xml:space="preserve"> Jag har ett kort svar som täcker in helheten. Det här föru</w:t>
      </w:r>
      <w:r w:rsidRPr="00C9680B">
        <w:t>t</w:t>
      </w:r>
      <w:r w:rsidRPr="00C9680B">
        <w:t>sätter naturligtvis en väl fungerande ekonomi.</w:t>
      </w:r>
    </w:p>
    <w:p w:rsidR="001C7BF9" w:rsidRPr="00C9680B" w:rsidRDefault="001C7BF9">
      <w:pPr>
        <w:pStyle w:val="Normaltindrag"/>
      </w:pPr>
      <w:r w:rsidRPr="00C9680B">
        <w:t>Jag svarar så därför att jag inte ser det som min roll att gå in på skattesy</w:t>
      </w:r>
      <w:r w:rsidRPr="00C9680B">
        <w:t>s</w:t>
      </w:r>
      <w:r w:rsidRPr="00C9680B">
        <w:t>temets detaljer eller att gå in på olika områden. Jag tycker att det är viktigt att Riksbanken markerar en viss distans till den typen av synpunkter, som jag vet att de olika partierna har olika uppfattningar om. Däremot råder det ingen tvekan om att det har betydelse för den ekonomiska tillväxten om man sänker skatterna, som vi gjorde i skattereformen. Om man avreglerar ekonomin har det betydelse för prisutvecklingen och för den ekonomiska utvecklingen i stort. Det råder ingen tvekan om det. Men jag vet j</w:t>
      </w:r>
      <w:r w:rsidRPr="00C9680B">
        <w:t>u att den ekonomisk-politiska debatten är inflammerad när det gäller detta. Jag tror att det är viktigt för Riksbanken att hålla en viss distans. Jag hoppas att utskottets ledamöter respekterar ett behov som jag känner att vi har i det avseendet.</w:t>
      </w:r>
    </w:p>
    <w:p w:rsidR="001C7BF9" w:rsidRPr="00C9680B" w:rsidRDefault="001C7BF9">
      <w:pPr>
        <w:pStyle w:val="Deltagare"/>
        <w:keepLines w:val="0"/>
        <w:spacing w:before="0" w:line="360" w:lineRule="auto"/>
        <w:rPr>
          <w:noProof w:val="0"/>
        </w:rPr>
      </w:pPr>
    </w:p>
    <w:p w:rsidR="001C7BF9" w:rsidRPr="00C9680B" w:rsidRDefault="001C7BF9">
      <w:r w:rsidRPr="00C9680B">
        <w:rPr>
          <w:i/>
        </w:rPr>
        <w:t>Lisbet Calner (s):</w:t>
      </w:r>
      <w:r w:rsidRPr="00C9680B">
        <w:t xml:space="preserve"> Riksbankschefen har redan varit inne på lönebildningen en del. Men jag skulle ändå vilja ställa min fråga lite mer med vinkling från löntagarnas horisont.</w:t>
      </w:r>
    </w:p>
    <w:p w:rsidR="001C7BF9" w:rsidRPr="00C9680B" w:rsidRDefault="001C7BF9">
      <w:pPr>
        <w:pStyle w:val="Normaltindrag"/>
      </w:pPr>
      <w:r w:rsidRPr="00C9680B">
        <w:t>Vi hör ofta nu för tiden att det går bra för Sverige, alltför ofta tycker de som ännu inte mera konkret har fått ta del av detta och sett det i sin egen börs. Låg inflation, låga räntor och hög tillväxt kännetecknar Sverige i dag liksom att, som riksbankschefen sade i sitt anförande, alltfler människor har ett jobb att gå till. Men lönebildningens centra</w:t>
      </w:r>
      <w:r w:rsidRPr="00C9680B">
        <w:t>la roll för en fortsatt god ekonomi b</w:t>
      </w:r>
      <w:r w:rsidRPr="00C9680B">
        <w:t>e</w:t>
      </w:r>
      <w:r w:rsidRPr="00C9680B">
        <w:t>skrivs i dag i många olika tonarter, och riksbankschefens tonart var mycket bestämd när han sade: 3,5–4 % i löneökning, annars blir det arbetslöshet.</w:t>
      </w:r>
    </w:p>
    <w:p w:rsidR="001C7BF9" w:rsidRPr="00C9680B" w:rsidRDefault="001C7BF9">
      <w:pPr>
        <w:pStyle w:val="Normaltindrag"/>
      </w:pPr>
      <w:r w:rsidRPr="00C9680B">
        <w:t>Många yrkesgrupper förstår inte alltid varför just deras krav på högre löner skulle kunna äventyra den goda ekonomin. Jag tänker inte minst på personal i vård, skola och omsorg. Jag tror att de flesta av oss tycker att de är värda en högre lön. Inom den nya, eller den nutida, ekonomin ingår bl.a. IT-bolagen. De har jämföre</w:t>
      </w:r>
      <w:r w:rsidRPr="00C9680B">
        <w:t>lsevis höga löner, trots att företagen ännu inte har gett någon större vinst. Vi läser i tidningarna lite då och då om svindlande löneförhö</w:t>
      </w:r>
      <w:r w:rsidRPr="00C9680B">
        <w:t>j</w:t>
      </w:r>
      <w:r w:rsidRPr="00C9680B">
        <w:t xml:space="preserve">ningar för enskilda personer. Ekonomer talar om lönehöjningar på rätt nivå, lönehöjningar i takt med Europa och om en robust lönebildning. </w:t>
      </w:r>
    </w:p>
    <w:p w:rsidR="001C7BF9" w:rsidRPr="00C9680B" w:rsidRDefault="001C7BF9">
      <w:pPr>
        <w:pStyle w:val="Normaltindrag"/>
      </w:pPr>
      <w:r w:rsidRPr="00C9680B">
        <w:t>Jag hade tänkt be riksbankschefen om en lite större sammanfattning när det gäller lönebildningen, inte bara de här procenten, men han gav ju Karin Pi</w:t>
      </w:r>
      <w:r w:rsidRPr="00C9680B">
        <w:t>l</w:t>
      </w:r>
      <w:r w:rsidRPr="00C9680B">
        <w:t>säter svaret att det är de ekonomiska grundlagarna som gäller, och jag förm</w:t>
      </w:r>
      <w:r w:rsidRPr="00C9680B">
        <w:t>o</w:t>
      </w:r>
      <w:r w:rsidRPr="00C9680B">
        <w:t>dar att det då handlar om bl.a. tillgång och efterfrågan. Men när det nu gång på gång upprepas att det går bra för Sverige och att vi har stora tillgångar är det här också en pedagogisk fråga: Gäller det alla löner eller bara några att lönebildningen är så betydelsefull för en god och stabil ekonomi?</w:t>
      </w:r>
    </w:p>
    <w:p w:rsidR="001C7BF9" w:rsidRPr="00C9680B" w:rsidRDefault="001C7BF9">
      <w:pPr>
        <w:pStyle w:val="Deltagare"/>
        <w:keepLines w:val="0"/>
        <w:spacing w:before="0" w:line="360" w:lineRule="auto"/>
        <w:rPr>
          <w:noProof w:val="0"/>
        </w:rPr>
      </w:pPr>
    </w:p>
    <w:p w:rsidR="001C7BF9" w:rsidRPr="00C9680B" w:rsidRDefault="001C7BF9">
      <w:r w:rsidRPr="00C9680B">
        <w:rPr>
          <w:i/>
        </w:rPr>
        <w:t>Urban Bäckström</w:t>
      </w:r>
      <w:r w:rsidRPr="00C9680B">
        <w:t>: Det är alldeles riktigt att genomsnittssiffror ibland lurar. Det är svårt att förstå genomsnitt. Frågan är om det över huvud taget finns någon som är representativ för ett genomsnitt. Men det ser i alla fall ut som på den här bilden. Den blå linjen visar de faktiska reallönehöjningarna, som vi har haft i svensk ekonomi.</w:t>
      </w:r>
    </w:p>
    <w:p w:rsidR="001C7BF9" w:rsidRPr="00C9680B" w:rsidRDefault="001C7BF9">
      <w:pPr>
        <w:pStyle w:val="Normaltindrag"/>
      </w:pPr>
      <w:r w:rsidRPr="00C9680B">
        <w:t>Vad vi har upplevt, och det framgår av finansplaner, budgetpropositioner och annat, under de senaste åren är faktiskt reallönehöjningar som det var länge sedan vi såg i svensk ekonomi. Det</w:t>
      </w:r>
      <w:r w:rsidRPr="00C9680B">
        <w:t xml:space="preserve"> är klart att det är det som bedömare, inklusive jag, pratar om. Men det finns naturligtvis de som har släpat efter och de som inte har sett de här reallönehöjningarna. De känner naturligtvis ett främlingskap i den debatten.</w:t>
      </w:r>
    </w:p>
    <w:p w:rsidR="001C7BF9" w:rsidRPr="00C9680B" w:rsidRDefault="001C7BF9">
      <w:pPr>
        <w:pStyle w:val="Normaltindrag"/>
      </w:pPr>
      <w:r w:rsidRPr="00C9680B">
        <w:t>Problemet är att de ekonomiska lagarna är att vi på makronivå i ekonomin måste koppla lön till resultat. Det går inte på något annat sätt. Det blir arbet</w:t>
      </w:r>
      <w:r w:rsidRPr="00C9680B">
        <w:t>s</w:t>
      </w:r>
      <w:r w:rsidRPr="00C9680B">
        <w:t xml:space="preserve">löshet annars. Det ska vara lön i förhållande till prestation och resultat. Och då mäter vi reallöneökningar mot produktivitetsökningar, så den kopplingen finns i ekonomin på makronivå. Problemet är att den sedan inte finns ute i företag och i offentlig sektor på ett lika tydligt sätt. Det beror på vårt sätt att hantera lönebildningen i Sverige sedan decennier tillbaka. Det har funnits ambitioner att omfördela i lönestrukturen och alltså avkoppla den koppling som obönhörligen finns på makronivå mellan lön </w:t>
      </w:r>
      <w:r w:rsidRPr="00C9680B">
        <w:t>och resultat. Det här kan man göra till en viss gräns, men man riskerar att få missnöjesyttringar från en del grupper. Man riskerar också rekryteringsproblem.</w:t>
      </w:r>
    </w:p>
    <w:p w:rsidR="001C7BF9" w:rsidRPr="00C9680B" w:rsidRDefault="001C7BF9">
      <w:pPr>
        <w:pStyle w:val="Normaltindrag"/>
      </w:pPr>
      <w:r w:rsidRPr="00C9680B">
        <w:t>Jag ska inte lägga mig i det här, men jag kan inte undgå att ta lärarna som exempel. Man skulle kunna ta andra exempel också. Nej, nu har jag trampat i klaveret. Vi flyttar oss bort från lärarna. Sedan får var och en göra den kop</w:t>
      </w:r>
      <w:r w:rsidRPr="00C9680B">
        <w:t>p</w:t>
      </w:r>
      <w:r w:rsidRPr="00C9680B">
        <w:t>lingen om de vill ändå.</w:t>
      </w:r>
    </w:p>
    <w:p w:rsidR="001C7BF9" w:rsidRPr="00C9680B" w:rsidRDefault="001C7BF9">
      <w:pPr>
        <w:pStyle w:val="Normaltindrag"/>
      </w:pPr>
      <w:r w:rsidRPr="00C9680B">
        <w:t>Om man inte premierar människor efter deras resultat och prestation kommer man att få rekryteringsproblem, eftersom ingen då vill ha sådana yrken. Sättet att komma åt det här är att koppla ihop lön och prestation igen, men då får man andra problem, nämligen vidgade löneskillnader och allt annat sådant. Det handlar om att välja vilket problem man vill ha. Detta är en partipolitisk fråga. Man betonar vissa saker i olika sammanhang på bekostnad av andra saker. Men om man väljer en smal</w:t>
      </w:r>
      <w:r w:rsidRPr="00C9680B">
        <w:t>are lönestruktur och väljer att driva lönebildningen åt ett visst håll får man rekryteringsproblem i vissa sektorer. Man får missnöjesyttringar osv. och kanske också en minskad fö</w:t>
      </w:r>
      <w:r w:rsidRPr="00C9680B">
        <w:t>r</w:t>
      </w:r>
      <w:r w:rsidRPr="00C9680B">
        <w:t>ståelse.</w:t>
      </w:r>
    </w:p>
    <w:p w:rsidR="001C7BF9" w:rsidRPr="00C9680B" w:rsidRDefault="001C7BF9">
      <w:pPr>
        <w:pStyle w:val="Normaltindrag"/>
      </w:pPr>
      <w:r w:rsidRPr="00C9680B">
        <w:t>Jag vet inte om jag har lyckats, men det här var ett sätt att försöka visa att man, om man gör något i ett system, åstadkommer någonting annat, men man får också en avigsida.</w:t>
      </w:r>
    </w:p>
    <w:p w:rsidR="001C7BF9" w:rsidRPr="00C9680B" w:rsidRDefault="001C7BF9">
      <w:pPr>
        <w:pStyle w:val="Deltagare"/>
        <w:keepLines w:val="0"/>
        <w:spacing w:before="0" w:line="360" w:lineRule="auto"/>
        <w:rPr>
          <w:noProof w:val="0"/>
        </w:rPr>
      </w:pPr>
    </w:p>
    <w:p w:rsidR="001C7BF9" w:rsidRPr="00C9680B" w:rsidRDefault="001C7BF9">
      <w:r w:rsidRPr="00C9680B">
        <w:rPr>
          <w:i/>
        </w:rPr>
        <w:t>Lisbet Calner (s):</w:t>
      </w:r>
      <w:r w:rsidRPr="00C9680B">
        <w:t xml:space="preserve"> Jag tackar så mycket för svaret. Det var uttömmande, bra och mycket intressant.</w:t>
      </w:r>
    </w:p>
    <w:p w:rsidR="001C7BF9" w:rsidRPr="00C9680B" w:rsidRDefault="001C7BF9">
      <w:pPr>
        <w:pStyle w:val="Normaltindrag"/>
      </w:pPr>
      <w:r w:rsidRPr="00C9680B">
        <w:t>Jag talade om att enskilda personer får svindlande lönehöjningar. Jag un</w:t>
      </w:r>
      <w:r w:rsidRPr="00C9680B">
        <w:t>d</w:t>
      </w:r>
      <w:r w:rsidRPr="00C9680B">
        <w:t>rar om betydelsen av lönebildningen gäller alla löner eller bara några. Det räcker med ett enkelt ja eller nej som svar på den frågan.</w:t>
      </w:r>
    </w:p>
    <w:p w:rsidR="001C7BF9" w:rsidRPr="00C9680B" w:rsidRDefault="001C7BF9">
      <w:pPr>
        <w:pStyle w:val="Deltagare"/>
        <w:keepLines w:val="0"/>
        <w:spacing w:before="0" w:line="360" w:lineRule="auto"/>
        <w:rPr>
          <w:noProof w:val="0"/>
        </w:rPr>
      </w:pPr>
    </w:p>
    <w:p w:rsidR="001C7BF9" w:rsidRPr="00C9680B" w:rsidRDefault="001C7BF9">
      <w:r w:rsidRPr="00C9680B">
        <w:rPr>
          <w:i/>
        </w:rPr>
        <w:t>Urban Bäckström:</w:t>
      </w:r>
      <w:r w:rsidRPr="00C9680B">
        <w:t xml:space="preserve"> Man kan inte säga att alla löner i svensk ekonomi ska öka med 3½ – 4 % för då får man rekryteringsproblem på vissa områden och en överkompensation på andra områden över tiden. Lönerna måste öka lite olika. En del måste öka mer, och andra måste öka mindre, beroende på var man har rekryteringsproblem, vad man vill stimulera folk att utbilda sig till och att man vill stimulera folk att utbilda sig osv. Det är självklart. Men totalt sett är den här restriktionen inte bara en önskan utan också bindande, efterso</w:t>
      </w:r>
      <w:r w:rsidRPr="00C9680B">
        <w:t>m det blir arbetslöshet annars.</w:t>
      </w:r>
    </w:p>
    <w:p w:rsidR="001C7BF9" w:rsidRPr="00C9680B" w:rsidRDefault="001C7BF9">
      <w:pPr>
        <w:pStyle w:val="Deltagare"/>
        <w:keepLines w:val="0"/>
        <w:spacing w:before="0" w:line="360" w:lineRule="auto"/>
        <w:rPr>
          <w:noProof w:val="0"/>
        </w:rPr>
      </w:pPr>
    </w:p>
    <w:p w:rsidR="001C7BF9" w:rsidRPr="00C9680B" w:rsidRDefault="001C7BF9">
      <w:r w:rsidRPr="00C9680B">
        <w:rPr>
          <w:i/>
        </w:rPr>
        <w:t>Lisbet Calner (s):</w:t>
      </w:r>
      <w:r w:rsidRPr="00C9680B">
        <w:t xml:space="preserve"> Jag har också funderat på det här med den nya ekonomin. När jag visar bankhallen brukar jag prata om tavlorna som finns i taket och säga att det här var den dåtida ekonomin i Sverige, med gruvnäringen i norr och bondesamhället i söder. Då kanske man kan säga den nutida ekonomin om den nya ekonomin. Den beskrivs onekligen på lite olika sätt. Jag tänkte att min definition kanske kunde vara lika bra eller dålig som någon annans.</w:t>
      </w:r>
    </w:p>
    <w:p w:rsidR="001C7BF9" w:rsidRPr="00C9680B" w:rsidRDefault="001C7BF9">
      <w:pPr>
        <w:pStyle w:val="Normaltindrag"/>
      </w:pPr>
      <w:r w:rsidRPr="00C9680B">
        <w:t>Jag menar att kännetecknen är att tjänstesamhället är större än industrin, att ka</w:t>
      </w:r>
      <w:r w:rsidRPr="00C9680B">
        <w:t>pitalet förflyttar sig snabbt, att IT-kunskaper är nödvändiga, att det är en internationalisering, en globalisering, om man så vill, och att det är kunska</w:t>
      </w:r>
      <w:r w:rsidRPr="00C9680B">
        <w:t>p</w:t>
      </w:r>
      <w:r w:rsidRPr="00C9680B">
        <w:t>s</w:t>
      </w:r>
      <w:r w:rsidRPr="00C9680B">
        <w:softHyphen/>
        <w:t>intensivt eller som någon uttryckte det: I den nya ekonomin står slaget om hjärnorna. Det tyckte jag var ett intressant grepp om den nya ekonomin.</w:t>
      </w:r>
    </w:p>
    <w:p w:rsidR="001C7BF9" w:rsidRPr="00C9680B" w:rsidRDefault="001C7BF9">
      <w:pPr>
        <w:pStyle w:val="Normaltindrag"/>
      </w:pPr>
      <w:r w:rsidRPr="00C9680B">
        <w:t>Jag tror att det här är ingående faktorer när vi talar om den nya ekonomin i termer av hög tillväxt, hög sysselsättning och låg eller ingen inflation. Då kommer min fråga: Ställer den nya ekonomin förändrade,</w:t>
      </w:r>
      <w:r w:rsidRPr="00C9680B">
        <w:t xml:space="preserve"> nya, annorlunda krav på penningpolitiken?</w:t>
      </w:r>
    </w:p>
    <w:p w:rsidR="001C7BF9" w:rsidRPr="00C9680B" w:rsidRDefault="001C7BF9">
      <w:pPr>
        <w:pStyle w:val="Deltagare"/>
        <w:keepLines w:val="0"/>
        <w:spacing w:before="0" w:line="360" w:lineRule="auto"/>
        <w:rPr>
          <w:noProof w:val="0"/>
        </w:rPr>
      </w:pPr>
    </w:p>
    <w:p w:rsidR="001C7BF9" w:rsidRPr="00C9680B" w:rsidRDefault="001C7BF9">
      <w:r w:rsidRPr="00C9680B">
        <w:rPr>
          <w:i/>
        </w:rPr>
        <w:t>Urban Bäckström:</w:t>
      </w:r>
      <w:r w:rsidRPr="00C9680B">
        <w:t xml:space="preserve"> Nej, i grund och botten gör den inte det. Men vid olika språng i den ekonomiska utvecklingen – vi vet ännu inte om Sverige är inne i ett sådant språng – händer det någonting på det tekniska området. Det gör det svårare att göra prognoser. Om vi ska göra prognoser på ett till två års sikt över inflationen är vi rätt beroende av att historiska samband gäller. Det enda vi vet i dag är att de inte gör det. Därför måste vi pröva oss fram, successivt revidera vår syn och ändra oss i takt med den utveckling som v</w:t>
      </w:r>
      <w:r w:rsidRPr="00C9680B">
        <w:t>i observerar. Vi måste stå på tå och vara noga med att följa utvecklingen, så att vi tar hä</w:t>
      </w:r>
      <w:r w:rsidRPr="00C9680B">
        <w:t>n</w:t>
      </w:r>
      <w:r w:rsidRPr="00C9680B">
        <w:t>syn till de stora förändringar som sker och har skett i svensk ekonomi. Om vi skulle ha baserat vår politik på gamla modeller i dag skulle vi ha haft en v</w:t>
      </w:r>
      <w:r w:rsidRPr="00C9680B">
        <w:t>ä</w:t>
      </w:r>
      <w:r w:rsidRPr="00C9680B">
        <w:t>sentligt högre reporänta och en helt annan efterfrågeutveckling i svensk ek</w:t>
      </w:r>
      <w:r w:rsidRPr="00C9680B">
        <w:t>o</w:t>
      </w:r>
      <w:r w:rsidRPr="00C9680B">
        <w:t>nomi. Men det här gör också att vi måste tåla att bli kritiserade för att ha fel. Prognosmakare har nämligen lite fel i sådana här perioder, inklusive Rik</w:t>
      </w:r>
      <w:r w:rsidRPr="00C9680B">
        <w:t>s</w:t>
      </w:r>
      <w:r w:rsidRPr="00C9680B">
        <w:t>banken.</w:t>
      </w:r>
    </w:p>
    <w:p w:rsidR="001C7BF9" w:rsidRPr="00C9680B" w:rsidRDefault="001C7BF9">
      <w:pPr>
        <w:pStyle w:val="Deltagare"/>
        <w:keepLines w:val="0"/>
        <w:spacing w:before="0" w:line="360" w:lineRule="auto"/>
        <w:rPr>
          <w:noProof w:val="0"/>
        </w:rPr>
      </w:pPr>
    </w:p>
    <w:p w:rsidR="001C7BF9" w:rsidRPr="00C9680B" w:rsidRDefault="001C7BF9">
      <w:r w:rsidRPr="00C9680B">
        <w:rPr>
          <w:i/>
        </w:rPr>
        <w:t>Per Landgren (kd):</w:t>
      </w:r>
      <w:r w:rsidRPr="00C9680B">
        <w:t xml:space="preserve"> Ordförande! Med en liknande ambition som Lennart Hedquist att hitta nya infallsvinklar i inflationsrapporten har jag hittat en ekvation på s. 42 som jag inte ska kommentera. Men det står om arbetsmar</w:t>
      </w:r>
      <w:r w:rsidRPr="00C9680B">
        <w:t>k</w:t>
      </w:r>
      <w:r w:rsidRPr="00C9680B">
        <w:t>naden och resursutnyttjandet i den fördjupningsrutan och om att det finns goda skäl att anta att öppen arbetslöshet är ett mindre lämpligt mått på män</w:t>
      </w:r>
      <w:r w:rsidRPr="00C9680B">
        <w:t>g</w:t>
      </w:r>
      <w:r w:rsidRPr="00C9680B">
        <w:t>den lediga resurser osv. Det står i texten tidigare att man gjorde en bedömning under det andra kvartalet 2000, att den svenska ekonomin arbetade med full kapac</w:t>
      </w:r>
      <w:r w:rsidRPr="00C9680B">
        <w:t>itet. Sedan var det ändå senare ett stigande resursutnyttjande, och då vill man räkna in gruppen latenta arbetssökande i den resurs, som finns att tillgå för arbetsmarknaden. Då tänkte jag fråga om jämviktsarbetslösheten: Påve</w:t>
      </w:r>
      <w:r w:rsidRPr="00C9680B">
        <w:t>r</w:t>
      </w:r>
      <w:r w:rsidRPr="00C9680B">
        <w:t>kar det här resonemanget synen på den strukturella arbetslösheten och framför allt synen på nivån? Sjunker nivån då? Hur har nivån legat tidigare, och hur ligger den nu? Kan riksbankschefen kommentera detta lite.</w:t>
      </w:r>
    </w:p>
    <w:p w:rsidR="001C7BF9" w:rsidRPr="00C9680B" w:rsidRDefault="001C7BF9">
      <w:pPr>
        <w:pStyle w:val="Normaltindrag"/>
      </w:pPr>
      <w:r w:rsidRPr="00C9680B">
        <w:t>Sedan gjorde jag bara en randanmärkning när jag lyssnade till talet, som</w:t>
      </w:r>
      <w:r w:rsidRPr="00C9680B">
        <w:t xml:space="preserve"> riksbankschefen höll tidigare, om USA:s accelererande produktivitetstillväxt och jämförelsen med Sverige och att en förklaring till skillnaderna skulle kunna ligga i att produktivitetsutvecklingen mäts på olika sätt. Skulle vi, om man skulle mäta produktivitetsutvecklingen i Sverige som man mäter den i USA, ha en accelererande produktivitetstillväxt, ungefär som USA? Vad är det riksbankschefen vill säga med det här egentligen?</w:t>
      </w:r>
    </w:p>
    <w:p w:rsidR="001C7BF9" w:rsidRPr="00C9680B" w:rsidRDefault="001C7BF9">
      <w:pPr>
        <w:pStyle w:val="Normaltindrag"/>
      </w:pPr>
      <w:r w:rsidRPr="00C9680B">
        <w:t>Det var mina frågor.</w:t>
      </w:r>
    </w:p>
    <w:p w:rsidR="001C7BF9" w:rsidRPr="00C9680B" w:rsidRDefault="001C7BF9">
      <w:pPr>
        <w:pStyle w:val="Deltagare"/>
        <w:keepLines w:val="0"/>
        <w:spacing w:before="0" w:line="360" w:lineRule="auto"/>
        <w:rPr>
          <w:noProof w:val="0"/>
        </w:rPr>
      </w:pPr>
    </w:p>
    <w:p w:rsidR="001C7BF9" w:rsidRPr="00C9680B" w:rsidRDefault="001C7BF9">
      <w:r w:rsidRPr="00C9680B">
        <w:rPr>
          <w:i/>
        </w:rPr>
        <w:t>Urban Bäckström:</w:t>
      </w:r>
      <w:r w:rsidRPr="00C9680B">
        <w:t xml:space="preserve"> Det sista handlar helt enkelt om att skillnader i mätmet</w:t>
      </w:r>
      <w:r w:rsidRPr="00C9680B">
        <w:t>o</w:t>
      </w:r>
      <w:r w:rsidRPr="00C9680B">
        <w:t>der, urvalsprinciper osv., kan spela roll. Det finns undersökningar där man försöker ta hänsyn till skillnader i mätmetoder. Där kommer man fram till att skillnaderna inte är så förfärligt stora. Men jag tror ändå – det här är inte ett statistiskt fenomen – att den amerikanska ekonomin ligger före i utvecklin</w:t>
      </w:r>
      <w:r w:rsidRPr="00C9680B">
        <w:t>g</w:t>
      </w:r>
      <w:r w:rsidRPr="00C9680B">
        <w:t xml:space="preserve">en, även om skillnaderna kanske inte är fullt så stora som statistiken ger sken av. </w:t>
      </w:r>
    </w:p>
    <w:p w:rsidR="001C7BF9" w:rsidRPr="00C9680B" w:rsidRDefault="001C7BF9">
      <w:pPr>
        <w:pStyle w:val="Normaltindrag"/>
      </w:pPr>
      <w:r w:rsidRPr="00C9680B">
        <w:t>Låt mig beträffande ekvationen på s. 42 säga att jag beund</w:t>
      </w:r>
      <w:r w:rsidRPr="00C9680B">
        <w:t>rar utskottets l</w:t>
      </w:r>
      <w:r w:rsidRPr="00C9680B">
        <w:t>e</w:t>
      </w:r>
      <w:r w:rsidRPr="00C9680B">
        <w:t>damöter som ger sig in i detta. Jag trodde att ni skulle hjälpa mig att säga till mina medarbetare att vi ska kunna skriva det här ändå. Men skälet till att t.ex. en sådan här ruta finns är att en centralbank inte kan gå ut och hur som helst säga: Nu tror vi att resursutnyttjandet är lite mindre ansträngt än vad vi sade tidigare. Då kan andra konjunkturbedömare säga: Jaha, vad har ni för belägg för det då? Om vi säger att vi har gjort den bedömningen är det ju ingen som tror på det. Så vi h</w:t>
      </w:r>
      <w:r w:rsidRPr="00C9680B">
        <w:t>ar ett trovärdighetsproblem i det här avseendet. Det gäller särskilt det senaste året när så många andra konjunkturbedömare har haft en annan bild och delvis kritiserat oss men framför allt förväntat sig en annan penningpolitik än den som har förts. Man har förväntat sig kraftigare ränt</w:t>
      </w:r>
      <w:r w:rsidRPr="00C9680B">
        <w:t>e</w:t>
      </w:r>
      <w:r w:rsidRPr="00C9680B">
        <w:t>höjningar. Då måste vi hitta ett sätt att belägga olika resonemang. Det här är då ett sätt, att använda beprövade vetenskapliga metoder för att belägga det här, som en eller ett par mycket skickliga ekonomer hos oss har gjor</w:t>
      </w:r>
      <w:r w:rsidRPr="00C9680B">
        <w:t>t.</w:t>
      </w:r>
    </w:p>
    <w:p w:rsidR="001C7BF9" w:rsidRPr="00C9680B" w:rsidRDefault="001C7BF9">
      <w:pPr>
        <w:pStyle w:val="Normaltindrag"/>
      </w:pPr>
      <w:r w:rsidRPr="00C9680B">
        <w:t>Det här är ju inget hundraprocentigt bevis, men det är ett sätt att föra res</w:t>
      </w:r>
      <w:r w:rsidRPr="00C9680B">
        <w:t>o</w:t>
      </w:r>
      <w:r w:rsidRPr="00C9680B">
        <w:t>nemanget i ordnade termer. Det här visar då att jämviktsarbetslösheten är lite lägre än vad man har trott tidigare. Det tycker jag är en intressant hypotes. Jag vill betona att vi än så länge måste säga att det är en hypotes eftersom vi inte har sett utfallet i lönebildningen. Vi får nog avvakta och se i avtalsförhan</w:t>
      </w:r>
      <w:r w:rsidRPr="00C9680B">
        <w:t>d</w:t>
      </w:r>
      <w:r w:rsidRPr="00C9680B">
        <w:t>lingarna om det här verkligen stämmer. Låt oss hoppas att det gör det!</w:t>
      </w:r>
    </w:p>
    <w:p w:rsidR="001C7BF9" w:rsidRPr="00C9680B" w:rsidRDefault="001C7BF9">
      <w:pPr>
        <w:pStyle w:val="Deltagare"/>
        <w:keepLines w:val="0"/>
        <w:spacing w:before="0" w:line="360" w:lineRule="auto"/>
        <w:rPr>
          <w:noProof w:val="0"/>
        </w:rPr>
      </w:pPr>
    </w:p>
    <w:p w:rsidR="001C7BF9" w:rsidRPr="00C9680B" w:rsidRDefault="001C7BF9">
      <w:r w:rsidRPr="00C9680B">
        <w:rPr>
          <w:i/>
        </w:rPr>
        <w:t>Per Landgren (kd):</w:t>
      </w:r>
      <w:r w:rsidRPr="00C9680B">
        <w:t xml:space="preserve"> Jag har egentligen ingen vidare kommentar. Men jag kan säga att det här är uppslag för avhandlingar på universiteten. Man kan gå vidare och empiriskt pröva det här. Även om jag inte har den ambitionen tycker jag att det har varit intressant att läsa valda sådana här rutor.</w:t>
      </w:r>
    </w:p>
    <w:p w:rsidR="001C7BF9" w:rsidRPr="00C9680B" w:rsidRDefault="001C7BF9">
      <w:pPr>
        <w:pStyle w:val="Deltagare"/>
        <w:keepLines w:val="0"/>
        <w:spacing w:before="0" w:line="360" w:lineRule="auto"/>
        <w:rPr>
          <w:noProof w:val="0"/>
        </w:rPr>
      </w:pPr>
    </w:p>
    <w:p w:rsidR="001C7BF9" w:rsidRPr="00C9680B" w:rsidRDefault="001C7BF9">
      <w:r w:rsidRPr="00C9680B">
        <w:rPr>
          <w:i/>
        </w:rPr>
        <w:t>Bengt Silfverstrand (s):</w:t>
      </w:r>
      <w:r w:rsidRPr="00C9680B">
        <w:t xml:space="preserve"> Herr ordförande! I mars i år trodde Riksbanken att inflationen inom två år skulle hamna över inflationsmålet på 2 %. I juni hade man reviderat den uppfattningen och trodde att inflationen inom två år skulle hamna på inflationsmålet. Sedan i september sade en direktionsmedlem i ett anförande i Malmö att inflationen för närvarande var låg och så väntades förbli under hela den kommande tvåårsperioden.</w:t>
      </w:r>
    </w:p>
    <w:p w:rsidR="001C7BF9" w:rsidRPr="00C9680B" w:rsidRDefault="001C7BF9">
      <w:pPr>
        <w:pStyle w:val="Normaltindrag"/>
      </w:pPr>
      <w:r w:rsidRPr="00C9680B">
        <w:t>Uppenbarligen svänger Riksbankens bedömningar fram och tillbaka. Det finner jag i och för sig inte särskilt m</w:t>
      </w:r>
      <w:r w:rsidRPr="00C9680B">
        <w:t>ärkligt, men vi kan också notera att det finns en del grundläggande svagheter i Riksbankens prognosarbete, vilket påpekades av den här direktionsmedlemmen i det här anförandet. Dit hör att den svenska riksbanken inte har kommit lika långt som flera andra centra</w:t>
      </w:r>
      <w:r w:rsidRPr="00C9680B">
        <w:t>l</w:t>
      </w:r>
      <w:r w:rsidRPr="00C9680B">
        <w:t>banker när det gäller analyser av olika finansiella aggregat och deras koppling till inflation och real efterfrågan. Riksbanken har t.ex. uppenbarligen inte utvecklat metoder om vilken skuldsättning och vilken penningmängd som är förenlig med den lån</w:t>
      </w:r>
      <w:r w:rsidRPr="00C9680B">
        <w:t>gsiktigt hållbara tillväxten i ekonomin.</w:t>
      </w:r>
    </w:p>
    <w:p w:rsidR="001C7BF9" w:rsidRPr="00C9680B" w:rsidRDefault="001C7BF9">
      <w:pPr>
        <w:spacing w:before="125"/>
      </w:pPr>
      <w:r w:rsidRPr="00C9680B">
        <w:t xml:space="preserve">Enligt samma direktionsmedlem har Riksbanken också svårt att finna metoder för att skatta så centrala variabler som hur mycket lediga resurser som finns i ekonomin och hur stor den potentiella tillväxten kan vara. Det väl också så att det är en påtaglig skillnad i förhållande till ECB, som naturligtvis har helt andra förutsättningar att tydligt beakta den finansiella utvecklingen när det är dags att fatta penningpolitiska beslut. </w:t>
      </w:r>
    </w:p>
    <w:p w:rsidR="001C7BF9" w:rsidRPr="00C9680B" w:rsidRDefault="001C7BF9">
      <w:pPr>
        <w:pStyle w:val="Normaltindrag"/>
      </w:pPr>
      <w:r w:rsidRPr="00C9680B">
        <w:t>Vidare vet inte Riksbanken, jag åberopar fortfarande samma direktion</w:t>
      </w:r>
      <w:r w:rsidRPr="00C9680B">
        <w:t>s</w:t>
      </w:r>
      <w:r w:rsidRPr="00C9680B">
        <w:t>medlem, exakt vilken stimulans eller åtstramning som en viss räntenivå ger. Min fråga är då till riksbankschefen: Vilka slutsatser drar riksbankschefen för banken när det gäller kommande prognosarbete och behovet av att minska antalet fel i Riksbankens prognoser?</w:t>
      </w:r>
    </w:p>
    <w:p w:rsidR="001C7BF9" w:rsidRPr="00C9680B" w:rsidRDefault="001C7BF9">
      <w:pPr>
        <w:pStyle w:val="Deltagare"/>
        <w:keepLines w:val="0"/>
        <w:spacing w:before="0" w:line="360" w:lineRule="auto"/>
        <w:rPr>
          <w:noProof w:val="0"/>
        </w:rPr>
      </w:pPr>
    </w:p>
    <w:p w:rsidR="001C7BF9" w:rsidRPr="00C9680B" w:rsidRDefault="001C7BF9">
      <w:r w:rsidRPr="00C9680B">
        <w:rPr>
          <w:i/>
        </w:rPr>
        <w:t>Urban Bäckström:</w:t>
      </w:r>
      <w:r w:rsidRPr="00C9680B">
        <w:t xml:space="preserve"> Får jag först säga till Bengt Silfverstrand att man måste skilja på vad olika direktionsledamöter säger, vi kan ha lite olika uppfattnin</w:t>
      </w:r>
      <w:r w:rsidRPr="00C9680B">
        <w:t>g</w:t>
      </w:r>
      <w:r w:rsidRPr="00C9680B">
        <w:t>ar och det här är ett exempel på det, och vad direktionen sammantaget ko</w:t>
      </w:r>
      <w:r w:rsidRPr="00C9680B">
        <w:t>m</w:t>
      </w:r>
      <w:r w:rsidRPr="00C9680B">
        <w:t>mer fram till i en sådan här rapport. När det gäller rapporternas utveckling över tiden har jag flera gånger varit inne på att vi gradvis har förändrat vår syn. Det inträffar saker. Det tar vi hänsyn till. Vi lär oss att implementera detta. Skulle vi ha gått på gamla samband, gamla sätt att göra bedö</w:t>
      </w:r>
      <w:r w:rsidRPr="00C9680B">
        <w:t>mningar och prognoser som bygger på parametrar från 1970- och 1980-talen, skulle vi som sagt ha haft en helt annan penningpolitik.</w:t>
      </w:r>
    </w:p>
    <w:p w:rsidR="001C7BF9" w:rsidRPr="00C9680B" w:rsidRDefault="001C7BF9">
      <w:pPr>
        <w:pStyle w:val="Normaltindrag"/>
      </w:pPr>
      <w:r w:rsidRPr="00C9680B">
        <w:t>På vilket annat sätt kan vi göra? När vi får nya insikter ändrar vi oss. Jag hoppas att alla gör det. Sedan är det så att enskilda direktionsledamöter har andra uppfattningar om hur det ska vara. Bengt Silfverstrand läser antagligen en reservation från en av ledamöterna, som under ganska lång tid har för</w:t>
      </w:r>
      <w:r w:rsidRPr="00C9680B">
        <w:t>e</w:t>
      </w:r>
      <w:r w:rsidRPr="00C9680B">
        <w:t>språkat en annan penningpolitik. Jag är, måste jag säga, väldigt glad för sy</w:t>
      </w:r>
      <w:r w:rsidRPr="00C9680B">
        <w:t>s</w:t>
      </w:r>
      <w:r w:rsidRPr="00C9680B">
        <w:t>temets skull för att en person systematiskt håller fast vid sin uppfattning. Jag har full respekt för denna direktionsledamot, för vi har ännu inte facit i hand. Vi får se vem som hade rätt och vem som så att säga hade fel.</w:t>
      </w:r>
    </w:p>
    <w:p w:rsidR="001C7BF9" w:rsidRPr="00C9680B" w:rsidRDefault="001C7BF9">
      <w:pPr>
        <w:pStyle w:val="Normaltindrag"/>
      </w:pPr>
      <w:r w:rsidRPr="00C9680B">
        <w:t>Jag delar personligen inte uppfattningen att det skulle vara ett problem att vi inte jobbar med penningmängdsmått eller kreditmått. Jag ser inget problem i detta. I uppläggningen av penningpolitiken har vi i al</w:t>
      </w:r>
      <w:r w:rsidRPr="00C9680B">
        <w:t>lra högsta grad en modern syn på hur man ska bedriva penningpolitik. Men jag har full respekt för att en ledamot efterlyser detta, och vi diskuterar i direktionen hur man ska kunna öka betoningen på den typen av analyser för att tillgodose detta ön</w:t>
      </w:r>
      <w:r w:rsidRPr="00C9680B">
        <w:t>s</w:t>
      </w:r>
      <w:r w:rsidRPr="00C9680B">
        <w:t>kemål. Jag ser därför inget problem för vårt förande av penningpolitik. Snar</w:t>
      </w:r>
      <w:r w:rsidRPr="00C9680B">
        <w:t>a</w:t>
      </w:r>
      <w:r w:rsidRPr="00C9680B">
        <w:t>re är det så att under de senaste 20 åren har alltfler centralbanker lämnat det sättet att bedriva penningpolitik.</w:t>
      </w:r>
    </w:p>
    <w:p w:rsidR="001C7BF9" w:rsidRPr="00C9680B" w:rsidRDefault="001C7BF9">
      <w:pPr>
        <w:pStyle w:val="Deltagare"/>
        <w:keepLines w:val="0"/>
        <w:spacing w:before="0" w:line="360" w:lineRule="auto"/>
        <w:rPr>
          <w:noProof w:val="0"/>
        </w:rPr>
      </w:pPr>
    </w:p>
    <w:p w:rsidR="001C7BF9" w:rsidRPr="00C9680B" w:rsidRDefault="001C7BF9">
      <w:r w:rsidRPr="00C9680B">
        <w:rPr>
          <w:i/>
        </w:rPr>
        <w:t>Bengt Silfverstrand (s):</w:t>
      </w:r>
      <w:r w:rsidRPr="00C9680B">
        <w:t xml:space="preserve"> Jag har förståelse för riksbankschefens synpunkter. Det är klart att en reservation är en sak för sig. Officiella framträdanden ger trots allt en officiell karaktär åt Riksbankens bedömning. Jag är tills vidare nöjd med svaret.</w:t>
      </w:r>
    </w:p>
    <w:p w:rsidR="001C7BF9" w:rsidRPr="00C9680B" w:rsidRDefault="001C7BF9">
      <w:pPr>
        <w:pStyle w:val="Normaltindrag"/>
      </w:pPr>
      <w:r w:rsidRPr="00C9680B">
        <w:t>Jag har en annan fråga. Jag har snuddat lite vid det här med kronan och kronkursen. Jag skulle vilja följa upp det. Kronan har ju sammantaget försv</w:t>
      </w:r>
      <w:r w:rsidRPr="00C9680B">
        <w:t>a</w:t>
      </w:r>
      <w:r w:rsidRPr="00C9680B">
        <w:t>gats en hel del, vilket också framgår av inflationsrapporterna de senaste m</w:t>
      </w:r>
      <w:r w:rsidRPr="00C9680B">
        <w:t>å</w:t>
      </w:r>
      <w:r w:rsidRPr="00C9680B">
        <w:t>naderna, från TCV-index på runt 123 till 127. Det är naturligtvis bl.a. en följd av stigande dollarkurs.  Vill riksbankschefen något utveckla och kommentera vad denna försvagning beror på och vilka effekter den kan få för inflationen och tillväxten? Det är det ena. I det sammanhanget tycker jag också att man ska koppla det lite till resonemanget om euron. Det vore intressant att få en kommentar och förklaring till eurons fall det s</w:t>
      </w:r>
      <w:r w:rsidRPr="00C9680B">
        <w:t>enaste året.</w:t>
      </w:r>
    </w:p>
    <w:p w:rsidR="001C7BF9" w:rsidRPr="00C9680B" w:rsidRDefault="001C7BF9">
      <w:pPr>
        <w:pStyle w:val="Deltagare"/>
        <w:keepLines w:val="0"/>
        <w:spacing w:before="0" w:line="360" w:lineRule="auto"/>
        <w:rPr>
          <w:noProof w:val="0"/>
        </w:rPr>
      </w:pPr>
    </w:p>
    <w:p w:rsidR="001C7BF9" w:rsidRPr="00C9680B" w:rsidRDefault="001C7BF9">
      <w:r w:rsidRPr="00C9680B">
        <w:rPr>
          <w:i/>
        </w:rPr>
        <w:t>Urban Bäckström:</w:t>
      </w:r>
      <w:r w:rsidRPr="00C9680B">
        <w:t xml:space="preserve"> Det sistnämnda vill jag inte göra, för jag tror inte att jag ska kommentera en annan centralbanks valuta. Men jag kan mycket väl fö</w:t>
      </w:r>
      <w:r w:rsidRPr="00C9680B">
        <w:t>r</w:t>
      </w:r>
      <w:r w:rsidRPr="00C9680B">
        <w:t>söka ge mig på uppgiften att diskutera den svenska kronan. Där är det två tendenser som är ganska klara som vi har sett. Sverige har haft en appr</w:t>
      </w:r>
      <w:r w:rsidRPr="00C9680B">
        <w:t>e</w:t>
      </w:r>
      <w:r w:rsidRPr="00C9680B">
        <w:t xml:space="preserve">ciering, en förstärkning, mot euron sedan den introducerades. Det har varit en ganska kraftig sådan. 9,50 tror jag att introduktionskursen var, och vi har haft en appreciering. Under den senaste tiden har den pendlat mellan 8,40 och </w:t>
      </w:r>
      <w:r w:rsidRPr="00C9680B">
        <w:t>8,60 – någonstans där. Jag tror att den ligger i det intervallet nu också.</w:t>
      </w:r>
    </w:p>
    <w:p w:rsidR="001C7BF9" w:rsidRPr="00C9680B" w:rsidRDefault="001C7BF9">
      <w:pPr>
        <w:pStyle w:val="Normaltindrag"/>
      </w:pPr>
      <w:r w:rsidRPr="00C9680B">
        <w:t>Men det stora som har hänt är att dollarn har stigit mot euron. Och efte</w:t>
      </w:r>
      <w:r w:rsidRPr="00C9680B">
        <w:t>r</w:t>
      </w:r>
      <w:r w:rsidRPr="00C9680B">
        <w:t xml:space="preserve">som vi efter apprecieringen nu ligger ungefär stabilt gentemot euron så har vi också försvagats mot dollarn. Sverige kopplas alltså till euroområdet </w:t>
      </w:r>
      <w:r w:rsidRPr="00C9680B">
        <w:rPr>
          <w:i/>
        </w:rPr>
        <w:t>so oder so</w:t>
      </w:r>
      <w:r w:rsidRPr="00C9680B">
        <w:t>. Oavsett utfall i olika folkomröstningar så har valutamarknaden uppfat</w:t>
      </w:r>
      <w:r w:rsidRPr="00C9680B">
        <w:t>t</w:t>
      </w:r>
      <w:r w:rsidRPr="00C9680B">
        <w:t>ningen att Sverige kommer att orientera sig åt det hållet fast man inte har någon syn på tidsperspektivet. Därför är kronan nära associerad till eurons utveckling. Följaktligen tappar vi mot dollarn. Då är det den relationen som naturligtvis är den viktiga när man väger samman Sv</w:t>
      </w:r>
      <w:r w:rsidRPr="00C9680B">
        <w:t>eriges växelkurser mot alla valutor. Och där har vi försvagats. Vi säger i vår bedömning att vi ser en normalisering av utvecklingen i fråga om dollarn och euron. Följaktligen ser vi en appreciering av den svenska kronan i effektiva termer. Det lägger vi till föru</w:t>
      </w:r>
      <w:r w:rsidRPr="00C9680B">
        <w:t>t</w:t>
      </w:r>
      <w:r w:rsidRPr="00C9680B">
        <w:t>sättning för huvudscenariot.</w:t>
      </w:r>
    </w:p>
    <w:p w:rsidR="001C7BF9" w:rsidRPr="00C9680B" w:rsidRDefault="001C7BF9">
      <w:pPr>
        <w:pStyle w:val="Normaltindrag"/>
      </w:pPr>
      <w:r w:rsidRPr="00C9680B">
        <w:t>Skulle sedan det inte ske så har vi gjort en mycket enkel ”gangsterkalkyl” – kan man säga så i finansutskottet? Vad skulle det betyda om den ligger kvar? Då är det någonstans omkring en halv procentenhets högre inflati</w:t>
      </w:r>
      <w:r w:rsidRPr="00C9680B">
        <w:t>on efter två år – eller mellan ett och två år. Det är i runda drag känslighetskalk</w:t>
      </w:r>
      <w:r w:rsidRPr="00C9680B">
        <w:t>y</w:t>
      </w:r>
      <w:r w:rsidRPr="00C9680B">
        <w:t>len. Men jag använder det där uttrycket med flit, för vad vi har sett under senare år är att importprisförändringar till följd av växelkursfluktuationer inte alltid har slagit igenom fullt ut. Så det är med en viss reservation som jag säger detta, och därför använder jag detta uttryck.</w:t>
      </w:r>
    </w:p>
    <w:p w:rsidR="001C7BF9" w:rsidRPr="00C9680B" w:rsidRDefault="001C7BF9">
      <w:pPr>
        <w:pStyle w:val="Deltagare"/>
        <w:keepLines w:val="0"/>
        <w:spacing w:before="0" w:line="360" w:lineRule="auto"/>
        <w:rPr>
          <w:noProof w:val="0"/>
        </w:rPr>
      </w:pPr>
    </w:p>
    <w:p w:rsidR="001C7BF9" w:rsidRPr="00C9680B" w:rsidRDefault="001C7BF9">
      <w:r w:rsidRPr="00C9680B">
        <w:rPr>
          <w:i/>
        </w:rPr>
        <w:t>Agne Hansson (c):</w:t>
      </w:r>
      <w:r w:rsidRPr="00C9680B">
        <w:t xml:space="preserve"> </w:t>
      </w:r>
    </w:p>
    <w:p w:rsidR="001C7BF9" w:rsidRPr="00C9680B" w:rsidRDefault="001C7BF9">
      <w:pPr>
        <w:numPr>
          <w:ilvl w:val="0"/>
          <w:numId w:val="1360"/>
        </w:numPr>
      </w:pPr>
      <w:r w:rsidRPr="00C9680B">
        <w:t>Finland och Danmark, två av våra viktigaste handelsländer, har gått åt var sitt håll i EMU-frågan. Påverkar det svensk ekonomi, penningpolit</w:t>
      </w:r>
      <w:r w:rsidRPr="00C9680B">
        <w:t>i</w:t>
      </w:r>
      <w:r w:rsidRPr="00C9680B">
        <w:t xml:space="preserve">ken, och i så fall hur? </w:t>
      </w:r>
    </w:p>
    <w:p w:rsidR="001C7BF9" w:rsidRPr="00C9680B" w:rsidRDefault="001C7BF9">
      <w:pPr>
        <w:numPr>
          <w:ilvl w:val="0"/>
          <w:numId w:val="1360"/>
        </w:numPr>
      </w:pPr>
      <w:r w:rsidRPr="00C9680B">
        <w:t>Är sparandet för lågt i Sverige?</w:t>
      </w:r>
    </w:p>
    <w:p w:rsidR="001C7BF9" w:rsidRPr="00C9680B" w:rsidRDefault="001C7BF9">
      <w:pPr>
        <w:numPr>
          <w:ilvl w:val="0"/>
          <w:numId w:val="1360"/>
        </w:numPr>
      </w:pPr>
      <w:r w:rsidRPr="00C9680B">
        <w:t>Vilket är, när det gäller arbetsmarknadens funktionssätt som jag var inne på tidigare, viktigast att prioritera i ett penningpolitiskt perspektiv, red</w:t>
      </w:r>
      <w:r w:rsidRPr="00C9680B">
        <w:t>u</w:t>
      </w:r>
      <w:r w:rsidRPr="00C9680B">
        <w:t>cering av marginaleffekter eller marginalskatter om man inte orkar med båda?</w:t>
      </w:r>
    </w:p>
    <w:p w:rsidR="001C7BF9" w:rsidRPr="00C9680B" w:rsidRDefault="001C7BF9">
      <w:pPr>
        <w:pStyle w:val="Deltagare"/>
        <w:keepLines w:val="0"/>
        <w:spacing w:before="0" w:line="360" w:lineRule="auto"/>
        <w:rPr>
          <w:noProof w:val="0"/>
        </w:rPr>
      </w:pPr>
    </w:p>
    <w:p w:rsidR="001C7BF9" w:rsidRPr="00C9680B" w:rsidRDefault="001C7BF9">
      <w:r w:rsidRPr="00C9680B">
        <w:rPr>
          <w:i/>
        </w:rPr>
        <w:t>Urban Bäckström:</w:t>
      </w:r>
      <w:r w:rsidRPr="00C9680B">
        <w:t xml:space="preserve"> Det är stora frågor som Agne Hansson väcker här. Den första är naturligtvis: Är det bra att gå med i EMU eller inte? Ytterst är det den frågan som väcks när man frågar hur Finlands inträde har påverkat oss. På kort sikt har väl inte så mycket hänt. Det tror jag att man ska säga. På längre sikt finns det fördelar och nackdelar med att gå med i EMU. Utskottet vet väl vad jag personligen tycker i den frågan, så det tänkte jag inte inveckla mig i. Jag tror att det har gått för lite tid för att ha någon mer bes</w:t>
      </w:r>
      <w:r w:rsidRPr="00C9680B">
        <w:t>tämd up</w:t>
      </w:r>
      <w:r w:rsidRPr="00C9680B">
        <w:t>p</w:t>
      </w:r>
      <w:r w:rsidRPr="00C9680B">
        <w:t>fattning om hur relationen mellan Sverige och Finland har påverkats av deras medlemskap.</w:t>
      </w:r>
    </w:p>
    <w:p w:rsidR="001C7BF9" w:rsidRPr="00C9680B" w:rsidRDefault="001C7BF9">
      <w:pPr>
        <w:pStyle w:val="Normaltindrag"/>
      </w:pPr>
      <w:r w:rsidRPr="00C9680B">
        <w:t>En annan fråga handlade om marginaleffekter och marginalskatter. Det är ju så att båda är lika viktiga. Marginalskatterna är en del av det som ger ma</w:t>
      </w:r>
      <w:r w:rsidRPr="00C9680B">
        <w:t>r</w:t>
      </w:r>
      <w:r w:rsidRPr="00C9680B">
        <w:t>ginaleffekter, men det finns också andra saker som ger marginaleffekter. Drar man ned marginalskatterna så påverkar man marginaleffekterna. Drar man ned vissa bidragssystem så påverkar man marginaleffekterna. Men det är klart att skattekilen har effekter. En del av det vi nu ser i svensk ekonomi tror jag hänger samman med den reducering av marginaleffekter och skattekilar som skedde i samband med skattereformen. Det tror jag säkert.</w:t>
      </w:r>
    </w:p>
    <w:p w:rsidR="001C7BF9" w:rsidRPr="00C9680B" w:rsidRDefault="001C7BF9">
      <w:pPr>
        <w:pStyle w:val="Normaltindrag"/>
      </w:pPr>
      <w:r w:rsidRPr="00C9680B">
        <w:t xml:space="preserve">Det var en fråga till. Det där med sparandet är en väldigt svår fråga. En </w:t>
      </w:r>
      <w:r w:rsidRPr="00C9680B">
        <w:t>a</w:t>
      </w:r>
      <w:r w:rsidRPr="00C9680B">
        <w:t>s</w:t>
      </w:r>
      <w:r w:rsidRPr="00C9680B">
        <w:t>pekt av det här är att tala om det finansiella sparandet i den svenska ekon</w:t>
      </w:r>
      <w:r w:rsidRPr="00C9680B">
        <w:t>o</w:t>
      </w:r>
      <w:r w:rsidRPr="00C9680B">
        <w:t>min. Där har vi överskott i bytesbalansen, vilket är en indikation på att sp</w:t>
      </w:r>
      <w:r w:rsidRPr="00C9680B">
        <w:t>a</w:t>
      </w:r>
      <w:r w:rsidRPr="00C9680B">
        <w:t>randet finansiellt sett inte är för lågt. Realt sett kan man titta på tillväxten i svensk ekonomi och tillväxten av kapitalstocken.  Där kan man säga att vi inte har samma tillväxt av kapitalstocken som har skett i den amerikanska ekonomin. Vill man ha en, nu använder jag detta uttryck, ny ekonomi, så behövs det sannolikt en snabbare tillväxt av kapitalst</w:t>
      </w:r>
      <w:r w:rsidRPr="00C9680B">
        <w:t>ocken. I det perspektivet är sparandet för lågt. Det är alltså en sammansatt fråga, och man får nog precisera lite mer från vilket håll man tittar på den om det ska gå att besvara den.</w:t>
      </w:r>
    </w:p>
    <w:p w:rsidR="001C7BF9" w:rsidRPr="00C9680B" w:rsidRDefault="001C7BF9">
      <w:pPr>
        <w:pStyle w:val="Deltagare"/>
        <w:keepLines w:val="0"/>
        <w:spacing w:before="0" w:line="360" w:lineRule="auto"/>
        <w:rPr>
          <w:noProof w:val="0"/>
        </w:rPr>
      </w:pPr>
    </w:p>
    <w:p w:rsidR="001C7BF9" w:rsidRPr="00C9680B" w:rsidRDefault="001C7BF9">
      <w:r w:rsidRPr="00C9680B">
        <w:rPr>
          <w:i/>
        </w:rPr>
        <w:t>Carin Lundberg (s):</w:t>
      </w:r>
      <w:r w:rsidRPr="00C9680B">
        <w:t xml:space="preserve"> De här utfrågningarna, det här är den tionde i ordningen, har ju lärt oss att vi spänner över väldigt stora områden. Det handlar om fr</w:t>
      </w:r>
      <w:r w:rsidRPr="00C9680B">
        <w:t>å</w:t>
      </w:r>
      <w:r w:rsidRPr="00C9680B">
        <w:t>gor internt inom Sverige, inom EU-området och om internationell ekonomi. Därför tänkte jag höra om jag skulle kunna få en kommentar om en annan centralbanks agerande och om det kunde vara något för Sverige också. Det finns ju de som ser ett samband mellan Federal Reserves framgångsrika rä</w:t>
      </w:r>
      <w:r w:rsidRPr="00C9680B">
        <w:t>n</w:t>
      </w:r>
      <w:r w:rsidRPr="00C9680B">
        <w:t>tepolitik och gammal svensk sådan. Det var en professor i ekonomi som hette Knut Wicks</w:t>
      </w:r>
      <w:r w:rsidRPr="00C9680B">
        <w:t xml:space="preserve">ell som levde mellan 1851 och 1926. Han beskrivs av en del som en egendomlig man. Han var också ateist, socialist och tidig feminist. De här radikala idéerna gjorde att han hamnade i fängelse ett par månader. </w:t>
      </w:r>
    </w:p>
    <w:p w:rsidR="001C7BF9" w:rsidRPr="00C9680B" w:rsidRDefault="001C7BF9">
      <w:pPr>
        <w:pStyle w:val="Normaltindrag"/>
      </w:pPr>
      <w:r w:rsidRPr="00C9680B">
        <w:t>Men det var inte de radikala idéerna jag tänkte ta upp, utan det var hans i</w:t>
      </w:r>
      <w:r w:rsidRPr="00C9680B">
        <w:t>n</w:t>
      </w:r>
      <w:r w:rsidRPr="00C9680B">
        <w:t>flationsteori, som hör till de bestående nationalekonomiska teserna. Det är den som gör att man letar efter samband mellan Greenspan och Wicksells tankar. Gängse inflationstänkande har ju tappat i betydelse under den pågåe</w:t>
      </w:r>
      <w:r w:rsidRPr="00C9680B">
        <w:t>n</w:t>
      </w:r>
      <w:r w:rsidRPr="00C9680B">
        <w:t>de amerikanska högkonjunkturen. Dessutom kan man ju hävda att räntan, som senast höjdes i maj, ligger på historiskt höga realnivåer. Här kommer Wic</w:t>
      </w:r>
      <w:r w:rsidRPr="00C9680B">
        <w:t>k</w:t>
      </w:r>
      <w:r w:rsidRPr="00C9680B">
        <w:t>sell in. Han menade att räntan kan betraktas som ett pris som marknaden sätter på krediten och att räntan därför kan vara hög om vinsterna ä</w:t>
      </w:r>
      <w:r w:rsidRPr="00C9680B">
        <w:t>r höga. Wicksell talade om det önskvärda i att hitta den naturliga räntenivån. Det är det som Alan Greenspan tycks göra enligt vissa. Det finns kommentarer i Wall Street Journal som säger att enligt det Wicksellska synsättet bör Fed sträva efter neutrala räntor, och den nivån är bra oavsett om den är hög eller låg.</w:t>
      </w:r>
    </w:p>
    <w:p w:rsidR="001C7BF9" w:rsidRPr="00C9680B" w:rsidRDefault="001C7BF9">
      <w:pPr>
        <w:pStyle w:val="Normaltindrag"/>
      </w:pPr>
      <w:r w:rsidRPr="00C9680B">
        <w:t>Då är min enkla lilla fråga: Är det möjligt att hitta en naturlig räntenivå, ne</w:t>
      </w:r>
      <w:r w:rsidRPr="00C9680B">
        <w:t>u</w:t>
      </w:r>
      <w:r w:rsidRPr="00C9680B">
        <w:t>trala räntor? Är det något som den svenska riksbanken också jobbar med?</w:t>
      </w:r>
    </w:p>
    <w:p w:rsidR="001C7BF9" w:rsidRPr="00C9680B" w:rsidRDefault="001C7BF9">
      <w:pPr>
        <w:pStyle w:val="Deltagare"/>
        <w:keepLines w:val="0"/>
        <w:spacing w:before="0" w:line="360" w:lineRule="auto"/>
        <w:rPr>
          <w:noProof w:val="0"/>
        </w:rPr>
      </w:pPr>
    </w:p>
    <w:p w:rsidR="001C7BF9" w:rsidRPr="00C9680B" w:rsidRDefault="001C7BF9">
      <w:r w:rsidRPr="00C9680B">
        <w:rPr>
          <w:i/>
        </w:rPr>
        <w:t>Urban Bäckström:</w:t>
      </w:r>
      <w:r w:rsidRPr="00C9680B">
        <w:t xml:space="preserve"> Först och främst ska vi vara lite stolta över Knut Wicksell, även om det som Carin Lundberg säger om fängelsetiden också är riktigt. Det finns mycket som vi borde sätta en parentes kring. Knut Wicksell höll 1898 ett mycket uppmärksammat och intressant anförande på Nationalekonomiska föreningen där han väckte den här tanken om att bedriva penningpolitik efter prisstabilitet. I sitt författarskap och sin forskning kring den perioden säger han just att man ska höja räntan om prisnivån stiger och att man ska s</w:t>
      </w:r>
      <w:r w:rsidRPr="00C9680B">
        <w:t>änka räntan om prisnivån sjunker. Nu har vi lärt oss att det finns en transmission</w:t>
      </w:r>
      <w:r w:rsidRPr="00C9680B">
        <w:t>s</w:t>
      </w:r>
      <w:r w:rsidRPr="00C9680B">
        <w:t>mekanism där, så vi måste vara lite framåtblickande. Vi ska alltså sänka rä</w:t>
      </w:r>
      <w:r w:rsidRPr="00C9680B">
        <w:t>n</w:t>
      </w:r>
      <w:r w:rsidRPr="00C9680B">
        <w:t>tan om inflationen går under målet och vi ska höja den om den går över målet. Det är en rätt intressant tanke att detta väcktes för hundra år sedan – i Stoc</w:t>
      </w:r>
      <w:r w:rsidRPr="00C9680B">
        <w:t>k</w:t>
      </w:r>
      <w:r w:rsidRPr="00C9680B">
        <w:t>holm i slutet av 1800-talet. Det är en väldigt framgångsrik svensk ekonom, så vi har all anledning att vara stolta över de landvinningarna.</w:t>
      </w:r>
    </w:p>
    <w:p w:rsidR="001C7BF9" w:rsidRPr="00C9680B" w:rsidRDefault="001C7BF9">
      <w:pPr>
        <w:pStyle w:val="Normaltindrag"/>
      </w:pPr>
      <w:r w:rsidRPr="00C9680B">
        <w:t>Jag vet att Nya Zeeland, som var det första landet som a</w:t>
      </w:r>
      <w:r w:rsidRPr="00C9680B">
        <w:t>ntog ett sådant här prisstabilitetsmål, inflationsmålspolitik, hänvisar till Knut Wicksell i sina beskrivningar av denna politik. Och man kan säga att vi också gör det, ja. Fast vi gör det på ett annat sätt. Om vi tänker på Knut Wicksells koncept så finns det något slags naturlig nivå, något slags jämviktsrealränta där ute. Men som vi visar i ett appendix, en fördjupningsruta, är det väldigt svårt att identifiera exakt var den ligger. Men sättet man hanterar det på är att göra bedömningar av inflationstakte</w:t>
      </w:r>
      <w:r w:rsidRPr="00C9680B">
        <w:t>n och korrigera räntan så att inflationstakten ligger på målet på ett till två års sikt. Det är ett annat sätt att så att säga göra samma sak. Så i någon mening kan man säga att all världens centralbanker bedriver en likna</w:t>
      </w:r>
      <w:r w:rsidRPr="00C9680B">
        <w:t>n</w:t>
      </w:r>
      <w:r w:rsidRPr="00C9680B">
        <w:t xml:space="preserve">de politik, och det är fler och fler som går över till det. Även s.k. </w:t>
      </w:r>
      <w:r w:rsidRPr="00C9680B">
        <w:rPr>
          <w:i/>
        </w:rPr>
        <w:t>emerging markets</w:t>
      </w:r>
      <w:r w:rsidRPr="00C9680B">
        <w:t>, som Sydafrika, Thailand och Brasilien, går över till den här typen av politik. Det är roligt att Knut Wicksell uppskattas även i dag hundra år efteråt.</w:t>
      </w:r>
    </w:p>
    <w:p w:rsidR="001C7BF9" w:rsidRPr="00C9680B" w:rsidRDefault="001C7BF9">
      <w:pPr>
        <w:pStyle w:val="Deltagare"/>
        <w:keepLines w:val="0"/>
        <w:spacing w:before="0" w:line="360" w:lineRule="auto"/>
        <w:rPr>
          <w:noProof w:val="0"/>
        </w:rPr>
      </w:pPr>
    </w:p>
    <w:p w:rsidR="001C7BF9" w:rsidRPr="00C9680B" w:rsidRDefault="001C7BF9">
      <w:r w:rsidRPr="00C9680B">
        <w:rPr>
          <w:i/>
        </w:rPr>
        <w:t>Carin Lundberg (s):</w:t>
      </w:r>
      <w:r w:rsidRPr="00C9680B">
        <w:t xml:space="preserve"> Jag tackar för svaret. Som en liten kommentar kan jag bara säga att det också är roligt att vara med om att höra att Sveriges riksbank fungerar som en förebild för Brasilien. Utskottet har ju besökt Brasilien och just fått höra om Sveriges riksbanks bistånd i deras ekonomiska problem.</w:t>
      </w:r>
    </w:p>
    <w:p w:rsidR="001C7BF9" w:rsidRPr="00C9680B" w:rsidRDefault="001C7BF9">
      <w:pPr>
        <w:pStyle w:val="Deltagare"/>
        <w:keepLines w:val="0"/>
        <w:spacing w:before="0" w:line="360" w:lineRule="auto"/>
        <w:rPr>
          <w:noProof w:val="0"/>
        </w:rPr>
      </w:pPr>
    </w:p>
    <w:p w:rsidR="001C7BF9" w:rsidRPr="00C9680B" w:rsidRDefault="001C7BF9">
      <w:r w:rsidRPr="00C9680B">
        <w:rPr>
          <w:i/>
        </w:rPr>
        <w:t>Ordföranden:</w:t>
      </w:r>
      <w:r w:rsidRPr="00C9680B">
        <w:t xml:space="preserve"> Jag har ingen mer på min frågelista. Då ber jag få tacka rik</w:t>
      </w:r>
      <w:r w:rsidRPr="00C9680B">
        <w:t>s</w:t>
      </w:r>
      <w:r w:rsidRPr="00C9680B">
        <w:t>bankschefen för hans medverkan ännu en gång. Jag tackar också alla andra, och inte minst vill jag tacka dem som har följt den här debatten via riksdagens talsvar. Därför har jag varit noga med att ange namn innan jag har givit ordet vidare, för att det ska bli lättare att följa utfrågningen. Nu är det så att Urban Bäckström har förklarat sig beredd att svara på frågor från mediernas repr</w:t>
      </w:r>
      <w:r w:rsidRPr="00C9680B">
        <w:t>e</w:t>
      </w:r>
      <w:r w:rsidRPr="00C9680B">
        <w:t>sentanter, och vi har ställt i ordning ett rum här vid sida</w:t>
      </w:r>
      <w:r w:rsidRPr="00C9680B">
        <w:t>n av där den utfrå</w:t>
      </w:r>
      <w:r w:rsidRPr="00C9680B">
        <w:t>g</w:t>
      </w:r>
      <w:r w:rsidRPr="00C9680B">
        <w:t>ningen kan ske. Det är möjligt att Urban Bäckström vill ha någon liten an</w:t>
      </w:r>
      <w:r w:rsidRPr="00C9680B">
        <w:t>d</w:t>
      </w:r>
      <w:r w:rsidRPr="00C9680B">
        <w:t xml:space="preserve">hämtningspaus innan vi börjar med det, men i stort sett är det omgående. Tack ska ni ha allesammans! Utfrågningen är avslutad. </w:t>
      </w:r>
    </w:p>
    <w:p w:rsidR="001C7BF9" w:rsidRPr="00C9680B" w:rsidRDefault="001C7BF9"/>
    <w:p w:rsidR="001C7BF9" w:rsidRPr="00C9680B" w:rsidRDefault="001C7BF9">
      <w:pPr>
        <w:pStyle w:val="Bilaga"/>
        <w:sectPr w:rsidR="00000000" w:rsidRPr="00C9680B">
          <w:headerReference w:type="even" r:id="rId183"/>
          <w:headerReference w:type="default" r:id="rId184"/>
          <w:footerReference w:type="even" r:id="rId185"/>
          <w:footerReference w:type="default" r:id="rId186"/>
          <w:headerReference w:type="first" r:id="rId187"/>
          <w:footerReference w:type="first" r:id="rId188"/>
          <w:footnotePr>
            <w:numRestart w:val="eachSect"/>
          </w:footnotePr>
          <w:pgSz w:w="11906" w:h="16838" w:code="9"/>
          <w:pgMar w:top="850" w:right="4649" w:bottom="4507" w:left="1304" w:header="340" w:footer="227" w:gutter="0"/>
          <w:cols w:space="720"/>
          <w:titlePg/>
        </w:sectPr>
      </w:pPr>
    </w:p>
    <w:p w:rsidR="001C7BF9" w:rsidRPr="00C9680B" w:rsidRDefault="001C7BF9">
      <w:pPr>
        <w:pStyle w:val="Innehll"/>
        <w:spacing w:after="360"/>
        <w:rPr>
          <w:noProof w:val="0"/>
        </w:rPr>
      </w:pPr>
      <w:r w:rsidRPr="00C9680B">
        <w:rPr>
          <w:noProof w:val="0"/>
        </w:rPr>
        <w:t>Innehåll</w:t>
      </w:r>
    </w:p>
    <w:p w:rsidR="001C7BF9" w:rsidRPr="00C9680B" w:rsidRDefault="001C7BF9">
      <w:pPr>
        <w:pStyle w:val="Rubrik3"/>
        <w:spacing w:before="0" w:after="240"/>
        <w:rPr>
          <w:noProof w:val="0"/>
        </w:rPr>
      </w:pPr>
      <w:r w:rsidRPr="00C9680B">
        <w:rPr>
          <w:noProof w:val="0"/>
        </w:rPr>
        <w:t>Bilagorna 5-17 i del 2</w:t>
      </w:r>
    </w:p>
    <w:p w:rsidR="001C7BF9" w:rsidRPr="00C9680B" w:rsidRDefault="001C7BF9">
      <w:pPr>
        <w:pStyle w:val="Rubrik4"/>
        <w:spacing w:before="0"/>
        <w:rPr>
          <w:noProof w:val="0"/>
        </w:rPr>
      </w:pPr>
      <w:r w:rsidRPr="00C9680B">
        <w:rPr>
          <w:noProof w:val="0"/>
        </w:rPr>
        <w:t>Yttranden med anledning av proposition 2000/01:1</w:t>
      </w:r>
    </w:p>
    <w:p w:rsidR="001C7BF9" w:rsidRPr="00C9680B" w:rsidRDefault="001C7BF9">
      <w:pPr>
        <w:pStyle w:val="Reservantfrslag"/>
        <w:spacing w:line="120" w:lineRule="exact"/>
      </w:pPr>
    </w:p>
    <w:p w:rsidR="001C7BF9" w:rsidRPr="00C9680B" w:rsidRDefault="001C7BF9">
      <w:pPr>
        <w:pStyle w:val="Innehll1"/>
      </w:pPr>
      <w:r w:rsidRPr="00C9680B">
        <w:t xml:space="preserve">5. </w:t>
      </w:r>
      <w:r w:rsidRPr="00C9680B">
        <w:t>Konstitutionsutsskottets yttrande (2000/01:KU1y)</w:t>
      </w:r>
      <w:r w:rsidRPr="00C9680B">
        <w:tab/>
        <w:t>1</w:t>
      </w:r>
    </w:p>
    <w:p w:rsidR="001C7BF9" w:rsidRPr="00C9680B" w:rsidRDefault="001C7BF9">
      <w:pPr>
        <w:pStyle w:val="Innehll1"/>
      </w:pPr>
      <w:r w:rsidRPr="00C9680B">
        <w:t>6. Skatteutskottets yttrande (2000/01:SkU1y)</w:t>
      </w:r>
      <w:r w:rsidRPr="00C9680B">
        <w:tab/>
        <w:t>8</w:t>
      </w:r>
    </w:p>
    <w:p w:rsidR="001C7BF9" w:rsidRPr="00C9680B" w:rsidRDefault="001C7BF9">
      <w:pPr>
        <w:pStyle w:val="Innehll1"/>
      </w:pPr>
      <w:r w:rsidRPr="00C9680B">
        <w:t>7. Justitieutskottets yttrande (2000/01:JuU1y)</w:t>
      </w:r>
      <w:r w:rsidRPr="00C9680B">
        <w:tab/>
        <w:t>72</w:t>
      </w:r>
    </w:p>
    <w:p w:rsidR="001C7BF9" w:rsidRPr="00C9680B" w:rsidRDefault="001C7BF9">
      <w:pPr>
        <w:pStyle w:val="Innehll1"/>
      </w:pPr>
      <w:r w:rsidRPr="00C9680B">
        <w:t>8. Utrikesutskottets yttrande (2000/01:UU1y)</w:t>
      </w:r>
      <w:r w:rsidRPr="00C9680B">
        <w:tab/>
        <w:t>80</w:t>
      </w:r>
    </w:p>
    <w:p w:rsidR="001C7BF9" w:rsidRPr="00C9680B" w:rsidRDefault="001C7BF9">
      <w:pPr>
        <w:pStyle w:val="Innehll1"/>
      </w:pPr>
      <w:r w:rsidRPr="00C9680B">
        <w:t>9. Försvarsutskottets yttrande (2000/01:FöU1y)</w:t>
      </w:r>
      <w:r w:rsidRPr="00C9680B">
        <w:tab/>
        <w:t>90</w:t>
      </w:r>
    </w:p>
    <w:p w:rsidR="001C7BF9" w:rsidRPr="00C9680B" w:rsidRDefault="001C7BF9">
      <w:pPr>
        <w:pStyle w:val="Innehll1"/>
      </w:pPr>
      <w:r w:rsidRPr="00C9680B">
        <w:t>10. Socialförsäkringsutskottets yttrande (2000/01:SfU1y)</w:t>
      </w:r>
      <w:r w:rsidRPr="00C9680B">
        <w:tab/>
        <w:t>95</w:t>
      </w:r>
    </w:p>
    <w:p w:rsidR="001C7BF9" w:rsidRPr="00C9680B" w:rsidRDefault="001C7BF9">
      <w:pPr>
        <w:pStyle w:val="Innehll1"/>
      </w:pPr>
      <w:r w:rsidRPr="00C9680B">
        <w:t>11. Socialutskottets yttrande (2000/01:SoU1y)</w:t>
      </w:r>
      <w:r w:rsidRPr="00C9680B">
        <w:tab/>
        <w:t>129</w:t>
      </w:r>
    </w:p>
    <w:p w:rsidR="001C7BF9" w:rsidRPr="00C9680B" w:rsidRDefault="001C7BF9">
      <w:pPr>
        <w:pStyle w:val="Innehll1"/>
      </w:pPr>
      <w:r w:rsidRPr="00C9680B">
        <w:t>12. Kulturutskottets protokollsutdrag (2000/01:2.1)</w:t>
      </w:r>
      <w:r w:rsidRPr="00C9680B">
        <w:tab/>
        <w:t>142</w:t>
      </w:r>
    </w:p>
    <w:p w:rsidR="001C7BF9" w:rsidRPr="00C9680B" w:rsidRDefault="001C7BF9">
      <w:pPr>
        <w:pStyle w:val="Innehll1"/>
      </w:pPr>
      <w:r w:rsidRPr="00C9680B">
        <w:t>13. Trafikutskottets protokollsutdrag (2000/01:3.2)</w:t>
      </w:r>
      <w:r w:rsidRPr="00C9680B">
        <w:tab/>
      </w:r>
      <w:bookmarkStart w:id="1209" w:name="_Hlt498852882"/>
      <w:r w:rsidRPr="00C9680B">
        <w:t>144</w:t>
      </w:r>
      <w:bookmarkEnd w:id="1209"/>
    </w:p>
    <w:p w:rsidR="001C7BF9" w:rsidRPr="00C9680B" w:rsidRDefault="001C7BF9">
      <w:pPr>
        <w:pStyle w:val="Innehll1"/>
      </w:pPr>
      <w:r w:rsidRPr="00C9680B">
        <w:t>14. Näringsutskottets protokollsutdrag (2000/01:4.4)</w:t>
      </w:r>
      <w:r w:rsidRPr="00C9680B">
        <w:tab/>
        <w:t>145</w:t>
      </w:r>
    </w:p>
    <w:p w:rsidR="001C7BF9" w:rsidRPr="00C9680B" w:rsidRDefault="001C7BF9">
      <w:pPr>
        <w:pStyle w:val="Innehll1"/>
      </w:pPr>
      <w:r w:rsidRPr="00C9680B">
        <w:t xml:space="preserve">15. Arbetsmarknadsutskottets protokollsutdrag </w:t>
      </w:r>
      <w:r w:rsidRPr="00C9680B">
        <w:br/>
        <w:t>(2000/01:5 bilagorna 3 och 4)</w:t>
      </w:r>
      <w:r w:rsidRPr="00C9680B">
        <w:tab/>
        <w:t>146</w:t>
      </w:r>
    </w:p>
    <w:p w:rsidR="001C7BF9" w:rsidRPr="00C9680B" w:rsidRDefault="001C7BF9">
      <w:pPr>
        <w:pStyle w:val="Innehll1"/>
      </w:pPr>
      <w:r w:rsidRPr="00C9680B">
        <w:t>16. Bostadsutskottets yttrande (2000/01:BoU1y)</w:t>
      </w:r>
      <w:r w:rsidRPr="00C9680B">
        <w:tab/>
        <w:t>155</w:t>
      </w:r>
    </w:p>
    <w:p w:rsidR="001C7BF9" w:rsidRPr="00C9680B" w:rsidRDefault="001C7BF9">
      <w:pPr>
        <w:pStyle w:val="Rubrik4"/>
        <w:rPr>
          <w:noProof w:val="0"/>
        </w:rPr>
      </w:pPr>
      <w:r w:rsidRPr="00C9680B">
        <w:rPr>
          <w:noProof w:val="0"/>
        </w:rPr>
        <w:t>Protokoll från offentlig utfrågning</w:t>
      </w:r>
    </w:p>
    <w:p w:rsidR="001C7BF9" w:rsidRPr="00C9680B" w:rsidRDefault="001C7BF9">
      <w:pPr>
        <w:pStyle w:val="Reservantfrslag"/>
        <w:spacing w:line="120" w:lineRule="exact"/>
      </w:pPr>
    </w:p>
    <w:p w:rsidR="001C7BF9" w:rsidRPr="00C9680B" w:rsidRDefault="001C7BF9">
      <w:pPr>
        <w:pStyle w:val="Innehll1"/>
      </w:pPr>
      <w:r w:rsidRPr="00C9680B">
        <w:t>17. Finansutskottets offentliga utfrågning</w:t>
      </w:r>
      <w:r w:rsidRPr="00C9680B">
        <w:tab/>
        <w:t>170</w:t>
      </w:r>
    </w:p>
    <w:p w:rsidR="001C7BF9" w:rsidRPr="00C9680B" w:rsidRDefault="001C7BF9">
      <w:pPr>
        <w:pStyle w:val="Normaltindrag"/>
      </w:pPr>
    </w:p>
    <w:p w:rsidR="001C7BF9" w:rsidRPr="00C9680B" w:rsidRDefault="001C7BF9">
      <w:pPr>
        <w:pStyle w:val="Normaltindrag"/>
      </w:pPr>
    </w:p>
    <w:p w:rsidR="001C7BF9" w:rsidRPr="00C9680B" w:rsidRDefault="001C7BF9">
      <w:pPr>
        <w:pStyle w:val="Tryckort"/>
        <w:framePr w:wrap="around"/>
        <w:jc w:val="right"/>
      </w:pPr>
      <w:r w:rsidRPr="00C9680B">
        <w:t>Elanders Gotab, Stockholm  2000</w:t>
      </w:r>
    </w:p>
    <w:p w:rsidR="001C7BF9" w:rsidRPr="00C9680B" w:rsidRDefault="001C7BF9">
      <w:pPr>
        <w:pStyle w:val="Normaltindrag"/>
      </w:pPr>
    </w:p>
    <w:p w:rsidR="001C7BF9" w:rsidRPr="00C9680B" w:rsidRDefault="001C7BF9"/>
    <w:p w:rsidR="001C7BF9" w:rsidRPr="00C9680B" w:rsidRDefault="001C7BF9"/>
    <w:p w:rsidR="001C7BF9" w:rsidRPr="00C9680B" w:rsidRDefault="001C7BF9">
      <w:pPr>
        <w:pStyle w:val="Tryckort"/>
        <w:framePr w:wrap="around"/>
      </w:pPr>
      <w:r w:rsidRPr="00C9680B">
        <w:t>Elanders Gotab, Stockholm  2000</w:t>
      </w:r>
    </w:p>
    <w:p w:rsidR="001C7BF9" w:rsidRPr="00C9680B" w:rsidRDefault="001C7BF9">
      <w:pPr>
        <w:pStyle w:val="Normaltindrag"/>
      </w:pPr>
    </w:p>
    <w:sectPr w:rsidR="001C7BF9" w:rsidRPr="00C9680B">
      <w:headerReference w:type="even" r:id="rId189"/>
      <w:headerReference w:type="default" r:id="rId190"/>
      <w:footerReference w:type="even" r:id="rId191"/>
      <w:footerReference w:type="default" r:id="rId192"/>
      <w:headerReference w:type="first" r:id="rId193"/>
      <w:footerReference w:type="first" r:id="rId194"/>
      <w:footnotePr>
        <w:numRestart w:val="eachSect"/>
      </w:footnotePr>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7BF9" w:rsidRPr="00C9680B" w:rsidRDefault="001C7BF9">
      <w:pPr>
        <w:spacing w:before="0" w:line="240" w:lineRule="auto"/>
      </w:pPr>
      <w:r w:rsidRPr="00C9680B">
        <w:separator/>
      </w:r>
    </w:p>
  </w:endnote>
  <w:endnote w:type="continuationSeparator" w:id="0">
    <w:p w:rsidR="001C7BF9" w:rsidRPr="00C9680B" w:rsidRDefault="001C7BF9">
      <w:pPr>
        <w:spacing w:before="0" w:line="240" w:lineRule="auto"/>
      </w:pPr>
      <w:r w:rsidRPr="00C968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monBullets">
    <w:altName w:val="Symbol"/>
    <w:charset w:val="02"/>
    <w:family w:val="swiss"/>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alibri"/>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4</w:t>
    </w:r>
    <w:r w:rsidRPr="00C9680B">
      <w:fldChar w:fldCharType="end"/>
    </w:r>
  </w:p>
  <w:p w:rsidR="001C7BF9" w:rsidRPr="00C9680B" w:rsidRDefault="001C7BF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283" w:h="5896" w:hRule="exact" w:hSpace="0" w:vSpace="0" w:wrap="around" w:x="3629" w:y="2949" w:anchorLock="0"/>
      <w:textDirection w:val="tbRl"/>
    </w:pPr>
    <w:r w:rsidRPr="00C9680B">
      <w:fldChar w:fldCharType="begin" w:fldLock="1"/>
    </w:r>
    <w:r w:rsidRPr="00C9680B">
      <w:instrText xml:space="preserve"> PAGE </w:instrText>
    </w:r>
    <w:r w:rsidRPr="00C9680B">
      <w:fldChar w:fldCharType="separate"/>
    </w:r>
    <w:r w:rsidRPr="00C9680B">
      <w:t>26</w:t>
    </w:r>
    <w:r w:rsidRPr="00C9680B">
      <w:fldChar w:fldCharType="end"/>
    </w:r>
  </w:p>
  <w:p w:rsidR="001C7BF9" w:rsidRPr="00C9680B" w:rsidRDefault="001C7BF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283" w:h="5896" w:hRule="exact" w:hSpace="0" w:vSpace="0" w:wrap="around" w:x="3629" w:y="2949" w:anchorLock="0"/>
      <w:textDirection w:val="tbRl"/>
    </w:pPr>
    <w:r w:rsidRPr="00C9680B">
      <w:fldChar w:fldCharType="begin" w:fldLock="1"/>
    </w:r>
    <w:r w:rsidRPr="00C9680B">
      <w:instrText xml:space="preserve"> PAGE </w:instrText>
    </w:r>
    <w:r w:rsidRPr="00C9680B">
      <w:fldChar w:fldCharType="separate"/>
    </w:r>
    <w:r w:rsidRPr="00C9680B">
      <w:t>27</w:t>
    </w:r>
    <w:r w:rsidRPr="00C9680B">
      <w:fldChar w:fldCharType="end"/>
    </w:r>
  </w:p>
  <w:p w:rsidR="001C7BF9" w:rsidRPr="00C9680B" w:rsidRDefault="001C7BF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283" w:h="5896" w:hRule="exact" w:hSpace="0" w:vSpace="0" w:wrap="around" w:x="3629" w:y="2949" w:anchorLock="0"/>
      <w:textDirection w:val="tbRl"/>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w:instrText>
    </w:r>
    <w:r w:rsidRPr="00C9680B">
      <w:instrText>a</w:instrText>
    </w:r>
    <w:r w:rsidRPr="00C9680B">
      <w:instrText>ge</w:instrText>
    </w:r>
    <w:r w:rsidRPr="00C9680B">
      <w:fldChar w:fldCharType="separate"/>
    </w:r>
    <w:r w:rsidRPr="00C9680B">
      <w:instrText>22</w:instrText>
    </w:r>
    <w:r w:rsidRPr="00C9680B">
      <w:fldChar w:fldCharType="end"/>
    </w:r>
    <w:r w:rsidRPr="00C9680B">
      <w:instrText xml:space="preserve">/2 </w:instrText>
    </w:r>
    <w:r w:rsidRPr="00C9680B">
      <w:fldChar w:fldCharType="separate"/>
    </w:r>
    <w:r w:rsidRPr="00C9680B">
      <w:instrText>11</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w:instrText>
    </w:r>
    <w:r w:rsidRPr="00C9680B">
      <w:instrText>a</w:instrText>
    </w:r>
    <w:r w:rsidRPr="00C9680B">
      <w:instrText>ge</w:instrText>
    </w:r>
    <w:r w:rsidRPr="00C9680B">
      <w:fldChar w:fldCharType="separate"/>
    </w:r>
    <w:r w:rsidRPr="00C9680B">
      <w:instrText>22</w:instrText>
    </w:r>
    <w:r w:rsidRPr="00C9680B">
      <w:fldChar w:fldCharType="end"/>
    </w:r>
    <w:r w:rsidRPr="00C9680B">
      <w:instrText xml:space="preserve">/2) </w:instrText>
    </w:r>
    <w:r w:rsidRPr="00C9680B">
      <w:fldChar w:fldCharType="separate"/>
    </w:r>
    <w:r w:rsidRPr="00C9680B">
      <w:instrText>11</w:instrText>
    </w:r>
    <w:r w:rsidRPr="00C9680B">
      <w:fldChar w:fldCharType="end"/>
    </w:r>
    <w:r w:rsidRPr="00C9680B">
      <w:fldChar w:fldCharType="separate"/>
    </w:r>
    <w:r w:rsidRPr="00C9680B">
      <w:instrText>0</w:instrText>
    </w:r>
    <w:r w:rsidRPr="00C9680B">
      <w:fldChar w:fldCharType="end"/>
    </w:r>
    <w:r w:rsidRPr="00C9680B">
      <w:instrText xml:space="preserve"> = 0 "</w:instrText>
    </w:r>
    <w:r w:rsidRPr="00C9680B">
      <w:fldChar w:fldCharType="begin" w:fldLock="1"/>
    </w:r>
    <w:r w:rsidRPr="00C9680B">
      <w:instrText xml:space="preserve"> PAGE </w:instrText>
    </w:r>
    <w:r w:rsidRPr="00C9680B">
      <w:fldChar w:fldCharType="separate"/>
    </w:r>
    <w:r w:rsidRPr="00C9680B">
      <w:instrText>22</w:instrText>
    </w:r>
    <w:r w:rsidRPr="00C9680B">
      <w:fldChar w:fldCharType="end"/>
    </w:r>
  </w:p>
  <w:p w:rsidR="001C7BF9" w:rsidRPr="00C9680B" w:rsidRDefault="001C7BF9">
    <w:pPr>
      <w:pStyle w:val="SidfotV"/>
      <w:framePr w:w="283" w:h="5896" w:hRule="exact" w:hSpace="0" w:vSpace="0" w:wrap="around" w:x="3629" w:y="2949" w:anchorLock="0"/>
      <w:textDirection w:val="tbRl"/>
    </w:pPr>
    <w:r w:rsidRPr="00C9680B">
      <w:instrText>""</w:instrText>
    </w:r>
    <w:r w:rsidRPr="00C9680B">
      <w:fldChar w:fldCharType="begin" w:fldLock="1"/>
    </w:r>
    <w:r w:rsidRPr="00C9680B">
      <w:instrText xml:space="preserve"> PAGE </w:instrText>
    </w:r>
    <w:r w:rsidRPr="00C9680B">
      <w:fldChar w:fldCharType="separate"/>
    </w:r>
    <w:r w:rsidRPr="00C9680B">
      <w:instrText>21</w:instrText>
    </w:r>
    <w:r w:rsidRPr="00C9680B">
      <w:fldChar w:fldCharType="end"/>
    </w:r>
    <w:r w:rsidRPr="00C9680B">
      <w:instrText>"</w:instrText>
    </w:r>
    <w:r w:rsidRPr="00C9680B">
      <w:fldChar w:fldCharType="separate"/>
    </w:r>
    <w:r w:rsidRPr="00C9680B">
      <w:fldChar w:fldCharType="begin" w:fldLock="1"/>
    </w:r>
    <w:r w:rsidRPr="00C9680B">
      <w:instrText xml:space="preserve"> PAGE </w:instrText>
    </w:r>
    <w:r w:rsidRPr="00C9680B">
      <w:fldChar w:fldCharType="separate"/>
    </w:r>
    <w:r w:rsidRPr="00C9680B">
      <w:t>22</w:t>
    </w:r>
    <w:r w:rsidRPr="00C9680B">
      <w:fldChar w:fldCharType="end"/>
    </w:r>
  </w:p>
  <w:p w:rsidR="001C7BF9" w:rsidRPr="00C9680B" w:rsidRDefault="001C7BF9">
    <w:pPr>
      <w:pStyle w:val="SidfotH"/>
      <w:framePr w:w="283" w:h="5896" w:hRule="exact" w:hSpace="0" w:vSpace="0" w:wrap="around" w:x="3629" w:y="2949" w:anchorLock="0"/>
      <w:textDirection w:val="tbRl"/>
    </w:pPr>
    <w:r w:rsidRPr="00C9680B">
      <w:fldChar w:fldCharType="end"/>
    </w:r>
  </w:p>
  <w:p w:rsidR="001C7BF9" w:rsidRPr="00C9680B" w:rsidRDefault="001C7BF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32</w:t>
    </w:r>
    <w:r w:rsidRPr="00C9680B">
      <w:fldChar w:fldCharType="end"/>
    </w:r>
  </w:p>
  <w:p w:rsidR="001C7BF9" w:rsidRPr="00C9680B" w:rsidRDefault="001C7BF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33</w:t>
    </w:r>
    <w:r w:rsidRPr="00C9680B">
      <w:fldChar w:fldCharType="end"/>
    </w:r>
  </w:p>
  <w:p w:rsidR="001C7BF9" w:rsidRPr="00C9680B" w:rsidRDefault="001C7BF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28</w:instrText>
    </w:r>
    <w:r w:rsidRPr="00C9680B">
      <w:fldChar w:fldCharType="end"/>
    </w:r>
    <w:r w:rsidRPr="00C9680B">
      <w:instrText xml:space="preserve">/2 </w:instrText>
    </w:r>
    <w:r w:rsidRPr="00C9680B">
      <w:fldChar w:fldCharType="separate"/>
    </w:r>
    <w:r w:rsidRPr="00C9680B">
      <w:instrText>14</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28</w:instrText>
    </w:r>
    <w:r w:rsidRPr="00C9680B">
      <w:fldChar w:fldCharType="end"/>
    </w:r>
    <w:r w:rsidRPr="00C9680B">
      <w:instrText xml:space="preserve">/2) </w:instrText>
    </w:r>
    <w:r w:rsidRPr="00C9680B">
      <w:fldChar w:fldCharType="separate"/>
    </w:r>
    <w:r w:rsidRPr="00C9680B">
      <w:instrText>14</w:instrText>
    </w:r>
    <w:r w:rsidRPr="00C9680B">
      <w:fldChar w:fldCharType="end"/>
    </w:r>
    <w:r w:rsidRPr="00C9680B">
      <w:fldChar w:fldCharType="separate"/>
    </w:r>
    <w:r w:rsidRPr="00C9680B">
      <w:instrText>0</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28</w:instrText>
    </w:r>
    <w:r w:rsidRPr="00C9680B">
      <w:fldChar w:fldCharType="end"/>
    </w:r>
  </w:p>
  <w:p w:rsidR="001C7BF9" w:rsidRPr="00C9680B" w:rsidRDefault="001C7BF9">
    <w:pPr>
      <w:pStyle w:val="SidfotV"/>
      <w:framePr w:w="8732" w:h="284" w:hRule="exact" w:hSpace="0" w:vSpace="0" w:wrap="around" w:xAlign="inside" w:y="13042"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27</w:instrText>
    </w:r>
    <w:r w:rsidRPr="00C9680B">
      <w:fldChar w:fldCharType="end"/>
    </w:r>
    <w:r w:rsidRPr="00C9680B">
      <w:instrText>"</w:instrText>
    </w:r>
    <w:r w:rsidRPr="00C9680B">
      <w:fldChar w:fldCharType="separate"/>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28</w:t>
    </w:r>
    <w:r w:rsidRPr="00C9680B">
      <w:fldChar w:fldCharType="end"/>
    </w:r>
  </w:p>
  <w:p w:rsidR="001C7BF9" w:rsidRPr="00C9680B" w:rsidRDefault="001C7BF9">
    <w:pPr>
      <w:pStyle w:val="SidfotH"/>
      <w:framePr w:w="8732" w:h="284" w:hRule="exact" w:hSpace="0" w:vSpace="0" w:wrap="around" w:xAlign="inside" w:y="13042" w:anchorLock="0"/>
    </w:pPr>
    <w:r w:rsidRPr="00C9680B">
      <w:fldChar w:fldCharType="end"/>
    </w:r>
  </w:p>
  <w:p w:rsidR="001C7BF9" w:rsidRPr="00C9680B" w:rsidRDefault="001C7BF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36</w:t>
    </w:r>
    <w:r w:rsidRPr="00C9680B">
      <w:fldChar w:fldCharType="end"/>
    </w:r>
  </w:p>
  <w:p w:rsidR="001C7BF9" w:rsidRPr="00C9680B" w:rsidRDefault="001C7BF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35</w:t>
    </w:r>
    <w:r w:rsidRPr="00C9680B">
      <w:fldChar w:fldCharType="end"/>
    </w:r>
  </w:p>
  <w:p w:rsidR="001C7BF9" w:rsidRPr="00C9680B" w:rsidRDefault="001C7BF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34</w:instrText>
    </w:r>
    <w:r w:rsidRPr="00C9680B">
      <w:fldChar w:fldCharType="end"/>
    </w:r>
    <w:r w:rsidRPr="00C9680B">
      <w:instrText xml:space="preserve">/2 </w:instrText>
    </w:r>
    <w:r w:rsidRPr="00C9680B">
      <w:fldChar w:fldCharType="separate"/>
    </w:r>
    <w:r w:rsidRPr="00C9680B">
      <w:instrText>17</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34</w:instrText>
    </w:r>
    <w:r w:rsidRPr="00C9680B">
      <w:fldChar w:fldCharType="end"/>
    </w:r>
    <w:r w:rsidRPr="00C9680B">
      <w:instrText xml:space="preserve">/2) </w:instrText>
    </w:r>
    <w:r w:rsidRPr="00C9680B">
      <w:fldChar w:fldCharType="separate"/>
    </w:r>
    <w:r w:rsidRPr="00C9680B">
      <w:instrText>17</w:instrText>
    </w:r>
    <w:r w:rsidRPr="00C9680B">
      <w:fldChar w:fldCharType="end"/>
    </w:r>
    <w:r w:rsidRPr="00C9680B">
      <w:fldChar w:fldCharType="separate"/>
    </w:r>
    <w:r w:rsidRPr="00C9680B">
      <w:instrText>0</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34</w:instrText>
    </w:r>
    <w:r w:rsidRPr="00C9680B">
      <w:fldChar w:fldCharType="end"/>
    </w:r>
  </w:p>
  <w:p w:rsidR="001C7BF9" w:rsidRPr="00C9680B" w:rsidRDefault="001C7BF9">
    <w:pPr>
      <w:pStyle w:val="SidfotV"/>
      <w:framePr w:w="8732" w:h="284" w:hRule="exact" w:hSpace="0" w:vSpace="0" w:wrap="around" w:xAlign="inside" w:y="13042"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33</w:instrText>
    </w:r>
    <w:r w:rsidRPr="00C9680B">
      <w:fldChar w:fldCharType="end"/>
    </w:r>
    <w:r w:rsidRPr="00C9680B">
      <w:instrText>"</w:instrText>
    </w:r>
    <w:r w:rsidRPr="00C9680B">
      <w:fldChar w:fldCharType="separate"/>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34</w:t>
    </w:r>
    <w:r w:rsidRPr="00C9680B">
      <w:fldChar w:fldCharType="end"/>
    </w:r>
  </w:p>
  <w:p w:rsidR="001C7BF9" w:rsidRPr="00C9680B" w:rsidRDefault="001C7BF9">
    <w:pPr>
      <w:pStyle w:val="SidfotH"/>
      <w:framePr w:w="8732" w:h="284" w:hRule="exact" w:hSpace="0" w:vSpace="0" w:wrap="around" w:xAlign="inside" w:y="13042" w:anchorLock="0"/>
    </w:pPr>
    <w:r w:rsidRPr="00C9680B">
      <w:fldChar w:fldCharType="end"/>
    </w:r>
  </w:p>
  <w:p w:rsidR="001C7BF9" w:rsidRPr="00C9680B" w:rsidRDefault="001C7BF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152</w:t>
    </w:r>
    <w:r w:rsidRPr="00C9680B">
      <w:fldChar w:fldCharType="end"/>
    </w:r>
  </w:p>
  <w:p w:rsidR="001C7BF9" w:rsidRPr="00C9680B" w:rsidRDefault="001C7BF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w:t>
    </w:r>
    <w:r w:rsidRPr="00C9680B">
      <w:fldChar w:fldCharType="end"/>
    </w:r>
  </w:p>
  <w:p w:rsidR="001C7BF9" w:rsidRPr="00C9680B" w:rsidRDefault="001C7BF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151</w:t>
    </w:r>
    <w:r w:rsidRPr="00C9680B">
      <w:fldChar w:fldCharType="end"/>
    </w:r>
  </w:p>
  <w:p w:rsidR="001C7BF9" w:rsidRPr="00C9680B" w:rsidRDefault="001C7BF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94</w:instrText>
    </w:r>
    <w:r w:rsidRPr="00C9680B">
      <w:fldChar w:fldCharType="end"/>
    </w:r>
    <w:r w:rsidRPr="00C9680B">
      <w:instrText xml:space="preserve">/2 </w:instrText>
    </w:r>
    <w:r w:rsidRPr="00C9680B">
      <w:fldChar w:fldCharType="separate"/>
    </w:r>
    <w:r w:rsidRPr="00C9680B">
      <w:instrText>47</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94</w:instrText>
    </w:r>
    <w:r w:rsidRPr="00C9680B">
      <w:fldChar w:fldCharType="end"/>
    </w:r>
    <w:r w:rsidRPr="00C9680B">
      <w:instrText xml:space="preserve">/2) </w:instrText>
    </w:r>
    <w:r w:rsidRPr="00C9680B">
      <w:fldChar w:fldCharType="separate"/>
    </w:r>
    <w:r w:rsidRPr="00C9680B">
      <w:instrText>47</w:instrText>
    </w:r>
    <w:r w:rsidRPr="00C9680B">
      <w:fldChar w:fldCharType="end"/>
    </w:r>
    <w:r w:rsidRPr="00C9680B">
      <w:fldChar w:fldCharType="separate"/>
    </w:r>
    <w:r w:rsidRPr="00C9680B">
      <w:instrText>0</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94</w:instrText>
    </w:r>
    <w:r w:rsidRPr="00C9680B">
      <w:fldChar w:fldCharType="end"/>
    </w:r>
  </w:p>
  <w:p w:rsidR="001C7BF9" w:rsidRPr="00C9680B" w:rsidRDefault="001C7BF9">
    <w:pPr>
      <w:pStyle w:val="SidfotV"/>
      <w:framePr w:w="8732" w:h="284" w:hRule="exact" w:hSpace="0" w:vSpace="0" w:wrap="around" w:xAlign="inside" w:y="13042"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37</w:instrText>
    </w:r>
    <w:r w:rsidRPr="00C9680B">
      <w:fldChar w:fldCharType="end"/>
    </w:r>
    <w:r w:rsidRPr="00C9680B">
      <w:instrText>"</w:instrText>
    </w:r>
    <w:r w:rsidRPr="00C9680B">
      <w:fldChar w:fldCharType="separate"/>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94</w:t>
    </w:r>
    <w:r w:rsidRPr="00C9680B">
      <w:fldChar w:fldCharType="end"/>
    </w:r>
  </w:p>
  <w:p w:rsidR="001C7BF9" w:rsidRPr="00C9680B" w:rsidRDefault="001C7BF9">
    <w:pPr>
      <w:pStyle w:val="SidfotH"/>
      <w:framePr w:w="8732" w:h="284" w:hRule="exact" w:hSpace="0" w:vSpace="0" w:wrap="around" w:xAlign="inside" w:y="13042" w:anchorLock="0"/>
    </w:pPr>
    <w:r w:rsidRPr="00C9680B">
      <w:fldChar w:fldCharType="end"/>
    </w:r>
  </w:p>
  <w:p w:rsidR="001C7BF9" w:rsidRPr="00C9680B" w:rsidRDefault="001C7BF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270</w:t>
    </w:r>
    <w:r w:rsidRPr="00C9680B">
      <w:fldChar w:fldCharType="end"/>
    </w:r>
  </w:p>
  <w:p w:rsidR="001C7BF9" w:rsidRPr="00C9680B" w:rsidRDefault="001C7BF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269</w:t>
    </w:r>
    <w:r w:rsidRPr="00C9680B">
      <w:fldChar w:fldCharType="end"/>
    </w:r>
  </w:p>
  <w:p w:rsidR="001C7BF9" w:rsidRPr="00C9680B" w:rsidRDefault="001C7BF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214</w:instrText>
    </w:r>
    <w:r w:rsidRPr="00C9680B">
      <w:fldChar w:fldCharType="end"/>
    </w:r>
    <w:r w:rsidRPr="00C9680B">
      <w:instrText xml:space="preserve">/2 </w:instrText>
    </w:r>
    <w:r w:rsidRPr="00C9680B">
      <w:fldChar w:fldCharType="separate"/>
    </w:r>
    <w:r w:rsidRPr="00C9680B">
      <w:instrText>107</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214</w:instrText>
    </w:r>
    <w:r w:rsidRPr="00C9680B">
      <w:fldChar w:fldCharType="end"/>
    </w:r>
    <w:r w:rsidRPr="00C9680B">
      <w:instrText xml:space="preserve">/2) </w:instrText>
    </w:r>
    <w:r w:rsidRPr="00C9680B">
      <w:fldChar w:fldCharType="separate"/>
    </w:r>
    <w:r w:rsidRPr="00C9680B">
      <w:instrText>107</w:instrText>
    </w:r>
    <w:r w:rsidRPr="00C9680B">
      <w:fldChar w:fldCharType="end"/>
    </w:r>
    <w:r w:rsidRPr="00C9680B">
      <w:fldChar w:fldCharType="separate"/>
    </w:r>
    <w:r w:rsidRPr="00C9680B">
      <w:instrText>0</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214</w:instrText>
    </w:r>
    <w:r w:rsidRPr="00C9680B">
      <w:fldChar w:fldCharType="end"/>
    </w:r>
  </w:p>
  <w:p w:rsidR="001C7BF9" w:rsidRPr="00C9680B" w:rsidRDefault="001C7BF9">
    <w:pPr>
      <w:pStyle w:val="SidfotV"/>
      <w:framePr w:w="8732" w:h="284" w:hRule="exact" w:hSpace="0" w:vSpace="0" w:wrap="around" w:xAlign="inside" w:y="13042"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153</w:instrText>
    </w:r>
    <w:r w:rsidRPr="00C9680B">
      <w:fldChar w:fldCharType="end"/>
    </w:r>
    <w:r w:rsidRPr="00C9680B">
      <w:instrText>"</w:instrText>
    </w:r>
    <w:r w:rsidRPr="00C9680B">
      <w:fldChar w:fldCharType="separate"/>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214</w:t>
    </w:r>
    <w:r w:rsidRPr="00C9680B">
      <w:fldChar w:fldCharType="end"/>
    </w:r>
  </w:p>
  <w:p w:rsidR="001C7BF9" w:rsidRPr="00C9680B" w:rsidRDefault="001C7BF9">
    <w:pPr>
      <w:pStyle w:val="SidfotH"/>
      <w:framePr w:w="8732" w:h="284" w:hRule="exact" w:hSpace="0" w:vSpace="0" w:wrap="around" w:xAlign="inside" w:y="13042" w:anchorLock="0"/>
    </w:pPr>
    <w:r w:rsidRPr="00C9680B">
      <w:fldChar w:fldCharType="end"/>
    </w:r>
  </w:p>
  <w:p w:rsidR="001C7BF9" w:rsidRPr="00C9680B" w:rsidRDefault="001C7BF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282</w:t>
    </w:r>
    <w:r w:rsidRPr="00C9680B">
      <w:fldChar w:fldCharType="end"/>
    </w:r>
  </w:p>
  <w:p w:rsidR="001C7BF9" w:rsidRPr="00C9680B" w:rsidRDefault="001C7BF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281</w:t>
    </w:r>
    <w:r w:rsidRPr="00C9680B">
      <w:fldChar w:fldCharType="end"/>
    </w:r>
  </w:p>
  <w:p w:rsidR="001C7BF9" w:rsidRPr="00C9680B" w:rsidRDefault="001C7BF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279</w:instrText>
    </w:r>
    <w:r w:rsidRPr="00C9680B">
      <w:fldChar w:fldCharType="end"/>
    </w:r>
    <w:r w:rsidRPr="00C9680B">
      <w:instrText xml:space="preserve">/2 </w:instrText>
    </w:r>
    <w:r w:rsidRPr="00C9680B">
      <w:fldChar w:fldCharType="separate"/>
    </w:r>
    <w:r w:rsidRPr="00C9680B">
      <w:instrText>139,5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279</w:instrText>
    </w:r>
    <w:r w:rsidRPr="00C9680B">
      <w:fldChar w:fldCharType="end"/>
    </w:r>
    <w:r w:rsidRPr="00C9680B">
      <w:instrText xml:space="preserve">/2) </w:instrText>
    </w:r>
    <w:r w:rsidRPr="00C9680B">
      <w:fldChar w:fldCharType="separate"/>
    </w:r>
    <w:r w:rsidRPr="00C9680B">
      <w:instrText>139</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278</w:instrText>
    </w:r>
    <w:r w:rsidRPr="00C9680B">
      <w:fldChar w:fldCharType="end"/>
    </w:r>
  </w:p>
  <w:p w:rsidR="001C7BF9" w:rsidRPr="00C9680B" w:rsidRDefault="001C7BF9">
    <w:pPr>
      <w:pStyle w:val="SidfotH"/>
      <w:framePr w:w="8732" w:h="284" w:hRule="exact" w:hSpace="0" w:vSpace="0" w:wrap="around" w:xAlign="inside" w:y="13042"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279</w:instrText>
    </w:r>
    <w:r w:rsidRPr="00C9680B">
      <w:fldChar w:fldCharType="end"/>
    </w:r>
    <w:r w:rsidRPr="00C9680B">
      <w:instrText>"</w:instrText>
    </w:r>
    <w:r w:rsidRPr="00C9680B">
      <w:fldChar w:fldCharType="separate"/>
    </w:r>
    <w:r w:rsidRPr="00C9680B">
      <w:t>279</w:t>
    </w:r>
    <w:r w:rsidRPr="00C9680B">
      <w:fldChar w:fldCharType="end"/>
    </w:r>
  </w:p>
  <w:p w:rsidR="001C7BF9" w:rsidRPr="00C9680B" w:rsidRDefault="001C7BF9">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366</w:t>
    </w:r>
    <w:r w:rsidRPr="00C9680B">
      <w:fldChar w:fldCharType="end"/>
    </w:r>
  </w:p>
  <w:p w:rsidR="001C7BF9" w:rsidRPr="00C9680B" w:rsidRDefault="001C7BF9">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367</w:t>
    </w:r>
    <w:r w:rsidRPr="00C9680B">
      <w:fldChar w:fldCharType="end"/>
    </w:r>
  </w:p>
  <w:p w:rsidR="001C7BF9" w:rsidRPr="00C9680B" w:rsidRDefault="001C7BF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00C9680B">
      <w:rPr>
        <w:noProof/>
      </w:rPr>
      <w:instrText>1</w:instrText>
    </w:r>
    <w:r w:rsidRPr="00C9680B">
      <w:fldChar w:fldCharType="end"/>
    </w:r>
    <w:r w:rsidRPr="00C9680B">
      <w:instrText xml:space="preserve">/2 </w:instrText>
    </w:r>
    <w:r w:rsidRPr="00C9680B">
      <w:fldChar w:fldCharType="separate"/>
    </w:r>
    <w:r w:rsidR="00C9680B">
      <w:rPr>
        <w:noProof/>
      </w:rPr>
      <w:instrText>0,5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00C9680B">
      <w:rPr>
        <w:noProof/>
      </w:rPr>
      <w:instrText>1</w:instrText>
    </w:r>
    <w:r w:rsidRPr="00C9680B">
      <w:fldChar w:fldCharType="end"/>
    </w:r>
    <w:r w:rsidRPr="00C9680B">
      <w:instrText xml:space="preserve">/2) </w:instrText>
    </w:r>
    <w:r w:rsidRPr="00C9680B">
      <w:fldChar w:fldCharType="separate"/>
    </w:r>
    <w:r w:rsidR="00C9680B">
      <w:rPr>
        <w:noProof/>
      </w:rPr>
      <w:instrText>0</w:instrText>
    </w:r>
    <w:r w:rsidRPr="00C9680B">
      <w:fldChar w:fldCharType="end"/>
    </w:r>
    <w:r w:rsidRPr="00C9680B">
      <w:fldChar w:fldCharType="separate"/>
    </w:r>
    <w:r w:rsidR="00C9680B">
      <w:rPr>
        <w:noProof/>
      </w:rPr>
      <w:instrText>0,5</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14</w:instrText>
    </w:r>
    <w:r w:rsidRPr="00C9680B">
      <w:fldChar w:fldCharType="end"/>
    </w:r>
  </w:p>
  <w:p w:rsidR="001C7BF9" w:rsidRPr="00C9680B" w:rsidRDefault="001C7BF9">
    <w:pPr>
      <w:pStyle w:val="SidfotH"/>
      <w:framePr w:w="8732" w:h="284" w:hRule="exact" w:hSpace="0" w:vSpace="0" w:wrap="around" w:xAlign="inside" w:y="13042"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00C9680B">
      <w:rPr>
        <w:noProof/>
      </w:rPr>
      <w:instrText>1</w:instrText>
    </w:r>
    <w:r w:rsidRPr="00C9680B">
      <w:fldChar w:fldCharType="end"/>
    </w:r>
    <w:r w:rsidRPr="00C9680B">
      <w:instrText>"</w:instrText>
    </w:r>
    <w:r w:rsidRPr="00C9680B">
      <w:fldChar w:fldCharType="separate"/>
    </w:r>
    <w:r w:rsidR="00C9680B">
      <w:rPr>
        <w:noProof/>
      </w:rPr>
      <w:t>1</w:t>
    </w:r>
    <w:r w:rsidRPr="00C9680B">
      <w:fldChar w:fldCharType="end"/>
    </w:r>
  </w:p>
  <w:p w:rsidR="001C7BF9" w:rsidRPr="00C9680B" w:rsidRDefault="001C7BF9">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283</w:instrText>
    </w:r>
    <w:r w:rsidRPr="00C9680B">
      <w:fldChar w:fldCharType="end"/>
    </w:r>
    <w:r w:rsidRPr="00C9680B">
      <w:instrText xml:space="preserve">/2 </w:instrText>
    </w:r>
    <w:r w:rsidRPr="00C9680B">
      <w:fldChar w:fldCharType="separate"/>
    </w:r>
    <w:r w:rsidRPr="00C9680B">
      <w:instrText>141,5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283</w:instrText>
    </w:r>
    <w:r w:rsidRPr="00C9680B">
      <w:fldChar w:fldCharType="end"/>
    </w:r>
    <w:r w:rsidRPr="00C9680B">
      <w:instrText xml:space="preserve">/2) </w:instrText>
    </w:r>
    <w:r w:rsidRPr="00C9680B">
      <w:fldChar w:fldCharType="separate"/>
    </w:r>
    <w:r w:rsidRPr="00C9680B">
      <w:instrText>141</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282</w:instrText>
    </w:r>
    <w:r w:rsidRPr="00C9680B">
      <w:fldChar w:fldCharType="end"/>
    </w:r>
  </w:p>
  <w:p w:rsidR="001C7BF9" w:rsidRPr="00C9680B" w:rsidRDefault="001C7BF9">
    <w:pPr>
      <w:pStyle w:val="SidfotH"/>
      <w:framePr w:w="8732" w:h="284" w:hRule="exact" w:hSpace="0" w:vSpace="0" w:wrap="around" w:xAlign="inside" w:y="13042"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283</w:instrText>
    </w:r>
    <w:r w:rsidRPr="00C9680B">
      <w:fldChar w:fldCharType="end"/>
    </w:r>
    <w:r w:rsidRPr="00C9680B">
      <w:instrText>"</w:instrText>
    </w:r>
    <w:r w:rsidRPr="00C9680B">
      <w:fldChar w:fldCharType="separate"/>
    </w:r>
    <w:r w:rsidRPr="00C9680B">
      <w:t>283</w:t>
    </w:r>
    <w:r w:rsidRPr="00C9680B">
      <w:fldChar w:fldCharType="end"/>
    </w:r>
  </w:p>
  <w:p w:rsidR="001C7BF9" w:rsidRPr="00C9680B" w:rsidRDefault="001C7BF9">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386</w:t>
    </w:r>
    <w:r w:rsidRPr="00C9680B">
      <w:fldChar w:fldCharType="end"/>
    </w:r>
  </w:p>
  <w:p w:rsidR="001C7BF9" w:rsidRPr="00C9680B" w:rsidRDefault="001C7BF9">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385</w:t>
    </w:r>
    <w:r w:rsidRPr="00C9680B">
      <w:fldChar w:fldCharType="end"/>
    </w:r>
  </w:p>
  <w:p w:rsidR="001C7BF9" w:rsidRPr="00C9680B" w:rsidRDefault="001C7BF9">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368</w:instrText>
    </w:r>
    <w:r w:rsidRPr="00C9680B">
      <w:fldChar w:fldCharType="end"/>
    </w:r>
    <w:r w:rsidRPr="00C9680B">
      <w:instrText xml:space="preserve">/2 </w:instrText>
    </w:r>
    <w:r w:rsidRPr="00C9680B">
      <w:fldChar w:fldCharType="separate"/>
    </w:r>
    <w:r w:rsidRPr="00C9680B">
      <w:instrText>184</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368</w:instrText>
    </w:r>
    <w:r w:rsidRPr="00C9680B">
      <w:fldChar w:fldCharType="end"/>
    </w:r>
    <w:r w:rsidRPr="00C9680B">
      <w:instrText xml:space="preserve">/2) </w:instrText>
    </w:r>
    <w:r w:rsidRPr="00C9680B">
      <w:fldChar w:fldCharType="separate"/>
    </w:r>
    <w:r w:rsidRPr="00C9680B">
      <w:instrText>184</w:instrText>
    </w:r>
    <w:r w:rsidRPr="00C9680B">
      <w:fldChar w:fldCharType="end"/>
    </w:r>
    <w:r w:rsidRPr="00C9680B">
      <w:fldChar w:fldCharType="separate"/>
    </w:r>
    <w:r w:rsidRPr="00C9680B">
      <w:instrText>0</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368</w:instrText>
    </w:r>
    <w:r w:rsidRPr="00C9680B">
      <w:fldChar w:fldCharType="end"/>
    </w:r>
  </w:p>
  <w:p w:rsidR="001C7BF9" w:rsidRPr="00C9680B" w:rsidRDefault="001C7BF9">
    <w:pPr>
      <w:pStyle w:val="SidfotV"/>
      <w:framePr w:w="8732" w:h="284" w:hRule="exact" w:hSpace="0" w:vSpace="0" w:wrap="around" w:xAlign="inside" w:y="13042"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367</w:instrText>
    </w:r>
    <w:r w:rsidRPr="00C9680B">
      <w:fldChar w:fldCharType="end"/>
    </w:r>
    <w:r w:rsidRPr="00C9680B">
      <w:instrText>"</w:instrText>
    </w:r>
    <w:r w:rsidRPr="00C9680B">
      <w:fldChar w:fldCharType="separate"/>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368</w:t>
    </w:r>
    <w:r w:rsidRPr="00C9680B">
      <w:fldChar w:fldCharType="end"/>
    </w:r>
  </w:p>
  <w:p w:rsidR="001C7BF9" w:rsidRPr="00C9680B" w:rsidRDefault="001C7BF9">
    <w:pPr>
      <w:pStyle w:val="SidfotH"/>
      <w:framePr w:w="8732" w:h="284" w:hRule="exact" w:hSpace="0" w:vSpace="0" w:wrap="around" w:xAlign="inside" w:y="13042" w:anchorLock="0"/>
    </w:pPr>
    <w:r w:rsidRPr="00C9680B">
      <w:fldChar w:fldCharType="end"/>
    </w:r>
  </w:p>
  <w:p w:rsidR="001C7BF9" w:rsidRPr="00C9680B" w:rsidRDefault="001C7BF9">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416</w:t>
    </w:r>
    <w:r w:rsidRPr="00C9680B">
      <w:fldChar w:fldCharType="end"/>
    </w:r>
  </w:p>
  <w:p w:rsidR="001C7BF9" w:rsidRPr="00C9680B" w:rsidRDefault="001C7BF9">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415</w:t>
    </w:r>
    <w:r w:rsidRPr="00C9680B">
      <w:fldChar w:fldCharType="end"/>
    </w:r>
  </w:p>
  <w:p w:rsidR="001C7BF9" w:rsidRPr="00C9680B" w:rsidRDefault="001C7BF9">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387</w:instrText>
    </w:r>
    <w:r w:rsidRPr="00C9680B">
      <w:fldChar w:fldCharType="end"/>
    </w:r>
    <w:r w:rsidRPr="00C9680B">
      <w:instrText xml:space="preserve">/2 </w:instrText>
    </w:r>
    <w:r w:rsidRPr="00C9680B">
      <w:fldChar w:fldCharType="separate"/>
    </w:r>
    <w:r w:rsidRPr="00C9680B">
      <w:instrText>193,5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387</w:instrText>
    </w:r>
    <w:r w:rsidRPr="00C9680B">
      <w:fldChar w:fldCharType="end"/>
    </w:r>
    <w:r w:rsidRPr="00C9680B">
      <w:instrText xml:space="preserve">/2) </w:instrText>
    </w:r>
    <w:r w:rsidRPr="00C9680B">
      <w:fldChar w:fldCharType="separate"/>
    </w:r>
    <w:r w:rsidRPr="00C9680B">
      <w:instrText>193</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386</w:instrText>
    </w:r>
    <w:r w:rsidRPr="00C9680B">
      <w:fldChar w:fldCharType="end"/>
    </w:r>
  </w:p>
  <w:p w:rsidR="001C7BF9" w:rsidRPr="00C9680B" w:rsidRDefault="001C7BF9">
    <w:pPr>
      <w:pStyle w:val="SidfotH"/>
      <w:framePr w:w="8732" w:h="284" w:hRule="exact" w:hSpace="0" w:vSpace="0" w:wrap="around" w:xAlign="inside" w:y="13042"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387</w:instrText>
    </w:r>
    <w:r w:rsidRPr="00C9680B">
      <w:fldChar w:fldCharType="end"/>
    </w:r>
    <w:r w:rsidRPr="00C9680B">
      <w:instrText>"</w:instrText>
    </w:r>
    <w:r w:rsidRPr="00C9680B">
      <w:fldChar w:fldCharType="separate"/>
    </w:r>
    <w:r w:rsidRPr="00C9680B">
      <w:t>387</w:t>
    </w:r>
    <w:r w:rsidRPr="00C9680B">
      <w:fldChar w:fldCharType="end"/>
    </w:r>
  </w:p>
  <w:p w:rsidR="001C7BF9" w:rsidRPr="00C9680B" w:rsidRDefault="001C7BF9">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424</w:t>
    </w:r>
    <w:r w:rsidRPr="00C9680B">
      <w:fldChar w:fldCharType="end"/>
    </w:r>
  </w:p>
  <w:p w:rsidR="001C7BF9" w:rsidRPr="00C9680B" w:rsidRDefault="001C7BF9">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425</w:t>
    </w:r>
    <w:r w:rsidRPr="00C9680B">
      <w:fldChar w:fldCharType="end"/>
    </w:r>
  </w:p>
  <w:p w:rsidR="001C7BF9" w:rsidRPr="00C9680B" w:rsidRDefault="001C7BF9">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417</w:instrText>
    </w:r>
    <w:r w:rsidRPr="00C9680B">
      <w:fldChar w:fldCharType="end"/>
    </w:r>
    <w:r w:rsidRPr="00C9680B">
      <w:instrText xml:space="preserve">/2 </w:instrText>
    </w:r>
    <w:r w:rsidRPr="00C9680B">
      <w:fldChar w:fldCharType="separate"/>
    </w:r>
    <w:r w:rsidRPr="00C9680B">
      <w:instrText>208,5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417</w:instrText>
    </w:r>
    <w:r w:rsidRPr="00C9680B">
      <w:fldChar w:fldCharType="end"/>
    </w:r>
    <w:r w:rsidRPr="00C9680B">
      <w:instrText xml:space="preserve">/2) </w:instrText>
    </w:r>
    <w:r w:rsidRPr="00C9680B">
      <w:fldChar w:fldCharType="separate"/>
    </w:r>
    <w:r w:rsidRPr="00C9680B">
      <w:instrText>208</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416</w:instrText>
    </w:r>
    <w:r w:rsidRPr="00C9680B">
      <w:fldChar w:fldCharType="end"/>
    </w:r>
  </w:p>
  <w:p w:rsidR="001C7BF9" w:rsidRPr="00C9680B" w:rsidRDefault="001C7BF9">
    <w:pPr>
      <w:pStyle w:val="SidfotH"/>
      <w:framePr w:w="8732" w:h="284" w:hRule="exact" w:hSpace="0" w:vSpace="0" w:wrap="around" w:xAlign="inside" w:y="13042"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417</w:instrText>
    </w:r>
    <w:r w:rsidRPr="00C9680B">
      <w:fldChar w:fldCharType="end"/>
    </w:r>
    <w:r w:rsidRPr="00C9680B">
      <w:instrText>"</w:instrText>
    </w:r>
    <w:r w:rsidRPr="00C9680B">
      <w:fldChar w:fldCharType="separate"/>
    </w:r>
    <w:r w:rsidRPr="00C9680B">
      <w:t>417</w:t>
    </w:r>
    <w:r w:rsidRPr="00C9680B">
      <w:fldChar w:fldCharType="end"/>
    </w:r>
  </w:p>
  <w:p w:rsidR="001C7BF9" w:rsidRPr="00C9680B" w:rsidRDefault="001C7BF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12</w:t>
    </w:r>
    <w:r w:rsidRPr="00C9680B">
      <w:fldChar w:fldCharType="end"/>
    </w:r>
  </w:p>
  <w:p w:rsidR="001C7BF9" w:rsidRPr="00C9680B" w:rsidRDefault="001C7BF9">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432</w:t>
    </w:r>
    <w:r w:rsidRPr="00C9680B">
      <w:fldChar w:fldCharType="end"/>
    </w:r>
  </w:p>
  <w:p w:rsidR="001C7BF9" w:rsidRPr="00C9680B" w:rsidRDefault="001C7BF9">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431</w:t>
    </w:r>
    <w:r w:rsidRPr="00C9680B">
      <w:fldChar w:fldCharType="end"/>
    </w:r>
  </w:p>
  <w:p w:rsidR="001C7BF9" w:rsidRPr="00C9680B" w:rsidRDefault="001C7BF9">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426</w:instrText>
    </w:r>
    <w:r w:rsidRPr="00C9680B">
      <w:fldChar w:fldCharType="end"/>
    </w:r>
    <w:r w:rsidRPr="00C9680B">
      <w:instrText xml:space="preserve">/2 </w:instrText>
    </w:r>
    <w:r w:rsidRPr="00C9680B">
      <w:fldChar w:fldCharType="separate"/>
    </w:r>
    <w:r w:rsidRPr="00C9680B">
      <w:instrText>213</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426</w:instrText>
    </w:r>
    <w:r w:rsidRPr="00C9680B">
      <w:fldChar w:fldCharType="end"/>
    </w:r>
    <w:r w:rsidRPr="00C9680B">
      <w:instrText xml:space="preserve">/2) </w:instrText>
    </w:r>
    <w:r w:rsidRPr="00C9680B">
      <w:fldChar w:fldCharType="separate"/>
    </w:r>
    <w:r w:rsidRPr="00C9680B">
      <w:instrText>213</w:instrText>
    </w:r>
    <w:r w:rsidRPr="00C9680B">
      <w:fldChar w:fldCharType="end"/>
    </w:r>
    <w:r w:rsidRPr="00C9680B">
      <w:fldChar w:fldCharType="separate"/>
    </w:r>
    <w:r w:rsidRPr="00C9680B">
      <w:instrText>0</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426</w:instrText>
    </w:r>
    <w:r w:rsidRPr="00C9680B">
      <w:fldChar w:fldCharType="end"/>
    </w:r>
  </w:p>
  <w:p w:rsidR="001C7BF9" w:rsidRPr="00C9680B" w:rsidRDefault="001C7BF9">
    <w:pPr>
      <w:pStyle w:val="SidfotV"/>
      <w:framePr w:w="8732" w:h="284" w:hRule="exact" w:hSpace="0" w:vSpace="0" w:wrap="around" w:xAlign="inside" w:y="13042"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1</w:instrText>
    </w:r>
    <w:r w:rsidRPr="00C9680B">
      <w:fldChar w:fldCharType="end"/>
    </w:r>
    <w:r w:rsidRPr="00C9680B">
      <w:instrText>"</w:instrText>
    </w:r>
    <w:r w:rsidRPr="00C9680B">
      <w:fldChar w:fldCharType="separate"/>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426</w:t>
    </w:r>
    <w:r w:rsidRPr="00C9680B">
      <w:fldChar w:fldCharType="end"/>
    </w:r>
  </w:p>
  <w:p w:rsidR="001C7BF9" w:rsidRPr="00C9680B" w:rsidRDefault="001C7BF9">
    <w:pPr>
      <w:pStyle w:val="SidfotH"/>
      <w:framePr w:w="8732" w:h="284" w:hRule="exact" w:hSpace="0" w:vSpace="0" w:wrap="around" w:xAlign="inside" w:y="13042" w:anchorLock="0"/>
    </w:pPr>
    <w:r w:rsidRPr="00C9680B">
      <w:fldChar w:fldCharType="end"/>
    </w:r>
  </w:p>
  <w:p w:rsidR="001C7BF9" w:rsidRPr="00C9680B" w:rsidRDefault="001C7BF9">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496</w:t>
    </w:r>
    <w:r w:rsidRPr="00C9680B">
      <w:fldChar w:fldCharType="end"/>
    </w:r>
  </w:p>
  <w:p w:rsidR="001C7BF9" w:rsidRPr="00C9680B" w:rsidRDefault="001C7BF9">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495</w:t>
    </w:r>
    <w:r w:rsidRPr="00C9680B">
      <w:fldChar w:fldCharType="end"/>
    </w:r>
  </w:p>
  <w:p w:rsidR="001C7BF9" w:rsidRPr="00C9680B" w:rsidRDefault="001C7BF9">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433</w:instrText>
    </w:r>
    <w:r w:rsidRPr="00C9680B">
      <w:fldChar w:fldCharType="end"/>
    </w:r>
    <w:r w:rsidRPr="00C9680B">
      <w:instrText xml:space="preserve">/2 </w:instrText>
    </w:r>
    <w:r w:rsidRPr="00C9680B">
      <w:fldChar w:fldCharType="separate"/>
    </w:r>
    <w:r w:rsidRPr="00C9680B">
      <w:instrText>216,5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433</w:instrText>
    </w:r>
    <w:r w:rsidRPr="00C9680B">
      <w:fldChar w:fldCharType="end"/>
    </w:r>
    <w:r w:rsidRPr="00C9680B">
      <w:instrText xml:space="preserve">/2) </w:instrText>
    </w:r>
    <w:r w:rsidRPr="00C9680B">
      <w:fldChar w:fldCharType="separate"/>
    </w:r>
    <w:r w:rsidRPr="00C9680B">
      <w:instrText>216</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8</w:instrText>
    </w:r>
    <w:r w:rsidRPr="00C9680B">
      <w:fldChar w:fldCharType="end"/>
    </w:r>
  </w:p>
  <w:p w:rsidR="001C7BF9" w:rsidRPr="00C9680B" w:rsidRDefault="001C7BF9">
    <w:pPr>
      <w:pStyle w:val="SidfotH"/>
      <w:framePr w:w="8957" w:h="283" w:hRule="exact" w:hSpace="0" w:vSpace="0" w:wrap="around" w:xAlign="inside" w:y="13040"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433</w:instrText>
    </w:r>
    <w:r w:rsidRPr="00C9680B">
      <w:fldChar w:fldCharType="end"/>
    </w:r>
    <w:r w:rsidRPr="00C9680B">
      <w:instrText>"</w:instrText>
    </w:r>
    <w:r w:rsidRPr="00C9680B">
      <w:fldChar w:fldCharType="separate"/>
    </w:r>
    <w:r w:rsidRPr="00C9680B">
      <w:t>433</w:t>
    </w:r>
    <w:r w:rsidRPr="00C9680B">
      <w:fldChar w:fldCharType="end"/>
    </w:r>
  </w:p>
  <w:p w:rsidR="001C7BF9" w:rsidRPr="00C9680B" w:rsidRDefault="001C7BF9">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504</w:t>
    </w:r>
    <w:r w:rsidRPr="00C9680B">
      <w:fldChar w:fldCharType="end"/>
    </w:r>
  </w:p>
  <w:p w:rsidR="001C7BF9" w:rsidRPr="00C9680B" w:rsidRDefault="001C7BF9">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503</w:t>
    </w:r>
    <w:r w:rsidRPr="00C9680B">
      <w:fldChar w:fldCharType="end"/>
    </w:r>
  </w:p>
  <w:p w:rsidR="001C7BF9" w:rsidRPr="00C9680B" w:rsidRDefault="001C7BF9">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497</w:instrText>
    </w:r>
    <w:r w:rsidRPr="00C9680B">
      <w:fldChar w:fldCharType="end"/>
    </w:r>
    <w:r w:rsidRPr="00C9680B">
      <w:instrText xml:space="preserve">/2 </w:instrText>
    </w:r>
    <w:r w:rsidRPr="00C9680B">
      <w:fldChar w:fldCharType="separate"/>
    </w:r>
    <w:r w:rsidRPr="00C9680B">
      <w:instrText>248,5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497</w:instrText>
    </w:r>
    <w:r w:rsidRPr="00C9680B">
      <w:fldChar w:fldCharType="end"/>
    </w:r>
    <w:r w:rsidRPr="00C9680B">
      <w:instrText xml:space="preserve">/2) </w:instrText>
    </w:r>
    <w:r w:rsidRPr="00C9680B">
      <w:fldChar w:fldCharType="separate"/>
    </w:r>
    <w:r w:rsidRPr="00C9680B">
      <w:instrText>248</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72</w:instrText>
    </w:r>
    <w:r w:rsidRPr="00C9680B">
      <w:fldChar w:fldCharType="end"/>
    </w:r>
  </w:p>
  <w:p w:rsidR="001C7BF9" w:rsidRPr="00C9680B" w:rsidRDefault="001C7BF9">
    <w:pPr>
      <w:pStyle w:val="SidfotH"/>
      <w:framePr w:w="8957" w:h="283" w:hRule="exact" w:hSpace="0" w:vSpace="0" w:wrap="around" w:xAlign="inside" w:y="13040"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497</w:instrText>
    </w:r>
    <w:r w:rsidRPr="00C9680B">
      <w:fldChar w:fldCharType="end"/>
    </w:r>
    <w:r w:rsidRPr="00C9680B">
      <w:instrText>"</w:instrText>
    </w:r>
    <w:r w:rsidRPr="00C9680B">
      <w:fldChar w:fldCharType="separate"/>
    </w:r>
    <w:r w:rsidRPr="00C9680B">
      <w:t>497</w:t>
    </w:r>
    <w:r w:rsidRPr="00C9680B">
      <w:fldChar w:fldCharType="end"/>
    </w:r>
  </w:p>
  <w:p w:rsidR="001C7BF9" w:rsidRPr="00C9680B" w:rsidRDefault="001C7BF9">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514</w:t>
    </w:r>
    <w:r w:rsidRPr="00C9680B">
      <w:fldChar w:fldCharType="end"/>
    </w:r>
  </w:p>
  <w:p w:rsidR="001C7BF9" w:rsidRPr="00C9680B" w:rsidRDefault="001C7BF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13</w:t>
    </w:r>
    <w:r w:rsidRPr="00C9680B">
      <w:fldChar w:fldCharType="end"/>
    </w:r>
  </w:p>
  <w:p w:rsidR="001C7BF9" w:rsidRPr="00C9680B" w:rsidRDefault="001C7BF9">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513</w:t>
    </w:r>
    <w:r w:rsidRPr="00C9680B">
      <w:fldChar w:fldCharType="end"/>
    </w:r>
  </w:p>
  <w:p w:rsidR="001C7BF9" w:rsidRPr="00C9680B" w:rsidRDefault="001C7BF9">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505</w:instrText>
    </w:r>
    <w:r w:rsidRPr="00C9680B">
      <w:fldChar w:fldCharType="end"/>
    </w:r>
    <w:r w:rsidRPr="00C9680B">
      <w:instrText xml:space="preserve">/2 </w:instrText>
    </w:r>
    <w:r w:rsidRPr="00C9680B">
      <w:fldChar w:fldCharType="separate"/>
    </w:r>
    <w:r w:rsidRPr="00C9680B">
      <w:instrText>252,5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505</w:instrText>
    </w:r>
    <w:r w:rsidRPr="00C9680B">
      <w:fldChar w:fldCharType="end"/>
    </w:r>
    <w:r w:rsidRPr="00C9680B">
      <w:instrText xml:space="preserve">/2) </w:instrText>
    </w:r>
    <w:r w:rsidRPr="00C9680B">
      <w:fldChar w:fldCharType="separate"/>
    </w:r>
    <w:r w:rsidRPr="00C9680B">
      <w:instrText>252</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80</w:instrText>
    </w:r>
    <w:r w:rsidRPr="00C9680B">
      <w:fldChar w:fldCharType="end"/>
    </w:r>
  </w:p>
  <w:p w:rsidR="001C7BF9" w:rsidRPr="00C9680B" w:rsidRDefault="001C7BF9">
    <w:pPr>
      <w:pStyle w:val="SidfotH"/>
      <w:framePr w:w="8957" w:h="283" w:hRule="exact" w:hSpace="0" w:vSpace="0" w:wrap="around" w:xAlign="inside" w:y="13040"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505</w:instrText>
    </w:r>
    <w:r w:rsidRPr="00C9680B">
      <w:fldChar w:fldCharType="end"/>
    </w:r>
    <w:r w:rsidRPr="00C9680B">
      <w:instrText>"</w:instrText>
    </w:r>
    <w:r w:rsidRPr="00C9680B">
      <w:fldChar w:fldCharType="separate"/>
    </w:r>
    <w:r w:rsidRPr="00C9680B">
      <w:t>505</w:t>
    </w:r>
    <w:r w:rsidRPr="00C9680B">
      <w:fldChar w:fldCharType="end"/>
    </w:r>
  </w:p>
  <w:p w:rsidR="001C7BF9" w:rsidRPr="00C9680B" w:rsidRDefault="001C7BF9">
    <w:pPr>
      <w:pStyle w:val="Sidfo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518</w:t>
    </w:r>
    <w:r w:rsidRPr="00C9680B">
      <w:fldChar w:fldCharType="end"/>
    </w:r>
  </w:p>
  <w:p w:rsidR="001C7BF9" w:rsidRPr="00C9680B" w:rsidRDefault="001C7BF9">
    <w:pPr>
      <w:pStyle w:val="Sidfo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519</w:t>
    </w:r>
    <w:r w:rsidRPr="00C9680B">
      <w:fldChar w:fldCharType="end"/>
    </w:r>
  </w:p>
  <w:p w:rsidR="001C7BF9" w:rsidRPr="00C9680B" w:rsidRDefault="001C7BF9">
    <w:pPr>
      <w:pStyle w:val="Sidfo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515</w:instrText>
    </w:r>
    <w:r w:rsidRPr="00C9680B">
      <w:fldChar w:fldCharType="end"/>
    </w:r>
    <w:r w:rsidRPr="00C9680B">
      <w:instrText xml:space="preserve">/2 </w:instrText>
    </w:r>
    <w:r w:rsidRPr="00C9680B">
      <w:fldChar w:fldCharType="separate"/>
    </w:r>
    <w:r w:rsidRPr="00C9680B">
      <w:instrText>257,5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515</w:instrText>
    </w:r>
    <w:r w:rsidRPr="00C9680B">
      <w:fldChar w:fldCharType="end"/>
    </w:r>
    <w:r w:rsidRPr="00C9680B">
      <w:instrText xml:space="preserve">/2) </w:instrText>
    </w:r>
    <w:r w:rsidRPr="00C9680B">
      <w:fldChar w:fldCharType="separate"/>
    </w:r>
    <w:r w:rsidRPr="00C9680B">
      <w:instrText>257</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90</w:instrText>
    </w:r>
    <w:r w:rsidRPr="00C9680B">
      <w:fldChar w:fldCharType="end"/>
    </w:r>
  </w:p>
  <w:p w:rsidR="001C7BF9" w:rsidRPr="00C9680B" w:rsidRDefault="001C7BF9">
    <w:pPr>
      <w:pStyle w:val="SidfotH"/>
      <w:framePr w:w="8957" w:h="283" w:hRule="exact" w:hSpace="0" w:vSpace="0" w:wrap="around" w:xAlign="inside" w:y="13040"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515</w:instrText>
    </w:r>
    <w:r w:rsidRPr="00C9680B">
      <w:fldChar w:fldCharType="end"/>
    </w:r>
    <w:r w:rsidRPr="00C9680B">
      <w:instrText>"</w:instrText>
    </w:r>
    <w:r w:rsidRPr="00C9680B">
      <w:fldChar w:fldCharType="separate"/>
    </w:r>
    <w:r w:rsidRPr="00C9680B">
      <w:t>515</w:t>
    </w:r>
    <w:r w:rsidRPr="00C9680B">
      <w:fldChar w:fldCharType="end"/>
    </w:r>
  </w:p>
  <w:p w:rsidR="001C7BF9" w:rsidRPr="00C9680B" w:rsidRDefault="001C7BF9">
    <w:pPr>
      <w:pStyle w:val="Sidfo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552</w:t>
    </w:r>
    <w:r w:rsidRPr="00C9680B">
      <w:fldChar w:fldCharType="end"/>
    </w:r>
  </w:p>
  <w:p w:rsidR="001C7BF9" w:rsidRPr="00C9680B" w:rsidRDefault="001C7BF9">
    <w:pPr>
      <w:pStyle w:val="Sidfo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553</w:t>
    </w:r>
    <w:r w:rsidRPr="00C9680B">
      <w:fldChar w:fldCharType="end"/>
    </w:r>
  </w:p>
  <w:p w:rsidR="001C7BF9" w:rsidRPr="00C9680B" w:rsidRDefault="001C7BF9">
    <w:pPr>
      <w:pStyle w:val="Sidfo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520</w:instrText>
    </w:r>
    <w:r w:rsidRPr="00C9680B">
      <w:fldChar w:fldCharType="end"/>
    </w:r>
    <w:r w:rsidRPr="00C9680B">
      <w:instrText xml:space="preserve">/2 </w:instrText>
    </w:r>
    <w:r w:rsidRPr="00C9680B">
      <w:fldChar w:fldCharType="separate"/>
    </w:r>
    <w:r w:rsidRPr="00C9680B">
      <w:instrText>260</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520</w:instrText>
    </w:r>
    <w:r w:rsidRPr="00C9680B">
      <w:fldChar w:fldCharType="end"/>
    </w:r>
    <w:r w:rsidRPr="00C9680B">
      <w:instrText xml:space="preserve">/2) </w:instrText>
    </w:r>
    <w:r w:rsidRPr="00C9680B">
      <w:fldChar w:fldCharType="separate"/>
    </w:r>
    <w:r w:rsidRPr="00C9680B">
      <w:instrText>260</w:instrText>
    </w:r>
    <w:r w:rsidRPr="00C9680B">
      <w:fldChar w:fldCharType="end"/>
    </w:r>
    <w:r w:rsidRPr="00C9680B">
      <w:fldChar w:fldCharType="separate"/>
    </w:r>
    <w:r w:rsidRPr="00C9680B">
      <w:instrText>0</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520</w:instrText>
    </w:r>
    <w:r w:rsidRPr="00C9680B">
      <w:fldChar w:fldCharType="end"/>
    </w:r>
  </w:p>
  <w:p w:rsidR="001C7BF9" w:rsidRPr="00C9680B" w:rsidRDefault="001C7BF9">
    <w:pPr>
      <w:pStyle w:val="SidfotV"/>
      <w:framePr w:w="8957" w:h="283" w:hRule="exact" w:hSpace="0" w:vSpace="0" w:wrap="around" w:xAlign="inside" w:y="13040"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95</w:instrText>
    </w:r>
    <w:r w:rsidRPr="00C9680B">
      <w:fldChar w:fldCharType="end"/>
    </w:r>
    <w:r w:rsidRPr="00C9680B">
      <w:instrText>"</w:instrText>
    </w:r>
    <w:r w:rsidRPr="00C9680B">
      <w:fldChar w:fldCharType="separate"/>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520</w:t>
    </w:r>
    <w:r w:rsidRPr="00C9680B">
      <w:fldChar w:fldCharType="end"/>
    </w:r>
  </w:p>
  <w:p w:rsidR="001C7BF9" w:rsidRPr="00C9680B" w:rsidRDefault="001C7BF9">
    <w:pPr>
      <w:pStyle w:val="SidfotH"/>
      <w:framePr w:w="8957" w:h="283" w:hRule="exact" w:hSpace="0" w:vSpace="0" w:wrap="around" w:xAlign="inside" w:y="13040" w:anchorLock="0"/>
    </w:pPr>
    <w:r w:rsidRPr="00C9680B">
      <w:fldChar w:fldCharType="end"/>
    </w:r>
  </w:p>
  <w:p w:rsidR="001C7BF9" w:rsidRPr="00C9680B" w:rsidRDefault="001C7BF9">
    <w:pPr>
      <w:pStyle w:val="Sidfot"/>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566</w:t>
    </w:r>
    <w:r w:rsidRPr="00C9680B">
      <w:fldChar w:fldCharType="end"/>
    </w:r>
  </w:p>
  <w:p w:rsidR="001C7BF9" w:rsidRPr="00C9680B" w:rsidRDefault="001C7BF9">
    <w:pPr>
      <w:pStyle w:val="Sidfot"/>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565</w:t>
    </w:r>
    <w:r w:rsidRPr="00C9680B">
      <w:fldChar w:fldCharType="end"/>
    </w:r>
  </w:p>
  <w:p w:rsidR="001C7BF9" w:rsidRPr="00C9680B" w:rsidRDefault="001C7BF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6</w:instrText>
    </w:r>
    <w:r w:rsidRPr="00C9680B">
      <w:fldChar w:fldCharType="end"/>
    </w:r>
    <w:r w:rsidRPr="00C9680B">
      <w:instrText xml:space="preserve">/2 </w:instrText>
    </w:r>
    <w:r w:rsidRPr="00C9680B">
      <w:fldChar w:fldCharType="separate"/>
    </w:r>
    <w:r w:rsidRPr="00C9680B">
      <w:instrText>3</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6</w:instrText>
    </w:r>
    <w:r w:rsidRPr="00C9680B">
      <w:fldChar w:fldCharType="end"/>
    </w:r>
    <w:r w:rsidRPr="00C9680B">
      <w:instrText xml:space="preserve">/2) </w:instrText>
    </w:r>
    <w:r w:rsidRPr="00C9680B">
      <w:fldChar w:fldCharType="separate"/>
    </w:r>
    <w:r w:rsidRPr="00C9680B">
      <w:instrText>3</w:instrText>
    </w:r>
    <w:r w:rsidRPr="00C9680B">
      <w:fldChar w:fldCharType="end"/>
    </w:r>
    <w:r w:rsidRPr="00C9680B">
      <w:fldChar w:fldCharType="separate"/>
    </w:r>
    <w:r w:rsidRPr="00C9680B">
      <w:instrText>0</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6</w:instrText>
    </w:r>
    <w:r w:rsidRPr="00C9680B">
      <w:fldChar w:fldCharType="end"/>
    </w:r>
  </w:p>
  <w:p w:rsidR="001C7BF9" w:rsidRPr="00C9680B" w:rsidRDefault="001C7BF9">
    <w:pPr>
      <w:pStyle w:val="SidfotV"/>
      <w:framePr w:w="8732" w:h="284" w:hRule="exact" w:hSpace="0" w:vSpace="0" w:wrap="around" w:xAlign="inside" w:y="13042"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11</w:instrText>
    </w:r>
    <w:r w:rsidRPr="00C9680B">
      <w:fldChar w:fldCharType="end"/>
    </w:r>
    <w:r w:rsidRPr="00C9680B">
      <w:instrText>"</w:instrText>
    </w:r>
    <w:r w:rsidRPr="00C9680B">
      <w:fldChar w:fldCharType="separate"/>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6</w:t>
    </w:r>
    <w:r w:rsidRPr="00C9680B">
      <w:fldChar w:fldCharType="end"/>
    </w:r>
  </w:p>
  <w:p w:rsidR="001C7BF9" w:rsidRPr="00C9680B" w:rsidRDefault="001C7BF9">
    <w:pPr>
      <w:pStyle w:val="SidfotH"/>
      <w:framePr w:w="8732" w:h="284" w:hRule="exact" w:hSpace="0" w:vSpace="0" w:wrap="around" w:xAlign="inside" w:y="13042" w:anchorLock="0"/>
    </w:pPr>
    <w:r w:rsidRPr="00C9680B">
      <w:fldChar w:fldCharType="end"/>
    </w:r>
  </w:p>
  <w:p w:rsidR="001C7BF9" w:rsidRPr="00C9680B" w:rsidRDefault="001C7BF9">
    <w:pPr>
      <w:pStyle w:val="Sidfot"/>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554</w:instrText>
    </w:r>
    <w:r w:rsidRPr="00C9680B">
      <w:fldChar w:fldCharType="end"/>
    </w:r>
    <w:r w:rsidRPr="00C9680B">
      <w:instrText xml:space="preserve">/2 </w:instrText>
    </w:r>
    <w:r w:rsidRPr="00C9680B">
      <w:fldChar w:fldCharType="separate"/>
    </w:r>
    <w:r w:rsidRPr="00C9680B">
      <w:instrText>277</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554</w:instrText>
    </w:r>
    <w:r w:rsidRPr="00C9680B">
      <w:fldChar w:fldCharType="end"/>
    </w:r>
    <w:r w:rsidRPr="00C9680B">
      <w:instrText xml:space="preserve">/2) </w:instrText>
    </w:r>
    <w:r w:rsidRPr="00C9680B">
      <w:fldChar w:fldCharType="separate"/>
    </w:r>
    <w:r w:rsidRPr="00C9680B">
      <w:instrText>277</w:instrText>
    </w:r>
    <w:r w:rsidRPr="00C9680B">
      <w:fldChar w:fldCharType="end"/>
    </w:r>
    <w:r w:rsidRPr="00C9680B">
      <w:fldChar w:fldCharType="separate"/>
    </w:r>
    <w:r w:rsidRPr="00C9680B">
      <w:instrText>0</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554</w:instrText>
    </w:r>
    <w:r w:rsidRPr="00C9680B">
      <w:fldChar w:fldCharType="end"/>
    </w:r>
  </w:p>
  <w:p w:rsidR="001C7BF9" w:rsidRPr="00C9680B" w:rsidRDefault="001C7BF9">
    <w:pPr>
      <w:pStyle w:val="SidfotV"/>
      <w:framePr w:w="8957" w:h="283" w:hRule="exact" w:hSpace="0" w:vSpace="0" w:wrap="around" w:xAlign="inside" w:y="13040"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129</w:instrText>
    </w:r>
    <w:r w:rsidRPr="00C9680B">
      <w:fldChar w:fldCharType="end"/>
    </w:r>
    <w:r w:rsidRPr="00C9680B">
      <w:instrText>"</w:instrText>
    </w:r>
    <w:r w:rsidRPr="00C9680B">
      <w:fldChar w:fldCharType="separate"/>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554</w:t>
    </w:r>
    <w:r w:rsidRPr="00C9680B">
      <w:fldChar w:fldCharType="end"/>
    </w:r>
  </w:p>
  <w:p w:rsidR="001C7BF9" w:rsidRPr="00C9680B" w:rsidRDefault="001C7BF9">
    <w:pPr>
      <w:pStyle w:val="SidfotH"/>
      <w:framePr w:w="8957" w:h="283" w:hRule="exact" w:hSpace="0" w:vSpace="0" w:wrap="around" w:xAlign="inside" w:y="13040" w:anchorLock="0"/>
    </w:pPr>
    <w:r w:rsidRPr="00C9680B">
      <w:fldChar w:fldCharType="end"/>
    </w:r>
  </w:p>
  <w:p w:rsidR="001C7BF9" w:rsidRPr="00C9680B" w:rsidRDefault="001C7BF9">
    <w:pPr>
      <w:pStyle w:val="Sidfot"/>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568</w:t>
    </w:r>
    <w:r w:rsidRPr="00C9680B">
      <w:fldChar w:fldCharType="end"/>
    </w:r>
  </w:p>
  <w:p w:rsidR="001C7BF9" w:rsidRPr="00C9680B" w:rsidRDefault="001C7BF9">
    <w:pPr>
      <w:pStyle w:val="Sidfot"/>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143</w:t>
    </w:r>
    <w:r w:rsidRPr="00C9680B">
      <w:fldChar w:fldCharType="end"/>
    </w:r>
  </w:p>
  <w:p w:rsidR="001C7BF9" w:rsidRPr="00C9680B" w:rsidRDefault="001C7BF9">
    <w:pPr>
      <w:pStyle w:val="Sidfot"/>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567</w:instrText>
    </w:r>
    <w:r w:rsidRPr="00C9680B">
      <w:fldChar w:fldCharType="end"/>
    </w:r>
    <w:r w:rsidRPr="00C9680B">
      <w:instrText xml:space="preserve">/2 </w:instrText>
    </w:r>
    <w:r w:rsidRPr="00C9680B">
      <w:fldChar w:fldCharType="separate"/>
    </w:r>
    <w:r w:rsidRPr="00C9680B">
      <w:instrText>283,5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567</w:instrText>
    </w:r>
    <w:r w:rsidRPr="00C9680B">
      <w:fldChar w:fldCharType="end"/>
    </w:r>
    <w:r w:rsidRPr="00C9680B">
      <w:instrText xml:space="preserve">/2) </w:instrText>
    </w:r>
    <w:r w:rsidRPr="00C9680B">
      <w:fldChar w:fldCharType="separate"/>
    </w:r>
    <w:r w:rsidRPr="00C9680B">
      <w:instrText>283</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142</w:instrText>
    </w:r>
    <w:r w:rsidRPr="00C9680B">
      <w:fldChar w:fldCharType="end"/>
    </w:r>
  </w:p>
  <w:p w:rsidR="001C7BF9" w:rsidRPr="00C9680B" w:rsidRDefault="001C7BF9">
    <w:pPr>
      <w:pStyle w:val="SidfotH"/>
      <w:framePr w:w="8957" w:h="283" w:hRule="exact" w:hSpace="0" w:vSpace="0" w:wrap="around" w:xAlign="inside" w:y="13040"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567</w:instrText>
    </w:r>
    <w:r w:rsidRPr="00C9680B">
      <w:fldChar w:fldCharType="end"/>
    </w:r>
    <w:r w:rsidRPr="00C9680B">
      <w:instrText>"</w:instrText>
    </w:r>
    <w:r w:rsidRPr="00C9680B">
      <w:fldChar w:fldCharType="separate"/>
    </w:r>
    <w:r w:rsidRPr="00C9680B">
      <w:t>567</w:t>
    </w:r>
    <w:r w:rsidRPr="00C9680B">
      <w:fldChar w:fldCharType="end"/>
    </w:r>
  </w:p>
  <w:p w:rsidR="001C7BF9" w:rsidRPr="00C9680B" w:rsidRDefault="001C7BF9">
    <w:pPr>
      <w:pStyle w:val="Sidfot"/>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150</w:t>
    </w:r>
    <w:r w:rsidRPr="00C9680B">
      <w:fldChar w:fldCharType="end"/>
    </w:r>
  </w:p>
  <w:p w:rsidR="001C7BF9" w:rsidRPr="00C9680B" w:rsidRDefault="001C7BF9">
    <w:pPr>
      <w:pStyle w:val="Sidfot"/>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149</w:t>
    </w:r>
    <w:r w:rsidRPr="00C9680B">
      <w:fldChar w:fldCharType="end"/>
    </w:r>
  </w:p>
  <w:p w:rsidR="001C7BF9" w:rsidRPr="00C9680B" w:rsidRDefault="001C7BF9">
    <w:pPr>
      <w:pStyle w:val="Sidfot"/>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569</w:instrText>
    </w:r>
    <w:r w:rsidRPr="00C9680B">
      <w:fldChar w:fldCharType="end"/>
    </w:r>
    <w:r w:rsidRPr="00C9680B">
      <w:instrText xml:space="preserve">/2 </w:instrText>
    </w:r>
    <w:r w:rsidRPr="00C9680B">
      <w:fldChar w:fldCharType="separate"/>
    </w:r>
    <w:r w:rsidRPr="00C9680B">
      <w:instrText>284,5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569</w:instrText>
    </w:r>
    <w:r w:rsidRPr="00C9680B">
      <w:fldChar w:fldCharType="end"/>
    </w:r>
    <w:r w:rsidRPr="00C9680B">
      <w:instrText xml:space="preserve">/2) </w:instrText>
    </w:r>
    <w:r w:rsidRPr="00C9680B">
      <w:fldChar w:fldCharType="separate"/>
    </w:r>
    <w:r w:rsidRPr="00C9680B">
      <w:instrText>284</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144</w:instrText>
    </w:r>
    <w:r w:rsidRPr="00C9680B">
      <w:fldChar w:fldCharType="end"/>
    </w:r>
  </w:p>
  <w:p w:rsidR="001C7BF9" w:rsidRPr="00C9680B" w:rsidRDefault="001C7BF9">
    <w:pPr>
      <w:pStyle w:val="SidfotH"/>
      <w:framePr w:w="8957" w:h="283" w:hRule="exact" w:hSpace="0" w:vSpace="0" w:wrap="around" w:xAlign="inside" w:y="13040"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569</w:instrText>
    </w:r>
    <w:r w:rsidRPr="00C9680B">
      <w:fldChar w:fldCharType="end"/>
    </w:r>
    <w:r w:rsidRPr="00C9680B">
      <w:instrText>"</w:instrText>
    </w:r>
    <w:r w:rsidRPr="00C9680B">
      <w:fldChar w:fldCharType="separate"/>
    </w:r>
    <w:r w:rsidRPr="00C9680B">
      <w:t>569</w:t>
    </w:r>
    <w:r w:rsidRPr="00C9680B">
      <w:fldChar w:fldCharType="end"/>
    </w:r>
  </w:p>
  <w:p w:rsidR="001C7BF9" w:rsidRPr="00C9680B" w:rsidRDefault="001C7BF9">
    <w:pPr>
      <w:pStyle w:val="Sidfot"/>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150</w:t>
    </w:r>
    <w:r w:rsidRPr="00C9680B">
      <w:fldChar w:fldCharType="end"/>
    </w:r>
  </w:p>
  <w:p w:rsidR="001C7BF9" w:rsidRPr="00C9680B" w:rsidRDefault="001C7BF9">
    <w:pPr>
      <w:pStyle w:val="Sidfot"/>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151</w:t>
    </w:r>
    <w:r w:rsidRPr="00C9680B">
      <w:fldChar w:fldCharType="end"/>
    </w:r>
  </w:p>
  <w:p w:rsidR="001C7BF9" w:rsidRPr="00C9680B" w:rsidRDefault="001C7BF9">
    <w:pPr>
      <w:pStyle w:val="Sidfot"/>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570</w:instrText>
    </w:r>
    <w:r w:rsidRPr="00C9680B">
      <w:fldChar w:fldCharType="end"/>
    </w:r>
    <w:r w:rsidRPr="00C9680B">
      <w:instrText xml:space="preserve">/2 </w:instrText>
    </w:r>
    <w:r w:rsidRPr="00C9680B">
      <w:fldChar w:fldCharType="separate"/>
    </w:r>
    <w:r w:rsidRPr="00C9680B">
      <w:instrText>285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570</w:instrText>
    </w:r>
    <w:r w:rsidRPr="00C9680B">
      <w:fldChar w:fldCharType="end"/>
    </w:r>
    <w:r w:rsidRPr="00C9680B">
      <w:instrText xml:space="preserve">/2) </w:instrText>
    </w:r>
    <w:r w:rsidRPr="00C9680B">
      <w:fldChar w:fldCharType="separate"/>
    </w:r>
    <w:r w:rsidRPr="00C9680B">
      <w:instrText>285</w:instrText>
    </w:r>
    <w:r w:rsidRPr="00C9680B">
      <w:fldChar w:fldCharType="end"/>
    </w:r>
    <w:r w:rsidRPr="00C9680B">
      <w:fldChar w:fldCharType="separate"/>
    </w:r>
    <w:r w:rsidRPr="00C9680B">
      <w:instrText>0</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570</w:instrText>
    </w:r>
    <w:r w:rsidRPr="00C9680B">
      <w:fldChar w:fldCharType="end"/>
    </w:r>
  </w:p>
  <w:p w:rsidR="001C7BF9" w:rsidRPr="00C9680B" w:rsidRDefault="001C7BF9">
    <w:pPr>
      <w:pStyle w:val="SidfotV"/>
      <w:framePr w:w="8957" w:h="283" w:hRule="exact" w:hSpace="0" w:vSpace="0" w:wrap="around" w:xAlign="inside" w:y="13040"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145</w:instrText>
    </w:r>
    <w:r w:rsidRPr="00C9680B">
      <w:fldChar w:fldCharType="end"/>
    </w:r>
    <w:r w:rsidRPr="00C9680B">
      <w:instrText>"</w:instrText>
    </w:r>
    <w:r w:rsidRPr="00C9680B">
      <w:fldChar w:fldCharType="separate"/>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570</w:t>
    </w:r>
    <w:r w:rsidRPr="00C9680B">
      <w:fldChar w:fldCharType="end"/>
    </w:r>
  </w:p>
  <w:p w:rsidR="001C7BF9" w:rsidRPr="00C9680B" w:rsidRDefault="001C7BF9">
    <w:pPr>
      <w:pStyle w:val="SidfotH"/>
      <w:framePr w:w="8957" w:h="283" w:hRule="exact" w:hSpace="0" w:vSpace="0" w:wrap="around" w:xAlign="inside" w:y="13040" w:anchorLock="0"/>
    </w:pPr>
    <w:r w:rsidRPr="00C9680B">
      <w:fldChar w:fldCharType="end"/>
    </w:r>
  </w:p>
  <w:p w:rsidR="001C7BF9" w:rsidRPr="00C9680B" w:rsidRDefault="001C7BF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20</w:t>
    </w:r>
    <w:r w:rsidRPr="00C9680B">
      <w:fldChar w:fldCharType="end"/>
    </w:r>
  </w:p>
  <w:p w:rsidR="001C7BF9" w:rsidRPr="00C9680B" w:rsidRDefault="001C7BF9">
    <w:pPr>
      <w:pStyle w:val="Sidfot"/>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578</w:t>
    </w:r>
    <w:r w:rsidRPr="00C9680B">
      <w:fldChar w:fldCharType="end"/>
    </w:r>
  </w:p>
  <w:p w:rsidR="001C7BF9" w:rsidRPr="00C9680B" w:rsidRDefault="001C7BF9">
    <w:pPr>
      <w:pStyle w:val="Sidfot"/>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579</w:t>
    </w:r>
    <w:r w:rsidRPr="00C9680B">
      <w:fldChar w:fldCharType="end"/>
    </w:r>
  </w:p>
  <w:p w:rsidR="001C7BF9" w:rsidRPr="00C9680B" w:rsidRDefault="001C7BF9">
    <w:pPr>
      <w:pStyle w:val="Sidfot"/>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571</w:instrText>
    </w:r>
    <w:r w:rsidRPr="00C9680B">
      <w:fldChar w:fldCharType="end"/>
    </w:r>
    <w:r w:rsidRPr="00C9680B">
      <w:instrText xml:space="preserve">/2 </w:instrText>
    </w:r>
    <w:r w:rsidRPr="00C9680B">
      <w:fldChar w:fldCharType="separate"/>
    </w:r>
    <w:r w:rsidRPr="00C9680B">
      <w:instrText>285,5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571</w:instrText>
    </w:r>
    <w:r w:rsidRPr="00C9680B">
      <w:fldChar w:fldCharType="end"/>
    </w:r>
    <w:r w:rsidRPr="00C9680B">
      <w:instrText xml:space="preserve">/2) </w:instrText>
    </w:r>
    <w:r w:rsidRPr="00C9680B">
      <w:fldChar w:fldCharType="separate"/>
    </w:r>
    <w:r w:rsidRPr="00C9680B">
      <w:instrText>285</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146</w:instrText>
    </w:r>
    <w:r w:rsidRPr="00C9680B">
      <w:fldChar w:fldCharType="end"/>
    </w:r>
  </w:p>
  <w:p w:rsidR="001C7BF9" w:rsidRPr="00C9680B" w:rsidRDefault="001C7BF9">
    <w:pPr>
      <w:pStyle w:val="SidfotH"/>
      <w:framePr w:w="8957" w:h="283" w:hRule="exact" w:hSpace="0" w:vSpace="0" w:wrap="around" w:xAlign="inside" w:y="13040"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571</w:instrText>
    </w:r>
    <w:r w:rsidRPr="00C9680B">
      <w:fldChar w:fldCharType="end"/>
    </w:r>
    <w:r w:rsidRPr="00C9680B">
      <w:instrText>"</w:instrText>
    </w:r>
    <w:r w:rsidRPr="00C9680B">
      <w:fldChar w:fldCharType="separate"/>
    </w:r>
    <w:r w:rsidRPr="00C9680B">
      <w:t>571</w:t>
    </w:r>
    <w:r w:rsidRPr="00C9680B">
      <w:fldChar w:fldCharType="end"/>
    </w:r>
  </w:p>
  <w:p w:rsidR="001C7BF9" w:rsidRPr="00C9680B" w:rsidRDefault="001C7BF9">
    <w:pPr>
      <w:pStyle w:val="Sidfot"/>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594</w:t>
    </w:r>
    <w:r w:rsidRPr="00C9680B">
      <w:fldChar w:fldCharType="end"/>
    </w:r>
  </w:p>
  <w:p w:rsidR="001C7BF9" w:rsidRPr="00C9680B" w:rsidRDefault="001C7BF9">
    <w:pPr>
      <w:pStyle w:val="Sidfot"/>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593</w:t>
    </w:r>
    <w:r w:rsidRPr="00C9680B">
      <w:fldChar w:fldCharType="end"/>
    </w:r>
  </w:p>
  <w:p w:rsidR="001C7BF9" w:rsidRPr="00C9680B" w:rsidRDefault="001C7BF9">
    <w:pPr>
      <w:pStyle w:val="Sidfot"/>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580</w:instrText>
    </w:r>
    <w:r w:rsidRPr="00C9680B">
      <w:fldChar w:fldCharType="end"/>
    </w:r>
    <w:r w:rsidRPr="00C9680B">
      <w:instrText xml:space="preserve">/2 </w:instrText>
    </w:r>
    <w:r w:rsidRPr="00C9680B">
      <w:fldChar w:fldCharType="separate"/>
    </w:r>
    <w:r w:rsidRPr="00C9680B">
      <w:instrText>290</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580</w:instrText>
    </w:r>
    <w:r w:rsidRPr="00C9680B">
      <w:fldChar w:fldCharType="end"/>
    </w:r>
    <w:r w:rsidRPr="00C9680B">
      <w:instrText xml:space="preserve">/2) </w:instrText>
    </w:r>
    <w:r w:rsidRPr="00C9680B">
      <w:fldChar w:fldCharType="separate"/>
    </w:r>
    <w:r w:rsidRPr="00C9680B">
      <w:instrText>290</w:instrText>
    </w:r>
    <w:r w:rsidRPr="00C9680B">
      <w:fldChar w:fldCharType="end"/>
    </w:r>
    <w:r w:rsidRPr="00C9680B">
      <w:fldChar w:fldCharType="separate"/>
    </w:r>
    <w:r w:rsidRPr="00C9680B">
      <w:instrText>0</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580</w:instrText>
    </w:r>
    <w:r w:rsidRPr="00C9680B">
      <w:fldChar w:fldCharType="end"/>
    </w:r>
  </w:p>
  <w:p w:rsidR="001C7BF9" w:rsidRPr="00C9680B" w:rsidRDefault="001C7BF9">
    <w:pPr>
      <w:pStyle w:val="SidfotV"/>
      <w:framePr w:w="8732" w:h="284" w:hRule="exact" w:hSpace="0" w:vSpace="0" w:wrap="around" w:xAlign="inside" w:y="13042"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155</w:instrText>
    </w:r>
    <w:r w:rsidRPr="00C9680B">
      <w:fldChar w:fldCharType="end"/>
    </w:r>
    <w:r w:rsidRPr="00C9680B">
      <w:instrText>"</w:instrText>
    </w:r>
    <w:r w:rsidRPr="00C9680B">
      <w:fldChar w:fldCharType="separate"/>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580</w:t>
    </w:r>
    <w:r w:rsidRPr="00C9680B">
      <w:fldChar w:fldCharType="end"/>
    </w:r>
  </w:p>
  <w:p w:rsidR="001C7BF9" w:rsidRPr="00C9680B" w:rsidRDefault="001C7BF9">
    <w:pPr>
      <w:pStyle w:val="SidfotH"/>
      <w:framePr w:w="8732" w:h="284" w:hRule="exact" w:hSpace="0" w:vSpace="0" w:wrap="around" w:xAlign="inside" w:y="13042" w:anchorLock="0"/>
    </w:pPr>
    <w:r w:rsidRPr="00C9680B">
      <w:fldChar w:fldCharType="end"/>
    </w:r>
  </w:p>
  <w:p w:rsidR="001C7BF9" w:rsidRPr="00C9680B" w:rsidRDefault="001C7BF9">
    <w:pPr>
      <w:pStyle w:val="Sidfot"/>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636</w:t>
    </w:r>
    <w:r w:rsidRPr="00C9680B">
      <w:fldChar w:fldCharType="end"/>
    </w:r>
  </w:p>
  <w:p w:rsidR="001C7BF9" w:rsidRPr="00C9680B" w:rsidRDefault="001C7BF9">
    <w:pPr>
      <w:pStyle w:val="Sidfot"/>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957" w:h="283" w:hRule="exact" w:hSpace="0" w:vSpace="0" w:wrap="around" w:xAlign="inside" w:y="13040"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635</w:t>
    </w:r>
    <w:r w:rsidRPr="00C9680B">
      <w:fldChar w:fldCharType="end"/>
    </w:r>
  </w:p>
  <w:p w:rsidR="001C7BF9" w:rsidRPr="00C9680B" w:rsidRDefault="001C7BF9">
    <w:pPr>
      <w:pStyle w:val="Sidfot"/>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957" w:h="283" w:hRule="exact" w:hSpace="0" w:vSpace="0" w:wrap="around" w:xAlign="inside" w:y="13040"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595</w:instrText>
    </w:r>
    <w:r w:rsidRPr="00C9680B">
      <w:fldChar w:fldCharType="end"/>
    </w:r>
    <w:r w:rsidRPr="00C9680B">
      <w:instrText xml:space="preserve">/2 </w:instrText>
    </w:r>
    <w:r w:rsidRPr="00C9680B">
      <w:fldChar w:fldCharType="separate"/>
    </w:r>
    <w:r w:rsidRPr="00C9680B">
      <w:instrText>297,5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595</w:instrText>
    </w:r>
    <w:r w:rsidRPr="00C9680B">
      <w:fldChar w:fldCharType="end"/>
    </w:r>
    <w:r w:rsidRPr="00C9680B">
      <w:instrText xml:space="preserve">/2) </w:instrText>
    </w:r>
    <w:r w:rsidRPr="00C9680B">
      <w:fldChar w:fldCharType="separate"/>
    </w:r>
    <w:r w:rsidRPr="00C9680B">
      <w:instrText>297</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170</w:instrText>
    </w:r>
    <w:r w:rsidRPr="00C9680B">
      <w:fldChar w:fldCharType="end"/>
    </w:r>
  </w:p>
  <w:p w:rsidR="001C7BF9" w:rsidRPr="00C9680B" w:rsidRDefault="001C7BF9">
    <w:pPr>
      <w:pStyle w:val="SidfotH"/>
      <w:framePr w:w="8957" w:h="283" w:hRule="exact" w:hSpace="0" w:vSpace="0" w:wrap="around" w:xAlign="inside" w:y="13040"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595</w:instrText>
    </w:r>
    <w:r w:rsidRPr="00C9680B">
      <w:fldChar w:fldCharType="end"/>
    </w:r>
    <w:r w:rsidRPr="00C9680B">
      <w:instrText>"</w:instrText>
    </w:r>
    <w:r w:rsidRPr="00C9680B">
      <w:fldChar w:fldCharType="separate"/>
    </w:r>
    <w:r w:rsidRPr="00C9680B">
      <w:t>595</w:t>
    </w:r>
    <w:r w:rsidRPr="00C9680B">
      <w:fldChar w:fldCharType="end"/>
    </w:r>
  </w:p>
  <w:p w:rsidR="001C7BF9" w:rsidRPr="00C9680B" w:rsidRDefault="001C7BF9">
    <w:pPr>
      <w:pStyle w:val="Sidfot"/>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2</w:t>
    </w:r>
    <w:r w:rsidRPr="00C9680B">
      <w:fldChar w:fldCharType="end"/>
    </w:r>
  </w:p>
  <w:p w:rsidR="001C7BF9" w:rsidRPr="00C9680B" w:rsidRDefault="001C7BF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21</w:t>
    </w:r>
    <w:r w:rsidRPr="00C9680B">
      <w:fldChar w:fldCharType="end"/>
    </w:r>
  </w:p>
  <w:p w:rsidR="001C7BF9" w:rsidRPr="00C9680B" w:rsidRDefault="001C7BF9">
    <w:pPr>
      <w:pStyle w:val="Sidfot"/>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H"/>
      <w:framePr w:w="8732" w:h="284" w:hRule="exact" w:hSpace="0" w:vSpace="0" w:wrap="around" w:xAlign="inside" w:y="13042" w:anchorLock="0"/>
    </w:pP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3</w:t>
    </w:r>
    <w:r w:rsidRPr="00C9680B">
      <w:fldChar w:fldCharType="end"/>
    </w:r>
  </w:p>
  <w:p w:rsidR="001C7BF9" w:rsidRPr="00C9680B" w:rsidRDefault="001C7BF9">
    <w:pPr>
      <w:pStyle w:val="Sidfot"/>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637</w:instrText>
    </w:r>
    <w:r w:rsidRPr="00C9680B">
      <w:fldChar w:fldCharType="end"/>
    </w:r>
    <w:r w:rsidRPr="00C9680B">
      <w:instrText xml:space="preserve">/2 </w:instrText>
    </w:r>
    <w:r w:rsidRPr="00C9680B">
      <w:fldChar w:fldCharType="separate"/>
    </w:r>
    <w:r w:rsidRPr="00C9680B">
      <w:instrText>318,5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637</w:instrText>
    </w:r>
    <w:r w:rsidRPr="00C9680B">
      <w:fldChar w:fldCharType="end"/>
    </w:r>
    <w:r w:rsidRPr="00C9680B">
      <w:instrText xml:space="preserve">/2) </w:instrText>
    </w:r>
    <w:r w:rsidRPr="00C9680B">
      <w:fldChar w:fldCharType="separate"/>
    </w:r>
    <w:r w:rsidRPr="00C9680B">
      <w:instrText>318</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426</w:instrText>
    </w:r>
    <w:r w:rsidRPr="00C9680B">
      <w:fldChar w:fldCharType="end"/>
    </w:r>
  </w:p>
  <w:p w:rsidR="001C7BF9" w:rsidRPr="00C9680B" w:rsidRDefault="001C7BF9">
    <w:pPr>
      <w:pStyle w:val="SidfotH"/>
      <w:framePr w:w="8732" w:h="284" w:hRule="exact" w:hSpace="0" w:vSpace="0" w:wrap="around" w:xAlign="inside" w:y="13042"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637</w:instrText>
    </w:r>
    <w:r w:rsidRPr="00C9680B">
      <w:fldChar w:fldCharType="end"/>
    </w:r>
    <w:r w:rsidRPr="00C9680B">
      <w:instrText>"</w:instrText>
    </w:r>
    <w:r w:rsidRPr="00C9680B">
      <w:fldChar w:fldCharType="separate"/>
    </w:r>
    <w:r w:rsidRPr="00C9680B">
      <w:t>637</w:t>
    </w:r>
    <w:r w:rsidRPr="00C9680B">
      <w:fldChar w:fldCharType="end"/>
    </w:r>
  </w:p>
  <w:p w:rsidR="001C7BF9" w:rsidRPr="00C9680B" w:rsidRDefault="001C7BF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fotV"/>
      <w:framePr w:w="8732" w:h="284" w:hRule="exact" w:hSpace="0" w:vSpace="0" w:wrap="around" w:xAlign="inside" w:y="13042" w:anchorLock="0"/>
    </w:pP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14</w:instrText>
    </w:r>
    <w:r w:rsidRPr="00C9680B">
      <w:fldChar w:fldCharType="end"/>
    </w:r>
    <w:r w:rsidRPr="00C9680B">
      <w:instrText xml:space="preserve">/2 </w:instrText>
    </w:r>
    <w:r w:rsidRPr="00C9680B">
      <w:fldChar w:fldCharType="separate"/>
    </w:r>
    <w:r w:rsidRPr="00C9680B">
      <w:instrText>7</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14</w:instrText>
    </w:r>
    <w:r w:rsidRPr="00C9680B">
      <w:fldChar w:fldCharType="end"/>
    </w:r>
    <w:r w:rsidRPr="00C9680B">
      <w:instrText xml:space="preserve">/2) </w:instrText>
    </w:r>
    <w:r w:rsidRPr="00C9680B">
      <w:fldChar w:fldCharType="separate"/>
    </w:r>
    <w:r w:rsidRPr="00C9680B">
      <w:instrText>7</w:instrText>
    </w:r>
    <w:r w:rsidRPr="00C9680B">
      <w:fldChar w:fldCharType="end"/>
    </w:r>
    <w:r w:rsidRPr="00C9680B">
      <w:fldChar w:fldCharType="separate"/>
    </w:r>
    <w:r w:rsidRPr="00C9680B">
      <w:instrText>0</w:instrText>
    </w:r>
    <w:r w:rsidRPr="00C9680B">
      <w:fldChar w:fldCharType="end"/>
    </w:r>
    <w:r w:rsidRPr="00C9680B">
      <w:instrText xml:space="preserve"> = 0 "</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14</w:instrText>
    </w:r>
    <w:r w:rsidRPr="00C9680B">
      <w:fldChar w:fldCharType="end"/>
    </w:r>
  </w:p>
  <w:p w:rsidR="001C7BF9" w:rsidRPr="00C9680B" w:rsidRDefault="001C7BF9">
    <w:pPr>
      <w:pStyle w:val="SidfotV"/>
      <w:framePr w:w="8732" w:h="284" w:hRule="exact" w:hSpace="0" w:vSpace="0" w:wrap="around" w:xAlign="inside" w:y="13042" w:anchorLock="0"/>
    </w:pPr>
    <w:r w:rsidRPr="00C9680B">
      <w:instrText>""</w:instrText>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instrText>13</w:instrText>
    </w:r>
    <w:r w:rsidRPr="00C9680B">
      <w:fldChar w:fldCharType="end"/>
    </w:r>
    <w:r w:rsidRPr="00C9680B">
      <w:instrText>"</w:instrText>
    </w:r>
    <w:r w:rsidRPr="00C9680B">
      <w:fldChar w:fldCharType="separate"/>
    </w:r>
    <w:r w:rsidRPr="00C9680B">
      <w:fldChar w:fldCharType="begin" w:fldLock="1"/>
    </w:r>
    <w:r w:rsidRPr="00C9680B">
      <w:instrText xml:space="preserve"> P</w:instrText>
    </w:r>
    <w:r w:rsidRPr="00C9680B">
      <w:instrText>A</w:instrText>
    </w:r>
    <w:r w:rsidRPr="00C9680B">
      <w:instrText xml:space="preserve">GE </w:instrText>
    </w:r>
    <w:r w:rsidRPr="00C9680B">
      <w:fldChar w:fldCharType="separate"/>
    </w:r>
    <w:r w:rsidRPr="00C9680B">
      <w:t>14</w:t>
    </w:r>
    <w:r w:rsidRPr="00C9680B">
      <w:fldChar w:fldCharType="end"/>
    </w:r>
  </w:p>
  <w:p w:rsidR="001C7BF9" w:rsidRPr="00C9680B" w:rsidRDefault="001C7BF9">
    <w:pPr>
      <w:pStyle w:val="SidfotH"/>
      <w:framePr w:w="8732" w:h="284" w:hRule="exact" w:hSpace="0" w:vSpace="0" w:wrap="around" w:xAlign="inside" w:y="13042" w:anchorLock="0"/>
    </w:pPr>
    <w:r w:rsidRPr="00C9680B">
      <w:fldChar w:fldCharType="end"/>
    </w:r>
  </w:p>
  <w:p w:rsidR="001C7BF9" w:rsidRPr="00C9680B" w:rsidRDefault="001C7B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7BF9" w:rsidRPr="00C9680B" w:rsidRDefault="001C7BF9">
      <w:pPr>
        <w:pStyle w:val="Sidfot"/>
      </w:pPr>
    </w:p>
  </w:footnote>
  <w:footnote w:type="continuationSeparator" w:id="0">
    <w:p w:rsidR="001C7BF9" w:rsidRPr="00C9680B" w:rsidRDefault="001C7BF9">
      <w:pPr>
        <w:spacing w:before="0" w:line="240" w:lineRule="auto"/>
      </w:pPr>
      <w:r w:rsidRPr="00C9680B">
        <w:continuationSeparator/>
      </w:r>
    </w:p>
  </w:footnote>
  <w:footnote w:id="1">
    <w:p w:rsidR="001C7BF9" w:rsidRPr="00C9680B" w:rsidRDefault="001C7BF9">
      <w:pPr>
        <w:pStyle w:val="Fotnotstext"/>
      </w:pPr>
      <w:r w:rsidRPr="00C9680B">
        <w:rPr>
          <w:rStyle w:val="Fotnotsreferens"/>
        </w:rPr>
        <w:footnoteRef/>
      </w:r>
      <w:r w:rsidRPr="00C9680B">
        <w:t xml:space="preserve">  Motion 1999/2000:Fi13 (kd) yrkande 7, 1999/2000:FiU20 s. 84–89.</w:t>
      </w:r>
    </w:p>
  </w:footnote>
  <w:footnote w:id="2">
    <w:p w:rsidR="001C7BF9" w:rsidRPr="00C9680B" w:rsidRDefault="001C7BF9">
      <w:pPr>
        <w:pStyle w:val="Fotnotstext"/>
      </w:pPr>
      <w:r w:rsidRPr="00C9680B">
        <w:rPr>
          <w:rStyle w:val="Fotnotsreferens"/>
        </w:rPr>
        <w:footnoteRef/>
      </w:r>
      <w:r w:rsidRPr="00C9680B">
        <w:t xml:space="preserve"> Senaste lydelse 1999:1254.</w:t>
      </w:r>
    </w:p>
  </w:footnote>
  <w:footnote w:id="3">
    <w:p w:rsidR="001C7BF9" w:rsidRPr="00C9680B" w:rsidRDefault="001C7BF9">
      <w:pPr>
        <w:pStyle w:val="Fotnotstext"/>
      </w:pPr>
      <w:r w:rsidRPr="00C9680B">
        <w:rPr>
          <w:rStyle w:val="Fotnotsreferens"/>
        </w:rPr>
        <w:footnoteRef/>
      </w:r>
      <w:r w:rsidRPr="00C9680B">
        <w:t xml:space="preserve"> Senaste lydelse 1999:962.</w:t>
      </w:r>
    </w:p>
  </w:footnote>
  <w:footnote w:id="4">
    <w:p w:rsidR="001C7BF9" w:rsidRPr="00C9680B" w:rsidRDefault="001C7BF9">
      <w:pPr>
        <w:pStyle w:val="Fotnotstext"/>
      </w:pPr>
      <w:r w:rsidRPr="00C9680B">
        <w:rPr>
          <w:rStyle w:val="Fotnotsreferens"/>
        </w:rPr>
        <w:footnoteRef/>
      </w:r>
      <w:r w:rsidRPr="00C9680B">
        <w:t xml:space="preserve"> Senaste lydelse 1999:966.</w:t>
      </w:r>
    </w:p>
  </w:footnote>
  <w:footnote w:id="5">
    <w:p w:rsidR="001C7BF9" w:rsidRPr="00C9680B" w:rsidRDefault="001C7BF9">
      <w:pPr>
        <w:pStyle w:val="Fotnotstext"/>
      </w:pPr>
      <w:r w:rsidRPr="00C9680B">
        <w:rPr>
          <w:rStyle w:val="Fotnotsreferens"/>
        </w:rPr>
        <w:footnoteRef/>
      </w:r>
      <w:r w:rsidRPr="00C9680B">
        <w:t xml:space="preserve"> Senaste lydelse av lagens rubrik 1997:936.</w:t>
      </w:r>
    </w:p>
  </w:footnote>
  <w:footnote w:id="6">
    <w:p w:rsidR="001C7BF9" w:rsidRPr="00C9680B" w:rsidRDefault="001C7BF9">
      <w:pPr>
        <w:pStyle w:val="Fotnotstext"/>
      </w:pPr>
      <w:r w:rsidRPr="00C9680B">
        <w:rPr>
          <w:rStyle w:val="Fotnotsreferens"/>
        </w:rPr>
        <w:footnoteRef/>
      </w:r>
      <w:r w:rsidRPr="00C9680B">
        <w:t xml:space="preserve"> Senaste lydelse 1998:680.</w:t>
      </w:r>
    </w:p>
  </w:footnote>
  <w:footnote w:id="7">
    <w:p w:rsidR="001C7BF9" w:rsidRPr="00C9680B" w:rsidRDefault="001C7BF9">
      <w:pPr>
        <w:pStyle w:val="Fotnotstext"/>
      </w:pPr>
      <w:r w:rsidRPr="00C9680B">
        <w:rPr>
          <w:rStyle w:val="Fotnotsreferens"/>
        </w:rPr>
        <w:footnoteRef/>
      </w:r>
      <w:r w:rsidRPr="00C9680B">
        <w:t xml:space="preserve"> Lagens rubrik enligt prop. 1999/2000:138. </w:t>
      </w:r>
    </w:p>
  </w:footnote>
  <w:footnote w:id="8">
    <w:p w:rsidR="001C7BF9" w:rsidRPr="00C9680B" w:rsidRDefault="001C7BF9">
      <w:pPr>
        <w:pStyle w:val="Fotnotstext"/>
      </w:pPr>
      <w:r w:rsidRPr="00C9680B">
        <w:rPr>
          <w:rStyle w:val="Fotnotsreferens"/>
        </w:rPr>
        <w:footnoteRef/>
      </w:r>
      <w:r w:rsidRPr="00C9680B">
        <w:t xml:space="preserve"> Lydelse enligt prop. 1999/2000:138.</w:t>
      </w:r>
    </w:p>
  </w:footnote>
  <w:footnote w:id="9">
    <w:p w:rsidR="001C7BF9" w:rsidRPr="00C9680B" w:rsidRDefault="001C7BF9">
      <w:pPr>
        <w:pStyle w:val="Fotnotstext"/>
      </w:pPr>
      <w:r w:rsidRPr="00C9680B">
        <w:rPr>
          <w:rStyle w:val="Fotnotsreferens"/>
        </w:rPr>
        <w:footnoteRef/>
      </w:r>
      <w:r w:rsidRPr="00C9680B">
        <w:t xml:space="preserve"> Senaste lydelse 1999:1298.</w:t>
      </w:r>
    </w:p>
  </w:footnote>
  <w:footnote w:id="10">
    <w:p w:rsidR="001C7BF9" w:rsidRPr="00C9680B" w:rsidRDefault="001C7BF9">
      <w:pPr>
        <w:pStyle w:val="Fotnotstext"/>
      </w:pPr>
      <w:r w:rsidRPr="00C9680B">
        <w:rPr>
          <w:rStyle w:val="Fotnotsreferens"/>
        </w:rPr>
        <w:footnoteRef/>
      </w:r>
      <w:r w:rsidRPr="00C9680B">
        <w:t xml:space="preserve"> Senaste lydelse 1999:1324.</w:t>
      </w:r>
    </w:p>
  </w:footnote>
  <w:footnote w:id="11">
    <w:p w:rsidR="001C7BF9" w:rsidRPr="00C9680B" w:rsidRDefault="001C7BF9">
      <w:pPr>
        <w:pStyle w:val="Fotnotstext"/>
      </w:pPr>
      <w:r w:rsidRPr="00C9680B">
        <w:rPr>
          <w:rStyle w:val="Fotnotsreferens"/>
        </w:rPr>
        <w:footnoteRef/>
      </w:r>
      <w:r w:rsidRPr="00C9680B">
        <w:t xml:space="preserve"> Senaste lydelse 1999:1063.</w:t>
      </w:r>
    </w:p>
  </w:footnote>
  <w:footnote w:id="12">
    <w:p w:rsidR="001C7BF9" w:rsidRPr="00C9680B" w:rsidRDefault="001C7BF9">
      <w:pPr>
        <w:pStyle w:val="Fotnotstext"/>
      </w:pPr>
      <w:r w:rsidRPr="00C9680B">
        <w:rPr>
          <w:rStyle w:val="Fotnotsreferens"/>
        </w:rPr>
        <w:footnoteRef/>
      </w:r>
      <w:r w:rsidRPr="00C9680B">
        <w:t xml:space="preserve"> Senaste lydelse 2000:484.</w:t>
      </w:r>
    </w:p>
  </w:footnote>
  <w:footnote w:id="13">
    <w:p w:rsidR="001C7BF9" w:rsidRPr="00C9680B" w:rsidRDefault="001C7BF9">
      <w:pPr>
        <w:pStyle w:val="Fotnotstext"/>
      </w:pPr>
      <w:r w:rsidRPr="00C9680B">
        <w:rPr>
          <w:rStyle w:val="Fotnotsreferens"/>
        </w:rPr>
        <w:footnoteRef/>
      </w:r>
      <w:r w:rsidRPr="00C9680B">
        <w:t xml:space="preserve"> Senaste lydelse 1998:1699.</w:t>
      </w:r>
    </w:p>
  </w:footnote>
  <w:footnote w:id="14">
    <w:p w:rsidR="001C7BF9" w:rsidRPr="00C9680B" w:rsidRDefault="001C7BF9">
      <w:pPr>
        <w:pStyle w:val="Fotnotstext"/>
      </w:pPr>
      <w:r w:rsidRPr="00C9680B">
        <w:rPr>
          <w:rStyle w:val="Fotnotsreferens"/>
        </w:rPr>
        <w:footnoteRef/>
      </w:r>
      <w:r w:rsidRPr="00C9680B">
        <w:t xml:space="preserve"> Senaste lydelse 2000:484.</w:t>
      </w:r>
    </w:p>
  </w:footnote>
  <w:footnote w:id="15">
    <w:p w:rsidR="001C7BF9" w:rsidRPr="00C9680B" w:rsidRDefault="001C7BF9">
      <w:pPr>
        <w:pStyle w:val="Fotnotstext"/>
      </w:pPr>
      <w:r w:rsidRPr="00C9680B">
        <w:rPr>
          <w:rStyle w:val="Fotnotsreferens"/>
        </w:rPr>
        <w:footnoteRef/>
      </w:r>
      <w:r w:rsidRPr="00C9680B">
        <w:t xml:space="preserve"> Senaste lydelse 2000:484.</w:t>
      </w:r>
    </w:p>
  </w:footnote>
  <w:footnote w:id="16">
    <w:p w:rsidR="001C7BF9" w:rsidRPr="00C9680B" w:rsidRDefault="001C7BF9">
      <w:pPr>
        <w:pStyle w:val="Fotnotstext"/>
      </w:pPr>
      <w:r w:rsidRPr="00C9680B">
        <w:rPr>
          <w:rStyle w:val="Fotnotsreferens"/>
        </w:rPr>
        <w:footnoteRef/>
      </w:r>
      <w:r w:rsidRPr="00C9680B">
        <w:t xml:space="preserve"> Senaste lydelse 1999:1063.</w:t>
      </w:r>
    </w:p>
  </w:footnote>
  <w:footnote w:id="17">
    <w:p w:rsidR="001C7BF9" w:rsidRPr="00C9680B" w:rsidRDefault="001C7BF9">
      <w:pPr>
        <w:pStyle w:val="Fotnotstext"/>
      </w:pPr>
      <w:r w:rsidRPr="00C9680B">
        <w:rPr>
          <w:rStyle w:val="Fotnotsreferens"/>
        </w:rPr>
        <w:footnoteRef/>
      </w:r>
      <w:r w:rsidRPr="00C9680B">
        <w:t xml:space="preserve"> Senaste lydelse 1999:1323.</w:t>
      </w:r>
    </w:p>
  </w:footnote>
  <w:footnote w:id="18">
    <w:p w:rsidR="001C7BF9" w:rsidRPr="00C9680B" w:rsidRDefault="001C7BF9">
      <w:pPr>
        <w:pStyle w:val="Fotnotstext"/>
      </w:pPr>
      <w:r w:rsidRPr="00C9680B">
        <w:rPr>
          <w:rStyle w:val="Fotnotsreferens"/>
        </w:rPr>
        <w:footnoteRef/>
      </w:r>
      <w:r w:rsidRPr="00C9680B">
        <w:t xml:space="preserve"> Senaste lydelse 1999:1065.</w:t>
      </w:r>
    </w:p>
  </w:footnote>
  <w:footnote w:id="19">
    <w:p w:rsidR="001C7BF9" w:rsidRPr="00C9680B" w:rsidRDefault="001C7BF9">
      <w:pPr>
        <w:pStyle w:val="Fotnotstext"/>
      </w:pPr>
      <w:r w:rsidRPr="00C9680B">
        <w:rPr>
          <w:rStyle w:val="Fotnotsreferens"/>
        </w:rPr>
        <w:footnoteRef/>
      </w:r>
      <w:r w:rsidRPr="00C9680B">
        <w:t xml:space="preserve"> Senaste lydelse 2000:544.</w:t>
      </w:r>
    </w:p>
  </w:footnote>
  <w:footnote w:id="20">
    <w:p w:rsidR="001C7BF9" w:rsidRPr="00C9680B" w:rsidRDefault="001C7BF9">
      <w:pPr>
        <w:pStyle w:val="Fotnotstext"/>
      </w:pPr>
      <w:r w:rsidRPr="00C9680B">
        <w:rPr>
          <w:rStyle w:val="Fotnotsreferens"/>
        </w:rPr>
        <w:footnoteRef/>
      </w:r>
      <w:r w:rsidRPr="00C9680B">
        <w:t xml:space="preserve"> Senaste lydelse 2000:545.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r w:rsidRPr="00C9680B">
      <w:t xml:space="preserve">     </w:t>
    </w:r>
    <w:r w:rsidRPr="00C9680B">
      <w:rPr>
        <w:rStyle w:val="SidhuvudBilaga"/>
      </w:rPr>
      <w:t xml:space="preserve"> </w:t>
    </w: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Sammanfattning</w:t>
    </w:r>
    <w:r w:rsidRPr="00C9680B">
      <w:rPr>
        <w:rStyle w:val="SidhuvudRubrikReferens"/>
      </w:rPr>
      <w:fldChar w:fldCharType="end"/>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624" w:h="5896" w:hRule="exact" w:vSpace="0" w:wrap="around" w:vAnchor="page" w:x="15960" w:y="2949" w:anchorLock="0"/>
      <w:textDirection w:val="tbRl"/>
    </w:pPr>
    <w:r w:rsidRPr="00C9680B">
      <w:rPr>
        <w:rStyle w:val="SidhuvudUtskott"/>
      </w:rPr>
      <w:t>2000/01:FiU1</w:t>
    </w:r>
    <w:r w:rsidRPr="00C9680B">
      <w:t xml:space="preserve">     </w:t>
    </w:r>
    <w:r w:rsidRPr="00C9680B">
      <w:rPr>
        <w:rStyle w:val="SidhuvudBilaga"/>
      </w:rPr>
      <w:t xml:space="preserve"> </w:t>
    </w:r>
    <w:r w:rsidRPr="00C9680B">
      <w:rPr>
        <w:rStyle w:val="SidhuvudRubrikReferens"/>
      </w:rPr>
      <w:t>Utskottets förslag till riksdagsbeslut</w:t>
    </w:r>
  </w:p>
  <w:p w:rsidR="001C7BF9" w:rsidRPr="00C9680B" w:rsidRDefault="001C7BF9">
    <w:pPr>
      <w:pStyle w:val="SidhuvudKantJmn"/>
      <w:framePr w:w="624" w:h="5896" w:hRule="exact" w:vSpace="0" w:wrap="around" w:vAnchor="page" w:x="15960" w:y="2949" w:anchorLock="0"/>
      <w:textDirection w:val="tbRl"/>
    </w:pPr>
  </w:p>
  <w:p w:rsidR="001C7BF9" w:rsidRPr="00C9680B" w:rsidRDefault="001C7BF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624" w:h="5896" w:hRule="exact" w:vSpace="0" w:wrap="around" w:vAnchor="page" w:x="15960" w:y="2949" w:anchorLock="0"/>
      <w:textDirection w:val="tbRl"/>
    </w:pPr>
    <w:r w:rsidRPr="00C9680B">
      <w:rPr>
        <w:rStyle w:val="SidhuvudRubrikReferens"/>
      </w:rPr>
      <w:t>Utskottets förslag till riksdagsbeslut</w:t>
    </w:r>
    <w:r w:rsidRPr="00C9680B">
      <w:rPr>
        <w:rStyle w:val="SidhuvudBilaga"/>
      </w:rPr>
      <w:t xml:space="preserve"> </w:t>
    </w:r>
    <w:r w:rsidRPr="00C9680B">
      <w:t xml:space="preserve">     </w:t>
    </w:r>
    <w:r w:rsidRPr="00C9680B">
      <w:rPr>
        <w:rStyle w:val="SidhuvudUtskott"/>
      </w:rPr>
      <w:t>2000/01:FiU1</w:t>
    </w:r>
  </w:p>
  <w:p w:rsidR="001C7BF9" w:rsidRPr="00C9680B" w:rsidRDefault="001C7BF9">
    <w:pPr>
      <w:pStyle w:val="SidhuvudKantUdda"/>
      <w:framePr w:w="624" w:h="5896" w:hRule="exact" w:vSpace="0" w:wrap="around" w:vAnchor="page" w:x="15960" w:y="2949" w:anchorLock="0"/>
      <w:textDirection w:val="tbRl"/>
    </w:pPr>
  </w:p>
  <w:p w:rsidR="001C7BF9" w:rsidRPr="00C9680B" w:rsidRDefault="001C7BF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624" w:h="5896" w:hRule="exact" w:vSpace="0" w:wrap="around" w:vAnchor="page" w:x="15960" w:y="2949" w:anchorLock="0"/>
      <w:textDirection w:val="tbRl"/>
    </w:pPr>
    <w:r w:rsidRPr="00C9680B">
      <w:rPr>
        <w:rStyle w:val="SidhuvudUtskott"/>
      </w:rPr>
      <w:t>2000/01:FiU1</w:t>
    </w:r>
    <w:r w:rsidRPr="00C9680B">
      <w:t xml:space="preserve">    </w:t>
    </w:r>
  </w:p>
  <w:p w:rsidR="001C7BF9" w:rsidRPr="00C9680B" w:rsidRDefault="001C7BF9">
    <w:pPr>
      <w:pStyle w:val="SidhuvudKantJmn"/>
      <w:framePr w:w="624" w:h="5896" w:hRule="exact" w:vSpace="0" w:wrap="around" w:vAnchor="page" w:x="15960" w:y="2949" w:anchorLock="0"/>
      <w:textDirection w:val="tbRl"/>
    </w:pPr>
  </w:p>
  <w:p w:rsidR="001C7BF9" w:rsidRPr="00C9680B" w:rsidRDefault="001C7BF9">
    <w:pPr>
      <w:pStyle w:val="SidhuvudKantUdda"/>
      <w:framePr w:w="624" w:h="5896" w:hRule="exact" w:vSpace="0" w:wrap="around" w:vAnchor="page" w:x="15960" w:y="2949" w:anchorLock="0"/>
      <w:textDirection w:val="tbRl"/>
    </w:pPr>
    <w:r w:rsidRPr="00C9680B">
      <w:rPr>
        <w:rStyle w:val="SidhuvudRubrikReferens"/>
        <w:smallCaps w:val="0"/>
        <w:spacing w:val="0"/>
        <w:sz w:val="19"/>
      </w:rPr>
      <w:t xml:space="preserve"> </w:t>
    </w:r>
  </w:p>
  <w:p w:rsidR="001C7BF9" w:rsidRPr="00C9680B" w:rsidRDefault="001C7BF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t>2000/01:FiU1</w:t>
    </w:r>
    <w:r w:rsidRPr="00C9680B">
      <w:t xml:space="preserve">     </w:t>
    </w:r>
    <w:r w:rsidRPr="00C9680B">
      <w:rPr>
        <w:rStyle w:val="SidhuvudBilaga"/>
      </w:rPr>
      <w:t xml:space="preserve"> </w:t>
    </w:r>
    <w:r w:rsidRPr="00C9680B">
      <w:rPr>
        <w:rStyle w:val="SidhuvudRubrikReferens"/>
      </w:rPr>
      <w:t>Utskottets förslag till riksdagsbeslut</w:t>
    </w:r>
  </w:p>
  <w:p w:rsidR="001C7BF9" w:rsidRPr="00C9680B" w:rsidRDefault="001C7BF9">
    <w:pPr>
      <w:pStyle w:val="SidhuvudKantJmn"/>
      <w:framePr w:w="8732" w:h="567" w:hRule="exact" w:vSpace="0" w:wrap="around" w:vAnchor="page" w:y="341" w:anchorLock="0"/>
    </w:pPr>
  </w:p>
  <w:p w:rsidR="001C7BF9" w:rsidRPr="00C9680B" w:rsidRDefault="001C7BF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732" w:h="567" w:hRule="exact" w:vSpace="0" w:wrap="around" w:vAnchor="page" w:y="341" w:anchorLock="0"/>
    </w:pPr>
    <w:r w:rsidRPr="00C9680B">
      <w:rPr>
        <w:rStyle w:val="SidhuvudRubrikReferens"/>
      </w:rPr>
      <w:t>Utskottets förslag till riksdagsbeslut</w:t>
    </w:r>
    <w:r w:rsidRPr="00C9680B">
      <w:rPr>
        <w:rStyle w:val="SidhuvudBilaga"/>
      </w:rPr>
      <w:t xml:space="preserve"> </w:t>
    </w:r>
    <w:r w:rsidRPr="00C9680B">
      <w:t xml:space="preserve">     </w:t>
    </w:r>
    <w:r w:rsidRPr="00C9680B">
      <w:rPr>
        <w:rStyle w:val="SidhuvudUtskott"/>
      </w:rPr>
      <w:t>2000/01:FiU1</w:t>
    </w:r>
  </w:p>
  <w:p w:rsidR="001C7BF9" w:rsidRPr="00C9680B" w:rsidRDefault="001C7BF9">
    <w:pPr>
      <w:pStyle w:val="SidhuvudKantUdda"/>
      <w:framePr w:w="8732" w:h="567" w:hRule="exact" w:vSpace="0" w:wrap="around" w:vAnchor="page" w:y="341" w:anchorLock="0"/>
    </w:pPr>
  </w:p>
  <w:p w:rsidR="001C7BF9" w:rsidRPr="00C9680B" w:rsidRDefault="001C7BF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t>2000/01:FiU1</w:t>
    </w:r>
    <w:r w:rsidRPr="00C9680B">
      <w:t xml:space="preserve">    </w:t>
    </w:r>
  </w:p>
  <w:p w:rsidR="001C7BF9" w:rsidRPr="00C9680B" w:rsidRDefault="001C7BF9">
    <w:pPr>
      <w:pStyle w:val="SidhuvudKantJmn"/>
      <w:framePr w:w="8732" w:h="567" w:hRule="exact" w:vSpace="0" w:wrap="around" w:vAnchor="page" w:y="341" w:anchorLock="0"/>
    </w:pPr>
  </w:p>
  <w:p w:rsidR="001C7BF9" w:rsidRPr="00C9680B" w:rsidRDefault="001C7BF9">
    <w:pPr>
      <w:pStyle w:val="SidhuvudKantUdda"/>
      <w:framePr w:w="8732" w:h="567" w:hRule="exact" w:vSpace="0" w:wrap="around" w:vAnchor="page" w:y="341" w:anchorLock="0"/>
    </w:pPr>
    <w:r w:rsidRPr="00C9680B">
      <w:rPr>
        <w:rStyle w:val="SidhuvudRubrikReferens"/>
        <w:smallCaps w:val="0"/>
        <w:spacing w:val="0"/>
        <w:sz w:val="19"/>
      </w:rPr>
      <w:t xml:space="preserve"> </w:t>
    </w:r>
  </w:p>
  <w:p w:rsidR="001C7BF9" w:rsidRPr="00C9680B" w:rsidRDefault="001C7BF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t>2000/01:FiU1</w:t>
    </w:r>
    <w:r w:rsidRPr="00C9680B">
      <w:t xml:space="preserve">     </w:t>
    </w:r>
    <w:r w:rsidRPr="00C9680B">
      <w:rPr>
        <w:rStyle w:val="SidhuvudBilaga"/>
      </w:rPr>
      <w:t xml:space="preserve"> </w:t>
    </w:r>
    <w:r w:rsidRPr="00C9680B">
      <w:rPr>
        <w:rStyle w:val="SidhuvudRubrikReferens"/>
      </w:rPr>
      <w:t>Redogörelse för ärendet</w:t>
    </w:r>
  </w:p>
  <w:p w:rsidR="001C7BF9" w:rsidRPr="00C9680B" w:rsidRDefault="001C7BF9">
    <w:pPr>
      <w:pStyle w:val="SidhuvudKantJmn"/>
      <w:framePr w:w="8732" w:h="567" w:hRule="exact" w:vSpace="0" w:wrap="around" w:vAnchor="page" w:y="341" w:anchorLock="0"/>
    </w:pPr>
  </w:p>
  <w:p w:rsidR="001C7BF9" w:rsidRPr="00C9680B" w:rsidRDefault="001C7BF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732" w:h="567" w:hRule="exact" w:vSpace="0" w:wrap="around" w:vAnchor="page" w:y="341" w:anchorLock="0"/>
    </w:pPr>
    <w:r w:rsidRPr="00C9680B">
      <w:rPr>
        <w:rStyle w:val="SidhuvudRubrikReferens"/>
      </w:rPr>
      <w:t>Redogörelse för ärendet</w:t>
    </w:r>
    <w:r w:rsidRPr="00C9680B">
      <w:rPr>
        <w:rStyle w:val="SidhuvudBilaga"/>
      </w:rPr>
      <w:t xml:space="preserve"> </w:t>
    </w:r>
    <w:r w:rsidRPr="00C9680B">
      <w:t xml:space="preserve">     </w:t>
    </w:r>
    <w:r w:rsidRPr="00C9680B">
      <w:rPr>
        <w:rStyle w:val="SidhuvudUtskott"/>
      </w:rPr>
      <w:t>2000/01:FiU1</w:t>
    </w:r>
  </w:p>
  <w:p w:rsidR="001C7BF9" w:rsidRPr="00C9680B" w:rsidRDefault="001C7BF9">
    <w:pPr>
      <w:pStyle w:val="SidhuvudKantUdda"/>
      <w:framePr w:w="8732" w:h="567" w:hRule="exact" w:vSpace="0" w:wrap="around" w:vAnchor="page" w:y="341" w:anchorLock="0"/>
    </w:pPr>
  </w:p>
  <w:p w:rsidR="001C7BF9" w:rsidRPr="00C9680B" w:rsidRDefault="001C7BF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t>2000/01:FiU1</w:t>
    </w:r>
    <w:r w:rsidRPr="00C9680B">
      <w:t xml:space="preserve">    </w:t>
    </w:r>
  </w:p>
  <w:p w:rsidR="001C7BF9" w:rsidRPr="00C9680B" w:rsidRDefault="001C7BF9">
    <w:pPr>
      <w:pStyle w:val="SidhuvudKantJmn"/>
      <w:framePr w:w="8732" w:h="567" w:hRule="exact" w:vSpace="0" w:wrap="around" w:vAnchor="page" w:y="341" w:anchorLock="0"/>
    </w:pPr>
  </w:p>
  <w:p w:rsidR="001C7BF9" w:rsidRPr="00C9680B" w:rsidRDefault="001C7BF9">
    <w:pPr>
      <w:pStyle w:val="SidhuvudKantUdda"/>
      <w:framePr w:w="8732" w:h="567" w:hRule="exact" w:vSpace="0" w:wrap="around" w:vAnchor="page" w:y="341" w:anchorLock="0"/>
    </w:pPr>
    <w:r w:rsidRPr="00C9680B">
      <w:rPr>
        <w:rStyle w:val="SidhuvudRubrikReferens"/>
        <w:smallCaps w:val="0"/>
        <w:spacing w:val="0"/>
        <w:sz w:val="19"/>
      </w:rPr>
      <w:t xml:space="preserve"> </w:t>
    </w:r>
  </w:p>
  <w:p w:rsidR="001C7BF9" w:rsidRPr="00C9680B" w:rsidRDefault="001C7BF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t>2000/01:FiU1</w:t>
    </w:r>
    <w:r w:rsidRPr="00C9680B">
      <w:t xml:space="preserve">     </w:t>
    </w:r>
    <w:r w:rsidRPr="00C9680B">
      <w:rPr>
        <w:rStyle w:val="SidhuvudBilaga"/>
      </w:rPr>
      <w:t xml:space="preserve"> </w:t>
    </w:r>
    <w:r w:rsidRPr="00C9680B">
      <w:rPr>
        <w:rStyle w:val="SidhuvudRubrikReferens"/>
      </w:rPr>
      <w:t>1 Den ekonomiska politiken</w:t>
    </w:r>
  </w:p>
  <w:p w:rsidR="001C7BF9" w:rsidRPr="00C9680B" w:rsidRDefault="001C7BF9">
    <w:pPr>
      <w:pStyle w:val="SidhuvudKantJmn"/>
      <w:framePr w:w="8732" w:h="567" w:hRule="exact" w:vSpace="0" w:wrap="around" w:vAnchor="page" w:y="341" w:anchorLock="0"/>
    </w:pPr>
  </w:p>
  <w:p w:rsidR="001C7BF9" w:rsidRPr="00C9680B" w:rsidRDefault="001C7BF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732" w:h="567" w:hRule="exact" w:vSpace="0" w:wrap="around" w:vAnchor="page" w:y="341" w:anchorLock="0"/>
    </w:pPr>
    <w:r w:rsidRPr="00C9680B">
      <w:rPr>
        <w:rStyle w:val="SidhuvudRubrikReferens"/>
      </w:rPr>
      <w:t>Sammanfattning</w:t>
    </w:r>
    <w:r w:rsidRPr="00C9680B">
      <w:rPr>
        <w:rStyle w:val="SidhuvudBilaga"/>
      </w:rPr>
      <w:t xml:space="preserve"> </w:t>
    </w:r>
    <w:r w:rsidRPr="00C9680B">
      <w:t xml:space="preserve">     </w:t>
    </w:r>
    <w:r w:rsidRPr="00C9680B">
      <w:rPr>
        <w:rStyle w:val="SidhuvudUtskott"/>
      </w:rPr>
      <w:t>2000/01:FiU1</w:t>
    </w:r>
  </w:p>
  <w:p w:rsidR="001C7BF9" w:rsidRPr="00C9680B" w:rsidRDefault="001C7BF9">
    <w:pPr>
      <w:pStyle w:val="SidhuvudKantUdda"/>
      <w:framePr w:w="8732" w:h="567" w:hRule="exact" w:vSpace="0" w:wrap="around" w:vAnchor="page" w:y="341" w:anchorLock="0"/>
    </w:pPr>
  </w:p>
  <w:p w:rsidR="001C7BF9" w:rsidRPr="00C9680B" w:rsidRDefault="001C7BF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732" w:h="567" w:hRule="exact" w:vSpace="0" w:wrap="around" w:vAnchor="page" w:y="341" w:anchorLock="0"/>
    </w:pPr>
    <w:r w:rsidRPr="00C9680B">
      <w:rPr>
        <w:rStyle w:val="SidhuvudRubrikReferens"/>
      </w:rPr>
      <w:t>1 Den ekonomiska politiken</w:t>
    </w:r>
    <w:r w:rsidRPr="00C9680B">
      <w:rPr>
        <w:rStyle w:val="SidhuvudBilaga"/>
      </w:rPr>
      <w:t xml:space="preserve"> </w:t>
    </w:r>
    <w:r w:rsidRPr="00C9680B">
      <w:t xml:space="preserve">     </w:t>
    </w:r>
    <w:r w:rsidRPr="00C9680B">
      <w:rPr>
        <w:rStyle w:val="SidhuvudUtskott"/>
      </w:rPr>
      <w:t>2000/01:FiU1</w:t>
    </w:r>
  </w:p>
  <w:p w:rsidR="001C7BF9" w:rsidRPr="00C9680B" w:rsidRDefault="001C7BF9">
    <w:pPr>
      <w:pStyle w:val="SidhuvudKantUdda"/>
      <w:framePr w:w="8732" w:h="567" w:hRule="exact" w:vSpace="0" w:wrap="around" w:vAnchor="page" w:y="341" w:anchorLock="0"/>
    </w:pPr>
  </w:p>
  <w:p w:rsidR="001C7BF9" w:rsidRPr="00C9680B" w:rsidRDefault="001C7BF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732" w:h="567" w:hRule="exact" w:vSpace="0" w:wrap="around" w:vAnchor="page" w:y="341" w:anchorLock="0"/>
    </w:pPr>
    <w:r w:rsidRPr="00C9680B">
      <w:t xml:space="preserve">  </w:t>
    </w:r>
    <w:r w:rsidRPr="00C9680B">
      <w:rPr>
        <w:rStyle w:val="SidhuvudUtskott"/>
      </w:rPr>
      <w:t>2000/01:FiU1</w:t>
    </w:r>
  </w:p>
  <w:p w:rsidR="001C7BF9" w:rsidRPr="00C9680B" w:rsidRDefault="001C7BF9">
    <w:pPr>
      <w:pStyle w:val="SidhuvudKantUdda"/>
      <w:framePr w:w="8732" w:h="567" w:hRule="exact" w:vSpace="0" w:wrap="around" w:vAnchor="page" w:y="341" w:anchorLock="0"/>
    </w:pPr>
  </w:p>
  <w:p w:rsidR="001C7BF9" w:rsidRPr="00C9680B" w:rsidRDefault="001C7BF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r w:rsidRPr="00C9680B">
      <w:t xml:space="preserve">     </w:t>
    </w:r>
    <w:r w:rsidRPr="00C9680B">
      <w:rPr>
        <w:rStyle w:val="SidhuvudBilaga"/>
      </w:rPr>
      <w:t xml:space="preserve"> </w:t>
    </w: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4 Utgifter</w:t>
    </w:r>
    <w:r w:rsidRPr="00C9680B">
      <w:rPr>
        <w:rStyle w:val="SidhuvudRubrikReferens"/>
      </w:rPr>
      <w:fldChar w:fldCharType="end"/>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732" w:h="567" w:hRule="exact" w:vSpace="0" w:wrap="around" w:vAnchor="page" w:y="341" w:anchorLock="0"/>
    </w:pP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4 Utgifter</w:t>
    </w:r>
    <w:r w:rsidRPr="00C9680B">
      <w:rPr>
        <w:rStyle w:val="SidhuvudRubrikReferens"/>
      </w:rPr>
      <w:fldChar w:fldCharType="end"/>
    </w:r>
    <w:r w:rsidRPr="00C9680B">
      <w:rPr>
        <w:rStyle w:val="SidhuvudBilaga"/>
      </w:rPr>
      <w:t xml:space="preserve"> </w:t>
    </w:r>
    <w:r w:rsidRPr="00C9680B">
      <w:t xml:space="preserve">     </w: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w:instrText>
    </w:r>
    <w:r w:rsidRPr="00C9680B">
      <w:instrText xml:space="preserve"> </w:instrText>
    </w:r>
    <w:r w:rsidRPr="00C9680B">
      <w:rPr>
        <w:rStyle w:val="SidhuvudUtskott"/>
      </w:rPr>
      <w:instrText>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w:instrText>
    </w:r>
    <w:r w:rsidRPr="00C9680B">
      <w:rPr>
        <w:rStyle w:val="SidhuvudUtskott"/>
      </w:rPr>
      <w:instrText>n</w:instrText>
    </w:r>
    <w:r w:rsidRPr="00C9680B">
      <w:rPr>
        <w:rStyle w:val="SidhuvudUtskott"/>
      </w:rPr>
      <w:instrText>kandeNr</w:instrText>
    </w:r>
    <w:r w:rsidRPr="00C9680B">
      <w:rPr>
        <w:rStyle w:val="SidhuvudUtskott"/>
      </w:rPr>
      <w:fldChar w:fldCharType="separate"/>
    </w:r>
    <w:r w:rsidRPr="00C9680B">
      <w:rPr>
        <w:rStyle w:val="SidhuvudUtskott"/>
      </w:rPr>
      <w:t>1</w: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w:instrText>
    </w:r>
    <w:r w:rsidRPr="00C9680B">
      <w:rPr>
        <w:rStyle w:val="SidhuvudUtskott"/>
      </w:rPr>
      <w:fldChar w:fldCharType="begin" w:fldLock="1"/>
    </w:r>
    <w:r w:rsidRPr="00C9680B">
      <w:rPr>
        <w:rStyle w:val="SidhuvudUtskott"/>
      </w:rPr>
      <w:instrText xml:space="preserve"> PRINTDATE \@ "yyyy-MM-dd HH.mm    "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PERTY Status</w:instrText>
    </w:r>
    <w:r w:rsidRPr="00C9680B">
      <w:rPr>
        <w:rStyle w:val="SidhuvudUtskott"/>
      </w:rPr>
      <w:fldChar w:fldCharType="end"/>
    </w:r>
  </w:p>
  <w:p w:rsidR="001C7BF9" w:rsidRPr="00C9680B" w:rsidRDefault="001C7BF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fldChar w:fldCharType="begin" w:fldLock="1"/>
    </w:r>
    <w:r w:rsidRPr="00C9680B">
      <w:instrText xml:space="preserve"> if </w:instrText>
    </w:r>
    <w:r w:rsidRPr="00C9680B">
      <w:fldChar w:fldCharType="begin" w:fldLock="1"/>
    </w:r>
    <w:r w:rsidRPr="00C9680B">
      <w:instrText xml:space="preserve"> page</w:instrText>
    </w:r>
    <w:r w:rsidRPr="00C9680B">
      <w:fldChar w:fldCharType="separate"/>
    </w:r>
    <w:r w:rsidRPr="00C9680B">
      <w:instrText>214</w:instrText>
    </w:r>
    <w:r w:rsidRPr="00C9680B">
      <w:fldChar w:fldCharType="end"/>
    </w:r>
    <w:r w:rsidRPr="00C9680B">
      <w:instrText xml:space="preserve"> &gt; 1 "</w:instrText>
    </w: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214</w:instrText>
    </w:r>
    <w:r w:rsidRPr="00C9680B">
      <w:fldChar w:fldCharType="end"/>
    </w:r>
    <w:r w:rsidRPr="00C9680B">
      <w:instrText xml:space="preserve">/2 </w:instrText>
    </w:r>
    <w:r w:rsidRPr="00C9680B">
      <w:fldChar w:fldCharType="separate"/>
    </w:r>
    <w:r w:rsidRPr="00C9680B">
      <w:instrText>107</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214</w:instrText>
    </w:r>
    <w:r w:rsidRPr="00C9680B">
      <w:fldChar w:fldCharType="end"/>
    </w:r>
    <w:r w:rsidRPr="00C9680B">
      <w:instrText xml:space="preserve">/2) </w:instrText>
    </w:r>
    <w:r w:rsidRPr="00C9680B">
      <w:fldChar w:fldCharType="separate"/>
    </w:r>
    <w:r w:rsidRPr="00C9680B">
      <w:instrText>107</w:instrText>
    </w:r>
    <w:r w:rsidRPr="00C9680B">
      <w:fldChar w:fldCharType="end"/>
    </w:r>
    <w:r w:rsidRPr="00C9680B">
      <w:fldChar w:fldCharType="separate"/>
    </w:r>
    <w:r w:rsidRPr="00C9680B">
      <w:instrText>0</w:instrText>
    </w:r>
    <w:r w:rsidRPr="00C9680B">
      <w:fldChar w:fldCharType="end"/>
    </w:r>
    <w:r w:rsidRPr="00C9680B">
      <w:instrText xml:space="preserve"> = 0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w:instrText>
    </w:r>
    <w:r w:rsidRPr="00C9680B">
      <w:rPr>
        <w:rStyle w:val="SidhuvudUtskott"/>
      </w:rPr>
      <w:instrText>R</w:instrText>
    </w:r>
    <w:r w:rsidRPr="00C9680B">
      <w:rPr>
        <w:rStyle w:val="SidhuvudUtskott"/>
      </w:rPr>
      <w:instrText>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r w:rsidRPr="00C9680B">
      <w:instrText xml:space="preserve">    </w:instrText>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RubrikReferens"/>
        <w:smallCaps w:val="0"/>
        <w:spacing w:val="0"/>
        <w:sz w:val="19"/>
      </w:rPr>
      <w:instrText xml:space="preserve"> </w:instrText>
    </w:r>
    <w:r w:rsidRPr="00C9680B">
      <w:instrText xml:space="preserve">"  "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w:instrText>
    </w:r>
    <w:r w:rsidRPr="00C9680B">
      <w:rPr>
        <w:rStyle w:val="SidhuvudUtskott"/>
      </w:rPr>
      <w:fldChar w:fldCharType="begin" w:fldLock="1"/>
    </w:r>
    <w:r w:rsidRPr="00C9680B">
      <w:rPr>
        <w:rStyle w:val="SidhuvudUtskott"/>
      </w:rPr>
      <w:instrText xml:space="preserve"> PRINTDATE \@ "yyyy-MM-dd HH.mm    "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PERTY Status</w:instrText>
    </w:r>
    <w:r w:rsidRPr="00C9680B">
      <w:rPr>
        <w:rStyle w:val="SidhuvudUtskott"/>
      </w:rPr>
      <w:fldChar w:fldCharType="end"/>
    </w:r>
    <w:r w:rsidRPr="00C9680B">
      <w:instrText>"</w:instrText>
    </w:r>
    <w:r w:rsidRPr="00C9680B">
      <w:fldChar w:fldCharType="separate"/>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w:instrText>
    </w:r>
    <w:r w:rsidRPr="00C9680B">
      <w:rPr>
        <w:rStyle w:val="SidhuvudUtskott"/>
      </w:rPr>
      <w:instrText>R</w:instrText>
    </w:r>
    <w:r w:rsidRPr="00C9680B">
      <w:rPr>
        <w:rStyle w:val="SidhuvudUtskott"/>
      </w:rPr>
      <w:instrText>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r w:rsidRPr="00C9680B">
      <w:instrText xml:space="preserve">    </w:instrText>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KantJmn"/>
      <w:framePr w:w="8732" w:h="567" w:hRule="exact" w:vSpace="0" w:wrap="around" w:vAnchor="page" w:y="341" w:anchorLock="0"/>
    </w:pPr>
    <w:r w:rsidRPr="00C9680B">
      <w:rPr>
        <w:rStyle w:val="SidhuvudRubrikReferens"/>
        <w:smallCaps w:val="0"/>
        <w:spacing w:val="0"/>
        <w:sz w:val="19"/>
      </w:rPr>
      <w:instrText xml:space="preserve"> </w:instrText>
    </w:r>
    <w:r w:rsidRPr="00C9680B">
      <w:fldChar w:fldCharType="end"/>
    </w:r>
    <w:r w:rsidRPr="00C9680B">
      <w:instrText>" " "</w:instrText>
    </w:r>
    <w:r w:rsidRPr="00C9680B">
      <w:fldChar w:fldCharType="separate"/>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w:instrText>
    </w:r>
    <w:r w:rsidRPr="00C9680B">
      <w:rPr>
        <w:rStyle w:val="SidhuvudUtskott"/>
      </w:rPr>
      <w:instrText>R</w:instrText>
    </w:r>
    <w:r w:rsidRPr="00C9680B">
      <w:rPr>
        <w:rStyle w:val="SidhuvudUtskott"/>
      </w:rPr>
      <w:instrText>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r w:rsidRPr="00C9680B">
      <w:t xml:space="preserve">    </w:t>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RubrikReferens"/>
        <w:smallCaps w:val="0"/>
        <w:spacing w:val="0"/>
        <w:sz w:val="19"/>
      </w:rPr>
      <w:t xml:space="preserve"> </w:t>
    </w:r>
    <w:r w:rsidRPr="00C9680B">
      <w:fldChar w:fldCharType="end"/>
    </w:r>
  </w:p>
  <w:p w:rsidR="001C7BF9" w:rsidRPr="00C9680B" w:rsidRDefault="001C7BF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r w:rsidRPr="00C9680B">
      <w:t xml:space="preserve">     </w:t>
    </w:r>
    <w:r w:rsidRPr="00C9680B">
      <w:rPr>
        <w:rStyle w:val="SidhuvudBilaga"/>
      </w:rPr>
      <w:t xml:space="preserve"> </w:t>
    </w: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6 Övriga frågor</w:t>
    </w:r>
    <w:r w:rsidRPr="00C9680B">
      <w:rPr>
        <w:rStyle w:val="SidhuvudRubrikReferens"/>
      </w:rPr>
      <w:fldChar w:fldCharType="end"/>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732" w:h="567" w:hRule="exact" w:vSpace="0" w:wrap="around" w:vAnchor="page" w:y="341" w:anchorLock="0"/>
    </w:pP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6 Övriga frågor</w:t>
    </w:r>
    <w:r w:rsidRPr="00C9680B">
      <w:rPr>
        <w:rStyle w:val="SidhuvudRubrikReferens"/>
      </w:rPr>
      <w:fldChar w:fldCharType="end"/>
    </w:r>
    <w:r w:rsidRPr="00C9680B">
      <w:rPr>
        <w:rStyle w:val="SidhuvudBilaga"/>
      </w:rPr>
      <w:t xml:space="preserve"> </w:t>
    </w:r>
    <w:r w:rsidRPr="00C9680B">
      <w:t xml:space="preserve">     </w: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w:instrText>
    </w:r>
    <w:r w:rsidRPr="00C9680B">
      <w:instrText xml:space="preserve"> </w:instrText>
    </w:r>
    <w:r w:rsidRPr="00C9680B">
      <w:rPr>
        <w:rStyle w:val="SidhuvudUtskott"/>
      </w:rPr>
      <w:instrText>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w:instrText>
    </w:r>
    <w:r w:rsidRPr="00C9680B">
      <w:rPr>
        <w:rStyle w:val="SidhuvudUtskott"/>
      </w:rPr>
      <w:instrText>n</w:instrText>
    </w:r>
    <w:r w:rsidRPr="00C9680B">
      <w:rPr>
        <w:rStyle w:val="SidhuvudUtskott"/>
      </w:rPr>
      <w:instrText>kandeNr</w:instrText>
    </w:r>
    <w:r w:rsidRPr="00C9680B">
      <w:rPr>
        <w:rStyle w:val="SidhuvudUtskott"/>
      </w:rPr>
      <w:fldChar w:fldCharType="separate"/>
    </w:r>
    <w:r w:rsidRPr="00C9680B">
      <w:rPr>
        <w:rStyle w:val="SidhuvudUtskott"/>
      </w:rPr>
      <w:t>1</w: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w:instrText>
    </w:r>
    <w:r w:rsidRPr="00C9680B">
      <w:rPr>
        <w:rStyle w:val="SidhuvudUtskott"/>
      </w:rPr>
      <w:fldChar w:fldCharType="begin" w:fldLock="1"/>
    </w:r>
    <w:r w:rsidRPr="00C9680B">
      <w:rPr>
        <w:rStyle w:val="SidhuvudUtskott"/>
      </w:rPr>
      <w:instrText xml:space="preserve"> PRINTDATE \@ "yyyy-MM-dd HH.mm    "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PERTY Status</w:instrText>
    </w:r>
    <w:r w:rsidRPr="00C9680B">
      <w:rPr>
        <w:rStyle w:val="SidhuvudUtskott"/>
      </w:rPr>
      <w:fldChar w:fldCharType="end"/>
    </w:r>
  </w:p>
  <w:p w:rsidR="001C7BF9" w:rsidRPr="00C9680B" w:rsidRDefault="001C7BF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fldChar w:fldCharType="begin" w:fldLock="1"/>
    </w:r>
    <w:r w:rsidRPr="00C9680B">
      <w:instrText xml:space="preserve"> if </w:instrText>
    </w:r>
    <w:r w:rsidRPr="00C9680B">
      <w:fldChar w:fldCharType="begin" w:fldLock="1"/>
    </w:r>
    <w:r w:rsidRPr="00C9680B">
      <w:instrText xml:space="preserve"> page</w:instrText>
    </w:r>
    <w:r w:rsidRPr="00C9680B">
      <w:fldChar w:fldCharType="separate"/>
    </w:r>
    <w:r w:rsidRPr="00C9680B">
      <w:instrText>279</w:instrText>
    </w:r>
    <w:r w:rsidRPr="00C9680B">
      <w:fldChar w:fldCharType="end"/>
    </w:r>
    <w:r w:rsidRPr="00C9680B">
      <w:instrText xml:space="preserve"> &gt; 1 "</w:instrText>
    </w: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279</w:instrText>
    </w:r>
    <w:r w:rsidRPr="00C9680B">
      <w:fldChar w:fldCharType="end"/>
    </w:r>
    <w:r w:rsidRPr="00C9680B">
      <w:instrText xml:space="preserve">/2 </w:instrText>
    </w:r>
    <w:r w:rsidRPr="00C9680B">
      <w:fldChar w:fldCharType="separate"/>
    </w:r>
    <w:r w:rsidRPr="00C9680B">
      <w:instrText>139,5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279</w:instrText>
    </w:r>
    <w:r w:rsidRPr="00C9680B">
      <w:fldChar w:fldCharType="end"/>
    </w:r>
    <w:r w:rsidRPr="00C9680B">
      <w:instrText xml:space="preserve">/2) </w:instrText>
    </w:r>
    <w:r w:rsidRPr="00C9680B">
      <w:fldChar w:fldCharType="separate"/>
    </w:r>
    <w:r w:rsidRPr="00C9680B">
      <w:instrText>139</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w:instrText>
    </w:r>
    <w:r w:rsidRPr="00C9680B">
      <w:rPr>
        <w:rStyle w:val="SidhuvudUtskott"/>
      </w:rPr>
      <w:instrText>R</w:instrText>
    </w:r>
    <w:r w:rsidRPr="00C9680B">
      <w:rPr>
        <w:rStyle w:val="SidhuvudUtskott"/>
      </w:rPr>
      <w:instrText>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r w:rsidRPr="00C9680B">
      <w:instrText xml:space="preserve">    </w:instrText>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RubrikReferens"/>
        <w:smallCaps w:val="0"/>
      </w:rPr>
      <w:instrText xml:space="preserve"> </w:instrText>
    </w:r>
    <w:r w:rsidRPr="00C9680B">
      <w:instrText xml:space="preserve">"  "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w:instrText>
    </w:r>
    <w:r w:rsidRPr="00C9680B">
      <w:rPr>
        <w:rStyle w:val="SidhuvudUtskott"/>
      </w:rPr>
      <w:fldChar w:fldCharType="begin" w:fldLock="1"/>
    </w:r>
    <w:r w:rsidRPr="00C9680B">
      <w:rPr>
        <w:rStyle w:val="SidhuvudUtskott"/>
      </w:rPr>
      <w:instrText xml:space="preserve"> PRINTDATE \@ "yyyy-MM-dd HH.mm    "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PERTY Status</w:instrText>
    </w:r>
    <w:r w:rsidRPr="00C9680B">
      <w:rPr>
        <w:rStyle w:val="SidhuvudUtskott"/>
      </w:rPr>
      <w:fldChar w:fldCharType="end"/>
    </w:r>
    <w:r w:rsidRPr="00C9680B">
      <w:instrText>"</w:instrText>
    </w:r>
    <w:r w:rsidRPr="00C9680B">
      <w:fldChar w:fldCharType="separate"/>
    </w:r>
    <w:r w:rsidRPr="00C9680B">
      <w:instrText xml:space="preserve">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fldChar w:fldCharType="end"/>
    </w:r>
    <w:r w:rsidRPr="00C9680B">
      <w:instrText>" " "</w:instrText>
    </w:r>
    <w:r w:rsidRPr="00C9680B">
      <w:fldChar w:fldCharType="separate"/>
    </w:r>
    <w:r w:rsidRPr="00C9680B">
      <w:t xml:space="preserve">  </w: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fldChar w:fldCharType="end"/>
    </w:r>
  </w:p>
  <w:p w:rsidR="001C7BF9" w:rsidRPr="00C9680B" w:rsidRDefault="001C7BF9">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r w:rsidRPr="00C9680B">
      <w:t xml:space="preserve">     </w:t>
    </w:r>
    <w:r w:rsidRPr="00C9680B">
      <w:rPr>
        <w:rStyle w:val="SidhuvudBilaga"/>
      </w:rPr>
      <w:t xml:space="preserve"> </w:t>
    </w: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Särskilda yttranden</w:t>
    </w:r>
    <w:r w:rsidRPr="00C9680B">
      <w:rPr>
        <w:rStyle w:val="SidhuvudRubrikReferens"/>
      </w:rPr>
      <w:fldChar w:fldCharType="end"/>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732" w:h="567" w:hRule="exact" w:vSpace="0" w:wrap="around" w:vAnchor="page" w:y="341" w:anchorLock="0"/>
    </w:pP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Särskilda yttranden</w:t>
    </w:r>
    <w:r w:rsidRPr="00C9680B">
      <w:rPr>
        <w:rStyle w:val="SidhuvudRubrikReferens"/>
      </w:rPr>
      <w:fldChar w:fldCharType="end"/>
    </w:r>
    <w:r w:rsidRPr="00C9680B">
      <w:rPr>
        <w:rStyle w:val="SidhuvudBilaga"/>
      </w:rPr>
      <w:t xml:space="preserve"> </w:t>
    </w:r>
    <w:r w:rsidRPr="00C9680B">
      <w:t xml:space="preserve">     </w: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w:instrText>
    </w:r>
    <w:r w:rsidRPr="00C9680B">
      <w:instrText xml:space="preserve"> </w:instrText>
    </w:r>
    <w:r w:rsidRPr="00C9680B">
      <w:rPr>
        <w:rStyle w:val="SidhuvudUtskott"/>
      </w:rPr>
      <w:instrText>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w:instrText>
    </w:r>
    <w:r w:rsidRPr="00C9680B">
      <w:rPr>
        <w:rStyle w:val="SidhuvudUtskott"/>
      </w:rPr>
      <w:instrText>n</w:instrText>
    </w:r>
    <w:r w:rsidRPr="00C9680B">
      <w:rPr>
        <w:rStyle w:val="SidhuvudUtskott"/>
      </w:rPr>
      <w:instrText>kandeNr</w:instrText>
    </w:r>
    <w:r w:rsidRPr="00C9680B">
      <w:rPr>
        <w:rStyle w:val="SidhuvudUtskott"/>
      </w:rPr>
      <w:fldChar w:fldCharType="separate"/>
    </w:r>
    <w:r w:rsidRPr="00C9680B">
      <w:rPr>
        <w:rStyle w:val="SidhuvudUtskott"/>
      </w:rPr>
      <w:t>1</w: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w:instrText>
    </w:r>
    <w:r w:rsidRPr="00C9680B">
      <w:rPr>
        <w:rStyle w:val="SidhuvudUtskott"/>
      </w:rPr>
      <w:fldChar w:fldCharType="begin" w:fldLock="1"/>
    </w:r>
    <w:r w:rsidRPr="00C9680B">
      <w:rPr>
        <w:rStyle w:val="SidhuvudUtskott"/>
      </w:rPr>
      <w:instrText xml:space="preserve"> PRINTDATE \@ "yyyy-MM-dd HH.mm    "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PERTY Status</w:instrText>
    </w:r>
    <w:r w:rsidRPr="00C9680B">
      <w:rPr>
        <w:rStyle w:val="SidhuvudUtskott"/>
      </w:rPr>
      <w:fldChar w:fldCharType="end"/>
    </w:r>
  </w:p>
  <w:p w:rsidR="001C7BF9" w:rsidRPr="00C9680B" w:rsidRDefault="001C7BF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fldChar w:fldCharType="begin" w:fldLock="1"/>
    </w:r>
    <w:r w:rsidRPr="00C9680B">
      <w:instrText xml:space="preserve"> if </w:instrText>
    </w:r>
    <w:r w:rsidRPr="00C9680B">
      <w:fldChar w:fldCharType="begin" w:fldLock="1"/>
    </w:r>
    <w:r w:rsidRPr="00C9680B">
      <w:instrText xml:space="preserve"> page</w:instrText>
    </w:r>
    <w:r w:rsidRPr="00C9680B">
      <w:fldChar w:fldCharType="separate"/>
    </w:r>
    <w:r w:rsidR="00C9680B">
      <w:rPr>
        <w:noProof/>
      </w:rPr>
      <w:instrText>1</w:instrText>
    </w:r>
    <w:r w:rsidRPr="00C9680B">
      <w:fldChar w:fldCharType="end"/>
    </w:r>
    <w:r w:rsidRPr="00C9680B">
      <w:instrText xml:space="preserve"> &gt; 1 "</w:instrText>
    </w: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17</w:instrText>
    </w:r>
    <w:r w:rsidRPr="00C9680B">
      <w:fldChar w:fldCharType="end"/>
    </w:r>
    <w:r w:rsidRPr="00C9680B">
      <w:instrText xml:space="preserve">/2 </w:instrText>
    </w:r>
    <w:r w:rsidRPr="00C9680B">
      <w:fldChar w:fldCharType="separate"/>
    </w:r>
    <w:r w:rsidRPr="00C9680B">
      <w:instrText>8,5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17</w:instrText>
    </w:r>
    <w:r w:rsidRPr="00C9680B">
      <w:fldChar w:fldCharType="end"/>
    </w:r>
    <w:r w:rsidRPr="00C9680B">
      <w:instrText xml:space="preserve">/2) </w:instrText>
    </w:r>
    <w:r w:rsidRPr="00C9680B">
      <w:fldChar w:fldCharType="separate"/>
    </w:r>
    <w:r w:rsidRPr="00C9680B">
      <w:instrText>8</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1999/2000</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w:instrText>
    </w:r>
    <w:r w:rsidRPr="00C9680B">
      <w:rPr>
        <w:rStyle w:val="SidhuvudUtskott"/>
      </w:rPr>
      <w:instrText>R</w:instrText>
    </w:r>
    <w:r w:rsidRPr="00C9680B">
      <w:rPr>
        <w:rStyle w:val="SidhuvudUtskott"/>
      </w:rPr>
      <w:instrText>TY Utskott</w:instrText>
    </w:r>
    <w:r w:rsidRPr="00C9680B">
      <w:rPr>
        <w:rStyle w:val="SidhuvudUtskott"/>
      </w:rPr>
      <w:fldChar w:fldCharType="separate"/>
    </w:r>
    <w:r w:rsidRPr="00C9680B">
      <w:rPr>
        <w:rStyle w:val="SidhuvudUtskott"/>
      </w:rPr>
      <w:instrText>BoU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6678</w:instrText>
    </w:r>
    <w:r w:rsidRPr="00C9680B">
      <w:rPr>
        <w:rStyle w:val="SidhuvudUtskott"/>
      </w:rPr>
      <w:fldChar w:fldCharType="end"/>
    </w:r>
    <w:r w:rsidRPr="00C9680B">
      <w:instrText xml:space="preserve">    </w:instrText>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separate"/>
    </w:r>
    <w:r w:rsidRPr="00C9680B">
      <w:rPr>
        <w:rStyle w:val="SidhuvudUtskott"/>
      </w:rPr>
      <w:instrText>Utkast</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RubrikReferens"/>
        <w:smallCaps w:val="0"/>
        <w:spacing w:val="0"/>
        <w:sz w:val="19"/>
      </w:rPr>
      <w:instrText xml:space="preserve"> </w:instrText>
    </w:r>
    <w:r w:rsidRPr="00C9680B">
      <w:instrText xml:space="preserve">"  "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1999/2000</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instrText>BoU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6678</w:instrTex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w:instrText>
    </w:r>
    <w:r w:rsidRPr="00C9680B">
      <w:rPr>
        <w:rStyle w:val="SidhuvudUtskott"/>
      </w:rPr>
      <w:fldChar w:fldCharType="begin" w:fldLock="1"/>
    </w:r>
    <w:r w:rsidRPr="00C9680B">
      <w:rPr>
        <w:rStyle w:val="SidhuvudUtskott"/>
      </w:rPr>
      <w:instrText xml:space="preserve"> PRINTDATE \@ "yyyy-MM-dd HH.mm    "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PERTY Status</w:instrText>
    </w:r>
    <w:r w:rsidRPr="00C9680B">
      <w:rPr>
        <w:rStyle w:val="SidhuvudUtskott"/>
      </w:rPr>
      <w:fldChar w:fldCharType="separate"/>
    </w:r>
    <w:r w:rsidRPr="00C9680B">
      <w:rPr>
        <w:rStyle w:val="SidhuvudUtskott"/>
      </w:rPr>
      <w:instrText>Utkast 2</w:instrText>
    </w:r>
    <w:r w:rsidRPr="00C9680B">
      <w:rPr>
        <w:rStyle w:val="SidhuvudUtskott"/>
      </w:rPr>
      <w:fldChar w:fldCharType="end"/>
    </w:r>
    <w:r w:rsidRPr="00C9680B">
      <w:instrText>"</w:instrText>
    </w:r>
    <w:r w:rsidRPr="00C9680B">
      <w:fldChar w:fldCharType="separate"/>
    </w:r>
    <w:r w:rsidRPr="00C9680B">
      <w:rPr>
        <w:position w:val="4"/>
        <w:sz w:val="28"/>
      </w:rPr>
      <w:instrText>|</w:instrText>
    </w:r>
    <w:r w:rsidRPr="00C9680B">
      <w:instrText xml:space="preserve">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1999/2000</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instrText>BoU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6678</w:instrTex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separate"/>
    </w:r>
    <w:r w:rsidRPr="00C9680B">
      <w:rPr>
        <w:rStyle w:val="SidhuvudUtskott"/>
      </w:rPr>
      <w:instrText>Utkast 2</w:instrText>
    </w:r>
    <w:r w:rsidRPr="00C9680B">
      <w:rPr>
        <w:rStyle w:val="SidhuvudUtskott"/>
      </w:rPr>
      <w:fldChar w:fldCharType="end"/>
    </w:r>
    <w:r w:rsidRPr="00C9680B">
      <w:fldChar w:fldCharType="end"/>
    </w:r>
    <w:r w:rsidRPr="00C9680B">
      <w:instrText>" " "</w:instrText>
    </w:r>
    <w:r w:rsidRPr="00C9680B">
      <w:fldChar w:fldCharType="separate"/>
    </w:r>
    <w:r w:rsidR="00C9680B" w:rsidRPr="00C9680B">
      <w:rPr>
        <w:noProof/>
      </w:rPr>
      <w:t xml:space="preserve"> </w:t>
    </w:r>
    <w:r w:rsidRPr="00C9680B">
      <w:fldChar w:fldCharType="end"/>
    </w:r>
  </w:p>
  <w:p w:rsidR="001C7BF9" w:rsidRPr="00C9680B" w:rsidRDefault="001C7BF9">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fldChar w:fldCharType="begin" w:fldLock="1"/>
    </w:r>
    <w:r w:rsidRPr="00C9680B">
      <w:instrText xml:space="preserve"> if </w:instrText>
    </w:r>
    <w:r w:rsidRPr="00C9680B">
      <w:fldChar w:fldCharType="begin" w:fldLock="1"/>
    </w:r>
    <w:r w:rsidRPr="00C9680B">
      <w:instrText xml:space="preserve"> page</w:instrText>
    </w:r>
    <w:r w:rsidRPr="00C9680B">
      <w:fldChar w:fldCharType="separate"/>
    </w:r>
    <w:r w:rsidRPr="00C9680B">
      <w:instrText>283</w:instrText>
    </w:r>
    <w:r w:rsidRPr="00C9680B">
      <w:fldChar w:fldCharType="end"/>
    </w:r>
    <w:r w:rsidRPr="00C9680B">
      <w:instrText xml:space="preserve"> &gt; 1 "</w:instrText>
    </w: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283</w:instrText>
    </w:r>
    <w:r w:rsidRPr="00C9680B">
      <w:fldChar w:fldCharType="end"/>
    </w:r>
    <w:r w:rsidRPr="00C9680B">
      <w:instrText xml:space="preserve">/2 </w:instrText>
    </w:r>
    <w:r w:rsidRPr="00C9680B">
      <w:fldChar w:fldCharType="separate"/>
    </w:r>
    <w:r w:rsidRPr="00C9680B">
      <w:instrText>141,5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283</w:instrText>
    </w:r>
    <w:r w:rsidRPr="00C9680B">
      <w:fldChar w:fldCharType="end"/>
    </w:r>
    <w:r w:rsidRPr="00C9680B">
      <w:instrText xml:space="preserve">/2) </w:instrText>
    </w:r>
    <w:r w:rsidRPr="00C9680B">
      <w:fldChar w:fldCharType="separate"/>
    </w:r>
    <w:r w:rsidRPr="00C9680B">
      <w:instrText>141</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w:instrText>
    </w:r>
    <w:r w:rsidRPr="00C9680B">
      <w:rPr>
        <w:rStyle w:val="SidhuvudUtskott"/>
      </w:rPr>
      <w:instrText>R</w:instrText>
    </w:r>
    <w:r w:rsidRPr="00C9680B">
      <w:rPr>
        <w:rStyle w:val="SidhuvudUtskott"/>
      </w:rPr>
      <w:instrText>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r w:rsidRPr="00C9680B">
      <w:instrText xml:space="preserve">    </w:instrText>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RubrikReferens"/>
        <w:smallCaps w:val="0"/>
        <w:spacing w:val="0"/>
        <w:sz w:val="19"/>
      </w:rPr>
      <w:instrText xml:space="preserve"> </w:instrText>
    </w:r>
    <w:r w:rsidRPr="00C9680B">
      <w:instrText xml:space="preserve">"  "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w:instrText>
    </w:r>
    <w:r w:rsidRPr="00C9680B">
      <w:rPr>
        <w:rStyle w:val="SidhuvudUtskott"/>
      </w:rPr>
      <w:fldChar w:fldCharType="begin" w:fldLock="1"/>
    </w:r>
    <w:r w:rsidRPr="00C9680B">
      <w:rPr>
        <w:rStyle w:val="SidhuvudUtskott"/>
      </w:rPr>
      <w:instrText xml:space="preserve"> PRINTDATE \@ "yyyy-MM-dd HH.mm    "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PERTY Status</w:instrText>
    </w:r>
    <w:r w:rsidRPr="00C9680B">
      <w:rPr>
        <w:rStyle w:val="SidhuvudUtskott"/>
      </w:rPr>
      <w:fldChar w:fldCharType="end"/>
    </w:r>
    <w:r w:rsidRPr="00C9680B">
      <w:instrText>"</w:instrText>
    </w:r>
    <w:r w:rsidRPr="00C9680B">
      <w:fldChar w:fldCharType="separate"/>
    </w:r>
    <w:r w:rsidRPr="00C9680B">
      <w:instrText xml:space="preserve">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fldChar w:fldCharType="end"/>
    </w:r>
    <w:r w:rsidRPr="00C9680B">
      <w:instrText>" " "</w:instrText>
    </w:r>
    <w:r w:rsidRPr="00C9680B">
      <w:fldChar w:fldCharType="separate"/>
    </w:r>
    <w:r w:rsidRPr="00C9680B">
      <w:t xml:space="preserve">  </w: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fldChar w:fldCharType="end"/>
    </w:r>
  </w:p>
  <w:p w:rsidR="001C7BF9" w:rsidRPr="00C9680B" w:rsidRDefault="001C7BF9">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r w:rsidRPr="00C9680B">
      <w:t xml:space="preserve"> </w:t>
    </w:r>
    <w:r w:rsidRPr="00C9680B">
      <w:rPr>
        <w:rStyle w:val="SidhuvudBilaga"/>
      </w:rPr>
      <w:t xml:space="preserve">BILAGA 1   </w:t>
    </w: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Förteckning över behandlade förslag</w:t>
    </w:r>
    <w:r w:rsidRPr="00C9680B">
      <w:rPr>
        <w:rStyle w:val="SidhuvudRubrikReferens"/>
      </w:rPr>
      <w:fldChar w:fldCharType="end"/>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732" w:h="567" w:hRule="exact" w:vSpace="0" w:wrap="around" w:vAnchor="page" w:y="341" w:anchorLock="0"/>
    </w:pP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Förteckning över behandlade förslag</w:t>
    </w:r>
    <w:r w:rsidRPr="00C9680B">
      <w:rPr>
        <w:rStyle w:val="SidhuvudRubrikReferens"/>
      </w:rPr>
      <w:fldChar w:fldCharType="end"/>
    </w:r>
    <w:r w:rsidRPr="00C9680B">
      <w:rPr>
        <w:rStyle w:val="SidhuvudBilaga"/>
      </w:rPr>
      <w:t xml:space="preserve">   BILAGA 1 </w:t>
    </w:r>
    <w:r w:rsidRPr="00C9680B">
      <w:t xml:space="preserve">     </w: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w:instrText>
    </w:r>
    <w:r w:rsidRPr="00C9680B">
      <w:instrText xml:space="preserve"> </w:instrText>
    </w:r>
    <w:r w:rsidRPr="00C9680B">
      <w:rPr>
        <w:rStyle w:val="SidhuvudUtskott"/>
      </w:rPr>
      <w:instrText>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w:instrText>
    </w:r>
    <w:r w:rsidRPr="00C9680B">
      <w:rPr>
        <w:rStyle w:val="SidhuvudUtskott"/>
      </w:rPr>
      <w:instrText>n</w:instrText>
    </w:r>
    <w:r w:rsidRPr="00C9680B">
      <w:rPr>
        <w:rStyle w:val="SidhuvudUtskott"/>
      </w:rPr>
      <w:instrText>kandeNr</w:instrText>
    </w:r>
    <w:r w:rsidRPr="00C9680B">
      <w:rPr>
        <w:rStyle w:val="SidhuvudUtskott"/>
      </w:rPr>
      <w:fldChar w:fldCharType="separate"/>
    </w:r>
    <w:r w:rsidRPr="00C9680B">
      <w:rPr>
        <w:rStyle w:val="SidhuvudUtskott"/>
      </w:rPr>
      <w:t>1</w: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w:instrText>
    </w:r>
    <w:r w:rsidRPr="00C9680B">
      <w:rPr>
        <w:rStyle w:val="SidhuvudUtskott"/>
      </w:rPr>
      <w:fldChar w:fldCharType="begin" w:fldLock="1"/>
    </w:r>
    <w:r w:rsidRPr="00C9680B">
      <w:rPr>
        <w:rStyle w:val="SidhuvudUtskott"/>
      </w:rPr>
      <w:instrText xml:space="preserve"> PRINTDATE \@ "yyyy-MM-dd HH.mm    "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PERTY Status</w:instrText>
    </w:r>
    <w:r w:rsidRPr="00C9680B">
      <w:rPr>
        <w:rStyle w:val="SidhuvudUtskott"/>
      </w:rPr>
      <w:fldChar w:fldCharType="end"/>
    </w:r>
  </w:p>
  <w:p w:rsidR="001C7BF9" w:rsidRPr="00C9680B" w:rsidRDefault="001C7BF9">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fldChar w:fldCharType="begin" w:fldLock="1"/>
    </w:r>
    <w:r w:rsidRPr="00C9680B">
      <w:instrText xml:space="preserve"> if </w:instrText>
    </w:r>
    <w:r w:rsidRPr="00C9680B">
      <w:fldChar w:fldCharType="begin" w:fldLock="1"/>
    </w:r>
    <w:r w:rsidRPr="00C9680B">
      <w:instrText xml:space="preserve"> page</w:instrText>
    </w:r>
    <w:r w:rsidRPr="00C9680B">
      <w:fldChar w:fldCharType="separate"/>
    </w:r>
    <w:r w:rsidRPr="00C9680B">
      <w:instrText>368</w:instrText>
    </w:r>
    <w:r w:rsidRPr="00C9680B">
      <w:fldChar w:fldCharType="end"/>
    </w:r>
    <w:r w:rsidRPr="00C9680B">
      <w:instrText xml:space="preserve"> &gt; 1 "</w:instrText>
    </w: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368</w:instrText>
    </w:r>
    <w:r w:rsidRPr="00C9680B">
      <w:fldChar w:fldCharType="end"/>
    </w:r>
    <w:r w:rsidRPr="00C9680B">
      <w:instrText xml:space="preserve">/2 </w:instrText>
    </w:r>
    <w:r w:rsidRPr="00C9680B">
      <w:fldChar w:fldCharType="separate"/>
    </w:r>
    <w:r w:rsidRPr="00C9680B">
      <w:instrText>184</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368</w:instrText>
    </w:r>
    <w:r w:rsidRPr="00C9680B">
      <w:fldChar w:fldCharType="end"/>
    </w:r>
    <w:r w:rsidRPr="00C9680B">
      <w:instrText xml:space="preserve">/2) </w:instrText>
    </w:r>
    <w:r w:rsidRPr="00C9680B">
      <w:fldChar w:fldCharType="separate"/>
    </w:r>
    <w:r w:rsidRPr="00C9680B">
      <w:instrText>184</w:instrText>
    </w:r>
    <w:r w:rsidRPr="00C9680B">
      <w:fldChar w:fldCharType="end"/>
    </w:r>
    <w:r w:rsidRPr="00C9680B">
      <w:fldChar w:fldCharType="separate"/>
    </w:r>
    <w:r w:rsidRPr="00C9680B">
      <w:instrText>0</w:instrText>
    </w:r>
    <w:r w:rsidRPr="00C9680B">
      <w:fldChar w:fldCharType="end"/>
    </w:r>
    <w:r w:rsidRPr="00C9680B">
      <w:instrText xml:space="preserve"> = 0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w:instrText>
    </w:r>
    <w:r w:rsidRPr="00C9680B">
      <w:rPr>
        <w:rStyle w:val="SidhuvudUtskott"/>
      </w:rPr>
      <w:instrText>R</w:instrText>
    </w:r>
    <w:r w:rsidRPr="00C9680B">
      <w:rPr>
        <w:rStyle w:val="SidhuvudUtskott"/>
      </w:rPr>
      <w:instrText>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r w:rsidRPr="00C9680B">
      <w:instrText xml:space="preserve">    </w:instrText>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RubrikReferens"/>
        <w:smallCaps w:val="0"/>
        <w:spacing w:val="0"/>
        <w:sz w:val="19"/>
      </w:rPr>
      <w:instrText xml:space="preserve"> </w:instrText>
    </w:r>
    <w:r w:rsidRPr="00C9680B">
      <w:instrText xml:space="preserve">"  "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w:instrText>
    </w:r>
    <w:r w:rsidRPr="00C9680B">
      <w:rPr>
        <w:rStyle w:val="SidhuvudUtskott"/>
      </w:rPr>
      <w:fldChar w:fldCharType="begin" w:fldLock="1"/>
    </w:r>
    <w:r w:rsidRPr="00C9680B">
      <w:rPr>
        <w:rStyle w:val="SidhuvudUtskott"/>
      </w:rPr>
      <w:instrText xml:space="preserve"> PRINTDATE \@ "yyyy-MM-dd HH.mm    "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PERTY Status</w:instrText>
    </w:r>
    <w:r w:rsidRPr="00C9680B">
      <w:rPr>
        <w:rStyle w:val="SidhuvudUtskott"/>
      </w:rPr>
      <w:fldChar w:fldCharType="end"/>
    </w:r>
    <w:r w:rsidRPr="00C9680B">
      <w:instrText>"</w:instrText>
    </w:r>
    <w:r w:rsidRPr="00C9680B">
      <w:fldChar w:fldCharType="separate"/>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w:instrText>
    </w:r>
    <w:r w:rsidRPr="00C9680B">
      <w:rPr>
        <w:rStyle w:val="SidhuvudUtskott"/>
      </w:rPr>
      <w:instrText>R</w:instrText>
    </w:r>
    <w:r w:rsidRPr="00C9680B">
      <w:rPr>
        <w:rStyle w:val="SidhuvudUtskott"/>
      </w:rPr>
      <w:instrText>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r w:rsidRPr="00C9680B">
      <w:instrText xml:space="preserve">    </w:instrText>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KantJmn"/>
      <w:framePr w:w="8732" w:h="567" w:hRule="exact" w:vSpace="0" w:wrap="around" w:vAnchor="page" w:y="341" w:anchorLock="0"/>
    </w:pPr>
    <w:r w:rsidRPr="00C9680B">
      <w:rPr>
        <w:rStyle w:val="SidhuvudRubrikReferens"/>
        <w:smallCaps w:val="0"/>
        <w:spacing w:val="0"/>
        <w:sz w:val="19"/>
      </w:rPr>
      <w:instrText xml:space="preserve"> </w:instrText>
    </w:r>
    <w:r w:rsidRPr="00C9680B">
      <w:fldChar w:fldCharType="end"/>
    </w:r>
    <w:r w:rsidRPr="00C9680B">
      <w:instrText>" " "</w:instrText>
    </w:r>
    <w:r w:rsidRPr="00C9680B">
      <w:fldChar w:fldCharType="separate"/>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w:instrText>
    </w:r>
    <w:r w:rsidRPr="00C9680B">
      <w:rPr>
        <w:rStyle w:val="SidhuvudUtskott"/>
      </w:rPr>
      <w:instrText>R</w:instrText>
    </w:r>
    <w:r w:rsidRPr="00C9680B">
      <w:rPr>
        <w:rStyle w:val="SidhuvudUtskott"/>
      </w:rPr>
      <w:instrText>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r w:rsidRPr="00C9680B">
      <w:t xml:space="preserve">    </w:t>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RubrikReferens"/>
        <w:smallCaps w:val="0"/>
        <w:spacing w:val="0"/>
        <w:sz w:val="19"/>
      </w:rPr>
      <w:t xml:space="preserve"> </w:t>
    </w:r>
    <w:r w:rsidRPr="00C9680B">
      <w:fldChar w:fldCharType="end"/>
    </w:r>
  </w:p>
  <w:p w:rsidR="001C7BF9" w:rsidRPr="00C9680B" w:rsidRDefault="001C7BF9">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r w:rsidRPr="00C9680B">
      <w:t xml:space="preserve">     </w:t>
    </w:r>
    <w:r w:rsidRPr="00C9680B">
      <w:rPr>
        <w:rStyle w:val="SidhuvudBilaga"/>
      </w:rPr>
      <w:t xml:space="preserve"> Bilaga 2   </w:t>
    </w: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Regeringens lagförslag</w:t>
    </w:r>
    <w:r w:rsidRPr="00C9680B">
      <w:rPr>
        <w:rStyle w:val="SidhuvudRubrikReferens"/>
      </w:rPr>
      <w:fldChar w:fldCharType="end"/>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732" w:h="567" w:hRule="exact" w:vSpace="0" w:wrap="around" w:vAnchor="page" w:y="341" w:anchorLock="0"/>
    </w:pP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Regeringens lagförslag</w:t>
    </w:r>
    <w:r w:rsidRPr="00C9680B">
      <w:rPr>
        <w:rStyle w:val="SidhuvudRubrikReferens"/>
      </w:rPr>
      <w:fldChar w:fldCharType="end"/>
    </w:r>
    <w:r w:rsidRPr="00C9680B">
      <w:rPr>
        <w:rStyle w:val="SidhuvudBilaga"/>
      </w:rPr>
      <w:t xml:space="preserve">   Bilaga 2 </w:t>
    </w:r>
    <w:r w:rsidRPr="00C9680B">
      <w:t xml:space="preserve">     </w: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w:instrText>
    </w:r>
    <w:r w:rsidRPr="00C9680B">
      <w:instrText xml:space="preserve"> </w:instrText>
    </w:r>
    <w:r w:rsidRPr="00C9680B">
      <w:rPr>
        <w:rStyle w:val="SidhuvudUtskott"/>
      </w:rPr>
      <w:instrText>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w:instrText>
    </w:r>
    <w:r w:rsidRPr="00C9680B">
      <w:rPr>
        <w:rStyle w:val="SidhuvudUtskott"/>
      </w:rPr>
      <w:instrText>n</w:instrText>
    </w:r>
    <w:r w:rsidRPr="00C9680B">
      <w:rPr>
        <w:rStyle w:val="SidhuvudUtskott"/>
      </w:rPr>
      <w:instrText>kandeNr</w:instrText>
    </w:r>
    <w:r w:rsidRPr="00C9680B">
      <w:rPr>
        <w:rStyle w:val="SidhuvudUtskott"/>
      </w:rPr>
      <w:fldChar w:fldCharType="separate"/>
    </w:r>
    <w:r w:rsidRPr="00C9680B">
      <w:rPr>
        <w:rStyle w:val="SidhuvudUtskott"/>
      </w:rPr>
      <w:t>1</w: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w:instrText>
    </w:r>
    <w:r w:rsidRPr="00C9680B">
      <w:rPr>
        <w:rStyle w:val="SidhuvudUtskott"/>
      </w:rPr>
      <w:fldChar w:fldCharType="begin" w:fldLock="1"/>
    </w:r>
    <w:r w:rsidRPr="00C9680B">
      <w:rPr>
        <w:rStyle w:val="SidhuvudUtskott"/>
      </w:rPr>
      <w:instrText xml:space="preserve"> PRINTDATE \@ "yyyy-MM-dd HH.mm    "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PERTY Status</w:instrText>
    </w:r>
    <w:r w:rsidRPr="00C9680B">
      <w:rPr>
        <w:rStyle w:val="SidhuvudUtskott"/>
      </w:rPr>
      <w:fldChar w:fldCharType="end"/>
    </w:r>
  </w:p>
  <w:p w:rsidR="001C7BF9" w:rsidRPr="00C9680B" w:rsidRDefault="001C7BF9">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fldChar w:fldCharType="begin" w:fldLock="1"/>
    </w:r>
    <w:r w:rsidRPr="00C9680B">
      <w:instrText xml:space="preserve"> if </w:instrText>
    </w:r>
    <w:r w:rsidRPr="00C9680B">
      <w:fldChar w:fldCharType="begin" w:fldLock="1"/>
    </w:r>
    <w:r w:rsidRPr="00C9680B">
      <w:instrText xml:space="preserve"> page</w:instrText>
    </w:r>
    <w:r w:rsidRPr="00C9680B">
      <w:fldChar w:fldCharType="separate"/>
    </w:r>
    <w:r w:rsidRPr="00C9680B">
      <w:instrText>387</w:instrText>
    </w:r>
    <w:r w:rsidRPr="00C9680B">
      <w:fldChar w:fldCharType="end"/>
    </w:r>
    <w:r w:rsidRPr="00C9680B">
      <w:instrText xml:space="preserve"> &gt; 1 "</w:instrText>
    </w: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387</w:instrText>
    </w:r>
    <w:r w:rsidRPr="00C9680B">
      <w:fldChar w:fldCharType="end"/>
    </w:r>
    <w:r w:rsidRPr="00C9680B">
      <w:instrText xml:space="preserve">/2 </w:instrText>
    </w:r>
    <w:r w:rsidRPr="00C9680B">
      <w:fldChar w:fldCharType="separate"/>
    </w:r>
    <w:r w:rsidRPr="00C9680B">
      <w:instrText>193,5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387</w:instrText>
    </w:r>
    <w:r w:rsidRPr="00C9680B">
      <w:fldChar w:fldCharType="end"/>
    </w:r>
    <w:r w:rsidRPr="00C9680B">
      <w:instrText xml:space="preserve">/2) </w:instrText>
    </w:r>
    <w:r w:rsidRPr="00C9680B">
      <w:fldChar w:fldCharType="separate"/>
    </w:r>
    <w:r w:rsidRPr="00C9680B">
      <w:instrText>193</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w:instrText>
    </w:r>
    <w:r w:rsidRPr="00C9680B">
      <w:rPr>
        <w:rStyle w:val="SidhuvudUtskott"/>
      </w:rPr>
      <w:instrText>R</w:instrText>
    </w:r>
    <w:r w:rsidRPr="00C9680B">
      <w:rPr>
        <w:rStyle w:val="SidhuvudUtskott"/>
      </w:rPr>
      <w:instrText>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r w:rsidRPr="00C9680B">
      <w:instrText xml:space="preserve">    </w:instrText>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RubrikReferens"/>
        <w:smallCaps w:val="0"/>
        <w:spacing w:val="0"/>
        <w:sz w:val="19"/>
      </w:rPr>
      <w:instrText xml:space="preserve"> </w:instrText>
    </w:r>
    <w:r w:rsidRPr="00C9680B">
      <w:instrText xml:space="preserve">"  "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w:instrText>
    </w:r>
    <w:r w:rsidRPr="00C9680B">
      <w:rPr>
        <w:rStyle w:val="SidhuvudUtskott"/>
      </w:rPr>
      <w:fldChar w:fldCharType="begin" w:fldLock="1"/>
    </w:r>
    <w:r w:rsidRPr="00C9680B">
      <w:rPr>
        <w:rStyle w:val="SidhuvudUtskott"/>
      </w:rPr>
      <w:instrText xml:space="preserve"> PRINTDATE \@ "yyyy-MM-dd HH.mm    "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PERTY Status</w:instrText>
    </w:r>
    <w:r w:rsidRPr="00C9680B">
      <w:rPr>
        <w:rStyle w:val="SidhuvudUtskott"/>
      </w:rPr>
      <w:fldChar w:fldCharType="end"/>
    </w:r>
    <w:r w:rsidRPr="00C9680B">
      <w:instrText>"</w:instrText>
    </w:r>
    <w:r w:rsidRPr="00C9680B">
      <w:fldChar w:fldCharType="separate"/>
    </w:r>
    <w:r w:rsidRPr="00C9680B">
      <w:instrText xml:space="preserve">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fldChar w:fldCharType="end"/>
    </w:r>
    <w:r w:rsidRPr="00C9680B">
      <w:instrText>" " "</w:instrText>
    </w:r>
    <w:r w:rsidRPr="00C9680B">
      <w:fldChar w:fldCharType="separate"/>
    </w:r>
    <w:r w:rsidRPr="00C9680B">
      <w:t xml:space="preserve">  </w: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fldChar w:fldCharType="end"/>
    </w:r>
  </w:p>
  <w:p w:rsidR="001C7BF9" w:rsidRPr="00C9680B" w:rsidRDefault="001C7BF9">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r w:rsidRPr="00C9680B">
      <w:t xml:space="preserve">     </w:t>
    </w:r>
    <w:r w:rsidRPr="00C9680B">
      <w:rPr>
        <w:rStyle w:val="SidhuvudBilaga"/>
      </w:rPr>
      <w:t xml:space="preserve"> Bilaga 3   </w:t>
    </w: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Utskottets lagförslag</w:t>
    </w:r>
    <w:r w:rsidRPr="00C9680B">
      <w:rPr>
        <w:rStyle w:val="SidhuvudRubrikReferens"/>
      </w:rPr>
      <w:fldChar w:fldCharType="end"/>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732" w:h="567" w:hRule="exact" w:vSpace="0" w:wrap="around" w:vAnchor="page" w:y="341" w:anchorLock="0"/>
    </w:pP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Utskottets lagförslag</w:t>
    </w:r>
    <w:r w:rsidRPr="00C9680B">
      <w:rPr>
        <w:rStyle w:val="SidhuvudRubrikReferens"/>
      </w:rPr>
      <w:fldChar w:fldCharType="end"/>
    </w:r>
    <w:r w:rsidRPr="00C9680B">
      <w:rPr>
        <w:rStyle w:val="SidhuvudBilaga"/>
      </w:rPr>
      <w:t xml:space="preserve">   Bilaga 3 </w:t>
    </w:r>
    <w:r w:rsidRPr="00C9680B">
      <w:t xml:space="preserve">     </w: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w:instrText>
    </w:r>
    <w:r w:rsidRPr="00C9680B">
      <w:instrText xml:space="preserve"> </w:instrText>
    </w:r>
    <w:r w:rsidRPr="00C9680B">
      <w:rPr>
        <w:rStyle w:val="SidhuvudUtskott"/>
      </w:rPr>
      <w:instrText>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w:instrText>
    </w:r>
    <w:r w:rsidRPr="00C9680B">
      <w:rPr>
        <w:rStyle w:val="SidhuvudUtskott"/>
      </w:rPr>
      <w:instrText>n</w:instrText>
    </w:r>
    <w:r w:rsidRPr="00C9680B">
      <w:rPr>
        <w:rStyle w:val="SidhuvudUtskott"/>
      </w:rPr>
      <w:instrText>kandeNr</w:instrText>
    </w:r>
    <w:r w:rsidRPr="00C9680B">
      <w:rPr>
        <w:rStyle w:val="SidhuvudUtskott"/>
      </w:rPr>
      <w:fldChar w:fldCharType="separate"/>
    </w:r>
    <w:r w:rsidRPr="00C9680B">
      <w:rPr>
        <w:rStyle w:val="SidhuvudUtskott"/>
      </w:rPr>
      <w:t>1</w: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w:instrText>
    </w:r>
    <w:r w:rsidRPr="00C9680B">
      <w:rPr>
        <w:rStyle w:val="SidhuvudUtskott"/>
      </w:rPr>
      <w:fldChar w:fldCharType="begin" w:fldLock="1"/>
    </w:r>
    <w:r w:rsidRPr="00C9680B">
      <w:rPr>
        <w:rStyle w:val="SidhuvudUtskott"/>
      </w:rPr>
      <w:instrText xml:space="preserve"> PRINTDATE \@ "yyyy-MM-dd HH.mm    "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PERTY Status</w:instrText>
    </w:r>
    <w:r w:rsidRPr="00C9680B">
      <w:rPr>
        <w:rStyle w:val="SidhuvudUtskott"/>
      </w:rPr>
      <w:fldChar w:fldCharType="end"/>
    </w:r>
  </w:p>
  <w:p w:rsidR="001C7BF9" w:rsidRPr="00C9680B" w:rsidRDefault="001C7BF9">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fldChar w:fldCharType="begin" w:fldLock="1"/>
    </w:r>
    <w:r w:rsidRPr="00C9680B">
      <w:instrText xml:space="preserve"> if </w:instrText>
    </w:r>
    <w:r w:rsidRPr="00C9680B">
      <w:fldChar w:fldCharType="begin" w:fldLock="1"/>
    </w:r>
    <w:r w:rsidRPr="00C9680B">
      <w:instrText xml:space="preserve"> page</w:instrText>
    </w:r>
    <w:r w:rsidRPr="00C9680B">
      <w:fldChar w:fldCharType="separate"/>
    </w:r>
    <w:r w:rsidRPr="00C9680B">
      <w:instrText>417</w:instrText>
    </w:r>
    <w:r w:rsidRPr="00C9680B">
      <w:fldChar w:fldCharType="end"/>
    </w:r>
    <w:r w:rsidRPr="00C9680B">
      <w:instrText xml:space="preserve"> &gt; 1 "</w:instrText>
    </w: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417</w:instrText>
    </w:r>
    <w:r w:rsidRPr="00C9680B">
      <w:fldChar w:fldCharType="end"/>
    </w:r>
    <w:r w:rsidRPr="00C9680B">
      <w:instrText xml:space="preserve">/2 </w:instrText>
    </w:r>
    <w:r w:rsidRPr="00C9680B">
      <w:fldChar w:fldCharType="separate"/>
    </w:r>
    <w:r w:rsidRPr="00C9680B">
      <w:instrText>208,5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417</w:instrText>
    </w:r>
    <w:r w:rsidRPr="00C9680B">
      <w:fldChar w:fldCharType="end"/>
    </w:r>
    <w:r w:rsidRPr="00C9680B">
      <w:instrText xml:space="preserve">/2) </w:instrText>
    </w:r>
    <w:r w:rsidRPr="00C9680B">
      <w:fldChar w:fldCharType="separate"/>
    </w:r>
    <w:r w:rsidRPr="00C9680B">
      <w:instrText>208</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w:instrText>
    </w:r>
    <w:r w:rsidRPr="00C9680B">
      <w:rPr>
        <w:rStyle w:val="SidhuvudUtskott"/>
      </w:rPr>
      <w:instrText>R</w:instrText>
    </w:r>
    <w:r w:rsidRPr="00C9680B">
      <w:rPr>
        <w:rStyle w:val="SidhuvudUtskott"/>
      </w:rPr>
      <w:instrText>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r w:rsidRPr="00C9680B">
      <w:instrText xml:space="preserve">    </w:instrText>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RubrikReferens"/>
        <w:smallCaps w:val="0"/>
        <w:spacing w:val="0"/>
        <w:sz w:val="19"/>
      </w:rPr>
      <w:instrText xml:space="preserve"> </w:instrText>
    </w:r>
    <w:r w:rsidRPr="00C9680B">
      <w:instrText xml:space="preserve">"  "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w:instrText>
    </w:r>
    <w:r w:rsidRPr="00C9680B">
      <w:rPr>
        <w:rStyle w:val="SidhuvudUtskott"/>
      </w:rPr>
      <w:fldChar w:fldCharType="begin" w:fldLock="1"/>
    </w:r>
    <w:r w:rsidRPr="00C9680B">
      <w:rPr>
        <w:rStyle w:val="SidhuvudUtskott"/>
      </w:rPr>
      <w:instrText xml:space="preserve"> PRINTDATE \@ "yyyy-MM-dd HH.mm    "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PERTY Status</w:instrText>
    </w:r>
    <w:r w:rsidRPr="00C9680B">
      <w:rPr>
        <w:rStyle w:val="SidhuvudUtskott"/>
      </w:rPr>
      <w:fldChar w:fldCharType="end"/>
    </w:r>
    <w:r w:rsidRPr="00C9680B">
      <w:instrText>"</w:instrText>
    </w:r>
    <w:r w:rsidRPr="00C9680B">
      <w:fldChar w:fldCharType="separate"/>
    </w:r>
    <w:r w:rsidRPr="00C9680B">
      <w:instrText xml:space="preserve">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fldChar w:fldCharType="end"/>
    </w:r>
    <w:r w:rsidRPr="00C9680B">
      <w:instrText>" " "</w:instrText>
    </w:r>
    <w:r w:rsidRPr="00C9680B">
      <w:fldChar w:fldCharType="separate"/>
    </w:r>
    <w:r w:rsidRPr="00C9680B">
      <w:t xml:space="preserve">  </w: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fldChar w:fldCharType="end"/>
    </w:r>
  </w:p>
  <w:p w:rsidR="001C7BF9" w:rsidRPr="00C9680B" w:rsidRDefault="001C7BF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t>2000/01:FiU1</w:t>
    </w:r>
    <w:r w:rsidRPr="00C9680B">
      <w:t xml:space="preserve">     </w:t>
    </w:r>
    <w:r w:rsidRPr="00C9680B">
      <w:rPr>
        <w:rStyle w:val="SidhuvudBilaga"/>
      </w:rPr>
      <w:t xml:space="preserve"> </w:t>
    </w:r>
    <w:r w:rsidRPr="00C9680B">
      <w:rPr>
        <w:rStyle w:val="SidhuvudRubrikReferens"/>
      </w:rPr>
      <w:t>Innehållsförteckning</w:t>
    </w:r>
  </w:p>
  <w:p w:rsidR="001C7BF9" w:rsidRPr="00C9680B" w:rsidRDefault="001C7BF9">
    <w:pPr>
      <w:pStyle w:val="SidhuvudKantJmn"/>
      <w:framePr w:w="8732" w:h="567" w:hRule="exact" w:vSpace="0" w:wrap="around" w:vAnchor="page" w:y="341" w:anchorLock="0"/>
    </w:pPr>
  </w:p>
  <w:p w:rsidR="001C7BF9" w:rsidRPr="00C9680B" w:rsidRDefault="001C7BF9">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r w:rsidRPr="00C9680B">
      <w:t xml:space="preserve">     </w:t>
    </w:r>
    <w:r w:rsidRPr="00C9680B">
      <w:rPr>
        <w:rStyle w:val="SidhuvudBilaga"/>
      </w:rPr>
      <w:t xml:space="preserve"> BILAGA 5   </w:t>
    </w: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Konstitutionsutsskottets yttrande</w:t>
    </w:r>
    <w:r w:rsidRPr="00C9680B">
      <w:rPr>
        <w:rStyle w:val="SidhuvudRubrikReferens"/>
      </w:rPr>
      <w:fldChar w:fldCharType="end"/>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732" w:h="567" w:hRule="exact" w:vSpace="0" w:wrap="around" w:vAnchor="page" w:y="341" w:anchorLock="0"/>
    </w:pPr>
    <w:r w:rsidRPr="00C9680B">
      <w:rPr>
        <w:rStyle w:val="SidhuvudRubrikReferens"/>
      </w:rPr>
      <w:t>Konstitutionsutsskottets yttrande</w:t>
    </w:r>
    <w:r w:rsidRPr="00C9680B">
      <w:rPr>
        <w:rStyle w:val="SidhuvudBilaga"/>
      </w:rPr>
      <w:t xml:space="preserve">   BILAGA 5 </w:t>
    </w:r>
    <w:r w:rsidRPr="00C9680B">
      <w:t xml:space="preserve">     </w:t>
    </w:r>
    <w:r w:rsidRPr="00C9680B">
      <w:rPr>
        <w:rStyle w:val="SidhuvudUtskott"/>
      </w:rPr>
      <w:t>2000/01:FiU1</w:t>
    </w:r>
  </w:p>
  <w:p w:rsidR="001C7BF9" w:rsidRPr="00C9680B" w:rsidRDefault="001C7BF9">
    <w:pPr>
      <w:pStyle w:val="SidhuvudKantUdda"/>
      <w:framePr w:w="8732" w:h="567" w:hRule="exact" w:vSpace="0" w:wrap="around" w:vAnchor="page" w:y="341" w:anchorLock="0"/>
    </w:pPr>
  </w:p>
  <w:p w:rsidR="001C7BF9" w:rsidRPr="00C9680B" w:rsidRDefault="001C7BF9">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fldChar w:fldCharType="begin" w:fldLock="1"/>
    </w:r>
    <w:r w:rsidRPr="00C9680B">
      <w:instrText xml:space="preserve"> if </w:instrText>
    </w:r>
    <w:r w:rsidRPr="00C9680B">
      <w:fldChar w:fldCharType="begin" w:fldLock="1"/>
    </w:r>
    <w:r w:rsidRPr="00C9680B">
      <w:instrText xml:space="preserve"> page</w:instrText>
    </w:r>
    <w:r w:rsidRPr="00C9680B">
      <w:fldChar w:fldCharType="separate"/>
    </w:r>
    <w:r w:rsidRPr="00C9680B">
      <w:instrText>426</w:instrText>
    </w:r>
    <w:r w:rsidRPr="00C9680B">
      <w:fldChar w:fldCharType="end"/>
    </w:r>
    <w:r w:rsidRPr="00C9680B">
      <w:instrText xml:space="preserve"> &gt; 1 "</w:instrText>
    </w: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426</w:instrText>
    </w:r>
    <w:r w:rsidRPr="00C9680B">
      <w:fldChar w:fldCharType="end"/>
    </w:r>
    <w:r w:rsidRPr="00C9680B">
      <w:instrText xml:space="preserve">/2 </w:instrText>
    </w:r>
    <w:r w:rsidRPr="00C9680B">
      <w:fldChar w:fldCharType="separate"/>
    </w:r>
    <w:r w:rsidRPr="00C9680B">
      <w:instrText>213</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426</w:instrText>
    </w:r>
    <w:r w:rsidRPr="00C9680B">
      <w:fldChar w:fldCharType="end"/>
    </w:r>
    <w:r w:rsidRPr="00C9680B">
      <w:instrText xml:space="preserve">/2) </w:instrText>
    </w:r>
    <w:r w:rsidRPr="00C9680B">
      <w:fldChar w:fldCharType="separate"/>
    </w:r>
    <w:r w:rsidRPr="00C9680B">
      <w:instrText>213</w:instrText>
    </w:r>
    <w:r w:rsidRPr="00C9680B">
      <w:fldChar w:fldCharType="end"/>
    </w:r>
    <w:r w:rsidRPr="00C9680B">
      <w:fldChar w:fldCharType="separate"/>
    </w:r>
    <w:r w:rsidRPr="00C9680B">
      <w:instrText>0</w:instrText>
    </w:r>
    <w:r w:rsidRPr="00C9680B">
      <w:fldChar w:fldCharType="end"/>
    </w:r>
    <w:r w:rsidRPr="00C9680B">
      <w:instrText xml:space="preserve"> = 0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1999/2000</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w:instrText>
    </w:r>
    <w:r w:rsidRPr="00C9680B">
      <w:rPr>
        <w:rStyle w:val="SidhuvudUtskott"/>
      </w:rPr>
      <w:instrText>R</w:instrText>
    </w:r>
    <w:r w:rsidRPr="00C9680B">
      <w:rPr>
        <w:rStyle w:val="SidhuvudUtskott"/>
      </w:rPr>
      <w:instrText>TY Utskott</w:instrText>
    </w:r>
    <w:r w:rsidRPr="00C9680B">
      <w:rPr>
        <w:rStyle w:val="SidhuvudUtskott"/>
      </w:rPr>
      <w:fldChar w:fldCharType="separate"/>
    </w:r>
    <w:r w:rsidRPr="00C9680B">
      <w:rPr>
        <w:rStyle w:val="SidhuvudUtskott"/>
      </w:rPr>
      <w:instrText>BoU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6678</w:instrText>
    </w:r>
    <w:r w:rsidRPr="00C9680B">
      <w:rPr>
        <w:rStyle w:val="SidhuvudUtskott"/>
      </w:rPr>
      <w:fldChar w:fldCharType="end"/>
    </w:r>
    <w:r w:rsidRPr="00C9680B">
      <w:instrText xml:space="preserve">    </w:instrText>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separate"/>
    </w:r>
    <w:r w:rsidRPr="00C9680B">
      <w:rPr>
        <w:rStyle w:val="SidhuvudUtskott"/>
      </w:rPr>
      <w:instrText>Utkast</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RubrikReferens"/>
        <w:smallCaps w:val="0"/>
        <w:spacing w:val="0"/>
        <w:sz w:val="19"/>
      </w:rPr>
      <w:instrText xml:space="preserve"> </w:instrText>
    </w:r>
    <w:r w:rsidRPr="00C9680B">
      <w:instrText xml:space="preserve">"  "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1999/2000</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instrText>BoU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6678</w:instrText>
    </w:r>
    <w:r w:rsidRPr="00C9680B">
      <w:rPr>
        <w:rStyle w:val="SidhuvudUtskott"/>
      </w:rPr>
      <w:fldChar w:fldCharType="end"/>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w:instrText>
    </w:r>
    <w:r w:rsidRPr="00C9680B">
      <w:rPr>
        <w:rStyle w:val="SidhuvudUtskott"/>
      </w:rPr>
      <w:fldChar w:fldCharType="begin" w:fldLock="1"/>
    </w:r>
    <w:r w:rsidRPr="00C9680B">
      <w:rPr>
        <w:rStyle w:val="SidhuvudUtskott"/>
      </w:rPr>
      <w:instrText xml:space="preserve"> PRINTDATE \@ "yyyy-MM-dd HH.mm    "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PERTY Status</w:instrText>
    </w:r>
    <w:r w:rsidRPr="00C9680B">
      <w:rPr>
        <w:rStyle w:val="SidhuvudUtskott"/>
      </w:rPr>
      <w:fldChar w:fldCharType="separate"/>
    </w:r>
    <w:r w:rsidRPr="00C9680B">
      <w:rPr>
        <w:rStyle w:val="SidhuvudUtskott"/>
      </w:rPr>
      <w:instrText>Utkast 2</w:instrText>
    </w:r>
    <w:r w:rsidRPr="00C9680B">
      <w:rPr>
        <w:rStyle w:val="SidhuvudUtskott"/>
      </w:rPr>
      <w:fldChar w:fldCharType="end"/>
    </w:r>
    <w:r w:rsidRPr="00C9680B">
      <w:instrText>"</w:instrText>
    </w:r>
    <w:r w:rsidRPr="00C9680B">
      <w:fldChar w:fldCharType="separate"/>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1999/2000</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w:instrText>
    </w:r>
    <w:r w:rsidRPr="00C9680B">
      <w:rPr>
        <w:rStyle w:val="SidhuvudUtskott"/>
      </w:rPr>
      <w:instrText>R</w:instrText>
    </w:r>
    <w:r w:rsidRPr="00C9680B">
      <w:rPr>
        <w:rStyle w:val="SidhuvudUtskott"/>
      </w:rPr>
      <w:instrText>TY Utskott</w:instrText>
    </w:r>
    <w:r w:rsidRPr="00C9680B">
      <w:rPr>
        <w:rStyle w:val="SidhuvudUtskott"/>
      </w:rPr>
      <w:fldChar w:fldCharType="separate"/>
    </w:r>
    <w:r w:rsidRPr="00C9680B">
      <w:rPr>
        <w:rStyle w:val="SidhuvudUtskott"/>
      </w:rPr>
      <w:instrText>BoU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6678</w:instrText>
    </w:r>
    <w:r w:rsidRPr="00C9680B">
      <w:rPr>
        <w:rStyle w:val="SidhuvudUtskott"/>
      </w:rPr>
      <w:fldChar w:fldCharType="end"/>
    </w:r>
    <w:r w:rsidRPr="00C9680B">
      <w:instrText xml:space="preserve">    </w:instrText>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separate"/>
    </w:r>
    <w:r w:rsidRPr="00C9680B">
      <w:rPr>
        <w:rStyle w:val="SidhuvudUtskott"/>
      </w:rPr>
      <w:instrText>Utkast</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RubrikReferens"/>
        <w:smallCaps w:val="0"/>
        <w:spacing w:val="0"/>
        <w:sz w:val="19"/>
      </w:rPr>
      <w:instrText xml:space="preserve"> </w:instrText>
    </w:r>
    <w:r w:rsidRPr="00C9680B">
      <w:fldChar w:fldCharType="end"/>
    </w:r>
    <w:r w:rsidRPr="00C9680B">
      <w:instrText>" " "</w:instrText>
    </w:r>
    <w:r w:rsidRPr="00C9680B">
      <w:fldChar w:fldCharType="separate"/>
    </w:r>
    <w:r w:rsidRPr="00C9680B">
      <w:t xml:space="preserve"> </w:t>
    </w:r>
    <w:r w:rsidRPr="00C9680B">
      <w:fldChar w:fldCharType="end"/>
    </w:r>
  </w:p>
  <w:p w:rsidR="001C7BF9" w:rsidRPr="00C9680B" w:rsidRDefault="001C7BF9">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t>2000/01:FiU1</w:t>
    </w:r>
    <w:r w:rsidRPr="00C9680B">
      <w:t xml:space="preserve">     </w:t>
    </w:r>
    <w:r w:rsidRPr="00C9680B">
      <w:rPr>
        <w:rStyle w:val="SidhuvudBilaga"/>
      </w:rPr>
      <w:t xml:space="preserve"> BILAGA 6   </w:t>
    </w:r>
    <w:r w:rsidRPr="00C9680B">
      <w:rPr>
        <w:rStyle w:val="SidhuvudRubrikReferens"/>
      </w:rPr>
      <w:t>Skatteutskottets yttrande</w:t>
    </w:r>
  </w:p>
  <w:p w:rsidR="001C7BF9" w:rsidRPr="00C9680B" w:rsidRDefault="001C7BF9">
    <w:pPr>
      <w:pStyle w:val="SidhuvudKantJmn"/>
      <w:framePr w:w="8957" w:h="624" w:hRule="exact" w:vSpace="0" w:wrap="around" w:vAnchor="page" w:y="171" w:anchorLock="0"/>
    </w:pPr>
  </w:p>
  <w:p w:rsidR="001C7BF9" w:rsidRPr="00C9680B" w:rsidRDefault="001C7BF9">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957" w:h="624" w:hRule="exact" w:vSpace="0" w:wrap="around" w:vAnchor="page" w:y="171" w:anchorLock="0"/>
    </w:pPr>
    <w:r w:rsidRPr="00C9680B">
      <w:rPr>
        <w:rStyle w:val="SidhuvudRubrikReferens"/>
      </w:rPr>
      <w:t>Skatteutskottets yttrande</w:t>
    </w:r>
    <w:r w:rsidRPr="00C9680B">
      <w:rPr>
        <w:rStyle w:val="SidhuvudBilaga"/>
      </w:rPr>
      <w:t xml:space="preserve">   BILAGA 6 </w:t>
    </w:r>
    <w:r w:rsidRPr="00C9680B">
      <w:t xml:space="preserve">     </w:t>
    </w:r>
    <w:r w:rsidRPr="00C9680B">
      <w:rPr>
        <w:rStyle w:val="SidhuvudUtskott"/>
      </w:rPr>
      <w:t>2000/01:FiU1</w:t>
    </w:r>
  </w:p>
  <w:p w:rsidR="001C7BF9" w:rsidRPr="00C9680B" w:rsidRDefault="001C7BF9">
    <w:pPr>
      <w:pStyle w:val="SidhuvudKantUdda"/>
      <w:framePr w:w="8957" w:h="624" w:hRule="exact" w:vSpace="0" w:wrap="around" w:vAnchor="page" w:y="171" w:anchorLock="0"/>
    </w:pPr>
  </w:p>
  <w:p w:rsidR="001C7BF9" w:rsidRPr="00C9680B" w:rsidRDefault="001C7BF9">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t>2000/01:FiU1</w:t>
    </w:r>
    <w:r w:rsidRPr="00C9680B">
      <w:t xml:space="preserve">    </w:t>
    </w:r>
  </w:p>
  <w:p w:rsidR="001C7BF9" w:rsidRPr="00C9680B" w:rsidRDefault="001C7BF9">
    <w:pPr>
      <w:pStyle w:val="SidhuvudKantJmn"/>
      <w:framePr w:w="8957" w:h="624" w:hRule="exact" w:vSpace="0" w:wrap="around" w:vAnchor="page" w:y="171" w:anchorLock="0"/>
    </w:pPr>
  </w:p>
  <w:p w:rsidR="001C7BF9" w:rsidRPr="00C9680B" w:rsidRDefault="001C7BF9">
    <w:pPr>
      <w:pStyle w:val="SidhuvudKantUdda"/>
      <w:framePr w:w="8957" w:h="624" w:hRule="exact" w:vSpace="0" w:wrap="around" w:vAnchor="page" w:y="171" w:anchorLock="0"/>
    </w:pPr>
    <w:r w:rsidRPr="00C9680B">
      <w:rPr>
        <w:rStyle w:val="SidhuvudRubrikReferens"/>
        <w:smallCaps w:val="0"/>
        <w:spacing w:val="0"/>
        <w:sz w:val="19"/>
      </w:rPr>
      <w:t xml:space="preserve"> </w:t>
    </w:r>
  </w:p>
  <w:p w:rsidR="001C7BF9" w:rsidRPr="00C9680B" w:rsidRDefault="001C7BF9">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t>2000/01:FiU1</w:t>
    </w:r>
    <w:r w:rsidRPr="00C9680B">
      <w:t xml:space="preserve">     </w:t>
    </w:r>
    <w:r w:rsidRPr="00C9680B">
      <w:rPr>
        <w:rStyle w:val="SidhuvudBilaga"/>
      </w:rPr>
      <w:t xml:space="preserve"> BILAGA 7   </w:t>
    </w:r>
    <w:r w:rsidRPr="00C9680B">
      <w:rPr>
        <w:rStyle w:val="SidhuvudRubrikReferens"/>
      </w:rPr>
      <w:t>Justitieutskottets yttrande</w:t>
    </w:r>
  </w:p>
  <w:p w:rsidR="001C7BF9" w:rsidRPr="00C9680B" w:rsidRDefault="001C7BF9">
    <w:pPr>
      <w:pStyle w:val="SidhuvudKantJmn"/>
      <w:framePr w:w="8957" w:h="624" w:hRule="exact" w:vSpace="0" w:wrap="around" w:vAnchor="page" w:y="171" w:anchorLock="0"/>
    </w:pPr>
  </w:p>
  <w:p w:rsidR="001C7BF9" w:rsidRPr="00C9680B" w:rsidRDefault="001C7BF9">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957" w:h="624" w:hRule="exact" w:vSpace="0" w:wrap="around" w:vAnchor="page" w:y="171" w:anchorLock="0"/>
    </w:pPr>
    <w:r w:rsidRPr="00C9680B">
      <w:rPr>
        <w:rStyle w:val="SidhuvudRubrikReferens"/>
      </w:rPr>
      <w:t>Justitieutskottets yttrande</w:t>
    </w:r>
    <w:r w:rsidRPr="00C9680B">
      <w:rPr>
        <w:rStyle w:val="SidhuvudBilaga"/>
      </w:rPr>
      <w:t xml:space="preserve">   BILAGA 7 </w:t>
    </w:r>
    <w:r w:rsidRPr="00C9680B">
      <w:t xml:space="preserve">     </w:t>
    </w:r>
    <w:r w:rsidRPr="00C9680B">
      <w:rPr>
        <w:rStyle w:val="SidhuvudUtskott"/>
      </w:rPr>
      <w:t>2000/01:FiU1</w:t>
    </w:r>
  </w:p>
  <w:p w:rsidR="001C7BF9" w:rsidRPr="00C9680B" w:rsidRDefault="001C7BF9">
    <w:pPr>
      <w:pStyle w:val="SidhuvudKantUdda"/>
      <w:framePr w:w="8957" w:h="624" w:hRule="exact" w:vSpace="0" w:wrap="around" w:vAnchor="page" w:y="171" w:anchorLock="0"/>
    </w:pPr>
  </w:p>
  <w:p w:rsidR="001C7BF9" w:rsidRPr="00C9680B" w:rsidRDefault="001C7BF9">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t>2000/01:FiU1</w:t>
    </w:r>
    <w:r w:rsidRPr="00C9680B">
      <w:t xml:space="preserve">    </w:t>
    </w:r>
  </w:p>
  <w:p w:rsidR="001C7BF9" w:rsidRPr="00C9680B" w:rsidRDefault="001C7BF9">
    <w:pPr>
      <w:pStyle w:val="SidhuvudKantJmn"/>
      <w:framePr w:w="8957" w:h="624" w:hRule="exact" w:vSpace="0" w:wrap="around" w:vAnchor="page" w:y="171" w:anchorLock="0"/>
    </w:pPr>
  </w:p>
  <w:p w:rsidR="001C7BF9" w:rsidRPr="00C9680B" w:rsidRDefault="001C7BF9">
    <w:pPr>
      <w:pStyle w:val="SidhuvudKantUdda"/>
      <w:framePr w:w="8957" w:h="624" w:hRule="exact" w:vSpace="0" w:wrap="around" w:vAnchor="page" w:y="171" w:anchorLock="0"/>
    </w:pPr>
    <w:r w:rsidRPr="00C9680B">
      <w:rPr>
        <w:rStyle w:val="SidhuvudRubrikReferens"/>
        <w:smallCaps w:val="0"/>
        <w:spacing w:val="0"/>
        <w:sz w:val="19"/>
      </w:rPr>
      <w:t xml:space="preserve"> </w:t>
    </w:r>
  </w:p>
  <w:p w:rsidR="001C7BF9" w:rsidRPr="00C9680B" w:rsidRDefault="001C7BF9">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t>2000/01:FiU1</w:t>
    </w:r>
    <w:r w:rsidRPr="00C9680B">
      <w:t xml:space="preserve">     </w:t>
    </w:r>
    <w:r w:rsidRPr="00C9680B">
      <w:rPr>
        <w:rStyle w:val="SidhuvudBilaga"/>
      </w:rPr>
      <w:t xml:space="preserve"> BILAGA 8   </w:t>
    </w:r>
    <w:r w:rsidRPr="00C9680B">
      <w:rPr>
        <w:rStyle w:val="SidhuvudRubrikReferens"/>
      </w:rPr>
      <w:t>Utrikesutskottets yttrande</w:t>
    </w:r>
  </w:p>
  <w:p w:rsidR="001C7BF9" w:rsidRPr="00C9680B" w:rsidRDefault="001C7BF9">
    <w:pPr>
      <w:pStyle w:val="SidhuvudKantJmn"/>
      <w:framePr w:w="8957" w:h="624" w:hRule="exact" w:vSpace="0" w:wrap="around" w:vAnchor="page" w:y="171" w:anchorLock="0"/>
    </w:pPr>
  </w:p>
  <w:p w:rsidR="001C7BF9" w:rsidRPr="00C9680B" w:rsidRDefault="001C7BF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732" w:h="567" w:hRule="exact" w:vSpace="0" w:wrap="around" w:vAnchor="page" w:y="341" w:anchorLock="0"/>
    </w:pPr>
    <w:r w:rsidRPr="00C9680B">
      <w:rPr>
        <w:rStyle w:val="SidhuvudRubrikReferens"/>
      </w:rPr>
      <w:t>Innehållsförteckning</w:t>
    </w:r>
    <w:r w:rsidRPr="00C9680B">
      <w:rPr>
        <w:rStyle w:val="SidhuvudBilaga"/>
      </w:rPr>
      <w:t xml:space="preserve"> </w:t>
    </w:r>
    <w:r w:rsidRPr="00C9680B">
      <w:t xml:space="preserve">     </w:t>
    </w:r>
    <w:r w:rsidRPr="00C9680B">
      <w:rPr>
        <w:rStyle w:val="SidhuvudUtskott"/>
      </w:rPr>
      <w:t>2000/01:FiU1</w:t>
    </w:r>
  </w:p>
  <w:p w:rsidR="001C7BF9" w:rsidRPr="00C9680B" w:rsidRDefault="001C7BF9">
    <w:pPr>
      <w:pStyle w:val="SidhuvudKantUdda"/>
      <w:framePr w:w="8732" w:h="567" w:hRule="exact" w:vSpace="0" w:wrap="around" w:vAnchor="page" w:y="341" w:anchorLock="0"/>
    </w:pPr>
  </w:p>
  <w:p w:rsidR="001C7BF9" w:rsidRPr="00C9680B" w:rsidRDefault="001C7BF9">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957" w:h="624" w:hRule="exact" w:vSpace="0" w:wrap="around" w:vAnchor="page" w:y="171" w:anchorLock="0"/>
    </w:pPr>
    <w:r w:rsidRPr="00C9680B">
      <w:rPr>
        <w:rStyle w:val="SidhuvudRubrikReferens"/>
      </w:rPr>
      <w:t>Utrikesutskottets yttrande</w:t>
    </w:r>
    <w:r w:rsidRPr="00C9680B">
      <w:rPr>
        <w:rStyle w:val="SidhuvudBilaga"/>
      </w:rPr>
      <w:t xml:space="preserve">   BILAGA 8 </w:t>
    </w:r>
    <w:r w:rsidRPr="00C9680B">
      <w:t xml:space="preserve">     </w:t>
    </w:r>
    <w:r w:rsidRPr="00C9680B">
      <w:rPr>
        <w:rStyle w:val="SidhuvudUtskott"/>
      </w:rPr>
      <w:t>2000/01:FiU1</w:t>
    </w:r>
  </w:p>
  <w:p w:rsidR="001C7BF9" w:rsidRPr="00C9680B" w:rsidRDefault="001C7BF9">
    <w:pPr>
      <w:pStyle w:val="SidhuvudKantUdda"/>
      <w:framePr w:w="8957" w:h="624" w:hRule="exact" w:vSpace="0" w:wrap="around" w:vAnchor="page" w:y="171" w:anchorLock="0"/>
    </w:pPr>
  </w:p>
  <w:p w:rsidR="001C7BF9" w:rsidRPr="00C9680B" w:rsidRDefault="001C7BF9">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t>2000/01:FiU1</w:t>
    </w:r>
    <w:r w:rsidRPr="00C9680B">
      <w:t xml:space="preserve">    </w:t>
    </w:r>
  </w:p>
  <w:p w:rsidR="001C7BF9" w:rsidRPr="00C9680B" w:rsidRDefault="001C7BF9">
    <w:pPr>
      <w:pStyle w:val="SidhuvudKantJmn"/>
      <w:framePr w:w="8957" w:h="624" w:hRule="exact" w:vSpace="0" w:wrap="around" w:vAnchor="page" w:y="171" w:anchorLock="0"/>
    </w:pPr>
  </w:p>
  <w:p w:rsidR="001C7BF9" w:rsidRPr="00C9680B" w:rsidRDefault="001C7BF9">
    <w:pPr>
      <w:pStyle w:val="SidhuvudKantUdda"/>
      <w:framePr w:w="8957" w:h="624" w:hRule="exact" w:vSpace="0" w:wrap="around" w:vAnchor="page" w:y="171" w:anchorLock="0"/>
    </w:pPr>
    <w:r w:rsidRPr="00C9680B">
      <w:rPr>
        <w:rStyle w:val="SidhuvudRubrikReferens"/>
        <w:smallCaps w:val="0"/>
        <w:spacing w:val="0"/>
        <w:sz w:val="19"/>
      </w:rPr>
      <w:t xml:space="preserve"> </w:t>
    </w:r>
  </w:p>
  <w:p w:rsidR="001C7BF9" w:rsidRPr="00C9680B" w:rsidRDefault="001C7BF9">
    <w:pPr>
      <w:pStyle w:val="Sidhuvud"/>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t>2000/01:FiU1</w:t>
    </w:r>
    <w:r w:rsidRPr="00C9680B">
      <w:t xml:space="preserve">     </w:t>
    </w:r>
    <w:r w:rsidRPr="00C9680B">
      <w:rPr>
        <w:rStyle w:val="SidhuvudBilaga"/>
      </w:rPr>
      <w:t xml:space="preserve"> BILAGA 9   </w:t>
    </w:r>
    <w:r w:rsidRPr="00C9680B">
      <w:rPr>
        <w:rStyle w:val="SidhuvudRubrikReferens"/>
      </w:rPr>
      <w:t>Försvarsutskottets yttrande</w:t>
    </w:r>
  </w:p>
  <w:p w:rsidR="001C7BF9" w:rsidRPr="00C9680B" w:rsidRDefault="001C7BF9">
    <w:pPr>
      <w:pStyle w:val="SidhuvudKantJmn"/>
      <w:framePr w:w="8957" w:h="624" w:hRule="exact" w:vSpace="0" w:wrap="around" w:vAnchor="page" w:y="171" w:anchorLock="0"/>
    </w:pPr>
  </w:p>
  <w:p w:rsidR="001C7BF9" w:rsidRPr="00C9680B" w:rsidRDefault="001C7BF9">
    <w:pPr>
      <w:pStyle w:val="Sidhuvud"/>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957" w:h="624" w:hRule="exact" w:vSpace="0" w:wrap="around" w:vAnchor="page" w:y="171" w:anchorLock="0"/>
    </w:pPr>
    <w:r w:rsidRPr="00C9680B">
      <w:rPr>
        <w:rStyle w:val="SidhuvudRubrikReferens"/>
      </w:rPr>
      <w:t>Försvarsutskottets yttrande</w:t>
    </w:r>
    <w:r w:rsidRPr="00C9680B">
      <w:rPr>
        <w:rStyle w:val="SidhuvudBilaga"/>
      </w:rPr>
      <w:t xml:space="preserve">   BILAGA 9 </w:t>
    </w:r>
    <w:r w:rsidRPr="00C9680B">
      <w:t xml:space="preserve">     </w:t>
    </w:r>
    <w:r w:rsidRPr="00C9680B">
      <w:rPr>
        <w:rStyle w:val="SidhuvudUtskott"/>
      </w:rPr>
      <w:t>2000/01:FiU1</w:t>
    </w:r>
  </w:p>
  <w:p w:rsidR="001C7BF9" w:rsidRPr="00C9680B" w:rsidRDefault="001C7BF9">
    <w:pPr>
      <w:pStyle w:val="SidhuvudKantUdda"/>
      <w:framePr w:w="8957" w:h="624" w:hRule="exact" w:vSpace="0" w:wrap="around" w:vAnchor="page" w:y="171" w:anchorLock="0"/>
    </w:pPr>
  </w:p>
  <w:p w:rsidR="001C7BF9" w:rsidRPr="00C9680B" w:rsidRDefault="001C7BF9">
    <w:pPr>
      <w:pStyle w:val="Sidhuvud"/>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t>2000/01:FiU1</w:t>
    </w:r>
    <w:r w:rsidRPr="00C9680B">
      <w:t xml:space="preserve">    </w:t>
    </w:r>
  </w:p>
  <w:p w:rsidR="001C7BF9" w:rsidRPr="00C9680B" w:rsidRDefault="001C7BF9">
    <w:pPr>
      <w:pStyle w:val="SidhuvudKantJmn"/>
      <w:framePr w:w="8957" w:h="624" w:hRule="exact" w:vSpace="0" w:wrap="around" w:vAnchor="page" w:y="171" w:anchorLock="0"/>
    </w:pPr>
  </w:p>
  <w:p w:rsidR="001C7BF9" w:rsidRPr="00C9680B" w:rsidRDefault="001C7BF9">
    <w:pPr>
      <w:pStyle w:val="SidhuvudKantUdda"/>
      <w:framePr w:w="8957" w:h="624" w:hRule="exact" w:vSpace="0" w:wrap="around" w:vAnchor="page" w:y="171" w:anchorLock="0"/>
    </w:pPr>
    <w:r w:rsidRPr="00C9680B">
      <w:rPr>
        <w:rStyle w:val="SidhuvudRubrikReferens"/>
        <w:smallCaps w:val="0"/>
        <w:spacing w:val="0"/>
        <w:sz w:val="19"/>
      </w:rPr>
      <w:t xml:space="preserve"> </w:t>
    </w:r>
  </w:p>
  <w:p w:rsidR="001C7BF9" w:rsidRPr="00C9680B" w:rsidRDefault="001C7BF9">
    <w:pPr>
      <w:pStyle w:val="Sidhuvud"/>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t>2000/01:FiU1</w:t>
    </w:r>
    <w:r w:rsidRPr="00C9680B">
      <w:t xml:space="preserve">     </w:t>
    </w:r>
    <w:r w:rsidRPr="00C9680B">
      <w:rPr>
        <w:rStyle w:val="SidhuvudBilaga"/>
      </w:rPr>
      <w:t xml:space="preserve"> BILAGA 10   </w:t>
    </w:r>
    <w:r w:rsidRPr="00C9680B">
      <w:rPr>
        <w:rStyle w:val="SidhuvudRubrikReferens"/>
      </w:rPr>
      <w:t>Socialförsäkringsutskottets yttrande</w:t>
    </w:r>
  </w:p>
  <w:p w:rsidR="001C7BF9" w:rsidRPr="00C9680B" w:rsidRDefault="001C7BF9">
    <w:pPr>
      <w:pStyle w:val="SidhuvudKantJmn"/>
      <w:framePr w:w="8957" w:h="624" w:hRule="exact" w:vSpace="0" w:wrap="around" w:vAnchor="page" w:y="171" w:anchorLock="0"/>
    </w:pPr>
  </w:p>
  <w:p w:rsidR="001C7BF9" w:rsidRPr="00C9680B" w:rsidRDefault="001C7BF9">
    <w:pPr>
      <w:pStyle w:val="Sidhuvud"/>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957" w:h="624" w:hRule="exact" w:vSpace="0" w:wrap="around" w:vAnchor="page" w:y="171" w:anchorLock="0"/>
    </w:pPr>
    <w:r w:rsidRPr="00C9680B">
      <w:rPr>
        <w:rStyle w:val="SidhuvudRubrikReferens"/>
      </w:rPr>
      <w:t>Socialförsäkringsutskottets yttrande</w:t>
    </w:r>
    <w:r w:rsidRPr="00C9680B">
      <w:rPr>
        <w:rStyle w:val="SidhuvudBilaga"/>
      </w:rPr>
      <w:t xml:space="preserve">   BILAGA 10 </w:t>
    </w:r>
    <w:r w:rsidRPr="00C9680B">
      <w:t xml:space="preserve">     </w:t>
    </w:r>
    <w:r w:rsidRPr="00C9680B">
      <w:rPr>
        <w:rStyle w:val="SidhuvudUtskott"/>
      </w:rPr>
      <w:t>2000/01:FiU1</w:t>
    </w:r>
  </w:p>
  <w:p w:rsidR="001C7BF9" w:rsidRPr="00C9680B" w:rsidRDefault="001C7BF9">
    <w:pPr>
      <w:pStyle w:val="SidhuvudKantUdda"/>
      <w:framePr w:w="8957" w:h="624" w:hRule="exact" w:vSpace="0" w:wrap="around" w:vAnchor="page" w:y="171" w:anchorLock="0"/>
    </w:pPr>
  </w:p>
  <w:p w:rsidR="001C7BF9" w:rsidRPr="00C9680B" w:rsidRDefault="001C7BF9">
    <w:pPr>
      <w:pStyle w:val="Sidhuvud"/>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957" w:h="624" w:hRule="exact" w:vSpace="0" w:wrap="around" w:vAnchor="page" w:y="171" w:anchorLock="0"/>
    </w:pPr>
    <w:r w:rsidRPr="00C9680B">
      <w:t xml:space="preserve">  </w:t>
    </w:r>
    <w:r w:rsidRPr="00C9680B">
      <w:rPr>
        <w:rStyle w:val="SidhuvudUtskott"/>
      </w:rPr>
      <w:t>2000/01:FiU1</w:t>
    </w:r>
  </w:p>
  <w:p w:rsidR="001C7BF9" w:rsidRPr="00C9680B" w:rsidRDefault="001C7BF9">
    <w:pPr>
      <w:pStyle w:val="SidhuvudKantUdda"/>
      <w:framePr w:w="8957" w:h="624" w:hRule="exact" w:vSpace="0" w:wrap="around" w:vAnchor="page" w:y="171" w:anchorLock="0"/>
    </w:pPr>
  </w:p>
  <w:p w:rsidR="001C7BF9" w:rsidRPr="00C9680B" w:rsidRDefault="001C7BF9">
    <w:pPr>
      <w:pStyle w:val="Sidhuvud"/>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t>2000/01:FiU1</w:t>
    </w:r>
    <w:r w:rsidRPr="00C9680B">
      <w:t xml:space="preserve">     </w:t>
    </w:r>
    <w:r w:rsidRPr="00C9680B">
      <w:rPr>
        <w:rStyle w:val="SidhuvudBilaga"/>
      </w:rPr>
      <w:t xml:space="preserve"> BILAGA 11   </w:t>
    </w:r>
    <w:r w:rsidRPr="00C9680B">
      <w:rPr>
        <w:rStyle w:val="SidhuvudRubrikReferens"/>
      </w:rPr>
      <w:t>Socialutskottets yttrande</w:t>
    </w:r>
  </w:p>
  <w:p w:rsidR="001C7BF9" w:rsidRPr="00C9680B" w:rsidRDefault="001C7BF9">
    <w:pPr>
      <w:pStyle w:val="SidhuvudKantJmn"/>
      <w:framePr w:w="8957" w:h="624" w:hRule="exact" w:vSpace="0" w:wrap="around" w:vAnchor="page" w:y="171" w:anchorLock="0"/>
    </w:pPr>
  </w:p>
  <w:p w:rsidR="001C7BF9" w:rsidRPr="00C9680B" w:rsidRDefault="001C7BF9">
    <w:pPr>
      <w:pStyle w:val="Sidhuvud"/>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957" w:h="624" w:hRule="exact" w:vSpace="0" w:wrap="around" w:vAnchor="page" w:y="171" w:anchorLock="0"/>
    </w:pPr>
    <w:r w:rsidRPr="00C9680B">
      <w:rPr>
        <w:rStyle w:val="SidhuvudRubrikReferens"/>
      </w:rPr>
      <w:t>Socialutskottets yttrande</w:t>
    </w:r>
    <w:r w:rsidRPr="00C9680B">
      <w:rPr>
        <w:rStyle w:val="SidhuvudBilaga"/>
      </w:rPr>
      <w:t xml:space="preserve">   BILAGA 11 </w:t>
    </w:r>
    <w:r w:rsidRPr="00C9680B">
      <w:t xml:space="preserve">     </w:t>
    </w:r>
    <w:r w:rsidRPr="00C9680B">
      <w:rPr>
        <w:rStyle w:val="SidhuvudUtskott"/>
      </w:rPr>
      <w:t>2000/01:FiU1</w:t>
    </w:r>
  </w:p>
  <w:p w:rsidR="001C7BF9" w:rsidRPr="00C9680B" w:rsidRDefault="001C7BF9">
    <w:pPr>
      <w:pStyle w:val="SidhuvudKantUdda"/>
      <w:framePr w:w="8957" w:h="624" w:hRule="exact" w:vSpace="0" w:wrap="around" w:vAnchor="page" w:y="171" w:anchorLock="0"/>
    </w:pPr>
  </w:p>
  <w:p w:rsidR="001C7BF9" w:rsidRPr="00C9680B" w:rsidRDefault="001C7BF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t>2000/01:FiU1</w:t>
    </w:r>
    <w:r w:rsidRPr="00C9680B">
      <w:t xml:space="preserve">    </w:t>
    </w:r>
  </w:p>
  <w:p w:rsidR="001C7BF9" w:rsidRPr="00C9680B" w:rsidRDefault="001C7BF9">
    <w:pPr>
      <w:pStyle w:val="SidhuvudKantJmn"/>
      <w:framePr w:w="8732" w:h="567" w:hRule="exact" w:vSpace="0" w:wrap="around" w:vAnchor="page" w:y="341" w:anchorLock="0"/>
    </w:pPr>
  </w:p>
  <w:p w:rsidR="001C7BF9" w:rsidRPr="00C9680B" w:rsidRDefault="001C7BF9">
    <w:pPr>
      <w:pStyle w:val="SidhuvudKantUdda"/>
      <w:framePr w:w="8732" w:h="567" w:hRule="exact" w:vSpace="0" w:wrap="around" w:vAnchor="page" w:y="341" w:anchorLock="0"/>
    </w:pPr>
    <w:r w:rsidRPr="00C9680B">
      <w:rPr>
        <w:rStyle w:val="SidhuvudRubrikReferens"/>
        <w:smallCaps w:val="0"/>
        <w:spacing w:val="0"/>
        <w:sz w:val="19"/>
      </w:rPr>
      <w:t xml:space="preserve"> </w:t>
    </w:r>
  </w:p>
  <w:p w:rsidR="001C7BF9" w:rsidRPr="00C9680B" w:rsidRDefault="001C7BF9">
    <w:pPr>
      <w:pStyle w:val="Sidhuvud"/>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957" w:h="624" w:hRule="exact" w:vSpace="0" w:wrap="around" w:vAnchor="page" w:y="171" w:anchorLock="0"/>
    </w:pPr>
    <w:r w:rsidRPr="00C9680B">
      <w:t xml:space="preserve">  </w:t>
    </w:r>
    <w:r w:rsidRPr="00C9680B">
      <w:rPr>
        <w:rStyle w:val="SidhuvudUtskott"/>
      </w:rPr>
      <w:t>2000/01:FiU1</w:t>
    </w:r>
  </w:p>
  <w:p w:rsidR="001C7BF9" w:rsidRPr="00C9680B" w:rsidRDefault="001C7BF9">
    <w:pPr>
      <w:pStyle w:val="SidhuvudKantUdda"/>
      <w:framePr w:w="8957" w:h="624" w:hRule="exact" w:vSpace="0" w:wrap="around" w:vAnchor="page" w:y="171" w:anchorLock="0"/>
    </w:pPr>
  </w:p>
  <w:p w:rsidR="001C7BF9" w:rsidRPr="00C9680B" w:rsidRDefault="001C7BF9">
    <w:pPr>
      <w:pStyle w:val="Sidhuvud"/>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r w:rsidRPr="00C9680B">
      <w:t xml:space="preserve">     </w:t>
    </w:r>
    <w:r w:rsidRPr="00C9680B">
      <w:rPr>
        <w:rStyle w:val="SidhuvudBilaga"/>
      </w:rPr>
      <w:t xml:space="preserve"> BILAGA 12   </w:t>
    </w: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Kulturutskottets protokollsutdrag</w:t>
    </w:r>
    <w:r w:rsidRPr="00C9680B">
      <w:rPr>
        <w:rStyle w:val="SidhuvudRubrikReferens"/>
      </w:rPr>
      <w:fldChar w:fldCharType="end"/>
    </w:r>
  </w:p>
  <w:p w:rsidR="001C7BF9" w:rsidRPr="00C9680B" w:rsidRDefault="001C7BF9">
    <w:pPr>
      <w:pStyle w:val="SidhuvudKantJmn"/>
      <w:framePr w:w="8957" w:h="624" w:hRule="exact" w:vSpace="0" w:wrap="around" w:vAnchor="page" w:y="17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
      <w:rPr>
        <w:sz w:val="2"/>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957" w:h="624" w:hRule="exact" w:vSpace="0" w:wrap="around" w:vAnchor="page" w:y="171" w:anchorLock="0"/>
    </w:pPr>
    <w:r w:rsidRPr="00C9680B">
      <w:rPr>
        <w:rStyle w:val="SidhuvudRubrikReferens"/>
      </w:rPr>
      <w:t>Kulturutskottets protokollsutdrag</w:t>
    </w:r>
    <w:r w:rsidRPr="00C9680B">
      <w:rPr>
        <w:rStyle w:val="SidhuvudBilaga"/>
      </w:rPr>
      <w:t xml:space="preserve">   BILAGA 12 </w:t>
    </w:r>
    <w:r w:rsidRPr="00C9680B">
      <w:t xml:space="preserve">     </w:t>
    </w:r>
    <w:r w:rsidRPr="00C9680B">
      <w:rPr>
        <w:rStyle w:val="SidhuvudUtskott"/>
      </w:rPr>
      <w:t>2000/01:FiU1</w:t>
    </w:r>
  </w:p>
  <w:p w:rsidR="001C7BF9" w:rsidRPr="00C9680B" w:rsidRDefault="001C7BF9">
    <w:pPr>
      <w:pStyle w:val="SidhuvudKantUdda"/>
      <w:framePr w:w="8957" w:h="624" w:hRule="exact" w:vSpace="0" w:wrap="around" w:vAnchor="page" w:y="171" w:anchorLock="0"/>
    </w:pPr>
  </w:p>
  <w:p w:rsidR="001C7BF9" w:rsidRPr="00C9680B" w:rsidRDefault="001C7BF9">
    <w:pPr>
      <w:pStyle w:val="Sidhuvud"/>
      <w:rPr>
        <w:sz w:val="2"/>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t>2000/01:FiU1</w:t>
    </w:r>
    <w:r w:rsidRPr="00C9680B">
      <w:t xml:space="preserve">    </w:t>
    </w:r>
  </w:p>
  <w:p w:rsidR="001C7BF9" w:rsidRPr="00C9680B" w:rsidRDefault="001C7BF9">
    <w:pPr>
      <w:pStyle w:val="SidhuvudKantJmn"/>
      <w:framePr w:w="8957" w:h="624" w:hRule="exact" w:vSpace="0" w:wrap="around" w:vAnchor="page" w:y="171" w:anchorLock="0"/>
    </w:pPr>
  </w:p>
  <w:p w:rsidR="001C7BF9" w:rsidRPr="00C9680B" w:rsidRDefault="001C7BF9">
    <w:pPr>
      <w:pStyle w:val="SidhuvudKantUdda"/>
      <w:framePr w:w="8957" w:h="624" w:hRule="exact" w:vSpace="0" w:wrap="around" w:vAnchor="page" w:y="171" w:anchorLock="0"/>
    </w:pPr>
    <w:r w:rsidRPr="00C9680B">
      <w:rPr>
        <w:rStyle w:val="SidhuvudRubrikReferens"/>
        <w:smallCaps w:val="0"/>
        <w:spacing w:val="0"/>
        <w:sz w:val="19"/>
      </w:rPr>
      <w:t xml:space="preserve"> </w:t>
    </w:r>
  </w:p>
  <w:p w:rsidR="001C7BF9" w:rsidRPr="00C9680B" w:rsidRDefault="001C7BF9">
    <w:pPr>
      <w:pStyle w:val="Sidhuvud"/>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r w:rsidRPr="00C9680B">
      <w:t xml:space="preserve">     </w:t>
    </w:r>
    <w:r w:rsidRPr="00C9680B">
      <w:rPr>
        <w:rStyle w:val="SidhuvudBilaga"/>
      </w:rPr>
      <w:t xml:space="preserve"> BILAGA 6   </w:t>
    </w: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Kulturutskottets protokollsutdrag</w:t>
    </w:r>
    <w:r w:rsidRPr="00C9680B">
      <w:rPr>
        <w:rStyle w:val="SidhuvudRubrikReferens"/>
      </w:rPr>
      <w:fldChar w:fldCharType="end"/>
    </w:r>
  </w:p>
  <w:p w:rsidR="001C7BF9" w:rsidRPr="00C9680B" w:rsidRDefault="001C7BF9">
    <w:pPr>
      <w:pStyle w:val="SidhuvudKantJmn"/>
      <w:framePr w:w="8957" w:h="624" w:hRule="exact" w:vSpace="0" w:wrap="around" w:vAnchor="page" w:y="17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end"/>
    </w:r>
  </w:p>
  <w:p w:rsidR="001C7BF9" w:rsidRPr="00C9680B" w:rsidRDefault="001C7BF9">
    <w:pPr>
      <w:pStyle w:val="Sidhuvud"/>
      <w:rPr>
        <w:sz w:val="2"/>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957" w:h="624" w:hRule="exact" w:vSpace="0" w:wrap="around" w:vAnchor="page" w:y="171" w:anchorLock="0"/>
    </w:pP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Kulturutskottets protokollsutdrag</w:t>
    </w:r>
    <w:r w:rsidRPr="00C9680B">
      <w:rPr>
        <w:rStyle w:val="SidhuvudRubrikReferens"/>
      </w:rPr>
      <w:fldChar w:fldCharType="end"/>
    </w:r>
    <w:r w:rsidRPr="00C9680B">
      <w:rPr>
        <w:rStyle w:val="SidhuvudBilaga"/>
      </w:rPr>
      <w:t xml:space="preserve">   BILAGA 6 </w:t>
    </w:r>
    <w:r w:rsidRPr="00C9680B">
      <w:t xml:space="preserve">     </w: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w:instrText>
    </w:r>
    <w:r w:rsidRPr="00C9680B">
      <w:instrText xml:space="preserve"> </w:instrText>
    </w:r>
    <w:r w:rsidRPr="00C9680B">
      <w:rPr>
        <w:rStyle w:val="SidhuvudUtskott"/>
      </w:rPr>
      <w:instrText>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w:instrText>
    </w:r>
    <w:r w:rsidRPr="00C9680B">
      <w:rPr>
        <w:rStyle w:val="SidhuvudUtskott"/>
      </w:rPr>
      <w:instrText>n</w:instrText>
    </w:r>
    <w:r w:rsidRPr="00C9680B">
      <w:rPr>
        <w:rStyle w:val="SidhuvudUtskott"/>
      </w:rPr>
      <w:instrText>kandeNr</w:instrText>
    </w:r>
    <w:r w:rsidRPr="00C9680B">
      <w:rPr>
        <w:rStyle w:val="SidhuvudUtskott"/>
      </w:rPr>
      <w:fldChar w:fldCharType="separate"/>
    </w:r>
    <w:r w:rsidRPr="00C9680B">
      <w:rPr>
        <w:rStyle w:val="SidhuvudUtskott"/>
      </w:rPr>
      <w:t>1</w:t>
    </w:r>
    <w:r w:rsidRPr="00C9680B">
      <w:rPr>
        <w:rStyle w:val="SidhuvudUtskott"/>
      </w:rPr>
      <w:fldChar w:fldCharType="end"/>
    </w:r>
  </w:p>
  <w:p w:rsidR="001C7BF9" w:rsidRPr="00C9680B" w:rsidRDefault="001C7BF9">
    <w:pPr>
      <w:pStyle w:val="SidhuvudKantUdda"/>
      <w:framePr w:w="8957" w:h="624" w:hRule="exact" w:vSpace="0" w:wrap="around" w:vAnchor="page" w:y="171" w:anchorLock="0"/>
    </w:pP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w:instrText>
    </w:r>
    <w:r w:rsidRPr="00C9680B">
      <w:rPr>
        <w:rStyle w:val="SidhuvudUtskott"/>
      </w:rPr>
      <w:fldChar w:fldCharType="begin" w:fldLock="1"/>
    </w:r>
    <w:r w:rsidRPr="00C9680B">
      <w:rPr>
        <w:rStyle w:val="SidhuvudUtskott"/>
      </w:rPr>
      <w:instrText xml:space="preserve"> PRINTDATE \@ "yyyy-MM-dd HH.mm    "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PERTY Status</w:instrText>
    </w:r>
    <w:r w:rsidRPr="00C9680B">
      <w:rPr>
        <w:rStyle w:val="SidhuvudUtskott"/>
      </w:rPr>
      <w:fldChar w:fldCharType="end"/>
    </w:r>
  </w:p>
  <w:p w:rsidR="001C7BF9" w:rsidRPr="00C9680B" w:rsidRDefault="001C7BF9">
    <w:pPr>
      <w:pStyle w:val="Sidhuvud"/>
      <w:rPr>
        <w:sz w:val="2"/>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t>2000/01:FiU1</w:t>
    </w:r>
    <w:r w:rsidRPr="00C9680B">
      <w:t xml:space="preserve">    </w:t>
    </w:r>
  </w:p>
  <w:p w:rsidR="001C7BF9" w:rsidRPr="00C9680B" w:rsidRDefault="001C7BF9">
    <w:pPr>
      <w:pStyle w:val="SidhuvudKantJmn"/>
      <w:framePr w:w="8957" w:h="624" w:hRule="exact" w:vSpace="0" w:wrap="around" w:vAnchor="page" w:y="171" w:anchorLock="0"/>
    </w:pPr>
  </w:p>
  <w:p w:rsidR="001C7BF9" w:rsidRPr="00C9680B" w:rsidRDefault="001C7BF9">
    <w:pPr>
      <w:pStyle w:val="SidhuvudKantUdda"/>
      <w:framePr w:w="8957" w:h="624" w:hRule="exact" w:vSpace="0" w:wrap="around" w:vAnchor="page" w:y="171" w:anchorLock="0"/>
    </w:pPr>
    <w:r w:rsidRPr="00C9680B">
      <w:rPr>
        <w:rStyle w:val="SidhuvudRubrikReferens"/>
        <w:smallCaps w:val="0"/>
        <w:spacing w:val="0"/>
        <w:sz w:val="19"/>
      </w:rPr>
      <w:t xml:space="preserve"> </w:t>
    </w:r>
  </w:p>
  <w:p w:rsidR="001C7BF9" w:rsidRPr="00C9680B" w:rsidRDefault="001C7BF9">
    <w:pPr>
      <w:pStyle w:val="Sidhuvud"/>
      <w:rPr>
        <w:sz w:val="2"/>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r w:rsidRPr="00C9680B">
      <w:t xml:space="preserve">     </w:t>
    </w:r>
    <w:r w:rsidRPr="00C9680B">
      <w:rPr>
        <w:rStyle w:val="SidhuvudBilaga"/>
      </w:rPr>
      <w:t xml:space="preserve"> BILAGA 6   </w:t>
    </w: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2000/01:3.2</w:t>
    </w:r>
    <w:r w:rsidRPr="00C9680B">
      <w:rPr>
        <w:rStyle w:val="SidhuvudRubrikReferens"/>
      </w:rPr>
      <w:fldChar w:fldCharType="end"/>
    </w:r>
  </w:p>
  <w:p w:rsidR="001C7BF9" w:rsidRPr="00C9680B" w:rsidRDefault="001C7BF9">
    <w:pPr>
      <w:pStyle w:val="SidhuvudKantJmn"/>
      <w:framePr w:w="8957" w:h="624" w:hRule="exact" w:vSpace="0" w:wrap="around" w:vAnchor="page" w:y="17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end"/>
    </w:r>
  </w:p>
  <w:p w:rsidR="001C7BF9" w:rsidRPr="00C9680B" w:rsidRDefault="001C7BF9">
    <w:pPr>
      <w:pStyle w:val="Sidhuvud"/>
      <w:rPr>
        <w:sz w:val="2"/>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957" w:h="624" w:hRule="exact" w:vSpace="0" w:wrap="around" w:vAnchor="page" w:y="171" w:anchorLock="0"/>
    </w:pP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2000/01:3.2</w:t>
    </w:r>
    <w:r w:rsidRPr="00C9680B">
      <w:rPr>
        <w:rStyle w:val="SidhuvudRubrikReferens"/>
      </w:rPr>
      <w:fldChar w:fldCharType="end"/>
    </w:r>
    <w:r w:rsidRPr="00C9680B">
      <w:rPr>
        <w:rStyle w:val="SidhuvudBilaga"/>
      </w:rPr>
      <w:t xml:space="preserve">   BILAGA 6 </w:t>
    </w:r>
    <w:r w:rsidRPr="00C9680B">
      <w:t xml:space="preserve">     </w: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w:instrText>
    </w:r>
    <w:r w:rsidRPr="00C9680B">
      <w:instrText xml:space="preserve"> </w:instrText>
    </w:r>
    <w:r w:rsidRPr="00C9680B">
      <w:rPr>
        <w:rStyle w:val="SidhuvudUtskott"/>
      </w:rPr>
      <w:instrText>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w:instrText>
    </w:r>
    <w:r w:rsidRPr="00C9680B">
      <w:rPr>
        <w:rStyle w:val="SidhuvudUtskott"/>
      </w:rPr>
      <w:instrText>n</w:instrText>
    </w:r>
    <w:r w:rsidRPr="00C9680B">
      <w:rPr>
        <w:rStyle w:val="SidhuvudUtskott"/>
      </w:rPr>
      <w:instrText>kandeNr</w:instrText>
    </w:r>
    <w:r w:rsidRPr="00C9680B">
      <w:rPr>
        <w:rStyle w:val="SidhuvudUtskott"/>
      </w:rPr>
      <w:fldChar w:fldCharType="separate"/>
    </w:r>
    <w:r w:rsidRPr="00C9680B">
      <w:rPr>
        <w:rStyle w:val="SidhuvudUtskott"/>
      </w:rPr>
      <w:t>1</w:t>
    </w:r>
    <w:r w:rsidRPr="00C9680B">
      <w:rPr>
        <w:rStyle w:val="SidhuvudUtskott"/>
      </w:rPr>
      <w:fldChar w:fldCharType="end"/>
    </w:r>
  </w:p>
  <w:p w:rsidR="001C7BF9" w:rsidRPr="00C9680B" w:rsidRDefault="001C7BF9">
    <w:pPr>
      <w:pStyle w:val="SidhuvudKantUdda"/>
      <w:framePr w:w="8957" w:h="624" w:hRule="exact" w:vSpace="0" w:wrap="around" w:vAnchor="page" w:y="171" w:anchorLock="0"/>
    </w:pP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w:instrText>
    </w:r>
    <w:r w:rsidRPr="00C9680B">
      <w:rPr>
        <w:rStyle w:val="SidhuvudUtskott"/>
      </w:rPr>
      <w:fldChar w:fldCharType="begin" w:fldLock="1"/>
    </w:r>
    <w:r w:rsidRPr="00C9680B">
      <w:rPr>
        <w:rStyle w:val="SidhuvudUtskott"/>
      </w:rPr>
      <w:instrText xml:space="preserve"> PRINTDATE \@ "yyyy-MM-dd HH.mm    "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PERTY Status</w:instrText>
    </w:r>
    <w:r w:rsidRPr="00C9680B">
      <w:rPr>
        <w:rStyle w:val="SidhuvudUtskott"/>
      </w:rPr>
      <w:fldChar w:fldCharType="end"/>
    </w:r>
  </w:p>
  <w:p w:rsidR="001C7BF9" w:rsidRPr="00C9680B" w:rsidRDefault="001C7BF9">
    <w:pPr>
      <w:pStyle w:val="Sidhuvud"/>
      <w:rPr>
        <w:sz w:val="2"/>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957" w:h="624" w:hRule="exact" w:vSpace="0" w:wrap="around" w:vAnchor="page" w:y="171" w:anchorLock="0"/>
    </w:pPr>
    <w:r w:rsidRPr="00C9680B">
      <w:t xml:space="preserve">  </w:t>
    </w:r>
    <w:r w:rsidRPr="00C9680B">
      <w:rPr>
        <w:rStyle w:val="SidhuvudUtskott"/>
      </w:rPr>
      <w:t>2000/01:FiU1</w:t>
    </w:r>
  </w:p>
  <w:p w:rsidR="001C7BF9" w:rsidRPr="00C9680B" w:rsidRDefault="001C7BF9">
    <w:pPr>
      <w:pStyle w:val="SidhuvudKantUdda"/>
      <w:framePr w:w="8957" w:h="624" w:hRule="exact" w:vSpace="0" w:wrap="around" w:vAnchor="page" w:y="171" w:anchorLock="0"/>
    </w:pPr>
  </w:p>
  <w:p w:rsidR="001C7BF9" w:rsidRPr="00C9680B" w:rsidRDefault="001C7BF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t>2000/01:FiU1</w:t>
    </w:r>
    <w:r w:rsidRPr="00C9680B">
      <w:t xml:space="preserve">     </w:t>
    </w:r>
    <w:r w:rsidRPr="00C9680B">
      <w:rPr>
        <w:rStyle w:val="SidhuvudBilaga"/>
      </w:rPr>
      <w:t xml:space="preserve"> </w:t>
    </w:r>
    <w:r w:rsidRPr="00C9680B">
      <w:rPr>
        <w:rStyle w:val="SidhuvudRubrikReferens"/>
      </w:rPr>
      <w:t>Utskottets förslag till riksdagsbeslut</w:t>
    </w:r>
  </w:p>
  <w:p w:rsidR="001C7BF9" w:rsidRPr="00C9680B" w:rsidRDefault="001C7BF9">
    <w:pPr>
      <w:pStyle w:val="SidhuvudKantJmn"/>
      <w:framePr w:w="8732" w:h="567" w:hRule="exact" w:vSpace="0" w:wrap="around" w:vAnchor="page" w:y="341" w:anchorLock="0"/>
    </w:pPr>
  </w:p>
  <w:p w:rsidR="001C7BF9" w:rsidRPr="00C9680B" w:rsidRDefault="001C7BF9">
    <w:pPr>
      <w:pStyle w:val="Sidhuvud"/>
      <w:rPr>
        <w:sz w:val="2"/>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t>2000/01:FiU1</w:t>
    </w:r>
    <w:r w:rsidRPr="00C9680B">
      <w:t xml:space="preserve">     </w:t>
    </w:r>
    <w:r w:rsidRPr="00C9680B">
      <w:rPr>
        <w:rStyle w:val="SidhuvudBilaga"/>
      </w:rPr>
      <w:t xml:space="preserve"> BILAGA 15   </w:t>
    </w:r>
    <w:r w:rsidRPr="00C9680B">
      <w:rPr>
        <w:rStyle w:val="SidhuvudRubrikReferens"/>
      </w:rPr>
      <w:t>Arbetsmarknadsutskottets protokollsutdrag</w:t>
    </w:r>
  </w:p>
  <w:p w:rsidR="001C7BF9" w:rsidRPr="00C9680B" w:rsidRDefault="001C7BF9">
    <w:pPr>
      <w:pStyle w:val="SidhuvudKantJmn"/>
      <w:framePr w:w="8957" w:h="624" w:hRule="exact" w:vSpace="0" w:wrap="around" w:vAnchor="page" w:y="171" w:anchorLock="0"/>
    </w:pPr>
  </w:p>
  <w:p w:rsidR="001C7BF9" w:rsidRPr="00C9680B" w:rsidRDefault="001C7BF9">
    <w:pPr>
      <w:pStyle w:val="Sidhuvud"/>
      <w:rPr>
        <w:sz w:val="2"/>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957" w:h="624" w:hRule="exact" w:vSpace="0" w:wrap="around" w:vAnchor="page" w:y="171" w:anchorLock="0"/>
    </w:pPr>
    <w:r w:rsidRPr="00C9680B">
      <w:rPr>
        <w:rStyle w:val="SidhuvudRubrikReferens"/>
      </w:rPr>
      <w:t>Arbetsmarknadsutskottets protokollsutdrag</w:t>
    </w:r>
    <w:r w:rsidRPr="00C9680B">
      <w:rPr>
        <w:rStyle w:val="SidhuvudBilaga"/>
      </w:rPr>
      <w:t xml:space="preserve">   BILAGA 15 </w:t>
    </w:r>
    <w:r w:rsidRPr="00C9680B">
      <w:t xml:space="preserve">     </w:t>
    </w:r>
    <w:r w:rsidRPr="00C9680B">
      <w:rPr>
        <w:rStyle w:val="SidhuvudUtskott"/>
      </w:rPr>
      <w:t>2000/01:FiU1</w:t>
    </w:r>
  </w:p>
  <w:p w:rsidR="001C7BF9" w:rsidRPr="00C9680B" w:rsidRDefault="001C7BF9">
    <w:pPr>
      <w:pStyle w:val="SidhuvudKantUdda"/>
      <w:framePr w:w="8957" w:h="624" w:hRule="exact" w:vSpace="0" w:wrap="around" w:vAnchor="page" w:y="171" w:anchorLock="0"/>
    </w:pPr>
  </w:p>
  <w:p w:rsidR="001C7BF9" w:rsidRPr="00C9680B" w:rsidRDefault="001C7BF9">
    <w:pPr>
      <w:pStyle w:val="Sidhuvud"/>
      <w:rPr>
        <w:sz w:val="2"/>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t>2000/01:FiU1</w:t>
    </w:r>
    <w:r w:rsidRPr="00C9680B">
      <w:t xml:space="preserve">    </w:t>
    </w:r>
  </w:p>
  <w:p w:rsidR="001C7BF9" w:rsidRPr="00C9680B" w:rsidRDefault="001C7BF9">
    <w:pPr>
      <w:pStyle w:val="SidhuvudKantJmn"/>
      <w:framePr w:w="8957" w:h="624" w:hRule="exact" w:vSpace="0" w:wrap="around" w:vAnchor="page" w:y="171" w:anchorLock="0"/>
    </w:pPr>
  </w:p>
  <w:p w:rsidR="001C7BF9" w:rsidRPr="00C9680B" w:rsidRDefault="001C7BF9">
    <w:pPr>
      <w:pStyle w:val="SidhuvudKantUdda"/>
      <w:framePr w:w="8957" w:h="624" w:hRule="exact" w:vSpace="0" w:wrap="around" w:vAnchor="page" w:y="171" w:anchorLock="0"/>
    </w:pPr>
    <w:r w:rsidRPr="00C9680B">
      <w:rPr>
        <w:rStyle w:val="SidhuvudRubrikReferens"/>
        <w:smallCaps w:val="0"/>
        <w:spacing w:val="0"/>
        <w:sz w:val="19"/>
      </w:rPr>
      <w:t xml:space="preserve"> </w:t>
    </w:r>
  </w:p>
  <w:p w:rsidR="001C7BF9" w:rsidRPr="00C9680B" w:rsidRDefault="001C7BF9">
    <w:pPr>
      <w:pStyle w:val="Sidhuvud"/>
      <w:rPr>
        <w:sz w:val="2"/>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t>2000/01:FiU1</w:t>
    </w:r>
    <w:r w:rsidRPr="00C9680B">
      <w:t xml:space="preserve">     </w:t>
    </w:r>
    <w:r w:rsidRPr="00C9680B">
      <w:rPr>
        <w:rStyle w:val="SidhuvudBilaga"/>
      </w:rPr>
      <w:t xml:space="preserve"> BILAGA 16   </w:t>
    </w:r>
    <w:r w:rsidRPr="00C9680B">
      <w:rPr>
        <w:rStyle w:val="SidhuvudRubrikReferens"/>
      </w:rPr>
      <w:t>Bostadsutskottets yttrande</w:t>
    </w:r>
  </w:p>
  <w:p w:rsidR="001C7BF9" w:rsidRPr="00C9680B" w:rsidRDefault="001C7BF9">
    <w:pPr>
      <w:pStyle w:val="SidhuvudKantJmn"/>
      <w:framePr w:w="8732" w:h="567" w:hRule="exact" w:vSpace="0" w:wrap="around" w:vAnchor="page" w:y="341" w:anchorLock="0"/>
    </w:pPr>
  </w:p>
  <w:p w:rsidR="001C7BF9" w:rsidRPr="00C9680B" w:rsidRDefault="001C7BF9">
    <w:pPr>
      <w:pStyle w:val="Sidhuvud"/>
      <w:rPr>
        <w:sz w:val="2"/>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732" w:h="567" w:hRule="exact" w:vSpace="0" w:wrap="around" w:vAnchor="page" w:y="341" w:anchorLock="0"/>
    </w:pPr>
    <w:r w:rsidRPr="00C9680B">
      <w:rPr>
        <w:rStyle w:val="SidhuvudRubrikReferens"/>
      </w:rPr>
      <w:t>Bostadsutskottets yttrande</w:t>
    </w:r>
    <w:r w:rsidRPr="00C9680B">
      <w:rPr>
        <w:rStyle w:val="SidhuvudBilaga"/>
      </w:rPr>
      <w:t xml:space="preserve">   BILAGA 16 </w:t>
    </w:r>
    <w:r w:rsidRPr="00C9680B">
      <w:t xml:space="preserve">     </w:t>
    </w:r>
    <w:r w:rsidRPr="00C9680B">
      <w:rPr>
        <w:rStyle w:val="SidhuvudUtskott"/>
      </w:rPr>
      <w:t>2000/01:FiU1</w:t>
    </w:r>
  </w:p>
  <w:p w:rsidR="001C7BF9" w:rsidRPr="00C9680B" w:rsidRDefault="001C7BF9">
    <w:pPr>
      <w:pStyle w:val="SidhuvudKantUdda"/>
      <w:framePr w:w="8732" w:h="567" w:hRule="exact" w:vSpace="0" w:wrap="around" w:vAnchor="page" w:y="341" w:anchorLock="0"/>
    </w:pPr>
  </w:p>
  <w:p w:rsidR="001C7BF9" w:rsidRPr="00C9680B" w:rsidRDefault="001C7BF9">
    <w:pPr>
      <w:pStyle w:val="Sidhuvud"/>
      <w:rPr>
        <w:sz w:val="2"/>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732" w:h="567" w:hRule="exact" w:vSpace="0" w:wrap="around" w:vAnchor="page" w:y="341" w:anchorLock="0"/>
    </w:pPr>
    <w:r w:rsidRPr="00C9680B">
      <w:t xml:space="preserve">  </w:t>
    </w:r>
    <w:r w:rsidRPr="00C9680B">
      <w:rPr>
        <w:rStyle w:val="SidhuvudUtskott"/>
      </w:rPr>
      <w:t>2000/01:FiU1</w:t>
    </w:r>
  </w:p>
  <w:p w:rsidR="001C7BF9" w:rsidRPr="00C9680B" w:rsidRDefault="001C7BF9">
    <w:pPr>
      <w:pStyle w:val="SidhuvudKantUdda"/>
      <w:framePr w:w="8732" w:h="567" w:hRule="exact" w:vSpace="0" w:wrap="around" w:vAnchor="page" w:y="341" w:anchorLock="0"/>
    </w:pPr>
  </w:p>
  <w:p w:rsidR="001C7BF9" w:rsidRPr="00C9680B" w:rsidRDefault="001C7BF9">
    <w:pPr>
      <w:pStyle w:val="Sidhuvud"/>
      <w:rPr>
        <w:sz w:val="2"/>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t>2000/01:FiU1</w:t>
    </w:r>
    <w:r w:rsidRPr="00C9680B">
      <w:t xml:space="preserve">     </w:t>
    </w:r>
    <w:r w:rsidRPr="00C9680B">
      <w:rPr>
        <w:rStyle w:val="SidhuvudBilaga"/>
      </w:rPr>
      <w:t xml:space="preserve"> BILAGA 17   </w:t>
    </w:r>
    <w:r w:rsidRPr="00C9680B">
      <w:rPr>
        <w:rStyle w:val="SidhuvudRubrikReferens"/>
      </w:rPr>
      <w:t>Finansutskottets offentliga utfrågning</w:t>
    </w:r>
  </w:p>
  <w:p w:rsidR="001C7BF9" w:rsidRPr="00C9680B" w:rsidRDefault="001C7BF9">
    <w:pPr>
      <w:pStyle w:val="SidhuvudKantJmn"/>
      <w:framePr w:w="8957" w:h="624" w:hRule="exact" w:vSpace="0" w:wrap="around" w:vAnchor="page" w:y="171" w:anchorLock="0"/>
    </w:pPr>
  </w:p>
  <w:p w:rsidR="001C7BF9" w:rsidRPr="00C9680B" w:rsidRDefault="001C7BF9">
    <w:pPr>
      <w:pStyle w:val="Sidhuvud"/>
      <w:rPr>
        <w:sz w:val="2"/>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957" w:h="624" w:hRule="exact" w:vSpace="0" w:wrap="around" w:vAnchor="page" w:y="171" w:anchorLock="0"/>
    </w:pPr>
    <w:r w:rsidRPr="00C9680B">
      <w:rPr>
        <w:rStyle w:val="SidhuvudRubrikReferens"/>
      </w:rPr>
      <w:t>Finansutskottets offentliga utfrågning</w:t>
    </w:r>
    <w:r w:rsidRPr="00C9680B">
      <w:rPr>
        <w:rStyle w:val="SidhuvudBilaga"/>
      </w:rPr>
      <w:t xml:space="preserve">   BILAGA 17 </w:t>
    </w:r>
    <w:r w:rsidRPr="00C9680B">
      <w:t xml:space="preserve">     </w:t>
    </w:r>
    <w:r w:rsidRPr="00C9680B">
      <w:rPr>
        <w:rStyle w:val="SidhuvudUtskott"/>
      </w:rPr>
      <w:t>2000/01:FiU1</w:t>
    </w:r>
  </w:p>
  <w:p w:rsidR="001C7BF9" w:rsidRPr="00C9680B" w:rsidRDefault="001C7BF9">
    <w:pPr>
      <w:pStyle w:val="SidhuvudKantUdda"/>
      <w:framePr w:w="8957" w:h="624" w:hRule="exact" w:vSpace="0" w:wrap="around" w:vAnchor="page" w:y="171" w:anchorLock="0"/>
    </w:pPr>
  </w:p>
  <w:p w:rsidR="001C7BF9" w:rsidRPr="00C9680B" w:rsidRDefault="001C7BF9">
    <w:pPr>
      <w:pStyle w:val="Sidhuvud"/>
      <w:rPr>
        <w:sz w:val="2"/>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957" w:h="624" w:hRule="exact" w:vSpace="0" w:wrap="around" w:vAnchor="page" w:y="171" w:anchorLock="0"/>
    </w:pPr>
    <w:r w:rsidRPr="00C9680B">
      <w:rPr>
        <w:rStyle w:val="SidhuvudUtskott"/>
      </w:rPr>
      <w:t>2000/01:FiU1</w:t>
    </w:r>
    <w:r w:rsidRPr="00C9680B">
      <w:t xml:space="preserve">    </w:t>
    </w:r>
  </w:p>
  <w:p w:rsidR="001C7BF9" w:rsidRPr="00C9680B" w:rsidRDefault="001C7BF9">
    <w:pPr>
      <w:pStyle w:val="SidhuvudKantJmn"/>
      <w:framePr w:w="8957" w:h="624" w:hRule="exact" w:vSpace="0" w:wrap="around" w:vAnchor="page" w:y="171" w:anchorLock="0"/>
    </w:pPr>
  </w:p>
  <w:p w:rsidR="001C7BF9" w:rsidRPr="00C9680B" w:rsidRDefault="001C7BF9">
    <w:pPr>
      <w:pStyle w:val="SidhuvudKantUdda"/>
      <w:framePr w:w="8957" w:h="624" w:hRule="exact" w:vSpace="0" w:wrap="around" w:vAnchor="page" w:y="171" w:anchorLock="0"/>
    </w:pPr>
    <w:r w:rsidRPr="00C9680B">
      <w:rPr>
        <w:rStyle w:val="SidhuvudRubrikReferens"/>
        <w:smallCaps w:val="0"/>
        <w:spacing w:val="0"/>
        <w:sz w:val="19"/>
      </w:rPr>
      <w:t xml:space="preserve"> </w:t>
    </w:r>
  </w:p>
  <w:p w:rsidR="001C7BF9" w:rsidRPr="00C9680B" w:rsidRDefault="001C7BF9">
    <w:pPr>
      <w:pStyle w:val="Sidhuvud"/>
      <w:rPr>
        <w:sz w:val="2"/>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r w:rsidRPr="00C9680B">
      <w:t xml:space="preserve">     </w:t>
    </w:r>
    <w:r w:rsidRPr="00C9680B">
      <w:rPr>
        <w:rStyle w:val="SidhuvudBilaga"/>
      </w:rPr>
      <w:t xml:space="preserve"> </w:t>
    </w: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Utskottets lagförslag</w:t>
    </w:r>
    <w:r w:rsidRPr="00C9680B">
      <w:rPr>
        <w:rStyle w:val="SidhuvudRubrikReferens"/>
      </w:rPr>
      <w:fldChar w:fldCharType="end"/>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end"/>
    </w:r>
  </w:p>
  <w:p w:rsidR="001C7BF9" w:rsidRPr="00C9680B" w:rsidRDefault="001C7BF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732" w:h="567" w:hRule="exact" w:vSpace="0" w:wrap="around" w:vAnchor="page" w:y="341" w:anchorLock="0"/>
    </w:pPr>
    <w:r w:rsidRPr="00C9680B">
      <w:rPr>
        <w:rStyle w:val="SidhuvudRubrikReferens"/>
      </w:rPr>
      <w:t>Utskottets förslag till riksdagsbeslut</w:t>
    </w:r>
    <w:r w:rsidRPr="00C9680B">
      <w:rPr>
        <w:rStyle w:val="SidhuvudBilaga"/>
      </w:rPr>
      <w:t xml:space="preserve"> </w:t>
    </w:r>
    <w:r w:rsidRPr="00C9680B">
      <w:t xml:space="preserve">     </w:t>
    </w:r>
    <w:r w:rsidRPr="00C9680B">
      <w:rPr>
        <w:rStyle w:val="SidhuvudUtskott"/>
      </w:rPr>
      <w:t>2000/01:FiU1</w:t>
    </w:r>
  </w:p>
  <w:p w:rsidR="001C7BF9" w:rsidRPr="00C9680B" w:rsidRDefault="001C7BF9">
    <w:pPr>
      <w:pStyle w:val="SidhuvudKantUdda"/>
      <w:framePr w:w="8732" w:h="567" w:hRule="exact" w:vSpace="0" w:wrap="around" w:vAnchor="page" w:y="341" w:anchorLock="0"/>
    </w:pPr>
  </w:p>
  <w:p w:rsidR="001C7BF9" w:rsidRPr="00C9680B" w:rsidRDefault="001C7BF9">
    <w:pPr>
      <w:pStyle w:val="Sidhuvud"/>
      <w:rPr>
        <w:sz w:val="2"/>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Udda"/>
      <w:framePr w:w="8732" w:h="567" w:hRule="exact" w:vSpace="0" w:wrap="around" w:vAnchor="page" w:y="341" w:anchorLock="0"/>
    </w:pPr>
    <w:r w:rsidRPr="00C9680B">
      <w:rPr>
        <w:rStyle w:val="SidhuvudRubrikReferens"/>
      </w:rPr>
      <w:fldChar w:fldCharType="begin" w:fldLock="1"/>
    </w:r>
    <w:r w:rsidRPr="00C9680B">
      <w:rPr>
        <w:rStyle w:val="SidhuvudRubrikReferens"/>
      </w:rPr>
      <w:instrText xml:space="preserve"> StyleREF "Rubrik 1" </w:instrText>
    </w:r>
    <w:r w:rsidRPr="00C9680B">
      <w:rPr>
        <w:rStyle w:val="SidhuvudRubrikReferens"/>
      </w:rPr>
      <w:fldChar w:fldCharType="separate"/>
    </w:r>
    <w:r w:rsidRPr="00C9680B">
      <w:rPr>
        <w:rStyle w:val="SidhuvudRubrikReferens"/>
      </w:rPr>
      <w:t>Utskottets lagförslag</w:t>
    </w:r>
    <w:r w:rsidRPr="00C9680B">
      <w:rPr>
        <w:rStyle w:val="SidhuvudRubrikReferens"/>
      </w:rPr>
      <w:fldChar w:fldCharType="end"/>
    </w:r>
    <w:r w:rsidRPr="00C9680B">
      <w:rPr>
        <w:rStyle w:val="SidhuvudBilaga"/>
      </w:rPr>
      <w:t xml:space="preserve"> </w:t>
    </w:r>
    <w:r w:rsidRPr="00C9680B">
      <w:t xml:space="preserve">     </w: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w:instrText>
    </w:r>
    <w:r w:rsidRPr="00C9680B">
      <w:instrText xml:space="preserve"> </w:instrText>
    </w:r>
    <w:r w:rsidRPr="00C9680B">
      <w:rPr>
        <w:rStyle w:val="SidhuvudUtskott"/>
      </w:rPr>
      <w:instrText>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w:instrText>
    </w:r>
    <w:r w:rsidRPr="00C9680B">
      <w:rPr>
        <w:rStyle w:val="SidhuvudUtskott"/>
      </w:rPr>
      <w:instrText>n</w:instrText>
    </w:r>
    <w:r w:rsidRPr="00C9680B">
      <w:rPr>
        <w:rStyle w:val="SidhuvudUtskott"/>
      </w:rPr>
      <w:instrText>kandeNr</w:instrText>
    </w:r>
    <w:r w:rsidRPr="00C9680B">
      <w:rPr>
        <w:rStyle w:val="SidhuvudUtskott"/>
      </w:rPr>
      <w:fldChar w:fldCharType="separate"/>
    </w:r>
    <w:r w:rsidRPr="00C9680B">
      <w:rPr>
        <w:rStyle w:val="SidhuvudUtskott"/>
      </w:rPr>
      <w:t>1</w: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w:instrText>
    </w:r>
    <w:r w:rsidRPr="00C9680B">
      <w:rPr>
        <w:rStyle w:val="SidhuvudUtskott"/>
      </w:rPr>
      <w:fldChar w:fldCharType="begin" w:fldLock="1"/>
    </w:r>
    <w:r w:rsidRPr="00C9680B">
      <w:rPr>
        <w:rStyle w:val="SidhuvudUtskott"/>
      </w:rPr>
      <w:instrText xml:space="preserve"> PRINTDATE \@ "yyyy-MM-dd HH.mm    "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PERTY Status</w:instrText>
    </w:r>
    <w:r w:rsidRPr="00C9680B">
      <w:rPr>
        <w:rStyle w:val="SidhuvudUtskott"/>
      </w:rPr>
      <w:fldChar w:fldCharType="end"/>
    </w:r>
  </w:p>
  <w:p w:rsidR="001C7BF9" w:rsidRPr="00C9680B" w:rsidRDefault="001C7BF9">
    <w:pPr>
      <w:pStyle w:val="Sidhuvud"/>
      <w:rPr>
        <w:sz w:val="2"/>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fldChar w:fldCharType="begin" w:fldLock="1"/>
    </w:r>
    <w:r w:rsidRPr="00C9680B">
      <w:instrText xml:space="preserve"> if </w:instrText>
    </w:r>
    <w:r w:rsidRPr="00C9680B">
      <w:fldChar w:fldCharType="begin" w:fldLock="1"/>
    </w:r>
    <w:r w:rsidRPr="00C9680B">
      <w:instrText xml:space="preserve"> page</w:instrText>
    </w:r>
    <w:r w:rsidRPr="00C9680B">
      <w:fldChar w:fldCharType="separate"/>
    </w:r>
    <w:r w:rsidRPr="00C9680B">
      <w:instrText>637</w:instrText>
    </w:r>
    <w:r w:rsidRPr="00C9680B">
      <w:fldChar w:fldCharType="end"/>
    </w:r>
    <w:r w:rsidRPr="00C9680B">
      <w:instrText xml:space="preserve"> &gt; 1 "</w:instrText>
    </w:r>
    <w:r w:rsidRPr="00C9680B">
      <w:fldChar w:fldCharType="begin" w:fldLock="1"/>
    </w:r>
    <w:r w:rsidRPr="00C9680B">
      <w:instrText xml:space="preserve"> if </w:instrText>
    </w:r>
    <w:r w:rsidRPr="00C9680B">
      <w:fldChar w:fldCharType="begin" w:fldLock="1"/>
    </w:r>
    <w:r w:rsidRPr="00C9680B">
      <w:instrText xml:space="preserve"> = </w:instrText>
    </w:r>
    <w:r w:rsidRPr="00C9680B">
      <w:fldChar w:fldCharType="begin" w:fldLock="1"/>
    </w:r>
    <w:r w:rsidRPr="00C9680B">
      <w:instrText xml:space="preserve"> = </w:instrText>
    </w:r>
    <w:r w:rsidRPr="00C9680B">
      <w:fldChar w:fldCharType="begin" w:fldLock="1"/>
    </w:r>
    <w:r w:rsidRPr="00C9680B">
      <w:instrText xml:space="preserve"> page</w:instrText>
    </w:r>
    <w:r w:rsidRPr="00C9680B">
      <w:fldChar w:fldCharType="separate"/>
    </w:r>
    <w:r w:rsidRPr="00C9680B">
      <w:instrText>637</w:instrText>
    </w:r>
    <w:r w:rsidRPr="00C9680B">
      <w:fldChar w:fldCharType="end"/>
    </w:r>
    <w:r w:rsidRPr="00C9680B">
      <w:instrText xml:space="preserve">/2 </w:instrText>
    </w:r>
    <w:r w:rsidRPr="00C9680B">
      <w:fldChar w:fldCharType="separate"/>
    </w:r>
    <w:r w:rsidRPr="00C9680B">
      <w:instrText>318,5</w:instrText>
    </w:r>
    <w:r w:rsidRPr="00C9680B">
      <w:fldChar w:fldCharType="end"/>
    </w:r>
    <w:r w:rsidRPr="00C9680B">
      <w:instrText xml:space="preserve"> - </w:instrText>
    </w:r>
    <w:r w:rsidRPr="00C9680B">
      <w:fldChar w:fldCharType="begin" w:fldLock="1"/>
    </w:r>
    <w:r w:rsidRPr="00C9680B">
      <w:instrText xml:space="preserve"> = int(</w:instrText>
    </w:r>
    <w:r w:rsidRPr="00C9680B">
      <w:fldChar w:fldCharType="begin" w:fldLock="1"/>
    </w:r>
    <w:r w:rsidRPr="00C9680B">
      <w:instrText xml:space="preserve"> page</w:instrText>
    </w:r>
    <w:r w:rsidRPr="00C9680B">
      <w:fldChar w:fldCharType="separate"/>
    </w:r>
    <w:r w:rsidRPr="00C9680B">
      <w:instrText>637</w:instrText>
    </w:r>
    <w:r w:rsidRPr="00C9680B">
      <w:fldChar w:fldCharType="end"/>
    </w:r>
    <w:r w:rsidRPr="00C9680B">
      <w:instrText xml:space="preserve">/2) </w:instrText>
    </w:r>
    <w:r w:rsidRPr="00C9680B">
      <w:fldChar w:fldCharType="separate"/>
    </w:r>
    <w:r w:rsidRPr="00C9680B">
      <w:instrText>318</w:instrText>
    </w:r>
    <w:r w:rsidRPr="00C9680B">
      <w:fldChar w:fldCharType="end"/>
    </w:r>
    <w:r w:rsidRPr="00C9680B">
      <w:fldChar w:fldCharType="separate"/>
    </w:r>
    <w:r w:rsidRPr="00C9680B">
      <w:instrText>0,5</w:instrText>
    </w:r>
    <w:r w:rsidRPr="00C9680B">
      <w:fldChar w:fldCharType="end"/>
    </w:r>
    <w:r w:rsidRPr="00C9680B">
      <w:instrText xml:space="preserve"> = 0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w:instrText>
    </w:r>
    <w:r w:rsidRPr="00C9680B">
      <w:rPr>
        <w:rStyle w:val="SidhuvudUtskott"/>
      </w:rPr>
      <w:instrText>R</w:instrText>
    </w:r>
    <w:r w:rsidRPr="00C9680B">
      <w:rPr>
        <w:rStyle w:val="SidhuvudUtskott"/>
      </w:rPr>
      <w:instrText>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r w:rsidRPr="00C9680B">
      <w:instrText xml:space="preserve">    </w:instrText>
    </w:r>
  </w:p>
  <w:p w:rsidR="001C7BF9" w:rsidRPr="00C9680B" w:rsidRDefault="001C7BF9">
    <w:pPr>
      <w:pStyle w:val="SidhuvudKantJmn"/>
      <w:framePr w:w="8732" w:h="567" w:hRule="exact" w:vSpace="0" w:wrap="around" w:vAnchor="page" w:y="341" w:anchorLock="0"/>
    </w:pPr>
    <w:r w:rsidRPr="00C9680B">
      <w:rPr>
        <w:rStyle w:val="SidhuvudUtskott"/>
      </w:rPr>
      <w:fldChar w:fldCharType="begin" w:fldLock="1"/>
    </w:r>
    <w:r w:rsidRPr="00C9680B">
      <w:rPr>
        <w:rStyle w:val="SidhuvudUtskott"/>
      </w:rPr>
      <w:instrText xml:space="preserve"> DOCPROPERTY Status</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    </w:instrText>
    </w:r>
    <w:r w:rsidRPr="00C9680B">
      <w:rPr>
        <w:rStyle w:val="SidhuvudUtskott"/>
      </w:rPr>
      <w:fldChar w:fldCharType="begin" w:fldLock="1"/>
    </w:r>
    <w:r w:rsidRPr="00C9680B">
      <w:rPr>
        <w:rStyle w:val="SidhuvudUtskott"/>
      </w:rPr>
      <w:instrText xml:space="preserve"> PRINTDATE \@ "yyyy-MM-dd HH.mm"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RubrikReferens"/>
        <w:smallCaps w:val="0"/>
        <w:spacing w:val="0"/>
        <w:sz w:val="19"/>
      </w:rPr>
      <w:instrText xml:space="preserve"> </w:instrText>
    </w:r>
    <w:r w:rsidRPr="00C9680B">
      <w:instrText xml:space="preserve">"  "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rPr>
        <w:rStyle w:val="SidhuvudUtskott"/>
      </w:rPr>
      <w:fldChar w:fldCharType="begin" w:fldLock="1"/>
    </w:r>
    <w:r w:rsidRPr="00C9680B">
      <w:rPr>
        <w:rStyle w:val="SidhuvudUtskott"/>
      </w:rPr>
      <w:instrText xml:space="preserve"> if </w:instrText>
    </w:r>
    <w:r w:rsidRPr="00C9680B">
      <w:rPr>
        <w:rStyle w:val="SidhuvudUtskott"/>
      </w:rPr>
      <w:fldChar w:fldCharType="begin" w:fldLock="1"/>
    </w:r>
    <w:r w:rsidRPr="00C9680B">
      <w:rPr>
        <w:rStyle w:val="SidhuvudUtskott"/>
      </w:rPr>
      <w:instrText xml:space="preserve"> DOCPROPERTY "UtkastDatum"</w:instrText>
    </w:r>
    <w:r w:rsidRPr="00C9680B">
      <w:rPr>
        <w:rStyle w:val="SidhuvudUtskott"/>
      </w:rPr>
      <w:fldChar w:fldCharType="separate"/>
    </w:r>
    <w:r w:rsidRPr="00C9680B">
      <w:rPr>
        <w:rStyle w:val="SidhuvudUtskott"/>
      </w:rPr>
      <w:instrText>Nej</w:instrText>
    </w:r>
    <w:r w:rsidRPr="00C9680B">
      <w:rPr>
        <w:rStyle w:val="SidhuvudUtskott"/>
      </w:rPr>
      <w:fldChar w:fldCharType="end"/>
    </w:r>
    <w:r w:rsidRPr="00C9680B">
      <w:rPr>
        <w:rStyle w:val="SidhuvudUtskott"/>
      </w:rPr>
      <w:instrText xml:space="preserve"> = "Ja" "</w:instrText>
    </w:r>
    <w:r w:rsidRPr="00C9680B">
      <w:rPr>
        <w:rStyle w:val="SidhuvudUtskott"/>
      </w:rPr>
      <w:fldChar w:fldCharType="begin" w:fldLock="1"/>
    </w:r>
    <w:r w:rsidRPr="00C9680B">
      <w:rPr>
        <w:rStyle w:val="SidhuvudUtskott"/>
      </w:rPr>
      <w:instrText xml:space="preserve"> PRINTDATE \@ "yyyy-MM-dd HH.mm    " </w:instrText>
    </w:r>
    <w:r w:rsidRPr="00C9680B">
      <w:rPr>
        <w:rStyle w:val="SidhuvudUtskott"/>
      </w:rPr>
      <w:fldChar w:fldCharType="separate"/>
    </w:r>
    <w:r w:rsidRPr="00C9680B">
      <w:rPr>
        <w:rStyle w:val="SidhuvudUtskott"/>
      </w:rPr>
      <w:instrText>2000-08-11 16.42</w:instrText>
    </w:r>
    <w:r w:rsidRPr="00C9680B">
      <w:rPr>
        <w:rStyle w:val="SidhuvudUtskott"/>
      </w:rPr>
      <w:fldChar w:fldCharType="end"/>
    </w:r>
    <w:r w:rsidRPr="00C9680B">
      <w:rPr>
        <w:rStyle w:val="SidhuvudUtskott"/>
      </w:rPr>
      <w:instrText xml:space="preserve">" </w:instrText>
    </w:r>
    <w:r w:rsidRPr="00C9680B">
      <w:rPr>
        <w:rStyle w:val="SidhuvudUtskott"/>
      </w:rPr>
      <w:fldChar w:fldCharType="separate"/>
    </w:r>
    <w:r w:rsidRPr="00C9680B">
      <w:rPr>
        <w:rStyle w:val="SidhuvudUtskott"/>
      </w:rPr>
      <w:fldChar w:fldCharType="end"/>
    </w:r>
    <w:r w:rsidRPr="00C9680B">
      <w:rPr>
        <w:rStyle w:val="SidhuvudUtskott"/>
      </w:rPr>
      <w:fldChar w:fldCharType="begin" w:fldLock="1"/>
    </w:r>
    <w:r w:rsidRPr="00C9680B">
      <w:rPr>
        <w:rStyle w:val="SidhuvudUtskott"/>
      </w:rPr>
      <w:instrText xml:space="preserve"> DOCPR</w:instrText>
    </w:r>
    <w:r w:rsidRPr="00C9680B">
      <w:rPr>
        <w:rStyle w:val="SidhuvudUtskott"/>
      </w:rPr>
      <w:instrText>O</w:instrText>
    </w:r>
    <w:r w:rsidRPr="00C9680B">
      <w:rPr>
        <w:rStyle w:val="SidhuvudUtskott"/>
      </w:rPr>
      <w:instrText>PERTY Status</w:instrText>
    </w:r>
    <w:r w:rsidRPr="00C9680B">
      <w:rPr>
        <w:rStyle w:val="SidhuvudUtskott"/>
      </w:rPr>
      <w:fldChar w:fldCharType="end"/>
    </w:r>
    <w:r w:rsidRPr="00C9680B">
      <w:instrText>"</w:instrText>
    </w:r>
    <w:r w:rsidRPr="00C9680B">
      <w:fldChar w:fldCharType="separate"/>
    </w:r>
    <w:r w:rsidRPr="00C9680B">
      <w:instrText xml:space="preserve">  </w:instrTex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instrText>2000/01</w:instrText>
    </w:r>
    <w:r w:rsidRPr="00C9680B">
      <w:rPr>
        <w:rStyle w:val="SidhuvudUtskott"/>
      </w:rPr>
      <w:fldChar w:fldCharType="end"/>
    </w:r>
    <w:r w:rsidRPr="00C9680B">
      <w:rPr>
        <w:rStyle w:val="SidhuvudUtskott"/>
      </w:rPr>
      <w:instrText>:</w:instrTex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instrText>FiU</w:instrTex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instrText>1</w:instrTex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fldChar w:fldCharType="end"/>
    </w:r>
    <w:r w:rsidRPr="00C9680B">
      <w:instrText>" " "</w:instrText>
    </w:r>
    <w:r w:rsidRPr="00C9680B">
      <w:fldChar w:fldCharType="separate"/>
    </w:r>
    <w:r w:rsidRPr="00C9680B">
      <w:t xml:space="preserve">  </w:t>
    </w:r>
    <w:r w:rsidRPr="00C9680B">
      <w:rPr>
        <w:rStyle w:val="SidhuvudUtskott"/>
      </w:rPr>
      <w:fldChar w:fldCharType="begin" w:fldLock="1"/>
    </w:r>
    <w:r w:rsidRPr="00C9680B">
      <w:rPr>
        <w:rStyle w:val="SidhuvudUtskott"/>
      </w:rPr>
      <w:instrText xml:space="preserve"> DOCPROPERTY BetänkandeÅr</w:instrText>
    </w:r>
    <w:r w:rsidRPr="00C9680B">
      <w:rPr>
        <w:rStyle w:val="SidhuvudUtskott"/>
      </w:rPr>
      <w:fldChar w:fldCharType="separate"/>
    </w:r>
    <w:r w:rsidRPr="00C9680B">
      <w:rPr>
        <w:rStyle w:val="SidhuvudUtskott"/>
      </w:rPr>
      <w:t>2000/01</w:t>
    </w:r>
    <w:r w:rsidRPr="00C9680B">
      <w:rPr>
        <w:rStyle w:val="SidhuvudUtskott"/>
      </w:rPr>
      <w:fldChar w:fldCharType="end"/>
    </w:r>
    <w:r w:rsidRPr="00C9680B">
      <w:rPr>
        <w:rStyle w:val="SidhuvudUtskott"/>
      </w:rPr>
      <w:t>:</w:t>
    </w:r>
    <w:r w:rsidRPr="00C9680B">
      <w:rPr>
        <w:rStyle w:val="SidhuvudUtskott"/>
      </w:rPr>
      <w:fldChar w:fldCharType="begin" w:fldLock="1"/>
    </w:r>
    <w:r w:rsidRPr="00C9680B">
      <w:rPr>
        <w:rStyle w:val="SidhuvudUtskott"/>
      </w:rPr>
      <w:instrText xml:space="preserve"> DOCPROPERTY Utskott</w:instrText>
    </w:r>
    <w:r w:rsidRPr="00C9680B">
      <w:rPr>
        <w:rStyle w:val="SidhuvudUtskott"/>
      </w:rPr>
      <w:fldChar w:fldCharType="separate"/>
    </w:r>
    <w:r w:rsidRPr="00C9680B">
      <w:rPr>
        <w:rStyle w:val="SidhuvudUtskott"/>
      </w:rPr>
      <w:t>FiU</w:t>
    </w:r>
    <w:r w:rsidRPr="00C9680B">
      <w:rPr>
        <w:rStyle w:val="SidhuvudUtskott"/>
      </w:rPr>
      <w:fldChar w:fldCharType="end"/>
    </w:r>
    <w:r w:rsidRPr="00C9680B">
      <w:rPr>
        <w:rStyle w:val="SidhuvudUtskott"/>
      </w:rPr>
      <w:fldChar w:fldCharType="begin" w:fldLock="1"/>
    </w:r>
    <w:r w:rsidRPr="00C9680B">
      <w:rPr>
        <w:rStyle w:val="SidhuvudUtskott"/>
      </w:rPr>
      <w:instrText xml:space="preserve"> DOCPROPERTY BetänkandeNr</w:instrText>
    </w:r>
    <w:r w:rsidRPr="00C9680B">
      <w:rPr>
        <w:rStyle w:val="SidhuvudUtskott"/>
      </w:rPr>
      <w:fldChar w:fldCharType="separate"/>
    </w:r>
    <w:r w:rsidRPr="00C9680B">
      <w:rPr>
        <w:rStyle w:val="SidhuvudUtskott"/>
      </w:rPr>
      <w:t>1</w:t>
    </w:r>
    <w:r w:rsidRPr="00C9680B">
      <w:rPr>
        <w:rStyle w:val="SidhuvudUtskott"/>
      </w:rPr>
      <w:fldChar w:fldCharType="end"/>
    </w:r>
  </w:p>
  <w:p w:rsidR="001C7BF9" w:rsidRPr="00C9680B" w:rsidRDefault="001C7BF9">
    <w:pPr>
      <w:pStyle w:val="SidhuvudKantUdda"/>
      <w:framePr w:w="8732" w:h="567" w:hRule="exact" w:vSpace="0" w:wrap="around" w:vAnchor="page" w:y="341" w:anchorLock="0"/>
    </w:pPr>
    <w:r w:rsidRPr="00C9680B">
      <w:fldChar w:fldCharType="end"/>
    </w:r>
  </w:p>
  <w:p w:rsidR="001C7BF9" w:rsidRPr="00C9680B" w:rsidRDefault="001C7BF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F9" w:rsidRPr="00C9680B" w:rsidRDefault="001C7BF9">
    <w:pPr>
      <w:pStyle w:val="SidhuvudKantJmn"/>
      <w:framePr w:w="8732" w:h="567" w:hRule="exact" w:vSpace="0" w:wrap="around" w:vAnchor="page" w:y="341" w:anchorLock="0"/>
    </w:pPr>
    <w:r w:rsidRPr="00C9680B">
      <w:rPr>
        <w:rStyle w:val="SidhuvudUtskott"/>
      </w:rPr>
      <w:t>2000/01:FiU1</w:t>
    </w:r>
    <w:r w:rsidRPr="00C9680B">
      <w:t xml:space="preserve">    </w:t>
    </w:r>
  </w:p>
  <w:p w:rsidR="001C7BF9" w:rsidRPr="00C9680B" w:rsidRDefault="001C7BF9">
    <w:pPr>
      <w:pStyle w:val="SidhuvudKantJmn"/>
      <w:framePr w:w="8732" w:h="567" w:hRule="exact" w:vSpace="0" w:wrap="around" w:vAnchor="page" w:y="341" w:anchorLock="0"/>
    </w:pPr>
  </w:p>
  <w:p w:rsidR="001C7BF9" w:rsidRPr="00C9680B" w:rsidRDefault="001C7BF9">
    <w:pPr>
      <w:pStyle w:val="SidhuvudKantUdda"/>
      <w:framePr w:w="8732" w:h="567" w:hRule="exact" w:vSpace="0" w:wrap="around" w:vAnchor="page" w:y="341" w:anchorLock="0"/>
    </w:pPr>
    <w:r w:rsidRPr="00C9680B">
      <w:rPr>
        <w:rStyle w:val="SidhuvudRubrikReferens"/>
        <w:smallCaps w:val="0"/>
        <w:spacing w:val="0"/>
        <w:sz w:val="19"/>
      </w:rPr>
      <w:t xml:space="preserve"> </w:t>
    </w:r>
  </w:p>
  <w:p w:rsidR="001C7BF9" w:rsidRPr="00C9680B" w:rsidRDefault="001C7BF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D0A7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00E9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pStyle w:val="PunktlistaBomb"/>
      <w:lvlText w:val="%1."/>
      <w:lvlJc w:val="left"/>
      <w:pPr>
        <w:tabs>
          <w:tab w:val="num" w:pos="643"/>
        </w:tabs>
        <w:ind w:left="643" w:hanging="360"/>
      </w:pPr>
    </w:lvl>
  </w:abstractNum>
  <w:abstractNum w:abstractNumId="4" w15:restartNumberingAfterBreak="0">
    <w:nsid w:val="FFFFFF80"/>
    <w:multiLevelType w:val="singleLevel"/>
    <w:tmpl w:val="50F405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44B4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7E7D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1540CE"/>
    <w:multiLevelType w:val="singleLevel"/>
    <w:tmpl w:val="C186A1D8"/>
    <w:lvl w:ilvl="0">
      <w:start w:val="1"/>
      <w:numFmt w:val="decimal"/>
      <w:lvlText w:val="%1."/>
      <w:legacy w:legacy="1" w:legacySpace="0" w:legacyIndent="340"/>
      <w:lvlJc w:val="left"/>
      <w:pPr>
        <w:ind w:left="340" w:hanging="340"/>
      </w:pPr>
    </w:lvl>
  </w:abstractNum>
  <w:abstractNum w:abstractNumId="13" w15:restartNumberingAfterBreak="0">
    <w:nsid w:val="002419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02669DB"/>
    <w:multiLevelType w:val="singleLevel"/>
    <w:tmpl w:val="949C98F2"/>
    <w:lvl w:ilvl="0">
      <w:start w:val="1"/>
      <w:numFmt w:val="lowerLetter"/>
      <w:lvlText w:val="%1)"/>
      <w:lvlJc w:val="left"/>
      <w:pPr>
        <w:tabs>
          <w:tab w:val="num" w:pos="360"/>
        </w:tabs>
        <w:ind w:left="0" w:firstLine="0"/>
      </w:pPr>
      <w:rPr>
        <w:rFonts w:hint="default"/>
        <w:i/>
      </w:rPr>
    </w:lvl>
  </w:abstractNum>
  <w:abstractNum w:abstractNumId="15" w15:restartNumberingAfterBreak="0">
    <w:nsid w:val="002942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2A01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05F5B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06373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06E2F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0D806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221B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15D74B5"/>
    <w:multiLevelType w:val="singleLevel"/>
    <w:tmpl w:val="4E94D292"/>
    <w:lvl w:ilvl="0">
      <w:start w:val="1"/>
      <w:numFmt w:val="decimal"/>
      <w:lvlText w:val="%1."/>
      <w:legacy w:legacy="1" w:legacySpace="0" w:legacyIndent="454"/>
      <w:lvlJc w:val="left"/>
      <w:pPr>
        <w:ind w:left="454" w:hanging="454"/>
      </w:pPr>
    </w:lvl>
  </w:abstractNum>
  <w:abstractNum w:abstractNumId="23" w15:restartNumberingAfterBreak="0">
    <w:nsid w:val="017176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17526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1B40027"/>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1B657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1E14D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1F00BD8"/>
    <w:multiLevelType w:val="multilevel"/>
    <w:tmpl w:val="2AA0B93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9" w15:restartNumberingAfterBreak="0">
    <w:nsid w:val="01F53A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22A29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2483AFA"/>
    <w:multiLevelType w:val="singleLevel"/>
    <w:tmpl w:val="BBDEA5D2"/>
    <w:lvl w:ilvl="0">
      <w:start w:val="1"/>
      <w:numFmt w:val="decimal"/>
      <w:lvlText w:val="%1."/>
      <w:legacy w:legacy="1" w:legacySpace="0" w:legacyIndent="284"/>
      <w:lvlJc w:val="left"/>
      <w:pPr>
        <w:ind w:left="1191" w:hanging="284"/>
      </w:pPr>
    </w:lvl>
  </w:abstractNum>
  <w:abstractNum w:abstractNumId="32" w15:restartNumberingAfterBreak="0">
    <w:nsid w:val="02552E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2A050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2C273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2D435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2EC3D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31441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3602E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36262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036B54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037307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037377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03754B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038123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0385354D"/>
    <w:multiLevelType w:val="multilevel"/>
    <w:tmpl w:val="1BD297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6" w15:restartNumberingAfterBreak="0">
    <w:nsid w:val="0388241D"/>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47" w15:restartNumberingAfterBreak="0">
    <w:nsid w:val="038C48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039D59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039E01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0" w15:restartNumberingAfterBreak="0">
    <w:nsid w:val="03C841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03E237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03F748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04027D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041834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041C55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043A42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044D38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04654122"/>
    <w:multiLevelType w:val="singleLevel"/>
    <w:tmpl w:val="DFF40E76"/>
    <w:lvl w:ilvl="0">
      <w:numFmt w:val="bullet"/>
      <w:lvlText w:val=""/>
      <w:lvlJc w:val="left"/>
      <w:pPr>
        <w:tabs>
          <w:tab w:val="num" w:pos="700"/>
        </w:tabs>
        <w:ind w:left="700" w:hanging="360"/>
      </w:pPr>
      <w:rPr>
        <w:rFonts w:ascii="Symbol" w:hAnsi="Symbol" w:hint="default"/>
      </w:rPr>
    </w:lvl>
  </w:abstractNum>
  <w:abstractNum w:abstractNumId="59" w15:restartNumberingAfterBreak="0">
    <w:nsid w:val="0481053D"/>
    <w:multiLevelType w:val="singleLevel"/>
    <w:tmpl w:val="4C46A17A"/>
    <w:lvl w:ilvl="0">
      <w:start w:val="1"/>
      <w:numFmt w:val="decimal"/>
      <w:lvlText w:val="%1."/>
      <w:lvlJc w:val="left"/>
      <w:pPr>
        <w:tabs>
          <w:tab w:val="num" w:pos="1304"/>
        </w:tabs>
        <w:ind w:left="1304" w:hanging="397"/>
      </w:pPr>
    </w:lvl>
  </w:abstractNum>
  <w:abstractNum w:abstractNumId="60" w15:restartNumberingAfterBreak="0">
    <w:nsid w:val="04CB7C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04E60E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 w15:restartNumberingAfterBreak="0">
    <w:nsid w:val="04FD09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50538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051D69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05216F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052503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7" w15:restartNumberingAfterBreak="0">
    <w:nsid w:val="052B76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054D0A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057452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057E53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0587295A"/>
    <w:multiLevelType w:val="multilevel"/>
    <w:tmpl w:val="23B63F1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2" w15:restartNumberingAfterBreak="0">
    <w:nsid w:val="058976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05A007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05D9746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5" w15:restartNumberingAfterBreak="0">
    <w:nsid w:val="06493C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067028C4"/>
    <w:multiLevelType w:val="singleLevel"/>
    <w:tmpl w:val="E98C3DD0"/>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068433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06AC2E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06C448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06D264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06D965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06E667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06EB15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06F339AB"/>
    <w:multiLevelType w:val="singleLevel"/>
    <w:tmpl w:val="BBDEA5D2"/>
    <w:lvl w:ilvl="0">
      <w:start w:val="1"/>
      <w:numFmt w:val="decimal"/>
      <w:lvlText w:val="%1."/>
      <w:legacy w:legacy="1" w:legacySpace="0" w:legacyIndent="284"/>
      <w:lvlJc w:val="left"/>
      <w:pPr>
        <w:ind w:left="1191" w:hanging="284"/>
      </w:pPr>
    </w:lvl>
  </w:abstractNum>
  <w:abstractNum w:abstractNumId="85" w15:restartNumberingAfterBreak="0">
    <w:nsid w:val="070914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074E6432"/>
    <w:multiLevelType w:val="singleLevel"/>
    <w:tmpl w:val="5882FD0A"/>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075D25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076E3F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078B1F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078C2D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07A86C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07E16F50"/>
    <w:multiLevelType w:val="singleLevel"/>
    <w:tmpl w:val="4EFC7C3E"/>
    <w:lvl w:ilvl="0">
      <w:start w:val="1"/>
      <w:numFmt w:val="decimal"/>
      <w:lvlText w:val="%1."/>
      <w:legacy w:legacy="1" w:legacySpace="0" w:legacyIndent="283"/>
      <w:lvlJc w:val="left"/>
      <w:pPr>
        <w:ind w:left="283" w:hanging="283"/>
      </w:pPr>
    </w:lvl>
  </w:abstractNum>
  <w:abstractNum w:abstractNumId="93" w15:restartNumberingAfterBreak="0">
    <w:nsid w:val="07E63B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07E873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080274B1"/>
    <w:multiLevelType w:val="singleLevel"/>
    <w:tmpl w:val="00507168"/>
    <w:lvl w:ilvl="0">
      <w:start w:val="1"/>
      <w:numFmt w:val="decimal"/>
      <w:lvlText w:val="%1."/>
      <w:legacy w:legacy="1" w:legacySpace="0" w:legacyIndent="283"/>
      <w:lvlJc w:val="left"/>
      <w:pPr>
        <w:ind w:left="283" w:hanging="283"/>
      </w:pPr>
    </w:lvl>
  </w:abstractNum>
  <w:abstractNum w:abstractNumId="96" w15:restartNumberingAfterBreak="0">
    <w:nsid w:val="0807268C"/>
    <w:multiLevelType w:val="multilevel"/>
    <w:tmpl w:val="E9FE39A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7" w15:restartNumberingAfterBreak="0">
    <w:nsid w:val="080C5E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084036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085427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086368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0888081C"/>
    <w:multiLevelType w:val="singleLevel"/>
    <w:tmpl w:val="A1C6AFB4"/>
    <w:lvl w:ilvl="0">
      <w:start w:val="1"/>
      <w:numFmt w:val="bullet"/>
      <w:lvlText w:val=""/>
      <w:lvlJc w:val="left"/>
      <w:pPr>
        <w:tabs>
          <w:tab w:val="num" w:pos="360"/>
        </w:tabs>
        <w:ind w:left="0" w:firstLine="0"/>
      </w:pPr>
      <w:rPr>
        <w:rFonts w:ascii="CommonBullets" w:hAnsi="CommonBullets" w:hint="default"/>
        <w:sz w:val="24"/>
      </w:rPr>
    </w:lvl>
  </w:abstractNum>
  <w:abstractNum w:abstractNumId="102" w15:restartNumberingAfterBreak="0">
    <w:nsid w:val="08E140B4"/>
    <w:multiLevelType w:val="singleLevel"/>
    <w:tmpl w:val="BBDEA5D2"/>
    <w:lvl w:ilvl="0">
      <w:start w:val="1"/>
      <w:numFmt w:val="decimal"/>
      <w:lvlText w:val="%1."/>
      <w:legacy w:legacy="1" w:legacySpace="0" w:legacyIndent="284"/>
      <w:lvlJc w:val="left"/>
      <w:pPr>
        <w:ind w:left="1191" w:hanging="284"/>
      </w:pPr>
    </w:lvl>
  </w:abstractNum>
  <w:abstractNum w:abstractNumId="103" w15:restartNumberingAfterBreak="0">
    <w:nsid w:val="093444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0935776E"/>
    <w:multiLevelType w:val="singleLevel"/>
    <w:tmpl w:val="F88CA500"/>
    <w:lvl w:ilvl="0">
      <w:start w:val="1"/>
      <w:numFmt w:val="bullet"/>
      <w:lvlText w:val=""/>
      <w:lvlJc w:val="left"/>
      <w:pPr>
        <w:tabs>
          <w:tab w:val="num" w:pos="360"/>
        </w:tabs>
        <w:ind w:left="170" w:hanging="170"/>
      </w:pPr>
      <w:rPr>
        <w:rFonts w:ascii="Symbol" w:hAnsi="Symbol" w:hint="default"/>
      </w:rPr>
    </w:lvl>
  </w:abstractNum>
  <w:abstractNum w:abstractNumId="105" w15:restartNumberingAfterBreak="0">
    <w:nsid w:val="09500615"/>
    <w:multiLevelType w:val="singleLevel"/>
    <w:tmpl w:val="F1E4367E"/>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096515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099258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09DE36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09E376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0A0A63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0A2B4C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0A41135C"/>
    <w:multiLevelType w:val="singleLevel"/>
    <w:tmpl w:val="5882FD0A"/>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0A4D593C"/>
    <w:multiLevelType w:val="singleLevel"/>
    <w:tmpl w:val="B1F824E2"/>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0A7C5B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0A854C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0A994802"/>
    <w:multiLevelType w:val="singleLevel"/>
    <w:tmpl w:val="BBDEA5D2"/>
    <w:lvl w:ilvl="0">
      <w:start w:val="1"/>
      <w:numFmt w:val="decimal"/>
      <w:lvlText w:val="%1."/>
      <w:legacy w:legacy="1" w:legacySpace="0" w:legacyIndent="284"/>
      <w:lvlJc w:val="left"/>
      <w:pPr>
        <w:ind w:left="1191" w:hanging="284"/>
      </w:pPr>
    </w:lvl>
  </w:abstractNum>
  <w:abstractNum w:abstractNumId="117" w15:restartNumberingAfterBreak="0">
    <w:nsid w:val="0AAC26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0ACC76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0AE51995"/>
    <w:multiLevelType w:val="singleLevel"/>
    <w:tmpl w:val="BBDEA5D2"/>
    <w:lvl w:ilvl="0">
      <w:start w:val="1"/>
      <w:numFmt w:val="decimal"/>
      <w:lvlText w:val="%1."/>
      <w:legacy w:legacy="1" w:legacySpace="0" w:legacyIndent="284"/>
      <w:lvlJc w:val="left"/>
      <w:pPr>
        <w:ind w:left="1191" w:hanging="284"/>
      </w:pPr>
    </w:lvl>
  </w:abstractNum>
  <w:abstractNum w:abstractNumId="120" w15:restartNumberingAfterBreak="0">
    <w:nsid w:val="0B0903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0B183C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0B1D13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0B2668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0B376D8A"/>
    <w:multiLevelType w:val="singleLevel"/>
    <w:tmpl w:val="BFA4ABE8"/>
    <w:lvl w:ilvl="0">
      <w:start w:val="1"/>
      <w:numFmt w:val="bullet"/>
      <w:lvlText w:val=""/>
      <w:lvlJc w:val="left"/>
      <w:pPr>
        <w:tabs>
          <w:tab w:val="num" w:pos="360"/>
        </w:tabs>
        <w:ind w:left="170" w:hanging="170"/>
      </w:pPr>
      <w:rPr>
        <w:rFonts w:ascii="Symbol" w:hAnsi="Symbol" w:hint="default"/>
      </w:rPr>
    </w:lvl>
  </w:abstractNum>
  <w:abstractNum w:abstractNumId="125" w15:restartNumberingAfterBreak="0">
    <w:nsid w:val="0B7E09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0B9346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0BA613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0BA72B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0BAF61F3"/>
    <w:multiLevelType w:val="singleLevel"/>
    <w:tmpl w:val="BBDEA5D2"/>
    <w:lvl w:ilvl="0">
      <w:start w:val="1"/>
      <w:numFmt w:val="decimal"/>
      <w:lvlText w:val="%1."/>
      <w:legacy w:legacy="1" w:legacySpace="0" w:legacyIndent="284"/>
      <w:lvlJc w:val="left"/>
      <w:pPr>
        <w:ind w:left="1191" w:hanging="284"/>
      </w:pPr>
    </w:lvl>
  </w:abstractNum>
  <w:abstractNum w:abstractNumId="130" w15:restartNumberingAfterBreak="0">
    <w:nsid w:val="0BB133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0BBC4F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0BE03D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0BF32895"/>
    <w:multiLevelType w:val="singleLevel"/>
    <w:tmpl w:val="89A2736A"/>
    <w:lvl w:ilvl="0">
      <w:start w:val="1"/>
      <w:numFmt w:val="lowerLetter"/>
      <w:lvlText w:val="%1)"/>
      <w:lvlJc w:val="left"/>
      <w:pPr>
        <w:tabs>
          <w:tab w:val="num" w:pos="360"/>
        </w:tabs>
        <w:ind w:left="0" w:firstLine="0"/>
      </w:pPr>
      <w:rPr>
        <w:rFonts w:hint="default"/>
        <w:i/>
      </w:rPr>
    </w:lvl>
  </w:abstractNum>
  <w:abstractNum w:abstractNumId="134" w15:restartNumberingAfterBreak="0">
    <w:nsid w:val="0BF97F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0BFD1AC3"/>
    <w:multiLevelType w:val="singleLevel"/>
    <w:tmpl w:val="CAD834AC"/>
    <w:lvl w:ilvl="0">
      <w:start w:val="1"/>
      <w:numFmt w:val="decimal"/>
      <w:lvlText w:val="%1."/>
      <w:legacy w:legacy="1" w:legacySpace="0" w:legacyIndent="454"/>
      <w:lvlJc w:val="left"/>
      <w:pPr>
        <w:ind w:left="454" w:hanging="454"/>
      </w:pPr>
    </w:lvl>
  </w:abstractNum>
  <w:abstractNum w:abstractNumId="136" w15:restartNumberingAfterBreak="0">
    <w:nsid w:val="0BFD1E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0BFD20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0C147D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0C37585B"/>
    <w:multiLevelType w:val="singleLevel"/>
    <w:tmpl w:val="09E4CAE6"/>
    <w:lvl w:ilvl="0">
      <w:start w:val="1"/>
      <w:numFmt w:val="bullet"/>
      <w:lvlText w:val=""/>
      <w:lvlJc w:val="left"/>
      <w:pPr>
        <w:tabs>
          <w:tab w:val="num" w:pos="360"/>
        </w:tabs>
        <w:ind w:left="170" w:hanging="170"/>
      </w:pPr>
      <w:rPr>
        <w:rFonts w:ascii="Symbol" w:hAnsi="Symbol" w:hint="default"/>
      </w:rPr>
    </w:lvl>
  </w:abstractNum>
  <w:abstractNum w:abstractNumId="140" w15:restartNumberingAfterBreak="0">
    <w:nsid w:val="0C6521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0C914A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0CB8330A"/>
    <w:multiLevelType w:val="singleLevel"/>
    <w:tmpl w:val="BBDEA5D2"/>
    <w:lvl w:ilvl="0">
      <w:start w:val="1"/>
      <w:numFmt w:val="decimal"/>
      <w:lvlText w:val="%1."/>
      <w:legacy w:legacy="1" w:legacySpace="0" w:legacyIndent="284"/>
      <w:lvlJc w:val="left"/>
      <w:pPr>
        <w:ind w:left="1191" w:hanging="284"/>
      </w:pPr>
    </w:lvl>
  </w:abstractNum>
  <w:abstractNum w:abstractNumId="143" w15:restartNumberingAfterBreak="0">
    <w:nsid w:val="0CE72D3E"/>
    <w:multiLevelType w:val="singleLevel"/>
    <w:tmpl w:val="041D000F"/>
    <w:lvl w:ilvl="0">
      <w:start w:val="4"/>
      <w:numFmt w:val="decimal"/>
      <w:lvlText w:val="%1."/>
      <w:lvlJc w:val="left"/>
      <w:pPr>
        <w:tabs>
          <w:tab w:val="num" w:pos="360"/>
        </w:tabs>
        <w:ind w:left="360" w:hanging="360"/>
      </w:pPr>
      <w:rPr>
        <w:rFonts w:hint="default"/>
      </w:rPr>
    </w:lvl>
  </w:abstractNum>
  <w:abstractNum w:abstractNumId="144" w15:restartNumberingAfterBreak="0">
    <w:nsid w:val="0CEE37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0CF717B1"/>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146" w15:restartNumberingAfterBreak="0">
    <w:nsid w:val="0D15066C"/>
    <w:multiLevelType w:val="singleLevel"/>
    <w:tmpl w:val="FA50742A"/>
    <w:lvl w:ilvl="0">
      <w:start w:val="1"/>
      <w:numFmt w:val="decimal"/>
      <w:lvlText w:val="%1."/>
      <w:legacy w:legacy="1" w:legacySpace="0" w:legacyIndent="283"/>
      <w:lvlJc w:val="left"/>
      <w:pPr>
        <w:ind w:left="283" w:hanging="283"/>
      </w:pPr>
    </w:lvl>
  </w:abstractNum>
  <w:abstractNum w:abstractNumId="147" w15:restartNumberingAfterBreak="0">
    <w:nsid w:val="0D2A3E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0D3678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0D760D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0D7A2288"/>
    <w:multiLevelType w:val="singleLevel"/>
    <w:tmpl w:val="FBF23DDE"/>
    <w:lvl w:ilvl="0">
      <w:start w:val="1"/>
      <w:numFmt w:val="decimal"/>
      <w:lvlText w:val="%1."/>
      <w:legacy w:legacy="1" w:legacySpace="0" w:legacyIndent="454"/>
      <w:lvlJc w:val="left"/>
      <w:pPr>
        <w:ind w:left="454" w:hanging="454"/>
      </w:pPr>
    </w:lvl>
  </w:abstractNum>
  <w:abstractNum w:abstractNumId="151" w15:restartNumberingAfterBreak="0">
    <w:nsid w:val="0D8142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0D9837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0DC620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0DD966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0DDA070D"/>
    <w:multiLevelType w:val="singleLevel"/>
    <w:tmpl w:val="BBDEA5D2"/>
    <w:lvl w:ilvl="0">
      <w:start w:val="1"/>
      <w:numFmt w:val="decimal"/>
      <w:lvlText w:val="%1."/>
      <w:legacy w:legacy="1" w:legacySpace="0" w:legacyIndent="284"/>
      <w:lvlJc w:val="left"/>
      <w:pPr>
        <w:ind w:left="1191" w:hanging="284"/>
      </w:pPr>
    </w:lvl>
  </w:abstractNum>
  <w:abstractNum w:abstractNumId="156" w15:restartNumberingAfterBreak="0">
    <w:nsid w:val="0DDC5CA2"/>
    <w:multiLevelType w:val="singleLevel"/>
    <w:tmpl w:val="26A4E476"/>
    <w:lvl w:ilvl="0">
      <w:start w:val="1"/>
      <w:numFmt w:val="bullet"/>
      <w:lvlText w:val=""/>
      <w:lvlJc w:val="left"/>
      <w:pPr>
        <w:tabs>
          <w:tab w:val="num" w:pos="360"/>
        </w:tabs>
        <w:ind w:left="340" w:hanging="340"/>
      </w:pPr>
      <w:rPr>
        <w:rFonts w:ascii="Symbol" w:hAnsi="Symbol" w:hint="default"/>
      </w:rPr>
    </w:lvl>
  </w:abstractNum>
  <w:abstractNum w:abstractNumId="157" w15:restartNumberingAfterBreak="0">
    <w:nsid w:val="0DE7199C"/>
    <w:multiLevelType w:val="singleLevel"/>
    <w:tmpl w:val="BBDEA5D2"/>
    <w:lvl w:ilvl="0">
      <w:start w:val="1"/>
      <w:numFmt w:val="decimal"/>
      <w:lvlText w:val="%1."/>
      <w:legacy w:legacy="1" w:legacySpace="0" w:legacyIndent="284"/>
      <w:lvlJc w:val="left"/>
      <w:pPr>
        <w:ind w:left="1191" w:hanging="284"/>
      </w:pPr>
    </w:lvl>
  </w:abstractNum>
  <w:abstractNum w:abstractNumId="158" w15:restartNumberingAfterBreak="0">
    <w:nsid w:val="0DF47D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0E046A14"/>
    <w:multiLevelType w:val="singleLevel"/>
    <w:tmpl w:val="864EE628"/>
    <w:lvl w:ilvl="0">
      <w:start w:val="1"/>
      <w:numFmt w:val="decimal"/>
      <w:lvlText w:val="%1."/>
      <w:lvlJc w:val="left"/>
      <w:pPr>
        <w:tabs>
          <w:tab w:val="num" w:pos="360"/>
        </w:tabs>
        <w:ind w:left="284" w:hanging="284"/>
      </w:pPr>
    </w:lvl>
  </w:abstractNum>
  <w:abstractNum w:abstractNumId="160" w15:restartNumberingAfterBreak="0">
    <w:nsid w:val="0E477C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0E5339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0E713D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0E7B43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0E8D7C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0E8F2A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0EC854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0EEB08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0F067C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0F3058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0F346F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0F6127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0F8C310C"/>
    <w:multiLevelType w:val="singleLevel"/>
    <w:tmpl w:val="0CD6BA2E"/>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0F9C73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0FA42D26"/>
    <w:multiLevelType w:val="singleLevel"/>
    <w:tmpl w:val="041D000F"/>
    <w:lvl w:ilvl="0">
      <w:start w:val="1"/>
      <w:numFmt w:val="decimal"/>
      <w:lvlText w:val="%1."/>
      <w:lvlJc w:val="left"/>
      <w:pPr>
        <w:tabs>
          <w:tab w:val="num" w:pos="360"/>
        </w:tabs>
        <w:ind w:left="360" w:hanging="360"/>
      </w:pPr>
    </w:lvl>
  </w:abstractNum>
  <w:abstractNum w:abstractNumId="175" w15:restartNumberingAfterBreak="0">
    <w:nsid w:val="0FCC37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0FCE07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0FE279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100376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102936CE"/>
    <w:multiLevelType w:val="singleLevel"/>
    <w:tmpl w:val="FFFFFFFF"/>
    <w:lvl w:ilvl="0">
      <w:numFmt w:val="decimal"/>
      <w:lvlText w:val="*"/>
      <w:lvlJc w:val="left"/>
    </w:lvl>
  </w:abstractNum>
  <w:abstractNum w:abstractNumId="180" w15:restartNumberingAfterBreak="0">
    <w:nsid w:val="103448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10385B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105079A7"/>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183" w15:restartNumberingAfterBreak="0">
    <w:nsid w:val="106B09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10A009A5"/>
    <w:multiLevelType w:val="singleLevel"/>
    <w:tmpl w:val="798C5842"/>
    <w:lvl w:ilvl="0">
      <w:start w:val="4"/>
      <w:numFmt w:val="bullet"/>
      <w:lvlText w:val="-"/>
      <w:lvlJc w:val="left"/>
      <w:pPr>
        <w:tabs>
          <w:tab w:val="num" w:pos="360"/>
        </w:tabs>
        <w:ind w:left="360" w:hanging="360"/>
      </w:pPr>
      <w:rPr>
        <w:rFonts w:hint="default"/>
      </w:rPr>
    </w:lvl>
  </w:abstractNum>
  <w:abstractNum w:abstractNumId="185" w15:restartNumberingAfterBreak="0">
    <w:nsid w:val="10C33167"/>
    <w:multiLevelType w:val="singleLevel"/>
    <w:tmpl w:val="F61899B2"/>
    <w:lvl w:ilvl="0">
      <w:start w:val="1"/>
      <w:numFmt w:val="decimal"/>
      <w:lvlText w:val="%1."/>
      <w:legacy w:legacy="1" w:legacySpace="0" w:legacyIndent="454"/>
      <w:lvlJc w:val="left"/>
      <w:pPr>
        <w:ind w:left="454" w:hanging="454"/>
      </w:pPr>
    </w:lvl>
  </w:abstractNum>
  <w:abstractNum w:abstractNumId="186" w15:restartNumberingAfterBreak="0">
    <w:nsid w:val="10C61E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10D327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112727CD"/>
    <w:multiLevelType w:val="singleLevel"/>
    <w:tmpl w:val="3C446EEE"/>
    <w:lvl w:ilvl="0">
      <w:start w:val="1"/>
      <w:numFmt w:val="decimal"/>
      <w:lvlText w:val="%1."/>
      <w:legacy w:legacy="1" w:legacySpace="0" w:legacyIndent="454"/>
      <w:lvlJc w:val="left"/>
      <w:pPr>
        <w:ind w:left="454" w:hanging="454"/>
      </w:pPr>
    </w:lvl>
  </w:abstractNum>
  <w:abstractNum w:abstractNumId="189" w15:restartNumberingAfterBreak="0">
    <w:nsid w:val="112A3E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114C4585"/>
    <w:multiLevelType w:val="singleLevel"/>
    <w:tmpl w:val="A5F058F8"/>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11C144F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2" w15:restartNumberingAfterBreak="0">
    <w:nsid w:val="12002F5C"/>
    <w:multiLevelType w:val="multilevel"/>
    <w:tmpl w:val="46A479EA"/>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1316"/>
        </w:tabs>
        <w:ind w:left="1316" w:hanging="465"/>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193" w15:restartNumberingAfterBreak="0">
    <w:nsid w:val="127678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129503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12976E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129C26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12A31E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12AC7560"/>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9" w15:restartNumberingAfterBreak="0">
    <w:nsid w:val="12B436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12BC67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12C670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12FC7A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13030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131E153E"/>
    <w:multiLevelType w:val="singleLevel"/>
    <w:tmpl w:val="F2ECD44A"/>
    <w:lvl w:ilvl="0">
      <w:start w:val="1"/>
      <w:numFmt w:val="bullet"/>
      <w:lvlText w:val=""/>
      <w:lvlJc w:val="left"/>
      <w:pPr>
        <w:tabs>
          <w:tab w:val="num" w:pos="360"/>
        </w:tabs>
        <w:ind w:left="360" w:hanging="360"/>
      </w:pPr>
      <w:rPr>
        <w:rFonts w:ascii="Symbol" w:hAnsi="Symbol" w:hint="default"/>
      </w:rPr>
    </w:lvl>
  </w:abstractNum>
  <w:abstractNum w:abstractNumId="205" w15:restartNumberingAfterBreak="0">
    <w:nsid w:val="133626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6" w15:restartNumberingAfterBreak="0">
    <w:nsid w:val="134E5BDE"/>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207" w15:restartNumberingAfterBreak="0">
    <w:nsid w:val="136C49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139909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9" w15:restartNumberingAfterBreak="0">
    <w:nsid w:val="13A314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13FF5F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1" w15:restartNumberingAfterBreak="0">
    <w:nsid w:val="142342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142C0931"/>
    <w:multiLevelType w:val="singleLevel"/>
    <w:tmpl w:val="041D000F"/>
    <w:lvl w:ilvl="0">
      <w:start w:val="1"/>
      <w:numFmt w:val="decimal"/>
      <w:lvlText w:val="%1."/>
      <w:legacy w:legacy="1" w:legacySpace="0" w:legacyIndent="284"/>
      <w:lvlJc w:val="left"/>
      <w:pPr>
        <w:ind w:left="1191" w:hanging="284"/>
      </w:pPr>
    </w:lvl>
  </w:abstractNum>
  <w:abstractNum w:abstractNumId="213" w15:restartNumberingAfterBreak="0">
    <w:nsid w:val="144130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14564A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14703B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14820339"/>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217" w15:restartNumberingAfterBreak="0">
    <w:nsid w:val="148E52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149D03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14A651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14AB1B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14B80418"/>
    <w:multiLevelType w:val="multilevel"/>
    <w:tmpl w:val="10366E14"/>
    <w:lvl w:ilvl="0">
      <w:start w:val="4"/>
      <w:numFmt w:val="decimal"/>
      <w:suff w:val="space"/>
      <w:lvlText w:val="%1"/>
      <w:lvlJc w:val="left"/>
      <w:pPr>
        <w:ind w:left="0" w:firstLine="0"/>
      </w:pPr>
    </w:lvl>
    <w:lvl w:ilvl="1">
      <w:start w:val="1"/>
      <w:numFmt w:val="decimal"/>
      <w:suff w:val="space"/>
      <w:lvlText w:val="%1.%2"/>
      <w:lvlJc w:val="left"/>
      <w:pPr>
        <w:ind w:left="170" w:hanging="170"/>
      </w:pPr>
    </w:lvl>
    <w:lvl w:ilvl="2">
      <w:start w:val="1"/>
      <w:numFmt w:val="decimal"/>
      <w:suff w:val="space"/>
      <w:lvlText w:val="%1.%2.%3"/>
      <w:lvlJc w:val="left"/>
      <w:pPr>
        <w:ind w:left="170" w:hanging="170"/>
      </w:pPr>
    </w:lvl>
    <w:lvl w:ilvl="3">
      <w:start w:val="1"/>
      <w:numFmt w:val="none"/>
      <w:suff w:val="space"/>
      <w:lvlText w:val="%1.%2.%3.%4"/>
      <w:lvlJc w:val="left"/>
      <w:pPr>
        <w:ind w:left="170" w:hanging="170"/>
      </w:pPr>
    </w:lvl>
    <w:lvl w:ilvl="4">
      <w:start w:val="1"/>
      <w:numFmt w:val="decimal"/>
      <w:suff w:val="space"/>
      <w:lvlText w:val="%1.%2.%3.%4.%5"/>
      <w:lvlJc w:val="left"/>
      <w:pPr>
        <w:ind w:left="0" w:firstLine="0"/>
      </w:pPr>
    </w:lvl>
    <w:lvl w:ilvl="5">
      <w:start w:val="1"/>
      <w:numFmt w:val="decimal"/>
      <w:suff w:val="space"/>
      <w:lvlText w:val="%1.%2.%3.%4.%5.%6"/>
      <w:lvlJc w:val="left"/>
      <w:pPr>
        <w:ind w:left="170" w:hanging="170"/>
      </w:pPr>
    </w:lvl>
    <w:lvl w:ilvl="6">
      <w:start w:val="1"/>
      <w:numFmt w:val="decimal"/>
      <w:suff w:val="space"/>
      <w:lvlText w:val="%1.%2.%3.%4.%5.%6.%7"/>
      <w:lvlJc w:val="left"/>
      <w:pPr>
        <w:ind w:left="0" w:firstLine="0"/>
      </w:pPr>
    </w:lvl>
    <w:lvl w:ilvl="7">
      <w:start w:val="1"/>
      <w:numFmt w:val="decimal"/>
      <w:suff w:val="space"/>
      <w:lvlText w:val="%1.%2.%3.%4.%5.%6.%7.%8"/>
      <w:lvlJc w:val="left"/>
      <w:pPr>
        <w:ind w:left="170" w:hanging="170"/>
      </w:pPr>
    </w:lvl>
    <w:lvl w:ilvl="8">
      <w:start w:val="1"/>
      <w:numFmt w:val="decimal"/>
      <w:suff w:val="space"/>
      <w:lvlText w:val="%1.%2.%3.%4.%5.%6.%7.%8.%9"/>
      <w:lvlJc w:val="left"/>
      <w:pPr>
        <w:ind w:left="170" w:hanging="170"/>
      </w:pPr>
    </w:lvl>
  </w:abstractNum>
  <w:abstractNum w:abstractNumId="222" w15:restartNumberingAfterBreak="0">
    <w:nsid w:val="14F652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150D4B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4" w15:restartNumberingAfterBreak="0">
    <w:nsid w:val="150E79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15157C94"/>
    <w:multiLevelType w:val="singleLevel"/>
    <w:tmpl w:val="BBDEA5D2"/>
    <w:lvl w:ilvl="0">
      <w:start w:val="1"/>
      <w:numFmt w:val="decimal"/>
      <w:lvlText w:val="%1."/>
      <w:legacy w:legacy="1" w:legacySpace="0" w:legacyIndent="284"/>
      <w:lvlJc w:val="left"/>
      <w:pPr>
        <w:ind w:left="1191" w:hanging="284"/>
      </w:pPr>
    </w:lvl>
  </w:abstractNum>
  <w:abstractNum w:abstractNumId="22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27" w15:restartNumberingAfterBreak="0">
    <w:nsid w:val="15870D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159A6C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15C612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15DB3A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1" w15:restartNumberingAfterBreak="0">
    <w:nsid w:val="16336A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2" w15:restartNumberingAfterBreak="0">
    <w:nsid w:val="163F11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3" w15:restartNumberingAfterBreak="0">
    <w:nsid w:val="164344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4" w15:restartNumberingAfterBreak="0">
    <w:nsid w:val="166838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16697C1E"/>
    <w:multiLevelType w:val="singleLevel"/>
    <w:tmpl w:val="041D000F"/>
    <w:lvl w:ilvl="0">
      <w:start w:val="1"/>
      <w:numFmt w:val="decimal"/>
      <w:lvlText w:val="%1."/>
      <w:lvlJc w:val="left"/>
      <w:pPr>
        <w:tabs>
          <w:tab w:val="num" w:pos="360"/>
        </w:tabs>
        <w:ind w:left="360" w:hanging="360"/>
      </w:pPr>
    </w:lvl>
  </w:abstractNum>
  <w:abstractNum w:abstractNumId="236" w15:restartNumberingAfterBreak="0">
    <w:nsid w:val="166F60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169B5B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8" w15:restartNumberingAfterBreak="0">
    <w:nsid w:val="16A26B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9" w15:restartNumberingAfterBreak="0">
    <w:nsid w:val="16B316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0" w15:restartNumberingAfterBreak="0">
    <w:nsid w:val="16B373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1" w15:restartNumberingAfterBreak="0">
    <w:nsid w:val="16BC4C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2" w15:restartNumberingAfterBreak="0">
    <w:nsid w:val="16EA54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16EE61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16EF0F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5" w15:restartNumberingAfterBreak="0">
    <w:nsid w:val="17350C2C"/>
    <w:multiLevelType w:val="multilevel"/>
    <w:tmpl w:val="5028816A"/>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6" w15:restartNumberingAfterBreak="0">
    <w:nsid w:val="17391E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7" w15:restartNumberingAfterBreak="0">
    <w:nsid w:val="177C33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8" w15:restartNumberingAfterBreak="0">
    <w:nsid w:val="17C16C33"/>
    <w:multiLevelType w:val="singleLevel"/>
    <w:tmpl w:val="56CE799E"/>
    <w:lvl w:ilvl="0">
      <w:start w:val="1"/>
      <w:numFmt w:val="decimal"/>
      <w:lvlText w:val="%1."/>
      <w:legacy w:legacy="1" w:legacySpace="0" w:legacyIndent="284"/>
      <w:lvlJc w:val="left"/>
      <w:pPr>
        <w:ind w:left="1191" w:hanging="284"/>
      </w:pPr>
    </w:lvl>
  </w:abstractNum>
  <w:abstractNum w:abstractNumId="249" w15:restartNumberingAfterBreak="0">
    <w:nsid w:val="17DB6E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0" w15:restartNumberingAfterBreak="0">
    <w:nsid w:val="17E859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1" w15:restartNumberingAfterBreak="0">
    <w:nsid w:val="17F005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17FE1B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3" w15:restartNumberingAfterBreak="0">
    <w:nsid w:val="17FE27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4" w15:restartNumberingAfterBreak="0">
    <w:nsid w:val="18162B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181939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6" w15:restartNumberingAfterBreak="0">
    <w:nsid w:val="183738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7" w15:restartNumberingAfterBreak="0">
    <w:nsid w:val="18411E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8" w15:restartNumberingAfterBreak="0">
    <w:nsid w:val="189364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18E415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0" w15:restartNumberingAfterBreak="0">
    <w:nsid w:val="190E72E3"/>
    <w:multiLevelType w:val="singleLevel"/>
    <w:tmpl w:val="4C2EE808"/>
    <w:lvl w:ilvl="0">
      <w:start w:val="1"/>
      <w:numFmt w:val="bullet"/>
      <w:lvlText w:val=""/>
      <w:lvlJc w:val="left"/>
      <w:pPr>
        <w:tabs>
          <w:tab w:val="num" w:pos="360"/>
        </w:tabs>
        <w:ind w:left="170" w:hanging="170"/>
      </w:pPr>
      <w:rPr>
        <w:rFonts w:ascii="Symbol" w:hAnsi="Symbol" w:hint="default"/>
      </w:rPr>
    </w:lvl>
  </w:abstractNum>
  <w:abstractNum w:abstractNumId="261" w15:restartNumberingAfterBreak="0">
    <w:nsid w:val="194071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194072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3" w15:restartNumberingAfterBreak="0">
    <w:nsid w:val="194C2037"/>
    <w:multiLevelType w:val="singleLevel"/>
    <w:tmpl w:val="7E5AAA14"/>
    <w:lvl w:ilvl="0">
      <w:start w:val="1"/>
      <w:numFmt w:val="decimal"/>
      <w:lvlText w:val="%1."/>
      <w:lvlJc w:val="left"/>
      <w:pPr>
        <w:tabs>
          <w:tab w:val="num" w:pos="587"/>
        </w:tabs>
        <w:ind w:left="587" w:hanging="360"/>
      </w:pPr>
      <w:rPr>
        <w:rFonts w:hint="default"/>
      </w:rPr>
    </w:lvl>
  </w:abstractNum>
  <w:abstractNum w:abstractNumId="264" w15:restartNumberingAfterBreak="0">
    <w:nsid w:val="196D0F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19730E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6" w15:restartNumberingAfterBreak="0">
    <w:nsid w:val="19A16A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19B607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8" w15:restartNumberingAfterBreak="0">
    <w:nsid w:val="19E355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9" w15:restartNumberingAfterBreak="0">
    <w:nsid w:val="19EC1DA5"/>
    <w:multiLevelType w:val="singleLevel"/>
    <w:tmpl w:val="BBDEA5D2"/>
    <w:lvl w:ilvl="0">
      <w:start w:val="1"/>
      <w:numFmt w:val="decimal"/>
      <w:lvlText w:val="%1."/>
      <w:legacy w:legacy="1" w:legacySpace="0" w:legacyIndent="284"/>
      <w:lvlJc w:val="left"/>
      <w:pPr>
        <w:ind w:left="1191" w:hanging="284"/>
      </w:pPr>
    </w:lvl>
  </w:abstractNum>
  <w:abstractNum w:abstractNumId="270" w15:restartNumberingAfterBreak="0">
    <w:nsid w:val="19F74C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1" w15:restartNumberingAfterBreak="0">
    <w:nsid w:val="1A2652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2" w15:restartNumberingAfterBreak="0">
    <w:nsid w:val="1A265A08"/>
    <w:multiLevelType w:val="singleLevel"/>
    <w:tmpl w:val="6DE2D4AE"/>
    <w:lvl w:ilvl="0">
      <w:start w:val="7"/>
      <w:numFmt w:val="decimal"/>
      <w:lvlText w:val="%1."/>
      <w:legacy w:legacy="1" w:legacySpace="0" w:legacyIndent="454"/>
      <w:lvlJc w:val="left"/>
      <w:pPr>
        <w:ind w:left="454" w:hanging="454"/>
      </w:pPr>
    </w:lvl>
  </w:abstractNum>
  <w:abstractNum w:abstractNumId="273" w15:restartNumberingAfterBreak="0">
    <w:nsid w:val="1A2D62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4" w15:restartNumberingAfterBreak="0">
    <w:nsid w:val="1A351E5B"/>
    <w:multiLevelType w:val="singleLevel"/>
    <w:tmpl w:val="BBDEA5D2"/>
    <w:lvl w:ilvl="0">
      <w:start w:val="1"/>
      <w:numFmt w:val="decimal"/>
      <w:lvlText w:val="%1."/>
      <w:legacy w:legacy="1" w:legacySpace="0" w:legacyIndent="284"/>
      <w:lvlJc w:val="left"/>
      <w:pPr>
        <w:ind w:left="1191" w:hanging="284"/>
      </w:pPr>
    </w:lvl>
  </w:abstractNum>
  <w:abstractNum w:abstractNumId="275" w15:restartNumberingAfterBreak="0">
    <w:nsid w:val="1A3817B9"/>
    <w:multiLevelType w:val="singleLevel"/>
    <w:tmpl w:val="041D000F"/>
    <w:lvl w:ilvl="0">
      <w:start w:val="1"/>
      <w:numFmt w:val="decimal"/>
      <w:lvlText w:val="%1."/>
      <w:lvlJc w:val="left"/>
      <w:pPr>
        <w:tabs>
          <w:tab w:val="num" w:pos="360"/>
        </w:tabs>
        <w:ind w:left="360" w:hanging="360"/>
      </w:pPr>
    </w:lvl>
  </w:abstractNum>
  <w:abstractNum w:abstractNumId="276" w15:restartNumberingAfterBreak="0">
    <w:nsid w:val="1A4C0F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1A5B50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8" w15:restartNumberingAfterBreak="0">
    <w:nsid w:val="1A6A7B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1A6B26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0" w15:restartNumberingAfterBreak="0">
    <w:nsid w:val="1A6D79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1A9B60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1A9F7E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3" w15:restartNumberingAfterBreak="0">
    <w:nsid w:val="1AB720D5"/>
    <w:multiLevelType w:val="singleLevel"/>
    <w:tmpl w:val="A1C6AFB4"/>
    <w:lvl w:ilvl="0">
      <w:start w:val="1"/>
      <w:numFmt w:val="bullet"/>
      <w:lvlText w:val=""/>
      <w:lvlJc w:val="left"/>
      <w:pPr>
        <w:tabs>
          <w:tab w:val="num" w:pos="360"/>
        </w:tabs>
        <w:ind w:left="0" w:firstLine="0"/>
      </w:pPr>
      <w:rPr>
        <w:rFonts w:ascii="CommonBullets" w:hAnsi="CommonBullets" w:hint="default"/>
        <w:sz w:val="24"/>
      </w:rPr>
    </w:lvl>
  </w:abstractNum>
  <w:abstractNum w:abstractNumId="284" w15:restartNumberingAfterBreak="0">
    <w:nsid w:val="1ABF3A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5" w15:restartNumberingAfterBreak="0">
    <w:nsid w:val="1B1646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1B1C27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7" w15:restartNumberingAfterBreak="0">
    <w:nsid w:val="1B1E74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8" w15:restartNumberingAfterBreak="0">
    <w:nsid w:val="1B4563A1"/>
    <w:multiLevelType w:val="singleLevel"/>
    <w:tmpl w:val="BBDEA5D2"/>
    <w:lvl w:ilvl="0">
      <w:start w:val="1"/>
      <w:numFmt w:val="decimal"/>
      <w:lvlText w:val="%1."/>
      <w:legacy w:legacy="1" w:legacySpace="0" w:legacyIndent="284"/>
      <w:lvlJc w:val="left"/>
      <w:pPr>
        <w:ind w:left="1191" w:hanging="284"/>
      </w:pPr>
    </w:lvl>
  </w:abstractNum>
  <w:abstractNum w:abstractNumId="289" w15:restartNumberingAfterBreak="0">
    <w:nsid w:val="1B4567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1B4A1A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1B8C7F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2" w15:restartNumberingAfterBreak="0">
    <w:nsid w:val="1BB072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1BD447B0"/>
    <w:multiLevelType w:val="singleLevel"/>
    <w:tmpl w:val="F814AF02"/>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1BE66A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5" w15:restartNumberingAfterBreak="0">
    <w:nsid w:val="1BE725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6" w15:restartNumberingAfterBreak="0">
    <w:nsid w:val="1C1504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7" w15:restartNumberingAfterBreak="0">
    <w:nsid w:val="1C4410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8" w15:restartNumberingAfterBreak="0">
    <w:nsid w:val="1C7745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9" w15:restartNumberingAfterBreak="0">
    <w:nsid w:val="1C7C7E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0" w15:restartNumberingAfterBreak="0">
    <w:nsid w:val="1C9660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1" w15:restartNumberingAfterBreak="0">
    <w:nsid w:val="1CBE63B2"/>
    <w:multiLevelType w:val="singleLevel"/>
    <w:tmpl w:val="F39C6256"/>
    <w:lvl w:ilvl="0">
      <w:start w:val="1"/>
      <w:numFmt w:val="decimal"/>
      <w:lvlText w:val="%1."/>
      <w:lvlJc w:val="left"/>
      <w:pPr>
        <w:tabs>
          <w:tab w:val="num" w:pos="360"/>
        </w:tabs>
        <w:ind w:left="360" w:hanging="360"/>
      </w:pPr>
      <w:rPr>
        <w:rFonts w:hint="default"/>
        <w:b/>
      </w:rPr>
    </w:lvl>
  </w:abstractNum>
  <w:abstractNum w:abstractNumId="302" w15:restartNumberingAfterBreak="0">
    <w:nsid w:val="1CCE52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3" w15:restartNumberingAfterBreak="0">
    <w:nsid w:val="1D3835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4" w15:restartNumberingAfterBreak="0">
    <w:nsid w:val="1D4461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5" w15:restartNumberingAfterBreak="0">
    <w:nsid w:val="1D8A64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6" w15:restartNumberingAfterBreak="0">
    <w:nsid w:val="1DCB34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7" w15:restartNumberingAfterBreak="0">
    <w:nsid w:val="1DD119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8" w15:restartNumberingAfterBreak="0">
    <w:nsid w:val="1DE509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9" w15:restartNumberingAfterBreak="0">
    <w:nsid w:val="1DEE78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0" w15:restartNumberingAfterBreak="0">
    <w:nsid w:val="1E0430EE"/>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311" w15:restartNumberingAfterBreak="0">
    <w:nsid w:val="1E1C44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2" w15:restartNumberingAfterBreak="0">
    <w:nsid w:val="1E1E16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3" w15:restartNumberingAfterBreak="0">
    <w:nsid w:val="1E223A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4" w15:restartNumberingAfterBreak="0">
    <w:nsid w:val="1E2B10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5" w15:restartNumberingAfterBreak="0">
    <w:nsid w:val="1E4021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6" w15:restartNumberingAfterBreak="0">
    <w:nsid w:val="1E6C4C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7" w15:restartNumberingAfterBreak="0">
    <w:nsid w:val="1E7522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8" w15:restartNumberingAfterBreak="0">
    <w:nsid w:val="1E781A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9" w15:restartNumberingAfterBreak="0">
    <w:nsid w:val="1EA735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0" w15:restartNumberingAfterBreak="0">
    <w:nsid w:val="1EAB4F1F"/>
    <w:multiLevelType w:val="singleLevel"/>
    <w:tmpl w:val="041D000F"/>
    <w:lvl w:ilvl="0">
      <w:start w:val="1"/>
      <w:numFmt w:val="decimal"/>
      <w:lvlText w:val="%1."/>
      <w:lvlJc w:val="left"/>
      <w:pPr>
        <w:tabs>
          <w:tab w:val="num" w:pos="360"/>
        </w:tabs>
        <w:ind w:left="360" w:hanging="360"/>
      </w:pPr>
      <w:rPr>
        <w:rFonts w:hint="default"/>
      </w:rPr>
    </w:lvl>
  </w:abstractNum>
  <w:abstractNum w:abstractNumId="321" w15:restartNumberingAfterBreak="0">
    <w:nsid w:val="1EC46E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2" w15:restartNumberingAfterBreak="0">
    <w:nsid w:val="1EC529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3" w15:restartNumberingAfterBreak="0">
    <w:nsid w:val="1EEE47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4" w15:restartNumberingAfterBreak="0">
    <w:nsid w:val="1F2046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5" w15:restartNumberingAfterBreak="0">
    <w:nsid w:val="1F2C25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6" w15:restartNumberingAfterBreak="0">
    <w:nsid w:val="1F6F19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1F717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8" w15:restartNumberingAfterBreak="0">
    <w:nsid w:val="1F733C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9" w15:restartNumberingAfterBreak="0">
    <w:nsid w:val="1F7870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0" w15:restartNumberingAfterBreak="0">
    <w:nsid w:val="1F9C64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1" w15:restartNumberingAfterBreak="0">
    <w:nsid w:val="1F9E1C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1FA65F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1FBD43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4" w15:restartNumberingAfterBreak="0">
    <w:nsid w:val="1FCA45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5" w15:restartNumberingAfterBreak="0">
    <w:nsid w:val="1FCF79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6" w15:restartNumberingAfterBreak="0">
    <w:nsid w:val="1FE539F0"/>
    <w:multiLevelType w:val="singleLevel"/>
    <w:tmpl w:val="DFB0201E"/>
    <w:lvl w:ilvl="0">
      <w:start w:val="4"/>
      <w:numFmt w:val="bullet"/>
      <w:lvlText w:val="-"/>
      <w:lvlJc w:val="left"/>
      <w:pPr>
        <w:tabs>
          <w:tab w:val="num" w:pos="360"/>
        </w:tabs>
        <w:ind w:left="360" w:hanging="360"/>
      </w:pPr>
      <w:rPr>
        <w:rFonts w:hint="default"/>
      </w:rPr>
    </w:lvl>
  </w:abstractNum>
  <w:abstractNum w:abstractNumId="337" w15:restartNumberingAfterBreak="0">
    <w:nsid w:val="1FEA1EBA"/>
    <w:multiLevelType w:val="singleLevel"/>
    <w:tmpl w:val="041D000F"/>
    <w:lvl w:ilvl="0">
      <w:start w:val="1"/>
      <w:numFmt w:val="decimal"/>
      <w:lvlText w:val="%1."/>
      <w:lvlJc w:val="left"/>
      <w:pPr>
        <w:tabs>
          <w:tab w:val="num" w:pos="360"/>
        </w:tabs>
        <w:ind w:left="360" w:hanging="360"/>
      </w:pPr>
      <w:rPr>
        <w:rFonts w:hint="default"/>
      </w:rPr>
    </w:lvl>
  </w:abstractNum>
  <w:abstractNum w:abstractNumId="338" w15:restartNumberingAfterBreak="0">
    <w:nsid w:val="1FF711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9" w15:restartNumberingAfterBreak="0">
    <w:nsid w:val="202438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0" w15:restartNumberingAfterBreak="0">
    <w:nsid w:val="20267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1" w15:restartNumberingAfterBreak="0">
    <w:nsid w:val="20495A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20662C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3" w15:restartNumberingAfterBreak="0">
    <w:nsid w:val="207E42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4" w15:restartNumberingAfterBreak="0">
    <w:nsid w:val="209106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5" w15:restartNumberingAfterBreak="0">
    <w:nsid w:val="20B14E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6" w15:restartNumberingAfterBreak="0">
    <w:nsid w:val="20C260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20CD1619"/>
    <w:multiLevelType w:val="singleLevel"/>
    <w:tmpl w:val="D48C8C30"/>
    <w:lvl w:ilvl="0">
      <w:start w:val="1"/>
      <w:numFmt w:val="decimal"/>
      <w:lvlText w:val="%1."/>
      <w:legacy w:legacy="1" w:legacySpace="0" w:legacyIndent="454"/>
      <w:lvlJc w:val="left"/>
      <w:pPr>
        <w:ind w:left="454" w:hanging="454"/>
      </w:pPr>
    </w:lvl>
  </w:abstractNum>
  <w:abstractNum w:abstractNumId="348" w15:restartNumberingAfterBreak="0">
    <w:nsid w:val="213B02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9" w15:restartNumberingAfterBreak="0">
    <w:nsid w:val="214164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0" w15:restartNumberingAfterBreak="0">
    <w:nsid w:val="21590C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1" w15:restartNumberingAfterBreak="0">
    <w:nsid w:val="21672F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2" w15:restartNumberingAfterBreak="0">
    <w:nsid w:val="216E2D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3" w15:restartNumberingAfterBreak="0">
    <w:nsid w:val="217001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4" w15:restartNumberingAfterBreak="0">
    <w:nsid w:val="217651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5" w15:restartNumberingAfterBreak="0">
    <w:nsid w:val="218473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6" w15:restartNumberingAfterBreak="0">
    <w:nsid w:val="21893E30"/>
    <w:multiLevelType w:val="singleLevel"/>
    <w:tmpl w:val="041D000F"/>
    <w:lvl w:ilvl="0">
      <w:start w:val="1"/>
      <w:numFmt w:val="decimal"/>
      <w:lvlText w:val="%1."/>
      <w:lvlJc w:val="left"/>
      <w:pPr>
        <w:tabs>
          <w:tab w:val="num" w:pos="360"/>
        </w:tabs>
        <w:ind w:left="360" w:hanging="360"/>
      </w:pPr>
    </w:lvl>
  </w:abstractNum>
  <w:abstractNum w:abstractNumId="357" w15:restartNumberingAfterBreak="0">
    <w:nsid w:val="21CD61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8" w15:restartNumberingAfterBreak="0">
    <w:nsid w:val="21D359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9" w15:restartNumberingAfterBreak="0">
    <w:nsid w:val="21EB74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0" w15:restartNumberingAfterBreak="0">
    <w:nsid w:val="220130D5"/>
    <w:multiLevelType w:val="singleLevel"/>
    <w:tmpl w:val="21285C22"/>
    <w:lvl w:ilvl="0">
      <w:start w:val="22"/>
      <w:numFmt w:val="decimal"/>
      <w:lvlText w:val="%1."/>
      <w:legacy w:legacy="1" w:legacySpace="0" w:legacyIndent="454"/>
      <w:lvlJc w:val="left"/>
      <w:pPr>
        <w:ind w:left="454" w:hanging="454"/>
      </w:pPr>
    </w:lvl>
  </w:abstractNum>
  <w:abstractNum w:abstractNumId="361" w15:restartNumberingAfterBreak="0">
    <w:nsid w:val="22292A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2" w15:restartNumberingAfterBreak="0">
    <w:nsid w:val="222D5A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3" w15:restartNumberingAfterBreak="0">
    <w:nsid w:val="223E54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4" w15:restartNumberingAfterBreak="0">
    <w:nsid w:val="22677840"/>
    <w:multiLevelType w:val="singleLevel"/>
    <w:tmpl w:val="041D0001"/>
    <w:lvl w:ilvl="0">
      <w:start w:val="50"/>
      <w:numFmt w:val="bullet"/>
      <w:lvlText w:val=""/>
      <w:lvlJc w:val="left"/>
      <w:pPr>
        <w:tabs>
          <w:tab w:val="num" w:pos="360"/>
        </w:tabs>
        <w:ind w:left="360" w:hanging="360"/>
      </w:pPr>
      <w:rPr>
        <w:rFonts w:ascii="Symbol" w:hAnsi="Symbol" w:hint="default"/>
      </w:rPr>
    </w:lvl>
  </w:abstractNum>
  <w:abstractNum w:abstractNumId="365" w15:restartNumberingAfterBreak="0">
    <w:nsid w:val="226D59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6" w15:restartNumberingAfterBreak="0">
    <w:nsid w:val="227465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7" w15:restartNumberingAfterBreak="0">
    <w:nsid w:val="227A69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8" w15:restartNumberingAfterBreak="0">
    <w:nsid w:val="228877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9" w15:restartNumberingAfterBreak="0">
    <w:nsid w:val="22890F3F"/>
    <w:multiLevelType w:val="singleLevel"/>
    <w:tmpl w:val="041D000F"/>
    <w:lvl w:ilvl="0">
      <w:start w:val="1"/>
      <w:numFmt w:val="decimal"/>
      <w:lvlText w:val="%1."/>
      <w:lvlJc w:val="left"/>
      <w:pPr>
        <w:tabs>
          <w:tab w:val="num" w:pos="360"/>
        </w:tabs>
        <w:ind w:left="360" w:hanging="360"/>
      </w:pPr>
      <w:rPr>
        <w:rFonts w:hint="default"/>
      </w:rPr>
    </w:lvl>
  </w:abstractNum>
  <w:abstractNum w:abstractNumId="370" w15:restartNumberingAfterBreak="0">
    <w:nsid w:val="22972D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22B35E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2" w15:restartNumberingAfterBreak="0">
    <w:nsid w:val="230D6C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3" w15:restartNumberingAfterBreak="0">
    <w:nsid w:val="232D3C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4" w15:restartNumberingAfterBreak="0">
    <w:nsid w:val="233849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5" w15:restartNumberingAfterBreak="0">
    <w:nsid w:val="236B68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6" w15:restartNumberingAfterBreak="0">
    <w:nsid w:val="23BA43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7" w15:restartNumberingAfterBreak="0">
    <w:nsid w:val="23CB68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8" w15:restartNumberingAfterBreak="0">
    <w:nsid w:val="23E259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9" w15:restartNumberingAfterBreak="0">
    <w:nsid w:val="240A4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0" w15:restartNumberingAfterBreak="0">
    <w:nsid w:val="243832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1" w15:restartNumberingAfterBreak="0">
    <w:nsid w:val="246451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2" w15:restartNumberingAfterBreak="0">
    <w:nsid w:val="246A302B"/>
    <w:multiLevelType w:val="multilevel"/>
    <w:tmpl w:val="A4CCC57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83" w15:restartNumberingAfterBreak="0">
    <w:nsid w:val="247B44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4" w15:restartNumberingAfterBreak="0">
    <w:nsid w:val="24992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5" w15:restartNumberingAfterBreak="0">
    <w:nsid w:val="24A63E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6" w15:restartNumberingAfterBreak="0">
    <w:nsid w:val="24B26D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7" w15:restartNumberingAfterBreak="0">
    <w:nsid w:val="24DE03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2517232C"/>
    <w:multiLevelType w:val="singleLevel"/>
    <w:tmpl w:val="354E5006"/>
    <w:lvl w:ilvl="0">
      <w:start w:val="1"/>
      <w:numFmt w:val="bullet"/>
      <w:lvlText w:val=""/>
      <w:legacy w:legacy="1" w:legacySpace="0" w:legacyIndent="454"/>
      <w:lvlJc w:val="left"/>
      <w:pPr>
        <w:ind w:left="454" w:hanging="454"/>
      </w:pPr>
      <w:rPr>
        <w:rFonts w:ascii="Symbol" w:hAnsi="Symbol" w:hint="default"/>
      </w:rPr>
    </w:lvl>
  </w:abstractNum>
  <w:abstractNum w:abstractNumId="389" w15:restartNumberingAfterBreak="0">
    <w:nsid w:val="252C38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0" w15:restartNumberingAfterBreak="0">
    <w:nsid w:val="255A28B6"/>
    <w:multiLevelType w:val="singleLevel"/>
    <w:tmpl w:val="320A3736"/>
    <w:lvl w:ilvl="0">
      <w:start w:val="1"/>
      <w:numFmt w:val="decimal"/>
      <w:lvlText w:val="%1."/>
      <w:legacy w:legacy="1" w:legacySpace="0" w:legacyIndent="454"/>
      <w:lvlJc w:val="left"/>
      <w:pPr>
        <w:ind w:left="454" w:hanging="454"/>
      </w:pPr>
    </w:lvl>
  </w:abstractNum>
  <w:abstractNum w:abstractNumId="391" w15:restartNumberingAfterBreak="0">
    <w:nsid w:val="257774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2" w15:restartNumberingAfterBreak="0">
    <w:nsid w:val="257A7C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2581702A"/>
    <w:multiLevelType w:val="singleLevel"/>
    <w:tmpl w:val="7B2A64EC"/>
    <w:lvl w:ilvl="0">
      <w:start w:val="1"/>
      <w:numFmt w:val="decimal"/>
      <w:lvlText w:val="%1."/>
      <w:legacy w:legacy="1" w:legacySpace="0" w:legacyIndent="454"/>
      <w:lvlJc w:val="left"/>
      <w:pPr>
        <w:ind w:left="454" w:hanging="454"/>
      </w:pPr>
    </w:lvl>
  </w:abstractNum>
  <w:abstractNum w:abstractNumId="394" w15:restartNumberingAfterBreak="0">
    <w:nsid w:val="25835C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5" w15:restartNumberingAfterBreak="0">
    <w:nsid w:val="259579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6" w15:restartNumberingAfterBreak="0">
    <w:nsid w:val="259A41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7" w15:restartNumberingAfterBreak="0">
    <w:nsid w:val="25AA33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8" w15:restartNumberingAfterBreak="0">
    <w:nsid w:val="25F029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9" w15:restartNumberingAfterBreak="0">
    <w:nsid w:val="25F565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0" w15:restartNumberingAfterBreak="0">
    <w:nsid w:val="260B27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1" w15:restartNumberingAfterBreak="0">
    <w:nsid w:val="261A7D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2" w15:restartNumberingAfterBreak="0">
    <w:nsid w:val="262507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3" w15:restartNumberingAfterBreak="0">
    <w:nsid w:val="265376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4" w15:restartNumberingAfterBreak="0">
    <w:nsid w:val="266C46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266D56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6" w15:restartNumberingAfterBreak="0">
    <w:nsid w:val="269C5E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7" w15:restartNumberingAfterBreak="0">
    <w:nsid w:val="26BA553C"/>
    <w:multiLevelType w:val="multilevel"/>
    <w:tmpl w:val="12FA611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08" w15:restartNumberingAfterBreak="0">
    <w:nsid w:val="26C75C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9" w15:restartNumberingAfterBreak="0">
    <w:nsid w:val="26E67E60"/>
    <w:multiLevelType w:val="singleLevel"/>
    <w:tmpl w:val="03E83A06"/>
    <w:lvl w:ilvl="0">
      <w:start w:val="1"/>
      <w:numFmt w:val="decimal"/>
      <w:lvlRestart w:val="0"/>
      <w:lvlText w:val="%1."/>
      <w:lvlJc w:val="left"/>
      <w:pPr>
        <w:tabs>
          <w:tab w:val="num" w:pos="992"/>
        </w:tabs>
        <w:ind w:left="510" w:firstLine="170"/>
      </w:pPr>
    </w:lvl>
  </w:abstractNum>
  <w:abstractNum w:abstractNumId="410" w15:restartNumberingAfterBreak="0">
    <w:nsid w:val="26F52C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1" w15:restartNumberingAfterBreak="0">
    <w:nsid w:val="27022B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2" w15:restartNumberingAfterBreak="0">
    <w:nsid w:val="27080E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3" w15:restartNumberingAfterBreak="0">
    <w:nsid w:val="272204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4" w15:restartNumberingAfterBreak="0">
    <w:nsid w:val="272A34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5" w15:restartNumberingAfterBreak="0">
    <w:nsid w:val="27551B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6" w15:restartNumberingAfterBreak="0">
    <w:nsid w:val="275815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7" w15:restartNumberingAfterBreak="0">
    <w:nsid w:val="275933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276868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9" w15:restartNumberingAfterBreak="0">
    <w:nsid w:val="2785503A"/>
    <w:multiLevelType w:val="singleLevel"/>
    <w:tmpl w:val="7EA4CB10"/>
    <w:lvl w:ilvl="0">
      <w:start w:val="3"/>
      <w:numFmt w:val="lowerLetter"/>
      <w:lvlText w:val="%1)"/>
      <w:lvlJc w:val="left"/>
      <w:pPr>
        <w:tabs>
          <w:tab w:val="num" w:pos="700"/>
        </w:tabs>
        <w:ind w:left="700" w:hanging="360"/>
      </w:pPr>
      <w:rPr>
        <w:rFonts w:hint="default"/>
      </w:rPr>
    </w:lvl>
  </w:abstractNum>
  <w:abstractNum w:abstractNumId="420" w15:restartNumberingAfterBreak="0">
    <w:nsid w:val="27CE52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1" w15:restartNumberingAfterBreak="0">
    <w:nsid w:val="27D96C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2" w15:restartNumberingAfterBreak="0">
    <w:nsid w:val="27ED7C17"/>
    <w:multiLevelType w:val="singleLevel"/>
    <w:tmpl w:val="041D000F"/>
    <w:lvl w:ilvl="0">
      <w:start w:val="1"/>
      <w:numFmt w:val="decimal"/>
      <w:lvlText w:val="%1."/>
      <w:lvlJc w:val="left"/>
      <w:pPr>
        <w:tabs>
          <w:tab w:val="num" w:pos="360"/>
        </w:tabs>
        <w:ind w:left="360" w:hanging="360"/>
      </w:pPr>
      <w:rPr>
        <w:rFonts w:hint="default"/>
      </w:rPr>
    </w:lvl>
  </w:abstractNum>
  <w:abstractNum w:abstractNumId="423" w15:restartNumberingAfterBreak="0">
    <w:nsid w:val="28283D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4" w15:restartNumberingAfterBreak="0">
    <w:nsid w:val="283654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5" w15:restartNumberingAfterBreak="0">
    <w:nsid w:val="28463C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6" w15:restartNumberingAfterBreak="0">
    <w:nsid w:val="284B10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7" w15:restartNumberingAfterBreak="0">
    <w:nsid w:val="28A623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8" w15:restartNumberingAfterBreak="0">
    <w:nsid w:val="291E2D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9" w15:restartNumberingAfterBreak="0">
    <w:nsid w:val="292D60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0" w15:restartNumberingAfterBreak="0">
    <w:nsid w:val="29991F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1" w15:restartNumberingAfterBreak="0">
    <w:nsid w:val="299C00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2" w15:restartNumberingAfterBreak="0">
    <w:nsid w:val="29A974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3" w15:restartNumberingAfterBreak="0">
    <w:nsid w:val="29BA75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4" w15:restartNumberingAfterBreak="0">
    <w:nsid w:val="29E322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5" w15:restartNumberingAfterBreak="0">
    <w:nsid w:val="2A1C2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2A2173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7" w15:restartNumberingAfterBreak="0">
    <w:nsid w:val="2A3E3D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8" w15:restartNumberingAfterBreak="0">
    <w:nsid w:val="2A512772"/>
    <w:multiLevelType w:val="singleLevel"/>
    <w:tmpl w:val="DA14CA8A"/>
    <w:lvl w:ilvl="0">
      <w:numFmt w:val="bullet"/>
      <w:lvlText w:val="–"/>
      <w:lvlJc w:val="left"/>
      <w:pPr>
        <w:tabs>
          <w:tab w:val="num" w:pos="530"/>
        </w:tabs>
        <w:ind w:left="530" w:hanging="360"/>
      </w:pPr>
      <w:rPr>
        <w:rFonts w:hint="default"/>
      </w:rPr>
    </w:lvl>
  </w:abstractNum>
  <w:abstractNum w:abstractNumId="439" w15:restartNumberingAfterBreak="0">
    <w:nsid w:val="2A566B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0" w15:restartNumberingAfterBreak="0">
    <w:nsid w:val="2A7D3D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1" w15:restartNumberingAfterBreak="0">
    <w:nsid w:val="2A9730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2" w15:restartNumberingAfterBreak="0">
    <w:nsid w:val="2A9D00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3" w15:restartNumberingAfterBreak="0">
    <w:nsid w:val="2AB479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4" w15:restartNumberingAfterBreak="0">
    <w:nsid w:val="2AE834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5" w15:restartNumberingAfterBreak="0">
    <w:nsid w:val="2AE971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6" w15:restartNumberingAfterBreak="0">
    <w:nsid w:val="2B0514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7" w15:restartNumberingAfterBreak="0">
    <w:nsid w:val="2B2276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8" w15:restartNumberingAfterBreak="0">
    <w:nsid w:val="2B244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9" w15:restartNumberingAfterBreak="0">
    <w:nsid w:val="2B2F6BA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50" w15:restartNumberingAfterBreak="0">
    <w:nsid w:val="2B4828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1" w15:restartNumberingAfterBreak="0">
    <w:nsid w:val="2B7B37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2" w15:restartNumberingAfterBreak="0">
    <w:nsid w:val="2B7C77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3" w15:restartNumberingAfterBreak="0">
    <w:nsid w:val="2B8078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4" w15:restartNumberingAfterBreak="0">
    <w:nsid w:val="2B811E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5" w15:restartNumberingAfterBreak="0">
    <w:nsid w:val="2B9827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6" w15:restartNumberingAfterBreak="0">
    <w:nsid w:val="2B993A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7" w15:restartNumberingAfterBreak="0">
    <w:nsid w:val="2BA772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8" w15:restartNumberingAfterBreak="0">
    <w:nsid w:val="2C0576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9" w15:restartNumberingAfterBreak="0">
    <w:nsid w:val="2C1D13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0" w15:restartNumberingAfterBreak="0">
    <w:nsid w:val="2C294ACD"/>
    <w:multiLevelType w:val="singleLevel"/>
    <w:tmpl w:val="BBDEA5D2"/>
    <w:lvl w:ilvl="0">
      <w:start w:val="1"/>
      <w:numFmt w:val="decimal"/>
      <w:lvlText w:val="%1."/>
      <w:legacy w:legacy="1" w:legacySpace="0" w:legacyIndent="284"/>
      <w:lvlJc w:val="left"/>
      <w:pPr>
        <w:ind w:left="1191" w:hanging="284"/>
      </w:pPr>
    </w:lvl>
  </w:abstractNum>
  <w:abstractNum w:abstractNumId="461" w15:restartNumberingAfterBreak="0">
    <w:nsid w:val="2C2B20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2" w15:restartNumberingAfterBreak="0">
    <w:nsid w:val="2C3C39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3" w15:restartNumberingAfterBreak="0">
    <w:nsid w:val="2C6D0216"/>
    <w:multiLevelType w:val="singleLevel"/>
    <w:tmpl w:val="BBDEA5D2"/>
    <w:lvl w:ilvl="0">
      <w:start w:val="1"/>
      <w:numFmt w:val="decimal"/>
      <w:lvlText w:val="%1."/>
      <w:legacy w:legacy="1" w:legacySpace="0" w:legacyIndent="284"/>
      <w:lvlJc w:val="left"/>
      <w:pPr>
        <w:ind w:left="1191" w:hanging="284"/>
      </w:pPr>
    </w:lvl>
  </w:abstractNum>
  <w:abstractNum w:abstractNumId="464" w15:restartNumberingAfterBreak="0">
    <w:nsid w:val="2CD11981"/>
    <w:multiLevelType w:val="singleLevel"/>
    <w:tmpl w:val="359E8030"/>
    <w:lvl w:ilvl="0">
      <w:start w:val="1"/>
      <w:numFmt w:val="decimal"/>
      <w:lvlRestart w:val="0"/>
      <w:lvlText w:val="%1."/>
      <w:lvlJc w:val="left"/>
      <w:pPr>
        <w:tabs>
          <w:tab w:val="num" w:pos="992"/>
        </w:tabs>
        <w:ind w:left="510" w:firstLine="397"/>
      </w:pPr>
    </w:lvl>
  </w:abstractNum>
  <w:abstractNum w:abstractNumId="465" w15:restartNumberingAfterBreak="0">
    <w:nsid w:val="2CD35B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6" w15:restartNumberingAfterBreak="0">
    <w:nsid w:val="2CD764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7" w15:restartNumberingAfterBreak="0">
    <w:nsid w:val="2CD94841"/>
    <w:multiLevelType w:val="multilevel"/>
    <w:tmpl w:val="65700EE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68" w15:restartNumberingAfterBreak="0">
    <w:nsid w:val="2CE50C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9" w15:restartNumberingAfterBreak="0">
    <w:nsid w:val="2CF56E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0" w15:restartNumberingAfterBreak="0">
    <w:nsid w:val="2CFC0A05"/>
    <w:multiLevelType w:val="multilevel"/>
    <w:tmpl w:val="46A479EA"/>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1316"/>
        </w:tabs>
        <w:ind w:left="1316" w:hanging="465"/>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471" w15:restartNumberingAfterBreak="0">
    <w:nsid w:val="2D0B46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2" w15:restartNumberingAfterBreak="0">
    <w:nsid w:val="2D1A72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2D350E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4" w15:restartNumberingAfterBreak="0">
    <w:nsid w:val="2D375B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5" w15:restartNumberingAfterBreak="0">
    <w:nsid w:val="2D387A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6" w15:restartNumberingAfterBreak="0">
    <w:nsid w:val="2D3919AA"/>
    <w:multiLevelType w:val="singleLevel"/>
    <w:tmpl w:val="FFFFFFFF"/>
    <w:lvl w:ilvl="0">
      <w:numFmt w:val="decimal"/>
      <w:lvlText w:val="*"/>
      <w:lvlJc w:val="left"/>
    </w:lvl>
  </w:abstractNum>
  <w:abstractNum w:abstractNumId="477" w15:restartNumberingAfterBreak="0">
    <w:nsid w:val="2DCB6F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8" w15:restartNumberingAfterBreak="0">
    <w:nsid w:val="2DCE7F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9" w15:restartNumberingAfterBreak="0">
    <w:nsid w:val="2DE156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0" w15:restartNumberingAfterBreak="0">
    <w:nsid w:val="2DF417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1" w15:restartNumberingAfterBreak="0">
    <w:nsid w:val="2E176D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2" w15:restartNumberingAfterBreak="0">
    <w:nsid w:val="2E1A57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3" w15:restartNumberingAfterBreak="0">
    <w:nsid w:val="2E9E14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4" w15:restartNumberingAfterBreak="0">
    <w:nsid w:val="2EA352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5" w15:restartNumberingAfterBreak="0">
    <w:nsid w:val="2EAF35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6" w15:restartNumberingAfterBreak="0">
    <w:nsid w:val="2EB060BB"/>
    <w:multiLevelType w:val="singleLevel"/>
    <w:tmpl w:val="78446EF4"/>
    <w:lvl w:ilvl="0">
      <w:start w:val="1"/>
      <w:numFmt w:val="decimal"/>
      <w:lvlText w:val="%1."/>
      <w:legacy w:legacy="1" w:legacySpace="0" w:legacyIndent="283"/>
      <w:lvlJc w:val="left"/>
      <w:pPr>
        <w:ind w:left="283" w:hanging="283"/>
      </w:pPr>
    </w:lvl>
  </w:abstractNum>
  <w:abstractNum w:abstractNumId="487" w15:restartNumberingAfterBreak="0">
    <w:nsid w:val="2EB812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8" w15:restartNumberingAfterBreak="0">
    <w:nsid w:val="2F1202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9" w15:restartNumberingAfterBreak="0">
    <w:nsid w:val="2F4770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0" w15:restartNumberingAfterBreak="0">
    <w:nsid w:val="2F5B77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1" w15:restartNumberingAfterBreak="0">
    <w:nsid w:val="2F7025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2" w15:restartNumberingAfterBreak="0">
    <w:nsid w:val="2F8B13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3" w15:restartNumberingAfterBreak="0">
    <w:nsid w:val="2FAF77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4" w15:restartNumberingAfterBreak="0">
    <w:nsid w:val="300739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5" w15:restartNumberingAfterBreak="0">
    <w:nsid w:val="302A7A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6" w15:restartNumberingAfterBreak="0">
    <w:nsid w:val="304B7AC4"/>
    <w:multiLevelType w:val="singleLevel"/>
    <w:tmpl w:val="1D0CC6AA"/>
    <w:lvl w:ilvl="0">
      <w:start w:val="1"/>
      <w:numFmt w:val="decimal"/>
      <w:lvlText w:val="%1."/>
      <w:lvlJc w:val="left"/>
      <w:pPr>
        <w:tabs>
          <w:tab w:val="num" w:pos="700"/>
        </w:tabs>
        <w:ind w:left="700" w:hanging="360"/>
      </w:pPr>
      <w:rPr>
        <w:rFonts w:hint="default"/>
        <w:i w:val="0"/>
      </w:rPr>
    </w:lvl>
  </w:abstractNum>
  <w:abstractNum w:abstractNumId="497" w15:restartNumberingAfterBreak="0">
    <w:nsid w:val="30672536"/>
    <w:multiLevelType w:val="singleLevel"/>
    <w:tmpl w:val="BBDEA5D2"/>
    <w:lvl w:ilvl="0">
      <w:start w:val="1"/>
      <w:numFmt w:val="decimal"/>
      <w:lvlText w:val="%1."/>
      <w:legacy w:legacy="1" w:legacySpace="0" w:legacyIndent="284"/>
      <w:lvlJc w:val="left"/>
      <w:pPr>
        <w:ind w:left="1191" w:hanging="284"/>
      </w:pPr>
    </w:lvl>
  </w:abstractNum>
  <w:abstractNum w:abstractNumId="498" w15:restartNumberingAfterBreak="0">
    <w:nsid w:val="306A0A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9" w15:restartNumberingAfterBreak="0">
    <w:nsid w:val="307B10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0" w15:restartNumberingAfterBreak="0">
    <w:nsid w:val="30B310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1" w15:restartNumberingAfterBreak="0">
    <w:nsid w:val="30CD6E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2" w15:restartNumberingAfterBreak="0">
    <w:nsid w:val="30D33C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3" w15:restartNumberingAfterBreak="0">
    <w:nsid w:val="30EA4F03"/>
    <w:multiLevelType w:val="multilevel"/>
    <w:tmpl w:val="C3368616"/>
    <w:lvl w:ilvl="0">
      <w:start w:val="15"/>
      <w:numFmt w:val="decimal"/>
      <w:lvlText w:val="%1."/>
      <w:legacy w:legacy="1" w:legacySpace="0" w:legacyIndent="454"/>
      <w:lvlJc w:val="left"/>
      <w:pPr>
        <w:ind w:left="454" w:hanging="454"/>
      </w:p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504" w15:restartNumberingAfterBreak="0">
    <w:nsid w:val="30F679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5" w15:restartNumberingAfterBreak="0">
    <w:nsid w:val="31054B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312C17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7" w15:restartNumberingAfterBreak="0">
    <w:nsid w:val="312E78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8" w15:restartNumberingAfterBreak="0">
    <w:nsid w:val="314E37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9" w15:restartNumberingAfterBreak="0">
    <w:nsid w:val="31511D0E"/>
    <w:multiLevelType w:val="multilevel"/>
    <w:tmpl w:val="5BA684B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10" w15:restartNumberingAfterBreak="0">
    <w:nsid w:val="318A4A0B"/>
    <w:multiLevelType w:val="singleLevel"/>
    <w:tmpl w:val="041D000F"/>
    <w:lvl w:ilvl="0">
      <w:start w:val="1"/>
      <w:numFmt w:val="decimal"/>
      <w:lvlText w:val="%1."/>
      <w:lvlJc w:val="left"/>
      <w:pPr>
        <w:tabs>
          <w:tab w:val="num" w:pos="360"/>
        </w:tabs>
        <w:ind w:left="360" w:hanging="360"/>
      </w:pPr>
    </w:lvl>
  </w:abstractNum>
  <w:abstractNum w:abstractNumId="511" w15:restartNumberingAfterBreak="0">
    <w:nsid w:val="31E438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2" w15:restartNumberingAfterBreak="0">
    <w:nsid w:val="320C3C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3" w15:restartNumberingAfterBreak="0">
    <w:nsid w:val="32343A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4" w15:restartNumberingAfterBreak="0">
    <w:nsid w:val="32617E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5" w15:restartNumberingAfterBreak="0">
    <w:nsid w:val="326C0E62"/>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516" w15:restartNumberingAfterBreak="0">
    <w:nsid w:val="32785A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7" w15:restartNumberingAfterBreak="0">
    <w:nsid w:val="32A948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8" w15:restartNumberingAfterBreak="0">
    <w:nsid w:val="32B17437"/>
    <w:multiLevelType w:val="singleLevel"/>
    <w:tmpl w:val="6786FEA4"/>
    <w:lvl w:ilvl="0">
      <w:start w:val="1"/>
      <w:numFmt w:val="decimal"/>
      <w:lvlText w:val="%1."/>
      <w:legacy w:legacy="1" w:legacySpace="0" w:legacyIndent="284"/>
      <w:lvlJc w:val="left"/>
      <w:pPr>
        <w:ind w:left="1191" w:hanging="284"/>
      </w:pPr>
    </w:lvl>
  </w:abstractNum>
  <w:abstractNum w:abstractNumId="519" w15:restartNumberingAfterBreak="0">
    <w:nsid w:val="32B45FD9"/>
    <w:multiLevelType w:val="singleLevel"/>
    <w:tmpl w:val="8F566BEA"/>
    <w:lvl w:ilvl="0">
      <w:start w:val="1"/>
      <w:numFmt w:val="decimal"/>
      <w:lvlText w:val="%1."/>
      <w:legacy w:legacy="1" w:legacySpace="0" w:legacyIndent="454"/>
      <w:lvlJc w:val="left"/>
      <w:pPr>
        <w:ind w:left="454" w:hanging="454"/>
      </w:pPr>
    </w:lvl>
  </w:abstractNum>
  <w:abstractNum w:abstractNumId="520" w15:restartNumberingAfterBreak="0">
    <w:nsid w:val="32C748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1" w15:restartNumberingAfterBreak="0">
    <w:nsid w:val="32C90C8C"/>
    <w:multiLevelType w:val="singleLevel"/>
    <w:tmpl w:val="9AD2DCC0"/>
    <w:lvl w:ilvl="0">
      <w:start w:val="1"/>
      <w:numFmt w:val="bullet"/>
      <w:lvlText w:val=""/>
      <w:lvlJc w:val="left"/>
      <w:pPr>
        <w:tabs>
          <w:tab w:val="num" w:pos="360"/>
        </w:tabs>
        <w:ind w:left="170" w:hanging="170"/>
      </w:pPr>
      <w:rPr>
        <w:rFonts w:ascii="Symbol" w:hAnsi="Symbol" w:hint="default"/>
      </w:rPr>
    </w:lvl>
  </w:abstractNum>
  <w:abstractNum w:abstractNumId="522" w15:restartNumberingAfterBreak="0">
    <w:nsid w:val="32EA08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3" w15:restartNumberingAfterBreak="0">
    <w:nsid w:val="33046E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4" w15:restartNumberingAfterBreak="0">
    <w:nsid w:val="331974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5" w15:restartNumberingAfterBreak="0">
    <w:nsid w:val="33310A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6" w15:restartNumberingAfterBreak="0">
    <w:nsid w:val="33515DF7"/>
    <w:multiLevelType w:val="singleLevel"/>
    <w:tmpl w:val="1EF28B28"/>
    <w:lvl w:ilvl="0">
      <w:start w:val="4"/>
      <w:numFmt w:val="bullet"/>
      <w:lvlText w:val="-"/>
      <w:lvlJc w:val="left"/>
      <w:pPr>
        <w:tabs>
          <w:tab w:val="num" w:pos="360"/>
        </w:tabs>
        <w:ind w:left="360" w:hanging="360"/>
      </w:pPr>
      <w:rPr>
        <w:rFonts w:hint="default"/>
      </w:rPr>
    </w:lvl>
  </w:abstractNum>
  <w:abstractNum w:abstractNumId="527" w15:restartNumberingAfterBreak="0">
    <w:nsid w:val="33712E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8" w15:restartNumberingAfterBreak="0">
    <w:nsid w:val="33BA2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9" w15:restartNumberingAfterBreak="0">
    <w:nsid w:val="33BE4361"/>
    <w:multiLevelType w:val="singleLevel"/>
    <w:tmpl w:val="36407E36"/>
    <w:lvl w:ilvl="0">
      <w:start w:val="1"/>
      <w:numFmt w:val="decimal"/>
      <w:lvlRestart w:val="0"/>
      <w:lvlText w:val="%1."/>
      <w:lvlJc w:val="left"/>
      <w:pPr>
        <w:tabs>
          <w:tab w:val="num" w:pos="992"/>
        </w:tabs>
        <w:ind w:left="510" w:firstLine="170"/>
      </w:pPr>
    </w:lvl>
  </w:abstractNum>
  <w:abstractNum w:abstractNumId="530" w15:restartNumberingAfterBreak="0">
    <w:nsid w:val="33E91D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1" w15:restartNumberingAfterBreak="0">
    <w:nsid w:val="340135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2" w15:restartNumberingAfterBreak="0">
    <w:nsid w:val="34097C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3" w15:restartNumberingAfterBreak="0">
    <w:nsid w:val="340A18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4" w15:restartNumberingAfterBreak="0">
    <w:nsid w:val="341709A1"/>
    <w:multiLevelType w:val="singleLevel"/>
    <w:tmpl w:val="8A06A79C"/>
    <w:lvl w:ilvl="0">
      <w:start w:val="1"/>
      <w:numFmt w:val="bullet"/>
      <w:lvlText w:val=""/>
      <w:lvlJc w:val="left"/>
      <w:pPr>
        <w:tabs>
          <w:tab w:val="num" w:pos="360"/>
        </w:tabs>
        <w:ind w:left="170" w:hanging="170"/>
      </w:pPr>
      <w:rPr>
        <w:rFonts w:ascii="Symbol" w:hAnsi="Symbol" w:hint="default"/>
      </w:rPr>
    </w:lvl>
  </w:abstractNum>
  <w:abstractNum w:abstractNumId="535" w15:restartNumberingAfterBreak="0">
    <w:nsid w:val="343338C6"/>
    <w:multiLevelType w:val="singleLevel"/>
    <w:tmpl w:val="D5CCA656"/>
    <w:lvl w:ilvl="0">
      <w:start w:val="1"/>
      <w:numFmt w:val="bullet"/>
      <w:lvlText w:val=""/>
      <w:lvlJc w:val="left"/>
      <w:pPr>
        <w:tabs>
          <w:tab w:val="num" w:pos="360"/>
        </w:tabs>
        <w:ind w:left="170" w:hanging="170"/>
      </w:pPr>
      <w:rPr>
        <w:rFonts w:ascii="Symbol" w:hAnsi="Symbol" w:hint="default"/>
      </w:rPr>
    </w:lvl>
  </w:abstractNum>
  <w:abstractNum w:abstractNumId="536" w15:restartNumberingAfterBreak="0">
    <w:nsid w:val="344A3B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7" w15:restartNumberingAfterBreak="0">
    <w:nsid w:val="345732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8" w15:restartNumberingAfterBreak="0">
    <w:nsid w:val="346C49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9" w15:restartNumberingAfterBreak="0">
    <w:nsid w:val="34B673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0" w15:restartNumberingAfterBreak="0">
    <w:nsid w:val="34C52C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1" w15:restartNumberingAfterBreak="0">
    <w:nsid w:val="34EA35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2" w15:restartNumberingAfterBreak="0">
    <w:nsid w:val="34F85E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3" w15:restartNumberingAfterBreak="0">
    <w:nsid w:val="34FF59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4" w15:restartNumberingAfterBreak="0">
    <w:nsid w:val="35095F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5" w15:restartNumberingAfterBreak="0">
    <w:nsid w:val="3524666B"/>
    <w:multiLevelType w:val="multilevel"/>
    <w:tmpl w:val="4ECC748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46" w15:restartNumberingAfterBreak="0">
    <w:nsid w:val="352E51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7" w15:restartNumberingAfterBreak="0">
    <w:nsid w:val="354D1A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8" w15:restartNumberingAfterBreak="0">
    <w:nsid w:val="356F2A05"/>
    <w:multiLevelType w:val="singleLevel"/>
    <w:tmpl w:val="BA90BCCC"/>
    <w:lvl w:ilvl="0">
      <w:start w:val="1"/>
      <w:numFmt w:val="bullet"/>
      <w:lvlText w:val=""/>
      <w:lvlJc w:val="left"/>
      <w:pPr>
        <w:tabs>
          <w:tab w:val="num" w:pos="360"/>
        </w:tabs>
        <w:ind w:left="170" w:hanging="170"/>
      </w:pPr>
      <w:rPr>
        <w:rFonts w:ascii="Symbol" w:hAnsi="Symbol" w:hint="default"/>
      </w:rPr>
    </w:lvl>
  </w:abstractNum>
  <w:abstractNum w:abstractNumId="549" w15:restartNumberingAfterBreak="0">
    <w:nsid w:val="35C16C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0" w15:restartNumberingAfterBreak="0">
    <w:nsid w:val="35EB48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1" w15:restartNumberingAfterBreak="0">
    <w:nsid w:val="35EC6C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2" w15:restartNumberingAfterBreak="0">
    <w:nsid w:val="35F533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3" w15:restartNumberingAfterBreak="0">
    <w:nsid w:val="36115E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4" w15:restartNumberingAfterBreak="0">
    <w:nsid w:val="363133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5" w15:restartNumberingAfterBreak="0">
    <w:nsid w:val="364371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6" w15:restartNumberingAfterBreak="0">
    <w:nsid w:val="365C27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7" w15:restartNumberingAfterBreak="0">
    <w:nsid w:val="369814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8" w15:restartNumberingAfterBreak="0">
    <w:nsid w:val="36B469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9" w15:restartNumberingAfterBreak="0">
    <w:nsid w:val="36E663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0" w15:restartNumberingAfterBreak="0">
    <w:nsid w:val="36EA73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1" w15:restartNumberingAfterBreak="0">
    <w:nsid w:val="36EC3E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2" w15:restartNumberingAfterBreak="0">
    <w:nsid w:val="36F33EBB"/>
    <w:multiLevelType w:val="singleLevel"/>
    <w:tmpl w:val="E72E67D6"/>
    <w:lvl w:ilvl="0">
      <w:start w:val="1"/>
      <w:numFmt w:val="lowerLetter"/>
      <w:lvlText w:val="%1)"/>
      <w:lvlJc w:val="left"/>
      <w:pPr>
        <w:tabs>
          <w:tab w:val="num" w:pos="700"/>
        </w:tabs>
        <w:ind w:left="700" w:hanging="360"/>
      </w:pPr>
      <w:rPr>
        <w:rFonts w:hint="default"/>
      </w:rPr>
    </w:lvl>
  </w:abstractNum>
  <w:abstractNum w:abstractNumId="563" w15:restartNumberingAfterBreak="0">
    <w:nsid w:val="36FD4DB3"/>
    <w:multiLevelType w:val="singleLevel"/>
    <w:tmpl w:val="212E51C4"/>
    <w:lvl w:ilvl="0">
      <w:start w:val="43"/>
      <w:numFmt w:val="decimal"/>
      <w:lvlText w:val="%1."/>
      <w:legacy w:legacy="1" w:legacySpace="0" w:legacyIndent="454"/>
      <w:lvlJc w:val="left"/>
      <w:pPr>
        <w:ind w:left="454" w:hanging="454"/>
      </w:pPr>
    </w:lvl>
  </w:abstractNum>
  <w:abstractNum w:abstractNumId="564" w15:restartNumberingAfterBreak="0">
    <w:nsid w:val="36FD5655"/>
    <w:multiLevelType w:val="singleLevel"/>
    <w:tmpl w:val="67D85B8E"/>
    <w:lvl w:ilvl="0">
      <w:start w:val="1"/>
      <w:numFmt w:val="decimal"/>
      <w:lvlText w:val="%1."/>
      <w:legacy w:legacy="1" w:legacySpace="0" w:legacyIndent="454"/>
      <w:lvlJc w:val="left"/>
      <w:pPr>
        <w:ind w:left="454" w:hanging="454"/>
      </w:pPr>
    </w:lvl>
  </w:abstractNum>
  <w:abstractNum w:abstractNumId="565" w15:restartNumberingAfterBreak="0">
    <w:nsid w:val="370506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6" w15:restartNumberingAfterBreak="0">
    <w:nsid w:val="370907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7" w15:restartNumberingAfterBreak="0">
    <w:nsid w:val="37365B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8" w15:restartNumberingAfterBreak="0">
    <w:nsid w:val="374E7D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9" w15:restartNumberingAfterBreak="0">
    <w:nsid w:val="376F49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0" w15:restartNumberingAfterBreak="0">
    <w:nsid w:val="379479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1" w15:restartNumberingAfterBreak="0">
    <w:nsid w:val="37CB14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2" w15:restartNumberingAfterBreak="0">
    <w:nsid w:val="37CD73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3" w15:restartNumberingAfterBreak="0">
    <w:nsid w:val="37E459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4" w15:restartNumberingAfterBreak="0">
    <w:nsid w:val="37E51A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5" w15:restartNumberingAfterBreak="0">
    <w:nsid w:val="380276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6" w15:restartNumberingAfterBreak="0">
    <w:nsid w:val="381B12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7" w15:restartNumberingAfterBreak="0">
    <w:nsid w:val="382E7B44"/>
    <w:multiLevelType w:val="multilevel"/>
    <w:tmpl w:val="3FE80330"/>
    <w:lvl w:ilvl="0">
      <w:start w:val="2"/>
      <w:numFmt w:val="decimal"/>
      <w:lvlText w:val="%1"/>
      <w:lvlJc w:val="left"/>
      <w:pPr>
        <w:tabs>
          <w:tab w:val="num" w:pos="420"/>
        </w:tabs>
        <w:ind w:left="420" w:hanging="420"/>
      </w:pPr>
      <w:rPr>
        <w:rFonts w:hint="default"/>
      </w:rPr>
    </w:lvl>
    <w:lvl w:ilvl="1">
      <w:start w:val="10"/>
      <w:numFmt w:val="decimal"/>
      <w:lvlText w:val="%1.%2"/>
      <w:lvlJc w:val="left"/>
      <w:pPr>
        <w:tabs>
          <w:tab w:val="num" w:pos="647"/>
        </w:tabs>
        <w:ind w:left="647" w:hanging="420"/>
      </w:pPr>
      <w:rPr>
        <w:rFonts w:hint="default"/>
      </w:rPr>
    </w:lvl>
    <w:lvl w:ilvl="2">
      <w:start w:val="1"/>
      <w:numFmt w:val="decimal"/>
      <w:lvlText w:val="%1.%2.%3"/>
      <w:lvlJc w:val="left"/>
      <w:pPr>
        <w:tabs>
          <w:tab w:val="num" w:pos="1174"/>
        </w:tabs>
        <w:ind w:left="1174" w:hanging="720"/>
      </w:pPr>
      <w:rPr>
        <w:rFonts w:hint="default"/>
      </w:rPr>
    </w:lvl>
    <w:lvl w:ilvl="3">
      <w:start w:val="1"/>
      <w:numFmt w:val="decimal"/>
      <w:lvlText w:val="%1.%2.%3.%4"/>
      <w:lvlJc w:val="left"/>
      <w:pPr>
        <w:tabs>
          <w:tab w:val="num" w:pos="1401"/>
        </w:tabs>
        <w:ind w:left="1401" w:hanging="720"/>
      </w:pPr>
      <w:rPr>
        <w:rFonts w:hint="default"/>
      </w:rPr>
    </w:lvl>
    <w:lvl w:ilvl="4">
      <w:start w:val="1"/>
      <w:numFmt w:val="decimal"/>
      <w:lvlText w:val="%1.%2.%3.%4.%5"/>
      <w:lvlJc w:val="left"/>
      <w:pPr>
        <w:tabs>
          <w:tab w:val="num" w:pos="1628"/>
        </w:tabs>
        <w:ind w:left="1628" w:hanging="720"/>
      </w:pPr>
      <w:rPr>
        <w:rFonts w:hint="default"/>
      </w:rPr>
    </w:lvl>
    <w:lvl w:ilvl="5">
      <w:start w:val="1"/>
      <w:numFmt w:val="decimal"/>
      <w:lvlText w:val="%1.%2.%3.%4.%5.%6"/>
      <w:lvlJc w:val="left"/>
      <w:pPr>
        <w:tabs>
          <w:tab w:val="num" w:pos="2215"/>
        </w:tabs>
        <w:ind w:left="2215" w:hanging="1080"/>
      </w:pPr>
      <w:rPr>
        <w:rFonts w:hint="default"/>
      </w:rPr>
    </w:lvl>
    <w:lvl w:ilvl="6">
      <w:start w:val="1"/>
      <w:numFmt w:val="decimal"/>
      <w:lvlText w:val="%1.%2.%3.%4.%5.%6.%7"/>
      <w:lvlJc w:val="left"/>
      <w:pPr>
        <w:tabs>
          <w:tab w:val="num" w:pos="2442"/>
        </w:tabs>
        <w:ind w:left="2442" w:hanging="1080"/>
      </w:pPr>
      <w:rPr>
        <w:rFonts w:hint="default"/>
      </w:rPr>
    </w:lvl>
    <w:lvl w:ilvl="7">
      <w:start w:val="1"/>
      <w:numFmt w:val="decimal"/>
      <w:lvlText w:val="%1.%2.%3.%4.%5.%6.%7.%8"/>
      <w:lvlJc w:val="left"/>
      <w:pPr>
        <w:tabs>
          <w:tab w:val="num" w:pos="3029"/>
        </w:tabs>
        <w:ind w:left="3029" w:hanging="1440"/>
      </w:pPr>
      <w:rPr>
        <w:rFonts w:hint="default"/>
      </w:rPr>
    </w:lvl>
    <w:lvl w:ilvl="8">
      <w:start w:val="1"/>
      <w:numFmt w:val="decimal"/>
      <w:lvlText w:val="%1.%2.%3.%4.%5.%6.%7.%8.%9"/>
      <w:lvlJc w:val="left"/>
      <w:pPr>
        <w:tabs>
          <w:tab w:val="num" w:pos="3256"/>
        </w:tabs>
        <w:ind w:left="3256" w:hanging="1440"/>
      </w:pPr>
      <w:rPr>
        <w:rFonts w:hint="default"/>
      </w:rPr>
    </w:lvl>
  </w:abstractNum>
  <w:abstractNum w:abstractNumId="578" w15:restartNumberingAfterBreak="0">
    <w:nsid w:val="38654214"/>
    <w:multiLevelType w:val="singleLevel"/>
    <w:tmpl w:val="BBDEA5D2"/>
    <w:lvl w:ilvl="0">
      <w:start w:val="1"/>
      <w:numFmt w:val="decimal"/>
      <w:lvlText w:val="%1."/>
      <w:legacy w:legacy="1" w:legacySpace="0" w:legacyIndent="284"/>
      <w:lvlJc w:val="left"/>
      <w:pPr>
        <w:ind w:left="1191" w:hanging="284"/>
      </w:pPr>
    </w:lvl>
  </w:abstractNum>
  <w:abstractNum w:abstractNumId="579" w15:restartNumberingAfterBreak="0">
    <w:nsid w:val="386A08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0" w15:restartNumberingAfterBreak="0">
    <w:nsid w:val="38A553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1" w15:restartNumberingAfterBreak="0">
    <w:nsid w:val="38B545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2" w15:restartNumberingAfterBreak="0">
    <w:nsid w:val="38CC34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3" w15:restartNumberingAfterBreak="0">
    <w:nsid w:val="38D456BB"/>
    <w:multiLevelType w:val="singleLevel"/>
    <w:tmpl w:val="041D000F"/>
    <w:lvl w:ilvl="0">
      <w:start w:val="1"/>
      <w:numFmt w:val="decimal"/>
      <w:lvlText w:val="%1."/>
      <w:lvlJc w:val="left"/>
      <w:pPr>
        <w:tabs>
          <w:tab w:val="num" w:pos="360"/>
        </w:tabs>
        <w:ind w:left="360" w:hanging="360"/>
      </w:pPr>
    </w:lvl>
  </w:abstractNum>
  <w:abstractNum w:abstractNumId="584" w15:restartNumberingAfterBreak="0">
    <w:nsid w:val="38EE3405"/>
    <w:multiLevelType w:val="singleLevel"/>
    <w:tmpl w:val="FFFFFFFF"/>
    <w:lvl w:ilvl="0">
      <w:numFmt w:val="decimal"/>
      <w:lvlText w:val="*"/>
      <w:lvlJc w:val="left"/>
    </w:lvl>
  </w:abstractNum>
  <w:abstractNum w:abstractNumId="585" w15:restartNumberingAfterBreak="0">
    <w:nsid w:val="38F70CD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86" w15:restartNumberingAfterBreak="0">
    <w:nsid w:val="38FE22E5"/>
    <w:multiLevelType w:val="singleLevel"/>
    <w:tmpl w:val="EA28A0FE"/>
    <w:lvl w:ilvl="0">
      <w:start w:val="1"/>
      <w:numFmt w:val="decimal"/>
      <w:lvlText w:val="%1."/>
      <w:legacy w:legacy="1" w:legacySpace="0" w:legacyIndent="454"/>
      <w:lvlJc w:val="left"/>
      <w:pPr>
        <w:ind w:left="454" w:hanging="454"/>
      </w:pPr>
    </w:lvl>
  </w:abstractNum>
  <w:abstractNum w:abstractNumId="587" w15:restartNumberingAfterBreak="0">
    <w:nsid w:val="3939761E"/>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588" w15:restartNumberingAfterBreak="0">
    <w:nsid w:val="394D0E5A"/>
    <w:multiLevelType w:val="singleLevel"/>
    <w:tmpl w:val="233CF5E6"/>
    <w:lvl w:ilvl="0">
      <w:numFmt w:val="bullet"/>
      <w:lvlText w:val="-"/>
      <w:lvlJc w:val="left"/>
      <w:pPr>
        <w:tabs>
          <w:tab w:val="num" w:pos="575"/>
        </w:tabs>
        <w:ind w:left="575" w:hanging="360"/>
      </w:pPr>
      <w:rPr>
        <w:rFonts w:hint="default"/>
      </w:rPr>
    </w:lvl>
  </w:abstractNum>
  <w:abstractNum w:abstractNumId="589" w15:restartNumberingAfterBreak="0">
    <w:nsid w:val="39CE5E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0" w15:restartNumberingAfterBreak="0">
    <w:nsid w:val="39CF0853"/>
    <w:multiLevelType w:val="singleLevel"/>
    <w:tmpl w:val="4DA0447C"/>
    <w:lvl w:ilvl="0">
      <w:start w:val="7"/>
      <w:numFmt w:val="decimal"/>
      <w:lvlText w:val="%1."/>
      <w:legacy w:legacy="1" w:legacySpace="0" w:legacyIndent="360"/>
      <w:lvlJc w:val="left"/>
      <w:pPr>
        <w:ind w:left="360" w:hanging="360"/>
      </w:pPr>
    </w:lvl>
  </w:abstractNum>
  <w:abstractNum w:abstractNumId="591" w15:restartNumberingAfterBreak="0">
    <w:nsid w:val="3A0C19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2" w15:restartNumberingAfterBreak="0">
    <w:nsid w:val="3A1A4529"/>
    <w:multiLevelType w:val="multilevel"/>
    <w:tmpl w:val="F2A8AEF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93" w15:restartNumberingAfterBreak="0">
    <w:nsid w:val="3A411606"/>
    <w:multiLevelType w:val="singleLevel"/>
    <w:tmpl w:val="041D000F"/>
    <w:lvl w:ilvl="0">
      <w:start w:val="1"/>
      <w:numFmt w:val="decimal"/>
      <w:lvlText w:val="%1."/>
      <w:lvlJc w:val="left"/>
      <w:pPr>
        <w:tabs>
          <w:tab w:val="num" w:pos="360"/>
        </w:tabs>
        <w:ind w:left="360" w:hanging="360"/>
      </w:pPr>
    </w:lvl>
  </w:abstractNum>
  <w:abstractNum w:abstractNumId="594" w15:restartNumberingAfterBreak="0">
    <w:nsid w:val="3A673F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5" w15:restartNumberingAfterBreak="0">
    <w:nsid w:val="3A686E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6" w15:restartNumberingAfterBreak="0">
    <w:nsid w:val="3A687A02"/>
    <w:multiLevelType w:val="singleLevel"/>
    <w:tmpl w:val="9BACC520"/>
    <w:lvl w:ilvl="0">
      <w:start w:val="1"/>
      <w:numFmt w:val="bullet"/>
      <w:lvlText w:val=""/>
      <w:lvlJc w:val="left"/>
      <w:pPr>
        <w:tabs>
          <w:tab w:val="num" w:pos="360"/>
        </w:tabs>
        <w:ind w:left="170" w:hanging="170"/>
      </w:pPr>
      <w:rPr>
        <w:rFonts w:ascii="Symbol" w:hAnsi="Symbol" w:hint="default"/>
      </w:rPr>
    </w:lvl>
  </w:abstractNum>
  <w:abstractNum w:abstractNumId="597" w15:restartNumberingAfterBreak="0">
    <w:nsid w:val="3A7014AC"/>
    <w:multiLevelType w:val="singleLevel"/>
    <w:tmpl w:val="BA90BCCC"/>
    <w:lvl w:ilvl="0">
      <w:start w:val="1"/>
      <w:numFmt w:val="bullet"/>
      <w:pStyle w:val="MP"/>
      <w:lvlText w:val=""/>
      <w:lvlJc w:val="left"/>
      <w:pPr>
        <w:tabs>
          <w:tab w:val="num" w:pos="360"/>
        </w:tabs>
        <w:ind w:left="170" w:hanging="170"/>
      </w:pPr>
      <w:rPr>
        <w:rFonts w:ascii="Symbol" w:hAnsi="Symbol" w:hint="default"/>
      </w:rPr>
    </w:lvl>
  </w:abstractNum>
  <w:abstractNum w:abstractNumId="598" w15:restartNumberingAfterBreak="0">
    <w:nsid w:val="3A7A11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9" w15:restartNumberingAfterBreak="0">
    <w:nsid w:val="3A7D7B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0" w15:restartNumberingAfterBreak="0">
    <w:nsid w:val="3AB031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1" w15:restartNumberingAfterBreak="0">
    <w:nsid w:val="3ACB3A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2" w15:restartNumberingAfterBreak="0">
    <w:nsid w:val="3AE64C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3" w15:restartNumberingAfterBreak="0">
    <w:nsid w:val="3AF57C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4" w15:restartNumberingAfterBreak="0">
    <w:nsid w:val="3B2379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5" w15:restartNumberingAfterBreak="0">
    <w:nsid w:val="3B266908"/>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606" w15:restartNumberingAfterBreak="0">
    <w:nsid w:val="3B5154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7" w15:restartNumberingAfterBreak="0">
    <w:nsid w:val="3B5C65DF"/>
    <w:multiLevelType w:val="multilevel"/>
    <w:tmpl w:val="CCEE561A"/>
    <w:lvl w:ilvl="0">
      <w:start w:val="5"/>
      <w:numFmt w:val="decimal"/>
      <w:lvlText w:val="%1"/>
      <w:lvlJc w:val="left"/>
      <w:pPr>
        <w:tabs>
          <w:tab w:val="num" w:pos="480"/>
        </w:tabs>
        <w:ind w:left="480" w:hanging="480"/>
      </w:pPr>
      <w:rPr>
        <w:rFonts w:hint="default"/>
      </w:rPr>
    </w:lvl>
    <w:lvl w:ilvl="1">
      <w:start w:val="9"/>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8" w15:restartNumberingAfterBreak="0">
    <w:nsid w:val="3B8C18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9" w15:restartNumberingAfterBreak="0">
    <w:nsid w:val="3B963BF2"/>
    <w:multiLevelType w:val="multilevel"/>
    <w:tmpl w:val="DE8AFE7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10" w15:restartNumberingAfterBreak="0">
    <w:nsid w:val="3C0707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1" w15:restartNumberingAfterBreak="0">
    <w:nsid w:val="3C3A2D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2" w15:restartNumberingAfterBreak="0">
    <w:nsid w:val="3C471D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3" w15:restartNumberingAfterBreak="0">
    <w:nsid w:val="3C4F60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4" w15:restartNumberingAfterBreak="0">
    <w:nsid w:val="3C7D37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5" w15:restartNumberingAfterBreak="0">
    <w:nsid w:val="3C8F0B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6" w15:restartNumberingAfterBreak="0">
    <w:nsid w:val="3CB10A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7" w15:restartNumberingAfterBreak="0">
    <w:nsid w:val="3CCD41D2"/>
    <w:multiLevelType w:val="multilevel"/>
    <w:tmpl w:val="1D4C5B5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18" w15:restartNumberingAfterBreak="0">
    <w:nsid w:val="3CEB3A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9" w15:restartNumberingAfterBreak="0">
    <w:nsid w:val="3D1922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0" w15:restartNumberingAfterBreak="0">
    <w:nsid w:val="3D1F20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1" w15:restartNumberingAfterBreak="0">
    <w:nsid w:val="3D2A3B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2" w15:restartNumberingAfterBreak="0">
    <w:nsid w:val="3D3D0D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3" w15:restartNumberingAfterBreak="0">
    <w:nsid w:val="3D5A68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4" w15:restartNumberingAfterBreak="0">
    <w:nsid w:val="3D5C3A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5" w15:restartNumberingAfterBreak="0">
    <w:nsid w:val="3D6F16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6" w15:restartNumberingAfterBreak="0">
    <w:nsid w:val="3D756A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7" w15:restartNumberingAfterBreak="0">
    <w:nsid w:val="3D8147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8" w15:restartNumberingAfterBreak="0">
    <w:nsid w:val="3D8975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9" w15:restartNumberingAfterBreak="0">
    <w:nsid w:val="3D9248DD"/>
    <w:multiLevelType w:val="multilevel"/>
    <w:tmpl w:val="BB5EA17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30" w15:restartNumberingAfterBreak="0">
    <w:nsid w:val="3DCF68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1" w15:restartNumberingAfterBreak="0">
    <w:nsid w:val="3DD555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2" w15:restartNumberingAfterBreak="0">
    <w:nsid w:val="3DFA59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3" w15:restartNumberingAfterBreak="0">
    <w:nsid w:val="3E0511FA"/>
    <w:multiLevelType w:val="singleLevel"/>
    <w:tmpl w:val="BBDEA5D2"/>
    <w:lvl w:ilvl="0">
      <w:start w:val="1"/>
      <w:numFmt w:val="decimal"/>
      <w:lvlText w:val="%1."/>
      <w:legacy w:legacy="1" w:legacySpace="0" w:legacyIndent="284"/>
      <w:lvlJc w:val="left"/>
      <w:pPr>
        <w:ind w:left="1191" w:hanging="284"/>
      </w:pPr>
    </w:lvl>
  </w:abstractNum>
  <w:abstractNum w:abstractNumId="634" w15:restartNumberingAfterBreak="0">
    <w:nsid w:val="3E1C08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5" w15:restartNumberingAfterBreak="0">
    <w:nsid w:val="3E2B44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6" w15:restartNumberingAfterBreak="0">
    <w:nsid w:val="3E3A08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7" w15:restartNumberingAfterBreak="0">
    <w:nsid w:val="3E5158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8" w15:restartNumberingAfterBreak="0">
    <w:nsid w:val="3E796A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9" w15:restartNumberingAfterBreak="0">
    <w:nsid w:val="3E7B2D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0" w15:restartNumberingAfterBreak="0">
    <w:nsid w:val="3E9B73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1" w15:restartNumberingAfterBreak="0">
    <w:nsid w:val="3EB612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2" w15:restartNumberingAfterBreak="0">
    <w:nsid w:val="3EC53A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3" w15:restartNumberingAfterBreak="0">
    <w:nsid w:val="3EE33D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4" w15:restartNumberingAfterBreak="0">
    <w:nsid w:val="3EF614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5" w15:restartNumberingAfterBreak="0">
    <w:nsid w:val="3EFA505E"/>
    <w:multiLevelType w:val="singleLevel"/>
    <w:tmpl w:val="0A6667D2"/>
    <w:lvl w:ilvl="0">
      <w:start w:val="1"/>
      <w:numFmt w:val="decimal"/>
      <w:lvlText w:val="%1."/>
      <w:legacy w:legacy="1" w:legacySpace="0" w:legacyIndent="284"/>
      <w:lvlJc w:val="left"/>
      <w:pPr>
        <w:ind w:left="964" w:hanging="284"/>
      </w:pPr>
    </w:lvl>
  </w:abstractNum>
  <w:abstractNum w:abstractNumId="646" w15:restartNumberingAfterBreak="0">
    <w:nsid w:val="3F2D5C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7" w15:restartNumberingAfterBreak="0">
    <w:nsid w:val="3F322D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8" w15:restartNumberingAfterBreak="0">
    <w:nsid w:val="3F364290"/>
    <w:multiLevelType w:val="singleLevel"/>
    <w:tmpl w:val="BBDEA5D2"/>
    <w:lvl w:ilvl="0">
      <w:start w:val="1"/>
      <w:numFmt w:val="decimal"/>
      <w:lvlText w:val="%1."/>
      <w:legacy w:legacy="1" w:legacySpace="0" w:legacyIndent="284"/>
      <w:lvlJc w:val="left"/>
      <w:pPr>
        <w:ind w:left="1191" w:hanging="284"/>
      </w:pPr>
    </w:lvl>
  </w:abstractNum>
  <w:abstractNum w:abstractNumId="649" w15:restartNumberingAfterBreak="0">
    <w:nsid w:val="3F3B6D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0" w15:restartNumberingAfterBreak="0">
    <w:nsid w:val="3F3C2F6E"/>
    <w:multiLevelType w:val="singleLevel"/>
    <w:tmpl w:val="7E5AAA14"/>
    <w:lvl w:ilvl="0">
      <w:start w:val="1"/>
      <w:numFmt w:val="decimal"/>
      <w:lvlText w:val="%1."/>
      <w:lvlJc w:val="left"/>
      <w:pPr>
        <w:tabs>
          <w:tab w:val="num" w:pos="587"/>
        </w:tabs>
        <w:ind w:left="587" w:hanging="360"/>
      </w:pPr>
      <w:rPr>
        <w:rFonts w:hint="default"/>
      </w:rPr>
    </w:lvl>
  </w:abstractNum>
  <w:abstractNum w:abstractNumId="651" w15:restartNumberingAfterBreak="0">
    <w:nsid w:val="3FD50F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2" w15:restartNumberingAfterBreak="0">
    <w:nsid w:val="3FDB06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3" w15:restartNumberingAfterBreak="0">
    <w:nsid w:val="40053B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4" w15:restartNumberingAfterBreak="0">
    <w:nsid w:val="400845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5" w15:restartNumberingAfterBreak="0">
    <w:nsid w:val="40151E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6" w15:restartNumberingAfterBreak="0">
    <w:nsid w:val="402A4A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7" w15:restartNumberingAfterBreak="0">
    <w:nsid w:val="403861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8" w15:restartNumberingAfterBreak="0">
    <w:nsid w:val="404551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9" w15:restartNumberingAfterBreak="0">
    <w:nsid w:val="404A14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0" w15:restartNumberingAfterBreak="0">
    <w:nsid w:val="40715F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1" w15:restartNumberingAfterBreak="0">
    <w:nsid w:val="40775368"/>
    <w:multiLevelType w:val="singleLevel"/>
    <w:tmpl w:val="1E5623A8"/>
    <w:lvl w:ilvl="0">
      <w:start w:val="1"/>
      <w:numFmt w:val="decimal"/>
      <w:lvlText w:val="%1."/>
      <w:legacy w:legacy="1" w:legacySpace="0" w:legacyIndent="454"/>
      <w:lvlJc w:val="left"/>
      <w:pPr>
        <w:ind w:left="454" w:hanging="454"/>
      </w:pPr>
    </w:lvl>
  </w:abstractNum>
  <w:abstractNum w:abstractNumId="662" w15:restartNumberingAfterBreak="0">
    <w:nsid w:val="40B06D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3" w15:restartNumberingAfterBreak="0">
    <w:nsid w:val="40B474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4" w15:restartNumberingAfterBreak="0">
    <w:nsid w:val="40BD66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5" w15:restartNumberingAfterBreak="0">
    <w:nsid w:val="410637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6" w15:restartNumberingAfterBreak="0">
    <w:nsid w:val="410E08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7" w15:restartNumberingAfterBreak="0">
    <w:nsid w:val="413308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8" w15:restartNumberingAfterBreak="0">
    <w:nsid w:val="41691D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9" w15:restartNumberingAfterBreak="0">
    <w:nsid w:val="416E4B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0" w15:restartNumberingAfterBreak="0">
    <w:nsid w:val="41AC1683"/>
    <w:multiLevelType w:val="singleLevel"/>
    <w:tmpl w:val="93907640"/>
    <w:lvl w:ilvl="0">
      <w:start w:val="1"/>
      <w:numFmt w:val="decimal"/>
      <w:lvlText w:val="%1."/>
      <w:lvlJc w:val="left"/>
      <w:pPr>
        <w:tabs>
          <w:tab w:val="num" w:pos="360"/>
        </w:tabs>
        <w:ind w:left="360" w:hanging="360"/>
      </w:pPr>
      <w:rPr>
        <w:rFonts w:hint="default"/>
        <w:b/>
      </w:rPr>
    </w:lvl>
  </w:abstractNum>
  <w:abstractNum w:abstractNumId="671" w15:restartNumberingAfterBreak="0">
    <w:nsid w:val="41AF0C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2" w15:restartNumberingAfterBreak="0">
    <w:nsid w:val="41C031CA"/>
    <w:multiLevelType w:val="singleLevel"/>
    <w:tmpl w:val="8F786EA6"/>
    <w:lvl w:ilvl="0">
      <w:start w:val="1"/>
      <w:numFmt w:val="decimal"/>
      <w:lvlText w:val="%1."/>
      <w:lvlJc w:val="left"/>
      <w:pPr>
        <w:tabs>
          <w:tab w:val="num" w:pos="530"/>
        </w:tabs>
        <w:ind w:left="530" w:hanging="360"/>
      </w:pPr>
      <w:rPr>
        <w:rFonts w:hint="default"/>
      </w:rPr>
    </w:lvl>
  </w:abstractNum>
  <w:abstractNum w:abstractNumId="673" w15:restartNumberingAfterBreak="0">
    <w:nsid w:val="41E47C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4" w15:restartNumberingAfterBreak="0">
    <w:nsid w:val="41E9472E"/>
    <w:multiLevelType w:val="multilevel"/>
    <w:tmpl w:val="4DD0A98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75" w15:restartNumberingAfterBreak="0">
    <w:nsid w:val="41E957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6" w15:restartNumberingAfterBreak="0">
    <w:nsid w:val="41FB6E11"/>
    <w:multiLevelType w:val="singleLevel"/>
    <w:tmpl w:val="FE56BB3C"/>
    <w:lvl w:ilvl="0">
      <w:start w:val="1"/>
      <w:numFmt w:val="bullet"/>
      <w:lvlText w:val=""/>
      <w:lvlJc w:val="left"/>
      <w:pPr>
        <w:tabs>
          <w:tab w:val="num" w:pos="360"/>
        </w:tabs>
        <w:ind w:left="357" w:hanging="357"/>
      </w:pPr>
      <w:rPr>
        <w:rFonts w:ascii="Symbol" w:hAnsi="Symbol" w:hint="default"/>
      </w:rPr>
    </w:lvl>
  </w:abstractNum>
  <w:abstractNum w:abstractNumId="677" w15:restartNumberingAfterBreak="0">
    <w:nsid w:val="420167A2"/>
    <w:multiLevelType w:val="singleLevel"/>
    <w:tmpl w:val="75629F82"/>
    <w:lvl w:ilvl="0">
      <w:start w:val="1"/>
      <w:numFmt w:val="bullet"/>
      <w:lvlText w:val=""/>
      <w:lvlJc w:val="left"/>
      <w:pPr>
        <w:tabs>
          <w:tab w:val="num" w:pos="360"/>
        </w:tabs>
        <w:ind w:left="170" w:hanging="170"/>
      </w:pPr>
      <w:rPr>
        <w:rFonts w:ascii="Symbol" w:hAnsi="Symbol" w:hint="default"/>
      </w:rPr>
    </w:lvl>
  </w:abstractNum>
  <w:abstractNum w:abstractNumId="678" w15:restartNumberingAfterBreak="0">
    <w:nsid w:val="423661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9" w15:restartNumberingAfterBreak="0">
    <w:nsid w:val="42381B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0" w15:restartNumberingAfterBreak="0">
    <w:nsid w:val="423C3F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1" w15:restartNumberingAfterBreak="0">
    <w:nsid w:val="42487B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2" w15:restartNumberingAfterBreak="0">
    <w:nsid w:val="424C2A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3" w15:restartNumberingAfterBreak="0">
    <w:nsid w:val="425028EE"/>
    <w:multiLevelType w:val="singleLevel"/>
    <w:tmpl w:val="BBDEA5D2"/>
    <w:lvl w:ilvl="0">
      <w:start w:val="1"/>
      <w:numFmt w:val="decimal"/>
      <w:lvlText w:val="%1."/>
      <w:legacy w:legacy="1" w:legacySpace="0" w:legacyIndent="284"/>
      <w:lvlJc w:val="left"/>
      <w:pPr>
        <w:ind w:left="1191" w:hanging="284"/>
      </w:pPr>
    </w:lvl>
  </w:abstractNum>
  <w:abstractNum w:abstractNumId="684" w15:restartNumberingAfterBreak="0">
    <w:nsid w:val="42724C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5" w15:restartNumberingAfterBreak="0">
    <w:nsid w:val="42754669"/>
    <w:multiLevelType w:val="singleLevel"/>
    <w:tmpl w:val="7C28762C"/>
    <w:lvl w:ilvl="0">
      <w:start w:val="1"/>
      <w:numFmt w:val="bullet"/>
      <w:lvlText w:val=""/>
      <w:lvlJc w:val="left"/>
      <w:pPr>
        <w:tabs>
          <w:tab w:val="num" w:pos="360"/>
        </w:tabs>
        <w:ind w:left="170" w:hanging="170"/>
      </w:pPr>
      <w:rPr>
        <w:rFonts w:ascii="Symbol" w:hAnsi="Symbol" w:hint="default"/>
      </w:rPr>
    </w:lvl>
  </w:abstractNum>
  <w:abstractNum w:abstractNumId="686" w15:restartNumberingAfterBreak="0">
    <w:nsid w:val="42794EAD"/>
    <w:multiLevelType w:val="multilevel"/>
    <w:tmpl w:val="32483EBA"/>
    <w:lvl w:ilvl="0">
      <w:start w:val="4"/>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7" w15:restartNumberingAfterBreak="0">
    <w:nsid w:val="427C55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8" w15:restartNumberingAfterBreak="0">
    <w:nsid w:val="427F320F"/>
    <w:multiLevelType w:val="singleLevel"/>
    <w:tmpl w:val="5B02C3B0"/>
    <w:lvl w:ilvl="0">
      <w:start w:val="1"/>
      <w:numFmt w:val="decimal"/>
      <w:lvlText w:val="%1."/>
      <w:legacy w:legacy="1" w:legacySpace="0" w:legacyIndent="454"/>
      <w:lvlJc w:val="left"/>
      <w:pPr>
        <w:ind w:left="454" w:hanging="454"/>
      </w:pPr>
    </w:lvl>
  </w:abstractNum>
  <w:abstractNum w:abstractNumId="689" w15:restartNumberingAfterBreak="0">
    <w:nsid w:val="428D4D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0" w15:restartNumberingAfterBreak="0">
    <w:nsid w:val="428E1279"/>
    <w:multiLevelType w:val="singleLevel"/>
    <w:tmpl w:val="041D000F"/>
    <w:lvl w:ilvl="0">
      <w:start w:val="1"/>
      <w:numFmt w:val="decimal"/>
      <w:lvlText w:val="%1."/>
      <w:lvlJc w:val="left"/>
      <w:pPr>
        <w:tabs>
          <w:tab w:val="num" w:pos="360"/>
        </w:tabs>
        <w:ind w:left="360" w:hanging="360"/>
      </w:pPr>
      <w:rPr>
        <w:rFonts w:hint="default"/>
      </w:rPr>
    </w:lvl>
  </w:abstractNum>
  <w:abstractNum w:abstractNumId="691" w15:restartNumberingAfterBreak="0">
    <w:nsid w:val="428F27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2" w15:restartNumberingAfterBreak="0">
    <w:nsid w:val="42CC42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3" w15:restartNumberingAfterBreak="0">
    <w:nsid w:val="42E75F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4" w15:restartNumberingAfterBreak="0">
    <w:nsid w:val="42FA31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5" w15:restartNumberingAfterBreak="0">
    <w:nsid w:val="430845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6" w15:restartNumberingAfterBreak="0">
    <w:nsid w:val="434036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7" w15:restartNumberingAfterBreak="0">
    <w:nsid w:val="4341675C"/>
    <w:multiLevelType w:val="singleLevel"/>
    <w:tmpl w:val="A1C6AFB4"/>
    <w:lvl w:ilvl="0">
      <w:start w:val="1"/>
      <w:numFmt w:val="bullet"/>
      <w:lvlText w:val=""/>
      <w:lvlJc w:val="left"/>
      <w:pPr>
        <w:tabs>
          <w:tab w:val="num" w:pos="360"/>
        </w:tabs>
        <w:ind w:left="0" w:firstLine="0"/>
      </w:pPr>
      <w:rPr>
        <w:rFonts w:ascii="CommonBullets" w:hAnsi="CommonBullets" w:hint="default"/>
        <w:sz w:val="24"/>
      </w:rPr>
    </w:lvl>
  </w:abstractNum>
  <w:abstractNum w:abstractNumId="698" w15:restartNumberingAfterBreak="0">
    <w:nsid w:val="435302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9" w15:restartNumberingAfterBreak="0">
    <w:nsid w:val="43572197"/>
    <w:multiLevelType w:val="singleLevel"/>
    <w:tmpl w:val="BBDEA5D2"/>
    <w:lvl w:ilvl="0">
      <w:start w:val="1"/>
      <w:numFmt w:val="decimal"/>
      <w:lvlText w:val="%1."/>
      <w:legacy w:legacy="1" w:legacySpace="0" w:legacyIndent="284"/>
      <w:lvlJc w:val="left"/>
      <w:pPr>
        <w:ind w:left="1191" w:hanging="284"/>
      </w:pPr>
    </w:lvl>
  </w:abstractNum>
  <w:abstractNum w:abstractNumId="700" w15:restartNumberingAfterBreak="0">
    <w:nsid w:val="435F4C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1" w15:restartNumberingAfterBreak="0">
    <w:nsid w:val="43A720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2" w15:restartNumberingAfterBreak="0">
    <w:nsid w:val="43BC43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3" w15:restartNumberingAfterBreak="0">
    <w:nsid w:val="43DF73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4" w15:restartNumberingAfterBreak="0">
    <w:nsid w:val="43E903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5" w15:restartNumberingAfterBreak="0">
    <w:nsid w:val="4401131D"/>
    <w:multiLevelType w:val="singleLevel"/>
    <w:tmpl w:val="DFEC1616"/>
    <w:lvl w:ilvl="0">
      <w:start w:val="22"/>
      <w:numFmt w:val="decimal"/>
      <w:lvlText w:val="%1."/>
      <w:legacy w:legacy="1" w:legacySpace="0" w:legacyIndent="454"/>
      <w:lvlJc w:val="left"/>
      <w:pPr>
        <w:ind w:left="454" w:hanging="454"/>
      </w:pPr>
    </w:lvl>
  </w:abstractNum>
  <w:abstractNum w:abstractNumId="706" w15:restartNumberingAfterBreak="0">
    <w:nsid w:val="44065E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7" w15:restartNumberingAfterBreak="0">
    <w:nsid w:val="440D64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8" w15:restartNumberingAfterBreak="0">
    <w:nsid w:val="44147772"/>
    <w:multiLevelType w:val="singleLevel"/>
    <w:tmpl w:val="5E6CB64E"/>
    <w:lvl w:ilvl="0">
      <w:start w:val="1"/>
      <w:numFmt w:val="bullet"/>
      <w:lvlText w:val="–"/>
      <w:lvlJc w:val="left"/>
      <w:pPr>
        <w:tabs>
          <w:tab w:val="num" w:pos="360"/>
        </w:tabs>
        <w:ind w:left="360" w:hanging="360"/>
      </w:pPr>
      <w:rPr>
        <w:rFonts w:hint="default"/>
      </w:rPr>
    </w:lvl>
  </w:abstractNum>
  <w:abstractNum w:abstractNumId="709" w15:restartNumberingAfterBreak="0">
    <w:nsid w:val="442341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0" w15:restartNumberingAfterBreak="0">
    <w:nsid w:val="44331975"/>
    <w:multiLevelType w:val="singleLevel"/>
    <w:tmpl w:val="8F2064CE"/>
    <w:lvl w:ilvl="0">
      <w:start w:val="1"/>
      <w:numFmt w:val="decimal"/>
      <w:lvlText w:val="%1."/>
      <w:legacy w:legacy="1" w:legacySpace="0" w:legacyIndent="454"/>
      <w:lvlJc w:val="left"/>
      <w:pPr>
        <w:ind w:left="454" w:hanging="454"/>
      </w:pPr>
    </w:lvl>
  </w:abstractNum>
  <w:abstractNum w:abstractNumId="711" w15:restartNumberingAfterBreak="0">
    <w:nsid w:val="444372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2" w15:restartNumberingAfterBreak="0">
    <w:nsid w:val="444A0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3" w15:restartNumberingAfterBreak="0">
    <w:nsid w:val="44570D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4" w15:restartNumberingAfterBreak="0">
    <w:nsid w:val="447450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5" w15:restartNumberingAfterBreak="0">
    <w:nsid w:val="448E2C6E"/>
    <w:multiLevelType w:val="singleLevel"/>
    <w:tmpl w:val="041D000F"/>
    <w:lvl w:ilvl="0">
      <w:start w:val="1"/>
      <w:numFmt w:val="decimal"/>
      <w:lvlText w:val="%1."/>
      <w:lvlJc w:val="left"/>
      <w:pPr>
        <w:tabs>
          <w:tab w:val="num" w:pos="360"/>
        </w:tabs>
        <w:ind w:left="360" w:hanging="360"/>
      </w:pPr>
    </w:lvl>
  </w:abstractNum>
  <w:abstractNum w:abstractNumId="716" w15:restartNumberingAfterBreak="0">
    <w:nsid w:val="44970A07"/>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717" w15:restartNumberingAfterBreak="0">
    <w:nsid w:val="44AF28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8" w15:restartNumberingAfterBreak="0">
    <w:nsid w:val="44BB7A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9" w15:restartNumberingAfterBreak="0">
    <w:nsid w:val="44E96E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0" w15:restartNumberingAfterBreak="0">
    <w:nsid w:val="450522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1" w15:restartNumberingAfterBreak="0">
    <w:nsid w:val="458834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2" w15:restartNumberingAfterBreak="0">
    <w:nsid w:val="45BF6D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3" w15:restartNumberingAfterBreak="0">
    <w:nsid w:val="45D71C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4" w15:restartNumberingAfterBreak="0">
    <w:nsid w:val="45DA0A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5" w15:restartNumberingAfterBreak="0">
    <w:nsid w:val="45E10C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6" w15:restartNumberingAfterBreak="0">
    <w:nsid w:val="45EE6C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7" w15:restartNumberingAfterBreak="0">
    <w:nsid w:val="45FC18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8" w15:restartNumberingAfterBreak="0">
    <w:nsid w:val="46056A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9" w15:restartNumberingAfterBreak="0">
    <w:nsid w:val="464B72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0" w15:restartNumberingAfterBreak="0">
    <w:nsid w:val="46894B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1" w15:restartNumberingAfterBreak="0">
    <w:nsid w:val="46921D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2" w15:restartNumberingAfterBreak="0">
    <w:nsid w:val="46A84E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3" w15:restartNumberingAfterBreak="0">
    <w:nsid w:val="46AA1B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4" w15:restartNumberingAfterBreak="0">
    <w:nsid w:val="46AD2C16"/>
    <w:multiLevelType w:val="singleLevel"/>
    <w:tmpl w:val="1660D262"/>
    <w:lvl w:ilvl="0">
      <w:start w:val="1"/>
      <w:numFmt w:val="bullet"/>
      <w:lvlText w:val=""/>
      <w:lvlJc w:val="left"/>
      <w:pPr>
        <w:tabs>
          <w:tab w:val="num" w:pos="360"/>
        </w:tabs>
        <w:ind w:left="284" w:hanging="284"/>
      </w:pPr>
      <w:rPr>
        <w:rFonts w:ascii="Symbol" w:hAnsi="Symbol" w:hint="default"/>
      </w:rPr>
    </w:lvl>
  </w:abstractNum>
  <w:abstractNum w:abstractNumId="735" w15:restartNumberingAfterBreak="0">
    <w:nsid w:val="46C77F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6" w15:restartNumberingAfterBreak="0">
    <w:nsid w:val="471A60EF"/>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737" w15:restartNumberingAfterBreak="0">
    <w:nsid w:val="474E2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8" w15:restartNumberingAfterBreak="0">
    <w:nsid w:val="475B2884"/>
    <w:multiLevelType w:val="singleLevel"/>
    <w:tmpl w:val="11647A18"/>
    <w:lvl w:ilvl="0">
      <w:start w:val="1"/>
      <w:numFmt w:val="bullet"/>
      <w:lvlText w:val=""/>
      <w:lvlJc w:val="left"/>
      <w:pPr>
        <w:tabs>
          <w:tab w:val="num" w:pos="360"/>
        </w:tabs>
        <w:ind w:left="340" w:hanging="340"/>
      </w:pPr>
      <w:rPr>
        <w:rFonts w:ascii="Symbol" w:hAnsi="Symbol" w:hint="default"/>
      </w:rPr>
    </w:lvl>
  </w:abstractNum>
  <w:abstractNum w:abstractNumId="739" w15:restartNumberingAfterBreak="0">
    <w:nsid w:val="477812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0" w15:restartNumberingAfterBreak="0">
    <w:nsid w:val="4779229C"/>
    <w:multiLevelType w:val="multilevel"/>
    <w:tmpl w:val="1EA2A56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41" w15:restartNumberingAfterBreak="0">
    <w:nsid w:val="477933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2" w15:restartNumberingAfterBreak="0">
    <w:nsid w:val="478C7C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3" w15:restartNumberingAfterBreak="0">
    <w:nsid w:val="47C762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4" w15:restartNumberingAfterBreak="0">
    <w:nsid w:val="47D21977"/>
    <w:multiLevelType w:val="singleLevel"/>
    <w:tmpl w:val="1DF0C0C8"/>
    <w:lvl w:ilvl="0">
      <w:start w:val="40"/>
      <w:numFmt w:val="decimal"/>
      <w:lvlText w:val="%1."/>
      <w:legacy w:legacy="1" w:legacySpace="0" w:legacyIndent="454"/>
      <w:lvlJc w:val="left"/>
      <w:pPr>
        <w:ind w:left="454" w:hanging="454"/>
      </w:pPr>
    </w:lvl>
  </w:abstractNum>
  <w:abstractNum w:abstractNumId="745" w15:restartNumberingAfterBreak="0">
    <w:nsid w:val="47D44B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6" w15:restartNumberingAfterBreak="0">
    <w:nsid w:val="482166C9"/>
    <w:multiLevelType w:val="singleLevel"/>
    <w:tmpl w:val="D7F44728"/>
    <w:lvl w:ilvl="0">
      <w:start w:val="1"/>
      <w:numFmt w:val="decimal"/>
      <w:lvlText w:val="%1."/>
      <w:legacy w:legacy="1" w:legacySpace="0" w:legacyIndent="454"/>
      <w:lvlJc w:val="left"/>
      <w:pPr>
        <w:ind w:left="454" w:hanging="454"/>
      </w:pPr>
    </w:lvl>
  </w:abstractNum>
  <w:abstractNum w:abstractNumId="747" w15:restartNumberingAfterBreak="0">
    <w:nsid w:val="482203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8" w15:restartNumberingAfterBreak="0">
    <w:nsid w:val="48256F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9" w15:restartNumberingAfterBreak="0">
    <w:nsid w:val="483321D8"/>
    <w:multiLevelType w:val="singleLevel"/>
    <w:tmpl w:val="FFFFFFFF"/>
    <w:lvl w:ilvl="0">
      <w:numFmt w:val="decimal"/>
      <w:lvlText w:val="*"/>
      <w:lvlJc w:val="left"/>
    </w:lvl>
  </w:abstractNum>
  <w:abstractNum w:abstractNumId="750" w15:restartNumberingAfterBreak="0">
    <w:nsid w:val="484952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1" w15:restartNumberingAfterBreak="0">
    <w:nsid w:val="485F20AE"/>
    <w:multiLevelType w:val="singleLevel"/>
    <w:tmpl w:val="BA446874"/>
    <w:lvl w:ilvl="0">
      <w:start w:val="15"/>
      <w:numFmt w:val="decimal"/>
      <w:lvlText w:val="%1."/>
      <w:legacy w:legacy="1" w:legacySpace="0" w:legacyIndent="454"/>
      <w:lvlJc w:val="left"/>
      <w:pPr>
        <w:ind w:left="454" w:hanging="454"/>
      </w:pPr>
    </w:lvl>
  </w:abstractNum>
  <w:abstractNum w:abstractNumId="752" w15:restartNumberingAfterBreak="0">
    <w:nsid w:val="489E2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3" w15:restartNumberingAfterBreak="0">
    <w:nsid w:val="48A772B8"/>
    <w:multiLevelType w:val="singleLevel"/>
    <w:tmpl w:val="041D000F"/>
    <w:lvl w:ilvl="0">
      <w:start w:val="1"/>
      <w:numFmt w:val="decimal"/>
      <w:lvlText w:val="%1."/>
      <w:lvlJc w:val="left"/>
      <w:pPr>
        <w:tabs>
          <w:tab w:val="num" w:pos="360"/>
        </w:tabs>
        <w:ind w:left="360" w:hanging="360"/>
      </w:pPr>
      <w:rPr>
        <w:rFonts w:hint="default"/>
      </w:rPr>
    </w:lvl>
  </w:abstractNum>
  <w:abstractNum w:abstractNumId="754" w15:restartNumberingAfterBreak="0">
    <w:nsid w:val="48B33E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5" w15:restartNumberingAfterBreak="0">
    <w:nsid w:val="48D1457E"/>
    <w:multiLevelType w:val="singleLevel"/>
    <w:tmpl w:val="7EA4CB10"/>
    <w:lvl w:ilvl="0">
      <w:start w:val="3"/>
      <w:numFmt w:val="lowerLetter"/>
      <w:lvlText w:val="%1)"/>
      <w:lvlJc w:val="left"/>
      <w:pPr>
        <w:tabs>
          <w:tab w:val="num" w:pos="700"/>
        </w:tabs>
        <w:ind w:left="700" w:hanging="360"/>
      </w:pPr>
      <w:rPr>
        <w:rFonts w:hint="default"/>
      </w:rPr>
    </w:lvl>
  </w:abstractNum>
  <w:abstractNum w:abstractNumId="756" w15:restartNumberingAfterBreak="0">
    <w:nsid w:val="48EF44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7" w15:restartNumberingAfterBreak="0">
    <w:nsid w:val="493078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8" w15:restartNumberingAfterBreak="0">
    <w:nsid w:val="496148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9" w15:restartNumberingAfterBreak="0">
    <w:nsid w:val="498C34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0" w15:restartNumberingAfterBreak="0">
    <w:nsid w:val="499341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1" w15:restartNumberingAfterBreak="0">
    <w:nsid w:val="49CA06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2" w15:restartNumberingAfterBreak="0">
    <w:nsid w:val="49CF51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3" w15:restartNumberingAfterBreak="0">
    <w:nsid w:val="49D23D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4" w15:restartNumberingAfterBreak="0">
    <w:nsid w:val="49ED4C01"/>
    <w:multiLevelType w:val="singleLevel"/>
    <w:tmpl w:val="04847BA4"/>
    <w:lvl w:ilvl="0">
      <w:start w:val="22"/>
      <w:numFmt w:val="decimal"/>
      <w:lvlText w:val="%1."/>
      <w:legacy w:legacy="1" w:legacySpace="0" w:legacyIndent="454"/>
      <w:lvlJc w:val="left"/>
      <w:pPr>
        <w:ind w:left="454" w:hanging="454"/>
      </w:pPr>
    </w:lvl>
  </w:abstractNum>
  <w:abstractNum w:abstractNumId="765" w15:restartNumberingAfterBreak="0">
    <w:nsid w:val="49F038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6" w15:restartNumberingAfterBreak="0">
    <w:nsid w:val="49FD23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7" w15:restartNumberingAfterBreak="0">
    <w:nsid w:val="4A387A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8" w15:restartNumberingAfterBreak="0">
    <w:nsid w:val="4A544E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9" w15:restartNumberingAfterBreak="0">
    <w:nsid w:val="4A66028F"/>
    <w:multiLevelType w:val="singleLevel"/>
    <w:tmpl w:val="4DA0447C"/>
    <w:lvl w:ilvl="0">
      <w:start w:val="1"/>
      <w:numFmt w:val="decimal"/>
      <w:lvlText w:val="%1."/>
      <w:lvlJc w:val="left"/>
      <w:pPr>
        <w:tabs>
          <w:tab w:val="num" w:pos="360"/>
        </w:tabs>
        <w:ind w:left="360" w:hanging="360"/>
      </w:pPr>
    </w:lvl>
  </w:abstractNum>
  <w:abstractNum w:abstractNumId="770" w15:restartNumberingAfterBreak="0">
    <w:nsid w:val="4A6704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1" w15:restartNumberingAfterBreak="0">
    <w:nsid w:val="4A747C12"/>
    <w:multiLevelType w:val="multilevel"/>
    <w:tmpl w:val="E466A50C"/>
    <w:lvl w:ilvl="0">
      <w:start w:val="1"/>
      <w:numFmt w:val="decimal"/>
      <w:lvlText w:val="%1"/>
      <w:lvlJc w:val="left"/>
      <w:pPr>
        <w:tabs>
          <w:tab w:val="num" w:pos="851"/>
        </w:tabs>
        <w:ind w:left="851" w:hanging="851"/>
      </w:pPr>
      <w:rPr>
        <w:rFonts w:ascii="Times New Roman" w:hAnsi="Times New Roman" w:hint="default"/>
        <w:b/>
        <w:i w:val="0"/>
        <w:sz w:val="44"/>
      </w:rPr>
    </w:lvl>
    <w:lvl w:ilvl="1">
      <w:start w:val="1"/>
      <w:numFmt w:val="decimal"/>
      <w:lvlText w:val="%1.%2"/>
      <w:lvlJc w:val="left"/>
      <w:pPr>
        <w:tabs>
          <w:tab w:val="num" w:pos="851"/>
        </w:tabs>
        <w:ind w:left="851" w:hanging="851"/>
      </w:pPr>
      <w:rPr>
        <w:rFonts w:ascii="Times New Roman" w:hAnsi="Times New Roman" w:hint="default"/>
        <w:b/>
        <w:i w:val="0"/>
        <w:sz w:val="36"/>
      </w:rPr>
    </w:lvl>
    <w:lvl w:ilvl="2">
      <w:start w:val="1"/>
      <w:numFmt w:val="decimal"/>
      <w:lvlText w:val="%1.%2.%3"/>
      <w:lvlJc w:val="left"/>
      <w:pPr>
        <w:tabs>
          <w:tab w:val="num" w:pos="851"/>
        </w:tabs>
        <w:ind w:left="851" w:hanging="851"/>
      </w:pPr>
      <w:rPr>
        <w:rFonts w:ascii="Times New Roman" w:hAnsi="Times New Roman" w:hint="default"/>
        <w:b/>
        <w:i w:val="0"/>
        <w:sz w:val="30"/>
      </w:rPr>
    </w:lvl>
    <w:lvl w:ilvl="3">
      <w:start w:val="1"/>
      <w:numFmt w:val="none"/>
      <w:lvlText w:val="%1.%2.%3.%4"/>
      <w:lvlJc w:val="left"/>
      <w:pPr>
        <w:tabs>
          <w:tab w:val="num" w:pos="180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772" w15:restartNumberingAfterBreak="0">
    <w:nsid w:val="4A8502C0"/>
    <w:multiLevelType w:val="singleLevel"/>
    <w:tmpl w:val="900244CC"/>
    <w:lvl w:ilvl="0">
      <w:start w:val="1"/>
      <w:numFmt w:val="bullet"/>
      <w:lvlText w:val=""/>
      <w:lvlJc w:val="left"/>
      <w:pPr>
        <w:tabs>
          <w:tab w:val="num" w:pos="360"/>
        </w:tabs>
        <w:ind w:left="340" w:hanging="340"/>
      </w:pPr>
      <w:rPr>
        <w:rFonts w:ascii="Symbol" w:hAnsi="Symbol" w:hint="default"/>
      </w:rPr>
    </w:lvl>
  </w:abstractNum>
  <w:abstractNum w:abstractNumId="773" w15:restartNumberingAfterBreak="0">
    <w:nsid w:val="4A8628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4" w15:restartNumberingAfterBreak="0">
    <w:nsid w:val="4A9627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5" w15:restartNumberingAfterBreak="0">
    <w:nsid w:val="4AC071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6" w15:restartNumberingAfterBreak="0">
    <w:nsid w:val="4AF266B3"/>
    <w:multiLevelType w:val="singleLevel"/>
    <w:tmpl w:val="3EFCCEA4"/>
    <w:lvl w:ilvl="0">
      <w:start w:val="1"/>
      <w:numFmt w:val="decimal"/>
      <w:lvlText w:val="%1."/>
      <w:legacy w:legacy="1" w:legacySpace="0" w:legacyIndent="283"/>
      <w:lvlJc w:val="left"/>
      <w:pPr>
        <w:ind w:left="283" w:hanging="283"/>
      </w:pPr>
    </w:lvl>
  </w:abstractNum>
  <w:abstractNum w:abstractNumId="777" w15:restartNumberingAfterBreak="0">
    <w:nsid w:val="4B0F33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8" w15:restartNumberingAfterBreak="0">
    <w:nsid w:val="4B1359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9" w15:restartNumberingAfterBreak="0">
    <w:nsid w:val="4B2D3C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0" w15:restartNumberingAfterBreak="0">
    <w:nsid w:val="4B5B26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1" w15:restartNumberingAfterBreak="0">
    <w:nsid w:val="4B5C59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2" w15:restartNumberingAfterBreak="0">
    <w:nsid w:val="4B6643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3" w15:restartNumberingAfterBreak="0">
    <w:nsid w:val="4BAE1D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4" w15:restartNumberingAfterBreak="0">
    <w:nsid w:val="4BB231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5" w15:restartNumberingAfterBreak="0">
    <w:nsid w:val="4BE12A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6" w15:restartNumberingAfterBreak="0">
    <w:nsid w:val="4BE143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7" w15:restartNumberingAfterBreak="0">
    <w:nsid w:val="4BFA0755"/>
    <w:multiLevelType w:val="singleLevel"/>
    <w:tmpl w:val="FFFFFFFF"/>
    <w:lvl w:ilvl="0">
      <w:numFmt w:val="decimal"/>
      <w:lvlText w:val="*"/>
      <w:lvlJc w:val="left"/>
    </w:lvl>
  </w:abstractNum>
  <w:abstractNum w:abstractNumId="788" w15:restartNumberingAfterBreak="0">
    <w:nsid w:val="4C232210"/>
    <w:multiLevelType w:val="singleLevel"/>
    <w:tmpl w:val="0A6667D2"/>
    <w:lvl w:ilvl="0">
      <w:start w:val="1"/>
      <w:numFmt w:val="decimal"/>
      <w:lvlText w:val="%1."/>
      <w:legacy w:legacy="1" w:legacySpace="0" w:legacyIndent="284"/>
      <w:lvlJc w:val="left"/>
      <w:pPr>
        <w:ind w:left="964" w:hanging="284"/>
      </w:pPr>
    </w:lvl>
  </w:abstractNum>
  <w:abstractNum w:abstractNumId="789" w15:restartNumberingAfterBreak="0">
    <w:nsid w:val="4C2451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0" w15:restartNumberingAfterBreak="0">
    <w:nsid w:val="4C2E3D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1" w15:restartNumberingAfterBreak="0">
    <w:nsid w:val="4C3013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2" w15:restartNumberingAfterBreak="0">
    <w:nsid w:val="4C5631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3" w15:restartNumberingAfterBreak="0">
    <w:nsid w:val="4C646B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4" w15:restartNumberingAfterBreak="0">
    <w:nsid w:val="4CA527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5" w15:restartNumberingAfterBreak="0">
    <w:nsid w:val="4CAA53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6" w15:restartNumberingAfterBreak="0">
    <w:nsid w:val="4CB804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7" w15:restartNumberingAfterBreak="0">
    <w:nsid w:val="4CBC00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8" w15:restartNumberingAfterBreak="0">
    <w:nsid w:val="4D115C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9" w15:restartNumberingAfterBreak="0">
    <w:nsid w:val="4D491E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0" w15:restartNumberingAfterBreak="0">
    <w:nsid w:val="4D753B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1" w15:restartNumberingAfterBreak="0">
    <w:nsid w:val="4DE17C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2" w15:restartNumberingAfterBreak="0">
    <w:nsid w:val="4E002291"/>
    <w:multiLevelType w:val="multilevel"/>
    <w:tmpl w:val="66D2DFD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03" w15:restartNumberingAfterBreak="0">
    <w:nsid w:val="4E2807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4" w15:restartNumberingAfterBreak="0">
    <w:nsid w:val="4E5312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5" w15:restartNumberingAfterBreak="0">
    <w:nsid w:val="4E5430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6" w15:restartNumberingAfterBreak="0">
    <w:nsid w:val="4E671C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7" w15:restartNumberingAfterBreak="0">
    <w:nsid w:val="4E7070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8" w15:restartNumberingAfterBreak="0">
    <w:nsid w:val="4E8339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9" w15:restartNumberingAfterBreak="0">
    <w:nsid w:val="4E8763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0" w15:restartNumberingAfterBreak="0">
    <w:nsid w:val="4E8921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1" w15:restartNumberingAfterBreak="0">
    <w:nsid w:val="4EC102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2" w15:restartNumberingAfterBreak="0">
    <w:nsid w:val="4EDD39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3" w15:restartNumberingAfterBreak="0">
    <w:nsid w:val="4EF66D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4" w15:restartNumberingAfterBreak="0">
    <w:nsid w:val="4F0A67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5" w15:restartNumberingAfterBreak="0">
    <w:nsid w:val="4F1761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6" w15:restartNumberingAfterBreak="0">
    <w:nsid w:val="4F2F02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7" w15:restartNumberingAfterBreak="0">
    <w:nsid w:val="4F4132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8" w15:restartNumberingAfterBreak="0">
    <w:nsid w:val="4F4259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9" w15:restartNumberingAfterBreak="0">
    <w:nsid w:val="4F5541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0" w15:restartNumberingAfterBreak="0">
    <w:nsid w:val="4F5A6B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1" w15:restartNumberingAfterBreak="0">
    <w:nsid w:val="4F6806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2" w15:restartNumberingAfterBreak="0">
    <w:nsid w:val="4F8430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3" w15:restartNumberingAfterBreak="0">
    <w:nsid w:val="4F901913"/>
    <w:multiLevelType w:val="singleLevel"/>
    <w:tmpl w:val="041D000F"/>
    <w:lvl w:ilvl="0">
      <w:start w:val="1"/>
      <w:numFmt w:val="decimal"/>
      <w:lvlText w:val="%1."/>
      <w:lvlJc w:val="left"/>
      <w:pPr>
        <w:tabs>
          <w:tab w:val="num" w:pos="360"/>
        </w:tabs>
        <w:ind w:left="360" w:hanging="360"/>
      </w:pPr>
    </w:lvl>
  </w:abstractNum>
  <w:abstractNum w:abstractNumId="824" w15:restartNumberingAfterBreak="0">
    <w:nsid w:val="4FE711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5" w15:restartNumberingAfterBreak="0">
    <w:nsid w:val="50144D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6" w15:restartNumberingAfterBreak="0">
    <w:nsid w:val="501D2C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7" w15:restartNumberingAfterBreak="0">
    <w:nsid w:val="507F61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8" w15:restartNumberingAfterBreak="0">
    <w:nsid w:val="508417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9" w15:restartNumberingAfterBreak="0">
    <w:nsid w:val="508838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0" w15:restartNumberingAfterBreak="0">
    <w:nsid w:val="508C51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1" w15:restartNumberingAfterBreak="0">
    <w:nsid w:val="509367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2" w15:restartNumberingAfterBreak="0">
    <w:nsid w:val="509E0C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3" w15:restartNumberingAfterBreak="0">
    <w:nsid w:val="50C675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4" w15:restartNumberingAfterBreak="0">
    <w:nsid w:val="50E652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5" w15:restartNumberingAfterBreak="0">
    <w:nsid w:val="50F20B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6" w15:restartNumberingAfterBreak="0">
    <w:nsid w:val="510C70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7" w15:restartNumberingAfterBreak="0">
    <w:nsid w:val="51254E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8" w15:restartNumberingAfterBreak="0">
    <w:nsid w:val="516F4DD4"/>
    <w:multiLevelType w:val="singleLevel"/>
    <w:tmpl w:val="1060B7EC"/>
    <w:lvl w:ilvl="0">
      <w:start w:val="1"/>
      <w:numFmt w:val="decimal"/>
      <w:lvlText w:val="%1."/>
      <w:legacy w:legacy="1" w:legacySpace="0" w:legacyIndent="340"/>
      <w:lvlJc w:val="left"/>
      <w:pPr>
        <w:ind w:left="340" w:hanging="340"/>
      </w:pPr>
    </w:lvl>
  </w:abstractNum>
  <w:abstractNum w:abstractNumId="839" w15:restartNumberingAfterBreak="0">
    <w:nsid w:val="518815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0" w15:restartNumberingAfterBreak="0">
    <w:nsid w:val="51BD73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1" w15:restartNumberingAfterBreak="0">
    <w:nsid w:val="51D05A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2" w15:restartNumberingAfterBreak="0">
    <w:nsid w:val="51E038D7"/>
    <w:multiLevelType w:val="singleLevel"/>
    <w:tmpl w:val="CED2D23A"/>
    <w:lvl w:ilvl="0">
      <w:start w:val="1"/>
      <w:numFmt w:val="bullet"/>
      <w:lvlText w:val=""/>
      <w:lvlJc w:val="left"/>
      <w:pPr>
        <w:tabs>
          <w:tab w:val="num" w:pos="360"/>
        </w:tabs>
        <w:ind w:left="340" w:hanging="340"/>
      </w:pPr>
      <w:rPr>
        <w:rFonts w:ascii="Symbol" w:hAnsi="Symbol" w:hint="default"/>
      </w:rPr>
    </w:lvl>
  </w:abstractNum>
  <w:abstractNum w:abstractNumId="843" w15:restartNumberingAfterBreak="0">
    <w:nsid w:val="521B2675"/>
    <w:multiLevelType w:val="singleLevel"/>
    <w:tmpl w:val="9E548D50"/>
    <w:lvl w:ilvl="0">
      <w:start w:val="1"/>
      <w:numFmt w:val="bullet"/>
      <w:lvlText w:val=""/>
      <w:lvlJc w:val="left"/>
      <w:pPr>
        <w:tabs>
          <w:tab w:val="num" w:pos="360"/>
        </w:tabs>
        <w:ind w:left="360" w:hanging="360"/>
      </w:pPr>
      <w:rPr>
        <w:rFonts w:ascii="Symbol" w:hAnsi="Symbol" w:hint="default"/>
      </w:rPr>
    </w:lvl>
  </w:abstractNum>
  <w:abstractNum w:abstractNumId="844" w15:restartNumberingAfterBreak="0">
    <w:nsid w:val="521D63F2"/>
    <w:multiLevelType w:val="singleLevel"/>
    <w:tmpl w:val="041D000F"/>
    <w:lvl w:ilvl="0">
      <w:start w:val="1"/>
      <w:numFmt w:val="decimal"/>
      <w:lvlText w:val="%1."/>
      <w:lvlJc w:val="left"/>
      <w:pPr>
        <w:tabs>
          <w:tab w:val="num" w:pos="360"/>
        </w:tabs>
        <w:ind w:left="360" w:hanging="360"/>
      </w:pPr>
      <w:rPr>
        <w:rFonts w:hint="default"/>
      </w:rPr>
    </w:lvl>
  </w:abstractNum>
  <w:abstractNum w:abstractNumId="845" w15:restartNumberingAfterBreak="0">
    <w:nsid w:val="526A05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6" w15:restartNumberingAfterBreak="0">
    <w:nsid w:val="526A74C1"/>
    <w:multiLevelType w:val="multilevel"/>
    <w:tmpl w:val="E7622D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47" w15:restartNumberingAfterBreak="0">
    <w:nsid w:val="526A7876"/>
    <w:multiLevelType w:val="singleLevel"/>
    <w:tmpl w:val="4C98BA00"/>
    <w:lvl w:ilvl="0">
      <w:start w:val="1"/>
      <w:numFmt w:val="decimal"/>
      <w:lvlText w:val="%1."/>
      <w:legacy w:legacy="1" w:legacySpace="0" w:legacyIndent="454"/>
      <w:lvlJc w:val="left"/>
      <w:pPr>
        <w:ind w:left="454" w:hanging="454"/>
      </w:pPr>
    </w:lvl>
  </w:abstractNum>
  <w:abstractNum w:abstractNumId="848" w15:restartNumberingAfterBreak="0">
    <w:nsid w:val="527F11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9" w15:restartNumberingAfterBreak="0">
    <w:nsid w:val="528165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0" w15:restartNumberingAfterBreak="0">
    <w:nsid w:val="52903386"/>
    <w:multiLevelType w:val="singleLevel"/>
    <w:tmpl w:val="041D000F"/>
    <w:lvl w:ilvl="0">
      <w:start w:val="4"/>
      <w:numFmt w:val="decimal"/>
      <w:lvlText w:val="%1."/>
      <w:lvlJc w:val="left"/>
      <w:pPr>
        <w:tabs>
          <w:tab w:val="num" w:pos="360"/>
        </w:tabs>
        <w:ind w:left="360" w:hanging="360"/>
      </w:pPr>
      <w:rPr>
        <w:rFonts w:hint="default"/>
      </w:rPr>
    </w:lvl>
  </w:abstractNum>
  <w:abstractNum w:abstractNumId="851" w15:restartNumberingAfterBreak="0">
    <w:nsid w:val="529B4B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2" w15:restartNumberingAfterBreak="0">
    <w:nsid w:val="52DF71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3" w15:restartNumberingAfterBreak="0">
    <w:nsid w:val="52EC6518"/>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854" w15:restartNumberingAfterBreak="0">
    <w:nsid w:val="52F955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5" w15:restartNumberingAfterBreak="0">
    <w:nsid w:val="52FD67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6" w15:restartNumberingAfterBreak="0">
    <w:nsid w:val="53093A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7" w15:restartNumberingAfterBreak="0">
    <w:nsid w:val="531F0B0E"/>
    <w:multiLevelType w:val="singleLevel"/>
    <w:tmpl w:val="BBDEA5D2"/>
    <w:lvl w:ilvl="0">
      <w:start w:val="1"/>
      <w:numFmt w:val="decimal"/>
      <w:lvlText w:val="%1."/>
      <w:legacy w:legacy="1" w:legacySpace="0" w:legacyIndent="284"/>
      <w:lvlJc w:val="left"/>
      <w:pPr>
        <w:ind w:left="1191" w:hanging="284"/>
      </w:pPr>
    </w:lvl>
  </w:abstractNum>
  <w:abstractNum w:abstractNumId="858" w15:restartNumberingAfterBreak="0">
    <w:nsid w:val="533551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9" w15:restartNumberingAfterBreak="0">
    <w:nsid w:val="53577E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0" w15:restartNumberingAfterBreak="0">
    <w:nsid w:val="53896B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1" w15:restartNumberingAfterBreak="0">
    <w:nsid w:val="539F53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2" w15:restartNumberingAfterBreak="0">
    <w:nsid w:val="53C273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3" w15:restartNumberingAfterBreak="0">
    <w:nsid w:val="53C57E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4" w15:restartNumberingAfterBreak="0">
    <w:nsid w:val="54115492"/>
    <w:multiLevelType w:val="singleLevel"/>
    <w:tmpl w:val="E7680DD4"/>
    <w:lvl w:ilvl="0">
      <w:start w:val="1"/>
      <w:numFmt w:val="decimal"/>
      <w:lvlText w:val="%1."/>
      <w:legacy w:legacy="1" w:legacySpace="0" w:legacyIndent="284"/>
      <w:lvlJc w:val="left"/>
      <w:pPr>
        <w:ind w:left="1191" w:hanging="284"/>
      </w:pPr>
    </w:lvl>
  </w:abstractNum>
  <w:abstractNum w:abstractNumId="865" w15:restartNumberingAfterBreak="0">
    <w:nsid w:val="542556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6" w15:restartNumberingAfterBreak="0">
    <w:nsid w:val="543704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7" w15:restartNumberingAfterBreak="0">
    <w:nsid w:val="543706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8" w15:restartNumberingAfterBreak="0">
    <w:nsid w:val="5437788B"/>
    <w:multiLevelType w:val="singleLevel"/>
    <w:tmpl w:val="FFFFFFFF"/>
    <w:lvl w:ilvl="0">
      <w:numFmt w:val="decimal"/>
      <w:lvlText w:val="*"/>
      <w:lvlJc w:val="left"/>
    </w:lvl>
  </w:abstractNum>
  <w:abstractNum w:abstractNumId="869" w15:restartNumberingAfterBreak="0">
    <w:nsid w:val="543E1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0" w15:restartNumberingAfterBreak="0">
    <w:nsid w:val="544949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1" w15:restartNumberingAfterBreak="0">
    <w:nsid w:val="54580B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2" w15:restartNumberingAfterBreak="0">
    <w:nsid w:val="545870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3" w15:restartNumberingAfterBreak="0">
    <w:nsid w:val="546331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4" w15:restartNumberingAfterBreak="0">
    <w:nsid w:val="547A25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5" w15:restartNumberingAfterBreak="0">
    <w:nsid w:val="549B00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6" w15:restartNumberingAfterBreak="0">
    <w:nsid w:val="54AE5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7" w15:restartNumberingAfterBreak="0">
    <w:nsid w:val="54C128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8" w15:restartNumberingAfterBreak="0">
    <w:nsid w:val="54C303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9" w15:restartNumberingAfterBreak="0">
    <w:nsid w:val="54FA51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0" w15:restartNumberingAfterBreak="0">
    <w:nsid w:val="550B4447"/>
    <w:multiLevelType w:val="singleLevel"/>
    <w:tmpl w:val="0A6667D2"/>
    <w:lvl w:ilvl="0">
      <w:start w:val="1"/>
      <w:numFmt w:val="decimal"/>
      <w:lvlText w:val="%1."/>
      <w:legacy w:legacy="1" w:legacySpace="0" w:legacyIndent="284"/>
      <w:lvlJc w:val="left"/>
      <w:pPr>
        <w:ind w:left="964" w:hanging="284"/>
      </w:pPr>
    </w:lvl>
  </w:abstractNum>
  <w:abstractNum w:abstractNumId="881" w15:restartNumberingAfterBreak="0">
    <w:nsid w:val="553F20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2" w15:restartNumberingAfterBreak="0">
    <w:nsid w:val="55515D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3" w15:restartNumberingAfterBreak="0">
    <w:nsid w:val="55805684"/>
    <w:multiLevelType w:val="singleLevel"/>
    <w:tmpl w:val="8A32129C"/>
    <w:lvl w:ilvl="0">
      <w:start w:val="22"/>
      <w:numFmt w:val="decimal"/>
      <w:lvlText w:val="%1."/>
      <w:legacy w:legacy="1" w:legacySpace="0" w:legacyIndent="454"/>
      <w:lvlJc w:val="left"/>
      <w:pPr>
        <w:ind w:left="454" w:hanging="454"/>
      </w:pPr>
    </w:lvl>
  </w:abstractNum>
  <w:abstractNum w:abstractNumId="884" w15:restartNumberingAfterBreak="0">
    <w:nsid w:val="558B7A12"/>
    <w:multiLevelType w:val="singleLevel"/>
    <w:tmpl w:val="2A926C36"/>
    <w:lvl w:ilvl="0">
      <w:start w:val="1"/>
      <w:numFmt w:val="decimal"/>
      <w:lvlRestart w:val="0"/>
      <w:lvlText w:val="%1."/>
      <w:lvlJc w:val="left"/>
      <w:pPr>
        <w:tabs>
          <w:tab w:val="num" w:pos="992"/>
        </w:tabs>
        <w:ind w:left="510" w:firstLine="170"/>
      </w:pPr>
    </w:lvl>
  </w:abstractNum>
  <w:abstractNum w:abstractNumId="885" w15:restartNumberingAfterBreak="0">
    <w:nsid w:val="55CB19DF"/>
    <w:multiLevelType w:val="singleLevel"/>
    <w:tmpl w:val="0A6667D2"/>
    <w:lvl w:ilvl="0">
      <w:start w:val="1"/>
      <w:numFmt w:val="decimal"/>
      <w:lvlText w:val="%1."/>
      <w:legacy w:legacy="1" w:legacySpace="0" w:legacyIndent="284"/>
      <w:lvlJc w:val="left"/>
      <w:pPr>
        <w:ind w:left="964" w:hanging="284"/>
      </w:pPr>
    </w:lvl>
  </w:abstractNum>
  <w:abstractNum w:abstractNumId="886" w15:restartNumberingAfterBreak="0">
    <w:nsid w:val="55CE15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7" w15:restartNumberingAfterBreak="0">
    <w:nsid w:val="55D93A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8" w15:restartNumberingAfterBreak="0">
    <w:nsid w:val="55F904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9" w15:restartNumberingAfterBreak="0">
    <w:nsid w:val="5624635C"/>
    <w:multiLevelType w:val="singleLevel"/>
    <w:tmpl w:val="041D000F"/>
    <w:lvl w:ilvl="0">
      <w:start w:val="1"/>
      <w:numFmt w:val="decimal"/>
      <w:lvlText w:val="%1."/>
      <w:lvlJc w:val="left"/>
      <w:pPr>
        <w:tabs>
          <w:tab w:val="num" w:pos="360"/>
        </w:tabs>
        <w:ind w:left="360" w:hanging="360"/>
      </w:pPr>
      <w:rPr>
        <w:rFonts w:hint="default"/>
      </w:rPr>
    </w:lvl>
  </w:abstractNum>
  <w:abstractNum w:abstractNumId="890" w15:restartNumberingAfterBreak="0">
    <w:nsid w:val="564143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1" w15:restartNumberingAfterBreak="0">
    <w:nsid w:val="56623C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2" w15:restartNumberingAfterBreak="0">
    <w:nsid w:val="56A37ADF"/>
    <w:multiLevelType w:val="singleLevel"/>
    <w:tmpl w:val="2CD2CD34"/>
    <w:lvl w:ilvl="0">
      <w:start w:val="15"/>
      <w:numFmt w:val="decimal"/>
      <w:lvlText w:val="%1."/>
      <w:legacy w:legacy="1" w:legacySpace="0" w:legacyIndent="454"/>
      <w:lvlJc w:val="left"/>
      <w:pPr>
        <w:ind w:left="454" w:hanging="454"/>
      </w:pPr>
    </w:lvl>
  </w:abstractNum>
  <w:abstractNum w:abstractNumId="893" w15:restartNumberingAfterBreak="0">
    <w:nsid w:val="56AA0D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4" w15:restartNumberingAfterBreak="0">
    <w:nsid w:val="56C4780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95" w15:restartNumberingAfterBreak="0">
    <w:nsid w:val="56FB26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6" w15:restartNumberingAfterBreak="0">
    <w:nsid w:val="57563ABF"/>
    <w:multiLevelType w:val="singleLevel"/>
    <w:tmpl w:val="041D000F"/>
    <w:lvl w:ilvl="0">
      <w:start w:val="1"/>
      <w:numFmt w:val="decimal"/>
      <w:lvlText w:val="%1."/>
      <w:lvlJc w:val="left"/>
      <w:pPr>
        <w:tabs>
          <w:tab w:val="num" w:pos="360"/>
        </w:tabs>
        <w:ind w:left="360" w:hanging="360"/>
      </w:pPr>
    </w:lvl>
  </w:abstractNum>
  <w:abstractNum w:abstractNumId="897" w15:restartNumberingAfterBreak="0">
    <w:nsid w:val="577D2F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8" w15:restartNumberingAfterBreak="0">
    <w:nsid w:val="57A527C0"/>
    <w:multiLevelType w:val="singleLevel"/>
    <w:tmpl w:val="55D2D130"/>
    <w:lvl w:ilvl="0">
      <w:start w:val="1"/>
      <w:numFmt w:val="decimal"/>
      <w:lvlRestart w:val="0"/>
      <w:lvlText w:val="%1."/>
      <w:lvlJc w:val="left"/>
      <w:pPr>
        <w:tabs>
          <w:tab w:val="num" w:pos="992"/>
        </w:tabs>
        <w:ind w:left="510" w:firstLine="170"/>
      </w:pPr>
    </w:lvl>
  </w:abstractNum>
  <w:abstractNum w:abstractNumId="899" w15:restartNumberingAfterBreak="0">
    <w:nsid w:val="57B046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0" w15:restartNumberingAfterBreak="0">
    <w:nsid w:val="57BD24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1" w15:restartNumberingAfterBreak="0">
    <w:nsid w:val="57D015AE"/>
    <w:multiLevelType w:val="singleLevel"/>
    <w:tmpl w:val="13F88C94"/>
    <w:lvl w:ilvl="0">
      <w:start w:val="1"/>
      <w:numFmt w:val="bullet"/>
      <w:lvlText w:val=""/>
      <w:lvlJc w:val="left"/>
      <w:pPr>
        <w:tabs>
          <w:tab w:val="num" w:pos="360"/>
        </w:tabs>
        <w:ind w:left="360" w:hanging="360"/>
      </w:pPr>
      <w:rPr>
        <w:rFonts w:ascii="Symbol" w:hAnsi="Symbol" w:hint="default"/>
      </w:rPr>
    </w:lvl>
  </w:abstractNum>
  <w:abstractNum w:abstractNumId="902" w15:restartNumberingAfterBreak="0">
    <w:nsid w:val="58045C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3" w15:restartNumberingAfterBreak="0">
    <w:nsid w:val="581E35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4" w15:restartNumberingAfterBreak="0">
    <w:nsid w:val="58237E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5" w15:restartNumberingAfterBreak="0">
    <w:nsid w:val="585D43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6" w15:restartNumberingAfterBreak="0">
    <w:nsid w:val="58655FD5"/>
    <w:multiLevelType w:val="multilevel"/>
    <w:tmpl w:val="441E813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07" w15:restartNumberingAfterBreak="0">
    <w:nsid w:val="587E2A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8" w15:restartNumberingAfterBreak="0">
    <w:nsid w:val="58805F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9" w15:restartNumberingAfterBreak="0">
    <w:nsid w:val="589F114B"/>
    <w:multiLevelType w:val="singleLevel"/>
    <w:tmpl w:val="302EB666"/>
    <w:lvl w:ilvl="0">
      <w:start w:val="1"/>
      <w:numFmt w:val="decimal"/>
      <w:lvlText w:val="%1."/>
      <w:legacy w:legacy="1" w:legacySpace="0" w:legacyIndent="454"/>
      <w:lvlJc w:val="left"/>
      <w:pPr>
        <w:ind w:left="454" w:hanging="454"/>
      </w:pPr>
    </w:lvl>
  </w:abstractNum>
  <w:abstractNum w:abstractNumId="910" w15:restartNumberingAfterBreak="0">
    <w:nsid w:val="58A327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1" w15:restartNumberingAfterBreak="0">
    <w:nsid w:val="58C258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2" w15:restartNumberingAfterBreak="0">
    <w:nsid w:val="58EC2B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3" w15:restartNumberingAfterBreak="0">
    <w:nsid w:val="58FB5F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14" w15:restartNumberingAfterBreak="0">
    <w:nsid w:val="59125C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5" w15:restartNumberingAfterBreak="0">
    <w:nsid w:val="59346E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6" w15:restartNumberingAfterBreak="0">
    <w:nsid w:val="594875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7" w15:restartNumberingAfterBreak="0">
    <w:nsid w:val="596128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8" w15:restartNumberingAfterBreak="0">
    <w:nsid w:val="59CD697D"/>
    <w:multiLevelType w:val="singleLevel"/>
    <w:tmpl w:val="62609620"/>
    <w:lvl w:ilvl="0">
      <w:start w:val="1"/>
      <w:numFmt w:val="decimal"/>
      <w:lvlText w:val="%1."/>
      <w:legacy w:legacy="1" w:legacySpace="0" w:legacyIndent="454"/>
      <w:lvlJc w:val="left"/>
      <w:pPr>
        <w:ind w:left="454" w:hanging="454"/>
      </w:pPr>
    </w:lvl>
  </w:abstractNum>
  <w:abstractNum w:abstractNumId="919" w15:restartNumberingAfterBreak="0">
    <w:nsid w:val="59DE6D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0" w15:restartNumberingAfterBreak="0">
    <w:nsid w:val="59E326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1" w15:restartNumberingAfterBreak="0">
    <w:nsid w:val="59EA2BD5"/>
    <w:multiLevelType w:val="singleLevel"/>
    <w:tmpl w:val="FFFFFFFF"/>
    <w:lvl w:ilvl="0">
      <w:numFmt w:val="decimal"/>
      <w:lvlText w:val="*"/>
      <w:lvlJc w:val="left"/>
    </w:lvl>
  </w:abstractNum>
  <w:abstractNum w:abstractNumId="922" w15:restartNumberingAfterBreak="0">
    <w:nsid w:val="5A246A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3" w15:restartNumberingAfterBreak="0">
    <w:nsid w:val="5A2500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4" w15:restartNumberingAfterBreak="0">
    <w:nsid w:val="5A2A517C"/>
    <w:multiLevelType w:val="singleLevel"/>
    <w:tmpl w:val="05CA6016"/>
    <w:lvl w:ilvl="0">
      <w:start w:val="1"/>
      <w:numFmt w:val="lowerLetter"/>
      <w:lvlText w:val="%1)"/>
      <w:lvlJc w:val="left"/>
      <w:pPr>
        <w:tabs>
          <w:tab w:val="num" w:pos="360"/>
        </w:tabs>
        <w:ind w:left="0" w:firstLine="0"/>
      </w:pPr>
      <w:rPr>
        <w:rFonts w:hint="default"/>
        <w:i/>
      </w:rPr>
    </w:lvl>
  </w:abstractNum>
  <w:abstractNum w:abstractNumId="925" w15:restartNumberingAfterBreak="0">
    <w:nsid w:val="5A4961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6" w15:restartNumberingAfterBreak="0">
    <w:nsid w:val="5A604C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7" w15:restartNumberingAfterBreak="0">
    <w:nsid w:val="5A6E71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8" w15:restartNumberingAfterBreak="0">
    <w:nsid w:val="5A732A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9" w15:restartNumberingAfterBreak="0">
    <w:nsid w:val="5A9147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0" w15:restartNumberingAfterBreak="0">
    <w:nsid w:val="5A9E242A"/>
    <w:multiLevelType w:val="singleLevel"/>
    <w:tmpl w:val="041D000F"/>
    <w:lvl w:ilvl="0">
      <w:start w:val="1"/>
      <w:numFmt w:val="decimal"/>
      <w:lvlText w:val="%1."/>
      <w:lvlJc w:val="left"/>
      <w:pPr>
        <w:tabs>
          <w:tab w:val="num" w:pos="360"/>
        </w:tabs>
        <w:ind w:left="360" w:hanging="360"/>
      </w:pPr>
      <w:rPr>
        <w:rFonts w:hint="default"/>
      </w:rPr>
    </w:lvl>
  </w:abstractNum>
  <w:abstractNum w:abstractNumId="931" w15:restartNumberingAfterBreak="0">
    <w:nsid w:val="5ABE7E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2" w15:restartNumberingAfterBreak="0">
    <w:nsid w:val="5ACA48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3" w15:restartNumberingAfterBreak="0">
    <w:nsid w:val="5AF0742C"/>
    <w:multiLevelType w:val="singleLevel"/>
    <w:tmpl w:val="32A085C0"/>
    <w:lvl w:ilvl="0">
      <w:start w:val="1"/>
      <w:numFmt w:val="decimal"/>
      <w:lvlText w:val="%1."/>
      <w:legacy w:legacy="1" w:legacySpace="0" w:legacyIndent="454"/>
      <w:lvlJc w:val="left"/>
      <w:pPr>
        <w:ind w:left="454" w:hanging="454"/>
      </w:pPr>
    </w:lvl>
  </w:abstractNum>
  <w:abstractNum w:abstractNumId="934" w15:restartNumberingAfterBreak="0">
    <w:nsid w:val="5AF826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5" w15:restartNumberingAfterBreak="0">
    <w:nsid w:val="5B5E7D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6" w15:restartNumberingAfterBreak="0">
    <w:nsid w:val="5B910191"/>
    <w:multiLevelType w:val="singleLevel"/>
    <w:tmpl w:val="BBDEA5D2"/>
    <w:lvl w:ilvl="0">
      <w:start w:val="1"/>
      <w:numFmt w:val="decimal"/>
      <w:lvlText w:val="%1."/>
      <w:legacy w:legacy="1" w:legacySpace="0" w:legacyIndent="284"/>
      <w:lvlJc w:val="left"/>
      <w:pPr>
        <w:ind w:left="1191" w:hanging="284"/>
      </w:pPr>
    </w:lvl>
  </w:abstractNum>
  <w:abstractNum w:abstractNumId="937" w15:restartNumberingAfterBreak="0">
    <w:nsid w:val="5BA335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8" w15:restartNumberingAfterBreak="0">
    <w:nsid w:val="5BA87D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9" w15:restartNumberingAfterBreak="0">
    <w:nsid w:val="5BB27424"/>
    <w:multiLevelType w:val="singleLevel"/>
    <w:tmpl w:val="BFA4ABE8"/>
    <w:lvl w:ilvl="0">
      <w:start w:val="1"/>
      <w:numFmt w:val="bullet"/>
      <w:lvlText w:val=""/>
      <w:lvlJc w:val="left"/>
      <w:pPr>
        <w:tabs>
          <w:tab w:val="num" w:pos="360"/>
        </w:tabs>
        <w:ind w:left="170" w:hanging="170"/>
      </w:pPr>
      <w:rPr>
        <w:rFonts w:ascii="Symbol" w:hAnsi="Symbol" w:hint="default"/>
      </w:rPr>
    </w:lvl>
  </w:abstractNum>
  <w:abstractNum w:abstractNumId="940" w15:restartNumberingAfterBreak="0">
    <w:nsid w:val="5BC14652"/>
    <w:multiLevelType w:val="singleLevel"/>
    <w:tmpl w:val="BBDEA5D2"/>
    <w:lvl w:ilvl="0">
      <w:start w:val="1"/>
      <w:numFmt w:val="decimal"/>
      <w:lvlText w:val="%1."/>
      <w:legacy w:legacy="1" w:legacySpace="0" w:legacyIndent="284"/>
      <w:lvlJc w:val="left"/>
      <w:pPr>
        <w:ind w:left="1191" w:hanging="284"/>
      </w:pPr>
    </w:lvl>
  </w:abstractNum>
  <w:abstractNum w:abstractNumId="941" w15:restartNumberingAfterBreak="0">
    <w:nsid w:val="5BE40592"/>
    <w:multiLevelType w:val="singleLevel"/>
    <w:tmpl w:val="1C36BC02"/>
    <w:lvl w:ilvl="0">
      <w:start w:val="5"/>
      <w:numFmt w:val="decimal"/>
      <w:lvlText w:val="%1."/>
      <w:lvlJc w:val="left"/>
      <w:pPr>
        <w:tabs>
          <w:tab w:val="num" w:pos="1241"/>
        </w:tabs>
        <w:ind w:left="1241" w:hanging="390"/>
      </w:pPr>
      <w:rPr>
        <w:rFonts w:hint="default"/>
      </w:rPr>
    </w:lvl>
  </w:abstractNum>
  <w:abstractNum w:abstractNumId="942" w15:restartNumberingAfterBreak="0">
    <w:nsid w:val="5BFE66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3" w15:restartNumberingAfterBreak="0">
    <w:nsid w:val="5C0D2E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4" w15:restartNumberingAfterBreak="0">
    <w:nsid w:val="5C142791"/>
    <w:multiLevelType w:val="singleLevel"/>
    <w:tmpl w:val="041D000F"/>
    <w:lvl w:ilvl="0">
      <w:start w:val="1"/>
      <w:numFmt w:val="decimal"/>
      <w:lvlText w:val="%1."/>
      <w:lvlJc w:val="left"/>
      <w:pPr>
        <w:tabs>
          <w:tab w:val="num" w:pos="360"/>
        </w:tabs>
        <w:ind w:left="360" w:hanging="360"/>
      </w:pPr>
      <w:rPr>
        <w:rFonts w:hint="default"/>
      </w:rPr>
    </w:lvl>
  </w:abstractNum>
  <w:abstractNum w:abstractNumId="945" w15:restartNumberingAfterBreak="0">
    <w:nsid w:val="5C2371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6" w15:restartNumberingAfterBreak="0">
    <w:nsid w:val="5C5B4FC9"/>
    <w:multiLevelType w:val="singleLevel"/>
    <w:tmpl w:val="D00AC6A4"/>
    <w:lvl w:ilvl="0">
      <w:start w:val="1"/>
      <w:numFmt w:val="bullet"/>
      <w:lvlText w:val=""/>
      <w:lvlJc w:val="left"/>
      <w:pPr>
        <w:tabs>
          <w:tab w:val="num" w:pos="360"/>
        </w:tabs>
        <w:ind w:left="360" w:hanging="360"/>
      </w:pPr>
      <w:rPr>
        <w:rFonts w:ascii="Symbol" w:hAnsi="Symbol" w:hint="default"/>
      </w:rPr>
    </w:lvl>
  </w:abstractNum>
  <w:abstractNum w:abstractNumId="947" w15:restartNumberingAfterBreak="0">
    <w:nsid w:val="5C672CD3"/>
    <w:multiLevelType w:val="singleLevel"/>
    <w:tmpl w:val="041D000F"/>
    <w:lvl w:ilvl="0">
      <w:start w:val="1"/>
      <w:numFmt w:val="decimal"/>
      <w:lvlText w:val="%1."/>
      <w:lvlJc w:val="left"/>
      <w:pPr>
        <w:tabs>
          <w:tab w:val="num" w:pos="360"/>
        </w:tabs>
        <w:ind w:left="360" w:hanging="360"/>
      </w:pPr>
    </w:lvl>
  </w:abstractNum>
  <w:abstractNum w:abstractNumId="948" w15:restartNumberingAfterBreak="0">
    <w:nsid w:val="5C700A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9" w15:restartNumberingAfterBreak="0">
    <w:nsid w:val="5C741D80"/>
    <w:multiLevelType w:val="singleLevel"/>
    <w:tmpl w:val="832A417A"/>
    <w:lvl w:ilvl="0">
      <w:start w:val="1"/>
      <w:numFmt w:val="bullet"/>
      <w:lvlText w:val=""/>
      <w:lvlJc w:val="left"/>
      <w:pPr>
        <w:tabs>
          <w:tab w:val="num" w:pos="360"/>
        </w:tabs>
        <w:ind w:left="170" w:hanging="170"/>
      </w:pPr>
      <w:rPr>
        <w:rFonts w:ascii="Symbol" w:hAnsi="Symbol" w:hint="default"/>
      </w:rPr>
    </w:lvl>
  </w:abstractNum>
  <w:abstractNum w:abstractNumId="950" w15:restartNumberingAfterBreak="0">
    <w:nsid w:val="5C852D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1" w15:restartNumberingAfterBreak="0">
    <w:nsid w:val="5C8B1C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2" w15:restartNumberingAfterBreak="0">
    <w:nsid w:val="5CA27473"/>
    <w:multiLevelType w:val="singleLevel"/>
    <w:tmpl w:val="BBDEA5D2"/>
    <w:lvl w:ilvl="0">
      <w:start w:val="1"/>
      <w:numFmt w:val="decimal"/>
      <w:lvlText w:val="%1."/>
      <w:legacy w:legacy="1" w:legacySpace="0" w:legacyIndent="284"/>
      <w:lvlJc w:val="left"/>
      <w:pPr>
        <w:ind w:left="1191" w:hanging="284"/>
      </w:pPr>
    </w:lvl>
  </w:abstractNum>
  <w:abstractNum w:abstractNumId="953" w15:restartNumberingAfterBreak="0">
    <w:nsid w:val="5CA57D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4" w15:restartNumberingAfterBreak="0">
    <w:nsid w:val="5CAF77D4"/>
    <w:multiLevelType w:val="singleLevel"/>
    <w:tmpl w:val="041D000F"/>
    <w:lvl w:ilvl="0">
      <w:start w:val="1"/>
      <w:numFmt w:val="decimal"/>
      <w:lvlText w:val="%1."/>
      <w:lvlJc w:val="left"/>
      <w:pPr>
        <w:tabs>
          <w:tab w:val="num" w:pos="360"/>
        </w:tabs>
        <w:ind w:left="360" w:hanging="360"/>
      </w:pPr>
    </w:lvl>
  </w:abstractNum>
  <w:abstractNum w:abstractNumId="955" w15:restartNumberingAfterBreak="0">
    <w:nsid w:val="5CB00F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6" w15:restartNumberingAfterBreak="0">
    <w:nsid w:val="5CB55E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57" w15:restartNumberingAfterBreak="0">
    <w:nsid w:val="5CE50E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8" w15:restartNumberingAfterBreak="0">
    <w:nsid w:val="5CF72A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9" w15:restartNumberingAfterBreak="0">
    <w:nsid w:val="5D072B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0" w15:restartNumberingAfterBreak="0">
    <w:nsid w:val="5D166D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1" w15:restartNumberingAfterBreak="0">
    <w:nsid w:val="5D2C22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2" w15:restartNumberingAfterBreak="0">
    <w:nsid w:val="5D6E06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3" w15:restartNumberingAfterBreak="0">
    <w:nsid w:val="5D9204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4" w15:restartNumberingAfterBreak="0">
    <w:nsid w:val="5DA24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5" w15:restartNumberingAfterBreak="0">
    <w:nsid w:val="5DBC49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6" w15:restartNumberingAfterBreak="0">
    <w:nsid w:val="5DC93BF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67" w15:restartNumberingAfterBreak="0">
    <w:nsid w:val="5DF24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8" w15:restartNumberingAfterBreak="0">
    <w:nsid w:val="5DF42249"/>
    <w:multiLevelType w:val="singleLevel"/>
    <w:tmpl w:val="BBDEA5D2"/>
    <w:lvl w:ilvl="0">
      <w:start w:val="1"/>
      <w:numFmt w:val="decimal"/>
      <w:lvlText w:val="%1."/>
      <w:legacy w:legacy="1" w:legacySpace="0" w:legacyIndent="284"/>
      <w:lvlJc w:val="left"/>
      <w:pPr>
        <w:ind w:left="1191" w:hanging="284"/>
      </w:pPr>
    </w:lvl>
  </w:abstractNum>
  <w:abstractNum w:abstractNumId="969" w15:restartNumberingAfterBreak="0">
    <w:nsid w:val="5DF65E52"/>
    <w:multiLevelType w:val="singleLevel"/>
    <w:tmpl w:val="041D000F"/>
    <w:lvl w:ilvl="0">
      <w:start w:val="4"/>
      <w:numFmt w:val="decimal"/>
      <w:lvlText w:val="%1."/>
      <w:lvlJc w:val="left"/>
      <w:pPr>
        <w:tabs>
          <w:tab w:val="num" w:pos="360"/>
        </w:tabs>
        <w:ind w:left="360" w:hanging="360"/>
      </w:pPr>
      <w:rPr>
        <w:rFonts w:hint="default"/>
      </w:rPr>
    </w:lvl>
  </w:abstractNum>
  <w:abstractNum w:abstractNumId="970" w15:restartNumberingAfterBreak="0">
    <w:nsid w:val="5E064FC4"/>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971" w15:restartNumberingAfterBreak="0">
    <w:nsid w:val="5E3E2F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2" w15:restartNumberingAfterBreak="0">
    <w:nsid w:val="5E7C78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3" w15:restartNumberingAfterBreak="0">
    <w:nsid w:val="5E8D0277"/>
    <w:multiLevelType w:val="singleLevel"/>
    <w:tmpl w:val="041D000F"/>
    <w:lvl w:ilvl="0">
      <w:start w:val="1"/>
      <w:numFmt w:val="decimal"/>
      <w:lvlText w:val="%1."/>
      <w:lvlJc w:val="left"/>
      <w:pPr>
        <w:tabs>
          <w:tab w:val="num" w:pos="360"/>
        </w:tabs>
        <w:ind w:left="360" w:hanging="360"/>
      </w:pPr>
      <w:rPr>
        <w:rFonts w:hint="default"/>
      </w:rPr>
    </w:lvl>
  </w:abstractNum>
  <w:abstractNum w:abstractNumId="974" w15:restartNumberingAfterBreak="0">
    <w:nsid w:val="5E9A0D48"/>
    <w:multiLevelType w:val="singleLevel"/>
    <w:tmpl w:val="BA90BCCC"/>
    <w:lvl w:ilvl="0">
      <w:start w:val="1"/>
      <w:numFmt w:val="bullet"/>
      <w:lvlText w:val=""/>
      <w:lvlJc w:val="left"/>
      <w:pPr>
        <w:tabs>
          <w:tab w:val="num" w:pos="360"/>
        </w:tabs>
        <w:ind w:left="170" w:hanging="170"/>
      </w:pPr>
      <w:rPr>
        <w:rFonts w:ascii="Symbol" w:hAnsi="Symbol" w:hint="default"/>
      </w:rPr>
    </w:lvl>
  </w:abstractNum>
  <w:abstractNum w:abstractNumId="975" w15:restartNumberingAfterBreak="0">
    <w:nsid w:val="5E9B31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6" w15:restartNumberingAfterBreak="0">
    <w:nsid w:val="5EB916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7" w15:restartNumberingAfterBreak="0">
    <w:nsid w:val="5F0C23D8"/>
    <w:multiLevelType w:val="singleLevel"/>
    <w:tmpl w:val="F36E7026"/>
    <w:lvl w:ilvl="0">
      <w:start w:val="1"/>
      <w:numFmt w:val="bullet"/>
      <w:lvlText w:val=""/>
      <w:lvlJc w:val="left"/>
      <w:pPr>
        <w:tabs>
          <w:tab w:val="num" w:pos="360"/>
        </w:tabs>
        <w:ind w:left="170" w:hanging="170"/>
      </w:pPr>
      <w:rPr>
        <w:rFonts w:ascii="Symbol" w:hAnsi="Symbol" w:hint="default"/>
      </w:rPr>
    </w:lvl>
  </w:abstractNum>
  <w:abstractNum w:abstractNumId="978" w15:restartNumberingAfterBreak="0">
    <w:nsid w:val="5F1F6F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9" w15:restartNumberingAfterBreak="0">
    <w:nsid w:val="5F337418"/>
    <w:multiLevelType w:val="multilevel"/>
    <w:tmpl w:val="0F82534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80" w15:restartNumberingAfterBreak="0">
    <w:nsid w:val="5F6A2A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1" w15:restartNumberingAfterBreak="0">
    <w:nsid w:val="5FF910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2" w15:restartNumberingAfterBreak="0">
    <w:nsid w:val="602D712D"/>
    <w:multiLevelType w:val="singleLevel"/>
    <w:tmpl w:val="55E6C1C8"/>
    <w:lvl w:ilvl="0">
      <w:start w:val="1"/>
      <w:numFmt w:val="decimal"/>
      <w:lvlText w:val="%1."/>
      <w:legacy w:legacy="1" w:legacySpace="0" w:legacyIndent="454"/>
      <w:lvlJc w:val="left"/>
      <w:pPr>
        <w:ind w:left="454" w:hanging="454"/>
      </w:pPr>
    </w:lvl>
  </w:abstractNum>
  <w:abstractNum w:abstractNumId="983" w15:restartNumberingAfterBreak="0">
    <w:nsid w:val="605970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4" w15:restartNumberingAfterBreak="0">
    <w:nsid w:val="605B57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5" w15:restartNumberingAfterBreak="0">
    <w:nsid w:val="60684D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6" w15:restartNumberingAfterBreak="0">
    <w:nsid w:val="60A025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7" w15:restartNumberingAfterBreak="0">
    <w:nsid w:val="60A72A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8" w15:restartNumberingAfterBreak="0">
    <w:nsid w:val="60D63F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9" w15:restartNumberingAfterBreak="0">
    <w:nsid w:val="60E45AC5"/>
    <w:multiLevelType w:val="singleLevel"/>
    <w:tmpl w:val="E72E67D6"/>
    <w:lvl w:ilvl="0">
      <w:start w:val="1"/>
      <w:numFmt w:val="lowerLetter"/>
      <w:lvlText w:val="%1)"/>
      <w:lvlJc w:val="left"/>
      <w:pPr>
        <w:tabs>
          <w:tab w:val="num" w:pos="700"/>
        </w:tabs>
        <w:ind w:left="700" w:hanging="360"/>
      </w:pPr>
      <w:rPr>
        <w:rFonts w:hint="default"/>
      </w:rPr>
    </w:lvl>
  </w:abstractNum>
  <w:abstractNum w:abstractNumId="990" w15:restartNumberingAfterBreak="0">
    <w:nsid w:val="60F200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1" w15:restartNumberingAfterBreak="0">
    <w:nsid w:val="60F31DF1"/>
    <w:multiLevelType w:val="singleLevel"/>
    <w:tmpl w:val="981E634E"/>
    <w:lvl w:ilvl="0">
      <w:start w:val="15"/>
      <w:numFmt w:val="decimal"/>
      <w:lvlText w:val="%1."/>
      <w:legacy w:legacy="1" w:legacySpace="0" w:legacyIndent="454"/>
      <w:lvlJc w:val="left"/>
      <w:pPr>
        <w:ind w:left="454" w:hanging="454"/>
      </w:pPr>
    </w:lvl>
  </w:abstractNum>
  <w:abstractNum w:abstractNumId="992" w15:restartNumberingAfterBreak="0">
    <w:nsid w:val="60F741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3" w15:restartNumberingAfterBreak="0">
    <w:nsid w:val="611812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4" w15:restartNumberingAfterBreak="0">
    <w:nsid w:val="61511E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5" w15:restartNumberingAfterBreak="0">
    <w:nsid w:val="615D653B"/>
    <w:multiLevelType w:val="singleLevel"/>
    <w:tmpl w:val="44EA2672"/>
    <w:lvl w:ilvl="0">
      <w:start w:val="1"/>
      <w:numFmt w:val="bullet"/>
      <w:lvlText w:val=""/>
      <w:lvlJc w:val="left"/>
      <w:pPr>
        <w:tabs>
          <w:tab w:val="num" w:pos="360"/>
        </w:tabs>
        <w:ind w:left="170" w:hanging="170"/>
      </w:pPr>
      <w:rPr>
        <w:rFonts w:ascii="Symbol" w:hAnsi="Symbol" w:hint="default"/>
      </w:rPr>
    </w:lvl>
  </w:abstractNum>
  <w:abstractNum w:abstractNumId="996" w15:restartNumberingAfterBreak="0">
    <w:nsid w:val="61901D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7" w15:restartNumberingAfterBreak="0">
    <w:nsid w:val="61B06C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8" w15:restartNumberingAfterBreak="0">
    <w:nsid w:val="61F12A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9" w15:restartNumberingAfterBreak="0">
    <w:nsid w:val="61FC50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0" w15:restartNumberingAfterBreak="0">
    <w:nsid w:val="620E00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1" w15:restartNumberingAfterBreak="0">
    <w:nsid w:val="62162B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2" w15:restartNumberingAfterBreak="0">
    <w:nsid w:val="622730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3" w15:restartNumberingAfterBreak="0">
    <w:nsid w:val="6227398F"/>
    <w:multiLevelType w:val="singleLevel"/>
    <w:tmpl w:val="BB52DB7A"/>
    <w:lvl w:ilvl="0">
      <w:start w:val="22"/>
      <w:numFmt w:val="decimal"/>
      <w:lvlText w:val="%1."/>
      <w:legacy w:legacy="1" w:legacySpace="0" w:legacyIndent="454"/>
      <w:lvlJc w:val="left"/>
      <w:pPr>
        <w:ind w:left="454" w:hanging="454"/>
      </w:pPr>
    </w:lvl>
  </w:abstractNum>
  <w:abstractNum w:abstractNumId="1004" w15:restartNumberingAfterBreak="0">
    <w:nsid w:val="629377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5" w15:restartNumberingAfterBreak="0">
    <w:nsid w:val="629D6D0E"/>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1006" w15:restartNumberingAfterBreak="0">
    <w:nsid w:val="62A35B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7" w15:restartNumberingAfterBreak="0">
    <w:nsid w:val="62A928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8" w15:restartNumberingAfterBreak="0">
    <w:nsid w:val="62C316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9" w15:restartNumberingAfterBreak="0">
    <w:nsid w:val="62D667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0" w15:restartNumberingAfterBreak="0">
    <w:nsid w:val="62DA08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1" w15:restartNumberingAfterBreak="0">
    <w:nsid w:val="62F819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2" w15:restartNumberingAfterBreak="0">
    <w:nsid w:val="63254D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3" w15:restartNumberingAfterBreak="0">
    <w:nsid w:val="632669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4" w15:restartNumberingAfterBreak="0">
    <w:nsid w:val="633D6B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5" w15:restartNumberingAfterBreak="0">
    <w:nsid w:val="63452072"/>
    <w:multiLevelType w:val="singleLevel"/>
    <w:tmpl w:val="19785A7E"/>
    <w:lvl w:ilvl="0">
      <w:start w:val="1"/>
      <w:numFmt w:val="bullet"/>
      <w:lvlText w:val=""/>
      <w:lvlJc w:val="left"/>
      <w:pPr>
        <w:tabs>
          <w:tab w:val="num" w:pos="360"/>
        </w:tabs>
        <w:ind w:left="360" w:hanging="360"/>
      </w:pPr>
      <w:rPr>
        <w:rFonts w:ascii="Symbol" w:hAnsi="Symbol" w:hint="default"/>
      </w:rPr>
    </w:lvl>
  </w:abstractNum>
  <w:abstractNum w:abstractNumId="1016" w15:restartNumberingAfterBreak="0">
    <w:nsid w:val="634B6F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7" w15:restartNumberingAfterBreak="0">
    <w:nsid w:val="635748FC"/>
    <w:multiLevelType w:val="multilevel"/>
    <w:tmpl w:val="09C639E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18" w15:restartNumberingAfterBreak="0">
    <w:nsid w:val="63FA4A00"/>
    <w:multiLevelType w:val="singleLevel"/>
    <w:tmpl w:val="10BC6E9C"/>
    <w:lvl w:ilvl="0">
      <w:start w:val="1"/>
      <w:numFmt w:val="bullet"/>
      <w:lvlText w:val=""/>
      <w:lvlJc w:val="left"/>
      <w:pPr>
        <w:tabs>
          <w:tab w:val="num" w:pos="360"/>
        </w:tabs>
        <w:ind w:left="360" w:hanging="360"/>
      </w:pPr>
      <w:rPr>
        <w:rFonts w:ascii="Symbol" w:hAnsi="Symbol" w:hint="default"/>
      </w:rPr>
    </w:lvl>
  </w:abstractNum>
  <w:abstractNum w:abstractNumId="1019" w15:restartNumberingAfterBreak="0">
    <w:nsid w:val="640567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0" w15:restartNumberingAfterBreak="0">
    <w:nsid w:val="64166B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1" w15:restartNumberingAfterBreak="0">
    <w:nsid w:val="641710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2" w15:restartNumberingAfterBreak="0">
    <w:nsid w:val="6425243D"/>
    <w:multiLevelType w:val="singleLevel"/>
    <w:tmpl w:val="24DEE020"/>
    <w:lvl w:ilvl="0">
      <w:start w:val="1"/>
      <w:numFmt w:val="lowerLetter"/>
      <w:lvlText w:val="%1)"/>
      <w:lvlJc w:val="left"/>
      <w:pPr>
        <w:tabs>
          <w:tab w:val="num" w:pos="360"/>
        </w:tabs>
        <w:ind w:left="0" w:firstLine="0"/>
      </w:pPr>
      <w:rPr>
        <w:rFonts w:hint="default"/>
        <w:i/>
      </w:rPr>
    </w:lvl>
  </w:abstractNum>
  <w:abstractNum w:abstractNumId="1023" w15:restartNumberingAfterBreak="0">
    <w:nsid w:val="644D25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4" w15:restartNumberingAfterBreak="0">
    <w:nsid w:val="64513C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5" w15:restartNumberingAfterBreak="0">
    <w:nsid w:val="645D1136"/>
    <w:multiLevelType w:val="singleLevel"/>
    <w:tmpl w:val="F9A28116"/>
    <w:lvl w:ilvl="0">
      <w:start w:val="22"/>
      <w:numFmt w:val="decimal"/>
      <w:lvlText w:val="%1."/>
      <w:legacy w:legacy="1" w:legacySpace="0" w:legacyIndent="454"/>
      <w:lvlJc w:val="left"/>
      <w:pPr>
        <w:ind w:left="454" w:hanging="454"/>
      </w:pPr>
    </w:lvl>
  </w:abstractNum>
  <w:abstractNum w:abstractNumId="1026" w15:restartNumberingAfterBreak="0">
    <w:nsid w:val="646262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7" w15:restartNumberingAfterBreak="0">
    <w:nsid w:val="646B2C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8" w15:restartNumberingAfterBreak="0">
    <w:nsid w:val="646D7E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9" w15:restartNumberingAfterBreak="0">
    <w:nsid w:val="64AC68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0" w15:restartNumberingAfterBreak="0">
    <w:nsid w:val="64D46D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1" w15:restartNumberingAfterBreak="0">
    <w:nsid w:val="64E72DE4"/>
    <w:multiLevelType w:val="singleLevel"/>
    <w:tmpl w:val="FFFFFFFF"/>
    <w:lvl w:ilvl="0">
      <w:numFmt w:val="decimal"/>
      <w:lvlText w:val="*"/>
      <w:lvlJc w:val="left"/>
    </w:lvl>
  </w:abstractNum>
  <w:abstractNum w:abstractNumId="1032" w15:restartNumberingAfterBreak="0">
    <w:nsid w:val="650F2B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3" w15:restartNumberingAfterBreak="0">
    <w:nsid w:val="651641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4" w15:restartNumberingAfterBreak="0">
    <w:nsid w:val="654668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5" w15:restartNumberingAfterBreak="0">
    <w:nsid w:val="655A03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6" w15:restartNumberingAfterBreak="0">
    <w:nsid w:val="65E728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7" w15:restartNumberingAfterBreak="0">
    <w:nsid w:val="65EC66B1"/>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038" w15:restartNumberingAfterBreak="0">
    <w:nsid w:val="662441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9" w15:restartNumberingAfterBreak="0">
    <w:nsid w:val="666E47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0" w15:restartNumberingAfterBreak="0">
    <w:nsid w:val="66A04C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1" w15:restartNumberingAfterBreak="0">
    <w:nsid w:val="67311E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2" w15:restartNumberingAfterBreak="0">
    <w:nsid w:val="674051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3" w15:restartNumberingAfterBreak="0">
    <w:nsid w:val="678946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4" w15:restartNumberingAfterBreak="0">
    <w:nsid w:val="678A65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5" w15:restartNumberingAfterBreak="0">
    <w:nsid w:val="679220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6" w15:restartNumberingAfterBreak="0">
    <w:nsid w:val="679746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7" w15:restartNumberingAfterBreak="0">
    <w:nsid w:val="679E76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8" w15:restartNumberingAfterBreak="0">
    <w:nsid w:val="67A33325"/>
    <w:multiLevelType w:val="singleLevel"/>
    <w:tmpl w:val="BBDEA5D2"/>
    <w:lvl w:ilvl="0">
      <w:start w:val="1"/>
      <w:numFmt w:val="decimal"/>
      <w:lvlText w:val="%1."/>
      <w:legacy w:legacy="1" w:legacySpace="0" w:legacyIndent="284"/>
      <w:lvlJc w:val="left"/>
      <w:pPr>
        <w:ind w:left="1191" w:hanging="284"/>
      </w:pPr>
    </w:lvl>
  </w:abstractNum>
  <w:abstractNum w:abstractNumId="1049" w15:restartNumberingAfterBreak="0">
    <w:nsid w:val="67A741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0" w15:restartNumberingAfterBreak="0">
    <w:nsid w:val="67AD33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1" w15:restartNumberingAfterBreak="0">
    <w:nsid w:val="67BC6A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2" w15:restartNumberingAfterBreak="0">
    <w:nsid w:val="67D521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3" w15:restartNumberingAfterBreak="0">
    <w:nsid w:val="67E6232A"/>
    <w:multiLevelType w:val="singleLevel"/>
    <w:tmpl w:val="743EE77A"/>
    <w:lvl w:ilvl="0">
      <w:start w:val="1"/>
      <w:numFmt w:val="decimal"/>
      <w:lvlText w:val="%1."/>
      <w:legacy w:legacy="1" w:legacySpace="0" w:legacyIndent="454"/>
      <w:lvlJc w:val="left"/>
      <w:pPr>
        <w:ind w:left="454" w:hanging="454"/>
      </w:pPr>
    </w:lvl>
  </w:abstractNum>
  <w:abstractNum w:abstractNumId="1054" w15:restartNumberingAfterBreak="0">
    <w:nsid w:val="67FC07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5" w15:restartNumberingAfterBreak="0">
    <w:nsid w:val="680B39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6" w15:restartNumberingAfterBreak="0">
    <w:nsid w:val="682470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7" w15:restartNumberingAfterBreak="0">
    <w:nsid w:val="68390F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8" w15:restartNumberingAfterBreak="0">
    <w:nsid w:val="683910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9" w15:restartNumberingAfterBreak="0">
    <w:nsid w:val="68611F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0" w15:restartNumberingAfterBreak="0">
    <w:nsid w:val="687349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1" w15:restartNumberingAfterBreak="0">
    <w:nsid w:val="68AD71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2" w15:restartNumberingAfterBreak="0">
    <w:nsid w:val="68B838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3" w15:restartNumberingAfterBreak="0">
    <w:nsid w:val="68DD2162"/>
    <w:multiLevelType w:val="singleLevel"/>
    <w:tmpl w:val="7FE86C8C"/>
    <w:lvl w:ilvl="0">
      <w:start w:val="1"/>
      <w:numFmt w:val="bullet"/>
      <w:lvlText w:val=""/>
      <w:lvlJc w:val="left"/>
      <w:pPr>
        <w:tabs>
          <w:tab w:val="num" w:pos="360"/>
        </w:tabs>
        <w:ind w:left="227" w:hanging="227"/>
      </w:pPr>
      <w:rPr>
        <w:rFonts w:ascii="Symbol" w:hAnsi="Symbol" w:hint="default"/>
      </w:rPr>
    </w:lvl>
  </w:abstractNum>
  <w:abstractNum w:abstractNumId="1064" w15:restartNumberingAfterBreak="0">
    <w:nsid w:val="68DE6A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5" w15:restartNumberingAfterBreak="0">
    <w:nsid w:val="68EB40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6" w15:restartNumberingAfterBreak="0">
    <w:nsid w:val="693563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7" w15:restartNumberingAfterBreak="0">
    <w:nsid w:val="695C3320"/>
    <w:multiLevelType w:val="singleLevel"/>
    <w:tmpl w:val="BBDEA5D2"/>
    <w:lvl w:ilvl="0">
      <w:start w:val="1"/>
      <w:numFmt w:val="decimal"/>
      <w:lvlText w:val="%1."/>
      <w:legacy w:legacy="1" w:legacySpace="0" w:legacyIndent="284"/>
      <w:lvlJc w:val="left"/>
      <w:pPr>
        <w:ind w:left="1191" w:hanging="284"/>
      </w:pPr>
    </w:lvl>
  </w:abstractNum>
  <w:abstractNum w:abstractNumId="1068" w15:restartNumberingAfterBreak="0">
    <w:nsid w:val="696818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9" w15:restartNumberingAfterBreak="0">
    <w:nsid w:val="69745D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0" w15:restartNumberingAfterBreak="0">
    <w:nsid w:val="69CA45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1" w15:restartNumberingAfterBreak="0">
    <w:nsid w:val="69D25F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2" w15:restartNumberingAfterBreak="0">
    <w:nsid w:val="69E007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3" w15:restartNumberingAfterBreak="0">
    <w:nsid w:val="69F06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4" w15:restartNumberingAfterBreak="0">
    <w:nsid w:val="6A1457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5" w15:restartNumberingAfterBreak="0">
    <w:nsid w:val="6A2978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6" w15:restartNumberingAfterBreak="0">
    <w:nsid w:val="6A3713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7" w15:restartNumberingAfterBreak="0">
    <w:nsid w:val="6A5351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8" w15:restartNumberingAfterBreak="0">
    <w:nsid w:val="6A7317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9" w15:restartNumberingAfterBreak="0">
    <w:nsid w:val="6A8244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0" w15:restartNumberingAfterBreak="0">
    <w:nsid w:val="6AAD43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1" w15:restartNumberingAfterBreak="0">
    <w:nsid w:val="6AAF07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2" w15:restartNumberingAfterBreak="0">
    <w:nsid w:val="6AEB7A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3" w15:restartNumberingAfterBreak="0">
    <w:nsid w:val="6B0313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4" w15:restartNumberingAfterBreak="0">
    <w:nsid w:val="6B0A1B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5" w15:restartNumberingAfterBreak="0">
    <w:nsid w:val="6B1002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6" w15:restartNumberingAfterBreak="0">
    <w:nsid w:val="6B265E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7" w15:restartNumberingAfterBreak="0">
    <w:nsid w:val="6B294B0A"/>
    <w:multiLevelType w:val="multilevel"/>
    <w:tmpl w:val="AC18AA6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088" w15:restartNumberingAfterBreak="0">
    <w:nsid w:val="6B2F3162"/>
    <w:multiLevelType w:val="singleLevel"/>
    <w:tmpl w:val="7C0690A2"/>
    <w:lvl w:ilvl="0">
      <w:start w:val="735"/>
      <w:numFmt w:val="bullet"/>
      <w:lvlText w:val="–"/>
      <w:lvlJc w:val="left"/>
      <w:pPr>
        <w:tabs>
          <w:tab w:val="num" w:pos="360"/>
        </w:tabs>
        <w:ind w:left="360" w:hanging="360"/>
      </w:pPr>
      <w:rPr>
        <w:rFonts w:hint="default"/>
      </w:rPr>
    </w:lvl>
  </w:abstractNum>
  <w:abstractNum w:abstractNumId="1089" w15:restartNumberingAfterBreak="0">
    <w:nsid w:val="6B3D53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0" w15:restartNumberingAfterBreak="0">
    <w:nsid w:val="6B3F21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1" w15:restartNumberingAfterBreak="0">
    <w:nsid w:val="6B3F22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2" w15:restartNumberingAfterBreak="0">
    <w:nsid w:val="6B4D2B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3" w15:restartNumberingAfterBreak="0">
    <w:nsid w:val="6B5D1A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4" w15:restartNumberingAfterBreak="0">
    <w:nsid w:val="6B944D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5" w15:restartNumberingAfterBreak="0">
    <w:nsid w:val="6B950B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6" w15:restartNumberingAfterBreak="0">
    <w:nsid w:val="6BAC74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7" w15:restartNumberingAfterBreak="0">
    <w:nsid w:val="6BD921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8" w15:restartNumberingAfterBreak="0">
    <w:nsid w:val="6BDB01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9" w15:restartNumberingAfterBreak="0">
    <w:nsid w:val="6BE56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0" w15:restartNumberingAfterBreak="0">
    <w:nsid w:val="6BE570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1" w15:restartNumberingAfterBreak="0">
    <w:nsid w:val="6C3A3E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2" w15:restartNumberingAfterBreak="0">
    <w:nsid w:val="6C3E43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3" w15:restartNumberingAfterBreak="0">
    <w:nsid w:val="6C3F09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4" w15:restartNumberingAfterBreak="0">
    <w:nsid w:val="6C4307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5" w15:restartNumberingAfterBreak="0">
    <w:nsid w:val="6C6477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6" w15:restartNumberingAfterBreak="0">
    <w:nsid w:val="6C763CE5"/>
    <w:multiLevelType w:val="singleLevel"/>
    <w:tmpl w:val="E7680DD4"/>
    <w:lvl w:ilvl="0">
      <w:start w:val="1"/>
      <w:numFmt w:val="decimal"/>
      <w:lvlText w:val="%1."/>
      <w:lvlJc w:val="left"/>
      <w:pPr>
        <w:tabs>
          <w:tab w:val="num" w:pos="360"/>
        </w:tabs>
        <w:ind w:left="360" w:hanging="360"/>
      </w:pPr>
    </w:lvl>
  </w:abstractNum>
  <w:abstractNum w:abstractNumId="1107" w15:restartNumberingAfterBreak="0">
    <w:nsid w:val="6C997899"/>
    <w:multiLevelType w:val="singleLevel"/>
    <w:tmpl w:val="041D000F"/>
    <w:lvl w:ilvl="0">
      <w:start w:val="1"/>
      <w:numFmt w:val="decimal"/>
      <w:lvlText w:val="%1."/>
      <w:lvlJc w:val="left"/>
      <w:pPr>
        <w:tabs>
          <w:tab w:val="num" w:pos="360"/>
        </w:tabs>
        <w:ind w:left="360" w:hanging="360"/>
      </w:pPr>
      <w:rPr>
        <w:rFonts w:hint="default"/>
      </w:rPr>
    </w:lvl>
  </w:abstractNum>
  <w:abstractNum w:abstractNumId="1108" w15:restartNumberingAfterBreak="0">
    <w:nsid w:val="6CA12E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9" w15:restartNumberingAfterBreak="0">
    <w:nsid w:val="6CA711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0" w15:restartNumberingAfterBreak="0">
    <w:nsid w:val="6CC6451C"/>
    <w:multiLevelType w:val="singleLevel"/>
    <w:tmpl w:val="041D000F"/>
    <w:lvl w:ilvl="0">
      <w:start w:val="1"/>
      <w:numFmt w:val="decimal"/>
      <w:lvlText w:val="%1."/>
      <w:lvlJc w:val="left"/>
      <w:pPr>
        <w:tabs>
          <w:tab w:val="num" w:pos="360"/>
        </w:tabs>
        <w:ind w:left="360" w:hanging="360"/>
      </w:pPr>
    </w:lvl>
  </w:abstractNum>
  <w:abstractNum w:abstractNumId="1111" w15:restartNumberingAfterBreak="0">
    <w:nsid w:val="6CCA3D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2" w15:restartNumberingAfterBreak="0">
    <w:nsid w:val="6CD500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3" w15:restartNumberingAfterBreak="0">
    <w:nsid w:val="6CEA0D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4" w15:restartNumberingAfterBreak="0">
    <w:nsid w:val="6D620C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5" w15:restartNumberingAfterBreak="0">
    <w:nsid w:val="6D7C78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6" w15:restartNumberingAfterBreak="0">
    <w:nsid w:val="6D843E64"/>
    <w:multiLevelType w:val="singleLevel"/>
    <w:tmpl w:val="7300449E"/>
    <w:lvl w:ilvl="0">
      <w:start w:val="1"/>
      <w:numFmt w:val="decimal"/>
      <w:lvlText w:val="%1."/>
      <w:legacy w:legacy="1" w:legacySpace="0" w:legacyIndent="283"/>
      <w:lvlJc w:val="left"/>
      <w:pPr>
        <w:ind w:left="283" w:hanging="283"/>
      </w:pPr>
    </w:lvl>
  </w:abstractNum>
  <w:abstractNum w:abstractNumId="1117" w15:restartNumberingAfterBreak="0">
    <w:nsid w:val="6DD005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8" w15:restartNumberingAfterBreak="0">
    <w:nsid w:val="6DEE15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9" w15:restartNumberingAfterBreak="0">
    <w:nsid w:val="6DF10482"/>
    <w:multiLevelType w:val="multilevel"/>
    <w:tmpl w:val="5CF241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20" w15:restartNumberingAfterBreak="0">
    <w:nsid w:val="6E0051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1" w15:restartNumberingAfterBreak="0">
    <w:nsid w:val="6E0574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2" w15:restartNumberingAfterBreak="0">
    <w:nsid w:val="6E0E622B"/>
    <w:multiLevelType w:val="singleLevel"/>
    <w:tmpl w:val="041D000F"/>
    <w:lvl w:ilvl="0">
      <w:start w:val="1"/>
      <w:numFmt w:val="decimal"/>
      <w:lvlText w:val="%1."/>
      <w:lvlJc w:val="left"/>
      <w:pPr>
        <w:tabs>
          <w:tab w:val="num" w:pos="360"/>
        </w:tabs>
        <w:ind w:left="360" w:hanging="360"/>
      </w:pPr>
    </w:lvl>
  </w:abstractNum>
  <w:abstractNum w:abstractNumId="1123" w15:restartNumberingAfterBreak="0">
    <w:nsid w:val="6E1973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4" w15:restartNumberingAfterBreak="0">
    <w:nsid w:val="6E2710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5" w15:restartNumberingAfterBreak="0">
    <w:nsid w:val="6E3F46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6" w15:restartNumberingAfterBreak="0">
    <w:nsid w:val="6E4647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7" w15:restartNumberingAfterBreak="0">
    <w:nsid w:val="6E5D29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8" w15:restartNumberingAfterBreak="0">
    <w:nsid w:val="6E6616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9" w15:restartNumberingAfterBreak="0">
    <w:nsid w:val="6E6C02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0" w15:restartNumberingAfterBreak="0">
    <w:nsid w:val="6E7A1096"/>
    <w:multiLevelType w:val="singleLevel"/>
    <w:tmpl w:val="C6D6AEB0"/>
    <w:lvl w:ilvl="0">
      <w:start w:val="1"/>
      <w:numFmt w:val="bullet"/>
      <w:lvlText w:val=""/>
      <w:lvlJc w:val="left"/>
      <w:pPr>
        <w:tabs>
          <w:tab w:val="num" w:pos="360"/>
        </w:tabs>
        <w:ind w:left="360" w:hanging="360"/>
      </w:pPr>
      <w:rPr>
        <w:rFonts w:ascii="Symbol" w:hAnsi="Symbol" w:hint="default"/>
      </w:rPr>
    </w:lvl>
  </w:abstractNum>
  <w:abstractNum w:abstractNumId="1131" w15:restartNumberingAfterBreak="0">
    <w:nsid w:val="6EA906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2" w15:restartNumberingAfterBreak="0">
    <w:nsid w:val="6EBF6B3E"/>
    <w:multiLevelType w:val="singleLevel"/>
    <w:tmpl w:val="BBDEA5D2"/>
    <w:lvl w:ilvl="0">
      <w:start w:val="1"/>
      <w:numFmt w:val="decimal"/>
      <w:lvlText w:val="%1."/>
      <w:legacy w:legacy="1" w:legacySpace="0" w:legacyIndent="284"/>
      <w:lvlJc w:val="left"/>
      <w:pPr>
        <w:ind w:left="1191" w:hanging="284"/>
      </w:pPr>
    </w:lvl>
  </w:abstractNum>
  <w:abstractNum w:abstractNumId="1133" w15:restartNumberingAfterBreak="0">
    <w:nsid w:val="6EE75A13"/>
    <w:multiLevelType w:val="singleLevel"/>
    <w:tmpl w:val="C728FAF2"/>
    <w:lvl w:ilvl="0">
      <w:start w:val="1"/>
      <w:numFmt w:val="decimal"/>
      <w:lvlText w:val="%1."/>
      <w:legacy w:legacy="1" w:legacySpace="0" w:legacyIndent="454"/>
      <w:lvlJc w:val="left"/>
      <w:pPr>
        <w:ind w:left="454" w:hanging="454"/>
      </w:pPr>
    </w:lvl>
  </w:abstractNum>
  <w:abstractNum w:abstractNumId="1134" w15:restartNumberingAfterBreak="0">
    <w:nsid w:val="6EF468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5" w15:restartNumberingAfterBreak="0">
    <w:nsid w:val="6EFC0BD2"/>
    <w:multiLevelType w:val="singleLevel"/>
    <w:tmpl w:val="6E924156"/>
    <w:lvl w:ilvl="0">
      <w:start w:val="1"/>
      <w:numFmt w:val="decimal"/>
      <w:lvlText w:val="(%1)"/>
      <w:lvlJc w:val="left"/>
      <w:pPr>
        <w:tabs>
          <w:tab w:val="num" w:pos="870"/>
        </w:tabs>
        <w:ind w:left="870" w:hanging="360"/>
      </w:pPr>
      <w:rPr>
        <w:rFonts w:hint="default"/>
      </w:rPr>
    </w:lvl>
  </w:abstractNum>
  <w:abstractNum w:abstractNumId="1136" w15:restartNumberingAfterBreak="0">
    <w:nsid w:val="6F044463"/>
    <w:multiLevelType w:val="singleLevel"/>
    <w:tmpl w:val="BBDEA5D2"/>
    <w:lvl w:ilvl="0">
      <w:start w:val="1"/>
      <w:numFmt w:val="decimal"/>
      <w:lvlText w:val="%1."/>
      <w:legacy w:legacy="1" w:legacySpace="0" w:legacyIndent="284"/>
      <w:lvlJc w:val="left"/>
      <w:pPr>
        <w:ind w:left="1191" w:hanging="284"/>
      </w:pPr>
    </w:lvl>
  </w:abstractNum>
  <w:abstractNum w:abstractNumId="1137" w15:restartNumberingAfterBreak="0">
    <w:nsid w:val="6F0A10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8" w15:restartNumberingAfterBreak="0">
    <w:nsid w:val="6F3D59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9" w15:restartNumberingAfterBreak="0">
    <w:nsid w:val="6F415C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0" w15:restartNumberingAfterBreak="0">
    <w:nsid w:val="6F7D58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1" w15:restartNumberingAfterBreak="0">
    <w:nsid w:val="6F985964"/>
    <w:multiLevelType w:val="singleLevel"/>
    <w:tmpl w:val="1980BCF4"/>
    <w:lvl w:ilvl="0">
      <w:start w:val="1"/>
      <w:numFmt w:val="decimal"/>
      <w:lvlText w:val="%1."/>
      <w:legacy w:legacy="1" w:legacySpace="0" w:legacyIndent="227"/>
      <w:lvlJc w:val="left"/>
      <w:pPr>
        <w:ind w:left="681" w:hanging="227"/>
      </w:pPr>
    </w:lvl>
  </w:abstractNum>
  <w:abstractNum w:abstractNumId="1142" w15:restartNumberingAfterBreak="0">
    <w:nsid w:val="6FAE39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3" w15:restartNumberingAfterBreak="0">
    <w:nsid w:val="6FB839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4" w15:restartNumberingAfterBreak="0">
    <w:nsid w:val="6FBA0858"/>
    <w:multiLevelType w:val="multilevel"/>
    <w:tmpl w:val="9814CB5A"/>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45" w15:restartNumberingAfterBreak="0">
    <w:nsid w:val="6FD637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6" w15:restartNumberingAfterBreak="0">
    <w:nsid w:val="701764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7" w15:restartNumberingAfterBreak="0">
    <w:nsid w:val="704B4C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8" w15:restartNumberingAfterBreak="0">
    <w:nsid w:val="707208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9" w15:restartNumberingAfterBreak="0">
    <w:nsid w:val="708141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0" w15:restartNumberingAfterBreak="0">
    <w:nsid w:val="709027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1" w15:restartNumberingAfterBreak="0">
    <w:nsid w:val="70A830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2" w15:restartNumberingAfterBreak="0">
    <w:nsid w:val="70A83604"/>
    <w:multiLevelType w:val="singleLevel"/>
    <w:tmpl w:val="D4FC8258"/>
    <w:lvl w:ilvl="0">
      <w:start w:val="1"/>
      <w:numFmt w:val="bullet"/>
      <w:lvlText w:val=""/>
      <w:lvlJc w:val="left"/>
      <w:pPr>
        <w:tabs>
          <w:tab w:val="num" w:pos="360"/>
        </w:tabs>
        <w:ind w:left="357" w:hanging="357"/>
      </w:pPr>
      <w:rPr>
        <w:rFonts w:ascii="Symbol" w:hAnsi="Symbol" w:hint="default"/>
      </w:rPr>
    </w:lvl>
  </w:abstractNum>
  <w:abstractNum w:abstractNumId="1153" w15:restartNumberingAfterBreak="0">
    <w:nsid w:val="70E72C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4" w15:restartNumberingAfterBreak="0">
    <w:nsid w:val="71145B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5" w15:restartNumberingAfterBreak="0">
    <w:nsid w:val="71163141"/>
    <w:multiLevelType w:val="singleLevel"/>
    <w:tmpl w:val="BFD00C24"/>
    <w:lvl w:ilvl="0">
      <w:start w:val="1"/>
      <w:numFmt w:val="bullet"/>
      <w:lvlText w:val=""/>
      <w:lvlJc w:val="left"/>
      <w:pPr>
        <w:tabs>
          <w:tab w:val="num" w:pos="360"/>
        </w:tabs>
        <w:ind w:left="170" w:hanging="170"/>
      </w:pPr>
      <w:rPr>
        <w:rFonts w:ascii="Symbol" w:hAnsi="Symbol" w:hint="default"/>
      </w:rPr>
    </w:lvl>
  </w:abstractNum>
  <w:abstractNum w:abstractNumId="1156" w15:restartNumberingAfterBreak="0">
    <w:nsid w:val="71187D5D"/>
    <w:multiLevelType w:val="multilevel"/>
    <w:tmpl w:val="22EC0DB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157" w15:restartNumberingAfterBreak="0">
    <w:nsid w:val="711F0E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8" w15:restartNumberingAfterBreak="0">
    <w:nsid w:val="71261F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9" w15:restartNumberingAfterBreak="0">
    <w:nsid w:val="71510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0" w15:restartNumberingAfterBreak="0">
    <w:nsid w:val="715A564C"/>
    <w:multiLevelType w:val="singleLevel"/>
    <w:tmpl w:val="31CA9286"/>
    <w:lvl w:ilvl="0">
      <w:start w:val="1"/>
      <w:numFmt w:val="bullet"/>
      <w:lvlText w:val=""/>
      <w:lvlJc w:val="left"/>
      <w:pPr>
        <w:tabs>
          <w:tab w:val="num" w:pos="360"/>
        </w:tabs>
        <w:ind w:left="360" w:hanging="360"/>
      </w:pPr>
      <w:rPr>
        <w:rFonts w:ascii="Symbol" w:hAnsi="Symbol" w:hint="default"/>
      </w:rPr>
    </w:lvl>
  </w:abstractNum>
  <w:abstractNum w:abstractNumId="1161" w15:restartNumberingAfterBreak="0">
    <w:nsid w:val="716F0D5A"/>
    <w:multiLevelType w:val="singleLevel"/>
    <w:tmpl w:val="BA90BCCC"/>
    <w:lvl w:ilvl="0">
      <w:start w:val="1"/>
      <w:numFmt w:val="bullet"/>
      <w:lvlText w:val=""/>
      <w:lvlJc w:val="left"/>
      <w:pPr>
        <w:tabs>
          <w:tab w:val="num" w:pos="360"/>
        </w:tabs>
        <w:ind w:left="170" w:hanging="170"/>
      </w:pPr>
      <w:rPr>
        <w:rFonts w:ascii="Symbol" w:hAnsi="Symbol" w:hint="default"/>
      </w:rPr>
    </w:lvl>
  </w:abstractNum>
  <w:abstractNum w:abstractNumId="1162" w15:restartNumberingAfterBreak="0">
    <w:nsid w:val="71732321"/>
    <w:multiLevelType w:val="singleLevel"/>
    <w:tmpl w:val="D346E40E"/>
    <w:lvl w:ilvl="0">
      <w:start w:val="15"/>
      <w:numFmt w:val="decimal"/>
      <w:lvlText w:val="%1."/>
      <w:legacy w:legacy="1" w:legacySpace="0" w:legacyIndent="454"/>
      <w:lvlJc w:val="left"/>
      <w:pPr>
        <w:ind w:left="454" w:hanging="454"/>
      </w:pPr>
    </w:lvl>
  </w:abstractNum>
  <w:abstractNum w:abstractNumId="1163" w15:restartNumberingAfterBreak="0">
    <w:nsid w:val="717451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4" w15:restartNumberingAfterBreak="0">
    <w:nsid w:val="71872B3A"/>
    <w:multiLevelType w:val="multilevel"/>
    <w:tmpl w:val="568462F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165" w15:restartNumberingAfterBreak="0">
    <w:nsid w:val="718E22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6" w15:restartNumberingAfterBreak="0">
    <w:nsid w:val="71CA2B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7" w15:restartNumberingAfterBreak="0">
    <w:nsid w:val="71CD20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8" w15:restartNumberingAfterBreak="0">
    <w:nsid w:val="71E125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9" w15:restartNumberingAfterBreak="0">
    <w:nsid w:val="71E70C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0" w15:restartNumberingAfterBreak="0">
    <w:nsid w:val="71EE10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1" w15:restartNumberingAfterBreak="0">
    <w:nsid w:val="71F172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2" w15:restartNumberingAfterBreak="0">
    <w:nsid w:val="720872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3" w15:restartNumberingAfterBreak="0">
    <w:nsid w:val="721602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4" w15:restartNumberingAfterBreak="0">
    <w:nsid w:val="723473CA"/>
    <w:multiLevelType w:val="singleLevel"/>
    <w:tmpl w:val="BBDEA5D2"/>
    <w:lvl w:ilvl="0">
      <w:start w:val="1"/>
      <w:numFmt w:val="decimal"/>
      <w:lvlText w:val="%1."/>
      <w:legacy w:legacy="1" w:legacySpace="0" w:legacyIndent="284"/>
      <w:lvlJc w:val="left"/>
      <w:pPr>
        <w:ind w:left="1191" w:hanging="284"/>
      </w:pPr>
    </w:lvl>
  </w:abstractNum>
  <w:abstractNum w:abstractNumId="1175" w15:restartNumberingAfterBreak="0">
    <w:nsid w:val="72380F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6" w15:restartNumberingAfterBreak="0">
    <w:nsid w:val="72474CFC"/>
    <w:multiLevelType w:val="multilevel"/>
    <w:tmpl w:val="57189A0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177" w15:restartNumberingAfterBreak="0">
    <w:nsid w:val="726D22F0"/>
    <w:multiLevelType w:val="singleLevel"/>
    <w:tmpl w:val="FA6C8738"/>
    <w:lvl w:ilvl="0">
      <w:start w:val="1"/>
      <w:numFmt w:val="bullet"/>
      <w:lvlText w:val=""/>
      <w:lvlJc w:val="left"/>
      <w:pPr>
        <w:tabs>
          <w:tab w:val="num" w:pos="360"/>
        </w:tabs>
        <w:ind w:left="357" w:hanging="357"/>
      </w:pPr>
      <w:rPr>
        <w:rFonts w:ascii="Symbol" w:hAnsi="Symbol" w:hint="default"/>
      </w:rPr>
    </w:lvl>
  </w:abstractNum>
  <w:abstractNum w:abstractNumId="1178" w15:restartNumberingAfterBreak="0">
    <w:nsid w:val="72BD0B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9" w15:restartNumberingAfterBreak="0">
    <w:nsid w:val="72E058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0" w15:restartNumberingAfterBreak="0">
    <w:nsid w:val="72E05B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1" w15:restartNumberingAfterBreak="0">
    <w:nsid w:val="72E927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2" w15:restartNumberingAfterBreak="0">
    <w:nsid w:val="736131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3" w15:restartNumberingAfterBreak="0">
    <w:nsid w:val="737351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4" w15:restartNumberingAfterBreak="0">
    <w:nsid w:val="737641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5" w15:restartNumberingAfterBreak="0">
    <w:nsid w:val="739E57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6" w15:restartNumberingAfterBreak="0">
    <w:nsid w:val="73A139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7" w15:restartNumberingAfterBreak="0">
    <w:nsid w:val="743153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8" w15:restartNumberingAfterBreak="0">
    <w:nsid w:val="74595170"/>
    <w:multiLevelType w:val="singleLevel"/>
    <w:tmpl w:val="BBDEA5D2"/>
    <w:lvl w:ilvl="0">
      <w:start w:val="1"/>
      <w:numFmt w:val="decimal"/>
      <w:lvlText w:val="%1."/>
      <w:legacy w:legacy="1" w:legacySpace="0" w:legacyIndent="284"/>
      <w:lvlJc w:val="left"/>
      <w:pPr>
        <w:ind w:left="1191" w:hanging="284"/>
      </w:pPr>
    </w:lvl>
  </w:abstractNum>
  <w:abstractNum w:abstractNumId="1189" w15:restartNumberingAfterBreak="0">
    <w:nsid w:val="745B2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0" w15:restartNumberingAfterBreak="0">
    <w:nsid w:val="74633DDB"/>
    <w:multiLevelType w:val="multilevel"/>
    <w:tmpl w:val="543287B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91" w15:restartNumberingAfterBreak="0">
    <w:nsid w:val="747468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2" w15:restartNumberingAfterBreak="0">
    <w:nsid w:val="74802E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3" w15:restartNumberingAfterBreak="0">
    <w:nsid w:val="7481395B"/>
    <w:multiLevelType w:val="singleLevel"/>
    <w:tmpl w:val="BBDEA5D2"/>
    <w:lvl w:ilvl="0">
      <w:start w:val="1"/>
      <w:numFmt w:val="decimal"/>
      <w:lvlText w:val="%1."/>
      <w:legacy w:legacy="1" w:legacySpace="0" w:legacyIndent="284"/>
      <w:lvlJc w:val="left"/>
      <w:pPr>
        <w:ind w:left="1191" w:hanging="284"/>
      </w:pPr>
    </w:lvl>
  </w:abstractNum>
  <w:abstractNum w:abstractNumId="1194" w15:restartNumberingAfterBreak="0">
    <w:nsid w:val="748C76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5" w15:restartNumberingAfterBreak="0">
    <w:nsid w:val="74A94110"/>
    <w:multiLevelType w:val="singleLevel"/>
    <w:tmpl w:val="9F2E4ED0"/>
    <w:lvl w:ilvl="0">
      <w:start w:val="1"/>
      <w:numFmt w:val="decimal"/>
      <w:lvlText w:val="%1."/>
      <w:lvlJc w:val="left"/>
      <w:pPr>
        <w:tabs>
          <w:tab w:val="num" w:pos="1211"/>
        </w:tabs>
        <w:ind w:left="1211" w:hanging="360"/>
      </w:pPr>
      <w:rPr>
        <w:rFonts w:hint="default"/>
      </w:rPr>
    </w:lvl>
  </w:abstractNum>
  <w:abstractNum w:abstractNumId="1196" w15:restartNumberingAfterBreak="0">
    <w:nsid w:val="74B511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7" w15:restartNumberingAfterBreak="0">
    <w:nsid w:val="74F946AB"/>
    <w:multiLevelType w:val="singleLevel"/>
    <w:tmpl w:val="BA12B42A"/>
    <w:lvl w:ilvl="0">
      <w:start w:val="1"/>
      <w:numFmt w:val="decimal"/>
      <w:lvlText w:val="%1."/>
      <w:legacy w:legacy="1" w:legacySpace="0" w:legacyIndent="454"/>
      <w:lvlJc w:val="left"/>
      <w:pPr>
        <w:ind w:left="454" w:hanging="454"/>
      </w:pPr>
    </w:lvl>
  </w:abstractNum>
  <w:abstractNum w:abstractNumId="1198" w15:restartNumberingAfterBreak="0">
    <w:nsid w:val="74FC2ACE"/>
    <w:multiLevelType w:val="singleLevel"/>
    <w:tmpl w:val="041D000F"/>
    <w:lvl w:ilvl="0">
      <w:start w:val="1"/>
      <w:numFmt w:val="decimal"/>
      <w:lvlText w:val="%1."/>
      <w:lvlJc w:val="left"/>
      <w:pPr>
        <w:tabs>
          <w:tab w:val="num" w:pos="360"/>
        </w:tabs>
        <w:ind w:left="360" w:hanging="360"/>
      </w:pPr>
    </w:lvl>
  </w:abstractNum>
  <w:abstractNum w:abstractNumId="1199" w15:restartNumberingAfterBreak="0">
    <w:nsid w:val="750639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0" w15:restartNumberingAfterBreak="0">
    <w:nsid w:val="750813B8"/>
    <w:multiLevelType w:val="singleLevel"/>
    <w:tmpl w:val="BBDEA5D2"/>
    <w:lvl w:ilvl="0">
      <w:start w:val="1"/>
      <w:numFmt w:val="decimal"/>
      <w:lvlText w:val="%1."/>
      <w:legacy w:legacy="1" w:legacySpace="0" w:legacyIndent="284"/>
      <w:lvlJc w:val="left"/>
      <w:pPr>
        <w:ind w:left="1191" w:hanging="284"/>
      </w:pPr>
    </w:lvl>
  </w:abstractNum>
  <w:abstractNum w:abstractNumId="1201" w15:restartNumberingAfterBreak="0">
    <w:nsid w:val="752E3C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2" w15:restartNumberingAfterBreak="0">
    <w:nsid w:val="755D33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3" w15:restartNumberingAfterBreak="0">
    <w:nsid w:val="75725D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4" w15:restartNumberingAfterBreak="0">
    <w:nsid w:val="75A767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5" w15:restartNumberingAfterBreak="0">
    <w:nsid w:val="75E822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6" w15:restartNumberingAfterBreak="0">
    <w:nsid w:val="75EB78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7" w15:restartNumberingAfterBreak="0">
    <w:nsid w:val="75FA41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8" w15:restartNumberingAfterBreak="0">
    <w:nsid w:val="7608703B"/>
    <w:multiLevelType w:val="multilevel"/>
    <w:tmpl w:val="8368BAB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209" w15:restartNumberingAfterBreak="0">
    <w:nsid w:val="760906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0" w15:restartNumberingAfterBreak="0">
    <w:nsid w:val="76125E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1" w15:restartNumberingAfterBreak="0">
    <w:nsid w:val="761B2FF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12" w15:restartNumberingAfterBreak="0">
    <w:nsid w:val="764174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3" w15:restartNumberingAfterBreak="0">
    <w:nsid w:val="764E71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4" w15:restartNumberingAfterBreak="0">
    <w:nsid w:val="765B5BDD"/>
    <w:multiLevelType w:val="singleLevel"/>
    <w:tmpl w:val="FFFFFFFF"/>
    <w:lvl w:ilvl="0">
      <w:numFmt w:val="decimal"/>
      <w:lvlText w:val="*"/>
      <w:lvlJc w:val="left"/>
    </w:lvl>
  </w:abstractNum>
  <w:abstractNum w:abstractNumId="1215" w15:restartNumberingAfterBreak="0">
    <w:nsid w:val="766D09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6" w15:restartNumberingAfterBreak="0">
    <w:nsid w:val="76945D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7" w15:restartNumberingAfterBreak="0">
    <w:nsid w:val="76A738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8" w15:restartNumberingAfterBreak="0">
    <w:nsid w:val="76D644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9" w15:restartNumberingAfterBreak="0">
    <w:nsid w:val="76DE73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0" w15:restartNumberingAfterBreak="0">
    <w:nsid w:val="770C5511"/>
    <w:multiLevelType w:val="singleLevel"/>
    <w:tmpl w:val="F4A88A94"/>
    <w:lvl w:ilvl="0">
      <w:start w:val="1"/>
      <w:numFmt w:val="none"/>
      <w:lvlText w:val="%1./."/>
      <w:lvlJc w:val="left"/>
      <w:pPr>
        <w:tabs>
          <w:tab w:val="num" w:pos="0"/>
        </w:tabs>
        <w:ind w:left="0" w:hanging="425"/>
      </w:pPr>
    </w:lvl>
  </w:abstractNum>
  <w:abstractNum w:abstractNumId="1221" w15:restartNumberingAfterBreak="0">
    <w:nsid w:val="770F4F0D"/>
    <w:multiLevelType w:val="singleLevel"/>
    <w:tmpl w:val="EAD0F5E0"/>
    <w:lvl w:ilvl="0">
      <w:start w:val="1"/>
      <w:numFmt w:val="bullet"/>
      <w:lvlText w:val=""/>
      <w:lvlJc w:val="left"/>
      <w:pPr>
        <w:tabs>
          <w:tab w:val="num" w:pos="360"/>
        </w:tabs>
        <w:ind w:left="360" w:hanging="360"/>
      </w:pPr>
      <w:rPr>
        <w:rFonts w:ascii="Symbol" w:hAnsi="Symbol" w:hint="default"/>
      </w:rPr>
    </w:lvl>
  </w:abstractNum>
  <w:abstractNum w:abstractNumId="1222" w15:restartNumberingAfterBreak="0">
    <w:nsid w:val="775B2F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3" w15:restartNumberingAfterBreak="0">
    <w:nsid w:val="775F47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4" w15:restartNumberingAfterBreak="0">
    <w:nsid w:val="7769515A"/>
    <w:multiLevelType w:val="singleLevel"/>
    <w:tmpl w:val="BBDEA5D2"/>
    <w:lvl w:ilvl="0">
      <w:start w:val="1"/>
      <w:numFmt w:val="decimal"/>
      <w:lvlText w:val="%1."/>
      <w:legacy w:legacy="1" w:legacySpace="0" w:legacyIndent="284"/>
      <w:lvlJc w:val="left"/>
      <w:pPr>
        <w:ind w:left="1191" w:hanging="284"/>
      </w:pPr>
    </w:lvl>
  </w:abstractNum>
  <w:abstractNum w:abstractNumId="1225" w15:restartNumberingAfterBreak="0">
    <w:nsid w:val="777878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6" w15:restartNumberingAfterBreak="0">
    <w:nsid w:val="77A30A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7" w15:restartNumberingAfterBreak="0">
    <w:nsid w:val="77CD48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8" w15:restartNumberingAfterBreak="0">
    <w:nsid w:val="77DE54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9" w15:restartNumberingAfterBreak="0">
    <w:nsid w:val="77EE35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0" w15:restartNumberingAfterBreak="0">
    <w:nsid w:val="77FF31E5"/>
    <w:multiLevelType w:val="singleLevel"/>
    <w:tmpl w:val="041D000F"/>
    <w:lvl w:ilvl="0">
      <w:start w:val="1"/>
      <w:numFmt w:val="decimal"/>
      <w:lvlText w:val="%1."/>
      <w:lvlJc w:val="left"/>
      <w:pPr>
        <w:tabs>
          <w:tab w:val="num" w:pos="360"/>
        </w:tabs>
        <w:ind w:left="360" w:hanging="360"/>
      </w:pPr>
    </w:lvl>
  </w:abstractNum>
  <w:abstractNum w:abstractNumId="1231" w15:restartNumberingAfterBreak="0">
    <w:nsid w:val="780413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2" w15:restartNumberingAfterBreak="0">
    <w:nsid w:val="780D54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3" w15:restartNumberingAfterBreak="0">
    <w:nsid w:val="781C113E"/>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1234" w15:restartNumberingAfterBreak="0">
    <w:nsid w:val="78215F15"/>
    <w:multiLevelType w:val="multilevel"/>
    <w:tmpl w:val="36EC513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235" w15:restartNumberingAfterBreak="0">
    <w:nsid w:val="78256CE4"/>
    <w:multiLevelType w:val="singleLevel"/>
    <w:tmpl w:val="3118CB70"/>
    <w:lvl w:ilvl="0">
      <w:start w:val="1"/>
      <w:numFmt w:val="bullet"/>
      <w:lvlText w:val=""/>
      <w:lvlJc w:val="left"/>
      <w:pPr>
        <w:tabs>
          <w:tab w:val="num" w:pos="360"/>
        </w:tabs>
        <w:ind w:left="360" w:hanging="360"/>
      </w:pPr>
      <w:rPr>
        <w:rFonts w:ascii="Symbol" w:hAnsi="Symbol" w:hint="default"/>
      </w:rPr>
    </w:lvl>
  </w:abstractNum>
  <w:abstractNum w:abstractNumId="1236" w15:restartNumberingAfterBreak="0">
    <w:nsid w:val="78565D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7" w15:restartNumberingAfterBreak="0">
    <w:nsid w:val="786E543B"/>
    <w:multiLevelType w:val="multilevel"/>
    <w:tmpl w:val="375416C4"/>
    <w:lvl w:ilvl="0">
      <w:start w:val="15"/>
      <w:numFmt w:val="decimal"/>
      <w:lvlText w:val="%1."/>
      <w:legacy w:legacy="1" w:legacySpace="0" w:legacyIndent="454"/>
      <w:lvlJc w:val="left"/>
      <w:pPr>
        <w:ind w:left="454" w:hanging="454"/>
      </w:p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1238" w15:restartNumberingAfterBreak="0">
    <w:nsid w:val="78774D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9" w15:restartNumberingAfterBreak="0">
    <w:nsid w:val="788443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0" w15:restartNumberingAfterBreak="0">
    <w:nsid w:val="78B45A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1" w15:restartNumberingAfterBreak="0">
    <w:nsid w:val="78EC35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2" w15:restartNumberingAfterBreak="0">
    <w:nsid w:val="79212C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3" w15:restartNumberingAfterBreak="0">
    <w:nsid w:val="79382E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4" w15:restartNumberingAfterBreak="0">
    <w:nsid w:val="794928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5" w15:restartNumberingAfterBreak="0">
    <w:nsid w:val="794F24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6" w15:restartNumberingAfterBreak="0">
    <w:nsid w:val="796201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7" w15:restartNumberingAfterBreak="0">
    <w:nsid w:val="797D74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8" w15:restartNumberingAfterBreak="0">
    <w:nsid w:val="79934A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9" w15:restartNumberingAfterBreak="0">
    <w:nsid w:val="79AA46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0" w15:restartNumberingAfterBreak="0">
    <w:nsid w:val="79AE69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1" w15:restartNumberingAfterBreak="0">
    <w:nsid w:val="79B971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2" w15:restartNumberingAfterBreak="0">
    <w:nsid w:val="79BD2C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3" w15:restartNumberingAfterBreak="0">
    <w:nsid w:val="79BE30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4" w15:restartNumberingAfterBreak="0">
    <w:nsid w:val="79F916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5" w15:restartNumberingAfterBreak="0">
    <w:nsid w:val="7A8175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6" w15:restartNumberingAfterBreak="0">
    <w:nsid w:val="7A8178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7" w15:restartNumberingAfterBreak="0">
    <w:nsid w:val="7AAB40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8" w15:restartNumberingAfterBreak="0">
    <w:nsid w:val="7AD934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9" w15:restartNumberingAfterBreak="0">
    <w:nsid w:val="7B0409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0" w15:restartNumberingAfterBreak="0">
    <w:nsid w:val="7B2509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1" w15:restartNumberingAfterBreak="0">
    <w:nsid w:val="7B4C6C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2" w15:restartNumberingAfterBreak="0">
    <w:nsid w:val="7BB809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3" w15:restartNumberingAfterBreak="0">
    <w:nsid w:val="7BDF7F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4" w15:restartNumberingAfterBreak="0">
    <w:nsid w:val="7C504AE5"/>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1265" w15:restartNumberingAfterBreak="0">
    <w:nsid w:val="7C6805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6" w15:restartNumberingAfterBreak="0">
    <w:nsid w:val="7C911E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67" w15:restartNumberingAfterBreak="0">
    <w:nsid w:val="7C9122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8" w15:restartNumberingAfterBreak="0">
    <w:nsid w:val="7C9827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9" w15:restartNumberingAfterBreak="0">
    <w:nsid w:val="7CAB7E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0" w15:restartNumberingAfterBreak="0">
    <w:nsid w:val="7CDC61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1" w15:restartNumberingAfterBreak="0">
    <w:nsid w:val="7CDD79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2" w15:restartNumberingAfterBreak="0">
    <w:nsid w:val="7CEF3E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3" w15:restartNumberingAfterBreak="0">
    <w:nsid w:val="7CFB02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4" w15:restartNumberingAfterBreak="0">
    <w:nsid w:val="7D155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5" w15:restartNumberingAfterBreak="0">
    <w:nsid w:val="7D2961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6" w15:restartNumberingAfterBreak="0">
    <w:nsid w:val="7D602094"/>
    <w:multiLevelType w:val="singleLevel"/>
    <w:tmpl w:val="5882FD0A"/>
    <w:lvl w:ilvl="0">
      <w:start w:val="1"/>
      <w:numFmt w:val="bullet"/>
      <w:lvlText w:val=""/>
      <w:lvlJc w:val="left"/>
      <w:pPr>
        <w:tabs>
          <w:tab w:val="num" w:pos="360"/>
        </w:tabs>
        <w:ind w:left="360" w:hanging="360"/>
      </w:pPr>
      <w:rPr>
        <w:rFonts w:ascii="Symbol" w:hAnsi="Symbol" w:hint="default"/>
      </w:rPr>
    </w:lvl>
  </w:abstractNum>
  <w:abstractNum w:abstractNumId="1277" w15:restartNumberingAfterBreak="0">
    <w:nsid w:val="7D6F63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8" w15:restartNumberingAfterBreak="0">
    <w:nsid w:val="7DA444EB"/>
    <w:multiLevelType w:val="singleLevel"/>
    <w:tmpl w:val="98CA23C0"/>
    <w:lvl w:ilvl="0">
      <w:start w:val="1"/>
      <w:numFmt w:val="bullet"/>
      <w:lvlText w:val=""/>
      <w:lvlJc w:val="left"/>
      <w:pPr>
        <w:tabs>
          <w:tab w:val="num" w:pos="360"/>
        </w:tabs>
        <w:ind w:left="357" w:hanging="357"/>
      </w:pPr>
      <w:rPr>
        <w:rFonts w:ascii="Symbol" w:hAnsi="Symbol" w:hint="default"/>
      </w:rPr>
    </w:lvl>
  </w:abstractNum>
  <w:abstractNum w:abstractNumId="1279" w15:restartNumberingAfterBreak="0">
    <w:nsid w:val="7DC246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0" w15:restartNumberingAfterBreak="0">
    <w:nsid w:val="7DC71FAF"/>
    <w:multiLevelType w:val="singleLevel"/>
    <w:tmpl w:val="6D746CDA"/>
    <w:lvl w:ilvl="0">
      <w:start w:val="1"/>
      <w:numFmt w:val="decimal"/>
      <w:lvlText w:val="%1."/>
      <w:legacy w:legacy="1" w:legacySpace="0" w:legacyIndent="284"/>
      <w:lvlJc w:val="left"/>
      <w:pPr>
        <w:ind w:left="1191" w:hanging="284"/>
      </w:pPr>
    </w:lvl>
  </w:abstractNum>
  <w:abstractNum w:abstractNumId="1281" w15:restartNumberingAfterBreak="0">
    <w:nsid w:val="7DD640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2" w15:restartNumberingAfterBreak="0">
    <w:nsid w:val="7DDE6F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3" w15:restartNumberingAfterBreak="0">
    <w:nsid w:val="7DF57F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4" w15:restartNumberingAfterBreak="0">
    <w:nsid w:val="7DF730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5" w15:restartNumberingAfterBreak="0">
    <w:nsid w:val="7DF879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6" w15:restartNumberingAfterBreak="0">
    <w:nsid w:val="7E0433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7" w15:restartNumberingAfterBreak="0">
    <w:nsid w:val="7E112A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8" w15:restartNumberingAfterBreak="0">
    <w:nsid w:val="7E1661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9" w15:restartNumberingAfterBreak="0">
    <w:nsid w:val="7E247E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0" w15:restartNumberingAfterBreak="0">
    <w:nsid w:val="7E264D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1" w15:restartNumberingAfterBreak="0">
    <w:nsid w:val="7E4E4572"/>
    <w:multiLevelType w:val="singleLevel"/>
    <w:tmpl w:val="BBDEA5D2"/>
    <w:lvl w:ilvl="0">
      <w:start w:val="1"/>
      <w:numFmt w:val="decimal"/>
      <w:lvlText w:val="%1."/>
      <w:legacy w:legacy="1" w:legacySpace="0" w:legacyIndent="284"/>
      <w:lvlJc w:val="left"/>
      <w:pPr>
        <w:ind w:left="1191" w:hanging="284"/>
      </w:pPr>
    </w:lvl>
  </w:abstractNum>
  <w:abstractNum w:abstractNumId="1292" w15:restartNumberingAfterBreak="0">
    <w:nsid w:val="7E560B88"/>
    <w:multiLevelType w:val="singleLevel"/>
    <w:tmpl w:val="3AD8DEDA"/>
    <w:lvl w:ilvl="0">
      <w:start w:val="1"/>
      <w:numFmt w:val="decimal"/>
      <w:lvlText w:val="%1."/>
      <w:legacy w:legacy="1" w:legacySpace="0" w:legacyIndent="284"/>
      <w:lvlJc w:val="left"/>
      <w:pPr>
        <w:ind w:left="1191" w:hanging="284"/>
      </w:pPr>
    </w:lvl>
  </w:abstractNum>
  <w:abstractNum w:abstractNumId="1293" w15:restartNumberingAfterBreak="0">
    <w:nsid w:val="7ED86B4C"/>
    <w:multiLevelType w:val="singleLevel"/>
    <w:tmpl w:val="041D000F"/>
    <w:lvl w:ilvl="0">
      <w:start w:val="4"/>
      <w:numFmt w:val="decimal"/>
      <w:lvlText w:val="%1."/>
      <w:lvlJc w:val="left"/>
      <w:pPr>
        <w:tabs>
          <w:tab w:val="num" w:pos="360"/>
        </w:tabs>
        <w:ind w:left="360" w:hanging="360"/>
      </w:pPr>
      <w:rPr>
        <w:rFonts w:hint="default"/>
      </w:rPr>
    </w:lvl>
  </w:abstractNum>
  <w:abstractNum w:abstractNumId="1294" w15:restartNumberingAfterBreak="0">
    <w:nsid w:val="7EE90304"/>
    <w:multiLevelType w:val="singleLevel"/>
    <w:tmpl w:val="BBDEA5D2"/>
    <w:lvl w:ilvl="0">
      <w:start w:val="1"/>
      <w:numFmt w:val="decimal"/>
      <w:lvlText w:val="%1."/>
      <w:legacy w:legacy="1" w:legacySpace="0" w:legacyIndent="284"/>
      <w:lvlJc w:val="left"/>
      <w:pPr>
        <w:ind w:left="1191" w:hanging="284"/>
      </w:pPr>
    </w:lvl>
  </w:abstractNum>
  <w:abstractNum w:abstractNumId="1295" w15:restartNumberingAfterBreak="0">
    <w:nsid w:val="7EEF71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6" w15:restartNumberingAfterBreak="0">
    <w:nsid w:val="7F0549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7" w15:restartNumberingAfterBreak="0">
    <w:nsid w:val="7F0C413D"/>
    <w:multiLevelType w:val="singleLevel"/>
    <w:tmpl w:val="BBDEA5D2"/>
    <w:lvl w:ilvl="0">
      <w:start w:val="1"/>
      <w:numFmt w:val="decimal"/>
      <w:lvlText w:val="%1."/>
      <w:legacy w:legacy="1" w:legacySpace="0" w:legacyIndent="284"/>
      <w:lvlJc w:val="left"/>
      <w:pPr>
        <w:ind w:left="1191" w:hanging="284"/>
      </w:pPr>
    </w:lvl>
  </w:abstractNum>
  <w:abstractNum w:abstractNumId="1298" w15:restartNumberingAfterBreak="0">
    <w:nsid w:val="7F1B74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9" w15:restartNumberingAfterBreak="0">
    <w:nsid w:val="7F30351C"/>
    <w:multiLevelType w:val="singleLevel"/>
    <w:tmpl w:val="713C86EC"/>
    <w:lvl w:ilvl="0">
      <w:start w:val="1"/>
      <w:numFmt w:val="bullet"/>
      <w:lvlText w:val=""/>
      <w:lvlJc w:val="left"/>
      <w:pPr>
        <w:tabs>
          <w:tab w:val="num" w:pos="360"/>
        </w:tabs>
        <w:ind w:left="360" w:hanging="360"/>
      </w:pPr>
      <w:rPr>
        <w:rFonts w:ascii="Symbol" w:hAnsi="Symbol" w:hint="default"/>
      </w:rPr>
    </w:lvl>
  </w:abstractNum>
  <w:abstractNum w:abstractNumId="1300" w15:restartNumberingAfterBreak="0">
    <w:nsid w:val="7F4556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1" w15:restartNumberingAfterBreak="0">
    <w:nsid w:val="7F455A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2" w15:restartNumberingAfterBreak="0">
    <w:nsid w:val="7F536896"/>
    <w:multiLevelType w:val="singleLevel"/>
    <w:tmpl w:val="BBDEA5D2"/>
    <w:lvl w:ilvl="0">
      <w:start w:val="1"/>
      <w:numFmt w:val="decimal"/>
      <w:lvlText w:val="%1."/>
      <w:legacy w:legacy="1" w:legacySpace="0" w:legacyIndent="284"/>
      <w:lvlJc w:val="left"/>
      <w:pPr>
        <w:ind w:left="1191" w:hanging="284"/>
      </w:pPr>
    </w:lvl>
  </w:abstractNum>
  <w:abstractNum w:abstractNumId="1303" w15:restartNumberingAfterBreak="0">
    <w:nsid w:val="7F6F22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4" w15:restartNumberingAfterBreak="0">
    <w:nsid w:val="7F6F2815"/>
    <w:multiLevelType w:val="singleLevel"/>
    <w:tmpl w:val="041D000F"/>
    <w:lvl w:ilvl="0">
      <w:start w:val="1"/>
      <w:numFmt w:val="decimal"/>
      <w:lvlText w:val="%1."/>
      <w:lvlJc w:val="left"/>
      <w:pPr>
        <w:tabs>
          <w:tab w:val="num" w:pos="360"/>
        </w:tabs>
        <w:ind w:left="360" w:hanging="360"/>
      </w:pPr>
      <w:rPr>
        <w:rFonts w:hint="default"/>
      </w:rPr>
    </w:lvl>
  </w:abstractNum>
  <w:abstractNum w:abstractNumId="1305" w15:restartNumberingAfterBreak="0">
    <w:nsid w:val="7F791C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6" w15:restartNumberingAfterBreak="0">
    <w:nsid w:val="7F7F0A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7" w15:restartNumberingAfterBreak="0">
    <w:nsid w:val="7FA81B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8" w15:restartNumberingAfterBreak="0">
    <w:nsid w:val="7FF0791E"/>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43152916">
    <w:abstractNumId w:val="226"/>
  </w:num>
  <w:num w:numId="2" w16cid:durableId="76751831">
    <w:abstractNumId w:val="3"/>
  </w:num>
  <w:num w:numId="3" w16cid:durableId="948045783">
    <w:abstractNumId w:val="954"/>
  </w:num>
  <w:num w:numId="4" w16cid:durableId="109401205">
    <w:abstractNumId w:val="650"/>
  </w:num>
  <w:num w:numId="5" w16cid:durableId="1689672574">
    <w:abstractNumId w:val="521"/>
  </w:num>
  <w:num w:numId="6" w16cid:durableId="1135292000">
    <w:abstractNumId w:val="263"/>
  </w:num>
  <w:num w:numId="7" w16cid:durableId="1524247071">
    <w:abstractNumId w:val="10"/>
  </w:num>
  <w:num w:numId="8" w16cid:durableId="730931155">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9" w16cid:durableId="226112127">
    <w:abstractNumId w:val="11"/>
    <w:lvlOverride w:ilvl="0">
      <w:lvl w:ilvl="0">
        <w:start w:val="1"/>
        <w:numFmt w:val="bullet"/>
        <w:lvlText w:val=""/>
        <w:legacy w:legacy="1" w:legacySpace="0" w:legacyIndent="284"/>
        <w:lvlJc w:val="left"/>
        <w:pPr>
          <w:ind w:left="284" w:hanging="284"/>
        </w:pPr>
        <w:rPr>
          <w:rFonts w:ascii="Symbol" w:hAnsi="Symbol" w:hint="default"/>
        </w:rPr>
      </w:lvl>
    </w:lvlOverride>
  </w:num>
  <w:num w:numId="10" w16cid:durableId="1902132644">
    <w:abstractNumId w:val="12"/>
  </w:num>
  <w:num w:numId="11" w16cid:durableId="101724381">
    <w:abstractNumId w:val="12"/>
    <w:lvlOverride w:ilvl="0">
      <w:lvl w:ilvl="0">
        <w:start w:val="1"/>
        <w:numFmt w:val="decimal"/>
        <w:lvlText w:val="%1."/>
        <w:legacy w:legacy="1" w:legacySpace="0" w:legacyIndent="340"/>
        <w:lvlJc w:val="left"/>
        <w:pPr>
          <w:ind w:left="340" w:hanging="340"/>
        </w:pPr>
      </w:lvl>
    </w:lvlOverride>
  </w:num>
  <w:num w:numId="12" w16cid:durableId="1090203752">
    <w:abstractNumId w:val="688"/>
  </w:num>
  <w:num w:numId="13" w16cid:durableId="799223499">
    <w:abstractNumId w:val="688"/>
    <w:lvlOverride w:ilvl="0">
      <w:lvl w:ilvl="0">
        <w:start w:val="1"/>
        <w:numFmt w:val="decimal"/>
        <w:lvlText w:val="%1."/>
        <w:legacy w:legacy="1" w:legacySpace="0" w:legacyIndent="454"/>
        <w:lvlJc w:val="left"/>
        <w:pPr>
          <w:ind w:left="454" w:hanging="454"/>
        </w:pPr>
      </w:lvl>
    </w:lvlOverride>
  </w:num>
  <w:num w:numId="14" w16cid:durableId="1478184738">
    <w:abstractNumId w:val="1237"/>
  </w:num>
  <w:num w:numId="15" w16cid:durableId="379938025">
    <w:abstractNumId w:val="1237"/>
    <w:lvlOverride w:ilvl="0">
      <w:lvl w:ilvl="0">
        <w:start w:val="15"/>
        <w:numFmt w:val="decimal"/>
        <w:lvlText w:val="%1."/>
        <w:legacy w:legacy="1" w:legacySpace="0" w:legacyIndent="454"/>
        <w:lvlJc w:val="left"/>
        <w:pPr>
          <w:ind w:left="454" w:hanging="454"/>
        </w:pPr>
      </w:lvl>
    </w:lvlOverride>
    <w:lvlOverride w:ilvl="1">
      <w:lvl w:ilvl="1">
        <w:numFmt w:val="none"/>
        <w:lvlText w:val=""/>
        <w:legacy w:legacy="1" w:legacySpace="0" w:legacyIndent="0"/>
        <w:lvlJc w:val="left"/>
        <w:rPr>
          <w:rFonts w:ascii="Tms Rmn" w:hAnsi="Tms Rmn" w:hint="default"/>
        </w:rPr>
      </w:lvl>
    </w:lvlOverride>
    <w:lvlOverride w:ilvl="2">
      <w:lvl w:ilvl="2">
        <w:numFmt w:val="none"/>
        <w:lvlText w:val=""/>
        <w:legacy w:legacy="1" w:legacySpace="0" w:legacyIndent="0"/>
        <w:lvlJc w:val="left"/>
        <w:rPr>
          <w:rFonts w:ascii="Tms Rmn" w:hAnsi="Tms Rmn" w:hint="default"/>
        </w:rPr>
      </w:lvl>
    </w:lvlOverride>
    <w:lvlOverride w:ilvl="3">
      <w:lvl w:ilvl="3">
        <w:numFmt w:val="none"/>
        <w:lvlText w:val=""/>
        <w:legacy w:legacy="1" w:legacySpace="0" w:legacyIndent="0"/>
        <w:lvlJc w:val="left"/>
        <w:rPr>
          <w:rFonts w:ascii="Tms Rmn" w:hAnsi="Tms Rmn" w:hint="default"/>
        </w:rPr>
      </w:lvl>
    </w:lvlOverride>
    <w:lvlOverride w:ilvl="4">
      <w:lvl w:ilvl="4">
        <w:numFmt w:val="none"/>
        <w:lvlText w:val=""/>
        <w:legacy w:legacy="1" w:legacySpace="0" w:legacyIndent="0"/>
        <w:lvlJc w:val="left"/>
        <w:rPr>
          <w:rFonts w:ascii="Tms Rmn" w:hAnsi="Tms Rmn" w:hint="default"/>
        </w:rPr>
      </w:lvl>
    </w:lvlOverride>
    <w:lvlOverride w:ilvl="5">
      <w:lvl w:ilvl="5">
        <w:numFmt w:val="none"/>
        <w:lvlText w:val=""/>
        <w:legacy w:legacy="1" w:legacySpace="0" w:legacyIndent="0"/>
        <w:lvlJc w:val="left"/>
        <w:rPr>
          <w:rFonts w:ascii="Tms Rmn" w:hAnsi="Tms Rmn" w:hint="default"/>
        </w:rPr>
      </w:lvl>
    </w:lvlOverride>
    <w:lvlOverride w:ilvl="6">
      <w:lvl w:ilvl="6">
        <w:numFmt w:val="none"/>
        <w:lvlText w:val=""/>
        <w:legacy w:legacy="1" w:legacySpace="0" w:legacyIndent="0"/>
        <w:lvlJc w:val="left"/>
        <w:rPr>
          <w:rFonts w:ascii="Tms Rmn" w:hAnsi="Tms Rmn" w:hint="default"/>
        </w:rPr>
      </w:lvl>
    </w:lvlOverride>
    <w:lvlOverride w:ilvl="7">
      <w:lvl w:ilvl="7">
        <w:numFmt w:val="none"/>
        <w:lvlText w:val=""/>
        <w:legacy w:legacy="1" w:legacySpace="0" w:legacyIndent="0"/>
        <w:lvlJc w:val="left"/>
        <w:rPr>
          <w:rFonts w:ascii="Tms Rmn" w:hAnsi="Tms Rmn" w:hint="default"/>
        </w:rPr>
      </w:lvl>
    </w:lvlOverride>
    <w:lvlOverride w:ilvl="8">
      <w:lvl w:ilvl="8">
        <w:numFmt w:val="none"/>
        <w:lvlText w:val=""/>
        <w:legacy w:legacy="1" w:legacySpace="0" w:legacyIndent="0"/>
        <w:lvlJc w:val="left"/>
        <w:rPr>
          <w:rFonts w:ascii="Tms Rmn" w:hAnsi="Tms Rmn" w:hint="default"/>
        </w:rPr>
      </w:lvl>
    </w:lvlOverride>
  </w:num>
  <w:num w:numId="16" w16cid:durableId="492842826">
    <w:abstractNumId w:val="883"/>
  </w:num>
  <w:num w:numId="17" w16cid:durableId="1769083955">
    <w:abstractNumId w:val="883"/>
    <w:lvlOverride w:ilvl="0">
      <w:lvl w:ilvl="0">
        <w:start w:val="1"/>
        <w:numFmt w:val="decimal"/>
        <w:lvlText w:val="%1."/>
        <w:legacy w:legacy="1" w:legacySpace="0" w:legacyIndent="454"/>
        <w:lvlJc w:val="left"/>
        <w:pPr>
          <w:ind w:left="454" w:hanging="454"/>
        </w:pPr>
      </w:lvl>
    </w:lvlOverride>
  </w:num>
  <w:num w:numId="18" w16cid:durableId="325283019">
    <w:abstractNumId w:val="586"/>
  </w:num>
  <w:num w:numId="19" w16cid:durableId="147600044">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20" w16cid:durableId="482696602">
    <w:abstractNumId w:val="933"/>
  </w:num>
  <w:num w:numId="21" w16cid:durableId="433521533">
    <w:abstractNumId w:val="933"/>
    <w:lvlOverride w:ilvl="0">
      <w:lvl w:ilvl="0">
        <w:start w:val="1"/>
        <w:numFmt w:val="decimal"/>
        <w:lvlText w:val="%1."/>
        <w:legacy w:legacy="1" w:legacySpace="0" w:legacyIndent="454"/>
        <w:lvlJc w:val="left"/>
        <w:pPr>
          <w:ind w:left="454" w:hanging="454"/>
        </w:pPr>
      </w:lvl>
    </w:lvlOverride>
  </w:num>
  <w:num w:numId="22" w16cid:durableId="1987468885">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23" w16cid:durableId="670907806">
    <w:abstractNumId w:val="989"/>
  </w:num>
  <w:num w:numId="24" w16cid:durableId="693385437">
    <w:abstractNumId w:val="182"/>
  </w:num>
  <w:num w:numId="25" w16cid:durableId="745687643">
    <w:abstractNumId w:val="755"/>
  </w:num>
  <w:num w:numId="26" w16cid:durableId="931621068">
    <w:abstractNumId w:val="562"/>
  </w:num>
  <w:num w:numId="27" w16cid:durableId="915044532">
    <w:abstractNumId w:val="496"/>
  </w:num>
  <w:num w:numId="28" w16cid:durableId="1447625659">
    <w:abstractNumId w:val="62"/>
  </w:num>
  <w:num w:numId="29" w16cid:durableId="1025903212">
    <w:abstractNumId w:val="465"/>
  </w:num>
  <w:num w:numId="30" w16cid:durableId="342825955">
    <w:abstractNumId w:val="1175"/>
  </w:num>
  <w:num w:numId="31" w16cid:durableId="38209520">
    <w:abstractNumId w:val="704"/>
  </w:num>
  <w:num w:numId="32" w16cid:durableId="972174239">
    <w:abstractNumId w:val="355"/>
  </w:num>
  <w:num w:numId="33" w16cid:durableId="674573579">
    <w:abstractNumId w:val="1061"/>
  </w:num>
  <w:num w:numId="34" w16cid:durableId="1199050825">
    <w:abstractNumId w:val="405"/>
  </w:num>
  <w:num w:numId="35" w16cid:durableId="1626961435">
    <w:abstractNumId w:val="24"/>
  </w:num>
  <w:num w:numId="36" w16cid:durableId="1300843353">
    <w:abstractNumId w:val="1203"/>
  </w:num>
  <w:num w:numId="37" w16cid:durableId="1668828196">
    <w:abstractNumId w:val="229"/>
  </w:num>
  <w:num w:numId="38" w16cid:durableId="1346637392">
    <w:abstractNumId w:val="114"/>
  </w:num>
  <w:num w:numId="39" w16cid:durableId="1001205333">
    <w:abstractNumId w:val="903"/>
  </w:num>
  <w:num w:numId="40" w16cid:durableId="933900743">
    <w:abstractNumId w:val="106"/>
  </w:num>
  <w:num w:numId="41" w16cid:durableId="1574466268">
    <w:abstractNumId w:val="576"/>
  </w:num>
  <w:num w:numId="42" w16cid:durableId="1054500699">
    <w:abstractNumId w:val="1242"/>
  </w:num>
  <w:num w:numId="43" w16cid:durableId="1563054188">
    <w:abstractNumId w:val="1239"/>
  </w:num>
  <w:num w:numId="44" w16cid:durableId="97331711">
    <w:abstractNumId w:val="976"/>
  </w:num>
  <w:num w:numId="45" w16cid:durableId="1659992332">
    <w:abstractNumId w:val="782"/>
  </w:num>
  <w:num w:numId="46" w16cid:durableId="179781120">
    <w:abstractNumId w:val="1097"/>
  </w:num>
  <w:num w:numId="47" w16cid:durableId="952445860">
    <w:abstractNumId w:val="893"/>
  </w:num>
  <w:num w:numId="48" w16cid:durableId="1752000235">
    <w:abstractNumId w:val="439"/>
  </w:num>
  <w:num w:numId="49" w16cid:durableId="485827442">
    <w:abstractNumId w:val="1134"/>
  </w:num>
  <w:num w:numId="50" w16cid:durableId="1932885447">
    <w:abstractNumId w:val="1016"/>
  </w:num>
  <w:num w:numId="51" w16cid:durableId="95909046">
    <w:abstractNumId w:val="348"/>
  </w:num>
  <w:num w:numId="52" w16cid:durableId="1180704682">
    <w:abstractNumId w:val="807"/>
  </w:num>
  <w:num w:numId="53" w16cid:durableId="2033534574">
    <w:abstractNumId w:val="660"/>
  </w:num>
  <w:num w:numId="54" w16cid:durableId="964315605">
    <w:abstractNumId w:val="1024"/>
  </w:num>
  <w:num w:numId="55" w16cid:durableId="1024749925">
    <w:abstractNumId w:val="279"/>
  </w:num>
  <w:num w:numId="56" w16cid:durableId="161363564">
    <w:abstractNumId w:val="432"/>
  </w:num>
  <w:num w:numId="57" w16cid:durableId="502477838">
    <w:abstractNumId w:val="306"/>
  </w:num>
  <w:num w:numId="58" w16cid:durableId="769736163">
    <w:abstractNumId w:val="138"/>
  </w:num>
  <w:num w:numId="59" w16cid:durableId="1881746208">
    <w:abstractNumId w:val="1071"/>
  </w:num>
  <w:num w:numId="60" w16cid:durableId="544948200">
    <w:abstractNumId w:val="537"/>
  </w:num>
  <w:num w:numId="61" w16cid:durableId="1972207069">
    <w:abstractNumId w:val="1147"/>
  </w:num>
  <w:num w:numId="62" w16cid:durableId="1674066214">
    <w:abstractNumId w:val="32"/>
  </w:num>
  <w:num w:numId="63" w16cid:durableId="802190325">
    <w:abstractNumId w:val="998"/>
  </w:num>
  <w:num w:numId="64" w16cid:durableId="1203976137">
    <w:abstractNumId w:val="641"/>
  </w:num>
  <w:num w:numId="65" w16cid:durableId="1303384131">
    <w:abstractNumId w:val="671"/>
  </w:num>
  <w:num w:numId="66" w16cid:durableId="300380792">
    <w:abstractNumId w:val="575"/>
  </w:num>
  <w:num w:numId="67" w16cid:durableId="902519905">
    <w:abstractNumId w:val="1262"/>
  </w:num>
  <w:num w:numId="68" w16cid:durableId="865407786">
    <w:abstractNumId w:val="169"/>
  </w:num>
  <w:num w:numId="69" w16cid:durableId="1661274991">
    <w:abstractNumId w:val="623"/>
  </w:num>
  <w:num w:numId="70" w16cid:durableId="1216232158">
    <w:abstractNumId w:val="456"/>
  </w:num>
  <w:num w:numId="71" w16cid:durableId="216092500">
    <w:abstractNumId w:val="180"/>
  </w:num>
  <w:num w:numId="72" w16cid:durableId="536234687">
    <w:abstractNumId w:val="668"/>
  </w:num>
  <w:num w:numId="73" w16cid:durableId="985089886">
    <w:abstractNumId w:val="700"/>
  </w:num>
  <w:num w:numId="74" w16cid:durableId="409816969">
    <w:abstractNumId w:val="983"/>
  </w:num>
  <w:num w:numId="75" w16cid:durableId="2048607113">
    <w:abstractNumId w:val="524"/>
  </w:num>
  <w:num w:numId="76" w16cid:durableId="770004292">
    <w:abstractNumId w:val="951"/>
  </w:num>
  <w:num w:numId="77" w16cid:durableId="1489856324">
    <w:abstractNumId w:val="613"/>
  </w:num>
  <w:num w:numId="78" w16cid:durableId="1749690755">
    <w:abstractNumId w:val="1158"/>
  </w:num>
  <w:num w:numId="79" w16cid:durableId="1288774340">
    <w:abstractNumId w:val="926"/>
  </w:num>
  <w:num w:numId="80" w16cid:durableId="1913081858">
    <w:abstractNumId w:val="761"/>
  </w:num>
  <w:num w:numId="81" w16cid:durableId="356584262">
    <w:abstractNumId w:val="350"/>
  </w:num>
  <w:num w:numId="82" w16cid:durableId="689913478">
    <w:abstractNumId w:val="428"/>
  </w:num>
  <w:num w:numId="83" w16cid:durableId="1309244664">
    <w:abstractNumId w:val="1068"/>
  </w:num>
  <w:num w:numId="84" w16cid:durableId="302273570">
    <w:abstractNumId w:val="649"/>
  </w:num>
  <w:num w:numId="85" w16cid:durableId="1756899344">
    <w:abstractNumId w:val="218"/>
  </w:num>
  <w:num w:numId="86" w16cid:durableId="817847968">
    <w:abstractNumId w:val="1228"/>
  </w:num>
  <w:num w:numId="87" w16cid:durableId="1621952918">
    <w:abstractNumId w:val="1159"/>
  </w:num>
  <w:num w:numId="88" w16cid:durableId="1787499629">
    <w:abstractNumId w:val="827"/>
  </w:num>
  <w:num w:numId="89" w16cid:durableId="1521507461">
    <w:abstractNumId w:val="363"/>
  </w:num>
  <w:num w:numId="90" w16cid:durableId="533999167">
    <w:abstractNumId w:val="482"/>
  </w:num>
  <w:num w:numId="91" w16cid:durableId="1534684958">
    <w:abstractNumId w:val="836"/>
  </w:num>
  <w:num w:numId="92" w16cid:durableId="373385771">
    <w:abstractNumId w:val="361"/>
  </w:num>
  <w:num w:numId="93" w16cid:durableId="1331372872">
    <w:abstractNumId w:val="286"/>
  </w:num>
  <w:num w:numId="94" w16cid:durableId="939218658">
    <w:abstractNumId w:val="601"/>
  </w:num>
  <w:num w:numId="95" w16cid:durableId="1605651307">
    <w:abstractNumId w:val="154"/>
  </w:num>
  <w:num w:numId="96" w16cid:durableId="375742543">
    <w:abstractNumId w:val="551"/>
  </w:num>
  <w:num w:numId="97" w16cid:durableId="1952203399">
    <w:abstractNumId w:val="859"/>
  </w:num>
  <w:num w:numId="98" w16cid:durableId="1863282627">
    <w:abstractNumId w:val="652"/>
  </w:num>
  <w:num w:numId="99" w16cid:durableId="1564177516">
    <w:abstractNumId w:val="1065"/>
  </w:num>
  <w:num w:numId="100" w16cid:durableId="494759446">
    <w:abstractNumId w:val="1081"/>
  </w:num>
  <w:num w:numId="101" w16cid:durableId="477235189">
    <w:abstractNumId w:val="450"/>
  </w:num>
  <w:num w:numId="102" w16cid:durableId="1658800894">
    <w:abstractNumId w:val="806"/>
  </w:num>
  <w:num w:numId="103" w16cid:durableId="1059674592">
    <w:abstractNumId w:val="1305"/>
  </w:num>
  <w:num w:numId="104" w16cid:durableId="840047900">
    <w:abstractNumId w:val="234"/>
  </w:num>
  <w:num w:numId="105" w16cid:durableId="1594629002">
    <w:abstractNumId w:val="424"/>
  </w:num>
  <w:num w:numId="106" w16cid:durableId="569265975">
    <w:abstractNumId w:val="52"/>
  </w:num>
  <w:num w:numId="107" w16cid:durableId="1043559018">
    <w:abstractNumId w:val="335"/>
  </w:num>
  <w:num w:numId="108" w16cid:durableId="241718738">
    <w:abstractNumId w:val="520"/>
  </w:num>
  <w:num w:numId="109" w16cid:durableId="474034600">
    <w:abstractNumId w:val="997"/>
  </w:num>
  <w:num w:numId="110" w16cid:durableId="993022930">
    <w:abstractNumId w:val="501"/>
  </w:num>
  <w:num w:numId="111" w16cid:durableId="1499230903">
    <w:abstractNumId w:val="858"/>
  </w:num>
  <w:num w:numId="112" w16cid:durableId="422453745">
    <w:abstractNumId w:val="202"/>
  </w:num>
  <w:num w:numId="113" w16cid:durableId="1570073156">
    <w:abstractNumId w:val="750"/>
  </w:num>
  <w:num w:numId="114" w16cid:durableId="72356772">
    <w:abstractNumId w:val="200"/>
  </w:num>
  <w:num w:numId="115" w16cid:durableId="795682929">
    <w:abstractNumId w:val="981"/>
  </w:num>
  <w:num w:numId="116" w16cid:durableId="695886268">
    <w:abstractNumId w:val="1196"/>
  </w:num>
  <w:num w:numId="117" w16cid:durableId="710498902">
    <w:abstractNumId w:val="80"/>
  </w:num>
  <w:num w:numId="118" w16cid:durableId="1455559207">
    <w:abstractNumId w:val="1028"/>
  </w:num>
  <w:num w:numId="119" w16cid:durableId="194124480">
    <w:abstractNumId w:val="1274"/>
  </w:num>
  <w:num w:numId="120" w16cid:durableId="2036887554">
    <w:abstractNumId w:val="781"/>
  </w:num>
  <w:num w:numId="121" w16cid:durableId="1131822243">
    <w:abstractNumId w:val="774"/>
  </w:num>
  <w:num w:numId="122" w16cid:durableId="2096122164">
    <w:abstractNumId w:val="616"/>
  </w:num>
  <w:num w:numId="123" w16cid:durableId="445663141">
    <w:abstractNumId w:val="397"/>
  </w:num>
  <w:num w:numId="124" w16cid:durableId="1522354571">
    <w:abstractNumId w:val="291"/>
  </w:num>
  <w:num w:numId="125" w16cid:durableId="764885705">
    <w:abstractNumId w:val="1178"/>
  </w:num>
  <w:num w:numId="126" w16cid:durableId="1886944084">
    <w:abstractNumId w:val="869"/>
  </w:num>
  <w:num w:numId="127" w16cid:durableId="707028423">
    <w:abstractNumId w:val="1218"/>
  </w:num>
  <w:num w:numId="128" w16cid:durableId="1080178353">
    <w:abstractNumId w:val="313"/>
  </w:num>
  <w:num w:numId="129" w16cid:durableId="1341663196">
    <w:abstractNumId w:val="927"/>
  </w:num>
  <w:num w:numId="130" w16cid:durableId="1655598048">
    <w:abstractNumId w:val="401"/>
  </w:num>
  <w:num w:numId="131" w16cid:durableId="1129665357">
    <w:abstractNumId w:val="353"/>
  </w:num>
  <w:num w:numId="132" w16cid:durableId="1858739128">
    <w:abstractNumId w:val="65"/>
  </w:num>
  <w:num w:numId="133" w16cid:durableId="116723867">
    <w:abstractNumId w:val="452"/>
  </w:num>
  <w:num w:numId="134" w16cid:durableId="919100997">
    <w:abstractNumId w:val="381"/>
  </w:num>
  <w:num w:numId="135" w16cid:durableId="1156796172">
    <w:abstractNumId w:val="207"/>
  </w:num>
  <w:num w:numId="136" w16cid:durableId="853302713">
    <w:abstractNumId w:val="540"/>
  </w:num>
  <w:num w:numId="137" w16cid:durableId="1221021753">
    <w:abstractNumId w:val="78"/>
  </w:num>
  <w:num w:numId="138" w16cid:durableId="1802771270">
    <w:abstractNumId w:val="423"/>
  </w:num>
  <w:num w:numId="139" w16cid:durableId="66847569">
    <w:abstractNumId w:val="241"/>
  </w:num>
  <w:num w:numId="140" w16cid:durableId="1696492317">
    <w:abstractNumId w:val="709"/>
  </w:num>
  <w:num w:numId="141" w16cid:durableId="2048677630">
    <w:abstractNumId w:val="220"/>
  </w:num>
  <w:num w:numId="142" w16cid:durableId="654799194">
    <w:abstractNumId w:val="1082"/>
  </w:num>
  <w:num w:numId="143" w16cid:durableId="1200162845">
    <w:abstractNumId w:val="258"/>
  </w:num>
  <w:num w:numId="144" w16cid:durableId="10684694">
    <w:abstractNumId w:val="515"/>
  </w:num>
  <w:num w:numId="145" w16cid:durableId="1308630078">
    <w:abstractNumId w:val="716"/>
  </w:num>
  <w:num w:numId="146" w16cid:durableId="785387759">
    <w:abstractNumId w:val="25"/>
  </w:num>
  <w:num w:numId="147" w16cid:durableId="1647130363">
    <w:abstractNumId w:val="473"/>
  </w:num>
  <w:num w:numId="148" w16cid:durableId="144393004">
    <w:abstractNumId w:val="1267"/>
  </w:num>
  <w:num w:numId="149" w16cid:durableId="1144390162">
    <w:abstractNumId w:val="666"/>
  </w:num>
  <w:num w:numId="150" w16cid:durableId="614294555">
    <w:abstractNumId w:val="758"/>
  </w:num>
  <w:num w:numId="151" w16cid:durableId="1054161463">
    <w:abstractNumId w:val="812"/>
  </w:num>
  <w:num w:numId="152" w16cid:durableId="458032212">
    <w:abstractNumId w:val="327"/>
  </w:num>
  <w:num w:numId="153" w16cid:durableId="794448086">
    <w:abstractNumId w:val="1042"/>
  </w:num>
  <w:num w:numId="154" w16cid:durableId="2005012781">
    <w:abstractNumId w:val="246"/>
  </w:num>
  <w:num w:numId="155" w16cid:durableId="301932708">
    <w:abstractNumId w:val="33"/>
  </w:num>
  <w:num w:numId="156" w16cid:durableId="2030330432">
    <w:abstractNumId w:val="1181"/>
  </w:num>
  <w:num w:numId="157" w16cid:durableId="120225031">
    <w:abstractNumId w:val="346"/>
  </w:num>
  <w:num w:numId="158" w16cid:durableId="961889115">
    <w:abstractNumId w:val="427"/>
  </w:num>
  <w:num w:numId="159" w16cid:durableId="1325429525">
    <w:abstractNumId w:val="1260"/>
  </w:num>
  <w:num w:numId="160" w16cid:durableId="1139886037">
    <w:abstractNumId w:val="887"/>
  </w:num>
  <w:num w:numId="161" w16cid:durableId="1867325676">
    <w:abstractNumId w:val="416"/>
  </w:num>
  <w:num w:numId="162" w16cid:durableId="1195532567">
    <w:abstractNumId w:val="1206"/>
  </w:num>
  <w:num w:numId="163" w16cid:durableId="1994067011">
    <w:abstractNumId w:val="120"/>
  </w:num>
  <w:num w:numId="164" w16cid:durableId="704409120">
    <w:abstractNumId w:val="103"/>
  </w:num>
  <w:num w:numId="165" w16cid:durableId="151409394">
    <w:abstractNumId w:val="239"/>
  </w:num>
  <w:num w:numId="166" w16cid:durableId="1695183814">
    <w:abstractNumId w:val="1233"/>
  </w:num>
  <w:num w:numId="167" w16cid:durableId="1265574175">
    <w:abstractNumId w:val="11"/>
    <w:lvlOverride w:ilvl="0">
      <w:lvl w:ilvl="0">
        <w:start w:val="1"/>
        <w:numFmt w:val="bullet"/>
        <w:lvlText w:val=""/>
        <w:legacy w:legacy="1" w:legacySpace="0" w:legacyIndent="283"/>
        <w:lvlJc w:val="left"/>
        <w:rPr>
          <w:rFonts w:ascii="Symbol" w:hAnsi="Symbol" w:hint="default"/>
        </w:rPr>
      </w:lvl>
    </w:lvlOverride>
  </w:num>
  <w:num w:numId="168" w16cid:durableId="1818110196">
    <w:abstractNumId w:val="760"/>
  </w:num>
  <w:num w:numId="169" w16cid:durableId="1324044837">
    <w:abstractNumId w:val="76"/>
  </w:num>
  <w:num w:numId="170" w16cid:durableId="575357262">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171" w16cid:durableId="69349291">
    <w:abstractNumId w:val="956"/>
  </w:num>
  <w:num w:numId="172" w16cid:durableId="1791700717">
    <w:abstractNumId w:val="870"/>
  </w:num>
  <w:num w:numId="173" w16cid:durableId="1769420593">
    <w:abstractNumId w:val="572"/>
  </w:num>
  <w:num w:numId="174" w16cid:durableId="136723486">
    <w:abstractNumId w:val="64"/>
  </w:num>
  <w:num w:numId="175" w16cid:durableId="293758439">
    <w:abstractNumId w:val="35"/>
  </w:num>
  <w:num w:numId="176" w16cid:durableId="583607726">
    <w:abstractNumId w:val="315"/>
  </w:num>
  <w:num w:numId="177" w16cid:durableId="1147825208">
    <w:abstractNumId w:val="987"/>
  </w:num>
  <w:num w:numId="178" w16cid:durableId="1982424023">
    <w:abstractNumId w:val="651"/>
  </w:num>
  <w:num w:numId="179" w16cid:durableId="1787851124">
    <w:abstractNumId w:val="1026"/>
  </w:num>
  <w:num w:numId="180" w16cid:durableId="893126095">
    <w:abstractNumId w:val="1222"/>
  </w:num>
  <w:num w:numId="181" w16cid:durableId="327170307">
    <w:abstractNumId w:val="211"/>
  </w:num>
  <w:num w:numId="182" w16cid:durableId="1660689421">
    <w:abstractNumId w:val="323"/>
  </w:num>
  <w:num w:numId="183" w16cid:durableId="1341816231">
    <w:abstractNumId w:val="454"/>
  </w:num>
  <w:num w:numId="184" w16cid:durableId="904267641">
    <w:abstractNumId w:val="516"/>
  </w:num>
  <w:num w:numId="185" w16cid:durableId="1531145519">
    <w:abstractNumId w:val="897"/>
  </w:num>
  <w:num w:numId="186" w16cid:durableId="38866754">
    <w:abstractNumId w:val="837"/>
  </w:num>
  <w:num w:numId="187" w16cid:durableId="162937595">
    <w:abstractNumId w:val="331"/>
  </w:num>
  <w:num w:numId="188" w16cid:durableId="1684093394">
    <w:abstractNumId w:val="842"/>
  </w:num>
  <w:num w:numId="189" w16cid:durableId="1907259361">
    <w:abstractNumId w:val="772"/>
  </w:num>
  <w:num w:numId="190" w16cid:durableId="1471480464">
    <w:abstractNumId w:val="156"/>
  </w:num>
  <w:num w:numId="191" w16cid:durableId="2147355967">
    <w:abstractNumId w:val="738"/>
  </w:num>
  <w:num w:numId="192" w16cid:durableId="1295601306">
    <w:abstractNumId w:val="1177"/>
  </w:num>
  <w:num w:numId="193" w16cid:durableId="807282920">
    <w:abstractNumId w:val="172"/>
  </w:num>
  <w:num w:numId="194" w16cid:durableId="363334464">
    <w:abstractNumId w:val="843"/>
  </w:num>
  <w:num w:numId="195" w16cid:durableId="1147015002">
    <w:abstractNumId w:val="1063"/>
  </w:num>
  <w:num w:numId="196" w16cid:durableId="748624561">
    <w:abstractNumId w:val="1152"/>
  </w:num>
  <w:num w:numId="197" w16cid:durableId="1050112649">
    <w:abstractNumId w:val="676"/>
  </w:num>
  <w:num w:numId="198" w16cid:durableId="1265840836">
    <w:abstractNumId w:val="1278"/>
  </w:num>
  <w:num w:numId="199" w16cid:durableId="883834959">
    <w:abstractNumId w:val="270"/>
  </w:num>
  <w:num w:numId="200" w16cid:durableId="1385373788">
    <w:abstractNumId w:val="913"/>
  </w:num>
  <w:num w:numId="201" w16cid:durableId="470096667">
    <w:abstractNumId w:val="608"/>
  </w:num>
  <w:num w:numId="202" w16cid:durableId="491071860">
    <w:abstractNumId w:val="449"/>
  </w:num>
  <w:num w:numId="203" w16cid:durableId="1863787656">
    <w:abstractNumId w:val="1211"/>
  </w:num>
  <w:num w:numId="204" w16cid:durableId="556862641">
    <w:abstractNumId w:val="585"/>
  </w:num>
  <w:num w:numId="205" w16cid:durableId="535654868">
    <w:abstractNumId w:val="1266"/>
  </w:num>
  <w:num w:numId="206" w16cid:durableId="726685055">
    <w:abstractNumId w:val="295"/>
  </w:num>
  <w:num w:numId="207" w16cid:durableId="559832695">
    <w:abstractNumId w:val="1069"/>
  </w:num>
  <w:num w:numId="208" w16cid:durableId="1423600832">
    <w:abstractNumId w:val="971"/>
  </w:num>
  <w:num w:numId="209" w16cid:durableId="1250579694">
    <w:abstractNumId w:val="963"/>
  </w:num>
  <w:num w:numId="210" w16cid:durableId="1832061507">
    <w:abstractNumId w:val="835"/>
  </w:num>
  <w:num w:numId="211" w16cid:durableId="1396777470">
    <w:abstractNumId w:val="830"/>
  </w:num>
  <w:num w:numId="212" w16cid:durableId="979380236">
    <w:abstractNumId w:val="798"/>
  </w:num>
  <w:num w:numId="213" w16cid:durableId="174199586">
    <w:abstractNumId w:val="203"/>
  </w:num>
  <w:num w:numId="214" w16cid:durableId="850877507">
    <w:abstractNumId w:val="549"/>
  </w:num>
  <w:num w:numId="215" w16cid:durableId="1318460990">
    <w:abstractNumId w:val="805"/>
  </w:num>
  <w:num w:numId="216" w16cid:durableId="2000964839">
    <w:abstractNumId w:val="302"/>
  </w:num>
  <w:num w:numId="217" w16cid:durableId="49771868">
    <w:abstractNumId w:val="557"/>
  </w:num>
  <w:num w:numId="218" w16cid:durableId="347945604">
    <w:abstractNumId w:val="1285"/>
  </w:num>
  <w:num w:numId="219" w16cid:durableId="467555312">
    <w:abstractNumId w:val="794"/>
  </w:num>
  <w:num w:numId="220" w16cid:durableId="1690714364">
    <w:abstractNumId w:val="1142"/>
  </w:num>
  <w:num w:numId="221" w16cid:durableId="873880532">
    <w:abstractNumId w:val="298"/>
  </w:num>
  <w:num w:numId="222" w16cid:durableId="219439889">
    <w:abstractNumId w:val="490"/>
  </w:num>
  <w:num w:numId="223" w16cid:durableId="1444810004">
    <w:abstractNumId w:val="134"/>
  </w:num>
  <w:num w:numId="224" w16cid:durableId="1916816042">
    <w:abstractNumId w:val="943"/>
  </w:num>
  <w:num w:numId="225" w16cid:durableId="646976866">
    <w:abstractNumId w:val="891"/>
  </w:num>
  <w:num w:numId="226" w16cid:durableId="134490277">
    <w:abstractNumId w:val="513"/>
  </w:num>
  <w:num w:numId="227" w16cid:durableId="2116515502">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228" w16cid:durableId="1411271627">
    <w:abstractNumId w:val="1017"/>
  </w:num>
  <w:num w:numId="229" w16cid:durableId="2050520761">
    <w:abstractNumId w:val="379"/>
  </w:num>
  <w:num w:numId="230" w16cid:durableId="1937908465">
    <w:abstractNumId w:val="1249"/>
  </w:num>
  <w:num w:numId="231" w16cid:durableId="764572116">
    <w:abstractNumId w:val="195"/>
  </w:num>
  <w:num w:numId="232" w16cid:durableId="517743403">
    <w:abstractNumId w:val="137"/>
  </w:num>
  <w:num w:numId="233" w16cid:durableId="1426460058">
    <w:abstractNumId w:val="1086"/>
  </w:num>
  <w:num w:numId="234" w16cid:durableId="186334011">
    <w:abstractNumId w:val="752"/>
  </w:num>
  <w:num w:numId="235" w16cid:durableId="312026407">
    <w:abstractNumId w:val="29"/>
  </w:num>
  <w:num w:numId="236" w16cid:durableId="1980918161">
    <w:abstractNumId w:val="17"/>
  </w:num>
  <w:num w:numId="237" w16cid:durableId="812989436">
    <w:abstractNumId w:val="659"/>
  </w:num>
  <w:num w:numId="238" w16cid:durableId="1770538268">
    <w:abstractNumId w:val="866"/>
  </w:num>
  <w:num w:numId="239" w16cid:durableId="183833434">
    <w:abstractNumId w:val="1240"/>
  </w:num>
  <w:num w:numId="240" w16cid:durableId="369190507">
    <w:abstractNumId w:val="1166"/>
  </w:num>
  <w:num w:numId="241" w16cid:durableId="1823279160">
    <w:abstractNumId w:val="303"/>
  </w:num>
  <w:num w:numId="242" w16cid:durableId="130052244">
    <w:abstractNumId w:val="40"/>
  </w:num>
  <w:num w:numId="243" w16cid:durableId="831027989">
    <w:abstractNumId w:val="429"/>
  </w:num>
  <w:num w:numId="244" w16cid:durableId="951745075">
    <w:abstractNumId w:val="556"/>
  </w:num>
  <w:num w:numId="245" w16cid:durableId="999390189">
    <w:abstractNumId w:val="63"/>
  </w:num>
  <w:num w:numId="246" w16cid:durableId="149030104">
    <w:abstractNumId w:val="656"/>
  </w:num>
  <w:num w:numId="247" w16cid:durableId="54862987">
    <w:abstractNumId w:val="392"/>
  </w:num>
  <w:num w:numId="248" w16cid:durableId="807281323">
    <w:abstractNumId w:val="1115"/>
  </w:num>
  <w:num w:numId="249" w16cid:durableId="908031875">
    <w:abstractNumId w:val="20"/>
  </w:num>
  <w:num w:numId="250" w16cid:durableId="798380486">
    <w:abstractNumId w:val="161"/>
  </w:num>
  <w:num w:numId="251" w16cid:durableId="1871601148">
    <w:abstractNumId w:val="964"/>
  </w:num>
  <w:num w:numId="252" w16cid:durableId="1480269571">
    <w:abstractNumId w:val="848"/>
  </w:num>
  <w:num w:numId="253" w16cid:durableId="1913349745">
    <w:abstractNumId w:val="1254"/>
  </w:num>
  <w:num w:numId="254" w16cid:durableId="971982234">
    <w:abstractNumId w:val="994"/>
  </w:num>
  <w:num w:numId="255" w16cid:durableId="1469469147">
    <w:abstractNumId w:val="1225"/>
  </w:num>
  <w:num w:numId="256" w16cid:durableId="49885825">
    <w:abstractNumId w:val="1194"/>
  </w:num>
  <w:num w:numId="257" w16cid:durableId="733164902">
    <w:abstractNumId w:val="11"/>
  </w:num>
  <w:num w:numId="258" w16cid:durableId="1383167150">
    <w:abstractNumId w:val="37"/>
  </w:num>
  <w:num w:numId="259" w16cid:durableId="436364950">
    <w:abstractNumId w:val="928"/>
  </w:num>
  <w:num w:numId="260" w16cid:durableId="1275594451">
    <w:abstractNumId w:val="1073"/>
  </w:num>
  <w:num w:numId="261" w16cid:durableId="2060014824">
    <w:abstractNumId w:val="11"/>
  </w:num>
  <w:num w:numId="262" w16cid:durableId="2132240444">
    <w:abstractNumId w:val="715"/>
  </w:num>
  <w:num w:numId="263" w16cid:durableId="557401583">
    <w:abstractNumId w:val="630"/>
  </w:num>
  <w:num w:numId="264" w16cid:durableId="351343196">
    <w:abstractNumId w:val="265"/>
  </w:num>
  <w:num w:numId="265" w16cid:durableId="44987183">
    <w:abstractNumId w:val="149"/>
  </w:num>
  <w:num w:numId="266" w16cid:durableId="357513961">
    <w:abstractNumId w:val="236"/>
  </w:num>
  <w:num w:numId="267" w16cid:durableId="932975182">
    <w:abstractNumId w:val="8"/>
  </w:num>
  <w:num w:numId="268" w16cid:durableId="2710076">
    <w:abstractNumId w:val="9"/>
  </w:num>
  <w:num w:numId="269" w16cid:durableId="174155060">
    <w:abstractNumId w:val="771"/>
  </w:num>
  <w:num w:numId="270" w16cid:durableId="1231313011">
    <w:abstractNumId w:val="1032"/>
  </w:num>
  <w:num w:numId="271" w16cid:durableId="2001879988">
    <w:abstractNumId w:val="769"/>
  </w:num>
  <w:num w:numId="272" w16cid:durableId="592593321">
    <w:abstractNumId w:val="590"/>
  </w:num>
  <w:num w:numId="273" w16cid:durableId="1027483627">
    <w:abstractNumId w:val="224"/>
  </w:num>
  <w:num w:numId="274" w16cid:durableId="590163553">
    <w:abstractNumId w:val="547"/>
  </w:num>
  <w:num w:numId="275" w16cid:durableId="2009820612">
    <w:abstractNumId w:val="541"/>
  </w:num>
  <w:num w:numId="276" w16cid:durableId="1090084958">
    <w:abstractNumId w:val="536"/>
  </w:num>
  <w:num w:numId="277" w16cid:durableId="1373312127">
    <w:abstractNumId w:val="471"/>
  </w:num>
  <w:num w:numId="278" w16cid:durableId="171916675">
    <w:abstractNumId w:val="451"/>
  </w:num>
  <w:num w:numId="279" w16cid:durableId="509610735">
    <w:abstractNumId w:val="920"/>
  </w:num>
  <w:num w:numId="280" w16cid:durableId="636184951">
    <w:abstractNumId w:val="1020"/>
  </w:num>
  <w:num w:numId="281" w16cid:durableId="1177575091">
    <w:abstractNumId w:val="783"/>
  </w:num>
  <w:num w:numId="282" w16cid:durableId="1075132064">
    <w:abstractNumId w:val="1011"/>
  </w:num>
  <w:num w:numId="283" w16cid:durableId="1645963123">
    <w:abstractNumId w:val="1055"/>
  </w:num>
  <w:num w:numId="284" w16cid:durableId="1679652376">
    <w:abstractNumId w:val="276"/>
  </w:num>
  <w:num w:numId="285" w16cid:durableId="1156914544">
    <w:abstractNumId w:val="492"/>
  </w:num>
  <w:num w:numId="286" w16cid:durableId="155465710">
    <w:abstractNumId w:val="1172"/>
  </w:num>
  <w:num w:numId="287" w16cid:durableId="1746101559">
    <w:abstractNumId w:val="431"/>
  </w:num>
  <w:num w:numId="288" w16cid:durableId="1295018014">
    <w:abstractNumId w:val="318"/>
  </w:num>
  <w:num w:numId="289" w16cid:durableId="376398787">
    <w:abstractNumId w:val="689"/>
  </w:num>
  <w:num w:numId="290" w16cid:durableId="201551524">
    <w:abstractNumId w:val="462"/>
  </w:num>
  <w:num w:numId="291" w16cid:durableId="1558855116">
    <w:abstractNumId w:val="713"/>
  </w:num>
  <w:num w:numId="292" w16cid:durableId="2039769861">
    <w:abstractNumId w:val="1226"/>
  </w:num>
  <w:num w:numId="293" w16cid:durableId="2003388157">
    <w:abstractNumId w:val="825"/>
  </w:num>
  <w:num w:numId="294" w16cid:durableId="702560846">
    <w:abstractNumId w:val="882"/>
  </w:num>
  <w:num w:numId="295" w16cid:durableId="50926854">
    <w:abstractNumId w:val="815"/>
  </w:num>
  <w:num w:numId="296" w16cid:durableId="1239289397">
    <w:abstractNumId w:val="308"/>
  </w:num>
  <w:num w:numId="297" w16cid:durableId="1161652171">
    <w:abstractNumId w:val="833"/>
  </w:num>
  <w:num w:numId="298" w16cid:durableId="791824799">
    <w:abstractNumId w:val="1204"/>
  </w:num>
  <w:num w:numId="299" w16cid:durableId="741760989">
    <w:abstractNumId w:val="289"/>
  </w:num>
  <w:num w:numId="300" w16cid:durableId="2044481850">
    <w:abstractNumId w:val="235"/>
  </w:num>
  <w:num w:numId="301" w16cid:durableId="1451195414">
    <w:abstractNumId w:val="917"/>
  </w:num>
  <w:num w:numId="302" w16cid:durableId="695041882">
    <w:abstractNumId w:val="1235"/>
  </w:num>
  <w:num w:numId="303" w16cid:durableId="2066683847">
    <w:abstractNumId w:val="694"/>
  </w:num>
  <w:num w:numId="304" w16cid:durableId="1838114381">
    <w:abstractNumId w:val="1150"/>
  </w:num>
  <w:num w:numId="305" w16cid:durableId="1488284904">
    <w:abstractNumId w:val="1083"/>
  </w:num>
  <w:num w:numId="306" w16cid:durableId="1631011260">
    <w:abstractNumId w:val="410"/>
  </w:num>
  <w:num w:numId="307" w16cid:durableId="77097099">
    <w:abstractNumId w:val="824"/>
  </w:num>
  <w:num w:numId="308" w16cid:durableId="1623265164">
    <w:abstractNumId w:val="732"/>
  </w:num>
  <w:num w:numId="309" w16cid:durableId="404573126">
    <w:abstractNumId w:val="437"/>
  </w:num>
  <w:num w:numId="310" w16cid:durableId="1043674144">
    <w:abstractNumId w:val="682"/>
  </w:num>
  <w:num w:numId="311" w16cid:durableId="1728799354">
    <w:abstractNumId w:val="845"/>
  </w:num>
  <w:num w:numId="312" w16cid:durableId="831720460">
    <w:abstractNumId w:val="582"/>
  </w:num>
  <w:num w:numId="313" w16cid:durableId="1291786659">
    <w:abstractNumId w:val="1300"/>
  </w:num>
  <w:num w:numId="314" w16cid:durableId="1081754670">
    <w:abstractNumId w:val="1006"/>
  </w:num>
  <w:num w:numId="315" w16cid:durableId="1280255405">
    <w:abstractNumId w:val="1191"/>
  </w:num>
  <w:num w:numId="316" w16cid:durableId="367880649">
    <w:abstractNumId w:val="1236"/>
  </w:num>
  <w:num w:numId="317" w16cid:durableId="86778204">
    <w:abstractNumId w:val="1089"/>
  </w:num>
  <w:num w:numId="318" w16cid:durableId="9257653">
    <w:abstractNumId w:val="477"/>
  </w:num>
  <w:num w:numId="319" w16cid:durableId="1484155385">
    <w:abstractNumId w:val="959"/>
  </w:num>
  <w:num w:numId="320" w16cid:durableId="1142623520">
    <w:abstractNumId w:val="1184"/>
  </w:num>
  <w:num w:numId="321" w16cid:durableId="646780564">
    <w:abstractNumId w:val="417"/>
  </w:num>
  <w:num w:numId="322" w16cid:durableId="1546798117">
    <w:abstractNumId w:val="1189"/>
  </w:num>
  <w:num w:numId="323" w16cid:durableId="277571258">
    <w:abstractNumId w:val="739"/>
  </w:num>
  <w:num w:numId="324" w16cid:durableId="790049922">
    <w:abstractNumId w:val="505"/>
  </w:num>
  <w:num w:numId="325" w16cid:durableId="294336546">
    <w:abstractNumId w:val="673"/>
  </w:num>
  <w:num w:numId="326" w16cid:durableId="573317022">
    <w:abstractNumId w:val="53"/>
  </w:num>
  <w:num w:numId="327" w16cid:durableId="803471543">
    <w:abstractNumId w:val="658"/>
  </w:num>
  <w:num w:numId="328" w16cid:durableId="615602886">
    <w:abstractNumId w:val="861"/>
  </w:num>
  <w:num w:numId="329" w16cid:durableId="444807119">
    <w:abstractNumId w:val="874"/>
  </w:num>
  <w:num w:numId="330" w16cid:durableId="984354040">
    <w:abstractNumId w:val="322"/>
  </w:num>
  <w:num w:numId="331" w16cid:durableId="1239632109">
    <w:abstractNumId w:val="1125"/>
  </w:num>
  <w:num w:numId="332" w16cid:durableId="1897355192">
    <w:abstractNumId w:val="665"/>
  </w:num>
  <w:num w:numId="333" w16cid:durableId="1765151637">
    <w:abstractNumId w:val="85"/>
  </w:num>
  <w:num w:numId="334" w16cid:durableId="1611889000">
    <w:abstractNumId w:val="1183"/>
  </w:num>
  <w:num w:numId="335" w16cid:durableId="1427269854">
    <w:abstractNumId w:val="1064"/>
  </w:num>
  <w:num w:numId="336" w16cid:durableId="1650477993">
    <w:abstractNumId w:val="447"/>
  </w:num>
  <w:num w:numId="337" w16cid:durableId="1556895863">
    <w:abstractNumId w:val="721"/>
  </w:num>
  <w:num w:numId="338" w16cid:durableId="325741549">
    <w:abstractNumId w:val="404"/>
  </w:num>
  <w:num w:numId="339" w16cid:durableId="912424929">
    <w:abstractNumId w:val="1019"/>
  </w:num>
  <w:num w:numId="340" w16cid:durableId="803157279">
    <w:abstractNumId w:val="799"/>
  </w:num>
  <w:num w:numId="341" w16cid:durableId="441417014">
    <w:abstractNumId w:val="822"/>
  </w:num>
  <w:num w:numId="342" w16cid:durableId="1396196884">
    <w:abstractNumId w:val="698"/>
  </w:num>
  <w:num w:numId="343" w16cid:durableId="900822636">
    <w:abstractNumId w:val="743"/>
  </w:num>
  <w:num w:numId="344" w16cid:durableId="1752586087">
    <w:abstractNumId w:val="932"/>
  </w:num>
  <w:num w:numId="345" w16cid:durableId="1262254774">
    <w:abstractNumId w:val="1256"/>
  </w:num>
  <w:num w:numId="346" w16cid:durableId="1982348848">
    <w:abstractNumId w:val="475"/>
  </w:num>
  <w:num w:numId="347" w16cid:durableId="1845630895">
    <w:abstractNumId w:val="703"/>
  </w:num>
  <w:num w:numId="348" w16cid:durableId="1037438259">
    <w:abstractNumId w:val="312"/>
  </w:num>
  <w:num w:numId="349" w16cid:durableId="164515830">
    <w:abstractNumId w:val="701"/>
  </w:num>
  <w:num w:numId="350" w16cid:durableId="1664896813">
    <w:abstractNumId w:val="485"/>
  </w:num>
  <w:num w:numId="351" w16cid:durableId="862205750">
    <w:abstractNumId w:val="581"/>
  </w:num>
  <w:num w:numId="352" w16cid:durableId="1641574297">
    <w:abstractNumId w:val="444"/>
  </w:num>
  <w:num w:numId="353" w16cid:durableId="307133713">
    <w:abstractNumId w:val="254"/>
  </w:num>
  <w:num w:numId="354" w16cid:durableId="946275531">
    <w:abstractNumId w:val="1138"/>
  </w:num>
  <w:num w:numId="355" w16cid:durableId="287053940">
    <w:abstractNumId w:val="886"/>
  </w:num>
  <w:num w:numId="356" w16cid:durableId="1209302324">
    <w:abstractNumId w:val="1076"/>
  </w:num>
  <w:num w:numId="357" w16cid:durableId="239484214">
    <w:abstractNumId w:val="294"/>
  </w:num>
  <w:num w:numId="358" w16cid:durableId="42756166">
    <w:abstractNumId w:val="695"/>
  </w:num>
  <w:num w:numId="359" w16cid:durableId="636182144">
    <w:abstractNumId w:val="1281"/>
  </w:num>
  <w:num w:numId="360" w16cid:durableId="410470111">
    <w:abstractNumId w:val="1199"/>
  </w:num>
  <w:num w:numId="361" w16cid:durableId="386346631">
    <w:abstractNumId w:val="1105"/>
  </w:num>
  <w:num w:numId="362" w16cid:durableId="686910848">
    <w:abstractNumId w:val="438"/>
  </w:num>
  <w:num w:numId="363" w16cid:durableId="385878703">
    <w:abstractNumId w:val="727"/>
  </w:num>
  <w:num w:numId="364" w16cid:durableId="322592264">
    <w:abstractNumId w:val="1110"/>
  </w:num>
  <w:num w:numId="365" w16cid:durableId="486213889">
    <w:abstractNumId w:val="1304"/>
  </w:num>
  <w:num w:numId="366" w16cid:durableId="384766754">
    <w:abstractNumId w:val="1122"/>
  </w:num>
  <w:num w:numId="367" w16cid:durableId="1181318060">
    <w:abstractNumId w:val="896"/>
  </w:num>
  <w:num w:numId="368" w16cid:durableId="1225752495">
    <w:abstractNumId w:val="257"/>
  </w:num>
  <w:num w:numId="369" w16cid:durableId="591939893">
    <w:abstractNumId w:val="518"/>
  </w:num>
  <w:num w:numId="370" w16cid:durableId="1249269033">
    <w:abstractNumId w:val="1091"/>
  </w:num>
  <w:num w:numId="371" w16cid:durableId="1272738682">
    <w:abstractNumId w:val="767"/>
  </w:num>
  <w:num w:numId="372" w16cid:durableId="1480423406">
    <w:abstractNumId w:val="351"/>
  </w:num>
  <w:num w:numId="373" w16cid:durableId="1095902365">
    <w:abstractNumId w:val="197"/>
  </w:num>
  <w:num w:numId="374" w16cid:durableId="1670333281">
    <w:abstractNumId w:val="198"/>
  </w:num>
  <w:num w:numId="375" w16cid:durableId="496850496">
    <w:abstractNumId w:val="39"/>
  </w:num>
  <w:num w:numId="376" w16cid:durableId="203178176">
    <w:abstractNumId w:val="219"/>
  </w:num>
  <w:num w:numId="377" w16cid:durableId="1398894202">
    <w:abstractNumId w:val="19"/>
  </w:num>
  <w:num w:numId="378" w16cid:durableId="457070197">
    <w:abstractNumId w:val="878"/>
  </w:num>
  <w:num w:numId="379" w16cid:durableId="296839119">
    <w:abstractNumId w:val="1255"/>
  </w:num>
  <w:num w:numId="380" w16cid:durableId="930234639">
    <w:abstractNumId w:val="900"/>
  </w:num>
  <w:num w:numId="381" w16cid:durableId="246959641">
    <w:abstractNumId w:val="319"/>
  </w:num>
  <w:num w:numId="382" w16cid:durableId="1748727173">
    <w:abstractNumId w:val="217"/>
  </w:num>
  <w:num w:numId="383" w16cid:durableId="1018891962">
    <w:abstractNumId w:val="1257"/>
  </w:num>
  <w:num w:numId="384" w16cid:durableId="898397631">
    <w:abstractNumId w:val="170"/>
  </w:num>
  <w:num w:numId="385" w16cid:durableId="1651446988">
    <w:abstractNumId w:val="1062"/>
  </w:num>
  <w:num w:numId="386" w16cid:durableId="145631643">
    <w:abstractNumId w:val="854"/>
  </w:num>
  <w:num w:numId="387" w16cid:durableId="1397171126">
    <w:abstractNumId w:val="1259"/>
  </w:num>
  <w:num w:numId="388" w16cid:durableId="778842640">
    <w:abstractNumId w:val="731"/>
  </w:num>
  <w:num w:numId="389" w16cid:durableId="1364555209">
    <w:abstractNumId w:val="110"/>
  </w:num>
  <w:num w:numId="390" w16cid:durableId="1755468230">
    <w:abstractNumId w:val="391"/>
  </w:num>
  <w:num w:numId="391" w16cid:durableId="1473937044">
    <w:abstractNumId w:val="1104"/>
  </w:num>
  <w:num w:numId="392" w16cid:durableId="958490335">
    <w:abstractNumId w:val="1121"/>
  </w:num>
  <w:num w:numId="393" w16cid:durableId="1204949774">
    <w:abstractNumId w:val="955"/>
  </w:num>
  <w:num w:numId="394" w16cid:durableId="1052579920">
    <w:abstractNumId w:val="779"/>
  </w:num>
  <w:num w:numId="395" w16cid:durableId="2064669241">
    <w:abstractNumId w:val="487"/>
  </w:num>
  <w:num w:numId="396" w16cid:durableId="2124499769">
    <w:abstractNumId w:val="1004"/>
  </w:num>
  <w:num w:numId="397" w16cid:durableId="294801482">
    <w:abstractNumId w:val="1074"/>
  </w:num>
  <w:num w:numId="398" w16cid:durableId="1898280613">
    <w:abstractNumId w:val="230"/>
  </w:num>
  <w:num w:numId="399" w16cid:durableId="1474710032">
    <w:abstractNumId w:val="542"/>
  </w:num>
  <w:num w:numId="400" w16cid:durableId="2063406671">
    <w:abstractNumId w:val="125"/>
  </w:num>
  <w:num w:numId="401" w16cid:durableId="139661712">
    <w:abstractNumId w:val="1072"/>
  </w:num>
  <w:num w:numId="402" w16cid:durableId="1717124318">
    <w:abstractNumId w:val="980"/>
  </w:num>
  <w:num w:numId="403" w16cid:durableId="1507013867">
    <w:abstractNumId w:val="1216"/>
  </w:num>
  <w:num w:numId="404" w16cid:durableId="1614946299">
    <w:abstractNumId w:val="624"/>
  </w:num>
  <w:num w:numId="405" w16cid:durableId="422455678">
    <w:abstractNumId w:val="957"/>
  </w:num>
  <w:num w:numId="406" w16cid:durableId="1930776269">
    <w:abstractNumId w:val="341"/>
  </w:num>
  <w:num w:numId="407" w16cid:durableId="1318074909">
    <w:abstractNumId w:val="1139"/>
  </w:num>
  <w:num w:numId="408" w16cid:durableId="642001440">
    <w:abstractNumId w:val="602"/>
  </w:num>
  <w:num w:numId="409" w16cid:durableId="971639281">
    <w:abstractNumId w:val="54"/>
  </w:num>
  <w:num w:numId="410" w16cid:durableId="575087910">
    <w:abstractNumId w:val="208"/>
  </w:num>
  <w:num w:numId="411" w16cid:durableId="1320384424">
    <w:abstractNumId w:val="434"/>
  </w:num>
  <w:num w:numId="412" w16cid:durableId="888607768">
    <w:abstractNumId w:val="127"/>
  </w:num>
  <w:num w:numId="413" w16cid:durableId="585265738">
    <w:abstractNumId w:val="1127"/>
  </w:num>
  <w:num w:numId="414" w16cid:durableId="1611933178">
    <w:abstractNumId w:val="813"/>
  </w:num>
  <w:num w:numId="415" w16cid:durableId="553855513">
    <w:abstractNumId w:val="1036"/>
  </w:num>
  <w:num w:numId="416" w16cid:durableId="1157455813">
    <w:abstractNumId w:val="791"/>
  </w:num>
  <w:num w:numId="417" w16cid:durableId="1277567841">
    <w:abstractNumId w:val="1092"/>
  </w:num>
  <w:num w:numId="418" w16cid:durableId="141779968">
    <w:abstractNumId w:val="128"/>
  </w:num>
  <w:num w:numId="419" w16cid:durableId="734671266">
    <w:abstractNumId w:val="1014"/>
  </w:num>
  <w:num w:numId="420" w16cid:durableId="1094590510">
    <w:abstractNumId w:val="631"/>
  </w:num>
  <w:num w:numId="421" w16cid:durableId="1245797508">
    <w:abstractNumId w:val="756"/>
  </w:num>
  <w:num w:numId="422" w16cid:durableId="1864585443">
    <w:abstractNumId w:val="131"/>
  </w:num>
  <w:num w:numId="423" w16cid:durableId="1328243351">
    <w:abstractNumId w:val="1047"/>
  </w:num>
  <w:num w:numId="424" w16cid:durableId="1957178523">
    <w:abstractNumId w:val="16"/>
  </w:num>
  <w:num w:numId="425" w16cid:durableId="1959995044">
    <w:abstractNumId w:val="1269"/>
  </w:num>
  <w:num w:numId="426" w16cid:durableId="599723022">
    <w:abstractNumId w:val="680"/>
  </w:num>
  <w:num w:numId="427" w16cid:durableId="784420247">
    <w:abstractNumId w:val="967"/>
  </w:num>
  <w:num w:numId="428" w16cid:durableId="1384718436">
    <w:abstractNumId w:val="719"/>
  </w:num>
  <w:num w:numId="429" w16cid:durableId="1326864047">
    <w:abstractNumId w:val="1126"/>
  </w:num>
  <w:num w:numId="430" w16cid:durableId="1322152836">
    <w:abstractNumId w:val="972"/>
  </w:num>
  <w:num w:numId="431" w16cid:durableId="1879707417">
    <w:abstractNumId w:val="1043"/>
  </w:num>
  <w:num w:numId="432" w16cid:durableId="1561137869">
    <w:abstractNumId w:val="1145"/>
  </w:num>
  <w:num w:numId="433" w16cid:durableId="2039550444">
    <w:abstractNumId w:val="1044"/>
  </w:num>
  <w:num w:numId="434" w16cid:durableId="948783643">
    <w:abstractNumId w:val="242"/>
  </w:num>
  <w:num w:numId="435" w16cid:durableId="798186982">
    <w:abstractNumId w:val="725"/>
  </w:num>
  <w:num w:numId="436" w16cid:durableId="485705741">
    <w:abstractNumId w:val="15"/>
  </w:num>
  <w:num w:numId="437" w16cid:durableId="1636328891">
    <w:abstractNumId w:val="433"/>
  </w:num>
  <w:num w:numId="438" w16cid:durableId="367950256">
    <w:abstractNumId w:val="373"/>
  </w:num>
  <w:num w:numId="439" w16cid:durableId="559944224">
    <w:abstractNumId w:val="693"/>
  </w:num>
  <w:num w:numId="440" w16cid:durableId="425423763">
    <w:abstractNumId w:val="552"/>
  </w:num>
  <w:num w:numId="441" w16cid:durableId="272980447">
    <w:abstractNumId w:val="1033"/>
  </w:num>
  <w:num w:numId="442" w16cid:durableId="316149763">
    <w:abstractNumId w:val="1153"/>
  </w:num>
  <w:num w:numId="443" w16cid:durableId="1877086824">
    <w:abstractNumId w:val="499"/>
  </w:num>
  <w:num w:numId="444" w16cid:durableId="1216283564">
    <w:abstractNumId w:val="162"/>
  </w:num>
  <w:num w:numId="445" w16cid:durableId="222254286">
    <w:abstractNumId w:val="171"/>
  </w:num>
  <w:num w:numId="446" w16cid:durableId="879510284">
    <w:abstractNumId w:val="394"/>
  </w:num>
  <w:num w:numId="447" w16cid:durableId="1406221962">
    <w:abstractNumId w:val="232"/>
  </w:num>
  <w:num w:numId="448" w16cid:durableId="1646082886">
    <w:abstractNumId w:val="571"/>
  </w:num>
  <w:num w:numId="449" w16cid:durableId="1016150286">
    <w:abstractNumId w:val="790"/>
  </w:num>
  <w:num w:numId="450" w16cid:durableId="283732725">
    <w:abstractNumId w:val="1050"/>
  </w:num>
  <w:num w:numId="451" w16cid:durableId="2099980126">
    <w:abstractNumId w:val="243"/>
  </w:num>
  <w:num w:numId="452" w16cid:durableId="1885675832">
    <w:abstractNumId w:val="840"/>
  </w:num>
  <w:num w:numId="453" w16cid:durableId="680274627">
    <w:abstractNumId w:val="1288"/>
  </w:num>
  <w:num w:numId="454" w16cid:durableId="1081292148">
    <w:abstractNumId w:val="611"/>
  </w:num>
  <w:num w:numId="455" w16cid:durableId="1858108710">
    <w:abstractNumId w:val="123"/>
  </w:num>
  <w:num w:numId="456" w16cid:durableId="1894384090">
    <w:abstractNumId w:val="280"/>
  </w:num>
  <w:num w:numId="457" w16cid:durableId="970748370">
    <w:abstractNumId w:val="42"/>
  </w:num>
  <w:num w:numId="458" w16cid:durableId="1149518251">
    <w:abstractNumId w:val="72"/>
  </w:num>
  <w:num w:numId="459" w16cid:durableId="1881898586">
    <w:abstractNumId w:val="628"/>
  </w:num>
  <w:num w:numId="460" w16cid:durableId="64762896">
    <w:abstractNumId w:val="1100"/>
  </w:num>
  <w:num w:numId="461" w16cid:durableId="428232251">
    <w:abstractNumId w:val="574"/>
  </w:num>
  <w:num w:numId="462" w16cid:durableId="1806507249">
    <w:abstractNumId w:val="910"/>
  </w:num>
  <w:num w:numId="463" w16cid:durableId="1890190609">
    <w:abstractNumId w:val="56"/>
  </w:num>
  <w:num w:numId="464" w16cid:durableId="2080250715">
    <w:abstractNumId w:val="856"/>
  </w:num>
  <w:num w:numId="465" w16cid:durableId="752505634">
    <w:abstractNumId w:val="1027"/>
  </w:num>
  <w:num w:numId="466" w16cid:durableId="2105570054">
    <w:abstractNumId w:val="762"/>
  </w:num>
  <w:num w:numId="467" w16cid:durableId="283314450">
    <w:abstractNumId w:val="163"/>
  </w:num>
  <w:num w:numId="468" w16cid:durableId="923535667">
    <w:abstractNumId w:val="873"/>
  </w:num>
  <w:num w:numId="469" w16cid:durableId="256015250">
    <w:abstractNumId w:val="1131"/>
  </w:num>
  <w:num w:numId="470" w16cid:durableId="1486968899">
    <w:abstractNumId w:val="877"/>
  </w:num>
  <w:num w:numId="471" w16cid:durableId="1093361711">
    <w:abstractNumId w:val="839"/>
  </w:num>
  <w:num w:numId="472" w16cid:durableId="678197953">
    <w:abstractNumId w:val="937"/>
  </w:num>
  <w:num w:numId="473" w16cid:durableId="267547150">
    <w:abstractNumId w:val="266"/>
  </w:num>
  <w:num w:numId="474" w16cid:durableId="1429891540">
    <w:abstractNumId w:val="253"/>
  </w:num>
  <w:num w:numId="475" w16cid:durableId="918516400">
    <w:abstractNumId w:val="785"/>
  </w:num>
  <w:num w:numId="476" w16cid:durableId="736317721">
    <w:abstractNumId w:val="174"/>
  </w:num>
  <w:num w:numId="477" w16cid:durableId="2053649058">
    <w:abstractNumId w:val="221"/>
  </w:num>
  <w:num w:numId="478" w16cid:durableId="954364203">
    <w:abstractNumId w:val="546"/>
  </w:num>
  <w:num w:numId="479" w16cid:durableId="1129782393">
    <w:abstractNumId w:val="678"/>
  </w:num>
  <w:num w:numId="480" w16cid:durableId="2047832056">
    <w:abstractNumId w:val="425"/>
  </w:num>
  <w:num w:numId="481" w16cid:durableId="1198391913">
    <w:abstractNumId w:val="502"/>
  </w:num>
  <w:num w:numId="482" w16cid:durableId="437913564">
    <w:abstractNumId w:val="100"/>
  </w:num>
  <w:num w:numId="483" w16cid:durableId="990183583">
    <w:abstractNumId w:val="681"/>
  </w:num>
  <w:num w:numId="484" w16cid:durableId="2115392597">
    <w:abstractNumId w:val="249"/>
  </w:num>
  <w:num w:numId="485" w16cid:durableId="1994988939">
    <w:abstractNumId w:val="803"/>
  </w:num>
  <w:num w:numId="486" w16cid:durableId="235676676">
    <w:abstractNumId w:val="692"/>
  </w:num>
  <w:num w:numId="487" w16cid:durableId="1536692873">
    <w:abstractNumId w:val="356"/>
  </w:num>
  <w:num w:numId="488" w16cid:durableId="1026758052">
    <w:abstractNumId w:val="1198"/>
  </w:num>
  <w:num w:numId="489" w16cid:durableId="1649360436">
    <w:abstractNumId w:val="283"/>
  </w:num>
  <w:num w:numId="490" w16cid:durableId="553660620">
    <w:abstractNumId w:val="697"/>
  </w:num>
  <w:num w:numId="491" w16cid:durableId="1007293310">
    <w:abstractNumId w:val="101"/>
  </w:num>
  <w:num w:numId="492" w16cid:durableId="76824958">
    <w:abstractNumId w:val="567"/>
  </w:num>
  <w:num w:numId="493" w16cid:durableId="1032876005">
    <w:abstractNumId w:val="510"/>
  </w:num>
  <w:num w:numId="494" w16cid:durableId="1815833248">
    <w:abstractNumId w:val="679"/>
  </w:num>
  <w:num w:numId="495" w16cid:durableId="1109086490">
    <w:abstractNumId w:val="194"/>
  </w:num>
  <w:num w:numId="496" w16cid:durableId="496458062">
    <w:abstractNumId w:val="481"/>
  </w:num>
  <w:num w:numId="497" w16cid:durableId="1502693420">
    <w:abstractNumId w:val="457"/>
  </w:num>
  <w:num w:numId="498" w16cid:durableId="131872668">
    <w:abstractNumId w:val="604"/>
  </w:num>
  <w:num w:numId="499" w16cid:durableId="753744753">
    <w:abstractNumId w:val="961"/>
  </w:num>
  <w:num w:numId="500" w16cid:durableId="366221746">
    <w:abstractNumId w:val="931"/>
  </w:num>
  <w:num w:numId="501" w16cid:durableId="2060743813">
    <w:abstractNumId w:val="261"/>
  </w:num>
  <w:num w:numId="502" w16cid:durableId="1356496120">
    <w:abstractNumId w:val="352"/>
  </w:num>
  <w:num w:numId="503" w16cid:durableId="133835382">
    <w:abstractNumId w:val="653"/>
  </w:num>
  <w:num w:numId="504" w16cid:durableId="734549714">
    <w:abstractNumId w:val="1120"/>
  </w:num>
  <w:num w:numId="505" w16cid:durableId="2117089677">
    <w:abstractNumId w:val="778"/>
  </w:num>
  <w:num w:numId="506" w16cid:durableId="125008698">
    <w:abstractNumId w:val="863"/>
  </w:num>
  <w:num w:numId="507" w16cid:durableId="880049524">
    <w:abstractNumId w:val="343"/>
  </w:num>
  <w:num w:numId="508" w16cid:durableId="312416007">
    <w:abstractNumId w:val="237"/>
  </w:num>
  <w:num w:numId="509" w16cid:durableId="788546255">
    <w:abstractNumId w:val="440"/>
  </w:num>
  <w:num w:numId="510" w16cid:durableId="883905739">
    <w:abstractNumId w:val="1252"/>
  </w:num>
  <w:num w:numId="511" w16cid:durableId="1088620265">
    <w:abstractNumId w:val="816"/>
  </w:num>
  <w:num w:numId="512" w16cid:durableId="1258782601">
    <w:abstractNumId w:val="140"/>
  </w:num>
  <w:num w:numId="513" w16cid:durableId="2133858260">
    <w:abstractNumId w:val="1077"/>
  </w:num>
  <w:num w:numId="514" w16cid:durableId="1606309070">
    <w:abstractNumId w:val="506"/>
  </w:num>
  <w:num w:numId="515" w16cid:durableId="585849142">
    <w:abstractNumId w:val="757"/>
  </w:num>
  <w:num w:numId="516" w16cid:durableId="1037389229">
    <w:abstractNumId w:val="488"/>
  </w:num>
  <w:num w:numId="517" w16cid:durableId="1045330770">
    <w:abstractNumId w:val="175"/>
  </w:num>
  <w:num w:numId="518" w16cid:durableId="1510368246">
    <w:abstractNumId w:val="637"/>
  </w:num>
  <w:num w:numId="519" w16cid:durableId="341467613">
    <w:abstractNumId w:val="922"/>
  </w:num>
  <w:num w:numId="520" w16cid:durableId="917011346">
    <w:abstractNumId w:val="1253"/>
  </w:num>
  <w:num w:numId="521" w16cid:durableId="1869756097">
    <w:abstractNumId w:val="1008"/>
  </w:num>
  <w:num w:numId="522" w16cid:durableId="1420713634">
    <w:abstractNumId w:val="1187"/>
  </w:num>
  <w:num w:numId="523" w16cid:durableId="846560565">
    <w:abstractNumId w:val="625"/>
  </w:num>
  <w:num w:numId="524" w16cid:durableId="931206355">
    <w:abstractNumId w:val="329"/>
  </w:num>
  <w:num w:numId="525" w16cid:durableId="144857576">
    <w:abstractNumId w:val="1219"/>
  </w:num>
  <w:num w:numId="526" w16cid:durableId="1960915577">
    <w:abstractNumId w:val="130"/>
  </w:num>
  <w:num w:numId="527" w16cid:durableId="2021617339">
    <w:abstractNumId w:val="109"/>
  </w:num>
  <w:num w:numId="528" w16cid:durableId="1359090407">
    <w:abstractNumId w:val="300"/>
  </w:num>
  <w:num w:numId="529" w16cid:durableId="1692146453">
    <w:abstractNumId w:val="508"/>
  </w:num>
  <w:num w:numId="530" w16cid:durableId="686522074">
    <w:abstractNumId w:val="511"/>
  </w:num>
  <w:num w:numId="531" w16cid:durableId="973217057">
    <w:abstractNumId w:val="925"/>
  </w:num>
  <w:num w:numId="532" w16cid:durableId="764110629">
    <w:abstractNumId w:val="554"/>
  </w:num>
  <w:num w:numId="533" w16cid:durableId="967474427">
    <w:abstractNumId w:val="770"/>
  </w:num>
  <w:num w:numId="534" w16cid:durableId="1820266400">
    <w:abstractNumId w:val="372"/>
  </w:num>
  <w:num w:numId="535" w16cid:durableId="282269788">
    <w:abstractNumId w:val="766"/>
  </w:num>
  <w:num w:numId="536" w16cid:durableId="863640326">
    <w:abstractNumId w:val="1054"/>
  </w:num>
  <w:num w:numId="537" w16cid:durableId="1852794735">
    <w:abstractNumId w:val="684"/>
  </w:num>
  <w:num w:numId="538" w16cid:durableId="1562131862">
    <w:abstractNumId w:val="494"/>
  </w:num>
  <w:num w:numId="539" w16cid:durableId="1631738758">
    <w:abstractNumId w:val="292"/>
  </w:num>
  <w:num w:numId="540" w16cid:durableId="1712267963">
    <w:abstractNumId w:val="209"/>
  </w:num>
  <w:num w:numId="541" w16cid:durableId="670111124">
    <w:abstractNumId w:val="796"/>
  </w:num>
  <w:num w:numId="542" w16cid:durableId="357708240">
    <w:abstractNumId w:val="570"/>
  </w:num>
  <w:num w:numId="543" w16cid:durableId="1117136479">
    <w:abstractNumId w:val="632"/>
  </w:num>
  <w:num w:numId="544" w16cid:durableId="1429500467">
    <w:abstractNumId w:val="1308"/>
  </w:num>
  <w:num w:numId="545" w16cid:durableId="1294561569">
    <w:abstractNumId w:val="573"/>
  </w:num>
  <w:num w:numId="546" w16cid:durableId="1237400363">
    <w:abstractNumId w:val="1057"/>
  </w:num>
  <w:num w:numId="547" w16cid:durableId="468133161">
    <w:abstractNumId w:val="205"/>
  </w:num>
  <w:num w:numId="548" w16cid:durableId="1617252889">
    <w:abstractNumId w:val="1101"/>
  </w:num>
  <w:num w:numId="549" w16cid:durableId="1550342372">
    <w:abstractNumId w:val="1118"/>
  </w:num>
  <w:num w:numId="550" w16cid:durableId="1583300518">
    <w:abstractNumId w:val="504"/>
  </w:num>
  <w:num w:numId="551" w16cid:durableId="198474004">
    <w:abstractNumId w:val="43"/>
  </w:num>
  <w:num w:numId="552" w16cid:durableId="1065226599">
    <w:abstractNumId w:val="1052"/>
  </w:num>
  <w:num w:numId="553" w16cid:durableId="1289049350">
    <w:abstractNumId w:val="1205"/>
  </w:num>
  <w:num w:numId="554" w16cid:durableId="461461903">
    <w:abstractNumId w:val="1078"/>
  </w:num>
  <w:num w:numId="555" w16cid:durableId="231239963">
    <w:abstractNumId w:val="555"/>
  </w:num>
  <w:num w:numId="556" w16cid:durableId="1980450748">
    <w:abstractNumId w:val="667"/>
  </w:num>
  <w:num w:numId="557" w16cid:durableId="1027677468">
    <w:abstractNumId w:val="865"/>
  </w:num>
  <w:num w:numId="558" w16cid:durableId="1797597712">
    <w:abstractNumId w:val="387"/>
  </w:num>
  <w:num w:numId="559" w16cid:durableId="1627930422">
    <w:abstractNumId w:val="466"/>
  </w:num>
  <w:num w:numId="560" w16cid:durableId="1264459150">
    <w:abstractNumId w:val="396"/>
  </w:num>
  <w:num w:numId="561" w16cid:durableId="343480512">
    <w:abstractNumId w:val="1217"/>
  </w:num>
  <w:num w:numId="562" w16cid:durableId="731126126">
    <w:abstractNumId w:val="1010"/>
  </w:num>
  <w:num w:numId="563" w16cid:durableId="1234661992">
    <w:abstractNumId w:val="618"/>
  </w:num>
  <w:num w:numId="564" w16cid:durableId="1189686018">
    <w:abstractNumId w:val="307"/>
  </w:num>
  <w:num w:numId="565" w16cid:durableId="592126450">
    <w:abstractNumId w:val="789"/>
  </w:num>
  <w:num w:numId="566" w16cid:durableId="2111118586">
    <w:abstractNumId w:val="895"/>
  </w:num>
  <w:num w:numId="567" w16cid:durableId="1558778555">
    <w:abstractNumId w:val="468"/>
  </w:num>
  <w:num w:numId="568" w16cid:durableId="1118716498">
    <w:abstractNumId w:val="654"/>
  </w:num>
  <w:num w:numId="569" w16cid:durableId="1946882532">
    <w:abstractNumId w:val="958"/>
  </w:num>
  <w:num w:numId="570" w16cid:durableId="193465552">
    <w:abstractNumId w:val="814"/>
  </w:num>
  <w:num w:numId="571" w16cid:durableId="951090944">
    <w:abstractNumId w:val="1098"/>
  </w:num>
  <w:num w:numId="572" w16cid:durableId="1866749872">
    <w:abstractNumId w:val="215"/>
  </w:num>
  <w:num w:numId="573" w16cid:durableId="1164735025">
    <w:abstractNumId w:val="1185"/>
  </w:num>
  <w:num w:numId="574" w16cid:durableId="582225760">
    <w:abstractNumId w:val="82"/>
  </w:num>
  <w:num w:numId="575" w16cid:durableId="154540629">
    <w:abstractNumId w:val="950"/>
  </w:num>
  <w:num w:numId="576" w16cid:durableId="1507597874">
    <w:abstractNumId w:val="1241"/>
  </w:num>
  <w:num w:numId="577" w16cid:durableId="752240205">
    <w:abstractNumId w:val="1041"/>
  </w:num>
  <w:num w:numId="578" w16cid:durableId="808860383">
    <w:abstractNumId w:val="1129"/>
  </w:num>
  <w:num w:numId="579" w16cid:durableId="1054888707">
    <w:abstractNumId w:val="256"/>
  </w:num>
  <w:num w:numId="580" w16cid:durableId="1877547650">
    <w:abstractNumId w:val="421"/>
  </w:num>
  <w:num w:numId="581" w16cid:durableId="574779649">
    <w:abstractNumId w:val="714"/>
  </w:num>
  <w:num w:numId="582" w16cid:durableId="2080859277">
    <w:abstractNumId w:val="406"/>
  </w:num>
  <w:num w:numId="583" w16cid:durableId="892884365">
    <w:abstractNumId w:val="1040"/>
  </w:num>
  <w:num w:numId="584" w16cid:durableId="1261569413">
    <w:abstractNumId w:val="702"/>
  </w:num>
  <w:num w:numId="585" w16cid:durableId="1853059795">
    <w:abstractNumId w:val="639"/>
  </w:num>
  <w:num w:numId="586" w16cid:durableId="1282033070">
    <w:abstractNumId w:val="358"/>
  </w:num>
  <w:num w:numId="587" w16cid:durableId="1901019557">
    <w:abstractNumId w:val="94"/>
  </w:num>
  <w:num w:numId="588" w16cid:durableId="586234013">
    <w:abstractNumId w:val="1290"/>
  </w:num>
  <w:num w:numId="589" w16cid:durableId="676427346">
    <w:abstractNumId w:val="199"/>
  </w:num>
  <w:num w:numId="590" w16cid:durableId="135921844">
    <w:abstractNumId w:val="902"/>
  </w:num>
  <w:num w:numId="591" w16cid:durableId="440153445">
    <w:abstractNumId w:val="47"/>
  </w:num>
  <w:num w:numId="592" w16cid:durableId="250821983">
    <w:abstractNumId w:val="1039"/>
  </w:num>
  <w:num w:numId="593" w16cid:durableId="887185510">
    <w:abstractNumId w:val="626"/>
  </w:num>
  <w:num w:numId="594" w16cid:durableId="2098552400">
    <w:abstractNumId w:val="79"/>
  </w:num>
  <w:num w:numId="595" w16cid:durableId="2089182887">
    <w:abstractNumId w:val="378"/>
  </w:num>
  <w:num w:numId="596" w16cid:durableId="1414888629">
    <w:abstractNumId w:val="418"/>
  </w:num>
  <w:num w:numId="597" w16cid:durableId="2078546972">
    <w:abstractNumId w:val="646"/>
  </w:num>
  <w:num w:numId="598" w16cid:durableId="93400057">
    <w:abstractNumId w:val="50"/>
  </w:num>
  <w:num w:numId="599" w16cid:durableId="807942852">
    <w:abstractNumId w:val="817"/>
  </w:num>
  <w:num w:numId="600" w16cid:durableId="692876269">
    <w:abstractNumId w:val="1179"/>
  </w:num>
  <w:num w:numId="601" w16cid:durableId="438767501">
    <w:abstractNumId w:val="69"/>
  </w:num>
  <w:num w:numId="602" w16cid:durableId="1136096473">
    <w:abstractNumId w:val="717"/>
  </w:num>
  <w:num w:numId="603" w16cid:durableId="21248907">
    <w:abstractNumId w:val="592"/>
  </w:num>
  <w:num w:numId="604" w16cid:durableId="308898425">
    <w:abstractNumId w:val="609"/>
  </w:num>
  <w:num w:numId="605" w16cid:durableId="84308682">
    <w:abstractNumId w:val="464"/>
  </w:num>
  <w:num w:numId="606" w16cid:durableId="1993874760">
    <w:abstractNumId w:val="918"/>
  </w:num>
  <w:num w:numId="607" w16cid:durableId="431055049">
    <w:abstractNumId w:val="918"/>
    <w:lvlOverride w:ilvl="0">
      <w:lvl w:ilvl="0">
        <w:start w:val="1"/>
        <w:numFmt w:val="decimal"/>
        <w:lvlText w:val="%1."/>
        <w:legacy w:legacy="1" w:legacySpace="0" w:legacyIndent="454"/>
        <w:lvlJc w:val="left"/>
        <w:pPr>
          <w:ind w:left="454" w:hanging="454"/>
        </w:pPr>
      </w:lvl>
    </w:lvlOverride>
  </w:num>
  <w:num w:numId="608" w16cid:durableId="1353646865">
    <w:abstractNumId w:val="1162"/>
  </w:num>
  <w:num w:numId="609" w16cid:durableId="1270969370">
    <w:abstractNumId w:val="1162"/>
    <w:lvlOverride w:ilvl="0">
      <w:lvl w:ilvl="0">
        <w:start w:val="1"/>
        <w:numFmt w:val="decimal"/>
        <w:lvlText w:val="%1."/>
        <w:legacy w:legacy="1" w:legacySpace="0" w:legacyIndent="454"/>
        <w:lvlJc w:val="left"/>
        <w:pPr>
          <w:ind w:left="454" w:hanging="454"/>
        </w:pPr>
      </w:lvl>
    </w:lvlOverride>
  </w:num>
  <w:num w:numId="610" w16cid:durableId="1528832604">
    <w:abstractNumId w:val="705"/>
  </w:num>
  <w:num w:numId="611" w16cid:durableId="1648507222">
    <w:abstractNumId w:val="705"/>
    <w:lvlOverride w:ilvl="0">
      <w:lvl w:ilvl="0">
        <w:start w:val="1"/>
        <w:numFmt w:val="decimal"/>
        <w:lvlText w:val="%1."/>
        <w:legacy w:legacy="1" w:legacySpace="0" w:legacyIndent="454"/>
        <w:lvlJc w:val="left"/>
        <w:pPr>
          <w:ind w:left="454" w:hanging="454"/>
        </w:pPr>
      </w:lvl>
    </w:lvlOverride>
  </w:num>
  <w:num w:numId="612" w16cid:durableId="1787893692">
    <w:abstractNumId w:val="847"/>
  </w:num>
  <w:num w:numId="613" w16cid:durableId="1074549316">
    <w:abstractNumId w:val="150"/>
  </w:num>
  <w:num w:numId="614" w16cid:durableId="1373573209">
    <w:abstractNumId w:val="1116"/>
  </w:num>
  <w:num w:numId="615" w16cid:durableId="1484544370">
    <w:abstractNumId w:val="1116"/>
    <w:lvlOverride w:ilvl="0">
      <w:lvl w:ilvl="0">
        <w:start w:val="1"/>
        <w:numFmt w:val="decimal"/>
        <w:lvlText w:val="%1."/>
        <w:legacy w:legacy="1" w:legacySpace="0" w:legacyIndent="283"/>
        <w:lvlJc w:val="left"/>
        <w:pPr>
          <w:ind w:left="283" w:hanging="283"/>
        </w:pPr>
      </w:lvl>
    </w:lvlOverride>
  </w:num>
  <w:num w:numId="616" w16cid:durableId="723214227">
    <w:abstractNumId w:val="564"/>
  </w:num>
  <w:num w:numId="617" w16cid:durableId="1683705287">
    <w:abstractNumId w:val="519"/>
  </w:num>
  <w:num w:numId="618" w16cid:durableId="117066751">
    <w:abstractNumId w:val="519"/>
    <w:lvlOverride w:ilvl="0">
      <w:lvl w:ilvl="0">
        <w:start w:val="1"/>
        <w:numFmt w:val="decimal"/>
        <w:lvlText w:val="%1."/>
        <w:legacy w:legacy="1" w:legacySpace="0" w:legacyIndent="454"/>
        <w:lvlJc w:val="left"/>
        <w:pPr>
          <w:ind w:left="454" w:hanging="454"/>
        </w:pPr>
      </w:lvl>
    </w:lvlOverride>
  </w:num>
  <w:num w:numId="619" w16cid:durableId="1230728268">
    <w:abstractNumId w:val="751"/>
  </w:num>
  <w:num w:numId="620" w16cid:durableId="1544443995">
    <w:abstractNumId w:val="751"/>
    <w:lvlOverride w:ilvl="0">
      <w:lvl w:ilvl="0">
        <w:start w:val="1"/>
        <w:numFmt w:val="decimal"/>
        <w:lvlText w:val="%1."/>
        <w:legacy w:legacy="1" w:legacySpace="0" w:legacyIndent="454"/>
        <w:lvlJc w:val="left"/>
        <w:pPr>
          <w:ind w:left="454" w:hanging="454"/>
        </w:pPr>
      </w:lvl>
    </w:lvlOverride>
  </w:num>
  <w:num w:numId="621" w16cid:durableId="1824470262">
    <w:abstractNumId w:val="1025"/>
  </w:num>
  <w:num w:numId="622" w16cid:durableId="473601">
    <w:abstractNumId w:val="1025"/>
    <w:lvlOverride w:ilvl="0">
      <w:lvl w:ilvl="0">
        <w:start w:val="1"/>
        <w:numFmt w:val="decimal"/>
        <w:lvlText w:val="%1."/>
        <w:legacy w:legacy="1" w:legacySpace="0" w:legacyIndent="454"/>
        <w:lvlJc w:val="left"/>
        <w:pPr>
          <w:ind w:left="454" w:hanging="454"/>
        </w:pPr>
      </w:lvl>
    </w:lvlOverride>
  </w:num>
  <w:num w:numId="623" w16cid:durableId="1953630623">
    <w:abstractNumId w:val="746"/>
  </w:num>
  <w:num w:numId="624" w16cid:durableId="1035422542">
    <w:abstractNumId w:val="393"/>
  </w:num>
  <w:num w:numId="625" w16cid:durableId="824317044">
    <w:abstractNumId w:val="95"/>
  </w:num>
  <w:num w:numId="626" w16cid:durableId="1295254011">
    <w:abstractNumId w:val="95"/>
    <w:lvlOverride w:ilvl="0">
      <w:lvl w:ilvl="0">
        <w:start w:val="1"/>
        <w:numFmt w:val="decimal"/>
        <w:lvlText w:val="%1."/>
        <w:legacy w:legacy="1" w:legacySpace="0" w:legacyIndent="283"/>
        <w:lvlJc w:val="left"/>
        <w:pPr>
          <w:ind w:left="283" w:hanging="283"/>
        </w:pPr>
      </w:lvl>
    </w:lvlOverride>
  </w:num>
  <w:num w:numId="627" w16cid:durableId="421143628">
    <w:abstractNumId w:val="388"/>
  </w:num>
  <w:num w:numId="628" w16cid:durableId="610092189">
    <w:abstractNumId w:val="11"/>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629" w16cid:durableId="150996304">
    <w:abstractNumId w:val="11"/>
  </w:num>
  <w:num w:numId="630" w16cid:durableId="59062658">
    <w:abstractNumId w:val="159"/>
  </w:num>
  <w:num w:numId="631" w16cid:durableId="1828135273">
    <w:abstractNumId w:val="734"/>
  </w:num>
  <w:num w:numId="632" w16cid:durableId="1622687960">
    <w:abstractNumId w:val="1195"/>
  </w:num>
  <w:num w:numId="633" w16cid:durableId="1788428106">
    <w:abstractNumId w:val="192"/>
  </w:num>
  <w:num w:numId="634" w16cid:durableId="1051733690">
    <w:abstractNumId w:val="737"/>
  </w:num>
  <w:num w:numId="635" w16cid:durableId="1067414454">
    <w:abstractNumId w:val="470"/>
  </w:num>
  <w:num w:numId="636" w16cid:durableId="1327514077">
    <w:abstractNumId w:val="1030"/>
  </w:num>
  <w:num w:numId="637" w16cid:durableId="2062174204">
    <w:abstractNumId w:val="923"/>
  </w:num>
  <w:num w:numId="638" w16cid:durableId="1143036978">
    <w:abstractNumId w:val="227"/>
  </w:num>
  <w:num w:numId="639" w16cid:durableId="1169104366">
    <w:abstractNumId w:val="941"/>
  </w:num>
  <w:num w:numId="640" w16cid:durableId="1479957688">
    <w:abstractNumId w:val="872"/>
  </w:num>
  <w:num w:numId="641" w16cid:durableId="1376929991">
    <w:abstractNumId w:val="60"/>
  </w:num>
  <w:num w:numId="642" w16cid:durableId="1234043083">
    <w:abstractNumId w:val="1141"/>
  </w:num>
  <w:num w:numId="643" w16cid:durableId="163983409">
    <w:abstractNumId w:val="1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644" w16cid:durableId="9845424">
    <w:abstractNumId w:val="1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645" w16cid:durableId="686256901">
    <w:abstractNumId w:val="788"/>
  </w:num>
  <w:num w:numId="646" w16cid:durableId="1698119658">
    <w:abstractNumId w:val="645"/>
  </w:num>
  <w:num w:numId="647" w16cid:durableId="850415705">
    <w:abstractNumId w:val="880"/>
  </w:num>
  <w:num w:numId="648" w16cid:durableId="656301214">
    <w:abstractNumId w:val="885"/>
  </w:num>
  <w:num w:numId="649" w16cid:durableId="1721786014">
    <w:abstractNumId w:val="11"/>
    <w:lvlOverride w:ilvl="0">
      <w:lvl w:ilvl="0">
        <w:start w:val="1"/>
        <w:numFmt w:val="bullet"/>
        <w:lvlText w:val=""/>
        <w:legacy w:legacy="1" w:legacySpace="0" w:legacyIndent="283"/>
        <w:lvlJc w:val="left"/>
        <w:pPr>
          <w:ind w:left="453" w:hanging="283"/>
        </w:pPr>
        <w:rPr>
          <w:rFonts w:ascii="Symbol" w:hAnsi="Symbol" w:hint="default"/>
        </w:rPr>
      </w:lvl>
    </w:lvlOverride>
  </w:num>
  <w:num w:numId="650" w16cid:durableId="447939238">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1" w16cid:durableId="1125201244">
    <w:abstractNumId w:val="1124"/>
  </w:num>
  <w:num w:numId="652" w16cid:durableId="1281037274">
    <w:abstractNumId w:val="166"/>
  </w:num>
  <w:num w:numId="653" w16cid:durableId="1375276820">
    <w:abstractNumId w:val="797"/>
  </w:num>
  <w:num w:numId="654" w16cid:durableId="609354824">
    <w:abstractNumId w:val="1295"/>
  </w:num>
  <w:num w:numId="655" w16cid:durableId="1954556353">
    <w:abstractNumId w:val="11"/>
    <w:lvlOverride w:ilvl="0">
      <w:lvl w:ilvl="0">
        <w:start w:val="1"/>
        <w:numFmt w:val="bullet"/>
        <w:lvlText w:val="–"/>
        <w:legacy w:legacy="1" w:legacySpace="0" w:legacyIndent="0"/>
        <w:lvlJc w:val="left"/>
        <w:pPr>
          <w:ind w:left="170" w:firstLine="0"/>
        </w:pPr>
        <w:rPr>
          <w:rFonts w:ascii="Times New Roman" w:hAnsi="Times New Roman" w:hint="default"/>
        </w:rPr>
      </w:lvl>
    </w:lvlOverride>
  </w:num>
  <w:num w:numId="656" w16cid:durableId="391125434">
    <w:abstractNumId w:val="776"/>
  </w:num>
  <w:num w:numId="657" w16cid:durableId="925765049">
    <w:abstractNumId w:val="776"/>
    <w:lvlOverride w:ilvl="0">
      <w:lvl w:ilvl="0">
        <w:start w:val="1"/>
        <w:numFmt w:val="decimal"/>
        <w:lvlText w:val="%1."/>
        <w:legacy w:legacy="1" w:legacySpace="0" w:legacyIndent="283"/>
        <w:lvlJc w:val="left"/>
        <w:pPr>
          <w:ind w:left="283" w:hanging="283"/>
        </w:pPr>
      </w:lvl>
    </w:lvlOverride>
  </w:num>
  <w:num w:numId="658" w16cid:durableId="772749322">
    <w:abstractNumId w:val="1292"/>
  </w:num>
  <w:num w:numId="659" w16cid:durableId="195701354">
    <w:abstractNumId w:val="248"/>
  </w:num>
  <w:num w:numId="660" w16cid:durableId="1456102426">
    <w:abstractNumId w:val="59"/>
  </w:num>
  <w:num w:numId="661" w16cid:durableId="216018564">
    <w:abstractNumId w:val="495"/>
  </w:num>
  <w:num w:numId="662" w16cid:durableId="660157896">
    <w:abstractNumId w:val="10"/>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3" w16cid:durableId="1817070256">
    <w:abstractNumId w:val="486"/>
  </w:num>
  <w:num w:numId="664" w16cid:durableId="1944342863">
    <w:abstractNumId w:val="486"/>
    <w:lvlOverride w:ilvl="0">
      <w:lvl w:ilvl="0">
        <w:start w:val="1"/>
        <w:numFmt w:val="decimal"/>
        <w:lvlText w:val="%1."/>
        <w:legacy w:legacy="1" w:legacySpace="0" w:legacyIndent="283"/>
        <w:lvlJc w:val="left"/>
        <w:pPr>
          <w:ind w:left="283" w:hanging="283"/>
        </w:pPr>
      </w:lvl>
    </w:lvlOverride>
  </w:num>
  <w:num w:numId="665" w16cid:durableId="422579347">
    <w:abstractNumId w:val="1280"/>
  </w:num>
  <w:num w:numId="666" w16cid:durableId="478814597">
    <w:abstractNumId w:val="1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7" w16cid:durableId="590892814">
    <w:abstractNumId w:val="1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8" w16cid:durableId="98986286">
    <w:abstractNumId w:val="947"/>
  </w:num>
  <w:num w:numId="669" w16cid:durableId="1516994377">
    <w:abstractNumId w:val="212"/>
  </w:num>
  <w:num w:numId="670" w16cid:durableId="1733845234">
    <w:abstractNumId w:val="1297"/>
  </w:num>
  <w:num w:numId="671" w16cid:durableId="1581407813">
    <w:abstractNumId w:val="1294"/>
  </w:num>
  <w:num w:numId="672" w16cid:durableId="1024943352">
    <w:abstractNumId w:val="1243"/>
  </w:num>
  <w:num w:numId="673" w16cid:durableId="1449734570">
    <w:abstractNumId w:val="818"/>
  </w:num>
  <w:num w:numId="674" w16cid:durableId="263391031">
    <w:abstractNumId w:val="111"/>
  </w:num>
  <w:num w:numId="675" w16cid:durableId="193033825">
    <w:abstractNumId w:val="834"/>
  </w:num>
  <w:num w:numId="676" w16cid:durableId="662198077">
    <w:abstractNumId w:val="935"/>
  </w:num>
  <w:num w:numId="677" w16cid:durableId="166215125">
    <w:abstractNumId w:val="365"/>
  </w:num>
  <w:num w:numId="678" w16cid:durableId="1560020158">
    <w:abstractNumId w:val="13"/>
  </w:num>
  <w:num w:numId="679" w16cid:durableId="337851884">
    <w:abstractNumId w:val="1079"/>
  </w:num>
  <w:num w:numId="680" w16cid:durableId="1791513397">
    <w:abstractNumId w:val="1085"/>
  </w:num>
  <w:num w:numId="681" w16cid:durableId="1543904173">
    <w:abstractNumId w:val="1056"/>
  </w:num>
  <w:num w:numId="682" w16cid:durableId="1939219455">
    <w:abstractNumId w:val="1200"/>
  </w:num>
  <w:num w:numId="683" w16cid:durableId="427964347">
    <w:abstractNumId w:val="1132"/>
  </w:num>
  <w:num w:numId="684" w16cid:durableId="1381201063">
    <w:abstractNumId w:val="1048"/>
  </w:num>
  <w:num w:numId="685" w16cid:durableId="1894927001">
    <w:abstractNumId w:val="129"/>
  </w:num>
  <w:num w:numId="686" w16cid:durableId="327556995">
    <w:abstractNumId w:val="1302"/>
  </w:num>
  <w:num w:numId="687" w16cid:durableId="314990081">
    <w:abstractNumId w:val="460"/>
  </w:num>
  <w:num w:numId="688" w16cid:durableId="135690060">
    <w:abstractNumId w:val="857"/>
  </w:num>
  <w:num w:numId="689" w16cid:durableId="1660383802">
    <w:abstractNumId w:val="119"/>
  </w:num>
  <w:num w:numId="690" w16cid:durableId="1940286678">
    <w:abstractNumId w:val="1224"/>
  </w:num>
  <w:num w:numId="691" w16cid:durableId="205527687">
    <w:abstractNumId w:val="699"/>
  </w:num>
  <w:num w:numId="692" w16cid:durableId="1984001726">
    <w:abstractNumId w:val="1188"/>
  </w:num>
  <w:num w:numId="693" w16cid:durableId="904292870">
    <w:abstractNumId w:val="497"/>
  </w:num>
  <w:num w:numId="694" w16cid:durableId="631983070">
    <w:abstractNumId w:val="84"/>
  </w:num>
  <w:num w:numId="695" w16cid:durableId="957219847">
    <w:abstractNumId w:val="225"/>
  </w:num>
  <w:num w:numId="696" w16cid:durableId="937568124">
    <w:abstractNumId w:val="31"/>
  </w:num>
  <w:num w:numId="697" w16cid:durableId="37508268">
    <w:abstractNumId w:val="463"/>
  </w:num>
  <w:num w:numId="698" w16cid:durableId="140773672">
    <w:abstractNumId w:val="1193"/>
  </w:num>
  <w:num w:numId="699" w16cid:durableId="1639334366">
    <w:abstractNumId w:val="288"/>
  </w:num>
  <w:num w:numId="700" w16cid:durableId="738986303">
    <w:abstractNumId w:val="269"/>
  </w:num>
  <w:num w:numId="701" w16cid:durableId="1757676162">
    <w:abstractNumId w:val="648"/>
  </w:num>
  <w:num w:numId="702" w16cid:durableId="1604604963">
    <w:abstractNumId w:val="116"/>
  </w:num>
  <w:num w:numId="703" w16cid:durableId="2036884683">
    <w:abstractNumId w:val="633"/>
  </w:num>
  <w:num w:numId="704" w16cid:durableId="27267034">
    <w:abstractNumId w:val="952"/>
  </w:num>
  <w:num w:numId="705" w16cid:durableId="1529414091">
    <w:abstractNumId w:val="1291"/>
  </w:num>
  <w:num w:numId="706" w16cid:durableId="1692797900">
    <w:abstractNumId w:val="578"/>
  </w:num>
  <w:num w:numId="707" w16cid:durableId="955720667">
    <w:abstractNumId w:val="155"/>
  </w:num>
  <w:num w:numId="708" w16cid:durableId="1416128005">
    <w:abstractNumId w:val="274"/>
  </w:num>
  <w:num w:numId="709" w16cid:durableId="587663936">
    <w:abstractNumId w:val="1136"/>
  </w:num>
  <w:num w:numId="710" w16cid:durableId="1610234573">
    <w:abstractNumId w:val="968"/>
  </w:num>
  <w:num w:numId="711" w16cid:durableId="2125612282">
    <w:abstractNumId w:val="683"/>
  </w:num>
  <w:num w:numId="712" w16cid:durableId="2016959771">
    <w:abstractNumId w:val="157"/>
  </w:num>
  <w:num w:numId="713" w16cid:durableId="451755707">
    <w:abstractNumId w:val="936"/>
  </w:num>
  <w:num w:numId="714" w16cid:durableId="1274172679">
    <w:abstractNumId w:val="102"/>
  </w:num>
  <w:num w:numId="715" w16cid:durableId="799153958">
    <w:abstractNumId w:val="599"/>
  </w:num>
  <w:num w:numId="716" w16cid:durableId="983505582">
    <w:abstractNumId w:val="1111"/>
  </w:num>
  <w:num w:numId="717" w16cid:durableId="1186284624">
    <w:abstractNumId w:val="640"/>
  </w:num>
  <w:num w:numId="718" w16cid:durableId="1681929230">
    <w:abstractNumId w:val="819"/>
  </w:num>
  <w:num w:numId="719" w16cid:durableId="970751280">
    <w:abstractNumId w:val="142"/>
  </w:num>
  <w:num w:numId="720" w16cid:durableId="1992052305">
    <w:abstractNumId w:val="1174"/>
  </w:num>
  <w:num w:numId="721" w16cid:durableId="1128671676">
    <w:abstractNumId w:val="1067"/>
  </w:num>
  <w:num w:numId="722" w16cid:durableId="1592197945">
    <w:abstractNumId w:val="940"/>
  </w:num>
  <w:num w:numId="723" w16cid:durableId="1437798013">
    <w:abstractNumId w:val="1106"/>
  </w:num>
  <w:num w:numId="724" w16cid:durableId="13193310">
    <w:abstractNumId w:val="864"/>
  </w:num>
  <w:num w:numId="725" w16cid:durableId="1660839515">
    <w:abstractNumId w:val="88"/>
  </w:num>
  <w:num w:numId="726" w16cid:durableId="1895311235">
    <w:abstractNumId w:val="231"/>
  </w:num>
  <w:num w:numId="727" w16cid:durableId="1967195515">
    <w:abstractNumId w:val="1213"/>
  </w:num>
  <w:num w:numId="728" w16cid:durableId="1874734147">
    <w:abstractNumId w:val="75"/>
  </w:num>
  <w:num w:numId="729" w16cid:durableId="944535645">
    <w:abstractNumId w:val="247"/>
  </w:num>
  <w:num w:numId="730" w16cid:durableId="1781335846">
    <w:abstractNumId w:val="595"/>
  </w:num>
  <w:num w:numId="731" w16cid:durableId="1822892538">
    <w:abstractNumId w:val="669"/>
  </w:num>
  <w:num w:numId="732" w16cid:durableId="1033120303">
    <w:abstractNumId w:val="89"/>
  </w:num>
  <w:num w:numId="733" w16cid:durableId="147014122">
    <w:abstractNumId w:val="1012"/>
  </w:num>
  <w:num w:numId="734" w16cid:durableId="1805465764">
    <w:abstractNumId w:val="1149"/>
  </w:num>
  <w:num w:numId="735" w16cid:durableId="728261166">
    <w:abstractNumId w:val="1156"/>
  </w:num>
  <w:num w:numId="736" w16cid:durableId="1102412770">
    <w:abstractNumId w:val="407"/>
  </w:num>
  <w:num w:numId="737" w16cid:durableId="1453283116">
    <w:abstractNumId w:val="1220"/>
  </w:num>
  <w:num w:numId="738" w16cid:durableId="2124568371">
    <w:abstractNumId w:val="740"/>
  </w:num>
  <w:num w:numId="739" w16cid:durableId="338821245">
    <w:abstractNumId w:val="213"/>
  </w:num>
  <w:num w:numId="740" w16cid:durableId="1672491384">
    <w:abstractNumId w:val="1209"/>
  </w:num>
  <w:num w:numId="741" w16cid:durableId="191385650">
    <w:abstractNumId w:val="904"/>
  </w:num>
  <w:num w:numId="742" w16cid:durableId="1576553526">
    <w:abstractNumId w:val="264"/>
  </w:num>
  <w:num w:numId="743" w16cid:durableId="2046130662">
    <w:abstractNumId w:val="1296"/>
  </w:num>
  <w:num w:numId="744" w16cid:durableId="1073702256">
    <w:abstractNumId w:val="233"/>
  </w:num>
  <w:num w:numId="745" w16cid:durableId="1121070754">
    <w:abstractNumId w:val="780"/>
  </w:num>
  <w:num w:numId="746" w16cid:durableId="995108905">
    <w:abstractNumId w:val="881"/>
  </w:num>
  <w:num w:numId="747" w16cid:durableId="1917125617">
    <w:abstractNumId w:val="402"/>
  </w:num>
  <w:num w:numId="748" w16cid:durableId="1680962436">
    <w:abstractNumId w:val="238"/>
  </w:num>
  <w:num w:numId="749" w16cid:durableId="1594049502">
    <w:abstractNumId w:val="759"/>
  </w:num>
  <w:num w:numId="750" w16cid:durableId="1448234886">
    <w:abstractNumId w:val="93"/>
  </w:num>
  <w:num w:numId="751" w16cid:durableId="181672688">
    <w:abstractNumId w:val="945"/>
  </w:num>
  <w:num w:numId="752" w16cid:durableId="249318985">
    <w:abstractNumId w:val="1128"/>
  </w:num>
  <w:num w:numId="753" w16cid:durableId="22248062">
    <w:abstractNumId w:val="330"/>
  </w:num>
  <w:num w:numId="754" w16cid:durableId="332690203">
    <w:abstractNumId w:val="539"/>
  </w:num>
  <w:num w:numId="755" w16cid:durableId="560750861">
    <w:abstractNumId w:val="808"/>
  </w:num>
  <w:num w:numId="756" w16cid:durableId="2020505508">
    <w:abstractNumId w:val="560"/>
  </w:num>
  <w:num w:numId="757" w16cid:durableId="613682666">
    <w:abstractNumId w:val="1029"/>
  </w:num>
  <w:num w:numId="758" w16cid:durableId="2119443774">
    <w:abstractNumId w:val="1186"/>
  </w:num>
  <w:num w:numId="759" w16cid:durableId="1754352973">
    <w:abstractNumId w:val="252"/>
  </w:num>
  <w:num w:numId="760" w16cid:durableId="1493378008">
    <w:abstractNumId w:val="852"/>
  </w:num>
  <w:num w:numId="761" w16cid:durableId="1583953956">
    <w:abstractNumId w:val="614"/>
  </w:num>
  <w:num w:numId="762" w16cid:durableId="1779568464">
    <w:abstractNumId w:val="426"/>
  </w:num>
  <w:num w:numId="763" w16cid:durableId="507865581">
    <w:abstractNumId w:val="724"/>
  </w:num>
  <w:num w:numId="764" w16cid:durableId="2128236717">
    <w:abstractNumId w:val="141"/>
  </w:num>
  <w:num w:numId="765" w16cid:durableId="1061487697">
    <w:abstractNumId w:val="1263"/>
  </w:num>
  <w:num w:numId="766" w16cid:durableId="1286042069">
    <w:abstractNumId w:val="962"/>
  </w:num>
  <w:num w:numId="767" w16cid:durableId="1370762957">
    <w:abstractNumId w:val="0"/>
  </w:num>
  <w:num w:numId="768" w16cid:durableId="645665608">
    <w:abstractNumId w:val="1"/>
  </w:num>
  <w:num w:numId="769" w16cid:durableId="1442919212">
    <w:abstractNumId w:val="4"/>
  </w:num>
  <w:num w:numId="770" w16cid:durableId="1850682797">
    <w:abstractNumId w:val="204"/>
  </w:num>
  <w:num w:numId="771" w16cid:durableId="7492364">
    <w:abstractNumId w:val="1160"/>
  </w:num>
  <w:num w:numId="772" w16cid:durableId="993877391">
    <w:abstractNumId w:val="1018"/>
  </w:num>
  <w:num w:numId="773" w16cid:durableId="2022510907">
    <w:abstractNumId w:val="946"/>
  </w:num>
  <w:num w:numId="774" w16cid:durableId="623192272">
    <w:abstractNumId w:val="1015"/>
  </w:num>
  <w:num w:numId="775" w16cid:durableId="1715537840">
    <w:abstractNumId w:val="1208"/>
  </w:num>
  <w:num w:numId="776" w16cid:durableId="681856561">
    <w:abstractNumId w:val="113"/>
  </w:num>
  <w:num w:numId="777" w16cid:durableId="38943138">
    <w:abstractNumId w:val="1221"/>
  </w:num>
  <w:num w:numId="778" w16cid:durableId="747383631">
    <w:abstractNumId w:val="293"/>
  </w:num>
  <w:num w:numId="779" w16cid:durableId="647788556">
    <w:abstractNumId w:val="105"/>
  </w:num>
  <w:num w:numId="780" w16cid:durableId="944968228">
    <w:abstractNumId w:val="901"/>
  </w:num>
  <w:num w:numId="781" w16cid:durableId="893464876">
    <w:abstractNumId w:val="1130"/>
  </w:num>
  <w:num w:numId="782" w16cid:durableId="445852820">
    <w:abstractNumId w:val="347"/>
  </w:num>
  <w:num w:numId="783" w16cid:durableId="1791777673">
    <w:abstractNumId w:val="347"/>
    <w:lvlOverride w:ilvl="0">
      <w:lvl w:ilvl="0">
        <w:start w:val="1"/>
        <w:numFmt w:val="decimal"/>
        <w:lvlText w:val="%1."/>
        <w:legacy w:legacy="1" w:legacySpace="0" w:legacyIndent="454"/>
        <w:lvlJc w:val="left"/>
        <w:pPr>
          <w:ind w:left="454" w:hanging="454"/>
        </w:pPr>
      </w:lvl>
    </w:lvlOverride>
  </w:num>
  <w:num w:numId="784" w16cid:durableId="1729574929">
    <w:abstractNumId w:val="892"/>
  </w:num>
  <w:num w:numId="785" w16cid:durableId="373507618">
    <w:abstractNumId w:val="892"/>
    <w:lvlOverride w:ilvl="0">
      <w:lvl w:ilvl="0">
        <w:start w:val="1"/>
        <w:numFmt w:val="decimal"/>
        <w:lvlText w:val="%1."/>
        <w:legacy w:legacy="1" w:legacySpace="0" w:legacyIndent="454"/>
        <w:lvlJc w:val="left"/>
        <w:pPr>
          <w:ind w:left="454" w:hanging="454"/>
        </w:pPr>
      </w:lvl>
    </w:lvlOverride>
  </w:num>
  <w:num w:numId="786" w16cid:durableId="1110854091">
    <w:abstractNumId w:val="1003"/>
  </w:num>
  <w:num w:numId="787" w16cid:durableId="1110314421">
    <w:abstractNumId w:val="1003"/>
    <w:lvlOverride w:ilvl="0">
      <w:lvl w:ilvl="0">
        <w:start w:val="1"/>
        <w:numFmt w:val="decimal"/>
        <w:lvlText w:val="%1."/>
        <w:legacy w:legacy="1" w:legacySpace="0" w:legacyIndent="454"/>
        <w:lvlJc w:val="left"/>
        <w:pPr>
          <w:ind w:left="454" w:hanging="454"/>
        </w:pPr>
      </w:lvl>
    </w:lvlOverride>
  </w:num>
  <w:num w:numId="788" w16cid:durableId="380204430">
    <w:abstractNumId w:val="710"/>
  </w:num>
  <w:num w:numId="789" w16cid:durableId="422998063">
    <w:abstractNumId w:val="909"/>
  </w:num>
  <w:num w:numId="790" w16cid:durableId="432944882">
    <w:abstractNumId w:val="92"/>
  </w:num>
  <w:num w:numId="791" w16cid:durableId="812217816">
    <w:abstractNumId w:val="92"/>
    <w:lvlOverride w:ilvl="0">
      <w:lvl w:ilvl="0">
        <w:start w:val="1"/>
        <w:numFmt w:val="decimal"/>
        <w:lvlText w:val="%1."/>
        <w:legacy w:legacy="1" w:legacySpace="0" w:legacyIndent="283"/>
        <w:lvlJc w:val="left"/>
        <w:pPr>
          <w:ind w:left="283" w:hanging="283"/>
        </w:pPr>
      </w:lvl>
    </w:lvlOverride>
  </w:num>
  <w:num w:numId="792" w16cid:durableId="1053970714">
    <w:abstractNumId w:val="661"/>
  </w:num>
  <w:num w:numId="793" w16cid:durableId="623273267">
    <w:abstractNumId w:val="344"/>
  </w:num>
  <w:num w:numId="794" w16cid:durableId="843278740">
    <w:abstractNumId w:val="1148"/>
  </w:num>
  <w:num w:numId="795" w16cid:durableId="787891658">
    <w:abstractNumId w:val="942"/>
  </w:num>
  <w:num w:numId="796" w16cid:durableId="246305858">
    <w:abstractNumId w:val="55"/>
  </w:num>
  <w:num w:numId="797" w16cid:durableId="527763564">
    <w:abstractNumId w:val="598"/>
  </w:num>
  <w:num w:numId="798" w16cid:durableId="1114055054">
    <w:abstractNumId w:val="164"/>
  </w:num>
  <w:num w:numId="799" w16cid:durableId="2069454321">
    <w:abstractNumId w:val="1007"/>
  </w:num>
  <w:num w:numId="800" w16cid:durableId="836043449">
    <w:abstractNumId w:val="1238"/>
  </w:num>
  <w:num w:numId="801" w16cid:durableId="799618457">
    <w:abstractNumId w:val="297"/>
  </w:num>
  <w:num w:numId="802" w16cid:durableId="2059354213">
    <w:abstractNumId w:val="1049"/>
  </w:num>
  <w:num w:numId="803" w16cid:durableId="419758096">
    <w:abstractNumId w:val="187"/>
  </w:num>
  <w:num w:numId="804" w16cid:durableId="181094409">
    <w:abstractNumId w:val="733"/>
  </w:num>
  <w:num w:numId="805" w16cid:durableId="1425833401">
    <w:abstractNumId w:val="68"/>
  </w:num>
  <w:num w:numId="806" w16cid:durableId="2040004853">
    <w:abstractNumId w:val="92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07" w16cid:durableId="1466199518">
    <w:abstractNumId w:val="58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08" w16cid:durableId="988747176">
    <w:abstractNumId w:val="868"/>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09" w16cid:durableId="60758852">
    <w:abstractNumId w:val="749"/>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10" w16cid:durableId="1002584019">
    <w:abstractNumId w:val="179"/>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11" w16cid:durableId="1415280919">
    <w:abstractNumId w:val="476"/>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12" w16cid:durableId="1021201471">
    <w:abstractNumId w:val="787"/>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13" w16cid:durableId="1170413033">
    <w:abstractNumId w:val="121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14" w16cid:durableId="1330134884">
    <w:abstractNumId w:val="103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15" w16cid:durableId="635182779">
    <w:abstractNumId w:val="1046"/>
  </w:num>
  <w:num w:numId="816" w16cid:durableId="426122797">
    <w:abstractNumId w:val="970"/>
  </w:num>
  <w:num w:numId="817" w16cid:durableId="1371299390">
    <w:abstractNumId w:val="768"/>
  </w:num>
  <w:num w:numId="818" w16cid:durableId="1179352271">
    <w:abstractNumId w:val="911"/>
  </w:num>
  <w:num w:numId="819" w16cid:durableId="1626352363">
    <w:abstractNumId w:val="1013"/>
  </w:num>
  <w:num w:numId="820" w16cid:durableId="962688605">
    <w:abstractNumId w:val="579"/>
  </w:num>
  <w:num w:numId="821" w16cid:durableId="440298734">
    <w:abstractNumId w:val="594"/>
  </w:num>
  <w:num w:numId="822" w16cid:durableId="1079599634">
    <w:abstractNumId w:val="965"/>
  </w:num>
  <w:num w:numId="823" w16cid:durableId="354503456">
    <w:abstractNumId w:val="773"/>
  </w:num>
  <w:num w:numId="824" w16cid:durableId="1453092717">
    <w:abstractNumId w:val="398"/>
  </w:num>
  <w:num w:numId="825" w16cid:durableId="1796677726">
    <w:abstractNumId w:val="821"/>
  </w:num>
  <w:num w:numId="826" w16cid:durableId="2022468945">
    <w:abstractNumId w:val="201"/>
  </w:num>
  <w:num w:numId="827" w16cid:durableId="162740170">
    <w:abstractNumId w:val="907"/>
  </w:num>
  <w:num w:numId="828" w16cid:durableId="209879008">
    <w:abstractNumId w:val="1212"/>
  </w:num>
  <w:num w:numId="829" w16cid:durableId="116216807">
    <w:abstractNumId w:val="820"/>
  </w:num>
  <w:num w:numId="830" w16cid:durableId="262223636">
    <w:abstractNumId w:val="763"/>
  </w:num>
  <w:num w:numId="831" w16cid:durableId="991368413">
    <w:abstractNumId w:val="591"/>
  </w:num>
  <w:num w:numId="832" w16cid:durableId="285281279">
    <w:abstractNumId w:val="978"/>
  </w:num>
  <w:num w:numId="833" w16cid:durableId="2010400452">
    <w:abstractNumId w:val="726"/>
  </w:num>
  <w:num w:numId="834" w16cid:durableId="276454739">
    <w:abstractNumId w:val="664"/>
  </w:num>
  <w:num w:numId="835" w16cid:durableId="328023564">
    <w:abstractNumId w:val="992"/>
  </w:num>
  <w:num w:numId="836" w16cid:durableId="455368886">
    <w:abstractNumId w:val="176"/>
  </w:num>
  <w:num w:numId="837" w16cid:durableId="2119449571">
    <w:abstractNumId w:val="1201"/>
  </w:num>
  <w:num w:numId="838" w16cid:durableId="1131824452">
    <w:abstractNumId w:val="777"/>
  </w:num>
  <w:num w:numId="839" w16cid:durableId="269053023">
    <w:abstractNumId w:val="483"/>
  </w:num>
  <w:num w:numId="840" w16cid:durableId="1096825212">
    <w:abstractNumId w:val="675"/>
  </w:num>
  <w:num w:numId="841" w16cid:durableId="41098629">
    <w:abstractNumId w:val="36"/>
  </w:num>
  <w:num w:numId="842" w16cid:durableId="976110622">
    <w:abstractNumId w:val="829"/>
  </w:num>
  <w:num w:numId="843" w16cid:durableId="1930582061">
    <w:abstractNumId w:val="862"/>
  </w:num>
  <w:num w:numId="844" w16cid:durableId="2130470996">
    <w:abstractNumId w:val="775"/>
  </w:num>
  <w:num w:numId="845" w16cid:durableId="986202957">
    <w:abstractNumId w:val="532"/>
  </w:num>
  <w:num w:numId="846" w16cid:durableId="441417710">
    <w:abstractNumId w:val="729"/>
  </w:num>
  <w:num w:numId="847" w16cid:durableId="541140163">
    <w:abstractNumId w:val="51"/>
  </w:num>
  <w:num w:numId="848" w16cid:durableId="352269627">
    <w:abstractNumId w:val="841"/>
  </w:num>
  <w:num w:numId="849" w16cid:durableId="1346899541">
    <w:abstractNumId w:val="500"/>
  </w:num>
  <w:num w:numId="850" w16cid:durableId="224462676">
    <w:abstractNumId w:val="1113"/>
  </w:num>
  <w:num w:numId="851" w16cid:durableId="1568342412">
    <w:abstractNumId w:val="115"/>
  </w:num>
  <w:num w:numId="852" w16cid:durableId="2021270285">
    <w:abstractNumId w:val="1277"/>
  </w:num>
  <w:num w:numId="853" w16cid:durableId="1738937233">
    <w:abstractNumId w:val="1102"/>
  </w:num>
  <w:num w:numId="854" w16cid:durableId="1593198039">
    <w:abstractNumId w:val="1245"/>
  </w:num>
  <w:num w:numId="855" w16cid:durableId="154688121">
    <w:abstractNumId w:val="522"/>
  </w:num>
  <w:num w:numId="856" w16cid:durableId="278611944">
    <w:abstractNumId w:val="1284"/>
  </w:num>
  <w:num w:numId="857" w16cid:durableId="1368408959">
    <w:abstractNumId w:val="1034"/>
  </w:num>
  <w:num w:numId="858" w16cid:durableId="340863594">
    <w:abstractNumId w:val="1247"/>
  </w:num>
  <w:num w:numId="859" w16cid:durableId="1313019946">
    <w:abstractNumId w:val="1207"/>
  </w:num>
  <w:num w:numId="860" w16cid:durableId="1262642608">
    <w:abstractNumId w:val="711"/>
  </w:num>
  <w:num w:numId="861" w16cid:durableId="1413897106">
    <w:abstractNumId w:val="600"/>
  </w:num>
  <w:num w:numId="862" w16cid:durableId="1205826972">
    <w:abstractNumId w:val="441"/>
  </w:num>
  <w:num w:numId="863" w16cid:durableId="737477206">
    <w:abstractNumId w:val="339"/>
  </w:num>
  <w:num w:numId="864" w16cid:durableId="1330712359">
    <w:abstractNumId w:val="691"/>
  </w:num>
  <w:num w:numId="865" w16cid:durableId="137844126">
    <w:abstractNumId w:val="1137"/>
  </w:num>
  <w:num w:numId="866" w16cid:durableId="1563785307">
    <w:abstractNumId w:val="1123"/>
  </w:num>
  <w:num w:numId="867" w16cid:durableId="164632407">
    <w:abstractNumId w:val="1002"/>
  </w:num>
  <w:num w:numId="868" w16cid:durableId="194735309">
    <w:abstractNumId w:val="975"/>
  </w:num>
  <w:num w:numId="869" w16cid:durableId="1108961444">
    <w:abstractNumId w:val="278"/>
  </w:num>
  <w:num w:numId="870" w16cid:durableId="874851290">
    <w:abstractNumId w:val="1133"/>
  </w:num>
  <w:num w:numId="871" w16cid:durableId="363751804">
    <w:abstractNumId w:val="1133"/>
    <w:lvlOverride w:ilvl="0">
      <w:lvl w:ilvl="0">
        <w:start w:val="1"/>
        <w:numFmt w:val="decimal"/>
        <w:lvlText w:val="%1."/>
        <w:legacy w:legacy="1" w:legacySpace="0" w:legacyIndent="454"/>
        <w:lvlJc w:val="left"/>
        <w:pPr>
          <w:ind w:left="454" w:hanging="454"/>
        </w:pPr>
      </w:lvl>
    </w:lvlOverride>
  </w:num>
  <w:num w:numId="872" w16cid:durableId="369115831">
    <w:abstractNumId w:val="991"/>
  </w:num>
  <w:num w:numId="873" w16cid:durableId="637733964">
    <w:abstractNumId w:val="991"/>
    <w:lvlOverride w:ilvl="0">
      <w:lvl w:ilvl="0">
        <w:start w:val="1"/>
        <w:numFmt w:val="decimal"/>
        <w:lvlText w:val="%1."/>
        <w:legacy w:legacy="1" w:legacySpace="0" w:legacyIndent="454"/>
        <w:lvlJc w:val="left"/>
        <w:pPr>
          <w:ind w:left="454" w:hanging="454"/>
        </w:pPr>
      </w:lvl>
    </w:lvlOverride>
  </w:num>
  <w:num w:numId="874" w16cid:durableId="2004240363">
    <w:abstractNumId w:val="360"/>
  </w:num>
  <w:num w:numId="875" w16cid:durableId="1111360367">
    <w:abstractNumId w:val="360"/>
    <w:lvlOverride w:ilvl="0">
      <w:lvl w:ilvl="0">
        <w:start w:val="1"/>
        <w:numFmt w:val="decimal"/>
        <w:lvlText w:val="%1."/>
        <w:legacy w:legacy="1" w:legacySpace="0" w:legacyIndent="454"/>
        <w:lvlJc w:val="left"/>
        <w:pPr>
          <w:ind w:left="454" w:hanging="454"/>
        </w:pPr>
      </w:lvl>
    </w:lvlOverride>
  </w:num>
  <w:num w:numId="876" w16cid:durableId="1748651016">
    <w:abstractNumId w:val="135"/>
  </w:num>
  <w:num w:numId="877" w16cid:durableId="331106485">
    <w:abstractNumId w:val="188"/>
  </w:num>
  <w:num w:numId="878" w16cid:durableId="254749526">
    <w:abstractNumId w:val="146"/>
  </w:num>
  <w:num w:numId="879" w16cid:durableId="980966361">
    <w:abstractNumId w:val="146"/>
    <w:lvlOverride w:ilvl="0">
      <w:lvl w:ilvl="0">
        <w:start w:val="1"/>
        <w:numFmt w:val="decimal"/>
        <w:lvlText w:val="%1."/>
        <w:legacy w:legacy="1" w:legacySpace="0" w:legacyIndent="283"/>
        <w:lvlJc w:val="left"/>
        <w:pPr>
          <w:ind w:left="283" w:hanging="283"/>
        </w:pPr>
      </w:lvl>
    </w:lvlOverride>
  </w:num>
  <w:num w:numId="880" w16cid:durableId="1816288455">
    <w:abstractNumId w:val="153"/>
  </w:num>
  <w:num w:numId="881" w16cid:durableId="1985356456">
    <w:abstractNumId w:val="1210"/>
  </w:num>
  <w:num w:numId="882" w16cid:durableId="1286038247">
    <w:abstractNumId w:val="196"/>
  </w:num>
  <w:num w:numId="883" w16cid:durableId="237442486">
    <w:abstractNumId w:val="108"/>
  </w:num>
  <w:num w:numId="884" w16cid:durableId="516308716">
    <w:abstractNumId w:val="177"/>
  </w:num>
  <w:num w:numId="885" w16cid:durableId="843200857">
    <w:abstractNumId w:val="948"/>
  </w:num>
  <w:num w:numId="886" w16cid:durableId="1408645983">
    <w:abstractNumId w:val="543"/>
  </w:num>
  <w:num w:numId="887" w16cid:durableId="1789927201">
    <w:abstractNumId w:val="325"/>
  </w:num>
  <w:num w:numId="888" w16cid:durableId="1550140890">
    <w:abstractNumId w:val="112"/>
  </w:num>
  <w:num w:numId="889" w16cid:durableId="2123332937">
    <w:abstractNumId w:val="577"/>
  </w:num>
  <w:num w:numId="890" w16cid:durableId="1007446825">
    <w:abstractNumId w:val="1276"/>
  </w:num>
  <w:num w:numId="891" w16cid:durableId="1383167556">
    <w:abstractNumId w:val="1165"/>
  </w:num>
  <w:num w:numId="892" w16cid:durableId="1926452333">
    <w:abstractNumId w:val="1080"/>
  </w:num>
  <w:num w:numId="893" w16cid:durableId="503278217">
    <w:abstractNumId w:val="400"/>
  </w:num>
  <w:num w:numId="894" w16cid:durableId="1737048702">
    <w:abstractNumId w:val="610"/>
  </w:num>
  <w:num w:numId="895" w16cid:durableId="630524151">
    <w:abstractNumId w:val="1275"/>
  </w:num>
  <w:num w:numId="896" w16cid:durableId="508837958">
    <w:abstractNumId w:val="357"/>
  </w:num>
  <w:num w:numId="897" w16cid:durableId="129591661">
    <w:abstractNumId w:val="317"/>
  </w:num>
  <w:num w:numId="898" w16cid:durableId="1307859937">
    <w:abstractNumId w:val="905"/>
  </w:num>
  <w:num w:numId="899" w16cid:durableId="61678282">
    <w:abstractNumId w:val="1112"/>
  </w:num>
  <w:num w:numId="900" w16cid:durableId="1256018256">
    <w:abstractNumId w:val="1251"/>
  </w:num>
  <w:num w:numId="901" w16cid:durableId="985472338">
    <w:abstractNumId w:val="349"/>
  </w:num>
  <w:num w:numId="902" w16cid:durableId="2046784168">
    <w:abstractNumId w:val="986"/>
  </w:num>
  <w:num w:numId="903" w16cid:durableId="1861620400">
    <w:abstractNumId w:val="1070"/>
  </w:num>
  <w:num w:numId="904" w16cid:durableId="305282109">
    <w:abstractNumId w:val="707"/>
  </w:num>
  <w:num w:numId="905" w16cid:durableId="765229492">
    <w:abstractNumId w:val="553"/>
  </w:num>
  <w:num w:numId="906" w16cid:durableId="1177889406">
    <w:abstractNumId w:val="879"/>
  </w:num>
  <w:num w:numId="907" w16cid:durableId="1286930786">
    <w:abstractNumId w:val="745"/>
  </w:num>
  <w:num w:numId="908" w16cid:durableId="752047018">
    <w:abstractNumId w:val="362"/>
  </w:num>
  <w:num w:numId="909" w16cid:durableId="1918514270">
    <w:abstractNumId w:val="1268"/>
  </w:num>
  <w:num w:numId="910" w16cid:durableId="806168630">
    <w:abstractNumId w:val="811"/>
  </w:num>
  <w:num w:numId="911" w16cid:durableId="1764061005">
    <w:abstractNumId w:val="326"/>
  </w:num>
  <w:num w:numId="912" w16cid:durableId="1062824607">
    <w:abstractNumId w:val="985"/>
  </w:num>
  <w:num w:numId="913" w16cid:durableId="494341361">
    <w:abstractNumId w:val="98"/>
  </w:num>
  <w:num w:numId="914" w16cid:durableId="667944768">
    <w:abstractNumId w:val="22"/>
  </w:num>
  <w:num w:numId="915" w16cid:durableId="1394886510">
    <w:abstractNumId w:val="22"/>
    <w:lvlOverride w:ilvl="0">
      <w:lvl w:ilvl="0">
        <w:start w:val="1"/>
        <w:numFmt w:val="decimal"/>
        <w:lvlText w:val="%1."/>
        <w:legacy w:legacy="1" w:legacySpace="0" w:legacyIndent="454"/>
        <w:lvlJc w:val="left"/>
        <w:pPr>
          <w:ind w:left="454" w:hanging="454"/>
        </w:pPr>
      </w:lvl>
    </w:lvlOverride>
  </w:num>
  <w:num w:numId="916" w16cid:durableId="297954342">
    <w:abstractNumId w:val="1272"/>
  </w:num>
  <w:num w:numId="917" w16cid:durableId="698286294">
    <w:abstractNumId w:val="1140"/>
  </w:num>
  <w:num w:numId="918" w16cid:durableId="1114447151">
    <w:abstractNumId w:val="528"/>
  </w:num>
  <w:num w:numId="919" w16cid:durableId="1371149238">
    <w:abstractNumId w:val="41"/>
  </w:num>
  <w:num w:numId="920" w16cid:durableId="1540699106">
    <w:abstractNumId w:val="966"/>
  </w:num>
  <w:num w:numId="921" w16cid:durableId="699015315">
    <w:abstractNumId w:val="1264"/>
  </w:num>
  <w:num w:numId="922" w16cid:durableId="1736852151">
    <w:abstractNumId w:val="66"/>
  </w:num>
  <w:num w:numId="923" w16cid:durableId="745345989">
    <w:abstractNumId w:val="191"/>
  </w:num>
  <w:num w:numId="924" w16cid:durableId="416245373">
    <w:abstractNumId w:val="49"/>
  </w:num>
  <w:num w:numId="925" w16cid:durableId="417530551">
    <w:abstractNumId w:val="61"/>
  </w:num>
  <w:num w:numId="926" w16cid:durableId="1315720054">
    <w:abstractNumId w:val="376"/>
  </w:num>
  <w:num w:numId="927" w16cid:durableId="719666315">
    <w:abstractNumId w:val="589"/>
  </w:num>
  <w:num w:numId="928" w16cid:durableId="1409036671">
    <w:abstractNumId w:val="1265"/>
  </w:num>
  <w:num w:numId="929" w16cid:durableId="337120105">
    <w:abstractNumId w:val="87"/>
  </w:num>
  <w:num w:numId="930" w16cid:durableId="1610351332">
    <w:abstractNumId w:val="644"/>
  </w:num>
  <w:num w:numId="931" w16cid:durableId="252595798">
    <w:abstractNumId w:val="334"/>
  </w:num>
  <w:num w:numId="932" w16cid:durableId="1885484825">
    <w:abstractNumId w:val="1167"/>
  </w:num>
  <w:num w:numId="933" w16cid:durableId="2078892647">
    <w:abstractNumId w:val="916"/>
  </w:num>
  <w:num w:numId="934" w16cid:durableId="1320305362">
    <w:abstractNumId w:val="747"/>
  </w:num>
  <w:num w:numId="935" w16cid:durableId="824928480">
    <w:abstractNumId w:val="929"/>
  </w:num>
  <w:num w:numId="936" w16cid:durableId="352657463">
    <w:abstractNumId w:val="517"/>
  </w:num>
  <w:num w:numId="937" w16cid:durableId="380254685">
    <w:abstractNumId w:val="1282"/>
  </w:num>
  <w:num w:numId="938" w16cid:durableId="157504393">
    <w:abstractNumId w:val="368"/>
  </w:num>
  <w:num w:numId="939" w16cid:durableId="1732119731">
    <w:abstractNumId w:val="512"/>
  </w:num>
  <w:num w:numId="940" w16cid:durableId="1539472557">
    <w:abstractNumId w:val="413"/>
  </w:num>
  <w:num w:numId="941" w16cid:durableId="1216699036">
    <w:abstractNumId w:val="107"/>
  </w:num>
  <w:num w:numId="942" w16cid:durableId="1490829125">
    <w:abstractNumId w:val="461"/>
  </w:num>
  <w:num w:numId="943" w16cid:durableId="225653859">
    <w:abstractNumId w:val="383"/>
  </w:num>
  <w:num w:numId="944" w16cid:durableId="1757437418">
    <w:abstractNumId w:val="712"/>
  </w:num>
  <w:num w:numId="945" w16cid:durableId="697972263">
    <w:abstractNumId w:val="867"/>
  </w:num>
  <w:num w:numId="946" w16cid:durableId="1149978626">
    <w:abstractNumId w:val="538"/>
  </w:num>
  <w:num w:numId="947" w16cid:durableId="1226721501">
    <w:abstractNumId w:val="411"/>
  </w:num>
  <w:num w:numId="948" w16cid:durableId="107741807">
    <w:abstractNumId w:val="1000"/>
  </w:num>
  <w:num w:numId="949" w16cid:durableId="133108468">
    <w:abstractNumId w:val="45"/>
  </w:num>
  <w:num w:numId="950" w16cid:durableId="1209953996">
    <w:abstractNumId w:val="1190"/>
  </w:num>
  <w:num w:numId="951" w16cid:durableId="1694066752">
    <w:abstractNumId w:val="765"/>
  </w:num>
  <w:num w:numId="952" w16cid:durableId="924805908">
    <w:abstractNumId w:val="1035"/>
  </w:num>
  <w:num w:numId="953" w16cid:durableId="429549576">
    <w:abstractNumId w:val="1279"/>
  </w:num>
  <w:num w:numId="954" w16cid:durableId="1343505619">
    <w:abstractNumId w:val="908"/>
  </w:num>
  <w:num w:numId="955" w16cid:durableId="311377205">
    <w:abstractNumId w:val="1180"/>
  </w:num>
  <w:num w:numId="956" w16cid:durableId="1745685863">
    <w:abstractNumId w:val="168"/>
  </w:num>
  <w:num w:numId="957" w16cid:durableId="1665937512">
    <w:abstractNumId w:val="459"/>
  </w:num>
  <w:num w:numId="958" w16cid:durableId="830752699">
    <w:abstractNumId w:val="290"/>
  </w:num>
  <w:num w:numId="959" w16cid:durableId="593637047">
    <w:abstractNumId w:val="395"/>
  </w:num>
  <w:num w:numId="960" w16cid:durableId="1608122950">
    <w:abstractNumId w:val="899"/>
  </w:num>
  <w:num w:numId="961" w16cid:durableId="1755275138">
    <w:abstractNumId w:val="993"/>
  </w:num>
  <w:num w:numId="962" w16cid:durableId="1527985589">
    <w:abstractNumId w:val="338"/>
  </w:num>
  <w:num w:numId="963" w16cid:durableId="517936244">
    <w:abstractNumId w:val="545"/>
  </w:num>
  <w:num w:numId="964" w16cid:durableId="1438409401">
    <w:abstractNumId w:val="99"/>
  </w:num>
  <w:num w:numId="965" w16cid:durableId="813792266">
    <w:abstractNumId w:val="250"/>
  </w:num>
  <w:num w:numId="966" w16cid:durableId="1738361954">
    <w:abstractNumId w:val="1197"/>
  </w:num>
  <w:num w:numId="967" w16cid:durableId="553661253">
    <w:abstractNumId w:val="1197"/>
    <w:lvlOverride w:ilvl="0">
      <w:lvl w:ilvl="0">
        <w:start w:val="3"/>
        <w:numFmt w:val="decimal"/>
        <w:lvlText w:val="%1."/>
        <w:legacy w:legacy="1" w:legacySpace="0" w:legacyIndent="454"/>
        <w:lvlJc w:val="left"/>
        <w:pPr>
          <w:ind w:left="454" w:hanging="454"/>
        </w:pPr>
      </w:lvl>
    </w:lvlOverride>
  </w:num>
  <w:num w:numId="968" w16cid:durableId="252127646">
    <w:abstractNumId w:val="272"/>
  </w:num>
  <w:num w:numId="969" w16cid:durableId="1376540988">
    <w:abstractNumId w:val="272"/>
    <w:lvlOverride w:ilvl="0">
      <w:lvl w:ilvl="0">
        <w:start w:val="8"/>
        <w:numFmt w:val="decimal"/>
        <w:lvlText w:val="%1."/>
        <w:legacy w:legacy="1" w:legacySpace="0" w:legacyIndent="454"/>
        <w:lvlJc w:val="left"/>
        <w:pPr>
          <w:ind w:left="454" w:hanging="454"/>
        </w:pPr>
      </w:lvl>
    </w:lvlOverride>
  </w:num>
  <w:num w:numId="970" w16cid:durableId="239873241">
    <w:abstractNumId w:val="744"/>
  </w:num>
  <w:num w:numId="971" w16cid:durableId="1308583749">
    <w:abstractNumId w:val="563"/>
  </w:num>
  <w:num w:numId="972" w16cid:durableId="2146505413">
    <w:abstractNumId w:val="185"/>
  </w:num>
  <w:num w:numId="973" w16cid:durableId="1363358881">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974" w16cid:durableId="883561271">
    <w:abstractNumId w:val="28"/>
  </w:num>
  <w:num w:numId="975" w16cid:durableId="1551837988">
    <w:abstractNumId w:val="855"/>
  </w:num>
  <w:num w:numId="976" w16cid:durableId="1344239875">
    <w:abstractNumId w:val="493"/>
  </w:num>
  <w:num w:numId="977" w16cid:durableId="920482995">
    <w:abstractNumId w:val="27"/>
  </w:num>
  <w:num w:numId="978" w16cid:durableId="1035690161">
    <w:abstractNumId w:val="366"/>
  </w:num>
  <w:num w:numId="979" w16cid:durableId="967705740">
    <w:abstractNumId w:val="622"/>
  </w:num>
  <w:num w:numId="980" w16cid:durableId="737629629">
    <w:abstractNumId w:val="90"/>
  </w:num>
  <w:num w:numId="981" w16cid:durableId="1759907971">
    <w:abstractNumId w:val="784"/>
  </w:num>
  <w:num w:numId="982" w16cid:durableId="366491106">
    <w:abstractNumId w:val="446"/>
  </w:num>
  <w:num w:numId="983" w16cid:durableId="1497964164">
    <w:abstractNumId w:val="152"/>
  </w:num>
  <w:num w:numId="984" w16cid:durableId="1397359062">
    <w:abstractNumId w:val="328"/>
  </w:num>
  <w:num w:numId="985" w16cid:durableId="551624689">
    <w:abstractNumId w:val="178"/>
  </w:num>
  <w:num w:numId="986" w16cid:durableId="617444292">
    <w:abstractNumId w:val="2"/>
  </w:num>
  <w:num w:numId="987" w16cid:durableId="2053193499">
    <w:abstractNumId w:val="7"/>
  </w:num>
  <w:num w:numId="988" w16cid:durableId="571818196">
    <w:abstractNumId w:val="6"/>
  </w:num>
  <w:num w:numId="989" w16cid:durableId="1342049973">
    <w:abstractNumId w:val="5"/>
  </w:num>
  <w:num w:numId="990" w16cid:durableId="1484076800">
    <w:abstractNumId w:val="1107"/>
  </w:num>
  <w:num w:numId="991" w16cid:durableId="951203377">
    <w:abstractNumId w:val="467"/>
  </w:num>
  <w:num w:numId="992" w16cid:durableId="1086538270">
    <w:abstractNumId w:val="617"/>
  </w:num>
  <w:num w:numId="993" w16cid:durableId="1268083167">
    <w:abstractNumId w:val="629"/>
  </w:num>
  <w:num w:numId="994" w16cid:durableId="1560284309">
    <w:abstractNumId w:val="509"/>
  </w:num>
  <w:num w:numId="995" w16cid:durableId="1528447757">
    <w:abstractNumId w:val="607"/>
  </w:num>
  <w:num w:numId="996" w16cid:durableId="2100179890">
    <w:abstractNumId w:val="934"/>
  </w:num>
  <w:num w:numId="997" w16cid:durableId="1624842893">
    <w:abstractNumId w:val="1117"/>
  </w:num>
  <w:num w:numId="998" w16cid:durableId="1006135114">
    <w:abstractNumId w:val="183"/>
  </w:num>
  <w:num w:numId="999" w16cid:durableId="1262109357">
    <w:abstractNumId w:val="580"/>
  </w:num>
  <w:num w:numId="1000" w16cid:durableId="574247757">
    <w:abstractNumId w:val="686"/>
  </w:num>
  <w:num w:numId="1001" w16cid:durableId="88736982">
    <w:abstractNumId w:val="70"/>
  </w:num>
  <w:num w:numId="1002" w16cid:durableId="830680360">
    <w:abstractNumId w:val="912"/>
  </w:num>
  <w:num w:numId="1003" w16cid:durableId="99879620">
    <w:abstractNumId w:val="281"/>
  </w:num>
  <w:num w:numId="1004" w16cid:durableId="647051108">
    <w:abstractNumId w:val="340"/>
  </w:num>
  <w:num w:numId="1005" w16cid:durableId="1177354450">
    <w:abstractNumId w:val="1231"/>
  </w:num>
  <w:num w:numId="1006" w16cid:durableId="537815204">
    <w:abstractNumId w:val="412"/>
  </w:num>
  <w:num w:numId="1007" w16cid:durableId="695814196">
    <w:abstractNumId w:val="1164"/>
  </w:num>
  <w:num w:numId="1008" w16cid:durableId="975253753">
    <w:abstractNumId w:val="1087"/>
  </w:num>
  <w:num w:numId="1009" w16cid:durableId="93743223">
    <w:abstractNumId w:val="71"/>
  </w:num>
  <w:num w:numId="1010" w16cid:durableId="1976912809">
    <w:abstractNumId w:val="529"/>
  </w:num>
  <w:num w:numId="1011" w16cid:durableId="1589269218">
    <w:abstractNumId w:val="884"/>
  </w:num>
  <w:num w:numId="1012" w16cid:durableId="1895315964">
    <w:abstractNumId w:val="382"/>
  </w:num>
  <w:num w:numId="1013" w16cid:durableId="1015154181">
    <w:abstractNumId w:val="898"/>
  </w:num>
  <w:num w:numId="1014" w16cid:durableId="249046780">
    <w:abstractNumId w:val="1234"/>
  </w:num>
  <w:num w:numId="1015" w16cid:durableId="1413746436">
    <w:abstractNumId w:val="786"/>
  </w:num>
  <w:num w:numId="1016" w16cid:durableId="845636746">
    <w:abstractNumId w:val="442"/>
  </w:num>
  <w:num w:numId="1017" w16cid:durableId="1566331881">
    <w:abstractNumId w:val="489"/>
  </w:num>
  <w:num w:numId="1018" w16cid:durableId="1397511158">
    <w:abstractNumId w:val="409"/>
  </w:num>
  <w:num w:numId="1019" w16cid:durableId="1488479901">
    <w:abstractNumId w:val="674"/>
  </w:num>
  <w:num w:numId="1020" w16cid:durableId="1499033658">
    <w:abstractNumId w:val="46"/>
  </w:num>
  <w:num w:numId="1021" w16cid:durableId="1087922479">
    <w:abstractNumId w:val="310"/>
  </w:num>
  <w:num w:numId="1022" w16cid:durableId="90243426">
    <w:abstractNumId w:val="736"/>
  </w:num>
  <w:num w:numId="1023" w16cid:durableId="948896849">
    <w:abstractNumId w:val="953"/>
  </w:num>
  <w:num w:numId="1024" w16cid:durableId="1034232249">
    <w:abstractNumId w:val="800"/>
  </w:num>
  <w:num w:numId="1025" w16cid:durableId="1610813559">
    <w:abstractNumId w:val="1109"/>
  </w:num>
  <w:num w:numId="1026" w16cid:durableId="1550920653">
    <w:abstractNumId w:val="474"/>
  </w:num>
  <w:num w:numId="1027" w16cid:durableId="415249911">
    <w:abstractNumId w:val="273"/>
  </w:num>
  <w:num w:numId="1028" w16cid:durableId="77602365">
    <w:abstractNumId w:val="430"/>
  </w:num>
  <w:num w:numId="1029" w16cid:durableId="1317607414">
    <w:abstractNumId w:val="612"/>
  </w:num>
  <w:num w:numId="1030" w16cid:durableId="1822500427">
    <w:abstractNumId w:val="1176"/>
  </w:num>
  <w:num w:numId="1031" w16cid:durableId="922833270">
    <w:abstractNumId w:val="853"/>
  </w:num>
  <w:num w:numId="1032" w16cid:durableId="1940605137">
    <w:abstractNumId w:val="844"/>
  </w:num>
  <w:num w:numId="1033" w16cid:durableId="1320647389">
    <w:abstractNumId w:val="802"/>
  </w:num>
  <w:num w:numId="1034" w16cid:durableId="1384790759">
    <w:abstractNumId w:val="364"/>
  </w:num>
  <w:num w:numId="1035" w16cid:durableId="1665431170">
    <w:abstractNumId w:val="1283"/>
  </w:num>
  <w:num w:numId="1036" w16cid:durableId="426582434">
    <w:abstractNumId w:val="620"/>
  </w:num>
  <w:num w:numId="1037" w16cid:durableId="1762021749">
    <w:abstractNumId w:val="1103"/>
  </w:num>
  <w:num w:numId="1038" w16cid:durableId="1075131612">
    <w:abstractNumId w:val="1154"/>
  </w:num>
  <w:num w:numId="1039" w16cid:durableId="141506523">
    <w:abstractNumId w:val="890"/>
  </w:num>
  <w:num w:numId="1040" w16cid:durableId="45960313">
    <w:abstractNumId w:val="1114"/>
  </w:num>
  <w:num w:numId="1041" w16cid:durableId="2005745670">
    <w:abstractNumId w:val="345"/>
  </w:num>
  <w:num w:numId="1042" w16cid:durableId="2057851486">
    <w:abstractNumId w:val="938"/>
  </w:num>
  <w:num w:numId="1043" w16cid:durableId="384988385">
    <w:abstractNumId w:val="271"/>
  </w:num>
  <w:num w:numId="1044" w16cid:durableId="998769290">
    <w:abstractNumId w:val="91"/>
  </w:num>
  <w:num w:numId="1045" w16cid:durableId="220138714">
    <w:abstractNumId w:val="255"/>
  </w:num>
  <w:num w:numId="1046" w16cid:durableId="1009989124">
    <w:abstractNumId w:val="1299"/>
  </w:num>
  <w:num w:numId="1047" w16cid:durableId="2080007866">
    <w:abstractNumId w:val="190"/>
  </w:num>
  <w:num w:numId="1048" w16cid:durableId="879786110">
    <w:abstractNumId w:val="1135"/>
  </w:num>
  <w:num w:numId="1049" w16cid:durableId="1430389795">
    <w:abstractNumId w:val="472"/>
  </w:num>
  <w:num w:numId="1050" w16cid:durableId="1430660742">
    <w:abstractNumId w:val="1306"/>
  </w:num>
  <w:num w:numId="1051" w16cid:durableId="507865409">
    <w:abstractNumId w:val="1298"/>
  </w:num>
  <w:num w:numId="1052" w16cid:durableId="1039209134">
    <w:abstractNumId w:val="374"/>
  </w:num>
  <w:num w:numId="1053" w16cid:durableId="1122071136">
    <w:abstractNumId w:val="259"/>
  </w:num>
  <w:num w:numId="1054" w16cid:durableId="588151670">
    <w:abstractNumId w:val="804"/>
  </w:num>
  <w:num w:numId="1055" w16cid:durableId="597300800">
    <w:abstractNumId w:val="1258"/>
  </w:num>
  <w:num w:numId="1056" w16cid:durableId="1207108427">
    <w:abstractNumId w:val="1157"/>
  </w:num>
  <w:num w:numId="1057" w16cid:durableId="214783207">
    <w:abstractNumId w:val="1227"/>
  </w:num>
  <w:num w:numId="1058" w16cid:durableId="1578519769">
    <w:abstractNumId w:val="984"/>
  </w:num>
  <w:num w:numId="1059" w16cid:durableId="1741095615">
    <w:abstractNumId w:val="851"/>
  </w:num>
  <w:num w:numId="1060" w16cid:durableId="253781863">
    <w:abstractNumId w:val="1090"/>
  </w:num>
  <w:num w:numId="1061" w16cid:durableId="946426476">
    <w:abstractNumId w:val="748"/>
  </w:num>
  <w:num w:numId="1062" w16cid:durableId="836648989">
    <w:abstractNumId w:val="228"/>
  </w:num>
  <w:num w:numId="1063" w16cid:durableId="1284924178">
    <w:abstractNumId w:val="643"/>
  </w:num>
  <w:num w:numId="1064" w16cid:durableId="58331872">
    <w:abstractNumId w:val="408"/>
  </w:num>
  <w:num w:numId="1065" w16cid:durableId="1612469816">
    <w:abstractNumId w:val="222"/>
  </w:num>
  <w:num w:numId="1066" w16cid:durableId="1543130521">
    <w:abstractNumId w:val="723"/>
  </w:num>
  <w:num w:numId="1067" w16cid:durableId="450978981">
    <w:abstractNumId w:val="603"/>
  </w:num>
  <w:num w:numId="1068" w16cid:durableId="1779712122">
    <w:abstractNumId w:val="735"/>
  </w:num>
  <w:num w:numId="1069" w16cid:durableId="1125585000">
    <w:abstractNumId w:val="1289"/>
  </w:num>
  <w:num w:numId="1070" w16cid:durableId="449133624">
    <w:abstractNumId w:val="23"/>
  </w:num>
  <w:num w:numId="1071" w16cid:durableId="1913075940">
    <w:abstractNumId w:val="311"/>
  </w:num>
  <w:num w:numId="1072" w16cid:durableId="1386836234">
    <w:abstractNumId w:val="566"/>
  </w:num>
  <w:num w:numId="1073" w16cid:durableId="1739090016">
    <w:abstractNumId w:val="696"/>
  </w:num>
  <w:num w:numId="1074" w16cid:durableId="48964607">
    <w:abstractNumId w:val="420"/>
  </w:num>
  <w:num w:numId="1075" w16cid:durableId="780492095">
    <w:abstractNumId w:val="544"/>
  </w:num>
  <w:num w:numId="1076" w16cid:durableId="2048408714">
    <w:abstractNumId w:val="1286"/>
  </w:num>
  <w:num w:numId="1077" w16cid:durableId="1147741538">
    <w:abstractNumId w:val="1169"/>
  </w:num>
  <w:num w:numId="1078" w16cid:durableId="1419868842">
    <w:abstractNumId w:val="1093"/>
  </w:num>
  <w:num w:numId="1079" w16cid:durableId="342322190">
    <w:abstractNumId w:val="1075"/>
  </w:num>
  <w:num w:numId="1080" w16cid:durableId="676423903">
    <w:abstractNumId w:val="1170"/>
  </w:num>
  <w:num w:numId="1081" w16cid:durableId="1905723203">
    <w:abstractNumId w:val="167"/>
  </w:num>
  <w:num w:numId="1082" w16cid:durableId="1136802642">
    <w:abstractNumId w:val="583"/>
  </w:num>
  <w:num w:numId="1083" w16cid:durableId="1994021129">
    <w:abstractNumId w:val="77"/>
  </w:num>
  <w:num w:numId="1084" w16cid:durableId="1964843357">
    <w:abstractNumId w:val="160"/>
  </w:num>
  <w:num w:numId="1085" w16cid:durableId="752317721">
    <w:abstractNumId w:val="151"/>
  </w:num>
  <w:num w:numId="1086" w16cid:durableId="380329537">
    <w:abstractNumId w:val="860"/>
  </w:num>
  <w:num w:numId="1087" w16cid:durableId="492527218">
    <w:abstractNumId w:val="1270"/>
  </w:num>
  <w:num w:numId="1088" w16cid:durableId="135069885">
    <w:abstractNumId w:val="435"/>
  </w:num>
  <w:num w:numId="1089" w16cid:durableId="310912660">
    <w:abstractNumId w:val="284"/>
  </w:num>
  <w:num w:numId="1090" w16cid:durableId="582837487">
    <w:abstractNumId w:val="627"/>
  </w:num>
  <w:num w:numId="1091" w16cid:durableId="1713767029">
    <w:abstractNumId w:val="498"/>
  </w:num>
  <w:num w:numId="1092" w16cid:durableId="1708795442">
    <w:abstractNumId w:val="722"/>
  </w:num>
  <w:num w:numId="1093" w16cid:durableId="58137883">
    <w:abstractNumId w:val="1192"/>
  </w:num>
  <w:num w:numId="1094" w16cid:durableId="1354956936">
    <w:abstractNumId w:val="1246"/>
  </w:num>
  <w:num w:numId="1095" w16cid:durableId="352851374">
    <w:abstractNumId w:val="223"/>
  </w:num>
  <w:num w:numId="1096" w16cid:durableId="1818263349">
    <w:abstractNumId w:val="871"/>
  </w:num>
  <w:num w:numId="1097" w16cid:durableId="1977831515">
    <w:abstractNumId w:val="1244"/>
  </w:num>
  <w:num w:numId="1098" w16cid:durableId="2083525375">
    <w:abstractNumId w:val="527"/>
  </w:num>
  <w:num w:numId="1099" w16cid:durableId="2110810353">
    <w:abstractNumId w:val="282"/>
  </w:num>
  <w:num w:numId="1100" w16cid:durableId="807090469">
    <w:abstractNumId w:val="1250"/>
  </w:num>
  <w:num w:numId="1101" w16cid:durableId="186263345">
    <w:abstractNumId w:val="122"/>
  </w:num>
  <w:num w:numId="1102" w16cid:durableId="1238251097">
    <w:abstractNumId w:val="321"/>
  </w:num>
  <w:num w:numId="1103" w16cid:durableId="720325940">
    <w:abstractNumId w:val="277"/>
  </w:num>
  <w:num w:numId="1104" w16cid:durableId="94325243">
    <w:abstractNumId w:val="21"/>
  </w:num>
  <w:num w:numId="1105" w16cid:durableId="1895922239">
    <w:abstractNumId w:val="742"/>
  </w:num>
  <w:num w:numId="1106" w16cid:durableId="570696420">
    <w:abstractNumId w:val="1146"/>
  </w:num>
  <w:num w:numId="1107" w16cid:durableId="888492213">
    <w:abstractNumId w:val="1273"/>
  </w:num>
  <w:num w:numId="1108" w16cid:durableId="116603558">
    <w:abstractNumId w:val="1171"/>
  </w:num>
  <w:num w:numId="1109" w16cid:durableId="551384306">
    <w:abstractNumId w:val="309"/>
  </w:num>
  <w:num w:numId="1110" w16cid:durableId="1256328376">
    <w:abstractNumId w:val="1094"/>
  </w:num>
  <w:num w:numId="1111" w16cid:durableId="782500738">
    <w:abstractNumId w:val="1096"/>
  </w:num>
  <w:num w:numId="1112" w16cid:durableId="1023896052">
    <w:abstractNumId w:val="561"/>
  </w:num>
  <w:num w:numId="1113" w16cid:durableId="257711238">
    <w:abstractNumId w:val="1095"/>
  </w:num>
  <w:num w:numId="1114" w16cid:durableId="1345397037">
    <w:abstractNumId w:val="1045"/>
  </w:num>
  <w:num w:numId="1115" w16cid:durableId="2097097069">
    <w:abstractNumId w:val="83"/>
  </w:num>
  <w:num w:numId="1116" w16cid:durableId="107092263">
    <w:abstractNumId w:val="342"/>
  </w:num>
  <w:num w:numId="1117" w16cid:durableId="706177433">
    <w:abstractNumId w:val="73"/>
  </w:num>
  <w:num w:numId="1118" w16cid:durableId="1620838316">
    <w:abstractNumId w:val="399"/>
  </w:num>
  <w:num w:numId="1119" w16cid:durableId="1915240315">
    <w:abstractNumId w:val="436"/>
  </w:num>
  <w:num w:numId="1120" w16cid:durableId="134176898">
    <w:abstractNumId w:val="1232"/>
  </w:num>
  <w:num w:numId="1121" w16cid:durableId="943464621">
    <w:abstractNumId w:val="914"/>
  </w:num>
  <w:num w:numId="1122" w16cid:durableId="1171405216">
    <w:abstractNumId w:val="30"/>
  </w:num>
  <w:num w:numId="1123" w16cid:durableId="1907951617">
    <w:abstractNumId w:val="18"/>
  </w:num>
  <w:num w:numId="1124" w16cid:durableId="786854540">
    <w:abstractNumId w:val="1287"/>
  </w:num>
  <w:num w:numId="1125" w16cid:durableId="917711173">
    <w:abstractNumId w:val="657"/>
  </w:num>
  <w:num w:numId="1126" w16cid:durableId="111749705">
    <w:abstractNumId w:val="826"/>
  </w:num>
  <w:num w:numId="1127" w16cid:durableId="1800875207">
    <w:abstractNumId w:val="386"/>
  </w:num>
  <w:num w:numId="1128" w16cid:durableId="2138914571">
    <w:abstractNumId w:val="635"/>
  </w:num>
  <w:num w:numId="1129" w16cid:durableId="1289975011">
    <w:abstractNumId w:val="189"/>
  </w:num>
  <w:num w:numId="1130" w16cid:durableId="111826659">
    <w:abstractNumId w:val="550"/>
  </w:num>
  <w:num w:numId="1131" w16cid:durableId="451286840">
    <w:abstractNumId w:val="615"/>
  </w:num>
  <w:num w:numId="1132" w16cid:durableId="1748190687">
    <w:abstractNumId w:val="458"/>
  </w:num>
  <w:num w:numId="1133" w16cid:durableId="881014603">
    <w:abstractNumId w:val="809"/>
  </w:num>
  <w:num w:numId="1134" w16cid:durableId="1841499767">
    <w:abstractNumId w:val="453"/>
  </w:num>
  <w:num w:numId="1135" w16cid:durableId="497310073">
    <w:abstractNumId w:val="1023"/>
  </w:num>
  <w:num w:numId="1136" w16cid:durableId="1195456891">
    <w:abstractNumId w:val="1001"/>
  </w:num>
  <w:num w:numId="1137" w16cid:durableId="1753353044">
    <w:abstractNumId w:val="906"/>
  </w:num>
  <w:num w:numId="1138" w16cid:durableId="1485388020">
    <w:abstractNumId w:val="1051"/>
  </w:num>
  <w:num w:numId="1139" w16cid:durableId="623771707">
    <w:abstractNumId w:val="455"/>
  </w:num>
  <w:num w:numId="1140" w16cid:durableId="229508819">
    <w:abstractNumId w:val="316"/>
  </w:num>
  <w:num w:numId="1141" w16cid:durableId="1941522869">
    <w:abstractNumId w:val="305"/>
  </w:num>
  <w:num w:numId="1142" w16cid:durableId="1821195803">
    <w:abstractNumId w:val="523"/>
  </w:num>
  <w:num w:numId="1143" w16cid:durableId="1682275051">
    <w:abstractNumId w:val="801"/>
  </w:num>
  <w:num w:numId="1144" w16cid:durableId="1250505869">
    <w:abstractNumId w:val="181"/>
  </w:num>
  <w:num w:numId="1145" w16cid:durableId="978650839">
    <w:abstractNumId w:val="121"/>
  </w:num>
  <w:num w:numId="1146" w16cid:durableId="65999382">
    <w:abstractNumId w:val="531"/>
  </w:num>
  <w:num w:numId="1147" w16cid:durableId="2135099775">
    <w:abstractNumId w:val="296"/>
  </w:num>
  <w:num w:numId="1148" w16cid:durableId="2028361864">
    <w:abstractNumId w:val="621"/>
  </w:num>
  <w:num w:numId="1149" w16cid:durableId="281690416">
    <w:abstractNumId w:val="136"/>
  </w:num>
  <w:num w:numId="1150" w16cid:durableId="82459466">
    <w:abstractNumId w:val="1038"/>
  </w:num>
  <w:num w:numId="1151" w16cid:durableId="1469278275">
    <w:abstractNumId w:val="370"/>
  </w:num>
  <w:num w:numId="1152" w16cid:durableId="630132290">
    <w:abstractNumId w:val="1301"/>
  </w:num>
  <w:num w:numId="1153" w16cid:durableId="587538217">
    <w:abstractNumId w:val="299"/>
  </w:num>
  <w:num w:numId="1154" w16cid:durableId="692650461">
    <w:abstractNumId w:val="479"/>
  </w:num>
  <w:num w:numId="1155" w16cid:durableId="658386223">
    <w:abstractNumId w:val="332"/>
  </w:num>
  <w:num w:numId="1156" w16cid:durableId="769086439">
    <w:abstractNumId w:val="491"/>
  </w:num>
  <w:num w:numId="1157" w16cid:durableId="120074728">
    <w:abstractNumId w:val="448"/>
  </w:num>
  <w:num w:numId="1158" w16cid:durableId="1357267742">
    <w:abstractNumId w:val="915"/>
  </w:num>
  <w:num w:numId="1159" w16cid:durableId="380055876">
    <w:abstractNumId w:val="677"/>
  </w:num>
  <w:num w:numId="1160" w16cid:durableId="1149905933">
    <w:abstractNumId w:val="535"/>
  </w:num>
  <w:num w:numId="1161" w16cid:durableId="934746057">
    <w:abstractNumId w:val="939"/>
  </w:num>
  <w:num w:numId="1162" w16cid:durableId="579145272">
    <w:abstractNumId w:val="995"/>
  </w:num>
  <w:num w:numId="1163" w16cid:durableId="975450232">
    <w:abstractNumId w:val="534"/>
  </w:num>
  <w:num w:numId="1164" w16cid:durableId="391316774">
    <w:abstractNumId w:val="260"/>
  </w:num>
  <w:num w:numId="1165" w16cid:durableId="884174553">
    <w:abstractNumId w:val="974"/>
  </w:num>
  <w:num w:numId="1166" w16cid:durableId="1540194236">
    <w:abstractNumId w:val="124"/>
  </w:num>
  <w:num w:numId="1167" w16cid:durableId="655691191">
    <w:abstractNumId w:val="1161"/>
  </w:num>
  <w:num w:numId="1168" w16cid:durableId="1682388390">
    <w:abstractNumId w:val="244"/>
  </w:num>
  <w:num w:numId="1169" w16cid:durableId="1391463261">
    <w:abstractNumId w:val="240"/>
  </w:num>
  <w:num w:numId="1170" w16cid:durableId="415172337">
    <w:abstractNumId w:val="371"/>
  </w:num>
  <w:num w:numId="1171" w16cid:durableId="1844393499">
    <w:abstractNumId w:val="687"/>
  </w:num>
  <w:num w:numId="1172" w16cid:durableId="1850024664">
    <w:abstractNumId w:val="380"/>
  </w:num>
  <w:num w:numId="1173" w16cid:durableId="1848015252">
    <w:abstractNumId w:val="832"/>
  </w:num>
  <w:num w:numId="1174" w16cid:durableId="2028559232">
    <w:abstractNumId w:val="389"/>
  </w:num>
  <w:num w:numId="1175" w16cid:durableId="2113240447">
    <w:abstractNumId w:val="507"/>
  </w:num>
  <w:num w:numId="1176" w16cid:durableId="1164858975">
    <w:abstractNumId w:val="533"/>
  </w:num>
  <w:num w:numId="1177" w16cid:durableId="1193153970">
    <w:abstractNumId w:val="525"/>
  </w:num>
  <w:num w:numId="1178" w16cid:durableId="296689980">
    <w:abstractNumId w:val="26"/>
  </w:num>
  <w:num w:numId="1179" w16cid:durableId="576865059">
    <w:abstractNumId w:val="210"/>
  </w:num>
  <w:num w:numId="1180" w16cid:durableId="1234702498">
    <w:abstractNumId w:val="44"/>
  </w:num>
  <w:num w:numId="1181" w16cid:durableId="966350993">
    <w:abstractNumId w:val="251"/>
  </w:num>
  <w:num w:numId="1182" w16cid:durableId="1828666474">
    <w:abstractNumId w:val="186"/>
  </w:num>
  <w:num w:numId="1183" w16cid:durableId="2066177215">
    <w:abstractNumId w:val="1059"/>
  </w:num>
  <w:num w:numId="1184" w16cid:durableId="1123041465">
    <w:abstractNumId w:val="1099"/>
  </w:num>
  <w:num w:numId="1185" w16cid:durableId="912393378">
    <w:abstractNumId w:val="126"/>
  </w:num>
  <w:num w:numId="1186" w16cid:durableId="1639921343">
    <w:abstractNumId w:val="117"/>
  </w:num>
  <w:num w:numId="1187" w16cid:durableId="1835561875">
    <w:abstractNumId w:val="367"/>
  </w:num>
  <w:num w:numId="1188" w16cid:durableId="485320054">
    <w:abstractNumId w:val="728"/>
  </w:num>
  <w:num w:numId="1189" w16cid:durableId="872959563">
    <w:abstractNumId w:val="267"/>
  </w:num>
  <w:num w:numId="1190" w16cid:durableId="1539583381">
    <w:abstractNumId w:val="619"/>
  </w:num>
  <w:num w:numId="1191" w16cid:durableId="1705130613">
    <w:abstractNumId w:val="287"/>
  </w:num>
  <w:num w:numId="1192" w16cid:durableId="1512136010">
    <w:abstractNumId w:val="443"/>
  </w:num>
  <w:num w:numId="1193" w16cid:durableId="965695583">
    <w:abstractNumId w:val="333"/>
  </w:num>
  <w:num w:numId="1194" w16cid:durableId="1910385416">
    <w:abstractNumId w:val="48"/>
  </w:num>
  <w:num w:numId="1195" w16cid:durableId="2144960144">
    <w:abstractNumId w:val="1009"/>
  </w:num>
  <w:num w:numId="1196" w16cid:durableId="474374280">
    <w:abstractNumId w:val="1307"/>
  </w:num>
  <w:num w:numId="1197" w16cid:durableId="183515638">
    <w:abstractNumId w:val="285"/>
  </w:num>
  <w:num w:numId="1198" w16cid:durableId="1638490692">
    <w:abstractNumId w:val="741"/>
  </w:num>
  <w:num w:numId="1199" w16cid:durableId="241839379">
    <w:abstractNumId w:val="655"/>
  </w:num>
  <w:num w:numId="1200" w16cid:durableId="1744450642">
    <w:abstractNumId w:val="1248"/>
  </w:num>
  <w:num w:numId="1201" w16cid:durableId="1580824515">
    <w:abstractNumId w:val="354"/>
  </w:num>
  <w:num w:numId="1202" w16cid:durableId="996109786">
    <w:abstractNumId w:val="377"/>
  </w:num>
  <w:num w:numId="1203" w16cid:durableId="294455174">
    <w:abstractNumId w:val="730"/>
  </w:num>
  <w:num w:numId="1204" w16cid:durableId="1635132459">
    <w:abstractNumId w:val="478"/>
  </w:num>
  <w:num w:numId="1205" w16cid:durableId="984625413">
    <w:abstractNumId w:val="415"/>
  </w:num>
  <w:num w:numId="1206" w16cid:durableId="1465467372">
    <w:abstractNumId w:val="568"/>
  </w:num>
  <w:num w:numId="1207" w16cid:durableId="916326588">
    <w:abstractNumId w:val="754"/>
  </w:num>
  <w:num w:numId="1208" w16cid:durableId="1408723065">
    <w:abstractNumId w:val="268"/>
  </w:num>
  <w:num w:numId="1209" w16cid:durableId="854268040">
    <w:abstractNumId w:val="569"/>
  </w:num>
  <w:num w:numId="1210" w16cid:durableId="1588073113">
    <w:abstractNumId w:val="34"/>
  </w:num>
  <w:num w:numId="1211" w16cid:durableId="420418736">
    <w:abstractNumId w:val="262"/>
  </w:num>
  <w:num w:numId="1212" w16cid:durableId="1412238034">
    <w:abstractNumId w:val="1173"/>
  </w:num>
  <w:num w:numId="1213" w16cid:durableId="1149515248">
    <w:abstractNumId w:val="118"/>
  </w:num>
  <w:num w:numId="1214" w16cid:durableId="2107143054">
    <w:abstractNumId w:val="81"/>
  </w:num>
  <w:num w:numId="1215" w16cid:durableId="1315139107">
    <w:abstractNumId w:val="875"/>
  </w:num>
  <w:num w:numId="1216" w16cid:durableId="116875609">
    <w:abstractNumId w:val="636"/>
  </w:num>
  <w:num w:numId="1217" w16cid:durableId="1758019636">
    <w:abstractNumId w:val="919"/>
  </w:num>
  <w:num w:numId="1218" w16cid:durableId="1335718916">
    <w:abstractNumId w:val="792"/>
  </w:num>
  <w:num w:numId="1219" w16cid:durableId="417333905">
    <w:abstractNumId w:val="67"/>
  </w:num>
  <w:num w:numId="1220" w16cid:durableId="717896202">
    <w:abstractNumId w:val="565"/>
  </w:num>
  <w:num w:numId="1221" w16cid:durableId="1058675331">
    <w:abstractNumId w:val="530"/>
  </w:num>
  <w:num w:numId="1222" w16cid:durableId="1470828213">
    <w:abstractNumId w:val="1143"/>
  </w:num>
  <w:num w:numId="1223" w16cid:durableId="1799955151">
    <w:abstractNumId w:val="469"/>
  </w:num>
  <w:num w:numId="1224" w16cid:durableId="585920436">
    <w:abstractNumId w:val="1060"/>
  </w:num>
  <w:num w:numId="1225" w16cid:durableId="391464867">
    <w:abstractNumId w:val="158"/>
  </w:num>
  <w:num w:numId="1226" w16cid:durableId="1866015513">
    <w:abstractNumId w:val="999"/>
  </w:num>
  <w:num w:numId="1227" w16cid:durableId="695733529">
    <w:abstractNumId w:val="1163"/>
  </w:num>
  <w:num w:numId="1228" w16cid:durableId="563486618">
    <w:abstractNumId w:val="147"/>
  </w:num>
  <w:num w:numId="1229" w16cid:durableId="468206935">
    <w:abstractNumId w:val="838"/>
  </w:num>
  <w:num w:numId="1230" w16cid:durableId="1784306955">
    <w:abstractNumId w:val="838"/>
    <w:lvlOverride w:ilvl="0">
      <w:lvl w:ilvl="0">
        <w:start w:val="1"/>
        <w:numFmt w:val="decimal"/>
        <w:lvlText w:val="%1."/>
        <w:legacy w:legacy="1" w:legacySpace="0" w:legacyIndent="340"/>
        <w:lvlJc w:val="left"/>
        <w:pPr>
          <w:ind w:left="340" w:hanging="340"/>
        </w:pPr>
      </w:lvl>
    </w:lvlOverride>
  </w:num>
  <w:num w:numId="1231" w16cid:durableId="1235697858">
    <w:abstractNumId w:val="390"/>
  </w:num>
  <w:num w:numId="1232" w16cid:durableId="50229336">
    <w:abstractNumId w:val="390"/>
    <w:lvlOverride w:ilvl="0">
      <w:lvl w:ilvl="0">
        <w:start w:val="1"/>
        <w:numFmt w:val="decimal"/>
        <w:lvlText w:val="%1."/>
        <w:legacy w:legacy="1" w:legacySpace="0" w:legacyIndent="454"/>
        <w:lvlJc w:val="left"/>
        <w:pPr>
          <w:ind w:left="454" w:hanging="454"/>
        </w:pPr>
      </w:lvl>
    </w:lvlOverride>
  </w:num>
  <w:num w:numId="1233" w16cid:durableId="574629573">
    <w:abstractNumId w:val="503"/>
  </w:num>
  <w:num w:numId="1234" w16cid:durableId="2075161609">
    <w:abstractNumId w:val="503"/>
    <w:lvlOverride w:ilvl="0">
      <w:lvl w:ilvl="0">
        <w:start w:val="15"/>
        <w:numFmt w:val="decimal"/>
        <w:lvlText w:val="%1."/>
        <w:legacy w:legacy="1" w:legacySpace="0" w:legacyIndent="454"/>
        <w:lvlJc w:val="left"/>
        <w:pPr>
          <w:ind w:left="454" w:hanging="454"/>
        </w:pPr>
      </w:lvl>
    </w:lvlOverride>
    <w:lvlOverride w:ilvl="1">
      <w:lvl w:ilvl="1">
        <w:numFmt w:val="none"/>
        <w:lvlText w:val=""/>
        <w:legacy w:legacy="1" w:legacySpace="0" w:legacyIndent="0"/>
        <w:lvlJc w:val="left"/>
        <w:rPr>
          <w:rFonts w:ascii="Tms Rmn" w:hAnsi="Tms Rmn" w:hint="default"/>
        </w:rPr>
      </w:lvl>
    </w:lvlOverride>
    <w:lvlOverride w:ilvl="2">
      <w:lvl w:ilvl="2">
        <w:numFmt w:val="none"/>
        <w:lvlText w:val=""/>
        <w:legacy w:legacy="1" w:legacySpace="0" w:legacyIndent="0"/>
        <w:lvlJc w:val="left"/>
        <w:rPr>
          <w:rFonts w:ascii="Tms Rmn" w:hAnsi="Tms Rmn" w:hint="default"/>
        </w:rPr>
      </w:lvl>
    </w:lvlOverride>
    <w:lvlOverride w:ilvl="3">
      <w:lvl w:ilvl="3">
        <w:numFmt w:val="none"/>
        <w:lvlText w:val=""/>
        <w:legacy w:legacy="1" w:legacySpace="0" w:legacyIndent="0"/>
        <w:lvlJc w:val="left"/>
        <w:rPr>
          <w:rFonts w:ascii="Tms Rmn" w:hAnsi="Tms Rmn" w:hint="default"/>
        </w:rPr>
      </w:lvl>
    </w:lvlOverride>
    <w:lvlOverride w:ilvl="4">
      <w:lvl w:ilvl="4">
        <w:numFmt w:val="none"/>
        <w:lvlText w:val=""/>
        <w:legacy w:legacy="1" w:legacySpace="0" w:legacyIndent="0"/>
        <w:lvlJc w:val="left"/>
        <w:rPr>
          <w:rFonts w:ascii="Tms Rmn" w:hAnsi="Tms Rmn" w:hint="default"/>
        </w:rPr>
      </w:lvl>
    </w:lvlOverride>
    <w:lvlOverride w:ilvl="5">
      <w:lvl w:ilvl="5">
        <w:numFmt w:val="none"/>
        <w:lvlText w:val=""/>
        <w:legacy w:legacy="1" w:legacySpace="0" w:legacyIndent="0"/>
        <w:lvlJc w:val="left"/>
        <w:rPr>
          <w:rFonts w:ascii="Tms Rmn" w:hAnsi="Tms Rmn" w:hint="default"/>
        </w:rPr>
      </w:lvl>
    </w:lvlOverride>
    <w:lvlOverride w:ilvl="6">
      <w:lvl w:ilvl="6">
        <w:numFmt w:val="none"/>
        <w:lvlText w:val=""/>
        <w:legacy w:legacy="1" w:legacySpace="0" w:legacyIndent="0"/>
        <w:lvlJc w:val="left"/>
        <w:rPr>
          <w:rFonts w:ascii="Tms Rmn" w:hAnsi="Tms Rmn" w:hint="default"/>
        </w:rPr>
      </w:lvl>
    </w:lvlOverride>
    <w:lvlOverride w:ilvl="7">
      <w:lvl w:ilvl="7">
        <w:numFmt w:val="none"/>
        <w:lvlText w:val=""/>
        <w:legacy w:legacy="1" w:legacySpace="0" w:legacyIndent="0"/>
        <w:lvlJc w:val="left"/>
        <w:rPr>
          <w:rFonts w:ascii="Tms Rmn" w:hAnsi="Tms Rmn" w:hint="default"/>
        </w:rPr>
      </w:lvl>
    </w:lvlOverride>
    <w:lvlOverride w:ilvl="8">
      <w:lvl w:ilvl="8">
        <w:numFmt w:val="none"/>
        <w:lvlText w:val=""/>
        <w:legacy w:legacy="1" w:legacySpace="0" w:legacyIndent="0"/>
        <w:lvlJc w:val="left"/>
        <w:rPr>
          <w:rFonts w:ascii="Tms Rmn" w:hAnsi="Tms Rmn" w:hint="default"/>
        </w:rPr>
      </w:lvl>
    </w:lvlOverride>
  </w:num>
  <w:num w:numId="1235" w16cid:durableId="1036155752">
    <w:abstractNumId w:val="764"/>
  </w:num>
  <w:num w:numId="1236" w16cid:durableId="435102340">
    <w:abstractNumId w:val="764"/>
    <w:lvlOverride w:ilvl="0">
      <w:lvl w:ilvl="0">
        <w:start w:val="1"/>
        <w:numFmt w:val="decimal"/>
        <w:lvlText w:val="%1."/>
        <w:legacy w:legacy="1" w:legacySpace="0" w:legacyIndent="454"/>
        <w:lvlJc w:val="left"/>
        <w:pPr>
          <w:ind w:left="454" w:hanging="454"/>
        </w:pPr>
      </w:lvl>
    </w:lvlOverride>
  </w:num>
  <w:num w:numId="1237" w16cid:durableId="1197548545">
    <w:abstractNumId w:val="982"/>
  </w:num>
  <w:num w:numId="1238" w16cid:durableId="7951550">
    <w:abstractNumId w:val="1053"/>
  </w:num>
  <w:num w:numId="1239" w16cid:durableId="901719755">
    <w:abstractNumId w:val="1053"/>
    <w:lvlOverride w:ilvl="0">
      <w:lvl w:ilvl="0">
        <w:start w:val="1"/>
        <w:numFmt w:val="decimal"/>
        <w:lvlText w:val="%1."/>
        <w:legacy w:legacy="1" w:legacySpace="0" w:legacyIndent="454"/>
        <w:lvlJc w:val="left"/>
        <w:pPr>
          <w:ind w:left="454" w:hanging="454"/>
        </w:pPr>
      </w:lvl>
    </w:lvlOverride>
  </w:num>
  <w:num w:numId="1240" w16cid:durableId="1854802137">
    <w:abstractNumId w:val="1088"/>
  </w:num>
  <w:num w:numId="1241" w16cid:durableId="763307238">
    <w:abstractNumId w:val="445"/>
  </w:num>
  <w:num w:numId="1242" w16cid:durableId="1080297344">
    <w:abstractNumId w:val="86"/>
  </w:num>
  <w:num w:numId="1243" w16cid:durableId="1677687010">
    <w:abstractNumId w:val="96"/>
  </w:num>
  <w:num w:numId="1244" w16cid:durableId="1484076643">
    <w:abstractNumId w:val="1144"/>
  </w:num>
  <w:num w:numId="1245" w16cid:durableId="790823446">
    <w:abstractNumId w:val="979"/>
  </w:num>
  <w:num w:numId="1246" w16cid:durableId="984969786">
    <w:abstractNumId w:val="245"/>
  </w:num>
  <w:num w:numId="1247" w16cid:durableId="2043745945">
    <w:abstractNumId w:val="831"/>
  </w:num>
  <w:num w:numId="1248" w16cid:durableId="591862261">
    <w:abstractNumId w:val="1215"/>
  </w:num>
  <w:num w:numId="1249" w16cid:durableId="1899121367">
    <w:abstractNumId w:val="403"/>
  </w:num>
  <w:num w:numId="1250" w16cid:durableId="1555388354">
    <w:abstractNumId w:val="1202"/>
  </w:num>
  <w:num w:numId="1251" w16cid:durableId="1994022151">
    <w:abstractNumId w:val="132"/>
  </w:num>
  <w:num w:numId="1252" w16cid:durableId="211187634">
    <w:abstractNumId w:val="990"/>
  </w:num>
  <w:num w:numId="1253" w16cid:durableId="1238393469">
    <w:abstractNumId w:val="849"/>
  </w:num>
  <w:num w:numId="1254" w16cid:durableId="700206396">
    <w:abstractNumId w:val="1229"/>
  </w:num>
  <w:num w:numId="1255" w16cid:durableId="1242135040">
    <w:abstractNumId w:val="1108"/>
  </w:num>
  <w:num w:numId="1256" w16cid:durableId="915015285">
    <w:abstractNumId w:val="876"/>
  </w:num>
  <w:num w:numId="1257" w16cid:durableId="1645544188">
    <w:abstractNumId w:val="634"/>
  </w:num>
  <w:num w:numId="1258" w16cid:durableId="566035187">
    <w:abstractNumId w:val="165"/>
  </w:num>
  <w:num w:numId="1259" w16cid:durableId="1428187905">
    <w:abstractNumId w:val="846"/>
  </w:num>
  <w:num w:numId="1260" w16cid:durableId="1328561093">
    <w:abstractNumId w:val="1119"/>
  </w:num>
  <w:num w:numId="1261" w16cid:durableId="1200510308">
    <w:abstractNumId w:val="638"/>
  </w:num>
  <w:num w:numId="1262" w16cid:durableId="320306261">
    <w:abstractNumId w:val="1303"/>
  </w:num>
  <w:num w:numId="1263" w16cid:durableId="671489175">
    <w:abstractNumId w:val="662"/>
  </w:num>
  <w:num w:numId="1264" w16cid:durableId="121581731">
    <w:abstractNumId w:val="828"/>
  </w:num>
  <w:num w:numId="1265" w16cid:durableId="463043602">
    <w:abstractNumId w:val="359"/>
  </w:num>
  <w:num w:numId="1266" w16cid:durableId="141237273">
    <w:abstractNumId w:val="793"/>
  </w:num>
  <w:num w:numId="1267" w16cid:durableId="282344192">
    <w:abstractNumId w:val="1223"/>
  </w:num>
  <w:num w:numId="1268" w16cid:durableId="471562449">
    <w:abstractNumId w:val="597"/>
  </w:num>
  <w:num w:numId="1269" w16cid:durableId="874852512">
    <w:abstractNumId w:val="337"/>
  </w:num>
  <w:num w:numId="1270" w16cid:durableId="813568792">
    <w:abstractNumId w:val="11"/>
    <w:lvlOverride w:ilvl="0">
      <w:lvl w:ilvl="0">
        <w:numFmt w:val="bullet"/>
        <w:lvlText w:val=""/>
        <w:legacy w:legacy="1" w:legacySpace="0" w:legacyIndent="360"/>
        <w:lvlJc w:val="left"/>
        <w:pPr>
          <w:ind w:left="720" w:hanging="360"/>
        </w:pPr>
        <w:rPr>
          <w:rFonts w:ascii="Symbol" w:hAnsi="Symbol" w:hint="default"/>
        </w:rPr>
      </w:lvl>
    </w:lvlOverride>
  </w:num>
  <w:num w:numId="1271" w16cid:durableId="741291373">
    <w:abstractNumId w:val="1037"/>
  </w:num>
  <w:num w:numId="1272" w16cid:durableId="1561599351">
    <w:abstractNumId w:val="275"/>
  </w:num>
  <w:num w:numId="1273" w16cid:durableId="534538150">
    <w:abstractNumId w:val="690"/>
  </w:num>
  <w:num w:numId="1274" w16cid:durableId="382411690">
    <w:abstractNumId w:val="888"/>
  </w:num>
  <w:num w:numId="1275" w16cid:durableId="1919975418">
    <w:abstractNumId w:val="663"/>
  </w:num>
  <w:num w:numId="1276" w16cid:durableId="2083867944">
    <w:abstractNumId w:val="97"/>
  </w:num>
  <w:num w:numId="1277" w16cid:durableId="703557969">
    <w:abstractNumId w:val="1271"/>
  </w:num>
  <w:num w:numId="1278" w16cid:durableId="182745808">
    <w:abstractNumId w:val="706"/>
  </w:num>
  <w:num w:numId="1279" w16cid:durableId="1187257717">
    <w:abstractNumId w:val="1084"/>
  </w:num>
  <w:num w:numId="1280" w16cid:durableId="1364943063">
    <w:abstractNumId w:val="642"/>
  </w:num>
  <w:num w:numId="1281" w16cid:durableId="1964119257">
    <w:abstractNumId w:val="384"/>
  </w:num>
  <w:num w:numId="1282" w16cid:durableId="95829807">
    <w:abstractNumId w:val="193"/>
  </w:num>
  <w:num w:numId="1283" w16cid:durableId="1059017951">
    <w:abstractNumId w:val="148"/>
  </w:num>
  <w:num w:numId="1284" w16cid:durableId="940989043">
    <w:abstractNumId w:val="324"/>
  </w:num>
  <w:num w:numId="1285" w16cid:durableId="1244023376">
    <w:abstractNumId w:val="606"/>
  </w:num>
  <w:num w:numId="1286" w16cid:durableId="566502559">
    <w:abstractNumId w:val="720"/>
  </w:num>
  <w:num w:numId="1287" w16cid:durableId="364670753">
    <w:abstractNumId w:val="314"/>
  </w:num>
  <w:num w:numId="1288" w16cid:durableId="645551969">
    <w:abstractNumId w:val="647"/>
  </w:num>
  <w:num w:numId="1289" w16cid:durableId="1548058537">
    <w:abstractNumId w:val="810"/>
  </w:num>
  <w:num w:numId="1290" w16cid:durableId="980886689">
    <w:abstractNumId w:val="1230"/>
  </w:num>
  <w:num w:numId="1291" w16cid:durableId="1442786">
    <w:abstractNumId w:val="1058"/>
  </w:num>
  <w:num w:numId="1292" w16cid:durableId="445082000">
    <w:abstractNumId w:val="1168"/>
  </w:num>
  <w:num w:numId="1293" w16cid:durableId="99225900">
    <w:abstractNumId w:val="414"/>
  </w:num>
  <w:num w:numId="1294" w16cid:durableId="2046175421">
    <w:abstractNumId w:val="960"/>
  </w:num>
  <w:num w:numId="1295" w16cid:durableId="77102030">
    <w:abstractNumId w:val="144"/>
  </w:num>
  <w:num w:numId="1296" w16cid:durableId="1575239518">
    <w:abstractNumId w:val="38"/>
  </w:num>
  <w:num w:numId="1297" w16cid:durableId="757941251">
    <w:abstractNumId w:val="708"/>
  </w:num>
  <w:num w:numId="1298" w16cid:durableId="1869833656">
    <w:abstractNumId w:val="57"/>
  </w:num>
  <w:num w:numId="1299" w16cid:durableId="232011627">
    <w:abstractNumId w:val="795"/>
  </w:num>
  <w:num w:numId="1300" w16cid:durableId="1267540349">
    <w:abstractNumId w:val="558"/>
  </w:num>
  <w:num w:numId="1301" w16cid:durableId="1977450118">
    <w:abstractNumId w:val="559"/>
  </w:num>
  <w:num w:numId="1302" w16cid:durableId="1085302466">
    <w:abstractNumId w:val="1261"/>
  </w:num>
  <w:num w:numId="1303" w16cid:durableId="1976643501">
    <w:abstractNumId w:val="996"/>
  </w:num>
  <w:num w:numId="1304" w16cid:durableId="760100947">
    <w:abstractNumId w:val="484"/>
  </w:num>
  <w:num w:numId="1305" w16cid:durableId="2034917633">
    <w:abstractNumId w:val="514"/>
  </w:num>
  <w:num w:numId="1306" w16cid:durableId="1081950564">
    <w:abstractNumId w:val="58"/>
  </w:num>
  <w:num w:numId="1307" w16cid:durableId="1825119455">
    <w:abstractNumId w:val="593"/>
  </w:num>
  <w:num w:numId="1308" w16cid:durableId="997422573">
    <w:abstractNumId w:val="587"/>
  </w:num>
  <w:num w:numId="1309" w16cid:durableId="1428770282">
    <w:abstractNumId w:val="419"/>
  </w:num>
  <w:num w:numId="1310" w16cid:durableId="1495298028">
    <w:abstractNumId w:val="206"/>
  </w:num>
  <w:num w:numId="1311" w16cid:durableId="311717687">
    <w:abstractNumId w:val="216"/>
  </w:num>
  <w:num w:numId="1312" w16cid:durableId="1541554352">
    <w:abstractNumId w:val="1005"/>
  </w:num>
  <w:num w:numId="1313" w16cid:durableId="1795445174">
    <w:abstractNumId w:val="145"/>
  </w:num>
  <w:num w:numId="1314" w16cid:durableId="1843423818">
    <w:abstractNumId w:val="949"/>
  </w:num>
  <w:num w:numId="1315" w16cid:durableId="2029794918">
    <w:abstractNumId w:val="977"/>
  </w:num>
  <w:num w:numId="1316" w16cid:durableId="565068715">
    <w:abstractNumId w:val="596"/>
  </w:num>
  <w:num w:numId="1317" w16cid:durableId="1137990873">
    <w:abstractNumId w:val="1155"/>
  </w:num>
  <w:num w:numId="1318" w16cid:durableId="720980672">
    <w:abstractNumId w:val="139"/>
  </w:num>
  <w:num w:numId="1319" w16cid:durableId="1507163641">
    <w:abstractNumId w:val="104"/>
  </w:num>
  <w:num w:numId="1320" w16cid:durableId="454637055">
    <w:abstractNumId w:val="685"/>
  </w:num>
  <w:num w:numId="1321" w16cid:durableId="682316629">
    <w:abstractNumId w:val="548"/>
  </w:num>
  <w:num w:numId="1322" w16cid:durableId="519439353">
    <w:abstractNumId w:val="74"/>
  </w:num>
  <w:num w:numId="1323" w16cid:durableId="451751847">
    <w:abstractNumId w:val="1021"/>
  </w:num>
  <w:num w:numId="1324" w16cid:durableId="1314794025">
    <w:abstractNumId w:val="173"/>
  </w:num>
  <w:num w:numId="1325" w16cid:durableId="373504033">
    <w:abstractNumId w:val="214"/>
  </w:num>
  <w:num w:numId="1326" w16cid:durableId="128868206">
    <w:abstractNumId w:val="1066"/>
  </w:num>
  <w:num w:numId="1327" w16cid:durableId="1494446643">
    <w:abstractNumId w:val="304"/>
  </w:num>
  <w:num w:numId="1328" w16cid:durableId="1285576598">
    <w:abstractNumId w:val="375"/>
  </w:num>
  <w:num w:numId="1329" w16cid:durableId="1863130549">
    <w:abstractNumId w:val="480"/>
  </w:num>
  <w:num w:numId="1330" w16cid:durableId="1536114203">
    <w:abstractNumId w:val="1182"/>
  </w:num>
  <w:num w:numId="1331" w16cid:durableId="1313026334">
    <w:abstractNumId w:val="988"/>
  </w:num>
  <w:num w:numId="1332" w16cid:durableId="36467632">
    <w:abstractNumId w:val="718"/>
  </w:num>
  <w:num w:numId="1333" w16cid:durableId="1816334343">
    <w:abstractNumId w:val="605"/>
  </w:num>
  <w:num w:numId="1334" w16cid:durableId="427312579">
    <w:abstractNumId w:val="1022"/>
  </w:num>
  <w:num w:numId="1335" w16cid:durableId="418063120">
    <w:abstractNumId w:val="924"/>
  </w:num>
  <w:num w:numId="1336" w16cid:durableId="1241333122">
    <w:abstractNumId w:val="14"/>
  </w:num>
  <w:num w:numId="1337" w16cid:durableId="1657109034">
    <w:abstractNumId w:val="133"/>
  </w:num>
  <w:num w:numId="1338" w16cid:durableId="1820074430">
    <w:abstractNumId w:val="385"/>
  </w:num>
  <w:num w:numId="1339" w16cid:durableId="820662102">
    <w:abstractNumId w:val="672"/>
  </w:num>
  <w:num w:numId="1340" w16cid:durableId="1771659273">
    <w:abstractNumId w:val="1151"/>
  </w:num>
  <w:num w:numId="1341" w16cid:durableId="135075845">
    <w:abstractNumId w:val="336"/>
  </w:num>
  <w:num w:numId="1342" w16cid:durableId="938220262">
    <w:abstractNumId w:val="526"/>
  </w:num>
  <w:num w:numId="1343" w16cid:durableId="760374468">
    <w:abstractNumId w:val="184"/>
  </w:num>
  <w:num w:numId="1344" w16cid:durableId="170802807">
    <w:abstractNumId w:val="889"/>
  </w:num>
  <w:num w:numId="1345" w16cid:durableId="691107796">
    <w:abstractNumId w:val="944"/>
  </w:num>
  <w:num w:numId="1346" w16cid:durableId="1436899014">
    <w:abstractNumId w:val="422"/>
  </w:num>
  <w:num w:numId="1347" w16cid:durableId="799493447">
    <w:abstractNumId w:val="301"/>
  </w:num>
  <w:num w:numId="1348" w16cid:durableId="1490364046">
    <w:abstractNumId w:val="670"/>
  </w:num>
  <w:num w:numId="1349" w16cid:durableId="1235626279">
    <w:abstractNumId w:val="1293"/>
  </w:num>
  <w:num w:numId="1350" w16cid:durableId="2029794233">
    <w:abstractNumId w:val="143"/>
  </w:num>
  <w:num w:numId="1351" w16cid:durableId="1910075119">
    <w:abstractNumId w:val="973"/>
  </w:num>
  <w:num w:numId="1352" w16cid:durableId="273439226">
    <w:abstractNumId w:val="753"/>
  </w:num>
  <w:num w:numId="1353" w16cid:durableId="141897170">
    <w:abstractNumId w:val="850"/>
  </w:num>
  <w:num w:numId="1354" w16cid:durableId="48849624">
    <w:abstractNumId w:val="969"/>
  </w:num>
  <w:num w:numId="1355" w16cid:durableId="1360661907">
    <w:abstractNumId w:val="930"/>
  </w:num>
  <w:num w:numId="1356" w16cid:durableId="74328211">
    <w:abstractNumId w:val="320"/>
  </w:num>
  <w:num w:numId="1357" w16cid:durableId="1093163131">
    <w:abstractNumId w:val="369"/>
  </w:num>
  <w:num w:numId="1358" w16cid:durableId="899747431">
    <w:abstractNumId w:val="588"/>
  </w:num>
  <w:num w:numId="1359" w16cid:durableId="841626964">
    <w:abstractNumId w:val="894"/>
  </w:num>
  <w:num w:numId="1360" w16cid:durableId="56826413">
    <w:abstractNumId w:val="8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B6597B"/>
    <w:rsid w:val="001C7BF9"/>
    <w:rsid w:val="00B6597B"/>
    <w:rsid w:val="00C968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CCECB6-41E2-43BE-98F7-29B232E3D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MP">
    <w:name w:val="MP"/>
    <w:basedOn w:val="Normal"/>
    <w:pPr>
      <w:numPr>
        <w:numId w:val="1268"/>
      </w:numPr>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aliases w:val="SFS Fotnots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Vinkela">
    <w:name w:val="Vinkela"/>
    <w:basedOn w:val="Normal"/>
    <w:next w:val="Normal"/>
    <w:pPr>
      <w:spacing w:before="123" w:line="245" w:lineRule="exact"/>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RubrikInnehll">
    <w:name w:val="RubrikInnehåll"/>
    <w:basedOn w:val="Rubrik1"/>
    <w:next w:val="Normal"/>
    <w:pPr>
      <w:spacing w:after="680" w:line="320" w:lineRule="exact"/>
    </w:pPr>
  </w:style>
  <w:style w:type="paragraph" w:customStyle="1" w:styleId="Tabellochbildrubrik">
    <w:name w:val="Tabell och bildrubrik"/>
    <w:basedOn w:val="Normal"/>
    <w:pPr>
      <w:spacing w:before="300" w:line="200" w:lineRule="exact"/>
      <w:jc w:val="left"/>
    </w:pPr>
    <w:rPr>
      <w:caps/>
      <w:sz w:val="14"/>
    </w:rPr>
  </w:style>
  <w:style w:type="paragraph" w:customStyle="1" w:styleId="Utskottetsvervganden-kursivrubrik">
    <w:name w:val="Utskottets överväganden - kursiv rubrik"/>
    <w:basedOn w:val="Rubrik3"/>
    <w:next w:val="Normal"/>
    <w:pPr>
      <w:spacing w:before="190" w:after="60"/>
    </w:pPr>
    <w:rPr>
      <w:b w:val="0"/>
      <w:i/>
    </w:rPr>
  </w:style>
  <w:style w:type="paragraph" w:customStyle="1" w:styleId="Reservationer-underrubrik">
    <w:name w:val="Reservationer - underrubrik"/>
    <w:basedOn w:val="Utskottetsvervganden-kursivrubrik"/>
  </w:style>
  <w:style w:type="paragraph" w:customStyle="1" w:styleId="LagRubrik2">
    <w:name w:val="Lag Rubrik 2"/>
    <w:basedOn w:val="Normal"/>
    <w:next w:val="Brdtext"/>
    <w:pPr>
      <w:spacing w:before="0" w:line="240" w:lineRule="atLeast"/>
      <w:jc w:val="left"/>
    </w:pPr>
    <w:rPr>
      <w:i/>
      <w:spacing w:val="-2"/>
      <w:kern w:val="16"/>
      <w:sz w:val="22"/>
    </w:rPr>
  </w:style>
  <w:style w:type="paragraph" w:styleId="Brdtext">
    <w:name w:val="Body Text"/>
    <w:basedOn w:val="Normal"/>
    <w:semiHidden/>
    <w:pPr>
      <w:spacing w:before="0" w:after="120" w:line="240" w:lineRule="atLeast"/>
    </w:pPr>
    <w:rPr>
      <w:rFonts w:ascii="OrigGarmnd BT" w:hAnsi="OrigGarmnd BT"/>
      <w:sz w:val="22"/>
    </w:rPr>
  </w:style>
  <w:style w:type="paragraph" w:customStyle="1" w:styleId="TabellrubrikPer">
    <w:name w:val="Tabellrubrik Per"/>
    <w:basedOn w:val="Normal"/>
    <w:next w:val="Tabelltext"/>
    <w:pPr>
      <w:spacing w:before="250" w:line="200" w:lineRule="atLeast"/>
      <w:ind w:left="851" w:hanging="851"/>
      <w:jc w:val="left"/>
    </w:pPr>
    <w:rPr>
      <w:caps/>
      <w:spacing w:val="8"/>
      <w:sz w:val="14"/>
    </w:rPr>
  </w:style>
  <w:style w:type="paragraph" w:customStyle="1" w:styleId="Tabell">
    <w:name w:val="Tabell"/>
    <w:basedOn w:val="Normal"/>
    <w:pPr>
      <w:spacing w:before="0" w:line="170" w:lineRule="exact"/>
    </w:pPr>
    <w:rPr>
      <w:sz w:val="17"/>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Rubrik0">
    <w:name w:val="Tabell Rubrik"/>
    <w:basedOn w:val="Tabell"/>
    <w:next w:val="Brdtext"/>
    <w:pPr>
      <w:shd w:val="solid" w:color="auto" w:fill="auto"/>
      <w:spacing w:after="40" w:line="200" w:lineRule="exact"/>
      <w:jc w:val="left"/>
    </w:pPr>
    <w:rPr>
      <w:rFonts w:ascii="TradeGothic" w:hAnsi="TradeGothic"/>
      <w:b/>
      <w:color w:val="FFFFFF"/>
      <w:spacing w:val="2"/>
      <w:sz w:val="16"/>
    </w:rPr>
  </w:style>
  <w:style w:type="paragraph" w:customStyle="1" w:styleId="TabellHuvud">
    <w:name w:val="Tabell Huvud"/>
    <w:basedOn w:val="Tabell"/>
    <w:pPr>
      <w:spacing w:line="160" w:lineRule="exact"/>
      <w:jc w:val="right"/>
    </w:pPr>
    <w:rPr>
      <w:rFonts w:ascii="TradeGothic CondEighteen" w:hAnsi="TradeGothic CondEighteen"/>
      <w:spacing w:val="4"/>
      <w:sz w:val="14"/>
    </w:rPr>
  </w:style>
  <w:style w:type="paragraph" w:customStyle="1" w:styleId="TabellRader">
    <w:name w:val="Tabell Rader"/>
    <w:basedOn w:val="Tabell"/>
    <w:pPr>
      <w:spacing w:before="60" w:after="20" w:line="200" w:lineRule="exact"/>
      <w:jc w:val="right"/>
    </w:pPr>
    <w:rPr>
      <w:rFonts w:ascii="TradeGothic CondEighteen" w:hAnsi="TradeGothic CondEighteen"/>
      <w:spacing w:val="4"/>
      <w:sz w:val="16"/>
    </w:rPr>
  </w:style>
  <w:style w:type="paragraph" w:customStyle="1" w:styleId="TabellFotnot">
    <w:name w:val="Tabell Fotnot"/>
    <w:basedOn w:val="Tabell"/>
    <w:pPr>
      <w:spacing w:line="160" w:lineRule="exact"/>
      <w:jc w:val="left"/>
    </w:pPr>
    <w:rPr>
      <w:rFonts w:ascii="TradeGothic CondEighteen" w:hAnsi="TradeGothic CondEighteen"/>
      <w:sz w:val="13"/>
    </w:rPr>
  </w:style>
  <w:style w:type="paragraph" w:customStyle="1" w:styleId="TabellSlutsumma">
    <w:name w:val="Tabell Slutsumma"/>
    <w:basedOn w:val="TabellRader"/>
    <w:rPr>
      <w:b/>
      <w:spacing w:val="0"/>
    </w:rPr>
  </w:style>
  <w:style w:type="paragraph" w:customStyle="1" w:styleId="FiU1tabellrubrik2000">
    <w:name w:val="FiU1 tabellrubrik 2000"/>
    <w:basedOn w:val="Tabell"/>
    <w:next w:val="Tabell"/>
    <w:pPr>
      <w:spacing w:before="300" w:line="300" w:lineRule="exact"/>
    </w:pPr>
    <w:rPr>
      <w:b/>
    </w:rPr>
  </w:style>
  <w:style w:type="paragraph" w:customStyle="1" w:styleId="tabellrubrikFiU1">
    <w:name w:val="tabellrubrik FiU1"/>
    <w:basedOn w:val="Normal"/>
    <w:pPr>
      <w:spacing w:before="250" w:after="40" w:line="180" w:lineRule="exact"/>
    </w:pPr>
    <w:rPr>
      <w:b/>
      <w:sz w:val="17"/>
    </w:rPr>
  </w:style>
  <w:style w:type="paragraph" w:styleId="Brdtextmedindrag">
    <w:name w:val="Body Text Indent"/>
    <w:basedOn w:val="Normal"/>
    <w:semiHidden/>
    <w:pPr>
      <w:spacing w:before="122" w:line="245" w:lineRule="exact"/>
      <w:ind w:firstLine="284"/>
    </w:pPr>
  </w:style>
  <w:style w:type="paragraph" w:customStyle="1" w:styleId="SBTabell">
    <w:name w:val="SB_Tabell"/>
    <w:basedOn w:val="Normal"/>
    <w:pPr>
      <w:spacing w:before="0" w:line="214" w:lineRule="exact"/>
    </w:pPr>
  </w:style>
  <w:style w:type="paragraph" w:customStyle="1" w:styleId="PunktlistaBomb">
    <w:name w:val="Punktlista_Bomb"/>
    <w:aliases w:val="Bomb"/>
    <w:basedOn w:val="Normal"/>
    <w:pPr>
      <w:numPr>
        <w:numId w:val="2"/>
      </w:numPr>
      <w:spacing w:before="125"/>
    </w:pPr>
    <w:rPr>
      <w:lang w:eastAsia="sv-SE"/>
    </w:rPr>
  </w:style>
  <w:style w:type="paragraph" w:styleId="Brdtext2">
    <w:name w:val="Body Text 2"/>
    <w:basedOn w:val="Normal"/>
    <w:semiHidden/>
    <w:pPr>
      <w:spacing w:before="240" w:line="180" w:lineRule="exact"/>
      <w:jc w:val="left"/>
    </w:pPr>
    <w:rPr>
      <w:b/>
      <w:snapToGrid w:val="0"/>
      <w:sz w:val="17"/>
      <w:lang w:eastAsia="sv-SE"/>
    </w:rPr>
  </w:style>
  <w:style w:type="paragraph" w:styleId="Brdtext3">
    <w:name w:val="Body Text 3"/>
    <w:basedOn w:val="Normal"/>
    <w:semiHidden/>
    <w:pPr>
      <w:ind w:right="-1"/>
    </w:pPr>
  </w:style>
  <w:style w:type="paragraph" w:customStyle="1" w:styleId="Odefinierat">
    <w:name w:val="Odefinierat"/>
    <w:basedOn w:val="Normal"/>
    <w:pPr>
      <w:spacing w:before="122" w:line="245" w:lineRule="exact"/>
    </w:pPr>
  </w:style>
  <w:style w:type="paragraph" w:customStyle="1" w:styleId="Stockholm">
    <w:name w:val="Stockholm"/>
    <w:basedOn w:val="Normal"/>
    <w:pPr>
      <w:spacing w:before="245" w:line="245" w:lineRule="exact"/>
    </w:pPr>
  </w:style>
  <w:style w:type="paragraph" w:customStyle="1" w:styleId="Vgnar">
    <w:name w:val="Vägnar"/>
    <w:basedOn w:val="Normal"/>
    <w:next w:val="Normal"/>
    <w:pPr>
      <w:spacing w:before="183" w:line="245" w:lineRule="exact"/>
    </w:pPr>
  </w:style>
  <w:style w:type="paragraph" w:customStyle="1" w:styleId="Ordfnamn">
    <w:name w:val="Ordfnamn"/>
    <w:basedOn w:val="Normal"/>
    <w:next w:val="Normal"/>
    <w:pPr>
      <w:spacing w:before="490" w:line="245" w:lineRule="exact"/>
    </w:pPr>
    <w:rPr>
      <w: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43.xml"/><Relationship Id="rId21" Type="http://schemas.openxmlformats.org/officeDocument/2006/relationships/header" Target="header8.xml"/><Relationship Id="rId42" Type="http://schemas.openxmlformats.org/officeDocument/2006/relationships/header" Target="header18.xml"/><Relationship Id="rId63" Type="http://schemas.openxmlformats.org/officeDocument/2006/relationships/image" Target="media/image15.wmf"/><Relationship Id="rId84" Type="http://schemas.openxmlformats.org/officeDocument/2006/relationships/image" Target="media/image24.wmf"/><Relationship Id="rId138" Type="http://schemas.openxmlformats.org/officeDocument/2006/relationships/footer" Target="footer53.xml"/><Relationship Id="rId159" Type="http://schemas.openxmlformats.org/officeDocument/2006/relationships/header" Target="header64.xml"/><Relationship Id="rId170" Type="http://schemas.openxmlformats.org/officeDocument/2006/relationships/footer" Target="footer69.xml"/><Relationship Id="rId191" Type="http://schemas.openxmlformats.org/officeDocument/2006/relationships/footer" Target="footer79.xml"/><Relationship Id="rId107" Type="http://schemas.openxmlformats.org/officeDocument/2006/relationships/footer" Target="footer37.xml"/><Relationship Id="rId11" Type="http://schemas.openxmlformats.org/officeDocument/2006/relationships/footer" Target="footer2.xml"/><Relationship Id="rId32" Type="http://schemas.openxmlformats.org/officeDocument/2006/relationships/header" Target="header13.xml"/><Relationship Id="rId53" Type="http://schemas.openxmlformats.org/officeDocument/2006/relationships/image" Target="media/image11.wmf"/><Relationship Id="rId74" Type="http://schemas.openxmlformats.org/officeDocument/2006/relationships/header" Target="header25.xml"/><Relationship Id="rId128" Type="http://schemas.openxmlformats.org/officeDocument/2006/relationships/footer" Target="footer48.xml"/><Relationship Id="rId149" Type="http://schemas.openxmlformats.org/officeDocument/2006/relationships/footer" Target="footer58.xml"/><Relationship Id="rId5" Type="http://schemas.openxmlformats.org/officeDocument/2006/relationships/footnotes" Target="footnotes.xml"/><Relationship Id="rId95" Type="http://schemas.openxmlformats.org/officeDocument/2006/relationships/footer" Target="footer31.xml"/><Relationship Id="rId160" Type="http://schemas.openxmlformats.org/officeDocument/2006/relationships/header" Target="header65.xml"/><Relationship Id="rId181" Type="http://schemas.openxmlformats.org/officeDocument/2006/relationships/header" Target="header75.xml"/><Relationship Id="rId22" Type="http://schemas.openxmlformats.org/officeDocument/2006/relationships/footer" Target="footer7.xml"/><Relationship Id="rId43" Type="http://schemas.openxmlformats.org/officeDocument/2006/relationships/footer" Target="footer18.xml"/><Relationship Id="rId64" Type="http://schemas.openxmlformats.org/officeDocument/2006/relationships/image" Target="media/image16.wmf"/><Relationship Id="rId118" Type="http://schemas.openxmlformats.org/officeDocument/2006/relationships/header" Target="header44.xml"/><Relationship Id="rId139" Type="http://schemas.openxmlformats.org/officeDocument/2006/relationships/header" Target="header54.xml"/><Relationship Id="rId85" Type="http://schemas.openxmlformats.org/officeDocument/2006/relationships/image" Target="media/image25.wmf"/><Relationship Id="rId150" Type="http://schemas.openxmlformats.org/officeDocument/2006/relationships/footer" Target="footer59.xml"/><Relationship Id="rId171" Type="http://schemas.openxmlformats.org/officeDocument/2006/relationships/header" Target="header70.xml"/><Relationship Id="rId192" Type="http://schemas.openxmlformats.org/officeDocument/2006/relationships/footer" Target="footer80.xml"/><Relationship Id="rId12" Type="http://schemas.openxmlformats.org/officeDocument/2006/relationships/header" Target="header3.xml"/><Relationship Id="rId33" Type="http://schemas.openxmlformats.org/officeDocument/2006/relationships/header" Target="header14.xml"/><Relationship Id="rId108" Type="http://schemas.openxmlformats.org/officeDocument/2006/relationships/footer" Target="footer38.xml"/><Relationship Id="rId129" Type="http://schemas.openxmlformats.org/officeDocument/2006/relationships/header" Target="header49.xml"/><Relationship Id="rId54" Type="http://schemas.openxmlformats.org/officeDocument/2006/relationships/image" Target="media/image12.wmf"/><Relationship Id="rId75" Type="http://schemas.openxmlformats.org/officeDocument/2006/relationships/header" Target="header26.xml"/><Relationship Id="rId96" Type="http://schemas.openxmlformats.org/officeDocument/2006/relationships/footer" Target="footer32.xml"/><Relationship Id="rId140" Type="http://schemas.openxmlformats.org/officeDocument/2006/relationships/footer" Target="footer54.xml"/><Relationship Id="rId161" Type="http://schemas.openxmlformats.org/officeDocument/2006/relationships/footer" Target="footer64.xml"/><Relationship Id="rId182" Type="http://schemas.openxmlformats.org/officeDocument/2006/relationships/footer" Target="footer75.xml"/><Relationship Id="rId6" Type="http://schemas.openxmlformats.org/officeDocument/2006/relationships/endnotes" Target="endnotes.xml"/><Relationship Id="rId23" Type="http://schemas.openxmlformats.org/officeDocument/2006/relationships/footer" Target="footer8.xml"/><Relationship Id="rId119" Type="http://schemas.openxmlformats.org/officeDocument/2006/relationships/footer" Target="footer43.xml"/><Relationship Id="rId44" Type="http://schemas.openxmlformats.org/officeDocument/2006/relationships/image" Target="media/image2.wmf"/><Relationship Id="rId65" Type="http://schemas.openxmlformats.org/officeDocument/2006/relationships/image" Target="media/image17.wmf"/><Relationship Id="rId86" Type="http://schemas.openxmlformats.org/officeDocument/2006/relationships/image" Target="media/image26.wmf"/><Relationship Id="rId130" Type="http://schemas.openxmlformats.org/officeDocument/2006/relationships/header" Target="header50.xml"/><Relationship Id="rId151" Type="http://schemas.openxmlformats.org/officeDocument/2006/relationships/header" Target="header60.xml"/><Relationship Id="rId172" Type="http://schemas.openxmlformats.org/officeDocument/2006/relationships/header" Target="header71.xml"/><Relationship Id="rId193" Type="http://schemas.openxmlformats.org/officeDocument/2006/relationships/header" Target="header81.xml"/><Relationship Id="rId13" Type="http://schemas.openxmlformats.org/officeDocument/2006/relationships/footer" Target="footer3.xml"/><Relationship Id="rId109" Type="http://schemas.openxmlformats.org/officeDocument/2006/relationships/header" Target="header39.xml"/><Relationship Id="rId34" Type="http://schemas.openxmlformats.org/officeDocument/2006/relationships/footer" Target="footer13.xml"/><Relationship Id="rId50" Type="http://schemas.openxmlformats.org/officeDocument/2006/relationships/image" Target="media/image8.wmf"/><Relationship Id="rId55" Type="http://schemas.openxmlformats.org/officeDocument/2006/relationships/image" Target="media/image13.wmf"/><Relationship Id="rId76" Type="http://schemas.openxmlformats.org/officeDocument/2006/relationships/footer" Target="footer25.xml"/><Relationship Id="rId97" Type="http://schemas.openxmlformats.org/officeDocument/2006/relationships/header" Target="header33.xml"/><Relationship Id="rId104" Type="http://schemas.openxmlformats.org/officeDocument/2006/relationships/footer" Target="footer36.xml"/><Relationship Id="rId120" Type="http://schemas.openxmlformats.org/officeDocument/2006/relationships/footer" Target="footer44.xml"/><Relationship Id="rId125" Type="http://schemas.openxmlformats.org/officeDocument/2006/relationships/footer" Target="footer46.xml"/><Relationship Id="rId141" Type="http://schemas.openxmlformats.org/officeDocument/2006/relationships/header" Target="header55.xml"/><Relationship Id="rId146" Type="http://schemas.openxmlformats.org/officeDocument/2006/relationships/footer" Target="footer57.xml"/><Relationship Id="rId167" Type="http://schemas.openxmlformats.org/officeDocument/2006/relationships/footer" Target="footer67.xml"/><Relationship Id="rId188" Type="http://schemas.openxmlformats.org/officeDocument/2006/relationships/footer" Target="footer78.xml"/><Relationship Id="rId7" Type="http://schemas.openxmlformats.org/officeDocument/2006/relationships/image" Target="media/image1.wmf"/><Relationship Id="rId71" Type="http://schemas.openxmlformats.org/officeDocument/2006/relationships/footer" Target="footer23.xml"/><Relationship Id="rId92" Type="http://schemas.openxmlformats.org/officeDocument/2006/relationships/footer" Target="footer30.xml"/><Relationship Id="rId162" Type="http://schemas.openxmlformats.org/officeDocument/2006/relationships/footer" Target="footer65.xml"/><Relationship Id="rId183" Type="http://schemas.openxmlformats.org/officeDocument/2006/relationships/header" Target="header76.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image" Target="media/image3.wmf"/><Relationship Id="rId66" Type="http://schemas.openxmlformats.org/officeDocument/2006/relationships/image" Target="media/image18.wmf"/><Relationship Id="rId87" Type="http://schemas.openxmlformats.org/officeDocument/2006/relationships/header" Target="header28.xml"/><Relationship Id="rId110" Type="http://schemas.openxmlformats.org/officeDocument/2006/relationships/footer" Target="footer39.xml"/><Relationship Id="rId115" Type="http://schemas.openxmlformats.org/officeDocument/2006/relationships/header" Target="header42.xml"/><Relationship Id="rId131" Type="http://schemas.openxmlformats.org/officeDocument/2006/relationships/footer" Target="footer49.xml"/><Relationship Id="rId136" Type="http://schemas.openxmlformats.org/officeDocument/2006/relationships/header" Target="header53.xml"/><Relationship Id="rId157" Type="http://schemas.openxmlformats.org/officeDocument/2006/relationships/header" Target="header63.xml"/><Relationship Id="rId178" Type="http://schemas.openxmlformats.org/officeDocument/2006/relationships/header" Target="header74.xml"/><Relationship Id="rId61" Type="http://schemas.openxmlformats.org/officeDocument/2006/relationships/header" Target="header21.xml"/><Relationship Id="rId82" Type="http://schemas.openxmlformats.org/officeDocument/2006/relationships/image" Target="media/image22.wmf"/><Relationship Id="rId152" Type="http://schemas.openxmlformats.org/officeDocument/2006/relationships/footer" Target="footer60.xml"/><Relationship Id="rId173" Type="http://schemas.openxmlformats.org/officeDocument/2006/relationships/footer" Target="footer70.xml"/><Relationship Id="rId194" Type="http://schemas.openxmlformats.org/officeDocument/2006/relationships/footer" Target="footer81.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image" Target="media/image14.wmf"/><Relationship Id="rId77" Type="http://schemas.openxmlformats.org/officeDocument/2006/relationships/footer" Target="footer26.xml"/><Relationship Id="rId100" Type="http://schemas.openxmlformats.org/officeDocument/2006/relationships/header" Target="header35.xml"/><Relationship Id="rId105" Type="http://schemas.openxmlformats.org/officeDocument/2006/relationships/header" Target="header37.xml"/><Relationship Id="rId126" Type="http://schemas.openxmlformats.org/officeDocument/2006/relationships/footer" Target="footer47.xml"/><Relationship Id="rId147" Type="http://schemas.openxmlformats.org/officeDocument/2006/relationships/header" Target="header58.xml"/><Relationship Id="rId168" Type="http://schemas.openxmlformats.org/officeDocument/2006/relationships/footer" Target="footer68.xml"/><Relationship Id="rId8" Type="http://schemas.openxmlformats.org/officeDocument/2006/relationships/header" Target="header1.xml"/><Relationship Id="rId51" Type="http://schemas.openxmlformats.org/officeDocument/2006/relationships/image" Target="media/image9.wmf"/><Relationship Id="rId72" Type="http://schemas.openxmlformats.org/officeDocument/2006/relationships/header" Target="header24.xml"/><Relationship Id="rId93" Type="http://schemas.openxmlformats.org/officeDocument/2006/relationships/header" Target="header31.xml"/><Relationship Id="rId98" Type="http://schemas.openxmlformats.org/officeDocument/2006/relationships/footer" Target="footer33.xml"/><Relationship Id="rId121" Type="http://schemas.openxmlformats.org/officeDocument/2006/relationships/header" Target="header45.xml"/><Relationship Id="rId142" Type="http://schemas.openxmlformats.org/officeDocument/2006/relationships/header" Target="header56.xml"/><Relationship Id="rId163" Type="http://schemas.openxmlformats.org/officeDocument/2006/relationships/header" Target="header66.xml"/><Relationship Id="rId184" Type="http://schemas.openxmlformats.org/officeDocument/2006/relationships/header" Target="header77.xml"/><Relationship Id="rId189" Type="http://schemas.openxmlformats.org/officeDocument/2006/relationships/header" Target="header79.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image" Target="media/image4.wmf"/><Relationship Id="rId67" Type="http://schemas.openxmlformats.org/officeDocument/2006/relationships/image" Target="media/image19.wmf"/><Relationship Id="rId116" Type="http://schemas.openxmlformats.org/officeDocument/2006/relationships/footer" Target="footer42.xml"/><Relationship Id="rId137" Type="http://schemas.openxmlformats.org/officeDocument/2006/relationships/footer" Target="footer52.xml"/><Relationship Id="rId158" Type="http://schemas.openxmlformats.org/officeDocument/2006/relationships/footer" Target="footer63.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footer" Target="footer21.xml"/><Relationship Id="rId83" Type="http://schemas.openxmlformats.org/officeDocument/2006/relationships/image" Target="media/image23.wmf"/><Relationship Id="rId88" Type="http://schemas.openxmlformats.org/officeDocument/2006/relationships/header" Target="header29.xml"/><Relationship Id="rId111" Type="http://schemas.openxmlformats.org/officeDocument/2006/relationships/header" Target="header40.xml"/><Relationship Id="rId132" Type="http://schemas.openxmlformats.org/officeDocument/2006/relationships/footer" Target="footer50.xml"/><Relationship Id="rId153" Type="http://schemas.openxmlformats.org/officeDocument/2006/relationships/header" Target="header61.xml"/><Relationship Id="rId174" Type="http://schemas.openxmlformats.org/officeDocument/2006/relationships/footer" Target="footer71.xml"/><Relationship Id="rId179" Type="http://schemas.openxmlformats.org/officeDocument/2006/relationships/footer" Target="footer73.xml"/><Relationship Id="rId195" Type="http://schemas.openxmlformats.org/officeDocument/2006/relationships/fontTable" Target="fontTable.xml"/><Relationship Id="rId190" Type="http://schemas.openxmlformats.org/officeDocument/2006/relationships/header" Target="header80.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19.xml"/><Relationship Id="rId106" Type="http://schemas.openxmlformats.org/officeDocument/2006/relationships/header" Target="header38.xml"/><Relationship Id="rId127" Type="http://schemas.openxmlformats.org/officeDocument/2006/relationships/header" Target="header48.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image" Target="media/image10.wmf"/><Relationship Id="rId73" Type="http://schemas.openxmlformats.org/officeDocument/2006/relationships/footer" Target="footer24.xml"/><Relationship Id="rId78" Type="http://schemas.openxmlformats.org/officeDocument/2006/relationships/header" Target="header27.xml"/><Relationship Id="rId94" Type="http://schemas.openxmlformats.org/officeDocument/2006/relationships/header" Target="header32.xml"/><Relationship Id="rId99" Type="http://schemas.openxmlformats.org/officeDocument/2006/relationships/header" Target="header34.xml"/><Relationship Id="rId101" Type="http://schemas.openxmlformats.org/officeDocument/2006/relationships/footer" Target="footer34.xml"/><Relationship Id="rId122" Type="http://schemas.openxmlformats.org/officeDocument/2006/relationships/footer" Target="footer45.xml"/><Relationship Id="rId143" Type="http://schemas.openxmlformats.org/officeDocument/2006/relationships/footer" Target="footer55.xml"/><Relationship Id="rId148" Type="http://schemas.openxmlformats.org/officeDocument/2006/relationships/header" Target="header59.xml"/><Relationship Id="rId164" Type="http://schemas.openxmlformats.org/officeDocument/2006/relationships/footer" Target="footer66.xml"/><Relationship Id="rId169" Type="http://schemas.openxmlformats.org/officeDocument/2006/relationships/header" Target="header69.xml"/><Relationship Id="rId185" Type="http://schemas.openxmlformats.org/officeDocument/2006/relationships/footer" Target="footer76.xml"/><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footer" Target="footer74.xml"/><Relationship Id="rId26" Type="http://schemas.openxmlformats.org/officeDocument/2006/relationships/header" Target="header10.xml"/><Relationship Id="rId47" Type="http://schemas.openxmlformats.org/officeDocument/2006/relationships/image" Target="media/image5.wmf"/><Relationship Id="rId68" Type="http://schemas.openxmlformats.org/officeDocument/2006/relationships/header" Target="header22.xml"/><Relationship Id="rId89" Type="http://schemas.openxmlformats.org/officeDocument/2006/relationships/footer" Target="footer28.xml"/><Relationship Id="rId112" Type="http://schemas.openxmlformats.org/officeDocument/2006/relationships/header" Target="header41.xml"/><Relationship Id="rId133" Type="http://schemas.openxmlformats.org/officeDocument/2006/relationships/header" Target="header51.xml"/><Relationship Id="rId154" Type="http://schemas.openxmlformats.org/officeDocument/2006/relationships/header" Target="header62.xml"/><Relationship Id="rId175" Type="http://schemas.openxmlformats.org/officeDocument/2006/relationships/header" Target="header72.xml"/><Relationship Id="rId196" Type="http://schemas.openxmlformats.org/officeDocument/2006/relationships/theme" Target="theme/theme1.xml"/><Relationship Id="rId16" Type="http://schemas.openxmlformats.org/officeDocument/2006/relationships/footer" Target="footer4.xml"/><Relationship Id="rId37" Type="http://schemas.openxmlformats.org/officeDocument/2006/relationships/footer" Target="footer15.xml"/><Relationship Id="rId58" Type="http://schemas.openxmlformats.org/officeDocument/2006/relationships/header" Target="header20.xml"/><Relationship Id="rId79" Type="http://schemas.openxmlformats.org/officeDocument/2006/relationships/footer" Target="footer27.xml"/><Relationship Id="rId102" Type="http://schemas.openxmlformats.org/officeDocument/2006/relationships/footer" Target="footer35.xml"/><Relationship Id="rId123" Type="http://schemas.openxmlformats.org/officeDocument/2006/relationships/header" Target="header46.xml"/><Relationship Id="rId144" Type="http://schemas.openxmlformats.org/officeDocument/2006/relationships/footer" Target="footer56.xml"/><Relationship Id="rId90" Type="http://schemas.openxmlformats.org/officeDocument/2006/relationships/footer" Target="footer29.xml"/><Relationship Id="rId165" Type="http://schemas.openxmlformats.org/officeDocument/2006/relationships/header" Target="header67.xml"/><Relationship Id="rId186" Type="http://schemas.openxmlformats.org/officeDocument/2006/relationships/footer" Target="footer77.xml"/><Relationship Id="rId27" Type="http://schemas.openxmlformats.org/officeDocument/2006/relationships/header" Target="header11.xml"/><Relationship Id="rId48" Type="http://schemas.openxmlformats.org/officeDocument/2006/relationships/image" Target="media/image6.wmf"/><Relationship Id="rId69" Type="http://schemas.openxmlformats.org/officeDocument/2006/relationships/header" Target="header23.xml"/><Relationship Id="rId113" Type="http://schemas.openxmlformats.org/officeDocument/2006/relationships/footer" Target="footer40.xml"/><Relationship Id="rId134" Type="http://schemas.openxmlformats.org/officeDocument/2006/relationships/footer" Target="footer51.xml"/><Relationship Id="rId80" Type="http://schemas.openxmlformats.org/officeDocument/2006/relationships/image" Target="media/image20.wmf"/><Relationship Id="rId155" Type="http://schemas.openxmlformats.org/officeDocument/2006/relationships/footer" Target="footer61.xml"/><Relationship Id="rId176" Type="http://schemas.openxmlformats.org/officeDocument/2006/relationships/footer" Target="footer72.xml"/><Relationship Id="rId17" Type="http://schemas.openxmlformats.org/officeDocument/2006/relationships/footer" Target="footer5.xml"/><Relationship Id="rId38" Type="http://schemas.openxmlformats.org/officeDocument/2006/relationships/header" Target="header16.xml"/><Relationship Id="rId59" Type="http://schemas.openxmlformats.org/officeDocument/2006/relationships/footer" Target="footer19.xml"/><Relationship Id="rId103" Type="http://schemas.openxmlformats.org/officeDocument/2006/relationships/header" Target="header36.xml"/><Relationship Id="rId124" Type="http://schemas.openxmlformats.org/officeDocument/2006/relationships/header" Target="header47.xml"/><Relationship Id="rId70" Type="http://schemas.openxmlformats.org/officeDocument/2006/relationships/footer" Target="footer22.xml"/><Relationship Id="rId91" Type="http://schemas.openxmlformats.org/officeDocument/2006/relationships/header" Target="header30.xml"/><Relationship Id="rId145" Type="http://schemas.openxmlformats.org/officeDocument/2006/relationships/header" Target="header57.xml"/><Relationship Id="rId166" Type="http://schemas.openxmlformats.org/officeDocument/2006/relationships/header" Target="header68.xml"/><Relationship Id="rId187" Type="http://schemas.openxmlformats.org/officeDocument/2006/relationships/header" Target="header78.xml"/><Relationship Id="rId1" Type="http://schemas.openxmlformats.org/officeDocument/2006/relationships/numbering" Target="numbering.xml"/><Relationship Id="rId28" Type="http://schemas.openxmlformats.org/officeDocument/2006/relationships/footer" Target="footer10.xml"/><Relationship Id="rId49" Type="http://schemas.openxmlformats.org/officeDocument/2006/relationships/image" Target="media/image7.wmf"/><Relationship Id="rId114" Type="http://schemas.openxmlformats.org/officeDocument/2006/relationships/footer" Target="footer41.xml"/><Relationship Id="rId60" Type="http://schemas.openxmlformats.org/officeDocument/2006/relationships/footer" Target="footer20.xml"/><Relationship Id="rId81" Type="http://schemas.openxmlformats.org/officeDocument/2006/relationships/image" Target="media/image21.wmf"/><Relationship Id="rId135" Type="http://schemas.openxmlformats.org/officeDocument/2006/relationships/header" Target="header52.xml"/><Relationship Id="rId156" Type="http://schemas.openxmlformats.org/officeDocument/2006/relationships/footer" Target="footer62.xml"/><Relationship Id="rId177" Type="http://schemas.openxmlformats.org/officeDocument/2006/relationships/header" Target="header73.xml"/><Relationship Id="rId18" Type="http://schemas.openxmlformats.org/officeDocument/2006/relationships/header" Target="header6.xml"/><Relationship Id="rId39" Type="http://schemas.openxmlformats.org/officeDocument/2006/relationships/header" Target="head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219754</Words>
  <Characters>1322926</Characters>
  <Application>Microsoft Office Word</Application>
  <DocSecurity>4</DocSecurity>
  <Lines>32266</Lines>
  <Paragraphs>11866</Paragraphs>
  <ScaleCrop>false</ScaleCrop>
  <HeadingPairs>
    <vt:vector size="4" baseType="variant">
      <vt:variant>
        <vt:lpstr>Title</vt:lpstr>
      </vt:variant>
      <vt:variant>
        <vt:i4>1</vt:i4>
      </vt:variant>
      <vt:variant>
        <vt:lpstr>Rubriker</vt:lpstr>
      </vt:variant>
      <vt:variant>
        <vt:i4>80</vt:i4>
      </vt:variant>
    </vt:vector>
  </HeadingPairs>
  <TitlesOfParts>
    <vt:vector size="81" baseType="lpstr">
      <vt:lpstr>Finansutskottets betänkande</vt:lpstr>
      <vt:lpstr>Sammanfattning</vt:lpstr>
      <vt:lpstr>        Förslag till rambeslut</vt:lpstr>
      <vt:lpstr>        Den ekonomiska politiken</vt:lpstr>
      <vt:lpstr>        Budgetpolitiken</vt:lpstr>
      <vt:lpstr>        Skatteförslagen</vt:lpstr>
      <vt:lpstr>        Indelningen i politikområden och den ekonomiska styrningen</vt:lpstr>
      <vt:lpstr>Innehållsförteckning</vt:lpstr>
      <vt:lpstr>Utskottets förslag till riksdagsbeslut</vt:lpstr>
      <vt:lpstr>Den ekonomiska politiken</vt:lpstr>
      <vt:lpstr>1.	Allmänna riktlinjer för den ekonomiska politiken</vt:lpstr>
      <vt:lpstr>2.	Formerna för ställningstagande till euro</vt:lpstr>
      <vt:lpstr>3.	Analyser av effekterna av att införa euro</vt:lpstr>
      <vt:lpstr>Budgetpolitikens inriktning</vt:lpstr>
      <vt:lpstr>4.	Mål för budgetpolitiken</vt:lpstr>
      <vt:lpstr>Statsbudgetens inkomster och utgifter</vt:lpstr>
      <vt:lpstr>5.	Budgetförslagen för år 2001</vt:lpstr>
      <vt:lpstr>6.	Lagförslagen </vt:lpstr>
      <vt:lpstr>7.	Preliminär fördelning av utgifterna på utgiftsområden för åren 2002 och 2003</vt:lpstr>
      <vt:lpstr>8.	Bemyndigande om upplåning</vt:lpstr>
      <vt:lpstr>9.	Utskottsinitiativ om ett eventuellt kapitaltillskott till OM Gruppen AB</vt:lpstr>
      <vt:lpstr>10.	Lån till myndigheternas investeringar i anläggningstillgångar för förvaltnin</vt:lpstr>
      <vt:lpstr>11.	Myndigheternas räntekontokrediter</vt:lpstr>
      <vt:lpstr>12.	Sjunde AP-fondstyrelsens lån och räntekontokredit i Riksgäldskontoret</vt:lpstr>
      <vt:lpstr>13.	Bemyndigande för ramanslag</vt:lpstr>
      <vt:lpstr>Ekonomisk styrning och statlig redovisning</vt:lpstr>
      <vt:lpstr>14.	Årsredovisning för staten 1999</vt:lpstr>
      <vt:lpstr>Övriga frågor</vt:lpstr>
      <vt:lpstr>15.	Försäljning av statliga tillgångar</vt:lpstr>
      <vt:lpstr>16.	Barnbilaga i statsbudgeten</vt:lpstr>
      <vt:lpstr>17.	Ansvar för spel och lotterier</vt:lpstr>
      <vt:lpstr>Stockholm den 9 november 2000 </vt:lpstr>
      <vt:lpstr>Jan Bergqvist </vt:lpstr>
      <vt:lpstr>    </vt:lpstr>
      <vt:lpstr>    Förslag till fördelning av statsbudgetens utgifter för år 2001 på utgiftsområden</vt:lpstr>
      <vt:lpstr>Belopp i 1000-tal kronor</vt:lpstr>
      <vt:lpstr>    Förslag till beräkning av statbudgetens inkomster för år 2001 per inkomsttitel</vt:lpstr>
      <vt:lpstr>    Förteckning över av utskottet i punkt 5 avstyrkta motionsyrkanden </vt:lpstr>
      <vt:lpstr>Redogörelse för ärendet</vt:lpstr>
      <vt:lpstr>    Bakgrund</vt:lpstr>
      <vt:lpstr>    Ärendet och dess beredning</vt:lpstr>
      <vt:lpstr>        Regeringens lagförslag</vt:lpstr>
      <vt:lpstr>        Yttranden från andra utskott</vt:lpstr>
      <vt:lpstr>        Utfrågningar</vt:lpstr>
      <vt:lpstr>        Skrivelser</vt:lpstr>
      <vt:lpstr>    Utskottets överväganden</vt:lpstr>
      <vt:lpstr>1 Den ekonomiska politiken</vt:lpstr>
      <vt:lpstr>    1.1 Den internationella utvecklingen</vt:lpstr>
      <vt:lpstr>        1.1.1 Hög tillväxt i  världsekonomin</vt:lpstr>
      <vt:lpstr>Diagram 1. Tillväxten i olika delar av världen</vt:lpstr>
      <vt:lpstr>BNP-tillväxt i procent</vt:lpstr>
      <vt:lpstr>Tabell 1. Tillväxt, inflation och arbetslöshet i världsekonomin </vt:lpstr>
      <vt:lpstr>        1.1.2 Mjuklandning i Förenta staterna </vt:lpstr>
      <vt:lpstr>        1.1.3 Frågetecken i Japan men stark återhämtning i övriga Asien</vt:lpstr>
      <vt:lpstr>        1.1.4 Hög och bredare tillväxt i Europa</vt:lpstr>
      <vt:lpstr>Diagram 2. Arbetslösheten i euroområdet, EU och Förenta staterna</vt:lpstr>
      <vt:lpstr>Procent av arbetskraften</vt:lpstr>
      <vt:lpstr>Källa: Finansdepartementet</vt:lpstr>
      <vt:lpstr>        1.1.5 Höga oljepriser lyfter den ryska ekonomin</vt:lpstr>
      <vt:lpstr>        1.1.6 Osäkerheter i den internationella bedömningen</vt:lpstr>
      <vt:lpstr>    1.2 Den ekonomiska utvecklingen i Sverige</vt:lpstr>
      <vt:lpstr>        1.2.1 Konjunkturen 2000 och 2001 och utsikterna fram till 2003</vt:lpstr>
      <vt:lpstr>Diagram 3. De svenska hushållens och företagens framtidstro 1</vt:lpstr>
      <vt:lpstr>1 Skillnaden mellan andelen positiva och negativa</vt:lpstr>
      <vt:lpstr>Tabell 2. Bidrag till tillväxten 1</vt:lpstr>
      <vt:lpstr>Procentenheter</vt:lpstr>
      <vt:lpstr>        1.2.2 Prognosförutsättningar och nyckeltal </vt:lpstr>
      <vt:lpstr>Tabell 3. Prognosförutsättningar 2000–2003  </vt:lpstr>
      <vt:lpstr>Tabell 4. Nyckeltal 2000–2003 </vt:lpstr>
      <vt:lpstr>        1.2.3 Försörjningsbalansen</vt:lpstr>
      <vt:lpstr>Tabell 5. Försörjningsbalansen 2000–2003</vt:lpstr>
      <vt:lpstr>        1.2.4 God världskonjunktur höjer den svenska exporten</vt:lpstr>
      <vt:lpstr>Diagram 4. Exporten av bearbetade varor</vt:lpstr>
      <vt:lpstr>        1.2.5 Kraftig förbättring på arbetsmarknaden</vt:lpstr>
      <vt:lpstr>Diagram 5. Sysselsättningen 1995 – augusti 2000</vt:lpstr>
      <vt:lpstr>Källa: Statistiska centralbyrån</vt:lpstr>
      <vt:lpstr>Diagram 6. Den öppna arbetslösheten 1995 – augusti 2000</vt:lpstr>
      <vt:lpstr>Källa: Statistiska centralbyrån</vt:lpstr>
      <vt:lpstr>Tabell 6. Nyckeltal för arbetsmarknaden</vt:lpstr>
      <vt:lpstr>Tabell 7. Sysselsättningen fördelad på branscher</vt:lpstr>
      <vt:lpstr>        1.2.6 Ny information efter det att regeringens prognos färdigställts</vt:lpstr>
    </vt:vector>
  </TitlesOfParts>
  <Company>Riksdagen</Company>
  <LinksUpToDate>false</LinksUpToDate>
  <CharactersWithSpaces>1530814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2000-11-15T13:01:00Z</cp:lastPrinted>
  <dcterms:created xsi:type="dcterms:W3CDTF">2025-12-15T22:39:00Z</dcterms:created>
  <dcterms:modified xsi:type="dcterms:W3CDTF">2025-12-15T22:39:00Z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