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27384E2C" w:rsidR="0096348C" w:rsidRDefault="00F5222B" w:rsidP="00E97AED">
            <w:pPr>
              <w:ind w:right="-269"/>
              <w:rPr>
                <w:b/>
              </w:rPr>
            </w:pPr>
            <w:r>
              <w:rPr>
                <w:b/>
              </w:rPr>
              <w:t>Utskottssammanträde 20</w:t>
            </w:r>
            <w:r w:rsidR="00914E3E">
              <w:rPr>
                <w:b/>
              </w:rPr>
              <w:t>2</w:t>
            </w:r>
            <w:r w:rsidR="006375F0">
              <w:rPr>
                <w:b/>
              </w:rPr>
              <w:t>2/23</w:t>
            </w:r>
            <w:r w:rsidR="00C07F65">
              <w:rPr>
                <w:b/>
              </w:rPr>
              <w:t>:</w:t>
            </w:r>
            <w:r w:rsidR="00683C19">
              <w:rPr>
                <w:b/>
              </w:rPr>
              <w:t>55</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60FF3154" w:rsidR="008035C8" w:rsidRDefault="00A257B8" w:rsidP="00AF3CA6">
            <w:pPr>
              <w:ind w:right="355"/>
            </w:pPr>
            <w:r>
              <w:t>20</w:t>
            </w:r>
            <w:r w:rsidR="00CF36BC">
              <w:t>2</w:t>
            </w:r>
            <w:r w:rsidR="000A3563">
              <w:t>3</w:t>
            </w:r>
            <w:r w:rsidR="005E70F9">
              <w:t>-</w:t>
            </w:r>
            <w:r w:rsidR="00683C19">
              <w:t>06-13</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35CD181F" w:rsidR="0096348C" w:rsidRDefault="00683C19" w:rsidP="00AF3CA6">
            <w:pPr>
              <w:ind w:right="-269"/>
            </w:pPr>
            <w:r>
              <w:t>11.00-12</w:t>
            </w:r>
            <w:r w:rsidR="009E1792">
              <w:t>.</w:t>
            </w:r>
            <w:r>
              <w:t>16</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p w14:paraId="3743EEA2" w14:textId="77777777" w:rsidR="00795259" w:rsidRDefault="00795259"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63396B" w14:paraId="3CFECFA3" w14:textId="77777777" w:rsidTr="008035C8">
        <w:tc>
          <w:tcPr>
            <w:tcW w:w="567" w:type="dxa"/>
          </w:tcPr>
          <w:p w14:paraId="4844482E" w14:textId="68A51E61" w:rsidR="0063396B" w:rsidRPr="00C92C53" w:rsidRDefault="003D1127" w:rsidP="00C92C53">
            <w:pPr>
              <w:pStyle w:val="Default"/>
              <w:rPr>
                <w:b/>
              </w:rPr>
            </w:pPr>
            <w:r>
              <w:rPr>
                <w:b/>
              </w:rPr>
              <w:t>§ 1</w:t>
            </w:r>
          </w:p>
        </w:tc>
        <w:tc>
          <w:tcPr>
            <w:tcW w:w="7655" w:type="dxa"/>
          </w:tcPr>
          <w:p w14:paraId="032326CF" w14:textId="0FD64333" w:rsidR="0063396B" w:rsidRDefault="0063396B" w:rsidP="009476AF">
            <w:pPr>
              <w:pStyle w:val="Default"/>
              <w:rPr>
                <w:b/>
              </w:rPr>
            </w:pPr>
            <w:r w:rsidRPr="0063396B">
              <w:rPr>
                <w:b/>
              </w:rPr>
              <w:t>Fråga om utskottsinitiativ om SBAB</w:t>
            </w:r>
          </w:p>
          <w:p w14:paraId="40F0C634" w14:textId="5DE2BF1F" w:rsidR="00FD4329" w:rsidRDefault="00FD4329" w:rsidP="00FD4329">
            <w:pPr>
              <w:pStyle w:val="Default"/>
              <w:rPr>
                <w:bCs/>
              </w:rPr>
            </w:pPr>
            <w:r w:rsidRPr="00FD4329">
              <w:rPr>
                <w:bCs/>
              </w:rPr>
              <w:t xml:space="preserve">Utskottet fortsatte behandlingen av </w:t>
            </w:r>
            <w:r>
              <w:rPr>
                <w:bCs/>
              </w:rPr>
              <w:t>S- och V-ledamöternas förslag till utskottsinitiativ</w:t>
            </w:r>
            <w:r w:rsidRPr="00FD4329">
              <w:rPr>
                <w:bCs/>
              </w:rPr>
              <w:t xml:space="preserve"> om SBAB</w:t>
            </w:r>
            <w:r>
              <w:rPr>
                <w:bCs/>
              </w:rPr>
              <w:t xml:space="preserve">. </w:t>
            </w:r>
          </w:p>
          <w:p w14:paraId="65727CCA" w14:textId="742A3D20" w:rsidR="00FD4329" w:rsidRDefault="00FD4329" w:rsidP="00FD4329">
            <w:pPr>
              <w:pStyle w:val="Default"/>
              <w:rPr>
                <w:bCs/>
              </w:rPr>
            </w:pPr>
          </w:p>
          <w:p w14:paraId="29CC400C" w14:textId="77777777" w:rsidR="0063396B" w:rsidRDefault="00FD4329" w:rsidP="00FD4329">
            <w:pPr>
              <w:pStyle w:val="Default"/>
              <w:rPr>
                <w:bCs/>
              </w:rPr>
            </w:pPr>
            <w:r w:rsidRPr="00FD4329">
              <w:rPr>
                <w:bCs/>
              </w:rPr>
              <w:t>Ordföranden konstaterade att det inte fanns stöd för</w:t>
            </w:r>
            <w:r>
              <w:rPr>
                <w:bCs/>
              </w:rPr>
              <w:t xml:space="preserve"> </w:t>
            </w:r>
            <w:r w:rsidRPr="00FD4329">
              <w:rPr>
                <w:bCs/>
              </w:rPr>
              <w:t>förslaget.</w:t>
            </w:r>
          </w:p>
          <w:p w14:paraId="7E91DE01" w14:textId="5ECAEBFD" w:rsidR="00FD4329" w:rsidRPr="00FD4329" w:rsidRDefault="00FD4329" w:rsidP="00FD4329">
            <w:pPr>
              <w:pStyle w:val="Default"/>
              <w:rPr>
                <w:bCs/>
              </w:rPr>
            </w:pPr>
          </w:p>
        </w:tc>
      </w:tr>
      <w:tr w:rsidR="0063396B" w14:paraId="4A7FE3F5" w14:textId="77777777" w:rsidTr="008035C8">
        <w:tc>
          <w:tcPr>
            <w:tcW w:w="567" w:type="dxa"/>
          </w:tcPr>
          <w:p w14:paraId="5380DEE4" w14:textId="54906A7C" w:rsidR="0063396B" w:rsidRPr="00C92C53" w:rsidRDefault="003D1127" w:rsidP="00C92C53">
            <w:pPr>
              <w:pStyle w:val="Default"/>
              <w:rPr>
                <w:b/>
              </w:rPr>
            </w:pPr>
            <w:r>
              <w:rPr>
                <w:b/>
              </w:rPr>
              <w:t>§ 2</w:t>
            </w:r>
          </w:p>
        </w:tc>
        <w:tc>
          <w:tcPr>
            <w:tcW w:w="7655" w:type="dxa"/>
          </w:tcPr>
          <w:p w14:paraId="68E2588B" w14:textId="36309143" w:rsidR="0063396B" w:rsidRDefault="0063396B" w:rsidP="0063396B">
            <w:pPr>
              <w:pStyle w:val="Default"/>
              <w:rPr>
                <w:b/>
              </w:rPr>
            </w:pPr>
            <w:bookmarkStart w:id="0" w:name="_Hlk137559093"/>
            <w:r w:rsidRPr="0063396B">
              <w:rPr>
                <w:b/>
              </w:rPr>
              <w:t>Reform av EU:s ekonomiska styrning</w:t>
            </w:r>
          </w:p>
          <w:bookmarkEnd w:id="0"/>
          <w:p w14:paraId="20F0B462" w14:textId="525D769B" w:rsidR="003D1127" w:rsidRPr="003D1127" w:rsidRDefault="003D1127" w:rsidP="003D1127">
            <w:pPr>
              <w:pStyle w:val="Default"/>
              <w:rPr>
                <w:bCs/>
              </w:rPr>
            </w:pPr>
            <w:r w:rsidRPr="003D1127">
              <w:rPr>
                <w:bCs/>
              </w:rPr>
              <w:t xml:space="preserve">Utskottet överlade med statssekreterare </w:t>
            </w:r>
            <w:r>
              <w:rPr>
                <w:bCs/>
              </w:rPr>
              <w:t>Johanna Lybeck Lilja</w:t>
            </w:r>
            <w:r w:rsidRPr="003D1127">
              <w:rPr>
                <w:bCs/>
              </w:rPr>
              <w:t xml:space="preserve">, åtföljd av medarbetare från Finansdepartementet. </w:t>
            </w:r>
          </w:p>
          <w:p w14:paraId="4D44D0AB" w14:textId="77777777" w:rsidR="003D1127" w:rsidRPr="003D1127" w:rsidRDefault="003D1127" w:rsidP="003D1127">
            <w:pPr>
              <w:pStyle w:val="Default"/>
              <w:rPr>
                <w:bCs/>
              </w:rPr>
            </w:pPr>
          </w:p>
          <w:p w14:paraId="64060B62" w14:textId="77777777" w:rsidR="003D1127" w:rsidRPr="003D1127" w:rsidRDefault="003D1127" w:rsidP="003D1127">
            <w:pPr>
              <w:pStyle w:val="Default"/>
              <w:rPr>
                <w:bCs/>
              </w:rPr>
            </w:pPr>
            <w:r w:rsidRPr="003D1127">
              <w:rPr>
                <w:bCs/>
              </w:rPr>
              <w:t xml:space="preserve">Underlaget utgjordes av Regeringskansliets överläggningspromemoria (dnr 718-2022/23). </w:t>
            </w:r>
          </w:p>
          <w:p w14:paraId="56EF9195" w14:textId="77777777" w:rsidR="003D1127" w:rsidRPr="003D1127" w:rsidRDefault="003D1127" w:rsidP="003D1127">
            <w:pPr>
              <w:pStyle w:val="Default"/>
              <w:rPr>
                <w:bCs/>
              </w:rPr>
            </w:pPr>
          </w:p>
          <w:p w14:paraId="1409D049" w14:textId="78068EBB" w:rsidR="003D1127" w:rsidRDefault="003D1127" w:rsidP="003D1127">
            <w:pPr>
              <w:pStyle w:val="Default"/>
              <w:rPr>
                <w:bCs/>
              </w:rPr>
            </w:pPr>
            <w:r w:rsidRPr="003D1127">
              <w:rPr>
                <w:bCs/>
              </w:rPr>
              <w:t xml:space="preserve">Statssekreteraren redogjorde för regeringens ståndpunkt i enlighet med </w:t>
            </w:r>
            <w:r>
              <w:rPr>
                <w:bCs/>
              </w:rPr>
              <w:t>överläggningspromemorian</w:t>
            </w:r>
            <w:r w:rsidRPr="003D1127">
              <w:rPr>
                <w:bCs/>
              </w:rPr>
              <w:t xml:space="preserve"> (bilaga 2). </w:t>
            </w:r>
          </w:p>
          <w:p w14:paraId="2E9E88BB" w14:textId="12F03DE3" w:rsidR="00DA247E" w:rsidRDefault="00DA247E" w:rsidP="003D1127">
            <w:pPr>
              <w:pStyle w:val="Default"/>
              <w:rPr>
                <w:bCs/>
              </w:rPr>
            </w:pPr>
          </w:p>
          <w:p w14:paraId="2582D9AD" w14:textId="6D347EA1" w:rsidR="00DA247E" w:rsidRDefault="00DA247E" w:rsidP="003D1127">
            <w:pPr>
              <w:pStyle w:val="Default"/>
              <w:rPr>
                <w:bCs/>
              </w:rPr>
            </w:pPr>
            <w:r>
              <w:rPr>
                <w:bCs/>
              </w:rPr>
              <w:t xml:space="preserve">Överläggningen motiverade statssekreteraren att justera regeringens ståndpunkt så att den fick följande lydelse (s. 10): </w:t>
            </w:r>
          </w:p>
          <w:p w14:paraId="54A4B166" w14:textId="4D368566" w:rsidR="00DA247E" w:rsidRDefault="00DA247E" w:rsidP="003D1127">
            <w:pPr>
              <w:pStyle w:val="Default"/>
              <w:rPr>
                <w:bCs/>
              </w:rPr>
            </w:pPr>
          </w:p>
          <w:p w14:paraId="3FA870BF" w14:textId="441E3C14" w:rsidR="00DA247E" w:rsidRPr="003D1127" w:rsidRDefault="00DA247E" w:rsidP="00DA247E">
            <w:pPr>
              <w:pStyle w:val="Default"/>
              <w:ind w:left="567" w:right="567"/>
              <w:rPr>
                <w:bCs/>
              </w:rPr>
            </w:pPr>
            <w:r w:rsidRPr="00DA247E">
              <w:rPr>
                <w:bCs/>
              </w:rPr>
              <w:t xml:space="preserve">Regeringen ställer sig även initialt </w:t>
            </w:r>
            <w:r w:rsidRPr="00DA247E">
              <w:rPr>
                <w:bCs/>
                <w:i/>
                <w:iCs/>
              </w:rPr>
              <w:t>negativ</w:t>
            </w:r>
            <w:r>
              <w:rPr>
                <w:bCs/>
              </w:rPr>
              <w:t xml:space="preserve"> </w:t>
            </w:r>
            <w:r w:rsidRPr="00DA247E">
              <w:rPr>
                <w:bCs/>
              </w:rPr>
              <w:t>till de ändringar i direktivet om medlemsstaternas nationella budgetramverk som rör oberoende nationella finanspolitiska institutioner.</w:t>
            </w:r>
          </w:p>
          <w:p w14:paraId="57882D53" w14:textId="77777777" w:rsidR="003D1127" w:rsidRPr="003D1127" w:rsidRDefault="003D1127" w:rsidP="003D1127">
            <w:pPr>
              <w:pStyle w:val="Default"/>
              <w:rPr>
                <w:bCs/>
              </w:rPr>
            </w:pPr>
          </w:p>
          <w:p w14:paraId="1E3FBAD2" w14:textId="77777777" w:rsidR="003D1127" w:rsidRPr="003D1127" w:rsidRDefault="003D1127" w:rsidP="003D1127">
            <w:pPr>
              <w:pStyle w:val="Default"/>
              <w:rPr>
                <w:bCs/>
              </w:rPr>
            </w:pPr>
            <w:r w:rsidRPr="003D1127">
              <w:rPr>
                <w:bCs/>
              </w:rPr>
              <w:t>Ordföranden konstaterade att det fanns stöd för regeringens ståndpunkt.</w:t>
            </w:r>
          </w:p>
          <w:p w14:paraId="0DEED2D3" w14:textId="77777777" w:rsidR="003D1127" w:rsidRPr="003D1127" w:rsidRDefault="003D1127" w:rsidP="003D1127">
            <w:pPr>
              <w:pStyle w:val="Default"/>
              <w:rPr>
                <w:bCs/>
              </w:rPr>
            </w:pPr>
          </w:p>
          <w:p w14:paraId="6F97BB52" w14:textId="2BF0FA8D" w:rsidR="0063396B" w:rsidRDefault="003D1127" w:rsidP="003D1127">
            <w:pPr>
              <w:pStyle w:val="Default"/>
              <w:rPr>
                <w:bCs/>
              </w:rPr>
            </w:pPr>
            <w:r>
              <w:rPr>
                <w:bCs/>
              </w:rPr>
              <w:t>C</w:t>
            </w:r>
            <w:r w:rsidRPr="003D1127">
              <w:rPr>
                <w:bCs/>
              </w:rPr>
              <w:t>-ledam</w:t>
            </w:r>
            <w:r>
              <w:rPr>
                <w:bCs/>
              </w:rPr>
              <w:t>oten</w:t>
            </w:r>
            <w:r w:rsidRPr="003D1127">
              <w:rPr>
                <w:bCs/>
              </w:rPr>
              <w:t xml:space="preserve"> anmälde den avvikande ståndpunkt som framgår av bilaga 3. </w:t>
            </w:r>
          </w:p>
          <w:p w14:paraId="56C8BC20" w14:textId="6DE60DB6" w:rsidR="003D1127" w:rsidRDefault="003D1127" w:rsidP="003D1127">
            <w:pPr>
              <w:pStyle w:val="Default"/>
              <w:rPr>
                <w:bCs/>
              </w:rPr>
            </w:pPr>
          </w:p>
          <w:p w14:paraId="2DA8E326" w14:textId="53DDF334" w:rsidR="003D1127" w:rsidRDefault="003D1127" w:rsidP="003D1127">
            <w:pPr>
              <w:pStyle w:val="Default"/>
              <w:rPr>
                <w:b/>
              </w:rPr>
            </w:pPr>
            <w:r>
              <w:rPr>
                <w:bCs/>
              </w:rPr>
              <w:t xml:space="preserve">V-ledamoten anmälde den </w:t>
            </w:r>
            <w:r w:rsidRPr="003D1127">
              <w:rPr>
                <w:bCs/>
              </w:rPr>
              <w:t xml:space="preserve">avvikande ståndpunkt som framgår av bilaga </w:t>
            </w:r>
            <w:r>
              <w:rPr>
                <w:bCs/>
              </w:rPr>
              <w:t xml:space="preserve">4. </w:t>
            </w:r>
          </w:p>
          <w:p w14:paraId="11F3A14E" w14:textId="0200845B" w:rsidR="0063396B" w:rsidRDefault="0063396B" w:rsidP="0063396B">
            <w:pPr>
              <w:pStyle w:val="Default"/>
              <w:ind w:left="1665"/>
              <w:rPr>
                <w:b/>
              </w:rPr>
            </w:pPr>
          </w:p>
        </w:tc>
      </w:tr>
      <w:tr w:rsidR="0063396B" w14:paraId="57FEF482" w14:textId="77777777" w:rsidTr="008035C8">
        <w:tc>
          <w:tcPr>
            <w:tcW w:w="567" w:type="dxa"/>
          </w:tcPr>
          <w:p w14:paraId="28B15A85" w14:textId="4C79794B" w:rsidR="0063396B" w:rsidRPr="00C92C53" w:rsidRDefault="003D1127" w:rsidP="00C92C53">
            <w:pPr>
              <w:pStyle w:val="Default"/>
              <w:rPr>
                <w:b/>
              </w:rPr>
            </w:pPr>
            <w:r>
              <w:rPr>
                <w:b/>
              </w:rPr>
              <w:t>§ 3</w:t>
            </w:r>
          </w:p>
        </w:tc>
        <w:tc>
          <w:tcPr>
            <w:tcW w:w="7655" w:type="dxa"/>
          </w:tcPr>
          <w:p w14:paraId="1337941C" w14:textId="77777777" w:rsidR="003D1127" w:rsidRPr="003D1127" w:rsidRDefault="0063396B" w:rsidP="003D1127">
            <w:pPr>
              <w:pStyle w:val="Default"/>
              <w:rPr>
                <w:bCs/>
              </w:rPr>
            </w:pPr>
            <w:r w:rsidRPr="0063396B">
              <w:rPr>
                <w:b/>
              </w:rPr>
              <w:t>EU:s årsbudget 2024</w:t>
            </w:r>
            <w:r w:rsidR="003D1127">
              <w:rPr>
                <w:b/>
              </w:rPr>
              <w:br/>
            </w:r>
            <w:r w:rsidR="003D1127" w:rsidRPr="003D1127">
              <w:rPr>
                <w:bCs/>
              </w:rPr>
              <w:t xml:space="preserve">Utskottet överlade med statssekreterare Johanna Lybeck Lilja, åtföljd av medarbetare från Finansdepartementet. </w:t>
            </w:r>
          </w:p>
          <w:p w14:paraId="5639BE07" w14:textId="77777777" w:rsidR="003D1127" w:rsidRPr="003D1127" w:rsidRDefault="003D1127" w:rsidP="003D1127">
            <w:pPr>
              <w:pStyle w:val="Default"/>
              <w:rPr>
                <w:bCs/>
              </w:rPr>
            </w:pPr>
          </w:p>
          <w:p w14:paraId="003BF3CE" w14:textId="77777777" w:rsidR="003D1127" w:rsidRPr="003D1127" w:rsidRDefault="003D1127" w:rsidP="003D1127">
            <w:pPr>
              <w:pStyle w:val="Default"/>
              <w:rPr>
                <w:bCs/>
              </w:rPr>
            </w:pPr>
            <w:r w:rsidRPr="003D1127">
              <w:rPr>
                <w:bCs/>
              </w:rPr>
              <w:t xml:space="preserve">Underlaget utgjordes av Regeringskansliets överläggningspromemoria (dnr 718-2022/23). </w:t>
            </w:r>
          </w:p>
          <w:p w14:paraId="1704D079" w14:textId="77777777" w:rsidR="003D1127" w:rsidRPr="003D1127" w:rsidRDefault="003D1127" w:rsidP="003D1127">
            <w:pPr>
              <w:pStyle w:val="Default"/>
              <w:rPr>
                <w:bCs/>
              </w:rPr>
            </w:pPr>
          </w:p>
          <w:p w14:paraId="6FAE99B9" w14:textId="7FB9F2CF" w:rsidR="0073032B" w:rsidRDefault="003D1127" w:rsidP="0073032B">
            <w:pPr>
              <w:overflowPunct w:val="0"/>
              <w:autoSpaceDE w:val="0"/>
              <w:autoSpaceDN w:val="0"/>
              <w:adjustRightInd w:val="0"/>
              <w:ind w:right="567"/>
              <w:textAlignment w:val="baseline"/>
              <w:rPr>
                <w:bCs/>
                <w:color w:val="000000"/>
                <w:szCs w:val="24"/>
              </w:rPr>
            </w:pPr>
            <w:r w:rsidRPr="0073032B">
              <w:rPr>
                <w:bCs/>
                <w:color w:val="000000"/>
                <w:szCs w:val="24"/>
              </w:rPr>
              <w:t>Statssekreteraren redogjorde för regeringens ståndpunkt i enlighet med överläggningspromemorian:</w:t>
            </w:r>
          </w:p>
          <w:p w14:paraId="0286DAD6" w14:textId="128EA17A" w:rsidR="0073032B" w:rsidRDefault="0073032B" w:rsidP="0073032B">
            <w:pPr>
              <w:overflowPunct w:val="0"/>
              <w:autoSpaceDE w:val="0"/>
              <w:autoSpaceDN w:val="0"/>
              <w:adjustRightInd w:val="0"/>
              <w:ind w:left="567" w:right="567"/>
              <w:textAlignment w:val="baseline"/>
            </w:pPr>
            <w:r>
              <w:rPr>
                <w:bCs/>
              </w:rPr>
              <w:br/>
            </w:r>
            <w:r w:rsidRPr="009D0A68">
              <w:t xml:space="preserve">Sverige verkar för en effektiv och återhållsam budgetpolitik inom EU, i enlighet med prop. 1994/95:40. Målet innebär att regeringen ska verka för en kostnadseffektiv användning av EU:s medel och </w:t>
            </w:r>
            <w:r w:rsidRPr="009D0A68">
              <w:lastRenderedPageBreak/>
              <w:t>att närhetsprincipen ska tillämpas på budgetområdet. Det innebär också strikt budgetdisciplin, d</w:t>
            </w:r>
            <w:r>
              <w:t>vs.</w:t>
            </w:r>
            <w:r w:rsidRPr="009D0A68">
              <w:t xml:space="preserve"> att verka för en begränsning av EU:s utgifter inom budgetramen och därmed </w:t>
            </w:r>
            <w:r>
              <w:t xml:space="preserve">av </w:t>
            </w:r>
            <w:r w:rsidRPr="009D0A68">
              <w:t>den svenska avgiften till EU. Det överg</w:t>
            </w:r>
            <w:r>
              <w:t>ripande målet i arbetet med 2024</w:t>
            </w:r>
            <w:r w:rsidRPr="009D0A68">
              <w:t xml:space="preserve"> års EU-budget är därmed, liksom tidigare år, att nå en så restriktiv budget som mö</w:t>
            </w:r>
            <w:r>
              <w:t>jligt som med god marginal ryms</w:t>
            </w:r>
            <w:r w:rsidRPr="009D0A68">
              <w:t xml:space="preserve"> inom de beslutade taken i den fleråriga budgetramen för åren 20</w:t>
            </w:r>
            <w:r>
              <w:t>21</w:t>
            </w:r>
            <w:r w:rsidRPr="009D0A68">
              <w:t>–2027</w:t>
            </w:r>
            <w:r w:rsidRPr="00546E53">
              <w:t>. Betalningsanslagen ska baseras på realistiska och väl underbyggda och verifierade prognoser och spegla tidigare genomförande.</w:t>
            </w:r>
            <w:bookmarkStart w:id="1" w:name="_Hlk137061197"/>
            <w:bookmarkEnd w:id="1"/>
          </w:p>
          <w:p w14:paraId="241E8498" w14:textId="77777777" w:rsidR="0073032B" w:rsidRDefault="0073032B" w:rsidP="0073032B">
            <w:pPr>
              <w:overflowPunct w:val="0"/>
              <w:autoSpaceDE w:val="0"/>
              <w:autoSpaceDN w:val="0"/>
              <w:adjustRightInd w:val="0"/>
              <w:ind w:left="567" w:right="567"/>
              <w:textAlignment w:val="baseline"/>
            </w:pPr>
          </w:p>
          <w:p w14:paraId="0A85FB0B" w14:textId="1D70533B" w:rsidR="0073032B" w:rsidRDefault="0073032B" w:rsidP="0073032B">
            <w:pPr>
              <w:overflowPunct w:val="0"/>
              <w:autoSpaceDE w:val="0"/>
              <w:autoSpaceDN w:val="0"/>
              <w:adjustRightInd w:val="0"/>
              <w:ind w:left="567" w:right="567"/>
              <w:textAlignment w:val="baseline"/>
            </w:pPr>
            <w:r w:rsidRPr="00546E53">
              <w:t>Regeringen avser att driva ståndpunkterna vid behandling av EU:s årsbudget för 2024. Då slutresultatet i den processen eller budg</w:t>
            </w:r>
            <w:r>
              <w:t>e</w:t>
            </w:r>
            <w:r w:rsidRPr="00546E53">
              <w:t>ten för 2024</w:t>
            </w:r>
            <w:r>
              <w:t xml:space="preserve"> </w:t>
            </w:r>
            <w:r w:rsidRPr="00546E53">
              <w:t>juste</w:t>
            </w:r>
            <w:r>
              <w:t>ra</w:t>
            </w:r>
            <w:r w:rsidRPr="00546E53">
              <w:t xml:space="preserve">d med en ändringsbudget tidigt under budgetåret kan komma att påverkas av MTR-processen och det ännu är okänt vilken </w:t>
            </w:r>
            <w:r>
              <w:t xml:space="preserve">fråga </w:t>
            </w:r>
            <w:r w:rsidRPr="00546E53">
              <w:t>lik</w:t>
            </w:r>
            <w:r>
              <w:t>a</w:t>
            </w:r>
            <w:r w:rsidRPr="00546E53">
              <w:t xml:space="preserve">sinnade potentiella allierade kommer </w:t>
            </w:r>
            <w:r>
              <w:t>a</w:t>
            </w:r>
            <w:r w:rsidRPr="00546E53">
              <w:t>tt fokusera på avser regeringen att bedriva arbetet i den process där de bedöms få störst påverkan på resultatet.</w:t>
            </w:r>
          </w:p>
          <w:p w14:paraId="7935C4A3" w14:textId="1EC5A8FD" w:rsidR="0073032B" w:rsidRDefault="0073032B" w:rsidP="0073032B">
            <w:pPr>
              <w:overflowPunct w:val="0"/>
              <w:autoSpaceDE w:val="0"/>
              <w:autoSpaceDN w:val="0"/>
              <w:adjustRightInd w:val="0"/>
              <w:textAlignment w:val="baseline"/>
            </w:pPr>
          </w:p>
          <w:p w14:paraId="1FF0AA7C" w14:textId="1940AF35" w:rsidR="0073032B" w:rsidRPr="004722AC" w:rsidRDefault="0073032B" w:rsidP="0073032B">
            <w:pPr>
              <w:overflowPunct w:val="0"/>
              <w:autoSpaceDE w:val="0"/>
              <w:autoSpaceDN w:val="0"/>
              <w:adjustRightInd w:val="0"/>
              <w:textAlignment w:val="baseline"/>
            </w:pPr>
            <w:r w:rsidRPr="0073032B">
              <w:t>Ordföranden konstaterade att det fanns stöd för regeringens ståndpunkt.</w:t>
            </w:r>
          </w:p>
          <w:p w14:paraId="36EA5D02" w14:textId="575AB9A3" w:rsidR="0063396B" w:rsidRDefault="0063396B" w:rsidP="009476AF">
            <w:pPr>
              <w:pStyle w:val="Default"/>
              <w:rPr>
                <w:b/>
              </w:rPr>
            </w:pPr>
          </w:p>
        </w:tc>
      </w:tr>
      <w:tr w:rsidR="0063396B" w14:paraId="292BDC6D" w14:textId="77777777" w:rsidTr="008035C8">
        <w:tc>
          <w:tcPr>
            <w:tcW w:w="567" w:type="dxa"/>
          </w:tcPr>
          <w:p w14:paraId="1B899EBC" w14:textId="040EE516" w:rsidR="0063396B" w:rsidRPr="00C92C53" w:rsidRDefault="003D1127" w:rsidP="00C92C53">
            <w:pPr>
              <w:pStyle w:val="Default"/>
              <w:rPr>
                <w:b/>
              </w:rPr>
            </w:pPr>
            <w:r>
              <w:rPr>
                <w:b/>
              </w:rPr>
              <w:lastRenderedPageBreak/>
              <w:t xml:space="preserve">§ 4 </w:t>
            </w:r>
          </w:p>
        </w:tc>
        <w:tc>
          <w:tcPr>
            <w:tcW w:w="7655" w:type="dxa"/>
          </w:tcPr>
          <w:p w14:paraId="2BB09BD1" w14:textId="77777777" w:rsidR="0063396B" w:rsidRDefault="0063396B" w:rsidP="009476AF">
            <w:pPr>
              <w:pStyle w:val="Default"/>
              <w:rPr>
                <w:b/>
              </w:rPr>
            </w:pPr>
            <w:r w:rsidRPr="0063396B">
              <w:rPr>
                <w:b/>
              </w:rPr>
              <w:t>Aktuella EU-ärenden</w:t>
            </w:r>
          </w:p>
          <w:p w14:paraId="7C056B33" w14:textId="77777777" w:rsidR="003D1127" w:rsidRPr="003D1127" w:rsidRDefault="003D1127" w:rsidP="003D1127">
            <w:pPr>
              <w:pStyle w:val="Default"/>
              <w:rPr>
                <w:bCs/>
              </w:rPr>
            </w:pPr>
            <w:r w:rsidRPr="003D1127">
              <w:rPr>
                <w:bCs/>
              </w:rPr>
              <w:t xml:space="preserve">Statssekreterare Johanna Lybeck Lilja, åtföljd av medarbetare från Finansdepartementet, informerade utskottet. </w:t>
            </w:r>
          </w:p>
          <w:p w14:paraId="76EE9051" w14:textId="77777777" w:rsidR="003D1127" w:rsidRPr="003D1127" w:rsidRDefault="003D1127" w:rsidP="003D1127">
            <w:pPr>
              <w:pStyle w:val="Default"/>
              <w:rPr>
                <w:bCs/>
              </w:rPr>
            </w:pPr>
          </w:p>
          <w:p w14:paraId="07AD93F3" w14:textId="77777777" w:rsidR="0063396B" w:rsidRDefault="003D1127" w:rsidP="003D1127">
            <w:pPr>
              <w:pStyle w:val="Default"/>
              <w:rPr>
                <w:bCs/>
              </w:rPr>
            </w:pPr>
            <w:r w:rsidRPr="003D1127">
              <w:rPr>
                <w:bCs/>
              </w:rPr>
              <w:t>Ledamöternas frågor besvarades.</w:t>
            </w:r>
          </w:p>
          <w:p w14:paraId="099B62D9" w14:textId="04C7FFD0" w:rsidR="003D1127" w:rsidRDefault="003D1127" w:rsidP="003D1127">
            <w:pPr>
              <w:pStyle w:val="Default"/>
              <w:rPr>
                <w:b/>
              </w:rPr>
            </w:pPr>
          </w:p>
        </w:tc>
      </w:tr>
      <w:tr w:rsidR="0063396B" w14:paraId="260BA2D4" w14:textId="77777777" w:rsidTr="008035C8">
        <w:tc>
          <w:tcPr>
            <w:tcW w:w="567" w:type="dxa"/>
          </w:tcPr>
          <w:p w14:paraId="3047A2E6" w14:textId="7390B7CD" w:rsidR="0063396B" w:rsidRPr="00C92C53" w:rsidRDefault="003D1127" w:rsidP="00C92C53">
            <w:pPr>
              <w:pStyle w:val="Default"/>
              <w:rPr>
                <w:b/>
              </w:rPr>
            </w:pPr>
            <w:r>
              <w:rPr>
                <w:b/>
              </w:rPr>
              <w:t>§ 5</w:t>
            </w:r>
          </w:p>
        </w:tc>
        <w:tc>
          <w:tcPr>
            <w:tcW w:w="7655" w:type="dxa"/>
          </w:tcPr>
          <w:p w14:paraId="7112232E" w14:textId="17C47E2F" w:rsidR="0063396B" w:rsidRDefault="0063396B" w:rsidP="009476AF">
            <w:pPr>
              <w:pStyle w:val="Default"/>
              <w:rPr>
                <w:b/>
              </w:rPr>
            </w:pPr>
            <w:r w:rsidRPr="0063396B">
              <w:rPr>
                <w:b/>
              </w:rPr>
              <w:t>Ändringar av EU:s krishanteringsregelverk</w:t>
            </w:r>
          </w:p>
          <w:p w14:paraId="10D48EE7" w14:textId="77777777" w:rsidR="003D1127" w:rsidRPr="003D1127" w:rsidRDefault="003D1127" w:rsidP="003D1127">
            <w:pPr>
              <w:pStyle w:val="Default"/>
              <w:rPr>
                <w:bCs/>
              </w:rPr>
            </w:pPr>
            <w:r w:rsidRPr="003D1127">
              <w:rPr>
                <w:bCs/>
              </w:rPr>
              <w:t xml:space="preserve">Utskottet överlade med statssekreterare Johan Almenberg, åtföljd av medarbetare från Finansdepartementet. </w:t>
            </w:r>
          </w:p>
          <w:p w14:paraId="457AE512" w14:textId="77777777" w:rsidR="003D1127" w:rsidRPr="003D1127" w:rsidRDefault="003D1127" w:rsidP="003D1127">
            <w:pPr>
              <w:pStyle w:val="Default"/>
              <w:rPr>
                <w:bCs/>
              </w:rPr>
            </w:pPr>
          </w:p>
          <w:p w14:paraId="16B2C360" w14:textId="7B0ECE57" w:rsidR="003D1127" w:rsidRPr="003D1127" w:rsidRDefault="003D1127" w:rsidP="003D1127">
            <w:pPr>
              <w:pStyle w:val="Default"/>
              <w:rPr>
                <w:bCs/>
              </w:rPr>
            </w:pPr>
            <w:r w:rsidRPr="003D1127">
              <w:rPr>
                <w:bCs/>
              </w:rPr>
              <w:t xml:space="preserve">Underlaget utgjordes av Regeringskansliets </w:t>
            </w:r>
            <w:r w:rsidR="00317ABB">
              <w:rPr>
                <w:bCs/>
              </w:rPr>
              <w:t>faktapromemoria</w:t>
            </w:r>
            <w:r w:rsidRPr="003D1127">
              <w:rPr>
                <w:bCs/>
              </w:rPr>
              <w:t xml:space="preserve"> (dnr 718-2022/23). </w:t>
            </w:r>
          </w:p>
          <w:p w14:paraId="62FDF990" w14:textId="77777777" w:rsidR="003D1127" w:rsidRPr="003D1127" w:rsidRDefault="003D1127" w:rsidP="003D1127">
            <w:pPr>
              <w:pStyle w:val="Default"/>
              <w:rPr>
                <w:bCs/>
              </w:rPr>
            </w:pPr>
          </w:p>
          <w:p w14:paraId="698E2444" w14:textId="09A50C5E" w:rsidR="00317ABB" w:rsidRDefault="00317ABB" w:rsidP="003D1127">
            <w:pPr>
              <w:pStyle w:val="Default"/>
              <w:rPr>
                <w:bCs/>
              </w:rPr>
            </w:pPr>
            <w:r w:rsidRPr="00317ABB">
              <w:rPr>
                <w:bCs/>
              </w:rPr>
              <w:t xml:space="preserve">Statssekreteraren redogjorde för regeringens ståndpunkt i enlighet med </w:t>
            </w:r>
            <w:r w:rsidR="00DA247E">
              <w:rPr>
                <w:bCs/>
              </w:rPr>
              <w:t>faktapromemoria</w:t>
            </w:r>
            <w:r w:rsidRPr="00317ABB">
              <w:rPr>
                <w:bCs/>
              </w:rPr>
              <w:t xml:space="preserve"> (bilaga </w:t>
            </w:r>
            <w:r>
              <w:rPr>
                <w:bCs/>
              </w:rPr>
              <w:t>5</w:t>
            </w:r>
            <w:r w:rsidRPr="00317ABB">
              <w:rPr>
                <w:bCs/>
              </w:rPr>
              <w:t>).</w:t>
            </w:r>
          </w:p>
          <w:p w14:paraId="0F3B1D5B" w14:textId="77777777" w:rsidR="00317ABB" w:rsidRDefault="00317ABB" w:rsidP="003D1127">
            <w:pPr>
              <w:pStyle w:val="Default"/>
              <w:rPr>
                <w:bCs/>
              </w:rPr>
            </w:pPr>
          </w:p>
          <w:p w14:paraId="3236B20A" w14:textId="5591E446" w:rsidR="00317ABB" w:rsidRDefault="00317ABB" w:rsidP="003D1127">
            <w:pPr>
              <w:pStyle w:val="Default"/>
              <w:rPr>
                <w:bCs/>
              </w:rPr>
            </w:pPr>
            <w:r w:rsidRPr="00317ABB">
              <w:rPr>
                <w:bCs/>
              </w:rPr>
              <w:t>Ordföranden konstaterade att det fanns stöd för regeringens ståndpunkt.</w:t>
            </w:r>
          </w:p>
          <w:p w14:paraId="47410FE5" w14:textId="07F58594" w:rsidR="0063396B" w:rsidRDefault="0063396B" w:rsidP="00317ABB">
            <w:pPr>
              <w:pStyle w:val="Default"/>
              <w:rPr>
                <w:b/>
              </w:rPr>
            </w:pPr>
          </w:p>
        </w:tc>
      </w:tr>
      <w:tr w:rsidR="0063396B" w14:paraId="773FC87C" w14:textId="77777777" w:rsidTr="008035C8">
        <w:tc>
          <w:tcPr>
            <w:tcW w:w="567" w:type="dxa"/>
          </w:tcPr>
          <w:p w14:paraId="7CFA8DEC" w14:textId="549AA2FC" w:rsidR="0063396B" w:rsidRPr="00C92C53" w:rsidRDefault="003D1127" w:rsidP="00C92C53">
            <w:pPr>
              <w:pStyle w:val="Default"/>
              <w:rPr>
                <w:b/>
              </w:rPr>
            </w:pPr>
            <w:r>
              <w:rPr>
                <w:b/>
              </w:rPr>
              <w:t>§ 6</w:t>
            </w:r>
          </w:p>
        </w:tc>
        <w:tc>
          <w:tcPr>
            <w:tcW w:w="7655" w:type="dxa"/>
          </w:tcPr>
          <w:p w14:paraId="0B640802" w14:textId="05AFC8B5" w:rsidR="003D1127" w:rsidRPr="003D1127" w:rsidRDefault="0063396B" w:rsidP="003D1127">
            <w:pPr>
              <w:pStyle w:val="Default"/>
              <w:rPr>
                <w:b/>
              </w:rPr>
            </w:pPr>
            <w:r w:rsidRPr="0063396B">
              <w:rPr>
                <w:b/>
              </w:rPr>
              <w:t>Sveriges ordförandeskap i EU inom finansmarknadsfrågor</w:t>
            </w:r>
            <w:r w:rsidR="003D1127">
              <w:rPr>
                <w:b/>
              </w:rPr>
              <w:br/>
            </w:r>
            <w:r w:rsidR="003D1127" w:rsidRPr="003D1127">
              <w:rPr>
                <w:bCs/>
              </w:rPr>
              <w:t>Statssekreterare Johan Almenberg, åtföljd av medarbetare från Finansdepartementet, informerade utskottet.</w:t>
            </w:r>
            <w:r w:rsidR="003D1127" w:rsidRPr="003D1127">
              <w:rPr>
                <w:b/>
              </w:rPr>
              <w:t xml:space="preserve"> </w:t>
            </w:r>
          </w:p>
          <w:p w14:paraId="1793DE04" w14:textId="77777777" w:rsidR="003D1127" w:rsidRPr="003D1127" w:rsidRDefault="003D1127" w:rsidP="003D1127">
            <w:pPr>
              <w:pStyle w:val="Default"/>
              <w:rPr>
                <w:b/>
              </w:rPr>
            </w:pPr>
          </w:p>
          <w:p w14:paraId="2143E499" w14:textId="77777777" w:rsidR="0063396B" w:rsidRDefault="003D1127" w:rsidP="003D1127">
            <w:pPr>
              <w:pStyle w:val="Default"/>
              <w:rPr>
                <w:bCs/>
              </w:rPr>
            </w:pPr>
            <w:r w:rsidRPr="003D1127">
              <w:rPr>
                <w:bCs/>
              </w:rPr>
              <w:t>Ledamöternas frågor besvarades.</w:t>
            </w:r>
          </w:p>
          <w:p w14:paraId="3323960A" w14:textId="29118C66" w:rsidR="003D1127" w:rsidRPr="003D1127" w:rsidRDefault="003D1127" w:rsidP="003D1127">
            <w:pPr>
              <w:pStyle w:val="Default"/>
              <w:rPr>
                <w:bCs/>
              </w:rPr>
            </w:pPr>
          </w:p>
        </w:tc>
      </w:tr>
      <w:tr w:rsidR="00A44FE3" w14:paraId="2C8ABE0A" w14:textId="77777777" w:rsidTr="008035C8">
        <w:tc>
          <w:tcPr>
            <w:tcW w:w="567" w:type="dxa"/>
          </w:tcPr>
          <w:p w14:paraId="442699FD" w14:textId="4B6B74D7" w:rsidR="00A44FE3" w:rsidRPr="00C92C53" w:rsidRDefault="00A44FE3" w:rsidP="00C92C53">
            <w:pPr>
              <w:pStyle w:val="Default"/>
              <w:rPr>
                <w:b/>
              </w:rPr>
            </w:pPr>
            <w:r w:rsidRPr="00C92C53">
              <w:rPr>
                <w:b/>
              </w:rPr>
              <w:t xml:space="preserve">§ </w:t>
            </w:r>
            <w:r w:rsidR="003D1127">
              <w:rPr>
                <w:b/>
              </w:rPr>
              <w:t>7</w:t>
            </w:r>
          </w:p>
        </w:tc>
        <w:tc>
          <w:tcPr>
            <w:tcW w:w="7655" w:type="dxa"/>
          </w:tcPr>
          <w:p w14:paraId="43DC9495" w14:textId="2EF1CF27" w:rsidR="00C92C53" w:rsidRDefault="009476AF" w:rsidP="009476AF">
            <w:pPr>
              <w:pStyle w:val="Default"/>
              <w:rPr>
                <w:bCs/>
              </w:rPr>
            </w:pPr>
            <w:r>
              <w:rPr>
                <w:b/>
              </w:rPr>
              <w:t>Anmälningar</w:t>
            </w:r>
            <w:r w:rsidR="00FD4329">
              <w:rPr>
                <w:b/>
              </w:rPr>
              <w:br/>
            </w:r>
            <w:r w:rsidR="00FD4329">
              <w:rPr>
                <w:bCs/>
              </w:rPr>
              <w:t xml:space="preserve">Kanslichefen meddelade att </w:t>
            </w:r>
            <w:r w:rsidR="006A4C1D">
              <w:rPr>
                <w:bCs/>
              </w:rPr>
              <w:t xml:space="preserve">inga ärenden är inplanerade för sammanträdena 20 och 22 juni och </w:t>
            </w:r>
            <w:r w:rsidR="009E1792">
              <w:rPr>
                <w:bCs/>
              </w:rPr>
              <w:t xml:space="preserve">de </w:t>
            </w:r>
            <w:r w:rsidR="006A4C1D">
              <w:rPr>
                <w:bCs/>
              </w:rPr>
              <w:t xml:space="preserve">föreslås därför ställas in. </w:t>
            </w:r>
          </w:p>
          <w:p w14:paraId="17EE5049" w14:textId="0BA88941" w:rsidR="00A44FE3" w:rsidRPr="00C92C53" w:rsidRDefault="00A44FE3" w:rsidP="00C92C53">
            <w:pPr>
              <w:pStyle w:val="Default"/>
              <w:rPr>
                <w:bCs/>
              </w:rPr>
            </w:pPr>
          </w:p>
        </w:tc>
      </w:tr>
      <w:tr w:rsidR="009476AF" w14:paraId="070968C2" w14:textId="77777777" w:rsidTr="008035C8">
        <w:tc>
          <w:tcPr>
            <w:tcW w:w="567" w:type="dxa"/>
          </w:tcPr>
          <w:p w14:paraId="1A178F32" w14:textId="746E2708" w:rsidR="009476AF" w:rsidRDefault="009476AF" w:rsidP="009476AF">
            <w:pPr>
              <w:tabs>
                <w:tab w:val="left" w:pos="1701"/>
              </w:tabs>
              <w:rPr>
                <w:b/>
                <w:snapToGrid w:val="0"/>
              </w:rPr>
            </w:pPr>
            <w:r>
              <w:rPr>
                <w:b/>
                <w:snapToGrid w:val="0"/>
              </w:rPr>
              <w:t xml:space="preserve">§ </w:t>
            </w:r>
            <w:r w:rsidR="003D1127">
              <w:rPr>
                <w:b/>
                <w:snapToGrid w:val="0"/>
              </w:rPr>
              <w:t>8</w:t>
            </w:r>
          </w:p>
        </w:tc>
        <w:tc>
          <w:tcPr>
            <w:tcW w:w="7655" w:type="dxa"/>
          </w:tcPr>
          <w:p w14:paraId="11B34F76" w14:textId="70A4FEA1" w:rsidR="009476AF" w:rsidRDefault="009476AF" w:rsidP="009476AF">
            <w:pPr>
              <w:outlineLvl w:val="0"/>
              <w:rPr>
                <w:b/>
              </w:rPr>
            </w:pPr>
            <w:r>
              <w:rPr>
                <w:b/>
              </w:rPr>
              <w:t xml:space="preserve">Justering av protokoll </w:t>
            </w:r>
            <w:r w:rsidR="0073032B">
              <w:rPr>
                <w:b/>
              </w:rPr>
              <w:br/>
            </w:r>
            <w:r w:rsidR="0073032B" w:rsidRPr="005A7B37">
              <w:rPr>
                <w:bCs/>
              </w:rPr>
              <w:t>Utskottet justerade protokoll nr 2022/23:</w:t>
            </w:r>
            <w:r w:rsidR="005A7B37" w:rsidRPr="005A7B37">
              <w:rPr>
                <w:bCs/>
              </w:rPr>
              <w:t>54.</w:t>
            </w:r>
            <w:r w:rsidR="005A7B37">
              <w:rPr>
                <w:b/>
              </w:rPr>
              <w:t xml:space="preserve"> </w:t>
            </w:r>
          </w:p>
          <w:p w14:paraId="14DD40BE" w14:textId="0E98A9B5" w:rsidR="009476AF" w:rsidRDefault="009476AF" w:rsidP="009476AF">
            <w:pPr>
              <w:outlineLvl w:val="0"/>
              <w:rPr>
                <w:b/>
              </w:rPr>
            </w:pPr>
          </w:p>
        </w:tc>
      </w:tr>
    </w:tbl>
    <w:p w14:paraId="6D5FEA1D" w14:textId="77777777" w:rsidR="005A7B37" w:rsidRDefault="005A7B37">
      <w:r>
        <w:br w:type="page"/>
      </w: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5A7B37" w14:paraId="29A1746F" w14:textId="77777777" w:rsidTr="008035C8">
        <w:tc>
          <w:tcPr>
            <w:tcW w:w="567" w:type="dxa"/>
          </w:tcPr>
          <w:p w14:paraId="00751CFB" w14:textId="23C23B0B" w:rsidR="005A7B37" w:rsidRDefault="005A7B37" w:rsidP="009476AF">
            <w:pPr>
              <w:tabs>
                <w:tab w:val="left" w:pos="1701"/>
              </w:tabs>
              <w:rPr>
                <w:b/>
                <w:snapToGrid w:val="0"/>
              </w:rPr>
            </w:pPr>
            <w:r>
              <w:rPr>
                <w:b/>
                <w:snapToGrid w:val="0"/>
              </w:rPr>
              <w:lastRenderedPageBreak/>
              <w:t>§ 9</w:t>
            </w:r>
          </w:p>
        </w:tc>
        <w:tc>
          <w:tcPr>
            <w:tcW w:w="7655" w:type="dxa"/>
          </w:tcPr>
          <w:p w14:paraId="0599F42C" w14:textId="466809F9" w:rsidR="005A7B37" w:rsidRDefault="005A7B37" w:rsidP="005A7B37">
            <w:pPr>
              <w:tabs>
                <w:tab w:val="left" w:pos="2147"/>
              </w:tabs>
              <w:outlineLvl w:val="0"/>
              <w:rPr>
                <w:b/>
              </w:rPr>
            </w:pPr>
            <w:r w:rsidRPr="005A7B37">
              <w:rPr>
                <w:b/>
              </w:rPr>
              <w:t>Riktlinjer för den ekonomiska politiken (FiU20)</w:t>
            </w:r>
          </w:p>
          <w:p w14:paraId="1B844D2B" w14:textId="1BFA50AF" w:rsidR="005A7B37" w:rsidRPr="005A7B37" w:rsidRDefault="005A7B37" w:rsidP="005A7B37">
            <w:pPr>
              <w:tabs>
                <w:tab w:val="left" w:pos="2147"/>
              </w:tabs>
              <w:outlineLvl w:val="0"/>
              <w:rPr>
                <w:bCs/>
              </w:rPr>
            </w:pPr>
            <w:r w:rsidRPr="005A7B37">
              <w:rPr>
                <w:bCs/>
              </w:rPr>
              <w:t xml:space="preserve">Utskottet </w:t>
            </w:r>
            <w:r>
              <w:rPr>
                <w:bCs/>
              </w:rPr>
              <w:t>fortsatte</w:t>
            </w:r>
            <w:r w:rsidRPr="005A7B37">
              <w:rPr>
                <w:bCs/>
              </w:rPr>
              <w:t xml:space="preserve"> beredningen av proposition 2022/23:100, yttrande och motioner. </w:t>
            </w:r>
          </w:p>
          <w:p w14:paraId="3D913AB8" w14:textId="77777777" w:rsidR="005A7B37" w:rsidRPr="005A7B37" w:rsidRDefault="005A7B37" w:rsidP="005A7B37">
            <w:pPr>
              <w:tabs>
                <w:tab w:val="left" w:pos="2147"/>
              </w:tabs>
              <w:outlineLvl w:val="0"/>
              <w:rPr>
                <w:bCs/>
              </w:rPr>
            </w:pPr>
          </w:p>
          <w:p w14:paraId="20537BBD" w14:textId="0786855B" w:rsidR="005A7B37" w:rsidRPr="005A7B37" w:rsidRDefault="005A7B37" w:rsidP="005A7B37">
            <w:pPr>
              <w:tabs>
                <w:tab w:val="left" w:pos="2147"/>
              </w:tabs>
              <w:outlineLvl w:val="0"/>
              <w:rPr>
                <w:bCs/>
              </w:rPr>
            </w:pPr>
            <w:r w:rsidRPr="005A7B37">
              <w:rPr>
                <w:bCs/>
              </w:rPr>
              <w:t>Ärendet bordlades.</w:t>
            </w:r>
          </w:p>
          <w:p w14:paraId="27E57AB7" w14:textId="476B9758" w:rsidR="005A7B37" w:rsidRDefault="005A7B37" w:rsidP="005A7B37">
            <w:pPr>
              <w:tabs>
                <w:tab w:val="left" w:pos="2147"/>
              </w:tabs>
              <w:outlineLvl w:val="0"/>
              <w:rPr>
                <w:b/>
              </w:rPr>
            </w:pPr>
          </w:p>
        </w:tc>
      </w:tr>
      <w:tr w:rsidR="005A7B37" w14:paraId="7AFF343D" w14:textId="77777777" w:rsidTr="008035C8">
        <w:tc>
          <w:tcPr>
            <w:tcW w:w="567" w:type="dxa"/>
          </w:tcPr>
          <w:p w14:paraId="1BA9A55D" w14:textId="34F4887B" w:rsidR="005A7B37" w:rsidRDefault="005A7B37" w:rsidP="009476AF">
            <w:pPr>
              <w:tabs>
                <w:tab w:val="left" w:pos="1701"/>
              </w:tabs>
              <w:rPr>
                <w:b/>
                <w:snapToGrid w:val="0"/>
              </w:rPr>
            </w:pPr>
            <w:r>
              <w:rPr>
                <w:b/>
                <w:snapToGrid w:val="0"/>
              </w:rPr>
              <w:t>§ 10</w:t>
            </w:r>
          </w:p>
        </w:tc>
        <w:tc>
          <w:tcPr>
            <w:tcW w:w="7655" w:type="dxa"/>
          </w:tcPr>
          <w:p w14:paraId="4169066A" w14:textId="66D14DD9" w:rsidR="005A7B37" w:rsidRDefault="005A7B37" w:rsidP="005A7B37">
            <w:pPr>
              <w:tabs>
                <w:tab w:val="left" w:pos="2147"/>
              </w:tabs>
              <w:outlineLvl w:val="0"/>
              <w:rPr>
                <w:b/>
              </w:rPr>
            </w:pPr>
            <w:r w:rsidRPr="005A7B37">
              <w:rPr>
                <w:b/>
              </w:rPr>
              <w:t>Uppföljning och utvärdering av penningpolitiken 2022 (FiU24)</w:t>
            </w:r>
          </w:p>
          <w:p w14:paraId="1D8CD084" w14:textId="36A8ABAB" w:rsidR="005A7B37" w:rsidRPr="005A7B37" w:rsidRDefault="005A7B37" w:rsidP="005A7B37">
            <w:pPr>
              <w:tabs>
                <w:tab w:val="left" w:pos="2147"/>
              </w:tabs>
              <w:outlineLvl w:val="0"/>
              <w:rPr>
                <w:bCs/>
              </w:rPr>
            </w:pPr>
            <w:r w:rsidRPr="005A7B37">
              <w:rPr>
                <w:bCs/>
              </w:rPr>
              <w:t xml:space="preserve">Utskottet </w:t>
            </w:r>
            <w:r>
              <w:rPr>
                <w:bCs/>
              </w:rPr>
              <w:t>fortsatte</w:t>
            </w:r>
            <w:r w:rsidRPr="005A7B37">
              <w:rPr>
                <w:bCs/>
              </w:rPr>
              <w:t xml:space="preserve"> beredningen av redogörelse för penningpolitiken 2022 och Utvärdering av penningpolitiken 2022 (2022/23:RFR5)</w:t>
            </w:r>
            <w:r w:rsidR="003907F7">
              <w:rPr>
                <w:bCs/>
              </w:rPr>
              <w:t>.</w:t>
            </w:r>
            <w:r w:rsidRPr="005A7B37">
              <w:rPr>
                <w:bCs/>
              </w:rPr>
              <w:t xml:space="preserve"> </w:t>
            </w:r>
          </w:p>
          <w:p w14:paraId="3E282BCC" w14:textId="77777777" w:rsidR="005A7B37" w:rsidRPr="005A7B37" w:rsidRDefault="005A7B37" w:rsidP="005A7B37">
            <w:pPr>
              <w:tabs>
                <w:tab w:val="left" w:pos="2147"/>
              </w:tabs>
              <w:outlineLvl w:val="0"/>
              <w:rPr>
                <w:bCs/>
              </w:rPr>
            </w:pPr>
          </w:p>
          <w:p w14:paraId="06A466F6" w14:textId="262514C4" w:rsidR="005A7B37" w:rsidRPr="005A7B37" w:rsidRDefault="005A7B37" w:rsidP="005A7B37">
            <w:pPr>
              <w:tabs>
                <w:tab w:val="left" w:pos="2147"/>
              </w:tabs>
              <w:outlineLvl w:val="0"/>
              <w:rPr>
                <w:bCs/>
              </w:rPr>
            </w:pPr>
            <w:r w:rsidRPr="005A7B37">
              <w:rPr>
                <w:bCs/>
              </w:rPr>
              <w:t>Ärendet bordlades.</w:t>
            </w:r>
          </w:p>
          <w:p w14:paraId="56399B14" w14:textId="6DA0805B" w:rsidR="005A7B37" w:rsidRPr="005A7B37" w:rsidRDefault="005A7B37" w:rsidP="005A7B37">
            <w:pPr>
              <w:tabs>
                <w:tab w:val="left" w:pos="2147"/>
              </w:tabs>
              <w:outlineLvl w:val="0"/>
              <w:rPr>
                <w:b/>
              </w:rPr>
            </w:pPr>
          </w:p>
        </w:tc>
      </w:tr>
      <w:tr w:rsidR="002A5D58" w14:paraId="69468561" w14:textId="77777777" w:rsidTr="008035C8">
        <w:tc>
          <w:tcPr>
            <w:tcW w:w="567" w:type="dxa"/>
          </w:tcPr>
          <w:p w14:paraId="61C7046A" w14:textId="2EBD148B" w:rsidR="002A5D58" w:rsidRDefault="009476AF" w:rsidP="00A44FE3">
            <w:pPr>
              <w:tabs>
                <w:tab w:val="left" w:pos="1701"/>
              </w:tabs>
              <w:rPr>
                <w:b/>
                <w:snapToGrid w:val="0"/>
              </w:rPr>
            </w:pPr>
            <w:r>
              <w:rPr>
                <w:b/>
                <w:snapToGrid w:val="0"/>
              </w:rPr>
              <w:t xml:space="preserve">§ </w:t>
            </w:r>
            <w:r w:rsidR="005A7B37">
              <w:rPr>
                <w:b/>
                <w:snapToGrid w:val="0"/>
              </w:rPr>
              <w:t>11</w:t>
            </w:r>
          </w:p>
        </w:tc>
        <w:tc>
          <w:tcPr>
            <w:tcW w:w="7655" w:type="dxa"/>
          </w:tcPr>
          <w:p w14:paraId="33C4C109" w14:textId="5C55A1F2" w:rsidR="002A5D58" w:rsidRDefault="002A5D58" w:rsidP="00A44FE3">
            <w:pPr>
              <w:outlineLvl w:val="0"/>
              <w:rPr>
                <w:b/>
              </w:rPr>
            </w:pPr>
            <w:r>
              <w:rPr>
                <w:b/>
              </w:rPr>
              <w:t>Nästa sammanträde</w:t>
            </w:r>
          </w:p>
          <w:p w14:paraId="2B013B23" w14:textId="1C4E17B5" w:rsidR="00FD4329" w:rsidRPr="00B33983" w:rsidRDefault="000A625E" w:rsidP="00A44FE3">
            <w:pPr>
              <w:outlineLvl w:val="0"/>
              <w:rPr>
                <w:bCs/>
              </w:rPr>
            </w:pPr>
            <w:r w:rsidRPr="000A625E">
              <w:rPr>
                <w:bCs/>
              </w:rPr>
              <w:t>Torsdag 15 juni kl. 10.30</w:t>
            </w:r>
          </w:p>
        </w:tc>
      </w:tr>
      <w:tr w:rsidR="002C538C" w14:paraId="3025882C" w14:textId="77777777" w:rsidTr="008035C8">
        <w:tc>
          <w:tcPr>
            <w:tcW w:w="8222" w:type="dxa"/>
            <w:gridSpan w:val="2"/>
          </w:tcPr>
          <w:p w14:paraId="2F50798C" w14:textId="3D53B133" w:rsidR="00C92C53" w:rsidRDefault="00C92C53" w:rsidP="002C538C">
            <w:pPr>
              <w:outlineLvl w:val="0"/>
            </w:pPr>
          </w:p>
          <w:p w14:paraId="6A7291CA" w14:textId="484FE53F" w:rsidR="00C92C53" w:rsidRDefault="00C92C53" w:rsidP="002C538C">
            <w:pPr>
              <w:outlineLvl w:val="0"/>
            </w:pPr>
          </w:p>
          <w:p w14:paraId="62CF4752" w14:textId="521C3272" w:rsidR="00C92C53" w:rsidRDefault="00066F30" w:rsidP="002C538C">
            <w:pPr>
              <w:outlineLvl w:val="0"/>
            </w:pPr>
            <w:r>
              <w:t xml:space="preserve">Justerat av Edward Riedl </w:t>
            </w:r>
            <w:r>
              <w:t>den 15 juni 2023</w:t>
            </w:r>
          </w:p>
          <w:p w14:paraId="7B13580B" w14:textId="7CEE9900" w:rsidR="00C92C53" w:rsidRPr="00BD39D1" w:rsidRDefault="00C92C53" w:rsidP="002C538C">
            <w:pPr>
              <w:outlineLvl w:val="0"/>
            </w:pPr>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77777777" w:rsidR="00294515" w:rsidRDefault="00294515" w:rsidP="00223A90">
      <w:pPr>
        <w:pStyle w:val="Sidhuvud"/>
        <w:tabs>
          <w:tab w:val="clear" w:pos="4536"/>
          <w:tab w:val="left" w:pos="3402"/>
          <w:tab w:val="left" w:pos="6946"/>
        </w:tabs>
        <w:ind w:left="-851"/>
        <w:rPr>
          <w:sz w:val="20"/>
        </w:rPr>
      </w:pPr>
    </w:p>
    <w:p w14:paraId="6B36DF18" w14:textId="77777777" w:rsidR="00192BEE" w:rsidRDefault="00192BEE" w:rsidP="005A0175">
      <w:pPr>
        <w:pStyle w:val="Sidhuvud"/>
        <w:tabs>
          <w:tab w:val="clear" w:pos="4536"/>
          <w:tab w:val="left" w:pos="3402"/>
          <w:tab w:val="left" w:pos="6946"/>
        </w:tabs>
        <w:rPr>
          <w:sz w:val="20"/>
        </w:rPr>
      </w:pPr>
    </w:p>
    <w:p w14:paraId="331980B9" w14:textId="77777777" w:rsidR="005A0175" w:rsidRDefault="005A0175" w:rsidP="005A0175">
      <w:pPr>
        <w:pStyle w:val="Sidhuvud"/>
        <w:tabs>
          <w:tab w:val="clear" w:pos="4536"/>
          <w:tab w:val="left" w:pos="3402"/>
          <w:tab w:val="left" w:pos="6946"/>
        </w:tabs>
        <w:rPr>
          <w:sz w:val="20"/>
        </w:rPr>
      </w:pPr>
      <w:r>
        <w:rPr>
          <w:sz w:val="20"/>
        </w:rPr>
        <w:br w:type="page"/>
      </w:r>
    </w:p>
    <w:p w14:paraId="746C0D59" w14:textId="1D01DC4C" w:rsidR="004C6601" w:rsidRDefault="004C6601" w:rsidP="004C6601">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w:t>
      </w:r>
      <w:r w:rsidR="00914E3E">
        <w:rPr>
          <w:sz w:val="22"/>
          <w:szCs w:val="22"/>
        </w:rPr>
        <w:t>2</w:t>
      </w:r>
      <w:r w:rsidR="006375F0">
        <w:rPr>
          <w:sz w:val="22"/>
          <w:szCs w:val="22"/>
        </w:rPr>
        <w:t>2</w:t>
      </w:r>
      <w:r>
        <w:rPr>
          <w:sz w:val="22"/>
          <w:szCs w:val="22"/>
        </w:rPr>
        <w:t>/</w:t>
      </w:r>
      <w:r w:rsidR="00917732">
        <w:rPr>
          <w:sz w:val="22"/>
          <w:szCs w:val="22"/>
        </w:rPr>
        <w:t>2</w:t>
      </w:r>
      <w:r w:rsidR="006375F0">
        <w:rPr>
          <w:sz w:val="22"/>
          <w:szCs w:val="22"/>
        </w:rPr>
        <w:t>3</w:t>
      </w:r>
      <w:r w:rsidRPr="00282678">
        <w:rPr>
          <w:sz w:val="22"/>
          <w:szCs w:val="22"/>
        </w:rPr>
        <w:t>:</w:t>
      </w:r>
    </w:p>
    <w:tbl>
      <w:tblPr>
        <w:tblW w:w="10010" w:type="dxa"/>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gridCol w:w="728"/>
      </w:tblGrid>
      <w:tr w:rsidR="009476AF" w:rsidRPr="000E151F" w14:paraId="6C3C698D" w14:textId="40A662FC" w:rsidTr="00092876">
        <w:tc>
          <w:tcPr>
            <w:tcW w:w="4395" w:type="dxa"/>
            <w:tcBorders>
              <w:top w:val="single" w:sz="6" w:space="0" w:color="auto"/>
              <w:left w:val="single" w:sz="6" w:space="0" w:color="auto"/>
              <w:bottom w:val="single" w:sz="6" w:space="0" w:color="auto"/>
              <w:right w:val="single" w:sz="6" w:space="0" w:color="auto"/>
            </w:tcBorders>
          </w:tcPr>
          <w:p w14:paraId="70490EDB" w14:textId="77777777" w:rsidR="009476AF" w:rsidRPr="000E151F" w:rsidRDefault="009476AF"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3DCBEDC1" w14:textId="677F9C7A" w:rsidR="009476AF" w:rsidRPr="000E151F" w:rsidRDefault="00092876" w:rsidP="006B55D9">
            <w:pPr>
              <w:spacing w:line="360" w:lineRule="auto"/>
              <w:rPr>
                <w:sz w:val="22"/>
                <w:szCs w:val="22"/>
              </w:rPr>
            </w:pPr>
            <w:r>
              <w:rPr>
                <w:sz w:val="22"/>
                <w:szCs w:val="22"/>
              </w:rPr>
              <w:t>§ 1</w:t>
            </w:r>
          </w:p>
        </w:tc>
        <w:tc>
          <w:tcPr>
            <w:tcW w:w="791" w:type="dxa"/>
            <w:gridSpan w:val="2"/>
            <w:tcBorders>
              <w:top w:val="single" w:sz="6" w:space="0" w:color="auto"/>
              <w:left w:val="single" w:sz="6" w:space="0" w:color="auto"/>
              <w:bottom w:val="single" w:sz="6" w:space="0" w:color="auto"/>
              <w:right w:val="single" w:sz="6" w:space="0" w:color="auto"/>
            </w:tcBorders>
          </w:tcPr>
          <w:p w14:paraId="536CEB3D" w14:textId="2C42CCAD" w:rsidR="009476AF" w:rsidRPr="000E151F" w:rsidRDefault="00092876" w:rsidP="006B55D9">
            <w:pPr>
              <w:rPr>
                <w:sz w:val="22"/>
                <w:szCs w:val="22"/>
              </w:rPr>
            </w:pPr>
            <w:r>
              <w:rPr>
                <w:sz w:val="22"/>
                <w:szCs w:val="22"/>
              </w:rPr>
              <w:t>§ 2</w:t>
            </w:r>
          </w:p>
        </w:tc>
        <w:tc>
          <w:tcPr>
            <w:tcW w:w="791" w:type="dxa"/>
            <w:gridSpan w:val="2"/>
            <w:tcBorders>
              <w:top w:val="single" w:sz="6" w:space="0" w:color="auto"/>
              <w:left w:val="single" w:sz="6" w:space="0" w:color="auto"/>
              <w:bottom w:val="single" w:sz="6" w:space="0" w:color="auto"/>
              <w:right w:val="single" w:sz="6" w:space="0" w:color="auto"/>
            </w:tcBorders>
          </w:tcPr>
          <w:p w14:paraId="1489731B" w14:textId="2420D56D" w:rsidR="009476AF" w:rsidRPr="000E151F" w:rsidRDefault="00092876" w:rsidP="006B55D9">
            <w:pPr>
              <w:rPr>
                <w:sz w:val="22"/>
                <w:szCs w:val="22"/>
              </w:rPr>
            </w:pPr>
            <w:r>
              <w:rPr>
                <w:sz w:val="22"/>
                <w:szCs w:val="22"/>
              </w:rPr>
              <w:t>§ 3- 11</w:t>
            </w:r>
          </w:p>
        </w:tc>
        <w:tc>
          <w:tcPr>
            <w:tcW w:w="791" w:type="dxa"/>
            <w:gridSpan w:val="2"/>
            <w:tcBorders>
              <w:top w:val="single" w:sz="6" w:space="0" w:color="auto"/>
              <w:left w:val="single" w:sz="6" w:space="0" w:color="auto"/>
              <w:bottom w:val="single" w:sz="6" w:space="0" w:color="auto"/>
              <w:right w:val="single" w:sz="6" w:space="0" w:color="auto"/>
            </w:tcBorders>
          </w:tcPr>
          <w:p w14:paraId="78119485" w14:textId="77777777" w:rsidR="009476AF" w:rsidRPr="000E151F" w:rsidRDefault="009476AF"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57B979E" w14:textId="77777777" w:rsidR="009476AF" w:rsidRPr="000E151F" w:rsidRDefault="009476AF"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0174786C" w14:textId="77777777" w:rsidR="009476AF" w:rsidRPr="000E151F" w:rsidRDefault="009476AF"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4A30330A" w14:textId="77777777" w:rsidR="009476AF" w:rsidRPr="000E151F" w:rsidRDefault="009476AF" w:rsidP="006B55D9">
            <w:pPr>
              <w:rPr>
                <w:sz w:val="22"/>
                <w:szCs w:val="22"/>
              </w:rPr>
            </w:pPr>
          </w:p>
        </w:tc>
      </w:tr>
      <w:tr w:rsidR="009476AF" w:rsidRPr="000E151F" w14:paraId="27BBC827" w14:textId="3622EA23" w:rsidTr="00092876">
        <w:tc>
          <w:tcPr>
            <w:tcW w:w="4395" w:type="dxa"/>
            <w:tcBorders>
              <w:top w:val="single" w:sz="6" w:space="0" w:color="auto"/>
              <w:left w:val="single" w:sz="6" w:space="0" w:color="auto"/>
              <w:bottom w:val="single" w:sz="6" w:space="0" w:color="auto"/>
              <w:right w:val="single" w:sz="6" w:space="0" w:color="auto"/>
            </w:tcBorders>
          </w:tcPr>
          <w:p w14:paraId="64AA2767" w14:textId="77777777" w:rsidR="009476AF" w:rsidRPr="000E151F" w:rsidRDefault="009476AF" w:rsidP="009476AF">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6EB6966C" w14:textId="3EFF150D" w:rsidR="009476AF" w:rsidRPr="000E151F" w:rsidRDefault="009476AF" w:rsidP="009476AF">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6DB59EAC" w14:textId="5AD77919" w:rsidR="009476AF" w:rsidRPr="000E151F" w:rsidRDefault="009476AF" w:rsidP="009476AF">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6B952CFC" w14:textId="77777777" w:rsidR="009476AF" w:rsidRPr="000E151F" w:rsidRDefault="009476AF" w:rsidP="009476AF">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54EBAD2B" w14:textId="77777777" w:rsidR="009476AF" w:rsidRPr="000E151F" w:rsidRDefault="009476AF" w:rsidP="009476AF">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05F1A91" w14:textId="77777777" w:rsidR="009476AF" w:rsidRPr="000E151F" w:rsidRDefault="009476AF" w:rsidP="009476AF">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B8B259D" w14:textId="77777777" w:rsidR="009476AF" w:rsidRPr="000E151F" w:rsidRDefault="009476AF" w:rsidP="009476AF">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42EB21A" w14:textId="77777777" w:rsidR="009476AF" w:rsidRPr="000E151F" w:rsidRDefault="009476AF" w:rsidP="009476AF">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3E7386E2" w14:textId="77777777" w:rsidR="009476AF" w:rsidRPr="000E151F" w:rsidRDefault="009476AF" w:rsidP="009476AF">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10A5441" w14:textId="77777777" w:rsidR="009476AF" w:rsidRPr="000E151F" w:rsidRDefault="009476AF" w:rsidP="009476AF">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344F3EBF" w14:textId="77777777" w:rsidR="009476AF" w:rsidRPr="000E151F" w:rsidRDefault="009476AF" w:rsidP="009476AF">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5F26E60C" w14:textId="77777777" w:rsidR="009476AF" w:rsidRPr="000E151F" w:rsidRDefault="009476AF" w:rsidP="009476AF">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72545131" w14:textId="77777777" w:rsidR="009476AF" w:rsidRPr="000E151F" w:rsidRDefault="009476AF" w:rsidP="009476AF">
            <w:pPr>
              <w:rPr>
                <w:sz w:val="22"/>
                <w:szCs w:val="22"/>
              </w:rPr>
            </w:pPr>
            <w:r w:rsidRPr="000E151F">
              <w:rPr>
                <w:sz w:val="22"/>
                <w:szCs w:val="22"/>
              </w:rPr>
              <w:t>V</w:t>
            </w:r>
          </w:p>
        </w:tc>
        <w:tc>
          <w:tcPr>
            <w:tcW w:w="728" w:type="dxa"/>
            <w:tcBorders>
              <w:top w:val="single" w:sz="6" w:space="0" w:color="auto"/>
              <w:left w:val="single" w:sz="6" w:space="0" w:color="auto"/>
              <w:bottom w:val="single" w:sz="6" w:space="0" w:color="auto"/>
              <w:right w:val="single" w:sz="6" w:space="0" w:color="auto"/>
            </w:tcBorders>
          </w:tcPr>
          <w:p w14:paraId="747D22F1" w14:textId="77777777" w:rsidR="009476AF" w:rsidRPr="000E151F" w:rsidRDefault="009476AF" w:rsidP="009476AF">
            <w:pPr>
              <w:rPr>
                <w:sz w:val="22"/>
                <w:szCs w:val="22"/>
              </w:rPr>
            </w:pPr>
          </w:p>
        </w:tc>
      </w:tr>
      <w:tr w:rsidR="00092876" w:rsidRPr="000E151F" w14:paraId="477F96EA" w14:textId="7FB27CC5" w:rsidTr="00092876">
        <w:tc>
          <w:tcPr>
            <w:tcW w:w="4395" w:type="dxa"/>
            <w:tcBorders>
              <w:top w:val="single" w:sz="6" w:space="0" w:color="auto"/>
              <w:left w:val="single" w:sz="6" w:space="0" w:color="auto"/>
              <w:bottom w:val="single" w:sz="6" w:space="0" w:color="auto"/>
              <w:right w:val="single" w:sz="6" w:space="0" w:color="auto"/>
            </w:tcBorders>
          </w:tcPr>
          <w:p w14:paraId="69FA43AD" w14:textId="5D74EC53" w:rsidR="00092876" w:rsidRPr="000E151F" w:rsidRDefault="00092876" w:rsidP="00092876">
            <w:pPr>
              <w:rPr>
                <w:b/>
                <w:i/>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410336F0" w14:textId="25A2EADC" w:rsidR="00092876" w:rsidRPr="000E151F" w:rsidRDefault="00092876" w:rsidP="0009287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35F6F07"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333136" w14:textId="61ADB07F" w:rsidR="00092876" w:rsidRPr="000E151F" w:rsidRDefault="00092876" w:rsidP="0009287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9F3E45F"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8CDED0" w14:textId="304F27E8" w:rsidR="00092876" w:rsidRPr="000E151F" w:rsidRDefault="00092876" w:rsidP="0009287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34CA44A"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474C61"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49E023"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28605A"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053B09"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67E11"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0F3C0D"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7D699044" w14:textId="77777777" w:rsidR="00092876" w:rsidRPr="000E151F" w:rsidRDefault="00092876" w:rsidP="00092876">
            <w:pPr>
              <w:rPr>
                <w:sz w:val="22"/>
                <w:szCs w:val="22"/>
              </w:rPr>
            </w:pPr>
          </w:p>
        </w:tc>
      </w:tr>
      <w:tr w:rsidR="00092876" w:rsidRPr="000E151F" w14:paraId="24BD4331" w14:textId="55D086E6" w:rsidTr="00092876">
        <w:tc>
          <w:tcPr>
            <w:tcW w:w="4395" w:type="dxa"/>
            <w:tcBorders>
              <w:top w:val="single" w:sz="6" w:space="0" w:color="auto"/>
              <w:left w:val="single" w:sz="6" w:space="0" w:color="auto"/>
              <w:bottom w:val="single" w:sz="6" w:space="0" w:color="auto"/>
              <w:right w:val="single" w:sz="6" w:space="0" w:color="auto"/>
            </w:tcBorders>
          </w:tcPr>
          <w:p w14:paraId="4D350194" w14:textId="699B1307" w:rsidR="00092876" w:rsidRDefault="00092876" w:rsidP="00092876">
            <w:pPr>
              <w:tabs>
                <w:tab w:val="left" w:pos="-70"/>
              </w:tabs>
              <w:ind w:left="-354" w:firstLine="426"/>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058A60A3" w14:textId="7618BB08" w:rsidR="00092876" w:rsidRPr="000E151F" w:rsidRDefault="00092876" w:rsidP="0009287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8AA06D6"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D50D5F" w14:textId="5F58E5D5" w:rsidR="00092876" w:rsidRPr="000E151F" w:rsidRDefault="00092876" w:rsidP="0009287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16EAFE2"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5E37AF" w14:textId="67BABF14" w:rsidR="00092876" w:rsidRPr="000E151F" w:rsidRDefault="00092876" w:rsidP="0009287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F8B1275"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500331"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977633"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9E3EB1"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BD80708"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92ABFA"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ADC6937"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3BD40BAF" w14:textId="77777777" w:rsidR="00092876" w:rsidRPr="000E151F" w:rsidRDefault="00092876" w:rsidP="00092876">
            <w:pPr>
              <w:rPr>
                <w:sz w:val="22"/>
                <w:szCs w:val="22"/>
              </w:rPr>
            </w:pPr>
          </w:p>
        </w:tc>
      </w:tr>
      <w:tr w:rsidR="00092876" w:rsidRPr="000E151F" w14:paraId="2C532478" w14:textId="50D10227" w:rsidTr="00092876">
        <w:tc>
          <w:tcPr>
            <w:tcW w:w="4395" w:type="dxa"/>
            <w:tcBorders>
              <w:top w:val="single" w:sz="6" w:space="0" w:color="auto"/>
              <w:left w:val="single" w:sz="6" w:space="0" w:color="auto"/>
              <w:bottom w:val="single" w:sz="6" w:space="0" w:color="auto"/>
              <w:right w:val="single" w:sz="6" w:space="0" w:color="auto"/>
            </w:tcBorders>
          </w:tcPr>
          <w:p w14:paraId="04CD60D5" w14:textId="7D35DC70" w:rsidR="00092876" w:rsidRPr="000E151F" w:rsidRDefault="00092876" w:rsidP="00092876">
            <w:pPr>
              <w:tabs>
                <w:tab w:val="left" w:pos="-70"/>
              </w:tabs>
              <w:ind w:left="-354" w:firstLine="426"/>
              <w:rPr>
                <w:snapToGrid w:val="0"/>
                <w:sz w:val="22"/>
                <w:szCs w:val="22"/>
              </w:rPr>
            </w:pPr>
            <w:r w:rsidRPr="00A946FF">
              <w:rPr>
                <w:snapToGrid w:val="0"/>
                <w:sz w:val="22"/>
                <w:szCs w:val="22"/>
              </w:rPr>
              <w:t xml:space="preserve">Edward Riedl (M) </w:t>
            </w:r>
            <w:r w:rsidRPr="00A946FF">
              <w:rPr>
                <w:i/>
                <w:snapToGrid w:val="0"/>
                <w:sz w:val="22"/>
                <w:szCs w:val="22"/>
              </w:rPr>
              <w:t>ordförande</w:t>
            </w:r>
            <w:r>
              <w:rPr>
                <w:snapToGrid w:val="0"/>
                <w:sz w:val="22"/>
                <w:szCs w:val="22"/>
              </w:rPr>
              <w:t xml:space="preserve"> </w:t>
            </w:r>
          </w:p>
        </w:tc>
        <w:tc>
          <w:tcPr>
            <w:tcW w:w="488" w:type="dxa"/>
            <w:tcBorders>
              <w:top w:val="single" w:sz="6" w:space="0" w:color="auto"/>
              <w:left w:val="single" w:sz="6" w:space="0" w:color="auto"/>
              <w:bottom w:val="single" w:sz="6" w:space="0" w:color="auto"/>
              <w:right w:val="single" w:sz="6" w:space="0" w:color="auto"/>
            </w:tcBorders>
          </w:tcPr>
          <w:p w14:paraId="56088C57" w14:textId="2DCC1C31" w:rsidR="00092876" w:rsidRPr="000E151F" w:rsidRDefault="00092876" w:rsidP="0009287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0FCD1F4"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0F4A25" w14:textId="7075F338" w:rsidR="00092876" w:rsidRPr="000E151F" w:rsidRDefault="00092876" w:rsidP="0009287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B9C3260"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456AE9" w14:textId="02414D44" w:rsidR="00092876" w:rsidRPr="000E151F" w:rsidRDefault="00092876" w:rsidP="0009287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C2344E8"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17776F"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4DC09B"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E2C7B5"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145CF2"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E82DD"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42F0EAF"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7D4C7A3D" w14:textId="77777777" w:rsidR="00092876" w:rsidRPr="000E151F" w:rsidRDefault="00092876" w:rsidP="00092876">
            <w:pPr>
              <w:rPr>
                <w:sz w:val="22"/>
                <w:szCs w:val="22"/>
              </w:rPr>
            </w:pPr>
          </w:p>
        </w:tc>
      </w:tr>
      <w:tr w:rsidR="00092876" w:rsidRPr="000E151F" w14:paraId="6CCF27CA" w14:textId="79FA81D3" w:rsidTr="00092876">
        <w:tc>
          <w:tcPr>
            <w:tcW w:w="4395" w:type="dxa"/>
            <w:tcBorders>
              <w:top w:val="single" w:sz="6" w:space="0" w:color="auto"/>
              <w:left w:val="single" w:sz="6" w:space="0" w:color="auto"/>
              <w:bottom w:val="single" w:sz="6" w:space="0" w:color="auto"/>
              <w:right w:val="single" w:sz="6" w:space="0" w:color="auto"/>
            </w:tcBorders>
          </w:tcPr>
          <w:p w14:paraId="0CAAE1B8" w14:textId="1656C048" w:rsidR="00092876" w:rsidRPr="000E151F" w:rsidRDefault="00092876" w:rsidP="00092876">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12A20652" w14:textId="0A624810" w:rsidR="00092876" w:rsidRPr="000E151F" w:rsidRDefault="00092876" w:rsidP="0009287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CD92D49"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AB3DE2" w14:textId="7800992F" w:rsidR="00092876" w:rsidRPr="000E151F" w:rsidRDefault="00092876" w:rsidP="0009287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E71E463"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538946" w14:textId="1E3DEBDE" w:rsidR="00092876" w:rsidRPr="000E151F" w:rsidRDefault="00092876" w:rsidP="0009287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9C61E11"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7C51A2"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549D6C"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835E5"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A836D4"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4C5C66"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E8198C9"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1A536BAC" w14:textId="77777777" w:rsidR="00092876" w:rsidRPr="000E151F" w:rsidRDefault="00092876" w:rsidP="00092876">
            <w:pPr>
              <w:rPr>
                <w:sz w:val="22"/>
                <w:szCs w:val="22"/>
              </w:rPr>
            </w:pPr>
          </w:p>
        </w:tc>
      </w:tr>
      <w:tr w:rsidR="00092876" w:rsidRPr="000E151F" w14:paraId="3B0EC3CC" w14:textId="0D566E3E" w:rsidTr="00092876">
        <w:tc>
          <w:tcPr>
            <w:tcW w:w="4395" w:type="dxa"/>
            <w:tcBorders>
              <w:top w:val="single" w:sz="6" w:space="0" w:color="auto"/>
              <w:left w:val="single" w:sz="6" w:space="0" w:color="auto"/>
              <w:bottom w:val="single" w:sz="6" w:space="0" w:color="auto"/>
              <w:right w:val="single" w:sz="6" w:space="0" w:color="auto"/>
            </w:tcBorders>
          </w:tcPr>
          <w:p w14:paraId="71330215" w14:textId="191B4CEC" w:rsidR="00092876" w:rsidRDefault="00092876" w:rsidP="00092876">
            <w:pPr>
              <w:tabs>
                <w:tab w:val="left" w:pos="-70"/>
              </w:tabs>
              <w:rPr>
                <w:snapToGrid w:val="0"/>
                <w:sz w:val="22"/>
                <w:szCs w:val="22"/>
              </w:rPr>
            </w:pPr>
            <w:r w:rsidRPr="00A946F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4CE3C77B" w14:textId="7773537E" w:rsidR="00092876" w:rsidRPr="000E151F" w:rsidRDefault="00092876" w:rsidP="0009287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9688A3B"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8BDD64" w14:textId="4A01AB5E" w:rsidR="00092876" w:rsidRPr="000E151F" w:rsidRDefault="00092876" w:rsidP="0009287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2B904A6"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3F414" w14:textId="488E6609" w:rsidR="00092876" w:rsidRPr="000E151F" w:rsidRDefault="00092876" w:rsidP="0009287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FE75758"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0E9EAA"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E9B57A"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E3DB5F"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637B05"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73286F"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E31E51"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47D0024F" w14:textId="77777777" w:rsidR="00092876" w:rsidRPr="000E151F" w:rsidRDefault="00092876" w:rsidP="00092876">
            <w:pPr>
              <w:rPr>
                <w:sz w:val="22"/>
                <w:szCs w:val="22"/>
              </w:rPr>
            </w:pPr>
          </w:p>
        </w:tc>
      </w:tr>
      <w:tr w:rsidR="00092876" w:rsidRPr="000E151F" w14:paraId="6406D376" w14:textId="11F57CF9" w:rsidTr="00092876">
        <w:tc>
          <w:tcPr>
            <w:tcW w:w="4395" w:type="dxa"/>
            <w:tcBorders>
              <w:top w:val="single" w:sz="6" w:space="0" w:color="auto"/>
              <w:left w:val="single" w:sz="6" w:space="0" w:color="auto"/>
              <w:bottom w:val="single" w:sz="6" w:space="0" w:color="auto"/>
              <w:right w:val="single" w:sz="6" w:space="0" w:color="auto"/>
            </w:tcBorders>
          </w:tcPr>
          <w:p w14:paraId="6A2AD32A" w14:textId="4762A724" w:rsidR="00092876" w:rsidRDefault="00092876" w:rsidP="00092876">
            <w:pPr>
              <w:tabs>
                <w:tab w:val="left" w:pos="-70"/>
              </w:tabs>
              <w:rPr>
                <w:snapToGrid w:val="0"/>
                <w:sz w:val="22"/>
                <w:szCs w:val="22"/>
              </w:rPr>
            </w:pPr>
            <w:r w:rsidRPr="00A946FF">
              <w:rPr>
                <w:snapToGrid w:val="0"/>
                <w:sz w:val="22"/>
                <w:szCs w:val="22"/>
              </w:rPr>
              <w:t>Björn Wiechel (S)</w:t>
            </w:r>
          </w:p>
        </w:tc>
        <w:tc>
          <w:tcPr>
            <w:tcW w:w="488" w:type="dxa"/>
            <w:tcBorders>
              <w:top w:val="single" w:sz="6" w:space="0" w:color="auto"/>
              <w:left w:val="single" w:sz="6" w:space="0" w:color="auto"/>
              <w:bottom w:val="single" w:sz="6" w:space="0" w:color="auto"/>
              <w:right w:val="single" w:sz="6" w:space="0" w:color="auto"/>
            </w:tcBorders>
          </w:tcPr>
          <w:p w14:paraId="07F3DC6F" w14:textId="77777777" w:rsidR="00092876" w:rsidRPr="000E151F" w:rsidRDefault="00092876" w:rsidP="0009287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5C5090"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8B6DAB"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FB0C4B"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13648D"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053DC0"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1EE85C"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C4E3C5"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62C7F1"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9D5E6A"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3BD7A1"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C347F"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11C821FE" w14:textId="77777777" w:rsidR="00092876" w:rsidRPr="000E151F" w:rsidRDefault="00092876" w:rsidP="00092876">
            <w:pPr>
              <w:rPr>
                <w:sz w:val="22"/>
                <w:szCs w:val="22"/>
              </w:rPr>
            </w:pPr>
          </w:p>
        </w:tc>
      </w:tr>
      <w:tr w:rsidR="00092876" w:rsidRPr="000E151F" w14:paraId="70BC57B8" w14:textId="45CCD654" w:rsidTr="00092876">
        <w:tc>
          <w:tcPr>
            <w:tcW w:w="4395" w:type="dxa"/>
            <w:tcBorders>
              <w:top w:val="single" w:sz="6" w:space="0" w:color="auto"/>
              <w:left w:val="single" w:sz="6" w:space="0" w:color="auto"/>
              <w:bottom w:val="single" w:sz="6" w:space="0" w:color="auto"/>
              <w:right w:val="single" w:sz="6" w:space="0" w:color="auto"/>
            </w:tcBorders>
          </w:tcPr>
          <w:p w14:paraId="6236693E" w14:textId="2EB2ECC4" w:rsidR="00092876" w:rsidRPr="000E151F" w:rsidRDefault="00092876" w:rsidP="00092876">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5C7048E9" w14:textId="1E570621" w:rsidR="00092876" w:rsidRPr="000E151F" w:rsidRDefault="00092876" w:rsidP="0009287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AAA073B"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E4548D" w14:textId="3D180266" w:rsidR="00092876" w:rsidRPr="000E151F" w:rsidRDefault="00092876" w:rsidP="0009287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D8C7134"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DF9269" w14:textId="19ED5591" w:rsidR="00092876" w:rsidRPr="000E151F" w:rsidRDefault="00092876" w:rsidP="0009287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F009AAA"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3A4167"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EBD77E"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B6FD21"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19943D"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5892F1"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00A2865"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5E47322D" w14:textId="77777777" w:rsidR="00092876" w:rsidRPr="000E151F" w:rsidRDefault="00092876" w:rsidP="00092876">
            <w:pPr>
              <w:rPr>
                <w:sz w:val="22"/>
                <w:szCs w:val="22"/>
              </w:rPr>
            </w:pPr>
          </w:p>
        </w:tc>
      </w:tr>
      <w:tr w:rsidR="00092876" w:rsidRPr="000E151F" w14:paraId="617064F9" w14:textId="6C5CC422" w:rsidTr="00092876">
        <w:tc>
          <w:tcPr>
            <w:tcW w:w="4395" w:type="dxa"/>
            <w:tcBorders>
              <w:top w:val="single" w:sz="6" w:space="0" w:color="auto"/>
              <w:left w:val="single" w:sz="6" w:space="0" w:color="auto"/>
              <w:bottom w:val="single" w:sz="6" w:space="0" w:color="auto"/>
              <w:right w:val="single" w:sz="6" w:space="0" w:color="auto"/>
            </w:tcBorders>
          </w:tcPr>
          <w:p w14:paraId="047E346B" w14:textId="2131E921" w:rsidR="00092876" w:rsidRPr="000E151F" w:rsidRDefault="00092876" w:rsidP="00092876">
            <w:pPr>
              <w:tabs>
                <w:tab w:val="left" w:pos="-70"/>
              </w:tabs>
              <w:rPr>
                <w:snapToGrid w:val="0"/>
                <w:sz w:val="22"/>
                <w:szCs w:val="22"/>
              </w:rPr>
            </w:pPr>
            <w:r w:rsidRPr="00A946FF">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78ADA909" w14:textId="497237C5" w:rsidR="00092876" w:rsidRPr="000E151F" w:rsidRDefault="00092876" w:rsidP="0009287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93AB901"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D82339"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BFC9A"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A670F1"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47B4F5"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F5C198"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10AC9A"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BA6C41"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D7F16D"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55A715"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F7AB38"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3DDD39BF" w14:textId="77777777" w:rsidR="00092876" w:rsidRPr="000E151F" w:rsidRDefault="00092876" w:rsidP="00092876">
            <w:pPr>
              <w:rPr>
                <w:sz w:val="22"/>
                <w:szCs w:val="22"/>
              </w:rPr>
            </w:pPr>
          </w:p>
        </w:tc>
      </w:tr>
      <w:tr w:rsidR="00092876" w:rsidRPr="000E151F" w14:paraId="03A741D0" w14:textId="6AFD35B7" w:rsidTr="00092876">
        <w:tc>
          <w:tcPr>
            <w:tcW w:w="4395" w:type="dxa"/>
            <w:tcBorders>
              <w:top w:val="single" w:sz="6" w:space="0" w:color="auto"/>
              <w:left w:val="single" w:sz="6" w:space="0" w:color="auto"/>
              <w:bottom w:val="single" w:sz="6" w:space="0" w:color="auto"/>
              <w:right w:val="single" w:sz="6" w:space="0" w:color="auto"/>
            </w:tcBorders>
          </w:tcPr>
          <w:p w14:paraId="70B18BE5" w14:textId="12C96D3C" w:rsidR="00092876" w:rsidRPr="000E151F" w:rsidRDefault="00092876" w:rsidP="00092876">
            <w:pPr>
              <w:tabs>
                <w:tab w:val="left" w:pos="356"/>
              </w:tabs>
              <w:rPr>
                <w:spacing w:val="4"/>
                <w:kern w:val="16"/>
                <w:sz w:val="22"/>
                <w:szCs w:val="22"/>
              </w:rPr>
            </w:pP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6650D2B7" w14:textId="0B92F57C" w:rsidR="00092876" w:rsidRPr="000E151F" w:rsidRDefault="00092876" w:rsidP="0009287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5B0A081"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0A4F87" w14:textId="5D20E74F" w:rsidR="00092876" w:rsidRPr="000E151F" w:rsidRDefault="00092876" w:rsidP="0009287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A99BFA4"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59C900" w14:textId="40F85D8A" w:rsidR="00092876" w:rsidRPr="000E151F" w:rsidRDefault="00092876" w:rsidP="0009287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A80D75A"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D23CB7"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6FE19E"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2F3986"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BE9C53"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800366"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D0F6BCB"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0F02ABD0" w14:textId="77777777" w:rsidR="00092876" w:rsidRPr="000E151F" w:rsidRDefault="00092876" w:rsidP="00092876">
            <w:pPr>
              <w:rPr>
                <w:sz w:val="22"/>
                <w:szCs w:val="22"/>
              </w:rPr>
            </w:pPr>
          </w:p>
        </w:tc>
      </w:tr>
      <w:tr w:rsidR="00092876" w:rsidRPr="000E151F" w14:paraId="1BF715A1" w14:textId="748607A0" w:rsidTr="00092876">
        <w:tc>
          <w:tcPr>
            <w:tcW w:w="4395" w:type="dxa"/>
            <w:tcBorders>
              <w:top w:val="single" w:sz="6" w:space="0" w:color="auto"/>
              <w:left w:val="single" w:sz="6" w:space="0" w:color="auto"/>
              <w:bottom w:val="single" w:sz="6" w:space="0" w:color="auto"/>
              <w:right w:val="single" w:sz="6" w:space="0" w:color="auto"/>
            </w:tcBorders>
          </w:tcPr>
          <w:p w14:paraId="2FDE984C" w14:textId="54704CE5" w:rsidR="00092876" w:rsidRPr="000E151F" w:rsidRDefault="00092876" w:rsidP="00092876">
            <w:pPr>
              <w:tabs>
                <w:tab w:val="left" w:pos="356"/>
              </w:tabs>
              <w:rPr>
                <w:snapToGrid w:val="0"/>
                <w:sz w:val="22"/>
                <w:szCs w:val="22"/>
              </w:rPr>
            </w:pPr>
            <w:r w:rsidRPr="00A946FF">
              <w:rPr>
                <w:snapToGrid w:val="0"/>
                <w:sz w:val="22"/>
                <w:szCs w:val="22"/>
                <w:lang w:val="en-US"/>
              </w:rPr>
              <w:t xml:space="preserve">Adnan Dibrani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09856E69" w14:textId="1F81F4CA" w:rsidR="00092876" w:rsidRPr="000E151F" w:rsidRDefault="00092876" w:rsidP="0009287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EE95A9B"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945C972"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54DEBC9"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5B61E6"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C79344"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6961F6"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DFCE11"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F148C1"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80EF87"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1D89A"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8F3529"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54DF86C0" w14:textId="77777777" w:rsidR="00092876" w:rsidRPr="000E151F" w:rsidRDefault="00092876" w:rsidP="00092876">
            <w:pPr>
              <w:rPr>
                <w:sz w:val="22"/>
                <w:szCs w:val="22"/>
              </w:rPr>
            </w:pPr>
          </w:p>
        </w:tc>
      </w:tr>
      <w:tr w:rsidR="00092876" w:rsidRPr="000E151F" w14:paraId="4573A89E" w14:textId="1E4156E2" w:rsidTr="00092876">
        <w:tc>
          <w:tcPr>
            <w:tcW w:w="4395" w:type="dxa"/>
            <w:tcBorders>
              <w:top w:val="single" w:sz="6" w:space="0" w:color="auto"/>
              <w:left w:val="single" w:sz="6" w:space="0" w:color="auto"/>
              <w:bottom w:val="single" w:sz="6" w:space="0" w:color="auto"/>
              <w:right w:val="single" w:sz="6" w:space="0" w:color="auto"/>
            </w:tcBorders>
          </w:tcPr>
          <w:p w14:paraId="258AAE13" w14:textId="7342CC93" w:rsidR="00092876" w:rsidRDefault="00092876" w:rsidP="00092876">
            <w:pPr>
              <w:tabs>
                <w:tab w:val="left" w:pos="-70"/>
              </w:tabs>
              <w:ind w:left="-354" w:firstLine="426"/>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5444E358" w14:textId="5798BB47" w:rsidR="00092876" w:rsidRPr="000E151F" w:rsidRDefault="00092876" w:rsidP="0009287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1D29C01"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B7C7ED"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07DA8CA"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1111F"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BA8D87"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D467E2"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A21C0C"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1AD51E"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6EDB27"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DA5FBB"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B974661"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4BAEDB7E" w14:textId="77777777" w:rsidR="00092876" w:rsidRPr="000E151F" w:rsidRDefault="00092876" w:rsidP="00092876">
            <w:pPr>
              <w:rPr>
                <w:sz w:val="22"/>
                <w:szCs w:val="22"/>
              </w:rPr>
            </w:pPr>
          </w:p>
        </w:tc>
      </w:tr>
      <w:tr w:rsidR="00092876" w:rsidRPr="000E151F" w14:paraId="40EA3EA1" w14:textId="0E273DE1" w:rsidTr="00092876">
        <w:tc>
          <w:tcPr>
            <w:tcW w:w="4395" w:type="dxa"/>
            <w:tcBorders>
              <w:top w:val="single" w:sz="6" w:space="0" w:color="auto"/>
              <w:left w:val="single" w:sz="6" w:space="0" w:color="auto"/>
              <w:bottom w:val="single" w:sz="6" w:space="0" w:color="auto"/>
              <w:right w:val="single" w:sz="6" w:space="0" w:color="auto"/>
            </w:tcBorders>
          </w:tcPr>
          <w:p w14:paraId="44434686" w14:textId="64AF0602" w:rsidR="00092876" w:rsidRDefault="00092876" w:rsidP="00092876">
            <w:pPr>
              <w:tabs>
                <w:tab w:val="left" w:pos="-70"/>
              </w:tabs>
              <w:ind w:left="-354" w:firstLine="426"/>
              <w:rPr>
                <w:snapToGrid w:val="0"/>
                <w:sz w:val="22"/>
                <w:szCs w:val="22"/>
              </w:rPr>
            </w:pPr>
            <w:r w:rsidRPr="00A946FF">
              <w:rPr>
                <w:snapToGrid w:val="0"/>
                <w:sz w:val="22"/>
                <w:szCs w:val="22"/>
              </w:rPr>
              <w:t>Ali Esbati (V)</w:t>
            </w:r>
          </w:p>
        </w:tc>
        <w:tc>
          <w:tcPr>
            <w:tcW w:w="488" w:type="dxa"/>
            <w:tcBorders>
              <w:top w:val="single" w:sz="6" w:space="0" w:color="auto"/>
              <w:left w:val="single" w:sz="6" w:space="0" w:color="auto"/>
              <w:bottom w:val="single" w:sz="6" w:space="0" w:color="auto"/>
              <w:right w:val="single" w:sz="6" w:space="0" w:color="auto"/>
            </w:tcBorders>
          </w:tcPr>
          <w:p w14:paraId="63F556D3" w14:textId="1FE05331" w:rsidR="00092876" w:rsidRPr="000E151F" w:rsidRDefault="00092876" w:rsidP="0009287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10B5D1"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A1BF29C" w14:textId="52569CE3" w:rsidR="00092876" w:rsidRPr="000E151F" w:rsidRDefault="00092876" w:rsidP="0009287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D3722C9"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3E6A3C" w14:textId="13294403" w:rsidR="00092876" w:rsidRPr="000E151F" w:rsidRDefault="00092876" w:rsidP="0009287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07E6B52"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E7F55E"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BCE30C"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5F43A3"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B29CDC"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3852D3"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CE5D9E"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127D90B2" w14:textId="77777777" w:rsidR="00092876" w:rsidRPr="000E151F" w:rsidRDefault="00092876" w:rsidP="00092876">
            <w:pPr>
              <w:rPr>
                <w:sz w:val="22"/>
                <w:szCs w:val="22"/>
              </w:rPr>
            </w:pPr>
          </w:p>
        </w:tc>
      </w:tr>
      <w:tr w:rsidR="00092876" w:rsidRPr="000E151F" w14:paraId="2B83F74B" w14:textId="7624B9BA" w:rsidTr="00092876">
        <w:tc>
          <w:tcPr>
            <w:tcW w:w="4395" w:type="dxa"/>
            <w:tcBorders>
              <w:top w:val="single" w:sz="6" w:space="0" w:color="auto"/>
              <w:left w:val="single" w:sz="6" w:space="0" w:color="auto"/>
              <w:bottom w:val="single" w:sz="6" w:space="0" w:color="auto"/>
              <w:right w:val="single" w:sz="6" w:space="0" w:color="auto"/>
            </w:tcBorders>
          </w:tcPr>
          <w:p w14:paraId="76A190A8" w14:textId="26FC1904" w:rsidR="00092876" w:rsidRDefault="00092876" w:rsidP="00092876">
            <w:pPr>
              <w:tabs>
                <w:tab w:val="left" w:pos="-70"/>
              </w:tabs>
              <w:ind w:left="-354" w:firstLine="426"/>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2F377AB0" w14:textId="7BE43AAA" w:rsidR="00092876" w:rsidRPr="000E151F" w:rsidRDefault="00092876" w:rsidP="0009287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E6A7CF0"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7FC92" w14:textId="5FCD8C7A" w:rsidR="00092876" w:rsidRPr="000E151F" w:rsidRDefault="00092876" w:rsidP="0009287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2B150C5"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746658" w14:textId="3122E881" w:rsidR="00092876" w:rsidRPr="000E151F" w:rsidRDefault="00092876" w:rsidP="0009287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786EA1B"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CFC0C3"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22C019"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304EF4"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51D89C"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EF96B7"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675AD3E"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79F61631" w14:textId="77777777" w:rsidR="00092876" w:rsidRPr="000E151F" w:rsidRDefault="00092876" w:rsidP="00092876">
            <w:pPr>
              <w:rPr>
                <w:sz w:val="22"/>
                <w:szCs w:val="22"/>
              </w:rPr>
            </w:pPr>
          </w:p>
        </w:tc>
      </w:tr>
      <w:tr w:rsidR="00092876" w:rsidRPr="000E151F" w14:paraId="160AF056" w14:textId="70BE5F4B" w:rsidTr="00092876">
        <w:tc>
          <w:tcPr>
            <w:tcW w:w="4395" w:type="dxa"/>
            <w:tcBorders>
              <w:top w:val="single" w:sz="6" w:space="0" w:color="auto"/>
              <w:left w:val="single" w:sz="6" w:space="0" w:color="auto"/>
              <w:bottom w:val="single" w:sz="6" w:space="0" w:color="auto"/>
              <w:right w:val="single" w:sz="6" w:space="0" w:color="auto"/>
            </w:tcBorders>
          </w:tcPr>
          <w:p w14:paraId="71057526" w14:textId="21A08DC3" w:rsidR="00092876" w:rsidRPr="000E151F" w:rsidRDefault="00092876" w:rsidP="00092876">
            <w:pPr>
              <w:tabs>
                <w:tab w:val="left" w:pos="-70"/>
              </w:tabs>
              <w:ind w:left="-354" w:firstLine="426"/>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796C2913" w14:textId="7DAB90FA" w:rsidR="00092876" w:rsidRPr="000E151F" w:rsidRDefault="00092876" w:rsidP="0009287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570C6A5"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8194D1" w14:textId="6B930041" w:rsidR="00092876" w:rsidRPr="000E151F" w:rsidRDefault="00092876" w:rsidP="0009287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036C67C"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692B23" w14:textId="233E664C" w:rsidR="00092876" w:rsidRPr="000E151F" w:rsidRDefault="00092876" w:rsidP="0009287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DA89801"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DC6AB4"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F65D78"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6CBBE2"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70872C"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FE740E"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B72B75"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525AA613" w14:textId="77777777" w:rsidR="00092876" w:rsidRPr="000E151F" w:rsidRDefault="00092876" w:rsidP="00092876">
            <w:pPr>
              <w:rPr>
                <w:sz w:val="22"/>
                <w:szCs w:val="22"/>
              </w:rPr>
            </w:pPr>
          </w:p>
        </w:tc>
      </w:tr>
      <w:tr w:rsidR="00092876" w:rsidRPr="000E151F" w14:paraId="7BD2BBCA" w14:textId="7AA1FB0B" w:rsidTr="00092876">
        <w:tc>
          <w:tcPr>
            <w:tcW w:w="4395" w:type="dxa"/>
            <w:tcBorders>
              <w:top w:val="single" w:sz="6" w:space="0" w:color="auto"/>
              <w:left w:val="single" w:sz="6" w:space="0" w:color="auto"/>
              <w:bottom w:val="single" w:sz="6" w:space="0" w:color="auto"/>
              <w:right w:val="single" w:sz="6" w:space="0" w:color="auto"/>
            </w:tcBorders>
          </w:tcPr>
          <w:p w14:paraId="3B6AC79C" w14:textId="276B4589" w:rsidR="00092876" w:rsidRDefault="00092876" w:rsidP="00092876">
            <w:pPr>
              <w:tabs>
                <w:tab w:val="left" w:pos="-70"/>
              </w:tabs>
              <w:ind w:left="-354" w:firstLine="426"/>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0A788C68" w14:textId="39E5C586" w:rsidR="00092876" w:rsidRPr="000E151F" w:rsidRDefault="00092876" w:rsidP="0009287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DAF385D"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1225AB" w14:textId="017DB8F3" w:rsidR="00092876" w:rsidRPr="000E151F" w:rsidRDefault="00092876" w:rsidP="0009287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13C01D1"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1E6998" w14:textId="2BE72563" w:rsidR="00092876" w:rsidRPr="000E151F" w:rsidRDefault="00092876" w:rsidP="0009287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7C5CEAD"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969040"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28B314"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6AD936"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71BC961"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096323"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32CE179"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3328D486" w14:textId="77777777" w:rsidR="00092876" w:rsidRPr="000E151F" w:rsidRDefault="00092876" w:rsidP="00092876">
            <w:pPr>
              <w:rPr>
                <w:sz w:val="22"/>
                <w:szCs w:val="22"/>
              </w:rPr>
            </w:pPr>
          </w:p>
        </w:tc>
      </w:tr>
      <w:tr w:rsidR="00092876" w:rsidRPr="000E151F" w14:paraId="1B290039" w14:textId="406DF883" w:rsidTr="00092876">
        <w:tc>
          <w:tcPr>
            <w:tcW w:w="4395" w:type="dxa"/>
            <w:tcBorders>
              <w:top w:val="single" w:sz="6" w:space="0" w:color="auto"/>
              <w:left w:val="single" w:sz="6" w:space="0" w:color="auto"/>
              <w:bottom w:val="single" w:sz="6" w:space="0" w:color="auto"/>
              <w:right w:val="single" w:sz="6" w:space="0" w:color="auto"/>
            </w:tcBorders>
          </w:tcPr>
          <w:p w14:paraId="3CB2DC00" w14:textId="59576E7C" w:rsidR="00092876" w:rsidRPr="000E151F" w:rsidRDefault="00092876" w:rsidP="00092876">
            <w:pPr>
              <w:tabs>
                <w:tab w:val="left" w:pos="497"/>
              </w:tabs>
              <w:ind w:left="72"/>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34AEADCA" w14:textId="6D29D8A4" w:rsidR="00092876" w:rsidRPr="000E151F" w:rsidRDefault="00092876" w:rsidP="0009287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C4DE44B"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BD6C8"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AB7FB6"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4F46C6"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5B1C15"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5118BD"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2ECC99"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96BDD6D"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1A8240"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03C16A"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91FFC90"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55E39FA4" w14:textId="77777777" w:rsidR="00092876" w:rsidRPr="000E151F" w:rsidRDefault="00092876" w:rsidP="00092876">
            <w:pPr>
              <w:rPr>
                <w:sz w:val="22"/>
                <w:szCs w:val="22"/>
              </w:rPr>
            </w:pPr>
          </w:p>
        </w:tc>
      </w:tr>
      <w:tr w:rsidR="00092876" w:rsidRPr="000E151F" w14:paraId="0ADE0E0F" w14:textId="18703F8E" w:rsidTr="00092876">
        <w:tc>
          <w:tcPr>
            <w:tcW w:w="4395" w:type="dxa"/>
            <w:tcBorders>
              <w:top w:val="single" w:sz="6" w:space="0" w:color="auto"/>
              <w:left w:val="single" w:sz="6" w:space="0" w:color="auto"/>
              <w:bottom w:val="single" w:sz="6" w:space="0" w:color="auto"/>
              <w:right w:val="single" w:sz="6" w:space="0" w:color="auto"/>
            </w:tcBorders>
          </w:tcPr>
          <w:p w14:paraId="0EFA515E" w14:textId="0A368376" w:rsidR="00092876" w:rsidRPr="000E151F" w:rsidRDefault="00092876" w:rsidP="00092876">
            <w:pPr>
              <w:tabs>
                <w:tab w:val="left" w:pos="497"/>
              </w:tabs>
              <w:ind w:left="72"/>
              <w:rPr>
                <w:snapToGrid w:val="0"/>
                <w:sz w:val="22"/>
                <w:szCs w:val="22"/>
              </w:rPr>
            </w:pPr>
            <w:r>
              <w:rPr>
                <w:snapToGrid w:val="0"/>
                <w:sz w:val="22"/>
                <w:szCs w:val="22"/>
              </w:rPr>
              <w:t>Carl B Hamilton</w:t>
            </w:r>
            <w:r w:rsidRPr="00A946FF">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341041A4" w14:textId="7968F48D" w:rsidR="00092876" w:rsidRPr="000E151F" w:rsidRDefault="00092876" w:rsidP="0009287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EB2F6C9"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B25E6D" w14:textId="4F2CF527" w:rsidR="00092876" w:rsidRPr="000E151F" w:rsidRDefault="00092876" w:rsidP="0009287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FDD5A87"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E6F291" w14:textId="5D920E25" w:rsidR="00092876" w:rsidRPr="000E151F" w:rsidRDefault="00092876" w:rsidP="0009287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BF47287"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DA7450"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AD2803"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E4B3D0"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D2F94B"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B29E11"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E66DAA0"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2542F06C" w14:textId="77777777" w:rsidR="00092876" w:rsidRPr="000E151F" w:rsidRDefault="00092876" w:rsidP="00092876">
            <w:pPr>
              <w:rPr>
                <w:sz w:val="22"/>
                <w:szCs w:val="22"/>
              </w:rPr>
            </w:pPr>
          </w:p>
        </w:tc>
      </w:tr>
      <w:tr w:rsidR="00092876" w:rsidRPr="000E151F" w14:paraId="744DE28F" w14:textId="140E1DCD" w:rsidTr="00092876">
        <w:trPr>
          <w:trHeight w:val="368"/>
        </w:trPr>
        <w:tc>
          <w:tcPr>
            <w:tcW w:w="4395" w:type="dxa"/>
            <w:tcBorders>
              <w:top w:val="single" w:sz="6" w:space="0" w:color="auto"/>
              <w:left w:val="single" w:sz="6" w:space="0" w:color="auto"/>
              <w:bottom w:val="single" w:sz="6" w:space="0" w:color="auto"/>
              <w:right w:val="single" w:sz="6" w:space="0" w:color="auto"/>
            </w:tcBorders>
          </w:tcPr>
          <w:p w14:paraId="7408C075" w14:textId="3AEC6460" w:rsidR="00092876" w:rsidRPr="000E151F" w:rsidRDefault="00092876" w:rsidP="00092876">
            <w:pPr>
              <w:tabs>
                <w:tab w:val="left" w:pos="497"/>
              </w:tabs>
              <w:spacing w:line="276" w:lineRule="auto"/>
              <w:rPr>
                <w:snapToGrid w:val="0"/>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0ECC4989" w14:textId="77777777" w:rsidR="00092876" w:rsidRPr="000E151F" w:rsidRDefault="00092876" w:rsidP="0009287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E2DB827"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FE9087"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FB5526"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FE5EEF"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8CBF48"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92F96E"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77EDB8"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E76FF3"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BEC1C0"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1BC1FC"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2EDB538"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7C9A0EA5" w14:textId="77777777" w:rsidR="00092876" w:rsidRPr="000E151F" w:rsidRDefault="00092876" w:rsidP="00092876">
            <w:pPr>
              <w:rPr>
                <w:sz w:val="22"/>
                <w:szCs w:val="22"/>
              </w:rPr>
            </w:pPr>
          </w:p>
        </w:tc>
      </w:tr>
      <w:tr w:rsidR="00092876" w:rsidRPr="000E151F" w14:paraId="77E7D016" w14:textId="3D30D397" w:rsidTr="00092876">
        <w:tc>
          <w:tcPr>
            <w:tcW w:w="4395" w:type="dxa"/>
            <w:tcBorders>
              <w:top w:val="single" w:sz="6" w:space="0" w:color="auto"/>
              <w:left w:val="single" w:sz="6" w:space="0" w:color="auto"/>
              <w:bottom w:val="single" w:sz="6" w:space="0" w:color="auto"/>
              <w:right w:val="single" w:sz="6" w:space="0" w:color="auto"/>
            </w:tcBorders>
          </w:tcPr>
          <w:p w14:paraId="0046B211" w14:textId="0BA3AE32" w:rsidR="00092876" w:rsidRPr="00A946FF" w:rsidRDefault="00092876" w:rsidP="00092876">
            <w:pPr>
              <w:numPr>
                <w:ilvl w:val="0"/>
                <w:numId w:val="3"/>
              </w:numPr>
              <w:tabs>
                <w:tab w:val="clear" w:pos="360"/>
                <w:tab w:val="left" w:pos="0"/>
              </w:tabs>
              <w:ind w:hanging="720"/>
              <w:rPr>
                <w:snapToGrid w:val="0"/>
                <w:sz w:val="22"/>
                <w:szCs w:val="22"/>
              </w:rPr>
            </w:pPr>
            <w:r w:rsidRPr="00A946FF">
              <w:rPr>
                <w:snapToGrid w:val="0"/>
                <w:sz w:val="22"/>
                <w:szCs w:val="22"/>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3329E95A" w14:textId="77777777" w:rsidR="00092876" w:rsidRPr="000E151F" w:rsidRDefault="00092876" w:rsidP="0009287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E9FDDB"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BCB2D1"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EA38"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3A4E93"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E503FE"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D6EFA8"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B4C558"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03751E"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5B0E9EC"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0ADD66"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DC63A7"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1532273E" w14:textId="77777777" w:rsidR="00092876" w:rsidRPr="000E151F" w:rsidRDefault="00092876" w:rsidP="00092876">
            <w:pPr>
              <w:rPr>
                <w:sz w:val="22"/>
                <w:szCs w:val="22"/>
              </w:rPr>
            </w:pPr>
          </w:p>
        </w:tc>
      </w:tr>
      <w:tr w:rsidR="00092876" w:rsidRPr="000E151F" w14:paraId="5736E6FA" w14:textId="401831C4" w:rsidTr="00092876">
        <w:tc>
          <w:tcPr>
            <w:tcW w:w="4395" w:type="dxa"/>
            <w:tcBorders>
              <w:top w:val="single" w:sz="6" w:space="0" w:color="auto"/>
              <w:left w:val="single" w:sz="6" w:space="0" w:color="auto"/>
              <w:bottom w:val="single" w:sz="6" w:space="0" w:color="auto"/>
              <w:right w:val="single" w:sz="6" w:space="0" w:color="auto"/>
            </w:tcBorders>
          </w:tcPr>
          <w:p w14:paraId="09E643F0" w14:textId="14C75EC4" w:rsidR="00092876" w:rsidRPr="000E151F" w:rsidRDefault="00092876" w:rsidP="00092876">
            <w:pPr>
              <w:numPr>
                <w:ilvl w:val="0"/>
                <w:numId w:val="3"/>
              </w:numPr>
              <w:tabs>
                <w:tab w:val="clear" w:pos="360"/>
                <w:tab w:val="left" w:pos="0"/>
              </w:tabs>
              <w:ind w:hanging="720"/>
              <w:rPr>
                <w:snapToGrid w:val="0"/>
                <w:sz w:val="22"/>
                <w:szCs w:val="22"/>
              </w:rPr>
            </w:pPr>
            <w:r w:rsidRPr="00A946FF">
              <w:rPr>
                <w:snapToGrid w:val="0"/>
                <w:sz w:val="22"/>
                <w:szCs w:val="22"/>
              </w:rPr>
              <w:t>Eva Lindh (S)</w:t>
            </w:r>
          </w:p>
        </w:tc>
        <w:tc>
          <w:tcPr>
            <w:tcW w:w="488" w:type="dxa"/>
            <w:tcBorders>
              <w:top w:val="single" w:sz="6" w:space="0" w:color="auto"/>
              <w:left w:val="single" w:sz="6" w:space="0" w:color="auto"/>
              <w:bottom w:val="single" w:sz="6" w:space="0" w:color="auto"/>
              <w:right w:val="single" w:sz="6" w:space="0" w:color="auto"/>
            </w:tcBorders>
          </w:tcPr>
          <w:p w14:paraId="61C901BD" w14:textId="4A7AB17E" w:rsidR="00092876" w:rsidRPr="000E151F" w:rsidRDefault="00092876" w:rsidP="0009287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754884C"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FDC73F" w14:textId="0AC5BFD3" w:rsidR="00092876" w:rsidRPr="000E151F" w:rsidRDefault="00092876" w:rsidP="0009287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2D16446"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00A799" w14:textId="473590B6" w:rsidR="00092876" w:rsidRPr="000E151F" w:rsidRDefault="00092876" w:rsidP="0009287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22A7993"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86EE97"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7C1029"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84F805"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72BACDC"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9353FA"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C0998C7"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7B3A078A" w14:textId="77777777" w:rsidR="00092876" w:rsidRPr="000E151F" w:rsidRDefault="00092876" w:rsidP="00092876">
            <w:pPr>
              <w:rPr>
                <w:sz w:val="22"/>
                <w:szCs w:val="22"/>
              </w:rPr>
            </w:pPr>
          </w:p>
        </w:tc>
      </w:tr>
      <w:tr w:rsidR="00092876" w:rsidRPr="000E151F" w14:paraId="6B3F8B01" w14:textId="7C402314" w:rsidTr="00092876">
        <w:tc>
          <w:tcPr>
            <w:tcW w:w="4395" w:type="dxa"/>
            <w:tcBorders>
              <w:top w:val="single" w:sz="6" w:space="0" w:color="auto"/>
              <w:left w:val="single" w:sz="6" w:space="0" w:color="auto"/>
              <w:bottom w:val="single" w:sz="6" w:space="0" w:color="auto"/>
              <w:right w:val="single" w:sz="6" w:space="0" w:color="auto"/>
            </w:tcBorders>
          </w:tcPr>
          <w:p w14:paraId="7047F91B" w14:textId="3F8B3F93" w:rsidR="00092876" w:rsidRPr="000E151F" w:rsidRDefault="00092876" w:rsidP="00092876">
            <w:pPr>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142C7D6B" w14:textId="5FF81ABE" w:rsidR="00092876" w:rsidRPr="000E151F" w:rsidRDefault="00092876" w:rsidP="0009287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9D4280C"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11145A" w14:textId="5F5CBABF" w:rsidR="00092876" w:rsidRPr="000E151F" w:rsidRDefault="00092876" w:rsidP="0009287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94678D1"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95C5A4" w14:textId="6CFD65D7" w:rsidR="00092876" w:rsidRPr="000E151F" w:rsidRDefault="00092876" w:rsidP="0009287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FCBE4A5"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F4D07"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B0380"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920604"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FD89FD"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A39423"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76EBC4"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438EB079" w14:textId="77777777" w:rsidR="00092876" w:rsidRPr="000E151F" w:rsidRDefault="00092876" w:rsidP="00092876">
            <w:pPr>
              <w:rPr>
                <w:sz w:val="22"/>
                <w:szCs w:val="22"/>
              </w:rPr>
            </w:pPr>
          </w:p>
        </w:tc>
      </w:tr>
      <w:tr w:rsidR="00092876" w:rsidRPr="000E151F" w14:paraId="637E4EE2" w14:textId="5414F5B0" w:rsidTr="00092876">
        <w:tc>
          <w:tcPr>
            <w:tcW w:w="4395" w:type="dxa"/>
            <w:tcBorders>
              <w:top w:val="single" w:sz="6" w:space="0" w:color="auto"/>
              <w:left w:val="single" w:sz="6" w:space="0" w:color="auto"/>
              <w:bottom w:val="single" w:sz="6" w:space="0" w:color="auto"/>
              <w:right w:val="single" w:sz="6" w:space="0" w:color="auto"/>
            </w:tcBorders>
          </w:tcPr>
          <w:p w14:paraId="7FC4862B" w14:textId="5C12B0FC" w:rsidR="00092876" w:rsidRPr="000E151F" w:rsidRDefault="00092876" w:rsidP="00092876">
            <w:pPr>
              <w:tabs>
                <w:tab w:val="left" w:pos="356"/>
              </w:tabs>
              <w:rPr>
                <w:snapToGrid w:val="0"/>
                <w:sz w:val="22"/>
                <w:szCs w:val="22"/>
              </w:rPr>
            </w:pPr>
            <w:r w:rsidRPr="00A946FF">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315C1389" w14:textId="79E3DCDD" w:rsidR="00092876" w:rsidRPr="000E151F" w:rsidRDefault="00092876" w:rsidP="0009287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66489C"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FC5A58"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22BB5C"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7A86A5"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8C5A0F"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67BD80"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DDBF59"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02B03E"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301E8D"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10F3F2"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F6B53E5"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432231B6" w14:textId="77777777" w:rsidR="00092876" w:rsidRPr="000E151F" w:rsidRDefault="00092876" w:rsidP="00092876">
            <w:pPr>
              <w:rPr>
                <w:sz w:val="22"/>
                <w:szCs w:val="22"/>
              </w:rPr>
            </w:pPr>
          </w:p>
        </w:tc>
      </w:tr>
      <w:tr w:rsidR="00092876" w:rsidRPr="000E151F" w14:paraId="76CEDFE5" w14:textId="11D9E59E" w:rsidTr="00092876">
        <w:tc>
          <w:tcPr>
            <w:tcW w:w="4395" w:type="dxa"/>
            <w:tcBorders>
              <w:top w:val="single" w:sz="6" w:space="0" w:color="auto"/>
              <w:left w:val="single" w:sz="6" w:space="0" w:color="auto"/>
              <w:bottom w:val="single" w:sz="6" w:space="0" w:color="auto"/>
              <w:right w:val="single" w:sz="6" w:space="0" w:color="auto"/>
            </w:tcBorders>
          </w:tcPr>
          <w:p w14:paraId="7FA51402" w14:textId="541C916E" w:rsidR="00092876" w:rsidRPr="000E151F" w:rsidRDefault="00092876" w:rsidP="00092876">
            <w:pPr>
              <w:tabs>
                <w:tab w:val="left" w:pos="1701"/>
              </w:tabs>
              <w:rPr>
                <w:snapToGrid w:val="0"/>
                <w:sz w:val="22"/>
                <w:szCs w:val="22"/>
                <w:lang w:val="en-US"/>
              </w:rPr>
            </w:pPr>
            <w:r w:rsidRPr="00A946FF">
              <w:rPr>
                <w:snapToGrid w:val="0"/>
                <w:sz w:val="22"/>
                <w:szCs w:val="22"/>
                <w:lang w:val="en-US"/>
              </w:rPr>
              <w:t>Josef Fransson (SD)</w:t>
            </w:r>
          </w:p>
        </w:tc>
        <w:tc>
          <w:tcPr>
            <w:tcW w:w="488" w:type="dxa"/>
            <w:tcBorders>
              <w:top w:val="single" w:sz="6" w:space="0" w:color="auto"/>
              <w:left w:val="single" w:sz="6" w:space="0" w:color="auto"/>
              <w:bottom w:val="single" w:sz="6" w:space="0" w:color="auto"/>
              <w:right w:val="single" w:sz="6" w:space="0" w:color="auto"/>
            </w:tcBorders>
          </w:tcPr>
          <w:p w14:paraId="7AFD7DBE" w14:textId="359CFBA7" w:rsidR="00092876" w:rsidRPr="000E151F" w:rsidRDefault="00092876" w:rsidP="0009287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CDED50"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1609AE"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E161B"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22BEA2"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F828DE"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448238"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4499AC"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85AF0"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C5581FA"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683707"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13CDE7"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6F4A9159" w14:textId="77777777" w:rsidR="00092876" w:rsidRPr="000E151F" w:rsidRDefault="00092876" w:rsidP="00092876">
            <w:pPr>
              <w:rPr>
                <w:sz w:val="22"/>
                <w:szCs w:val="22"/>
              </w:rPr>
            </w:pPr>
          </w:p>
        </w:tc>
      </w:tr>
      <w:tr w:rsidR="00092876" w:rsidRPr="000E151F" w14:paraId="711BFDE8" w14:textId="1AB6F0F4" w:rsidTr="00092876">
        <w:tc>
          <w:tcPr>
            <w:tcW w:w="4395" w:type="dxa"/>
            <w:tcBorders>
              <w:top w:val="single" w:sz="6" w:space="0" w:color="auto"/>
              <w:left w:val="single" w:sz="6" w:space="0" w:color="auto"/>
              <w:bottom w:val="single" w:sz="6" w:space="0" w:color="auto"/>
              <w:right w:val="single" w:sz="6" w:space="0" w:color="auto"/>
            </w:tcBorders>
          </w:tcPr>
          <w:p w14:paraId="0819399D" w14:textId="670419A7" w:rsidR="00092876" w:rsidRPr="00A946FF" w:rsidRDefault="00092876" w:rsidP="00092876">
            <w:pPr>
              <w:tabs>
                <w:tab w:val="left" w:pos="1701"/>
              </w:tabs>
              <w:rPr>
                <w:snapToGrid w:val="0"/>
                <w:sz w:val="22"/>
                <w:szCs w:val="22"/>
                <w:lang w:val="en-US"/>
              </w:rPr>
            </w:pPr>
            <w:r w:rsidRPr="00A946FF">
              <w:rPr>
                <w:snapToGrid w:val="0"/>
                <w:sz w:val="22"/>
                <w:szCs w:val="22"/>
                <w:lang w:val="en-US"/>
              </w:rPr>
              <w:t>Hanna Westerén (S)</w:t>
            </w:r>
          </w:p>
        </w:tc>
        <w:tc>
          <w:tcPr>
            <w:tcW w:w="488" w:type="dxa"/>
            <w:tcBorders>
              <w:top w:val="single" w:sz="6" w:space="0" w:color="auto"/>
              <w:left w:val="single" w:sz="6" w:space="0" w:color="auto"/>
              <w:bottom w:val="single" w:sz="6" w:space="0" w:color="auto"/>
              <w:right w:val="single" w:sz="6" w:space="0" w:color="auto"/>
            </w:tcBorders>
          </w:tcPr>
          <w:p w14:paraId="4AC3E52C" w14:textId="77777777" w:rsidR="00092876" w:rsidRPr="000E151F" w:rsidRDefault="00092876" w:rsidP="0009287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83B981C"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473CD2"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F5052E"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D474BA"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F8EDFB1"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2882D6"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301732"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F6AFA2"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BCA4DA"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0D3895"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40697E"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77469096" w14:textId="77777777" w:rsidR="00092876" w:rsidRPr="000E151F" w:rsidRDefault="00092876" w:rsidP="00092876">
            <w:pPr>
              <w:rPr>
                <w:sz w:val="22"/>
                <w:szCs w:val="22"/>
              </w:rPr>
            </w:pPr>
          </w:p>
        </w:tc>
      </w:tr>
      <w:tr w:rsidR="00092876" w:rsidRPr="000E151F" w14:paraId="7C849C8E" w14:textId="6925C36D" w:rsidTr="00092876">
        <w:tc>
          <w:tcPr>
            <w:tcW w:w="4395" w:type="dxa"/>
            <w:tcBorders>
              <w:top w:val="single" w:sz="6" w:space="0" w:color="auto"/>
              <w:left w:val="single" w:sz="6" w:space="0" w:color="auto"/>
              <w:bottom w:val="single" w:sz="6" w:space="0" w:color="auto"/>
              <w:right w:val="single" w:sz="6" w:space="0" w:color="auto"/>
            </w:tcBorders>
          </w:tcPr>
          <w:p w14:paraId="7970513E" w14:textId="2358FCB4" w:rsidR="00092876" w:rsidRPr="000E151F" w:rsidRDefault="00092876" w:rsidP="00092876">
            <w:pPr>
              <w:tabs>
                <w:tab w:val="left" w:pos="1701"/>
              </w:tabs>
              <w:rPr>
                <w:snapToGrid w:val="0"/>
                <w:sz w:val="22"/>
                <w:szCs w:val="22"/>
                <w:lang w:val="en-US"/>
              </w:rPr>
            </w:pPr>
            <w:r>
              <w:rPr>
                <w:snapToGrid w:val="0"/>
                <w:sz w:val="22"/>
                <w:szCs w:val="22"/>
              </w:rPr>
              <w:t>Emma Ahlström Köster (M)</w:t>
            </w:r>
          </w:p>
        </w:tc>
        <w:tc>
          <w:tcPr>
            <w:tcW w:w="488" w:type="dxa"/>
            <w:tcBorders>
              <w:top w:val="single" w:sz="6" w:space="0" w:color="auto"/>
              <w:left w:val="single" w:sz="6" w:space="0" w:color="auto"/>
              <w:bottom w:val="single" w:sz="6" w:space="0" w:color="auto"/>
              <w:right w:val="single" w:sz="6" w:space="0" w:color="auto"/>
            </w:tcBorders>
          </w:tcPr>
          <w:p w14:paraId="64E9BDDE" w14:textId="77777777" w:rsidR="00092876" w:rsidRPr="000E151F" w:rsidRDefault="00092876" w:rsidP="0009287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625E1B6"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50EAD2"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94D3CC1"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207002"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75E9E6"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9AE90E"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EBA961"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CDF2A4"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BE22F8E"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473A58"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A962134"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68C70D07" w14:textId="77777777" w:rsidR="00092876" w:rsidRPr="000E151F" w:rsidRDefault="00092876" w:rsidP="00092876">
            <w:pPr>
              <w:rPr>
                <w:sz w:val="22"/>
                <w:szCs w:val="22"/>
              </w:rPr>
            </w:pPr>
          </w:p>
        </w:tc>
      </w:tr>
      <w:tr w:rsidR="00092876" w:rsidRPr="000E151F" w14:paraId="2EE776F1" w14:textId="374BBCFB" w:rsidTr="00092876">
        <w:tc>
          <w:tcPr>
            <w:tcW w:w="4395" w:type="dxa"/>
            <w:tcBorders>
              <w:top w:val="single" w:sz="6" w:space="0" w:color="auto"/>
              <w:left w:val="single" w:sz="6" w:space="0" w:color="auto"/>
              <w:bottom w:val="single" w:sz="6" w:space="0" w:color="auto"/>
              <w:right w:val="single" w:sz="6" w:space="0" w:color="auto"/>
            </w:tcBorders>
          </w:tcPr>
          <w:p w14:paraId="0676FD88" w14:textId="27E3417C" w:rsidR="00092876" w:rsidRPr="000E151F" w:rsidRDefault="00092876" w:rsidP="00092876">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1DE90D52" w14:textId="77777777" w:rsidR="00092876" w:rsidRPr="000E151F" w:rsidRDefault="00092876" w:rsidP="0009287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0B0BE23"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7AF2CB"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14AC8"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5ED037"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66CE08"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FAF314"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4C2EDE"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AEC402"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A22D89"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B9AC12"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E0B3470"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6F9DB130" w14:textId="77777777" w:rsidR="00092876" w:rsidRPr="000E151F" w:rsidRDefault="00092876" w:rsidP="00092876">
            <w:pPr>
              <w:rPr>
                <w:sz w:val="22"/>
                <w:szCs w:val="22"/>
              </w:rPr>
            </w:pPr>
          </w:p>
        </w:tc>
      </w:tr>
      <w:tr w:rsidR="00092876" w:rsidRPr="000E151F" w14:paraId="24793189" w14:textId="0FA36DA2" w:rsidTr="00092876">
        <w:tc>
          <w:tcPr>
            <w:tcW w:w="4395" w:type="dxa"/>
            <w:tcBorders>
              <w:top w:val="single" w:sz="6" w:space="0" w:color="auto"/>
              <w:left w:val="single" w:sz="6" w:space="0" w:color="auto"/>
              <w:bottom w:val="single" w:sz="6" w:space="0" w:color="auto"/>
              <w:right w:val="single" w:sz="6" w:space="0" w:color="auto"/>
            </w:tcBorders>
          </w:tcPr>
          <w:p w14:paraId="00CAD59E" w14:textId="5453FF72" w:rsidR="00092876" w:rsidRPr="000E151F" w:rsidRDefault="00092876" w:rsidP="00092876">
            <w:pPr>
              <w:tabs>
                <w:tab w:val="left" w:pos="1701"/>
              </w:tabs>
              <w:rPr>
                <w:snapToGrid w:val="0"/>
                <w:sz w:val="22"/>
                <w:szCs w:val="22"/>
                <w:lang w:val="en-US"/>
              </w:rPr>
            </w:pPr>
            <w:r w:rsidRPr="00A946FF">
              <w:rPr>
                <w:snapToGrid w:val="0"/>
                <w:sz w:val="22"/>
                <w:szCs w:val="22"/>
                <w:lang w:val="en-US"/>
              </w:rPr>
              <w:t>Ulf Lindholm (SD)</w:t>
            </w:r>
          </w:p>
        </w:tc>
        <w:tc>
          <w:tcPr>
            <w:tcW w:w="488" w:type="dxa"/>
            <w:tcBorders>
              <w:top w:val="single" w:sz="6" w:space="0" w:color="auto"/>
              <w:left w:val="single" w:sz="6" w:space="0" w:color="auto"/>
              <w:bottom w:val="single" w:sz="6" w:space="0" w:color="auto"/>
              <w:right w:val="single" w:sz="6" w:space="0" w:color="auto"/>
            </w:tcBorders>
          </w:tcPr>
          <w:p w14:paraId="0071CE9E" w14:textId="77777777" w:rsidR="00092876" w:rsidRPr="000E151F" w:rsidRDefault="00092876" w:rsidP="0009287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9102A10"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A82A9"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E36C98"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C9C155"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0AC9FA"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F3251B"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E359DE"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FB8A6A"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9EC81"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F31590"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78F0329"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0BB1A89C" w14:textId="77777777" w:rsidR="00092876" w:rsidRPr="000E151F" w:rsidRDefault="00092876" w:rsidP="00092876">
            <w:pPr>
              <w:rPr>
                <w:sz w:val="22"/>
                <w:szCs w:val="22"/>
              </w:rPr>
            </w:pPr>
          </w:p>
        </w:tc>
      </w:tr>
      <w:tr w:rsidR="00092876" w:rsidRPr="000E151F" w14:paraId="7F6B7004" w14:textId="399E2A76" w:rsidTr="00092876">
        <w:tc>
          <w:tcPr>
            <w:tcW w:w="4395" w:type="dxa"/>
            <w:tcBorders>
              <w:top w:val="single" w:sz="6" w:space="0" w:color="auto"/>
              <w:left w:val="single" w:sz="6" w:space="0" w:color="auto"/>
              <w:bottom w:val="single" w:sz="6" w:space="0" w:color="auto"/>
              <w:right w:val="single" w:sz="6" w:space="0" w:color="auto"/>
            </w:tcBorders>
          </w:tcPr>
          <w:p w14:paraId="2C09FC8E" w14:textId="357BAA9B" w:rsidR="00092876" w:rsidRDefault="00092876" w:rsidP="00092876">
            <w:pPr>
              <w:tabs>
                <w:tab w:val="left" w:pos="1701"/>
              </w:tabs>
              <w:rPr>
                <w:snapToGrid w:val="0"/>
                <w:sz w:val="22"/>
                <w:szCs w:val="22"/>
                <w:lang w:val="en-US"/>
              </w:rPr>
            </w:pPr>
            <w:r w:rsidRPr="00A946FF">
              <w:rPr>
                <w:snapToGrid w:val="0"/>
                <w:sz w:val="22"/>
                <w:szCs w:val="22"/>
                <w:lang w:val="en-US"/>
              </w:rPr>
              <w:t>Peder Björk (S)</w:t>
            </w:r>
          </w:p>
        </w:tc>
        <w:tc>
          <w:tcPr>
            <w:tcW w:w="488" w:type="dxa"/>
            <w:tcBorders>
              <w:top w:val="single" w:sz="6" w:space="0" w:color="auto"/>
              <w:left w:val="single" w:sz="6" w:space="0" w:color="auto"/>
              <w:bottom w:val="single" w:sz="6" w:space="0" w:color="auto"/>
              <w:right w:val="single" w:sz="6" w:space="0" w:color="auto"/>
            </w:tcBorders>
          </w:tcPr>
          <w:p w14:paraId="162A9D78" w14:textId="77777777" w:rsidR="00092876" w:rsidRPr="000E151F" w:rsidRDefault="00092876" w:rsidP="0009287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BE7BBD0"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1D15C0"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D80B8A"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3F8E16"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3AE3FF"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4966CF"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F9DD60"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AEA556"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0998A6"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321249"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F46FA2"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03CFB6C7" w14:textId="77777777" w:rsidR="00092876" w:rsidRPr="000E151F" w:rsidRDefault="00092876" w:rsidP="00092876">
            <w:pPr>
              <w:rPr>
                <w:sz w:val="22"/>
                <w:szCs w:val="22"/>
              </w:rPr>
            </w:pPr>
          </w:p>
        </w:tc>
      </w:tr>
      <w:tr w:rsidR="00092876" w:rsidRPr="000E151F" w14:paraId="23199AE9" w14:textId="52A3B5D3" w:rsidTr="00092876">
        <w:tc>
          <w:tcPr>
            <w:tcW w:w="4395" w:type="dxa"/>
            <w:tcBorders>
              <w:top w:val="single" w:sz="6" w:space="0" w:color="auto"/>
              <w:left w:val="single" w:sz="6" w:space="0" w:color="auto"/>
              <w:bottom w:val="single" w:sz="6" w:space="0" w:color="auto"/>
              <w:right w:val="single" w:sz="6" w:space="0" w:color="auto"/>
            </w:tcBorders>
          </w:tcPr>
          <w:p w14:paraId="586E0EFD" w14:textId="644CCF41" w:rsidR="00092876" w:rsidRPr="000E151F" w:rsidRDefault="00092876" w:rsidP="00092876">
            <w:pPr>
              <w:tabs>
                <w:tab w:val="left" w:pos="1701"/>
              </w:tabs>
              <w:rPr>
                <w:snapToGrid w:val="0"/>
                <w:sz w:val="22"/>
                <w:szCs w:val="22"/>
                <w:lang w:val="en-US"/>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1141DEEC" w14:textId="77777777" w:rsidR="00092876" w:rsidRPr="000E151F" w:rsidRDefault="00092876" w:rsidP="0009287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711C380"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85CF14"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661A56"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0D60FC"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4E743E"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CE606B"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59FF1"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E5CDCB"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4DE82"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A8DB12"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8E92411"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6D834F11" w14:textId="77777777" w:rsidR="00092876" w:rsidRPr="000E151F" w:rsidRDefault="00092876" w:rsidP="00092876">
            <w:pPr>
              <w:rPr>
                <w:sz w:val="22"/>
                <w:szCs w:val="22"/>
              </w:rPr>
            </w:pPr>
          </w:p>
        </w:tc>
      </w:tr>
      <w:tr w:rsidR="00092876" w:rsidRPr="000E151F" w14:paraId="622C01D7" w14:textId="617D4333" w:rsidTr="00092876">
        <w:tc>
          <w:tcPr>
            <w:tcW w:w="4395" w:type="dxa"/>
            <w:tcBorders>
              <w:top w:val="single" w:sz="6" w:space="0" w:color="auto"/>
              <w:left w:val="single" w:sz="6" w:space="0" w:color="auto"/>
              <w:bottom w:val="single" w:sz="6" w:space="0" w:color="auto"/>
              <w:right w:val="single" w:sz="6" w:space="0" w:color="auto"/>
            </w:tcBorders>
          </w:tcPr>
          <w:p w14:paraId="2858A481" w14:textId="71B7CD5F" w:rsidR="00092876" w:rsidRPr="000E151F" w:rsidRDefault="00092876" w:rsidP="00092876">
            <w:pPr>
              <w:tabs>
                <w:tab w:val="left" w:pos="1701"/>
              </w:tabs>
              <w:rPr>
                <w:snapToGrid w:val="0"/>
                <w:sz w:val="22"/>
                <w:szCs w:val="22"/>
                <w:lang w:val="en-US"/>
              </w:rPr>
            </w:pPr>
            <w:r w:rsidRPr="00A946FF">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6BABA3C1" w14:textId="77777777" w:rsidR="00092876" w:rsidRPr="000E151F" w:rsidRDefault="00092876" w:rsidP="0009287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2B61A7A"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227B70"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E6253F"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2FA625"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05C57C"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76238D"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3EBBA8"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B1D0EF"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A91D72"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DB4FDE"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93CCFF"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1D87D777" w14:textId="77777777" w:rsidR="00092876" w:rsidRPr="000E151F" w:rsidRDefault="00092876" w:rsidP="00092876">
            <w:pPr>
              <w:rPr>
                <w:sz w:val="22"/>
                <w:szCs w:val="22"/>
              </w:rPr>
            </w:pPr>
          </w:p>
        </w:tc>
      </w:tr>
      <w:tr w:rsidR="00092876" w:rsidRPr="000E151F" w14:paraId="43722A13" w14:textId="7F61C532" w:rsidTr="00092876">
        <w:tc>
          <w:tcPr>
            <w:tcW w:w="4395" w:type="dxa"/>
            <w:tcBorders>
              <w:top w:val="single" w:sz="6" w:space="0" w:color="auto"/>
              <w:left w:val="single" w:sz="6" w:space="0" w:color="auto"/>
              <w:bottom w:val="single" w:sz="6" w:space="0" w:color="auto"/>
              <w:right w:val="single" w:sz="6" w:space="0" w:color="auto"/>
            </w:tcBorders>
          </w:tcPr>
          <w:p w14:paraId="4D4F7F94" w14:textId="334EB0C5" w:rsidR="00092876" w:rsidRDefault="00092876" w:rsidP="00092876">
            <w:pPr>
              <w:tabs>
                <w:tab w:val="left" w:pos="1701"/>
              </w:tabs>
              <w:rPr>
                <w:snapToGrid w:val="0"/>
                <w:sz w:val="22"/>
                <w:szCs w:val="22"/>
              </w:rPr>
            </w:pPr>
            <w:r w:rsidRPr="002812E5">
              <w:rPr>
                <w:snapToGrid w:val="0"/>
                <w:sz w:val="22"/>
                <w:szCs w:val="22"/>
              </w:rPr>
              <w:t>Yusuf Aydin</w:t>
            </w:r>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7DDE2EDF" w14:textId="4C26E169" w:rsidR="00092876" w:rsidRPr="000E151F" w:rsidRDefault="00092876" w:rsidP="00092876">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4FB9269C"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0B036B" w14:textId="03751AF7" w:rsidR="00092876" w:rsidRPr="000E151F" w:rsidRDefault="00092876" w:rsidP="00092876">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7A8EE40D"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FD22A" w14:textId="5038CD22" w:rsidR="00092876" w:rsidRPr="000E151F" w:rsidRDefault="00092876" w:rsidP="00092876">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7DBE7071"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ECA16E"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F9AE89"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992BE"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6F35C0"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6DDF78"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922B477"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64D70E9D" w14:textId="77777777" w:rsidR="00092876" w:rsidRPr="000E151F" w:rsidRDefault="00092876" w:rsidP="00092876">
            <w:pPr>
              <w:rPr>
                <w:sz w:val="22"/>
                <w:szCs w:val="22"/>
              </w:rPr>
            </w:pPr>
          </w:p>
        </w:tc>
      </w:tr>
      <w:tr w:rsidR="00092876" w:rsidRPr="000E151F" w14:paraId="4FC45470" w14:textId="29589C31" w:rsidTr="00092876">
        <w:tc>
          <w:tcPr>
            <w:tcW w:w="4395" w:type="dxa"/>
            <w:tcBorders>
              <w:top w:val="single" w:sz="6" w:space="0" w:color="auto"/>
              <w:left w:val="single" w:sz="6" w:space="0" w:color="auto"/>
              <w:bottom w:val="single" w:sz="6" w:space="0" w:color="auto"/>
              <w:right w:val="single" w:sz="6" w:space="0" w:color="auto"/>
            </w:tcBorders>
          </w:tcPr>
          <w:p w14:paraId="0DC4E3A9" w14:textId="6CE047C3" w:rsidR="00092876" w:rsidRPr="000E151F" w:rsidRDefault="00092876" w:rsidP="00092876">
            <w:pPr>
              <w:tabs>
                <w:tab w:val="left" w:pos="1701"/>
              </w:tabs>
              <w:rPr>
                <w:snapToGrid w:val="0"/>
                <w:sz w:val="22"/>
                <w:szCs w:val="22"/>
              </w:rPr>
            </w:pPr>
            <w:r w:rsidRPr="00A946FF">
              <w:rPr>
                <w:snapToGrid w:val="0"/>
                <w:sz w:val="22"/>
                <w:szCs w:val="22"/>
              </w:rPr>
              <w:t>Elisabeth Thand Ringqvist (C)</w:t>
            </w:r>
          </w:p>
        </w:tc>
        <w:tc>
          <w:tcPr>
            <w:tcW w:w="488" w:type="dxa"/>
            <w:tcBorders>
              <w:top w:val="single" w:sz="6" w:space="0" w:color="auto"/>
              <w:left w:val="single" w:sz="6" w:space="0" w:color="auto"/>
              <w:bottom w:val="single" w:sz="6" w:space="0" w:color="auto"/>
              <w:right w:val="single" w:sz="6" w:space="0" w:color="auto"/>
            </w:tcBorders>
          </w:tcPr>
          <w:p w14:paraId="555E8C2E" w14:textId="626F08C3" w:rsidR="00092876" w:rsidRPr="000E151F" w:rsidRDefault="00092876" w:rsidP="0009287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734ACFC"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DD0515"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FAE"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7E7A3C"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242BBB"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5AEA044"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4729F2"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20E934"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9F43E3"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FC26B2"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D653C3B"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476CC0A4" w14:textId="77777777" w:rsidR="00092876" w:rsidRPr="000E151F" w:rsidRDefault="00092876" w:rsidP="00092876">
            <w:pPr>
              <w:rPr>
                <w:sz w:val="22"/>
                <w:szCs w:val="22"/>
              </w:rPr>
            </w:pPr>
          </w:p>
        </w:tc>
      </w:tr>
      <w:tr w:rsidR="00092876" w:rsidRPr="000E151F" w14:paraId="40EBC12B" w14:textId="3227404D" w:rsidTr="00092876">
        <w:tc>
          <w:tcPr>
            <w:tcW w:w="4395" w:type="dxa"/>
            <w:tcBorders>
              <w:top w:val="single" w:sz="6" w:space="0" w:color="auto"/>
              <w:left w:val="single" w:sz="6" w:space="0" w:color="auto"/>
              <w:bottom w:val="single" w:sz="6" w:space="0" w:color="auto"/>
              <w:right w:val="single" w:sz="6" w:space="0" w:color="auto"/>
            </w:tcBorders>
          </w:tcPr>
          <w:p w14:paraId="39E81E96" w14:textId="732DE7A4" w:rsidR="00092876" w:rsidRDefault="00092876" w:rsidP="00092876">
            <w:pPr>
              <w:tabs>
                <w:tab w:val="left" w:pos="1701"/>
              </w:tabs>
              <w:rPr>
                <w:snapToGrid w:val="0"/>
                <w:sz w:val="22"/>
                <w:szCs w:val="22"/>
              </w:rPr>
            </w:pPr>
            <w:r w:rsidRPr="00A946FF">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18EA286D" w14:textId="77777777" w:rsidR="00092876" w:rsidRPr="000E151F" w:rsidRDefault="00092876" w:rsidP="0009287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A1D9F75"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7B3EBF"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C22E6CC"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FD0FE6"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57EB0F"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E165B6"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07A0A0"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AA0C16"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9EB2C3"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CA59A"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A9D8B7"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26DA92F4" w14:textId="77777777" w:rsidR="00092876" w:rsidRPr="000E151F" w:rsidRDefault="00092876" w:rsidP="00092876">
            <w:pPr>
              <w:rPr>
                <w:sz w:val="22"/>
                <w:szCs w:val="22"/>
              </w:rPr>
            </w:pPr>
          </w:p>
        </w:tc>
      </w:tr>
      <w:tr w:rsidR="00092876" w:rsidRPr="000E151F" w14:paraId="32895560" w14:textId="2A447156" w:rsidTr="00092876">
        <w:tc>
          <w:tcPr>
            <w:tcW w:w="4395" w:type="dxa"/>
            <w:tcBorders>
              <w:top w:val="single" w:sz="6" w:space="0" w:color="auto"/>
              <w:left w:val="single" w:sz="6" w:space="0" w:color="auto"/>
              <w:bottom w:val="single" w:sz="6" w:space="0" w:color="auto"/>
              <w:right w:val="single" w:sz="6" w:space="0" w:color="auto"/>
            </w:tcBorders>
          </w:tcPr>
          <w:p w14:paraId="2F5E5C8C" w14:textId="431C7CAF" w:rsidR="00092876" w:rsidRPr="000E151F" w:rsidRDefault="00092876" w:rsidP="00092876">
            <w:pPr>
              <w:tabs>
                <w:tab w:val="left" w:pos="1701"/>
              </w:tabs>
              <w:rPr>
                <w:snapToGrid w:val="0"/>
                <w:sz w:val="22"/>
                <w:szCs w:val="22"/>
              </w:rPr>
            </w:pPr>
            <w:r w:rsidRPr="00A946FF">
              <w:rPr>
                <w:snapToGrid w:val="0"/>
                <w:sz w:val="22"/>
                <w:szCs w:val="22"/>
              </w:rPr>
              <w:t>Linus Lakso (MP)</w:t>
            </w:r>
          </w:p>
        </w:tc>
        <w:tc>
          <w:tcPr>
            <w:tcW w:w="488" w:type="dxa"/>
            <w:tcBorders>
              <w:top w:val="single" w:sz="6" w:space="0" w:color="auto"/>
              <w:left w:val="single" w:sz="6" w:space="0" w:color="auto"/>
              <w:bottom w:val="single" w:sz="6" w:space="0" w:color="auto"/>
              <w:right w:val="single" w:sz="6" w:space="0" w:color="auto"/>
            </w:tcBorders>
          </w:tcPr>
          <w:p w14:paraId="52113D1A" w14:textId="77777777" w:rsidR="00092876" w:rsidRPr="000E151F" w:rsidRDefault="00092876" w:rsidP="0009287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61EAE7"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7DA5AB"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494D71"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CA3FF"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9C2D1A"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7B1283"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822426"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B1A99B"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C49D69"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D7B9F5"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05CCAA"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1EBCA9CA" w14:textId="77777777" w:rsidR="00092876" w:rsidRPr="000E151F" w:rsidRDefault="00092876" w:rsidP="00092876">
            <w:pPr>
              <w:rPr>
                <w:sz w:val="22"/>
                <w:szCs w:val="22"/>
              </w:rPr>
            </w:pPr>
          </w:p>
        </w:tc>
      </w:tr>
      <w:tr w:rsidR="00092876" w:rsidRPr="000E151F" w14:paraId="0CF3A644" w14:textId="46CA710A" w:rsidTr="00092876">
        <w:tc>
          <w:tcPr>
            <w:tcW w:w="4395" w:type="dxa"/>
            <w:tcBorders>
              <w:top w:val="single" w:sz="6" w:space="0" w:color="auto"/>
              <w:left w:val="single" w:sz="6" w:space="0" w:color="auto"/>
              <w:bottom w:val="single" w:sz="6" w:space="0" w:color="auto"/>
              <w:right w:val="single" w:sz="6" w:space="0" w:color="auto"/>
            </w:tcBorders>
          </w:tcPr>
          <w:p w14:paraId="599CFF84" w14:textId="36E81406" w:rsidR="00092876" w:rsidRPr="000E151F" w:rsidRDefault="00092876" w:rsidP="00092876">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77035B45" w14:textId="77777777" w:rsidR="00092876" w:rsidRPr="000E151F" w:rsidRDefault="00092876" w:rsidP="0009287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6D14A9E"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28869C"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C0E823"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965BE9"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0C147"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138D25"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AA1CE"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BE1BC1"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3B6C45"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B54C89"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4609D3"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5F5F717C" w14:textId="77777777" w:rsidR="00092876" w:rsidRPr="000E151F" w:rsidRDefault="00092876" w:rsidP="00092876">
            <w:pPr>
              <w:rPr>
                <w:sz w:val="22"/>
                <w:szCs w:val="22"/>
              </w:rPr>
            </w:pPr>
          </w:p>
        </w:tc>
      </w:tr>
      <w:tr w:rsidR="00092876" w:rsidRPr="000E151F" w14:paraId="453511EF" w14:textId="6B918E9E" w:rsidTr="00092876">
        <w:tc>
          <w:tcPr>
            <w:tcW w:w="4395" w:type="dxa"/>
            <w:tcBorders>
              <w:top w:val="single" w:sz="6" w:space="0" w:color="auto"/>
              <w:left w:val="single" w:sz="6" w:space="0" w:color="auto"/>
              <w:bottom w:val="single" w:sz="6" w:space="0" w:color="auto"/>
              <w:right w:val="single" w:sz="6" w:space="0" w:color="auto"/>
            </w:tcBorders>
          </w:tcPr>
          <w:p w14:paraId="7A3E4488" w14:textId="00550AD7" w:rsidR="00092876" w:rsidRPr="000E151F" w:rsidRDefault="00092876" w:rsidP="00092876">
            <w:pPr>
              <w:tabs>
                <w:tab w:val="left" w:pos="1701"/>
              </w:tabs>
              <w:rPr>
                <w:snapToGrid w:val="0"/>
                <w:sz w:val="22"/>
                <w:szCs w:val="22"/>
              </w:rPr>
            </w:pPr>
            <w:r w:rsidRPr="00D40317">
              <w:rPr>
                <w:snapToGrid w:val="0"/>
                <w:sz w:val="22"/>
                <w:szCs w:val="22"/>
              </w:rPr>
              <w:t>Ida Gabrielsson (V)</w:t>
            </w:r>
          </w:p>
        </w:tc>
        <w:tc>
          <w:tcPr>
            <w:tcW w:w="488" w:type="dxa"/>
            <w:tcBorders>
              <w:top w:val="single" w:sz="6" w:space="0" w:color="auto"/>
              <w:left w:val="single" w:sz="6" w:space="0" w:color="auto"/>
              <w:bottom w:val="single" w:sz="6" w:space="0" w:color="auto"/>
              <w:right w:val="single" w:sz="6" w:space="0" w:color="auto"/>
            </w:tcBorders>
          </w:tcPr>
          <w:p w14:paraId="41D820B3" w14:textId="77777777" w:rsidR="00092876" w:rsidRPr="000E151F" w:rsidRDefault="00092876" w:rsidP="0009287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6B4048"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8DC80B"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404F8C"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3889F2"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10EBD2"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33A824"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6202F"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CD59E7"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FEE0EA"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073D5D"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CC9CFC8"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4A1924CE" w14:textId="77777777" w:rsidR="00092876" w:rsidRPr="000E151F" w:rsidRDefault="00092876" w:rsidP="00092876">
            <w:pPr>
              <w:rPr>
                <w:sz w:val="22"/>
                <w:szCs w:val="22"/>
              </w:rPr>
            </w:pPr>
          </w:p>
        </w:tc>
      </w:tr>
      <w:tr w:rsidR="00092876" w:rsidRPr="000E151F" w14:paraId="2F9F1694" w14:textId="41A5D1C5" w:rsidTr="00092876">
        <w:tc>
          <w:tcPr>
            <w:tcW w:w="4395" w:type="dxa"/>
            <w:tcBorders>
              <w:top w:val="single" w:sz="6" w:space="0" w:color="auto"/>
              <w:left w:val="single" w:sz="6" w:space="0" w:color="auto"/>
              <w:bottom w:val="single" w:sz="6" w:space="0" w:color="auto"/>
              <w:right w:val="single" w:sz="6" w:space="0" w:color="auto"/>
            </w:tcBorders>
          </w:tcPr>
          <w:p w14:paraId="1FFDD558" w14:textId="598D99B8" w:rsidR="00092876" w:rsidRPr="000E151F" w:rsidRDefault="00092876" w:rsidP="00092876">
            <w:pPr>
              <w:tabs>
                <w:tab w:val="left" w:pos="1701"/>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67EE4A70" w14:textId="58B00B89" w:rsidR="00092876" w:rsidRPr="000E151F" w:rsidRDefault="00092876" w:rsidP="0009287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BAA90BE"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7F8BA3"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1CB20C"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E75B49"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A5F310"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6A63BC"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81029B"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DCFF3"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2F565F"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116417"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8397735"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116D51BA" w14:textId="77777777" w:rsidR="00092876" w:rsidRPr="000E151F" w:rsidRDefault="00092876" w:rsidP="00092876">
            <w:pPr>
              <w:rPr>
                <w:sz w:val="22"/>
                <w:szCs w:val="22"/>
              </w:rPr>
            </w:pPr>
          </w:p>
        </w:tc>
      </w:tr>
      <w:tr w:rsidR="00092876" w:rsidRPr="000E151F" w14:paraId="668864F3" w14:textId="29E51A46" w:rsidTr="00092876">
        <w:tc>
          <w:tcPr>
            <w:tcW w:w="4395" w:type="dxa"/>
            <w:tcBorders>
              <w:top w:val="single" w:sz="6" w:space="0" w:color="auto"/>
              <w:left w:val="single" w:sz="6" w:space="0" w:color="auto"/>
              <w:bottom w:val="single" w:sz="6" w:space="0" w:color="auto"/>
              <w:right w:val="single" w:sz="6" w:space="0" w:color="auto"/>
            </w:tcBorders>
          </w:tcPr>
          <w:p w14:paraId="0531FBF1" w14:textId="284F09DA" w:rsidR="00092876" w:rsidRPr="000E151F" w:rsidRDefault="00092876" w:rsidP="00092876">
            <w:pPr>
              <w:tabs>
                <w:tab w:val="left" w:pos="1701"/>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699B0DA9" w14:textId="74B779C8" w:rsidR="00092876" w:rsidRPr="000E151F" w:rsidRDefault="00092876" w:rsidP="0009287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C6806AD"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D50579"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3FB8B7"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9E2271"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9C1A5A"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ABA53F"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EF1E5A"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6C52F1"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B69EC6"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F5E6BF"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0A21EE8"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552DB0C4" w14:textId="77777777" w:rsidR="00092876" w:rsidRPr="000E151F" w:rsidRDefault="00092876" w:rsidP="00092876">
            <w:pPr>
              <w:rPr>
                <w:sz w:val="22"/>
                <w:szCs w:val="22"/>
              </w:rPr>
            </w:pPr>
          </w:p>
        </w:tc>
      </w:tr>
      <w:tr w:rsidR="00092876" w:rsidRPr="000E151F" w14:paraId="2F605694" w14:textId="54E33807" w:rsidTr="00092876">
        <w:tc>
          <w:tcPr>
            <w:tcW w:w="4395" w:type="dxa"/>
            <w:tcBorders>
              <w:top w:val="single" w:sz="6" w:space="0" w:color="auto"/>
              <w:left w:val="single" w:sz="6" w:space="0" w:color="auto"/>
              <w:bottom w:val="single" w:sz="6" w:space="0" w:color="auto"/>
              <w:right w:val="single" w:sz="6" w:space="0" w:color="auto"/>
            </w:tcBorders>
          </w:tcPr>
          <w:p w14:paraId="1995A0BD" w14:textId="7B39C888" w:rsidR="00092876" w:rsidRPr="000E151F" w:rsidRDefault="00092876" w:rsidP="00092876">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1C44252A" w14:textId="77777777" w:rsidR="00092876" w:rsidRPr="000E151F" w:rsidRDefault="00092876" w:rsidP="0009287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D528011"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07F4C6"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9463FA7"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049679"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0D91A0"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986FA8"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005348"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879D10"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A15996"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F6A330"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0DF3E28"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2BE942CE" w14:textId="77777777" w:rsidR="00092876" w:rsidRPr="000E151F" w:rsidRDefault="00092876" w:rsidP="00092876">
            <w:pPr>
              <w:rPr>
                <w:sz w:val="22"/>
                <w:szCs w:val="22"/>
              </w:rPr>
            </w:pPr>
          </w:p>
        </w:tc>
      </w:tr>
      <w:tr w:rsidR="00092876" w:rsidRPr="000E151F" w14:paraId="74371F37" w14:textId="2EB49FA5" w:rsidTr="00092876">
        <w:tc>
          <w:tcPr>
            <w:tcW w:w="4395" w:type="dxa"/>
            <w:tcBorders>
              <w:top w:val="single" w:sz="6" w:space="0" w:color="auto"/>
              <w:left w:val="single" w:sz="6" w:space="0" w:color="auto"/>
              <w:bottom w:val="single" w:sz="6" w:space="0" w:color="auto"/>
              <w:right w:val="single" w:sz="6" w:space="0" w:color="auto"/>
            </w:tcBorders>
          </w:tcPr>
          <w:p w14:paraId="1DE641A3" w14:textId="72CF0F86" w:rsidR="00092876" w:rsidRPr="000E151F" w:rsidRDefault="00092876" w:rsidP="00092876">
            <w:pPr>
              <w:tabs>
                <w:tab w:val="left" w:pos="497"/>
              </w:tabs>
              <w:rPr>
                <w:snapToGrid w:val="0"/>
                <w:sz w:val="22"/>
                <w:szCs w:val="22"/>
              </w:rPr>
            </w:pPr>
            <w:r>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2570C3D6" w14:textId="77777777" w:rsidR="00092876" w:rsidRPr="000E151F" w:rsidRDefault="00092876" w:rsidP="0009287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215B65D"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0214E1"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E7E8C2"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D93F54"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5F6616"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DC3B65"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DF96FC"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B04726"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A62B30"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D394A0"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F97CD6"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625D495E" w14:textId="77777777" w:rsidR="00092876" w:rsidRPr="000E151F" w:rsidRDefault="00092876" w:rsidP="00092876">
            <w:pPr>
              <w:rPr>
                <w:sz w:val="22"/>
                <w:szCs w:val="22"/>
              </w:rPr>
            </w:pPr>
          </w:p>
        </w:tc>
      </w:tr>
      <w:tr w:rsidR="00092876" w:rsidRPr="000E151F" w14:paraId="4323D839" w14:textId="2FD47F7B" w:rsidTr="00092876">
        <w:tc>
          <w:tcPr>
            <w:tcW w:w="4395" w:type="dxa"/>
            <w:tcBorders>
              <w:top w:val="single" w:sz="6" w:space="0" w:color="auto"/>
              <w:left w:val="single" w:sz="6" w:space="0" w:color="auto"/>
              <w:bottom w:val="single" w:sz="6" w:space="0" w:color="auto"/>
              <w:right w:val="single" w:sz="6" w:space="0" w:color="auto"/>
            </w:tcBorders>
          </w:tcPr>
          <w:p w14:paraId="01B57C64" w14:textId="0C938D48" w:rsidR="00092876" w:rsidRPr="000E151F" w:rsidRDefault="00092876" w:rsidP="00092876">
            <w:pPr>
              <w:tabs>
                <w:tab w:val="left" w:pos="497"/>
              </w:tabs>
              <w:rPr>
                <w:snapToGrid w:val="0"/>
                <w:sz w:val="22"/>
                <w:szCs w:val="22"/>
              </w:rPr>
            </w:pPr>
            <w:r w:rsidRPr="007E32F7">
              <w:rPr>
                <w:snapToGrid w:val="0"/>
                <w:sz w:val="22"/>
                <w:szCs w:val="22"/>
              </w:rPr>
              <w:t>Elin Söderberg (MP)</w:t>
            </w:r>
          </w:p>
        </w:tc>
        <w:tc>
          <w:tcPr>
            <w:tcW w:w="488" w:type="dxa"/>
            <w:tcBorders>
              <w:top w:val="single" w:sz="6" w:space="0" w:color="auto"/>
              <w:left w:val="single" w:sz="6" w:space="0" w:color="auto"/>
              <w:bottom w:val="single" w:sz="6" w:space="0" w:color="auto"/>
              <w:right w:val="single" w:sz="6" w:space="0" w:color="auto"/>
            </w:tcBorders>
          </w:tcPr>
          <w:p w14:paraId="2A71C219" w14:textId="77777777" w:rsidR="00092876" w:rsidRPr="000E151F" w:rsidRDefault="00092876" w:rsidP="0009287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3014A5"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94ED6F"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659FF5"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B62B62"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AB1CFA"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837C83"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4C7153"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45EC8"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D5127F"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336516"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4B9B363"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062B4D7B" w14:textId="77777777" w:rsidR="00092876" w:rsidRPr="000E151F" w:rsidRDefault="00092876" w:rsidP="00092876">
            <w:pPr>
              <w:rPr>
                <w:sz w:val="22"/>
                <w:szCs w:val="22"/>
              </w:rPr>
            </w:pPr>
          </w:p>
        </w:tc>
      </w:tr>
      <w:tr w:rsidR="00092876" w:rsidRPr="000E151F" w14:paraId="0AA30539" w14:textId="46481936" w:rsidTr="00092876">
        <w:tc>
          <w:tcPr>
            <w:tcW w:w="4395" w:type="dxa"/>
            <w:tcBorders>
              <w:top w:val="single" w:sz="6" w:space="0" w:color="auto"/>
              <w:left w:val="single" w:sz="6" w:space="0" w:color="auto"/>
              <w:bottom w:val="single" w:sz="6" w:space="0" w:color="auto"/>
              <w:right w:val="single" w:sz="6" w:space="0" w:color="auto"/>
            </w:tcBorders>
          </w:tcPr>
          <w:p w14:paraId="6F0D7EFC" w14:textId="139FB18A" w:rsidR="00092876" w:rsidRPr="007E32F7" w:rsidRDefault="00092876" w:rsidP="00092876">
            <w:pPr>
              <w:tabs>
                <w:tab w:val="left" w:pos="497"/>
              </w:tabs>
              <w:rPr>
                <w:snapToGrid w:val="0"/>
                <w:sz w:val="22"/>
                <w:szCs w:val="22"/>
              </w:rPr>
            </w:pPr>
            <w:r>
              <w:rPr>
                <w:snapToGrid w:val="0"/>
                <w:sz w:val="22"/>
                <w:szCs w:val="22"/>
              </w:rPr>
              <w:t xml:space="preserve">Juno Blom (L) </w:t>
            </w:r>
          </w:p>
        </w:tc>
        <w:tc>
          <w:tcPr>
            <w:tcW w:w="488" w:type="dxa"/>
            <w:tcBorders>
              <w:top w:val="single" w:sz="6" w:space="0" w:color="auto"/>
              <w:left w:val="single" w:sz="6" w:space="0" w:color="auto"/>
              <w:bottom w:val="single" w:sz="6" w:space="0" w:color="auto"/>
              <w:right w:val="single" w:sz="6" w:space="0" w:color="auto"/>
            </w:tcBorders>
          </w:tcPr>
          <w:p w14:paraId="73CD748B" w14:textId="77777777" w:rsidR="00092876" w:rsidRPr="000E151F" w:rsidRDefault="00092876" w:rsidP="0009287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BFCE106"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5165A5"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B522D7"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0658EA"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8DD56F"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41E7A8"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0D3D3"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AB1D8B"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9950CF"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E03F1"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5AA203A"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56FC08EE" w14:textId="77777777" w:rsidR="00092876" w:rsidRPr="000E151F" w:rsidRDefault="00092876" w:rsidP="00092876">
            <w:pPr>
              <w:rPr>
                <w:sz w:val="22"/>
                <w:szCs w:val="22"/>
              </w:rPr>
            </w:pPr>
          </w:p>
        </w:tc>
      </w:tr>
      <w:tr w:rsidR="00092876" w:rsidRPr="000E151F" w14:paraId="01EAE5CB" w14:textId="1DEF63E9" w:rsidTr="00092876">
        <w:tc>
          <w:tcPr>
            <w:tcW w:w="4395" w:type="dxa"/>
            <w:tcBorders>
              <w:top w:val="single" w:sz="6" w:space="0" w:color="auto"/>
              <w:left w:val="single" w:sz="6" w:space="0" w:color="auto"/>
              <w:bottom w:val="single" w:sz="6" w:space="0" w:color="auto"/>
              <w:right w:val="single" w:sz="6" w:space="0" w:color="auto"/>
            </w:tcBorders>
          </w:tcPr>
          <w:p w14:paraId="512AD4D4" w14:textId="706ABF51" w:rsidR="00092876" w:rsidRPr="000E151F" w:rsidRDefault="00092876" w:rsidP="00092876">
            <w:pPr>
              <w:tabs>
                <w:tab w:val="left" w:pos="497"/>
              </w:tabs>
              <w:rPr>
                <w:snapToGrid w:val="0"/>
                <w:sz w:val="22"/>
                <w:szCs w:val="22"/>
              </w:rPr>
            </w:pPr>
            <w:r w:rsidRPr="00A946FF">
              <w:rPr>
                <w:snapToGrid w:val="0"/>
                <w:sz w:val="22"/>
                <w:szCs w:val="22"/>
              </w:rPr>
              <w:t>Anna Starbrink (L)</w:t>
            </w:r>
          </w:p>
        </w:tc>
        <w:tc>
          <w:tcPr>
            <w:tcW w:w="488" w:type="dxa"/>
            <w:tcBorders>
              <w:top w:val="single" w:sz="6" w:space="0" w:color="auto"/>
              <w:left w:val="single" w:sz="6" w:space="0" w:color="auto"/>
              <w:bottom w:val="single" w:sz="6" w:space="0" w:color="auto"/>
              <w:right w:val="single" w:sz="6" w:space="0" w:color="auto"/>
            </w:tcBorders>
          </w:tcPr>
          <w:p w14:paraId="7333A5D9" w14:textId="77777777" w:rsidR="00092876" w:rsidRPr="000E151F" w:rsidRDefault="00092876" w:rsidP="0009287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F6E780F"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0A599"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DDC9BA"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90DB2F"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35623C"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064834"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0CB367"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4B5F51"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5948BA7"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BE6ECA"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AD3585"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03D8A622" w14:textId="77777777" w:rsidR="00092876" w:rsidRPr="000E151F" w:rsidRDefault="00092876" w:rsidP="00092876">
            <w:pPr>
              <w:rPr>
                <w:sz w:val="22"/>
                <w:szCs w:val="22"/>
              </w:rPr>
            </w:pPr>
          </w:p>
        </w:tc>
      </w:tr>
      <w:tr w:rsidR="00092876" w:rsidRPr="000E151F" w14:paraId="25ADF675" w14:textId="296A1A94" w:rsidTr="00092876">
        <w:tc>
          <w:tcPr>
            <w:tcW w:w="4395" w:type="dxa"/>
            <w:tcBorders>
              <w:top w:val="single" w:sz="6" w:space="0" w:color="auto"/>
              <w:left w:val="single" w:sz="6" w:space="0" w:color="auto"/>
              <w:bottom w:val="single" w:sz="6" w:space="0" w:color="auto"/>
              <w:right w:val="single" w:sz="6" w:space="0" w:color="auto"/>
            </w:tcBorders>
          </w:tcPr>
          <w:p w14:paraId="2B7E523F" w14:textId="4A3A6B81" w:rsidR="00092876" w:rsidRPr="000E151F" w:rsidRDefault="00092876" w:rsidP="00092876">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282608E4" w14:textId="77777777" w:rsidR="00092876" w:rsidRPr="000E151F" w:rsidRDefault="00092876" w:rsidP="0009287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62FE0AD"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CB427D"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C26FA1"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41527E"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06B844"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D7D25B"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ADDC1A"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E1B2A0"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8E9484"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E4777A"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EC84FE6"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668A6A64" w14:textId="77777777" w:rsidR="00092876" w:rsidRPr="000E151F" w:rsidRDefault="00092876" w:rsidP="00092876">
            <w:pPr>
              <w:rPr>
                <w:sz w:val="22"/>
                <w:szCs w:val="22"/>
              </w:rPr>
            </w:pPr>
          </w:p>
        </w:tc>
      </w:tr>
      <w:tr w:rsidR="00092876" w:rsidRPr="000E151F" w14:paraId="64DA315F" w14:textId="67207B3B" w:rsidTr="00092876">
        <w:tc>
          <w:tcPr>
            <w:tcW w:w="4395" w:type="dxa"/>
            <w:tcBorders>
              <w:top w:val="single" w:sz="6" w:space="0" w:color="auto"/>
              <w:left w:val="single" w:sz="6" w:space="0" w:color="auto"/>
              <w:bottom w:val="single" w:sz="6" w:space="0" w:color="auto"/>
              <w:right w:val="single" w:sz="6" w:space="0" w:color="auto"/>
            </w:tcBorders>
          </w:tcPr>
          <w:p w14:paraId="1DD4C06C" w14:textId="3E3B0F0D" w:rsidR="00092876" w:rsidRPr="000E151F" w:rsidRDefault="00092876" w:rsidP="00092876">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05E6A184" w14:textId="77777777" w:rsidR="00092876" w:rsidRPr="000E151F" w:rsidRDefault="00092876" w:rsidP="0009287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BCEF3DB"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6E0D85"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0995FD"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CBC941"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8F47AE2"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1B19C1"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B7B8EF"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E8F07"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01D017"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98E64F"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C84A60"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64247EC4" w14:textId="77777777" w:rsidR="00092876" w:rsidRPr="000E151F" w:rsidRDefault="00092876" w:rsidP="00092876">
            <w:pPr>
              <w:rPr>
                <w:sz w:val="22"/>
                <w:szCs w:val="22"/>
              </w:rPr>
            </w:pPr>
          </w:p>
        </w:tc>
      </w:tr>
      <w:tr w:rsidR="00092876" w:rsidRPr="000E151F" w14:paraId="417D65C5" w14:textId="67201A77" w:rsidTr="00092876">
        <w:tc>
          <w:tcPr>
            <w:tcW w:w="4395" w:type="dxa"/>
            <w:tcBorders>
              <w:top w:val="single" w:sz="6" w:space="0" w:color="auto"/>
              <w:left w:val="single" w:sz="6" w:space="0" w:color="auto"/>
              <w:bottom w:val="single" w:sz="6" w:space="0" w:color="auto"/>
              <w:right w:val="single" w:sz="6" w:space="0" w:color="auto"/>
            </w:tcBorders>
          </w:tcPr>
          <w:p w14:paraId="22BF30F7" w14:textId="7ABD41BB" w:rsidR="00092876" w:rsidRPr="00C84EA4" w:rsidRDefault="00092876" w:rsidP="00092876">
            <w:pPr>
              <w:tabs>
                <w:tab w:val="left" w:pos="497"/>
              </w:tabs>
              <w:rPr>
                <w:snapToGrid w:val="0"/>
                <w:sz w:val="22"/>
                <w:szCs w:val="22"/>
              </w:rPr>
            </w:pPr>
            <w:r w:rsidRPr="005A32B3">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1BC63C57" w14:textId="77777777" w:rsidR="00092876" w:rsidRPr="000E151F" w:rsidRDefault="00092876" w:rsidP="0009287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F058975"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771BA8"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E6CC0D1"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2DE206"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444E0AF"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C97FB"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0F3C26"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83279D"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7939983"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750A96"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923E7B9"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55A42B55" w14:textId="77777777" w:rsidR="00092876" w:rsidRPr="000E151F" w:rsidRDefault="00092876" w:rsidP="00092876">
            <w:pPr>
              <w:rPr>
                <w:sz w:val="22"/>
                <w:szCs w:val="22"/>
              </w:rPr>
            </w:pPr>
          </w:p>
        </w:tc>
      </w:tr>
      <w:tr w:rsidR="00092876" w:rsidRPr="000E151F" w14:paraId="038C3D05" w14:textId="161F4F7F" w:rsidTr="00092876">
        <w:tc>
          <w:tcPr>
            <w:tcW w:w="4395" w:type="dxa"/>
            <w:tcBorders>
              <w:top w:val="single" w:sz="6" w:space="0" w:color="auto"/>
              <w:left w:val="single" w:sz="6" w:space="0" w:color="auto"/>
              <w:bottom w:val="single" w:sz="6" w:space="0" w:color="auto"/>
              <w:right w:val="single" w:sz="6" w:space="0" w:color="auto"/>
            </w:tcBorders>
          </w:tcPr>
          <w:p w14:paraId="7C8740D2" w14:textId="498FA53C" w:rsidR="00092876" w:rsidRPr="00C84EA4" w:rsidRDefault="00092876" w:rsidP="00092876">
            <w:pPr>
              <w:tabs>
                <w:tab w:val="left" w:pos="497"/>
              </w:tabs>
              <w:rPr>
                <w:snapToGrid w:val="0"/>
                <w:sz w:val="22"/>
                <w:szCs w:val="22"/>
              </w:rPr>
            </w:pPr>
            <w:r w:rsidRPr="00C84EA4">
              <w:rPr>
                <w:snapToGrid w:val="0"/>
                <w:sz w:val="22"/>
                <w:szCs w:val="22"/>
              </w:rPr>
              <w:t>Marielle Lahti (MP)</w:t>
            </w:r>
            <w:r>
              <w:rPr>
                <w:snapToGrid w:val="0"/>
                <w:sz w:val="22"/>
                <w:szCs w:val="22"/>
              </w:rPr>
              <w:t xml:space="preserve"> </w:t>
            </w:r>
            <w:r w:rsidRPr="008C1DA0">
              <w:rPr>
                <w:i/>
                <w:iCs/>
                <w:snapToGrid w:val="0"/>
                <w:sz w:val="22"/>
                <w:szCs w:val="22"/>
              </w:rPr>
              <w:t>extra suppleant</w:t>
            </w:r>
          </w:p>
        </w:tc>
        <w:tc>
          <w:tcPr>
            <w:tcW w:w="488" w:type="dxa"/>
            <w:tcBorders>
              <w:top w:val="single" w:sz="6" w:space="0" w:color="auto"/>
              <w:left w:val="single" w:sz="6" w:space="0" w:color="auto"/>
              <w:bottom w:val="single" w:sz="6" w:space="0" w:color="auto"/>
              <w:right w:val="single" w:sz="6" w:space="0" w:color="auto"/>
            </w:tcBorders>
          </w:tcPr>
          <w:p w14:paraId="6BCEC2E7" w14:textId="0AA252B0" w:rsidR="00092876" w:rsidRPr="000E151F" w:rsidRDefault="00092876" w:rsidP="0009287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18199E"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59BAC6D" w14:textId="6E977AB0"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3285FA"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4A7A05" w14:textId="2E227E13" w:rsidR="00092876" w:rsidRPr="000E151F" w:rsidRDefault="00092876" w:rsidP="0009287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D38067B"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5D6F7A"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A9081"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D6A85E"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05C93B"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5C748"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9BAEFBF"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4A397907" w14:textId="77777777" w:rsidR="00092876" w:rsidRPr="000E151F" w:rsidRDefault="00092876" w:rsidP="00092876">
            <w:pPr>
              <w:rPr>
                <w:sz w:val="22"/>
                <w:szCs w:val="22"/>
              </w:rPr>
            </w:pPr>
          </w:p>
        </w:tc>
      </w:tr>
      <w:tr w:rsidR="00092876" w:rsidRPr="000E151F" w14:paraId="405DA9E5" w14:textId="19E4DCBC" w:rsidTr="00092876">
        <w:tc>
          <w:tcPr>
            <w:tcW w:w="4395" w:type="dxa"/>
            <w:tcBorders>
              <w:top w:val="single" w:sz="6" w:space="0" w:color="auto"/>
              <w:left w:val="single" w:sz="6" w:space="0" w:color="auto"/>
              <w:bottom w:val="single" w:sz="6" w:space="0" w:color="auto"/>
              <w:right w:val="single" w:sz="6" w:space="0" w:color="auto"/>
            </w:tcBorders>
          </w:tcPr>
          <w:p w14:paraId="433E4F4C" w14:textId="26C2C3D8" w:rsidR="00092876" w:rsidRPr="00C84EA4" w:rsidRDefault="00092876" w:rsidP="00092876">
            <w:pPr>
              <w:tabs>
                <w:tab w:val="left" w:pos="497"/>
              </w:tabs>
              <w:rPr>
                <w:snapToGrid w:val="0"/>
                <w:sz w:val="22"/>
                <w:szCs w:val="22"/>
              </w:rPr>
            </w:pPr>
            <w:r w:rsidRPr="006D6549">
              <w:rPr>
                <w:snapToGrid w:val="0"/>
                <w:sz w:val="22"/>
                <w:szCs w:val="22"/>
                <w:lang w:val="en-US"/>
              </w:rPr>
              <w:t>Zinaida Kajevic (S)</w:t>
            </w:r>
            <w:r>
              <w:rPr>
                <w:snapToGrid w:val="0"/>
                <w:sz w:val="22"/>
                <w:szCs w:val="22"/>
                <w:lang w:val="en-US"/>
              </w:rPr>
              <w:t xml:space="preserve"> </w:t>
            </w:r>
            <w:r w:rsidRPr="008C1DA0">
              <w:rPr>
                <w:i/>
                <w:iCs/>
                <w:snapToGrid w:val="0"/>
                <w:sz w:val="22"/>
                <w:szCs w:val="22"/>
              </w:rPr>
              <w:t>extra suppleant</w:t>
            </w:r>
          </w:p>
        </w:tc>
        <w:tc>
          <w:tcPr>
            <w:tcW w:w="488" w:type="dxa"/>
            <w:tcBorders>
              <w:top w:val="single" w:sz="6" w:space="0" w:color="auto"/>
              <w:left w:val="single" w:sz="6" w:space="0" w:color="auto"/>
              <w:bottom w:val="single" w:sz="6" w:space="0" w:color="auto"/>
              <w:right w:val="single" w:sz="6" w:space="0" w:color="auto"/>
            </w:tcBorders>
          </w:tcPr>
          <w:p w14:paraId="4874E43C" w14:textId="104ADFBD" w:rsidR="00092876" w:rsidRPr="000E151F" w:rsidRDefault="00092876" w:rsidP="0009287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764B287"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D1FC" w14:textId="6E0D0C73" w:rsidR="00092876" w:rsidRPr="000E151F" w:rsidRDefault="00092876" w:rsidP="0009287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581B4CC"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C01C084" w14:textId="7C4B67E1" w:rsidR="00092876" w:rsidRPr="000E151F" w:rsidRDefault="00092876" w:rsidP="0009287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A434997"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6B0430"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8C9994"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C8B13"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7A0163E"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822729"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25132F"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7BF4CDF1" w14:textId="77777777" w:rsidR="00092876" w:rsidRPr="000E151F" w:rsidRDefault="00092876" w:rsidP="00092876">
            <w:pPr>
              <w:rPr>
                <w:sz w:val="22"/>
                <w:szCs w:val="22"/>
              </w:rPr>
            </w:pPr>
          </w:p>
        </w:tc>
      </w:tr>
      <w:tr w:rsidR="00092876" w:rsidRPr="000E151F" w14:paraId="3CFE6CE4" w14:textId="798D98D9" w:rsidTr="00092876">
        <w:tc>
          <w:tcPr>
            <w:tcW w:w="4395" w:type="dxa"/>
            <w:tcBorders>
              <w:top w:val="single" w:sz="6" w:space="0" w:color="auto"/>
              <w:left w:val="single" w:sz="6" w:space="0" w:color="auto"/>
              <w:bottom w:val="single" w:sz="6" w:space="0" w:color="auto"/>
              <w:right w:val="single" w:sz="6" w:space="0" w:color="auto"/>
            </w:tcBorders>
          </w:tcPr>
          <w:p w14:paraId="405F6871" w14:textId="18DFEF2B" w:rsidR="00092876" w:rsidRPr="000E151F" w:rsidRDefault="00092876" w:rsidP="00092876">
            <w:pPr>
              <w:tabs>
                <w:tab w:val="left" w:pos="497"/>
              </w:tabs>
              <w:rPr>
                <w:snapToGrid w:val="0"/>
                <w:sz w:val="22"/>
                <w:szCs w:val="22"/>
              </w:rPr>
            </w:pPr>
            <w:r>
              <w:rPr>
                <w:snapToGrid w:val="0"/>
                <w:sz w:val="22"/>
                <w:szCs w:val="22"/>
              </w:rPr>
              <w:t xml:space="preserve">Fredrik Stenberg (S) </w:t>
            </w:r>
            <w:r w:rsidRPr="008C1DA0">
              <w:rPr>
                <w:i/>
                <w:iCs/>
                <w:snapToGrid w:val="0"/>
                <w:sz w:val="22"/>
                <w:szCs w:val="22"/>
              </w:rPr>
              <w:t>extra suppleant</w:t>
            </w:r>
          </w:p>
        </w:tc>
        <w:tc>
          <w:tcPr>
            <w:tcW w:w="488" w:type="dxa"/>
            <w:tcBorders>
              <w:top w:val="single" w:sz="6" w:space="0" w:color="auto"/>
              <w:left w:val="single" w:sz="6" w:space="0" w:color="auto"/>
              <w:bottom w:val="single" w:sz="6" w:space="0" w:color="auto"/>
              <w:right w:val="single" w:sz="6" w:space="0" w:color="auto"/>
            </w:tcBorders>
          </w:tcPr>
          <w:p w14:paraId="27368BF2" w14:textId="2376192C" w:rsidR="00092876" w:rsidRPr="000E151F" w:rsidRDefault="00092876" w:rsidP="0009287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2A39508"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99571C" w14:textId="05A38E51" w:rsidR="00092876" w:rsidRPr="000E151F" w:rsidRDefault="00092876" w:rsidP="0009287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DAF82BE"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37AE5B" w14:textId="73DD1FCA" w:rsidR="00092876" w:rsidRPr="000E151F" w:rsidRDefault="00092876" w:rsidP="0009287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028B24C"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4CF444"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438255"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EBE879" w14:textId="77777777" w:rsidR="00092876" w:rsidRPr="000E151F" w:rsidRDefault="00092876" w:rsidP="0009287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422B85" w14:textId="77777777" w:rsidR="00092876" w:rsidRPr="000E151F" w:rsidRDefault="00092876" w:rsidP="0009287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8C64B0" w14:textId="77777777" w:rsidR="00092876" w:rsidRPr="000E151F" w:rsidRDefault="00092876" w:rsidP="0009287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FF5F7A" w14:textId="77777777" w:rsidR="00092876" w:rsidRPr="000E151F" w:rsidRDefault="00092876" w:rsidP="00092876">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14:paraId="482DB83D" w14:textId="77777777" w:rsidR="00092876" w:rsidRPr="000E151F" w:rsidRDefault="00092876" w:rsidP="00092876">
            <w:pPr>
              <w:rPr>
                <w:sz w:val="22"/>
                <w:szCs w:val="22"/>
              </w:rPr>
            </w:pPr>
          </w:p>
        </w:tc>
      </w:tr>
    </w:tbl>
    <w:p w14:paraId="04848D3C" w14:textId="77777777" w:rsidR="004C6601" w:rsidRDefault="004C6601" w:rsidP="004C6601">
      <w:pPr>
        <w:ind w:left="-709"/>
        <w:rPr>
          <w:spacing w:val="2"/>
          <w:sz w:val="18"/>
        </w:rPr>
      </w:pPr>
      <w:r>
        <w:rPr>
          <w:spacing w:val="2"/>
          <w:sz w:val="18"/>
        </w:rPr>
        <w:t>N= Närvarande                                                                    X= ledamöter som deltagit i handläggningen</w:t>
      </w:r>
    </w:p>
    <w:p w14:paraId="6C2ADBE2" w14:textId="68C126E6" w:rsidR="004C6601" w:rsidRDefault="004C6601" w:rsidP="004C6601">
      <w:pPr>
        <w:ind w:left="-709"/>
        <w:rPr>
          <w:spacing w:val="2"/>
          <w:sz w:val="18"/>
        </w:rPr>
      </w:pPr>
      <w:r>
        <w:rPr>
          <w:spacing w:val="2"/>
          <w:sz w:val="18"/>
        </w:rPr>
        <w:t>V=  Votering                                                                       O= ledamöter som härutöver varit närvarande</w:t>
      </w:r>
    </w:p>
    <w:p w14:paraId="54FE4023" w14:textId="38EF5ED9" w:rsidR="003D1127" w:rsidRDefault="003D1127" w:rsidP="004C6601">
      <w:pPr>
        <w:ind w:left="-709"/>
        <w:rPr>
          <w:spacing w:val="2"/>
          <w:sz w:val="18"/>
        </w:rPr>
      </w:pPr>
    </w:p>
    <w:p w14:paraId="52168665" w14:textId="452EA92F" w:rsidR="003D1127" w:rsidRDefault="003D1127" w:rsidP="004C6601">
      <w:pPr>
        <w:ind w:left="-709"/>
        <w:rPr>
          <w:spacing w:val="2"/>
          <w:sz w:val="18"/>
        </w:rPr>
      </w:pPr>
    </w:p>
    <w:p w14:paraId="2A1D3768" w14:textId="74D6299B" w:rsidR="003D1127" w:rsidRDefault="003D1127" w:rsidP="004C6601">
      <w:pPr>
        <w:ind w:left="-709"/>
        <w:rPr>
          <w:spacing w:val="2"/>
          <w:sz w:val="18"/>
        </w:rPr>
      </w:pPr>
      <w:r w:rsidRPr="003D1127">
        <w:rPr>
          <w:spacing w:val="2"/>
          <w:sz w:val="18"/>
        </w:rPr>
        <w:lastRenderedPageBreak/>
        <w:t>Bilaga 2</w:t>
      </w:r>
    </w:p>
    <w:p w14:paraId="57072847" w14:textId="4A66A58E" w:rsidR="00DA247E" w:rsidRPr="00DA247E" w:rsidRDefault="00DA247E" w:rsidP="004C6601">
      <w:pPr>
        <w:ind w:left="-709"/>
        <w:rPr>
          <w:b/>
          <w:bCs/>
          <w:spacing w:val="2"/>
          <w:szCs w:val="24"/>
        </w:rPr>
      </w:pPr>
      <w:r w:rsidRPr="00DA247E">
        <w:rPr>
          <w:b/>
          <w:bCs/>
          <w:spacing w:val="2"/>
          <w:szCs w:val="24"/>
        </w:rPr>
        <w:t>Reform av EU:s ekonomiska styrning</w:t>
      </w:r>
      <w:r>
        <w:rPr>
          <w:b/>
          <w:bCs/>
          <w:spacing w:val="2"/>
          <w:szCs w:val="24"/>
        </w:rPr>
        <w:t xml:space="preserve"> (§ 2)</w:t>
      </w:r>
    </w:p>
    <w:p w14:paraId="1AE5B5B9" w14:textId="797947AE" w:rsidR="003D1127" w:rsidRPr="00DA247E" w:rsidRDefault="003D1127" w:rsidP="004C6601">
      <w:pPr>
        <w:ind w:left="-709"/>
        <w:rPr>
          <w:b/>
          <w:bCs/>
          <w:spacing w:val="2"/>
          <w:szCs w:val="24"/>
        </w:rPr>
      </w:pPr>
    </w:p>
    <w:p w14:paraId="70F25C1A" w14:textId="5A9AAC0C" w:rsidR="003D1127" w:rsidRPr="00317ABB" w:rsidRDefault="003D1127" w:rsidP="003D1127">
      <w:pPr>
        <w:ind w:left="-709"/>
        <w:rPr>
          <w:spacing w:val="2"/>
          <w:szCs w:val="24"/>
        </w:rPr>
      </w:pPr>
      <w:r w:rsidRPr="00317ABB">
        <w:rPr>
          <w:b/>
          <w:bCs/>
          <w:spacing w:val="2"/>
          <w:szCs w:val="24"/>
        </w:rPr>
        <w:t>Regeringens ståndpunkt</w:t>
      </w:r>
      <w:r w:rsidRPr="00317ABB">
        <w:rPr>
          <w:spacing w:val="2"/>
          <w:szCs w:val="24"/>
        </w:rPr>
        <w:br/>
      </w:r>
      <w:r w:rsidRPr="00317ABB">
        <w:rPr>
          <w:spacing w:val="2"/>
          <w:szCs w:val="24"/>
        </w:rPr>
        <w:br/>
        <w:t>Regeringen välkomnar kommissionens paket med lagförslag och anser att det utgör en bra grund inför kommande förhandlingar. Generellt anser regeringen att ett välfungerande ekonomisk-politiskt ramverk i EU förutsätter regler som är tydliga och som efterlevs av medlemsstaterna, samt bygger på ett tydligt nationellt ägarskap för den ekonomiska politiken.</w:t>
      </w:r>
    </w:p>
    <w:p w14:paraId="7AC7366D" w14:textId="77777777" w:rsidR="003D1127" w:rsidRPr="00317ABB" w:rsidRDefault="003D1127" w:rsidP="003D1127">
      <w:pPr>
        <w:ind w:left="-709"/>
        <w:rPr>
          <w:spacing w:val="2"/>
          <w:szCs w:val="24"/>
        </w:rPr>
      </w:pPr>
    </w:p>
    <w:p w14:paraId="1CC44729" w14:textId="477FED48" w:rsidR="003D1127" w:rsidRPr="00317ABB" w:rsidRDefault="003D1127" w:rsidP="003D1127">
      <w:pPr>
        <w:ind w:left="-709"/>
        <w:rPr>
          <w:spacing w:val="2"/>
          <w:szCs w:val="24"/>
        </w:rPr>
      </w:pPr>
      <w:r w:rsidRPr="00317ABB">
        <w:rPr>
          <w:spacing w:val="2"/>
          <w:szCs w:val="24"/>
        </w:rPr>
        <w:t>Regeringen understryker att stabilitets- och tillväxtpaktens huvudsakliga uppgift är att främja sunda offentliga finanser och att fokus fortsatt bör ligga på att säkerställa skuldhållbarheten i EU:s medlemsstater. Det är därtill av stor vikt att ramverket tillämpas på ett transparent och förutsägbart sätt som säkerställer likabehandling mellan medlemsstaterna. Regeringen anser vidare att ramverket bör säkerställa en tillräckligt ambitiös konsolidering i högt skuldsatta medlemsstater som leder till att särskilt höga skuldkvoter minskar till sundare nivåer i tillfredsställande takt.</w:t>
      </w:r>
    </w:p>
    <w:p w14:paraId="11BEBC66" w14:textId="77777777" w:rsidR="003D1127" w:rsidRPr="00317ABB" w:rsidRDefault="003D1127" w:rsidP="003D1127">
      <w:pPr>
        <w:ind w:left="-709"/>
        <w:rPr>
          <w:spacing w:val="2"/>
          <w:szCs w:val="24"/>
        </w:rPr>
      </w:pPr>
    </w:p>
    <w:p w14:paraId="369B2D63" w14:textId="6019CE3A" w:rsidR="003D1127" w:rsidRPr="00317ABB" w:rsidRDefault="003D1127" w:rsidP="003D1127">
      <w:pPr>
        <w:ind w:left="-709"/>
        <w:rPr>
          <w:spacing w:val="2"/>
          <w:szCs w:val="24"/>
        </w:rPr>
      </w:pPr>
      <w:r w:rsidRPr="00317ABB">
        <w:rPr>
          <w:spacing w:val="2"/>
          <w:szCs w:val="24"/>
        </w:rPr>
        <w:t>Regeringen är mot denna bakgrund positivt inställd till att öka det medelfristiga perspektivet i ramverket och anser att de föreslagna medelfristiga struktur- och finanspolitiska planernas huvudsakliga syfte ska vara att säkerställa sunda och hållbara offentliga finanser. Det är vidare positivt att kommissionens föreslagna upplägg differentierar mellan de medlemsstater som efterlever stabilitets- och tillväxtpaktens referensvärden</w:t>
      </w:r>
    </w:p>
    <w:p w14:paraId="7A291158" w14:textId="5D4E5557" w:rsidR="003D1127" w:rsidRPr="00317ABB" w:rsidRDefault="003D1127" w:rsidP="003D1127">
      <w:pPr>
        <w:ind w:left="-709"/>
        <w:rPr>
          <w:spacing w:val="2"/>
          <w:szCs w:val="24"/>
        </w:rPr>
      </w:pPr>
      <w:r w:rsidRPr="00317ABB">
        <w:rPr>
          <w:spacing w:val="2"/>
          <w:szCs w:val="24"/>
        </w:rPr>
        <w:t>och de som inte gör det. Det innebär t.ex. striktare villkor för de sistnämnda medlemsstaterna vad gäller de medelfristiga planernas utformning.</w:t>
      </w:r>
    </w:p>
    <w:p w14:paraId="212CE4F7" w14:textId="77777777" w:rsidR="003D1127" w:rsidRPr="00317ABB" w:rsidRDefault="003D1127" w:rsidP="003D1127">
      <w:pPr>
        <w:ind w:left="-709"/>
        <w:rPr>
          <w:spacing w:val="2"/>
          <w:szCs w:val="24"/>
        </w:rPr>
      </w:pPr>
    </w:p>
    <w:p w14:paraId="148B49C5" w14:textId="5258A2F5" w:rsidR="003D1127" w:rsidRPr="00317ABB" w:rsidRDefault="003D1127" w:rsidP="003D1127">
      <w:pPr>
        <w:ind w:left="-709"/>
        <w:rPr>
          <w:spacing w:val="2"/>
          <w:szCs w:val="24"/>
        </w:rPr>
      </w:pPr>
      <w:r w:rsidRPr="00317ABB">
        <w:rPr>
          <w:spacing w:val="2"/>
          <w:szCs w:val="24"/>
        </w:rPr>
        <w:t>Regeringen kan också ställa sig bakom att även andra element under den europeiska planeringsterminen kan rymmas i de medelfristiga planerna. Det är positivt att kommissionen samtidigt föreslår att fasa ut befintliga nationella reformprogram samt konvergens- eller stabilitetsprogram, för att undvika överlappning. Det är viktigt att hänsyn tas till den administrativa bördan för medlemsstaterna och att befogenheterna mellan medlemsstaterna och EU respekteras. Regeringen konstaterar att EU-rätten inte ger samma utrymme för styrning av makroekonomiska obalanser på EU-nivå som den mer långtgående styrningen av medlemsstaternas offentliga finanser. Regeringen anser att det är en bra och viktig utgångspunkt i förhandlingarna.</w:t>
      </w:r>
    </w:p>
    <w:p w14:paraId="2D7078EE" w14:textId="77777777" w:rsidR="003D1127" w:rsidRPr="00317ABB" w:rsidRDefault="003D1127" w:rsidP="003D1127">
      <w:pPr>
        <w:ind w:left="-709"/>
        <w:rPr>
          <w:spacing w:val="2"/>
          <w:szCs w:val="24"/>
        </w:rPr>
      </w:pPr>
    </w:p>
    <w:p w14:paraId="3E99B427" w14:textId="4EDC19D4" w:rsidR="003D1127" w:rsidRPr="00317ABB" w:rsidRDefault="003D1127" w:rsidP="003D1127">
      <w:pPr>
        <w:ind w:left="-709"/>
        <w:rPr>
          <w:spacing w:val="2"/>
          <w:szCs w:val="24"/>
        </w:rPr>
      </w:pPr>
      <w:r w:rsidRPr="00317ABB">
        <w:rPr>
          <w:spacing w:val="2"/>
          <w:szCs w:val="24"/>
        </w:rPr>
        <w:t>Regeringen ställer sig bakom förslaget om att förstärkta övervakningsmekanismer bör gälla för medlemsstater som begär en förlängning av anpassningsbanan och som ingår reform- och investeringsåtaganden.</w:t>
      </w:r>
    </w:p>
    <w:p w14:paraId="6CD7ABE9" w14:textId="77777777" w:rsidR="003D1127" w:rsidRPr="00317ABB" w:rsidRDefault="003D1127" w:rsidP="003D1127">
      <w:pPr>
        <w:ind w:left="-709"/>
        <w:rPr>
          <w:spacing w:val="2"/>
          <w:szCs w:val="24"/>
        </w:rPr>
      </w:pPr>
    </w:p>
    <w:p w14:paraId="29A10EBE" w14:textId="28EAF7F1" w:rsidR="003D1127" w:rsidRPr="00317ABB" w:rsidRDefault="003D1127" w:rsidP="003D1127">
      <w:pPr>
        <w:ind w:left="-709"/>
        <w:rPr>
          <w:spacing w:val="2"/>
          <w:szCs w:val="24"/>
        </w:rPr>
      </w:pPr>
      <w:r w:rsidRPr="00317ABB">
        <w:rPr>
          <w:spacing w:val="2"/>
          <w:szCs w:val="24"/>
        </w:rPr>
        <w:t>Regeringen välkomnar den reform som syftar till att stärka tillämpningen av underskottsförfarandet vad gäller de delar av förslaget som innebär att skuldbaserade förfaranden lättare kommer att kunna öppnas och avslutas. Det är vidare viktigt att reglerna för de underskottsbaserade förfarandena säkerställer en snabb korrigering av alltför stora underskott och att korrigeringen inte senareläggs. Regeringen menar att det är avgörande att underskottsförfarandet tillämpas på ett transparent, likvärdigt och förutsägbart sätt. Det är dessutom viktigt att eventuella ändringar i sanktionsregimen innebär att sanktionerna lättare kan åläggas medlemsstater som inte efterlever rekommendationer inom ramen för underskottsförfarandet och att sanktionerna är tillräckligt kännbara. Den korrigerande anpassningsbanan bör utformas på ett sådant sätt att underskottet varaktigt minskar under referensvärdet och att särskilt höga skuldkvoter minskar till sundare nivåer i tillfredsställande takt.</w:t>
      </w:r>
    </w:p>
    <w:p w14:paraId="59369A69" w14:textId="77777777" w:rsidR="003D1127" w:rsidRPr="00317ABB" w:rsidRDefault="003D1127" w:rsidP="003D1127">
      <w:pPr>
        <w:ind w:left="-709"/>
        <w:rPr>
          <w:spacing w:val="2"/>
          <w:szCs w:val="24"/>
        </w:rPr>
      </w:pPr>
    </w:p>
    <w:p w14:paraId="22BF48F2" w14:textId="1ECEA163" w:rsidR="003D1127" w:rsidRPr="00317ABB" w:rsidRDefault="003D1127" w:rsidP="003D1127">
      <w:pPr>
        <w:ind w:left="-709"/>
        <w:rPr>
          <w:spacing w:val="2"/>
          <w:szCs w:val="24"/>
        </w:rPr>
      </w:pPr>
      <w:r w:rsidRPr="00317ABB">
        <w:rPr>
          <w:spacing w:val="2"/>
          <w:szCs w:val="24"/>
        </w:rPr>
        <w:t xml:space="preserve">Regeringen understryker att direktivet om medlemsstaternas nationella budgetramverk bör </w:t>
      </w:r>
      <w:r w:rsidRPr="00317ABB">
        <w:rPr>
          <w:spacing w:val="2"/>
          <w:szCs w:val="24"/>
        </w:rPr>
        <w:lastRenderedPageBreak/>
        <w:t>begränsas till sådana krav på ramverket som är nödvändiga för att efterleva fördragskraven på sunda offentliga finanser i EU:s medlemsstater.</w:t>
      </w:r>
    </w:p>
    <w:p w14:paraId="78121460" w14:textId="77777777" w:rsidR="003D1127" w:rsidRPr="00317ABB" w:rsidRDefault="003D1127" w:rsidP="003D1127">
      <w:pPr>
        <w:ind w:left="-709"/>
        <w:rPr>
          <w:spacing w:val="2"/>
          <w:szCs w:val="24"/>
        </w:rPr>
      </w:pPr>
    </w:p>
    <w:p w14:paraId="3CBFD75F" w14:textId="5E5E9728" w:rsidR="003D1127" w:rsidRDefault="003D1127" w:rsidP="003D1127">
      <w:pPr>
        <w:ind w:left="-709"/>
        <w:rPr>
          <w:spacing w:val="2"/>
          <w:sz w:val="22"/>
          <w:szCs w:val="22"/>
        </w:rPr>
      </w:pPr>
      <w:r w:rsidRPr="00317ABB">
        <w:rPr>
          <w:spacing w:val="2"/>
          <w:szCs w:val="24"/>
        </w:rPr>
        <w:t>Regeringen ställer sig även initialt skeptisk till de ändringar i direktivet om medlemsstaternas nationella budgetramverk som rör oberoende nationella finanspolitiska institutioner. Dessa institutioner fyller en viktig funktion genom att utvärdera finanspolitiken och övervaka efterlevnaden av det nationella ramverket. Om de finanspolitiska institutionerna ska godkänna, eller göra finanspolitiska prognoser och bedömningar kan deras utvärderande roll försvagas. De finanspolitiska institutionerna bidrar till ökad transparens och förutsägbarhet kring de offentliga finanserna. Samtidigt skiljer sig institutionernas uppbyggnad åt mellan medlemsstater. Allt för detaljerade gemensamma standarder och specificerade uppgifter kan riskera att avleda uppmärksamhet från de finanspolitiska institutionernas huvudsyften och försvåra deras arbete.</w:t>
      </w:r>
      <w:r>
        <w:rPr>
          <w:spacing w:val="2"/>
          <w:sz w:val="22"/>
          <w:szCs w:val="22"/>
        </w:rPr>
        <w:br/>
      </w:r>
    </w:p>
    <w:p w14:paraId="6DD9D41D" w14:textId="77777777" w:rsidR="003D1127" w:rsidRDefault="003D1127">
      <w:pPr>
        <w:widowControl/>
        <w:rPr>
          <w:spacing w:val="2"/>
          <w:sz w:val="22"/>
          <w:szCs w:val="22"/>
        </w:rPr>
      </w:pPr>
      <w:r>
        <w:rPr>
          <w:spacing w:val="2"/>
          <w:sz w:val="22"/>
          <w:szCs w:val="22"/>
        </w:rPr>
        <w:br w:type="page"/>
      </w:r>
    </w:p>
    <w:p w14:paraId="244DF938" w14:textId="3A2A9538" w:rsidR="003D1127" w:rsidRPr="00FA79BF" w:rsidRDefault="003D1127" w:rsidP="003D1127">
      <w:pPr>
        <w:ind w:left="-709"/>
        <w:rPr>
          <w:b/>
          <w:bCs/>
          <w:spacing w:val="2"/>
          <w:szCs w:val="24"/>
        </w:rPr>
      </w:pPr>
      <w:r w:rsidRPr="003D1127">
        <w:rPr>
          <w:spacing w:val="2"/>
          <w:sz w:val="22"/>
          <w:szCs w:val="22"/>
        </w:rPr>
        <w:lastRenderedPageBreak/>
        <w:t xml:space="preserve">Bilaga </w:t>
      </w:r>
      <w:r>
        <w:rPr>
          <w:spacing w:val="2"/>
          <w:sz w:val="22"/>
          <w:szCs w:val="22"/>
        </w:rPr>
        <w:t>3</w:t>
      </w:r>
      <w:r w:rsidR="00FA79BF">
        <w:rPr>
          <w:spacing w:val="2"/>
          <w:sz w:val="22"/>
          <w:szCs w:val="22"/>
        </w:rPr>
        <w:br/>
      </w:r>
      <w:r w:rsidR="00FA79BF" w:rsidRPr="00FA79BF">
        <w:rPr>
          <w:b/>
          <w:bCs/>
          <w:spacing w:val="2"/>
          <w:szCs w:val="24"/>
        </w:rPr>
        <w:t>Reform av EU:s ekonomiska styrning (§ 2)</w:t>
      </w:r>
    </w:p>
    <w:p w14:paraId="18161D06" w14:textId="23642FC5" w:rsidR="003D1127" w:rsidRDefault="003D1127" w:rsidP="003D1127">
      <w:pPr>
        <w:ind w:left="-709"/>
        <w:rPr>
          <w:spacing w:val="2"/>
          <w:sz w:val="22"/>
          <w:szCs w:val="22"/>
        </w:rPr>
      </w:pPr>
    </w:p>
    <w:p w14:paraId="5857E449" w14:textId="7E2F95B2" w:rsidR="001071C0" w:rsidRPr="00317ABB" w:rsidRDefault="0073032B" w:rsidP="001071C0">
      <w:pPr>
        <w:ind w:left="-709"/>
        <w:rPr>
          <w:b/>
          <w:bCs/>
          <w:spacing w:val="2"/>
          <w:szCs w:val="24"/>
        </w:rPr>
      </w:pPr>
      <w:r w:rsidRPr="00317ABB">
        <w:rPr>
          <w:b/>
          <w:bCs/>
          <w:spacing w:val="2"/>
          <w:szCs w:val="24"/>
        </w:rPr>
        <w:t>Centerpartiet</w:t>
      </w:r>
      <w:r w:rsidR="00317ABB">
        <w:rPr>
          <w:b/>
          <w:bCs/>
          <w:spacing w:val="2"/>
          <w:szCs w:val="24"/>
        </w:rPr>
        <w:t>s</w:t>
      </w:r>
      <w:r w:rsidRPr="00317ABB">
        <w:rPr>
          <w:b/>
          <w:bCs/>
          <w:spacing w:val="2"/>
          <w:szCs w:val="24"/>
        </w:rPr>
        <w:t xml:space="preserve"> avvikande ståndpunkt</w:t>
      </w:r>
    </w:p>
    <w:p w14:paraId="63A4BFBE" w14:textId="77777777" w:rsidR="0073032B" w:rsidRPr="00317ABB" w:rsidRDefault="0073032B" w:rsidP="001071C0">
      <w:pPr>
        <w:ind w:left="-709"/>
        <w:rPr>
          <w:spacing w:val="2"/>
          <w:szCs w:val="24"/>
        </w:rPr>
      </w:pPr>
    </w:p>
    <w:p w14:paraId="2F970D1A" w14:textId="55730E67" w:rsidR="001071C0" w:rsidRPr="00317ABB" w:rsidRDefault="001071C0" w:rsidP="0073032B">
      <w:pPr>
        <w:ind w:left="-709"/>
        <w:rPr>
          <w:spacing w:val="2"/>
          <w:szCs w:val="24"/>
        </w:rPr>
      </w:pPr>
      <w:r w:rsidRPr="00317ABB">
        <w:rPr>
          <w:spacing w:val="2"/>
          <w:szCs w:val="24"/>
        </w:rPr>
        <w:t>Samtidigt som Centerpartiet delar den övergripande inriktningen för ståndpunkten har vi några viktiga invändningar. Detta i ett läge när EU:s regelverk åter kan ställas på prov, med hög skuldsättning och ökad räntebörda för flera av unionens största ekonomier, vilket fordrar en strängare tolkning av regelverket snarare än ytterligare uppluckringar:</w:t>
      </w:r>
    </w:p>
    <w:p w14:paraId="6F5B69F7" w14:textId="20FD2A35" w:rsidR="00C83EAF" w:rsidRDefault="00C83EAF" w:rsidP="00AF626B">
      <w:pPr>
        <w:rPr>
          <w:spacing w:val="2"/>
          <w:szCs w:val="24"/>
        </w:rPr>
      </w:pPr>
    </w:p>
    <w:p w14:paraId="2B49084D" w14:textId="178351D7" w:rsidR="00C83EAF" w:rsidRDefault="00AF626B" w:rsidP="00C83EAF">
      <w:pPr>
        <w:pStyle w:val="Liststycke"/>
        <w:numPr>
          <w:ilvl w:val="0"/>
          <w:numId w:val="15"/>
        </w:numPr>
        <w:rPr>
          <w:spacing w:val="2"/>
          <w:szCs w:val="24"/>
        </w:rPr>
      </w:pPr>
      <w:r w:rsidRPr="00AF626B">
        <w:rPr>
          <w:spacing w:val="2"/>
          <w:szCs w:val="24"/>
        </w:rPr>
        <w:t>Det går inte att sänka minimibeloppet för sanktioner vid underskottsförfarande från 0,5 procent till 0,05 procent utan att detta medföljs med ett stramare regelverk i andra delar. Om argumentet är att sanktionsavgiften aldrig utdelats av Kommissionen eftersom den uppfattats som för drastisk, kan inte den enda lösningen vara att enbart reducera detta enda konkreta sanktionshot. Det måste åtminstone medföljas av andra åtgärder som att göra sanktionsförfarande mer automatiskt och mindre diskretionärt.</w:t>
      </w:r>
    </w:p>
    <w:p w14:paraId="23E772A9" w14:textId="35DE0C25" w:rsidR="00AF626B" w:rsidRPr="00C83EAF" w:rsidRDefault="00AF626B" w:rsidP="00C83EAF">
      <w:pPr>
        <w:pStyle w:val="Liststycke"/>
        <w:numPr>
          <w:ilvl w:val="0"/>
          <w:numId w:val="15"/>
        </w:numPr>
        <w:rPr>
          <w:spacing w:val="2"/>
          <w:szCs w:val="24"/>
        </w:rPr>
      </w:pPr>
      <w:r w:rsidRPr="00AF626B">
        <w:rPr>
          <w:spacing w:val="2"/>
          <w:szCs w:val="24"/>
        </w:rPr>
        <w:t>Sverige bör välkomna, inte ställa sig initialt skeptiskt eller negativt, till att oberoende nationella finanspolitiska institutioner ges en starkare ställning i ändringarna till direktivet om medlemsstaternas nationella budgetramverk. Dessa oberoende nationella finanspolitiska institutioner har tjänat Sverige och andra länder väl, och underbygger med sin roll sunda statsfinanser i medlemsländerna. Debatten i Sverige och andra medlemsländer går därför snarast i riktning mot att stärka dessa institutioners mandat. Om det finns oro för att ökade formella åtagande påverkar dessa institutioners oberoende så bör invävningar mot förslaget inrikta sig på att ytterligare säkra oberoendet, inte minska de oberoende granskarnas roll.</w:t>
      </w:r>
    </w:p>
    <w:p w14:paraId="6404BA96" w14:textId="05B057AD" w:rsidR="0073032B" w:rsidRDefault="0073032B" w:rsidP="001071C0">
      <w:pPr>
        <w:ind w:left="-709"/>
        <w:rPr>
          <w:spacing w:val="2"/>
          <w:sz w:val="22"/>
          <w:szCs w:val="22"/>
        </w:rPr>
      </w:pPr>
    </w:p>
    <w:p w14:paraId="59202EA9" w14:textId="77777777" w:rsidR="0073032B" w:rsidRDefault="0073032B" w:rsidP="001071C0">
      <w:pPr>
        <w:ind w:left="-709"/>
        <w:rPr>
          <w:spacing w:val="2"/>
          <w:sz w:val="22"/>
          <w:szCs w:val="22"/>
        </w:rPr>
      </w:pPr>
    </w:p>
    <w:p w14:paraId="0600DC69" w14:textId="6A145061" w:rsidR="0073032B" w:rsidRDefault="0073032B" w:rsidP="001071C0">
      <w:pPr>
        <w:ind w:left="-709"/>
        <w:rPr>
          <w:spacing w:val="2"/>
          <w:sz w:val="22"/>
          <w:szCs w:val="22"/>
        </w:rPr>
      </w:pPr>
    </w:p>
    <w:p w14:paraId="285C87D6" w14:textId="00D3D41E" w:rsidR="0073032B" w:rsidRDefault="0073032B" w:rsidP="001071C0">
      <w:pPr>
        <w:ind w:left="-709"/>
        <w:rPr>
          <w:spacing w:val="2"/>
          <w:sz w:val="22"/>
          <w:szCs w:val="22"/>
        </w:rPr>
      </w:pPr>
    </w:p>
    <w:p w14:paraId="597D3F4A" w14:textId="34F1E329" w:rsidR="0073032B" w:rsidRDefault="0073032B" w:rsidP="001071C0">
      <w:pPr>
        <w:ind w:left="-709"/>
        <w:rPr>
          <w:spacing w:val="2"/>
          <w:sz w:val="22"/>
          <w:szCs w:val="22"/>
        </w:rPr>
      </w:pPr>
    </w:p>
    <w:p w14:paraId="3EA462B4" w14:textId="436B5FD1" w:rsidR="0073032B" w:rsidRDefault="0073032B" w:rsidP="001071C0">
      <w:pPr>
        <w:ind w:left="-709"/>
        <w:rPr>
          <w:spacing w:val="2"/>
          <w:sz w:val="22"/>
          <w:szCs w:val="22"/>
        </w:rPr>
      </w:pPr>
    </w:p>
    <w:p w14:paraId="0947B942" w14:textId="1F9AD4C6" w:rsidR="0073032B" w:rsidRDefault="0073032B" w:rsidP="001071C0">
      <w:pPr>
        <w:ind w:left="-709"/>
        <w:rPr>
          <w:spacing w:val="2"/>
          <w:sz w:val="22"/>
          <w:szCs w:val="22"/>
        </w:rPr>
      </w:pPr>
    </w:p>
    <w:p w14:paraId="11E16176" w14:textId="0E64A1D2" w:rsidR="0073032B" w:rsidRDefault="0073032B" w:rsidP="001071C0">
      <w:pPr>
        <w:ind w:left="-709"/>
        <w:rPr>
          <w:spacing w:val="2"/>
          <w:sz w:val="22"/>
          <w:szCs w:val="22"/>
        </w:rPr>
      </w:pPr>
    </w:p>
    <w:p w14:paraId="45A0A05F" w14:textId="3E35475C" w:rsidR="0073032B" w:rsidRDefault="0073032B">
      <w:pPr>
        <w:widowControl/>
        <w:rPr>
          <w:spacing w:val="2"/>
          <w:sz w:val="22"/>
          <w:szCs w:val="22"/>
        </w:rPr>
      </w:pPr>
      <w:r>
        <w:rPr>
          <w:spacing w:val="2"/>
          <w:sz w:val="22"/>
          <w:szCs w:val="22"/>
        </w:rPr>
        <w:br w:type="page"/>
      </w:r>
    </w:p>
    <w:p w14:paraId="584B9E1D" w14:textId="77777777" w:rsidR="00FA79BF" w:rsidRDefault="0073032B" w:rsidP="001071C0">
      <w:pPr>
        <w:ind w:left="-709"/>
        <w:rPr>
          <w:spacing w:val="2"/>
          <w:sz w:val="22"/>
          <w:szCs w:val="22"/>
        </w:rPr>
      </w:pPr>
      <w:r w:rsidRPr="0073032B">
        <w:rPr>
          <w:spacing w:val="2"/>
          <w:sz w:val="22"/>
          <w:szCs w:val="22"/>
        </w:rPr>
        <w:lastRenderedPageBreak/>
        <w:t xml:space="preserve">Bilaga </w:t>
      </w:r>
      <w:r>
        <w:rPr>
          <w:spacing w:val="2"/>
          <w:sz w:val="22"/>
          <w:szCs w:val="22"/>
        </w:rPr>
        <w:t>4</w:t>
      </w:r>
    </w:p>
    <w:p w14:paraId="4617F34A" w14:textId="13AA0D8E" w:rsidR="0073032B" w:rsidRPr="00FA79BF" w:rsidRDefault="00FA79BF" w:rsidP="001071C0">
      <w:pPr>
        <w:ind w:left="-709"/>
        <w:rPr>
          <w:b/>
          <w:bCs/>
          <w:spacing w:val="2"/>
          <w:szCs w:val="24"/>
        </w:rPr>
      </w:pPr>
      <w:r w:rsidRPr="00FA79BF">
        <w:rPr>
          <w:b/>
          <w:bCs/>
          <w:spacing w:val="2"/>
          <w:szCs w:val="24"/>
        </w:rPr>
        <w:t>Reform av EU:s ekonomiska styrning (§ 2)</w:t>
      </w:r>
      <w:r w:rsidR="0073032B" w:rsidRPr="00FA79BF">
        <w:rPr>
          <w:b/>
          <w:bCs/>
          <w:spacing w:val="2"/>
          <w:szCs w:val="24"/>
        </w:rPr>
        <w:br/>
      </w:r>
    </w:p>
    <w:p w14:paraId="4910FAB2" w14:textId="65D72026" w:rsidR="0073032B" w:rsidRPr="00317ABB" w:rsidRDefault="0073032B" w:rsidP="0073032B">
      <w:pPr>
        <w:ind w:left="-709"/>
        <w:rPr>
          <w:b/>
          <w:bCs/>
          <w:spacing w:val="2"/>
          <w:szCs w:val="24"/>
        </w:rPr>
      </w:pPr>
      <w:r w:rsidRPr="00317ABB">
        <w:rPr>
          <w:b/>
          <w:bCs/>
          <w:spacing w:val="2"/>
          <w:szCs w:val="24"/>
        </w:rPr>
        <w:t xml:space="preserve">Vänsterpartiets avvikande ståndpunkt </w:t>
      </w:r>
    </w:p>
    <w:p w14:paraId="432C3FB3" w14:textId="3DA1331B" w:rsidR="0073032B" w:rsidRPr="00317ABB" w:rsidRDefault="0073032B" w:rsidP="0073032B">
      <w:pPr>
        <w:ind w:left="-709"/>
        <w:rPr>
          <w:spacing w:val="2"/>
          <w:szCs w:val="24"/>
        </w:rPr>
      </w:pPr>
    </w:p>
    <w:p w14:paraId="13948E25" w14:textId="77777777" w:rsidR="0073032B" w:rsidRPr="00317ABB" w:rsidRDefault="0073032B" w:rsidP="0073032B">
      <w:pPr>
        <w:ind w:left="-709"/>
        <w:rPr>
          <w:spacing w:val="2"/>
          <w:szCs w:val="24"/>
        </w:rPr>
      </w:pPr>
      <w:r w:rsidRPr="00317ABB">
        <w:rPr>
          <w:spacing w:val="2"/>
          <w:szCs w:val="24"/>
        </w:rPr>
        <w:t xml:space="preserve">Det finns grundläggande problem med EU:s stabilitets- och tillväxtpakt. EU:s synpunkter på finanspolitiken i medlemsstater som har höga skuldkvoter borde i högre utsträckning ta höjd för att problemen kan ha olika grund. Det är inte klart vad likabehandling mellan medlemsstater bör betyda i detta sammanhang. </w:t>
      </w:r>
    </w:p>
    <w:p w14:paraId="451DEC4B" w14:textId="77777777" w:rsidR="0073032B" w:rsidRPr="00317ABB" w:rsidRDefault="0073032B" w:rsidP="0073032B">
      <w:pPr>
        <w:ind w:left="-709"/>
        <w:rPr>
          <w:spacing w:val="2"/>
          <w:szCs w:val="24"/>
        </w:rPr>
      </w:pPr>
      <w:r w:rsidRPr="00317ABB">
        <w:rPr>
          <w:spacing w:val="2"/>
          <w:szCs w:val="24"/>
        </w:rPr>
        <w:t xml:space="preserve"> </w:t>
      </w:r>
    </w:p>
    <w:p w14:paraId="27FEE4B2" w14:textId="77777777" w:rsidR="0073032B" w:rsidRPr="00317ABB" w:rsidRDefault="0073032B" w:rsidP="0073032B">
      <w:pPr>
        <w:ind w:left="-709"/>
        <w:rPr>
          <w:spacing w:val="2"/>
          <w:szCs w:val="24"/>
        </w:rPr>
      </w:pPr>
      <w:r w:rsidRPr="00317ABB">
        <w:rPr>
          <w:spacing w:val="2"/>
          <w:szCs w:val="24"/>
        </w:rPr>
        <w:t>Konkret menar jag att skrivningarna om sanktioner (”Det är dessutom viktigt att eventuella ändringar ... tillräckligt kännbara”) borde ha utgått från regeringens ståndpunkt.</w:t>
      </w:r>
    </w:p>
    <w:p w14:paraId="78984645" w14:textId="77777777" w:rsidR="0073032B" w:rsidRPr="00317ABB" w:rsidRDefault="0073032B" w:rsidP="0073032B">
      <w:pPr>
        <w:ind w:left="-709"/>
        <w:rPr>
          <w:spacing w:val="2"/>
          <w:szCs w:val="24"/>
        </w:rPr>
      </w:pPr>
      <w:r w:rsidRPr="00317ABB">
        <w:rPr>
          <w:spacing w:val="2"/>
          <w:szCs w:val="24"/>
        </w:rPr>
        <w:t xml:space="preserve"> </w:t>
      </w:r>
    </w:p>
    <w:p w14:paraId="1AA00721" w14:textId="77777777" w:rsidR="00A97355" w:rsidRDefault="0073032B" w:rsidP="00A97355">
      <w:pPr>
        <w:ind w:left="-709"/>
        <w:rPr>
          <w:spacing w:val="2"/>
          <w:szCs w:val="24"/>
        </w:rPr>
      </w:pPr>
      <w:r w:rsidRPr="00317ABB">
        <w:rPr>
          <w:spacing w:val="2"/>
          <w:szCs w:val="24"/>
        </w:rPr>
        <w:t>Vidare menar jag att ståndpunkten borde vara tydlig med att regeringen inte ser något behov av EU-reglering av nationella finanspolitiska institutioner och deras eventuella roll i de nationella budgetprocesserna.</w:t>
      </w:r>
    </w:p>
    <w:p w14:paraId="5624E0D5" w14:textId="77777777" w:rsidR="00A97355" w:rsidRDefault="00A97355" w:rsidP="00A97355">
      <w:pPr>
        <w:ind w:left="-709"/>
        <w:rPr>
          <w:spacing w:val="2"/>
          <w:szCs w:val="24"/>
        </w:rPr>
      </w:pPr>
    </w:p>
    <w:p w14:paraId="1D1FA927" w14:textId="77777777" w:rsidR="00A97355" w:rsidRDefault="00A97355">
      <w:pPr>
        <w:widowControl/>
        <w:rPr>
          <w:spacing w:val="2"/>
          <w:szCs w:val="24"/>
        </w:rPr>
      </w:pPr>
      <w:r>
        <w:rPr>
          <w:spacing w:val="2"/>
          <w:szCs w:val="24"/>
        </w:rPr>
        <w:br w:type="page"/>
      </w:r>
    </w:p>
    <w:p w14:paraId="750ED1AF" w14:textId="4EA6B71B" w:rsidR="00A97355" w:rsidRDefault="00317ABB" w:rsidP="00A97355">
      <w:pPr>
        <w:ind w:left="-709"/>
        <w:rPr>
          <w:spacing w:val="2"/>
          <w:sz w:val="22"/>
          <w:szCs w:val="22"/>
        </w:rPr>
      </w:pPr>
      <w:r>
        <w:rPr>
          <w:spacing w:val="2"/>
          <w:sz w:val="22"/>
          <w:szCs w:val="22"/>
        </w:rPr>
        <w:lastRenderedPageBreak/>
        <w:t xml:space="preserve">Bilaga 5 </w:t>
      </w:r>
    </w:p>
    <w:p w14:paraId="6CCB6AB0" w14:textId="2DD5A423" w:rsidR="00DA247E" w:rsidRPr="00DA247E" w:rsidRDefault="00DA247E" w:rsidP="00A97355">
      <w:pPr>
        <w:ind w:left="-709"/>
        <w:rPr>
          <w:b/>
          <w:bCs/>
          <w:spacing w:val="2"/>
          <w:szCs w:val="24"/>
        </w:rPr>
      </w:pPr>
      <w:r w:rsidRPr="00DA247E">
        <w:rPr>
          <w:b/>
          <w:bCs/>
          <w:spacing w:val="2"/>
          <w:szCs w:val="24"/>
        </w:rPr>
        <w:t xml:space="preserve">Ändringar av EU:s krishanteringsregelverk (§ 5) </w:t>
      </w:r>
    </w:p>
    <w:p w14:paraId="0F17FCC6" w14:textId="77777777" w:rsidR="00A97355" w:rsidRDefault="00A97355" w:rsidP="00A97355">
      <w:pPr>
        <w:ind w:left="-709"/>
        <w:rPr>
          <w:spacing w:val="2"/>
          <w:szCs w:val="24"/>
        </w:rPr>
      </w:pPr>
    </w:p>
    <w:p w14:paraId="2F7B7601" w14:textId="03A2DFC5" w:rsidR="00A97355" w:rsidRDefault="00317ABB" w:rsidP="00A97355">
      <w:pPr>
        <w:ind w:left="-709"/>
        <w:rPr>
          <w:b/>
          <w:bCs/>
          <w:spacing w:val="2"/>
        </w:rPr>
      </w:pPr>
      <w:r w:rsidRPr="00A97355">
        <w:rPr>
          <w:b/>
          <w:bCs/>
          <w:spacing w:val="2"/>
        </w:rPr>
        <w:t xml:space="preserve">Regeringens ståndpunkt </w:t>
      </w:r>
    </w:p>
    <w:p w14:paraId="1A6F286A" w14:textId="356E258D" w:rsidR="00A97355" w:rsidRDefault="00A97355" w:rsidP="00A97355">
      <w:pPr>
        <w:ind w:left="-709"/>
        <w:rPr>
          <w:b/>
          <w:bCs/>
          <w:spacing w:val="2"/>
        </w:rPr>
      </w:pPr>
    </w:p>
    <w:p w14:paraId="3FFB9B63" w14:textId="77777777" w:rsidR="00A97355" w:rsidRPr="00A97355" w:rsidRDefault="00A97355" w:rsidP="00A97355">
      <w:pPr>
        <w:ind w:left="-709"/>
        <w:rPr>
          <w:spacing w:val="2"/>
          <w:szCs w:val="24"/>
        </w:rPr>
      </w:pPr>
      <w:r w:rsidRPr="00A97355">
        <w:rPr>
          <w:spacing w:val="2"/>
          <w:szCs w:val="24"/>
        </w:rPr>
        <w:t>Regeringen välkomnar förslaget att stärka EU:s krishanteringsregelverk i syfte att värna finansiell stabilitet, samt att skydda garanterade insättningar och skattemedel.</w:t>
      </w:r>
    </w:p>
    <w:p w14:paraId="3284FA02" w14:textId="77777777" w:rsidR="00A97355" w:rsidRPr="00A97355" w:rsidRDefault="00A97355" w:rsidP="00A97355">
      <w:pPr>
        <w:ind w:left="-709"/>
        <w:rPr>
          <w:spacing w:val="2"/>
          <w:szCs w:val="24"/>
        </w:rPr>
      </w:pPr>
    </w:p>
    <w:p w14:paraId="3277FEC9" w14:textId="77777777" w:rsidR="00A97355" w:rsidRPr="00A97355" w:rsidRDefault="00A97355" w:rsidP="00A97355">
      <w:pPr>
        <w:ind w:left="-709"/>
        <w:rPr>
          <w:spacing w:val="2"/>
          <w:szCs w:val="24"/>
        </w:rPr>
      </w:pPr>
      <w:r w:rsidRPr="00A97355">
        <w:rPr>
          <w:spacing w:val="2"/>
          <w:szCs w:val="24"/>
        </w:rPr>
        <w:t>Förslaget är även ett steg i att utveckla bankunionen. Regeringen eftersträvar att bankunionen ska utformas på ett så ändamålsenligt sätt som möjligt – oavsett om Sverige fortsätter att stå utanför eller inte.</w:t>
      </w:r>
    </w:p>
    <w:p w14:paraId="4076399D" w14:textId="77777777" w:rsidR="00A97355" w:rsidRPr="00A97355" w:rsidRDefault="00A97355" w:rsidP="00A97355">
      <w:pPr>
        <w:ind w:left="-709"/>
        <w:rPr>
          <w:spacing w:val="2"/>
          <w:szCs w:val="24"/>
        </w:rPr>
      </w:pPr>
    </w:p>
    <w:p w14:paraId="128D18A6" w14:textId="77777777" w:rsidR="00A97355" w:rsidRPr="00A97355" w:rsidRDefault="00A97355" w:rsidP="00A97355">
      <w:pPr>
        <w:ind w:left="-709"/>
        <w:rPr>
          <w:spacing w:val="2"/>
          <w:szCs w:val="24"/>
        </w:rPr>
      </w:pPr>
      <w:r w:rsidRPr="00A97355">
        <w:rPr>
          <w:spacing w:val="2"/>
          <w:szCs w:val="24"/>
        </w:rPr>
        <w:t>Regeringen anser överlag att förslagen att underlätta en bredare tillämpning av resolution bidrar till att förbättra förutsättningarna för en mer effektiv och förutsägbar krishantering av europeiska banker. Det är viktigt att detta förenas med fortsatt utrymme för flexibilitet för resolutionsmyndigheten i tillämpningen. Målet med resolution bör dock fortsatt vara att värna finansiell stabilitet, samt att skydda garanterade insättningar och skattemedel.</w:t>
      </w:r>
    </w:p>
    <w:p w14:paraId="49F75F43" w14:textId="77777777" w:rsidR="00A97355" w:rsidRPr="00A97355" w:rsidRDefault="00A97355" w:rsidP="00A97355">
      <w:pPr>
        <w:ind w:left="-709"/>
        <w:rPr>
          <w:spacing w:val="2"/>
          <w:szCs w:val="24"/>
        </w:rPr>
      </w:pPr>
    </w:p>
    <w:p w14:paraId="320E67B4" w14:textId="77777777" w:rsidR="00A97355" w:rsidRPr="00A97355" w:rsidRDefault="00A97355" w:rsidP="00A97355">
      <w:pPr>
        <w:ind w:left="-709"/>
        <w:rPr>
          <w:spacing w:val="2"/>
          <w:szCs w:val="24"/>
        </w:rPr>
      </w:pPr>
      <w:r w:rsidRPr="00A97355">
        <w:rPr>
          <w:spacing w:val="2"/>
          <w:szCs w:val="24"/>
        </w:rPr>
        <w:t>Regeringen anser att en eventuell utvidgning av insättningsgarantifondens roll bör göras med beaktande av principen att bankerna så långt som möjligt själva bör bära kostnaderna för sitt eget risktagande. Krishantering av banker, oavsett storlek, bör därför i första hand finansieras av bankerna själva och endast i andra hand av gemensamma medel från insättningsgarantifonden eller resolutionsreserven. Denna princip är central för att skydda offentliga medel och för att bevara allmänhetens höga förtroende för insättningsgarantin.</w:t>
      </w:r>
    </w:p>
    <w:p w14:paraId="6DAD407A" w14:textId="77777777" w:rsidR="00A97355" w:rsidRPr="00A97355" w:rsidRDefault="00A97355" w:rsidP="00A97355">
      <w:pPr>
        <w:ind w:left="-709"/>
        <w:rPr>
          <w:spacing w:val="2"/>
          <w:szCs w:val="24"/>
        </w:rPr>
      </w:pPr>
    </w:p>
    <w:p w14:paraId="2A8F6B3A" w14:textId="77777777" w:rsidR="00A97355" w:rsidRPr="00A97355" w:rsidRDefault="00A97355" w:rsidP="00A97355">
      <w:pPr>
        <w:ind w:left="-709"/>
        <w:rPr>
          <w:spacing w:val="2"/>
          <w:szCs w:val="24"/>
        </w:rPr>
      </w:pPr>
      <w:r w:rsidRPr="00A97355">
        <w:rPr>
          <w:spacing w:val="2"/>
          <w:szCs w:val="24"/>
        </w:rPr>
        <w:t>Regeringen anser att förändringar av förmånsrätten för insättningar bör begränsas till sådana som är nödvändiga för att åstadkomma en mer ändamålsenlig krishantering av europeiska banker. I förhandlingarna avser regeringen bevaka att ändringar i förmånsrättsordningen, och insolvenslagstiftningen generellt, endast omfattar bestämmelser specifika för finansiella företag.</w:t>
      </w:r>
    </w:p>
    <w:p w14:paraId="5B1160EB" w14:textId="77777777" w:rsidR="00A97355" w:rsidRPr="00A97355" w:rsidRDefault="00A97355" w:rsidP="00A97355">
      <w:pPr>
        <w:ind w:left="-709"/>
        <w:rPr>
          <w:spacing w:val="2"/>
          <w:szCs w:val="24"/>
        </w:rPr>
      </w:pPr>
    </w:p>
    <w:p w14:paraId="44BFF0D6" w14:textId="77777777" w:rsidR="00A97355" w:rsidRPr="00A97355" w:rsidRDefault="00A97355" w:rsidP="00A97355">
      <w:pPr>
        <w:ind w:left="-709"/>
        <w:rPr>
          <w:spacing w:val="2"/>
          <w:szCs w:val="24"/>
        </w:rPr>
      </w:pPr>
      <w:r w:rsidRPr="00A97355">
        <w:rPr>
          <w:spacing w:val="2"/>
          <w:szCs w:val="24"/>
        </w:rPr>
        <w:t>Regeringen anser att tydliga villkor för användning av offentligt stöd utanför resolution kan bidra till en ökad förutsägbarhet och ändamålsenlighet i tillämpningen av åtgärderna. Vidare är regeringen positiv till att det även fortsättningsvis ska vara frivilligt för medlemsstaterna att genomföra möjligheten att utnyttja insättningsgarantisystemet för att ge offentligt stöd i form av preventiva och alternativa åtgärder.</w:t>
      </w:r>
    </w:p>
    <w:p w14:paraId="128716F0" w14:textId="77777777" w:rsidR="00A97355" w:rsidRPr="00A97355" w:rsidRDefault="00A97355" w:rsidP="00A97355">
      <w:pPr>
        <w:ind w:left="-709"/>
        <w:rPr>
          <w:spacing w:val="2"/>
          <w:szCs w:val="24"/>
        </w:rPr>
      </w:pPr>
    </w:p>
    <w:p w14:paraId="6387BCD1" w14:textId="77777777" w:rsidR="00A97355" w:rsidRPr="00A97355" w:rsidRDefault="00A97355" w:rsidP="00A97355">
      <w:pPr>
        <w:ind w:left="-709"/>
        <w:rPr>
          <w:spacing w:val="2"/>
          <w:szCs w:val="24"/>
        </w:rPr>
      </w:pPr>
      <w:r w:rsidRPr="00A97355">
        <w:rPr>
          <w:spacing w:val="2"/>
          <w:szCs w:val="24"/>
        </w:rPr>
        <w:t>Regeringen förespråkar ett proportionerligt och ändamålsenligt regelverk som beaktar administrativ börda för såväl myndigheter som banker, inte minst små banker. Mot bakgrund av Sveriges budgetrestriktiva hållning ska Sverige agera för att förslagets ekonomiska konsekvenser begränsas både för statens budget och EU-budgeten.</w:t>
      </w:r>
    </w:p>
    <w:p w14:paraId="696390A4" w14:textId="77777777" w:rsidR="00A97355" w:rsidRPr="00A97355" w:rsidRDefault="00A97355" w:rsidP="00A97355">
      <w:pPr>
        <w:ind w:left="-709"/>
        <w:rPr>
          <w:spacing w:val="2"/>
          <w:szCs w:val="24"/>
        </w:rPr>
      </w:pPr>
    </w:p>
    <w:p w14:paraId="2BB0C0F1" w14:textId="77777777" w:rsidR="00A97355" w:rsidRPr="00A97355" w:rsidRDefault="00A97355" w:rsidP="00A97355">
      <w:pPr>
        <w:ind w:left="-709"/>
        <w:rPr>
          <w:spacing w:val="2"/>
          <w:szCs w:val="24"/>
        </w:rPr>
      </w:pPr>
      <w:r w:rsidRPr="00A97355">
        <w:rPr>
          <w:spacing w:val="2"/>
          <w:szCs w:val="24"/>
        </w:rPr>
        <w:t>Förslaget behandlas under Sveriges EU-ordförandeskap under våren 2023.</w:t>
      </w:r>
    </w:p>
    <w:p w14:paraId="5DA37128" w14:textId="77777777" w:rsidR="00A97355" w:rsidRPr="00A97355" w:rsidRDefault="00A97355" w:rsidP="00A97355">
      <w:pPr>
        <w:ind w:left="-709"/>
        <w:rPr>
          <w:spacing w:val="2"/>
          <w:szCs w:val="24"/>
        </w:rPr>
      </w:pPr>
    </w:p>
    <w:sectPr w:rsidR="00A97355" w:rsidRPr="00A97355" w:rsidSect="0002748E">
      <w:headerReference w:type="default" r:id="rId8"/>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2" w:name="Svenska"/>
    <w:r>
      <w:t>Finansutskottet</w:t>
    </w:r>
    <w:r>
      <w:tab/>
    </w:r>
    <w:r>
      <w:tab/>
    </w:r>
    <w:r>
      <w:rPr>
        <w:noProof/>
      </w:rPr>
      <w:drawing>
        <wp:inline distT="0" distB="0" distL="0" distR="0" wp14:anchorId="74D692BC" wp14:editId="66C823EA">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72E73EE"/>
    <w:multiLevelType w:val="hybridMultilevel"/>
    <w:tmpl w:val="79D430F8"/>
    <w:lvl w:ilvl="0" w:tplc="0D6C28B8">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2067A59"/>
    <w:multiLevelType w:val="hybridMultilevel"/>
    <w:tmpl w:val="337A2C3A"/>
    <w:lvl w:ilvl="0" w:tplc="5052C3D4">
      <w:start w:val="5"/>
      <w:numFmt w:val="bullet"/>
      <w:lvlText w:val="-"/>
      <w:lvlJc w:val="left"/>
      <w:pPr>
        <w:ind w:left="-349" w:hanging="360"/>
      </w:pPr>
      <w:rPr>
        <w:rFonts w:ascii="Times New Roman" w:eastAsia="Times New Roman" w:hAnsi="Times New Roman" w:cs="Times New Roman" w:hint="default"/>
      </w:rPr>
    </w:lvl>
    <w:lvl w:ilvl="1" w:tplc="041D0003" w:tentative="1">
      <w:start w:val="1"/>
      <w:numFmt w:val="bullet"/>
      <w:lvlText w:val="o"/>
      <w:lvlJc w:val="left"/>
      <w:pPr>
        <w:ind w:left="371" w:hanging="360"/>
      </w:pPr>
      <w:rPr>
        <w:rFonts w:ascii="Courier New" w:hAnsi="Courier New" w:cs="Courier New" w:hint="default"/>
      </w:rPr>
    </w:lvl>
    <w:lvl w:ilvl="2" w:tplc="041D0005" w:tentative="1">
      <w:start w:val="1"/>
      <w:numFmt w:val="bullet"/>
      <w:lvlText w:val=""/>
      <w:lvlJc w:val="left"/>
      <w:pPr>
        <w:ind w:left="1091" w:hanging="360"/>
      </w:pPr>
      <w:rPr>
        <w:rFonts w:ascii="Wingdings" w:hAnsi="Wingdings" w:hint="default"/>
      </w:rPr>
    </w:lvl>
    <w:lvl w:ilvl="3" w:tplc="041D0001" w:tentative="1">
      <w:start w:val="1"/>
      <w:numFmt w:val="bullet"/>
      <w:lvlText w:val=""/>
      <w:lvlJc w:val="left"/>
      <w:pPr>
        <w:ind w:left="1811" w:hanging="360"/>
      </w:pPr>
      <w:rPr>
        <w:rFonts w:ascii="Symbol" w:hAnsi="Symbol" w:hint="default"/>
      </w:rPr>
    </w:lvl>
    <w:lvl w:ilvl="4" w:tplc="041D0003" w:tentative="1">
      <w:start w:val="1"/>
      <w:numFmt w:val="bullet"/>
      <w:lvlText w:val="o"/>
      <w:lvlJc w:val="left"/>
      <w:pPr>
        <w:ind w:left="2531" w:hanging="360"/>
      </w:pPr>
      <w:rPr>
        <w:rFonts w:ascii="Courier New" w:hAnsi="Courier New" w:cs="Courier New" w:hint="default"/>
      </w:rPr>
    </w:lvl>
    <w:lvl w:ilvl="5" w:tplc="041D0005" w:tentative="1">
      <w:start w:val="1"/>
      <w:numFmt w:val="bullet"/>
      <w:lvlText w:val=""/>
      <w:lvlJc w:val="left"/>
      <w:pPr>
        <w:ind w:left="3251" w:hanging="360"/>
      </w:pPr>
      <w:rPr>
        <w:rFonts w:ascii="Wingdings" w:hAnsi="Wingdings" w:hint="default"/>
      </w:rPr>
    </w:lvl>
    <w:lvl w:ilvl="6" w:tplc="041D0001" w:tentative="1">
      <w:start w:val="1"/>
      <w:numFmt w:val="bullet"/>
      <w:lvlText w:val=""/>
      <w:lvlJc w:val="left"/>
      <w:pPr>
        <w:ind w:left="3971" w:hanging="360"/>
      </w:pPr>
      <w:rPr>
        <w:rFonts w:ascii="Symbol" w:hAnsi="Symbol" w:hint="default"/>
      </w:rPr>
    </w:lvl>
    <w:lvl w:ilvl="7" w:tplc="041D0003" w:tentative="1">
      <w:start w:val="1"/>
      <w:numFmt w:val="bullet"/>
      <w:lvlText w:val="o"/>
      <w:lvlJc w:val="left"/>
      <w:pPr>
        <w:ind w:left="4691" w:hanging="360"/>
      </w:pPr>
      <w:rPr>
        <w:rFonts w:ascii="Courier New" w:hAnsi="Courier New" w:cs="Courier New" w:hint="default"/>
      </w:rPr>
    </w:lvl>
    <w:lvl w:ilvl="8" w:tplc="041D0005" w:tentative="1">
      <w:start w:val="1"/>
      <w:numFmt w:val="bullet"/>
      <w:lvlText w:val=""/>
      <w:lvlJc w:val="left"/>
      <w:pPr>
        <w:ind w:left="5411" w:hanging="360"/>
      </w:pPr>
      <w:rPr>
        <w:rFonts w:ascii="Wingdings" w:hAnsi="Wingdings" w:hint="default"/>
      </w:rPr>
    </w:lvl>
  </w:abstractNum>
  <w:abstractNum w:abstractNumId="8"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9"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2"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8"/>
  </w:num>
  <w:num w:numId="4">
    <w:abstractNumId w:val="3"/>
  </w:num>
  <w:num w:numId="5">
    <w:abstractNumId w:val="13"/>
  </w:num>
  <w:num w:numId="6">
    <w:abstractNumId w:val="2"/>
  </w:num>
  <w:num w:numId="7">
    <w:abstractNumId w:val="10"/>
  </w:num>
  <w:num w:numId="8">
    <w:abstractNumId w:val="5"/>
  </w:num>
  <w:num w:numId="9">
    <w:abstractNumId w:val="6"/>
  </w:num>
  <w:num w:numId="10">
    <w:abstractNumId w:val="14"/>
  </w:num>
  <w:num w:numId="11">
    <w:abstractNumId w:val="11"/>
  </w:num>
  <w:num w:numId="12">
    <w:abstractNumId w:val="9"/>
  </w:num>
  <w:num w:numId="13">
    <w:abstractNumId w:val="12"/>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74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6237B"/>
    <w:rsid w:val="00062D71"/>
    <w:rsid w:val="00066F30"/>
    <w:rsid w:val="00084E75"/>
    <w:rsid w:val="000853D9"/>
    <w:rsid w:val="00087F8C"/>
    <w:rsid w:val="000902C1"/>
    <w:rsid w:val="00092876"/>
    <w:rsid w:val="000A3563"/>
    <w:rsid w:val="000A625E"/>
    <w:rsid w:val="000B29E8"/>
    <w:rsid w:val="000B4B42"/>
    <w:rsid w:val="000C726F"/>
    <w:rsid w:val="000E010A"/>
    <w:rsid w:val="000E151F"/>
    <w:rsid w:val="000E58AB"/>
    <w:rsid w:val="0010300B"/>
    <w:rsid w:val="00103F5F"/>
    <w:rsid w:val="00104A51"/>
    <w:rsid w:val="001071C0"/>
    <w:rsid w:val="00111135"/>
    <w:rsid w:val="00112605"/>
    <w:rsid w:val="00114574"/>
    <w:rsid w:val="00116AAA"/>
    <w:rsid w:val="00126BB8"/>
    <w:rsid w:val="0013018A"/>
    <w:rsid w:val="001418E1"/>
    <w:rsid w:val="001436E6"/>
    <w:rsid w:val="00146CDA"/>
    <w:rsid w:val="00161AA6"/>
    <w:rsid w:val="001655F6"/>
    <w:rsid w:val="001756F2"/>
    <w:rsid w:val="001765D3"/>
    <w:rsid w:val="00183CBA"/>
    <w:rsid w:val="001852E2"/>
    <w:rsid w:val="00192BEE"/>
    <w:rsid w:val="0019466E"/>
    <w:rsid w:val="00194EBF"/>
    <w:rsid w:val="001B0A1C"/>
    <w:rsid w:val="001B0DA9"/>
    <w:rsid w:val="001B212B"/>
    <w:rsid w:val="001B4CE1"/>
    <w:rsid w:val="001D09A0"/>
    <w:rsid w:val="001D4484"/>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A5D58"/>
    <w:rsid w:val="002B1A3B"/>
    <w:rsid w:val="002B480E"/>
    <w:rsid w:val="002B5D70"/>
    <w:rsid w:val="002C0221"/>
    <w:rsid w:val="002C1771"/>
    <w:rsid w:val="002C5212"/>
    <w:rsid w:val="002C538C"/>
    <w:rsid w:val="002D2AB5"/>
    <w:rsid w:val="002D7BA8"/>
    <w:rsid w:val="002F284C"/>
    <w:rsid w:val="002F654D"/>
    <w:rsid w:val="00305C38"/>
    <w:rsid w:val="0030711A"/>
    <w:rsid w:val="00317ABB"/>
    <w:rsid w:val="0032581E"/>
    <w:rsid w:val="00342BB1"/>
    <w:rsid w:val="003441D7"/>
    <w:rsid w:val="003529BA"/>
    <w:rsid w:val="00357121"/>
    <w:rsid w:val="00357FF4"/>
    <w:rsid w:val="00360479"/>
    <w:rsid w:val="00360664"/>
    <w:rsid w:val="00362F6A"/>
    <w:rsid w:val="003907F7"/>
    <w:rsid w:val="0039212D"/>
    <w:rsid w:val="003952A4"/>
    <w:rsid w:val="0039591D"/>
    <w:rsid w:val="00396EF2"/>
    <w:rsid w:val="003A48EB"/>
    <w:rsid w:val="003A69D1"/>
    <w:rsid w:val="003A6F3C"/>
    <w:rsid w:val="003C0E60"/>
    <w:rsid w:val="003C1D28"/>
    <w:rsid w:val="003C3701"/>
    <w:rsid w:val="003D1127"/>
    <w:rsid w:val="003D2821"/>
    <w:rsid w:val="003E5155"/>
    <w:rsid w:val="003F39D9"/>
    <w:rsid w:val="00410507"/>
    <w:rsid w:val="00410AFE"/>
    <w:rsid w:val="00413964"/>
    <w:rsid w:val="0041580F"/>
    <w:rsid w:val="0042098E"/>
    <w:rsid w:val="00430C08"/>
    <w:rsid w:val="00440F4D"/>
    <w:rsid w:val="00444CAA"/>
    <w:rsid w:val="00450BFD"/>
    <w:rsid w:val="00454D13"/>
    <w:rsid w:val="00454E86"/>
    <w:rsid w:val="00461C67"/>
    <w:rsid w:val="00462AC9"/>
    <w:rsid w:val="00470350"/>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3E4A"/>
    <w:rsid w:val="00504616"/>
    <w:rsid w:val="00520187"/>
    <w:rsid w:val="005228C9"/>
    <w:rsid w:val="005345E8"/>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A7B37"/>
    <w:rsid w:val="005B498F"/>
    <w:rsid w:val="005C1541"/>
    <w:rsid w:val="005C61EB"/>
    <w:rsid w:val="005E28B9"/>
    <w:rsid w:val="005E2FA7"/>
    <w:rsid w:val="005E439C"/>
    <w:rsid w:val="005E70F9"/>
    <w:rsid w:val="00617AB2"/>
    <w:rsid w:val="00627839"/>
    <w:rsid w:val="0063396B"/>
    <w:rsid w:val="006375F0"/>
    <w:rsid w:val="00643E28"/>
    <w:rsid w:val="006457B3"/>
    <w:rsid w:val="006572A3"/>
    <w:rsid w:val="00667E9B"/>
    <w:rsid w:val="00674AF0"/>
    <w:rsid w:val="00683C19"/>
    <w:rsid w:val="00685BB7"/>
    <w:rsid w:val="006921D0"/>
    <w:rsid w:val="00692522"/>
    <w:rsid w:val="006A0738"/>
    <w:rsid w:val="006A1A13"/>
    <w:rsid w:val="006A4C1D"/>
    <w:rsid w:val="006B7B0C"/>
    <w:rsid w:val="006C1499"/>
    <w:rsid w:val="006C21FA"/>
    <w:rsid w:val="006D0D77"/>
    <w:rsid w:val="006D3126"/>
    <w:rsid w:val="006D3360"/>
    <w:rsid w:val="006D5482"/>
    <w:rsid w:val="007055E3"/>
    <w:rsid w:val="00723D66"/>
    <w:rsid w:val="007243F5"/>
    <w:rsid w:val="0073032B"/>
    <w:rsid w:val="00743A44"/>
    <w:rsid w:val="00750FF0"/>
    <w:rsid w:val="00751AFD"/>
    <w:rsid w:val="00755F03"/>
    <w:rsid w:val="00761D68"/>
    <w:rsid w:val="00767BDA"/>
    <w:rsid w:val="00774482"/>
    <w:rsid w:val="007773C2"/>
    <w:rsid w:val="007826B0"/>
    <w:rsid w:val="007826C0"/>
    <w:rsid w:val="00782D26"/>
    <w:rsid w:val="00784960"/>
    <w:rsid w:val="00792356"/>
    <w:rsid w:val="00795259"/>
    <w:rsid w:val="007A59C4"/>
    <w:rsid w:val="007B11CA"/>
    <w:rsid w:val="007B1842"/>
    <w:rsid w:val="007B7C03"/>
    <w:rsid w:val="007C3B46"/>
    <w:rsid w:val="007E0AB4"/>
    <w:rsid w:val="007F080A"/>
    <w:rsid w:val="008035C8"/>
    <w:rsid w:val="00804511"/>
    <w:rsid w:val="00813862"/>
    <w:rsid w:val="00822922"/>
    <w:rsid w:val="008231F4"/>
    <w:rsid w:val="00825025"/>
    <w:rsid w:val="00830BA7"/>
    <w:rsid w:val="008313DA"/>
    <w:rsid w:val="00834B38"/>
    <w:rsid w:val="0083629F"/>
    <w:rsid w:val="00837D29"/>
    <w:rsid w:val="0084550B"/>
    <w:rsid w:val="008557FA"/>
    <w:rsid w:val="008649E8"/>
    <w:rsid w:val="00870671"/>
    <w:rsid w:val="00873755"/>
    <w:rsid w:val="0089258A"/>
    <w:rsid w:val="00893998"/>
    <w:rsid w:val="0089581D"/>
    <w:rsid w:val="008A1F6A"/>
    <w:rsid w:val="008A458A"/>
    <w:rsid w:val="008B3639"/>
    <w:rsid w:val="008B71CE"/>
    <w:rsid w:val="008C0FEC"/>
    <w:rsid w:val="008C1DA0"/>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60B9"/>
    <w:rsid w:val="00946978"/>
    <w:rsid w:val="009476AF"/>
    <w:rsid w:val="0095206A"/>
    <w:rsid w:val="0096348C"/>
    <w:rsid w:val="00964ACB"/>
    <w:rsid w:val="0096754F"/>
    <w:rsid w:val="00973D8B"/>
    <w:rsid w:val="0097434A"/>
    <w:rsid w:val="0097719E"/>
    <w:rsid w:val="00983F2C"/>
    <w:rsid w:val="00991390"/>
    <w:rsid w:val="00996528"/>
    <w:rsid w:val="009A68FE"/>
    <w:rsid w:val="009A772E"/>
    <w:rsid w:val="009B0A01"/>
    <w:rsid w:val="009B18B5"/>
    <w:rsid w:val="009B5F52"/>
    <w:rsid w:val="009C27A1"/>
    <w:rsid w:val="009D20DC"/>
    <w:rsid w:val="009E1792"/>
    <w:rsid w:val="009E4BC1"/>
    <w:rsid w:val="009F15A5"/>
    <w:rsid w:val="009F5E2E"/>
    <w:rsid w:val="009F69BC"/>
    <w:rsid w:val="00A016D3"/>
    <w:rsid w:val="00A0379C"/>
    <w:rsid w:val="00A25498"/>
    <w:rsid w:val="00A257B8"/>
    <w:rsid w:val="00A401A5"/>
    <w:rsid w:val="00A40A44"/>
    <w:rsid w:val="00A44FE3"/>
    <w:rsid w:val="00A46556"/>
    <w:rsid w:val="00A56380"/>
    <w:rsid w:val="00A63190"/>
    <w:rsid w:val="00A640B1"/>
    <w:rsid w:val="00A67C77"/>
    <w:rsid w:val="00A744C3"/>
    <w:rsid w:val="00A75B9F"/>
    <w:rsid w:val="00A97355"/>
    <w:rsid w:val="00AA0DFB"/>
    <w:rsid w:val="00AA2873"/>
    <w:rsid w:val="00AB4139"/>
    <w:rsid w:val="00AC283D"/>
    <w:rsid w:val="00AD0133"/>
    <w:rsid w:val="00AD47F5"/>
    <w:rsid w:val="00AE5BBD"/>
    <w:rsid w:val="00AE7247"/>
    <w:rsid w:val="00AF3CA6"/>
    <w:rsid w:val="00AF626B"/>
    <w:rsid w:val="00B054F1"/>
    <w:rsid w:val="00B33983"/>
    <w:rsid w:val="00B36495"/>
    <w:rsid w:val="00B44E5B"/>
    <w:rsid w:val="00B523F7"/>
    <w:rsid w:val="00B54410"/>
    <w:rsid w:val="00B547D0"/>
    <w:rsid w:val="00B55F04"/>
    <w:rsid w:val="00B82903"/>
    <w:rsid w:val="00B86CB0"/>
    <w:rsid w:val="00B9203B"/>
    <w:rsid w:val="00BB6541"/>
    <w:rsid w:val="00BB6AE7"/>
    <w:rsid w:val="00BC2283"/>
    <w:rsid w:val="00BC2DCD"/>
    <w:rsid w:val="00BD39D1"/>
    <w:rsid w:val="00BE5A5B"/>
    <w:rsid w:val="00BF0A00"/>
    <w:rsid w:val="00BF0B99"/>
    <w:rsid w:val="00C06043"/>
    <w:rsid w:val="00C07F65"/>
    <w:rsid w:val="00C12324"/>
    <w:rsid w:val="00C14ECD"/>
    <w:rsid w:val="00C15B79"/>
    <w:rsid w:val="00C3449C"/>
    <w:rsid w:val="00C35200"/>
    <w:rsid w:val="00C3579D"/>
    <w:rsid w:val="00C447CF"/>
    <w:rsid w:val="00C45FAF"/>
    <w:rsid w:val="00C540B9"/>
    <w:rsid w:val="00C574FE"/>
    <w:rsid w:val="00C63961"/>
    <w:rsid w:val="00C64E6C"/>
    <w:rsid w:val="00C664B6"/>
    <w:rsid w:val="00C66E21"/>
    <w:rsid w:val="00C74946"/>
    <w:rsid w:val="00C82D0B"/>
    <w:rsid w:val="00C83EAF"/>
    <w:rsid w:val="00C8766C"/>
    <w:rsid w:val="00C92C53"/>
    <w:rsid w:val="00C93236"/>
    <w:rsid w:val="00CA3B1E"/>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74308"/>
    <w:rsid w:val="00D84F88"/>
    <w:rsid w:val="00DA1CE8"/>
    <w:rsid w:val="00DA247E"/>
    <w:rsid w:val="00DA30F0"/>
    <w:rsid w:val="00DB1740"/>
    <w:rsid w:val="00DB1AB2"/>
    <w:rsid w:val="00DD11DB"/>
    <w:rsid w:val="00DE54FF"/>
    <w:rsid w:val="00DF06AE"/>
    <w:rsid w:val="00E0219D"/>
    <w:rsid w:val="00E15BE8"/>
    <w:rsid w:val="00E16DC2"/>
    <w:rsid w:val="00E2015B"/>
    <w:rsid w:val="00E264E7"/>
    <w:rsid w:val="00E27E50"/>
    <w:rsid w:val="00E43F8A"/>
    <w:rsid w:val="00E443F3"/>
    <w:rsid w:val="00E5492F"/>
    <w:rsid w:val="00E653E8"/>
    <w:rsid w:val="00E67EBA"/>
    <w:rsid w:val="00E833F2"/>
    <w:rsid w:val="00E872C8"/>
    <w:rsid w:val="00E916EA"/>
    <w:rsid w:val="00E950E4"/>
    <w:rsid w:val="00E97AED"/>
    <w:rsid w:val="00EA4AA0"/>
    <w:rsid w:val="00EB3944"/>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7B10"/>
    <w:rsid w:val="00F37DC2"/>
    <w:rsid w:val="00F5222B"/>
    <w:rsid w:val="00F53772"/>
    <w:rsid w:val="00F5670E"/>
    <w:rsid w:val="00F61624"/>
    <w:rsid w:val="00F71C16"/>
    <w:rsid w:val="00F774B5"/>
    <w:rsid w:val="00F82F2C"/>
    <w:rsid w:val="00F85D75"/>
    <w:rsid w:val="00F948C4"/>
    <w:rsid w:val="00F94CF3"/>
    <w:rsid w:val="00FA79BF"/>
    <w:rsid w:val="00FB609F"/>
    <w:rsid w:val="00FC594B"/>
    <w:rsid w:val="00FC5CC6"/>
    <w:rsid w:val="00FD13A3"/>
    <w:rsid w:val="00FD4329"/>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4433"/>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ABB"/>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59156038">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9</Pages>
  <Words>2065</Words>
  <Characters>14071</Characters>
  <Application>Microsoft Office Word</Application>
  <DocSecurity>0</DocSecurity>
  <Lines>1172</Lines>
  <Paragraphs>260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Fanny Flyborg</cp:lastModifiedBy>
  <cp:revision>18</cp:revision>
  <cp:lastPrinted>2023-06-15T07:37:00Z</cp:lastPrinted>
  <dcterms:created xsi:type="dcterms:W3CDTF">2023-06-13T12:25:00Z</dcterms:created>
  <dcterms:modified xsi:type="dcterms:W3CDTF">2023-06-16T12:53:00Z</dcterms:modified>
</cp:coreProperties>
</file>