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A4937" w:rsidTr="00DD4A52">
        <w:tc>
          <w:tcPr>
            <w:tcW w:w="2268" w:type="dxa"/>
          </w:tcPr>
          <w:p w:rsidR="00CA4937" w:rsidRDefault="00CA4937" w:rsidP="007242A3">
            <w:pPr>
              <w:framePr w:w="5035" w:h="1644" w:wrap="notBeside" w:vAnchor="page" w:hAnchor="page" w:x="6573" w:y="721"/>
              <w:rPr>
                <w:rFonts w:ascii="TradeGothic" w:hAnsi="TradeGothic"/>
                <w:i/>
                <w:sz w:val="18"/>
              </w:rPr>
            </w:pPr>
          </w:p>
        </w:tc>
        <w:tc>
          <w:tcPr>
            <w:tcW w:w="2999" w:type="dxa"/>
            <w:gridSpan w:val="2"/>
          </w:tcPr>
          <w:p w:rsidR="00CA4937" w:rsidRPr="00F26496" w:rsidRDefault="00CA4937" w:rsidP="00F26496">
            <w:pPr>
              <w:framePr w:w="5035" w:h="1644" w:wrap="notBeside" w:vAnchor="page" w:hAnchor="page" w:x="6573" w:y="721"/>
              <w:jc w:val="right"/>
              <w:rPr>
                <w:rFonts w:ascii="TradeGothic" w:hAnsi="TradeGothic"/>
                <w:sz w:val="18"/>
              </w:rPr>
            </w:pPr>
          </w:p>
        </w:tc>
      </w:tr>
      <w:tr w:rsidR="00CA4937" w:rsidTr="00DD4A52">
        <w:tc>
          <w:tcPr>
            <w:tcW w:w="5267" w:type="dxa"/>
            <w:gridSpan w:val="3"/>
          </w:tcPr>
          <w:p w:rsidR="00CA4937" w:rsidRDefault="00CA493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A4937" w:rsidTr="00DD4A52">
        <w:tc>
          <w:tcPr>
            <w:tcW w:w="3402" w:type="dxa"/>
            <w:gridSpan w:val="2"/>
          </w:tcPr>
          <w:p w:rsidR="00CA4937" w:rsidRDefault="00CA4937" w:rsidP="007242A3">
            <w:pPr>
              <w:framePr w:w="5035" w:h="1644" w:wrap="notBeside" w:vAnchor="page" w:hAnchor="page" w:x="6573" w:y="721"/>
            </w:pPr>
          </w:p>
        </w:tc>
        <w:tc>
          <w:tcPr>
            <w:tcW w:w="1865" w:type="dxa"/>
          </w:tcPr>
          <w:p w:rsidR="00CA4937" w:rsidRDefault="00CA4937" w:rsidP="007242A3">
            <w:pPr>
              <w:framePr w:w="5035" w:h="1644" w:wrap="notBeside" w:vAnchor="page" w:hAnchor="page" w:x="6573" w:y="721"/>
            </w:pPr>
          </w:p>
        </w:tc>
      </w:tr>
      <w:tr w:rsidR="00CA4937" w:rsidTr="00DD4A52">
        <w:tc>
          <w:tcPr>
            <w:tcW w:w="2268" w:type="dxa"/>
          </w:tcPr>
          <w:p w:rsidR="00CA4937" w:rsidRDefault="00CA4937" w:rsidP="007242A3">
            <w:pPr>
              <w:framePr w:w="5035" w:h="1644" w:wrap="notBeside" w:vAnchor="page" w:hAnchor="page" w:x="6573" w:y="721"/>
            </w:pPr>
            <w:r>
              <w:t>2013-11-11</w:t>
            </w:r>
          </w:p>
        </w:tc>
        <w:tc>
          <w:tcPr>
            <w:tcW w:w="2999" w:type="dxa"/>
            <w:gridSpan w:val="2"/>
          </w:tcPr>
          <w:p w:rsidR="00CA4937" w:rsidRPr="00ED583F" w:rsidRDefault="00CA4937" w:rsidP="007242A3">
            <w:pPr>
              <w:framePr w:w="5035" w:h="1644" w:wrap="notBeside" w:vAnchor="page" w:hAnchor="page" w:x="6573" w:y="721"/>
              <w:rPr>
                <w:sz w:val="20"/>
              </w:rPr>
            </w:pPr>
          </w:p>
        </w:tc>
      </w:tr>
      <w:tr w:rsidR="00CA4937" w:rsidTr="00DD4A52">
        <w:tc>
          <w:tcPr>
            <w:tcW w:w="2268" w:type="dxa"/>
          </w:tcPr>
          <w:p w:rsidR="00CA4937" w:rsidRDefault="00CA4937" w:rsidP="007242A3">
            <w:pPr>
              <w:framePr w:w="5035" w:h="1644" w:wrap="notBeside" w:vAnchor="page" w:hAnchor="page" w:x="6573" w:y="721"/>
            </w:pPr>
          </w:p>
        </w:tc>
        <w:tc>
          <w:tcPr>
            <w:tcW w:w="2999" w:type="dxa"/>
            <w:gridSpan w:val="2"/>
          </w:tcPr>
          <w:p w:rsidR="00CA4937" w:rsidRDefault="00CA4937" w:rsidP="007242A3">
            <w:pPr>
              <w:framePr w:w="5035" w:h="1644" w:wrap="notBeside" w:vAnchor="page" w:hAnchor="page" w:x="6573" w:y="721"/>
            </w:pPr>
          </w:p>
        </w:tc>
      </w:tr>
    </w:tbl>
    <w:tbl>
      <w:tblPr>
        <w:tblW w:w="0" w:type="auto"/>
        <w:tblLayout w:type="fixed"/>
        <w:tblLook w:val="0000"/>
      </w:tblPr>
      <w:tblGrid>
        <w:gridCol w:w="4911"/>
      </w:tblGrid>
      <w:tr w:rsidR="00CA4937">
        <w:trPr>
          <w:trHeight w:val="284"/>
        </w:trPr>
        <w:tc>
          <w:tcPr>
            <w:tcW w:w="4911" w:type="dxa"/>
          </w:tcPr>
          <w:p w:rsidR="00CA4937" w:rsidRDefault="00CA4937">
            <w:pPr>
              <w:pStyle w:val="Avsndare"/>
              <w:framePr w:h="2483" w:wrap="notBeside" w:x="1504"/>
              <w:rPr>
                <w:b/>
                <w:i w:val="0"/>
                <w:sz w:val="22"/>
              </w:rPr>
            </w:pPr>
            <w:r>
              <w:rPr>
                <w:b/>
                <w:i w:val="0"/>
                <w:sz w:val="22"/>
              </w:rPr>
              <w:t>Näringsdepartementet</w:t>
            </w: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r>
              <w:rPr>
                <w:bCs/>
                <w:iCs/>
              </w:rPr>
              <w:t>Enheten för forskning, innovation och näringsutveckling</w:t>
            </w: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p>
        </w:tc>
      </w:tr>
      <w:tr w:rsidR="00CA4937">
        <w:trPr>
          <w:trHeight w:val="284"/>
        </w:trPr>
        <w:tc>
          <w:tcPr>
            <w:tcW w:w="4911" w:type="dxa"/>
          </w:tcPr>
          <w:p w:rsidR="00CA4937" w:rsidRDefault="00CA4937">
            <w:pPr>
              <w:pStyle w:val="Avsndare"/>
              <w:framePr w:h="2483" w:wrap="notBeside" w:x="1504"/>
              <w:rPr>
                <w:bCs/>
                <w:iCs/>
              </w:rPr>
            </w:pPr>
          </w:p>
        </w:tc>
      </w:tr>
    </w:tbl>
    <w:p w:rsidR="00CA4937" w:rsidRPr="00DD4A52" w:rsidRDefault="00CA4937">
      <w:pPr>
        <w:framePr w:w="4400" w:h="2523" w:wrap="notBeside" w:vAnchor="page" w:hAnchor="page" w:x="6453" w:y="2445"/>
        <w:ind w:left="142"/>
        <w:rPr>
          <w:b/>
        </w:rPr>
      </w:pPr>
    </w:p>
    <w:p w:rsidR="00CA4937" w:rsidRDefault="00CA4937">
      <w:pPr>
        <w:pStyle w:val="RKrubrik"/>
        <w:pBdr>
          <w:bottom w:val="single" w:sz="6" w:space="1" w:color="auto"/>
        </w:pBdr>
      </w:pPr>
      <w:bookmarkStart w:id="0" w:name="bRubrik"/>
      <w:bookmarkEnd w:id="0"/>
      <w:r>
        <w:t>Rådets möte (KKR) den 3/12 2013</w:t>
      </w:r>
    </w:p>
    <w:p w:rsidR="00CA4937" w:rsidRDefault="00CA4937">
      <w:pPr>
        <w:pStyle w:val="RKnormal"/>
      </w:pPr>
    </w:p>
    <w:p w:rsidR="00CA4937" w:rsidRPr="00D464F0" w:rsidRDefault="00CA4937">
      <w:pPr>
        <w:pStyle w:val="RKnormal"/>
      </w:pPr>
      <w:r w:rsidRPr="00D464F0">
        <w:t>Dagordningspunkt:</w:t>
      </w:r>
      <w:r>
        <w:t xml:space="preserve"> 12 </w:t>
      </w:r>
      <w:bookmarkStart w:id="1" w:name="_GoBack"/>
      <w:bookmarkEnd w:id="1"/>
      <w:r w:rsidRPr="00D464F0">
        <w:t>(c)</w:t>
      </w:r>
    </w:p>
    <w:p w:rsidR="00CA4937" w:rsidRPr="00D464F0" w:rsidRDefault="00CA4937">
      <w:pPr>
        <w:pStyle w:val="RKnormal"/>
      </w:pPr>
    </w:p>
    <w:p w:rsidR="00CA4937" w:rsidRPr="00D464F0" w:rsidRDefault="00CA4937" w:rsidP="004142CD">
      <w:pPr>
        <w:pStyle w:val="RKnormal"/>
        <w:rPr>
          <w:bCs/>
        </w:rPr>
      </w:pPr>
      <w:r w:rsidRPr="00D464F0">
        <w:t>Rubrik:Förslag till förordning om det gemensamma företaget ECSEL - det gemensamma teknikinitiativet angående elektroniska komponenter och system</w:t>
      </w:r>
    </w:p>
    <w:p w:rsidR="00CA4937" w:rsidRPr="00D464F0" w:rsidRDefault="00CA4937">
      <w:pPr>
        <w:pStyle w:val="RKnormal"/>
      </w:pPr>
    </w:p>
    <w:p w:rsidR="00CA4937" w:rsidRDefault="00CA4937">
      <w:pPr>
        <w:pStyle w:val="RKnormal"/>
      </w:pPr>
      <w:r w:rsidRPr="00D464F0">
        <w:t>Dokument:KOM (2013) 501</w:t>
      </w:r>
    </w:p>
    <w:p w:rsidR="00CA4937" w:rsidRDefault="00CA4937">
      <w:pPr>
        <w:pStyle w:val="RKnormal"/>
      </w:pPr>
    </w:p>
    <w:p w:rsidR="00CA4937" w:rsidRDefault="00CA4937" w:rsidP="00D11C4B">
      <w:pPr>
        <w:pStyle w:val="RKnormal"/>
      </w:pPr>
      <w:r>
        <w:t>Tidigare dokument: Faktapromemoria 2012/13:FPM153</w:t>
      </w:r>
    </w:p>
    <w:p w:rsidR="00CA4937" w:rsidRPr="00D464F0" w:rsidRDefault="00CA4937" w:rsidP="00D51B3B">
      <w:pPr>
        <w:pStyle w:val="RKnormal"/>
      </w:pPr>
    </w:p>
    <w:p w:rsidR="00CA4937" w:rsidRPr="00D464F0" w:rsidRDefault="00CA4937" w:rsidP="00D51B3B">
      <w:pPr>
        <w:pStyle w:val="RKnormal"/>
      </w:pPr>
      <w:r w:rsidRPr="00D464F0">
        <w:t>Tidigare behandling i utskottet: 19 september 2013</w:t>
      </w:r>
    </w:p>
    <w:p w:rsidR="00CA4937" w:rsidRPr="00D464F0" w:rsidRDefault="00CA4937" w:rsidP="00D51B3B">
      <w:pPr>
        <w:pStyle w:val="RKnormal"/>
      </w:pPr>
    </w:p>
    <w:p w:rsidR="00CA4937" w:rsidRPr="00D464F0" w:rsidRDefault="00CA4937" w:rsidP="00D51B3B">
      <w:pPr>
        <w:pStyle w:val="RKnormal"/>
      </w:pPr>
      <w:r w:rsidRPr="00D464F0">
        <w:t>Tidigare behandling i EUN: 20 september 2013</w:t>
      </w:r>
    </w:p>
    <w:p w:rsidR="00CA4937" w:rsidRDefault="00CA4937">
      <w:pPr>
        <w:pStyle w:val="RKrubrik"/>
      </w:pPr>
      <w:r>
        <w:t>Bakgrund</w:t>
      </w:r>
    </w:p>
    <w:p w:rsidR="00CA4937" w:rsidRDefault="00CA4937" w:rsidP="00611B55">
      <w:pPr>
        <w:overflowPunct/>
        <w:spacing w:line="240" w:lineRule="auto"/>
        <w:textAlignment w:val="auto"/>
      </w:pPr>
      <w:r w:rsidRPr="00327CB9">
        <w:t>Mikro- och nanoelektronik och smarta inbyggda komponenter och system är prioriterade områden i IKT-temat</w:t>
      </w:r>
      <w:r>
        <w:t xml:space="preserve"> i Horisont 2020. </w:t>
      </w:r>
      <w:r w:rsidRPr="00327CB9">
        <w:t>Detta nya förslag till ett offentligt-privat p</w:t>
      </w:r>
      <w:r>
        <w:t xml:space="preserve">artnerskap avser ett gemensamt </w:t>
      </w:r>
      <w:r w:rsidRPr="00327CB9">
        <w:t>företag inom området för elektroniska komponenter och s</w:t>
      </w:r>
      <w:r>
        <w:t xml:space="preserve">ystem. </w:t>
      </w:r>
      <w:r w:rsidRPr="00327CB9">
        <w:t>E</w:t>
      </w:r>
      <w:r>
        <w:t xml:space="preserve">CSEL </w:t>
      </w:r>
      <w:r w:rsidRPr="00327CB9">
        <w:t>är ett t</w:t>
      </w:r>
      <w:r>
        <w:t>eknikinitiativ som allokerar resurser på projektnivå och möjliggör gränsöverskridande samarbete mellan industri och akademiska institutioner inom forskning, utveckling och innovation vad gäller elektroniska komponenter och system. ECSEL bygger vidare på och ersätter de två befintliga gemensamma företagen för inbyggda datorsystem (ARTEMIS) och nanoelektronik (ENIAC) som skapades under det sjunde ramprogrammet.</w:t>
      </w:r>
      <w:r w:rsidRPr="00327CB9">
        <w:t xml:space="preserve">Resultatet av samrådet inför förslaget </w:t>
      </w:r>
      <w:r>
        <w:t>o</w:t>
      </w:r>
      <w:r w:rsidRPr="00327CB9">
        <w:t>m ECSEL</w:t>
      </w:r>
      <w:r>
        <w:t xml:space="preserve">har visat att </w:t>
      </w:r>
      <w:r w:rsidRPr="00327CB9">
        <w:t>fortsättning</w:t>
      </w:r>
      <w:r>
        <w:t>en är mycket välkommen, och</w:t>
      </w:r>
      <w:r w:rsidRPr="00327CB9">
        <w:t xml:space="preserve"> att det är </w:t>
      </w:r>
      <w:r>
        <w:t xml:space="preserve">särskilt </w:t>
      </w:r>
      <w:r w:rsidRPr="00327CB9">
        <w:t>viktigt att uppnå kritisk massa genom att samla offentl</w:t>
      </w:r>
      <w:r>
        <w:t>iga och privata resurser. Det lyftes också fram att d</w:t>
      </w:r>
      <w:r w:rsidRPr="00327CB9">
        <w:t xml:space="preserve">et är viktigt med stöd till storskaliga demonstrations- och pilotprojekt. </w:t>
      </w:r>
    </w:p>
    <w:p w:rsidR="00CA4937" w:rsidRPr="00736338" w:rsidRDefault="00CA4937" w:rsidP="00611B55">
      <w:pPr>
        <w:overflowPunct/>
        <w:spacing w:line="240" w:lineRule="auto"/>
        <w:textAlignment w:val="auto"/>
      </w:pPr>
    </w:p>
    <w:p w:rsidR="00CA4937" w:rsidRDefault="00CA4937" w:rsidP="00611B55">
      <w:pPr>
        <w:overflowPunct/>
        <w:spacing w:line="240" w:lineRule="auto"/>
        <w:textAlignment w:val="auto"/>
        <w:rPr>
          <w:rFonts w:ascii="Times New Roman" w:hAnsi="Times New Roman"/>
          <w:i/>
          <w:iCs/>
          <w:szCs w:val="24"/>
          <w:lang w:eastAsia="sv-SE"/>
        </w:rPr>
      </w:pPr>
      <w:r>
        <w:rPr>
          <w:rFonts w:ascii="TimesNewRoman" w:hAnsi="TimesNewRoman" w:cs="TimesNewRoman"/>
          <w:szCs w:val="24"/>
          <w:lang w:eastAsia="sv-SE"/>
        </w:rPr>
        <w:t xml:space="preserve">Förslaget är i linje med meddelandet </w:t>
      </w:r>
      <w:r>
        <w:rPr>
          <w:rFonts w:ascii="Times New Roman" w:hAnsi="Times New Roman"/>
          <w:i/>
          <w:iCs/>
          <w:szCs w:val="24"/>
          <w:lang w:eastAsia="sv-SE"/>
        </w:rPr>
        <w:t>En europeisk strategi för</w:t>
      </w:r>
    </w:p>
    <w:p w:rsidR="00CA4937" w:rsidRPr="00611B55" w:rsidRDefault="00CA4937" w:rsidP="00611B55">
      <w:pPr>
        <w:overflowPunct/>
        <w:spacing w:line="240" w:lineRule="auto"/>
        <w:textAlignment w:val="auto"/>
        <w:rPr>
          <w:rFonts w:ascii="TimesNewRoman" w:hAnsi="TimesNewRoman" w:cs="TimesNewRoman"/>
          <w:szCs w:val="24"/>
          <w:lang w:eastAsia="sv-SE"/>
        </w:rPr>
      </w:pPr>
      <w:r>
        <w:rPr>
          <w:rFonts w:ascii="Times New Roman" w:hAnsi="Times New Roman"/>
          <w:i/>
          <w:iCs/>
          <w:szCs w:val="24"/>
          <w:lang w:eastAsia="sv-SE"/>
        </w:rPr>
        <w:t>mikro- och nanoelektroniska komponenter och system</w:t>
      </w:r>
      <w:r>
        <w:rPr>
          <w:rFonts w:ascii="TimesNewRoman" w:hAnsi="TimesNewRoman" w:cs="TimesNewRoman"/>
          <w:sz w:val="16"/>
          <w:szCs w:val="16"/>
          <w:lang w:eastAsia="sv-SE"/>
        </w:rPr>
        <w:t xml:space="preserve"> (</w:t>
      </w:r>
      <w:r>
        <w:t>2013)</w:t>
      </w:r>
      <w:r w:rsidRPr="00A4335E">
        <w:t>298</w:t>
      </w:r>
      <w:r>
        <w:rPr>
          <w:rFonts w:ascii="TimesNewRoman" w:hAnsi="TimesNewRoman" w:cs="TimesNewRoman"/>
          <w:sz w:val="16"/>
          <w:szCs w:val="16"/>
          <w:lang w:eastAsia="sv-SE"/>
        </w:rPr>
        <w:t xml:space="preserve"> (</w:t>
      </w:r>
      <w:r>
        <w:t>Faktapromemoria</w:t>
      </w:r>
      <w:fldSimple w:instr="DOCPROPERTY Ar">
        <w:r w:rsidRPr="00A4335E">
          <w:t>201</w:t>
        </w:r>
        <w:r>
          <w:t>2</w:t>
        </w:r>
        <w:r w:rsidRPr="00A4335E">
          <w:t>/1</w:t>
        </w:r>
        <w:r>
          <w:t>3</w:t>
        </w:r>
      </w:fldSimple>
      <w:r w:rsidRPr="00A4335E">
        <w:t>:</w:t>
      </w:r>
      <w:fldSimple w:instr="DOCPROPERTY Typ">
        <w:r w:rsidRPr="00A4335E">
          <w:t>FPM</w:t>
        </w:r>
      </w:fldSimple>
      <w:r w:rsidRPr="00A4335E">
        <w:fldChar w:fldCharType="begin"/>
      </w:r>
      <w:r w:rsidRPr="00A4335E">
        <w:instrText>DOCPROPERTY Nr</w:instrText>
      </w:r>
      <w:r w:rsidRPr="00A4335E">
        <w:fldChar w:fldCharType="end"/>
      </w:r>
      <w:r>
        <w:rPr>
          <w:rFonts w:ascii="TimesNewRoman" w:hAnsi="TimesNewRoman" w:cs="TimesNewRoman"/>
          <w:sz w:val="16"/>
          <w:szCs w:val="16"/>
          <w:lang w:eastAsia="sv-SE"/>
        </w:rPr>
        <w:t>).</w:t>
      </w:r>
    </w:p>
    <w:p w:rsidR="00CA4937" w:rsidRDefault="00CA4937">
      <w:pPr>
        <w:pStyle w:val="RKrubrik"/>
      </w:pPr>
      <w:r>
        <w:t>Rättslig grund och beslutsförfarande</w:t>
      </w:r>
    </w:p>
    <w:p w:rsidR="00CA4937" w:rsidRDefault="00CA4937">
      <w:pPr>
        <w:pStyle w:val="RKnormal"/>
      </w:pPr>
      <w:r>
        <w:t>Art 187, rådet beslutar efter att ha hört EP och ESK.</w:t>
      </w:r>
    </w:p>
    <w:p w:rsidR="00CA4937" w:rsidRDefault="00CA4937">
      <w:pPr>
        <w:pStyle w:val="RKrubrik"/>
        <w:rPr>
          <w:i/>
          <w:iCs/>
        </w:rPr>
      </w:pPr>
      <w:r>
        <w:rPr>
          <w:i/>
          <w:iCs/>
        </w:rPr>
        <w:t>Svensk ståndpunkt</w:t>
      </w:r>
    </w:p>
    <w:p w:rsidR="00CA4937" w:rsidRDefault="00CA4937" w:rsidP="004D0512">
      <w:pPr>
        <w:pStyle w:val="RKnormal"/>
      </w:pPr>
      <w:r>
        <w:t xml:space="preserve">Regeringen välkomnar förslaget till program och anser att Sverige kan stödja det föreliggande utkastet till beslut. Detta område är ett av Sveriges styrkeområden och det har en central position i Horisont 2020. </w:t>
      </w:r>
      <w:r w:rsidRPr="00245B9A">
        <w:t>Elektroniska komponenter o</w:t>
      </w:r>
      <w:r>
        <w:t xml:space="preserve">ch inbyggda system är också ett viktigt utvecklingsområde i Europa 2020 och </w:t>
      </w:r>
      <w:r w:rsidRPr="00245B9A">
        <w:t>spelar en</w:t>
      </w:r>
      <w:r>
        <w:t xml:space="preserve"> avgörande roll för att hantera </w:t>
      </w:r>
      <w:r w:rsidRPr="00245B9A">
        <w:t xml:space="preserve">samhällsmässiga </w:t>
      </w:r>
      <w:r>
        <w:t>utmaningar</w:t>
      </w:r>
      <w:r w:rsidRPr="00245B9A">
        <w:t xml:space="preserve">. </w:t>
      </w:r>
    </w:p>
    <w:p w:rsidR="00CA4937" w:rsidRDefault="00CA4937" w:rsidP="004D0512">
      <w:pPr>
        <w:pStyle w:val="RKnormal"/>
      </w:pPr>
    </w:p>
    <w:p w:rsidR="00CA4937" w:rsidRDefault="00CA4937" w:rsidP="00A507E7">
      <w:pPr>
        <w:pStyle w:val="RKnormal"/>
      </w:pPr>
      <w:r>
        <w:t>Alla partnerskapsprogram bör, som en utgångspunkt, dras ner lika mycket som totalbudgeten för H2020 drogs ner i förhandlingarna om EU:s totalbudget. H2020:s budget väntas bli 70,5 mdr euro istället för 80 mdr euro som kommission föreslog, dvs. 12 procent lägre.</w:t>
      </w:r>
    </w:p>
    <w:p w:rsidR="00CA4937" w:rsidRDefault="00CA4937">
      <w:pPr>
        <w:pStyle w:val="RKrubrik"/>
      </w:pPr>
      <w:r>
        <w:t>Europaparlamentets inställning</w:t>
      </w:r>
    </w:p>
    <w:p w:rsidR="00CA4937" w:rsidRDefault="00CA4937">
      <w:pPr>
        <w:pStyle w:val="RKnormal"/>
      </w:pPr>
      <w:r>
        <w:t>Inte känt.</w:t>
      </w:r>
    </w:p>
    <w:p w:rsidR="00CA4937" w:rsidRDefault="00CA4937">
      <w:pPr>
        <w:pStyle w:val="RKrubrik"/>
        <w:rPr>
          <w:i/>
          <w:iCs/>
        </w:rPr>
      </w:pPr>
      <w:r>
        <w:rPr>
          <w:i/>
          <w:iCs/>
        </w:rPr>
        <w:t>Förslaget</w:t>
      </w:r>
    </w:p>
    <w:p w:rsidR="00CA4937" w:rsidRDefault="00CA4937" w:rsidP="008851CF">
      <w:pPr>
        <w:pStyle w:val="RKnormal"/>
      </w:pPr>
      <w:r>
        <w:t xml:space="preserve">Förslaget gällerEU:s deltagande i ett andra partnerskap utifrån </w:t>
      </w:r>
      <w:r w:rsidRPr="008851CF">
        <w:t>rådets förordning om bildande av det ge</w:t>
      </w:r>
      <w:r>
        <w:t xml:space="preserve">mensamma företaget Ecsel och om </w:t>
      </w:r>
      <w:r w:rsidRPr="008851CF">
        <w:t>fastställande av dess mål, rättsliga ställning, verksamhets</w:t>
      </w:r>
      <w:r>
        <w:t xml:space="preserve">regler och stadgar för perioden </w:t>
      </w:r>
      <w:r w:rsidRPr="008851CF">
        <w:t>2014–2024 (fram till 2020 för finansiell planering). De</w:t>
      </w:r>
      <w:r>
        <w:t xml:space="preserve"> gemensamma företagen Eniac och </w:t>
      </w:r>
      <w:r w:rsidRPr="008851CF">
        <w:t xml:space="preserve">Artemis inrättades inom områdena för nanoelektronik </w:t>
      </w:r>
      <w:r>
        <w:t xml:space="preserve">respektive inbyggda datorsystem </w:t>
      </w:r>
      <w:r w:rsidRPr="008851CF">
        <w:t>genom rådets förordningar (EG) nr 72/2008 och (EG) nr 7</w:t>
      </w:r>
      <w:r>
        <w:t xml:space="preserve">4/2008 av den 20 december 2007. </w:t>
      </w:r>
      <w:r w:rsidRPr="008851CF">
        <w:t>Dessa ska upphävas från och med ikraftträdandet av det nya gemensamma företaget.</w:t>
      </w:r>
    </w:p>
    <w:p w:rsidR="00CA4937" w:rsidRDefault="00CA4937" w:rsidP="008851CF">
      <w:pPr>
        <w:pStyle w:val="RKnormal"/>
      </w:pPr>
    </w:p>
    <w:p w:rsidR="00CA4937" w:rsidRDefault="00CA4937" w:rsidP="003837A3">
      <w:pPr>
        <w:pStyle w:val="RKnormal"/>
      </w:pPr>
      <w:r w:rsidRPr="003837A3">
        <w:t>En förenklad verksamhetsmodell föreslås för att lösa de p</w:t>
      </w:r>
      <w:r>
        <w:t xml:space="preserve">raktiska problem som deltagarna </w:t>
      </w:r>
      <w:r w:rsidRPr="003837A3">
        <w:t>haft under de nuvarande gemensamma företagen,</w:t>
      </w:r>
      <w:r>
        <w:t xml:space="preserve"> t.ex. de varierande nationella </w:t>
      </w:r>
      <w:r w:rsidRPr="003837A3">
        <w:t>bestämmelserna och metoderna som har lett till stora skilln</w:t>
      </w:r>
      <w:r>
        <w:t xml:space="preserve">ader i behandlingen av enskilda </w:t>
      </w:r>
      <w:r w:rsidRPr="003837A3">
        <w:t>deltagare. Enligt förslaget ska det nya gemensamma företage</w:t>
      </w:r>
      <w:r>
        <w:t xml:space="preserve">t få agera för medlemsstaternas </w:t>
      </w:r>
      <w:r w:rsidRPr="003837A3">
        <w:t>räkning när det gäller att ingå bidragsavtal och besluta om utbetalningar i stället för</w:t>
      </w:r>
      <w:r>
        <w:t xml:space="preserve"> de </w:t>
      </w:r>
      <w:r w:rsidRPr="003837A3">
        <w:t>nationel</w:t>
      </w:r>
      <w:r>
        <w:t>la myndigheterna, precis som de</w:t>
      </w:r>
      <w:r w:rsidRPr="003837A3">
        <w:t xml:space="preserve"> gör för EU:s bidrag</w:t>
      </w:r>
      <w:r>
        <w:t xml:space="preserve">. På så sätt kan det gemensamma </w:t>
      </w:r>
      <w:r w:rsidRPr="003837A3">
        <w:t>företaget fungera som en gemensam kontaktpunkt och synkr</w:t>
      </w:r>
      <w:r>
        <w:t xml:space="preserve">onisera finansieringen för alla </w:t>
      </w:r>
      <w:r w:rsidRPr="003837A3">
        <w:t>deltagare. Dessutom föreslås att de offentliga finansieringsnivåerna (fr</w:t>
      </w:r>
      <w:r>
        <w:t xml:space="preserve">ån EU och nationella </w:t>
      </w:r>
      <w:r w:rsidRPr="003837A3">
        <w:t>källor) ska harmoniseras för alla deltagare.</w:t>
      </w:r>
    </w:p>
    <w:p w:rsidR="00CA4937" w:rsidRDefault="00CA4937">
      <w:pPr>
        <w:pStyle w:val="RKrubrik"/>
        <w:rPr>
          <w:i/>
          <w:iCs/>
        </w:rPr>
      </w:pPr>
      <w:r>
        <w:rPr>
          <w:i/>
          <w:iCs/>
        </w:rPr>
        <w:t>Gällande svenska regler och förslagets effekter på dessa</w:t>
      </w:r>
    </w:p>
    <w:p w:rsidR="00CA4937" w:rsidRDefault="00CA4937">
      <w:pPr>
        <w:pStyle w:val="RKnormal"/>
      </w:pPr>
      <w:r>
        <w:t>Inte aktuellt.</w:t>
      </w:r>
    </w:p>
    <w:p w:rsidR="00CA4937" w:rsidRDefault="00CA4937">
      <w:pPr>
        <w:pStyle w:val="RKrubrik"/>
      </w:pPr>
      <w:r>
        <w:t>Ekonomiska konsekvenser</w:t>
      </w:r>
    </w:p>
    <w:p w:rsidR="00CA4937" w:rsidRDefault="00CA4937" w:rsidP="00F31F15">
      <w:pPr>
        <w:pStyle w:val="RKnormal"/>
      </w:pPr>
      <w:r>
        <w:t xml:space="preserve">Förslaget beskriver en trepartskonstruktion där KOM, medlemsstaten och industrin delar på finansieringen. </w:t>
      </w:r>
    </w:p>
    <w:p w:rsidR="00CA4937" w:rsidRDefault="00CA4937" w:rsidP="00F31F15">
      <w:pPr>
        <w:pStyle w:val="RKnormal"/>
      </w:pPr>
    </w:p>
    <w:p w:rsidR="00CA4937" w:rsidRDefault="00CA4937" w:rsidP="00F31F15">
      <w:pPr>
        <w:pStyle w:val="RKnormal"/>
      </w:pPr>
      <w:r w:rsidRPr="002548F8">
        <w:t>Nationella budgetära konsekvenser up</w:t>
      </w:r>
      <w:r>
        <w:t>pstår för deltagande myndighet i samband med beslut om deltagande, och finansieras under berört utgiftsområde</w:t>
      </w:r>
      <w:r w:rsidRPr="002548F8">
        <w:t>.</w:t>
      </w:r>
    </w:p>
    <w:p w:rsidR="00CA4937" w:rsidRDefault="00CA4937" w:rsidP="00465AC1">
      <w:pPr>
        <w:pStyle w:val="RKnormal"/>
      </w:pPr>
    </w:p>
    <w:p w:rsidR="00CA4937" w:rsidRDefault="00CA4937" w:rsidP="00F31F15">
      <w:pPr>
        <w:pStyle w:val="RKnormal"/>
      </w:pPr>
      <w:r>
        <w:t>KOM föreslår att EU (Horizon 2020) bidrar med 1215 miljoner euro och medlemsstaterna med 1200 miljoner euro.</w:t>
      </w:r>
    </w:p>
    <w:p w:rsidR="00CA4937" w:rsidRDefault="00CA4937">
      <w:pPr>
        <w:pStyle w:val="RKrubrik"/>
      </w:pPr>
      <w:r>
        <w:t>Övrigt</w:t>
      </w:r>
    </w:p>
    <w:p w:rsidR="00CA4937" w:rsidRDefault="00CA4937">
      <w:pPr>
        <w:pStyle w:val="RKnormal"/>
      </w:pPr>
    </w:p>
    <w:sectPr w:rsidR="00CA4937" w:rsidSect="002B4A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37" w:rsidRDefault="00CA4937">
      <w:r>
        <w:separator/>
      </w:r>
    </w:p>
  </w:endnote>
  <w:endnote w:type="continuationSeparator" w:id="1">
    <w:p w:rsidR="00CA4937" w:rsidRDefault="00CA4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37" w:rsidRDefault="00CA4937">
      <w:r>
        <w:separator/>
      </w:r>
    </w:p>
  </w:footnote>
  <w:footnote w:type="continuationSeparator" w:id="1">
    <w:p w:rsidR="00CA4937" w:rsidRDefault="00CA4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37" w:rsidRDefault="00CA49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A4937">
      <w:trPr>
        <w:cantSplit/>
      </w:trPr>
      <w:tc>
        <w:tcPr>
          <w:tcW w:w="3119" w:type="dxa"/>
        </w:tcPr>
        <w:p w:rsidR="00CA4937" w:rsidRDefault="00CA4937">
          <w:pPr>
            <w:pStyle w:val="Header"/>
            <w:spacing w:line="200" w:lineRule="atLeast"/>
            <w:ind w:right="357"/>
            <w:rPr>
              <w:rFonts w:ascii="TradeGothic" w:hAnsi="TradeGothic"/>
              <w:b/>
              <w:bCs/>
              <w:sz w:val="16"/>
            </w:rPr>
          </w:pPr>
        </w:p>
      </w:tc>
      <w:tc>
        <w:tcPr>
          <w:tcW w:w="4111" w:type="dxa"/>
          <w:tcMar>
            <w:left w:w="567" w:type="dxa"/>
          </w:tcMar>
        </w:tcPr>
        <w:p w:rsidR="00CA4937" w:rsidRDefault="00CA4937">
          <w:pPr>
            <w:pStyle w:val="Header"/>
            <w:ind w:right="360"/>
          </w:pPr>
        </w:p>
      </w:tc>
      <w:tc>
        <w:tcPr>
          <w:tcW w:w="1525" w:type="dxa"/>
        </w:tcPr>
        <w:p w:rsidR="00CA4937" w:rsidRDefault="00CA4937">
          <w:pPr>
            <w:pStyle w:val="Header"/>
            <w:ind w:right="360"/>
          </w:pPr>
        </w:p>
      </w:tc>
    </w:tr>
  </w:tbl>
  <w:p w:rsidR="00CA4937" w:rsidRDefault="00CA493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37" w:rsidRDefault="00CA49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A4937">
      <w:trPr>
        <w:cantSplit/>
      </w:trPr>
      <w:tc>
        <w:tcPr>
          <w:tcW w:w="3119" w:type="dxa"/>
        </w:tcPr>
        <w:p w:rsidR="00CA4937" w:rsidRDefault="00CA4937">
          <w:pPr>
            <w:pStyle w:val="Header"/>
            <w:spacing w:line="200" w:lineRule="atLeast"/>
            <w:ind w:right="357"/>
            <w:rPr>
              <w:rFonts w:ascii="TradeGothic" w:hAnsi="TradeGothic"/>
              <w:b/>
              <w:bCs/>
              <w:sz w:val="16"/>
            </w:rPr>
          </w:pPr>
        </w:p>
      </w:tc>
      <w:tc>
        <w:tcPr>
          <w:tcW w:w="4111" w:type="dxa"/>
          <w:tcMar>
            <w:left w:w="567" w:type="dxa"/>
          </w:tcMar>
        </w:tcPr>
        <w:p w:rsidR="00CA4937" w:rsidRDefault="00CA4937">
          <w:pPr>
            <w:pStyle w:val="Header"/>
            <w:ind w:right="360"/>
          </w:pPr>
        </w:p>
      </w:tc>
      <w:tc>
        <w:tcPr>
          <w:tcW w:w="1525" w:type="dxa"/>
        </w:tcPr>
        <w:p w:rsidR="00CA4937" w:rsidRDefault="00CA4937">
          <w:pPr>
            <w:pStyle w:val="Header"/>
            <w:ind w:right="360"/>
          </w:pPr>
        </w:p>
      </w:tc>
    </w:tr>
  </w:tbl>
  <w:p w:rsidR="00CA4937" w:rsidRDefault="00CA493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937" w:rsidRDefault="00CA4937">
    <w:pPr>
      <w:framePr w:w="2948" w:h="1321" w:hRule="exact" w:wrap="notBeside" w:vAnchor="page" w:hAnchor="page" w:x="1362" w:y="653"/>
    </w:pPr>
    <w:r w:rsidRPr="005D634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A4937" w:rsidRDefault="00CA4937">
    <w:pPr>
      <w:pStyle w:val="RKrubrik"/>
      <w:keepNext w:val="0"/>
      <w:tabs>
        <w:tab w:val="clear" w:pos="1134"/>
        <w:tab w:val="clear" w:pos="2835"/>
      </w:tabs>
      <w:spacing w:before="0" w:after="0" w:line="320" w:lineRule="atLeast"/>
      <w:rPr>
        <w:bCs/>
      </w:rPr>
    </w:pPr>
  </w:p>
  <w:p w:rsidR="00CA4937" w:rsidRDefault="00CA4937">
    <w:pPr>
      <w:rPr>
        <w:rFonts w:ascii="TradeGothic" w:hAnsi="TradeGothic"/>
        <w:b/>
        <w:bCs/>
        <w:spacing w:val="12"/>
        <w:sz w:val="22"/>
      </w:rPr>
    </w:pPr>
  </w:p>
  <w:p w:rsidR="00CA4937" w:rsidRDefault="00CA4937">
    <w:pPr>
      <w:pStyle w:val="RKrubrik"/>
      <w:keepNext w:val="0"/>
      <w:tabs>
        <w:tab w:val="clear" w:pos="1134"/>
        <w:tab w:val="clear" w:pos="2835"/>
      </w:tabs>
      <w:spacing w:before="0" w:after="0" w:line="320" w:lineRule="atLeast"/>
      <w:rPr>
        <w:bCs/>
      </w:rPr>
    </w:pPr>
  </w:p>
  <w:p w:rsidR="00CA4937" w:rsidRDefault="00CA493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376A3"/>
    <w:rsid w:val="000A58D3"/>
    <w:rsid w:val="000C01B7"/>
    <w:rsid w:val="001076EF"/>
    <w:rsid w:val="00112EBD"/>
    <w:rsid w:val="00120680"/>
    <w:rsid w:val="00150384"/>
    <w:rsid w:val="00160901"/>
    <w:rsid w:val="001805B7"/>
    <w:rsid w:val="001B45C9"/>
    <w:rsid w:val="002308FB"/>
    <w:rsid w:val="00245B9A"/>
    <w:rsid w:val="002548F8"/>
    <w:rsid w:val="00255D83"/>
    <w:rsid w:val="002573E2"/>
    <w:rsid w:val="00281CD6"/>
    <w:rsid w:val="002B4ADC"/>
    <w:rsid w:val="00306479"/>
    <w:rsid w:val="003220E0"/>
    <w:rsid w:val="00327CB9"/>
    <w:rsid w:val="00367B1C"/>
    <w:rsid w:val="003837A3"/>
    <w:rsid w:val="003B3F87"/>
    <w:rsid w:val="003E0354"/>
    <w:rsid w:val="004142CD"/>
    <w:rsid w:val="00465AC1"/>
    <w:rsid w:val="004805D5"/>
    <w:rsid w:val="004A2C83"/>
    <w:rsid w:val="004A328D"/>
    <w:rsid w:val="004B1331"/>
    <w:rsid w:val="004C7DF4"/>
    <w:rsid w:val="004D0512"/>
    <w:rsid w:val="004D6C63"/>
    <w:rsid w:val="00513A9F"/>
    <w:rsid w:val="005435FC"/>
    <w:rsid w:val="00565946"/>
    <w:rsid w:val="0058762B"/>
    <w:rsid w:val="005A4854"/>
    <w:rsid w:val="005C0B50"/>
    <w:rsid w:val="005D6343"/>
    <w:rsid w:val="005E2EB6"/>
    <w:rsid w:val="00611B55"/>
    <w:rsid w:val="006157B1"/>
    <w:rsid w:val="00623AE6"/>
    <w:rsid w:val="006A1BCD"/>
    <w:rsid w:val="006E4E11"/>
    <w:rsid w:val="007242A3"/>
    <w:rsid w:val="00736338"/>
    <w:rsid w:val="00790EDE"/>
    <w:rsid w:val="007A20B4"/>
    <w:rsid w:val="007A6855"/>
    <w:rsid w:val="007C62F7"/>
    <w:rsid w:val="007E374D"/>
    <w:rsid w:val="008851CF"/>
    <w:rsid w:val="008A7D08"/>
    <w:rsid w:val="008C4025"/>
    <w:rsid w:val="008C7754"/>
    <w:rsid w:val="008D5E42"/>
    <w:rsid w:val="008E7BB6"/>
    <w:rsid w:val="009164DF"/>
    <w:rsid w:val="0092027A"/>
    <w:rsid w:val="00955E31"/>
    <w:rsid w:val="00992E72"/>
    <w:rsid w:val="009C5D2C"/>
    <w:rsid w:val="00A2438B"/>
    <w:rsid w:val="00A30B82"/>
    <w:rsid w:val="00A4335E"/>
    <w:rsid w:val="00A437C0"/>
    <w:rsid w:val="00A507E7"/>
    <w:rsid w:val="00A56EA0"/>
    <w:rsid w:val="00AE0D58"/>
    <w:rsid w:val="00AF26D1"/>
    <w:rsid w:val="00B02D2F"/>
    <w:rsid w:val="00B0592C"/>
    <w:rsid w:val="00B26A70"/>
    <w:rsid w:val="00B307C8"/>
    <w:rsid w:val="00C43CE5"/>
    <w:rsid w:val="00CA335D"/>
    <w:rsid w:val="00CA4937"/>
    <w:rsid w:val="00D11C4B"/>
    <w:rsid w:val="00D133D7"/>
    <w:rsid w:val="00D220A6"/>
    <w:rsid w:val="00D464F0"/>
    <w:rsid w:val="00D51B3B"/>
    <w:rsid w:val="00D62340"/>
    <w:rsid w:val="00D81AB6"/>
    <w:rsid w:val="00DB0314"/>
    <w:rsid w:val="00DD4A52"/>
    <w:rsid w:val="00DD64DA"/>
    <w:rsid w:val="00E80146"/>
    <w:rsid w:val="00E9049E"/>
    <w:rsid w:val="00E904D0"/>
    <w:rsid w:val="00EC25F9"/>
    <w:rsid w:val="00ED583F"/>
    <w:rsid w:val="00F26496"/>
    <w:rsid w:val="00F31F15"/>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D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B4AD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B4ADC"/>
    <w:pPr>
      <w:spacing w:before="360"/>
      <w:outlineLvl w:val="1"/>
    </w:pPr>
  </w:style>
  <w:style w:type="paragraph" w:styleId="Heading3">
    <w:name w:val="heading 3"/>
    <w:basedOn w:val="Heading2"/>
    <w:next w:val="RKnormal"/>
    <w:link w:val="Heading3Char"/>
    <w:uiPriority w:val="99"/>
    <w:qFormat/>
    <w:rsid w:val="002B4ADC"/>
    <w:pPr>
      <w:spacing w:after="120" w:line="240" w:lineRule="atLeast"/>
      <w:outlineLvl w:val="2"/>
    </w:pPr>
    <w:rPr>
      <w:b w:val="0"/>
    </w:rPr>
  </w:style>
  <w:style w:type="paragraph" w:styleId="Heading4">
    <w:name w:val="heading 4"/>
    <w:basedOn w:val="Heading3"/>
    <w:next w:val="RKnormal"/>
    <w:link w:val="Heading4Char"/>
    <w:uiPriority w:val="99"/>
    <w:qFormat/>
    <w:rsid w:val="002B4AD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5E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F45E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F45E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F45E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B4AD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B4AD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F45E7"/>
    <w:rPr>
      <w:rFonts w:ascii="OrigGarmnd BT" w:hAnsi="OrigGarmnd BT"/>
      <w:sz w:val="24"/>
      <w:szCs w:val="20"/>
      <w:lang w:eastAsia="en-US"/>
    </w:rPr>
  </w:style>
  <w:style w:type="paragraph" w:styleId="Header">
    <w:name w:val="header"/>
    <w:basedOn w:val="Normal"/>
    <w:link w:val="HeaderChar"/>
    <w:uiPriority w:val="99"/>
    <w:rsid w:val="002B4ADC"/>
    <w:pPr>
      <w:tabs>
        <w:tab w:val="center" w:pos="4153"/>
        <w:tab w:val="right" w:pos="8306"/>
      </w:tabs>
    </w:pPr>
  </w:style>
  <w:style w:type="character" w:customStyle="1" w:styleId="HeaderChar">
    <w:name w:val="Header Char"/>
    <w:basedOn w:val="DefaultParagraphFont"/>
    <w:link w:val="Header"/>
    <w:uiPriority w:val="99"/>
    <w:semiHidden/>
    <w:rsid w:val="003F45E7"/>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B4AD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B4ADC"/>
    <w:rPr>
      <w:rFonts w:cs="Times New Roman"/>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76484944">
      <w:marLeft w:val="0"/>
      <w:marRight w:val="0"/>
      <w:marTop w:val="0"/>
      <w:marBottom w:val="0"/>
      <w:divBdr>
        <w:top w:val="none" w:sz="0" w:space="0" w:color="auto"/>
        <w:left w:val="none" w:sz="0" w:space="0" w:color="auto"/>
        <w:bottom w:val="none" w:sz="0" w:space="0" w:color="auto"/>
        <w:right w:val="none" w:sz="0" w:space="0" w:color="auto"/>
      </w:divBdr>
    </w:div>
    <w:div w:id="1776484945">
      <w:marLeft w:val="0"/>
      <w:marRight w:val="0"/>
      <w:marTop w:val="0"/>
      <w:marBottom w:val="0"/>
      <w:divBdr>
        <w:top w:val="none" w:sz="0" w:space="0" w:color="auto"/>
        <w:left w:val="none" w:sz="0" w:space="0" w:color="auto"/>
        <w:bottom w:val="none" w:sz="0" w:space="0" w:color="auto"/>
        <w:right w:val="none" w:sz="0" w:space="0" w:color="auto"/>
      </w:divBdr>
    </w:div>
    <w:div w:id="1776484946">
      <w:marLeft w:val="0"/>
      <w:marRight w:val="0"/>
      <w:marTop w:val="0"/>
      <w:marBottom w:val="0"/>
      <w:divBdr>
        <w:top w:val="none" w:sz="0" w:space="0" w:color="auto"/>
        <w:left w:val="none" w:sz="0" w:space="0" w:color="auto"/>
        <w:bottom w:val="none" w:sz="0" w:space="0" w:color="auto"/>
        <w:right w:val="none" w:sz="0" w:space="0" w:color="auto"/>
      </w:divBdr>
    </w:div>
    <w:div w:id="1776484947">
      <w:marLeft w:val="0"/>
      <w:marRight w:val="0"/>
      <w:marTop w:val="0"/>
      <w:marBottom w:val="0"/>
      <w:divBdr>
        <w:top w:val="none" w:sz="0" w:space="0" w:color="auto"/>
        <w:left w:val="none" w:sz="0" w:space="0" w:color="auto"/>
        <w:bottom w:val="none" w:sz="0" w:space="0" w:color="auto"/>
        <w:right w:val="none" w:sz="0" w:space="0" w:color="auto"/>
      </w:divBdr>
    </w:div>
    <w:div w:id="1776484948">
      <w:marLeft w:val="0"/>
      <w:marRight w:val="0"/>
      <w:marTop w:val="0"/>
      <w:marBottom w:val="0"/>
      <w:divBdr>
        <w:top w:val="none" w:sz="0" w:space="0" w:color="auto"/>
        <w:left w:val="none" w:sz="0" w:space="0" w:color="auto"/>
        <w:bottom w:val="none" w:sz="0" w:space="0" w:color="auto"/>
        <w:right w:val="none" w:sz="0" w:space="0" w:color="auto"/>
      </w:divBdr>
    </w:div>
    <w:div w:id="1776484949">
      <w:marLeft w:val="0"/>
      <w:marRight w:val="0"/>
      <w:marTop w:val="0"/>
      <w:marBottom w:val="0"/>
      <w:divBdr>
        <w:top w:val="none" w:sz="0" w:space="0" w:color="auto"/>
        <w:left w:val="none" w:sz="0" w:space="0" w:color="auto"/>
        <w:bottom w:val="none" w:sz="0" w:space="0" w:color="auto"/>
        <w:right w:val="none" w:sz="0" w:space="0" w:color="auto"/>
      </w:divBdr>
    </w:div>
    <w:div w:id="1776484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581</Words>
  <Characters>3733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jb0525aa</cp:lastModifiedBy>
  <cp:revision>2</cp:revision>
  <cp:lastPrinted>2013-11-25T12:46:00Z</cp:lastPrinted>
  <dcterms:created xsi:type="dcterms:W3CDTF">2013-11-25T12:46:00Z</dcterms:created>
  <dcterms:modified xsi:type="dcterms:W3CDTF">2013-11-25T12:46:00Z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c6a6724e-71f2-4665-8f69-405e4c0d8fab</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WC5HESE2CEK2-13-4316</vt:lpwstr>
  </property>
  <property fmtid="{D5CDD505-2E9C-101B-9397-08002B2CF9AE}" pid="16" name="_dlc_DocIdUrl">
    <vt:lpwstr>http://rkdhs-u/enhet/FP/_layouts/DocIdRedir.aspx?ID=WC5HESE2CEK2-13-4316, WC5HESE2CEK2-13-4316</vt:lpwstr>
  </property>
</Properties>
</file>